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B8EEC" w14:textId="77777777" w:rsidR="00122703" w:rsidRDefault="00122703" w:rsidP="00122703">
      <w:pPr>
        <w:jc w:val="both"/>
        <w:rPr>
          <w:rFonts w:ascii="Verdana" w:hAnsi="Verdana" w:cs="Arial"/>
          <w:b/>
          <w:bCs/>
          <w:lang w:val="es-MX"/>
        </w:rPr>
      </w:pPr>
      <w:r w:rsidRPr="001F2580">
        <w:rPr>
          <w:rFonts w:ascii="Verdana" w:hAnsi="Verdana" w:cs="Arial"/>
          <w:b/>
          <w:bCs/>
          <w:lang w:val="es-MX"/>
        </w:rPr>
        <w:t xml:space="preserve">INHABILIDADES ─ Definición ─ Finalidad ─ Limitación capacidad contractual </w:t>
      </w:r>
    </w:p>
    <w:p w14:paraId="4F36D118" w14:textId="77777777" w:rsidR="00122703" w:rsidRDefault="00122703" w:rsidP="00122703">
      <w:pPr>
        <w:spacing w:after="0" w:line="240" w:lineRule="auto"/>
        <w:jc w:val="both"/>
        <w:rPr>
          <w:rFonts w:ascii="Verdana" w:eastAsia="Calibri" w:hAnsi="Verdana" w:cs="Arial"/>
          <w:sz w:val="20"/>
          <w:szCs w:val="20"/>
          <w:lang w:val="es-MX"/>
        </w:rPr>
      </w:pPr>
      <w:r w:rsidRPr="001F2580">
        <w:rPr>
          <w:rFonts w:ascii="Verdana" w:eastAsia="Calibri" w:hAnsi="Verdana" w:cs="Arial"/>
          <w:sz w:val="20"/>
          <w:szCs w:val="20"/>
          <w:lang w:val="es-MX"/>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05007777" w14:textId="77777777" w:rsidR="00122703" w:rsidRDefault="00122703" w:rsidP="00122703">
      <w:pPr>
        <w:spacing w:after="0" w:line="240" w:lineRule="auto"/>
        <w:jc w:val="both"/>
        <w:rPr>
          <w:rFonts w:ascii="Verdana" w:eastAsia="Calibri" w:hAnsi="Verdana" w:cs="Arial"/>
          <w:sz w:val="20"/>
          <w:szCs w:val="20"/>
          <w:lang w:val="es-MX"/>
        </w:rPr>
      </w:pPr>
    </w:p>
    <w:p w14:paraId="7DF3B95D" w14:textId="77777777" w:rsidR="00122703" w:rsidRPr="001F2580" w:rsidRDefault="00122703" w:rsidP="00122703">
      <w:pPr>
        <w:spacing w:after="0" w:line="240" w:lineRule="auto"/>
        <w:jc w:val="both"/>
        <w:rPr>
          <w:rFonts w:ascii="Verdana" w:eastAsia="Calibri" w:hAnsi="Verdana" w:cs="Arial"/>
          <w:sz w:val="20"/>
          <w:szCs w:val="20"/>
          <w:lang w:val="es-MX"/>
        </w:rPr>
      </w:pPr>
      <w:r w:rsidRPr="001F2580">
        <w:rPr>
          <w:rFonts w:ascii="Verdana" w:eastAsia="Calibri" w:hAnsi="Verdana" w:cs="Arial"/>
          <w:sz w:val="20"/>
          <w:szCs w:val="20"/>
          <w:lang w:val="es-MX"/>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w:t>
      </w:r>
      <w:r>
        <w:rPr>
          <w:rFonts w:ascii="Verdana" w:eastAsia="Calibri" w:hAnsi="Verdana" w:cs="Arial"/>
          <w:sz w:val="20"/>
          <w:szCs w:val="20"/>
          <w:lang w:val="es-MX"/>
        </w:rPr>
        <w:t xml:space="preserve"> </w:t>
      </w:r>
      <w:r w:rsidRPr="00D15D5E">
        <w:rPr>
          <w:rFonts w:ascii="Verdana" w:eastAsia="Calibri" w:hAnsi="Verdana" w:cs="Arial"/>
          <w:sz w:val="20"/>
          <w:szCs w:val="20"/>
          <w:lang w:val="es-MX"/>
        </w:rPr>
        <w:t>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Pr>
          <w:rFonts w:ascii="Verdana" w:eastAsia="Calibri" w:hAnsi="Verdana" w:cs="Arial"/>
          <w:sz w:val="20"/>
          <w:szCs w:val="20"/>
          <w:lang w:val="es-MX"/>
        </w:rPr>
        <w:t>.</w:t>
      </w:r>
    </w:p>
    <w:p w14:paraId="0A1B1A47" w14:textId="77777777" w:rsidR="00122703" w:rsidRDefault="00122703" w:rsidP="00122703">
      <w:pPr>
        <w:spacing w:after="0" w:line="240" w:lineRule="auto"/>
        <w:jc w:val="both"/>
        <w:rPr>
          <w:rFonts w:ascii="Verdana" w:hAnsi="Verdana" w:cs="Arial"/>
          <w:lang w:val="es-MX"/>
        </w:rPr>
      </w:pPr>
    </w:p>
    <w:p w14:paraId="4CCBC213" w14:textId="77777777" w:rsidR="00122703" w:rsidRPr="001F2580" w:rsidRDefault="00122703" w:rsidP="00122703">
      <w:pPr>
        <w:spacing w:after="0" w:line="240" w:lineRule="auto"/>
        <w:jc w:val="both"/>
        <w:rPr>
          <w:rFonts w:ascii="Verdana" w:hAnsi="Verdana" w:cs="Arial"/>
          <w:b/>
          <w:bCs/>
          <w:lang w:val="es-ES_tradnl"/>
        </w:rPr>
      </w:pPr>
      <w:r w:rsidRPr="001F2580">
        <w:rPr>
          <w:rFonts w:ascii="Verdana" w:hAnsi="Verdana" w:cs="Arial"/>
          <w:b/>
          <w:bCs/>
          <w:lang w:val="es-ES_tradnl"/>
        </w:rPr>
        <w:t>INHABILIDADES – Taxatividad – Principio de legalidad – Interpretación restrictiva</w:t>
      </w:r>
      <w:r w:rsidRPr="001F2580" w:rsidDel="00A75E55">
        <w:rPr>
          <w:rFonts w:ascii="Verdana" w:hAnsi="Verdana" w:cs="Arial"/>
          <w:b/>
          <w:bCs/>
          <w:lang w:val="es-ES_tradnl"/>
        </w:rPr>
        <w:t xml:space="preserve"> </w:t>
      </w:r>
      <w:r w:rsidRPr="001F2580">
        <w:rPr>
          <w:rFonts w:ascii="Verdana" w:hAnsi="Verdana" w:cs="Arial"/>
          <w:b/>
          <w:bCs/>
          <w:lang w:val="es-ES_tradnl"/>
        </w:rPr>
        <w:t xml:space="preserve"> </w:t>
      </w:r>
    </w:p>
    <w:p w14:paraId="3FE13A27" w14:textId="77777777" w:rsidR="00122703" w:rsidRDefault="00122703" w:rsidP="00122703">
      <w:pPr>
        <w:spacing w:after="0" w:line="240" w:lineRule="auto"/>
        <w:jc w:val="both"/>
        <w:rPr>
          <w:rFonts w:ascii="Verdana" w:hAnsi="Verdana" w:cs="Arial"/>
          <w:b/>
          <w:bCs/>
          <w:lang w:val="es-ES_tradnl"/>
        </w:rPr>
      </w:pPr>
    </w:p>
    <w:p w14:paraId="3E80CF8C" w14:textId="77777777" w:rsidR="00122703" w:rsidRDefault="00122703" w:rsidP="00122703">
      <w:pPr>
        <w:spacing w:after="0" w:line="240" w:lineRule="auto"/>
        <w:jc w:val="both"/>
        <w:rPr>
          <w:rFonts w:ascii="Verdana" w:hAnsi="Verdana" w:cs="Arial"/>
          <w:b/>
          <w:bCs/>
          <w:sz w:val="20"/>
          <w:szCs w:val="20"/>
          <w:lang w:val="es-MX"/>
        </w:rPr>
      </w:pPr>
      <w:r w:rsidRPr="00D15D5E">
        <w:rPr>
          <w:rFonts w:ascii="Verdana" w:hAnsi="Verdana" w:cs="Arial"/>
          <w:sz w:val="20"/>
          <w:szCs w:val="20"/>
          <w:lang w:val="es-ES_tradnl"/>
        </w:rPr>
        <w:t>[…]</w:t>
      </w:r>
      <w:r w:rsidRPr="00D15D5E">
        <w:rPr>
          <w:rFonts w:ascii="Verdana" w:hAnsi="Verdana" w:cs="Arial"/>
          <w:b/>
          <w:bCs/>
          <w:sz w:val="20"/>
          <w:szCs w:val="20"/>
          <w:lang w:val="es-ES_tradnl"/>
        </w:rPr>
        <w:t xml:space="preserve"> </w:t>
      </w:r>
      <w:r w:rsidRPr="00D15D5E">
        <w:rPr>
          <w:rFonts w:ascii="Verdana" w:eastAsia="Calibri" w:hAnsi="Verdana" w:cs="Arial"/>
          <w:sz w:val="20"/>
          <w:szCs w:val="20"/>
          <w:lang w:val="es-MX"/>
        </w:rPr>
        <w:t>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w:t>
      </w:r>
      <w:r>
        <w:rPr>
          <w:rFonts w:ascii="Verdana" w:eastAsia="Calibri" w:hAnsi="Verdana" w:cs="Arial"/>
          <w:sz w:val="20"/>
          <w:szCs w:val="20"/>
          <w:lang w:val="es-MX"/>
        </w:rPr>
        <w:t>.</w:t>
      </w:r>
    </w:p>
    <w:p w14:paraId="6EA6FE7B" w14:textId="77777777" w:rsidR="00122703" w:rsidRDefault="00122703" w:rsidP="00122703">
      <w:pPr>
        <w:spacing w:after="0" w:line="240" w:lineRule="auto"/>
        <w:jc w:val="both"/>
        <w:rPr>
          <w:rFonts w:ascii="Verdana" w:hAnsi="Verdana" w:cs="Arial"/>
          <w:sz w:val="20"/>
          <w:szCs w:val="20"/>
          <w:lang w:val="es-ES_tradnl"/>
        </w:rPr>
      </w:pPr>
    </w:p>
    <w:p w14:paraId="177D9F9C" w14:textId="77777777" w:rsidR="00122703" w:rsidRPr="001930EE" w:rsidRDefault="00122703" w:rsidP="00122703">
      <w:pPr>
        <w:spacing w:after="0" w:line="240" w:lineRule="auto"/>
        <w:jc w:val="both"/>
        <w:rPr>
          <w:rFonts w:ascii="Verdana" w:hAnsi="Verdana" w:cs="Arial"/>
          <w:b/>
          <w:bCs/>
          <w:sz w:val="20"/>
          <w:szCs w:val="20"/>
          <w:lang w:val="es-ES_tradnl"/>
        </w:rPr>
      </w:pPr>
      <w:r w:rsidRPr="001930EE">
        <w:rPr>
          <w:rFonts w:ascii="Verdana" w:hAnsi="Verdana" w:cs="Arial"/>
          <w:sz w:val="20"/>
          <w:szCs w:val="20"/>
          <w:lang w:val="es-ES_tradnl"/>
        </w:rPr>
        <w:t xml:space="preserve">[…] </w:t>
      </w:r>
      <w:r w:rsidRPr="001930EE">
        <w:rPr>
          <w:rFonts w:ascii="Verdana" w:eastAsia="Calibri" w:hAnsi="Verdana" w:cs="Arial"/>
          <w:sz w:val="20"/>
          <w:szCs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1930EE">
        <w:rPr>
          <w:rFonts w:ascii="Verdana" w:eastAsia="Calibri" w:hAnsi="Verdana" w:cs="Arial"/>
          <w:i/>
          <w:iCs/>
          <w:sz w:val="20"/>
          <w:szCs w:val="20"/>
          <w:lang w:val="es-ES_tradnl"/>
        </w:rPr>
        <w:t xml:space="preserve">restrictiva, </w:t>
      </w:r>
      <w:r w:rsidRPr="001930EE">
        <w:rPr>
          <w:rFonts w:ascii="Verdana" w:eastAsia="Calibri" w:hAnsi="Verdana" w:cs="Arial"/>
          <w:sz w:val="20"/>
          <w:szCs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4960DEF1" w14:textId="77777777" w:rsidR="00122703" w:rsidRDefault="00122703" w:rsidP="00122703">
      <w:pPr>
        <w:spacing w:after="0" w:line="240" w:lineRule="auto"/>
        <w:jc w:val="both"/>
        <w:rPr>
          <w:rFonts w:ascii="Verdana" w:hAnsi="Verdana" w:cs="Arial"/>
          <w:b/>
          <w:bCs/>
          <w:lang w:val="es-ES_tradnl"/>
        </w:rPr>
      </w:pPr>
    </w:p>
    <w:p w14:paraId="24559107" w14:textId="77777777" w:rsidR="00122703" w:rsidRPr="001F2580" w:rsidRDefault="00122703" w:rsidP="00122703">
      <w:pPr>
        <w:spacing w:after="0" w:line="240" w:lineRule="auto"/>
        <w:jc w:val="both"/>
        <w:rPr>
          <w:rFonts w:ascii="Verdana" w:hAnsi="Verdana" w:cs="Arial"/>
          <w:b/>
          <w:bCs/>
          <w:lang w:val="es-ES_tradnl"/>
        </w:rPr>
      </w:pPr>
      <w:r w:rsidRPr="001F2580">
        <w:rPr>
          <w:rFonts w:ascii="Verdana" w:hAnsi="Verdana" w:cs="Arial"/>
          <w:b/>
          <w:bCs/>
          <w:lang w:val="es-ES_tradnl"/>
        </w:rPr>
        <w:t xml:space="preserve">INHABILIDADES E INCOMPATIBILIDADES – Ley 80 de 1993 </w:t>
      </w:r>
    </w:p>
    <w:p w14:paraId="01A98C58" w14:textId="77777777" w:rsidR="00122703" w:rsidRDefault="00122703" w:rsidP="00122703">
      <w:pPr>
        <w:spacing w:after="0" w:line="240" w:lineRule="auto"/>
        <w:jc w:val="both"/>
        <w:rPr>
          <w:rFonts w:ascii="Verdana" w:hAnsi="Verdana" w:cs="Arial"/>
          <w:b/>
          <w:bCs/>
          <w:lang w:val="es-ES_tradnl"/>
        </w:rPr>
      </w:pPr>
    </w:p>
    <w:p w14:paraId="6079B46E" w14:textId="77777777" w:rsidR="00122703" w:rsidRPr="001930EE" w:rsidRDefault="00122703" w:rsidP="00122703">
      <w:pPr>
        <w:spacing w:after="0" w:line="240" w:lineRule="auto"/>
        <w:jc w:val="both"/>
        <w:rPr>
          <w:rFonts w:ascii="Verdana" w:eastAsia="Calibri" w:hAnsi="Verdana" w:cs="Arial"/>
          <w:sz w:val="20"/>
          <w:szCs w:val="20"/>
          <w:lang w:val="es-ES"/>
        </w:rPr>
      </w:pPr>
      <w:r w:rsidRPr="001930EE">
        <w:rPr>
          <w:rFonts w:ascii="Verdana" w:eastAsia="Calibri" w:hAnsi="Verdana" w:cs="Arial"/>
          <w:sz w:val="20"/>
          <w:szCs w:val="20"/>
          <w:lang w:val="es-ES"/>
        </w:rPr>
        <w:t xml:space="preserve">Ahora bien, en relación con la inhabilidad para contratar por parentesco, la Ley 80 de 1993 en su artículo 8, establece en el literal b) del numeral 2°, que no podrán participar en procedimientos de selección ni celebrar contratos estatales con la entidad respectiva “Las personas que tengan vínculos de parentesco, hasta el segundo grado de consanguinidad, segundo de afinidad o primero civil con los servidores públicos de los </w:t>
      </w:r>
      <w:r w:rsidRPr="001930EE">
        <w:rPr>
          <w:rFonts w:ascii="Verdana" w:eastAsia="Calibri" w:hAnsi="Verdana" w:cs="Arial"/>
          <w:sz w:val="20"/>
          <w:szCs w:val="20"/>
          <w:lang w:val="es-ES"/>
        </w:rPr>
        <w:lastRenderedPageBreak/>
        <w:t xml:space="preserve">niveles directivo, asesor, ejecutivo o con los miembros de la junta o consejo directivo, o con las personas que ejerzan el control interno o fiscal de la entidad contratante”. </w:t>
      </w:r>
    </w:p>
    <w:p w14:paraId="380BBD19" w14:textId="77777777" w:rsidR="00122703" w:rsidRDefault="00122703" w:rsidP="00122703">
      <w:pPr>
        <w:spacing w:after="0" w:line="240" w:lineRule="auto"/>
        <w:jc w:val="both"/>
        <w:rPr>
          <w:rFonts w:ascii="Verdana" w:hAnsi="Verdana" w:cs="Arial"/>
          <w:b/>
          <w:bCs/>
          <w:lang w:val="es-ES"/>
        </w:rPr>
      </w:pPr>
    </w:p>
    <w:p w14:paraId="356244EB" w14:textId="77777777" w:rsidR="00122703" w:rsidRPr="001F2580" w:rsidRDefault="00122703" w:rsidP="00122703">
      <w:pPr>
        <w:spacing w:after="0" w:line="240" w:lineRule="auto"/>
        <w:jc w:val="both"/>
        <w:rPr>
          <w:rFonts w:ascii="Verdana" w:hAnsi="Verdana" w:cs="Arial"/>
          <w:b/>
          <w:bCs/>
          <w:lang w:val="es-ES_tradnl"/>
        </w:rPr>
      </w:pPr>
      <w:r w:rsidRPr="001F2580">
        <w:rPr>
          <w:rFonts w:ascii="Verdana" w:hAnsi="Verdana" w:cs="Arial"/>
          <w:b/>
          <w:bCs/>
          <w:lang w:val="es-ES_tradnl"/>
        </w:rPr>
        <w:t xml:space="preserve">PROHIBICIONES / Ley 617 de 2000 – Norma especial </w:t>
      </w:r>
    </w:p>
    <w:p w14:paraId="15FAC73C" w14:textId="77777777" w:rsidR="00122703" w:rsidRDefault="00122703" w:rsidP="00122703">
      <w:pPr>
        <w:widowControl w:val="0"/>
        <w:autoSpaceDE w:val="0"/>
        <w:autoSpaceDN w:val="0"/>
        <w:spacing w:after="0" w:line="240" w:lineRule="auto"/>
        <w:jc w:val="both"/>
        <w:rPr>
          <w:rFonts w:ascii="Verdana" w:eastAsia="Calibri" w:hAnsi="Verdana" w:cs="Arial"/>
          <w:lang w:val="es-ES_tradnl"/>
        </w:rPr>
      </w:pPr>
    </w:p>
    <w:p w14:paraId="50BA16CC" w14:textId="77777777" w:rsidR="00122703" w:rsidRDefault="00122703" w:rsidP="00122703">
      <w:pPr>
        <w:widowControl w:val="0"/>
        <w:autoSpaceDE w:val="0"/>
        <w:autoSpaceDN w:val="0"/>
        <w:spacing w:after="0" w:line="240" w:lineRule="auto"/>
        <w:jc w:val="both"/>
        <w:rPr>
          <w:rFonts w:ascii="Verdana" w:hAnsi="Verdana" w:cs="Open Sans"/>
          <w:sz w:val="20"/>
          <w:szCs w:val="20"/>
        </w:rPr>
      </w:pPr>
      <w:r>
        <w:rPr>
          <w:rFonts w:ascii="Verdana" w:eastAsia="Calibri" w:hAnsi="Verdana" w:cs="Arial"/>
          <w:sz w:val="20"/>
          <w:szCs w:val="20"/>
          <w:lang w:val="es-ES_tradnl"/>
        </w:rPr>
        <w:t xml:space="preserve">[…] </w:t>
      </w:r>
      <w:r w:rsidRPr="001930EE">
        <w:rPr>
          <w:rFonts w:ascii="Verdana" w:eastAsia="Calibri" w:hAnsi="Verdana" w:cs="Arial"/>
          <w:sz w:val="20"/>
          <w:szCs w:val="20"/>
          <w:lang w:val="es-ES_tradnl"/>
        </w:rPr>
        <w:t xml:space="preserve">el inciso tercero del artículo 49 de la Ley 617 de 2000 –modificado por las Leyes 821 de 2003, 1148 de 2007 y 1296 de 2009– introduce una </w:t>
      </w:r>
      <w:r w:rsidRPr="001930EE">
        <w:rPr>
          <w:rFonts w:ascii="Verdana" w:eastAsia="Calibri" w:hAnsi="Verdana" w:cs="Arial"/>
          <w:i/>
          <w:iCs/>
          <w:sz w:val="20"/>
          <w:szCs w:val="20"/>
          <w:lang w:val="es-ES_tradnl"/>
        </w:rPr>
        <w:t>regla especial</w:t>
      </w:r>
      <w:r w:rsidRPr="001930EE">
        <w:rPr>
          <w:rFonts w:ascii="Verdana" w:eastAsia="Calibri" w:hAnsi="Verdana" w:cs="Arial"/>
          <w:sz w:val="20"/>
          <w:szCs w:val="20"/>
          <w:lang w:val="es-ES_tradnl"/>
        </w:rPr>
        <w:t xml:space="preserve"> que restringe la contratación de las gobernaciones, asambleas, alcaldías y concejos:</w:t>
      </w:r>
      <w:r>
        <w:rPr>
          <w:rFonts w:ascii="Verdana" w:eastAsia="Calibri" w:hAnsi="Verdana" w:cs="Arial"/>
          <w:sz w:val="20"/>
          <w:szCs w:val="20"/>
          <w:lang w:val="es-ES_tradnl"/>
        </w:rPr>
        <w:t xml:space="preserve"> </w:t>
      </w:r>
      <w:r w:rsidRPr="001930EE">
        <w:rPr>
          <w:rFonts w:ascii="Verdana" w:eastAsia="Calibri" w:hAnsi="Verdana" w:cs="Arial"/>
          <w:sz w:val="20"/>
          <w:szCs w:val="20"/>
          <w:lang w:val="es-ES_tradnl"/>
        </w:rPr>
        <w:t xml:space="preserve">“(…) </w:t>
      </w:r>
      <w:r w:rsidRPr="001930EE">
        <w:rPr>
          <w:rFonts w:ascii="Verdana" w:hAnsi="Verdana" w:cs="Open Sans"/>
          <w:sz w:val="20"/>
          <w:szCs w:val="20"/>
        </w:rPr>
        <w:t>Los cónyuges o </w:t>
      </w:r>
      <w:r w:rsidRPr="001930EE">
        <w:rPr>
          <w:rFonts w:ascii="Verdana" w:hAnsi="Verdana" w:cs="Open Sans"/>
          <w:sz w:val="20"/>
          <w:szCs w:val="20"/>
          <w:u w:val="single"/>
        </w:rPr>
        <w:t>compañeros permanentes</w:t>
      </w:r>
      <w:r w:rsidRPr="001930EE">
        <w:rPr>
          <w:rFonts w:ascii="Verdana" w:hAnsi="Verdana" w:cs="Open Sans"/>
          <w:sz w:val="20"/>
          <w:szCs w:val="20"/>
        </w:rPr>
        <w:t> de los gobernadores, diputados, alcaldes municipales y distritales, concejales municipales y distritales y sus parientes </w:t>
      </w:r>
      <w:r w:rsidRPr="001930EE">
        <w:rPr>
          <w:rStyle w:val="iaj"/>
          <w:rFonts w:ascii="Verdana" w:hAnsi="Verdana" w:cs="Open Sans"/>
          <w:i/>
          <w:iCs/>
          <w:sz w:val="20"/>
          <w:szCs w:val="20"/>
        </w:rPr>
        <w:t>dentro del cuarto grado de consanguinidad,</w:t>
      </w:r>
      <w:r w:rsidRPr="001930EE">
        <w:rPr>
          <w:rFonts w:ascii="Verdana" w:hAnsi="Verdana" w:cs="Open Sans"/>
          <w:sz w:val="20"/>
          <w:szCs w:val="20"/>
        </w:rPr>
        <w:t> segundo de afinidad, o primero civil </w:t>
      </w:r>
      <w:r w:rsidRPr="001930EE">
        <w:rPr>
          <w:rStyle w:val="iaj"/>
          <w:rFonts w:ascii="Verdana" w:hAnsi="Verdana" w:cs="Open Sans"/>
          <w:i/>
          <w:iCs/>
          <w:sz w:val="20"/>
          <w:szCs w:val="20"/>
        </w:rPr>
        <w:t>no podrán ser contratistas</w:t>
      </w:r>
      <w:r w:rsidRPr="001930EE">
        <w:rPr>
          <w:rFonts w:ascii="Verdana" w:hAnsi="Verdana" w:cs="Open Sans"/>
          <w:sz w:val="20"/>
          <w:szCs w:val="20"/>
        </w:rPr>
        <w:t> del respectivo departamento, distrito o municipio, o de sus entidades descentralizadas, ni directa, ni indirectamente (…)”.</w:t>
      </w:r>
      <w:r>
        <w:rPr>
          <w:rFonts w:ascii="Verdana" w:hAnsi="Verdana" w:cs="Open Sans"/>
          <w:sz w:val="20"/>
          <w:szCs w:val="20"/>
        </w:rPr>
        <w:t xml:space="preserve"> </w:t>
      </w:r>
    </w:p>
    <w:p w14:paraId="0E096D53" w14:textId="77777777" w:rsidR="00122703" w:rsidRDefault="00122703" w:rsidP="00122703">
      <w:pPr>
        <w:widowControl w:val="0"/>
        <w:autoSpaceDE w:val="0"/>
        <w:autoSpaceDN w:val="0"/>
        <w:spacing w:after="0" w:line="240" w:lineRule="auto"/>
        <w:jc w:val="both"/>
        <w:rPr>
          <w:rFonts w:ascii="Verdana" w:hAnsi="Verdana" w:cs="Open Sans"/>
          <w:sz w:val="20"/>
          <w:szCs w:val="20"/>
        </w:rPr>
      </w:pPr>
    </w:p>
    <w:p w14:paraId="1AB3BB22" w14:textId="77777777" w:rsidR="00122703" w:rsidRPr="001930EE" w:rsidRDefault="00122703" w:rsidP="00122703">
      <w:pPr>
        <w:spacing w:after="0" w:line="240" w:lineRule="auto"/>
        <w:jc w:val="both"/>
        <w:rPr>
          <w:rFonts w:ascii="Verdana" w:eastAsia="Calibri" w:hAnsi="Verdana" w:cs="Arial"/>
          <w:color w:val="000000" w:themeColor="text1"/>
          <w:sz w:val="20"/>
          <w:szCs w:val="20"/>
          <w:lang w:val="es-ES"/>
        </w:rPr>
      </w:pPr>
      <w:r w:rsidRPr="001930EE">
        <w:rPr>
          <w:rFonts w:ascii="Verdana" w:eastAsia="Calibri" w:hAnsi="Verdana" w:cs="Arial"/>
          <w:sz w:val="20"/>
          <w:szCs w:val="20"/>
          <w:lang w:val="es-ES"/>
        </w:rPr>
        <w:t xml:space="preserve">[…] Así, esta regla especial contenida en el artículo 49 de la Ley 617 de 2000 dispone en primer lugar una prohibición que </w:t>
      </w:r>
      <w:r w:rsidRPr="001930EE">
        <w:rPr>
          <w:rFonts w:ascii="Verdana" w:eastAsia="Calibri" w:hAnsi="Verdana" w:cs="Arial"/>
          <w:color w:val="000000" w:themeColor="text1"/>
          <w:sz w:val="20"/>
          <w:szCs w:val="20"/>
          <w:lang w:val="es-ES"/>
        </w:rPr>
        <w:t xml:space="preserve">aplica a los cónyuges o compañeros permanentes de los gobernadores, diputados, alcaldes o concejales, así como a sus parientes dentro del cuarto grado de consanguinidad, segundo de afinidad o primero civil, quienes no podrán celebrar contratos directa ni indirectamente con el departamento, distrito o municipio, o con sus entidades descentralizadas, tratándose de los municipios de primera, segunda y tercera categoría. </w:t>
      </w:r>
    </w:p>
    <w:p w14:paraId="7C1EC0BE" w14:textId="77777777" w:rsidR="00122703" w:rsidRPr="001930EE" w:rsidRDefault="00122703" w:rsidP="00122703">
      <w:pPr>
        <w:spacing w:after="0" w:line="240" w:lineRule="auto"/>
        <w:jc w:val="both"/>
        <w:rPr>
          <w:rFonts w:ascii="Verdana" w:hAnsi="Verdana" w:cs="Arial"/>
          <w:b/>
          <w:bCs/>
          <w:sz w:val="20"/>
          <w:szCs w:val="20"/>
          <w:lang w:val="es-ES"/>
        </w:rPr>
      </w:pPr>
    </w:p>
    <w:p w14:paraId="42D53E79" w14:textId="77777777" w:rsidR="00122703" w:rsidRDefault="00122703" w:rsidP="00122703">
      <w:pPr>
        <w:spacing w:after="0" w:line="240" w:lineRule="auto"/>
        <w:jc w:val="both"/>
        <w:rPr>
          <w:rFonts w:ascii="Verdana" w:hAnsi="Verdana" w:cs="Arial"/>
          <w:b/>
          <w:bCs/>
          <w:lang w:val="es-ES_tradnl"/>
        </w:rPr>
      </w:pPr>
      <w:r w:rsidRPr="001F2580">
        <w:rPr>
          <w:rFonts w:ascii="Verdana" w:hAnsi="Verdana" w:cs="Arial"/>
          <w:b/>
          <w:bCs/>
          <w:lang w:val="es-ES_tradnl"/>
        </w:rPr>
        <w:t xml:space="preserve">LEY 617 DE 2000 – Contratación directa e indirecta – inciso tercero del artículo 49 – Alcance </w:t>
      </w:r>
    </w:p>
    <w:p w14:paraId="09CA6EC5" w14:textId="77777777" w:rsidR="00122703" w:rsidRDefault="00122703" w:rsidP="00122703">
      <w:pPr>
        <w:spacing w:after="0" w:line="240" w:lineRule="auto"/>
        <w:jc w:val="both"/>
        <w:rPr>
          <w:rFonts w:ascii="Verdana" w:eastAsia="Calibri" w:hAnsi="Verdana" w:cs="Arial"/>
          <w:color w:val="000000" w:themeColor="text1"/>
          <w:sz w:val="20"/>
          <w:szCs w:val="20"/>
          <w:lang w:val="es-ES"/>
        </w:rPr>
      </w:pPr>
    </w:p>
    <w:p w14:paraId="360821A2" w14:textId="77777777" w:rsidR="00122703" w:rsidRDefault="00122703" w:rsidP="00122703">
      <w:pPr>
        <w:spacing w:after="0" w:line="240" w:lineRule="auto"/>
        <w:jc w:val="both"/>
        <w:rPr>
          <w:rFonts w:ascii="Verdana" w:eastAsia="Calibri" w:hAnsi="Verdana" w:cs="Arial"/>
          <w:color w:val="000000"/>
          <w:sz w:val="20"/>
          <w:szCs w:val="20"/>
          <w:lang w:val="es-ES_tradnl"/>
        </w:rPr>
      </w:pPr>
      <w:r w:rsidRPr="001930EE">
        <w:rPr>
          <w:rFonts w:ascii="Verdana" w:eastAsia="Calibri" w:hAnsi="Verdana" w:cs="Arial"/>
          <w:color w:val="000000" w:themeColor="text1"/>
          <w:sz w:val="20"/>
          <w:szCs w:val="20"/>
          <w:lang w:val="es-ES"/>
        </w:rPr>
        <w:t>Por su parte, el parágrafo tercero del mencionado artículo 49 determina que, la prohibición relativa a la celebración de contratos se aplica únicamente para los concejales de los municipios de cuarta, quinta y sexta categoría, cuyos parientes sean los cónyuges o compañeros permanentes y parientes hasta el segundo grado de consanguinidad, primero de afinidad o único civil. En ese sentido, para los parientes que se encuentran dentro del tercer grado de consanguinidad de un concejal de un municipio de cuarta, quinta o sexta categoría, no operaría la prohibición</w:t>
      </w:r>
      <w:r w:rsidRPr="001930EE">
        <w:rPr>
          <w:rFonts w:ascii="Verdana" w:eastAsia="Calibri" w:hAnsi="Verdana" w:cs="Arial"/>
          <w:color w:val="000000"/>
          <w:sz w:val="20"/>
          <w:szCs w:val="20"/>
          <w:lang w:val="es-ES_tradnl"/>
        </w:rPr>
        <w:t>.</w:t>
      </w:r>
    </w:p>
    <w:p w14:paraId="70FF01D1" w14:textId="77777777" w:rsidR="00122703" w:rsidRDefault="00122703" w:rsidP="00122703">
      <w:pPr>
        <w:spacing w:after="0" w:line="240" w:lineRule="auto"/>
        <w:jc w:val="both"/>
        <w:rPr>
          <w:rFonts w:ascii="Verdana" w:eastAsia="Calibri" w:hAnsi="Verdana" w:cs="Arial"/>
          <w:color w:val="000000"/>
          <w:sz w:val="20"/>
          <w:szCs w:val="20"/>
          <w:lang w:val="es-ES_tradnl"/>
        </w:rPr>
      </w:pPr>
    </w:p>
    <w:p w14:paraId="01F59116" w14:textId="77777777" w:rsidR="00122703" w:rsidRPr="001930EE" w:rsidRDefault="00122703" w:rsidP="00122703">
      <w:pPr>
        <w:spacing w:after="0" w:line="240" w:lineRule="auto"/>
        <w:jc w:val="both"/>
        <w:rPr>
          <w:rFonts w:ascii="Verdana" w:eastAsia="Calibri" w:hAnsi="Verdana" w:cs="Arial"/>
          <w:sz w:val="20"/>
          <w:szCs w:val="20"/>
          <w:lang w:val="es-ES_tradnl"/>
        </w:rPr>
      </w:pPr>
      <w:r w:rsidRPr="001930EE">
        <w:rPr>
          <w:rFonts w:ascii="Verdana" w:eastAsia="Calibri" w:hAnsi="Verdana" w:cs="Arial"/>
          <w:sz w:val="20"/>
          <w:szCs w:val="20"/>
          <w:lang w:val="es-ES"/>
        </w:rPr>
        <w:t>Por lo tanto, en principio</w:t>
      </w:r>
      <w:r w:rsidRPr="001930EE">
        <w:rPr>
          <w:rFonts w:ascii="Verdana" w:eastAsia="Calibri" w:hAnsi="Verdana" w:cs="Arial"/>
          <w:color w:val="000000"/>
          <w:sz w:val="20"/>
          <w:szCs w:val="20"/>
          <w:lang w:val="es-MX"/>
        </w:rPr>
        <w:t xml:space="preserve">, todas las entidades y funcionarios del artículo 2 de la Ley 80 de 1993 se rigen por las causales de inhabilidad del artículo 8 </w:t>
      </w:r>
      <w:r w:rsidRPr="001930EE">
        <w:rPr>
          <w:rFonts w:ascii="Verdana" w:eastAsia="Calibri" w:hAnsi="Verdana" w:cs="Arial"/>
          <w:i/>
          <w:iCs/>
          <w:color w:val="000000"/>
          <w:sz w:val="20"/>
          <w:szCs w:val="20"/>
          <w:lang w:val="es-MX"/>
        </w:rPr>
        <w:t>ibidem</w:t>
      </w:r>
      <w:r w:rsidRPr="001930EE">
        <w:rPr>
          <w:rFonts w:ascii="Verdana" w:eastAsia="Calibri" w:hAnsi="Verdana" w:cs="Arial"/>
          <w:color w:val="000000"/>
          <w:sz w:val="20"/>
          <w:szCs w:val="20"/>
          <w:lang w:val="es-MX"/>
        </w:rPr>
        <w:t xml:space="preserve">, incluyendo la del literal b) del numeral 2 explicada </w:t>
      </w:r>
      <w:r w:rsidRPr="001930EE">
        <w:rPr>
          <w:rFonts w:ascii="Verdana" w:eastAsia="Calibri" w:hAnsi="Verdana" w:cs="Arial"/>
          <w:i/>
          <w:iCs/>
          <w:color w:val="000000"/>
          <w:sz w:val="20"/>
          <w:szCs w:val="20"/>
          <w:lang w:val="es-MX"/>
        </w:rPr>
        <w:t>ut supra</w:t>
      </w:r>
      <w:r w:rsidRPr="001930EE">
        <w:rPr>
          <w:rFonts w:ascii="Verdana" w:eastAsia="Calibri" w:hAnsi="Verdana" w:cs="Arial"/>
          <w:color w:val="000000"/>
          <w:sz w:val="20"/>
          <w:szCs w:val="20"/>
          <w:lang w:val="es-MX"/>
        </w:rPr>
        <w:t>, p</w:t>
      </w:r>
      <w:proofErr w:type="spellStart"/>
      <w:r w:rsidRPr="001930EE">
        <w:rPr>
          <w:rFonts w:ascii="Verdana" w:eastAsia="Calibri" w:hAnsi="Verdana" w:cs="Arial"/>
          <w:sz w:val="20"/>
          <w:szCs w:val="20"/>
          <w:lang w:val="es-ES_tradnl"/>
        </w:rPr>
        <w:t>ues</w:t>
      </w:r>
      <w:proofErr w:type="spellEnd"/>
      <w:r w:rsidRPr="001930EE">
        <w:rPr>
          <w:rFonts w:ascii="Verdana" w:eastAsia="Calibri" w:hAnsi="Verdana" w:cs="Arial"/>
          <w:sz w:val="20"/>
          <w:szCs w:val="20"/>
          <w:lang w:val="es-ES_tradnl"/>
        </w:rPr>
        <w:t xml:space="preserve"> es la </w:t>
      </w:r>
      <w:r w:rsidRPr="001930EE">
        <w:rPr>
          <w:rFonts w:ascii="Verdana" w:eastAsia="Calibri" w:hAnsi="Verdana" w:cs="Arial"/>
          <w:i/>
          <w:iCs/>
          <w:sz w:val="20"/>
          <w:szCs w:val="20"/>
          <w:lang w:val="es-ES_tradnl"/>
        </w:rPr>
        <w:t>regla general</w:t>
      </w:r>
      <w:r w:rsidRPr="001930EE">
        <w:rPr>
          <w:rFonts w:ascii="Verdana" w:eastAsia="Calibri" w:hAnsi="Verdana" w:cs="Arial"/>
          <w:sz w:val="20"/>
          <w:szCs w:val="20"/>
          <w:lang w:val="es-ES_tradnl"/>
        </w:rPr>
        <w:t xml:space="preserve"> en materia de inhabilidades e incompatibilidades para la contratación de las entidades sometidas a la Ley 80 de 1993. Sin embargo, el artículo 49 de la Ley 617 de 2000 se trata de una </w:t>
      </w:r>
      <w:r w:rsidRPr="001930EE">
        <w:rPr>
          <w:rFonts w:ascii="Verdana" w:eastAsia="Calibri" w:hAnsi="Verdana" w:cs="Arial"/>
          <w:i/>
          <w:iCs/>
          <w:sz w:val="20"/>
          <w:szCs w:val="20"/>
          <w:lang w:val="es-ES_tradnl"/>
        </w:rPr>
        <w:t>regla especial</w:t>
      </w:r>
      <w:r w:rsidRPr="001930EE">
        <w:rPr>
          <w:rFonts w:ascii="Verdana" w:eastAsia="Calibri" w:hAnsi="Verdana" w:cs="Arial"/>
          <w:sz w:val="20"/>
          <w:szCs w:val="20"/>
          <w:lang w:val="es-ES_tradnl"/>
        </w:rPr>
        <w:t xml:space="preserve">, la cual se ratifica en las modificaciones posteriores del artículo 1º de las Leyes 821 de 2003, 1148 de 2007 y 1296 de 2009. Según esta regla,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 </w:t>
      </w:r>
    </w:p>
    <w:p w14:paraId="44CBAAAB" w14:textId="77777777" w:rsidR="00122703" w:rsidRPr="001930EE" w:rsidRDefault="00122703" w:rsidP="00122703">
      <w:pPr>
        <w:spacing w:after="0" w:line="240" w:lineRule="auto"/>
        <w:jc w:val="both"/>
        <w:rPr>
          <w:rFonts w:ascii="Verdana" w:eastAsia="Calibri" w:hAnsi="Verdana" w:cs="Arial"/>
          <w:sz w:val="20"/>
          <w:szCs w:val="20"/>
          <w:lang w:val="es-ES"/>
        </w:rPr>
      </w:pPr>
      <w:r w:rsidRPr="001930EE">
        <w:rPr>
          <w:rFonts w:ascii="Verdana" w:eastAsia="Calibri" w:hAnsi="Verdana" w:cs="Arial"/>
          <w:sz w:val="20"/>
          <w:szCs w:val="20"/>
          <w:lang w:val="es-ES"/>
        </w:rPr>
        <w:t>Empero dado que la interpretación de este tipo de normativa debe ser restrictiva se encuentra que, según lo dispuesto en el parágrafo tercero del artículo 49 de la Ley 617 de 2000 tratándose</w:t>
      </w:r>
      <w:r w:rsidRPr="001930EE">
        <w:rPr>
          <w:rFonts w:ascii="Verdana" w:eastAsia="Calibri" w:hAnsi="Verdana" w:cs="Arial"/>
          <w:color w:val="000000" w:themeColor="text1"/>
          <w:sz w:val="20"/>
          <w:szCs w:val="20"/>
          <w:lang w:val="es-ES"/>
        </w:rPr>
        <w:t xml:space="preserve"> de concejales de municipios de cuarta, quinta y sexta categoría, se aplica la prohibición únicamente a los cónyuges o compañeros permanentes y parientes hasta el segundo grado de consanguinidad, primero de afinidad o único civil.</w:t>
      </w:r>
    </w:p>
    <w:p w14:paraId="545F4C5F" w14:textId="77777777" w:rsidR="00122703" w:rsidRDefault="00122703" w:rsidP="00122703">
      <w:pPr>
        <w:jc w:val="both"/>
        <w:rPr>
          <w:rFonts w:ascii="Verdana" w:hAnsi="Verdana" w:cs="Arial"/>
          <w:b/>
          <w:bCs/>
          <w:lang w:val="es-ES"/>
        </w:rPr>
      </w:pPr>
    </w:p>
    <w:p w14:paraId="6701B8B8" w14:textId="77777777" w:rsidR="00122703" w:rsidRDefault="00122703" w:rsidP="00122703">
      <w:pPr>
        <w:jc w:val="both"/>
        <w:rPr>
          <w:rFonts w:ascii="Verdana" w:hAnsi="Verdana" w:cs="Arial"/>
          <w:b/>
          <w:bCs/>
          <w:lang w:val="es-ES"/>
        </w:rPr>
      </w:pPr>
    </w:p>
    <w:p w14:paraId="48184D60" w14:textId="77777777" w:rsidR="00122703" w:rsidRDefault="00122703" w:rsidP="00122703">
      <w:pPr>
        <w:jc w:val="both"/>
        <w:rPr>
          <w:rFonts w:ascii="Verdana" w:hAnsi="Verdana" w:cs="Arial"/>
          <w:b/>
          <w:bCs/>
          <w:lang w:val="es-ES"/>
        </w:rPr>
      </w:pPr>
    </w:p>
    <w:p w14:paraId="675D303E" w14:textId="77777777" w:rsidR="00122703" w:rsidRDefault="00122703" w:rsidP="00122703">
      <w:pPr>
        <w:jc w:val="both"/>
        <w:rPr>
          <w:rFonts w:ascii="Verdana" w:hAnsi="Verdana" w:cs="Arial"/>
          <w:b/>
          <w:bCs/>
          <w:lang w:val="es-ES"/>
        </w:rPr>
      </w:pPr>
    </w:p>
    <w:p w14:paraId="4C94A85B" w14:textId="77777777" w:rsidR="00705B17" w:rsidRPr="00925BAB" w:rsidRDefault="00705B17" w:rsidP="00705B17">
      <w:pPr>
        <w:spacing w:after="0"/>
        <w:rPr>
          <w:rFonts w:ascii="Verdana" w:hAnsi="Verdana"/>
        </w:rPr>
      </w:pPr>
    </w:p>
    <w:p w14:paraId="7E0B97ED" w14:textId="77777777" w:rsidR="00705B17" w:rsidRPr="00925BAB" w:rsidRDefault="00705B17" w:rsidP="00705B17">
      <w:pPr>
        <w:spacing w:after="0"/>
        <w:rPr>
          <w:rFonts w:ascii="Verdana" w:hAnsi="Verdana"/>
        </w:rPr>
      </w:pPr>
    </w:p>
    <w:p w14:paraId="1DD05C61" w14:textId="77777777" w:rsidR="00705B17" w:rsidRDefault="00705B17" w:rsidP="00705B17">
      <w:pPr>
        <w:spacing w:after="0" w:line="240" w:lineRule="auto"/>
        <w:jc w:val="both"/>
        <w:rPr>
          <w:rFonts w:ascii="Verdana" w:eastAsia="Aptos" w:hAnsi="Verdana" w:cs="Times New Roman"/>
          <w:sz w:val="20"/>
          <w:szCs w:val="20"/>
        </w:rPr>
      </w:pPr>
    </w:p>
    <w:p w14:paraId="5D74C3B0" w14:textId="77777777" w:rsidR="00705B17" w:rsidRDefault="00705B17" w:rsidP="00705B17">
      <w:pPr>
        <w:spacing w:after="0" w:line="240" w:lineRule="auto"/>
        <w:jc w:val="both"/>
        <w:rPr>
          <w:rFonts w:ascii="Verdana" w:eastAsia="Aptos" w:hAnsi="Verdana" w:cs="Times New Roman"/>
          <w:sz w:val="20"/>
          <w:szCs w:val="20"/>
        </w:rPr>
      </w:pPr>
    </w:p>
    <w:p w14:paraId="63841798" w14:textId="77777777" w:rsidR="00705B17" w:rsidRDefault="00705B17" w:rsidP="00705B17">
      <w:pPr>
        <w:spacing w:after="0" w:line="240" w:lineRule="auto"/>
        <w:jc w:val="both"/>
        <w:rPr>
          <w:rFonts w:ascii="Verdana" w:eastAsia="Aptos" w:hAnsi="Verdana" w:cs="Times New Roman"/>
          <w:sz w:val="20"/>
          <w:szCs w:val="20"/>
        </w:rPr>
      </w:pPr>
    </w:p>
    <w:p w14:paraId="5D8A0832" w14:textId="77777777" w:rsidR="00705B17" w:rsidRPr="00B23BA1" w:rsidRDefault="00705B17" w:rsidP="00705B17">
      <w:pPr>
        <w:spacing w:after="0" w:line="240" w:lineRule="auto"/>
        <w:jc w:val="both"/>
        <w:rPr>
          <w:rFonts w:ascii="Verdana" w:eastAsia="Aptos" w:hAnsi="Verdana" w:cs="Times New Roman"/>
          <w:sz w:val="20"/>
          <w:szCs w:val="20"/>
        </w:rPr>
      </w:pPr>
    </w:p>
    <w:p w14:paraId="1369482C" w14:textId="77777777" w:rsidR="00705B17" w:rsidRDefault="00705B17" w:rsidP="00705B17">
      <w:pPr>
        <w:spacing w:after="0" w:line="240" w:lineRule="auto"/>
        <w:jc w:val="both"/>
        <w:rPr>
          <w:rFonts w:ascii="Verdana" w:eastAsia="Aptos" w:hAnsi="Verdana" w:cs="Times New Roman"/>
          <w:sz w:val="20"/>
          <w:szCs w:val="20"/>
        </w:rPr>
      </w:pPr>
    </w:p>
    <w:p w14:paraId="490289F0" w14:textId="77777777" w:rsidR="00705B17" w:rsidRDefault="00705B17" w:rsidP="00705B17">
      <w:pPr>
        <w:spacing w:after="0" w:line="240" w:lineRule="auto"/>
        <w:jc w:val="both"/>
        <w:rPr>
          <w:rFonts w:ascii="Verdana" w:eastAsia="Aptos" w:hAnsi="Verdana" w:cs="Times New Roman"/>
          <w:sz w:val="20"/>
          <w:szCs w:val="20"/>
        </w:rPr>
      </w:pPr>
    </w:p>
    <w:p w14:paraId="0172A0BF" w14:textId="77777777" w:rsidR="00705B17" w:rsidRDefault="00705B17" w:rsidP="00705B17">
      <w:pPr>
        <w:spacing w:after="0" w:line="240" w:lineRule="auto"/>
        <w:jc w:val="both"/>
        <w:rPr>
          <w:rFonts w:ascii="Verdana" w:eastAsia="Aptos" w:hAnsi="Verdana" w:cs="Times New Roman"/>
          <w:sz w:val="20"/>
          <w:szCs w:val="20"/>
        </w:rPr>
      </w:pPr>
    </w:p>
    <w:p w14:paraId="258D69B9" w14:textId="77777777" w:rsidR="00705B17" w:rsidRDefault="00705B17" w:rsidP="00705B17">
      <w:pPr>
        <w:spacing w:after="0" w:line="240" w:lineRule="auto"/>
        <w:jc w:val="both"/>
        <w:rPr>
          <w:rFonts w:ascii="Verdana" w:eastAsia="Aptos" w:hAnsi="Verdana" w:cs="Times New Roman"/>
          <w:sz w:val="20"/>
          <w:szCs w:val="20"/>
        </w:rPr>
      </w:pPr>
    </w:p>
    <w:p w14:paraId="3D1DA9BD" w14:textId="77777777" w:rsidR="00705B17" w:rsidRDefault="00705B17" w:rsidP="00705B17">
      <w:pPr>
        <w:spacing w:after="0" w:line="240" w:lineRule="auto"/>
        <w:jc w:val="both"/>
        <w:rPr>
          <w:rFonts w:ascii="Verdana" w:eastAsia="Aptos" w:hAnsi="Verdana" w:cs="Times New Roman"/>
          <w:sz w:val="20"/>
          <w:szCs w:val="20"/>
        </w:rPr>
      </w:pPr>
    </w:p>
    <w:p w14:paraId="36057A3C" w14:textId="77777777" w:rsidR="00705B17" w:rsidRDefault="00705B17" w:rsidP="00705B17">
      <w:pPr>
        <w:spacing w:after="0" w:line="240" w:lineRule="auto"/>
        <w:jc w:val="both"/>
        <w:rPr>
          <w:rFonts w:ascii="Verdana" w:eastAsia="Aptos" w:hAnsi="Verdana" w:cs="Times New Roman"/>
          <w:sz w:val="20"/>
          <w:szCs w:val="20"/>
        </w:rPr>
      </w:pPr>
    </w:p>
    <w:p w14:paraId="0B2F255E" w14:textId="77777777" w:rsidR="00705B17" w:rsidRDefault="00705B17" w:rsidP="00705B17">
      <w:pPr>
        <w:spacing w:after="0" w:line="240" w:lineRule="auto"/>
        <w:jc w:val="both"/>
        <w:rPr>
          <w:rFonts w:ascii="Verdana" w:eastAsia="Aptos" w:hAnsi="Verdana" w:cs="Times New Roman"/>
          <w:sz w:val="20"/>
          <w:szCs w:val="20"/>
        </w:rPr>
      </w:pPr>
    </w:p>
    <w:p w14:paraId="2AB94B43" w14:textId="77777777" w:rsidR="00705B17" w:rsidRDefault="00705B17" w:rsidP="00705B17">
      <w:pPr>
        <w:spacing w:after="0" w:line="240" w:lineRule="auto"/>
        <w:jc w:val="both"/>
        <w:rPr>
          <w:rFonts w:ascii="Verdana" w:eastAsia="Aptos" w:hAnsi="Verdana" w:cs="Times New Roman"/>
          <w:sz w:val="20"/>
          <w:szCs w:val="20"/>
        </w:rPr>
      </w:pPr>
    </w:p>
    <w:p w14:paraId="21890117" w14:textId="77777777" w:rsidR="00705B17" w:rsidRDefault="00705B17" w:rsidP="00705B17">
      <w:pPr>
        <w:spacing w:after="0" w:line="240" w:lineRule="auto"/>
        <w:jc w:val="both"/>
        <w:rPr>
          <w:rFonts w:ascii="Verdana" w:eastAsia="Aptos" w:hAnsi="Verdana" w:cs="Times New Roman"/>
          <w:sz w:val="20"/>
          <w:szCs w:val="20"/>
        </w:rPr>
      </w:pPr>
    </w:p>
    <w:p w14:paraId="1FFB883A" w14:textId="77777777" w:rsidR="00705B17" w:rsidRDefault="00705B17" w:rsidP="00705B17">
      <w:pPr>
        <w:spacing w:after="0" w:line="240" w:lineRule="auto"/>
        <w:jc w:val="both"/>
        <w:rPr>
          <w:rFonts w:ascii="Verdana" w:eastAsia="Aptos" w:hAnsi="Verdana" w:cs="Times New Roman"/>
          <w:sz w:val="20"/>
          <w:szCs w:val="20"/>
        </w:rPr>
      </w:pPr>
    </w:p>
    <w:p w14:paraId="0FA5EDBE" w14:textId="77777777" w:rsidR="00705B17" w:rsidRDefault="00705B17" w:rsidP="00705B17">
      <w:pPr>
        <w:spacing w:after="0" w:line="240" w:lineRule="auto"/>
        <w:jc w:val="both"/>
        <w:rPr>
          <w:rFonts w:ascii="Verdana" w:eastAsia="Aptos" w:hAnsi="Verdana" w:cs="Times New Roman"/>
          <w:sz w:val="20"/>
          <w:szCs w:val="20"/>
        </w:rPr>
      </w:pPr>
    </w:p>
    <w:p w14:paraId="6B9E4F3D" w14:textId="77777777" w:rsidR="00705B17" w:rsidRDefault="00705B17" w:rsidP="00705B17">
      <w:pPr>
        <w:spacing w:after="0" w:line="240" w:lineRule="auto"/>
        <w:jc w:val="both"/>
        <w:rPr>
          <w:rFonts w:ascii="Verdana" w:eastAsia="Aptos" w:hAnsi="Verdana" w:cs="Times New Roman"/>
          <w:sz w:val="20"/>
          <w:szCs w:val="20"/>
        </w:rPr>
      </w:pPr>
    </w:p>
    <w:p w14:paraId="3352C05C" w14:textId="77777777" w:rsidR="00705B17" w:rsidRDefault="00705B17" w:rsidP="00705B17">
      <w:pPr>
        <w:spacing w:after="0" w:line="240" w:lineRule="auto"/>
        <w:jc w:val="both"/>
        <w:rPr>
          <w:rFonts w:ascii="Verdana" w:eastAsia="Aptos" w:hAnsi="Verdana" w:cs="Times New Roman"/>
          <w:sz w:val="20"/>
          <w:szCs w:val="20"/>
        </w:rPr>
      </w:pPr>
    </w:p>
    <w:p w14:paraId="08AA642A" w14:textId="77777777" w:rsidR="00705B17" w:rsidRDefault="00705B17" w:rsidP="00705B17">
      <w:pPr>
        <w:spacing w:after="0" w:line="240" w:lineRule="auto"/>
        <w:jc w:val="both"/>
        <w:rPr>
          <w:rFonts w:ascii="Verdana" w:eastAsia="Aptos" w:hAnsi="Verdana" w:cs="Times New Roman"/>
          <w:sz w:val="20"/>
          <w:szCs w:val="20"/>
        </w:rPr>
      </w:pPr>
    </w:p>
    <w:p w14:paraId="0BD15177" w14:textId="77777777" w:rsidR="00705B17" w:rsidRDefault="00705B17" w:rsidP="00705B17">
      <w:pPr>
        <w:spacing w:after="0" w:line="240" w:lineRule="auto"/>
        <w:jc w:val="both"/>
        <w:rPr>
          <w:rFonts w:ascii="Verdana" w:eastAsia="Aptos" w:hAnsi="Verdana" w:cs="Times New Roman"/>
          <w:sz w:val="20"/>
          <w:szCs w:val="20"/>
        </w:rPr>
      </w:pPr>
    </w:p>
    <w:p w14:paraId="782EEA2A" w14:textId="77777777" w:rsidR="00705B17" w:rsidRDefault="00705B17" w:rsidP="00705B17">
      <w:pPr>
        <w:spacing w:after="0" w:line="240" w:lineRule="auto"/>
        <w:jc w:val="both"/>
        <w:rPr>
          <w:rFonts w:ascii="Verdana" w:eastAsia="Aptos" w:hAnsi="Verdana" w:cs="Times New Roman"/>
          <w:sz w:val="20"/>
          <w:szCs w:val="20"/>
        </w:rPr>
      </w:pPr>
    </w:p>
    <w:p w14:paraId="3ADA4658" w14:textId="77777777" w:rsidR="00705B17" w:rsidRDefault="00705B17" w:rsidP="00705B17">
      <w:pPr>
        <w:spacing w:after="0" w:line="240" w:lineRule="auto"/>
        <w:jc w:val="both"/>
        <w:rPr>
          <w:rFonts w:ascii="Verdana" w:eastAsia="Aptos" w:hAnsi="Verdana" w:cs="Times New Roman"/>
          <w:sz w:val="20"/>
          <w:szCs w:val="20"/>
        </w:rPr>
      </w:pPr>
    </w:p>
    <w:p w14:paraId="62C965D3" w14:textId="77777777" w:rsidR="00705B17" w:rsidRDefault="00705B17" w:rsidP="00705B17">
      <w:pPr>
        <w:spacing w:after="0" w:line="240" w:lineRule="auto"/>
        <w:jc w:val="both"/>
        <w:rPr>
          <w:rFonts w:ascii="Verdana" w:eastAsia="Aptos" w:hAnsi="Verdana" w:cs="Times New Roman"/>
          <w:sz w:val="20"/>
          <w:szCs w:val="20"/>
        </w:rPr>
      </w:pPr>
    </w:p>
    <w:p w14:paraId="635430E8" w14:textId="77777777" w:rsidR="00705B17" w:rsidRDefault="00705B17" w:rsidP="00705B17">
      <w:pPr>
        <w:spacing w:after="0" w:line="240" w:lineRule="auto"/>
        <w:jc w:val="both"/>
        <w:rPr>
          <w:rFonts w:ascii="Verdana" w:eastAsia="Aptos" w:hAnsi="Verdana" w:cs="Times New Roman"/>
          <w:sz w:val="20"/>
          <w:szCs w:val="20"/>
        </w:rPr>
      </w:pPr>
    </w:p>
    <w:p w14:paraId="7A0FCADC" w14:textId="77777777" w:rsidR="00122703" w:rsidRDefault="00122703" w:rsidP="00705B17">
      <w:pPr>
        <w:spacing w:after="0" w:line="240" w:lineRule="auto"/>
        <w:jc w:val="both"/>
        <w:rPr>
          <w:rFonts w:ascii="Verdana" w:eastAsia="Aptos" w:hAnsi="Verdana" w:cs="Times New Roman"/>
          <w:sz w:val="20"/>
          <w:szCs w:val="20"/>
        </w:rPr>
      </w:pPr>
    </w:p>
    <w:p w14:paraId="01057BFF" w14:textId="77777777" w:rsidR="00122703" w:rsidRDefault="00122703" w:rsidP="00705B17">
      <w:pPr>
        <w:spacing w:after="0" w:line="240" w:lineRule="auto"/>
        <w:jc w:val="both"/>
        <w:rPr>
          <w:rFonts w:ascii="Verdana" w:eastAsia="Aptos" w:hAnsi="Verdana" w:cs="Times New Roman"/>
          <w:sz w:val="20"/>
          <w:szCs w:val="20"/>
        </w:rPr>
      </w:pPr>
    </w:p>
    <w:p w14:paraId="28186E57" w14:textId="77777777" w:rsidR="00122703" w:rsidRDefault="00122703" w:rsidP="00705B17">
      <w:pPr>
        <w:spacing w:after="0" w:line="240" w:lineRule="auto"/>
        <w:jc w:val="both"/>
        <w:rPr>
          <w:rFonts w:ascii="Verdana" w:eastAsia="Aptos" w:hAnsi="Verdana" w:cs="Times New Roman"/>
          <w:sz w:val="20"/>
          <w:szCs w:val="20"/>
        </w:rPr>
      </w:pPr>
    </w:p>
    <w:p w14:paraId="60C705A8" w14:textId="77777777" w:rsidR="00122703" w:rsidRDefault="00122703" w:rsidP="00705B17">
      <w:pPr>
        <w:spacing w:after="0" w:line="240" w:lineRule="auto"/>
        <w:jc w:val="both"/>
        <w:rPr>
          <w:rFonts w:ascii="Verdana" w:eastAsia="Aptos" w:hAnsi="Verdana" w:cs="Times New Roman"/>
          <w:sz w:val="20"/>
          <w:szCs w:val="20"/>
        </w:rPr>
      </w:pPr>
    </w:p>
    <w:p w14:paraId="427A5BD2" w14:textId="77777777" w:rsidR="00122703" w:rsidRDefault="00122703" w:rsidP="00705B17">
      <w:pPr>
        <w:spacing w:after="0" w:line="240" w:lineRule="auto"/>
        <w:jc w:val="both"/>
        <w:rPr>
          <w:rFonts w:ascii="Verdana" w:eastAsia="Aptos" w:hAnsi="Verdana" w:cs="Times New Roman"/>
          <w:sz w:val="20"/>
          <w:szCs w:val="20"/>
        </w:rPr>
      </w:pPr>
    </w:p>
    <w:p w14:paraId="7D0AA477" w14:textId="77777777" w:rsidR="00122703" w:rsidRDefault="00122703" w:rsidP="00705B17">
      <w:pPr>
        <w:spacing w:after="0" w:line="240" w:lineRule="auto"/>
        <w:jc w:val="both"/>
        <w:rPr>
          <w:rFonts w:ascii="Verdana" w:eastAsia="Aptos" w:hAnsi="Verdana" w:cs="Times New Roman"/>
          <w:sz w:val="20"/>
          <w:szCs w:val="20"/>
        </w:rPr>
      </w:pPr>
    </w:p>
    <w:p w14:paraId="2FE52BA5" w14:textId="77777777" w:rsidR="00705B17" w:rsidRDefault="00705B17" w:rsidP="00705B17">
      <w:pPr>
        <w:spacing w:after="0" w:line="240" w:lineRule="auto"/>
        <w:jc w:val="both"/>
        <w:rPr>
          <w:rFonts w:ascii="Verdana" w:eastAsia="Aptos" w:hAnsi="Verdana" w:cs="Times New Roman"/>
          <w:sz w:val="20"/>
          <w:szCs w:val="20"/>
        </w:rPr>
      </w:pPr>
    </w:p>
    <w:p w14:paraId="05C819FC" w14:textId="77777777" w:rsidR="00705B17" w:rsidRDefault="00705B17" w:rsidP="00705B17">
      <w:pPr>
        <w:spacing w:after="0" w:line="240" w:lineRule="auto"/>
        <w:jc w:val="both"/>
        <w:rPr>
          <w:rFonts w:ascii="Verdana" w:eastAsia="Aptos" w:hAnsi="Verdana" w:cs="Times New Roman"/>
          <w:sz w:val="20"/>
          <w:szCs w:val="20"/>
        </w:rPr>
      </w:pPr>
    </w:p>
    <w:p w14:paraId="68997F22" w14:textId="77777777" w:rsidR="00705B17" w:rsidRDefault="00705B17" w:rsidP="00705B17">
      <w:pPr>
        <w:spacing w:after="0" w:line="240" w:lineRule="auto"/>
        <w:jc w:val="both"/>
        <w:rPr>
          <w:rFonts w:ascii="Verdana" w:eastAsia="Aptos" w:hAnsi="Verdana" w:cs="Times New Roman"/>
          <w:sz w:val="20"/>
          <w:szCs w:val="20"/>
        </w:rPr>
      </w:pPr>
    </w:p>
    <w:p w14:paraId="63AF2A18" w14:textId="77777777" w:rsidR="00705B17" w:rsidRDefault="00705B17" w:rsidP="00705B17">
      <w:pPr>
        <w:spacing w:after="0" w:line="240" w:lineRule="auto"/>
        <w:jc w:val="both"/>
        <w:rPr>
          <w:rFonts w:ascii="Verdana" w:eastAsia="Aptos" w:hAnsi="Verdana" w:cs="Times New Roman"/>
          <w:sz w:val="20"/>
          <w:szCs w:val="20"/>
        </w:rPr>
      </w:pPr>
    </w:p>
    <w:p w14:paraId="51EEC664" w14:textId="77777777" w:rsidR="00705B17" w:rsidRDefault="00705B17" w:rsidP="00705B17">
      <w:pPr>
        <w:spacing w:after="0" w:line="240" w:lineRule="auto"/>
        <w:jc w:val="both"/>
        <w:rPr>
          <w:rFonts w:ascii="Verdana" w:eastAsia="Aptos" w:hAnsi="Verdana" w:cs="Times New Roman"/>
          <w:sz w:val="20"/>
          <w:szCs w:val="20"/>
        </w:rPr>
      </w:pPr>
    </w:p>
    <w:p w14:paraId="503DC4D7" w14:textId="77777777" w:rsidR="00705B17" w:rsidRDefault="00705B17" w:rsidP="00705B17"/>
    <w:p w14:paraId="6CB55620" w14:textId="26F5E14B" w:rsidR="00705B17" w:rsidRDefault="00705B17" w:rsidP="00705B17">
      <w:pPr>
        <w:spacing w:after="0" w:line="240" w:lineRule="auto"/>
        <w:rPr>
          <w:rFonts w:ascii="Verdana" w:hAnsi="Verdana"/>
        </w:rPr>
      </w:pPr>
      <w:bookmarkStart w:id="0" w:name="_Hlk181166130"/>
      <w:r>
        <w:rPr>
          <w:rFonts w:ascii="Verdana" w:hAnsi="Verdana"/>
        </w:rPr>
        <w:t>B</w:t>
      </w:r>
      <w:r w:rsidRPr="0044528D">
        <w:rPr>
          <w:rFonts w:ascii="Verdana" w:hAnsi="Verdana"/>
        </w:rPr>
        <w:t xml:space="preserve">ogotá D.C., </w:t>
      </w:r>
      <w:r w:rsidR="00BD5C5A">
        <w:rPr>
          <w:rFonts w:ascii="Verdana" w:hAnsi="Verdana"/>
        </w:rPr>
        <w:t>16</w:t>
      </w:r>
      <w:r>
        <w:rPr>
          <w:rFonts w:ascii="Verdana" w:hAnsi="Verdana"/>
        </w:rPr>
        <w:t xml:space="preserve"> de </w:t>
      </w:r>
      <w:r w:rsidR="00BD5C5A">
        <w:rPr>
          <w:rFonts w:ascii="Verdana" w:hAnsi="Verdana"/>
        </w:rPr>
        <w:t>septiembre</w:t>
      </w:r>
      <w:r>
        <w:rPr>
          <w:rFonts w:ascii="Verdana" w:hAnsi="Verdana"/>
        </w:rPr>
        <w:t xml:space="preserve"> de </w:t>
      </w:r>
      <w:r w:rsidR="00BD5C5A">
        <w:rPr>
          <w:rFonts w:ascii="Verdana" w:hAnsi="Verdana"/>
        </w:rPr>
        <w:t>2025</w:t>
      </w:r>
      <w:r>
        <w:rPr>
          <w:rFonts w:ascii="Verdana" w:hAnsi="Verdana"/>
        </w:rPr>
        <w:t>.</w:t>
      </w:r>
    </w:p>
    <w:bookmarkEnd w:id="0"/>
    <w:p w14:paraId="03B60AA8" w14:textId="77777777" w:rsidR="00705B17" w:rsidRDefault="00705B17" w:rsidP="00705B17">
      <w:pPr>
        <w:spacing w:after="0" w:line="240" w:lineRule="auto"/>
        <w:rPr>
          <w:rFonts w:ascii="Verdana" w:hAnsi="Verdana"/>
        </w:rPr>
      </w:pPr>
    </w:p>
    <w:p w14:paraId="79C37A69" w14:textId="245AEE7D" w:rsidR="00705B17" w:rsidRDefault="00BD5C5A" w:rsidP="00705B17">
      <w:pPr>
        <w:spacing w:after="0" w:line="240" w:lineRule="auto"/>
        <w:jc w:val="right"/>
        <w:rPr>
          <w:rFonts w:ascii="Verdana" w:hAnsi="Verdana"/>
        </w:rPr>
      </w:pPr>
      <w:r>
        <w:rPr>
          <w:rFonts w:ascii="Verdana" w:hAnsi="Verdana"/>
          <w:noProof/>
        </w:rPr>
        <w:drawing>
          <wp:inline distT="0" distB="0" distL="0" distR="0" wp14:anchorId="10A9EE70" wp14:editId="69595D3D">
            <wp:extent cx="2790825" cy="657225"/>
            <wp:effectExtent l="0" t="0" r="9525" b="9525"/>
            <wp:docPr id="14743621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0825" cy="657225"/>
                    </a:xfrm>
                    <a:prstGeom prst="rect">
                      <a:avLst/>
                    </a:prstGeom>
                    <a:noFill/>
                    <a:ln>
                      <a:noFill/>
                    </a:ln>
                  </pic:spPr>
                </pic:pic>
              </a:graphicData>
            </a:graphic>
          </wp:inline>
        </w:drawing>
      </w:r>
    </w:p>
    <w:p w14:paraId="5B3C14DD" w14:textId="77777777" w:rsidR="00705B17" w:rsidRDefault="00705B17" w:rsidP="00705B17">
      <w:pPr>
        <w:spacing w:after="0" w:line="240" w:lineRule="auto"/>
        <w:rPr>
          <w:rFonts w:ascii="Verdana" w:hAnsi="Verdana"/>
        </w:rPr>
      </w:pPr>
    </w:p>
    <w:p w14:paraId="2AF952E7" w14:textId="77777777" w:rsidR="00705B17" w:rsidRPr="00631045" w:rsidRDefault="00705B17" w:rsidP="00705B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9EE41FC" w14:textId="77777777" w:rsidR="00705B17" w:rsidRDefault="00705B17" w:rsidP="00705B17">
      <w:pPr>
        <w:spacing w:after="0" w:line="240" w:lineRule="auto"/>
        <w:rPr>
          <w:rFonts w:ascii="Verdana" w:eastAsia="Calibri" w:hAnsi="Verdana" w:cs="Arial"/>
          <w:b/>
          <w:bCs/>
          <w:lang w:eastAsia="es-ES"/>
        </w:rPr>
      </w:pPr>
      <w:r w:rsidRPr="006268DD">
        <w:rPr>
          <w:rFonts w:ascii="Verdana" w:eastAsia="Calibri" w:hAnsi="Verdana" w:cs="Arial"/>
          <w:b/>
          <w:bCs/>
          <w:lang w:eastAsia="es-ES"/>
        </w:rPr>
        <w:t>J</w:t>
      </w:r>
      <w:r>
        <w:rPr>
          <w:rFonts w:ascii="Verdana" w:eastAsia="Calibri" w:hAnsi="Verdana" w:cs="Arial"/>
          <w:b/>
          <w:bCs/>
          <w:lang w:eastAsia="es-ES"/>
        </w:rPr>
        <w:t>ULIO CESAR BARRERA SIERRA</w:t>
      </w:r>
    </w:p>
    <w:p w14:paraId="046620C4" w14:textId="77777777" w:rsidR="00705B17" w:rsidRPr="0005444B" w:rsidRDefault="00705B17" w:rsidP="00705B17">
      <w:pPr>
        <w:spacing w:after="0" w:line="240" w:lineRule="auto"/>
        <w:rPr>
          <w:rFonts w:ascii="Verdana" w:eastAsia="Calibri" w:hAnsi="Verdana" w:cs="Arial"/>
          <w:b/>
          <w:bCs/>
          <w:lang w:eastAsia="es-ES"/>
        </w:rPr>
      </w:pPr>
      <w:hyperlink r:id="rId11" w:history="1">
        <w:r w:rsidRPr="00E40231">
          <w:rPr>
            <w:rStyle w:val="Hipervnculo"/>
            <w:rFonts w:ascii="Verdana" w:hAnsi="Verdana"/>
          </w:rPr>
          <w:t>juliosantoto@hotmail.com</w:t>
        </w:r>
      </w:hyperlink>
      <w:r>
        <w:rPr>
          <w:rFonts w:ascii="Verdana" w:hAnsi="Verdana"/>
        </w:rPr>
        <w:t xml:space="preserve"> </w:t>
      </w:r>
    </w:p>
    <w:p w14:paraId="5D03A5DD" w14:textId="77777777" w:rsidR="00705B17" w:rsidRDefault="00705B17" w:rsidP="00705B17">
      <w:pPr>
        <w:spacing w:after="0" w:line="240" w:lineRule="auto"/>
        <w:rPr>
          <w:rFonts w:ascii="Verdana" w:hAnsi="Verdana"/>
        </w:rPr>
      </w:pPr>
      <w:r>
        <w:rPr>
          <w:rFonts w:ascii="Verdana" w:hAnsi="Verdana"/>
        </w:rPr>
        <w:t>Sogamoso (Boyacá)</w:t>
      </w:r>
    </w:p>
    <w:p w14:paraId="6FFF04FF" w14:textId="77777777" w:rsidR="00705B17" w:rsidRPr="00FE3DEC" w:rsidRDefault="00705B17" w:rsidP="00705B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705B17" w:rsidRPr="00593A5F" w14:paraId="51824ADF" w14:textId="77777777" w:rsidTr="002B73C0">
        <w:trPr>
          <w:trHeight w:val="273"/>
        </w:trPr>
        <w:tc>
          <w:tcPr>
            <w:tcW w:w="2295" w:type="dxa"/>
          </w:tcPr>
          <w:p w14:paraId="256F9231" w14:textId="77777777" w:rsidR="00705B17" w:rsidRPr="00E5644F" w:rsidRDefault="00705B17" w:rsidP="002B73C0">
            <w:pPr>
              <w:jc w:val="both"/>
              <w:rPr>
                <w:rFonts w:ascii="Verdana" w:eastAsia="Calibri" w:hAnsi="Verdana" w:cs="Arial"/>
                <w:b/>
                <w:bCs/>
                <w:color w:val="7030A0"/>
                <w:lang w:val="es-ES_tradnl" w:eastAsia="es-ES_tradnl"/>
              </w:rPr>
            </w:pPr>
          </w:p>
        </w:tc>
        <w:tc>
          <w:tcPr>
            <w:tcW w:w="6481" w:type="dxa"/>
            <w:gridSpan w:val="2"/>
          </w:tcPr>
          <w:p w14:paraId="4448167A" w14:textId="77777777" w:rsidR="00705B17" w:rsidRDefault="00705B17" w:rsidP="002B73C0">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1083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C931466" w14:textId="77777777" w:rsidR="00705B17" w:rsidRPr="00E5644F" w:rsidRDefault="00705B17" w:rsidP="002B73C0">
            <w:pPr>
              <w:jc w:val="both"/>
              <w:rPr>
                <w:rFonts w:ascii="Verdana" w:eastAsia="Calibri" w:hAnsi="Verdana" w:cs="Arial"/>
                <w:b/>
                <w:bCs/>
                <w:color w:val="7030A0"/>
                <w:lang w:val="es-ES" w:eastAsia="es-ES"/>
              </w:rPr>
            </w:pPr>
          </w:p>
        </w:tc>
      </w:tr>
      <w:tr w:rsidR="00122703" w:rsidRPr="00280D79" w14:paraId="3B55CEA7" w14:textId="77777777" w:rsidTr="002B73C0">
        <w:trPr>
          <w:trHeight w:val="1583"/>
        </w:trPr>
        <w:tc>
          <w:tcPr>
            <w:tcW w:w="2295" w:type="dxa"/>
          </w:tcPr>
          <w:p w14:paraId="0E7F213C" w14:textId="77777777" w:rsidR="00122703" w:rsidRPr="00593A5F" w:rsidRDefault="00122703" w:rsidP="0012270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054AB7B5" w14:textId="77777777" w:rsidR="00122703" w:rsidRPr="0060163E" w:rsidRDefault="00122703" w:rsidP="00122703">
            <w:pPr>
              <w:jc w:val="both"/>
              <w:rPr>
                <w:rFonts w:ascii="Verdana" w:hAnsi="Verdana" w:cs="Arial"/>
                <w:lang w:val="es-ES_tradnl"/>
              </w:rPr>
            </w:pPr>
            <w:r w:rsidRPr="0060163E">
              <w:rPr>
                <w:rFonts w:ascii="Verdana" w:hAnsi="Verdana" w:cs="Arial"/>
                <w:lang w:val="es-MX"/>
              </w:rPr>
              <w:t xml:space="preserve">INHABILIDADES ─ Definición ─ Finalidad ─ Limitación capacidad contractual </w:t>
            </w:r>
            <w:r w:rsidRPr="0060163E">
              <w:rPr>
                <w:rFonts w:ascii="Verdana" w:hAnsi="Verdana" w:cs="Arial"/>
                <w:lang w:val="es-ES_tradnl"/>
              </w:rPr>
              <w:t>/ INHABILIDADES – Taxatividad – Principio de legalidad – Interpretación restrictiva</w:t>
            </w:r>
            <w:r w:rsidRPr="0060163E" w:rsidDel="00A75E55">
              <w:rPr>
                <w:rFonts w:ascii="Verdana" w:hAnsi="Verdana" w:cs="Arial"/>
                <w:lang w:val="es-ES_tradnl"/>
              </w:rPr>
              <w:t xml:space="preserve"> </w:t>
            </w:r>
            <w:r w:rsidRPr="0060163E">
              <w:rPr>
                <w:rFonts w:ascii="Verdana" w:hAnsi="Verdana" w:cs="Arial"/>
                <w:lang w:val="es-ES_tradnl"/>
              </w:rPr>
              <w:t xml:space="preserve">/ INHABILIDADES E INCOMPATIBILIDADES – Ley 80 de 1993 – </w:t>
            </w:r>
            <w:r>
              <w:rPr>
                <w:rFonts w:ascii="Verdana" w:hAnsi="Verdana" w:cs="Arial"/>
                <w:lang w:val="es-ES_tradnl"/>
              </w:rPr>
              <w:t xml:space="preserve">PROHIBICIONES / </w:t>
            </w:r>
            <w:r w:rsidRPr="0060163E">
              <w:rPr>
                <w:rFonts w:ascii="Verdana" w:hAnsi="Verdana" w:cs="Arial"/>
                <w:lang w:val="es-ES_tradnl"/>
              </w:rPr>
              <w:t xml:space="preserve">Ley 617 de 2000 – Norma especial / LEY 617 DE 2000 – Contratación directa e indirecta – </w:t>
            </w:r>
            <w:r>
              <w:rPr>
                <w:rFonts w:ascii="Verdana" w:hAnsi="Verdana" w:cs="Arial"/>
                <w:lang w:val="es-ES_tradnl"/>
              </w:rPr>
              <w:t>I</w:t>
            </w:r>
            <w:r w:rsidRPr="0060163E">
              <w:rPr>
                <w:rFonts w:ascii="Verdana" w:hAnsi="Verdana" w:cs="Arial"/>
                <w:lang w:val="es-ES_tradnl"/>
              </w:rPr>
              <w:t xml:space="preserve">nciso tercero del artículo 49 – Alcance </w:t>
            </w:r>
          </w:p>
          <w:p w14:paraId="075DFA3E" w14:textId="77777777" w:rsidR="00122703" w:rsidRPr="00280D79" w:rsidRDefault="00122703" w:rsidP="00122703">
            <w:pPr>
              <w:jc w:val="both"/>
              <w:rPr>
                <w:rFonts w:ascii="Verdana" w:eastAsia="Calibri" w:hAnsi="Verdana" w:cs="Arial"/>
                <w:b/>
                <w:highlight w:val="yellow"/>
                <w:lang w:val="es-ES" w:eastAsia="es-ES"/>
              </w:rPr>
            </w:pPr>
          </w:p>
        </w:tc>
      </w:tr>
      <w:tr w:rsidR="00122703" w:rsidRPr="00593A5F" w14:paraId="3DFCA7F3" w14:textId="77777777" w:rsidTr="002B73C0">
        <w:trPr>
          <w:trHeight w:val="545"/>
        </w:trPr>
        <w:tc>
          <w:tcPr>
            <w:tcW w:w="2295" w:type="dxa"/>
          </w:tcPr>
          <w:p w14:paraId="65E5A3FF" w14:textId="77777777" w:rsidR="00122703" w:rsidRPr="006730E9" w:rsidRDefault="00122703" w:rsidP="00122703">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5D16AD8" w14:textId="77777777" w:rsidR="00122703" w:rsidRPr="006730E9" w:rsidRDefault="00122703" w:rsidP="00122703">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012B18">
              <w:rPr>
                <w:rFonts w:ascii="Verdana" w:eastAsia="Calibri" w:hAnsi="Verdana" w:cs="Arial"/>
                <w:lang w:val="es-ES_tradnl" w:eastAsia="es-ES_tradnl"/>
              </w:rPr>
              <w:t>1_2025_08_05_008128</w:t>
            </w:r>
          </w:p>
        </w:tc>
      </w:tr>
      <w:tr w:rsidR="00122703" w:rsidRPr="00DB23D2" w14:paraId="195CD0B1" w14:textId="77777777" w:rsidTr="002B73C0">
        <w:trPr>
          <w:gridAfter w:val="1"/>
          <w:wAfter w:w="319" w:type="dxa"/>
          <w:trHeight w:val="242"/>
        </w:trPr>
        <w:tc>
          <w:tcPr>
            <w:tcW w:w="8457" w:type="dxa"/>
            <w:gridSpan w:val="2"/>
          </w:tcPr>
          <w:p w14:paraId="20C3FA0F" w14:textId="77777777" w:rsidR="00122703" w:rsidRPr="00DB23D2" w:rsidRDefault="00122703" w:rsidP="00122703">
            <w:pPr>
              <w:spacing w:line="276" w:lineRule="auto"/>
              <w:jc w:val="both"/>
              <w:rPr>
                <w:rFonts w:ascii="Verdana" w:eastAsia="Calibri" w:hAnsi="Verdana" w:cs="Arial"/>
                <w:lang w:val="es-ES_tradnl" w:eastAsia="es-ES"/>
              </w:rPr>
            </w:pPr>
          </w:p>
        </w:tc>
      </w:tr>
    </w:tbl>
    <w:p w14:paraId="18BED578" w14:textId="77777777" w:rsidR="00705B17" w:rsidRPr="006730E9" w:rsidRDefault="00705B17" w:rsidP="00705B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Barrera;</w:t>
      </w:r>
    </w:p>
    <w:p w14:paraId="6C1014CA" w14:textId="77777777" w:rsidR="00705B17" w:rsidRDefault="00705B17" w:rsidP="00705B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FA6C10" w14:textId="77777777" w:rsidR="00705B17" w:rsidRPr="006730E9" w:rsidRDefault="00705B17" w:rsidP="00705B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trasladada por el departamento administrativo de la función pública y en esta entidad el 04 </w:t>
      </w:r>
      <w:r w:rsidRPr="00E5644F">
        <w:rPr>
          <w:rFonts w:ascii="Verdana" w:eastAsia="Calibri" w:hAnsi="Verdana" w:cs="Arial"/>
          <w:lang w:val="es-ES" w:eastAsia="es-ES"/>
        </w:rPr>
        <w:t xml:space="preserve">de </w:t>
      </w:r>
      <w:r>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5108433" w14:textId="77777777" w:rsidR="00705B17" w:rsidRPr="00326382" w:rsidRDefault="00705B17" w:rsidP="00705B17">
      <w:pPr>
        <w:spacing w:after="0" w:line="276" w:lineRule="auto"/>
        <w:ind w:left="709" w:right="474"/>
        <w:jc w:val="both"/>
        <w:rPr>
          <w:rFonts w:ascii="Verdana" w:hAnsi="Verdana" w:cs="Arial"/>
          <w:sz w:val="20"/>
          <w:szCs w:val="20"/>
          <w:shd w:val="clear" w:color="auto" w:fill="FFFFFF"/>
        </w:rPr>
      </w:pPr>
      <w:bookmarkStart w:id="1" w:name="_Hlk95313578"/>
    </w:p>
    <w:bookmarkEnd w:id="1"/>
    <w:p w14:paraId="65AC3898" w14:textId="77777777" w:rsidR="00705B17" w:rsidRPr="00EA70F7" w:rsidRDefault="00705B17" w:rsidP="00705B17">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1B041588" w14:textId="77777777" w:rsidR="00705B17" w:rsidRDefault="00705B17" w:rsidP="00705B17">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6BAD4FB" w14:textId="77777777" w:rsidR="00705B17" w:rsidRDefault="00705B17" w:rsidP="00705B17">
      <w:pPr>
        <w:tabs>
          <w:tab w:val="left" w:pos="142"/>
          <w:tab w:val="left" w:pos="567"/>
        </w:tabs>
        <w:spacing w:after="0" w:line="240" w:lineRule="auto"/>
        <w:ind w:left="709" w:right="709"/>
        <w:jc w:val="both"/>
        <w:rPr>
          <w:rFonts w:ascii="Verdana" w:eastAsia="Century Gothic" w:hAnsi="Verdana" w:cs="Century Gothic"/>
          <w:i/>
          <w:iCs/>
          <w:sz w:val="20"/>
          <w:szCs w:val="20"/>
        </w:rPr>
      </w:pPr>
      <w:r w:rsidRPr="00347D2C">
        <w:rPr>
          <w:rFonts w:ascii="Verdana" w:eastAsia="Century Gothic" w:hAnsi="Verdana" w:cs="Century Gothic"/>
          <w:i/>
          <w:iCs/>
          <w:sz w:val="20"/>
          <w:szCs w:val="20"/>
        </w:rPr>
        <w:t>Si un municipio tiene una planta</w:t>
      </w:r>
      <w:r>
        <w:rPr>
          <w:rFonts w:ascii="Verdana" w:eastAsia="Century Gothic" w:hAnsi="Verdana" w:cs="Century Gothic"/>
          <w:i/>
          <w:iCs/>
          <w:sz w:val="20"/>
          <w:szCs w:val="20"/>
        </w:rPr>
        <w:t xml:space="preserve"> </w:t>
      </w:r>
      <w:r w:rsidRPr="00347D2C">
        <w:rPr>
          <w:rFonts w:ascii="Verdana" w:eastAsia="Century Gothic" w:hAnsi="Verdana" w:cs="Century Gothic"/>
          <w:i/>
          <w:iCs/>
          <w:sz w:val="20"/>
          <w:szCs w:val="20"/>
        </w:rPr>
        <w:t>de beneficio de ganado mayor y menor, la cual saldrá a licitación pública para su administración y</w:t>
      </w:r>
      <w:r>
        <w:rPr>
          <w:rFonts w:ascii="Verdana" w:eastAsia="Century Gothic" w:hAnsi="Verdana" w:cs="Century Gothic"/>
          <w:i/>
          <w:iCs/>
          <w:sz w:val="20"/>
          <w:szCs w:val="20"/>
        </w:rPr>
        <w:t xml:space="preserve"> </w:t>
      </w:r>
      <w:r w:rsidRPr="00347D2C">
        <w:rPr>
          <w:rFonts w:ascii="Verdana" w:eastAsia="Century Gothic" w:hAnsi="Verdana" w:cs="Century Gothic"/>
          <w:i/>
          <w:iCs/>
          <w:sz w:val="20"/>
          <w:szCs w:val="20"/>
        </w:rPr>
        <w:t>operación; podrá una empresa cuyo representante legal es padre de un concejal de ese mismo</w:t>
      </w:r>
      <w:r>
        <w:rPr>
          <w:rFonts w:ascii="Verdana" w:eastAsia="Century Gothic" w:hAnsi="Verdana" w:cs="Century Gothic"/>
          <w:i/>
          <w:iCs/>
          <w:sz w:val="20"/>
          <w:szCs w:val="20"/>
        </w:rPr>
        <w:t xml:space="preserve"> </w:t>
      </w:r>
      <w:r w:rsidRPr="00347D2C">
        <w:rPr>
          <w:rFonts w:ascii="Verdana" w:eastAsia="Century Gothic" w:hAnsi="Verdana" w:cs="Century Gothic"/>
          <w:i/>
          <w:iCs/>
          <w:sz w:val="20"/>
          <w:szCs w:val="20"/>
        </w:rPr>
        <w:t>municipio, presentar oferta para que le sea adjudicado el contrato de concesión para la operación y</w:t>
      </w:r>
      <w:r>
        <w:rPr>
          <w:rFonts w:ascii="Verdana" w:eastAsia="Century Gothic" w:hAnsi="Verdana" w:cs="Century Gothic"/>
          <w:i/>
          <w:iCs/>
          <w:sz w:val="20"/>
          <w:szCs w:val="20"/>
        </w:rPr>
        <w:t xml:space="preserve"> </w:t>
      </w:r>
      <w:r w:rsidRPr="00347D2C">
        <w:rPr>
          <w:rFonts w:ascii="Verdana" w:eastAsia="Century Gothic" w:hAnsi="Verdana" w:cs="Century Gothic"/>
          <w:i/>
          <w:iCs/>
          <w:sz w:val="20"/>
          <w:szCs w:val="20"/>
        </w:rPr>
        <w:t>administración de esa planta de beneficio.</w:t>
      </w:r>
    </w:p>
    <w:p w14:paraId="48895B1A" w14:textId="77777777" w:rsidR="00705B17" w:rsidRDefault="00705B17" w:rsidP="00705B17">
      <w:pPr>
        <w:tabs>
          <w:tab w:val="left" w:pos="142"/>
          <w:tab w:val="left" w:pos="567"/>
        </w:tabs>
        <w:spacing w:after="0" w:line="240" w:lineRule="auto"/>
        <w:ind w:left="709" w:right="709"/>
        <w:jc w:val="both"/>
        <w:rPr>
          <w:rFonts w:ascii="Verdana" w:eastAsia="Century Gothic" w:hAnsi="Verdana" w:cs="Century Gothic"/>
          <w:i/>
          <w:iCs/>
          <w:sz w:val="20"/>
          <w:szCs w:val="20"/>
        </w:rPr>
      </w:pPr>
    </w:p>
    <w:p w14:paraId="5878DDF1" w14:textId="77777777" w:rsidR="00705B17" w:rsidRPr="00EA70F7" w:rsidRDefault="00705B17" w:rsidP="00705B17">
      <w:pPr>
        <w:tabs>
          <w:tab w:val="left" w:pos="142"/>
          <w:tab w:val="left" w:pos="567"/>
        </w:tabs>
        <w:spacing w:after="0" w:line="240" w:lineRule="auto"/>
        <w:ind w:left="709" w:right="709"/>
        <w:jc w:val="both"/>
        <w:rPr>
          <w:rFonts w:ascii="Verdana" w:eastAsia="Century Gothic" w:hAnsi="Verdana" w:cs="Century Gothic"/>
          <w:i/>
          <w:iCs/>
          <w:sz w:val="20"/>
          <w:szCs w:val="20"/>
        </w:rPr>
      </w:pPr>
      <w:r w:rsidRPr="00CA01D8">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2FE75D2A" w14:textId="77777777" w:rsidR="00705B17" w:rsidRDefault="00705B17" w:rsidP="00705B17">
      <w:pPr>
        <w:spacing w:after="0" w:line="276" w:lineRule="auto"/>
        <w:ind w:firstLine="709"/>
        <w:jc w:val="both"/>
        <w:rPr>
          <w:rFonts w:ascii="Verdana" w:eastAsia="Calibri" w:hAnsi="Verdana" w:cs="Arial"/>
          <w:lang w:val="es-ES" w:eastAsia="es-ES"/>
        </w:rPr>
      </w:pPr>
    </w:p>
    <w:p w14:paraId="59EDDC56" w14:textId="77777777" w:rsidR="00705B17" w:rsidRPr="00AA3B9F" w:rsidRDefault="00705B17" w:rsidP="00705B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52AC568" w14:textId="77777777" w:rsidR="00705B17" w:rsidRPr="00AA3B9F" w:rsidRDefault="00705B17" w:rsidP="00705B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4E3EB6B" w14:textId="77777777" w:rsidR="00705B17" w:rsidRDefault="00705B17" w:rsidP="00705B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6CB2A08" w14:textId="77777777" w:rsidR="00705B17" w:rsidRDefault="00705B17" w:rsidP="00705B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4B185DA8" w14:textId="77777777" w:rsidR="00705B17" w:rsidRDefault="00705B17" w:rsidP="00705B17">
      <w:pPr>
        <w:pStyle w:val="Prrafodelista"/>
        <w:tabs>
          <w:tab w:val="left" w:pos="142"/>
          <w:tab w:val="left" w:pos="284"/>
        </w:tabs>
        <w:spacing w:after="0" w:line="276" w:lineRule="auto"/>
        <w:ind w:left="0"/>
        <w:jc w:val="both"/>
        <w:rPr>
          <w:rFonts w:ascii="Verdana" w:eastAsia="Century Gothic" w:hAnsi="Verdana" w:cs="Century Gothic"/>
          <w:b/>
          <w:bCs/>
        </w:rPr>
      </w:pPr>
    </w:p>
    <w:p w14:paraId="00CDCD54" w14:textId="0E3081A2" w:rsidR="00705B17" w:rsidRDefault="00705B17" w:rsidP="00705B17">
      <w:pPr>
        <w:spacing w:after="0" w:line="276" w:lineRule="auto"/>
        <w:jc w:val="both"/>
        <w:rPr>
          <w:rFonts w:ascii="Verdana" w:eastAsia="Century Gothic" w:hAnsi="Verdana" w:cs="Century Gothic"/>
        </w:rPr>
      </w:pPr>
      <w:r w:rsidRPr="783F23A2">
        <w:rPr>
          <w:rFonts w:ascii="Verdana" w:eastAsia="Calibri" w:hAnsi="Verdana" w:cs="Arial"/>
          <w:lang w:eastAsia="es-ES"/>
        </w:rPr>
        <w:t>De acuerdo con el contenido de su solicitud, esta Agencia resolverá los siguientes problemas jurídicos:</w:t>
      </w:r>
      <w:bookmarkStart w:id="2" w:name="_Hlk196737317"/>
      <w:r w:rsidRPr="783F23A2">
        <w:rPr>
          <w:rFonts w:ascii="Verdana" w:eastAsia="Calibri" w:hAnsi="Verdana" w:cs="Arial"/>
          <w:lang w:eastAsia="es-ES"/>
        </w:rPr>
        <w:t xml:space="preserve"> </w:t>
      </w:r>
      <w:r w:rsidRPr="783F23A2">
        <w:rPr>
          <w:rFonts w:ascii="Verdana" w:eastAsia="Century Gothic" w:hAnsi="Verdana" w:cs="Century Gothic"/>
        </w:rPr>
        <w:t>¿Genera inhabilidad, incompatibilidad o conflicto de intereses en la contratación estatal el hecho de que una empresa, cuyo representante legal es padre de un concejal del municipio, presente oferta en la licitación pública adelantada por ese mismo municipio para la adjudicación de un contrato?</w:t>
      </w:r>
    </w:p>
    <w:p w14:paraId="724AB414" w14:textId="77777777" w:rsidR="00705B17" w:rsidRDefault="00705B17" w:rsidP="00705B17">
      <w:pPr>
        <w:spacing w:after="0" w:line="276" w:lineRule="auto"/>
        <w:jc w:val="both"/>
        <w:rPr>
          <w:rFonts w:ascii="Verdana" w:eastAsia="Century Gothic" w:hAnsi="Verdana" w:cs="Century Gothic"/>
        </w:rPr>
      </w:pPr>
    </w:p>
    <w:bookmarkEnd w:id="2"/>
    <w:p w14:paraId="36EB55AF" w14:textId="77777777" w:rsidR="00705B17" w:rsidRDefault="00705B17" w:rsidP="7604435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7604435A">
        <w:rPr>
          <w:rFonts w:ascii="Verdana" w:eastAsia="Century Gothic" w:hAnsi="Verdana" w:cs="Century Gothic"/>
          <w:b/>
          <w:bCs/>
        </w:rPr>
        <w:t>Respuesta:</w:t>
      </w:r>
    </w:p>
    <w:p w14:paraId="7D42E7AC" w14:textId="77777777" w:rsidR="00705B17" w:rsidRPr="00593A5F" w:rsidRDefault="00705B17" w:rsidP="00705B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05B17" w:rsidRPr="00593A5F" w14:paraId="053D6C58" w14:textId="77777777" w:rsidTr="783F23A2">
        <w:tc>
          <w:tcPr>
            <w:tcW w:w="8828" w:type="dxa"/>
          </w:tcPr>
          <w:p w14:paraId="0ABEAE2B" w14:textId="77777777" w:rsidR="00705B17" w:rsidRPr="00A41A73" w:rsidRDefault="00705B17" w:rsidP="002B73C0">
            <w:pPr>
              <w:spacing w:after="120" w:line="276" w:lineRule="auto"/>
              <w:jc w:val="both"/>
              <w:rPr>
                <w:rFonts w:ascii="Verdana" w:eastAsia="Calibri" w:hAnsi="Verdana" w:cs="Arial"/>
              </w:rPr>
            </w:pPr>
            <w:r w:rsidRPr="60F4F7EF">
              <w:rPr>
                <w:rFonts w:ascii="Verdana" w:eastAsia="Calibri" w:hAnsi="Verdana" w:cs="Arial"/>
              </w:rPr>
              <w:t>Frente al problema jurídico planteado es preciso señalar que el régimen de inhabilidades e incompatibilidades en la contratación estatal está regulado de manera taxativa por la Constitución y la ley, con el propósito de garantizar la moralidad, transparencia, imparcialidad e idoneidad en la función pública y la gestión contractual estatal. Estas restricciones, al afectar derechos fundamentales como el de la igualdad, el debido proceso y la libertad contractual, deben ser interpretadas de forma restrictiva y con sujeción estricta al principio de legalidad.</w:t>
            </w:r>
          </w:p>
          <w:p w14:paraId="417E0C26" w14:textId="77777777" w:rsidR="00A5039E" w:rsidRDefault="00A5039E" w:rsidP="00A5039E">
            <w:pPr>
              <w:pStyle w:val="Textoindependiente"/>
              <w:spacing w:after="120" w:line="276" w:lineRule="auto"/>
              <w:ind w:firstLine="709"/>
              <w:jc w:val="both"/>
              <w:rPr>
                <w:rFonts w:ascii="Verdana" w:hAnsi="Verdana"/>
              </w:rPr>
            </w:pPr>
            <w:r w:rsidRPr="00A25C67">
              <w:rPr>
                <w:rFonts w:ascii="Verdana" w:hAnsi="Verdana"/>
              </w:rPr>
              <w:t>En relación con la inhabilidad para contratar por parentesco, la Ley 80 de 1993 en su artículo 8, establece en el literal b) del numeral 2°, que no podrán participar en procedimientos de selección ni celebrar contratos estatales con la entidad respectiva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1BA4E16D" w14:textId="77777777" w:rsidR="00A5039E" w:rsidRPr="00A25C67" w:rsidRDefault="00A5039E" w:rsidP="00A5039E">
            <w:pPr>
              <w:pStyle w:val="Textoindependiente"/>
              <w:spacing w:after="120" w:line="276" w:lineRule="auto"/>
              <w:ind w:firstLine="708"/>
              <w:jc w:val="both"/>
              <w:rPr>
                <w:rFonts w:ascii="Verdana" w:hAnsi="Verdana"/>
              </w:rPr>
            </w:pPr>
            <w:r w:rsidRPr="00A25C67">
              <w:rPr>
                <w:rFonts w:ascii="Verdana" w:hAnsi="Verdana"/>
                <w:lang w:val="es-ES_tradnl"/>
              </w:rPr>
              <w:t xml:space="preserve">Esta inhabilidad es </w:t>
            </w:r>
            <w:r>
              <w:rPr>
                <w:rFonts w:ascii="Verdana" w:hAnsi="Verdana"/>
                <w:lang w:val="es-ES_tradnl"/>
              </w:rPr>
              <w:t xml:space="preserve">la </w:t>
            </w:r>
            <w:r w:rsidRPr="00A25C67">
              <w:rPr>
                <w:rFonts w:ascii="Verdana" w:hAnsi="Verdana"/>
                <w:i/>
                <w:iCs/>
                <w:lang w:val="es-ES_tradnl"/>
              </w:rPr>
              <w:t>regla general</w:t>
            </w:r>
            <w:r w:rsidRPr="00A25C67">
              <w:rPr>
                <w:rFonts w:ascii="Verdana" w:hAnsi="Verdana"/>
                <w:lang w:val="es-ES_tradnl"/>
              </w:rPr>
              <w:t xml:space="preserve"> tanto para las entidades sometidas al EGCAP como a las del régimen exceptuado. No obstante, considerando que –conforme al artículo 8, literal a) del numeral 1, de la Ley 80 de 1993– las personas que se hallen inhabilitadas para contratar por la Constitución y las leyes no pueden participar en procedimientos de selección ni celebrar contratos, el inciso tercero del artículo 49 de la Ley 617 de 2000 –modificado por las Leyes 821 de 2003, 1148 de 2007 y 1296 de 2009– introduce una </w:t>
            </w:r>
            <w:r w:rsidRPr="00A25C67">
              <w:rPr>
                <w:rFonts w:ascii="Verdana" w:hAnsi="Verdana"/>
                <w:i/>
                <w:iCs/>
                <w:lang w:val="es-ES_tradnl"/>
              </w:rPr>
              <w:t>regla especial</w:t>
            </w:r>
            <w:r w:rsidRPr="00A25C67">
              <w:rPr>
                <w:rFonts w:ascii="Verdana" w:hAnsi="Verdana"/>
                <w:lang w:val="es-ES_tradnl"/>
              </w:rPr>
              <w:t xml:space="preserve"> que restringe la contratación de las gobernaciones, asambleas, alcaldías y concejos:</w:t>
            </w:r>
          </w:p>
          <w:p w14:paraId="1F68E159" w14:textId="77777777" w:rsidR="00A5039E" w:rsidRPr="00A25C67" w:rsidRDefault="00A5039E" w:rsidP="00A5039E">
            <w:pPr>
              <w:pStyle w:val="Textoindependiente"/>
              <w:spacing w:after="120" w:line="276" w:lineRule="auto"/>
              <w:ind w:firstLine="708"/>
              <w:jc w:val="both"/>
              <w:rPr>
                <w:rFonts w:ascii="Verdana" w:hAnsi="Verdana"/>
              </w:rPr>
            </w:pPr>
            <w:r w:rsidRPr="6894EB3A">
              <w:rPr>
                <w:rFonts w:ascii="Verdana" w:hAnsi="Verdana"/>
              </w:rPr>
              <w:t xml:space="preserve">“(…) </w:t>
            </w:r>
            <w:r w:rsidRPr="6894EB3A">
              <w:rPr>
                <w:rFonts w:ascii="Verdana" w:hAnsi="Verdana"/>
                <w:lang w:val="es-CO"/>
              </w:rPr>
              <w:t>Los cónyuges o </w:t>
            </w:r>
            <w:r w:rsidRPr="6894EB3A">
              <w:rPr>
                <w:rFonts w:ascii="Verdana" w:hAnsi="Verdana"/>
                <w:u w:val="single"/>
                <w:lang w:val="es-CO"/>
              </w:rPr>
              <w:t>compañeros permanentes</w:t>
            </w:r>
            <w:r w:rsidRPr="6894EB3A">
              <w:rPr>
                <w:rFonts w:ascii="Verdana" w:hAnsi="Verdana"/>
                <w:lang w:val="es-CO"/>
              </w:rPr>
              <w:t> de los gobernadores, diputados, alcaldes municipales y distritales, concejales municipales y distritales y sus parientes </w:t>
            </w:r>
            <w:r w:rsidRPr="6894EB3A">
              <w:rPr>
                <w:rFonts w:ascii="Verdana" w:hAnsi="Verdana"/>
                <w:i/>
                <w:iCs/>
                <w:lang w:val="es-CO"/>
              </w:rPr>
              <w:t>dentro del cuarto grado de consanguinidad,</w:t>
            </w:r>
            <w:r w:rsidRPr="6894EB3A">
              <w:rPr>
                <w:rFonts w:ascii="Verdana" w:hAnsi="Verdana"/>
                <w:lang w:val="es-CO"/>
              </w:rPr>
              <w:t> segundo de afinidad, o primero civil </w:t>
            </w:r>
            <w:r w:rsidRPr="6894EB3A">
              <w:rPr>
                <w:rFonts w:ascii="Verdana" w:hAnsi="Verdana"/>
                <w:i/>
                <w:iCs/>
                <w:lang w:val="es-CO"/>
              </w:rPr>
              <w:t>no podrán ser contratistas</w:t>
            </w:r>
            <w:r w:rsidRPr="6894EB3A">
              <w:rPr>
                <w:rFonts w:ascii="Verdana" w:hAnsi="Verdana"/>
                <w:lang w:val="es-CO"/>
              </w:rPr>
              <w:t> del respectivo departamento, distrito o municipio, o de sus entidades descentralizadas, ni directa, ni indirectamente (…)”.</w:t>
            </w:r>
          </w:p>
          <w:p w14:paraId="1599E981" w14:textId="77777777" w:rsidR="00A5039E" w:rsidRDefault="00A5039E" w:rsidP="00A5039E">
            <w:pPr>
              <w:widowControl w:val="0"/>
              <w:autoSpaceDE w:val="0"/>
              <w:autoSpaceDN w:val="0"/>
              <w:spacing w:after="120" w:line="276" w:lineRule="auto"/>
              <w:ind w:firstLine="709"/>
              <w:jc w:val="both"/>
              <w:rPr>
                <w:rFonts w:ascii="Verdana" w:hAnsi="Verdana" w:cs="Open Sans"/>
              </w:rPr>
            </w:pPr>
            <w:r w:rsidRPr="6894EB3A">
              <w:rPr>
                <w:rFonts w:ascii="Verdana" w:eastAsia="Calibri" w:hAnsi="Verdana" w:cs="Arial"/>
                <w:lang w:val="es-ES"/>
              </w:rPr>
              <w:t>Además, el parágrafo tercero del mismo artículo 49 de la Ley 617 de 2000 hace una distinción para los concejales municipios de cuarta, quinta y sexta categoría en tanto: “</w:t>
            </w:r>
            <w:r w:rsidRPr="6894EB3A">
              <w:rPr>
                <w:rFonts w:ascii="Verdana" w:hAnsi="Verdana" w:cs="Open Sans"/>
              </w:rPr>
              <w:t xml:space="preserve">Tratándose de concejales de municipios de cuarta, quinta y sexta categoría, las prohibiciones establecidas en el presente artículo se aplicarán únicamente para los cónyuges o compañeros permanentes y parientes hasta el </w:t>
            </w:r>
            <w:r w:rsidRPr="00FC2009">
              <w:rPr>
                <w:rFonts w:ascii="Verdana" w:hAnsi="Verdana" w:cs="Open Sans"/>
              </w:rPr>
              <w:t>segundo grado</w:t>
            </w:r>
            <w:r w:rsidRPr="6894EB3A">
              <w:rPr>
                <w:rFonts w:ascii="Verdana" w:hAnsi="Verdana" w:cs="Open Sans"/>
              </w:rPr>
              <w:t xml:space="preserve"> de consanguinidad, p</w:t>
            </w:r>
            <w:r w:rsidRPr="040D60E1">
              <w:rPr>
                <w:rFonts w:ascii="Verdana" w:hAnsi="Verdana" w:cs="Open Sans"/>
              </w:rPr>
              <w:t>rimero de afinidad o único civil</w:t>
            </w:r>
            <w:r w:rsidRPr="6894EB3A">
              <w:rPr>
                <w:rFonts w:ascii="Verdana" w:hAnsi="Verdana" w:cs="Open Sans"/>
              </w:rPr>
              <w:t>.”</w:t>
            </w:r>
          </w:p>
          <w:p w14:paraId="4C9FA8FE" w14:textId="77777777" w:rsidR="00A5039E" w:rsidRDefault="00A5039E" w:rsidP="00A5039E">
            <w:pPr>
              <w:spacing w:after="120" w:line="276" w:lineRule="auto"/>
              <w:ind w:firstLine="709"/>
              <w:jc w:val="both"/>
              <w:rPr>
                <w:rFonts w:ascii="Verdana" w:eastAsia="Calibri" w:hAnsi="Verdana" w:cs="Arial"/>
                <w:color w:val="000000" w:themeColor="text1"/>
                <w:lang w:val="es-ES"/>
              </w:rPr>
            </w:pPr>
            <w:r w:rsidRPr="6894EB3A">
              <w:rPr>
                <w:rFonts w:ascii="Verdana" w:eastAsia="Calibri" w:hAnsi="Verdana" w:cs="Arial"/>
                <w:lang w:val="es-ES"/>
              </w:rPr>
              <w:t>Así, esta regla especial</w:t>
            </w:r>
            <w:r>
              <w:rPr>
                <w:rFonts w:ascii="Verdana" w:eastAsia="Calibri" w:hAnsi="Verdana" w:cs="Arial"/>
                <w:lang w:val="es-ES"/>
              </w:rPr>
              <w:t xml:space="preserve"> contenida en el artículo 49 de la Ley 617 de 2000</w:t>
            </w:r>
            <w:r w:rsidRPr="6894EB3A">
              <w:rPr>
                <w:rFonts w:ascii="Verdana" w:eastAsia="Calibri" w:hAnsi="Verdana" w:cs="Arial"/>
                <w:lang w:val="es-ES"/>
              </w:rPr>
              <w:t xml:space="preserve"> dispone </w:t>
            </w:r>
            <w:r>
              <w:rPr>
                <w:rFonts w:ascii="Verdana" w:eastAsia="Calibri" w:hAnsi="Verdana" w:cs="Arial"/>
                <w:lang w:val="es-ES"/>
              </w:rPr>
              <w:t xml:space="preserve">en primer lugar </w:t>
            </w:r>
            <w:r w:rsidRPr="6894EB3A">
              <w:rPr>
                <w:rFonts w:ascii="Verdana" w:eastAsia="Calibri" w:hAnsi="Verdana" w:cs="Arial"/>
                <w:lang w:val="es-ES"/>
              </w:rPr>
              <w:t xml:space="preserve">una prohibición que </w:t>
            </w:r>
            <w:r w:rsidRPr="6894EB3A">
              <w:rPr>
                <w:rFonts w:ascii="Verdana" w:eastAsia="Calibri" w:hAnsi="Verdana" w:cs="Arial"/>
                <w:color w:val="000000" w:themeColor="text1"/>
                <w:lang w:val="es-ES"/>
              </w:rPr>
              <w:t>aplica a los cónyuges o compañeros permanentes de los gobernadores, diputados, alcaldes o concejales, así como a sus parientes dentro del cuarto grado de consanguinidad, segundo de afinidad o primero civil, quienes no podrán celebrar contratos directa ni indirectamente con el departamento, distrito o municipio, o con sus entidades descentralizadas</w:t>
            </w:r>
            <w:r>
              <w:rPr>
                <w:rFonts w:ascii="Verdana" w:eastAsia="Calibri" w:hAnsi="Verdana" w:cs="Arial"/>
                <w:color w:val="000000" w:themeColor="text1"/>
                <w:lang w:val="es-ES"/>
              </w:rPr>
              <w:t>, tratándose de los municipios de primera, segunda y tercera categoría</w:t>
            </w:r>
            <w:r w:rsidRPr="6894EB3A">
              <w:rPr>
                <w:rFonts w:ascii="Verdana" w:eastAsia="Calibri" w:hAnsi="Verdana" w:cs="Arial"/>
                <w:color w:val="000000" w:themeColor="text1"/>
                <w:lang w:val="es-ES"/>
              </w:rPr>
              <w:t xml:space="preserve">. </w:t>
            </w:r>
          </w:p>
          <w:p w14:paraId="2422FBC8" w14:textId="77777777" w:rsidR="00A5039E" w:rsidRDefault="00A5039E" w:rsidP="00A5039E">
            <w:pPr>
              <w:spacing w:after="120" w:line="276" w:lineRule="auto"/>
              <w:ind w:firstLine="709"/>
              <w:jc w:val="both"/>
              <w:rPr>
                <w:rFonts w:ascii="Verdana" w:eastAsia="Calibri" w:hAnsi="Verdana" w:cs="Arial"/>
                <w:color w:val="000000"/>
                <w:lang w:val="es-ES"/>
              </w:rPr>
            </w:pPr>
            <w:r>
              <w:rPr>
                <w:rFonts w:ascii="Verdana" w:eastAsia="Calibri" w:hAnsi="Verdana" w:cs="Arial"/>
                <w:color w:val="000000" w:themeColor="text1"/>
                <w:lang w:val="es-ES"/>
              </w:rPr>
              <w:t xml:space="preserve">Por su parte, el parágrafo tercero del mencionado artículo 49 determina que, </w:t>
            </w:r>
            <w:r w:rsidRPr="6894EB3A">
              <w:rPr>
                <w:rFonts w:ascii="Verdana" w:eastAsia="Calibri" w:hAnsi="Verdana" w:cs="Arial"/>
                <w:color w:val="000000" w:themeColor="text1"/>
                <w:lang w:val="es-ES"/>
              </w:rPr>
              <w:t xml:space="preserve">la prohibición </w:t>
            </w:r>
            <w:r>
              <w:rPr>
                <w:rFonts w:ascii="Verdana" w:eastAsia="Calibri" w:hAnsi="Verdana" w:cs="Arial"/>
                <w:color w:val="000000" w:themeColor="text1"/>
                <w:lang w:val="es-ES"/>
              </w:rPr>
              <w:t xml:space="preserve">relativa a la celebración de contratos </w:t>
            </w:r>
            <w:r w:rsidRPr="6894EB3A">
              <w:rPr>
                <w:rFonts w:ascii="Verdana" w:eastAsia="Calibri" w:hAnsi="Verdana" w:cs="Arial"/>
                <w:color w:val="000000" w:themeColor="text1"/>
                <w:lang w:val="es-ES"/>
              </w:rPr>
              <w:t xml:space="preserve">se aplica únicamente </w:t>
            </w:r>
            <w:r>
              <w:rPr>
                <w:rFonts w:ascii="Verdana" w:eastAsia="Calibri" w:hAnsi="Verdana" w:cs="Arial"/>
                <w:color w:val="000000" w:themeColor="text1"/>
                <w:lang w:val="es-ES"/>
              </w:rPr>
              <w:t xml:space="preserve">para los concejales de los municipios de cuarta, quinta y sexta categoría, cuyos parientes sean los </w:t>
            </w:r>
            <w:r w:rsidRPr="6894EB3A">
              <w:rPr>
                <w:rFonts w:ascii="Verdana" w:eastAsia="Calibri" w:hAnsi="Verdana" w:cs="Arial"/>
                <w:color w:val="000000" w:themeColor="text1"/>
                <w:lang w:val="es-ES"/>
              </w:rPr>
              <w:t xml:space="preserve">cónyuges o compañeros permanentes y parientes hasta el segundo grado de consanguinidad, primero de afinidad o único civil. En ese sentido, para los parientes </w:t>
            </w:r>
            <w:r>
              <w:rPr>
                <w:rFonts w:ascii="Verdana" w:eastAsia="Calibri" w:hAnsi="Verdana" w:cs="Arial"/>
                <w:color w:val="000000" w:themeColor="text1"/>
                <w:lang w:val="es-ES"/>
              </w:rPr>
              <w:t xml:space="preserve">que se encuentran </w:t>
            </w:r>
            <w:r w:rsidRPr="6894EB3A">
              <w:rPr>
                <w:rFonts w:ascii="Verdana" w:eastAsia="Calibri" w:hAnsi="Verdana" w:cs="Arial"/>
                <w:color w:val="000000" w:themeColor="text1"/>
                <w:lang w:val="es-ES"/>
              </w:rPr>
              <w:t xml:space="preserve">dentro del </w:t>
            </w:r>
            <w:r>
              <w:rPr>
                <w:rFonts w:ascii="Verdana" w:eastAsia="Calibri" w:hAnsi="Verdana" w:cs="Arial"/>
                <w:color w:val="000000" w:themeColor="text1"/>
                <w:lang w:val="es-ES"/>
              </w:rPr>
              <w:t>tercer</w:t>
            </w:r>
            <w:r w:rsidRPr="6894EB3A">
              <w:rPr>
                <w:rFonts w:ascii="Verdana" w:eastAsia="Calibri" w:hAnsi="Verdana" w:cs="Arial"/>
                <w:color w:val="000000" w:themeColor="text1"/>
                <w:lang w:val="es-ES"/>
              </w:rPr>
              <w:t xml:space="preserve"> grado de consanguinidad de un concejal de un municipio de cuarta, quinta o sexta categoría, no operaría la prohibición. </w:t>
            </w:r>
          </w:p>
          <w:p w14:paraId="6D21E386" w14:textId="77777777" w:rsidR="00A5039E" w:rsidRDefault="00A5039E" w:rsidP="00A5039E">
            <w:pPr>
              <w:spacing w:after="120" w:line="276" w:lineRule="auto"/>
              <w:ind w:firstLine="709"/>
              <w:jc w:val="both"/>
              <w:rPr>
                <w:rFonts w:ascii="Verdana" w:eastAsia="Calibri" w:hAnsi="Verdana" w:cs="Arial"/>
                <w:lang w:val="es-ES_tradnl"/>
              </w:rPr>
            </w:pPr>
            <w:r>
              <w:rPr>
                <w:rFonts w:ascii="Verdana" w:eastAsia="Calibri" w:hAnsi="Verdana" w:cs="Arial"/>
                <w:lang w:val="es-ES"/>
              </w:rPr>
              <w:t>Por lo tanto, en principio</w:t>
            </w:r>
            <w:r w:rsidRPr="0060163E">
              <w:rPr>
                <w:rFonts w:ascii="Verdana" w:eastAsia="Calibri" w:hAnsi="Verdana" w:cs="Arial"/>
                <w:color w:val="000000"/>
                <w:lang w:val="es-MX"/>
              </w:rPr>
              <w:t xml:space="preserve">, todas las entidades y funcionarios del artículo 2 de la Ley 80 de 1993 se rigen por las causales de inhabilidad del artículo 8 </w:t>
            </w:r>
            <w:r w:rsidRPr="0060163E">
              <w:rPr>
                <w:rFonts w:ascii="Verdana" w:eastAsia="Calibri" w:hAnsi="Verdana" w:cs="Arial"/>
                <w:i/>
                <w:iCs/>
                <w:color w:val="000000"/>
                <w:lang w:val="es-MX"/>
              </w:rPr>
              <w:t>ibidem</w:t>
            </w:r>
            <w:r w:rsidRPr="0060163E">
              <w:rPr>
                <w:rFonts w:ascii="Verdana" w:eastAsia="Calibri" w:hAnsi="Verdana" w:cs="Arial"/>
                <w:color w:val="000000"/>
                <w:lang w:val="es-MX"/>
              </w:rPr>
              <w:t xml:space="preserve">, incluyendo la del literal b) del numeral 2 explicada </w:t>
            </w:r>
            <w:r w:rsidRPr="0060163E">
              <w:rPr>
                <w:rFonts w:ascii="Verdana" w:eastAsia="Calibri" w:hAnsi="Verdana" w:cs="Arial"/>
                <w:i/>
                <w:iCs/>
                <w:color w:val="000000"/>
                <w:lang w:val="es-MX"/>
              </w:rPr>
              <w:t>ut supra</w:t>
            </w:r>
            <w:r>
              <w:rPr>
                <w:rFonts w:ascii="Verdana" w:eastAsia="Calibri" w:hAnsi="Verdana" w:cs="Arial"/>
                <w:color w:val="000000"/>
                <w:lang w:val="es-MX"/>
              </w:rPr>
              <w:t>, p</w:t>
            </w:r>
            <w:proofErr w:type="spellStart"/>
            <w:r w:rsidRPr="0060163E">
              <w:rPr>
                <w:rFonts w:ascii="Verdana" w:eastAsia="Calibri" w:hAnsi="Verdana" w:cs="Arial"/>
                <w:lang w:val="es-ES_tradnl"/>
              </w:rPr>
              <w:t>ues</w:t>
            </w:r>
            <w:proofErr w:type="spellEnd"/>
            <w:r w:rsidRPr="0060163E">
              <w:rPr>
                <w:rFonts w:ascii="Verdana" w:eastAsia="Calibri" w:hAnsi="Verdana" w:cs="Arial"/>
                <w:lang w:val="es-ES_tradnl"/>
              </w:rPr>
              <w:t xml:space="preserve"> es </w:t>
            </w:r>
            <w:r>
              <w:rPr>
                <w:rFonts w:ascii="Verdana" w:eastAsia="Calibri" w:hAnsi="Verdana" w:cs="Arial"/>
                <w:lang w:val="es-ES_tradnl"/>
              </w:rPr>
              <w:t xml:space="preserve">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en materia de inhabilidades e incompatibilidades para la contratación de las entidades sometidas a la Ley 80 de 1993. Sin embargo, el artículo 49 de la Ley 617</w:t>
            </w:r>
            <w:r>
              <w:rPr>
                <w:rFonts w:ascii="Verdana" w:eastAsia="Calibri" w:hAnsi="Verdana" w:cs="Arial"/>
                <w:lang w:val="es-ES_tradnl"/>
              </w:rPr>
              <w:t xml:space="preserve"> de 2000</w:t>
            </w:r>
            <w:r w:rsidRPr="0060163E">
              <w:rPr>
                <w:rFonts w:ascii="Verdana" w:eastAsia="Calibri" w:hAnsi="Verdana" w:cs="Arial"/>
                <w:lang w:val="es-ES_tradnl"/>
              </w:rPr>
              <w:t xml:space="preserve"> </w:t>
            </w:r>
            <w:r>
              <w:rPr>
                <w:rFonts w:ascii="Verdana" w:eastAsia="Calibri" w:hAnsi="Verdana" w:cs="Arial"/>
                <w:lang w:val="es-ES_tradnl"/>
              </w:rPr>
              <w:t>se trata de una</w:t>
            </w:r>
            <w:r w:rsidRPr="0060163E">
              <w:rPr>
                <w:rFonts w:ascii="Verdana" w:eastAsia="Calibri" w:hAnsi="Verdana" w:cs="Arial"/>
                <w:lang w:val="es-ES_tradnl"/>
              </w:rPr>
              <w:t xml:space="preserve"> </w:t>
            </w:r>
            <w:r w:rsidRPr="0060163E">
              <w:rPr>
                <w:rFonts w:ascii="Verdana" w:eastAsia="Calibri" w:hAnsi="Verdana" w:cs="Arial"/>
                <w:i/>
                <w:iCs/>
                <w:lang w:val="es-ES_tradnl"/>
              </w:rPr>
              <w:t>regla especial</w:t>
            </w:r>
            <w:r w:rsidRPr="0060163E">
              <w:rPr>
                <w:rFonts w:ascii="Verdana" w:eastAsia="Calibri" w:hAnsi="Verdana" w:cs="Arial"/>
                <w:lang w:val="es-ES_tradnl"/>
              </w:rPr>
              <w:t>, la cual se ratifica en las modificaciones posteriores del artículo 1º de las Leyes 821 de 2003, 1148 de 2007 y 1296 de 2009. Según esta regla,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w:t>
            </w:r>
            <w:r>
              <w:rPr>
                <w:rFonts w:ascii="Verdana" w:eastAsia="Calibri" w:hAnsi="Verdana" w:cs="Arial"/>
                <w:lang w:val="es-ES_tradnl"/>
              </w:rPr>
              <w:t xml:space="preserve"> </w:t>
            </w:r>
          </w:p>
          <w:p w14:paraId="5D0981CB" w14:textId="77777777" w:rsidR="00A5039E" w:rsidRDefault="00A5039E" w:rsidP="00A5039E">
            <w:pPr>
              <w:pStyle w:val="Prrafodelista"/>
              <w:spacing w:before="120" w:after="120" w:line="276" w:lineRule="auto"/>
              <w:ind w:left="0" w:firstLine="708"/>
              <w:jc w:val="both"/>
              <w:rPr>
                <w:rFonts w:ascii="Verdana" w:eastAsia="Calibri" w:hAnsi="Verdana" w:cs="Arial"/>
                <w:color w:val="000000" w:themeColor="text1"/>
              </w:rPr>
            </w:pPr>
            <w:r>
              <w:rPr>
                <w:rFonts w:ascii="Verdana" w:eastAsia="Calibri" w:hAnsi="Verdana" w:cs="Arial"/>
              </w:rPr>
              <w:t>Empero</w:t>
            </w:r>
            <w:r w:rsidRPr="4D14AFBD">
              <w:rPr>
                <w:rFonts w:ascii="Verdana" w:eastAsia="Calibri" w:hAnsi="Verdana" w:cs="Arial"/>
              </w:rPr>
              <w:t xml:space="preserve"> dado que la interpretación de este tipo de normativa debe ser restrictiva se encuentra que, </w:t>
            </w:r>
            <w:r>
              <w:rPr>
                <w:rFonts w:ascii="Verdana" w:eastAsia="Calibri" w:hAnsi="Verdana" w:cs="Arial"/>
              </w:rPr>
              <w:t xml:space="preserve">según lo dispuesto en el </w:t>
            </w:r>
            <w:r w:rsidRPr="4D14AFBD">
              <w:rPr>
                <w:rFonts w:ascii="Verdana" w:eastAsia="Calibri" w:hAnsi="Verdana" w:cs="Arial"/>
              </w:rPr>
              <w:t xml:space="preserve">parágrafo tercero del artículo 49 de la Ley 617 de 2000 </w:t>
            </w:r>
            <w:r>
              <w:rPr>
                <w:rFonts w:ascii="Verdana" w:eastAsia="Calibri" w:hAnsi="Verdana" w:cs="Arial"/>
              </w:rPr>
              <w:t>tratándose</w:t>
            </w:r>
            <w:r w:rsidRPr="4D14AFBD">
              <w:rPr>
                <w:rFonts w:ascii="Verdana" w:eastAsia="Calibri" w:hAnsi="Verdana" w:cs="Arial"/>
                <w:color w:val="000000" w:themeColor="text1"/>
              </w:rPr>
              <w:t xml:space="preserve"> de concejales de municipios de cuarta, quinta y sexta categoría, se aplica la prohibición únicamente a los cónyuges o compañeros permanentes y parientes hasta el segundo grado de consanguinidad, primero de afinidad o único civil</w:t>
            </w:r>
            <w:r>
              <w:rPr>
                <w:rFonts w:ascii="Verdana" w:eastAsia="Calibri" w:hAnsi="Verdana" w:cs="Arial"/>
                <w:color w:val="000000" w:themeColor="text1"/>
              </w:rPr>
              <w:t>.</w:t>
            </w:r>
          </w:p>
          <w:p w14:paraId="35C9C64B" w14:textId="77777777" w:rsidR="00A5039E" w:rsidRDefault="00A5039E" w:rsidP="00A5039E">
            <w:pPr>
              <w:pStyle w:val="Prrafodelista"/>
              <w:spacing w:before="120" w:after="120" w:line="276" w:lineRule="auto"/>
              <w:ind w:left="0" w:firstLine="708"/>
              <w:jc w:val="both"/>
              <w:rPr>
                <w:rFonts w:ascii="Verdana" w:eastAsia="Calibri" w:hAnsi="Verdana" w:cs="Arial"/>
                <w:color w:val="000000" w:themeColor="text1"/>
                <w:lang w:eastAsia="es-ES"/>
              </w:rPr>
            </w:pPr>
          </w:p>
          <w:p w14:paraId="1FC57A83" w14:textId="50C52282" w:rsidR="00705B17" w:rsidRPr="00C71956" w:rsidRDefault="00705B17" w:rsidP="00A5039E">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361C853" w14:textId="77777777" w:rsidR="00705B17" w:rsidRDefault="00705B17" w:rsidP="002B73C0">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75F9A50A" w14:textId="77777777" w:rsidR="00A5039E" w:rsidRPr="00E529C2" w:rsidRDefault="00A5039E" w:rsidP="002B73C0">
            <w:pPr>
              <w:spacing w:line="276" w:lineRule="auto"/>
              <w:jc w:val="both"/>
              <w:rPr>
                <w:rFonts w:ascii="Verdana" w:eastAsia="Calibri" w:hAnsi="Verdana" w:cs="Times New Roman"/>
                <w:lang w:val="es-ES"/>
              </w:rPr>
            </w:pPr>
          </w:p>
        </w:tc>
      </w:tr>
      <w:tr w:rsidR="00705B17" w:rsidRPr="00593A5F" w14:paraId="548C3154" w14:textId="77777777" w:rsidTr="783F23A2">
        <w:tc>
          <w:tcPr>
            <w:tcW w:w="8828" w:type="dxa"/>
          </w:tcPr>
          <w:p w14:paraId="20721B40" w14:textId="77777777" w:rsidR="00705B17" w:rsidRDefault="00705B17" w:rsidP="002B73C0">
            <w:pPr>
              <w:spacing w:after="120" w:line="276" w:lineRule="auto"/>
              <w:jc w:val="both"/>
              <w:rPr>
                <w:rFonts w:ascii="Verdana" w:eastAsia="Calibri" w:hAnsi="Verdana" w:cs="Arial"/>
                <w:bCs/>
                <w:lang w:eastAsia="es-ES_tradnl"/>
              </w:rPr>
            </w:pPr>
          </w:p>
        </w:tc>
      </w:tr>
    </w:tbl>
    <w:p w14:paraId="214D3D82" w14:textId="77777777" w:rsidR="00705B17" w:rsidRDefault="00705B17" w:rsidP="00705B17">
      <w:pPr>
        <w:tabs>
          <w:tab w:val="left" w:pos="142"/>
          <w:tab w:val="left" w:pos="284"/>
        </w:tabs>
        <w:spacing w:after="0" w:line="276" w:lineRule="auto"/>
        <w:jc w:val="both"/>
        <w:rPr>
          <w:rFonts w:ascii="Verdana" w:eastAsia="Century Gothic" w:hAnsi="Verdana" w:cs="Century Gothic"/>
          <w:b/>
          <w:bCs/>
          <w:lang w:val="es-ES"/>
        </w:rPr>
      </w:pPr>
    </w:p>
    <w:p w14:paraId="2B3D5D79" w14:textId="77777777" w:rsidR="00705B17" w:rsidRPr="00593A5F" w:rsidRDefault="00705B17" w:rsidP="00705B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C37BC1A" w14:textId="77777777" w:rsidR="00705B17" w:rsidRDefault="00705B17" w:rsidP="00705B17">
      <w:pPr>
        <w:spacing w:after="0" w:line="276" w:lineRule="auto"/>
        <w:ind w:firstLine="708"/>
        <w:jc w:val="both"/>
        <w:rPr>
          <w:rFonts w:ascii="Verdana" w:eastAsia="Calibri" w:hAnsi="Verdana" w:cs="Arial"/>
          <w:color w:val="000000" w:themeColor="text1"/>
        </w:rPr>
      </w:pPr>
    </w:p>
    <w:p w14:paraId="313826C9" w14:textId="77777777" w:rsidR="00705B17" w:rsidRPr="004F6FF1" w:rsidRDefault="00705B17" w:rsidP="00705B17">
      <w:pPr>
        <w:spacing w:after="0" w:line="276" w:lineRule="auto"/>
        <w:ind w:firstLine="360"/>
        <w:jc w:val="both"/>
        <w:rPr>
          <w:rFonts w:ascii="Verdana" w:eastAsia="Aptos" w:hAnsi="Verdana" w:cs="Arial"/>
        </w:rPr>
      </w:pPr>
      <w:r>
        <w:rPr>
          <w:rFonts w:ascii="Verdana" w:eastAsia="Calibri" w:hAnsi="Verdana" w:cs="Arial"/>
        </w:rPr>
        <w:t>En primer lugar,</w:t>
      </w:r>
      <w:r w:rsidRPr="004F6FF1">
        <w:rPr>
          <w:rFonts w:ascii="Verdana" w:eastAsia="Calibri" w:hAnsi="Verdana" w:cs="Arial"/>
        </w:rPr>
        <w:t xml:space="preserve"> debe advertirse que,</w:t>
      </w:r>
      <w:r w:rsidRPr="004F6FF1">
        <w:rPr>
          <w:rFonts w:ascii="Verdana" w:eastAsia="Calibri" w:hAnsi="Verdana" w:cs="Arial"/>
          <w:lang w:val="es-ES_tradnl" w:eastAsia="es-ES_tradnl"/>
        </w:rPr>
        <w:t xml:space="preserve"> e</w:t>
      </w:r>
      <w:r w:rsidRPr="004F6FF1">
        <w:rPr>
          <w:rFonts w:ascii="Verdana" w:eastAsia="Aptos" w:hAnsi="Verdana" w:cs="Arial"/>
          <w:lang w:val="es-MX"/>
        </w:rPr>
        <w:t xml:space="preserve">l régimen de </w:t>
      </w:r>
      <w:bookmarkStart w:id="3" w:name="_Hlk173850721"/>
      <w:r w:rsidRPr="004F6FF1">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3"/>
      <w:r w:rsidRPr="004F6FF1">
        <w:rPr>
          <w:rFonts w:ascii="Verdana" w:eastAsia="Aptos" w:hAnsi="Verdana" w:cs="Arial"/>
          <w:lang w:val="es-MX"/>
        </w:rPr>
        <w:t xml:space="preserve">, que pueden resultar de condenas, sanciones o situaciones previamente </w:t>
      </w:r>
      <w:r w:rsidRPr="004F6FF1">
        <w:rPr>
          <w:rFonts w:ascii="Verdana" w:eastAsia="Aptos" w:hAnsi="Verdana" w:cs="Arial"/>
        </w:rPr>
        <w:t>consagradas</w:t>
      </w:r>
      <w:r w:rsidRPr="004F6FF1">
        <w:rPr>
          <w:rFonts w:ascii="Verdana" w:eastAsia="Aptos" w:hAnsi="Verdana" w:cs="Arial"/>
          <w:lang w:val="es-MX"/>
        </w:rPr>
        <w:t xml:space="preserve"> por el ordenamiento jurídico</w:t>
      </w:r>
      <w:r w:rsidRPr="004F6FF1">
        <w:rPr>
          <w:rFonts w:ascii="Verdana" w:eastAsia="Aptos" w:hAnsi="Verdana" w:cs="Arial"/>
        </w:rPr>
        <w:t>. Sobre el particular, la</w:t>
      </w:r>
      <w:r w:rsidRPr="004F6FF1">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925BAB">
        <w:rPr>
          <w:vertAlign w:val="superscript"/>
        </w:rPr>
        <w:footnoteReference w:id="1"/>
      </w:r>
      <w:r w:rsidRPr="004F6FF1">
        <w:rPr>
          <w:rFonts w:ascii="Verdana" w:eastAsia="Aptos" w:hAnsi="Verdana" w:cs="Arial"/>
          <w:lang w:val="es-MX"/>
        </w:rPr>
        <w:t xml:space="preserve">. </w:t>
      </w:r>
    </w:p>
    <w:p w14:paraId="75518A31" w14:textId="77777777" w:rsidR="001256E1" w:rsidRPr="0060163E" w:rsidRDefault="001256E1" w:rsidP="001256E1">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La regulación de las inhabilidades que implican limitaciones a la capacidad jurídica para contratar, que desarrolla los principios de la función administrativa consagrados en el artículo 209 de la Constitución Política, con especial énfasis el de moralidad. Así lo entiende el Consejo de Estado: </w:t>
      </w:r>
    </w:p>
    <w:p w14:paraId="542F76B5" w14:textId="77777777" w:rsidR="001256E1" w:rsidRPr="0060163E" w:rsidRDefault="001256E1" w:rsidP="001256E1">
      <w:pPr>
        <w:spacing w:after="0" w:line="240" w:lineRule="auto"/>
        <w:jc w:val="both"/>
        <w:rPr>
          <w:rFonts w:ascii="Verdana" w:eastAsia="Calibri" w:hAnsi="Verdana" w:cs="Arial"/>
          <w:lang w:val="es-MX"/>
        </w:rPr>
      </w:pPr>
    </w:p>
    <w:p w14:paraId="3BE9CFCD" w14:textId="77777777" w:rsidR="001256E1" w:rsidRPr="0060163E" w:rsidRDefault="001256E1" w:rsidP="001256E1">
      <w:pPr>
        <w:shd w:val="clear" w:color="auto" w:fill="FFFFFF"/>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13D5C158" w14:textId="77777777" w:rsidR="001256E1" w:rsidRPr="0060163E" w:rsidRDefault="001256E1" w:rsidP="001256E1">
      <w:pPr>
        <w:shd w:val="clear" w:color="auto" w:fill="FFFFFF"/>
        <w:spacing w:after="0" w:line="240" w:lineRule="auto"/>
        <w:ind w:left="709" w:right="709"/>
        <w:jc w:val="both"/>
        <w:rPr>
          <w:rFonts w:ascii="Verdana" w:eastAsia="Calibri" w:hAnsi="Verdana" w:cs="Arial"/>
          <w:sz w:val="20"/>
          <w:szCs w:val="20"/>
          <w:lang w:val="es-ES"/>
        </w:rPr>
      </w:pPr>
    </w:p>
    <w:p w14:paraId="0A670698" w14:textId="77777777" w:rsidR="001256E1" w:rsidRPr="0060163E" w:rsidRDefault="001256E1" w:rsidP="001256E1">
      <w:pPr>
        <w:shd w:val="clear" w:color="auto" w:fill="FFFFFF"/>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0163E">
        <w:rPr>
          <w:rFonts w:ascii="Verdana" w:eastAsia="Calibri" w:hAnsi="Verdana" w:cs="Arial"/>
          <w:sz w:val="20"/>
          <w:szCs w:val="20"/>
          <w:vertAlign w:val="superscript"/>
          <w:lang w:val="es-ES"/>
        </w:rPr>
        <w:footnoteReference w:id="2"/>
      </w:r>
      <w:r>
        <w:rPr>
          <w:rFonts w:ascii="Verdana" w:eastAsia="Calibri" w:hAnsi="Verdana" w:cs="Arial"/>
          <w:sz w:val="20"/>
          <w:szCs w:val="20"/>
          <w:lang w:val="es-ES"/>
        </w:rPr>
        <w:t>.</w:t>
      </w:r>
    </w:p>
    <w:p w14:paraId="2D749C7C" w14:textId="77777777" w:rsidR="001256E1" w:rsidRPr="0060163E" w:rsidRDefault="001256E1" w:rsidP="001256E1">
      <w:pPr>
        <w:shd w:val="clear" w:color="auto" w:fill="FFFFFF"/>
        <w:spacing w:after="0" w:line="240" w:lineRule="auto"/>
        <w:ind w:left="709" w:right="709"/>
        <w:jc w:val="both"/>
        <w:rPr>
          <w:rFonts w:ascii="Verdana" w:eastAsia="Calibri" w:hAnsi="Verdana" w:cs="Arial"/>
          <w:lang w:val="es-ES"/>
        </w:rPr>
      </w:pPr>
    </w:p>
    <w:p w14:paraId="6DA3FB6A" w14:textId="77777777" w:rsidR="001256E1" w:rsidRPr="0060163E" w:rsidRDefault="001256E1" w:rsidP="001256E1">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46F0FE74" w14:textId="77777777" w:rsidR="001256E1" w:rsidRPr="0060163E" w:rsidRDefault="001256E1" w:rsidP="001256E1">
      <w:pPr>
        <w:spacing w:after="0" w:line="276" w:lineRule="auto"/>
        <w:rPr>
          <w:rFonts w:ascii="Verdana" w:eastAsia="Times New Roman" w:hAnsi="Verdana" w:cs="Arial"/>
          <w:shd w:val="clear" w:color="auto" w:fill="FFFFFF"/>
          <w:lang w:eastAsia="es-ES_tradnl"/>
        </w:rPr>
      </w:pPr>
    </w:p>
    <w:p w14:paraId="265E862D" w14:textId="77777777" w:rsidR="001256E1" w:rsidRPr="0060163E" w:rsidRDefault="001256E1" w:rsidP="001256E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134E449E" w14:textId="77777777" w:rsidR="001256E1" w:rsidRPr="0060163E" w:rsidRDefault="001256E1" w:rsidP="001256E1">
      <w:pPr>
        <w:spacing w:after="0" w:line="240" w:lineRule="auto"/>
        <w:ind w:left="709" w:right="709"/>
        <w:jc w:val="both"/>
        <w:rPr>
          <w:rFonts w:ascii="Verdana" w:eastAsia="Calibri" w:hAnsi="Verdana" w:cs="Arial"/>
          <w:sz w:val="20"/>
          <w:szCs w:val="20"/>
          <w:lang w:val="es-MX"/>
        </w:rPr>
      </w:pPr>
    </w:p>
    <w:p w14:paraId="3CAB13D3" w14:textId="77777777" w:rsidR="001256E1" w:rsidRPr="0060163E" w:rsidRDefault="001256E1" w:rsidP="001256E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0163E">
        <w:rPr>
          <w:rFonts w:ascii="Verdana" w:eastAsia="Calibri" w:hAnsi="Verdana" w:cs="Arial"/>
          <w:sz w:val="20"/>
          <w:szCs w:val="20"/>
          <w:vertAlign w:val="superscript"/>
          <w:lang w:val="es-MX"/>
        </w:rPr>
        <w:footnoteReference w:id="3"/>
      </w:r>
      <w:r w:rsidRPr="0060163E">
        <w:rPr>
          <w:rFonts w:ascii="Verdana" w:eastAsia="Calibri" w:hAnsi="Verdana" w:cs="Arial"/>
          <w:sz w:val="20"/>
          <w:szCs w:val="20"/>
          <w:lang w:val="es-MX"/>
        </w:rPr>
        <w:t xml:space="preserve">. </w:t>
      </w:r>
    </w:p>
    <w:p w14:paraId="0A2468DC" w14:textId="77777777" w:rsidR="001256E1" w:rsidRPr="0060163E" w:rsidRDefault="001256E1" w:rsidP="001256E1">
      <w:pPr>
        <w:spacing w:after="0" w:line="276" w:lineRule="auto"/>
        <w:ind w:right="709"/>
        <w:jc w:val="both"/>
        <w:rPr>
          <w:rFonts w:ascii="Verdana" w:eastAsia="Calibri" w:hAnsi="Verdana" w:cs="Arial"/>
          <w:lang w:val="es-MX"/>
        </w:rPr>
      </w:pPr>
    </w:p>
    <w:p w14:paraId="31D78648" w14:textId="77777777" w:rsidR="001256E1" w:rsidRPr="0060163E" w:rsidRDefault="001256E1" w:rsidP="001256E1">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34474123" w14:textId="77777777" w:rsidR="001256E1" w:rsidRDefault="001256E1" w:rsidP="001256E1">
      <w:pPr>
        <w:spacing w:after="0" w:line="240" w:lineRule="auto"/>
        <w:ind w:left="709" w:right="709"/>
        <w:jc w:val="both"/>
        <w:rPr>
          <w:rFonts w:ascii="Verdana" w:eastAsia="Calibri" w:hAnsi="Verdana" w:cs="Arial"/>
          <w:sz w:val="20"/>
          <w:szCs w:val="20"/>
          <w:lang w:val="es-MX"/>
        </w:rPr>
      </w:pPr>
    </w:p>
    <w:p w14:paraId="2C9AB269" w14:textId="77777777" w:rsidR="001256E1" w:rsidRPr="0060163E" w:rsidRDefault="001256E1" w:rsidP="001256E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60163E">
        <w:rPr>
          <w:rFonts w:ascii="Verdana" w:eastAsia="Calibri" w:hAnsi="Verdana" w:cs="Arial"/>
          <w:sz w:val="20"/>
          <w:szCs w:val="20"/>
          <w:lang w:val="es-MX"/>
        </w:rPr>
        <w:t>libertate</w:t>
      </w:r>
      <w:proofErr w:type="spellEnd"/>
      <w:r w:rsidRPr="0060163E">
        <w:rPr>
          <w:rFonts w:ascii="Verdana" w:eastAsia="Calibri" w:hAnsi="Verdana" w:cs="Arial"/>
          <w:sz w:val="20"/>
          <w:szCs w:val="20"/>
          <w:lang w:val="es-MX"/>
        </w:rPr>
        <w:t xml:space="preserve">, sino el de legalidad, el que ordena que la función pública debe someterse estrictamente a lo que disponga la Constitución y la ley (CP art. 6). </w:t>
      </w:r>
    </w:p>
    <w:p w14:paraId="45BB1FB0" w14:textId="77777777" w:rsidR="001256E1" w:rsidRDefault="001256E1" w:rsidP="001256E1">
      <w:pPr>
        <w:spacing w:after="0" w:line="240" w:lineRule="auto"/>
        <w:ind w:left="709" w:right="709"/>
        <w:jc w:val="both"/>
        <w:rPr>
          <w:rFonts w:ascii="Verdana" w:eastAsia="Calibri" w:hAnsi="Verdana" w:cs="Arial"/>
          <w:sz w:val="20"/>
          <w:szCs w:val="20"/>
          <w:lang w:val="es-MX"/>
        </w:rPr>
      </w:pPr>
    </w:p>
    <w:p w14:paraId="36BB8FF6" w14:textId="77777777" w:rsidR="001256E1" w:rsidRPr="0060163E" w:rsidRDefault="001256E1" w:rsidP="001256E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 </w:t>
      </w:r>
    </w:p>
    <w:p w14:paraId="548E8EDB" w14:textId="77777777" w:rsidR="001256E1" w:rsidRDefault="001256E1" w:rsidP="001256E1">
      <w:pPr>
        <w:spacing w:after="0" w:line="240" w:lineRule="auto"/>
        <w:ind w:left="709" w:right="709"/>
        <w:jc w:val="both"/>
        <w:rPr>
          <w:rFonts w:ascii="Verdana" w:eastAsia="Calibri" w:hAnsi="Verdana" w:cs="Arial"/>
          <w:sz w:val="20"/>
          <w:szCs w:val="20"/>
          <w:lang w:val="es-MX"/>
        </w:rPr>
      </w:pPr>
    </w:p>
    <w:p w14:paraId="7C0B5420" w14:textId="77777777" w:rsidR="001256E1" w:rsidRPr="0060163E" w:rsidRDefault="001256E1" w:rsidP="001256E1">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0163E">
        <w:rPr>
          <w:rFonts w:ascii="Verdana" w:eastAsia="Calibri" w:hAnsi="Verdana" w:cs="Arial"/>
          <w:sz w:val="20"/>
          <w:szCs w:val="20"/>
          <w:vertAlign w:val="superscript"/>
          <w:lang w:val="es-MX"/>
        </w:rPr>
        <w:footnoteReference w:id="4"/>
      </w:r>
      <w:r w:rsidRPr="0060163E">
        <w:rPr>
          <w:rFonts w:ascii="Verdana" w:eastAsia="Calibri" w:hAnsi="Verdana" w:cs="Arial"/>
          <w:sz w:val="20"/>
          <w:szCs w:val="20"/>
          <w:lang w:val="es-MX"/>
        </w:rPr>
        <w:t>.</w:t>
      </w:r>
    </w:p>
    <w:p w14:paraId="59A75765" w14:textId="77777777" w:rsidR="001256E1" w:rsidRPr="0060163E" w:rsidRDefault="001256E1" w:rsidP="001256E1">
      <w:pPr>
        <w:spacing w:after="0" w:line="276" w:lineRule="auto"/>
        <w:ind w:left="709" w:right="709"/>
        <w:jc w:val="both"/>
        <w:rPr>
          <w:rFonts w:ascii="Verdana" w:eastAsia="Calibri" w:hAnsi="Verdana" w:cs="Arial"/>
          <w:lang w:val="es-MX"/>
        </w:rPr>
      </w:pPr>
    </w:p>
    <w:p w14:paraId="03D09CA1" w14:textId="77777777" w:rsidR="001256E1" w:rsidRPr="0060163E" w:rsidRDefault="001256E1" w:rsidP="001256E1">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5"/>
      </w:r>
      <w:r w:rsidRPr="0060163E">
        <w:rPr>
          <w:rFonts w:ascii="Verdana" w:eastAsia="Calibri" w:hAnsi="Verdana" w:cs="Arial"/>
          <w:lang w:val="es-MX"/>
        </w:rPr>
        <w:t>.</w:t>
      </w:r>
    </w:p>
    <w:p w14:paraId="75158548" w14:textId="77777777" w:rsidR="001256E1" w:rsidRPr="0060163E" w:rsidRDefault="001256E1" w:rsidP="001256E1">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6"/>
      </w:r>
      <w:r w:rsidRPr="0060163E">
        <w:rPr>
          <w:rFonts w:ascii="Verdana" w:eastAsia="Calibri" w:hAnsi="Verdana" w:cs="Arial"/>
          <w:lang w:val="es-MX"/>
        </w:rPr>
        <w:t xml:space="preserve">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55A70F38" w14:textId="77777777" w:rsidR="001256E1" w:rsidRPr="0060163E" w:rsidRDefault="001256E1" w:rsidP="001256E1">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04FFBF20" w14:textId="77777777" w:rsidR="001256E1" w:rsidRPr="0060163E" w:rsidRDefault="001256E1" w:rsidP="001256E1">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9D0DBE">
        <w:rPr>
          <w:rFonts w:ascii="Verdana" w:eastAsia="Calibri" w:hAnsi="Verdana" w:cs="Arial"/>
          <w:vertAlign w:val="superscript"/>
          <w:lang w:val="es-ES_tradnl"/>
        </w:rPr>
        <w:footnoteReference w:id="7"/>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6253D1B1" w14:textId="77777777" w:rsidR="001256E1" w:rsidRPr="0060163E" w:rsidRDefault="001256E1" w:rsidP="001256E1">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En efecto, el máximo tribunal constitucional ha indicado, al tratar de precisar el sentido de este tipo de normas, que </w:t>
      </w:r>
      <w:r>
        <w:rPr>
          <w:rFonts w:ascii="Verdana" w:eastAsia="Calibri" w:hAnsi="Verdana" w:cs="Arial"/>
          <w:lang w:val="es-ES_tradnl"/>
        </w:rPr>
        <w:t>“(…)</w:t>
      </w:r>
      <w:r w:rsidRPr="0060163E">
        <w:rPr>
          <w:rFonts w:ascii="Verdana" w:eastAsia="Calibri" w:hAnsi="Verdana" w:cs="Arial"/>
          <w:lang w:val="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8"/>
      </w:r>
      <w:r w:rsidRPr="0060163E">
        <w:rPr>
          <w:rFonts w:ascii="Verdana" w:eastAsia="Calibri" w:hAnsi="Verdana" w:cs="Arial"/>
          <w:lang w:val="es-ES_tradnl"/>
        </w:rPr>
        <w:t xml:space="preserve">. </w:t>
      </w:r>
    </w:p>
    <w:p w14:paraId="44A04D71" w14:textId="77777777" w:rsidR="001256E1" w:rsidRPr="0060163E" w:rsidRDefault="001256E1" w:rsidP="001256E1">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En tal sentido, la Sección Tercera ha señalado que:</w:t>
      </w:r>
    </w:p>
    <w:p w14:paraId="54C7AF3B" w14:textId="77777777" w:rsidR="001256E1" w:rsidRPr="0060163E" w:rsidRDefault="001256E1" w:rsidP="001256E1">
      <w:pPr>
        <w:spacing w:after="0" w:line="276" w:lineRule="auto"/>
        <w:ind w:firstLine="709"/>
        <w:jc w:val="both"/>
        <w:rPr>
          <w:rFonts w:ascii="Verdana" w:eastAsia="Calibri" w:hAnsi="Verdana" w:cs="Arial"/>
          <w:lang w:val="es-ES_tradnl"/>
        </w:rPr>
      </w:pPr>
    </w:p>
    <w:p w14:paraId="0B9A59B5" w14:textId="77777777" w:rsidR="001256E1" w:rsidRPr="0060163E" w:rsidRDefault="001256E1" w:rsidP="001256E1">
      <w:pPr>
        <w:spacing w:after="0" w:line="240" w:lineRule="auto"/>
        <w:ind w:left="709" w:right="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60163E">
        <w:rPr>
          <w:rFonts w:ascii="Verdana" w:eastAsia="Calibri" w:hAnsi="Verdana" w:cs="Arial"/>
          <w:sz w:val="20"/>
          <w:szCs w:val="20"/>
          <w:vertAlign w:val="superscript"/>
          <w:lang w:val="es-ES_tradnl"/>
        </w:rPr>
        <w:footnoteReference w:id="10"/>
      </w:r>
      <w:r w:rsidRPr="0060163E">
        <w:rPr>
          <w:rFonts w:ascii="Verdana" w:eastAsia="Calibri" w:hAnsi="Verdana" w:cs="Arial"/>
          <w:sz w:val="20"/>
          <w:szCs w:val="20"/>
          <w:lang w:val="es-ES_tradnl"/>
        </w:rPr>
        <w:t>.</w:t>
      </w:r>
    </w:p>
    <w:p w14:paraId="3B701E1D" w14:textId="77777777" w:rsidR="001256E1" w:rsidRPr="0060163E" w:rsidRDefault="001256E1" w:rsidP="001256E1">
      <w:pPr>
        <w:spacing w:after="0" w:line="240" w:lineRule="auto"/>
        <w:ind w:firstLine="709"/>
        <w:jc w:val="both"/>
        <w:rPr>
          <w:rFonts w:ascii="Verdana" w:eastAsia="Calibri" w:hAnsi="Verdana" w:cs="Arial"/>
          <w:sz w:val="20"/>
          <w:szCs w:val="20"/>
          <w:lang w:val="es-ES_tradnl"/>
        </w:rPr>
      </w:pPr>
    </w:p>
    <w:p w14:paraId="57402290" w14:textId="77777777" w:rsidR="001256E1" w:rsidRPr="0060163E" w:rsidRDefault="001256E1" w:rsidP="001256E1">
      <w:pPr>
        <w:spacing w:after="0" w:line="240" w:lineRule="auto"/>
        <w:ind w:firstLine="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También ha dicho que:</w:t>
      </w:r>
    </w:p>
    <w:p w14:paraId="527ADAF5" w14:textId="77777777" w:rsidR="001256E1" w:rsidRPr="0060163E" w:rsidRDefault="001256E1" w:rsidP="001256E1">
      <w:pPr>
        <w:spacing w:after="0" w:line="240" w:lineRule="auto"/>
        <w:ind w:left="709" w:right="616"/>
        <w:jc w:val="both"/>
        <w:rPr>
          <w:rFonts w:ascii="Verdana" w:eastAsia="Calibri" w:hAnsi="Verdana" w:cs="Arial"/>
          <w:sz w:val="20"/>
          <w:szCs w:val="20"/>
          <w:lang w:val="es-ES"/>
        </w:rPr>
      </w:pPr>
      <w:r w:rsidRPr="0060163E">
        <w:rPr>
          <w:rFonts w:ascii="Verdana" w:eastAsia="Calibri" w:hAnsi="Verdana" w:cs="Arial"/>
          <w:sz w:val="20"/>
          <w:szCs w:val="20"/>
          <w:lang w:val="es-ES"/>
        </w:rPr>
        <w:t xml:space="preserve">[…] la aplicación de estos preceptos exige una interpretación restrictiva, dado que según el principio hermenéutico </w:t>
      </w:r>
      <w:r w:rsidRPr="0060163E">
        <w:rPr>
          <w:rFonts w:ascii="Verdana" w:eastAsia="Calibri" w:hAnsi="Verdana" w:cs="Arial"/>
          <w:i/>
          <w:iCs/>
          <w:sz w:val="20"/>
          <w:szCs w:val="20"/>
          <w:lang w:val="es-ES"/>
        </w:rPr>
        <w:t xml:space="preserve">pro </w:t>
      </w:r>
      <w:proofErr w:type="spellStart"/>
      <w:r w:rsidRPr="0060163E">
        <w:rPr>
          <w:rFonts w:ascii="Verdana" w:eastAsia="Calibri" w:hAnsi="Verdana" w:cs="Arial"/>
          <w:i/>
          <w:iCs/>
          <w:sz w:val="20"/>
          <w:szCs w:val="20"/>
          <w:lang w:val="es-ES"/>
        </w:rPr>
        <w:t>libertate</w:t>
      </w:r>
      <w:proofErr w:type="spellEnd"/>
      <w:r w:rsidRPr="0060163E">
        <w:rPr>
          <w:rFonts w:ascii="Verdana" w:eastAsia="Calibri" w:hAnsi="Verdana" w:cs="Arial"/>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Pr>
          <w:rFonts w:ascii="Verdana" w:eastAsia="Calibri" w:hAnsi="Verdana" w:cs="Arial"/>
          <w:sz w:val="20"/>
          <w:szCs w:val="20"/>
          <w:lang w:val="es-ES"/>
        </w:rPr>
        <w:t>(…)”</w:t>
      </w:r>
      <w:r w:rsidRPr="0060163E">
        <w:rPr>
          <w:rFonts w:ascii="Verdana" w:eastAsia="Calibri" w:hAnsi="Verdana" w:cs="Arial"/>
          <w:sz w:val="20"/>
          <w:szCs w:val="20"/>
          <w:vertAlign w:val="superscript"/>
          <w:lang w:val="es-ES"/>
        </w:rPr>
        <w:footnoteReference w:id="11"/>
      </w:r>
      <w:r w:rsidRPr="0060163E">
        <w:rPr>
          <w:rFonts w:ascii="Verdana" w:eastAsia="Calibri" w:hAnsi="Verdana" w:cs="Arial"/>
          <w:sz w:val="20"/>
          <w:szCs w:val="20"/>
          <w:lang w:val="es-ES"/>
        </w:rPr>
        <w:t>.</w:t>
      </w:r>
    </w:p>
    <w:p w14:paraId="4E2ED161" w14:textId="77777777" w:rsidR="001256E1" w:rsidRPr="0060163E" w:rsidRDefault="001256E1" w:rsidP="001256E1">
      <w:pPr>
        <w:spacing w:after="0" w:line="276" w:lineRule="auto"/>
        <w:jc w:val="both"/>
        <w:rPr>
          <w:rFonts w:ascii="Verdana" w:eastAsia="Arial" w:hAnsi="Verdana" w:cs="Arial"/>
          <w:color w:val="000000"/>
          <w:lang w:val="es-ES_tradnl"/>
        </w:rPr>
      </w:pPr>
    </w:p>
    <w:p w14:paraId="7523510C" w14:textId="77777777" w:rsidR="001256E1" w:rsidRPr="0060163E" w:rsidRDefault="001256E1" w:rsidP="001256E1">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2"/>
      </w:r>
    </w:p>
    <w:p w14:paraId="66E93F41" w14:textId="77777777" w:rsidR="001256E1" w:rsidRPr="0060163E" w:rsidRDefault="001256E1" w:rsidP="001256E1">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Ahora bien, en relación con la inhabilidad para contratar por parentesco, la Ley 80 de 1993 en su artículo 8, establece en el literal </w:t>
      </w:r>
      <w:r w:rsidRPr="0060163E">
        <w:rPr>
          <w:rFonts w:ascii="Verdana" w:eastAsia="Calibri" w:hAnsi="Verdana" w:cs="Arial"/>
          <w:lang w:val="es-ES"/>
        </w:rPr>
        <w:t xml:space="preserve">b) del numeral 2°, </w:t>
      </w:r>
      <w:r>
        <w:rPr>
          <w:rFonts w:ascii="Verdana" w:eastAsia="Calibri" w:hAnsi="Verdana" w:cs="Arial"/>
          <w:lang w:val="es-ES"/>
        </w:rPr>
        <w:t>que</w:t>
      </w:r>
      <w:r w:rsidRPr="0060163E">
        <w:rPr>
          <w:rFonts w:ascii="Verdana" w:eastAsia="Calibri" w:hAnsi="Verdana" w:cs="Arial"/>
          <w:lang w:val="es-ES"/>
        </w:rPr>
        <w:t xml:space="preserve"> no podrán participar en procedimientos de selección ni celebrar contratos estatales con la entidad respectiva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1D2C913C" w14:textId="77777777" w:rsidR="001256E1" w:rsidRPr="0060163E" w:rsidRDefault="001256E1" w:rsidP="001256E1">
      <w:pPr>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t>De acuerdo con lo explicado por la Corte Constitucional en la Sentencia C-429 de 1997, protege el principio de moralidad administrativa, ya que “[…]</w:t>
      </w:r>
      <w:r w:rsidRPr="0060163E">
        <w:rPr>
          <w:rFonts w:ascii="Verdana" w:eastAsia="Calibri" w:hAnsi="Verdana" w:cs="Times New Roman"/>
          <w:lang w:val="es-MX"/>
        </w:rPr>
        <w:t xml:space="preserve"> </w:t>
      </w:r>
      <w:r w:rsidRPr="0060163E">
        <w:rPr>
          <w:rFonts w:ascii="Verdana" w:eastAsia="Calibri" w:hAnsi="Verdana" w:cs="Arial"/>
          <w:lang w:val="es-ES_tradnl"/>
        </w:rPr>
        <w:t>se dirige a los familiares de aquellas personas que gozan del poder de decisión de adjudicar contratos, o pueden tener influencias que razonablemente puedan determinar la decisión, pues en tales casos esos vínculos colocan en peligro la transparencia y seriedad del proceso de contratación administrativa”.</w:t>
      </w:r>
    </w:p>
    <w:p w14:paraId="51CC5E7F" w14:textId="77777777" w:rsidR="001256E1" w:rsidRDefault="001256E1" w:rsidP="001256E1">
      <w:pPr>
        <w:widowControl w:val="0"/>
        <w:autoSpaceDE w:val="0"/>
        <w:autoSpaceDN w:val="0"/>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t xml:space="preserve">Esta inhabilidad es </w:t>
      </w:r>
      <w:r>
        <w:rPr>
          <w:rFonts w:ascii="Verdana" w:eastAsia="Calibri" w:hAnsi="Verdana" w:cs="Arial"/>
          <w:lang w:val="es-ES_tradnl"/>
        </w:rPr>
        <w:t xml:space="preserve">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tanto para las entidades sometidas al EGCAP como a las del régimen exceptuado</w:t>
      </w:r>
      <w:r w:rsidRPr="0060163E">
        <w:rPr>
          <w:rFonts w:ascii="Verdana" w:eastAsia="Calibri" w:hAnsi="Verdana" w:cs="Arial"/>
          <w:vertAlign w:val="superscript"/>
          <w:lang w:val="es-ES_tradnl"/>
        </w:rPr>
        <w:footnoteReference w:id="13"/>
      </w:r>
      <w:r w:rsidRPr="0060163E">
        <w:rPr>
          <w:rFonts w:ascii="Verdana" w:eastAsia="Calibri" w:hAnsi="Verdana" w:cs="Arial"/>
          <w:lang w:val="es-ES_tradnl"/>
        </w:rPr>
        <w:t xml:space="preserve">. No obstante, considerando que –conforme al artículo 8, literal a) del numeral 1, de la Ley 80 de 1993– las personas que se hallen inhabilitadas para contratar por la Constitución y las leyes no pueden participar en procedimientos de selección ni celebrar contratos, el inciso tercero del artículo 49 de la Ley 617 de 2000 –modificado por las Leyes 821 de 2003, 1148 de 2007 y 1296 de 2009– introduce una </w:t>
      </w:r>
      <w:r w:rsidRPr="0060163E">
        <w:rPr>
          <w:rFonts w:ascii="Verdana" w:eastAsia="Calibri" w:hAnsi="Verdana" w:cs="Arial"/>
          <w:i/>
          <w:iCs/>
          <w:lang w:val="es-ES_tradnl"/>
        </w:rPr>
        <w:t>regla especial</w:t>
      </w:r>
      <w:r w:rsidRPr="0060163E">
        <w:rPr>
          <w:rFonts w:ascii="Verdana" w:eastAsia="Calibri" w:hAnsi="Verdana" w:cs="Arial"/>
          <w:lang w:val="es-ES_tradnl"/>
        </w:rPr>
        <w:t xml:space="preserve"> que restringe la contratación de las gobernaciones, asambleas, alcaldías y concejos</w:t>
      </w:r>
      <w:r>
        <w:rPr>
          <w:rFonts w:ascii="Verdana" w:eastAsia="Calibri" w:hAnsi="Verdana" w:cs="Arial"/>
          <w:lang w:val="es-ES_tradnl"/>
        </w:rPr>
        <w:t>:</w:t>
      </w:r>
    </w:p>
    <w:p w14:paraId="285214B7" w14:textId="77777777" w:rsidR="001256E1" w:rsidRDefault="001256E1" w:rsidP="001256E1">
      <w:pPr>
        <w:widowControl w:val="0"/>
        <w:autoSpaceDE w:val="0"/>
        <w:autoSpaceDN w:val="0"/>
        <w:spacing w:after="0" w:line="240" w:lineRule="auto"/>
        <w:ind w:left="709" w:right="760"/>
        <w:jc w:val="both"/>
        <w:rPr>
          <w:rFonts w:ascii="Verdana" w:eastAsia="Calibri" w:hAnsi="Verdana" w:cs="Arial"/>
          <w:sz w:val="20"/>
          <w:szCs w:val="20"/>
          <w:lang w:val="es-ES_tradnl"/>
        </w:rPr>
      </w:pPr>
      <w:r>
        <w:rPr>
          <w:rFonts w:ascii="Verdana" w:eastAsia="Calibri" w:hAnsi="Verdana" w:cs="Arial"/>
          <w:sz w:val="20"/>
          <w:szCs w:val="20"/>
          <w:lang w:val="es-ES_tradnl"/>
        </w:rPr>
        <w:t>“(…)</w:t>
      </w:r>
      <w:r w:rsidRPr="008420DA">
        <w:rPr>
          <w:rFonts w:ascii="Verdana" w:eastAsia="Calibri" w:hAnsi="Verdana" w:cs="Arial"/>
          <w:sz w:val="20"/>
          <w:szCs w:val="20"/>
          <w:lang w:val="es-ES_tradnl"/>
        </w:rPr>
        <w:t xml:space="preserve"> </w:t>
      </w:r>
      <w:r w:rsidRPr="008420DA">
        <w:rPr>
          <w:rFonts w:ascii="Verdana" w:hAnsi="Verdana" w:cs="Open Sans"/>
          <w:sz w:val="20"/>
          <w:szCs w:val="20"/>
        </w:rPr>
        <w:t>Los cónyuges o </w:t>
      </w:r>
      <w:r w:rsidRPr="008420DA">
        <w:rPr>
          <w:rFonts w:ascii="Verdana" w:hAnsi="Verdana" w:cs="Open Sans"/>
          <w:sz w:val="20"/>
          <w:szCs w:val="20"/>
          <w:u w:val="single"/>
        </w:rPr>
        <w:t>compañeros permanentes</w:t>
      </w:r>
      <w:r w:rsidRPr="008420DA">
        <w:rPr>
          <w:rFonts w:ascii="Verdana" w:hAnsi="Verdana" w:cs="Open Sans"/>
          <w:sz w:val="20"/>
          <w:szCs w:val="20"/>
        </w:rPr>
        <w:t> de los gobernadores, diputados, alcaldes municipales y distritales, concejales municipales y distritales y sus parientes </w:t>
      </w:r>
      <w:r w:rsidRPr="008420DA">
        <w:rPr>
          <w:rStyle w:val="iaj"/>
          <w:rFonts w:ascii="Verdana" w:hAnsi="Verdana" w:cs="Open Sans"/>
          <w:i/>
          <w:iCs/>
          <w:sz w:val="20"/>
          <w:szCs w:val="20"/>
        </w:rPr>
        <w:t>dentro del cuarto grado de consanguinidad,</w:t>
      </w:r>
      <w:r w:rsidRPr="008420DA">
        <w:rPr>
          <w:rFonts w:ascii="Verdana" w:hAnsi="Verdana" w:cs="Open Sans"/>
          <w:sz w:val="20"/>
          <w:szCs w:val="20"/>
        </w:rPr>
        <w:t> segundo de afinidad, o primero civil </w:t>
      </w:r>
      <w:r w:rsidRPr="008420DA">
        <w:rPr>
          <w:rStyle w:val="iaj"/>
          <w:rFonts w:ascii="Verdana" w:hAnsi="Verdana" w:cs="Open Sans"/>
          <w:i/>
          <w:iCs/>
          <w:sz w:val="20"/>
          <w:szCs w:val="20"/>
        </w:rPr>
        <w:t>no podrán ser contratistas</w:t>
      </w:r>
      <w:r w:rsidRPr="008420DA">
        <w:rPr>
          <w:rFonts w:ascii="Verdana" w:hAnsi="Verdana" w:cs="Open Sans"/>
          <w:sz w:val="20"/>
          <w:szCs w:val="20"/>
        </w:rPr>
        <w:t> del respectivo departamento, distrito o municipio, o de sus entidades descentralizadas, ni directa, ni indirectamente</w:t>
      </w:r>
      <w:r>
        <w:rPr>
          <w:rFonts w:ascii="Verdana" w:hAnsi="Verdana" w:cs="Open Sans"/>
          <w:sz w:val="20"/>
          <w:szCs w:val="20"/>
        </w:rPr>
        <w:t xml:space="preserve"> (</w:t>
      </w:r>
      <w:r w:rsidRPr="008420DA">
        <w:rPr>
          <w:rFonts w:ascii="Verdana" w:hAnsi="Verdana" w:cs="Open Sans"/>
          <w:sz w:val="20"/>
          <w:szCs w:val="20"/>
        </w:rPr>
        <w:t>…</w:t>
      </w:r>
      <w:r>
        <w:rPr>
          <w:rFonts w:ascii="Verdana" w:hAnsi="Verdana" w:cs="Open Sans"/>
          <w:sz w:val="20"/>
          <w:szCs w:val="20"/>
        </w:rPr>
        <w:t>)”.</w:t>
      </w:r>
    </w:p>
    <w:p w14:paraId="6FF17D81" w14:textId="77777777" w:rsidR="001256E1" w:rsidRPr="00327FFB" w:rsidRDefault="001256E1" w:rsidP="001256E1">
      <w:pPr>
        <w:widowControl w:val="0"/>
        <w:autoSpaceDE w:val="0"/>
        <w:autoSpaceDN w:val="0"/>
        <w:spacing w:after="0" w:line="240" w:lineRule="auto"/>
        <w:ind w:left="709" w:right="760"/>
        <w:jc w:val="both"/>
        <w:rPr>
          <w:rFonts w:ascii="Verdana" w:eastAsia="Calibri" w:hAnsi="Verdana" w:cs="Arial"/>
          <w:sz w:val="20"/>
          <w:szCs w:val="20"/>
          <w:lang w:val="es-ES_tradnl"/>
        </w:rPr>
      </w:pPr>
    </w:p>
    <w:p w14:paraId="1E68B394" w14:textId="77777777" w:rsidR="001256E1" w:rsidRPr="008420DA" w:rsidRDefault="001256E1" w:rsidP="001256E1">
      <w:pPr>
        <w:widowControl w:val="0"/>
        <w:autoSpaceDE w:val="0"/>
        <w:autoSpaceDN w:val="0"/>
        <w:spacing w:after="120" w:line="276" w:lineRule="auto"/>
        <w:ind w:firstLine="709"/>
        <w:jc w:val="both"/>
        <w:rPr>
          <w:rFonts w:ascii="Verdana" w:eastAsia="Calibri" w:hAnsi="Verdana" w:cs="Arial"/>
          <w:lang w:val="es-ES"/>
        </w:rPr>
      </w:pPr>
      <w:r>
        <w:rPr>
          <w:rFonts w:ascii="Verdana" w:eastAsia="Calibri" w:hAnsi="Verdana" w:cs="Arial"/>
          <w:lang w:val="es-ES"/>
        </w:rPr>
        <w:t xml:space="preserve">Además, el parágrafo tercero del mismo </w:t>
      </w:r>
      <w:r w:rsidRPr="0060163E">
        <w:rPr>
          <w:rFonts w:ascii="Verdana" w:eastAsia="Calibri" w:hAnsi="Verdana" w:cs="Arial"/>
          <w:lang w:val="es-ES_tradnl"/>
        </w:rPr>
        <w:t>artículo 49 de la Ley 617 de 2000</w:t>
      </w:r>
      <w:r>
        <w:rPr>
          <w:rFonts w:ascii="Verdana" w:eastAsia="Calibri" w:hAnsi="Verdana" w:cs="Arial"/>
          <w:lang w:val="es-ES_tradnl"/>
        </w:rPr>
        <w:t xml:space="preserve"> hace una distinción para los concejales municipios de cuarta, quinta y sexta categoría en tanto</w:t>
      </w:r>
      <w:r w:rsidRPr="008420DA">
        <w:rPr>
          <w:rFonts w:ascii="Verdana" w:eastAsia="Calibri" w:hAnsi="Verdana" w:cs="Arial"/>
          <w:lang w:val="es-ES_tradnl"/>
        </w:rPr>
        <w:t>: “</w:t>
      </w:r>
      <w:r w:rsidRPr="008420DA">
        <w:rPr>
          <w:rFonts w:ascii="Verdana" w:hAnsi="Verdana" w:cs="Open Sans"/>
        </w:rPr>
        <w:t>Tratándose de concejales de municipios de cuarta, quinta y sexta categoría, las prohibiciones establecidas en el presente artículo se aplicarán únicamente para los cónyuges o </w:t>
      </w:r>
      <w:r w:rsidRPr="008420DA">
        <w:rPr>
          <w:rFonts w:ascii="Verdana" w:hAnsi="Verdana" w:cs="Open Sans"/>
          <w:u w:val="single"/>
        </w:rPr>
        <w:t>compañeros permanentes</w:t>
      </w:r>
      <w:r w:rsidRPr="008420DA">
        <w:rPr>
          <w:rFonts w:ascii="Verdana" w:hAnsi="Verdana" w:cs="Open Sans"/>
        </w:rPr>
        <w:t> y parientes hasta el segundo grado de consanguinidad, primero de afinidad o único civil.”</w:t>
      </w:r>
    </w:p>
    <w:p w14:paraId="31BDF608" w14:textId="77777777" w:rsidR="001256E1" w:rsidRDefault="001256E1" w:rsidP="001256E1">
      <w:pPr>
        <w:widowControl w:val="0"/>
        <w:autoSpaceDE w:val="0"/>
        <w:autoSpaceDN w:val="0"/>
        <w:spacing w:after="120" w:line="276" w:lineRule="auto"/>
        <w:ind w:firstLine="709"/>
        <w:jc w:val="both"/>
        <w:rPr>
          <w:rFonts w:ascii="Verdana" w:eastAsia="Calibri" w:hAnsi="Verdana" w:cs="Arial"/>
          <w:lang w:val="es-ES"/>
        </w:rPr>
      </w:pPr>
      <w:r w:rsidRPr="008420DA">
        <w:rPr>
          <w:rFonts w:ascii="Verdana" w:eastAsia="Calibri" w:hAnsi="Verdana" w:cs="Arial"/>
          <w:lang w:val="es-ES"/>
        </w:rPr>
        <w:t>Teniendo en cue</w:t>
      </w:r>
      <w:r>
        <w:rPr>
          <w:rFonts w:ascii="Verdana" w:eastAsia="Calibri" w:hAnsi="Verdana" w:cs="Arial"/>
          <w:lang w:val="es-ES"/>
        </w:rPr>
        <w:t>nta dicha distinción, se resalta que la expresión “dentro del cuarto grado de consanguinidad” del inciso tercero del artículo 49 de la Ley 617 de 2000 fue declarada exequible por la Corte Constitucional</w:t>
      </w:r>
      <w:r>
        <w:rPr>
          <w:rStyle w:val="Refdenotaalpie"/>
          <w:rFonts w:ascii="Verdana" w:eastAsia="Calibri" w:hAnsi="Verdana" w:cs="Arial"/>
          <w:lang w:val="es-ES"/>
        </w:rPr>
        <w:footnoteReference w:id="14"/>
      </w:r>
      <w:r>
        <w:rPr>
          <w:rFonts w:ascii="Verdana" w:eastAsia="Calibri" w:hAnsi="Verdana" w:cs="Arial"/>
          <w:lang w:val="es-ES"/>
        </w:rPr>
        <w:t>, ante la demanda de constitucionalidad que argumentaba una vulneración al derecho a la igualdad, dado que en otras disposiciones normativas sobre inhabilidades solo se incluía hasta el segundo grado de consanguinidad, argumentando que:</w:t>
      </w:r>
    </w:p>
    <w:p w14:paraId="5F944C66" w14:textId="77777777" w:rsidR="001256E1" w:rsidRDefault="001256E1" w:rsidP="001256E1">
      <w:pPr>
        <w:spacing w:after="0" w:line="240" w:lineRule="auto"/>
        <w:ind w:left="709" w:right="760"/>
        <w:jc w:val="both"/>
        <w:rPr>
          <w:rFonts w:ascii="Verdana" w:eastAsia="Times New Roman" w:hAnsi="Verdana" w:cs="Open Sans"/>
          <w:color w:val="000000"/>
          <w:sz w:val="20"/>
          <w:szCs w:val="20"/>
          <w:lang w:eastAsia="es-CO"/>
        </w:rPr>
      </w:pPr>
      <w:r>
        <w:rPr>
          <w:rFonts w:ascii="Open Sans" w:eastAsia="Times New Roman" w:hAnsi="Open Sans" w:cs="Open Sans"/>
          <w:b/>
          <w:bCs/>
          <w:color w:val="000000"/>
          <w:sz w:val="17"/>
          <w:szCs w:val="17"/>
          <w:lang w:eastAsia="es-CO"/>
        </w:rPr>
        <w:t xml:space="preserve"> </w:t>
      </w:r>
      <w:r>
        <w:rPr>
          <w:rFonts w:ascii="Verdana" w:eastAsia="Times New Roman" w:hAnsi="Verdana" w:cs="Open Sans"/>
          <w:color w:val="000000"/>
          <w:sz w:val="20"/>
          <w:szCs w:val="20"/>
          <w:lang w:eastAsia="es-CO"/>
        </w:rPr>
        <w:t xml:space="preserve">“(…) </w:t>
      </w:r>
      <w:r w:rsidRPr="00C83B98">
        <w:rPr>
          <w:rFonts w:ascii="Verdana" w:eastAsia="Times New Roman" w:hAnsi="Verdana" w:cs="Open Sans"/>
          <w:color w:val="000000"/>
          <w:sz w:val="20"/>
          <w:szCs w:val="20"/>
          <w:lang w:eastAsia="es-CO"/>
        </w:rPr>
        <w:t>Para la Sala, el trato diferenciado que contiene la disposición que se demanda es idóneo o adecuado para lograr la finalidad que persigue. En efecto, al hacer más estricto el régimen de inhabilidades de los parientes de los gobernadores, diputados, alcaldes y concejales para contratar con la respectiva entidad territorial, maximiza la realización de los principios constitucionales de prevalencia del interés general, moralidad e imparcialidad, que orientan la función administrativa. Esto es así, por cuanto, al impedir que en un mayor número de casos se presenten eventuales conflictos de interés en el ejercicio de la función administrativa por parte de estos servidores públicos, existe una mayor garantía en abstracto de que en los procesos de selección de contratistas del Estado no prevalezcan las relaciones de parentesco que puedan tener algunos de los oferentes con estos servidores públicos. De esta forma, es presumible inferir que la disposición logra una mayor realización de aquellos principios, que una norma que limite el régimen de inhabilidades sólo a los parientes de aquellos servidores únicamente hasta el segundo grado de consanguinidad.</w:t>
      </w:r>
    </w:p>
    <w:p w14:paraId="5743C76F" w14:textId="77777777" w:rsidR="001256E1" w:rsidRPr="00C83B98" w:rsidRDefault="001256E1" w:rsidP="001256E1">
      <w:pPr>
        <w:spacing w:after="0" w:line="240" w:lineRule="auto"/>
        <w:ind w:left="709" w:right="760"/>
        <w:jc w:val="both"/>
        <w:rPr>
          <w:rFonts w:ascii="Verdana" w:eastAsia="Times New Roman" w:hAnsi="Verdana" w:cs="Open Sans"/>
          <w:color w:val="4B4949"/>
          <w:sz w:val="20"/>
          <w:szCs w:val="20"/>
          <w:lang w:eastAsia="es-CO"/>
        </w:rPr>
      </w:pPr>
    </w:p>
    <w:p w14:paraId="5E46DA1E" w14:textId="77777777" w:rsidR="001256E1" w:rsidRPr="00C83B98" w:rsidRDefault="001256E1" w:rsidP="001256E1">
      <w:pPr>
        <w:spacing w:after="0" w:line="240" w:lineRule="auto"/>
        <w:ind w:left="709" w:right="760"/>
        <w:jc w:val="both"/>
        <w:rPr>
          <w:rFonts w:ascii="Verdana" w:eastAsia="Times New Roman" w:hAnsi="Verdana" w:cs="Open Sans"/>
          <w:color w:val="4B4949"/>
          <w:sz w:val="20"/>
          <w:szCs w:val="20"/>
          <w:lang w:eastAsia="es-CO"/>
        </w:rPr>
      </w:pPr>
      <w:r w:rsidRPr="00C83B98">
        <w:rPr>
          <w:rFonts w:ascii="Verdana" w:eastAsia="Times New Roman" w:hAnsi="Verdana" w:cs="Open Sans"/>
          <w:color w:val="000000"/>
          <w:sz w:val="20"/>
          <w:szCs w:val="20"/>
          <w:lang w:eastAsia="es-CO"/>
        </w:rPr>
        <w:t>En estos términos, la inhabilidad por parentesco para contratar que regula la disposición demandada evita que los servidores públicos otorguen un tratamiento preferente a favor de sus parientes hasta el cuarto grado de consanguinidad o que incidan en que este se conceda, en perjuicio de la imparcialidad y moralidad, y, por tanto, del interés general que debe guiar el ejercicio de la función administrativa de la contratación estatal. Sobre el particular, resulta razonable que, dentro de su amplio margen de configuración, el legislador imponga una restricción mayor a los parientes de los diputados, gobernadores, concejales y alcaldes, para ser contratistas de las entidades territoriales en las cuales fueron elegidos, por cuanto, precisamente, a las asambleas y a los concejos compete adoptar, a iniciativa de los respectivos gobernadores y alcaldes, los planes de inversión para el correspondiente período, y los presupuestos anuales de gastos en los que se apropian las partidas para la ejecución de los mencionados planes, así como a las asambleas y a los concejos les corresponde autorizar a gobernadores y alcaldes para celebrar los contratos de la administración, en los términos de los artículos 300, 305, 313 y 315 de la Constitución, de manera concordante con la forma en que el legislador precisó este deber en el Estatuto General de Contratación de la Administración Pública</w:t>
      </w:r>
      <w:r>
        <w:rPr>
          <w:rFonts w:ascii="Verdana" w:eastAsia="Times New Roman" w:hAnsi="Verdana" w:cs="Open Sans"/>
          <w:color w:val="000000"/>
          <w:sz w:val="20"/>
          <w:szCs w:val="20"/>
          <w:lang w:eastAsia="es-CO"/>
        </w:rPr>
        <w:t xml:space="preserve"> (…)”.</w:t>
      </w:r>
    </w:p>
    <w:p w14:paraId="5F2AA735" w14:textId="77777777" w:rsidR="001256E1" w:rsidRDefault="001256E1" w:rsidP="001256E1">
      <w:pPr>
        <w:spacing w:after="0" w:line="240" w:lineRule="auto"/>
        <w:ind w:firstLine="709"/>
        <w:jc w:val="both"/>
        <w:rPr>
          <w:rFonts w:ascii="Verdana" w:eastAsia="Calibri" w:hAnsi="Verdana" w:cs="Arial"/>
          <w:lang w:val="es-ES"/>
        </w:rPr>
      </w:pPr>
    </w:p>
    <w:p w14:paraId="025D9531" w14:textId="77777777" w:rsidR="001256E1" w:rsidRDefault="001256E1" w:rsidP="001256E1">
      <w:pPr>
        <w:spacing w:after="120" w:line="276" w:lineRule="auto"/>
        <w:ind w:firstLine="709"/>
        <w:jc w:val="both"/>
        <w:rPr>
          <w:rFonts w:ascii="Verdana" w:eastAsia="Calibri" w:hAnsi="Verdana" w:cs="Arial"/>
          <w:color w:val="000000" w:themeColor="text1"/>
          <w:lang w:val="es-ES"/>
        </w:rPr>
      </w:pPr>
      <w:r w:rsidRPr="6894EB3A">
        <w:rPr>
          <w:rFonts w:ascii="Verdana" w:eastAsia="Calibri" w:hAnsi="Verdana" w:cs="Arial"/>
          <w:lang w:val="es-ES"/>
        </w:rPr>
        <w:t>Así, esta regla especial</w:t>
      </w:r>
      <w:r>
        <w:rPr>
          <w:rFonts w:ascii="Verdana" w:eastAsia="Calibri" w:hAnsi="Verdana" w:cs="Arial"/>
          <w:lang w:val="es-ES"/>
        </w:rPr>
        <w:t xml:space="preserve"> contenida en el artículo 49 de la Ley 617 de 2000</w:t>
      </w:r>
      <w:r w:rsidRPr="6894EB3A">
        <w:rPr>
          <w:rFonts w:ascii="Verdana" w:eastAsia="Calibri" w:hAnsi="Verdana" w:cs="Arial"/>
          <w:lang w:val="es-ES"/>
        </w:rPr>
        <w:t xml:space="preserve"> dispone </w:t>
      </w:r>
      <w:r>
        <w:rPr>
          <w:rFonts w:ascii="Verdana" w:eastAsia="Calibri" w:hAnsi="Verdana" w:cs="Arial"/>
          <w:lang w:val="es-ES"/>
        </w:rPr>
        <w:t xml:space="preserve">en primer lugar </w:t>
      </w:r>
      <w:r w:rsidRPr="6894EB3A">
        <w:rPr>
          <w:rFonts w:ascii="Verdana" w:eastAsia="Calibri" w:hAnsi="Verdana" w:cs="Arial"/>
          <w:lang w:val="es-ES"/>
        </w:rPr>
        <w:t xml:space="preserve">una prohibición que </w:t>
      </w:r>
      <w:r w:rsidRPr="6894EB3A">
        <w:rPr>
          <w:rFonts w:ascii="Verdana" w:eastAsia="Calibri" w:hAnsi="Verdana" w:cs="Arial"/>
          <w:color w:val="000000" w:themeColor="text1"/>
          <w:lang w:val="es-ES"/>
        </w:rPr>
        <w:t>aplica a los cónyuges o compañeros permanentes de los gobernadores, diputados, alcaldes o concejales, así como a sus parientes dentro del cuarto grado de consanguinidad, segundo de afinidad o primero civil, quienes no podrán celebrar contratos directa ni indirectamente con el departamento, distrito o municipio, o con sus entidades descentralizadas</w:t>
      </w:r>
      <w:r>
        <w:rPr>
          <w:rFonts w:ascii="Verdana" w:eastAsia="Calibri" w:hAnsi="Verdana" w:cs="Arial"/>
          <w:color w:val="000000" w:themeColor="text1"/>
          <w:lang w:val="es-ES"/>
        </w:rPr>
        <w:t>, tratándose de los municipios de primera, segunda y tercera categoría</w:t>
      </w:r>
      <w:r w:rsidRPr="6894EB3A">
        <w:rPr>
          <w:rFonts w:ascii="Verdana" w:eastAsia="Calibri" w:hAnsi="Verdana" w:cs="Arial"/>
          <w:color w:val="000000" w:themeColor="text1"/>
          <w:lang w:val="es-ES"/>
        </w:rPr>
        <w:t xml:space="preserve">. </w:t>
      </w:r>
    </w:p>
    <w:p w14:paraId="5B3132B8" w14:textId="77777777" w:rsidR="001256E1" w:rsidRDefault="001256E1" w:rsidP="001256E1">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themeColor="text1"/>
          <w:lang w:val="es-ES"/>
        </w:rPr>
        <w:t xml:space="preserve">Por su parte, el parágrafo tercero del mencionado artículo 49 determina que, </w:t>
      </w:r>
      <w:r w:rsidRPr="6894EB3A">
        <w:rPr>
          <w:rFonts w:ascii="Verdana" w:eastAsia="Calibri" w:hAnsi="Verdana" w:cs="Arial"/>
          <w:color w:val="000000" w:themeColor="text1"/>
          <w:lang w:val="es-ES"/>
        </w:rPr>
        <w:t xml:space="preserve">la prohibición </w:t>
      </w:r>
      <w:r>
        <w:rPr>
          <w:rFonts w:ascii="Verdana" w:eastAsia="Calibri" w:hAnsi="Verdana" w:cs="Arial"/>
          <w:color w:val="000000" w:themeColor="text1"/>
          <w:lang w:val="es-ES"/>
        </w:rPr>
        <w:t xml:space="preserve">relativa a la celebración de contratos </w:t>
      </w:r>
      <w:r w:rsidRPr="6894EB3A">
        <w:rPr>
          <w:rFonts w:ascii="Verdana" w:eastAsia="Calibri" w:hAnsi="Verdana" w:cs="Arial"/>
          <w:color w:val="000000" w:themeColor="text1"/>
          <w:lang w:val="es-ES"/>
        </w:rPr>
        <w:t xml:space="preserve">se aplica únicamente </w:t>
      </w:r>
      <w:r>
        <w:rPr>
          <w:rFonts w:ascii="Verdana" w:eastAsia="Calibri" w:hAnsi="Verdana" w:cs="Arial"/>
          <w:color w:val="000000" w:themeColor="text1"/>
          <w:lang w:val="es-ES"/>
        </w:rPr>
        <w:t xml:space="preserve">para los concejales de los municipios de cuarta, quinta y sexta categoría, cuyos parientes sean los </w:t>
      </w:r>
      <w:r w:rsidRPr="6894EB3A">
        <w:rPr>
          <w:rFonts w:ascii="Verdana" w:eastAsia="Calibri" w:hAnsi="Verdana" w:cs="Arial"/>
          <w:color w:val="000000" w:themeColor="text1"/>
          <w:lang w:val="es-ES"/>
        </w:rPr>
        <w:t xml:space="preserve">cónyuges o compañeros permanentes y parientes hasta el segundo grado de consanguinidad, primero de afinidad o único civil. En ese sentido, para los parientes </w:t>
      </w:r>
      <w:r>
        <w:rPr>
          <w:rFonts w:ascii="Verdana" w:eastAsia="Calibri" w:hAnsi="Verdana" w:cs="Arial"/>
          <w:color w:val="000000" w:themeColor="text1"/>
          <w:lang w:val="es-ES"/>
        </w:rPr>
        <w:t xml:space="preserve">que se encuentran </w:t>
      </w:r>
      <w:r w:rsidRPr="6894EB3A">
        <w:rPr>
          <w:rFonts w:ascii="Verdana" w:eastAsia="Calibri" w:hAnsi="Verdana" w:cs="Arial"/>
          <w:color w:val="000000" w:themeColor="text1"/>
          <w:lang w:val="es-ES"/>
        </w:rPr>
        <w:t xml:space="preserve">dentro del </w:t>
      </w:r>
      <w:r>
        <w:rPr>
          <w:rFonts w:ascii="Verdana" w:eastAsia="Calibri" w:hAnsi="Verdana" w:cs="Arial"/>
          <w:color w:val="000000" w:themeColor="text1"/>
          <w:lang w:val="es-ES"/>
        </w:rPr>
        <w:t>tercer</w:t>
      </w:r>
      <w:r w:rsidRPr="6894EB3A">
        <w:rPr>
          <w:rFonts w:ascii="Verdana" w:eastAsia="Calibri" w:hAnsi="Verdana" w:cs="Arial"/>
          <w:color w:val="000000" w:themeColor="text1"/>
          <w:lang w:val="es-ES"/>
        </w:rPr>
        <w:t xml:space="preserve"> grado de consanguinidad de un concejal de un municipio de cuarta, quinta o sexta categoría, no operaría la prohibición</w:t>
      </w:r>
      <w:r>
        <w:rPr>
          <w:rFonts w:ascii="Verdana" w:eastAsia="Calibri" w:hAnsi="Verdana" w:cs="Arial"/>
          <w:color w:val="000000"/>
          <w:lang w:val="es-ES_tradnl"/>
        </w:rPr>
        <w:t>.</w:t>
      </w:r>
    </w:p>
    <w:p w14:paraId="0973A659" w14:textId="77777777" w:rsidR="001256E1" w:rsidRPr="00427634" w:rsidRDefault="001256E1" w:rsidP="001256E1">
      <w:pPr>
        <w:spacing w:after="120" w:line="276" w:lineRule="auto"/>
        <w:ind w:firstLine="709"/>
        <w:jc w:val="both"/>
        <w:rPr>
          <w:rFonts w:ascii="Verdana" w:eastAsia="Calibri" w:hAnsi="Verdana" w:cs="Arial"/>
          <w:color w:val="000000"/>
          <w:lang w:val="es-ES_tradnl"/>
        </w:rPr>
      </w:pPr>
      <w:r>
        <w:rPr>
          <w:rFonts w:ascii="Verdana" w:eastAsia="Calibri" w:hAnsi="Verdana" w:cs="Arial"/>
          <w:lang w:val="es-ES"/>
        </w:rPr>
        <w:t>Por lo tanto, en principio</w:t>
      </w:r>
      <w:r w:rsidRPr="0060163E">
        <w:rPr>
          <w:rFonts w:ascii="Verdana" w:eastAsia="Calibri" w:hAnsi="Verdana" w:cs="Arial"/>
          <w:color w:val="000000"/>
          <w:lang w:val="es-MX"/>
        </w:rPr>
        <w:t xml:space="preserve">, todas las entidades y funcionarios del artículo 2 de la Ley 80 de 1993 se rigen por las causales de inhabilidad del artículo 8 </w:t>
      </w:r>
      <w:r w:rsidRPr="0060163E">
        <w:rPr>
          <w:rFonts w:ascii="Verdana" w:eastAsia="Calibri" w:hAnsi="Verdana" w:cs="Arial"/>
          <w:i/>
          <w:iCs/>
          <w:color w:val="000000"/>
          <w:lang w:val="es-MX"/>
        </w:rPr>
        <w:t>ibidem</w:t>
      </w:r>
      <w:r w:rsidRPr="0060163E">
        <w:rPr>
          <w:rFonts w:ascii="Verdana" w:eastAsia="Calibri" w:hAnsi="Verdana" w:cs="Arial"/>
          <w:color w:val="000000"/>
          <w:lang w:val="es-MX"/>
        </w:rPr>
        <w:t xml:space="preserve">, incluyendo la del literal b) del numeral 2 explicada </w:t>
      </w:r>
      <w:r w:rsidRPr="0060163E">
        <w:rPr>
          <w:rFonts w:ascii="Verdana" w:eastAsia="Calibri" w:hAnsi="Verdana" w:cs="Arial"/>
          <w:i/>
          <w:iCs/>
          <w:color w:val="000000"/>
          <w:lang w:val="es-MX"/>
        </w:rPr>
        <w:t>ut supra</w:t>
      </w:r>
      <w:r>
        <w:rPr>
          <w:rFonts w:ascii="Verdana" w:eastAsia="Calibri" w:hAnsi="Verdana" w:cs="Arial"/>
          <w:color w:val="000000"/>
          <w:lang w:val="es-MX"/>
        </w:rPr>
        <w:t>, p</w:t>
      </w:r>
      <w:proofErr w:type="spellStart"/>
      <w:r w:rsidRPr="0060163E">
        <w:rPr>
          <w:rFonts w:ascii="Verdana" w:eastAsia="Calibri" w:hAnsi="Verdana" w:cs="Arial"/>
          <w:lang w:val="es-ES_tradnl"/>
        </w:rPr>
        <w:t>ues</w:t>
      </w:r>
      <w:proofErr w:type="spellEnd"/>
      <w:r w:rsidRPr="0060163E">
        <w:rPr>
          <w:rFonts w:ascii="Verdana" w:eastAsia="Calibri" w:hAnsi="Verdana" w:cs="Arial"/>
          <w:lang w:val="es-ES_tradnl"/>
        </w:rPr>
        <w:t xml:space="preserve"> es </w:t>
      </w:r>
      <w:r>
        <w:rPr>
          <w:rFonts w:ascii="Verdana" w:eastAsia="Calibri" w:hAnsi="Verdana" w:cs="Arial"/>
          <w:lang w:val="es-ES_tradnl"/>
        </w:rPr>
        <w:t xml:space="preserve">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en materia de inhabilidades e incompatibilidades para la contratación de las entidades sometidas a la Ley 80 de 1993. Sin embargo, el artículo 49 de la Ley 617</w:t>
      </w:r>
      <w:r>
        <w:rPr>
          <w:rFonts w:ascii="Verdana" w:eastAsia="Calibri" w:hAnsi="Verdana" w:cs="Arial"/>
          <w:lang w:val="es-ES_tradnl"/>
        </w:rPr>
        <w:t xml:space="preserve"> de 2000</w:t>
      </w:r>
      <w:r w:rsidRPr="0060163E">
        <w:rPr>
          <w:rFonts w:ascii="Verdana" w:eastAsia="Calibri" w:hAnsi="Verdana" w:cs="Arial"/>
          <w:lang w:val="es-ES_tradnl"/>
        </w:rPr>
        <w:t xml:space="preserve"> </w:t>
      </w:r>
      <w:r>
        <w:rPr>
          <w:rFonts w:ascii="Verdana" w:eastAsia="Calibri" w:hAnsi="Verdana" w:cs="Arial"/>
          <w:lang w:val="es-ES_tradnl"/>
        </w:rPr>
        <w:t>se trata de una</w:t>
      </w:r>
      <w:r w:rsidRPr="0060163E">
        <w:rPr>
          <w:rFonts w:ascii="Verdana" w:eastAsia="Calibri" w:hAnsi="Verdana" w:cs="Arial"/>
          <w:lang w:val="es-ES_tradnl"/>
        </w:rPr>
        <w:t xml:space="preserve"> </w:t>
      </w:r>
      <w:r w:rsidRPr="0060163E">
        <w:rPr>
          <w:rFonts w:ascii="Verdana" w:eastAsia="Calibri" w:hAnsi="Verdana" w:cs="Arial"/>
          <w:i/>
          <w:iCs/>
          <w:lang w:val="es-ES_tradnl"/>
        </w:rPr>
        <w:t>regla especial</w:t>
      </w:r>
      <w:r w:rsidRPr="0060163E">
        <w:rPr>
          <w:rFonts w:ascii="Verdana" w:eastAsia="Calibri" w:hAnsi="Verdana" w:cs="Arial"/>
          <w:lang w:val="es-ES_tradnl"/>
        </w:rPr>
        <w:t>, la cual se ratifica en las modificaciones posteriores del artículo 1º de las Leyes 821 de 2003, 1148 de 2007 y 1296 de 2009. Según esta regla,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w:t>
      </w:r>
      <w:r w:rsidRPr="0060163E">
        <w:rPr>
          <w:rFonts w:ascii="Verdana" w:eastAsia="Calibri" w:hAnsi="Verdana" w:cs="Arial"/>
          <w:vertAlign w:val="superscript"/>
          <w:lang w:val="es-ES_tradnl"/>
        </w:rPr>
        <w:footnoteReference w:id="15"/>
      </w:r>
      <w:r w:rsidRPr="0060163E">
        <w:rPr>
          <w:rFonts w:ascii="Verdana" w:eastAsia="Calibri" w:hAnsi="Verdana" w:cs="Arial"/>
          <w:lang w:val="es-ES_tradnl"/>
        </w:rPr>
        <w:t>.</w:t>
      </w:r>
      <w:r>
        <w:rPr>
          <w:rFonts w:ascii="Verdana" w:eastAsia="Calibri" w:hAnsi="Verdana" w:cs="Arial"/>
          <w:lang w:val="es-ES_tradnl"/>
        </w:rPr>
        <w:t xml:space="preserve"> </w:t>
      </w:r>
    </w:p>
    <w:p w14:paraId="34C16539" w14:textId="77777777" w:rsidR="001256E1" w:rsidRPr="00E84A27" w:rsidRDefault="001256E1" w:rsidP="001256E1">
      <w:pPr>
        <w:spacing w:after="120" w:line="276" w:lineRule="auto"/>
        <w:ind w:firstLine="709"/>
        <w:jc w:val="both"/>
        <w:rPr>
          <w:rFonts w:ascii="Verdana" w:eastAsia="Calibri" w:hAnsi="Verdana" w:cs="Arial"/>
          <w:lang w:val="es-ES"/>
        </w:rPr>
      </w:pPr>
      <w:r>
        <w:rPr>
          <w:rFonts w:ascii="Verdana" w:eastAsia="Calibri" w:hAnsi="Verdana" w:cs="Arial"/>
          <w:lang w:val="es-ES"/>
        </w:rPr>
        <w:t>Empero</w:t>
      </w:r>
      <w:r w:rsidRPr="4D14AFBD">
        <w:rPr>
          <w:rFonts w:ascii="Verdana" w:eastAsia="Calibri" w:hAnsi="Verdana" w:cs="Arial"/>
          <w:lang w:val="es-ES"/>
        </w:rPr>
        <w:t xml:space="preserve"> dado que la interpretación de este tipo de normativa debe ser restrictiva se encuentra que, </w:t>
      </w:r>
      <w:r>
        <w:rPr>
          <w:rFonts w:ascii="Verdana" w:eastAsia="Calibri" w:hAnsi="Verdana" w:cs="Arial"/>
          <w:lang w:val="es-ES"/>
        </w:rPr>
        <w:t xml:space="preserve">según lo dispuesto en el </w:t>
      </w:r>
      <w:r w:rsidRPr="4D14AFBD">
        <w:rPr>
          <w:rFonts w:ascii="Verdana" w:eastAsia="Calibri" w:hAnsi="Verdana" w:cs="Arial"/>
          <w:lang w:val="es-ES"/>
        </w:rPr>
        <w:t xml:space="preserve">parágrafo tercero del artículo 49 de la Ley 617 de 2000 </w:t>
      </w:r>
      <w:r>
        <w:rPr>
          <w:rFonts w:ascii="Verdana" w:eastAsia="Calibri" w:hAnsi="Verdana" w:cs="Arial"/>
          <w:lang w:val="es-ES"/>
        </w:rPr>
        <w:t>tratándose</w:t>
      </w:r>
      <w:r w:rsidRPr="4D14AFBD">
        <w:rPr>
          <w:rFonts w:ascii="Verdana" w:eastAsia="Calibri" w:hAnsi="Verdana" w:cs="Arial"/>
          <w:color w:val="000000" w:themeColor="text1"/>
          <w:lang w:val="es-ES"/>
        </w:rPr>
        <w:t xml:space="preserve"> de concejales de municipios de cuarta, quinta y sexta categoría, se aplica la prohibición únicamente a los cónyuges o compañeros permanentes y parientes hasta el segundo grado de consanguinidad, primero de afinidad o único civil.</w:t>
      </w:r>
    </w:p>
    <w:p w14:paraId="15CE7722" w14:textId="2EC4921B" w:rsidR="00705B17" w:rsidRPr="00C71956" w:rsidRDefault="00705B17" w:rsidP="00705B17">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CBD03C2" w14:textId="77777777" w:rsidR="00705B17" w:rsidRDefault="00705B17" w:rsidP="00705B17">
      <w:pPr>
        <w:widowControl w:val="0"/>
        <w:autoSpaceDE w:val="0"/>
        <w:autoSpaceDN w:val="0"/>
        <w:spacing w:after="120" w:line="276" w:lineRule="auto"/>
        <w:jc w:val="both"/>
        <w:rPr>
          <w:rFonts w:ascii="Verdana" w:eastAsia="Calibri" w:hAnsi="Verdana" w:cs="Arial"/>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6A45E9FD" w14:textId="77777777" w:rsidR="00705B17" w:rsidRDefault="00705B17" w:rsidP="00705B17">
      <w:pPr>
        <w:widowControl w:val="0"/>
        <w:autoSpaceDE w:val="0"/>
        <w:autoSpaceDN w:val="0"/>
        <w:spacing w:after="120" w:line="276" w:lineRule="auto"/>
        <w:jc w:val="both"/>
        <w:rPr>
          <w:rFonts w:ascii="Verdana" w:eastAsia="Calibri" w:hAnsi="Verdana" w:cs="Arial"/>
          <w:lang w:val="es-ES"/>
        </w:rPr>
      </w:pPr>
    </w:p>
    <w:p w14:paraId="172E77D0" w14:textId="77777777" w:rsidR="00705B17" w:rsidRPr="0060676F" w:rsidRDefault="00705B17" w:rsidP="00705B17">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CB7256D" w14:textId="77777777" w:rsidR="00705B17" w:rsidRPr="00593A5F" w:rsidRDefault="00705B17" w:rsidP="00705B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05B17" w:rsidRPr="00593A5F" w14:paraId="4AC49BC7" w14:textId="77777777" w:rsidTr="002B73C0">
        <w:trPr>
          <w:trHeight w:val="870"/>
        </w:trPr>
        <w:tc>
          <w:tcPr>
            <w:tcW w:w="8647" w:type="dxa"/>
          </w:tcPr>
          <w:p w14:paraId="4923AFA6" w14:textId="77777777" w:rsidR="00705B17" w:rsidRDefault="00705B17" w:rsidP="002B73C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8557D1">
              <w:rPr>
                <w:rFonts w:ascii="Verdana" w:eastAsia="Calibri" w:hAnsi="Verdana" w:cs="Arial"/>
                <w:lang w:val="es-ES_tradnl"/>
              </w:rPr>
              <w:t>Constitución Política, artículo 6, artículo 29 y artículo 209</w:t>
            </w:r>
          </w:p>
          <w:p w14:paraId="79164041" w14:textId="77777777" w:rsidR="00705B17" w:rsidRPr="00925BAB" w:rsidRDefault="00705B17" w:rsidP="002B73C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25BAB">
              <w:rPr>
                <w:rFonts w:ascii="Verdana" w:hAnsi="Verdana" w:cs="Arial"/>
              </w:rPr>
              <w:t>Ley 80 de 1993: Artículo 8.</w:t>
            </w:r>
          </w:p>
          <w:p w14:paraId="65ABEC5B" w14:textId="77777777" w:rsidR="00705B17" w:rsidRPr="00F25272" w:rsidRDefault="00705B17" w:rsidP="002B73C0">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925BAB">
              <w:rPr>
                <w:rFonts w:ascii="Verdana" w:hAnsi="Verdana"/>
              </w:rPr>
              <w:t>Decreto 1082 de 2015, Artículo 2.2.1.1.2.2.5</w:t>
            </w:r>
            <w:r w:rsidRPr="00925BAB">
              <w:rPr>
                <w:rFonts w:ascii="Verdana" w:hAnsi="Verdana"/>
                <w:spacing w:val="-75"/>
              </w:rPr>
              <w:t xml:space="preserve">    .</w:t>
            </w:r>
          </w:p>
          <w:p w14:paraId="0F974AE2" w14:textId="77777777" w:rsidR="00705B17" w:rsidRPr="00F25272" w:rsidRDefault="00705B17" w:rsidP="002B73C0">
            <w:pPr>
              <w:pStyle w:val="Prrafodelista"/>
              <w:numPr>
                <w:ilvl w:val="0"/>
                <w:numId w:val="17"/>
              </w:numPr>
              <w:rPr>
                <w:rFonts w:ascii="Verdana" w:hAnsi="Verdana"/>
              </w:rPr>
            </w:pPr>
            <w:r w:rsidRPr="008557D1">
              <w:rPr>
                <w:rFonts w:ascii="Verdana" w:eastAsia="Calibri" w:hAnsi="Verdana" w:cs="Arial"/>
                <w:lang w:val="es-ES_tradnl"/>
              </w:rPr>
              <w:t xml:space="preserve">Ley 1150 de 2007, artículo 9.  </w:t>
            </w:r>
          </w:p>
          <w:p w14:paraId="3A208230" w14:textId="77777777" w:rsidR="00705B17" w:rsidRPr="00896343" w:rsidRDefault="00705B17" w:rsidP="002B73C0">
            <w:pPr>
              <w:pStyle w:val="Prrafodelista"/>
              <w:rPr>
                <w:rFonts w:ascii="Verdana" w:hAnsi="Verdana"/>
              </w:rPr>
            </w:pPr>
          </w:p>
          <w:p w14:paraId="0C2F4D39" w14:textId="77777777" w:rsidR="00705B17" w:rsidRPr="00F25272" w:rsidRDefault="00705B17" w:rsidP="002B73C0">
            <w:pPr>
              <w:pStyle w:val="Prrafodelista"/>
              <w:numPr>
                <w:ilvl w:val="0"/>
                <w:numId w:val="17"/>
              </w:numPr>
              <w:rPr>
                <w:rFonts w:ascii="Verdana" w:hAnsi="Verdana"/>
              </w:rPr>
            </w:pPr>
            <w:r w:rsidRPr="008557D1">
              <w:rPr>
                <w:rFonts w:ascii="Verdana" w:eastAsia="Calibri" w:hAnsi="Verdana" w:cs="Arial"/>
                <w:lang w:eastAsia="es-ES"/>
              </w:rPr>
              <w:t>Ley 4170 de 2011, artículos 3, numeral 5º, y 11, numeral 8º.</w:t>
            </w:r>
          </w:p>
          <w:p w14:paraId="0DB238C2" w14:textId="77777777" w:rsidR="00705B17" w:rsidRPr="00F25272" w:rsidRDefault="00705B17" w:rsidP="002B73C0">
            <w:pPr>
              <w:rPr>
                <w:rFonts w:ascii="Verdana" w:hAnsi="Verdana"/>
              </w:rPr>
            </w:pPr>
          </w:p>
          <w:p w14:paraId="09383509" w14:textId="77777777" w:rsidR="00705B17" w:rsidRPr="001256E1" w:rsidRDefault="00705B17" w:rsidP="002B73C0">
            <w:pPr>
              <w:pStyle w:val="Prrafodelista"/>
              <w:numPr>
                <w:ilvl w:val="0"/>
                <w:numId w:val="17"/>
              </w:numPr>
              <w:rPr>
                <w:rFonts w:ascii="Verdana" w:hAnsi="Verdana"/>
              </w:rPr>
            </w:pPr>
            <w:r w:rsidRPr="00F25272">
              <w:rPr>
                <w:rFonts w:ascii="Verdana" w:eastAsia="Calibri" w:hAnsi="Verdana" w:cs="Arial"/>
                <w:lang w:eastAsia="es-ES"/>
              </w:rPr>
              <w:t xml:space="preserve">Ley 1437 de 2011, </w:t>
            </w:r>
            <w:r w:rsidRPr="00F25272">
              <w:rPr>
                <w:rFonts w:ascii="Verdana" w:hAnsi="Verdana"/>
                <w:lang w:val="es-CO"/>
              </w:rPr>
              <w:t>artículo 3. Numeral 5.</w:t>
            </w:r>
            <w:r w:rsidRPr="00F25272">
              <w:rPr>
                <w:rFonts w:ascii="Verdana" w:eastAsia="Calibri" w:hAnsi="Verdana" w:cs="Arial"/>
                <w:lang w:eastAsia="es-ES"/>
              </w:rPr>
              <w:t xml:space="preserve"> artículo 44.</w:t>
            </w:r>
          </w:p>
          <w:p w14:paraId="1FBEE8F1" w14:textId="77777777" w:rsidR="001256E1" w:rsidRPr="00A25C67"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 xml:space="preserve">Consejo de Estado. Sala de lo Contencioso Administrativo. Sección Tercera. Subsección A. Sentencia del 13 de noviembre de 2013. Radicado: 25000-23-26-000-1999-02197-01 (25646). C.P. Mauricio Fajardo Gómez.  </w:t>
            </w:r>
          </w:p>
          <w:p w14:paraId="79FB23D0" w14:textId="77777777" w:rsidR="001256E1" w:rsidRPr="00A25C67" w:rsidRDefault="001256E1" w:rsidP="001256E1">
            <w:pPr>
              <w:pStyle w:val="NormalWeb"/>
              <w:numPr>
                <w:ilvl w:val="0"/>
                <w:numId w:val="17"/>
              </w:numPr>
              <w:spacing w:before="120" w:beforeAutospacing="0" w:after="0" w:afterAutospacing="0"/>
              <w:ind w:left="714" w:hanging="357"/>
              <w:jc w:val="both"/>
              <w:rPr>
                <w:rFonts w:ascii="Verdana" w:hAnsi="Verdana"/>
                <w:sz w:val="22"/>
                <w:szCs w:val="22"/>
              </w:rPr>
            </w:pPr>
            <w:r w:rsidRPr="00A25C67">
              <w:rPr>
                <w:rFonts w:ascii="Verdana" w:hAnsi="Verdana"/>
                <w:sz w:val="22"/>
                <w:szCs w:val="22"/>
              </w:rPr>
              <w:t xml:space="preserve">Consejo de Estado. Sala de Consulta y Servicio Civil. Concepto del 30 de abril de 2015. Radicado: 11001-03-06-000-2015-00058-00 (2251). C.P: Álvaro </w:t>
            </w:r>
            <w:proofErr w:type="spellStart"/>
            <w:r w:rsidRPr="00A25C67">
              <w:rPr>
                <w:rFonts w:ascii="Verdana" w:hAnsi="Verdana"/>
                <w:sz w:val="22"/>
                <w:szCs w:val="22"/>
              </w:rPr>
              <w:t>Namén</w:t>
            </w:r>
            <w:proofErr w:type="spellEnd"/>
            <w:r w:rsidRPr="00A25C67">
              <w:rPr>
                <w:rFonts w:ascii="Verdana" w:hAnsi="Verdana"/>
                <w:sz w:val="22"/>
                <w:szCs w:val="22"/>
              </w:rPr>
              <w:t xml:space="preserve"> Vargas.</w:t>
            </w:r>
          </w:p>
          <w:p w14:paraId="3299E098" w14:textId="77777777" w:rsidR="001256E1" w:rsidRPr="00A25C67" w:rsidRDefault="001256E1" w:rsidP="001256E1">
            <w:pPr>
              <w:pStyle w:val="NormalWeb"/>
              <w:numPr>
                <w:ilvl w:val="0"/>
                <w:numId w:val="17"/>
              </w:numPr>
              <w:spacing w:before="120" w:beforeAutospacing="0" w:after="0" w:afterAutospacing="0"/>
              <w:ind w:left="714" w:hanging="357"/>
              <w:jc w:val="both"/>
              <w:rPr>
                <w:rFonts w:ascii="Verdana" w:hAnsi="Verdana"/>
                <w:sz w:val="22"/>
                <w:szCs w:val="22"/>
              </w:rPr>
            </w:pPr>
            <w:r w:rsidRPr="00A25C67">
              <w:rPr>
                <w:rFonts w:ascii="Verdana" w:hAnsi="Verdana"/>
                <w:sz w:val="22"/>
                <w:szCs w:val="22"/>
              </w:rPr>
              <w:t>Consejo de Estado. Sala de lo Contencioso Administrativo. Sección Tercera. Subsección A. Sentencia del 24 de junio de 2015. Radicado: 05001-23-31-000-1997-02636-01 (40.635). C.P: Hernán Andrade Rincón (E).</w:t>
            </w:r>
          </w:p>
          <w:p w14:paraId="5449EEC6" w14:textId="77777777" w:rsidR="001256E1" w:rsidRPr="00A25C67"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 xml:space="preserve">Consejo de Estado. Sala de lo Contencioso Administrativo. Sección Tercera. Subsección C. Sentencia del 22 de mayo de 2013. Radicado: 68001-23-15-000-1995-00152-01 (24.057). C.P: Olga Mélida Valle De </w:t>
            </w:r>
            <w:proofErr w:type="spellStart"/>
            <w:r w:rsidRPr="00A25C67">
              <w:rPr>
                <w:rFonts w:ascii="Verdana" w:hAnsi="Verdana" w:cs="Arial"/>
                <w:color w:val="000000" w:themeColor="text1"/>
                <w:sz w:val="22"/>
                <w:szCs w:val="22"/>
              </w:rPr>
              <w:t>De</w:t>
            </w:r>
            <w:proofErr w:type="spellEnd"/>
            <w:r w:rsidRPr="00A25C67">
              <w:rPr>
                <w:rFonts w:ascii="Verdana" w:hAnsi="Verdana" w:cs="Arial"/>
                <w:color w:val="000000" w:themeColor="text1"/>
                <w:sz w:val="22"/>
                <w:szCs w:val="22"/>
              </w:rPr>
              <w:t xml:space="preserve"> La Hoz.</w:t>
            </w:r>
          </w:p>
          <w:p w14:paraId="335A0DAD" w14:textId="77777777" w:rsidR="001256E1"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641BB">
              <w:rPr>
                <w:rFonts w:ascii="Verdana" w:hAnsi="Verdana" w:cs="Arial"/>
                <w:color w:val="000000" w:themeColor="text1"/>
                <w:sz w:val="22"/>
                <w:szCs w:val="22"/>
              </w:rPr>
              <w:t>Corte Constitucional. Sentencia C-1016 de 2012. M.P. Jorge Iván Palacio.</w:t>
            </w:r>
          </w:p>
          <w:p w14:paraId="20CB8755" w14:textId="77777777" w:rsidR="001256E1"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641BB">
              <w:rPr>
                <w:rFonts w:ascii="Verdana" w:hAnsi="Verdana" w:cs="Arial"/>
                <w:color w:val="000000" w:themeColor="text1"/>
                <w:sz w:val="22"/>
                <w:szCs w:val="22"/>
              </w:rPr>
              <w:t>Corte Constitucional. Sentencia C-415 de 1994. M.P. Eduardo Cifuentes Muñoz.</w:t>
            </w:r>
          </w:p>
          <w:p w14:paraId="3B13876B" w14:textId="77777777" w:rsidR="001256E1" w:rsidRPr="00662485"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lang w:val="it-CH"/>
              </w:rPr>
            </w:pPr>
            <w:r w:rsidRPr="00A25C67">
              <w:rPr>
                <w:rFonts w:ascii="Verdana" w:hAnsi="Verdana" w:cs="Arial"/>
                <w:color w:val="000000" w:themeColor="text1"/>
                <w:sz w:val="22"/>
                <w:szCs w:val="22"/>
              </w:rPr>
              <w:t xml:space="preserve">Corte Constitucional. Sentencia T-1039 de 2006. </w:t>
            </w:r>
            <w:r w:rsidRPr="00A25C67">
              <w:rPr>
                <w:rFonts w:ascii="Verdana" w:hAnsi="Verdana" w:cs="Arial"/>
                <w:color w:val="000000" w:themeColor="text1"/>
                <w:sz w:val="22"/>
                <w:szCs w:val="22"/>
                <w:lang w:val="it-CH"/>
              </w:rPr>
              <w:t xml:space="preserve">M.P. Humberto Sierra Porto. </w:t>
            </w:r>
          </w:p>
          <w:p w14:paraId="773EEEE8" w14:textId="77777777" w:rsidR="001256E1"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Corte Constitucional. Sentencia C-903 de 2008. M.P. Jaime Araujo Rentería</w:t>
            </w:r>
            <w:r>
              <w:rPr>
                <w:rFonts w:ascii="Verdana" w:hAnsi="Verdana" w:cs="Arial"/>
                <w:color w:val="000000" w:themeColor="text1"/>
                <w:sz w:val="22"/>
                <w:szCs w:val="22"/>
              </w:rPr>
              <w:t>.</w:t>
            </w:r>
          </w:p>
          <w:p w14:paraId="44602EB8" w14:textId="77777777" w:rsidR="001256E1" w:rsidRDefault="001256E1" w:rsidP="001256E1">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Pr>
                <w:rFonts w:ascii="Verdana" w:hAnsi="Verdana" w:cs="Arial"/>
                <w:color w:val="000000" w:themeColor="text1"/>
                <w:sz w:val="22"/>
                <w:szCs w:val="22"/>
              </w:rPr>
              <w:t>Corte Constitucional. Sentencia C</w:t>
            </w:r>
            <w:r w:rsidRPr="00A25C67">
              <w:rPr>
                <w:rFonts w:ascii="Verdana" w:hAnsi="Verdana" w:cs="Arial"/>
                <w:color w:val="000000" w:themeColor="text1"/>
                <w:sz w:val="22"/>
                <w:szCs w:val="22"/>
              </w:rPr>
              <w:t>-101 de 2018. M.P. Gloria Stella Ortiz Delgado</w:t>
            </w:r>
            <w:r>
              <w:rPr>
                <w:rFonts w:ascii="Verdana" w:hAnsi="Verdana" w:cs="Arial"/>
                <w:color w:val="000000" w:themeColor="text1"/>
                <w:sz w:val="22"/>
                <w:szCs w:val="22"/>
              </w:rPr>
              <w:t>.</w:t>
            </w:r>
          </w:p>
          <w:p w14:paraId="666B1237" w14:textId="38ED2D2C" w:rsidR="001256E1" w:rsidRPr="00F25272" w:rsidRDefault="001256E1" w:rsidP="001256E1">
            <w:pPr>
              <w:pStyle w:val="Prrafodelista"/>
              <w:numPr>
                <w:ilvl w:val="0"/>
                <w:numId w:val="17"/>
              </w:numPr>
              <w:rPr>
                <w:rFonts w:ascii="Verdana" w:hAnsi="Verdana"/>
              </w:rPr>
            </w:pPr>
            <w:r w:rsidRPr="00A25C67">
              <w:rPr>
                <w:rFonts w:ascii="Verdana" w:hAnsi="Verdana" w:cs="Arial"/>
                <w:color w:val="000000" w:themeColor="text1"/>
              </w:rPr>
              <w:t>Corte Constitucional. Sentencia C-087 de 2024. M.P: Antonio José Lizarazo Ocampo</w:t>
            </w:r>
            <w:r>
              <w:rPr>
                <w:rFonts w:ascii="Verdana" w:hAnsi="Verdana" w:cs="Arial"/>
                <w:color w:val="000000" w:themeColor="text1"/>
              </w:rPr>
              <w:t>.</w:t>
            </w:r>
          </w:p>
          <w:p w14:paraId="4C57437B" w14:textId="77777777" w:rsidR="00705B17" w:rsidRPr="00332677" w:rsidRDefault="00705B17" w:rsidP="002B73C0">
            <w:pPr>
              <w:pStyle w:val="Prrafodelista"/>
              <w:widowControl w:val="0"/>
              <w:autoSpaceDE w:val="0"/>
              <w:autoSpaceDN w:val="0"/>
              <w:spacing w:after="120" w:line="276" w:lineRule="auto"/>
              <w:jc w:val="both"/>
              <w:rPr>
                <w:rFonts w:ascii="Verdana" w:hAnsi="Verdana" w:cs="Arial"/>
              </w:rPr>
            </w:pPr>
          </w:p>
        </w:tc>
      </w:tr>
    </w:tbl>
    <w:p w14:paraId="7398EFD1" w14:textId="77777777" w:rsidR="00705B17" w:rsidRDefault="00705B17" w:rsidP="00705B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D350C8D" w14:textId="77777777" w:rsidR="00705B17" w:rsidRDefault="00705B17" w:rsidP="00705B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72F5F28" w14:textId="77777777" w:rsidR="00705B17" w:rsidRPr="00593A5F" w:rsidRDefault="00705B17" w:rsidP="00705B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F624484" w14:textId="77777777" w:rsidR="00705B17" w:rsidRPr="00AE7E03" w:rsidRDefault="00705B17" w:rsidP="00705B17">
      <w:pPr>
        <w:widowControl w:val="0"/>
        <w:autoSpaceDE w:val="0"/>
        <w:autoSpaceDN w:val="0"/>
        <w:spacing w:after="0" w:line="276" w:lineRule="auto"/>
        <w:jc w:val="both"/>
        <w:rPr>
          <w:rFonts w:ascii="Verdana" w:eastAsia="Arial" w:hAnsi="Verdana" w:cs="Arial"/>
          <w:lang w:val="es-MX" w:eastAsia="es-ES"/>
        </w:rPr>
      </w:pPr>
      <w:r w:rsidRPr="008557D1">
        <w:rPr>
          <w:rFonts w:ascii="Verdana" w:eastAsia="Calibri" w:hAnsi="Verdana" w:cs="Arial"/>
          <w:lang w:val="es-ES_tradnl" w:eastAsia="es-ES_tradnl"/>
        </w:rPr>
        <w:t xml:space="preserve">Sobre el régimen de inhabilidades e incompatibilidades se pronunció esta Subdirección en los conceptos </w:t>
      </w:r>
      <w:r w:rsidRPr="008557D1">
        <w:rPr>
          <w:rFonts w:ascii="Verdana" w:eastAsia="Calibri" w:hAnsi="Verdana" w:cs="Arial"/>
          <w:lang w:val="es-MX"/>
        </w:rPr>
        <w:t>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8557D1">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w:t>
      </w:r>
      <w:r>
        <w:rPr>
          <w:rFonts w:ascii="Verdana" w:hAnsi="Verdana" w:cs="Arial"/>
        </w:rPr>
        <w:t xml:space="preserve">, </w:t>
      </w:r>
      <w:r w:rsidRPr="008557D1">
        <w:rPr>
          <w:rFonts w:ascii="Verdana" w:hAnsi="Verdana" w:cs="Arial"/>
        </w:rPr>
        <w:t>C-839 del 13 de diciembre de 2024</w:t>
      </w:r>
      <w:r>
        <w:rPr>
          <w:rFonts w:ascii="Verdana" w:hAnsi="Verdana" w:cs="Arial"/>
        </w:rPr>
        <w:t>, C-426 del 19 de mayo de 2025,  C-1009 del 03 de septiembre de 2025</w:t>
      </w:r>
      <w:r>
        <w:rPr>
          <w:rFonts w:ascii="Verdana" w:hAnsi="Verdana" w:cs="Arial"/>
          <w:color w:val="000000" w:themeColor="text1"/>
          <w:shd w:val="clear" w:color="auto" w:fill="FFFFFF"/>
          <w:lang w:val="es-ES"/>
        </w:rPr>
        <w:t xml:space="preserve">, </w:t>
      </w:r>
      <w:r w:rsidRPr="00283CFD">
        <w:rPr>
          <w:rFonts w:ascii="Verdana" w:hAnsi="Verdana" w:cs="Arial"/>
          <w:color w:val="000000" w:themeColor="text1"/>
          <w:shd w:val="clear" w:color="auto" w:fill="FFFFFF"/>
          <w:lang w:val="es-ES"/>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7EB64A1" w14:textId="77777777" w:rsidR="00705B17" w:rsidRPr="0065720B" w:rsidRDefault="00705B17" w:rsidP="00705B17">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5C8044CF" w14:textId="77777777" w:rsidR="00705B17" w:rsidRPr="00505CD6" w:rsidRDefault="00705B17" w:rsidP="00705B17">
      <w:pPr>
        <w:widowControl w:val="0"/>
        <w:autoSpaceDE w:val="0"/>
        <w:autoSpaceDN w:val="0"/>
        <w:spacing w:after="0" w:line="276" w:lineRule="auto"/>
        <w:jc w:val="both"/>
        <w:rPr>
          <w:rFonts w:ascii="Verdana" w:hAnsi="Verdana" w:cs="Arial"/>
          <w:color w:val="000000" w:themeColor="text1"/>
          <w:shd w:val="clear" w:color="auto" w:fill="FFFFFF"/>
        </w:rPr>
      </w:pPr>
    </w:p>
    <w:p w14:paraId="3FDCAE9D" w14:textId="77777777" w:rsidR="00705B17" w:rsidRPr="00103B90" w:rsidRDefault="00705B17" w:rsidP="00705B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02388B7" w14:textId="77777777" w:rsidR="00705B17" w:rsidRPr="00103B90" w:rsidRDefault="00705B17" w:rsidP="00705B17">
      <w:pPr>
        <w:widowControl w:val="0"/>
        <w:autoSpaceDE w:val="0"/>
        <w:autoSpaceDN w:val="0"/>
        <w:spacing w:after="0" w:line="276" w:lineRule="auto"/>
        <w:jc w:val="both"/>
        <w:rPr>
          <w:rFonts w:ascii="Verdana" w:hAnsi="Verdana"/>
        </w:rPr>
      </w:pPr>
    </w:p>
    <w:p w14:paraId="3E40997D" w14:textId="77777777" w:rsidR="00705B17" w:rsidRPr="00505CD6" w:rsidRDefault="00705B17" w:rsidP="00705B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F4D356A" w14:textId="77777777" w:rsidR="00705B17" w:rsidRPr="00505CD6" w:rsidRDefault="00705B17" w:rsidP="00705B17">
      <w:pPr>
        <w:widowControl w:val="0"/>
        <w:autoSpaceDE w:val="0"/>
        <w:autoSpaceDN w:val="0"/>
        <w:spacing w:after="0" w:line="276" w:lineRule="auto"/>
        <w:jc w:val="both"/>
        <w:rPr>
          <w:rFonts w:ascii="Verdana" w:hAnsi="Verdana" w:cs="Arial"/>
        </w:rPr>
      </w:pPr>
    </w:p>
    <w:p w14:paraId="6006F7A7" w14:textId="77777777" w:rsidR="00705B17" w:rsidRPr="00505CD6" w:rsidRDefault="00705B17" w:rsidP="00705B17">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6579AD6" w14:textId="77777777" w:rsidR="00705B17" w:rsidRDefault="00705B17" w:rsidP="00705B17">
      <w:pPr>
        <w:spacing w:line="276" w:lineRule="auto"/>
        <w:jc w:val="center"/>
        <w:rPr>
          <w:noProof/>
        </w:rPr>
      </w:pPr>
    </w:p>
    <w:p w14:paraId="69DBBD0F" w14:textId="4CD36B95" w:rsidR="00705B17" w:rsidRDefault="00BD5C5A" w:rsidP="00705B17">
      <w:pPr>
        <w:spacing w:line="276" w:lineRule="auto"/>
        <w:jc w:val="center"/>
        <w:rPr>
          <w:noProof/>
        </w:rPr>
      </w:pPr>
      <w:r>
        <w:rPr>
          <w:noProof/>
        </w:rPr>
        <w:drawing>
          <wp:inline distT="0" distB="0" distL="0" distR="0" wp14:anchorId="7EB50234" wp14:editId="3961E900">
            <wp:extent cx="3621405" cy="1554606"/>
            <wp:effectExtent l="0" t="0" r="0" b="7620"/>
            <wp:docPr id="156749344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26001" cy="1556579"/>
                    </a:xfrm>
                    <a:prstGeom prst="rect">
                      <a:avLst/>
                    </a:prstGeom>
                    <a:noFill/>
                    <a:ln>
                      <a:noFill/>
                    </a:ln>
                  </pic:spPr>
                </pic:pic>
              </a:graphicData>
            </a:graphic>
          </wp:inline>
        </w:drawing>
      </w:r>
    </w:p>
    <w:p w14:paraId="51BF825A" w14:textId="77777777" w:rsidR="00BD5C5A" w:rsidRDefault="00BD5C5A" w:rsidP="00705B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05B17" w:rsidRPr="00593A5F" w14:paraId="3B6E0A33" w14:textId="77777777" w:rsidTr="002B73C0">
        <w:trPr>
          <w:trHeight w:val="315"/>
        </w:trPr>
        <w:tc>
          <w:tcPr>
            <w:tcW w:w="893" w:type="dxa"/>
            <w:vAlign w:val="center"/>
            <w:hideMark/>
          </w:tcPr>
          <w:p w14:paraId="2DF0E6EE" w14:textId="77777777" w:rsidR="00705B17" w:rsidRPr="003751C7" w:rsidRDefault="00705B17" w:rsidP="002B73C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DD80351" w14:textId="77777777" w:rsidR="00705B17" w:rsidRPr="007911EE" w:rsidRDefault="00705B17" w:rsidP="002B73C0">
            <w:pPr>
              <w:contextualSpacing/>
              <w:rPr>
                <w:rFonts w:ascii="Verdana" w:hAnsi="Verdana"/>
                <w:sz w:val="16"/>
                <w:szCs w:val="16"/>
              </w:rPr>
            </w:pPr>
            <w:r w:rsidRPr="007911EE">
              <w:rPr>
                <w:rFonts w:ascii="Verdana" w:hAnsi="Verdana"/>
                <w:sz w:val="16"/>
                <w:szCs w:val="16"/>
              </w:rPr>
              <w:t xml:space="preserve">Nicolas Andrés Guzmán </w:t>
            </w:r>
          </w:p>
          <w:p w14:paraId="3303FF83" w14:textId="77777777" w:rsidR="00705B17" w:rsidRPr="007911EE" w:rsidRDefault="00705B17" w:rsidP="002B73C0">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705B17" w:rsidRPr="00593A5F" w14:paraId="4A9642E0" w14:textId="77777777" w:rsidTr="002B73C0">
        <w:trPr>
          <w:trHeight w:val="330"/>
        </w:trPr>
        <w:tc>
          <w:tcPr>
            <w:tcW w:w="893" w:type="dxa"/>
            <w:vAlign w:val="center"/>
            <w:hideMark/>
          </w:tcPr>
          <w:p w14:paraId="078A168E" w14:textId="77777777" w:rsidR="00705B17" w:rsidRPr="003751C7" w:rsidRDefault="00705B17" w:rsidP="002B73C0">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8FF8C3" w14:textId="77777777" w:rsidR="00705B17" w:rsidRDefault="00705B17" w:rsidP="002B73C0">
            <w:pPr>
              <w:spacing w:line="276" w:lineRule="auto"/>
              <w:contextualSpacing/>
              <w:jc w:val="both"/>
              <w:rPr>
                <w:rFonts w:ascii="Verdana" w:hAnsi="Verdana"/>
                <w:sz w:val="16"/>
                <w:szCs w:val="16"/>
              </w:rPr>
            </w:pPr>
            <w:r w:rsidRPr="00347D2C">
              <w:rPr>
                <w:rFonts w:ascii="Verdana" w:hAnsi="Verdana"/>
                <w:sz w:val="16"/>
                <w:szCs w:val="16"/>
              </w:rPr>
              <w:t>Juan Carlos González</w:t>
            </w:r>
          </w:p>
          <w:p w14:paraId="49472D00" w14:textId="77777777" w:rsidR="00705B17" w:rsidRPr="007911EE" w:rsidRDefault="00705B17" w:rsidP="002B73C0">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705B17" w:rsidRPr="00593A5F" w14:paraId="6C3C65B0" w14:textId="77777777" w:rsidTr="002B73C0">
        <w:trPr>
          <w:trHeight w:val="330"/>
        </w:trPr>
        <w:tc>
          <w:tcPr>
            <w:tcW w:w="893" w:type="dxa"/>
            <w:vAlign w:val="center"/>
          </w:tcPr>
          <w:p w14:paraId="0190581B" w14:textId="77777777" w:rsidR="00705B17" w:rsidRPr="003751C7" w:rsidRDefault="00705B17" w:rsidP="002B73C0">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90B749" w14:textId="77777777" w:rsidR="00705B17" w:rsidRDefault="00705B17" w:rsidP="002B73C0">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5FD43D31" w14:textId="77777777" w:rsidR="00705B17" w:rsidRDefault="00705B17" w:rsidP="002B73C0">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64161436" w14:textId="77777777" w:rsidR="00705B17" w:rsidRPr="00F30C63" w:rsidRDefault="00705B17" w:rsidP="00705B17"/>
    <w:p w14:paraId="0F293BF4" w14:textId="45AA1358" w:rsidR="00127233" w:rsidRPr="00705B17" w:rsidRDefault="00127233" w:rsidP="00705B17"/>
    <w:sectPr w:rsidR="00127233" w:rsidRPr="00705B1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602ED" w14:textId="77777777" w:rsidR="00402803" w:rsidRDefault="00402803" w:rsidP="004A1847">
      <w:pPr>
        <w:spacing w:after="0" w:line="240" w:lineRule="auto"/>
      </w:pPr>
      <w:r>
        <w:separator/>
      </w:r>
    </w:p>
  </w:endnote>
  <w:endnote w:type="continuationSeparator" w:id="0">
    <w:p w14:paraId="0A405DDC" w14:textId="77777777" w:rsidR="00402803" w:rsidRDefault="0040280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FBE91" w14:textId="77777777" w:rsidR="00402803" w:rsidRDefault="00402803" w:rsidP="004A1847">
      <w:pPr>
        <w:spacing w:after="0" w:line="240" w:lineRule="auto"/>
      </w:pPr>
      <w:r>
        <w:separator/>
      </w:r>
    </w:p>
  </w:footnote>
  <w:footnote w:type="continuationSeparator" w:id="0">
    <w:p w14:paraId="15635CE7" w14:textId="77777777" w:rsidR="00402803" w:rsidRDefault="00402803" w:rsidP="004A1847">
      <w:pPr>
        <w:spacing w:after="0" w:line="240" w:lineRule="auto"/>
      </w:pPr>
      <w:r>
        <w:continuationSeparator/>
      </w:r>
    </w:p>
  </w:footnote>
  <w:footnote w:id="1">
    <w:p w14:paraId="5FE4899D" w14:textId="77777777" w:rsidR="00705B17" w:rsidRPr="001256E1" w:rsidRDefault="00705B17" w:rsidP="00705B17">
      <w:pPr>
        <w:pStyle w:val="Textonotapie"/>
        <w:contextualSpacing/>
        <w:jc w:val="both"/>
        <w:rPr>
          <w:rFonts w:ascii="Verdana" w:hAnsi="Verdana" w:cs="Arial"/>
          <w:sz w:val="16"/>
          <w:szCs w:val="16"/>
          <w:lang w:val="pt-BR"/>
        </w:rPr>
      </w:pPr>
      <w:r w:rsidRPr="001256E1">
        <w:rPr>
          <w:rStyle w:val="Refdenotaalpie"/>
          <w:rFonts w:ascii="Verdana" w:hAnsi="Verdana" w:cs="Arial"/>
          <w:sz w:val="16"/>
          <w:szCs w:val="16"/>
        </w:rPr>
        <w:footnoteRef/>
      </w:r>
      <w:r w:rsidRPr="001256E1">
        <w:rPr>
          <w:rFonts w:ascii="Verdana" w:hAnsi="Verdana" w:cs="Arial"/>
          <w:sz w:val="16"/>
          <w:szCs w:val="16"/>
          <w:lang w:val="pt-BR"/>
        </w:rPr>
        <w:t xml:space="preserve"> Corte Constitucional. Sentencia C-1016 de 2012. M.P. Jorge Iván Palacio. </w:t>
      </w:r>
    </w:p>
    <w:p w14:paraId="5D804737" w14:textId="77777777" w:rsidR="00705B17" w:rsidRPr="001256E1" w:rsidRDefault="00705B17" w:rsidP="00705B17">
      <w:pPr>
        <w:pStyle w:val="Textonotapie"/>
        <w:ind w:firstLine="708"/>
        <w:contextualSpacing/>
        <w:jc w:val="both"/>
        <w:rPr>
          <w:rFonts w:ascii="Verdana" w:hAnsi="Verdana" w:cs="Arial"/>
          <w:sz w:val="16"/>
          <w:szCs w:val="16"/>
          <w:lang w:val="pt-BR"/>
        </w:rPr>
      </w:pPr>
    </w:p>
  </w:footnote>
  <w:footnote w:id="2">
    <w:p w14:paraId="7A54FAB8" w14:textId="77777777" w:rsidR="001256E1" w:rsidRPr="001256E1" w:rsidRDefault="001256E1" w:rsidP="001256E1">
      <w:pPr>
        <w:pStyle w:val="Textonotapie"/>
        <w:ind w:firstLine="708"/>
        <w:jc w:val="both"/>
        <w:rPr>
          <w:rFonts w:ascii="Verdana" w:hAnsi="Verdana"/>
          <w:sz w:val="16"/>
          <w:szCs w:val="16"/>
          <w:lang w:val="pt-BR"/>
        </w:rPr>
      </w:pPr>
      <w:r w:rsidRPr="001256E1">
        <w:rPr>
          <w:rStyle w:val="Refdenotaalpie"/>
          <w:rFonts w:ascii="Verdana" w:hAnsi="Verdana"/>
          <w:sz w:val="16"/>
          <w:szCs w:val="16"/>
        </w:rPr>
        <w:footnoteRef/>
      </w:r>
      <w:r w:rsidRPr="001256E1">
        <w:rPr>
          <w:rFonts w:ascii="Verdana" w:hAnsi="Verdana"/>
          <w:sz w:val="16"/>
          <w:szCs w:val="16"/>
        </w:rPr>
        <w:t xml:space="preserve"> Consejo de Estado. Sala de lo Contencioso Administrativo. Sección Tercera. Subsección A. Sentencia del 13 de noviembre de 2013. </w:t>
      </w:r>
      <w:r w:rsidRPr="001256E1">
        <w:rPr>
          <w:rFonts w:ascii="Verdana" w:hAnsi="Verdana"/>
          <w:sz w:val="16"/>
          <w:szCs w:val="16"/>
          <w:lang w:val="pt-BR"/>
        </w:rPr>
        <w:t xml:space="preserve">Radicado: </w:t>
      </w:r>
      <w:r w:rsidRPr="001256E1">
        <w:rPr>
          <w:rFonts w:ascii="Verdana" w:hAnsi="Verdana"/>
          <w:sz w:val="16"/>
          <w:szCs w:val="16"/>
          <w:lang w:val="es-CO"/>
        </w:rPr>
        <w:t>25000-23-26-000-1999-02197-01</w:t>
      </w:r>
      <w:r w:rsidRPr="001256E1">
        <w:rPr>
          <w:rFonts w:ascii="Verdana" w:hAnsi="Verdana"/>
          <w:sz w:val="16"/>
          <w:szCs w:val="16"/>
          <w:lang w:val="pt-BR"/>
        </w:rPr>
        <w:t xml:space="preserve"> (25646). C.P. Mauricio Fajardo Gómez.  </w:t>
      </w:r>
    </w:p>
    <w:p w14:paraId="29235BD5" w14:textId="77777777" w:rsidR="001256E1" w:rsidRPr="001256E1" w:rsidRDefault="001256E1" w:rsidP="001256E1">
      <w:pPr>
        <w:pStyle w:val="Textonotapie"/>
        <w:jc w:val="both"/>
        <w:rPr>
          <w:rFonts w:ascii="Verdana" w:hAnsi="Verdana"/>
          <w:sz w:val="16"/>
          <w:szCs w:val="16"/>
          <w:lang w:val="pt-BR"/>
        </w:rPr>
      </w:pPr>
    </w:p>
  </w:footnote>
  <w:footnote w:id="3">
    <w:p w14:paraId="4C86BEF0" w14:textId="77777777" w:rsidR="001256E1" w:rsidRPr="001256E1" w:rsidRDefault="001256E1" w:rsidP="001256E1">
      <w:pPr>
        <w:pStyle w:val="Textonotapie"/>
        <w:ind w:firstLine="708"/>
        <w:jc w:val="both"/>
        <w:rPr>
          <w:rFonts w:ascii="Verdana" w:hAnsi="Verdana"/>
          <w:sz w:val="16"/>
          <w:szCs w:val="16"/>
          <w:lang w:val="pt-BR"/>
        </w:rPr>
      </w:pPr>
      <w:r w:rsidRPr="001256E1">
        <w:rPr>
          <w:rStyle w:val="Refdenotaalpie"/>
          <w:rFonts w:ascii="Verdana" w:hAnsi="Verdana"/>
          <w:sz w:val="16"/>
          <w:szCs w:val="16"/>
        </w:rPr>
        <w:footnoteRef/>
      </w:r>
      <w:r w:rsidRPr="001256E1">
        <w:rPr>
          <w:rFonts w:ascii="Verdana" w:hAnsi="Verdana"/>
          <w:sz w:val="16"/>
          <w:szCs w:val="16"/>
          <w:lang w:val="pt-BR"/>
        </w:rPr>
        <w:t xml:space="preserve"> Corte Constitucional. Sentencia C-415 de 1994. M.P. Eduardo </w:t>
      </w:r>
      <w:proofErr w:type="spellStart"/>
      <w:r w:rsidRPr="001256E1">
        <w:rPr>
          <w:rFonts w:ascii="Verdana" w:hAnsi="Verdana"/>
          <w:sz w:val="16"/>
          <w:szCs w:val="16"/>
          <w:lang w:val="pt-BR"/>
        </w:rPr>
        <w:t>Cifuentes</w:t>
      </w:r>
      <w:proofErr w:type="spellEnd"/>
      <w:r w:rsidRPr="001256E1">
        <w:rPr>
          <w:rFonts w:ascii="Verdana" w:hAnsi="Verdana"/>
          <w:sz w:val="16"/>
          <w:szCs w:val="16"/>
          <w:lang w:val="pt-BR"/>
        </w:rPr>
        <w:t xml:space="preserve"> </w:t>
      </w:r>
      <w:proofErr w:type="spellStart"/>
      <w:r w:rsidRPr="001256E1">
        <w:rPr>
          <w:rFonts w:ascii="Verdana" w:hAnsi="Verdana"/>
          <w:sz w:val="16"/>
          <w:szCs w:val="16"/>
          <w:lang w:val="pt-BR"/>
        </w:rPr>
        <w:t>Muñoz</w:t>
      </w:r>
      <w:proofErr w:type="spellEnd"/>
      <w:r w:rsidRPr="001256E1">
        <w:rPr>
          <w:rFonts w:ascii="Verdana" w:hAnsi="Verdana"/>
          <w:sz w:val="16"/>
          <w:szCs w:val="16"/>
          <w:lang w:val="pt-BR"/>
        </w:rPr>
        <w:t>.</w:t>
      </w:r>
    </w:p>
  </w:footnote>
  <w:footnote w:id="4">
    <w:p w14:paraId="6857DEBE" w14:textId="77777777" w:rsidR="001256E1" w:rsidRPr="001256E1" w:rsidRDefault="001256E1" w:rsidP="001256E1">
      <w:pPr>
        <w:pStyle w:val="Textonotapie"/>
        <w:ind w:firstLine="708"/>
        <w:jc w:val="both"/>
        <w:rPr>
          <w:rFonts w:ascii="Verdana" w:hAnsi="Verdana"/>
          <w:sz w:val="16"/>
          <w:szCs w:val="16"/>
          <w:lang w:val="pt-BR"/>
        </w:rPr>
      </w:pPr>
      <w:r w:rsidRPr="001256E1">
        <w:rPr>
          <w:rStyle w:val="Refdenotaalpie"/>
          <w:rFonts w:ascii="Verdana" w:hAnsi="Verdana"/>
          <w:sz w:val="16"/>
          <w:szCs w:val="16"/>
        </w:rPr>
        <w:footnoteRef/>
      </w:r>
      <w:r w:rsidRPr="001256E1">
        <w:rPr>
          <w:rFonts w:ascii="Verdana" w:hAnsi="Verdana"/>
          <w:sz w:val="16"/>
          <w:szCs w:val="16"/>
          <w:lang w:val="pt-BR"/>
        </w:rPr>
        <w:t xml:space="preserve"> Ibidem.</w:t>
      </w:r>
    </w:p>
    <w:p w14:paraId="0E090BE6" w14:textId="77777777" w:rsidR="001256E1" w:rsidRPr="001256E1" w:rsidRDefault="001256E1" w:rsidP="001256E1">
      <w:pPr>
        <w:pStyle w:val="Textonotapie"/>
        <w:jc w:val="both"/>
        <w:rPr>
          <w:rFonts w:ascii="Verdana" w:hAnsi="Verdana"/>
          <w:sz w:val="16"/>
          <w:szCs w:val="16"/>
          <w:lang w:val="pt-BR"/>
        </w:rPr>
      </w:pPr>
    </w:p>
  </w:footnote>
  <w:footnote w:id="5">
    <w:p w14:paraId="0C1A271D" w14:textId="77777777" w:rsidR="001256E1" w:rsidRPr="001256E1" w:rsidRDefault="001256E1" w:rsidP="001256E1">
      <w:pPr>
        <w:pStyle w:val="Textonotapie"/>
        <w:ind w:firstLine="708"/>
        <w:jc w:val="both"/>
        <w:rPr>
          <w:rFonts w:ascii="Verdana" w:hAnsi="Verdana"/>
          <w:sz w:val="16"/>
          <w:szCs w:val="16"/>
          <w:lang w:val="es-CO"/>
        </w:rPr>
      </w:pPr>
      <w:r w:rsidRPr="001256E1">
        <w:rPr>
          <w:rStyle w:val="Refdenotaalpie"/>
          <w:rFonts w:ascii="Verdana" w:hAnsi="Verdana"/>
          <w:sz w:val="16"/>
          <w:szCs w:val="16"/>
        </w:rPr>
        <w:footnoteRef/>
      </w:r>
      <w:r w:rsidRPr="001256E1">
        <w:rPr>
          <w:rFonts w:ascii="Verdana" w:hAnsi="Verdana"/>
          <w:sz w:val="16"/>
          <w:szCs w:val="16"/>
          <w:lang w:val="pt-BR"/>
        </w:rPr>
        <w:t xml:space="preserve"> Corte Constitucional. </w:t>
      </w:r>
      <w:r w:rsidRPr="001256E1">
        <w:rPr>
          <w:rFonts w:ascii="Verdana" w:hAnsi="Verdana"/>
          <w:sz w:val="16"/>
          <w:szCs w:val="16"/>
        </w:rPr>
        <w:t xml:space="preserve">Sentencia C-780 de 2001. </w:t>
      </w:r>
      <w:r w:rsidRPr="001256E1">
        <w:rPr>
          <w:rFonts w:ascii="Verdana" w:hAnsi="Verdana"/>
          <w:sz w:val="16"/>
          <w:szCs w:val="16"/>
          <w:lang w:val="es-CO"/>
        </w:rPr>
        <w:t xml:space="preserve">M.P. Jaime Córdoba Triviño. </w:t>
      </w:r>
    </w:p>
    <w:p w14:paraId="625B2B9F" w14:textId="77777777" w:rsidR="001256E1" w:rsidRPr="001256E1" w:rsidRDefault="001256E1" w:rsidP="001256E1">
      <w:pPr>
        <w:pStyle w:val="Textonotapie"/>
        <w:jc w:val="both"/>
        <w:rPr>
          <w:rFonts w:ascii="Verdana" w:hAnsi="Verdana"/>
          <w:sz w:val="16"/>
          <w:szCs w:val="16"/>
          <w:lang w:val="es-CO"/>
        </w:rPr>
      </w:pPr>
    </w:p>
  </w:footnote>
  <w:footnote w:id="6">
    <w:p w14:paraId="5EA5536B" w14:textId="77777777" w:rsidR="001256E1" w:rsidRPr="001256E1" w:rsidRDefault="001256E1" w:rsidP="001256E1">
      <w:pPr>
        <w:pStyle w:val="NormalWeb"/>
        <w:spacing w:before="0" w:beforeAutospacing="0" w:after="0" w:afterAutospacing="0"/>
        <w:ind w:firstLine="708"/>
        <w:jc w:val="both"/>
        <w:rPr>
          <w:rFonts w:ascii="Verdana" w:eastAsia="Calibri" w:hAnsi="Verdana" w:cs="Arial"/>
          <w:sz w:val="16"/>
          <w:szCs w:val="16"/>
          <w:lang w:val="es-ES" w:eastAsia="en-US"/>
        </w:rPr>
      </w:pPr>
      <w:r w:rsidRPr="001256E1">
        <w:rPr>
          <w:rStyle w:val="Refdenotaalpie"/>
          <w:rFonts w:ascii="Verdana" w:hAnsi="Verdana"/>
          <w:sz w:val="16"/>
          <w:szCs w:val="16"/>
        </w:rPr>
        <w:footnoteRef/>
      </w:r>
      <w:r w:rsidRPr="001256E1">
        <w:rPr>
          <w:rFonts w:ascii="Verdana" w:hAnsi="Verdana"/>
          <w:sz w:val="16"/>
          <w:szCs w:val="16"/>
        </w:rPr>
        <w:t xml:space="preserve"> </w:t>
      </w:r>
      <w:r w:rsidRPr="001256E1">
        <w:rPr>
          <w:rFonts w:ascii="Verdana" w:eastAsia="Calibri" w:hAnsi="Verdana" w:cs="Arial"/>
          <w:sz w:val="16"/>
          <w:szCs w:val="16"/>
          <w:lang w:val="es-ES" w:eastAsia="en-US"/>
        </w:rPr>
        <w:t>Ley 80 de 1993: «Artículo 8: 1o. Son inhábiles para participar en licitaciones o concursos y para celebrar contratos con las entidades estatales: </w:t>
      </w:r>
    </w:p>
    <w:p w14:paraId="077E15DA"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a) Las personas que se hallen inhabilitadas para contratar por la Constitución y las leyes. </w:t>
      </w:r>
    </w:p>
    <w:p w14:paraId="0B1907D7"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b) Quienes participaron en las licitaciones o concursos o celebraron los contratos de que trata el literal anterior estando inhabilitados. </w:t>
      </w:r>
    </w:p>
    <w:p w14:paraId="5A4E8D0F"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c) Quienes dieron lugar a la declaratoria de caducidad. </w:t>
      </w:r>
    </w:p>
    <w:p w14:paraId="12865D02"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d) Quienes en sentencia judicial hayan sido condenados a la pena accesoria de interdicción de derechos y funciones públicas y quienes hayan sido sancionados disciplinariamente con destitución. </w:t>
      </w:r>
    </w:p>
    <w:p w14:paraId="47AAC010"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e) Quienes sin justa causa se abstengan de suscribir el contrato estatal adjudicado. </w:t>
      </w:r>
    </w:p>
    <w:p w14:paraId="7C96F156"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f) Los servidores públicos. </w:t>
      </w:r>
    </w:p>
    <w:p w14:paraId="45B5740B"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5D3190F4" w14:textId="77777777" w:rsidR="001256E1" w:rsidRPr="001256E1" w:rsidRDefault="001256E1" w:rsidP="001256E1">
      <w:pPr>
        <w:pStyle w:val="NormalWeb"/>
        <w:spacing w:before="0" w:beforeAutospacing="0" w:after="0" w:afterAutospacing="0"/>
        <w:ind w:firstLine="708"/>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5192BB01"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i) Los socios de sociedades de personas a las cuales se haya declarado la caducidad, así como las sociedades de personas de las que aquellos formen parte con posterioridad a dicha declaratoria. </w:t>
      </w:r>
    </w:p>
    <w:p w14:paraId="051CF174"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4267ABAF"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1E32296D"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1256E1">
        <w:rPr>
          <w:rFonts w:ascii="Verdana" w:eastAsia="Calibri" w:hAnsi="Verdana" w:cs="Arial"/>
          <w:sz w:val="16"/>
          <w:szCs w:val="16"/>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1256E1">
        <w:rPr>
          <w:rFonts w:ascii="Verdana" w:eastAsia="Calibri" w:hAnsi="Verdana" w:cs="Arial"/>
          <w:sz w:val="16"/>
          <w:szCs w:val="16"/>
          <w:lang w:val="es-ES" w:eastAsia="en-US"/>
        </w:rPr>
        <w:softHyphen/>
        <w:t>cepción de las sociedades anónimas abiertas. También se considerarán inhabilitadas para contratar, las personas jurídicas sobre las cuales se haya ordenado la suspensión de la perso</w:t>
      </w:r>
      <w:r w:rsidRPr="001256E1">
        <w:rPr>
          <w:rFonts w:ascii="Verdana" w:eastAsia="Calibri" w:hAnsi="Verdana" w:cs="Arial"/>
          <w:sz w:val="16"/>
          <w:szCs w:val="16"/>
          <w:lang w:val="es-ES" w:eastAsia="en-US"/>
        </w:rPr>
        <w:softHyphen/>
        <w:t>nería jurídica en los términos de ley, o cuyos representantes legales, ad</w:t>
      </w:r>
      <w:r w:rsidRPr="001256E1">
        <w:rPr>
          <w:rFonts w:ascii="Verdana" w:eastAsia="Calibri" w:hAnsi="Verdana" w:cs="Arial"/>
          <w:sz w:val="16"/>
          <w:szCs w:val="16"/>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1256E1">
        <w:rPr>
          <w:rFonts w:ascii="Verdana" w:eastAsia="Calibri" w:hAnsi="Verdana" w:cs="Arial"/>
          <w:sz w:val="16"/>
          <w:szCs w:val="16"/>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056BEDB4"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w:t>
      </w:r>
    </w:p>
    <w:p w14:paraId="188AC139" w14:textId="77777777" w:rsidR="001256E1" w:rsidRPr="001256E1" w:rsidRDefault="001256E1" w:rsidP="001256E1">
      <w:pPr>
        <w:pStyle w:val="NormalWeb"/>
        <w:spacing w:before="0" w:beforeAutospacing="0" w:after="0" w:afterAutospacing="0"/>
        <w:ind w:firstLine="708"/>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2o. Tampoco podrán participar en licitaciones o concursos ni celebrar contratos estatales con la entidad respectiva: </w:t>
      </w:r>
    </w:p>
    <w:p w14:paraId="1E236F57"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507328F5"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6CF71C5D"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5F080210"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5143F767" w14:textId="77777777" w:rsidR="001256E1" w:rsidRPr="001256E1" w:rsidRDefault="001256E1" w:rsidP="001256E1">
      <w:pPr>
        <w:pStyle w:val="NormalWeb"/>
        <w:spacing w:before="0" w:beforeAutospacing="0" w:after="0" w:afterAutospacing="0"/>
        <w:jc w:val="both"/>
        <w:rPr>
          <w:rFonts w:ascii="Verdana" w:eastAsia="Calibri" w:hAnsi="Verdana" w:cs="Arial"/>
          <w:sz w:val="16"/>
          <w:szCs w:val="16"/>
          <w:lang w:val="es-ES" w:eastAsia="en-US"/>
        </w:rPr>
      </w:pPr>
      <w:r w:rsidRPr="001256E1">
        <w:rPr>
          <w:rFonts w:ascii="Verdana" w:eastAsia="Calibri" w:hAnsi="Verdana" w:cs="Arial"/>
          <w:sz w:val="16"/>
          <w:szCs w:val="16"/>
          <w:lang w:val="es-ES" w:eastAsia="en-US"/>
        </w:rPr>
        <w:t>  </w:t>
      </w:r>
      <w:r w:rsidRPr="001256E1">
        <w:rPr>
          <w:rFonts w:ascii="Verdana" w:eastAsia="Calibri" w:hAnsi="Verdana" w:cs="Arial"/>
          <w:sz w:val="16"/>
          <w:szCs w:val="16"/>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37771138" w14:textId="77777777" w:rsidR="001256E1" w:rsidRPr="001256E1" w:rsidRDefault="001256E1" w:rsidP="001256E1">
      <w:pPr>
        <w:pStyle w:val="NormalWeb"/>
        <w:spacing w:before="0" w:beforeAutospacing="0" w:after="0" w:afterAutospacing="0"/>
        <w:ind w:firstLine="708"/>
        <w:jc w:val="both"/>
        <w:rPr>
          <w:rFonts w:ascii="Verdana" w:eastAsia="Calibri" w:hAnsi="Verdana" w:cs="Arial"/>
          <w:sz w:val="16"/>
          <w:szCs w:val="16"/>
          <w:lang w:val="pt-BR" w:eastAsia="en-US"/>
        </w:rPr>
      </w:pPr>
      <w:r w:rsidRPr="001256E1">
        <w:rPr>
          <w:rFonts w:ascii="Verdana" w:eastAsia="Calibri" w:hAnsi="Verdana" w:cs="Arial"/>
          <w:sz w:val="16"/>
          <w:szCs w:val="16"/>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w:t>
      </w:r>
      <w:r w:rsidRPr="001256E1">
        <w:rPr>
          <w:rFonts w:ascii="Verdana" w:eastAsia="Calibri" w:hAnsi="Verdana" w:cs="Arial"/>
          <w:sz w:val="16"/>
          <w:szCs w:val="16"/>
          <w:lang w:val="pt-BR" w:eastAsia="en-US"/>
        </w:rPr>
        <w:t xml:space="preserve">(…). </w:t>
      </w:r>
    </w:p>
    <w:p w14:paraId="6DDC7346" w14:textId="77777777" w:rsidR="001256E1" w:rsidRPr="001256E1" w:rsidRDefault="001256E1" w:rsidP="001256E1">
      <w:pPr>
        <w:pStyle w:val="Textonotapie"/>
        <w:jc w:val="both"/>
        <w:rPr>
          <w:rFonts w:ascii="Verdana" w:hAnsi="Verdana"/>
          <w:sz w:val="16"/>
          <w:szCs w:val="16"/>
          <w:lang w:val="pt-BR"/>
        </w:rPr>
      </w:pPr>
    </w:p>
  </w:footnote>
  <w:footnote w:id="7">
    <w:p w14:paraId="3D3F2DC8" w14:textId="77777777" w:rsidR="001256E1" w:rsidRPr="001256E1" w:rsidRDefault="001256E1" w:rsidP="001256E1">
      <w:pPr>
        <w:pStyle w:val="Textonotapie"/>
        <w:ind w:firstLine="708"/>
        <w:jc w:val="both"/>
        <w:rPr>
          <w:rFonts w:ascii="Verdana" w:hAnsi="Verdana" w:cs="Arial"/>
          <w:sz w:val="16"/>
          <w:szCs w:val="16"/>
          <w:lang w:val="pt-BR"/>
        </w:rPr>
      </w:pPr>
      <w:r w:rsidRPr="001256E1">
        <w:rPr>
          <w:rStyle w:val="Refdenotaalpie"/>
          <w:rFonts w:ascii="Verdana" w:hAnsi="Verdana"/>
          <w:sz w:val="16"/>
          <w:szCs w:val="16"/>
        </w:rPr>
        <w:footnoteRef/>
      </w:r>
      <w:r w:rsidRPr="001256E1">
        <w:rPr>
          <w:rFonts w:ascii="Verdana" w:hAnsi="Verdana"/>
          <w:sz w:val="16"/>
          <w:szCs w:val="16"/>
          <w:lang w:val="pt-BR"/>
        </w:rPr>
        <w:t xml:space="preserve"> </w:t>
      </w:r>
      <w:proofErr w:type="spellStart"/>
      <w:r w:rsidRPr="001256E1">
        <w:rPr>
          <w:rFonts w:ascii="Verdana" w:hAnsi="Verdana" w:cs="Arial"/>
          <w:sz w:val="16"/>
          <w:szCs w:val="16"/>
          <w:lang w:val="pt-BR"/>
        </w:rPr>
        <w:t>Ibídem</w:t>
      </w:r>
      <w:proofErr w:type="spellEnd"/>
      <w:r w:rsidRPr="001256E1">
        <w:rPr>
          <w:rFonts w:ascii="Verdana" w:hAnsi="Verdana" w:cs="Arial"/>
          <w:sz w:val="16"/>
          <w:szCs w:val="16"/>
          <w:lang w:val="pt-BR"/>
        </w:rPr>
        <w:t>. p. 69.</w:t>
      </w:r>
    </w:p>
    <w:p w14:paraId="3BCC141E" w14:textId="77777777" w:rsidR="001256E1" w:rsidRPr="001256E1" w:rsidRDefault="001256E1" w:rsidP="001256E1">
      <w:pPr>
        <w:pStyle w:val="Textonotapie"/>
        <w:ind w:firstLine="708"/>
        <w:jc w:val="both"/>
        <w:rPr>
          <w:rFonts w:ascii="Verdana" w:hAnsi="Verdana"/>
          <w:sz w:val="16"/>
          <w:szCs w:val="16"/>
          <w:lang w:val="pt-BR"/>
        </w:rPr>
      </w:pPr>
    </w:p>
  </w:footnote>
  <w:footnote w:id="8">
    <w:p w14:paraId="1F2CA129" w14:textId="77777777" w:rsidR="001256E1" w:rsidRPr="001256E1" w:rsidRDefault="001256E1" w:rsidP="001256E1">
      <w:pPr>
        <w:pStyle w:val="Textonotapie"/>
        <w:ind w:firstLine="708"/>
        <w:jc w:val="both"/>
        <w:rPr>
          <w:rFonts w:ascii="Verdana" w:hAnsi="Verdana" w:cs="Arial"/>
          <w:sz w:val="16"/>
          <w:szCs w:val="16"/>
          <w:lang w:val="es-ES"/>
        </w:rPr>
      </w:pPr>
      <w:r w:rsidRPr="001256E1">
        <w:rPr>
          <w:rStyle w:val="Refdenotaalpie"/>
          <w:rFonts w:ascii="Verdana" w:hAnsi="Verdana"/>
          <w:sz w:val="16"/>
          <w:szCs w:val="16"/>
        </w:rPr>
        <w:footnoteRef/>
      </w:r>
      <w:r w:rsidRPr="001256E1">
        <w:rPr>
          <w:rFonts w:ascii="Verdana" w:hAnsi="Verdana"/>
          <w:sz w:val="16"/>
          <w:szCs w:val="16"/>
          <w:lang w:val="pt-BR"/>
        </w:rPr>
        <w:t xml:space="preserve"> </w:t>
      </w:r>
      <w:r w:rsidRPr="001256E1">
        <w:rPr>
          <w:rFonts w:ascii="Verdana" w:hAnsi="Verdana" w:cs="Arial"/>
          <w:sz w:val="16"/>
          <w:szCs w:val="16"/>
          <w:lang w:val="pt-BR"/>
        </w:rPr>
        <w:t xml:space="preserve">Corte Constitucional. Sentencia T-1039 de 2006. M.P. Humberto </w:t>
      </w:r>
      <w:proofErr w:type="spellStart"/>
      <w:r w:rsidRPr="001256E1">
        <w:rPr>
          <w:rFonts w:ascii="Verdana" w:hAnsi="Verdana" w:cs="Arial"/>
          <w:sz w:val="16"/>
          <w:szCs w:val="16"/>
          <w:lang w:val="pt-BR"/>
        </w:rPr>
        <w:t>Sierra</w:t>
      </w:r>
      <w:proofErr w:type="spellEnd"/>
      <w:r w:rsidRPr="001256E1">
        <w:rPr>
          <w:rFonts w:ascii="Verdana" w:hAnsi="Verdana" w:cs="Arial"/>
          <w:sz w:val="16"/>
          <w:szCs w:val="16"/>
          <w:lang w:val="pt-BR"/>
        </w:rPr>
        <w:t xml:space="preserve"> Porto. </w:t>
      </w:r>
      <w:r w:rsidRPr="001256E1">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0E2F68B5" w14:textId="77777777" w:rsidR="001256E1" w:rsidRPr="001256E1" w:rsidRDefault="001256E1" w:rsidP="001256E1">
      <w:pPr>
        <w:pStyle w:val="Textonotapie"/>
        <w:jc w:val="both"/>
        <w:rPr>
          <w:rFonts w:ascii="Verdana" w:hAnsi="Verdana" w:cs="Arial"/>
          <w:sz w:val="16"/>
          <w:szCs w:val="16"/>
          <w:lang w:val="es-ES"/>
        </w:rPr>
      </w:pPr>
    </w:p>
  </w:footnote>
  <w:footnote w:id="9">
    <w:p w14:paraId="4BD08DD1" w14:textId="77777777" w:rsidR="001256E1" w:rsidRPr="001256E1" w:rsidRDefault="001256E1" w:rsidP="001256E1">
      <w:pPr>
        <w:pStyle w:val="Textonotapie"/>
        <w:ind w:firstLine="708"/>
        <w:jc w:val="both"/>
        <w:rPr>
          <w:rFonts w:ascii="Verdana" w:hAnsi="Verdana" w:cs="Arial"/>
          <w:sz w:val="16"/>
          <w:szCs w:val="16"/>
          <w:lang w:val="es-ES"/>
        </w:rPr>
      </w:pPr>
      <w:r w:rsidRPr="001256E1">
        <w:rPr>
          <w:rStyle w:val="Refdenotaalpie"/>
          <w:rFonts w:ascii="Verdana" w:hAnsi="Verdana"/>
          <w:sz w:val="16"/>
          <w:szCs w:val="16"/>
        </w:rPr>
        <w:footnoteRef/>
      </w:r>
      <w:r w:rsidRPr="001256E1">
        <w:rPr>
          <w:rFonts w:ascii="Verdana" w:hAnsi="Verdana"/>
          <w:sz w:val="16"/>
          <w:szCs w:val="16"/>
        </w:rPr>
        <w:t xml:space="preserve"> </w:t>
      </w:r>
      <w:r w:rsidRPr="001256E1">
        <w:rPr>
          <w:rFonts w:ascii="Verdana" w:hAnsi="Verdana" w:cs="Arial"/>
          <w:sz w:val="16"/>
          <w:szCs w:val="16"/>
          <w:lang w:val="es-ES"/>
        </w:rPr>
        <w:t xml:space="preserve">Consejo de Estado. Sala de Consulta y Servicio Civil. Concepto del 30 de abril de 2015. Radicado: </w:t>
      </w:r>
      <w:r w:rsidRPr="001256E1">
        <w:rPr>
          <w:rFonts w:ascii="Verdana" w:hAnsi="Verdana" w:cs="Arial"/>
          <w:sz w:val="16"/>
          <w:szCs w:val="16"/>
          <w:lang w:val="es-CO"/>
        </w:rPr>
        <w:t>11001-03-06-000-2015-00058-00 (</w:t>
      </w:r>
      <w:r w:rsidRPr="001256E1">
        <w:rPr>
          <w:rFonts w:ascii="Verdana" w:hAnsi="Verdana" w:cs="Arial"/>
          <w:sz w:val="16"/>
          <w:szCs w:val="16"/>
          <w:lang w:val="es-ES"/>
        </w:rPr>
        <w:t xml:space="preserve">2251). C.P: Álvaro </w:t>
      </w:r>
      <w:proofErr w:type="spellStart"/>
      <w:r w:rsidRPr="001256E1">
        <w:rPr>
          <w:rFonts w:ascii="Verdana" w:hAnsi="Verdana" w:cs="Arial"/>
          <w:sz w:val="16"/>
          <w:szCs w:val="16"/>
          <w:lang w:val="es-ES"/>
        </w:rPr>
        <w:t>Namén</w:t>
      </w:r>
      <w:proofErr w:type="spellEnd"/>
      <w:r w:rsidRPr="001256E1">
        <w:rPr>
          <w:rFonts w:ascii="Verdana" w:hAnsi="Verdana" w:cs="Arial"/>
          <w:sz w:val="16"/>
          <w:szCs w:val="16"/>
          <w:lang w:val="es-ES"/>
        </w:rPr>
        <w:t xml:space="preserve"> Vargas.</w:t>
      </w:r>
    </w:p>
    <w:p w14:paraId="1ADD6F42" w14:textId="77777777" w:rsidR="001256E1" w:rsidRPr="001256E1" w:rsidRDefault="001256E1" w:rsidP="001256E1">
      <w:pPr>
        <w:pStyle w:val="Textonotapie"/>
        <w:jc w:val="both"/>
        <w:rPr>
          <w:rFonts w:ascii="Verdana" w:hAnsi="Verdana"/>
          <w:sz w:val="16"/>
          <w:szCs w:val="16"/>
          <w:lang w:val="es-ES_tradnl"/>
        </w:rPr>
      </w:pPr>
    </w:p>
  </w:footnote>
  <w:footnote w:id="10">
    <w:p w14:paraId="3C01F2C5" w14:textId="77777777" w:rsidR="001256E1" w:rsidRPr="001256E1" w:rsidRDefault="001256E1" w:rsidP="001256E1">
      <w:pPr>
        <w:pStyle w:val="Textonotapie"/>
        <w:ind w:firstLine="708"/>
        <w:jc w:val="both"/>
        <w:rPr>
          <w:rFonts w:ascii="Verdana" w:hAnsi="Verdana" w:cs="Arial"/>
          <w:sz w:val="16"/>
          <w:szCs w:val="16"/>
        </w:rPr>
      </w:pPr>
      <w:r w:rsidRPr="001256E1">
        <w:rPr>
          <w:rStyle w:val="Refdenotaalpie"/>
          <w:rFonts w:ascii="Verdana" w:hAnsi="Verdana"/>
          <w:sz w:val="16"/>
          <w:szCs w:val="16"/>
        </w:rPr>
        <w:footnoteRef/>
      </w:r>
      <w:r w:rsidRPr="001256E1">
        <w:rPr>
          <w:rFonts w:ascii="Verdana" w:hAnsi="Verdana"/>
          <w:sz w:val="16"/>
          <w:szCs w:val="16"/>
        </w:rPr>
        <w:t xml:space="preserve"> </w:t>
      </w:r>
      <w:r w:rsidRPr="001256E1">
        <w:rPr>
          <w:rFonts w:ascii="Verdana" w:hAnsi="Verdana" w:cs="Arial"/>
          <w:sz w:val="16"/>
          <w:szCs w:val="16"/>
        </w:rPr>
        <w:t xml:space="preserve">Consejo de Estado. Sala de lo Contencioso Administrativo. Sección Tercera. Subsección A. Sentencia del 24 de junio de 2015. Radicado: </w:t>
      </w:r>
      <w:r w:rsidRPr="001256E1">
        <w:rPr>
          <w:rFonts w:ascii="Verdana" w:hAnsi="Verdana" w:cs="Arial"/>
          <w:sz w:val="16"/>
          <w:szCs w:val="16"/>
          <w:lang w:val="es-CO"/>
        </w:rPr>
        <w:t>05001-23-31-000-1997-02636-01</w:t>
      </w:r>
      <w:r w:rsidRPr="001256E1">
        <w:rPr>
          <w:rFonts w:ascii="Verdana" w:hAnsi="Verdana" w:cs="Arial"/>
          <w:sz w:val="16"/>
          <w:szCs w:val="16"/>
        </w:rPr>
        <w:t xml:space="preserve"> (40.635). C.P: Hernán Andrade Rincón (E).</w:t>
      </w:r>
    </w:p>
    <w:p w14:paraId="31CB4775" w14:textId="77777777" w:rsidR="001256E1" w:rsidRPr="001256E1" w:rsidRDefault="001256E1" w:rsidP="001256E1">
      <w:pPr>
        <w:pStyle w:val="Textonotapie"/>
        <w:jc w:val="both"/>
        <w:rPr>
          <w:rFonts w:ascii="Verdana" w:hAnsi="Verdana"/>
          <w:sz w:val="16"/>
          <w:szCs w:val="16"/>
          <w:lang w:val="es-ES_tradnl"/>
        </w:rPr>
      </w:pPr>
    </w:p>
  </w:footnote>
  <w:footnote w:id="11">
    <w:p w14:paraId="5E812FD0" w14:textId="77777777" w:rsidR="001256E1" w:rsidRPr="001256E1" w:rsidRDefault="001256E1" w:rsidP="001256E1">
      <w:pPr>
        <w:pStyle w:val="Textonotapie"/>
        <w:ind w:firstLine="708"/>
        <w:jc w:val="both"/>
        <w:rPr>
          <w:rFonts w:ascii="Verdana" w:hAnsi="Verdana" w:cs="Arial"/>
          <w:sz w:val="16"/>
          <w:szCs w:val="16"/>
        </w:rPr>
      </w:pPr>
      <w:r w:rsidRPr="001256E1">
        <w:rPr>
          <w:rStyle w:val="Refdenotaalpie"/>
          <w:rFonts w:ascii="Verdana" w:hAnsi="Verdana"/>
          <w:sz w:val="16"/>
          <w:szCs w:val="16"/>
        </w:rPr>
        <w:footnoteRef/>
      </w:r>
      <w:r w:rsidRPr="001256E1">
        <w:rPr>
          <w:rFonts w:ascii="Verdana" w:hAnsi="Verdana"/>
          <w:sz w:val="16"/>
          <w:szCs w:val="16"/>
        </w:rPr>
        <w:t xml:space="preserve"> </w:t>
      </w:r>
      <w:r w:rsidRPr="001256E1">
        <w:rPr>
          <w:rFonts w:ascii="Verdana" w:hAnsi="Verdana" w:cs="Arial"/>
          <w:sz w:val="16"/>
          <w:szCs w:val="16"/>
        </w:rPr>
        <w:t xml:space="preserve">Consejo de Estado. Sala de lo Contencioso Administrativo. Sección Tercera. Subsección C. Sentencia del 22 de mayo de 2013. Radicado: </w:t>
      </w:r>
      <w:r w:rsidRPr="001256E1">
        <w:rPr>
          <w:rFonts w:ascii="Verdana" w:hAnsi="Verdana" w:cs="Arial"/>
          <w:sz w:val="16"/>
          <w:szCs w:val="16"/>
          <w:lang w:val="es-CO"/>
        </w:rPr>
        <w:t>68001-23-15-000-1995-00152-01</w:t>
      </w:r>
      <w:r w:rsidRPr="001256E1">
        <w:rPr>
          <w:rFonts w:ascii="Verdana" w:hAnsi="Verdana" w:cs="Arial"/>
          <w:sz w:val="16"/>
          <w:szCs w:val="16"/>
        </w:rPr>
        <w:t xml:space="preserve"> (24.057). C.P: Olga Mélida Valle De </w:t>
      </w:r>
      <w:proofErr w:type="spellStart"/>
      <w:r w:rsidRPr="001256E1">
        <w:rPr>
          <w:rFonts w:ascii="Verdana" w:hAnsi="Verdana" w:cs="Arial"/>
          <w:sz w:val="16"/>
          <w:szCs w:val="16"/>
        </w:rPr>
        <w:t>De</w:t>
      </w:r>
      <w:proofErr w:type="spellEnd"/>
      <w:r w:rsidRPr="001256E1">
        <w:rPr>
          <w:rFonts w:ascii="Verdana" w:hAnsi="Verdana" w:cs="Arial"/>
          <w:sz w:val="16"/>
          <w:szCs w:val="16"/>
        </w:rPr>
        <w:t xml:space="preserve"> La Hoz.</w:t>
      </w:r>
    </w:p>
    <w:p w14:paraId="1D143660" w14:textId="77777777" w:rsidR="001256E1" w:rsidRPr="001256E1" w:rsidRDefault="001256E1" w:rsidP="001256E1">
      <w:pPr>
        <w:pStyle w:val="Textonotapie"/>
        <w:ind w:firstLine="708"/>
        <w:jc w:val="both"/>
        <w:rPr>
          <w:rFonts w:ascii="Verdana" w:hAnsi="Verdana"/>
          <w:sz w:val="16"/>
          <w:szCs w:val="16"/>
          <w:lang w:val="es-ES_tradnl"/>
        </w:rPr>
      </w:pPr>
    </w:p>
  </w:footnote>
  <w:footnote w:id="12">
    <w:p w14:paraId="2B76C55C" w14:textId="77777777" w:rsidR="001256E1" w:rsidRPr="001256E1" w:rsidRDefault="001256E1" w:rsidP="001256E1">
      <w:pPr>
        <w:pStyle w:val="Textonotapie"/>
        <w:ind w:firstLine="708"/>
        <w:jc w:val="both"/>
        <w:rPr>
          <w:rFonts w:ascii="Verdana" w:hAnsi="Verdana" w:cs="Arial"/>
          <w:sz w:val="16"/>
          <w:szCs w:val="16"/>
          <w:lang w:val="pt-BR"/>
        </w:rPr>
      </w:pPr>
      <w:r w:rsidRPr="001256E1">
        <w:rPr>
          <w:rStyle w:val="Refdenotaalpie"/>
          <w:rFonts w:ascii="Verdana" w:hAnsi="Verdana"/>
          <w:sz w:val="16"/>
          <w:szCs w:val="16"/>
        </w:rPr>
        <w:footnoteRef/>
      </w:r>
      <w:r w:rsidRPr="001256E1">
        <w:rPr>
          <w:rFonts w:ascii="Verdana" w:hAnsi="Verdana"/>
          <w:sz w:val="16"/>
          <w:szCs w:val="16"/>
          <w:lang w:val="pt-BR"/>
        </w:rPr>
        <w:t xml:space="preserve"> </w:t>
      </w:r>
      <w:r w:rsidRPr="001256E1">
        <w:rPr>
          <w:rFonts w:ascii="Verdana" w:hAnsi="Verdana" w:cs="Arial"/>
          <w:sz w:val="16"/>
          <w:szCs w:val="16"/>
          <w:lang w:val="pt-BR"/>
        </w:rPr>
        <w:t xml:space="preserve">Corte Constitucional. Sentencia C-415 de 1994. M.P. Eduardo </w:t>
      </w:r>
      <w:proofErr w:type="spellStart"/>
      <w:r w:rsidRPr="001256E1">
        <w:rPr>
          <w:rFonts w:ascii="Verdana" w:hAnsi="Verdana" w:cs="Arial"/>
          <w:sz w:val="16"/>
          <w:szCs w:val="16"/>
          <w:lang w:val="pt-BR"/>
        </w:rPr>
        <w:t>Cifuentes</w:t>
      </w:r>
      <w:proofErr w:type="spellEnd"/>
      <w:r w:rsidRPr="001256E1">
        <w:rPr>
          <w:rFonts w:ascii="Verdana" w:hAnsi="Verdana" w:cs="Arial"/>
          <w:sz w:val="16"/>
          <w:szCs w:val="16"/>
          <w:lang w:val="pt-BR"/>
        </w:rPr>
        <w:t xml:space="preserve"> </w:t>
      </w:r>
      <w:proofErr w:type="spellStart"/>
      <w:r w:rsidRPr="001256E1">
        <w:rPr>
          <w:rFonts w:ascii="Verdana" w:hAnsi="Verdana" w:cs="Arial"/>
          <w:sz w:val="16"/>
          <w:szCs w:val="16"/>
          <w:lang w:val="pt-BR"/>
        </w:rPr>
        <w:t>Muñoz</w:t>
      </w:r>
      <w:proofErr w:type="spellEnd"/>
      <w:r w:rsidRPr="001256E1">
        <w:rPr>
          <w:rFonts w:ascii="Verdana" w:hAnsi="Verdana" w:cs="Arial"/>
          <w:sz w:val="16"/>
          <w:szCs w:val="16"/>
          <w:lang w:val="pt-BR"/>
        </w:rPr>
        <w:t>.</w:t>
      </w:r>
    </w:p>
    <w:p w14:paraId="067E3504" w14:textId="77777777" w:rsidR="001256E1" w:rsidRPr="001256E1" w:rsidRDefault="001256E1" w:rsidP="001256E1">
      <w:pPr>
        <w:pStyle w:val="Textonotapie"/>
        <w:jc w:val="both"/>
        <w:rPr>
          <w:rFonts w:ascii="Verdana" w:hAnsi="Verdana"/>
          <w:sz w:val="16"/>
          <w:szCs w:val="16"/>
          <w:lang w:val="pt-BR"/>
        </w:rPr>
      </w:pPr>
    </w:p>
  </w:footnote>
  <w:footnote w:id="13">
    <w:p w14:paraId="32C47EB8" w14:textId="77777777" w:rsidR="001256E1" w:rsidRPr="001256E1" w:rsidRDefault="001256E1" w:rsidP="001256E1">
      <w:pPr>
        <w:pStyle w:val="Textonotapie"/>
        <w:ind w:firstLine="708"/>
        <w:jc w:val="both"/>
        <w:rPr>
          <w:rFonts w:ascii="Verdana" w:hAnsi="Verdana" w:cs="Arial"/>
          <w:sz w:val="16"/>
          <w:szCs w:val="16"/>
        </w:rPr>
      </w:pPr>
      <w:r w:rsidRPr="001256E1">
        <w:rPr>
          <w:rStyle w:val="Refdenotaalpie"/>
          <w:rFonts w:ascii="Verdana" w:hAnsi="Verdana"/>
          <w:sz w:val="16"/>
          <w:szCs w:val="16"/>
        </w:rPr>
        <w:footnoteRef/>
      </w:r>
      <w:r w:rsidRPr="001256E1">
        <w:rPr>
          <w:rFonts w:ascii="Verdana" w:hAnsi="Verdana"/>
          <w:sz w:val="16"/>
          <w:szCs w:val="16"/>
        </w:rPr>
        <w:t xml:space="preserve"> </w:t>
      </w:r>
      <w:r w:rsidRPr="001256E1">
        <w:rPr>
          <w:rFonts w:ascii="Verdana" w:hAnsi="Verdana" w:cs="Arial"/>
          <w:sz w:val="16"/>
          <w:szCs w:val="16"/>
        </w:rPr>
        <w:t>El artículo 13 de la Ley 1150 de 2007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373E2F63" w14:textId="77777777" w:rsidR="001256E1" w:rsidRPr="001256E1" w:rsidRDefault="001256E1" w:rsidP="001256E1">
      <w:pPr>
        <w:pStyle w:val="Textonotapie"/>
        <w:jc w:val="both"/>
        <w:rPr>
          <w:rFonts w:ascii="Verdana" w:hAnsi="Verdana"/>
          <w:sz w:val="16"/>
          <w:szCs w:val="16"/>
          <w:lang w:val="es-ES"/>
        </w:rPr>
      </w:pPr>
    </w:p>
  </w:footnote>
  <w:footnote w:id="14">
    <w:p w14:paraId="67ACBAEF" w14:textId="77777777" w:rsidR="001256E1" w:rsidRPr="001256E1" w:rsidRDefault="001256E1" w:rsidP="001256E1">
      <w:pPr>
        <w:pStyle w:val="Textonotapie"/>
        <w:ind w:firstLine="709"/>
        <w:jc w:val="both"/>
        <w:rPr>
          <w:rFonts w:ascii="Verdana" w:hAnsi="Verdana"/>
          <w:sz w:val="16"/>
          <w:szCs w:val="16"/>
          <w:lang w:val="es-ES"/>
        </w:rPr>
      </w:pPr>
      <w:r w:rsidRPr="001256E1">
        <w:rPr>
          <w:rStyle w:val="Refdenotaalpie"/>
          <w:rFonts w:ascii="Verdana" w:hAnsi="Verdana"/>
          <w:sz w:val="16"/>
          <w:szCs w:val="16"/>
        </w:rPr>
        <w:footnoteRef/>
      </w:r>
      <w:r w:rsidRPr="001256E1">
        <w:rPr>
          <w:rFonts w:ascii="Verdana" w:hAnsi="Verdana"/>
          <w:sz w:val="16"/>
          <w:szCs w:val="16"/>
        </w:rPr>
        <w:t xml:space="preserve"> </w:t>
      </w:r>
      <w:bookmarkStart w:id="4" w:name="_Hlk195172243"/>
      <w:r w:rsidRPr="001256E1">
        <w:rPr>
          <w:rFonts w:ascii="Verdana" w:hAnsi="Verdana"/>
          <w:sz w:val="16"/>
          <w:szCs w:val="16"/>
          <w:lang w:val="es-ES"/>
        </w:rPr>
        <w:t>Corte Constitucional. Sentencia C-087 de 2024. M.P: Antonio José Lizarazo Ocampo</w:t>
      </w:r>
      <w:bookmarkEnd w:id="4"/>
      <w:r w:rsidRPr="001256E1">
        <w:rPr>
          <w:rFonts w:ascii="Verdana" w:hAnsi="Verdana"/>
          <w:sz w:val="16"/>
          <w:szCs w:val="16"/>
          <w:lang w:val="es-ES"/>
        </w:rPr>
        <w:t>.</w:t>
      </w:r>
    </w:p>
  </w:footnote>
  <w:footnote w:id="15">
    <w:p w14:paraId="688C5816" w14:textId="77777777" w:rsidR="001256E1" w:rsidRPr="001256E1" w:rsidRDefault="001256E1" w:rsidP="001256E1">
      <w:pPr>
        <w:pStyle w:val="Textonotapie"/>
        <w:ind w:firstLine="708"/>
        <w:jc w:val="both"/>
        <w:rPr>
          <w:rFonts w:ascii="Verdana" w:hAnsi="Verdana"/>
          <w:sz w:val="16"/>
          <w:szCs w:val="16"/>
          <w:lang w:val="es-ES_tradnl"/>
        </w:rPr>
      </w:pPr>
      <w:r w:rsidRPr="001256E1">
        <w:rPr>
          <w:rStyle w:val="Refdenotaalpie"/>
          <w:rFonts w:ascii="Verdana" w:hAnsi="Verdana"/>
          <w:sz w:val="16"/>
          <w:szCs w:val="16"/>
        </w:rPr>
        <w:footnoteRef/>
      </w:r>
      <w:r w:rsidRPr="001256E1">
        <w:rPr>
          <w:rFonts w:ascii="Verdana" w:hAnsi="Verdana"/>
          <w:sz w:val="16"/>
          <w:szCs w:val="16"/>
        </w:rPr>
        <w:t xml:space="preserve"> </w:t>
      </w:r>
      <w:r w:rsidRPr="001256E1">
        <w:rPr>
          <w:rFonts w:ascii="Verdana" w:hAnsi="Verdana" w:cs="Arial"/>
          <w:sz w:val="16"/>
          <w:szCs w:val="16"/>
        </w:rPr>
        <w:t>De esta manera, la doctrina anota que «[…] Los conceptos de “regla general” y “regla particular” son correlativas. Una regla es particular en relación con otra si hecho condicionante es un caso particular del hecho condicionante de la otra regla […]» (Cfr. ROSS, Alf. Sobre el derecho y la justicia. Quinta edición. Buenos Aires: EUDEBA, 1994. p. 125).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918023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F6F"/>
    <w:rsid w:val="00046945"/>
    <w:rsid w:val="00061B2A"/>
    <w:rsid w:val="00082362"/>
    <w:rsid w:val="000A683E"/>
    <w:rsid w:val="000B19B9"/>
    <w:rsid w:val="000D0334"/>
    <w:rsid w:val="000F6486"/>
    <w:rsid w:val="00122703"/>
    <w:rsid w:val="00125105"/>
    <w:rsid w:val="001256E1"/>
    <w:rsid w:val="00127233"/>
    <w:rsid w:val="00152E7A"/>
    <w:rsid w:val="001E4177"/>
    <w:rsid w:val="001F7DC6"/>
    <w:rsid w:val="002421BB"/>
    <w:rsid w:val="0025796E"/>
    <w:rsid w:val="002707A2"/>
    <w:rsid w:val="002951A0"/>
    <w:rsid w:val="002962BC"/>
    <w:rsid w:val="002A093D"/>
    <w:rsid w:val="002A0DD0"/>
    <w:rsid w:val="002A49AC"/>
    <w:rsid w:val="002A64FD"/>
    <w:rsid w:val="002C7A84"/>
    <w:rsid w:val="002E4FD9"/>
    <w:rsid w:val="002F2B89"/>
    <w:rsid w:val="00322A85"/>
    <w:rsid w:val="00324168"/>
    <w:rsid w:val="00325779"/>
    <w:rsid w:val="003448F4"/>
    <w:rsid w:val="00374F5E"/>
    <w:rsid w:val="00377E3E"/>
    <w:rsid w:val="003A779E"/>
    <w:rsid w:val="003D0F4D"/>
    <w:rsid w:val="003D5B0D"/>
    <w:rsid w:val="003E0499"/>
    <w:rsid w:val="003F3941"/>
    <w:rsid w:val="00402803"/>
    <w:rsid w:val="00406575"/>
    <w:rsid w:val="00414C74"/>
    <w:rsid w:val="0042722E"/>
    <w:rsid w:val="0044528D"/>
    <w:rsid w:val="004A1847"/>
    <w:rsid w:val="004A305D"/>
    <w:rsid w:val="004C7AE8"/>
    <w:rsid w:val="004F21C4"/>
    <w:rsid w:val="004F685F"/>
    <w:rsid w:val="0053091C"/>
    <w:rsid w:val="005566E8"/>
    <w:rsid w:val="00574867"/>
    <w:rsid w:val="00591460"/>
    <w:rsid w:val="005C3777"/>
    <w:rsid w:val="005C5CDC"/>
    <w:rsid w:val="005D476C"/>
    <w:rsid w:val="006219F8"/>
    <w:rsid w:val="006302F7"/>
    <w:rsid w:val="00661F58"/>
    <w:rsid w:val="00665D70"/>
    <w:rsid w:val="006900D9"/>
    <w:rsid w:val="006A760C"/>
    <w:rsid w:val="00705B17"/>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5039E"/>
    <w:rsid w:val="00AB0ADB"/>
    <w:rsid w:val="00B00C0E"/>
    <w:rsid w:val="00B01B1A"/>
    <w:rsid w:val="00B44A47"/>
    <w:rsid w:val="00B72CD3"/>
    <w:rsid w:val="00B72FFF"/>
    <w:rsid w:val="00BC3D36"/>
    <w:rsid w:val="00BD5C5A"/>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27D56BBB"/>
    <w:rsid w:val="4C6133F0"/>
    <w:rsid w:val="7604435A"/>
    <w:rsid w:val="783F23A2"/>
    <w:rsid w:val="7E5672A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05B17"/>
    <w:rPr>
      <w:rFonts w:ascii="Geomanist Light" w:hAnsi="Geomanist Light"/>
      <w:lang w:val="es-ES"/>
    </w:rPr>
  </w:style>
  <w:style w:type="paragraph" w:customStyle="1" w:styleId="Appelnotedebasde">
    <w:name w:val="Appel note de bas de..."/>
    <w:basedOn w:val="Normal"/>
    <w:link w:val="Refdenotaalpie"/>
    <w:uiPriority w:val="99"/>
    <w:rsid w:val="00705B17"/>
    <w:pPr>
      <w:spacing w:line="240" w:lineRule="exact"/>
    </w:pPr>
    <w:rPr>
      <w:vertAlign w:val="superscript"/>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independiente">
    <w:name w:val="Body Text"/>
    <w:basedOn w:val="Normal"/>
    <w:link w:val="TextoindependienteCar"/>
    <w:uiPriority w:val="1"/>
    <w:qFormat/>
    <w:rsid w:val="00A503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5039E"/>
    <w:rPr>
      <w:rFonts w:ascii="Arial" w:eastAsia="Arial" w:hAnsi="Arial" w:cs="Arial"/>
      <w:lang w:val="es-ES"/>
    </w:rPr>
  </w:style>
  <w:style w:type="character" w:customStyle="1" w:styleId="NormalWebCar">
    <w:name w:val="Normal (Web) Car"/>
    <w:link w:val="NormalWeb"/>
    <w:uiPriority w:val="99"/>
    <w:locked/>
    <w:rsid w:val="001256E1"/>
    <w:rPr>
      <w:rFonts w:ascii="Times New Roman" w:eastAsia="Times New Roman" w:hAnsi="Times New Roman" w:cs="Times New Roman"/>
      <w:sz w:val="24"/>
      <w:szCs w:val="24"/>
      <w:lang w:eastAsia="es-CO"/>
    </w:rPr>
  </w:style>
  <w:style w:type="character" w:customStyle="1" w:styleId="iaj">
    <w:name w:val="i_aj"/>
    <w:basedOn w:val="Fuentedeprrafopredeter"/>
    <w:rsid w:val="00125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osantoto@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2.xml><?xml version="1.0" encoding="utf-8"?>
<ds:datastoreItem xmlns:ds="http://schemas.openxmlformats.org/officeDocument/2006/customXml" ds:itemID="{AADEFE5F-CE9B-49FC-AF0B-4FDA06133A93}"/>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20</Pages>
  <Words>6526</Words>
  <Characters>35897</Characters>
  <Application>Microsoft Office Word</Application>
  <DocSecurity>0</DocSecurity>
  <Lines>299</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5</cp:revision>
  <cp:lastPrinted>2023-01-10T21:18:00Z</cp:lastPrinted>
  <dcterms:created xsi:type="dcterms:W3CDTF">2025-09-16T10:54:00Z</dcterms:created>
  <dcterms:modified xsi:type="dcterms:W3CDTF">2025-09-18T22:59:00Z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