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69765" w14:textId="6424C5DE" w:rsidR="0012135D" w:rsidRPr="0012135D" w:rsidRDefault="0012135D" w:rsidP="0012135D">
      <w:pPr>
        <w:jc w:val="both"/>
        <w:rPr>
          <w:rFonts w:ascii="Verdana" w:hAnsi="Verdana" w:cs="Arial"/>
          <w:b/>
          <w:color w:val="000000" w:themeColor="text1"/>
          <w:lang w:val="es-ES_tradnl"/>
        </w:rPr>
      </w:pPr>
      <w:bookmarkStart w:id="0" w:name="_Hlk143780582"/>
      <w:r w:rsidRPr="0012135D">
        <w:rPr>
          <w:rFonts w:ascii="Verdana" w:hAnsi="Verdana" w:cs="Arial"/>
          <w:b/>
          <w:color w:val="000000" w:themeColor="text1"/>
          <w:lang w:val="es-ES_tradnl"/>
        </w:rPr>
        <w:t xml:space="preserve">LEY 2097 DE 2021 – REDAM – Objeto </w:t>
      </w:r>
    </w:p>
    <w:p w14:paraId="16FA052F" w14:textId="77777777" w:rsidR="0012135D" w:rsidRDefault="0012135D" w:rsidP="0012135D">
      <w:pPr>
        <w:spacing w:after="120" w:line="276" w:lineRule="auto"/>
        <w:jc w:val="both"/>
        <w:rPr>
          <w:rFonts w:ascii="Verdana" w:hAnsi="Verdana" w:cs="Open Sans"/>
        </w:rPr>
      </w:pPr>
      <w:r w:rsidRPr="001B5827">
        <w:rPr>
          <w:rFonts w:ascii="Verdana" w:eastAsia="Calibri" w:hAnsi="Verdana" w:cs="Arial"/>
          <w:lang w:val="es-ES"/>
        </w:rPr>
        <w:t>La Ley Estatutaria 2097 de 2021 “</w:t>
      </w:r>
      <w:r w:rsidRPr="001B5827">
        <w:rPr>
          <w:rFonts w:ascii="Verdana" w:hAnsi="Verdana" w:cs="Open Sans"/>
        </w:rPr>
        <w:t>Por medio de la cual se crea el Registro de Deudores Alimentarios Morosos (</w:t>
      </w:r>
      <w:proofErr w:type="spellStart"/>
      <w:r w:rsidRPr="001B5827">
        <w:rPr>
          <w:rFonts w:ascii="Verdana" w:hAnsi="Verdana" w:cs="Open Sans"/>
        </w:rPr>
        <w:t>Redam</w:t>
      </w:r>
      <w:proofErr w:type="spellEnd"/>
      <w:r w:rsidRPr="001B5827">
        <w:rPr>
          <w:rFonts w:ascii="Verdana" w:hAnsi="Verdana" w:cs="Open Sans"/>
        </w:rPr>
        <w:t>) y se dictan otras disposiciones.”, además de crear el Registro de Deudores Alimentarios Morosos – en adelante REDAM –, estableció medidas para garantizar el cumplimiento de las obligaciones alimentarias</w:t>
      </w:r>
      <w:r w:rsidRPr="001B5827">
        <w:rPr>
          <w:rStyle w:val="Refdenotaalpie"/>
          <w:rFonts w:ascii="Verdana" w:hAnsi="Verdana" w:cs="Open Sans"/>
        </w:rPr>
        <w:footnoteReference w:id="2"/>
      </w:r>
      <w:r w:rsidRPr="001B5827">
        <w:rPr>
          <w:rFonts w:ascii="Verdana" w:hAnsi="Verdana" w:cs="Open Sans"/>
        </w:rPr>
        <w:t xml:space="preserve"> y fijó el procedimiento para inscripción en el REDAM, las funciones </w:t>
      </w:r>
      <w:proofErr w:type="gramStart"/>
      <w:r w:rsidRPr="001B5827">
        <w:rPr>
          <w:rFonts w:ascii="Verdana" w:hAnsi="Verdana" w:cs="Open Sans"/>
        </w:rPr>
        <w:t xml:space="preserve">del </w:t>
      </w:r>
      <w:r>
        <w:rPr>
          <w:rFonts w:ascii="Verdana" w:hAnsi="Verdana" w:cs="Open Sans"/>
        </w:rPr>
        <w:t>mismo</w:t>
      </w:r>
      <w:proofErr w:type="gramEnd"/>
      <w:r w:rsidRPr="001B5827">
        <w:rPr>
          <w:rFonts w:ascii="Verdana" w:hAnsi="Verdana" w:cs="Open Sans"/>
        </w:rPr>
        <w:t xml:space="preserve">, el contenido y las consecuencias de la inscripción en dicho registro, así como </w:t>
      </w:r>
      <w:r>
        <w:rPr>
          <w:rFonts w:ascii="Verdana" w:hAnsi="Verdana" w:cs="Open Sans"/>
        </w:rPr>
        <w:t>su</w:t>
      </w:r>
      <w:r w:rsidRPr="001B5827">
        <w:rPr>
          <w:rFonts w:ascii="Verdana" w:hAnsi="Verdana" w:cs="Open Sans"/>
        </w:rPr>
        <w:t xml:space="preserve"> operación. </w:t>
      </w:r>
    </w:p>
    <w:p w14:paraId="5C32877E" w14:textId="0151AF49" w:rsidR="0012135D" w:rsidRPr="0012135D" w:rsidRDefault="0012135D" w:rsidP="0012135D">
      <w:pPr>
        <w:jc w:val="both"/>
        <w:rPr>
          <w:rFonts w:ascii="Verdana" w:hAnsi="Verdana" w:cs="Arial"/>
          <w:b/>
          <w:color w:val="000000" w:themeColor="text1"/>
          <w:lang w:val="es-ES_tradnl"/>
        </w:rPr>
      </w:pPr>
      <w:r w:rsidRPr="0012135D">
        <w:rPr>
          <w:rFonts w:ascii="Verdana" w:hAnsi="Verdana" w:cs="Arial"/>
          <w:b/>
          <w:color w:val="000000" w:themeColor="text1"/>
          <w:lang w:val="es-ES_tradnl"/>
        </w:rPr>
        <w:t xml:space="preserve">OBLIGACIÓN ALIMENTARIA – Definición </w:t>
      </w:r>
    </w:p>
    <w:p w14:paraId="35BE34AC" w14:textId="449C2DC2" w:rsidR="0012135D" w:rsidRDefault="0012135D" w:rsidP="0012135D">
      <w:pPr>
        <w:jc w:val="both"/>
        <w:rPr>
          <w:rFonts w:ascii="Verdana" w:hAnsi="Verdana" w:cs="Arial"/>
          <w:bCs/>
          <w:color w:val="000000" w:themeColor="text1"/>
          <w:lang w:val="es-ES_tradnl"/>
        </w:rPr>
      </w:pPr>
      <w:r>
        <w:rPr>
          <w:rFonts w:ascii="Verdana" w:hAnsi="Verdana" w:cs="Open Sans"/>
        </w:rPr>
        <w:t>Por</w:t>
      </w:r>
      <w:r w:rsidRPr="001B5827">
        <w:rPr>
          <w:rFonts w:ascii="Verdana" w:hAnsi="Verdana" w:cs="Open Sans"/>
        </w:rPr>
        <w:t xml:space="preserve"> otra</w:t>
      </w:r>
      <w:r>
        <w:rPr>
          <w:rFonts w:ascii="Verdana" w:hAnsi="Verdana" w:cs="Open Sans"/>
        </w:rPr>
        <w:t xml:space="preserve"> parte</w:t>
      </w:r>
      <w:r w:rsidRPr="001B5827">
        <w:rPr>
          <w:rFonts w:ascii="Verdana" w:hAnsi="Verdana" w:cs="Open Sans"/>
        </w:rPr>
        <w:t>, la obligación alimentaria correlativa está en cabeza de las personas naturales que se encuentran en el otro extremo de la relación familiar y cuyas circunstancias también deben ser tenidas en cuenta al momento de tasar la obligación puesto que no puede afectarse la dignidad humana del deudor.</w:t>
      </w:r>
      <w:r>
        <w:rPr>
          <w:rFonts w:ascii="Verdana" w:hAnsi="Verdana" w:cs="Open Sans"/>
        </w:rPr>
        <w:t xml:space="preserve"> […]</w:t>
      </w:r>
    </w:p>
    <w:p w14:paraId="7F9A83E8" w14:textId="2251C5D5" w:rsidR="0012135D" w:rsidRPr="0012135D" w:rsidRDefault="0012135D" w:rsidP="0012135D">
      <w:pPr>
        <w:jc w:val="both"/>
        <w:rPr>
          <w:rFonts w:ascii="Verdana" w:hAnsi="Verdana" w:cs="Arial"/>
          <w:b/>
          <w:color w:val="000000" w:themeColor="text1"/>
          <w:lang w:val="es-ES_tradnl"/>
        </w:rPr>
      </w:pPr>
      <w:r w:rsidRPr="0012135D">
        <w:rPr>
          <w:rFonts w:ascii="Verdana" w:hAnsi="Verdana" w:cs="Arial"/>
          <w:b/>
          <w:color w:val="000000" w:themeColor="text1"/>
          <w:lang w:val="es-ES_tradnl"/>
        </w:rPr>
        <w:t xml:space="preserve">INHABILIDAD – REDAM – Ámbito de aplicación – Constitucionalidad </w:t>
      </w:r>
    </w:p>
    <w:p w14:paraId="69A62640" w14:textId="77777777" w:rsidR="0012135D" w:rsidRDefault="0012135D" w:rsidP="0012135D">
      <w:pPr>
        <w:tabs>
          <w:tab w:val="left" w:pos="0"/>
        </w:tabs>
        <w:spacing w:after="120" w:line="276" w:lineRule="auto"/>
        <w:jc w:val="both"/>
        <w:rPr>
          <w:rFonts w:ascii="Verdana" w:eastAsia="Calibri" w:hAnsi="Verdana" w:cs="Arial"/>
          <w:bCs/>
          <w:color w:val="000000" w:themeColor="text1"/>
        </w:rPr>
      </w:pPr>
      <w:r w:rsidRPr="001B5827">
        <w:rPr>
          <w:rFonts w:ascii="Verdana" w:eastAsia="Calibri" w:hAnsi="Verdana" w:cs="Arial"/>
          <w:bCs/>
          <w:color w:val="000000" w:themeColor="text1"/>
        </w:rPr>
        <w:t xml:space="preserve">Para efectos del tema sometido a consulta, una de las consecuencias más importantes de la inclusión en el REDAM es la aparición de una inhabilidad para celebrar contratos con el Estado. Al respecto, conforme al artículo 6.1 </w:t>
      </w:r>
      <w:r w:rsidRPr="001B5827">
        <w:rPr>
          <w:rFonts w:ascii="Verdana" w:eastAsia="Calibri" w:hAnsi="Verdana" w:cs="Arial"/>
          <w:bCs/>
          <w:i/>
          <w:iCs/>
          <w:color w:val="000000" w:themeColor="text1"/>
        </w:rPr>
        <w:t>ibidem</w:t>
      </w:r>
      <w:r w:rsidRPr="001B5827">
        <w:rPr>
          <w:rFonts w:ascii="Verdana" w:eastAsia="Calibri" w:hAnsi="Verdana" w:cs="Arial"/>
          <w:bCs/>
          <w:color w:val="000000" w:themeColor="text1"/>
        </w:rPr>
        <w:t xml:space="preserve">, “El deudor alimentario moroso solo podrá contratar con el Estado una vez se ponga a paz y salvo con sus obligaciones alimentarias. Esta inhabilidad también se predica del deudor alimentario moroso que actúe como representante legal de la persona jurídica que aspira a contratar con el Estado”. </w:t>
      </w:r>
    </w:p>
    <w:p w14:paraId="361F4BA7" w14:textId="6728AB30" w:rsidR="0012135D" w:rsidRDefault="0012135D" w:rsidP="0012135D">
      <w:pPr>
        <w:jc w:val="both"/>
        <w:rPr>
          <w:rFonts w:ascii="Verdana" w:hAnsi="Verdana" w:cs="Arial"/>
          <w:bCs/>
          <w:color w:val="000000" w:themeColor="text1"/>
          <w:lang w:val="es-ES_tradnl"/>
        </w:rPr>
      </w:pPr>
      <w:r w:rsidRPr="001B5827">
        <w:rPr>
          <w:rFonts w:ascii="Verdana" w:eastAsia="Calibri" w:hAnsi="Verdana" w:cs="Arial"/>
          <w:bCs/>
          <w:color w:val="000000" w:themeColor="text1"/>
        </w:rPr>
        <w:t xml:space="preserve">Dicha restricción se suma al catálogo del artículo 8 y siguientes de la Ley 80 de 1993, especialmente, cuando –conforme al literal a) del numeral 1– “Son inhábiles para participar en licitaciones y para celebrar contratos con las entidades estatales […] Las personas que se hallen inhabilitadas </w:t>
      </w:r>
      <w:r w:rsidRPr="001B5827">
        <w:rPr>
          <w:rFonts w:ascii="Verdana" w:eastAsia="Calibri" w:hAnsi="Verdana" w:cs="Arial"/>
          <w:bCs/>
        </w:rPr>
        <w:t>para contratar por la Constitución y las leyes”, el cual se extiende también a las entidades de régimen exceptuado en virtud del inciso primero del artículo 13 de la Ley 1150 de 2007 y al régimen de las ESAL de acuerdo al artículo 6 del Decreto 092 de 2017.</w:t>
      </w:r>
    </w:p>
    <w:p w14:paraId="108E7165" w14:textId="7FCD3C98" w:rsidR="0012135D" w:rsidRPr="0012135D" w:rsidRDefault="0012135D" w:rsidP="0012135D">
      <w:pPr>
        <w:jc w:val="both"/>
        <w:rPr>
          <w:rFonts w:ascii="Verdana" w:hAnsi="Verdana" w:cs="Arial"/>
          <w:b/>
          <w:color w:val="000000" w:themeColor="text1"/>
          <w:lang w:val="es-ES_tradnl"/>
        </w:rPr>
      </w:pPr>
      <w:r w:rsidRPr="0012135D">
        <w:rPr>
          <w:rFonts w:ascii="Verdana" w:hAnsi="Verdana" w:cs="Arial"/>
          <w:b/>
          <w:color w:val="000000" w:themeColor="text1"/>
          <w:lang w:val="es-ES_tradnl"/>
        </w:rPr>
        <w:t>REDAM – Personas obligadas – Representante legales – Personas jurídicas</w:t>
      </w:r>
    </w:p>
    <w:p w14:paraId="2EA5FA3F" w14:textId="3ECCAC26" w:rsidR="0012135D" w:rsidRDefault="0012135D" w:rsidP="0012135D">
      <w:pPr>
        <w:spacing w:after="0" w:line="240" w:lineRule="auto"/>
        <w:jc w:val="both"/>
        <w:rPr>
          <w:rFonts w:ascii="Verdana" w:hAnsi="Verdana"/>
        </w:rPr>
      </w:pPr>
      <w:r w:rsidRPr="001B5827">
        <w:rPr>
          <w:rFonts w:ascii="Verdana" w:eastAsia="Calibri" w:hAnsi="Verdana" w:cs="Arial"/>
          <w:color w:val="000000" w:themeColor="text1"/>
        </w:rPr>
        <w:lastRenderedPageBreak/>
        <w:t>Por ello, agrega que “[…] esta extensión también implica la obligación del juez y/o funcionario que ordena la inscripción que comunique de esta, en los términos del inciso primero del artículo 3º del PLE, no únicamente a la persona natural sino también a la persona jurídica cuando aquella es su representante legal. Esto con el fin de que puedan ejercer las posibilidades de remoción o de exigencia del pago de la obligación, anteriormente mencionadas. De esta manera, en caso de que no ejerza esas opciones, la persona jurídica terminará siendo cobijada por los efectos del reporte, no por el simple hecho de un tercero sino ante su propia inacción y negligencia en acudir a los remedios legales para evitar tales consecuencias jurídicas.”</w:t>
      </w:r>
    </w:p>
    <w:p w14:paraId="6D1EAB69" w14:textId="77777777" w:rsidR="0012135D" w:rsidRDefault="0012135D" w:rsidP="00796CBD">
      <w:pPr>
        <w:spacing w:after="0" w:line="240" w:lineRule="auto"/>
        <w:rPr>
          <w:rFonts w:ascii="Verdana" w:hAnsi="Verdana"/>
        </w:rPr>
      </w:pPr>
    </w:p>
    <w:p w14:paraId="1AF742D9" w14:textId="77777777" w:rsidR="0012135D" w:rsidRDefault="0012135D" w:rsidP="00796CBD">
      <w:pPr>
        <w:spacing w:after="0" w:line="240" w:lineRule="auto"/>
        <w:rPr>
          <w:rFonts w:ascii="Verdana" w:hAnsi="Verdana"/>
        </w:rPr>
      </w:pPr>
    </w:p>
    <w:p w14:paraId="2905D79A" w14:textId="77777777" w:rsidR="0012135D" w:rsidRDefault="0012135D" w:rsidP="00796CBD">
      <w:pPr>
        <w:spacing w:after="0" w:line="240" w:lineRule="auto"/>
        <w:rPr>
          <w:rFonts w:ascii="Verdana" w:hAnsi="Verdana"/>
        </w:rPr>
      </w:pPr>
    </w:p>
    <w:p w14:paraId="3949C91E" w14:textId="77777777" w:rsidR="0012135D" w:rsidRDefault="0012135D" w:rsidP="00796CBD">
      <w:pPr>
        <w:spacing w:after="0" w:line="240" w:lineRule="auto"/>
        <w:rPr>
          <w:rFonts w:ascii="Verdana" w:hAnsi="Verdana"/>
        </w:rPr>
      </w:pPr>
    </w:p>
    <w:p w14:paraId="6CBAA5C6" w14:textId="77777777" w:rsidR="0012135D" w:rsidRDefault="0012135D" w:rsidP="00796CBD">
      <w:pPr>
        <w:spacing w:after="0" w:line="240" w:lineRule="auto"/>
        <w:rPr>
          <w:rFonts w:ascii="Verdana" w:hAnsi="Verdana"/>
        </w:rPr>
      </w:pPr>
    </w:p>
    <w:p w14:paraId="106381F9" w14:textId="77777777" w:rsidR="0012135D" w:rsidRDefault="0012135D" w:rsidP="00796CBD">
      <w:pPr>
        <w:spacing w:after="0" w:line="240" w:lineRule="auto"/>
        <w:rPr>
          <w:rFonts w:ascii="Verdana" w:hAnsi="Verdana"/>
        </w:rPr>
      </w:pPr>
    </w:p>
    <w:p w14:paraId="7C1123A8" w14:textId="77777777" w:rsidR="0012135D" w:rsidRDefault="0012135D" w:rsidP="00796CBD">
      <w:pPr>
        <w:spacing w:after="0" w:line="240" w:lineRule="auto"/>
        <w:rPr>
          <w:rFonts w:ascii="Verdana" w:hAnsi="Verdana"/>
        </w:rPr>
      </w:pPr>
    </w:p>
    <w:p w14:paraId="4FAB8671" w14:textId="77777777" w:rsidR="0012135D" w:rsidRDefault="0012135D" w:rsidP="00796CBD">
      <w:pPr>
        <w:spacing w:after="0" w:line="240" w:lineRule="auto"/>
        <w:rPr>
          <w:rFonts w:ascii="Verdana" w:hAnsi="Verdana"/>
        </w:rPr>
      </w:pPr>
    </w:p>
    <w:p w14:paraId="0CEE5C1D" w14:textId="77777777" w:rsidR="0012135D" w:rsidRDefault="0012135D" w:rsidP="00796CBD">
      <w:pPr>
        <w:spacing w:after="0" w:line="240" w:lineRule="auto"/>
        <w:rPr>
          <w:rFonts w:ascii="Verdana" w:hAnsi="Verdana"/>
        </w:rPr>
      </w:pPr>
    </w:p>
    <w:p w14:paraId="3BA064B3" w14:textId="77777777" w:rsidR="0012135D" w:rsidRDefault="0012135D" w:rsidP="00796CBD">
      <w:pPr>
        <w:spacing w:after="0" w:line="240" w:lineRule="auto"/>
        <w:rPr>
          <w:rFonts w:ascii="Verdana" w:hAnsi="Verdana"/>
        </w:rPr>
      </w:pPr>
    </w:p>
    <w:p w14:paraId="2F966C3E" w14:textId="77777777" w:rsidR="0012135D" w:rsidRDefault="0012135D" w:rsidP="00796CBD">
      <w:pPr>
        <w:spacing w:after="0" w:line="240" w:lineRule="auto"/>
        <w:rPr>
          <w:rFonts w:ascii="Verdana" w:hAnsi="Verdana"/>
        </w:rPr>
      </w:pPr>
    </w:p>
    <w:p w14:paraId="3707877B" w14:textId="77777777" w:rsidR="0012135D" w:rsidRDefault="0012135D" w:rsidP="00796CBD">
      <w:pPr>
        <w:spacing w:after="0" w:line="240" w:lineRule="auto"/>
        <w:rPr>
          <w:rFonts w:ascii="Verdana" w:hAnsi="Verdana"/>
        </w:rPr>
      </w:pPr>
    </w:p>
    <w:p w14:paraId="1449A9CE" w14:textId="77777777" w:rsidR="0012135D" w:rsidRDefault="0012135D" w:rsidP="00796CBD">
      <w:pPr>
        <w:spacing w:after="0" w:line="240" w:lineRule="auto"/>
        <w:rPr>
          <w:rFonts w:ascii="Verdana" w:hAnsi="Verdana"/>
        </w:rPr>
      </w:pPr>
    </w:p>
    <w:p w14:paraId="5BC5A09B" w14:textId="77777777" w:rsidR="0012135D" w:rsidRDefault="0012135D" w:rsidP="00796CBD">
      <w:pPr>
        <w:spacing w:after="0" w:line="240" w:lineRule="auto"/>
        <w:rPr>
          <w:rFonts w:ascii="Verdana" w:hAnsi="Verdana"/>
        </w:rPr>
      </w:pPr>
    </w:p>
    <w:p w14:paraId="2C3330A5" w14:textId="77777777" w:rsidR="0012135D" w:rsidRDefault="0012135D" w:rsidP="00796CBD">
      <w:pPr>
        <w:spacing w:after="0" w:line="240" w:lineRule="auto"/>
        <w:rPr>
          <w:rFonts w:ascii="Verdana" w:hAnsi="Verdana"/>
        </w:rPr>
      </w:pPr>
    </w:p>
    <w:p w14:paraId="570DC650" w14:textId="77777777" w:rsidR="0012135D" w:rsidRDefault="0012135D" w:rsidP="00796CBD">
      <w:pPr>
        <w:spacing w:after="0" w:line="240" w:lineRule="auto"/>
        <w:rPr>
          <w:rFonts w:ascii="Verdana" w:hAnsi="Verdana"/>
        </w:rPr>
      </w:pPr>
    </w:p>
    <w:p w14:paraId="660DF483" w14:textId="77777777" w:rsidR="0012135D" w:rsidRDefault="0012135D" w:rsidP="00796CBD">
      <w:pPr>
        <w:spacing w:after="0" w:line="240" w:lineRule="auto"/>
        <w:rPr>
          <w:rFonts w:ascii="Verdana" w:hAnsi="Verdana"/>
        </w:rPr>
      </w:pPr>
    </w:p>
    <w:p w14:paraId="475D95EB" w14:textId="77777777" w:rsidR="0012135D" w:rsidRDefault="0012135D" w:rsidP="00796CBD">
      <w:pPr>
        <w:spacing w:after="0" w:line="240" w:lineRule="auto"/>
        <w:rPr>
          <w:rFonts w:ascii="Verdana" w:hAnsi="Verdana"/>
        </w:rPr>
      </w:pPr>
    </w:p>
    <w:p w14:paraId="69CE04CD" w14:textId="77777777" w:rsidR="0012135D" w:rsidRDefault="0012135D" w:rsidP="00796CBD">
      <w:pPr>
        <w:spacing w:after="0" w:line="240" w:lineRule="auto"/>
        <w:rPr>
          <w:rFonts w:ascii="Verdana" w:hAnsi="Verdana"/>
        </w:rPr>
      </w:pPr>
    </w:p>
    <w:p w14:paraId="1ED43D1C" w14:textId="77777777" w:rsidR="0012135D" w:rsidRDefault="0012135D" w:rsidP="00796CBD">
      <w:pPr>
        <w:spacing w:after="0" w:line="240" w:lineRule="auto"/>
        <w:rPr>
          <w:rFonts w:ascii="Verdana" w:hAnsi="Verdana"/>
        </w:rPr>
      </w:pPr>
    </w:p>
    <w:p w14:paraId="5BBCFEEC" w14:textId="77777777" w:rsidR="0012135D" w:rsidRDefault="0012135D" w:rsidP="00796CBD">
      <w:pPr>
        <w:spacing w:after="0" w:line="240" w:lineRule="auto"/>
        <w:rPr>
          <w:rFonts w:ascii="Verdana" w:hAnsi="Verdana"/>
        </w:rPr>
      </w:pPr>
    </w:p>
    <w:p w14:paraId="376C2309" w14:textId="77777777" w:rsidR="0012135D" w:rsidRDefault="0012135D" w:rsidP="00796CBD">
      <w:pPr>
        <w:spacing w:after="0" w:line="240" w:lineRule="auto"/>
        <w:rPr>
          <w:rFonts w:ascii="Verdana" w:hAnsi="Verdana"/>
        </w:rPr>
      </w:pPr>
    </w:p>
    <w:p w14:paraId="02C077E1" w14:textId="1E3C46FA" w:rsidR="0012135D" w:rsidRDefault="0012135D" w:rsidP="00796CBD">
      <w:pPr>
        <w:spacing w:after="0" w:line="240" w:lineRule="auto"/>
        <w:rPr>
          <w:rFonts w:ascii="Verdana" w:hAnsi="Verdana"/>
        </w:rPr>
      </w:pPr>
    </w:p>
    <w:p w14:paraId="097BA5F0" w14:textId="679995BE" w:rsidR="0012135D" w:rsidRDefault="0012135D" w:rsidP="00796CBD">
      <w:pPr>
        <w:spacing w:after="0" w:line="240" w:lineRule="auto"/>
        <w:rPr>
          <w:rFonts w:ascii="Verdana" w:hAnsi="Verdana"/>
        </w:rPr>
      </w:pPr>
    </w:p>
    <w:p w14:paraId="0A1284A6" w14:textId="037799FE" w:rsidR="0012135D" w:rsidRDefault="0012135D" w:rsidP="00796CBD">
      <w:pPr>
        <w:spacing w:after="0" w:line="240" w:lineRule="auto"/>
        <w:rPr>
          <w:rFonts w:ascii="Verdana" w:hAnsi="Verdana"/>
        </w:rPr>
      </w:pPr>
    </w:p>
    <w:p w14:paraId="1E5B55E7" w14:textId="30FB5456" w:rsidR="0012135D" w:rsidRDefault="0012135D" w:rsidP="00796CBD">
      <w:pPr>
        <w:spacing w:after="0" w:line="240" w:lineRule="auto"/>
        <w:rPr>
          <w:rFonts w:ascii="Verdana" w:hAnsi="Verdana"/>
        </w:rPr>
      </w:pPr>
    </w:p>
    <w:p w14:paraId="34DF43C8" w14:textId="74380FA4" w:rsidR="0012135D" w:rsidRDefault="0012135D" w:rsidP="00796CBD">
      <w:pPr>
        <w:spacing w:after="0" w:line="240" w:lineRule="auto"/>
        <w:rPr>
          <w:rFonts w:ascii="Verdana" w:hAnsi="Verdana"/>
        </w:rPr>
      </w:pPr>
    </w:p>
    <w:p w14:paraId="25BD0B6E" w14:textId="77777777" w:rsidR="0012135D" w:rsidRDefault="0012135D" w:rsidP="00796CBD">
      <w:pPr>
        <w:spacing w:after="0" w:line="240" w:lineRule="auto"/>
        <w:rPr>
          <w:rFonts w:ascii="Verdana" w:hAnsi="Verdana"/>
        </w:rPr>
      </w:pPr>
    </w:p>
    <w:p w14:paraId="6B05840C" w14:textId="77777777" w:rsidR="0012135D" w:rsidRDefault="0012135D" w:rsidP="00796CBD">
      <w:pPr>
        <w:spacing w:after="0" w:line="240" w:lineRule="auto"/>
        <w:rPr>
          <w:rFonts w:ascii="Verdana" w:hAnsi="Verdana"/>
        </w:rPr>
      </w:pPr>
    </w:p>
    <w:p w14:paraId="33A7F345" w14:textId="77777777" w:rsidR="0012135D" w:rsidRDefault="0012135D" w:rsidP="00796CBD">
      <w:pPr>
        <w:spacing w:after="0" w:line="240" w:lineRule="auto"/>
        <w:rPr>
          <w:rFonts w:ascii="Verdana" w:hAnsi="Verdana"/>
        </w:rPr>
      </w:pPr>
    </w:p>
    <w:p w14:paraId="3D17FB6E" w14:textId="77777777" w:rsidR="0012135D" w:rsidRDefault="0012135D" w:rsidP="00796CBD">
      <w:pPr>
        <w:spacing w:after="0" w:line="240" w:lineRule="auto"/>
        <w:rPr>
          <w:rFonts w:ascii="Verdana" w:hAnsi="Verdana"/>
        </w:rPr>
      </w:pPr>
    </w:p>
    <w:p w14:paraId="3ECB72B5" w14:textId="77777777" w:rsidR="0012135D" w:rsidRDefault="0012135D" w:rsidP="00796CBD">
      <w:pPr>
        <w:spacing w:after="0" w:line="240" w:lineRule="auto"/>
        <w:rPr>
          <w:rFonts w:ascii="Verdana" w:hAnsi="Verdana"/>
        </w:rPr>
      </w:pPr>
    </w:p>
    <w:p w14:paraId="76EA2B5C" w14:textId="77777777" w:rsidR="0012135D" w:rsidRDefault="0012135D" w:rsidP="00796CBD">
      <w:pPr>
        <w:spacing w:after="0" w:line="240" w:lineRule="auto"/>
        <w:rPr>
          <w:rFonts w:ascii="Verdana" w:hAnsi="Verdana"/>
        </w:rPr>
      </w:pPr>
    </w:p>
    <w:p w14:paraId="3FE2184B" w14:textId="1DFC6638" w:rsidR="00E245AB" w:rsidRPr="0044528D" w:rsidRDefault="0012135D" w:rsidP="00796CBD">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54677007" wp14:editId="54BF6A23">
            <wp:simplePos x="0" y="0"/>
            <wp:positionH relativeFrom="column">
              <wp:posOffset>2992461</wp:posOffset>
            </wp:positionH>
            <wp:positionV relativeFrom="paragraph">
              <wp:posOffset>-109806</wp:posOffset>
            </wp:positionV>
            <wp:extent cx="2588455" cy="815926"/>
            <wp:effectExtent l="0" t="0" r="2540" b="381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a:extLst>
                        <a:ext uri="{28A0092B-C50C-407E-A947-70E740481C1C}">
                          <a14:useLocalDpi xmlns:a14="http://schemas.microsoft.com/office/drawing/2010/main" val="0"/>
                        </a:ext>
                      </a:extLst>
                    </a:blip>
                    <a:stretch>
                      <a:fillRect/>
                    </a:stretch>
                  </pic:blipFill>
                  <pic:spPr>
                    <a:xfrm>
                      <a:off x="0" y="0"/>
                      <a:ext cx="2619148" cy="825601"/>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15 </w:t>
      </w:r>
      <w:proofErr w:type="gramStart"/>
      <w:r>
        <w:rPr>
          <w:rFonts w:ascii="Verdana" w:hAnsi="Verdana"/>
        </w:rPr>
        <w:t>Septiembre</w:t>
      </w:r>
      <w:proofErr w:type="gramEnd"/>
      <w:r>
        <w:rPr>
          <w:rFonts w:ascii="Verdana" w:hAnsi="Verdana"/>
        </w:rPr>
        <w:t xml:space="preserve"> 2025</w:t>
      </w:r>
      <w:r w:rsidR="00891928" w:rsidRPr="0044528D">
        <w:rPr>
          <w:rFonts w:ascii="Verdana" w:hAnsi="Verdana"/>
        </w:rPr>
        <w:tab/>
      </w:r>
    </w:p>
    <w:p w14:paraId="5FCADBF9" w14:textId="5C2D3D96" w:rsidR="00E245AB" w:rsidRPr="0044528D" w:rsidRDefault="00E245AB" w:rsidP="00796CBD">
      <w:pPr>
        <w:spacing w:after="0" w:line="240" w:lineRule="auto"/>
        <w:rPr>
          <w:rFonts w:ascii="Verdana" w:hAnsi="Verdana"/>
        </w:rPr>
      </w:pPr>
    </w:p>
    <w:p w14:paraId="6D96F64B" w14:textId="77777777" w:rsidR="00132901" w:rsidRDefault="00132901" w:rsidP="00132901">
      <w:pPr>
        <w:spacing w:after="0" w:line="240" w:lineRule="auto"/>
        <w:jc w:val="both"/>
        <w:rPr>
          <w:rFonts w:ascii="Verdana" w:eastAsia="Calibri" w:hAnsi="Verdana" w:cs="Arial"/>
          <w:lang w:val="es-ES" w:eastAsia="es-ES"/>
        </w:rPr>
      </w:pPr>
      <w:bookmarkStart w:id="1" w:name="_Hlk208479311"/>
      <w:r>
        <w:rPr>
          <w:rFonts w:ascii="Verdana" w:eastAsia="Calibri" w:hAnsi="Verdana" w:cs="Arial"/>
          <w:lang w:val="es-ES" w:eastAsia="es-ES"/>
        </w:rPr>
        <w:t>Señora</w:t>
      </w:r>
    </w:p>
    <w:p w14:paraId="53739D2C" w14:textId="77777777" w:rsidR="00132901" w:rsidRDefault="00132901" w:rsidP="00132901">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Lucy Elena </w:t>
      </w:r>
      <w:proofErr w:type="spellStart"/>
      <w:r>
        <w:rPr>
          <w:rFonts w:ascii="Verdana" w:eastAsia="Calibri" w:hAnsi="Verdana" w:cs="Arial"/>
          <w:b/>
          <w:lang w:val="es-ES" w:eastAsia="es-ES"/>
        </w:rPr>
        <w:t>Urón</w:t>
      </w:r>
      <w:proofErr w:type="spellEnd"/>
      <w:r>
        <w:rPr>
          <w:rFonts w:ascii="Verdana" w:eastAsia="Calibri" w:hAnsi="Verdana" w:cs="Arial"/>
          <w:b/>
          <w:lang w:val="es-ES" w:eastAsia="es-ES"/>
        </w:rPr>
        <w:t xml:space="preserve"> Rincón</w:t>
      </w:r>
    </w:p>
    <w:p w14:paraId="156179A1" w14:textId="77777777" w:rsidR="00132901" w:rsidRDefault="00132901" w:rsidP="00132901">
      <w:pPr>
        <w:spacing w:after="0" w:line="240" w:lineRule="auto"/>
        <w:rPr>
          <w:rFonts w:ascii="Verdana" w:eastAsia="Calibri" w:hAnsi="Verdana" w:cs="Arial"/>
          <w:b/>
          <w:lang w:val="es-ES" w:eastAsia="es-ES"/>
        </w:rPr>
      </w:pPr>
      <w:r>
        <w:rPr>
          <w:rFonts w:ascii="Verdana" w:eastAsia="Calibri" w:hAnsi="Verdana" w:cs="Arial"/>
          <w:b/>
          <w:lang w:val="es-ES" w:eastAsia="es-ES"/>
        </w:rPr>
        <w:t>Directora de Gobierno Digital</w:t>
      </w:r>
    </w:p>
    <w:p w14:paraId="5783C464" w14:textId="77777777" w:rsidR="00132901" w:rsidRPr="00C53B42" w:rsidRDefault="00132901" w:rsidP="00132901">
      <w:pPr>
        <w:spacing w:after="0" w:line="240" w:lineRule="auto"/>
        <w:rPr>
          <w:rFonts w:ascii="Verdana" w:eastAsia="Calibri" w:hAnsi="Verdana" w:cs="Arial"/>
          <w:b/>
          <w:lang w:val="es-ES" w:eastAsia="es-ES"/>
        </w:rPr>
      </w:pPr>
      <w:r>
        <w:rPr>
          <w:rFonts w:ascii="Verdana" w:eastAsia="Calibri" w:hAnsi="Verdana" w:cs="Arial"/>
          <w:b/>
          <w:lang w:val="es-ES" w:eastAsia="es-ES"/>
        </w:rPr>
        <w:t>Ministerio Tecnologías de la Información y las Comunicaciones</w:t>
      </w:r>
    </w:p>
    <w:p w14:paraId="7512254A" w14:textId="77777777" w:rsidR="00132901" w:rsidRPr="00C53B42" w:rsidRDefault="00132901" w:rsidP="00132901">
      <w:pPr>
        <w:spacing w:after="0" w:line="240" w:lineRule="auto"/>
        <w:rPr>
          <w:rFonts w:ascii="Verdana" w:hAnsi="Verdana" w:cs="ArialMT"/>
        </w:rPr>
      </w:pPr>
      <w:hyperlink r:id="rId11" w:history="1">
        <w:r w:rsidRPr="00A309FA">
          <w:rPr>
            <w:rStyle w:val="Hipervnculo"/>
            <w:rFonts w:ascii="Verdana" w:hAnsi="Verdana" w:cs="ArialMT"/>
          </w:rPr>
          <w:t>luron@mintic.gov.co</w:t>
        </w:r>
      </w:hyperlink>
      <w:r w:rsidRPr="00A309FA">
        <w:rPr>
          <w:rFonts w:ascii="Verdana" w:hAnsi="Verdana" w:cs="ArialMT"/>
        </w:rPr>
        <w:t xml:space="preserve">  </w:t>
      </w:r>
    </w:p>
    <w:p w14:paraId="542D767A" w14:textId="77777777" w:rsidR="00132901" w:rsidRPr="00C53B42" w:rsidRDefault="00132901" w:rsidP="00132901">
      <w:pPr>
        <w:spacing w:after="0" w:line="240" w:lineRule="auto"/>
        <w:rPr>
          <w:rFonts w:ascii="Verdana" w:hAnsi="Verdana" w:cs="ArialMT"/>
        </w:rPr>
      </w:pPr>
      <w:r>
        <w:rPr>
          <w:rFonts w:ascii="Verdana" w:eastAsia="Calibri" w:hAnsi="Verdana" w:cs="Arial"/>
          <w:lang w:val="es-ES" w:eastAsia="es-ES"/>
        </w:rPr>
        <w:t>Bogotá D.C.</w:t>
      </w:r>
      <w:bookmarkEnd w:id="1"/>
    </w:p>
    <w:p w14:paraId="6F27040E" w14:textId="77777777" w:rsidR="00132901" w:rsidRPr="00C53B42" w:rsidRDefault="00132901" w:rsidP="00132901">
      <w:pPr>
        <w:spacing w:after="0" w:line="240" w:lineRule="auto"/>
        <w:rPr>
          <w:rFonts w:ascii="Verdana" w:eastAsia="Calibri" w:hAnsi="Verdana" w:cs="Arial"/>
          <w:b/>
          <w:bCs/>
          <w:color w:val="000000"/>
          <w:lang w:val="es-ES_tradnl" w:eastAsia="es-ES_tradnl"/>
        </w:rPr>
      </w:pPr>
    </w:p>
    <w:p w14:paraId="46D36FD7" w14:textId="77777777" w:rsidR="00132901" w:rsidRPr="00C53B42" w:rsidRDefault="00132901" w:rsidP="0013290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32901" w:rsidRPr="00C53B42" w14:paraId="05891306" w14:textId="77777777" w:rsidTr="009D5EC4">
        <w:trPr>
          <w:trHeight w:val="218"/>
        </w:trPr>
        <w:tc>
          <w:tcPr>
            <w:tcW w:w="2689" w:type="dxa"/>
          </w:tcPr>
          <w:p w14:paraId="38767488" w14:textId="77777777" w:rsidR="00132901" w:rsidRPr="00C53B42" w:rsidRDefault="00132901" w:rsidP="009D5EC4">
            <w:pPr>
              <w:jc w:val="both"/>
              <w:rPr>
                <w:rFonts w:ascii="Verdana" w:eastAsia="Calibri" w:hAnsi="Verdana" w:cs="Arial"/>
                <w:b/>
                <w:bCs/>
                <w:color w:val="7030A0"/>
                <w:lang w:val="es-ES_tradnl" w:eastAsia="es-ES_tradnl"/>
              </w:rPr>
            </w:pPr>
          </w:p>
        </w:tc>
        <w:tc>
          <w:tcPr>
            <w:tcW w:w="6100" w:type="dxa"/>
            <w:hideMark/>
          </w:tcPr>
          <w:p w14:paraId="33614EB0" w14:textId="77777777" w:rsidR="00132901" w:rsidRPr="00C53B42" w:rsidRDefault="00132901" w:rsidP="009D5EC4">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-1085</w:t>
            </w:r>
            <w:r w:rsidRPr="00C53B42">
              <w:rPr>
                <w:rFonts w:ascii="Verdana" w:eastAsia="Calibri" w:hAnsi="Verdana" w:cs="Arial"/>
                <w:b/>
                <w:bCs/>
                <w:lang w:val="es-ES" w:eastAsia="es-ES"/>
              </w:rPr>
              <w:t xml:space="preserve"> de 2025</w:t>
            </w:r>
          </w:p>
          <w:p w14:paraId="37148224" w14:textId="77777777" w:rsidR="00132901" w:rsidRPr="00C53B42" w:rsidRDefault="00132901" w:rsidP="009D5EC4">
            <w:pPr>
              <w:jc w:val="both"/>
              <w:rPr>
                <w:rFonts w:ascii="Verdana" w:eastAsia="Calibri" w:hAnsi="Verdana" w:cs="Arial"/>
                <w:b/>
                <w:bCs/>
                <w:lang w:val="es-ES" w:eastAsia="es-ES"/>
              </w:rPr>
            </w:pPr>
          </w:p>
          <w:p w14:paraId="28D16E81" w14:textId="77777777" w:rsidR="00132901" w:rsidRPr="00C53B42" w:rsidRDefault="00132901" w:rsidP="009D5EC4">
            <w:pPr>
              <w:jc w:val="both"/>
              <w:rPr>
                <w:rFonts w:ascii="Verdana" w:eastAsia="Calibri" w:hAnsi="Verdana" w:cs="Arial"/>
                <w:b/>
                <w:bCs/>
                <w:lang w:val="es-ES" w:eastAsia="es-ES"/>
              </w:rPr>
            </w:pPr>
          </w:p>
        </w:tc>
      </w:tr>
      <w:tr w:rsidR="00132901" w:rsidRPr="00C53B42" w14:paraId="074C0671" w14:textId="77777777" w:rsidTr="009D5EC4">
        <w:trPr>
          <w:trHeight w:val="884"/>
        </w:trPr>
        <w:tc>
          <w:tcPr>
            <w:tcW w:w="2689" w:type="dxa"/>
            <w:hideMark/>
          </w:tcPr>
          <w:p w14:paraId="76AB7D95" w14:textId="77777777" w:rsidR="00132901" w:rsidRPr="00C53B42" w:rsidRDefault="00132901" w:rsidP="009D5EC4">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2BFDA402" w14:textId="77777777" w:rsidR="00132901" w:rsidRPr="00A309FA" w:rsidRDefault="00132901" w:rsidP="009D5EC4">
            <w:pPr>
              <w:jc w:val="both"/>
              <w:rPr>
                <w:rFonts w:ascii="Verdana" w:hAnsi="Verdana" w:cs="Arial"/>
                <w:color w:val="000000" w:themeColor="text1"/>
                <w:lang w:val="es-ES_tradnl"/>
              </w:rPr>
            </w:pPr>
            <w:r w:rsidRPr="000A7051">
              <w:rPr>
                <w:rFonts w:ascii="Verdana" w:hAnsi="Verdana" w:cs="Arial"/>
                <w:bCs/>
                <w:color w:val="000000" w:themeColor="text1"/>
                <w:lang w:val="es-ES_tradnl"/>
              </w:rPr>
              <w:t>LEY 2097 DE 2021 – REDAM – Objeto / OBLIGACIÓN ALIMENTARIA – Definición / INHABILIDAD – REDAM – Ámbito de aplicación – Constitucionalidad / REDAM – Personas obligadas – Representante legales – Personas jurídicas</w:t>
            </w:r>
          </w:p>
          <w:p w14:paraId="60837778" w14:textId="77777777" w:rsidR="001029B0" w:rsidRPr="00A309FA" w:rsidRDefault="001029B0" w:rsidP="00A309FA">
            <w:pPr>
              <w:jc w:val="both"/>
              <w:rPr>
                <w:rFonts w:ascii="Verdana" w:hAnsi="Verdana" w:cs="Arial"/>
                <w:bCs/>
                <w:color w:val="000000" w:themeColor="text1"/>
                <w:highlight w:val="yellow"/>
                <w:lang w:val="es-ES_tradnl"/>
              </w:rPr>
            </w:pPr>
          </w:p>
          <w:p w14:paraId="3C89A357" w14:textId="77777777" w:rsidR="00132901" w:rsidRPr="006A06BA" w:rsidRDefault="00132901" w:rsidP="009D5EC4">
            <w:pPr>
              <w:jc w:val="both"/>
              <w:rPr>
                <w:rFonts w:ascii="Verdana" w:eastAsia="Calibri" w:hAnsi="Verdana" w:cs="Arial"/>
                <w:highlight w:val="yellow"/>
                <w:lang w:val="es-ES" w:eastAsia="es-ES"/>
              </w:rPr>
            </w:pPr>
          </w:p>
        </w:tc>
      </w:tr>
      <w:tr w:rsidR="00132901" w14:paraId="22B129B1" w14:textId="77777777" w:rsidTr="009D5EC4">
        <w:tc>
          <w:tcPr>
            <w:tcW w:w="2689" w:type="dxa"/>
            <w:hideMark/>
          </w:tcPr>
          <w:p w14:paraId="0A9FDB9F" w14:textId="77777777" w:rsidR="00132901" w:rsidRPr="00C53B42" w:rsidRDefault="00132901" w:rsidP="009D5EC4">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31B90993" w14:textId="7456BB23" w:rsidR="00132901" w:rsidRPr="00A309FA" w:rsidRDefault="00132901" w:rsidP="009D5EC4">
            <w:pPr>
              <w:jc w:val="both"/>
              <w:rPr>
                <w:rFonts w:ascii="Verdana" w:eastAsia="Calibri" w:hAnsi="Verdana" w:cs="Arial"/>
                <w:lang w:val="es-ES" w:eastAsia="es-ES"/>
              </w:rPr>
            </w:pPr>
            <w:r w:rsidRPr="11F42CFF">
              <w:rPr>
                <w:rFonts w:ascii="Verdana" w:eastAsia="Calibri" w:hAnsi="Verdana" w:cs="Arial"/>
                <w:lang w:val="es-ES" w:eastAsia="es-ES"/>
              </w:rPr>
              <w:t xml:space="preserve">Respuesta a consulta con radicado </w:t>
            </w:r>
            <w:proofErr w:type="gramStart"/>
            <w:r w:rsidRPr="11F42CFF">
              <w:rPr>
                <w:rFonts w:ascii="Verdana" w:eastAsia="Calibri" w:hAnsi="Verdana" w:cs="Arial"/>
                <w:lang w:val="es-ES" w:eastAsia="es-ES"/>
              </w:rPr>
              <w:t xml:space="preserve">No.  </w:t>
            </w:r>
            <w:r w:rsidR="009E2D78" w:rsidRPr="11F42CFF">
              <w:rPr>
                <w:rFonts w:ascii="Verdana" w:eastAsia="Calibri" w:hAnsi="Verdana" w:cs="Arial"/>
                <w:lang w:val="es-ES" w:eastAsia="es-ES"/>
              </w:rPr>
              <w:t>1</w:t>
            </w:r>
            <w:proofErr w:type="gramEnd"/>
            <w:r w:rsidR="009E2D78" w:rsidRPr="11F42CFF">
              <w:rPr>
                <w:rFonts w:ascii="Verdana" w:eastAsia="Calibri" w:hAnsi="Verdana" w:cs="Arial"/>
                <w:lang w:val="es-ES" w:eastAsia="es-ES"/>
              </w:rPr>
              <w:t xml:space="preserve">_2025_08_05_008152, </w:t>
            </w:r>
            <w:r w:rsidR="00A84F28" w:rsidRPr="11F42CFF">
              <w:rPr>
                <w:rFonts w:ascii="Verdana" w:eastAsia="Calibri" w:hAnsi="Verdana" w:cs="Arial"/>
                <w:lang w:val="es-ES" w:eastAsia="es-ES"/>
              </w:rPr>
              <w:t>1_2025_08_05_008153, 1_2025_08_05_</w:t>
            </w:r>
            <w:proofErr w:type="gramStart"/>
            <w:r w:rsidR="00A84F28" w:rsidRPr="11F42CFF">
              <w:rPr>
                <w:rFonts w:ascii="Verdana" w:eastAsia="Calibri" w:hAnsi="Verdana" w:cs="Arial"/>
                <w:lang w:val="es-ES" w:eastAsia="es-ES"/>
              </w:rPr>
              <w:t>008156</w:t>
            </w:r>
            <w:r w:rsidR="009E2D78" w:rsidRPr="11F42CFF">
              <w:rPr>
                <w:rFonts w:ascii="Verdana" w:eastAsia="Calibri" w:hAnsi="Verdana" w:cs="Arial"/>
                <w:lang w:val="es-ES" w:eastAsia="es-ES"/>
              </w:rPr>
              <w:t>,</w:t>
            </w:r>
            <w:r w:rsidR="00A84F28" w:rsidRPr="11F42CFF">
              <w:rPr>
                <w:rFonts w:ascii="Verdana" w:eastAsia="Calibri" w:hAnsi="Verdana" w:cs="Arial"/>
                <w:lang w:val="es-ES" w:eastAsia="es-ES"/>
              </w:rPr>
              <w:t xml:space="preserve">  1</w:t>
            </w:r>
            <w:proofErr w:type="gramEnd"/>
            <w:r w:rsidR="00A84F28" w:rsidRPr="11F42CFF">
              <w:rPr>
                <w:rFonts w:ascii="Verdana" w:eastAsia="Calibri" w:hAnsi="Verdana" w:cs="Arial"/>
                <w:lang w:val="es-ES" w:eastAsia="es-ES"/>
              </w:rPr>
              <w:t>_2025_08_05_008158</w:t>
            </w:r>
            <w:r w:rsidR="009E2D78" w:rsidRPr="11F42CFF">
              <w:rPr>
                <w:rFonts w:ascii="Verdana" w:eastAsia="Calibri" w:hAnsi="Verdana" w:cs="Arial"/>
                <w:lang w:val="es-ES" w:eastAsia="es-ES"/>
              </w:rPr>
              <w:t xml:space="preserve"> (Acumulados)</w:t>
            </w:r>
          </w:p>
        </w:tc>
      </w:tr>
    </w:tbl>
    <w:p w14:paraId="5ADCC160" w14:textId="77777777" w:rsidR="00A309FA" w:rsidRDefault="00A309FA" w:rsidP="00132901">
      <w:pPr>
        <w:spacing w:after="0" w:line="240" w:lineRule="auto"/>
        <w:jc w:val="both"/>
        <w:rPr>
          <w:rFonts w:ascii="Verdana" w:eastAsia="Calibri" w:hAnsi="Verdana" w:cs="Arial"/>
          <w:color w:val="000000"/>
          <w:lang w:val="es-ES_tradnl" w:eastAsia="es-ES_tradnl"/>
        </w:rPr>
      </w:pPr>
    </w:p>
    <w:p w14:paraId="6B106086" w14:textId="77777777" w:rsidR="00132901" w:rsidRDefault="00132901" w:rsidP="00132901">
      <w:pPr>
        <w:spacing w:after="0" w:line="240" w:lineRule="auto"/>
        <w:jc w:val="both"/>
        <w:rPr>
          <w:rFonts w:ascii="Verdana" w:eastAsia="Calibri" w:hAnsi="Verdana" w:cs="Arial"/>
          <w:color w:val="000000"/>
          <w:lang w:val="es-ES_tradnl" w:eastAsia="es-ES_tradnl"/>
        </w:rPr>
      </w:pPr>
    </w:p>
    <w:p w14:paraId="6E53D423" w14:textId="77777777" w:rsidR="00132901" w:rsidRDefault="00132901" w:rsidP="00132901">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Estimada señora </w:t>
      </w:r>
      <w:proofErr w:type="spellStart"/>
      <w:r>
        <w:rPr>
          <w:rFonts w:ascii="Verdana" w:eastAsia="Calibri" w:hAnsi="Verdana" w:cs="Arial"/>
          <w:color w:val="000000" w:themeColor="text1"/>
          <w:lang w:val="es-ES" w:eastAsia="es-ES"/>
        </w:rPr>
        <w:t>Urón</w:t>
      </w:r>
      <w:proofErr w:type="spellEnd"/>
      <w:r>
        <w:rPr>
          <w:rFonts w:ascii="Verdana" w:eastAsia="Calibri" w:hAnsi="Verdana" w:cs="Arial"/>
          <w:color w:val="000000" w:themeColor="text1"/>
          <w:lang w:val="es-ES" w:eastAsia="es-ES"/>
        </w:rPr>
        <w:t>,</w:t>
      </w:r>
    </w:p>
    <w:p w14:paraId="20FE37D4" w14:textId="77777777" w:rsidR="00132901" w:rsidRDefault="00132901" w:rsidP="0013290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3B09642" w14:textId="372EB38F" w:rsidR="00132901" w:rsidRDefault="00132901" w:rsidP="00132901">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w:t>
      </w:r>
      <w:r w:rsidR="004E7892">
        <w:rPr>
          <w:rFonts w:ascii="Verdana" w:eastAsia="Calibri" w:hAnsi="Verdana" w:cs="Arial"/>
          <w:lang w:val="es-ES" w:eastAsia="es-ES"/>
        </w:rPr>
        <w:t xml:space="preserve">a la </w:t>
      </w:r>
      <w:r>
        <w:rPr>
          <w:rFonts w:ascii="Verdana" w:eastAsia="Calibri" w:hAnsi="Verdana" w:cs="Arial"/>
          <w:lang w:val="es-ES" w:eastAsia="es-ES"/>
        </w:rPr>
        <w:t>solicitud de consulta</w:t>
      </w:r>
      <w:r w:rsidR="002F02F7">
        <w:rPr>
          <w:rFonts w:ascii="Verdana" w:eastAsia="Calibri" w:hAnsi="Verdana" w:cs="Arial"/>
          <w:lang w:val="es-ES" w:eastAsia="es-ES"/>
        </w:rPr>
        <w:t>, remitida por su Despacho el</w:t>
      </w:r>
      <w:r>
        <w:rPr>
          <w:rFonts w:ascii="Verdana" w:eastAsia="Calibri" w:hAnsi="Verdana" w:cs="Arial"/>
          <w:lang w:val="es-ES" w:eastAsia="es-ES"/>
        </w:rPr>
        <w:t xml:space="preserve"> 4 de agosto de 2025, en la cual manifiesta lo siguiente: </w:t>
      </w:r>
    </w:p>
    <w:p w14:paraId="38813E70" w14:textId="77777777" w:rsidR="00132901" w:rsidRDefault="00132901" w:rsidP="0013290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1452E12" w14:textId="77777777" w:rsidR="00132901" w:rsidRPr="00796CBD" w:rsidRDefault="00132901" w:rsidP="00796CBD">
      <w:pPr>
        <w:autoSpaceDE w:val="0"/>
        <w:autoSpaceDN w:val="0"/>
        <w:adjustRightInd w:val="0"/>
        <w:spacing w:after="0" w:line="240" w:lineRule="auto"/>
        <w:ind w:left="709" w:right="709"/>
        <w:jc w:val="both"/>
        <w:rPr>
          <w:rFonts w:ascii="Verdana" w:hAnsi="Verdana"/>
          <w:sz w:val="20"/>
          <w:szCs w:val="20"/>
        </w:rPr>
      </w:pPr>
      <w:r w:rsidRPr="00796CBD">
        <w:rPr>
          <w:rFonts w:ascii="Verdana" w:hAnsi="Verdana" w:cs="ArialMT"/>
          <w:sz w:val="20"/>
          <w:szCs w:val="20"/>
        </w:rPr>
        <w:t>“</w:t>
      </w:r>
      <w:r w:rsidRPr="00796CBD">
        <w:rPr>
          <w:rFonts w:ascii="Verdana" w:hAnsi="Verdana"/>
          <w:sz w:val="20"/>
          <w:szCs w:val="20"/>
        </w:rPr>
        <w:t xml:space="preserve">En cumplimiento de lo establecido en el artículo 21° de la Ley 1755 de 20151 y con el fin de atender la petición allegada al Ministerio de Tecnologías de la información y las Comunicaciones por parte del Consejo Superior de la Judicatura, mediante la cual da traslado de la petición presentada por Credicorp Capital, quien presenta requerimiento en los siguientes términos: </w:t>
      </w:r>
    </w:p>
    <w:p w14:paraId="66054B25" w14:textId="77777777" w:rsidR="00132901" w:rsidRPr="00796CBD" w:rsidRDefault="00132901" w:rsidP="00796CBD">
      <w:pPr>
        <w:autoSpaceDE w:val="0"/>
        <w:autoSpaceDN w:val="0"/>
        <w:adjustRightInd w:val="0"/>
        <w:spacing w:after="0" w:line="240" w:lineRule="auto"/>
        <w:ind w:left="709" w:right="709"/>
        <w:jc w:val="both"/>
        <w:rPr>
          <w:rFonts w:ascii="Verdana" w:hAnsi="Verdana"/>
          <w:sz w:val="20"/>
          <w:szCs w:val="20"/>
        </w:rPr>
      </w:pPr>
      <w:r w:rsidRPr="00796CBD">
        <w:rPr>
          <w:rFonts w:ascii="Verdana" w:hAnsi="Verdana"/>
          <w:sz w:val="20"/>
          <w:szCs w:val="20"/>
        </w:rPr>
        <w:t xml:space="preserve">1. ¿Aplica la exigencia del certificado REDAM a un Patrimonio Autónomo – Fideicomiso, que cuenta con NIT independiente pero no tiene personería jurídica? </w:t>
      </w:r>
    </w:p>
    <w:p w14:paraId="7420A5C7" w14:textId="77777777" w:rsidR="00132901" w:rsidRPr="00796CBD" w:rsidRDefault="00132901" w:rsidP="00796CBD">
      <w:pPr>
        <w:autoSpaceDE w:val="0"/>
        <w:autoSpaceDN w:val="0"/>
        <w:adjustRightInd w:val="0"/>
        <w:spacing w:after="0" w:line="240" w:lineRule="auto"/>
        <w:ind w:left="709" w:right="709"/>
        <w:jc w:val="both"/>
        <w:rPr>
          <w:rFonts w:ascii="Verdana" w:hAnsi="Verdana" w:cs="ArialMT"/>
          <w:sz w:val="20"/>
          <w:szCs w:val="20"/>
        </w:rPr>
      </w:pPr>
      <w:r w:rsidRPr="00796CBD">
        <w:rPr>
          <w:rFonts w:ascii="Verdana" w:hAnsi="Verdana"/>
          <w:sz w:val="20"/>
          <w:szCs w:val="20"/>
        </w:rPr>
        <w:lastRenderedPageBreak/>
        <w:t xml:space="preserve">2. En caso de que no aplique al Fideicomiso, ¿es procedente exigir el certificado REDAM del representante legal de la Fiduciaria, </w:t>
      </w:r>
      <w:proofErr w:type="spellStart"/>
      <w:r w:rsidRPr="00796CBD">
        <w:rPr>
          <w:rFonts w:ascii="Verdana" w:hAnsi="Verdana"/>
          <w:sz w:val="20"/>
          <w:szCs w:val="20"/>
        </w:rPr>
        <w:t>aún</w:t>
      </w:r>
      <w:proofErr w:type="spellEnd"/>
      <w:r w:rsidRPr="00796CBD">
        <w:rPr>
          <w:rFonts w:ascii="Verdana" w:hAnsi="Verdana"/>
          <w:sz w:val="20"/>
          <w:szCs w:val="20"/>
        </w:rPr>
        <w:t xml:space="preserve"> cuando este actúa únicamente como vocero del Fideicomiso y no en nombre </w:t>
      </w:r>
      <w:proofErr w:type="gramStart"/>
      <w:r w:rsidRPr="00796CBD">
        <w:rPr>
          <w:rFonts w:ascii="Verdana" w:hAnsi="Verdana"/>
          <w:sz w:val="20"/>
          <w:szCs w:val="20"/>
        </w:rPr>
        <w:t>propio??.</w:t>
      </w:r>
      <w:proofErr w:type="gramEnd"/>
      <w:r w:rsidRPr="00796CBD">
        <w:rPr>
          <w:rFonts w:ascii="Verdana" w:hAnsi="Verdana"/>
          <w:sz w:val="20"/>
          <w:szCs w:val="20"/>
        </w:rPr>
        <w:t xml:space="preserve"> […]</w:t>
      </w:r>
      <w:r w:rsidRPr="00796CBD">
        <w:rPr>
          <w:rFonts w:ascii="Verdana" w:hAnsi="Verdana" w:cs="ArialMT"/>
          <w:sz w:val="20"/>
          <w:szCs w:val="20"/>
        </w:rPr>
        <w:t>”</w:t>
      </w:r>
    </w:p>
    <w:p w14:paraId="2384AD3E" w14:textId="77777777" w:rsidR="00132901" w:rsidRPr="00924340" w:rsidRDefault="00132901" w:rsidP="00132901">
      <w:pPr>
        <w:autoSpaceDE w:val="0"/>
        <w:autoSpaceDN w:val="0"/>
        <w:adjustRightInd w:val="0"/>
        <w:spacing w:after="0" w:line="276" w:lineRule="auto"/>
        <w:ind w:left="851" w:right="616"/>
        <w:jc w:val="both"/>
        <w:rPr>
          <w:rFonts w:ascii="Verdana" w:eastAsia="Century Gothic" w:hAnsi="Verdana" w:cs="Century Gothic"/>
          <w:b/>
        </w:rPr>
      </w:pPr>
    </w:p>
    <w:p w14:paraId="33F6F75F" w14:textId="77777777" w:rsidR="00132901" w:rsidRDefault="00132901" w:rsidP="00132901">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47CB4CE" w14:textId="77777777" w:rsidR="00132901" w:rsidRDefault="00132901" w:rsidP="00132901">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5F310CA4" w14:textId="77777777" w:rsidR="00132901" w:rsidRDefault="00132901" w:rsidP="00132901">
      <w:pPr>
        <w:spacing w:after="0" w:line="276" w:lineRule="auto"/>
        <w:ind w:firstLine="709"/>
        <w:jc w:val="both"/>
        <w:rPr>
          <w:rFonts w:ascii="Verdana" w:eastAsia="Calibri" w:hAnsi="Verdana" w:cs="Arial"/>
          <w:color w:val="000000"/>
          <w:lang w:val="es-ES" w:eastAsia="es-ES"/>
        </w:rPr>
      </w:pPr>
    </w:p>
    <w:p w14:paraId="77BEC631" w14:textId="77777777" w:rsidR="00132901" w:rsidRDefault="00132901" w:rsidP="001329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CC6451A" w14:textId="77777777" w:rsidR="00132901" w:rsidRDefault="00132901" w:rsidP="00132901">
      <w:pPr>
        <w:tabs>
          <w:tab w:val="left" w:pos="426"/>
        </w:tabs>
        <w:spacing w:after="0" w:line="276" w:lineRule="auto"/>
        <w:jc w:val="both"/>
        <w:rPr>
          <w:rFonts w:ascii="Verdana" w:eastAsia="Century Gothic" w:hAnsi="Verdana" w:cs="Century Gothic"/>
          <w:lang w:val="es-ES"/>
        </w:rPr>
      </w:pPr>
    </w:p>
    <w:p w14:paraId="0D55E7AA" w14:textId="77777777" w:rsidR="00132901" w:rsidRDefault="00132901" w:rsidP="00132901">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¿la restricción sobre contratación con el Estado prevista en el numeral 1 artículo 6 de la Ley 2097 de 2021 como consecuencia de la inscripción en el Registro de Deudores Alimentarios Morosos -REDAM- aplica a los Patrimonios Autónomos? </w:t>
      </w:r>
    </w:p>
    <w:p w14:paraId="33A529EB" w14:textId="77777777" w:rsidR="00132901" w:rsidRDefault="00132901" w:rsidP="00132901">
      <w:pPr>
        <w:spacing w:after="0" w:line="276" w:lineRule="auto"/>
        <w:jc w:val="both"/>
        <w:rPr>
          <w:rFonts w:ascii="Verdana" w:eastAsia="Calibri" w:hAnsi="Verdana" w:cs="Arial"/>
          <w:color w:val="7030A0"/>
          <w:lang w:val="es-ES"/>
        </w:rPr>
      </w:pPr>
    </w:p>
    <w:p w14:paraId="6245E8F2" w14:textId="77777777" w:rsidR="00132901" w:rsidRDefault="00132901" w:rsidP="001329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F067E2E" w14:textId="77777777" w:rsidR="00132901" w:rsidRDefault="00132901" w:rsidP="0013290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32901" w:rsidRPr="001B5827" w14:paraId="38F04A8F" w14:textId="77777777" w:rsidTr="009D5EC4">
        <w:tc>
          <w:tcPr>
            <w:tcW w:w="8828" w:type="dxa"/>
            <w:tcBorders>
              <w:top w:val="dotted" w:sz="4" w:space="0" w:color="auto"/>
              <w:left w:val="dotted" w:sz="4" w:space="0" w:color="auto"/>
              <w:bottom w:val="dotted" w:sz="4" w:space="0" w:color="auto"/>
              <w:right w:val="dotted" w:sz="4" w:space="0" w:color="auto"/>
            </w:tcBorders>
          </w:tcPr>
          <w:p w14:paraId="272384A0" w14:textId="77777777" w:rsidR="00132901" w:rsidRPr="000A7051" w:rsidRDefault="00132901" w:rsidP="00796CBD">
            <w:pPr>
              <w:tabs>
                <w:tab w:val="left" w:pos="0"/>
              </w:tabs>
              <w:spacing w:after="120" w:line="276" w:lineRule="auto"/>
              <w:jc w:val="both"/>
              <w:rPr>
                <w:rFonts w:ascii="Verdana" w:eastAsia="Calibri" w:hAnsi="Verdana" w:cs="Arial"/>
                <w:bCs/>
              </w:rPr>
            </w:pPr>
            <w:r w:rsidRPr="000A7051">
              <w:rPr>
                <w:rFonts w:ascii="Verdana" w:eastAsia="Calibri" w:hAnsi="Verdana" w:cs="Arial"/>
                <w:bCs/>
              </w:rPr>
              <w:t xml:space="preserve">Para efectos del tema sometido a consulta, una de las consecuencias más importantes de la inclusión en el REDAM es la aparición de una inhabilidad para celebrar contratos con el Estado. Al respecto, conforme al artículo 6.1 </w:t>
            </w:r>
            <w:r w:rsidRPr="000A7051">
              <w:rPr>
                <w:rFonts w:ascii="Verdana" w:eastAsia="Calibri" w:hAnsi="Verdana" w:cs="Arial"/>
                <w:bCs/>
                <w:i/>
                <w:iCs/>
              </w:rPr>
              <w:t>ibidem</w:t>
            </w:r>
            <w:r w:rsidRPr="000A7051">
              <w:rPr>
                <w:rFonts w:ascii="Verdana" w:eastAsia="Calibri" w:hAnsi="Verdana" w:cs="Arial"/>
                <w:bCs/>
              </w:rPr>
              <w:t xml:space="preserve">, “El deudor alimentario moroso solo podrá contratar con el Estado una vez se ponga a paz y salvo con sus obligaciones alimentarias. Esta inhabilidad </w:t>
            </w:r>
            <w:r w:rsidRPr="000A7051">
              <w:rPr>
                <w:rFonts w:ascii="Verdana" w:eastAsia="Calibri" w:hAnsi="Verdana" w:cs="Arial"/>
                <w:bCs/>
              </w:rPr>
              <w:lastRenderedPageBreak/>
              <w:t>también se predica del deudor alimentario moroso que actúe como representante legal de la persona jurídica que aspira a contratar con el Estado”. Dicha restricción se suma al catálogo del artículo 8 y siguientes de la Ley 80 de 1993, especialmente, cuando –conforme al literal a) del numeral 1– “Son inhábiles para participar en licitaciones y para celebrar contratos con las entidades estatales […] Las personas que se hallen inhabilitadas para contratar por la Constitución y las leyes”, el cual se extiende también a las entidades de régimen exceptuado en virtud del inciso primero del artículo 13 de la Ley 1150 de 2007</w:t>
            </w:r>
            <w:r w:rsidRPr="000A7051">
              <w:rPr>
                <w:rStyle w:val="Refdenotaalpie"/>
                <w:rFonts w:ascii="Verdana" w:eastAsia="Calibri" w:hAnsi="Verdana" w:cs="Arial"/>
                <w:bCs/>
              </w:rPr>
              <w:footnoteReference w:id="3"/>
            </w:r>
            <w:r w:rsidRPr="000A7051">
              <w:rPr>
                <w:rFonts w:ascii="Verdana" w:eastAsia="Calibri" w:hAnsi="Verdana" w:cs="Arial"/>
                <w:bCs/>
              </w:rPr>
              <w:t xml:space="preserve"> y al régimen de las ESAL de acuerdo al artículo 6 del Decreto 092 de 2017</w:t>
            </w:r>
            <w:r w:rsidRPr="000A7051">
              <w:rPr>
                <w:rStyle w:val="Refdenotaalpie"/>
                <w:rFonts w:ascii="Verdana" w:eastAsia="Calibri" w:hAnsi="Verdana" w:cs="Arial"/>
                <w:bCs/>
              </w:rPr>
              <w:footnoteReference w:id="4"/>
            </w:r>
            <w:r w:rsidRPr="000A7051">
              <w:rPr>
                <w:rFonts w:ascii="Verdana" w:eastAsia="Calibri" w:hAnsi="Verdana" w:cs="Arial"/>
                <w:bCs/>
              </w:rPr>
              <w:t xml:space="preserve">. </w:t>
            </w:r>
          </w:p>
          <w:p w14:paraId="18A3C6C5" w14:textId="77777777" w:rsidR="00132901" w:rsidRPr="000A7051" w:rsidRDefault="00132901" w:rsidP="00796CBD">
            <w:pPr>
              <w:tabs>
                <w:tab w:val="left" w:pos="0"/>
              </w:tabs>
              <w:spacing w:after="120" w:line="276" w:lineRule="auto"/>
              <w:ind w:firstLine="740"/>
              <w:jc w:val="both"/>
              <w:rPr>
                <w:rFonts w:ascii="Verdana" w:eastAsia="Calibri" w:hAnsi="Verdana" w:cs="Arial"/>
                <w:bCs/>
              </w:rPr>
            </w:pPr>
            <w:r w:rsidRPr="000A7051">
              <w:rPr>
                <w:rFonts w:ascii="Verdana" w:eastAsia="Calibri" w:hAnsi="Verdana" w:cs="Arial"/>
                <w:bCs/>
              </w:rPr>
              <w:t>La Ley 2097 de 2021 que creo el REDAM, determinó su ámbito de aplicación en su artículo 2, limitándolo a los Deudores Alimentarios Morosos. Por lo que, al analizar la naturaleza de la figura del Patrimonio Autónomo, que surge como consecuencia del negocio jurídico de fiducia y en virtud de él, es receptor de derechos y obligaciones, pero no persona natural ni jurídica, se concluye que no le es aplicable el REDAM ni la restricción dispuesta en el artículo 6 numeral 1 de la Ley 2097 de 2021, en tanto estos no son personas naturales que puedan constituirse como deudores morosos de alimentos.</w:t>
            </w:r>
          </w:p>
          <w:p w14:paraId="5E0D2278" w14:textId="77777777" w:rsidR="00132901" w:rsidRPr="001B5827" w:rsidRDefault="00132901" w:rsidP="009D5EC4">
            <w:pPr>
              <w:spacing w:line="276" w:lineRule="auto"/>
              <w:ind w:firstLine="709"/>
              <w:contextualSpacing/>
              <w:jc w:val="both"/>
              <w:rPr>
                <w:rFonts w:ascii="Verdana" w:hAnsi="Verdana"/>
              </w:rPr>
            </w:pPr>
            <w:r w:rsidRPr="000A7051">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w:t>
            </w:r>
            <w:r w:rsidRPr="001B5827">
              <w:rPr>
                <w:rFonts w:ascii="Verdana" w:hAnsi="Verdana" w:cs="Arial"/>
                <w:lang w:eastAsia="es-ES"/>
              </w:rPr>
              <w:t xml:space="preserve"> con el principio de juridicidad. Así, cada entidad definirá la forma de adelantar su gestión contractual, sin que sea atribución de Colombia Compra Eficiente validar sus actuaciones.</w:t>
            </w:r>
          </w:p>
        </w:tc>
      </w:tr>
    </w:tbl>
    <w:p w14:paraId="7569182D" w14:textId="77777777" w:rsidR="00132901" w:rsidRPr="001B5827" w:rsidRDefault="00132901" w:rsidP="00132901">
      <w:pPr>
        <w:tabs>
          <w:tab w:val="left" w:pos="142"/>
          <w:tab w:val="left" w:pos="284"/>
        </w:tabs>
        <w:spacing w:after="0" w:line="276" w:lineRule="auto"/>
        <w:jc w:val="both"/>
        <w:rPr>
          <w:rFonts w:ascii="Verdana" w:eastAsia="Century Gothic" w:hAnsi="Verdana" w:cs="Century Gothic"/>
          <w:b/>
          <w:bCs/>
          <w:lang w:val="es-ES"/>
        </w:rPr>
      </w:pPr>
    </w:p>
    <w:p w14:paraId="5BD17A72" w14:textId="77777777" w:rsidR="00132901" w:rsidRPr="001B5827" w:rsidRDefault="00132901" w:rsidP="001329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0E534A3F" w14:textId="77777777" w:rsidR="00132901" w:rsidRPr="001B5827" w:rsidRDefault="00132901" w:rsidP="00132901">
      <w:pPr>
        <w:spacing w:after="0" w:line="276" w:lineRule="auto"/>
        <w:jc w:val="both"/>
        <w:rPr>
          <w:rFonts w:ascii="Verdana" w:eastAsia="Calibri" w:hAnsi="Verdana" w:cs="Arial"/>
          <w:lang w:val="es-ES"/>
        </w:rPr>
      </w:pPr>
    </w:p>
    <w:p w14:paraId="2C541CC4" w14:textId="77777777" w:rsidR="00132901" w:rsidRPr="001B5827" w:rsidRDefault="00132901" w:rsidP="00132901">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31E068CA" w14:textId="77777777" w:rsidR="00132901" w:rsidRPr="001B5827" w:rsidRDefault="00132901" w:rsidP="00132901">
      <w:pPr>
        <w:spacing w:after="0" w:line="276" w:lineRule="auto"/>
        <w:jc w:val="both"/>
        <w:rPr>
          <w:rFonts w:ascii="Verdana" w:eastAsia="Calibri" w:hAnsi="Verdana" w:cs="Arial"/>
          <w:lang w:val="es-ES"/>
        </w:rPr>
      </w:pPr>
    </w:p>
    <w:p w14:paraId="0920E235" w14:textId="1F65A81E" w:rsidR="00132901" w:rsidRDefault="00132901" w:rsidP="00796CBD">
      <w:pPr>
        <w:spacing w:after="120" w:line="276" w:lineRule="auto"/>
        <w:jc w:val="both"/>
        <w:rPr>
          <w:rFonts w:ascii="Verdana" w:hAnsi="Verdana" w:cs="Open Sans"/>
        </w:rPr>
      </w:pPr>
      <w:r w:rsidRPr="001B5827">
        <w:rPr>
          <w:rFonts w:ascii="Verdana" w:eastAsia="Calibri" w:hAnsi="Verdana" w:cs="Arial"/>
          <w:lang w:val="es-ES"/>
        </w:rPr>
        <w:t>La Ley Estatutaria 2097 de 2021 “</w:t>
      </w:r>
      <w:r w:rsidRPr="001B5827">
        <w:rPr>
          <w:rFonts w:ascii="Verdana" w:hAnsi="Verdana" w:cs="Open Sans"/>
        </w:rPr>
        <w:t>Por medio de la cual se crea el Registro de Deudores Alimentarios Morosos (</w:t>
      </w:r>
      <w:proofErr w:type="spellStart"/>
      <w:r w:rsidRPr="001B5827">
        <w:rPr>
          <w:rFonts w:ascii="Verdana" w:hAnsi="Verdana" w:cs="Open Sans"/>
        </w:rPr>
        <w:t>Redam</w:t>
      </w:r>
      <w:proofErr w:type="spellEnd"/>
      <w:r w:rsidRPr="001B5827">
        <w:rPr>
          <w:rFonts w:ascii="Verdana" w:hAnsi="Verdana" w:cs="Open Sans"/>
        </w:rPr>
        <w:t>) y se dictan otras disposiciones.”, además de crear el Registro de Deudores Alimentarios Morosos – en adelante REDAM –, estableció medidas para garantizar el cumplimiento de las obligaciones alimentarias</w:t>
      </w:r>
      <w:r w:rsidRPr="001B5827">
        <w:rPr>
          <w:rStyle w:val="Refdenotaalpie"/>
          <w:rFonts w:ascii="Verdana" w:hAnsi="Verdana" w:cs="Open Sans"/>
        </w:rPr>
        <w:footnoteReference w:id="5"/>
      </w:r>
      <w:r w:rsidRPr="001B5827">
        <w:rPr>
          <w:rFonts w:ascii="Verdana" w:hAnsi="Verdana" w:cs="Open Sans"/>
        </w:rPr>
        <w:t xml:space="preserve"> y fijó el procedimiento para inscripción en el REDAM, las funciones </w:t>
      </w:r>
      <w:proofErr w:type="gramStart"/>
      <w:r w:rsidRPr="001B5827">
        <w:rPr>
          <w:rFonts w:ascii="Verdana" w:hAnsi="Verdana" w:cs="Open Sans"/>
        </w:rPr>
        <w:t xml:space="preserve">del </w:t>
      </w:r>
      <w:r w:rsidR="00B43658">
        <w:rPr>
          <w:rFonts w:ascii="Verdana" w:hAnsi="Verdana" w:cs="Open Sans"/>
        </w:rPr>
        <w:t>mismo</w:t>
      </w:r>
      <w:proofErr w:type="gramEnd"/>
      <w:r w:rsidRPr="001B5827">
        <w:rPr>
          <w:rFonts w:ascii="Verdana" w:hAnsi="Verdana" w:cs="Open Sans"/>
        </w:rPr>
        <w:t xml:space="preserve">, el contenido y las consecuencias de la inscripción en dicho registro, así como </w:t>
      </w:r>
      <w:r w:rsidR="00E344E0">
        <w:rPr>
          <w:rFonts w:ascii="Verdana" w:hAnsi="Verdana" w:cs="Open Sans"/>
        </w:rPr>
        <w:t>su</w:t>
      </w:r>
      <w:r w:rsidR="00E344E0" w:rsidRPr="001B5827">
        <w:rPr>
          <w:rFonts w:ascii="Verdana" w:hAnsi="Verdana" w:cs="Open Sans"/>
        </w:rPr>
        <w:t xml:space="preserve"> </w:t>
      </w:r>
      <w:r w:rsidRPr="001B5827">
        <w:rPr>
          <w:rFonts w:ascii="Verdana" w:hAnsi="Verdana" w:cs="Open Sans"/>
        </w:rPr>
        <w:t xml:space="preserve">operación. </w:t>
      </w:r>
    </w:p>
    <w:p w14:paraId="4D92B00B" w14:textId="77777777" w:rsidR="00132901" w:rsidRDefault="00132901" w:rsidP="00132901">
      <w:pPr>
        <w:spacing w:after="0" w:line="276" w:lineRule="auto"/>
        <w:ind w:firstLine="708"/>
        <w:jc w:val="both"/>
        <w:rPr>
          <w:rFonts w:ascii="Verdana" w:hAnsi="Verdana" w:cs="Open Sans"/>
        </w:rPr>
      </w:pPr>
      <w:r w:rsidRPr="001B5827">
        <w:rPr>
          <w:rFonts w:ascii="Verdana" w:hAnsi="Verdana" w:cs="Open Sans"/>
        </w:rPr>
        <w:t>El ámbito de aplicación de esta Ley se define en su artículo segundo, que dispone:</w:t>
      </w:r>
    </w:p>
    <w:p w14:paraId="0F7876F5" w14:textId="77777777" w:rsidR="00132901" w:rsidRPr="001B5827" w:rsidRDefault="00132901" w:rsidP="00132901">
      <w:pPr>
        <w:spacing w:after="0" w:line="276" w:lineRule="auto"/>
        <w:ind w:firstLine="708"/>
        <w:jc w:val="both"/>
        <w:rPr>
          <w:rFonts w:ascii="Verdana" w:hAnsi="Verdana" w:cs="Open Sans"/>
        </w:rPr>
      </w:pPr>
    </w:p>
    <w:p w14:paraId="1B784A21"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La presente ley se aplica a todas las personas que se encuentren en mora a partir de tres (3) cuotas alimentarias, sucesivas o no, establecidas en sentencias ejecutoriadas, acuerdos de conciliación, o cualquier título ejecutivo que contenga obligaciones de carácter alimentario.</w:t>
      </w:r>
    </w:p>
    <w:p w14:paraId="0834FD90" w14:textId="77777777" w:rsidR="005D55A2" w:rsidRDefault="005D55A2" w:rsidP="005D55A2">
      <w:pPr>
        <w:pStyle w:val="NormalWeb"/>
        <w:spacing w:before="0" w:beforeAutospacing="0" w:after="0" w:afterAutospacing="0"/>
        <w:ind w:left="709" w:right="709"/>
        <w:jc w:val="both"/>
        <w:rPr>
          <w:rFonts w:ascii="Verdana" w:hAnsi="Verdana" w:cs="Open Sans"/>
          <w:sz w:val="20"/>
          <w:szCs w:val="20"/>
        </w:rPr>
      </w:pPr>
    </w:p>
    <w:p w14:paraId="70C0A582" w14:textId="486FE870" w:rsidR="00132901" w:rsidRDefault="00132901" w:rsidP="005D55A2">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La obligación económica cuya mora genera el registro corresponde a la de alimentos congruos o necesarios, definitivos o provisionales.</w:t>
      </w:r>
    </w:p>
    <w:p w14:paraId="2F7530B5" w14:textId="77777777" w:rsidR="005D55A2" w:rsidRPr="00796CBD" w:rsidRDefault="005D55A2" w:rsidP="00796CBD">
      <w:pPr>
        <w:pStyle w:val="NormalWeb"/>
        <w:spacing w:before="0" w:beforeAutospacing="0" w:after="0" w:afterAutospacing="0"/>
        <w:ind w:left="709" w:right="709"/>
        <w:jc w:val="both"/>
        <w:rPr>
          <w:rFonts w:ascii="Verdana" w:hAnsi="Verdana" w:cs="Open Sans"/>
          <w:sz w:val="20"/>
          <w:szCs w:val="20"/>
        </w:rPr>
      </w:pPr>
    </w:p>
    <w:p w14:paraId="299A5E0B"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Style w:val="baj"/>
          <w:rFonts w:ascii="Verdana" w:hAnsi="Verdana" w:cs="Open Sans"/>
          <w:b/>
          <w:sz w:val="20"/>
          <w:szCs w:val="20"/>
        </w:rPr>
        <w:t>PARÁGRAFO.</w:t>
      </w:r>
      <w:r w:rsidRPr="00796CBD">
        <w:rPr>
          <w:rFonts w:ascii="Verdana" w:hAnsi="Verdana" w:cs="Open Sans"/>
          <w:sz w:val="20"/>
          <w:szCs w:val="20"/>
        </w:rPr>
        <w:t> Esta norma aplica para los deudores alimentarios morosos de las personas titulares de derechos de alimentos estipulados en el artículo </w:t>
      </w:r>
      <w:hyperlink r:id="rId12" w:anchor="411" w:history="1">
        <w:r w:rsidRPr="00796CBD">
          <w:rPr>
            <w:rStyle w:val="Hipervnculo"/>
            <w:rFonts w:ascii="Verdana" w:hAnsi="Verdana" w:cs="Open Sans"/>
            <w:color w:val="auto"/>
            <w:sz w:val="20"/>
            <w:szCs w:val="20"/>
          </w:rPr>
          <w:t>411</w:t>
        </w:r>
      </w:hyperlink>
      <w:r w:rsidRPr="00796CBD">
        <w:rPr>
          <w:rFonts w:ascii="Verdana" w:hAnsi="Verdana" w:cs="Open Sans"/>
          <w:sz w:val="20"/>
          <w:szCs w:val="20"/>
        </w:rPr>
        <w:t> del Código Civil colombiano, que incurran en las condiciones consagradas en el presente artículo.</w:t>
      </w:r>
    </w:p>
    <w:p w14:paraId="2216A28A" w14:textId="77777777" w:rsidR="00132901" w:rsidRPr="001B5827" w:rsidRDefault="00132901" w:rsidP="00132901">
      <w:pPr>
        <w:pStyle w:val="NormalWeb"/>
        <w:spacing w:before="0" w:beforeAutospacing="0" w:after="0" w:afterAutospacing="0" w:line="276" w:lineRule="auto"/>
        <w:ind w:left="709" w:right="758"/>
        <w:jc w:val="both"/>
        <w:rPr>
          <w:rFonts w:ascii="Verdana" w:hAnsi="Verdana" w:cs="Open Sans"/>
          <w:sz w:val="21"/>
          <w:szCs w:val="21"/>
        </w:rPr>
      </w:pPr>
    </w:p>
    <w:p w14:paraId="59665A1A" w14:textId="77777777" w:rsidR="00132901" w:rsidRDefault="00132901" w:rsidP="00132901">
      <w:pPr>
        <w:pStyle w:val="NormalWeb"/>
        <w:spacing w:before="0" w:beforeAutospacing="0" w:after="0" w:afterAutospacing="0" w:line="276" w:lineRule="auto"/>
        <w:ind w:firstLine="708"/>
        <w:jc w:val="both"/>
        <w:rPr>
          <w:rStyle w:val="baj"/>
          <w:rFonts w:ascii="Verdana" w:hAnsi="Verdana" w:cs="Open Sans"/>
          <w:sz w:val="22"/>
          <w:szCs w:val="22"/>
        </w:rPr>
      </w:pPr>
      <w:r w:rsidRPr="001B5827">
        <w:rPr>
          <w:rStyle w:val="baj"/>
          <w:rFonts w:ascii="Verdana" w:hAnsi="Verdana" w:cs="Open Sans"/>
          <w:sz w:val="22"/>
          <w:szCs w:val="22"/>
        </w:rPr>
        <w:t>Como se puede observar, la norma aplica para los deudores morosos de las personas titulares de derechos de alimentos establecidos en el artículo 411 del Código Civil, es decir, a las personas naturales que deben alimentos a:</w:t>
      </w:r>
    </w:p>
    <w:p w14:paraId="469B8CB5" w14:textId="77777777" w:rsidR="00132901" w:rsidRPr="001B5827" w:rsidRDefault="00132901" w:rsidP="00132901">
      <w:pPr>
        <w:pStyle w:val="NormalWeb"/>
        <w:spacing w:before="0" w:beforeAutospacing="0" w:after="0" w:afterAutospacing="0" w:line="276" w:lineRule="auto"/>
        <w:ind w:firstLine="708"/>
        <w:jc w:val="both"/>
        <w:rPr>
          <w:rStyle w:val="baj"/>
          <w:rFonts w:ascii="Verdana" w:hAnsi="Verdana" w:cs="Open Sans"/>
          <w:sz w:val="22"/>
          <w:szCs w:val="22"/>
        </w:rPr>
      </w:pPr>
    </w:p>
    <w:p w14:paraId="532A36DE" w14:textId="35564403" w:rsidR="005D55A2"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&lt;Apartes tachados INEXEQUIBLES&gt; Se deben alimentos:</w:t>
      </w:r>
    </w:p>
    <w:p w14:paraId="7BB1758F" w14:textId="7845E749" w:rsidR="005D55A2" w:rsidRPr="00796CBD" w:rsidRDefault="00E344E0" w:rsidP="00796CBD">
      <w:pPr>
        <w:pStyle w:val="NormalWeb"/>
        <w:spacing w:before="0" w:beforeAutospacing="0" w:after="0" w:afterAutospacing="0"/>
        <w:ind w:left="709" w:right="709"/>
        <w:jc w:val="both"/>
        <w:rPr>
          <w:rFonts w:ascii="Verdana" w:hAnsi="Verdana" w:cs="Open Sans"/>
          <w:sz w:val="20"/>
          <w:szCs w:val="20"/>
        </w:rPr>
      </w:pPr>
      <w:r w:rsidRPr="00E344E0">
        <w:rPr>
          <w:rFonts w:ascii="Verdana" w:hAnsi="Verdana" w:cs="Open Sans"/>
          <w:sz w:val="20"/>
          <w:szCs w:val="20"/>
        </w:rPr>
        <w:t>1o) &lt;</w:t>
      </w:r>
      <w:r w:rsidR="00132901" w:rsidRPr="00796CBD">
        <w:rPr>
          <w:rFonts w:ascii="Verdana" w:hAnsi="Verdana" w:cs="Open Sans"/>
          <w:sz w:val="20"/>
          <w:szCs w:val="20"/>
        </w:rPr>
        <w:t>Numeral CONDICIONALMENTE exequible&gt; Al cónyuge.</w:t>
      </w:r>
    </w:p>
    <w:p w14:paraId="3ED5C3D5" w14:textId="1EF9C029" w:rsidR="005D55A2"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2o) A los descendientes </w:t>
      </w:r>
      <w:r w:rsidRPr="00796CBD">
        <w:rPr>
          <w:rStyle w:val="baj"/>
          <w:rFonts w:ascii="Verdana" w:hAnsi="Verdana" w:cs="Open Sans"/>
          <w:b/>
          <w:strike/>
          <w:sz w:val="20"/>
          <w:szCs w:val="20"/>
        </w:rPr>
        <w:t>legítimos</w:t>
      </w:r>
      <w:r w:rsidRPr="00796CBD">
        <w:rPr>
          <w:rFonts w:ascii="Verdana" w:hAnsi="Verdana" w:cs="Open Sans"/>
          <w:sz w:val="20"/>
          <w:szCs w:val="20"/>
        </w:rPr>
        <w:t>.</w:t>
      </w:r>
    </w:p>
    <w:p w14:paraId="6F641358"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3o) A los ascendientes </w:t>
      </w:r>
      <w:r w:rsidRPr="00796CBD">
        <w:rPr>
          <w:rStyle w:val="baj"/>
          <w:rFonts w:ascii="Verdana" w:hAnsi="Verdana" w:cs="Open Sans"/>
          <w:b/>
          <w:strike/>
          <w:sz w:val="20"/>
          <w:szCs w:val="20"/>
        </w:rPr>
        <w:t>legítimos</w:t>
      </w:r>
      <w:r w:rsidRPr="00796CBD">
        <w:rPr>
          <w:rFonts w:ascii="Verdana" w:hAnsi="Verdana" w:cs="Open Sans"/>
          <w:sz w:val="20"/>
          <w:szCs w:val="20"/>
        </w:rPr>
        <w:t>.</w:t>
      </w:r>
    </w:p>
    <w:p w14:paraId="6D471957" w14:textId="77777777" w:rsidR="00132901" w:rsidRPr="00796CBD" w:rsidRDefault="00132901" w:rsidP="00796CBD">
      <w:pPr>
        <w:spacing w:after="0" w:line="240" w:lineRule="auto"/>
        <w:ind w:left="709" w:right="709"/>
        <w:jc w:val="both"/>
        <w:rPr>
          <w:rFonts w:ascii="Verdana" w:hAnsi="Verdana" w:cs="Open Sans"/>
          <w:sz w:val="20"/>
          <w:szCs w:val="20"/>
        </w:rPr>
      </w:pPr>
      <w:r w:rsidRPr="00796CBD">
        <w:rPr>
          <w:rFonts w:ascii="Verdana" w:hAnsi="Verdana" w:cs="Open Sans"/>
          <w:sz w:val="20"/>
          <w:szCs w:val="20"/>
        </w:rPr>
        <w:t xml:space="preserve">4o) &lt;Numeral CONDICIONALMENTE exequible&gt; &lt;Numeral modificado por el artículo 23 de la Ley 1a. de 1976. El nuevo texto es el siguiente:&gt; A cargo del cónyuge culpable, al cónyuge divorciado o separado de cuerpo sin su culpa. </w:t>
      </w:r>
    </w:p>
    <w:p w14:paraId="5BA420E8"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lastRenderedPageBreak/>
        <w:t>5o) &lt;Numeral modificado por el artículo 31 de la Ley 75 de 1968. El nuevo texto es el siguiente:&gt; A los hijos naturales, su posteridad </w:t>
      </w:r>
      <w:r w:rsidRPr="00796CBD">
        <w:rPr>
          <w:rStyle w:val="baj"/>
          <w:rFonts w:ascii="Verdana" w:hAnsi="Verdana" w:cs="Open Sans"/>
          <w:b/>
          <w:strike/>
          <w:sz w:val="20"/>
          <w:szCs w:val="20"/>
        </w:rPr>
        <w:t>legítima</w:t>
      </w:r>
      <w:r w:rsidRPr="00796CBD">
        <w:rPr>
          <w:rFonts w:ascii="Verdana" w:hAnsi="Verdana" w:cs="Open Sans"/>
          <w:sz w:val="20"/>
          <w:szCs w:val="20"/>
        </w:rPr>
        <w:t> y a los nietos naturales.</w:t>
      </w:r>
    </w:p>
    <w:p w14:paraId="367594D9" w14:textId="26239860" w:rsidR="005D55A2"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 xml:space="preserve"> 6o) &lt;Numeral modificado por el artículo 31 de la Ley 75 de 1968. El nuevo texto es el siguiente:&gt; A los Ascendientes Naturales.</w:t>
      </w:r>
    </w:p>
    <w:p w14:paraId="7518B0E7" w14:textId="0D2122E9" w:rsidR="005D55A2" w:rsidRDefault="00132901" w:rsidP="005D55A2">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7o) A los hijos adoptivos.</w:t>
      </w:r>
    </w:p>
    <w:p w14:paraId="31540D06" w14:textId="0CAFAFF6" w:rsidR="005D55A2" w:rsidRDefault="00132901" w:rsidP="005D55A2">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8o) A los padres adoptantes.</w:t>
      </w:r>
    </w:p>
    <w:p w14:paraId="5FFA9D3A" w14:textId="4AFE2F02" w:rsidR="00132901" w:rsidRPr="00796CBD" w:rsidRDefault="00E344E0" w:rsidP="00796CBD">
      <w:pPr>
        <w:pStyle w:val="NormalWeb"/>
        <w:spacing w:before="0" w:beforeAutospacing="0" w:after="0" w:afterAutospacing="0"/>
        <w:ind w:left="709" w:right="709"/>
        <w:jc w:val="both"/>
        <w:rPr>
          <w:rFonts w:ascii="Verdana" w:hAnsi="Verdana" w:cs="Open Sans"/>
          <w:sz w:val="20"/>
          <w:szCs w:val="20"/>
        </w:rPr>
      </w:pPr>
      <w:r w:rsidRPr="00E344E0">
        <w:rPr>
          <w:rFonts w:ascii="Verdana" w:hAnsi="Verdana" w:cs="Open Sans"/>
          <w:sz w:val="20"/>
          <w:szCs w:val="20"/>
        </w:rPr>
        <w:t>9o) A</w:t>
      </w:r>
      <w:r w:rsidR="00132901" w:rsidRPr="00796CBD">
        <w:rPr>
          <w:rFonts w:ascii="Verdana" w:hAnsi="Verdana" w:cs="Open Sans"/>
          <w:sz w:val="20"/>
          <w:szCs w:val="20"/>
        </w:rPr>
        <w:t xml:space="preserve"> los hermanos </w:t>
      </w:r>
      <w:r w:rsidR="00132901" w:rsidRPr="00796CBD">
        <w:rPr>
          <w:rFonts w:ascii="Verdana" w:hAnsi="Verdana" w:cs="Open Sans"/>
          <w:sz w:val="20"/>
          <w:szCs w:val="20"/>
          <w:u w:val="single"/>
        </w:rPr>
        <w:t>legítimos</w:t>
      </w:r>
      <w:r w:rsidR="00132901" w:rsidRPr="00796CBD">
        <w:rPr>
          <w:rFonts w:ascii="Verdana" w:hAnsi="Verdana" w:cs="Open Sans"/>
          <w:sz w:val="20"/>
          <w:szCs w:val="20"/>
        </w:rPr>
        <w:t>.</w:t>
      </w:r>
    </w:p>
    <w:p w14:paraId="378B4A00" w14:textId="6F975D07" w:rsidR="005D55A2"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10) Al que hizo una donación cuantiosa si no hubiere sido rescindida o revocada.</w:t>
      </w:r>
    </w:p>
    <w:p w14:paraId="2C1881B1"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La acción del donante se dirigirá contra el donatario.</w:t>
      </w:r>
    </w:p>
    <w:p w14:paraId="43343F63"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No se deben alimentos a las personas aquí designadas en los casos en que una ley se los niegue.</w:t>
      </w:r>
    </w:p>
    <w:p w14:paraId="46709BDF"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11) &lt;Numeral adicionado por el artículo </w:t>
      </w:r>
      <w:hyperlink r:id="rId13" w:anchor="9" w:history="1">
        <w:r w:rsidRPr="00796CBD">
          <w:rPr>
            <w:rStyle w:val="Hipervnculo"/>
            <w:rFonts w:ascii="Verdana" w:hAnsi="Verdana" w:cs="Open Sans"/>
            <w:color w:val="auto"/>
            <w:sz w:val="20"/>
            <w:szCs w:val="20"/>
          </w:rPr>
          <w:t>9</w:t>
        </w:r>
      </w:hyperlink>
      <w:r w:rsidRPr="00796CBD">
        <w:rPr>
          <w:rFonts w:ascii="Verdana" w:hAnsi="Verdana" w:cs="Open Sans"/>
          <w:sz w:val="20"/>
          <w:szCs w:val="20"/>
        </w:rPr>
        <w:t> de la Ley 2388 de 2024. El nuevo texto es el siguiente:&gt; A los hijos de chanza &lt;sic&gt;.</w:t>
      </w:r>
    </w:p>
    <w:p w14:paraId="69188ADB" w14:textId="77777777" w:rsidR="00132901" w:rsidRPr="00796CBD" w:rsidRDefault="00132901" w:rsidP="00796CBD">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12) &lt;Numeral adicionado por el artículo </w:t>
      </w:r>
      <w:hyperlink r:id="rId14" w:anchor="9" w:history="1">
        <w:r w:rsidRPr="00796CBD">
          <w:rPr>
            <w:rStyle w:val="Hipervnculo"/>
            <w:rFonts w:ascii="Verdana" w:hAnsi="Verdana" w:cs="Open Sans"/>
            <w:color w:val="auto"/>
            <w:sz w:val="20"/>
            <w:szCs w:val="20"/>
          </w:rPr>
          <w:t>9</w:t>
        </w:r>
      </w:hyperlink>
      <w:r w:rsidRPr="00796CBD">
        <w:rPr>
          <w:rFonts w:ascii="Verdana" w:hAnsi="Verdana" w:cs="Open Sans"/>
          <w:sz w:val="20"/>
          <w:szCs w:val="20"/>
        </w:rPr>
        <w:t> de la Ley 2388 de 2024. El nuevo texto es el siguiente:&gt; A los padres de crianza.</w:t>
      </w:r>
    </w:p>
    <w:p w14:paraId="6D93F362" w14:textId="77777777" w:rsidR="00132901" w:rsidRDefault="00132901" w:rsidP="005D55A2">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t>13. &lt;Numeral adicionado por el artículo </w:t>
      </w:r>
      <w:hyperlink r:id="rId15" w:anchor="5" w:history="1">
        <w:r w:rsidRPr="00796CBD">
          <w:rPr>
            <w:rStyle w:val="Hipervnculo"/>
            <w:rFonts w:ascii="Verdana" w:hAnsi="Verdana" w:cs="Open Sans"/>
            <w:color w:val="auto"/>
            <w:sz w:val="20"/>
            <w:szCs w:val="20"/>
          </w:rPr>
          <w:t>5</w:t>
        </w:r>
      </w:hyperlink>
      <w:r w:rsidRPr="00796CBD">
        <w:rPr>
          <w:rFonts w:ascii="Verdana" w:hAnsi="Verdana" w:cs="Open Sans"/>
          <w:sz w:val="20"/>
          <w:szCs w:val="20"/>
        </w:rPr>
        <w:t> de la Ley 2442 de 2024. El nuevo texto es el siguiente:&gt; Al cónyuge al que por ocasión de divorcio tramitado bajo la causal 10a, carezca de medios para la subsistencia, siempre y cuando no contraiga un nuevo vínculo matrimonial o una nueva unión marital de hecho.</w:t>
      </w:r>
    </w:p>
    <w:p w14:paraId="314F7A5E" w14:textId="77777777" w:rsidR="009A531C" w:rsidRPr="00796CBD" w:rsidRDefault="009A531C" w:rsidP="00796CBD">
      <w:pPr>
        <w:pStyle w:val="NormalWeb"/>
        <w:spacing w:before="0" w:beforeAutospacing="0" w:after="0" w:afterAutospacing="0"/>
        <w:ind w:left="709" w:right="709"/>
        <w:jc w:val="both"/>
        <w:rPr>
          <w:rFonts w:ascii="Verdana" w:hAnsi="Verdana" w:cs="Open Sans"/>
          <w:sz w:val="20"/>
          <w:szCs w:val="20"/>
        </w:rPr>
      </w:pPr>
    </w:p>
    <w:p w14:paraId="5FECF228" w14:textId="515D53DB" w:rsidR="00132901" w:rsidRPr="00796CBD" w:rsidRDefault="00132901" w:rsidP="00796CBD">
      <w:pPr>
        <w:spacing w:after="0" w:line="240" w:lineRule="auto"/>
        <w:ind w:left="709" w:right="709"/>
        <w:jc w:val="both"/>
        <w:rPr>
          <w:rFonts w:ascii="Verdana" w:hAnsi="Verdana" w:cs="Open Sans"/>
          <w:sz w:val="20"/>
          <w:szCs w:val="20"/>
        </w:rPr>
      </w:pPr>
      <w:r w:rsidRPr="00796CBD">
        <w:rPr>
          <w:rStyle w:val="baj"/>
          <w:rFonts w:ascii="Verdana" w:hAnsi="Verdana" w:cs="Open Sans"/>
          <w:b/>
          <w:sz w:val="20"/>
          <w:szCs w:val="20"/>
        </w:rPr>
        <w:t>PARÁGRAFO.</w:t>
      </w:r>
      <w:r w:rsidRPr="00796CBD">
        <w:rPr>
          <w:rFonts w:ascii="Verdana" w:hAnsi="Verdana" w:cs="Open Sans"/>
          <w:sz w:val="20"/>
          <w:szCs w:val="20"/>
        </w:rPr>
        <w:t> &lt;Parágrafo adicionado por el artículo </w:t>
      </w:r>
      <w:hyperlink r:id="rId16" w:anchor="9" w:history="1">
        <w:r w:rsidRPr="00796CBD">
          <w:rPr>
            <w:rStyle w:val="Hipervnculo"/>
            <w:rFonts w:ascii="Verdana" w:hAnsi="Verdana" w:cs="Open Sans"/>
            <w:color w:val="auto"/>
            <w:sz w:val="20"/>
            <w:szCs w:val="20"/>
          </w:rPr>
          <w:t>9</w:t>
        </w:r>
      </w:hyperlink>
      <w:r w:rsidRPr="00796CBD">
        <w:rPr>
          <w:rFonts w:ascii="Verdana" w:hAnsi="Verdana" w:cs="Open Sans"/>
          <w:sz w:val="20"/>
          <w:szCs w:val="20"/>
        </w:rPr>
        <w:t> de la Ley 2388 de 2024. El nuevo texto es el siguiente:&gt; Los hijos e hijas de crianza deberán alimentos a sus padres o madres de crianza, siempre y cuando, nunca hayan padecido ningún tipo de maltrato físico o psicológico por parte de estos</w:t>
      </w:r>
      <w:r w:rsidR="005D55A2">
        <w:rPr>
          <w:rFonts w:ascii="Verdana" w:hAnsi="Verdana" w:cs="Open Sans"/>
          <w:sz w:val="20"/>
          <w:szCs w:val="20"/>
        </w:rPr>
        <w:t>”</w:t>
      </w:r>
      <w:r w:rsidRPr="00796CBD">
        <w:rPr>
          <w:rFonts w:ascii="Verdana" w:hAnsi="Verdana" w:cs="Open Sans"/>
          <w:sz w:val="20"/>
          <w:szCs w:val="20"/>
        </w:rPr>
        <w:t>.</w:t>
      </w:r>
    </w:p>
    <w:p w14:paraId="2012D69A" w14:textId="77777777" w:rsidR="00132901" w:rsidRPr="001B5827" w:rsidRDefault="00132901" w:rsidP="00132901">
      <w:pPr>
        <w:spacing w:after="0" w:line="276" w:lineRule="auto"/>
        <w:ind w:left="709" w:right="758"/>
        <w:jc w:val="both"/>
        <w:rPr>
          <w:rFonts w:ascii="Verdana" w:hAnsi="Verdana" w:cs="Open Sans"/>
          <w:sz w:val="21"/>
          <w:szCs w:val="21"/>
        </w:rPr>
      </w:pPr>
    </w:p>
    <w:p w14:paraId="0DBFA545" w14:textId="454D94FB" w:rsidR="00132901" w:rsidRDefault="00132901" w:rsidP="00132901">
      <w:pPr>
        <w:tabs>
          <w:tab w:val="left" w:pos="0"/>
        </w:tabs>
        <w:spacing w:after="0" w:line="276" w:lineRule="auto"/>
        <w:jc w:val="both"/>
        <w:rPr>
          <w:rFonts w:ascii="Verdana" w:hAnsi="Verdana" w:cs="Open Sans"/>
        </w:rPr>
      </w:pPr>
      <w:r>
        <w:rPr>
          <w:rFonts w:ascii="Verdana" w:hAnsi="Verdana" w:cs="Open Sans"/>
        </w:rPr>
        <w:tab/>
      </w:r>
      <w:r w:rsidRPr="001B5827">
        <w:rPr>
          <w:rFonts w:ascii="Verdana" w:hAnsi="Verdana" w:cs="Open Sans"/>
        </w:rPr>
        <w:t>Así, por una parte, el derecho de alimentos tiene como base el deber de solidaridad en las relaciones familiares y tiene como titulares a las personas antes listadas según el Código Civil</w:t>
      </w:r>
      <w:r w:rsidR="009A531C">
        <w:rPr>
          <w:rFonts w:ascii="Verdana" w:hAnsi="Verdana" w:cs="Open Sans"/>
        </w:rPr>
        <w:t>.</w:t>
      </w:r>
      <w:r w:rsidRPr="001B5827">
        <w:rPr>
          <w:rFonts w:ascii="Verdana" w:hAnsi="Verdana" w:cs="Open Sans"/>
        </w:rPr>
        <w:t xml:space="preserve"> </w:t>
      </w:r>
      <w:r w:rsidR="009A531C">
        <w:rPr>
          <w:rFonts w:ascii="Verdana" w:hAnsi="Verdana" w:cs="Open Sans"/>
        </w:rPr>
        <w:t>Por</w:t>
      </w:r>
      <w:r w:rsidRPr="001B5827">
        <w:rPr>
          <w:rFonts w:ascii="Verdana" w:hAnsi="Verdana" w:cs="Open Sans"/>
        </w:rPr>
        <w:t xml:space="preserve"> otra</w:t>
      </w:r>
      <w:r w:rsidR="009A531C">
        <w:rPr>
          <w:rFonts w:ascii="Verdana" w:hAnsi="Verdana" w:cs="Open Sans"/>
        </w:rPr>
        <w:t xml:space="preserve"> parte</w:t>
      </w:r>
      <w:r w:rsidRPr="001B5827">
        <w:rPr>
          <w:rFonts w:ascii="Verdana" w:hAnsi="Verdana" w:cs="Open Sans"/>
        </w:rPr>
        <w:t xml:space="preserve">, la obligación alimentaria correlativa está en cabeza de las personas naturales que se encuentran en el otro extremo de la relación familiar y cuyas circunstancias también deben ser tenidas en cuenta al momento de tasar la obligación puesto que no puede afectarse la dignidad humana del deudor. Sobre este asunto, la Corte Constitucional ha aclarado que: </w:t>
      </w:r>
    </w:p>
    <w:p w14:paraId="0C33FAF2" w14:textId="77777777" w:rsidR="00132901" w:rsidRPr="001B5827" w:rsidRDefault="00132901" w:rsidP="00132901">
      <w:pPr>
        <w:tabs>
          <w:tab w:val="left" w:pos="0"/>
        </w:tabs>
        <w:spacing w:after="0" w:line="276" w:lineRule="auto"/>
        <w:jc w:val="both"/>
        <w:rPr>
          <w:rFonts w:ascii="Verdana" w:hAnsi="Verdana" w:cs="Open Sans"/>
        </w:rPr>
      </w:pPr>
    </w:p>
    <w:p w14:paraId="412ED634" w14:textId="77777777" w:rsidR="00132901" w:rsidRPr="00796CBD" w:rsidRDefault="00132901" w:rsidP="00796CBD">
      <w:pPr>
        <w:tabs>
          <w:tab w:val="left" w:pos="709"/>
        </w:tabs>
        <w:spacing w:after="0" w:line="240" w:lineRule="auto"/>
        <w:ind w:left="709" w:right="709"/>
        <w:jc w:val="both"/>
        <w:rPr>
          <w:rFonts w:ascii="Verdana" w:hAnsi="Verdana" w:cs="Open Sans"/>
          <w:sz w:val="20"/>
          <w:szCs w:val="20"/>
        </w:rPr>
      </w:pPr>
      <w:r w:rsidRPr="00796CBD">
        <w:rPr>
          <w:rFonts w:ascii="Verdana" w:hAnsi="Verdana" w:cs="Open Sans"/>
          <w:sz w:val="20"/>
          <w:szCs w:val="20"/>
        </w:rPr>
        <w:t xml:space="preserve">El derecho de alimentos entendido como la potestad radicada, en virtud de la ley, en cabeza de una persona para exigir de otra los recursos necesarios para asegurar su subsistencia ante la imposibilidad de proveerse esos medios por sí mismo está fundado, principalmente, en el deber de solidaridad que se predica de los miembros de la familia, y responde a las condiciones de los extremos de la relación. De un lado, </w:t>
      </w:r>
      <w:r w:rsidRPr="00796CBD">
        <w:rPr>
          <w:rFonts w:ascii="Verdana" w:hAnsi="Verdana" w:cs="Open Sans"/>
          <w:sz w:val="20"/>
          <w:szCs w:val="20"/>
        </w:rPr>
        <w:lastRenderedPageBreak/>
        <w:t>están regidos por el principio de</w:t>
      </w:r>
      <w:r w:rsidRPr="00796CBD">
        <w:rPr>
          <w:rStyle w:val="baj"/>
          <w:rFonts w:ascii="Verdana" w:hAnsi="Verdana" w:cs="Open Sans"/>
          <w:b/>
          <w:sz w:val="20"/>
          <w:szCs w:val="20"/>
        </w:rPr>
        <w:t> necesidad</w:t>
      </w:r>
      <w:r w:rsidRPr="00796CBD">
        <w:rPr>
          <w:rFonts w:ascii="Verdana" w:hAnsi="Verdana" w:cs="Open Sans"/>
          <w:sz w:val="20"/>
          <w:szCs w:val="20"/>
        </w:rPr>
        <w:t> del titular del derecho, en la medida en que este no cuente con las condiciones para garantizar su subsistencia de manera autónoma. De otro lado, también atienden a la </w:t>
      </w:r>
      <w:r w:rsidRPr="00796CBD">
        <w:rPr>
          <w:rStyle w:val="baj"/>
          <w:rFonts w:ascii="Verdana" w:hAnsi="Verdana" w:cs="Open Sans"/>
          <w:b/>
          <w:sz w:val="20"/>
          <w:szCs w:val="20"/>
        </w:rPr>
        <w:t>capacidad</w:t>
      </w:r>
      <w:r w:rsidRPr="00796CBD">
        <w:rPr>
          <w:rFonts w:ascii="Verdana" w:hAnsi="Verdana" w:cs="Open Sans"/>
          <w:sz w:val="20"/>
          <w:szCs w:val="20"/>
        </w:rPr>
        <w:t> económica del alimentante, pues de acuerdo con el artículo 419 del Código Civil la tasación de la obligación debe considerar las circunstancias del deudor. En ese sentido, la observancia de la obligación alimentaria no puede implicar el sacrificio de la propia existencia o de la dignidad humana</w:t>
      </w:r>
      <w:r w:rsidRPr="00796CBD">
        <w:rPr>
          <w:rStyle w:val="Refdenotaalpie"/>
          <w:rFonts w:ascii="Verdana" w:hAnsi="Verdana" w:cs="Open Sans"/>
          <w:sz w:val="20"/>
          <w:szCs w:val="20"/>
        </w:rPr>
        <w:footnoteReference w:id="6"/>
      </w:r>
      <w:r w:rsidRPr="00796CBD">
        <w:rPr>
          <w:rFonts w:ascii="Verdana" w:hAnsi="Verdana" w:cs="Open Sans"/>
          <w:sz w:val="20"/>
          <w:szCs w:val="20"/>
        </w:rPr>
        <w:t>.</w:t>
      </w:r>
    </w:p>
    <w:p w14:paraId="3CDC5CE3" w14:textId="77777777" w:rsidR="00132901" w:rsidRPr="001B5827" w:rsidRDefault="00132901" w:rsidP="00132901">
      <w:pPr>
        <w:tabs>
          <w:tab w:val="left" w:pos="709"/>
        </w:tabs>
        <w:spacing w:after="0" w:line="276" w:lineRule="auto"/>
        <w:ind w:left="709" w:right="758"/>
        <w:jc w:val="both"/>
        <w:rPr>
          <w:rFonts w:ascii="Verdana" w:eastAsia="Calibri" w:hAnsi="Verdana" w:cs="Arial"/>
          <w:bCs/>
          <w:sz w:val="21"/>
          <w:szCs w:val="21"/>
        </w:rPr>
      </w:pPr>
    </w:p>
    <w:p w14:paraId="69721DE8" w14:textId="77777777" w:rsidR="00F37530" w:rsidRDefault="00132901" w:rsidP="00E02E42">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1B5827">
        <w:rPr>
          <w:rFonts w:ascii="Verdana" w:eastAsia="Calibri" w:hAnsi="Verdana" w:cs="Arial"/>
          <w:bCs/>
          <w:color w:val="000000" w:themeColor="text1"/>
        </w:rPr>
        <w:t xml:space="preserve">Para efectos del tema sometido a consulta, una de las consecuencias más importantes de la inclusión en el REDAM es la aparición de una inhabilidad para celebrar contratos con el Estado. Al respecto, conforme al artículo 6.1 </w:t>
      </w:r>
      <w:r w:rsidRPr="001B5827">
        <w:rPr>
          <w:rFonts w:ascii="Verdana" w:eastAsia="Calibri" w:hAnsi="Verdana" w:cs="Arial"/>
          <w:bCs/>
          <w:i/>
          <w:iCs/>
          <w:color w:val="000000" w:themeColor="text1"/>
        </w:rPr>
        <w:t>ibidem</w:t>
      </w:r>
      <w:r w:rsidRPr="001B5827">
        <w:rPr>
          <w:rFonts w:ascii="Verdana" w:eastAsia="Calibri" w:hAnsi="Verdana" w:cs="Arial"/>
          <w:bCs/>
          <w:color w:val="000000" w:themeColor="text1"/>
        </w:rPr>
        <w:t xml:space="preserve">, “El deudor alimentario moroso solo podrá contratar con el Estado una vez se ponga a paz y salvo con sus obligaciones alimentarias. Esta inhabilidad también se predica del deudor alimentario moroso que actúe como representante legal de la persona jurídica que aspira a contratar con el Estado”. </w:t>
      </w:r>
    </w:p>
    <w:p w14:paraId="6CE43BB1" w14:textId="5BD33AA3" w:rsidR="00132901" w:rsidRPr="001B5827" w:rsidRDefault="00F37530" w:rsidP="00796CBD">
      <w:pPr>
        <w:tabs>
          <w:tab w:val="left" w:pos="0"/>
        </w:tabs>
        <w:spacing w:after="120" w:line="276" w:lineRule="auto"/>
        <w:jc w:val="both"/>
        <w:rPr>
          <w:rFonts w:ascii="Verdana" w:eastAsia="Calibri" w:hAnsi="Verdana" w:cs="Arial"/>
          <w:bCs/>
        </w:rPr>
      </w:pPr>
      <w:r>
        <w:rPr>
          <w:rFonts w:ascii="Verdana" w:eastAsia="Calibri" w:hAnsi="Verdana" w:cs="Arial"/>
          <w:bCs/>
          <w:color w:val="000000" w:themeColor="text1"/>
        </w:rPr>
        <w:tab/>
      </w:r>
      <w:r w:rsidR="00132901" w:rsidRPr="001B5827">
        <w:rPr>
          <w:rFonts w:ascii="Verdana" w:eastAsia="Calibri" w:hAnsi="Verdana" w:cs="Arial"/>
          <w:bCs/>
          <w:color w:val="000000" w:themeColor="text1"/>
        </w:rPr>
        <w:t xml:space="preserve">Dicha restricción se suma al catálogo del artículo 8 y siguientes de la Ley 80 de 1993, especialmente, cuando –conforme al literal a) del numeral 1– “Son inhábiles para participar en licitaciones y para celebrar contratos con las entidades estatales […] Las personas que se hallen inhabilitadas </w:t>
      </w:r>
      <w:r w:rsidR="00132901" w:rsidRPr="001B5827">
        <w:rPr>
          <w:rFonts w:ascii="Verdana" w:eastAsia="Calibri" w:hAnsi="Verdana" w:cs="Arial"/>
          <w:bCs/>
        </w:rPr>
        <w:t>para contratar por la Constitución y las leyes”, el cual se extiende también a las entidades de régimen exceptuado en virtud del inciso primero del artículo 13 de la Ley 1150 de 2007</w:t>
      </w:r>
      <w:r w:rsidR="00132901" w:rsidRPr="001B5827">
        <w:rPr>
          <w:rStyle w:val="Refdenotaalpie"/>
          <w:rFonts w:ascii="Verdana" w:eastAsia="Calibri" w:hAnsi="Verdana" w:cs="Arial"/>
          <w:bCs/>
        </w:rPr>
        <w:footnoteReference w:id="7"/>
      </w:r>
      <w:r w:rsidR="00132901" w:rsidRPr="001B5827">
        <w:rPr>
          <w:rFonts w:ascii="Verdana" w:eastAsia="Calibri" w:hAnsi="Verdana" w:cs="Arial"/>
          <w:bCs/>
        </w:rPr>
        <w:t xml:space="preserve"> y al régimen de las ESAL de acuerdo al artículo 6 del Decreto 092 de 2017</w:t>
      </w:r>
      <w:r w:rsidR="00132901" w:rsidRPr="001B5827">
        <w:rPr>
          <w:rStyle w:val="Refdenotaalpie"/>
          <w:rFonts w:ascii="Verdana" w:eastAsia="Calibri" w:hAnsi="Verdana" w:cs="Arial"/>
          <w:bCs/>
        </w:rPr>
        <w:footnoteReference w:id="8"/>
      </w:r>
      <w:r w:rsidR="00132901" w:rsidRPr="001B5827">
        <w:rPr>
          <w:rFonts w:ascii="Verdana" w:eastAsia="Calibri" w:hAnsi="Verdana" w:cs="Arial"/>
          <w:bCs/>
        </w:rPr>
        <w:t xml:space="preserve">. </w:t>
      </w:r>
    </w:p>
    <w:p w14:paraId="0AD2DD3B" w14:textId="77777777" w:rsidR="00132901" w:rsidRDefault="00132901" w:rsidP="00132901">
      <w:pPr>
        <w:pStyle w:val="NormalWeb"/>
        <w:spacing w:before="0" w:beforeAutospacing="0" w:after="0" w:afterAutospacing="0" w:line="276" w:lineRule="auto"/>
        <w:ind w:firstLine="708"/>
        <w:jc w:val="both"/>
        <w:rPr>
          <w:rFonts w:ascii="Verdana" w:hAnsi="Verdana" w:cs="Open Sans"/>
          <w:bCs/>
          <w:sz w:val="22"/>
          <w:szCs w:val="22"/>
        </w:rPr>
      </w:pPr>
      <w:r w:rsidRPr="001B5827">
        <w:rPr>
          <w:rFonts w:ascii="Verdana" w:hAnsi="Verdana" w:cs="Open Sans"/>
          <w:bCs/>
          <w:sz w:val="22"/>
          <w:szCs w:val="22"/>
        </w:rPr>
        <w:t>Sobre la extensión de la inhabilidad a la persona jurídica de la cual su representante legal esté inscrito en el REDAM, la Corte Constitucional en sentencia de constitucionalidad de la Ley 2097 de 2021</w:t>
      </w:r>
      <w:r>
        <w:rPr>
          <w:rStyle w:val="Refdenotaalpie"/>
          <w:rFonts w:ascii="Verdana" w:hAnsi="Verdana" w:cs="Open Sans"/>
          <w:bCs/>
          <w:sz w:val="22"/>
          <w:szCs w:val="22"/>
        </w:rPr>
        <w:footnoteReference w:id="9"/>
      </w:r>
      <w:r w:rsidRPr="001B5827">
        <w:rPr>
          <w:rFonts w:ascii="Verdana" w:hAnsi="Verdana" w:cs="Open Sans"/>
          <w:bCs/>
          <w:sz w:val="22"/>
          <w:szCs w:val="22"/>
        </w:rPr>
        <w:t xml:space="preserve"> esgrimió diferentes razones para declarar la </w:t>
      </w:r>
      <w:proofErr w:type="spellStart"/>
      <w:r w:rsidRPr="001B5827">
        <w:rPr>
          <w:rFonts w:ascii="Verdana" w:hAnsi="Verdana" w:cs="Open Sans"/>
          <w:bCs/>
          <w:sz w:val="22"/>
          <w:szCs w:val="22"/>
        </w:rPr>
        <w:t>exequibilidad</w:t>
      </w:r>
      <w:proofErr w:type="spellEnd"/>
      <w:r w:rsidRPr="001B5827">
        <w:rPr>
          <w:rFonts w:ascii="Verdana" w:hAnsi="Verdana" w:cs="Open Sans"/>
          <w:bCs/>
          <w:sz w:val="22"/>
          <w:szCs w:val="22"/>
        </w:rPr>
        <w:t xml:space="preserve"> de la misma, de las cuales se resaltan: </w:t>
      </w:r>
    </w:p>
    <w:p w14:paraId="567DD183" w14:textId="77777777" w:rsidR="00132901" w:rsidRPr="001B5827" w:rsidRDefault="00132901" w:rsidP="00132901">
      <w:pPr>
        <w:pStyle w:val="NormalWeb"/>
        <w:spacing w:before="0" w:beforeAutospacing="0" w:after="0" w:afterAutospacing="0" w:line="276" w:lineRule="auto"/>
        <w:ind w:firstLine="708"/>
        <w:jc w:val="both"/>
        <w:rPr>
          <w:rFonts w:ascii="Verdana" w:hAnsi="Verdana" w:cs="Open Sans"/>
          <w:bCs/>
          <w:sz w:val="22"/>
          <w:szCs w:val="22"/>
        </w:rPr>
      </w:pPr>
    </w:p>
    <w:p w14:paraId="33DB6775" w14:textId="77777777" w:rsidR="00132901" w:rsidRDefault="00132901" w:rsidP="006448B2">
      <w:pPr>
        <w:pStyle w:val="NormalWeb"/>
        <w:spacing w:before="0" w:beforeAutospacing="0" w:after="0" w:afterAutospacing="0"/>
        <w:ind w:left="709" w:right="709"/>
        <w:jc w:val="both"/>
        <w:rPr>
          <w:rFonts w:ascii="Verdana" w:hAnsi="Verdana" w:cs="Open Sans"/>
          <w:sz w:val="20"/>
          <w:szCs w:val="20"/>
        </w:rPr>
      </w:pPr>
      <w:r w:rsidRPr="00796CBD">
        <w:rPr>
          <w:rFonts w:ascii="Verdana" w:hAnsi="Verdana" w:cs="Open Sans"/>
          <w:sz w:val="20"/>
          <w:szCs w:val="20"/>
        </w:rPr>
        <w:lastRenderedPageBreak/>
        <w:t>la Sala encuentra dos tipos de argumentos adicionales que también justifican la constitucionalidad de la extensión de las consecuencias del REDAM a los representantes legales de las personas jurídicas. De un lado, las normas legales confieren a dichas personas potestades amplias y flexibles</w:t>
      </w:r>
      <w:bookmarkStart w:id="3" w:name="ref_endnote_246"/>
      <w:bookmarkEnd w:id="3"/>
      <w:r w:rsidRPr="00796CBD">
        <w:rPr>
          <w:rFonts w:ascii="Verdana" w:hAnsi="Verdana" w:cs="Open Sans"/>
          <w:sz w:val="20"/>
          <w:szCs w:val="20"/>
        </w:rPr>
        <w:t>[246] para la remoción y sustitución en cualquier tiempo de sus representantes legales</w:t>
      </w:r>
      <w:bookmarkStart w:id="4" w:name="ref_endnote_247"/>
      <w:bookmarkEnd w:id="4"/>
      <w:r w:rsidRPr="00796CBD">
        <w:rPr>
          <w:rFonts w:ascii="Verdana" w:hAnsi="Verdana" w:cs="Open Sans"/>
          <w:sz w:val="20"/>
          <w:szCs w:val="20"/>
        </w:rPr>
        <w:t>[247], generalmente delegando el nombramiento de ese representante a la junta directiva y conforme lo establezcan los estatutos.</w:t>
      </w:r>
      <w:bookmarkStart w:id="5" w:name="ref_endnote_248"/>
      <w:bookmarkEnd w:id="5"/>
      <w:r w:rsidRPr="00796CBD">
        <w:rPr>
          <w:rFonts w:ascii="Verdana" w:hAnsi="Verdana" w:cs="Open Sans"/>
          <w:sz w:val="20"/>
          <w:szCs w:val="20"/>
        </w:rPr>
        <w:t>[248] De esta manera resulta plenamente factible que ante la contingencia de que el representante sea registrado en el REDAM la persona jurídica pueda alternativamente proceder a su pronta remoción (y con ello permitir el normal desarrollo del objeto social frente a los contratos con el Estado) o exigir a aquel que se ponga de inmediato al día en el pago de sus obligaciones, a fin de que sea excluido de dicho registro. Es claro, en consecuencia, que la controversia en la suscripción del contrato estatal dentro del supuesto estudiado puede ser fácilmente resuelta mediante una decisión corporativa, que se muestra compatible tanto con la oportuna asunción de la obligación alimentaria como con la debida suscripción del contrato estatal.</w:t>
      </w:r>
    </w:p>
    <w:p w14:paraId="2EA7512A" w14:textId="77777777" w:rsidR="00FA7641" w:rsidRPr="00796CBD" w:rsidRDefault="00FA7641" w:rsidP="00796CBD">
      <w:pPr>
        <w:pStyle w:val="NormalWeb"/>
        <w:spacing w:before="0" w:beforeAutospacing="0" w:after="0" w:afterAutospacing="0"/>
        <w:ind w:left="709" w:right="709"/>
        <w:jc w:val="both"/>
        <w:rPr>
          <w:rFonts w:ascii="Verdana" w:hAnsi="Verdana" w:cs="Open Sans"/>
          <w:sz w:val="20"/>
          <w:szCs w:val="20"/>
        </w:rPr>
      </w:pPr>
    </w:p>
    <w:p w14:paraId="031CB751" w14:textId="77777777" w:rsidR="00132901" w:rsidRPr="00796CBD" w:rsidRDefault="00132901" w:rsidP="00796CBD">
      <w:pPr>
        <w:spacing w:after="0" w:line="240" w:lineRule="auto"/>
        <w:ind w:left="709" w:right="709"/>
        <w:jc w:val="both"/>
        <w:rPr>
          <w:rFonts w:ascii="Verdana" w:eastAsia="Times New Roman" w:hAnsi="Verdana" w:cs="Open Sans"/>
          <w:sz w:val="20"/>
          <w:szCs w:val="20"/>
          <w:lang w:eastAsia="es-CO"/>
        </w:rPr>
      </w:pPr>
      <w:r w:rsidRPr="00796CBD">
        <w:rPr>
          <w:rFonts w:ascii="Verdana" w:eastAsia="Times New Roman" w:hAnsi="Verdana" w:cs="Open Sans"/>
          <w:sz w:val="20"/>
          <w:szCs w:val="20"/>
          <w:lang w:eastAsia="es-CO"/>
        </w:rPr>
        <w:t>183. De otro lado, la Corte encuentra que a partir de determinados tipos societarios la exclusión de los representantes legales de los efectos del REDAM puede generar un déficit de protección de los derechos de los acreedores alimentarios. En efecto, para el caso de la sociedad por acciones simplificada y conforme lo estipulan los artículos 1º y 17 de la Ley 1258 de 2008, esta puede ser conformada por una sola persona natural o jurídica y, en el primer supuesto, durante el tiempo en que la sociedad cuente con un solo accionista, este podrá ejercer las atribuciones que la ley le confiere a los distintos órganos sociales, en cuanto sean compatibles, incluida la del representante legal.</w:t>
      </w:r>
    </w:p>
    <w:p w14:paraId="07F62F5C" w14:textId="77777777" w:rsidR="00E82C71" w:rsidRPr="00AA0A56" w:rsidRDefault="00E82C71" w:rsidP="00132901">
      <w:pPr>
        <w:spacing w:after="0" w:line="276" w:lineRule="auto"/>
        <w:ind w:left="709" w:right="758"/>
        <w:jc w:val="both"/>
        <w:rPr>
          <w:rFonts w:ascii="Verdana" w:eastAsia="Times New Roman" w:hAnsi="Verdana" w:cs="Open Sans"/>
          <w:sz w:val="21"/>
          <w:szCs w:val="21"/>
          <w:lang w:eastAsia="es-CO"/>
        </w:rPr>
      </w:pPr>
    </w:p>
    <w:p w14:paraId="5A130720" w14:textId="77777777" w:rsidR="00FB7F65" w:rsidRDefault="00132901" w:rsidP="00FA7641">
      <w:pPr>
        <w:tabs>
          <w:tab w:val="left" w:pos="0"/>
        </w:tabs>
        <w:spacing w:after="120" w:line="276" w:lineRule="auto"/>
        <w:jc w:val="both"/>
        <w:rPr>
          <w:rFonts w:ascii="Verdana" w:eastAsia="Calibri" w:hAnsi="Verdana" w:cs="Arial"/>
          <w:color w:val="000000" w:themeColor="text1"/>
        </w:rPr>
      </w:pPr>
      <w:r>
        <w:rPr>
          <w:rFonts w:ascii="Verdana" w:eastAsia="Calibri" w:hAnsi="Verdana" w:cs="Arial"/>
          <w:bCs/>
          <w:color w:val="000000" w:themeColor="text1"/>
        </w:rPr>
        <w:tab/>
      </w:r>
      <w:r w:rsidRPr="001B5827">
        <w:rPr>
          <w:rFonts w:ascii="Verdana" w:eastAsia="Calibri" w:hAnsi="Verdana" w:cs="Arial"/>
          <w:bCs/>
          <w:color w:val="000000" w:themeColor="text1"/>
        </w:rPr>
        <w:t xml:space="preserve">Adicionalmente, </w:t>
      </w:r>
      <w:r w:rsidRPr="001B5827">
        <w:rPr>
          <w:rFonts w:ascii="Verdana" w:eastAsia="Calibri" w:hAnsi="Verdana" w:cs="Arial"/>
          <w:color w:val="000000" w:themeColor="text1"/>
        </w:rPr>
        <w:t xml:space="preserve">la Corte Constitucional también estima que ante la contingencia de que el representante legal sea registrado en el REDAM la persona jurídica puede proceder con su pronta remoción –y con ello permitir el normal desarrollo del objeto social frente a los contratos con el Estado– o exigir a aquel que se ponga de inmediato al día en el pago de sus obligaciones, a fin de que sea excluido de dicho registro. </w:t>
      </w:r>
    </w:p>
    <w:p w14:paraId="7FB160A9" w14:textId="748F285F" w:rsidR="00132901" w:rsidRPr="001B5827" w:rsidRDefault="00FB7F65" w:rsidP="00796CBD">
      <w:pPr>
        <w:tabs>
          <w:tab w:val="left" w:pos="0"/>
        </w:tabs>
        <w:spacing w:after="120" w:line="276" w:lineRule="auto"/>
        <w:jc w:val="both"/>
        <w:rPr>
          <w:rFonts w:ascii="Verdana" w:eastAsia="Calibri" w:hAnsi="Verdana" w:cs="Arial"/>
          <w:b/>
          <w:bCs/>
          <w:color w:val="000000" w:themeColor="text1"/>
        </w:rPr>
      </w:pPr>
      <w:r>
        <w:rPr>
          <w:rFonts w:ascii="Verdana" w:eastAsia="Calibri" w:hAnsi="Verdana" w:cs="Arial"/>
          <w:color w:val="000000" w:themeColor="text1"/>
        </w:rPr>
        <w:tab/>
      </w:r>
      <w:r w:rsidR="00132901" w:rsidRPr="001B5827">
        <w:rPr>
          <w:rFonts w:ascii="Verdana" w:eastAsia="Calibri" w:hAnsi="Verdana" w:cs="Arial"/>
          <w:color w:val="000000" w:themeColor="text1"/>
        </w:rPr>
        <w:t xml:space="preserve">Por ello, agrega que “[…] esta extensión también implica la obligación del juez y/o funcionario que ordena la inscripción que comunique de esta, en los términos del inciso primero del artículo 3º del PLE, no únicamente a la persona natural sino también a la persona jurídica cuando aquella es su representante legal. Esto con el fin de que puedan ejercer las posibilidades de remoción o de exigencia del pago de la obligación, anteriormente mencionadas. De esta manera, en caso de que no ejerza esas opciones, la persona jurídica terminará </w:t>
      </w:r>
      <w:r w:rsidR="00132901" w:rsidRPr="001B5827">
        <w:rPr>
          <w:rFonts w:ascii="Verdana" w:eastAsia="Calibri" w:hAnsi="Verdana" w:cs="Arial"/>
          <w:color w:val="000000" w:themeColor="text1"/>
        </w:rPr>
        <w:lastRenderedPageBreak/>
        <w:t>siendo cobijada por los efectos del reporte, no por el simple hecho de un tercero sino ante su propia inacción y negligencia en acudir a los remedios legales para evitar tales consecuencias jurídicas.”</w:t>
      </w:r>
      <w:r w:rsidR="00132901" w:rsidRPr="001B5827">
        <w:rPr>
          <w:rFonts w:ascii="Verdana" w:eastAsia="Calibri" w:hAnsi="Verdana" w:cs="Arial"/>
          <w:b/>
          <w:bCs/>
          <w:color w:val="000000" w:themeColor="text1"/>
        </w:rPr>
        <w:t xml:space="preserve"> </w:t>
      </w:r>
    </w:p>
    <w:p w14:paraId="52D6231D" w14:textId="4C59291D" w:rsidR="00132901" w:rsidRPr="001B5827" w:rsidRDefault="00132901" w:rsidP="00796CBD">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1B5827">
        <w:rPr>
          <w:rFonts w:ascii="Verdana" w:eastAsia="Calibri" w:hAnsi="Verdana" w:cs="Arial"/>
          <w:bCs/>
          <w:color w:val="000000" w:themeColor="text1"/>
        </w:rPr>
        <w:t xml:space="preserve">Ahora bien, teniendo en cuenta que la consulta realizada hace alusión a si es posible que las consecuencias de estar inscrito en el REDAM, como la inhabilidad para contratar con el Estado, apliquen a un patrimonio autónomo, sea lo primero analizar la naturaleza de esta figura para determinar si puede ser considerado un Deudor Moroso a la luz de la </w:t>
      </w:r>
      <w:r w:rsidR="002C6671">
        <w:rPr>
          <w:rFonts w:ascii="Verdana" w:eastAsia="Calibri" w:hAnsi="Verdana" w:cs="Arial"/>
          <w:bCs/>
          <w:color w:val="000000" w:themeColor="text1"/>
        </w:rPr>
        <w:t>L</w:t>
      </w:r>
      <w:r w:rsidRPr="001B5827">
        <w:rPr>
          <w:rFonts w:ascii="Verdana" w:eastAsia="Calibri" w:hAnsi="Verdana" w:cs="Arial"/>
          <w:bCs/>
          <w:color w:val="000000" w:themeColor="text1"/>
        </w:rPr>
        <w:t>ey 2097 de 2021 para inscribirlo en el registro.</w:t>
      </w:r>
    </w:p>
    <w:p w14:paraId="7C0DF9B5" w14:textId="77777777" w:rsidR="00132901" w:rsidRPr="001B5827" w:rsidRDefault="00132901" w:rsidP="00132901">
      <w:pPr>
        <w:tabs>
          <w:tab w:val="left" w:pos="0"/>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1B5827">
        <w:rPr>
          <w:rFonts w:ascii="Verdana" w:eastAsia="Calibri" w:hAnsi="Verdana" w:cs="Arial"/>
          <w:bCs/>
          <w:color w:val="000000" w:themeColor="text1"/>
        </w:rPr>
        <w:t>La jurisprudencia del Consejo de Estado conforme a la jurisprudencia de la Corte Suprema de Justicia ha concluido que el Patrimonio Autónomo no es persona natural ni jurídica:</w:t>
      </w:r>
    </w:p>
    <w:p w14:paraId="5887C628" w14:textId="77777777" w:rsidR="00FA7641" w:rsidRPr="001B5827" w:rsidRDefault="00FA7641" w:rsidP="00132901">
      <w:pPr>
        <w:tabs>
          <w:tab w:val="left" w:pos="0"/>
        </w:tabs>
        <w:spacing w:after="0" w:line="276" w:lineRule="auto"/>
        <w:jc w:val="both"/>
        <w:rPr>
          <w:rFonts w:ascii="Verdana" w:eastAsia="Calibri" w:hAnsi="Verdana" w:cs="Arial"/>
          <w:bCs/>
          <w:color w:val="000000" w:themeColor="text1"/>
        </w:rPr>
      </w:pPr>
    </w:p>
    <w:p w14:paraId="3F317D5B" w14:textId="77777777" w:rsidR="00132901" w:rsidRDefault="00132901" w:rsidP="00FA7641">
      <w:pPr>
        <w:tabs>
          <w:tab w:val="left" w:pos="567"/>
        </w:tabs>
        <w:spacing w:after="0" w:line="240" w:lineRule="auto"/>
        <w:ind w:left="709" w:right="709"/>
        <w:jc w:val="both"/>
        <w:rPr>
          <w:rFonts w:ascii="Verdana" w:hAnsi="Verdana"/>
          <w:sz w:val="20"/>
          <w:szCs w:val="20"/>
        </w:rPr>
      </w:pPr>
      <w:r w:rsidRPr="00796CBD">
        <w:rPr>
          <w:rFonts w:ascii="Verdana" w:hAnsi="Verdana"/>
          <w:sz w:val="20"/>
          <w:szCs w:val="20"/>
        </w:rPr>
        <w:t xml:space="preserve">“(…) el patrimonio autónomo conformado en desarrollo del contrato de fiducia mercantil, aunque se constituye en receptor de los derechos y obligaciones legal y convencionalmente derivados de los actos y contratos celebrados y ejecutados por el fiduciario en cumplimiento del contrato de fiducia, </w:t>
      </w:r>
      <w:r w:rsidRPr="00796CBD">
        <w:rPr>
          <w:rFonts w:ascii="Verdana" w:hAnsi="Verdana"/>
          <w:b/>
          <w:sz w:val="20"/>
          <w:szCs w:val="20"/>
          <w:u w:val="single"/>
        </w:rPr>
        <w:t>no es persona natural ni jurídica</w:t>
      </w:r>
      <w:r w:rsidRPr="00796CBD">
        <w:rPr>
          <w:rFonts w:ascii="Verdana" w:hAnsi="Verdana"/>
          <w:sz w:val="20"/>
          <w:szCs w:val="20"/>
        </w:rPr>
        <w:t xml:space="preserve">, por lo cual debe actuar por conducto del fiduciario quien, a su vez, actúa como vocero y administrador del patrimonio autónomo y en tal carácter celebra y ejecuta diligentemente todos los actos jurídicos necesarios para lograr la finalidad del fideicomiso, comprometiendo al patrimonio autónomo dentro de los términos señalados en el acto constitutivo de la fiducia. Para este efecto, el fiduciario deberá expresar que actúa en calidad de vocero y administrador del respectivo patrimonio autónomo. </w:t>
      </w:r>
    </w:p>
    <w:p w14:paraId="09E2238E" w14:textId="77777777" w:rsidR="00FA7641" w:rsidRPr="00796CBD" w:rsidRDefault="00FA7641" w:rsidP="00796CBD">
      <w:pPr>
        <w:tabs>
          <w:tab w:val="left" w:pos="567"/>
        </w:tabs>
        <w:spacing w:after="0" w:line="240" w:lineRule="auto"/>
        <w:ind w:left="709" w:right="709"/>
        <w:jc w:val="both"/>
        <w:rPr>
          <w:rFonts w:ascii="Verdana" w:hAnsi="Verdana"/>
          <w:sz w:val="20"/>
          <w:szCs w:val="20"/>
        </w:rPr>
      </w:pPr>
    </w:p>
    <w:p w14:paraId="68A2D569" w14:textId="77777777" w:rsidR="00132901" w:rsidRDefault="00132901" w:rsidP="00FA7641">
      <w:pPr>
        <w:tabs>
          <w:tab w:val="left" w:pos="567"/>
        </w:tabs>
        <w:spacing w:after="0" w:line="240" w:lineRule="auto"/>
        <w:ind w:left="709" w:right="709"/>
        <w:jc w:val="both"/>
        <w:rPr>
          <w:rFonts w:ascii="Verdana" w:hAnsi="Verdana"/>
          <w:sz w:val="20"/>
          <w:szCs w:val="20"/>
        </w:rPr>
      </w:pPr>
      <w:r w:rsidRPr="00796CBD">
        <w:rPr>
          <w:rFonts w:ascii="Verdana" w:hAnsi="Verdana"/>
          <w:sz w:val="20"/>
          <w:szCs w:val="20"/>
        </w:rPr>
        <w:t>Agrega esta disposición que, en desarrollo de la obligación legal indelegable establecida en el numeral 4 del artículo 1234 del Código de Comercio, el fiduciario lleva la personería del patrimonio autónomo en todas las actuaciones procesales de carácter administrativo o jurisdiccional que deban realizarse para proteger y defender los bienes que lo conforman contra actos de terceros, del beneficiario o del constituyente, o para ejercer los derechos y acciones que le correspondan en desarrollo del contrato de fiducia.”</w:t>
      </w:r>
      <w:r w:rsidRPr="00796CBD">
        <w:rPr>
          <w:rStyle w:val="Refdenotaalpie"/>
          <w:rFonts w:ascii="Verdana" w:hAnsi="Verdana"/>
          <w:sz w:val="20"/>
          <w:szCs w:val="20"/>
        </w:rPr>
        <w:footnoteReference w:id="10"/>
      </w:r>
      <w:r w:rsidRPr="00796CBD">
        <w:rPr>
          <w:rFonts w:ascii="Verdana" w:hAnsi="Verdana"/>
          <w:sz w:val="20"/>
          <w:szCs w:val="20"/>
        </w:rPr>
        <w:t xml:space="preserve"> (Negrilla fuera de texto original)</w:t>
      </w:r>
    </w:p>
    <w:p w14:paraId="6DBA3BF4" w14:textId="77777777" w:rsidR="00FA7641" w:rsidRPr="00796CBD" w:rsidRDefault="00FA7641" w:rsidP="00796CBD">
      <w:pPr>
        <w:tabs>
          <w:tab w:val="left" w:pos="567"/>
        </w:tabs>
        <w:spacing w:after="0" w:line="240" w:lineRule="auto"/>
        <w:ind w:left="709" w:right="709"/>
        <w:jc w:val="both"/>
        <w:rPr>
          <w:rFonts w:ascii="Verdana" w:eastAsia="Calibri" w:hAnsi="Verdana" w:cs="Arial"/>
          <w:bCs/>
          <w:color w:val="000000" w:themeColor="text1"/>
          <w:sz w:val="20"/>
          <w:szCs w:val="20"/>
        </w:rPr>
      </w:pPr>
    </w:p>
    <w:p w14:paraId="49E216AE" w14:textId="2698798E" w:rsidR="00132901" w:rsidRDefault="00132901" w:rsidP="00F7796B">
      <w:pPr>
        <w:tabs>
          <w:tab w:val="left" w:pos="0"/>
        </w:tabs>
        <w:spacing w:after="120" w:line="276" w:lineRule="auto"/>
        <w:jc w:val="both"/>
        <w:rPr>
          <w:rFonts w:ascii="Verdana" w:eastAsia="Calibri" w:hAnsi="Verdana" w:cs="Arial"/>
          <w:color w:val="000000" w:themeColor="text1"/>
        </w:rPr>
      </w:pPr>
      <w:r>
        <w:rPr>
          <w:rFonts w:ascii="Verdana" w:eastAsia="Calibri" w:hAnsi="Verdana" w:cs="Arial"/>
          <w:bCs/>
          <w:color w:val="000000" w:themeColor="text1"/>
        </w:rPr>
        <w:tab/>
      </w:r>
      <w:r w:rsidRPr="001B5827">
        <w:rPr>
          <w:rFonts w:ascii="Verdana" w:eastAsia="Calibri" w:hAnsi="Verdana" w:cs="Arial"/>
          <w:bCs/>
          <w:color w:val="000000" w:themeColor="text1"/>
        </w:rPr>
        <w:t xml:space="preserve">Así, la figura del Patrimonio Autónomo surge como consecuencia del negocio jurídico de fiducia y en virtud de él, es receptor de derechos y obligaciones, pero no persona natural ni jurídica. En consecuencia, teniendo en </w:t>
      </w:r>
      <w:r w:rsidRPr="001B5827">
        <w:rPr>
          <w:rFonts w:ascii="Verdana" w:eastAsia="Calibri" w:hAnsi="Verdana" w:cs="Arial"/>
          <w:bCs/>
          <w:color w:val="000000" w:themeColor="text1"/>
        </w:rPr>
        <w:lastRenderedPageBreak/>
        <w:t>cuenta que el REDAM según la Ley 2097 de 2021 aplica a los deudores morosos de alimentos, es decir a personas naturales que tienen a cargo la obligación alimentaria con base en relaciones familiares, este Registro no es aplicable a los Patrimonios Autónomos en tanto estos no son personas naturales considerados como deudores morosos de alimentos y</w:t>
      </w:r>
      <w:r w:rsidR="003D22ED">
        <w:rPr>
          <w:rFonts w:ascii="Verdana" w:eastAsia="Calibri" w:hAnsi="Verdana" w:cs="Arial"/>
          <w:bCs/>
          <w:color w:val="000000" w:themeColor="text1"/>
        </w:rPr>
        <w:t>,</w:t>
      </w:r>
      <w:r w:rsidRPr="001B5827">
        <w:rPr>
          <w:rFonts w:ascii="Verdana" w:eastAsia="Calibri" w:hAnsi="Verdana" w:cs="Arial"/>
          <w:bCs/>
          <w:color w:val="000000" w:themeColor="text1"/>
        </w:rPr>
        <w:t xml:space="preserve"> por tanto, tampoco es aplicable la restricción dispuesta en el artículo 6 numeral 1 de la Ley 2097 de 2021. </w:t>
      </w:r>
    </w:p>
    <w:p w14:paraId="661FB1D8" w14:textId="5A21CA7C" w:rsidR="003D22ED" w:rsidRPr="001B5827" w:rsidRDefault="003D22ED" w:rsidP="00796CBD">
      <w:pPr>
        <w:tabs>
          <w:tab w:val="left" w:pos="0"/>
        </w:tabs>
        <w:spacing w:after="120" w:line="276" w:lineRule="auto"/>
        <w:jc w:val="both"/>
        <w:rPr>
          <w:rFonts w:ascii="Verdana" w:hAnsi="Verdana" w:cs="Arial"/>
          <w:lang w:eastAsia="es-ES"/>
        </w:rPr>
      </w:pPr>
      <w:r>
        <w:rPr>
          <w:rFonts w:ascii="Verdana" w:eastAsia="Calibri" w:hAnsi="Verdana" w:cs="Arial"/>
          <w:bCs/>
          <w:color w:val="000000" w:themeColor="text1"/>
        </w:rPr>
        <w:tab/>
        <w:t>A lo anterior se suma que, por tratarse de una restricción a la contratación debe dársele una interpretación restrictiva. En ese sentido, dado que la norma no lo incluye dentro de sus destinatarios, no hay lugar a</w:t>
      </w:r>
      <w:r w:rsidR="00E71138">
        <w:rPr>
          <w:rFonts w:ascii="Verdana" w:eastAsia="Calibri" w:hAnsi="Verdana" w:cs="Arial"/>
          <w:bCs/>
          <w:color w:val="000000" w:themeColor="text1"/>
        </w:rPr>
        <w:t xml:space="preserve">l interprete extender su aplicación. </w:t>
      </w:r>
    </w:p>
    <w:p w14:paraId="018CDC85" w14:textId="77777777" w:rsidR="00132901" w:rsidRPr="00301910" w:rsidRDefault="00132901" w:rsidP="00132901">
      <w:pPr>
        <w:spacing w:after="0" w:line="276" w:lineRule="auto"/>
        <w:ind w:firstLine="709"/>
        <w:jc w:val="both"/>
        <w:rPr>
          <w:rFonts w:ascii="Verdana" w:hAnsi="Verdana" w:cs="Arial"/>
          <w:lang w:eastAsia="es-ES"/>
        </w:rPr>
      </w:pPr>
      <w:r w:rsidRPr="001B5827">
        <w:rPr>
          <w:rFonts w:ascii="Verdana" w:hAnsi="Verdana" w:cs="Arial"/>
          <w:lang w:eastAsia="es-ES"/>
        </w:rPr>
        <w:t>Dentro de este marco</w:t>
      </w:r>
      <w:r w:rsidRPr="00301910">
        <w:rPr>
          <w:rFonts w:ascii="Verdana" w:hAnsi="Verdana" w:cs="Arial"/>
          <w:lang w:eastAsia="es-ES"/>
        </w:rPr>
        <w:t>,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13F47C7D" w14:textId="77777777" w:rsidR="00132901" w:rsidRDefault="00132901" w:rsidP="00132901">
      <w:pPr>
        <w:widowControl w:val="0"/>
        <w:autoSpaceDE w:val="0"/>
        <w:autoSpaceDN w:val="0"/>
        <w:spacing w:after="0" w:line="276" w:lineRule="auto"/>
        <w:jc w:val="both"/>
        <w:rPr>
          <w:rFonts w:ascii="Verdana" w:hAnsi="Verdana" w:cs="Arial"/>
        </w:rPr>
      </w:pPr>
    </w:p>
    <w:p w14:paraId="2558744C" w14:textId="77777777" w:rsidR="00132901" w:rsidRDefault="00132901" w:rsidP="001329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4D723F05" w14:textId="77777777" w:rsidR="00132901" w:rsidRDefault="00132901" w:rsidP="00132901">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32901" w14:paraId="4E74E820" w14:textId="77777777" w:rsidTr="009D5EC4">
        <w:trPr>
          <w:trHeight w:val="870"/>
        </w:trPr>
        <w:tc>
          <w:tcPr>
            <w:tcW w:w="8647" w:type="dxa"/>
            <w:tcBorders>
              <w:top w:val="dotted" w:sz="4" w:space="0" w:color="auto"/>
              <w:left w:val="dotted" w:sz="4" w:space="0" w:color="auto"/>
              <w:bottom w:val="dotted" w:sz="4" w:space="0" w:color="auto"/>
              <w:right w:val="dotted" w:sz="4" w:space="0" w:color="auto"/>
            </w:tcBorders>
            <w:hideMark/>
          </w:tcPr>
          <w:p w14:paraId="32E875E0" w14:textId="77777777" w:rsidR="00132901" w:rsidRDefault="00132901" w:rsidP="00796CBD">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Ley 2097 de 2021, artículos 1, 2 y 6.</w:t>
            </w:r>
          </w:p>
          <w:p w14:paraId="1AFEE672" w14:textId="77777777" w:rsidR="00132901" w:rsidRDefault="00132901" w:rsidP="00796CBD">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Código Civil, artículo 411.</w:t>
            </w:r>
          </w:p>
          <w:p w14:paraId="3FDB759C" w14:textId="77777777" w:rsidR="00132901" w:rsidRDefault="00132901" w:rsidP="00796CBD">
            <w:pPr>
              <w:pStyle w:val="Prrafodelista"/>
              <w:widowControl w:val="0"/>
              <w:numPr>
                <w:ilvl w:val="0"/>
                <w:numId w:val="17"/>
              </w:numPr>
              <w:autoSpaceDE w:val="0"/>
              <w:autoSpaceDN w:val="0"/>
              <w:spacing w:line="276" w:lineRule="auto"/>
              <w:contextualSpacing w:val="0"/>
              <w:jc w:val="both"/>
              <w:rPr>
                <w:rFonts w:ascii="Verdana" w:hAnsi="Verdana" w:cs="Arial"/>
              </w:rPr>
            </w:pPr>
            <w:r w:rsidRPr="001B5827">
              <w:rPr>
                <w:rFonts w:ascii="Verdana" w:hAnsi="Verdana" w:cs="Arial"/>
              </w:rPr>
              <w:t>Corte Constitucional. C-032/2021. M.P.: Gloria Stella Ortiz Delgado</w:t>
            </w:r>
            <w:r>
              <w:rPr>
                <w:rFonts w:ascii="Verdana" w:hAnsi="Verdana" w:cs="Arial"/>
              </w:rPr>
              <w:t>.</w:t>
            </w:r>
          </w:p>
          <w:p w14:paraId="613BC57A" w14:textId="77777777" w:rsidR="00132901" w:rsidRPr="000A7051" w:rsidRDefault="00132901" w:rsidP="00796CBD">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Ley </w:t>
            </w:r>
            <w:r w:rsidRPr="000A7051">
              <w:rPr>
                <w:rFonts w:ascii="Verdana" w:hAnsi="Verdana" w:cs="Arial"/>
              </w:rPr>
              <w:t>80 de 1993, artículo 8.</w:t>
            </w:r>
          </w:p>
          <w:p w14:paraId="4D13B110" w14:textId="77777777" w:rsidR="00132901" w:rsidRPr="000A7051" w:rsidRDefault="00132901" w:rsidP="00796CBD">
            <w:pPr>
              <w:widowControl w:val="0"/>
              <w:numPr>
                <w:ilvl w:val="0"/>
                <w:numId w:val="17"/>
              </w:numPr>
              <w:autoSpaceDE w:val="0"/>
              <w:autoSpaceDN w:val="0"/>
              <w:spacing w:line="276" w:lineRule="auto"/>
              <w:jc w:val="both"/>
              <w:rPr>
                <w:rFonts w:ascii="Verdana" w:eastAsia="Arial MT" w:hAnsi="Verdana" w:cs="Arial"/>
                <w:lang w:val="es-ES" w:eastAsia="es-ES" w:bidi="es-ES"/>
              </w:rPr>
            </w:pPr>
            <w:r w:rsidRPr="000A7051">
              <w:rPr>
                <w:rFonts w:ascii="Verdana" w:hAnsi="Verdana"/>
                <w:lang w:val="es-ES"/>
              </w:rPr>
              <w:t>Corte Constitucional. C-032/2021. M.P.: Gloria Stella Ortiz Delgado</w:t>
            </w:r>
          </w:p>
          <w:p w14:paraId="077C8131" w14:textId="77777777" w:rsidR="00132901" w:rsidRPr="006A640E" w:rsidRDefault="00132901" w:rsidP="00796CBD">
            <w:pPr>
              <w:widowControl w:val="0"/>
              <w:numPr>
                <w:ilvl w:val="0"/>
                <w:numId w:val="17"/>
              </w:numPr>
              <w:autoSpaceDE w:val="0"/>
              <w:autoSpaceDN w:val="0"/>
              <w:spacing w:line="276" w:lineRule="auto"/>
              <w:jc w:val="both"/>
              <w:rPr>
                <w:rFonts w:ascii="Verdana" w:eastAsia="Arial MT" w:hAnsi="Verdana" w:cs="Arial"/>
                <w:lang w:val="es-ES" w:eastAsia="es-ES" w:bidi="es-ES"/>
              </w:rPr>
            </w:pPr>
            <w:r w:rsidRPr="000A7051">
              <w:rPr>
                <w:rFonts w:ascii="Verdana" w:hAnsi="Verdana"/>
              </w:rPr>
              <w:t xml:space="preserve">Consejo de Estado. Sección Primera - </w:t>
            </w:r>
            <w:proofErr w:type="gramStart"/>
            <w:r w:rsidRPr="000A7051">
              <w:rPr>
                <w:rFonts w:ascii="Verdana" w:hAnsi="Verdana"/>
              </w:rPr>
              <w:t>Consejero</w:t>
            </w:r>
            <w:proofErr w:type="gramEnd"/>
            <w:r w:rsidRPr="000A7051">
              <w:rPr>
                <w:rFonts w:ascii="Verdana" w:hAnsi="Verdana"/>
              </w:rPr>
              <w:t xml:space="preserve"> Ponente: Marco Antonio Velilla Moreno (E). Bogotá, D.C., 9 de agosto de dos mil doce (2012). Radicación: 25000-23-24-000-2007- 00488-01</w:t>
            </w:r>
          </w:p>
        </w:tc>
      </w:tr>
    </w:tbl>
    <w:p w14:paraId="75F9FDB8" w14:textId="77777777" w:rsidR="00132901" w:rsidRDefault="00132901" w:rsidP="00132901">
      <w:pPr>
        <w:widowControl w:val="0"/>
        <w:autoSpaceDE w:val="0"/>
        <w:autoSpaceDN w:val="0"/>
        <w:spacing w:after="0" w:line="276" w:lineRule="auto"/>
        <w:jc w:val="both"/>
        <w:rPr>
          <w:rFonts w:ascii="Verdana" w:hAnsi="Verdana" w:cs="Arial"/>
        </w:rPr>
      </w:pPr>
    </w:p>
    <w:p w14:paraId="128783D7" w14:textId="77777777" w:rsidR="00132901" w:rsidRDefault="00132901" w:rsidP="001329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3D99CA7" w14:textId="77777777" w:rsidR="00132901" w:rsidRDefault="00132901" w:rsidP="00132901">
      <w:pPr>
        <w:widowControl w:val="0"/>
        <w:autoSpaceDE w:val="0"/>
        <w:autoSpaceDN w:val="0"/>
        <w:spacing w:after="0" w:line="276" w:lineRule="auto"/>
        <w:jc w:val="both"/>
        <w:rPr>
          <w:rFonts w:ascii="Verdana" w:hAnsi="Verdana" w:cs="Arial"/>
        </w:rPr>
      </w:pPr>
    </w:p>
    <w:p w14:paraId="7E5BB2CB" w14:textId="77777777" w:rsidR="00132901" w:rsidRPr="00FE3C84" w:rsidRDefault="00132901" w:rsidP="00132901">
      <w:pPr>
        <w:widowControl w:val="0"/>
        <w:autoSpaceDE w:val="0"/>
        <w:autoSpaceDN w:val="0"/>
        <w:spacing w:after="0" w:line="276" w:lineRule="auto"/>
        <w:jc w:val="both"/>
        <w:rPr>
          <w:rStyle w:val="normaltextrun"/>
          <w:rFonts w:ascii="Verdana" w:hAnsi="Verdana"/>
          <w:color w:val="FF0000"/>
          <w:shd w:val="clear" w:color="auto" w:fill="FFFFFF"/>
          <w:lang w:val="es-ES"/>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inhabilidad para contratar con el Estado por inscripción en el REDAM en el concepto C-281 de 2023, C-324 de 2023, C-315 de </w:t>
      </w:r>
      <w:proofErr w:type="gramStart"/>
      <w:r>
        <w:rPr>
          <w:rFonts w:ascii="Verdana" w:hAnsi="Verdana" w:cs="Arial"/>
          <w:shd w:val="clear" w:color="auto" w:fill="FFFFFF"/>
        </w:rPr>
        <w:t xml:space="preserve">2023, </w:t>
      </w:r>
      <w:r>
        <w:rPr>
          <w:rFonts w:ascii="Verdana" w:hAnsi="Verdana"/>
        </w:rPr>
        <w:t xml:space="preserve"> </w:t>
      </w:r>
      <w:r w:rsidRPr="00CF7C16">
        <w:rPr>
          <w:rFonts w:ascii="Verdana" w:hAnsi="Verdana" w:cs="Arial"/>
          <w:shd w:val="clear" w:color="auto" w:fill="FFFFFF"/>
          <w:lang w:val="es-ES"/>
        </w:rPr>
        <w:t>entre</w:t>
      </w:r>
      <w:proofErr w:type="gramEnd"/>
      <w:r w:rsidRPr="00CF7C16">
        <w:rPr>
          <w:rFonts w:ascii="Verdana" w:hAnsi="Verdana" w:cs="Arial"/>
          <w:shd w:val="clear" w:color="auto" w:fill="FFFFFF"/>
          <w:lang w:val="es-ES"/>
        </w:rPr>
        <w:t xml:space="preserve"> otros</w:t>
      </w:r>
      <w:r>
        <w:rPr>
          <w:rStyle w:val="normaltextrun"/>
          <w:rFonts w:ascii="Verdana" w:hAnsi="Verdana" w:cs="Arial"/>
          <w:shd w:val="clear" w:color="auto" w:fill="FFFFFF"/>
          <w:lang w:val="es-ES"/>
        </w:rPr>
        <w:t>. Es</w:t>
      </w:r>
      <w:r>
        <w:rPr>
          <w:rFonts w:ascii="Verdana" w:hAnsi="Verdana"/>
        </w:rPr>
        <w:t xml:space="preserve">tos y otros conceptos se encuentran </w:t>
      </w:r>
      <w:r>
        <w:rPr>
          <w:rFonts w:ascii="Verdana" w:hAnsi="Verdana"/>
        </w:rPr>
        <w:lastRenderedPageBreak/>
        <w:t>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7" w:history="1">
        <w:r w:rsidRPr="00F7796B">
          <w:rPr>
            <w:rStyle w:val="Hipervnculo"/>
            <w:rFonts w:ascii="Verdana" w:hAnsi="Verdana" w:cs="Arial"/>
            <w:shd w:val="clear" w:color="auto" w:fill="FFFFFF"/>
            <w:lang w:val="es-ES"/>
          </w:rPr>
          <w:t>https://relatoria.colombiacompra.gov.co/busqueda/conceptos</w:t>
        </w:r>
      </w:hyperlink>
      <w:r w:rsidRPr="00F7796B">
        <w:rPr>
          <w:rStyle w:val="normaltextrun"/>
          <w:rFonts w:ascii="Verdana" w:hAnsi="Verdana" w:cs="Arial"/>
          <w:color w:val="FF0000"/>
          <w:shd w:val="clear" w:color="auto" w:fill="FFFFFF"/>
          <w:lang w:val="es-ES"/>
        </w:rPr>
        <w:t xml:space="preserve">. </w:t>
      </w:r>
    </w:p>
    <w:p w14:paraId="1EE706F7" w14:textId="77777777" w:rsidR="00132901" w:rsidRDefault="00132901" w:rsidP="0013290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002F6E4" w14:textId="77777777" w:rsidR="00132901" w:rsidRPr="005D0607" w:rsidRDefault="00132901" w:rsidP="00132901">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F7796B">
        <w:rPr>
          <w:rFonts w:ascii="Verdana" w:hAnsi="Verdana"/>
          <w:color w:val="000000"/>
          <w:bdr w:val="none" w:sz="0" w:space="0" w:color="auto" w:frame="1"/>
        </w:rPr>
        <w:t>Puede consultar la guía en el siguiente enlace: </w:t>
      </w:r>
      <w:hyperlink r:id="rId18" w:tgtFrame="_blank" w:tooltip="Dirección URL original: https://www.colombiacompra.gov.co/wp-content/uploads/2025/05/GUIA-DE-LINEAMIENTOS-DE-TRANSPARENCIA-Y-SELECCION-OBJETIVA-1.0.pdf. Haga clic o pulse si confía en este vínculo." w:history="1">
        <w:r w:rsidRPr="00F7796B">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F7796B">
        <w:rPr>
          <w:rFonts w:ascii="Verdana" w:hAnsi="Verdana"/>
          <w:color w:val="467886"/>
          <w:u w:val="single"/>
          <w:bdr w:val="none" w:sz="0" w:space="0" w:color="auto" w:frame="1"/>
        </w:rPr>
        <w:t>"</w:t>
      </w:r>
    </w:p>
    <w:p w14:paraId="2CC65568" w14:textId="77777777" w:rsidR="00132901" w:rsidRDefault="00132901" w:rsidP="00132901">
      <w:pPr>
        <w:spacing w:after="0" w:line="276" w:lineRule="auto"/>
        <w:jc w:val="both"/>
        <w:rPr>
          <w:rFonts w:ascii="Verdana" w:hAnsi="Verdana"/>
        </w:rPr>
      </w:pPr>
    </w:p>
    <w:p w14:paraId="4FC742AF" w14:textId="77777777" w:rsidR="00132901" w:rsidRDefault="00132901" w:rsidP="00132901">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A560D7D" w14:textId="77777777" w:rsidR="00132901" w:rsidRDefault="00132901" w:rsidP="00132901">
      <w:pPr>
        <w:spacing w:after="0" w:line="276" w:lineRule="auto"/>
        <w:jc w:val="both"/>
        <w:rPr>
          <w:rFonts w:ascii="Verdana" w:hAnsi="Verdana"/>
        </w:rPr>
      </w:pPr>
    </w:p>
    <w:p w14:paraId="42504D0D" w14:textId="77777777" w:rsidR="00132901" w:rsidRDefault="00132901" w:rsidP="00132901">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1DA8C0FE" w14:textId="77777777" w:rsidR="00132901" w:rsidRDefault="00132901" w:rsidP="00132901">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6E009EDF" w14:textId="77777777" w:rsidR="00132901" w:rsidRDefault="00132901" w:rsidP="00132901">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8DBBF9C" w14:textId="77777777" w:rsidR="00132901" w:rsidRDefault="00132901" w:rsidP="00132901">
      <w:pPr>
        <w:widowControl w:val="0"/>
        <w:autoSpaceDE w:val="0"/>
        <w:autoSpaceDN w:val="0"/>
        <w:spacing w:after="0" w:line="276" w:lineRule="auto"/>
        <w:jc w:val="both"/>
        <w:rPr>
          <w:rFonts w:ascii="Verdana" w:hAnsi="Verdana" w:cs="Arial"/>
        </w:rPr>
      </w:pPr>
    </w:p>
    <w:p w14:paraId="11527B0C" w14:textId="77777777" w:rsidR="00132901" w:rsidRDefault="00132901" w:rsidP="00132901">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244737C1" w14:textId="77777777" w:rsidR="00132901" w:rsidRDefault="00132901" w:rsidP="00132901">
      <w:pPr>
        <w:widowControl w:val="0"/>
        <w:autoSpaceDE w:val="0"/>
        <w:autoSpaceDN w:val="0"/>
        <w:spacing w:after="0" w:line="276" w:lineRule="auto"/>
        <w:jc w:val="both"/>
        <w:rPr>
          <w:rFonts w:ascii="Verdana" w:hAnsi="Verdana" w:cs="Arial"/>
        </w:rPr>
      </w:pPr>
    </w:p>
    <w:p w14:paraId="5B32AA06" w14:textId="77777777" w:rsidR="00132901" w:rsidRDefault="00132901" w:rsidP="00132901">
      <w:pPr>
        <w:spacing w:after="0" w:line="276" w:lineRule="auto"/>
        <w:rPr>
          <w:rFonts w:ascii="Verdana" w:hAnsi="Verdana" w:cs="Arial"/>
          <w:lang w:eastAsia="es-CO"/>
        </w:rPr>
      </w:pPr>
      <w:bookmarkStart w:id="6" w:name="_Hlk208479366"/>
      <w:r>
        <w:rPr>
          <w:rFonts w:ascii="Verdana" w:eastAsia="Times New Roman" w:hAnsi="Verdana" w:cs="Arial"/>
          <w:lang w:eastAsia="es-CO"/>
        </w:rPr>
        <w:t>Atentamente,</w:t>
      </w:r>
      <w:r>
        <w:rPr>
          <w:rFonts w:ascii="Verdana" w:hAnsi="Verdana" w:cs="Arial"/>
          <w:lang w:eastAsia="es-CO"/>
        </w:rPr>
        <w:t xml:space="preserve"> </w:t>
      </w:r>
    </w:p>
    <w:p w14:paraId="41B189E3" w14:textId="704B9135" w:rsidR="00132901" w:rsidRDefault="0012135D" w:rsidP="00132901">
      <w:pPr>
        <w:spacing w:line="276" w:lineRule="auto"/>
        <w:jc w:val="center"/>
        <w:rPr>
          <w:rFonts w:ascii="Verdana" w:hAnsi="Verdana" w:cs="Arial"/>
          <w:color w:val="000000"/>
          <w:lang w:val="es-ES_tradnl" w:eastAsia="es-CO"/>
        </w:rPr>
      </w:pPr>
      <w:r>
        <w:rPr>
          <w:noProof/>
        </w:rPr>
        <w:drawing>
          <wp:inline distT="0" distB="0" distL="0" distR="0" wp14:anchorId="1E0E8E93" wp14:editId="2F805BAB">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32901" w14:paraId="20A7CD87" w14:textId="77777777" w:rsidTr="009D5EC4">
        <w:trPr>
          <w:trHeight w:val="315"/>
        </w:trPr>
        <w:tc>
          <w:tcPr>
            <w:tcW w:w="893" w:type="dxa"/>
            <w:vAlign w:val="center"/>
            <w:hideMark/>
          </w:tcPr>
          <w:p w14:paraId="53039DE8" w14:textId="77777777" w:rsidR="00132901" w:rsidRDefault="00132901" w:rsidP="009D5EC4">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4CCDC252" w14:textId="77777777" w:rsidR="00132901" w:rsidRDefault="00132901" w:rsidP="009D5EC4">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0CA492FE" w14:textId="77777777" w:rsidR="00132901" w:rsidRDefault="00132901" w:rsidP="009D5EC4">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132901" w14:paraId="51390257" w14:textId="77777777" w:rsidTr="009D5EC4">
        <w:trPr>
          <w:trHeight w:val="330"/>
        </w:trPr>
        <w:tc>
          <w:tcPr>
            <w:tcW w:w="893" w:type="dxa"/>
            <w:vAlign w:val="center"/>
            <w:hideMark/>
          </w:tcPr>
          <w:p w14:paraId="608470CF" w14:textId="77777777" w:rsidR="00132901" w:rsidRDefault="00132901" w:rsidP="009D5EC4">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E89AF3" w14:textId="77777777" w:rsidR="00132901" w:rsidRDefault="00132901" w:rsidP="009D5EC4">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1D8D4FBF" w14:textId="77777777" w:rsidR="00132901" w:rsidRDefault="00132901" w:rsidP="009D5EC4">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132901" w14:paraId="0BD678C9" w14:textId="77777777" w:rsidTr="009D5EC4">
        <w:trPr>
          <w:trHeight w:val="300"/>
        </w:trPr>
        <w:tc>
          <w:tcPr>
            <w:tcW w:w="893" w:type="dxa"/>
            <w:vAlign w:val="center"/>
            <w:hideMark/>
          </w:tcPr>
          <w:p w14:paraId="131BA70A" w14:textId="77777777" w:rsidR="00132901" w:rsidRDefault="00132901" w:rsidP="009D5EC4">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E3DF89" w14:textId="77777777" w:rsidR="00132901" w:rsidRDefault="00132901" w:rsidP="009D5EC4">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0F034764" w14:textId="77777777" w:rsidR="00132901" w:rsidRDefault="00132901" w:rsidP="009D5EC4">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6"/>
    </w:tbl>
    <w:p w14:paraId="3DE46600" w14:textId="77777777" w:rsidR="00132901" w:rsidRPr="001249F1" w:rsidRDefault="00132901" w:rsidP="00132901"/>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FBFD9" w14:textId="77777777" w:rsidR="0052306B" w:rsidRDefault="0052306B" w:rsidP="004A1847">
      <w:pPr>
        <w:spacing w:after="0" w:line="240" w:lineRule="auto"/>
      </w:pPr>
      <w:r>
        <w:separator/>
      </w:r>
    </w:p>
  </w:endnote>
  <w:endnote w:type="continuationSeparator" w:id="0">
    <w:p w14:paraId="6A496E93" w14:textId="77777777" w:rsidR="0052306B" w:rsidRDefault="0052306B" w:rsidP="004A1847">
      <w:pPr>
        <w:spacing w:after="0" w:line="240" w:lineRule="auto"/>
      </w:pPr>
      <w:r>
        <w:continuationSeparator/>
      </w:r>
    </w:p>
  </w:endnote>
  <w:endnote w:type="continuationNotice" w:id="1">
    <w:p w14:paraId="63F349EE" w14:textId="77777777" w:rsidR="0052306B" w:rsidRDefault="005230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ADF8E" w14:textId="77777777" w:rsidR="0052306B" w:rsidRDefault="0052306B" w:rsidP="004A1847">
      <w:pPr>
        <w:spacing w:after="0" w:line="240" w:lineRule="auto"/>
      </w:pPr>
      <w:r>
        <w:separator/>
      </w:r>
    </w:p>
  </w:footnote>
  <w:footnote w:type="continuationSeparator" w:id="0">
    <w:p w14:paraId="64EC80B3" w14:textId="77777777" w:rsidR="0052306B" w:rsidRDefault="0052306B" w:rsidP="004A1847">
      <w:pPr>
        <w:spacing w:after="0" w:line="240" w:lineRule="auto"/>
      </w:pPr>
      <w:r>
        <w:continuationSeparator/>
      </w:r>
    </w:p>
  </w:footnote>
  <w:footnote w:type="continuationNotice" w:id="1">
    <w:p w14:paraId="372FF137" w14:textId="77777777" w:rsidR="0052306B" w:rsidRDefault="0052306B">
      <w:pPr>
        <w:spacing w:after="0" w:line="240" w:lineRule="auto"/>
      </w:pPr>
    </w:p>
  </w:footnote>
  <w:footnote w:id="2">
    <w:p w14:paraId="10A5A86E" w14:textId="77777777" w:rsidR="0012135D" w:rsidRPr="000A7051" w:rsidRDefault="0012135D" w:rsidP="0012135D">
      <w:pPr>
        <w:pStyle w:val="Textonotapie"/>
        <w:ind w:firstLine="709"/>
        <w:rPr>
          <w:rFonts w:ascii="Verdana" w:hAnsi="Verdana"/>
          <w:sz w:val="16"/>
          <w:szCs w:val="16"/>
          <w:lang w:val="es-ES"/>
        </w:rPr>
      </w:pPr>
      <w:r w:rsidRPr="000A7051">
        <w:rPr>
          <w:rStyle w:val="Refdenotaalpie"/>
          <w:rFonts w:ascii="Verdana" w:hAnsi="Verdana"/>
          <w:sz w:val="16"/>
          <w:szCs w:val="16"/>
        </w:rPr>
        <w:footnoteRef/>
      </w:r>
      <w:r w:rsidRPr="000A7051">
        <w:rPr>
          <w:rFonts w:ascii="Verdana" w:hAnsi="Verdana"/>
          <w:sz w:val="16"/>
          <w:szCs w:val="16"/>
        </w:rPr>
        <w:t xml:space="preserve"> </w:t>
      </w:r>
      <w:r w:rsidRPr="000A7051">
        <w:rPr>
          <w:rFonts w:ascii="Verdana" w:hAnsi="Verdana"/>
          <w:sz w:val="16"/>
          <w:szCs w:val="16"/>
          <w:lang w:val="es-ES"/>
        </w:rPr>
        <w:t xml:space="preserve">Artículo 1. </w:t>
      </w:r>
      <w:r w:rsidRPr="000A7051">
        <w:rPr>
          <w:rFonts w:ascii="Verdana" w:hAnsi="Verdana" w:cs="Open Sans"/>
          <w:sz w:val="16"/>
          <w:szCs w:val="16"/>
        </w:rPr>
        <w:t>La presente ley tiene por objeto establecer medidas para garantizar el cumplimiento de las obligaciones alimentarias y crear el Registro de Deudores Alimentarios Morosos (</w:t>
      </w:r>
      <w:proofErr w:type="spellStart"/>
      <w:r w:rsidRPr="000A7051">
        <w:rPr>
          <w:rFonts w:ascii="Verdana" w:hAnsi="Verdana" w:cs="Open Sans"/>
          <w:sz w:val="16"/>
          <w:szCs w:val="16"/>
        </w:rPr>
        <w:t>Redam</w:t>
      </w:r>
      <w:proofErr w:type="spellEnd"/>
      <w:r w:rsidRPr="000A7051">
        <w:rPr>
          <w:rFonts w:ascii="Verdana" w:hAnsi="Verdana" w:cs="Open Sans"/>
          <w:sz w:val="16"/>
          <w:szCs w:val="16"/>
        </w:rPr>
        <w:t>), como mecanismo de control al incumplimiento de las obligaciones alimentarias.</w:t>
      </w:r>
    </w:p>
  </w:footnote>
  <w:footnote w:id="3">
    <w:p w14:paraId="73A0BBFD" w14:textId="77777777" w:rsidR="00132901" w:rsidRPr="000A7051" w:rsidRDefault="00132901" w:rsidP="00132901">
      <w:pPr>
        <w:pStyle w:val="Textonotapie"/>
        <w:ind w:firstLine="709"/>
        <w:jc w:val="both"/>
        <w:rPr>
          <w:rFonts w:ascii="Verdana" w:hAnsi="Verdana" w:cs="Arial"/>
          <w:sz w:val="16"/>
          <w:szCs w:val="16"/>
        </w:rPr>
      </w:pPr>
      <w:r w:rsidRPr="000A7051">
        <w:rPr>
          <w:rStyle w:val="Refdenotaalpie"/>
          <w:rFonts w:ascii="Verdana" w:hAnsi="Verdana" w:cs="Arial"/>
          <w:sz w:val="16"/>
          <w:szCs w:val="16"/>
        </w:rPr>
        <w:footnoteRef/>
      </w:r>
      <w:r w:rsidRPr="000A7051">
        <w:rPr>
          <w:rFonts w:ascii="Verdana" w:hAnsi="Verdana" w:cs="Arial"/>
          <w:sz w:val="16"/>
          <w:szCs w:val="16"/>
        </w:rPr>
        <w:t xml:space="preserve"> En lo pertinente, el artículo 13 de la Ley 1150 de 2007 dispone que “</w:t>
      </w:r>
      <w:r w:rsidRPr="000A7051">
        <w:rPr>
          <w:rFonts w:ascii="Verdana" w:hAnsi="Verdana" w:cs="Arial"/>
          <w:sz w:val="16"/>
          <w:szCs w:val="16"/>
          <w:lang w:val="es-CO"/>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0A7051">
        <w:rPr>
          <w:rFonts w:ascii="Verdana" w:hAnsi="Verdana" w:cs="Arial"/>
          <w:sz w:val="16"/>
          <w:szCs w:val="16"/>
        </w:rPr>
        <w:t xml:space="preserve"> </w:t>
      </w:r>
    </w:p>
  </w:footnote>
  <w:footnote w:id="4">
    <w:p w14:paraId="7858BF1C" w14:textId="77777777" w:rsidR="00132901" w:rsidRPr="00982700" w:rsidRDefault="00132901" w:rsidP="00132901">
      <w:pPr>
        <w:pStyle w:val="Textonotapie"/>
        <w:ind w:firstLine="709"/>
        <w:jc w:val="both"/>
        <w:rPr>
          <w:rFonts w:ascii="Arial" w:hAnsi="Arial" w:cs="Arial"/>
          <w:sz w:val="19"/>
          <w:szCs w:val="19"/>
        </w:rPr>
      </w:pPr>
      <w:r w:rsidRPr="000A7051">
        <w:rPr>
          <w:rStyle w:val="Refdenotaalpie"/>
          <w:rFonts w:ascii="Verdana" w:hAnsi="Verdana" w:cs="Arial"/>
          <w:sz w:val="16"/>
          <w:szCs w:val="16"/>
        </w:rPr>
        <w:footnoteRef/>
      </w:r>
      <w:r w:rsidRPr="000A7051">
        <w:rPr>
          <w:rFonts w:ascii="Verdana" w:hAnsi="Verdana" w:cs="Arial"/>
          <w:sz w:val="16"/>
          <w:szCs w:val="16"/>
        </w:rPr>
        <w:t xml:space="preserve"> Decreto 092 de 2017, “</w:t>
      </w:r>
      <w:r w:rsidRPr="000A7051">
        <w:rPr>
          <w:rFonts w:ascii="Verdana" w:hAnsi="Verdana" w:cs="Arial"/>
          <w:sz w:val="16"/>
          <w:szCs w:val="16"/>
          <w:lang w:val="es-CO"/>
        </w:rPr>
        <w:t>Artículo 6.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5">
    <w:p w14:paraId="7FA88C14" w14:textId="77777777" w:rsidR="00132901" w:rsidRPr="000A7051" w:rsidRDefault="00132901" w:rsidP="00796CBD">
      <w:pPr>
        <w:pStyle w:val="Textonotapie"/>
        <w:ind w:firstLine="709"/>
        <w:rPr>
          <w:rFonts w:ascii="Verdana" w:hAnsi="Verdana"/>
          <w:sz w:val="16"/>
          <w:szCs w:val="16"/>
          <w:lang w:val="es-ES"/>
        </w:rPr>
      </w:pPr>
      <w:r w:rsidRPr="000A7051">
        <w:rPr>
          <w:rStyle w:val="Refdenotaalpie"/>
          <w:rFonts w:ascii="Verdana" w:hAnsi="Verdana"/>
          <w:sz w:val="16"/>
          <w:szCs w:val="16"/>
        </w:rPr>
        <w:footnoteRef/>
      </w:r>
      <w:r w:rsidRPr="000A7051">
        <w:rPr>
          <w:rFonts w:ascii="Verdana" w:hAnsi="Verdana"/>
          <w:sz w:val="16"/>
          <w:szCs w:val="16"/>
        </w:rPr>
        <w:t xml:space="preserve"> </w:t>
      </w:r>
      <w:r w:rsidRPr="000A7051">
        <w:rPr>
          <w:rFonts w:ascii="Verdana" w:hAnsi="Verdana"/>
          <w:sz w:val="16"/>
          <w:szCs w:val="16"/>
          <w:lang w:val="es-ES"/>
        </w:rPr>
        <w:t xml:space="preserve">Artículo 1. </w:t>
      </w:r>
      <w:r w:rsidRPr="000A7051">
        <w:rPr>
          <w:rFonts w:ascii="Verdana" w:hAnsi="Verdana" w:cs="Open Sans"/>
          <w:sz w:val="16"/>
          <w:szCs w:val="16"/>
        </w:rPr>
        <w:t>La presente ley tiene por objeto establecer medidas para garantizar el cumplimiento de las obligaciones alimentarias y crear el Registro de Deudores Alimentarios Morosos (</w:t>
      </w:r>
      <w:proofErr w:type="spellStart"/>
      <w:r w:rsidRPr="000A7051">
        <w:rPr>
          <w:rFonts w:ascii="Verdana" w:hAnsi="Verdana" w:cs="Open Sans"/>
          <w:sz w:val="16"/>
          <w:szCs w:val="16"/>
        </w:rPr>
        <w:t>Redam</w:t>
      </w:r>
      <w:proofErr w:type="spellEnd"/>
      <w:r w:rsidRPr="000A7051">
        <w:rPr>
          <w:rFonts w:ascii="Verdana" w:hAnsi="Verdana" w:cs="Open Sans"/>
          <w:sz w:val="16"/>
          <w:szCs w:val="16"/>
        </w:rPr>
        <w:t>), como mecanismo de control al incumplimiento de las obligaciones alimentarias.</w:t>
      </w:r>
    </w:p>
  </w:footnote>
  <w:footnote w:id="6">
    <w:p w14:paraId="0012E5AA" w14:textId="77777777" w:rsidR="00132901" w:rsidRPr="000A7051" w:rsidRDefault="00132901" w:rsidP="00796CBD">
      <w:pPr>
        <w:pStyle w:val="Textonotapie"/>
        <w:ind w:firstLine="709"/>
        <w:rPr>
          <w:rFonts w:ascii="Verdana" w:hAnsi="Verdana"/>
          <w:sz w:val="16"/>
          <w:szCs w:val="16"/>
          <w:lang w:val="es-ES"/>
        </w:rPr>
      </w:pPr>
      <w:r w:rsidRPr="000A7051">
        <w:rPr>
          <w:rStyle w:val="Refdenotaalpie"/>
          <w:rFonts w:ascii="Verdana" w:hAnsi="Verdana"/>
          <w:sz w:val="16"/>
          <w:szCs w:val="16"/>
        </w:rPr>
        <w:footnoteRef/>
      </w:r>
      <w:r w:rsidRPr="000A7051">
        <w:rPr>
          <w:rFonts w:ascii="Verdana" w:hAnsi="Verdana"/>
          <w:sz w:val="16"/>
          <w:szCs w:val="16"/>
        </w:rPr>
        <w:t xml:space="preserve"> </w:t>
      </w:r>
      <w:r w:rsidRPr="000A7051">
        <w:rPr>
          <w:rFonts w:ascii="Verdana" w:hAnsi="Verdana"/>
          <w:sz w:val="16"/>
          <w:szCs w:val="16"/>
          <w:lang w:val="es-ES"/>
        </w:rPr>
        <w:t>Corte Constitucional. C-032/2021. M.P.: Gloria Stella Ortiz Delgado</w:t>
      </w:r>
    </w:p>
  </w:footnote>
  <w:footnote w:id="7">
    <w:p w14:paraId="70014AC0" w14:textId="77777777" w:rsidR="00132901" w:rsidRPr="000A7051" w:rsidRDefault="00132901" w:rsidP="00132901">
      <w:pPr>
        <w:pStyle w:val="Textonotapie"/>
        <w:ind w:firstLine="709"/>
        <w:jc w:val="both"/>
        <w:rPr>
          <w:rFonts w:ascii="Verdana" w:hAnsi="Verdana" w:cs="Arial"/>
          <w:sz w:val="16"/>
          <w:szCs w:val="16"/>
        </w:rPr>
      </w:pPr>
      <w:r w:rsidRPr="000A7051">
        <w:rPr>
          <w:rStyle w:val="Refdenotaalpie"/>
          <w:rFonts w:ascii="Verdana" w:hAnsi="Verdana" w:cs="Arial"/>
          <w:sz w:val="16"/>
          <w:szCs w:val="16"/>
        </w:rPr>
        <w:footnoteRef/>
      </w:r>
      <w:r w:rsidRPr="000A7051">
        <w:rPr>
          <w:rFonts w:ascii="Verdana" w:hAnsi="Verdana" w:cs="Arial"/>
          <w:sz w:val="16"/>
          <w:szCs w:val="16"/>
        </w:rPr>
        <w:t xml:space="preserve"> En lo pertinente, el artículo 13 de la Ley 1150 de 2007 dispone que “</w:t>
      </w:r>
      <w:r w:rsidRPr="000A7051">
        <w:rPr>
          <w:rFonts w:ascii="Verdana" w:hAnsi="Verdana" w:cs="Arial"/>
          <w:sz w:val="16"/>
          <w:szCs w:val="16"/>
          <w:lang w:val="es-CO"/>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0A7051">
        <w:rPr>
          <w:rFonts w:ascii="Verdana" w:hAnsi="Verdana" w:cs="Arial"/>
          <w:sz w:val="16"/>
          <w:szCs w:val="16"/>
        </w:rPr>
        <w:t xml:space="preserve"> </w:t>
      </w:r>
    </w:p>
  </w:footnote>
  <w:footnote w:id="8">
    <w:p w14:paraId="7C9D9717" w14:textId="77777777" w:rsidR="00132901" w:rsidRPr="00982700" w:rsidRDefault="00132901" w:rsidP="00132901">
      <w:pPr>
        <w:pStyle w:val="Textonotapie"/>
        <w:ind w:firstLine="709"/>
        <w:jc w:val="both"/>
        <w:rPr>
          <w:rFonts w:ascii="Arial" w:hAnsi="Arial" w:cs="Arial"/>
          <w:sz w:val="19"/>
          <w:szCs w:val="19"/>
        </w:rPr>
      </w:pPr>
      <w:r w:rsidRPr="000A7051">
        <w:rPr>
          <w:rStyle w:val="Refdenotaalpie"/>
          <w:rFonts w:ascii="Verdana" w:hAnsi="Verdana" w:cs="Arial"/>
          <w:sz w:val="16"/>
          <w:szCs w:val="16"/>
        </w:rPr>
        <w:footnoteRef/>
      </w:r>
      <w:r w:rsidRPr="000A7051">
        <w:rPr>
          <w:rFonts w:ascii="Verdana" w:hAnsi="Verdana" w:cs="Arial"/>
          <w:sz w:val="16"/>
          <w:szCs w:val="16"/>
        </w:rPr>
        <w:t xml:space="preserve"> Decreto 092 de 2017, “</w:t>
      </w:r>
      <w:bookmarkStart w:id="2" w:name="6"/>
      <w:r w:rsidRPr="000A7051">
        <w:rPr>
          <w:rFonts w:ascii="Verdana" w:hAnsi="Verdana" w:cs="Arial"/>
          <w:sz w:val="16"/>
          <w:szCs w:val="16"/>
          <w:lang w:val="es-CO"/>
        </w:rPr>
        <w:t>Artículo 6.</w:t>
      </w:r>
      <w:bookmarkEnd w:id="2"/>
      <w:r w:rsidRPr="000A7051">
        <w:rPr>
          <w:rFonts w:ascii="Verdana" w:hAnsi="Verdana" w:cs="Arial"/>
          <w:sz w:val="16"/>
          <w:szCs w:val="16"/>
          <w:lang w:val="es-CO"/>
        </w:rPr>
        <w:t>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9">
    <w:p w14:paraId="44BA5833" w14:textId="77777777" w:rsidR="00132901" w:rsidRPr="000A7051" w:rsidRDefault="00132901" w:rsidP="00796CBD">
      <w:pPr>
        <w:pStyle w:val="Textonotapie"/>
        <w:ind w:firstLine="709"/>
        <w:rPr>
          <w:rFonts w:ascii="Verdana" w:hAnsi="Verdana"/>
          <w:sz w:val="16"/>
          <w:szCs w:val="16"/>
          <w:lang w:val="es-ES"/>
        </w:rPr>
      </w:pPr>
      <w:r w:rsidRPr="000A7051">
        <w:rPr>
          <w:rStyle w:val="Refdenotaalpie"/>
          <w:rFonts w:ascii="Verdana" w:hAnsi="Verdana"/>
          <w:sz w:val="16"/>
          <w:szCs w:val="16"/>
        </w:rPr>
        <w:footnoteRef/>
      </w:r>
      <w:r w:rsidRPr="000A7051">
        <w:rPr>
          <w:rFonts w:ascii="Verdana" w:hAnsi="Verdana"/>
          <w:sz w:val="16"/>
          <w:szCs w:val="16"/>
        </w:rPr>
        <w:t xml:space="preserve">  </w:t>
      </w:r>
      <w:r w:rsidRPr="000A7051">
        <w:rPr>
          <w:rFonts w:ascii="Verdana" w:hAnsi="Verdana"/>
          <w:sz w:val="16"/>
          <w:szCs w:val="16"/>
          <w:lang w:val="es-ES"/>
        </w:rPr>
        <w:t>Corte Constitucional. C-032/2021. M.P.: Gloria Stella Ortiz Delgado</w:t>
      </w:r>
    </w:p>
  </w:footnote>
  <w:footnote w:id="10">
    <w:p w14:paraId="3BD66655" w14:textId="77777777" w:rsidR="00132901" w:rsidRPr="000A7051" w:rsidRDefault="00132901" w:rsidP="00796CBD">
      <w:pPr>
        <w:pStyle w:val="Textonotapie"/>
        <w:ind w:firstLine="709"/>
        <w:rPr>
          <w:rFonts w:ascii="Verdana" w:hAnsi="Verdana"/>
          <w:sz w:val="16"/>
          <w:szCs w:val="16"/>
          <w:lang w:val="es-ES"/>
        </w:rPr>
      </w:pPr>
      <w:r w:rsidRPr="000A7051">
        <w:rPr>
          <w:rStyle w:val="Refdenotaalpie"/>
          <w:rFonts w:ascii="Verdana" w:hAnsi="Verdana"/>
          <w:sz w:val="16"/>
          <w:szCs w:val="16"/>
        </w:rPr>
        <w:footnoteRef/>
      </w:r>
      <w:r w:rsidRPr="000A7051">
        <w:rPr>
          <w:rFonts w:ascii="Verdana" w:hAnsi="Verdana"/>
          <w:sz w:val="16"/>
          <w:szCs w:val="16"/>
        </w:rPr>
        <w:t xml:space="preserve"> Consejo de Estado. Sección Primera - </w:t>
      </w:r>
      <w:proofErr w:type="gramStart"/>
      <w:r w:rsidRPr="000A7051">
        <w:rPr>
          <w:rFonts w:ascii="Verdana" w:hAnsi="Verdana"/>
          <w:sz w:val="16"/>
          <w:szCs w:val="16"/>
        </w:rPr>
        <w:t>Consejero</w:t>
      </w:r>
      <w:proofErr w:type="gramEnd"/>
      <w:r w:rsidRPr="000A7051">
        <w:rPr>
          <w:rFonts w:ascii="Verdana" w:hAnsi="Verdana"/>
          <w:sz w:val="16"/>
          <w:szCs w:val="16"/>
        </w:rPr>
        <w:t xml:space="preserve"> Ponente: Marco Antonio Velilla Moreno (E). Bogotá, D.C., 9 de agosto de dos mil doce (2012). Radicación: 25000-23-24-000-2007- 00488-01. Actor: FIDUCIARIA POPULAR S.A. Demandado: DIRECCION DE IMPUESTOS Y ADUANAS NACIONALES - DIAN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6147941">
    <w:abstractNumId w:val="7"/>
  </w:num>
  <w:num w:numId="2" w16cid:durableId="2119642336">
    <w:abstractNumId w:val="2"/>
  </w:num>
  <w:num w:numId="3" w16cid:durableId="512039960">
    <w:abstractNumId w:val="5"/>
  </w:num>
  <w:num w:numId="4" w16cid:durableId="9790012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2496938">
    <w:abstractNumId w:val="2"/>
  </w:num>
  <w:num w:numId="6" w16cid:durableId="1851597438">
    <w:abstractNumId w:val="13"/>
  </w:num>
  <w:num w:numId="7" w16cid:durableId="1404254045">
    <w:abstractNumId w:val="6"/>
  </w:num>
  <w:num w:numId="8" w16cid:durableId="462308633">
    <w:abstractNumId w:val="12"/>
  </w:num>
  <w:num w:numId="9" w16cid:durableId="822351926">
    <w:abstractNumId w:val="8"/>
  </w:num>
  <w:num w:numId="10" w16cid:durableId="1146968369">
    <w:abstractNumId w:val="11"/>
  </w:num>
  <w:num w:numId="11" w16cid:durableId="1389844042">
    <w:abstractNumId w:val="9"/>
  </w:num>
  <w:num w:numId="12" w16cid:durableId="938216551">
    <w:abstractNumId w:val="1"/>
  </w:num>
  <w:num w:numId="13" w16cid:durableId="1364868139">
    <w:abstractNumId w:val="4"/>
  </w:num>
  <w:num w:numId="14" w16cid:durableId="1554803242">
    <w:abstractNumId w:val="14"/>
  </w:num>
  <w:num w:numId="15" w16cid:durableId="53508546">
    <w:abstractNumId w:val="10"/>
  </w:num>
  <w:num w:numId="16" w16cid:durableId="107867664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321131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68D"/>
    <w:rsid w:val="00046945"/>
    <w:rsid w:val="00061B2A"/>
    <w:rsid w:val="00082362"/>
    <w:rsid w:val="000A683E"/>
    <w:rsid w:val="000B19B9"/>
    <w:rsid w:val="000D0334"/>
    <w:rsid w:val="000F6486"/>
    <w:rsid w:val="001029B0"/>
    <w:rsid w:val="0012135D"/>
    <w:rsid w:val="00125105"/>
    <w:rsid w:val="00127233"/>
    <w:rsid w:val="00132901"/>
    <w:rsid w:val="001E4177"/>
    <w:rsid w:val="001F7DC6"/>
    <w:rsid w:val="00225EBB"/>
    <w:rsid w:val="002421BB"/>
    <w:rsid w:val="0025796E"/>
    <w:rsid w:val="002707A2"/>
    <w:rsid w:val="002951A0"/>
    <w:rsid w:val="002962BC"/>
    <w:rsid w:val="002A093D"/>
    <w:rsid w:val="002A0DD0"/>
    <w:rsid w:val="002A49AC"/>
    <w:rsid w:val="002A64FD"/>
    <w:rsid w:val="002C6671"/>
    <w:rsid w:val="002C7A84"/>
    <w:rsid w:val="002E4FD9"/>
    <w:rsid w:val="002F02F7"/>
    <w:rsid w:val="00322A85"/>
    <w:rsid w:val="00324168"/>
    <w:rsid w:val="003448F4"/>
    <w:rsid w:val="00374F5E"/>
    <w:rsid w:val="00377E3E"/>
    <w:rsid w:val="003A779E"/>
    <w:rsid w:val="003D0F4D"/>
    <w:rsid w:val="003D22ED"/>
    <w:rsid w:val="003D5B0D"/>
    <w:rsid w:val="003E0499"/>
    <w:rsid w:val="003F3941"/>
    <w:rsid w:val="003F5977"/>
    <w:rsid w:val="00406575"/>
    <w:rsid w:val="00414C74"/>
    <w:rsid w:val="0042722E"/>
    <w:rsid w:val="0044528D"/>
    <w:rsid w:val="004A1847"/>
    <w:rsid w:val="004A305D"/>
    <w:rsid w:val="004E7892"/>
    <w:rsid w:val="004F21C4"/>
    <w:rsid w:val="004F685F"/>
    <w:rsid w:val="0052306B"/>
    <w:rsid w:val="005566E8"/>
    <w:rsid w:val="00567AD5"/>
    <w:rsid w:val="00574867"/>
    <w:rsid w:val="005910C2"/>
    <w:rsid w:val="00591460"/>
    <w:rsid w:val="005C3777"/>
    <w:rsid w:val="005C5CDC"/>
    <w:rsid w:val="005D476C"/>
    <w:rsid w:val="005D55A2"/>
    <w:rsid w:val="006219F8"/>
    <w:rsid w:val="006302F7"/>
    <w:rsid w:val="006448B2"/>
    <w:rsid w:val="00665D70"/>
    <w:rsid w:val="006900D9"/>
    <w:rsid w:val="006A760C"/>
    <w:rsid w:val="00706C16"/>
    <w:rsid w:val="00756841"/>
    <w:rsid w:val="007649AB"/>
    <w:rsid w:val="00771D0C"/>
    <w:rsid w:val="007833AC"/>
    <w:rsid w:val="00796CBD"/>
    <w:rsid w:val="007B268C"/>
    <w:rsid w:val="007B7171"/>
    <w:rsid w:val="007C0C0F"/>
    <w:rsid w:val="007C3DC2"/>
    <w:rsid w:val="007E5497"/>
    <w:rsid w:val="00806F5F"/>
    <w:rsid w:val="00820278"/>
    <w:rsid w:val="00867F95"/>
    <w:rsid w:val="008843B6"/>
    <w:rsid w:val="00891928"/>
    <w:rsid w:val="00897A3A"/>
    <w:rsid w:val="008A446D"/>
    <w:rsid w:val="008D180B"/>
    <w:rsid w:val="008D3299"/>
    <w:rsid w:val="008F0EA7"/>
    <w:rsid w:val="00923EEF"/>
    <w:rsid w:val="009419F9"/>
    <w:rsid w:val="0095685E"/>
    <w:rsid w:val="00961B09"/>
    <w:rsid w:val="00965334"/>
    <w:rsid w:val="0097093E"/>
    <w:rsid w:val="009A0DFA"/>
    <w:rsid w:val="009A531C"/>
    <w:rsid w:val="009B25A8"/>
    <w:rsid w:val="009B2D26"/>
    <w:rsid w:val="009C71FA"/>
    <w:rsid w:val="009C72E7"/>
    <w:rsid w:val="009D3058"/>
    <w:rsid w:val="009E2D78"/>
    <w:rsid w:val="009F3A13"/>
    <w:rsid w:val="00A122D3"/>
    <w:rsid w:val="00A17F13"/>
    <w:rsid w:val="00A20739"/>
    <w:rsid w:val="00A309FA"/>
    <w:rsid w:val="00A33C78"/>
    <w:rsid w:val="00A84F28"/>
    <w:rsid w:val="00AA1148"/>
    <w:rsid w:val="00AB0ADB"/>
    <w:rsid w:val="00B00C0E"/>
    <w:rsid w:val="00B01B1A"/>
    <w:rsid w:val="00B43658"/>
    <w:rsid w:val="00B44A47"/>
    <w:rsid w:val="00B72CD3"/>
    <w:rsid w:val="00B72FFF"/>
    <w:rsid w:val="00BC3D36"/>
    <w:rsid w:val="00BD7F72"/>
    <w:rsid w:val="00C04FB3"/>
    <w:rsid w:val="00C330EB"/>
    <w:rsid w:val="00C563DF"/>
    <w:rsid w:val="00C754BE"/>
    <w:rsid w:val="00C76B1C"/>
    <w:rsid w:val="00CB6357"/>
    <w:rsid w:val="00CC1B26"/>
    <w:rsid w:val="00D423A2"/>
    <w:rsid w:val="00D520D8"/>
    <w:rsid w:val="00D63AC2"/>
    <w:rsid w:val="00D7383B"/>
    <w:rsid w:val="00DA231B"/>
    <w:rsid w:val="00DB4695"/>
    <w:rsid w:val="00DC39FC"/>
    <w:rsid w:val="00DF5254"/>
    <w:rsid w:val="00E02E42"/>
    <w:rsid w:val="00E16408"/>
    <w:rsid w:val="00E20894"/>
    <w:rsid w:val="00E245AB"/>
    <w:rsid w:val="00E2764C"/>
    <w:rsid w:val="00E27F2E"/>
    <w:rsid w:val="00E344E0"/>
    <w:rsid w:val="00E50AFE"/>
    <w:rsid w:val="00E71138"/>
    <w:rsid w:val="00E75C92"/>
    <w:rsid w:val="00E771DC"/>
    <w:rsid w:val="00E82C71"/>
    <w:rsid w:val="00E8772A"/>
    <w:rsid w:val="00E90F6B"/>
    <w:rsid w:val="00E92C27"/>
    <w:rsid w:val="00EA0E3D"/>
    <w:rsid w:val="00EC38A7"/>
    <w:rsid w:val="00EE1AA8"/>
    <w:rsid w:val="00F31EDC"/>
    <w:rsid w:val="00F37530"/>
    <w:rsid w:val="00F462B3"/>
    <w:rsid w:val="00F5664F"/>
    <w:rsid w:val="00F666C4"/>
    <w:rsid w:val="00F76AFC"/>
    <w:rsid w:val="00F7796B"/>
    <w:rsid w:val="00FA47C0"/>
    <w:rsid w:val="00FA7641"/>
    <w:rsid w:val="00FB5DD1"/>
    <w:rsid w:val="00FB7F65"/>
    <w:rsid w:val="00FC2B5D"/>
    <w:rsid w:val="00FF00B8"/>
    <w:rsid w:val="00FF1449"/>
    <w:rsid w:val="11F42C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32901"/>
    <w:rPr>
      <w:rFonts w:ascii="Geomanist Light" w:hAnsi="Geomanist Light"/>
      <w:lang w:val="es-ES"/>
    </w:rPr>
  </w:style>
  <w:style w:type="paragraph" w:customStyle="1" w:styleId="Appelnotedebasde">
    <w:name w:val="Appel note de bas de..."/>
    <w:basedOn w:val="Normal"/>
    <w:link w:val="Refdenotaalpie"/>
    <w:uiPriority w:val="99"/>
    <w:rsid w:val="00132901"/>
    <w:pPr>
      <w:spacing w:line="240" w:lineRule="exact"/>
    </w:pPr>
    <w:rPr>
      <w:vertAlign w:val="superscript"/>
    </w:rPr>
  </w:style>
  <w:style w:type="character" w:customStyle="1" w:styleId="baj">
    <w:name w:val="b_aj"/>
    <w:basedOn w:val="Fuentedeprrafopredeter"/>
    <w:rsid w:val="001329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ecretariasenado.gov.co/senado/basedoc/ley_2388_2024.html" TargetMode="External"/><Relationship Id="rId18"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www.secretariasenado.gov.co/senado/basedoc/codigo_civil_pr012.html"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www.secretariasenado.gov.co/senado/basedoc/ley_2388_2024.htm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ron@mintic.gov.co" TargetMode="External"/><Relationship Id="rId5" Type="http://schemas.openxmlformats.org/officeDocument/2006/relationships/styles" Target="styles.xml"/><Relationship Id="rId15" Type="http://schemas.openxmlformats.org/officeDocument/2006/relationships/hyperlink" Target="http://www.secretariasenado.gov.co/senado/basedoc/ley_2442_2024.html" TargetMode="External"/><Relationship Id="rId23" Type="http://schemas.openxmlformats.org/officeDocument/2006/relationships/theme" Target="theme/theme1.xml"/><Relationship Id="rId10" Type="http://schemas.openxmlformats.org/officeDocument/2006/relationships/image" Target="media/image2.tmp"/><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ecretariasenado.gov.co/senado/basedoc/ley_2388_2024.html"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elements/1.1/"/>
    <ds:schemaRef ds:uri="a6cb9e4b-f1d1-4245-83ec-6cad768d538a"/>
    <ds:schemaRef ds:uri="http://schemas.microsoft.com/office/2006/metadata/properties"/>
    <ds:schemaRef ds:uri="http://schemas.microsoft.com/office/2006/documentManagement/types"/>
    <ds:schemaRef ds:uri="http://purl.org/dc/dcmitype/"/>
    <ds:schemaRef ds:uri="http://purl.org/dc/terms/"/>
    <ds:schemaRef ds:uri="http://schemas.openxmlformats.org/package/2006/metadata/core-properties"/>
    <ds:schemaRef ds:uri="http://schemas.microsoft.com/office/infopath/2007/PartnerControls"/>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2FA245B-4E0C-45DD-94D0-9FE6919983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3929</Words>
  <Characters>21610</Characters>
  <Application>Microsoft Office Word</Application>
  <DocSecurity>0</DocSecurity>
  <Lines>180</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2025-09-19T18:09:00Z</dcterms:created>
  <dcterms:modified xsi:type="dcterms:W3CDTF">2025-09-19T18:09:00Z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