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7241B2" w14:textId="72CC2F0D" w:rsidR="002012C8" w:rsidRPr="00FD1B49" w:rsidRDefault="002012C8" w:rsidP="002012C8">
      <w:pPr>
        <w:jc w:val="both"/>
        <w:rPr>
          <w:rFonts w:ascii="Verdana" w:hAnsi="Verdana" w:cs="Arial"/>
          <w:b/>
          <w:bCs/>
          <w:lang w:val="es-ES" w:eastAsia="es-ES"/>
        </w:rPr>
      </w:pPr>
      <w:bookmarkStart w:id="0" w:name="_Hlk143780582"/>
      <w:r w:rsidRPr="00FD1B49">
        <w:rPr>
          <w:rFonts w:ascii="Verdana" w:hAnsi="Verdana" w:cs="Arial"/>
          <w:b/>
          <w:bCs/>
          <w:lang w:val="es-ES" w:eastAsia="es-ES"/>
        </w:rPr>
        <w:t xml:space="preserve">DECLARATORIA DESIERTA – Naturaleza – Consecuencias </w:t>
      </w:r>
    </w:p>
    <w:p w14:paraId="3F859D8A" w14:textId="1788BE20" w:rsidR="002012C8" w:rsidRDefault="00FD1B49" w:rsidP="002012C8">
      <w:pPr>
        <w:jc w:val="both"/>
        <w:rPr>
          <w:rFonts w:ascii="Verdana" w:hAnsi="Verdana" w:cs="Arial"/>
          <w:lang w:val="es-ES" w:eastAsia="es-ES"/>
        </w:rPr>
      </w:pPr>
      <w:r w:rsidRPr="6CB6BBDA">
        <w:rPr>
          <w:rFonts w:ascii="Verdana" w:eastAsia="Calibri" w:hAnsi="Verdana" w:cs="Arial"/>
          <w:lang w:val="es-ES"/>
        </w:rPr>
        <w:t xml:space="preserve">en algunos casos </w:t>
      </w:r>
      <w:r>
        <w:rPr>
          <w:rFonts w:ascii="Verdana" w:eastAsia="Calibri" w:hAnsi="Verdana" w:cs="Arial"/>
          <w:lang w:val="es-ES"/>
        </w:rPr>
        <w:t xml:space="preserve">la Entidad Estatal </w:t>
      </w:r>
      <w:r w:rsidRPr="6CB6BBDA">
        <w:rPr>
          <w:rFonts w:ascii="Verdana" w:eastAsia="Calibri" w:hAnsi="Verdana" w:cs="Arial"/>
          <w:lang w:val="es-ES"/>
        </w:rPr>
        <w:t>decide no adjudicar el contrato, porque no le es posible realizar una escogencia objetiva</w:t>
      </w:r>
      <w:r>
        <w:rPr>
          <w:rFonts w:ascii="Verdana" w:eastAsia="Calibri" w:hAnsi="Verdana" w:cs="Arial"/>
          <w:lang w:val="es-ES"/>
        </w:rPr>
        <w:t xml:space="preserve"> o porque no se presentan propuestas en el proceso, </w:t>
      </w:r>
      <w:r w:rsidRPr="6CB6BBDA">
        <w:rPr>
          <w:rFonts w:ascii="Verdana" w:eastAsia="Calibri" w:hAnsi="Verdana" w:cs="Arial"/>
          <w:lang w:val="es-ES"/>
        </w:rPr>
        <w:t>es así como se presenta una decisión negativa de la Administración que comporta la frustración del proceso contractual</w:t>
      </w:r>
      <w:r>
        <w:rPr>
          <w:rFonts w:ascii="Verdana" w:eastAsia="Calibri" w:hAnsi="Verdana" w:cs="Arial"/>
          <w:lang w:val="es-ES"/>
        </w:rPr>
        <w:t>.</w:t>
      </w:r>
      <w:r w:rsidRPr="6CB6BBDA">
        <w:rPr>
          <w:rFonts w:ascii="Verdana" w:eastAsia="Calibri" w:hAnsi="Verdana" w:cs="Arial"/>
          <w:lang w:val="es-ES"/>
        </w:rPr>
        <w:t xml:space="preserve"> La configuración de esta circunstancia está prevista en el numeral 18 del artículo 25 de la Ley 80 de 1993, pues –en el marco del principio de economía– la norma dispone que “La declaratoria de desierta de la licitación únicamente procederá por motivos o causas que impidan la escogencia objetiva y se declarará en acto administrativo en el que se señalarán en forma expresa y detallada las razones que han conducido a esa decisión”.</w:t>
      </w:r>
    </w:p>
    <w:p w14:paraId="42341A41" w14:textId="77777777" w:rsidR="002012C8" w:rsidRPr="00FD1B49" w:rsidRDefault="002012C8" w:rsidP="002012C8">
      <w:pPr>
        <w:jc w:val="both"/>
        <w:rPr>
          <w:rFonts w:ascii="Verdana" w:hAnsi="Verdana" w:cs="Arial"/>
          <w:b/>
          <w:bCs/>
          <w:lang w:val="es-ES" w:eastAsia="es-ES"/>
        </w:rPr>
      </w:pPr>
      <w:r w:rsidRPr="00FD1B49">
        <w:rPr>
          <w:rFonts w:ascii="Verdana" w:hAnsi="Verdana" w:cs="Arial"/>
          <w:b/>
          <w:bCs/>
          <w:lang w:val="es-ES" w:eastAsia="es-ES"/>
        </w:rPr>
        <w:t xml:space="preserve">LIMITACIÓN A MIPYMES – Decreto 1860 de 2021 </w:t>
      </w:r>
    </w:p>
    <w:p w14:paraId="26C302B3" w14:textId="5EB89FCB" w:rsidR="002012C8" w:rsidRDefault="00FD1B49" w:rsidP="002012C8">
      <w:pPr>
        <w:jc w:val="both"/>
        <w:rPr>
          <w:rFonts w:ascii="Verdana" w:hAnsi="Verdana" w:cs="Arial"/>
          <w:lang w:val="es-ES" w:eastAsia="es-ES"/>
        </w:rPr>
      </w:pPr>
      <w:r w:rsidRPr="00D804ED">
        <w:rPr>
          <w:rFonts w:ascii="Verdana" w:eastAsia="Calibri" w:hAnsi="Verdana" w:cs="Arial"/>
          <w:color w:val="000000" w:themeColor="text1"/>
        </w:rPr>
        <w:t xml:space="preserve">la entidad debe verificar </w:t>
      </w:r>
      <w:r w:rsidRPr="00D804ED">
        <w:rPr>
          <w:rFonts w:ascii="Verdana" w:eastAsia="Arial" w:hAnsi="Verdana" w:cs="Arial"/>
          <w:color w:val="000000" w:themeColor="text1"/>
        </w:rPr>
        <w:t>los requisitos establecidos en los numerales 1 y 2 del artículo 2.2.1.2.4.2.2 del Decreto 1082 de 2015, modificado por el Decreto 1860 de 2021</w:t>
      </w:r>
      <w:r>
        <w:rPr>
          <w:rFonts w:ascii="Verdana" w:eastAsia="Arial" w:hAnsi="Verdana" w:cs="Arial"/>
          <w:color w:val="000000" w:themeColor="text1"/>
        </w:rPr>
        <w:t xml:space="preserve"> […]</w:t>
      </w:r>
    </w:p>
    <w:p w14:paraId="3495B415" w14:textId="63E01643" w:rsidR="002012C8" w:rsidRPr="00FD1B49" w:rsidRDefault="002012C8" w:rsidP="002012C8">
      <w:pPr>
        <w:jc w:val="both"/>
        <w:rPr>
          <w:rFonts w:ascii="Verdana" w:hAnsi="Verdana" w:cs="Arial"/>
          <w:b/>
          <w:bCs/>
          <w:lang w:val="es-ES" w:eastAsia="es-ES"/>
        </w:rPr>
      </w:pPr>
      <w:r w:rsidRPr="00FD1B49">
        <w:rPr>
          <w:rFonts w:ascii="Verdana" w:eastAsia="Calibri" w:hAnsi="Verdana" w:cs="Arial"/>
          <w:b/>
          <w:bCs/>
          <w:lang w:val="es-ES" w:eastAsia="es-ES"/>
        </w:rPr>
        <w:t>CONVOCATORIAS LIMITADAS A MIPYMES EN EL ÁMBITO TERRITORIAL – Limitación territorial – Facultad discrecional</w:t>
      </w:r>
    </w:p>
    <w:p w14:paraId="64E2CEC1" w14:textId="0FA4AA15" w:rsidR="002012C8" w:rsidRDefault="00FD1B49" w:rsidP="00FD1B49">
      <w:pPr>
        <w:spacing w:after="0"/>
        <w:jc w:val="both"/>
        <w:rPr>
          <w:rFonts w:ascii="Verdana" w:hAnsi="Verdana"/>
        </w:rPr>
      </w:pPr>
      <w:r w:rsidRPr="00D804ED">
        <w:rPr>
          <w:rFonts w:ascii="Verdana" w:eastAsia="Calibri" w:hAnsi="Verdana" w:cs="Arial"/>
          <w:lang w:val="es-ES"/>
        </w:rPr>
        <w:t xml:space="preserve">Como se evidencia de la redacción del anterior artículo, la decisión de limitar las convocatorias a MiPymes que tengan su domicilio en el municipio o departamento donde se va a ejecutar el contrato es facultativa de la entidad, en tanto la </w:t>
      </w:r>
      <w:r w:rsidRPr="00D804ED">
        <w:rPr>
          <w:rFonts w:ascii="Verdana" w:hAnsi="Verdana" w:cs="Arial"/>
          <w:color w:val="000000" w:themeColor="text1"/>
        </w:rPr>
        <w:t xml:space="preserve">norma se refiere a la facultad de la administración con el verbo infinitivo “poder”, no “deber”. </w:t>
      </w:r>
      <w:r w:rsidRPr="00D804ED">
        <w:rPr>
          <w:rFonts w:ascii="Verdana" w:eastAsia="Times New Roman" w:hAnsi="Verdana" w:cs="Arial"/>
          <w:lang w:eastAsia="es-CO"/>
        </w:rPr>
        <w:t>L</w:t>
      </w:r>
      <w:r w:rsidRPr="004508B5">
        <w:rPr>
          <w:rFonts w:ascii="Verdana" w:eastAsia="Times New Roman" w:hAnsi="Verdana" w:cs="Arial"/>
          <w:lang w:eastAsia="es-CO"/>
        </w:rPr>
        <w:t>a Agencia Nacional de Contratación Pública – Colombia Compra Eficiente</w:t>
      </w:r>
      <w:r w:rsidRPr="00D804ED">
        <w:rPr>
          <w:rFonts w:ascii="Verdana" w:eastAsia="Calibri" w:hAnsi="Verdana" w:cs="Arial"/>
          <w:color w:val="000000" w:themeColor="text1"/>
        </w:rPr>
        <w:t xml:space="preserve"> ha sostenido que la decisión de limitar territorialmente un</w:t>
      </w:r>
      <w:r w:rsidRPr="00D804ED">
        <w:rPr>
          <w:rFonts w:ascii="Verdana" w:hAnsi="Verdana" w:cs="Arial"/>
          <w:color w:val="000000" w:themeColor="text1"/>
        </w:rPr>
        <w:t xml:space="preserve">a convocatoria a MiPymes </w:t>
      </w:r>
      <w:r w:rsidRPr="00D804ED">
        <w:rPr>
          <w:rFonts w:ascii="Verdana" w:eastAsia="Calibri" w:hAnsi="Verdana" w:cs="Arial"/>
          <w:color w:val="000000" w:themeColor="text1"/>
        </w:rPr>
        <w:t>es discrecional, y ha precisado que, de todos modos, esta debe justificarse con fundamento en los correspondientes “estudios del sector”</w:t>
      </w:r>
      <w:r>
        <w:rPr>
          <w:rFonts w:ascii="Verdana" w:eastAsia="Calibri" w:hAnsi="Verdana" w:cs="Arial"/>
          <w:color w:val="000000" w:themeColor="text1"/>
        </w:rPr>
        <w:t>, como se puede encontrar detalladamente en la “</w:t>
      </w:r>
      <w:r w:rsidRPr="006E53C7">
        <w:rPr>
          <w:rFonts w:ascii="Verdana" w:eastAsia="Calibri" w:hAnsi="Verdana" w:cs="Arial"/>
          <w:color w:val="000000" w:themeColor="text1"/>
        </w:rPr>
        <w:t>GUÍA PARA PROMOVER LA PARTICIPACIÓN DE LAS MIPYMES EN LOS</w:t>
      </w:r>
      <w:r>
        <w:rPr>
          <w:rFonts w:ascii="Verdana" w:eastAsia="Calibri" w:hAnsi="Verdana" w:cs="Arial"/>
          <w:color w:val="000000" w:themeColor="text1"/>
        </w:rPr>
        <w:t xml:space="preserve"> </w:t>
      </w:r>
      <w:r w:rsidRPr="006E53C7">
        <w:rPr>
          <w:rFonts w:ascii="Verdana" w:eastAsia="Calibri" w:hAnsi="Verdana" w:cs="Arial"/>
          <w:color w:val="000000" w:themeColor="text1"/>
        </w:rPr>
        <w:t>PROCESOS DE COMPRA Y CONTRATACIÓN PÚBLICA</w:t>
      </w:r>
      <w:r>
        <w:rPr>
          <w:rFonts w:ascii="Verdana" w:eastAsia="Calibri" w:hAnsi="Verdana" w:cs="Arial"/>
          <w:color w:val="000000" w:themeColor="text1"/>
        </w:rPr>
        <w:t>”</w:t>
      </w:r>
    </w:p>
    <w:p w14:paraId="0C26935E" w14:textId="77777777" w:rsidR="002012C8" w:rsidRDefault="002012C8" w:rsidP="00E245AB">
      <w:pPr>
        <w:spacing w:after="0"/>
        <w:rPr>
          <w:rFonts w:ascii="Verdana" w:hAnsi="Verdana"/>
        </w:rPr>
      </w:pPr>
    </w:p>
    <w:p w14:paraId="2299D85D" w14:textId="77777777" w:rsidR="002012C8" w:rsidRDefault="002012C8" w:rsidP="00E245AB">
      <w:pPr>
        <w:spacing w:after="0"/>
        <w:rPr>
          <w:rFonts w:ascii="Verdana" w:hAnsi="Verdana"/>
        </w:rPr>
      </w:pPr>
    </w:p>
    <w:p w14:paraId="52690648" w14:textId="77777777" w:rsidR="002012C8" w:rsidRDefault="002012C8" w:rsidP="00E245AB">
      <w:pPr>
        <w:spacing w:after="0"/>
        <w:rPr>
          <w:rFonts w:ascii="Verdana" w:hAnsi="Verdana"/>
        </w:rPr>
      </w:pPr>
    </w:p>
    <w:p w14:paraId="2FA22C80" w14:textId="77777777" w:rsidR="002012C8" w:rsidRDefault="002012C8" w:rsidP="00E245AB">
      <w:pPr>
        <w:spacing w:after="0"/>
        <w:rPr>
          <w:rFonts w:ascii="Verdana" w:hAnsi="Verdana"/>
        </w:rPr>
      </w:pPr>
    </w:p>
    <w:p w14:paraId="27DD9BE6" w14:textId="77777777" w:rsidR="002012C8" w:rsidRDefault="002012C8" w:rsidP="00E245AB">
      <w:pPr>
        <w:spacing w:after="0"/>
        <w:rPr>
          <w:rFonts w:ascii="Verdana" w:hAnsi="Verdana"/>
        </w:rPr>
      </w:pPr>
    </w:p>
    <w:p w14:paraId="094B1338" w14:textId="77777777" w:rsidR="002012C8" w:rsidRDefault="002012C8" w:rsidP="00E245AB">
      <w:pPr>
        <w:spacing w:after="0"/>
        <w:rPr>
          <w:rFonts w:ascii="Verdana" w:hAnsi="Verdana"/>
        </w:rPr>
      </w:pPr>
    </w:p>
    <w:p w14:paraId="7A580306" w14:textId="77777777" w:rsidR="002012C8" w:rsidRDefault="002012C8" w:rsidP="00E245AB">
      <w:pPr>
        <w:spacing w:after="0"/>
        <w:rPr>
          <w:rFonts w:ascii="Verdana" w:hAnsi="Verdana"/>
        </w:rPr>
      </w:pPr>
    </w:p>
    <w:p w14:paraId="47079A0E" w14:textId="77777777" w:rsidR="002012C8" w:rsidRDefault="002012C8" w:rsidP="00E245AB">
      <w:pPr>
        <w:spacing w:after="0"/>
        <w:rPr>
          <w:rFonts w:ascii="Verdana" w:hAnsi="Verdana"/>
        </w:rPr>
      </w:pPr>
    </w:p>
    <w:p w14:paraId="6D1AA1F3" w14:textId="77777777" w:rsidR="002012C8" w:rsidRDefault="002012C8" w:rsidP="00E245AB">
      <w:pPr>
        <w:spacing w:after="0"/>
        <w:rPr>
          <w:rFonts w:ascii="Verdana" w:hAnsi="Verdana"/>
        </w:rPr>
      </w:pPr>
    </w:p>
    <w:p w14:paraId="3FE2184B" w14:textId="19A7E4BA" w:rsidR="00E245AB" w:rsidRPr="0044528D" w:rsidRDefault="00897A3A" w:rsidP="00E245AB">
      <w:pPr>
        <w:spacing w:after="0"/>
        <w:rPr>
          <w:rFonts w:ascii="Verdana" w:hAnsi="Verdana"/>
        </w:rPr>
      </w:pPr>
      <w:r w:rsidRPr="0044528D">
        <w:rPr>
          <w:rFonts w:ascii="Verdana" w:hAnsi="Verdana"/>
        </w:rPr>
        <w:lastRenderedPageBreak/>
        <w:t xml:space="preserve">Bogotá D.C., </w:t>
      </w:r>
      <w:r w:rsidR="002012C8">
        <w:rPr>
          <w:rFonts w:ascii="Verdana" w:hAnsi="Verdana"/>
        </w:rPr>
        <w:t xml:space="preserve">15 </w:t>
      </w:r>
      <w:proofErr w:type="gramStart"/>
      <w:r w:rsidR="002012C8">
        <w:rPr>
          <w:rFonts w:ascii="Verdana" w:hAnsi="Verdana"/>
        </w:rPr>
        <w:t>Septiembre</w:t>
      </w:r>
      <w:proofErr w:type="gramEnd"/>
      <w:r w:rsidR="002012C8">
        <w:rPr>
          <w:rFonts w:ascii="Verdana" w:hAnsi="Verdana"/>
        </w:rPr>
        <w:t xml:space="preserve"> 2025</w:t>
      </w:r>
      <w:r w:rsidR="00891928" w:rsidRPr="0044528D">
        <w:rPr>
          <w:rFonts w:ascii="Verdana" w:hAnsi="Verdana"/>
        </w:rPr>
        <w:tab/>
      </w:r>
    </w:p>
    <w:p w14:paraId="5FCADBF9" w14:textId="75461A6A" w:rsidR="00E245AB" w:rsidRPr="0044528D" w:rsidRDefault="002012C8" w:rsidP="00E245AB">
      <w:pPr>
        <w:spacing w:after="0"/>
        <w:rPr>
          <w:rFonts w:ascii="Verdana" w:hAnsi="Verdana"/>
        </w:rPr>
      </w:pPr>
      <w:r>
        <w:rPr>
          <w:rFonts w:ascii="Verdana" w:eastAsia="Calibri" w:hAnsi="Verdana" w:cs="Arial"/>
          <w:noProof/>
          <w:lang w:val="es-ES" w:eastAsia="es-ES"/>
        </w:rPr>
        <w:drawing>
          <wp:anchor distT="0" distB="0" distL="114300" distR="114300" simplePos="0" relativeHeight="251658240" behindDoc="0" locked="0" layoutInCell="1" allowOverlap="1" wp14:anchorId="25100303" wp14:editId="3D0B430B">
            <wp:simplePos x="0" y="0"/>
            <wp:positionH relativeFrom="column">
              <wp:posOffset>3231466</wp:posOffset>
            </wp:positionH>
            <wp:positionV relativeFrom="paragraph">
              <wp:posOffset>51777</wp:posOffset>
            </wp:positionV>
            <wp:extent cx="2508250" cy="749300"/>
            <wp:effectExtent l="0" t="0" r="635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pic:cNvPicPr/>
                  </pic:nvPicPr>
                  <pic:blipFill>
                    <a:blip r:embed="rId11">
                      <a:extLst>
                        <a:ext uri="{28A0092B-C50C-407E-A947-70E740481C1C}">
                          <a14:useLocalDpi xmlns:a14="http://schemas.microsoft.com/office/drawing/2010/main" val="0"/>
                        </a:ext>
                      </a:extLst>
                    </a:blip>
                    <a:stretch>
                      <a:fillRect/>
                    </a:stretch>
                  </pic:blipFill>
                  <pic:spPr>
                    <a:xfrm>
                      <a:off x="0" y="0"/>
                      <a:ext cx="2508250" cy="749300"/>
                    </a:xfrm>
                    <a:prstGeom prst="rect">
                      <a:avLst/>
                    </a:prstGeom>
                  </pic:spPr>
                </pic:pic>
              </a:graphicData>
            </a:graphic>
            <wp14:sizeRelH relativeFrom="page">
              <wp14:pctWidth>0</wp14:pctWidth>
            </wp14:sizeRelH>
            <wp14:sizeRelV relativeFrom="page">
              <wp14:pctHeight>0</wp14:pctHeight>
            </wp14:sizeRelV>
          </wp:anchor>
        </w:drawing>
      </w:r>
    </w:p>
    <w:p w14:paraId="7D7DCE75" w14:textId="73FABD89" w:rsidR="00FA2C6C" w:rsidRDefault="00FA2C6C" w:rsidP="00FA2C6C">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5E666380" w14:textId="77777777" w:rsidR="00FA2C6C" w:rsidRDefault="00FA2C6C" w:rsidP="00FA2C6C">
      <w:pPr>
        <w:spacing w:after="0" w:line="240" w:lineRule="auto"/>
        <w:rPr>
          <w:rFonts w:ascii="Verdana" w:eastAsia="Calibri" w:hAnsi="Verdana" w:cs="Arial"/>
          <w:b/>
          <w:lang w:val="es-ES" w:eastAsia="es-ES"/>
        </w:rPr>
      </w:pPr>
      <w:r>
        <w:rPr>
          <w:rFonts w:ascii="Verdana" w:eastAsia="Calibri" w:hAnsi="Verdana" w:cs="Arial"/>
          <w:b/>
          <w:lang w:val="es-ES" w:eastAsia="es-ES"/>
        </w:rPr>
        <w:t xml:space="preserve">Tatiana Castañeda </w:t>
      </w:r>
      <w:proofErr w:type="spellStart"/>
      <w:r>
        <w:rPr>
          <w:rFonts w:ascii="Verdana" w:eastAsia="Calibri" w:hAnsi="Verdana" w:cs="Arial"/>
          <w:b/>
          <w:lang w:val="es-ES" w:eastAsia="es-ES"/>
        </w:rPr>
        <w:t>Lopez</w:t>
      </w:r>
      <w:proofErr w:type="spellEnd"/>
    </w:p>
    <w:p w14:paraId="19040F3A" w14:textId="77777777" w:rsidR="00FA2C6C" w:rsidRDefault="00FA2C6C" w:rsidP="00FA2C6C">
      <w:pPr>
        <w:spacing w:after="0" w:line="240" w:lineRule="auto"/>
        <w:rPr>
          <w:rFonts w:ascii="ArialMT" w:hAnsi="ArialMT" w:cs="ArialMT"/>
        </w:rPr>
      </w:pPr>
      <w:hyperlink r:id="rId12" w:history="1">
        <w:r w:rsidRPr="004C641C">
          <w:rPr>
            <w:rStyle w:val="Hipervnculo"/>
            <w:rFonts w:ascii="ArialMT" w:hAnsi="ArialMT" w:cs="ArialMT"/>
          </w:rPr>
          <w:t>tatianaclopez29@</w:t>
        </w:r>
      </w:hyperlink>
      <w:r>
        <w:rPr>
          <w:rStyle w:val="Hipervnculo"/>
          <w:rFonts w:ascii="ArialMT" w:hAnsi="ArialMT" w:cs="ArialMT"/>
        </w:rPr>
        <w:t>gmail.com</w:t>
      </w:r>
    </w:p>
    <w:p w14:paraId="4BC8E2DC" w14:textId="77777777" w:rsidR="00FA2C6C" w:rsidRDefault="00FA2C6C" w:rsidP="00FA2C6C">
      <w:pPr>
        <w:spacing w:after="0" w:line="240" w:lineRule="auto"/>
        <w:rPr>
          <w:rFonts w:ascii="ArialMT" w:hAnsi="ArialMT" w:cs="ArialMT"/>
        </w:rPr>
      </w:pPr>
      <w:r w:rsidRPr="00711404">
        <w:rPr>
          <w:rFonts w:ascii="Verdana" w:eastAsia="Calibri" w:hAnsi="Verdana" w:cs="Arial"/>
          <w:lang w:val="es-ES" w:eastAsia="es-ES"/>
        </w:rPr>
        <w:t>Retiro, Antioquia</w:t>
      </w:r>
    </w:p>
    <w:p w14:paraId="74B3F400" w14:textId="77777777" w:rsidR="00FA2C6C" w:rsidRDefault="00FA2C6C" w:rsidP="00FA2C6C">
      <w:pPr>
        <w:spacing w:after="0" w:line="240" w:lineRule="auto"/>
        <w:rPr>
          <w:rFonts w:ascii="Verdana" w:eastAsia="Calibri" w:hAnsi="Verdana" w:cs="Arial"/>
          <w:b/>
          <w:bCs/>
          <w:color w:val="000000"/>
          <w:lang w:val="es-ES_tradnl" w:eastAsia="es-ES_tradnl"/>
        </w:rPr>
      </w:pPr>
    </w:p>
    <w:p w14:paraId="36A49B49" w14:textId="77777777" w:rsidR="00FA2C6C" w:rsidRDefault="00FA2C6C" w:rsidP="00FA2C6C">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FA2C6C" w14:paraId="042D0F48" w14:textId="77777777" w:rsidTr="00A241F4">
        <w:trPr>
          <w:trHeight w:val="218"/>
        </w:trPr>
        <w:tc>
          <w:tcPr>
            <w:tcW w:w="2689" w:type="dxa"/>
          </w:tcPr>
          <w:p w14:paraId="63E61FF3" w14:textId="77777777" w:rsidR="00FA2C6C" w:rsidRDefault="00FA2C6C" w:rsidP="00A241F4">
            <w:pPr>
              <w:jc w:val="both"/>
              <w:rPr>
                <w:rFonts w:ascii="Verdana" w:eastAsia="Calibri" w:hAnsi="Verdana" w:cs="Arial"/>
                <w:b/>
                <w:bCs/>
                <w:color w:val="7030A0"/>
                <w:lang w:val="es-ES_tradnl" w:eastAsia="es-ES_tradnl"/>
              </w:rPr>
            </w:pPr>
          </w:p>
        </w:tc>
        <w:tc>
          <w:tcPr>
            <w:tcW w:w="6100" w:type="dxa"/>
            <w:hideMark/>
          </w:tcPr>
          <w:p w14:paraId="0E64A4B7" w14:textId="77777777" w:rsidR="00FA2C6C" w:rsidRDefault="00FA2C6C" w:rsidP="00A241F4">
            <w:pPr>
              <w:jc w:val="both"/>
              <w:rPr>
                <w:rFonts w:ascii="Verdana" w:eastAsia="Calibri" w:hAnsi="Verdana" w:cs="Arial"/>
                <w:b/>
                <w:bCs/>
                <w:lang w:val="es-ES" w:eastAsia="es-ES"/>
              </w:rPr>
            </w:pPr>
            <w:r>
              <w:rPr>
                <w:rFonts w:ascii="Verdana" w:eastAsia="Calibri" w:hAnsi="Verdana" w:cs="Arial"/>
                <w:b/>
                <w:bCs/>
                <w:lang w:val="es-ES" w:eastAsia="es-ES"/>
              </w:rPr>
              <w:t>Concepto C-1091 de 2025</w:t>
            </w:r>
          </w:p>
          <w:p w14:paraId="460FC87D" w14:textId="77777777" w:rsidR="00FA2C6C" w:rsidRDefault="00FA2C6C" w:rsidP="00A241F4">
            <w:pPr>
              <w:jc w:val="both"/>
              <w:rPr>
                <w:rFonts w:ascii="Verdana" w:eastAsia="Calibri" w:hAnsi="Verdana" w:cs="Arial"/>
                <w:b/>
                <w:bCs/>
                <w:lang w:val="es-ES" w:eastAsia="es-ES"/>
              </w:rPr>
            </w:pPr>
          </w:p>
          <w:p w14:paraId="668B2C3D" w14:textId="77777777" w:rsidR="00FA2C6C" w:rsidRDefault="00FA2C6C" w:rsidP="00A241F4">
            <w:pPr>
              <w:jc w:val="both"/>
              <w:rPr>
                <w:rFonts w:ascii="Verdana" w:eastAsia="Calibri" w:hAnsi="Verdana" w:cs="Arial"/>
                <w:b/>
                <w:bCs/>
                <w:lang w:val="es-ES" w:eastAsia="es-ES"/>
              </w:rPr>
            </w:pPr>
          </w:p>
        </w:tc>
      </w:tr>
      <w:tr w:rsidR="00FA2C6C" w14:paraId="0009A070" w14:textId="77777777" w:rsidTr="00A241F4">
        <w:trPr>
          <w:trHeight w:val="884"/>
        </w:trPr>
        <w:tc>
          <w:tcPr>
            <w:tcW w:w="2689" w:type="dxa"/>
            <w:hideMark/>
          </w:tcPr>
          <w:p w14:paraId="4FAFFEF1" w14:textId="77777777" w:rsidR="00FA2C6C" w:rsidRDefault="00FA2C6C" w:rsidP="00A241F4">
            <w:pPr>
              <w:jc w:val="both"/>
              <w:rPr>
                <w:rFonts w:ascii="Verdana" w:eastAsia="Calibri" w:hAnsi="Verdana" w:cs="Arial"/>
                <w:color w:val="000000"/>
                <w:lang w:val="es-ES_tradnl" w:eastAsia="es-ES_tradnl"/>
              </w:rPr>
            </w:pPr>
            <w:r>
              <w:rPr>
                <w:rFonts w:ascii="Verdana" w:eastAsia="Calibri" w:hAnsi="Verdana" w:cs="Arial"/>
                <w:b/>
                <w:color w:val="000000"/>
                <w:lang w:val="es-ES_tradnl" w:eastAsia="es-ES_tradnl"/>
              </w:rPr>
              <w:t>Temas:</w:t>
            </w:r>
            <w:r>
              <w:rPr>
                <w:rFonts w:ascii="Verdana" w:eastAsia="Calibri" w:hAnsi="Verdana" w:cs="Arial"/>
                <w:color w:val="000000"/>
                <w:lang w:val="es-ES_tradnl" w:eastAsia="es-ES_tradnl"/>
              </w:rPr>
              <w:t xml:space="preserve">                   </w:t>
            </w:r>
          </w:p>
        </w:tc>
        <w:tc>
          <w:tcPr>
            <w:tcW w:w="6100" w:type="dxa"/>
            <w:hideMark/>
          </w:tcPr>
          <w:p w14:paraId="2DD44FD3" w14:textId="77777777" w:rsidR="00FA2C6C" w:rsidRPr="0027034B" w:rsidRDefault="00FA2C6C" w:rsidP="00A241F4">
            <w:pPr>
              <w:jc w:val="both"/>
              <w:rPr>
                <w:rFonts w:ascii="Verdana" w:hAnsi="Verdana" w:cs="Arial"/>
                <w:lang w:val="es-ES" w:eastAsia="es-ES"/>
              </w:rPr>
            </w:pPr>
            <w:r>
              <w:rPr>
                <w:rFonts w:ascii="Verdana" w:hAnsi="Verdana" w:cs="Arial"/>
                <w:lang w:val="es-ES" w:eastAsia="es-ES"/>
              </w:rPr>
              <w:t xml:space="preserve">DECLARATORIA </w:t>
            </w:r>
            <w:r w:rsidRPr="00711404">
              <w:rPr>
                <w:rFonts w:ascii="Verdana" w:hAnsi="Verdana" w:cs="Arial"/>
                <w:lang w:val="es-ES" w:eastAsia="es-ES"/>
              </w:rPr>
              <w:t xml:space="preserve">DESIERTA – Naturaleza – Consecuencias / LIMITACIÓN A MIPYMES – Decreto 1860 de 2021 / </w:t>
            </w:r>
            <w:r w:rsidRPr="00711404">
              <w:rPr>
                <w:rFonts w:ascii="Verdana" w:eastAsia="Calibri" w:hAnsi="Verdana" w:cs="Arial"/>
                <w:lang w:val="es-ES" w:eastAsia="es-ES"/>
              </w:rPr>
              <w:t>CONVOCATORIAS LIMITADAS A MIPYMES EN EL ÁMBITO TERRITORIAL – Limitación territorial – Facultad discrecional</w:t>
            </w:r>
          </w:p>
          <w:p w14:paraId="45071730" w14:textId="77777777" w:rsidR="00FA2C6C" w:rsidRDefault="00FA2C6C" w:rsidP="00A241F4">
            <w:pPr>
              <w:spacing w:line="276" w:lineRule="auto"/>
              <w:jc w:val="both"/>
              <w:rPr>
                <w:rFonts w:ascii="Verdana" w:hAnsi="Verdana" w:cs="Arial"/>
                <w:bCs/>
                <w:lang w:val="es-ES_tradnl" w:eastAsia="es-ES"/>
              </w:rPr>
            </w:pPr>
          </w:p>
          <w:p w14:paraId="3C11557E" w14:textId="77777777" w:rsidR="00FA2C6C" w:rsidRDefault="00FA2C6C" w:rsidP="00A241F4">
            <w:pPr>
              <w:spacing w:line="276" w:lineRule="auto"/>
              <w:jc w:val="both"/>
              <w:rPr>
                <w:rFonts w:ascii="Verdana" w:eastAsia="Calibri" w:hAnsi="Verdana" w:cs="Arial"/>
                <w:lang w:val="es-ES" w:eastAsia="es-ES"/>
              </w:rPr>
            </w:pPr>
          </w:p>
        </w:tc>
      </w:tr>
      <w:tr w:rsidR="00FA2C6C" w14:paraId="74671E1A" w14:textId="77777777" w:rsidTr="00A241F4">
        <w:tc>
          <w:tcPr>
            <w:tcW w:w="2689" w:type="dxa"/>
            <w:hideMark/>
          </w:tcPr>
          <w:p w14:paraId="0C5C9E1D" w14:textId="77777777" w:rsidR="00FA2C6C" w:rsidRDefault="00FA2C6C" w:rsidP="00A241F4">
            <w:pPr>
              <w:jc w:val="both"/>
              <w:rPr>
                <w:rFonts w:ascii="Verdana" w:eastAsia="Calibri" w:hAnsi="Verdana" w:cs="Arial"/>
                <w:b/>
                <w:color w:val="7030A0"/>
                <w:lang w:val="es-ES_tradnl" w:eastAsia="es-ES_tradnl"/>
              </w:rPr>
            </w:pPr>
            <w:r>
              <w:rPr>
                <w:rFonts w:ascii="Verdana" w:eastAsia="Calibri" w:hAnsi="Verdana" w:cs="Arial"/>
                <w:b/>
                <w:lang w:val="es-ES_tradnl" w:eastAsia="es-ES_tradnl"/>
              </w:rPr>
              <w:t>Radicación:</w:t>
            </w:r>
            <w:r>
              <w:rPr>
                <w:rFonts w:ascii="Verdana" w:eastAsia="Calibri" w:hAnsi="Verdana" w:cs="Arial"/>
                <w:lang w:val="es-ES_tradnl" w:eastAsia="es-ES_tradnl"/>
              </w:rPr>
              <w:t xml:space="preserve">               </w:t>
            </w:r>
          </w:p>
        </w:tc>
        <w:tc>
          <w:tcPr>
            <w:tcW w:w="6100" w:type="dxa"/>
          </w:tcPr>
          <w:p w14:paraId="582A8591" w14:textId="77777777" w:rsidR="00FA2C6C" w:rsidRPr="00713796" w:rsidRDefault="00FA2C6C" w:rsidP="00A241F4">
            <w:pPr>
              <w:jc w:val="both"/>
              <w:rPr>
                <w:rFonts w:ascii="Verdana" w:eastAsia="Calibri" w:hAnsi="Verdana" w:cs="Arial"/>
                <w:lang w:val="es-ES_tradnl" w:eastAsia="es-ES_tradnl"/>
              </w:rPr>
            </w:pPr>
            <w:r>
              <w:rPr>
                <w:rFonts w:ascii="Verdana" w:eastAsia="Calibri" w:hAnsi="Verdana" w:cs="Arial"/>
                <w:lang w:val="es-ES_tradnl" w:eastAsia="es-ES_tradnl"/>
              </w:rPr>
              <w:t xml:space="preserve">Respuesta a consulta con radicado No. </w:t>
            </w:r>
            <w:r w:rsidRPr="00711404">
              <w:rPr>
                <w:rFonts w:ascii="Verdana" w:hAnsi="Verdana" w:cs="Calibri"/>
              </w:rPr>
              <w:t>1_2025_08_05_008194</w:t>
            </w:r>
          </w:p>
          <w:p w14:paraId="7252FAA9" w14:textId="77777777" w:rsidR="00FA2C6C" w:rsidRDefault="00FA2C6C" w:rsidP="00A241F4">
            <w:pPr>
              <w:jc w:val="both"/>
              <w:rPr>
                <w:rFonts w:ascii="Verdana" w:eastAsia="Calibri" w:hAnsi="Verdana" w:cs="Arial"/>
                <w:lang w:val="es-ES_tradnl" w:eastAsia="es-ES_tradnl"/>
              </w:rPr>
            </w:pPr>
          </w:p>
        </w:tc>
      </w:tr>
    </w:tbl>
    <w:p w14:paraId="32FABD43" w14:textId="77777777" w:rsidR="00FA2C6C" w:rsidRDefault="00FA2C6C" w:rsidP="00FA2C6C">
      <w:pPr>
        <w:spacing w:after="0" w:line="240" w:lineRule="auto"/>
        <w:jc w:val="both"/>
        <w:rPr>
          <w:rFonts w:ascii="Verdana" w:eastAsia="Calibri" w:hAnsi="Verdana" w:cs="Arial"/>
          <w:color w:val="000000"/>
          <w:lang w:val="es-ES_tradnl" w:eastAsia="es-ES_tradnl"/>
        </w:rPr>
      </w:pPr>
    </w:p>
    <w:p w14:paraId="583B89E2" w14:textId="77777777" w:rsidR="00FA2C6C" w:rsidRDefault="00FA2C6C" w:rsidP="00FA2C6C">
      <w:pPr>
        <w:spacing w:after="0" w:line="240" w:lineRule="auto"/>
        <w:jc w:val="both"/>
        <w:rPr>
          <w:rFonts w:ascii="Verdana" w:eastAsia="Calibri" w:hAnsi="Verdana" w:cs="Arial"/>
          <w:color w:val="000000"/>
          <w:lang w:val="es-ES_tradnl" w:eastAsia="es-ES_tradnl"/>
        </w:rPr>
      </w:pPr>
    </w:p>
    <w:p w14:paraId="7F257512" w14:textId="77777777" w:rsidR="00FA2C6C" w:rsidRDefault="00FA2C6C" w:rsidP="00FA2C6C">
      <w:pPr>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Estimada señora Castañeda,</w:t>
      </w:r>
    </w:p>
    <w:p w14:paraId="5B0928CD" w14:textId="77777777" w:rsidR="00FA2C6C" w:rsidRDefault="00FA2C6C" w:rsidP="00FA2C6C">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096F24A8" w14:textId="77777777" w:rsidR="00FA2C6C" w:rsidRDefault="00FA2C6C" w:rsidP="00FA2C6C">
      <w:pPr>
        <w:spacing w:after="0" w:line="276" w:lineRule="auto"/>
        <w:ind w:right="49"/>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de fecha 05 de </w:t>
      </w:r>
      <w:proofErr w:type="gramStart"/>
      <w:r>
        <w:rPr>
          <w:rFonts w:ascii="Verdana" w:eastAsia="Calibri" w:hAnsi="Verdana" w:cs="Arial"/>
          <w:lang w:val="es-ES" w:eastAsia="es-ES"/>
        </w:rPr>
        <w:t>Agosto</w:t>
      </w:r>
      <w:proofErr w:type="gramEnd"/>
      <w:r>
        <w:rPr>
          <w:rFonts w:ascii="Verdana" w:eastAsia="Calibri" w:hAnsi="Verdana" w:cs="Arial"/>
          <w:lang w:val="es-ES" w:eastAsia="es-ES"/>
        </w:rPr>
        <w:t xml:space="preserve"> de 2025, en la cual manifiesta lo siguiente: </w:t>
      </w:r>
    </w:p>
    <w:p w14:paraId="07DDEEE4" w14:textId="77777777" w:rsidR="00FA2C6C" w:rsidRDefault="00FA2C6C" w:rsidP="00FA2C6C">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68225A99" w14:textId="77777777" w:rsidR="00FA2C6C" w:rsidRDefault="00FA2C6C" w:rsidP="00FA2C6C">
      <w:pPr>
        <w:spacing w:after="0" w:line="240" w:lineRule="auto"/>
        <w:ind w:left="709" w:right="1858"/>
        <w:jc w:val="both"/>
        <w:rPr>
          <w:rStyle w:val="normaltextrun"/>
          <w:rFonts w:ascii="Verdana" w:hAnsi="Verdana" w:cs="Arial"/>
          <w:sz w:val="20"/>
          <w:szCs w:val="20"/>
          <w:shd w:val="clear" w:color="auto" w:fill="FFFFFF"/>
          <w:lang w:val="es-ES"/>
        </w:rPr>
      </w:pPr>
      <w:r>
        <w:rPr>
          <w:rFonts w:ascii="Verdana" w:eastAsia="Century Gothic" w:hAnsi="Verdana" w:cs="Century Gothic"/>
          <w:sz w:val="20"/>
          <w:szCs w:val="20"/>
          <w:lang w:val="es-ES"/>
        </w:rPr>
        <w:t>“</w:t>
      </w:r>
      <w:r w:rsidRPr="009D16E0">
        <w:rPr>
          <w:rFonts w:ascii="Verdana" w:eastAsia="Century Gothic" w:hAnsi="Verdana" w:cs="Century Gothic"/>
          <w:sz w:val="20"/>
          <w:szCs w:val="20"/>
          <w:lang w:val="es-ES"/>
        </w:rPr>
        <w:t>¿Si en un proceso contractual se presentan las dos limitaciones a MIPYMES de</w:t>
      </w:r>
      <w:r>
        <w:rPr>
          <w:rFonts w:ascii="Verdana" w:eastAsia="Century Gothic" w:hAnsi="Verdana" w:cs="Century Gothic"/>
          <w:sz w:val="20"/>
          <w:szCs w:val="20"/>
          <w:lang w:val="es-ES"/>
        </w:rPr>
        <w:t xml:space="preserve"> </w:t>
      </w:r>
      <w:r w:rsidRPr="009D16E0">
        <w:rPr>
          <w:rFonts w:ascii="Verdana" w:eastAsia="Century Gothic" w:hAnsi="Verdana" w:cs="Century Gothic"/>
          <w:sz w:val="20"/>
          <w:szCs w:val="20"/>
          <w:lang w:val="es-ES"/>
        </w:rPr>
        <w:t>carácter territorial, de acuerdo con la normativa vigente, y la entidad decide restringir</w:t>
      </w:r>
      <w:r>
        <w:rPr>
          <w:rFonts w:ascii="Verdana" w:eastAsia="Century Gothic" w:hAnsi="Verdana" w:cs="Century Gothic"/>
          <w:sz w:val="20"/>
          <w:szCs w:val="20"/>
          <w:lang w:val="es-ES"/>
        </w:rPr>
        <w:t xml:space="preserve"> </w:t>
      </w:r>
      <w:r w:rsidRPr="009D16E0">
        <w:rPr>
          <w:rFonts w:ascii="Verdana" w:eastAsia="Century Gothic" w:hAnsi="Verdana" w:cs="Century Gothic"/>
          <w:sz w:val="20"/>
          <w:szCs w:val="20"/>
          <w:lang w:val="es-ES"/>
        </w:rPr>
        <w:t>la participación únicamente a las empresas del municipio donde se desarrollará la</w:t>
      </w:r>
      <w:r>
        <w:rPr>
          <w:rFonts w:ascii="Verdana" w:eastAsia="Century Gothic" w:hAnsi="Verdana" w:cs="Century Gothic"/>
          <w:sz w:val="20"/>
          <w:szCs w:val="20"/>
          <w:lang w:val="es-ES"/>
        </w:rPr>
        <w:t xml:space="preserve"> </w:t>
      </w:r>
      <w:r w:rsidRPr="009D16E0">
        <w:rPr>
          <w:rFonts w:ascii="Verdana" w:eastAsia="Century Gothic" w:hAnsi="Verdana" w:cs="Century Gothic"/>
          <w:sz w:val="20"/>
          <w:szCs w:val="20"/>
          <w:lang w:val="es-ES"/>
        </w:rPr>
        <w:t>actividad, pero tras la apertura y evaluación de las ofertas se evidencia que dichas</w:t>
      </w:r>
      <w:r>
        <w:rPr>
          <w:rFonts w:ascii="Verdana" w:eastAsia="Century Gothic" w:hAnsi="Verdana" w:cs="Century Gothic"/>
          <w:sz w:val="20"/>
          <w:szCs w:val="20"/>
          <w:lang w:val="es-ES"/>
        </w:rPr>
        <w:t xml:space="preserve"> </w:t>
      </w:r>
      <w:r w:rsidRPr="009D16E0">
        <w:rPr>
          <w:rFonts w:ascii="Verdana" w:eastAsia="Century Gothic" w:hAnsi="Verdana" w:cs="Century Gothic"/>
          <w:sz w:val="20"/>
          <w:szCs w:val="20"/>
          <w:lang w:val="es-ES"/>
        </w:rPr>
        <w:t>empresas no cumplen con los requisitos establecidos en el pliego, lo que conlleva</w:t>
      </w:r>
      <w:r>
        <w:rPr>
          <w:rFonts w:ascii="Verdana" w:eastAsia="Century Gothic" w:hAnsi="Verdana" w:cs="Century Gothic"/>
          <w:sz w:val="20"/>
          <w:szCs w:val="20"/>
          <w:lang w:val="es-ES"/>
        </w:rPr>
        <w:t xml:space="preserve"> </w:t>
      </w:r>
      <w:r w:rsidRPr="009D16E0">
        <w:rPr>
          <w:rFonts w:ascii="Verdana" w:eastAsia="Century Gothic" w:hAnsi="Verdana" w:cs="Century Gothic"/>
          <w:sz w:val="20"/>
          <w:szCs w:val="20"/>
          <w:lang w:val="es-ES"/>
        </w:rPr>
        <w:t>a declarar desierto el proceso, en un nuevo proceso contractual, si las mismas</w:t>
      </w:r>
      <w:r>
        <w:rPr>
          <w:rFonts w:ascii="Verdana" w:eastAsia="Century Gothic" w:hAnsi="Verdana" w:cs="Century Gothic"/>
          <w:sz w:val="20"/>
          <w:szCs w:val="20"/>
          <w:lang w:val="es-ES"/>
        </w:rPr>
        <w:t xml:space="preserve"> </w:t>
      </w:r>
      <w:r w:rsidRPr="009D16E0">
        <w:rPr>
          <w:rFonts w:ascii="Verdana" w:eastAsia="Century Gothic" w:hAnsi="Verdana" w:cs="Century Gothic"/>
          <w:sz w:val="20"/>
          <w:szCs w:val="20"/>
          <w:lang w:val="es-ES"/>
        </w:rPr>
        <w:t>empresas solicitan nuevamente la aplicación de la limitación territorial a MIPYMES,</w:t>
      </w:r>
      <w:r>
        <w:rPr>
          <w:rFonts w:ascii="Verdana" w:eastAsia="Century Gothic" w:hAnsi="Verdana" w:cs="Century Gothic"/>
          <w:sz w:val="20"/>
          <w:szCs w:val="20"/>
          <w:lang w:val="es-ES"/>
        </w:rPr>
        <w:t xml:space="preserve"> </w:t>
      </w:r>
      <w:r w:rsidRPr="009D16E0">
        <w:rPr>
          <w:rFonts w:ascii="Verdana" w:eastAsia="Century Gothic" w:hAnsi="Verdana" w:cs="Century Gothic"/>
          <w:sz w:val="20"/>
          <w:szCs w:val="20"/>
          <w:lang w:val="es-ES"/>
        </w:rPr>
        <w:t>puede la entidad restringir nuevamente la participación a las MIPYMES del</w:t>
      </w:r>
      <w:r>
        <w:rPr>
          <w:rFonts w:ascii="Verdana" w:eastAsia="Century Gothic" w:hAnsi="Verdana" w:cs="Century Gothic"/>
          <w:sz w:val="20"/>
          <w:szCs w:val="20"/>
          <w:lang w:val="es-ES"/>
        </w:rPr>
        <w:t xml:space="preserve"> </w:t>
      </w:r>
      <w:r w:rsidRPr="009D16E0">
        <w:rPr>
          <w:rFonts w:ascii="Verdana" w:eastAsia="Century Gothic" w:hAnsi="Verdana" w:cs="Century Gothic"/>
          <w:sz w:val="20"/>
          <w:szCs w:val="20"/>
          <w:lang w:val="es-ES"/>
        </w:rPr>
        <w:t>municipio, o debe dejar el proceso abierto, considerando que ya se les otorgó una</w:t>
      </w:r>
      <w:r>
        <w:rPr>
          <w:rFonts w:ascii="Verdana" w:eastAsia="Century Gothic" w:hAnsi="Verdana" w:cs="Century Gothic"/>
          <w:sz w:val="20"/>
          <w:szCs w:val="20"/>
          <w:lang w:val="es-ES"/>
        </w:rPr>
        <w:t xml:space="preserve"> </w:t>
      </w:r>
      <w:r w:rsidRPr="009D16E0">
        <w:rPr>
          <w:rFonts w:ascii="Verdana" w:eastAsia="Century Gothic" w:hAnsi="Verdana" w:cs="Century Gothic"/>
          <w:sz w:val="20"/>
          <w:szCs w:val="20"/>
          <w:lang w:val="es-ES"/>
        </w:rPr>
        <w:t>oportunidad previa a los oferentes locales?:</w:t>
      </w:r>
      <w:r>
        <w:rPr>
          <w:rStyle w:val="normaltextrun"/>
          <w:rFonts w:ascii="Verdana" w:hAnsi="Verdana" w:cs="Arial"/>
          <w:sz w:val="20"/>
          <w:szCs w:val="20"/>
          <w:shd w:val="clear" w:color="auto" w:fill="FFFFFF"/>
          <w:lang w:val="es-ES"/>
        </w:rPr>
        <w:t>”</w:t>
      </w:r>
    </w:p>
    <w:p w14:paraId="08FA7B26" w14:textId="77777777" w:rsidR="00FA2C6C" w:rsidRDefault="00FA2C6C" w:rsidP="00FA2C6C">
      <w:pPr>
        <w:spacing w:after="0" w:line="240" w:lineRule="auto"/>
        <w:ind w:left="709" w:right="1858"/>
        <w:jc w:val="both"/>
        <w:rPr>
          <w:rStyle w:val="normaltextrun"/>
          <w:rFonts w:ascii="Verdana" w:hAnsi="Verdana" w:cs="Arial"/>
          <w:sz w:val="20"/>
          <w:szCs w:val="20"/>
          <w:shd w:val="clear" w:color="auto" w:fill="FFFFFF"/>
          <w:lang w:val="es-ES"/>
        </w:rPr>
      </w:pPr>
    </w:p>
    <w:p w14:paraId="0C5312EF" w14:textId="77777777" w:rsidR="00FA2C6C" w:rsidRDefault="00FA2C6C" w:rsidP="00FA2C6C">
      <w:pPr>
        <w:spacing w:after="0" w:line="240" w:lineRule="auto"/>
        <w:ind w:left="709" w:right="1858"/>
        <w:jc w:val="both"/>
        <w:rPr>
          <w:rStyle w:val="normaltextrun"/>
          <w:rFonts w:ascii="Verdana" w:hAnsi="Verdana" w:cs="Arial"/>
          <w:sz w:val="20"/>
          <w:szCs w:val="20"/>
          <w:shd w:val="clear" w:color="auto" w:fill="FFFFFF"/>
          <w:lang w:val="es-ES"/>
        </w:rPr>
      </w:pPr>
    </w:p>
    <w:p w14:paraId="6A0A2227" w14:textId="77777777" w:rsidR="00FA2C6C" w:rsidRDefault="00FA2C6C" w:rsidP="00FA2C6C">
      <w:pPr>
        <w:spacing w:after="120" w:line="276" w:lineRule="auto"/>
        <w:ind w:right="49"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21CD2F60" w14:textId="77777777" w:rsidR="00FA2C6C" w:rsidRDefault="00FA2C6C" w:rsidP="00FA2C6C">
      <w:pPr>
        <w:spacing w:after="0" w:line="276" w:lineRule="auto"/>
        <w:ind w:right="49"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579F3D5B" w14:textId="77777777" w:rsidR="00FA2C6C" w:rsidRDefault="00FA2C6C" w:rsidP="00FA2C6C">
      <w:pPr>
        <w:spacing w:after="0" w:line="276" w:lineRule="auto"/>
        <w:ind w:right="49" w:firstLine="709"/>
        <w:jc w:val="both"/>
        <w:rPr>
          <w:rFonts w:ascii="Verdana" w:eastAsia="Calibri" w:hAnsi="Verdana" w:cs="Arial"/>
          <w:color w:val="000000"/>
          <w:lang w:val="es-ES" w:eastAsia="es-ES"/>
        </w:rPr>
      </w:pPr>
    </w:p>
    <w:p w14:paraId="1301B0D7" w14:textId="77777777" w:rsidR="00FA2C6C" w:rsidRDefault="00FA2C6C" w:rsidP="00FA2C6C">
      <w:pPr>
        <w:pStyle w:val="Prrafodelista"/>
        <w:numPr>
          <w:ilvl w:val="0"/>
          <w:numId w:val="16"/>
        </w:numPr>
        <w:tabs>
          <w:tab w:val="left" w:pos="142"/>
          <w:tab w:val="left" w:pos="284"/>
        </w:tabs>
        <w:spacing w:after="0" w:line="276" w:lineRule="auto"/>
        <w:ind w:left="0" w:right="49" w:firstLine="0"/>
        <w:jc w:val="both"/>
        <w:rPr>
          <w:rFonts w:ascii="Verdana" w:eastAsia="Century Gothic" w:hAnsi="Verdana" w:cs="Century Gothic"/>
          <w:b/>
          <w:bCs/>
        </w:rPr>
      </w:pPr>
      <w:r>
        <w:rPr>
          <w:rFonts w:ascii="Verdana" w:eastAsia="Century Gothic" w:hAnsi="Verdana" w:cs="Century Gothic"/>
          <w:b/>
          <w:bCs/>
        </w:rPr>
        <w:t>Problema planteado:</w:t>
      </w:r>
    </w:p>
    <w:p w14:paraId="42E9E758" w14:textId="77777777" w:rsidR="00FA2C6C" w:rsidRDefault="00FA2C6C" w:rsidP="00FA2C6C">
      <w:pPr>
        <w:tabs>
          <w:tab w:val="left" w:pos="426"/>
        </w:tabs>
        <w:spacing w:after="0" w:line="276" w:lineRule="auto"/>
        <w:ind w:right="49"/>
        <w:jc w:val="both"/>
        <w:rPr>
          <w:rFonts w:ascii="Verdana" w:eastAsia="Century Gothic" w:hAnsi="Verdana" w:cs="Century Gothic"/>
          <w:lang w:val="es-ES"/>
        </w:rPr>
      </w:pPr>
    </w:p>
    <w:p w14:paraId="225D0080" w14:textId="77777777" w:rsidR="00FA2C6C" w:rsidRDefault="00FA2C6C" w:rsidP="00FA2C6C">
      <w:pPr>
        <w:spacing w:after="0" w:line="276" w:lineRule="auto"/>
        <w:ind w:right="49"/>
        <w:jc w:val="both"/>
        <w:rPr>
          <w:rFonts w:ascii="Verdana" w:eastAsia="Century Gothic" w:hAnsi="Verdana" w:cs="Century Gothic"/>
        </w:rPr>
      </w:pPr>
      <w:r>
        <w:rPr>
          <w:rFonts w:ascii="Verdana" w:eastAsia="Century Gothic" w:hAnsi="Verdana" w:cs="Century Gothic"/>
        </w:rPr>
        <w:t>De acuerdo con el contenido de su solicitud, esta Agencia resolverá el siguiente problema jurídico: ¿</w:t>
      </w:r>
      <w:r w:rsidRPr="6CB6BBDA">
        <w:rPr>
          <w:rFonts w:ascii="Verdana" w:eastAsia="Century Gothic" w:hAnsi="Verdana" w:cs="Century Gothic"/>
        </w:rPr>
        <w:t>Habiéndose declarado desierto un proceso de selección pública</w:t>
      </w:r>
      <w:r>
        <w:rPr>
          <w:rFonts w:ascii="Verdana" w:eastAsia="Century Gothic" w:hAnsi="Verdana" w:cs="Century Gothic"/>
        </w:rPr>
        <w:t xml:space="preserve"> limitado territorialmente a </w:t>
      </w:r>
      <w:proofErr w:type="spellStart"/>
      <w:r>
        <w:rPr>
          <w:rFonts w:ascii="Verdana" w:eastAsia="Century Gothic" w:hAnsi="Verdana" w:cs="Century Gothic"/>
        </w:rPr>
        <w:t>Mipymes</w:t>
      </w:r>
      <w:proofErr w:type="spellEnd"/>
      <w:r w:rsidRPr="6CB6BBDA">
        <w:rPr>
          <w:rFonts w:ascii="Verdana" w:eastAsia="Century Gothic" w:hAnsi="Verdana" w:cs="Century Gothic"/>
        </w:rPr>
        <w:t xml:space="preserve">, </w:t>
      </w:r>
      <w:r>
        <w:rPr>
          <w:rFonts w:ascii="Verdana" w:eastAsia="Century Gothic" w:hAnsi="Verdana" w:cs="Century Gothic"/>
        </w:rPr>
        <w:t xml:space="preserve">la entidad estatal en el nuevo proceso de selección ante la solicitud reiterada de limitación a </w:t>
      </w:r>
      <w:proofErr w:type="spellStart"/>
      <w:r>
        <w:rPr>
          <w:rFonts w:ascii="Verdana" w:eastAsia="Century Gothic" w:hAnsi="Verdana" w:cs="Century Gothic"/>
        </w:rPr>
        <w:t>Mipymes</w:t>
      </w:r>
      <w:proofErr w:type="spellEnd"/>
      <w:r>
        <w:rPr>
          <w:rFonts w:ascii="Verdana" w:eastAsia="Century Gothic" w:hAnsi="Verdana" w:cs="Century Gothic"/>
        </w:rPr>
        <w:t xml:space="preserve"> territorial puede limitar el proceso o debe dejarlo sin limitación teniendo en cuenta la declaración de desierta que antecede?</w:t>
      </w:r>
    </w:p>
    <w:p w14:paraId="64E8E6B2" w14:textId="77777777" w:rsidR="00FA2C6C" w:rsidRDefault="00FA2C6C" w:rsidP="00FA2C6C">
      <w:pPr>
        <w:spacing w:after="0" w:line="276" w:lineRule="auto"/>
        <w:jc w:val="both"/>
        <w:rPr>
          <w:rFonts w:ascii="Verdana" w:eastAsia="Calibri" w:hAnsi="Verdana" w:cs="Arial"/>
          <w:color w:val="7030A0"/>
          <w:lang w:val="es-ES"/>
        </w:rPr>
      </w:pPr>
    </w:p>
    <w:p w14:paraId="55E71D58" w14:textId="77777777" w:rsidR="00FA2C6C" w:rsidRDefault="00FA2C6C" w:rsidP="00FA2C6C">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Respuesta:</w:t>
      </w:r>
    </w:p>
    <w:p w14:paraId="1E5D9B47" w14:textId="77777777" w:rsidR="00FA2C6C" w:rsidRDefault="00FA2C6C" w:rsidP="00FA2C6C">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FA2C6C" w14:paraId="26C76A35" w14:textId="77777777" w:rsidTr="00A241F4">
        <w:tc>
          <w:tcPr>
            <w:tcW w:w="8828" w:type="dxa"/>
            <w:tcBorders>
              <w:top w:val="dotted" w:sz="4" w:space="0" w:color="auto"/>
              <w:left w:val="dotted" w:sz="4" w:space="0" w:color="auto"/>
              <w:bottom w:val="dotted" w:sz="4" w:space="0" w:color="auto"/>
              <w:right w:val="dotted" w:sz="4" w:space="0" w:color="auto"/>
            </w:tcBorders>
          </w:tcPr>
          <w:p w14:paraId="081AB243" w14:textId="77777777" w:rsidR="00FA2C6C" w:rsidRPr="00CF06CF" w:rsidRDefault="00FA2C6C" w:rsidP="00A241F4">
            <w:pPr>
              <w:spacing w:after="120" w:line="276" w:lineRule="auto"/>
              <w:ind w:firstLine="709"/>
              <w:jc w:val="both"/>
              <w:rPr>
                <w:rFonts w:ascii="Verdana" w:eastAsia="Calibri" w:hAnsi="Verdana" w:cs="Arial"/>
                <w:lang w:val="es-ES"/>
              </w:rPr>
            </w:pPr>
            <w:r w:rsidRPr="6CB6BBDA">
              <w:rPr>
                <w:rFonts w:ascii="Verdana" w:eastAsia="Calibri" w:hAnsi="Verdana" w:cs="Arial"/>
                <w:lang w:val="es-ES"/>
              </w:rPr>
              <w:t xml:space="preserve">La configuración de la declaratoria de desierta de un proceso de selección está prevista en el numeral 18 del artículo 25 de la Ley 80 de 1993, en el marco del principio de economía, la norma dispone que “La declaratoria de desierta de la licitación únicamente procederá por motivos o causas que </w:t>
            </w:r>
            <w:r w:rsidRPr="6CB6BBDA">
              <w:rPr>
                <w:rFonts w:ascii="Verdana" w:eastAsia="Calibri" w:hAnsi="Verdana" w:cs="Arial"/>
                <w:lang w:val="es-ES"/>
              </w:rPr>
              <w:lastRenderedPageBreak/>
              <w:t>impidan la escogencia objetiva y se declarará en acto administrativo en el que se señalarán en forma expresa y detallada las razones que han conducido a esa decisión”.</w:t>
            </w:r>
          </w:p>
          <w:p w14:paraId="0335620D" w14:textId="77777777" w:rsidR="00FA2C6C" w:rsidRPr="0022644E" w:rsidRDefault="00FA2C6C" w:rsidP="00A241F4">
            <w:pPr>
              <w:spacing w:before="120" w:after="120" w:line="276" w:lineRule="auto"/>
              <w:ind w:firstLine="709"/>
              <w:jc w:val="both"/>
              <w:rPr>
                <w:rFonts w:ascii="Verdana" w:eastAsia="Calibri" w:hAnsi="Verdana" w:cs="Arial"/>
                <w:lang w:val="es-ES"/>
              </w:rPr>
            </w:pPr>
            <w:r>
              <w:rPr>
                <w:rFonts w:ascii="Verdana" w:eastAsia="Calibri" w:hAnsi="Verdana" w:cs="Arial"/>
                <w:lang w:val="es-ES"/>
              </w:rPr>
              <w:t>Así, la declaración de desierta</w:t>
            </w:r>
            <w:r w:rsidRPr="5357211F">
              <w:rPr>
                <w:rFonts w:ascii="Verdana" w:eastAsia="Calibri" w:hAnsi="Verdana" w:cs="Arial"/>
                <w:lang w:val="es-ES"/>
              </w:rPr>
              <w:t xml:space="preserve"> se adopta mediante un acto</w:t>
            </w:r>
            <w:r>
              <w:rPr>
                <w:rFonts w:ascii="Verdana" w:eastAsia="Calibri" w:hAnsi="Verdana" w:cs="Arial"/>
                <w:lang w:val="es-ES"/>
              </w:rPr>
              <w:t xml:space="preserve"> administrativo</w:t>
            </w:r>
            <w:r w:rsidRPr="5357211F">
              <w:rPr>
                <w:rFonts w:ascii="Verdana" w:eastAsia="Calibri" w:hAnsi="Verdana" w:cs="Arial"/>
                <w:lang w:val="es-ES"/>
              </w:rPr>
              <w:t xml:space="preserve"> definitivo –no de trámite–, pues con él finaliza el procedimiento contractual, lo que impide su continuación. En efecto, mediante dicho acto la entidad manifiesta su decisión de no adjudicar el contrato, esto es, de no seleccionar a su futuro contratista</w:t>
            </w:r>
            <w:r>
              <w:rPr>
                <w:rFonts w:ascii="Verdana" w:eastAsia="Calibri" w:hAnsi="Verdana" w:cs="Arial"/>
                <w:lang w:val="es-ES"/>
              </w:rPr>
              <w:t xml:space="preserve"> </w:t>
            </w:r>
            <w:r w:rsidRPr="6CB6BBDA">
              <w:rPr>
                <w:rFonts w:ascii="Verdana" w:eastAsia="Calibri" w:hAnsi="Verdana" w:cs="Arial"/>
                <w:color w:val="000000" w:themeColor="text1"/>
                <w:lang w:val="es-ES"/>
              </w:rPr>
              <w:t xml:space="preserve">originado en un procedimiento de selección, por presentarse los supuestos establecidos por el legislador para dicha declaratoria. </w:t>
            </w:r>
            <w:r w:rsidRPr="6CB6BBDA">
              <w:rPr>
                <w:rFonts w:ascii="Verdana" w:eastAsia="Calibri" w:hAnsi="Verdana" w:cs="Arial"/>
                <w:i/>
                <w:color w:val="000000" w:themeColor="text1"/>
              </w:rPr>
              <w:t xml:space="preserve"> </w:t>
            </w:r>
          </w:p>
          <w:p w14:paraId="31FF388F" w14:textId="77777777" w:rsidR="00FA2C6C" w:rsidRPr="009C3FB6" w:rsidRDefault="00FA2C6C" w:rsidP="00A241F4">
            <w:pPr>
              <w:widowControl w:val="0"/>
              <w:autoSpaceDE w:val="0"/>
              <w:autoSpaceDN w:val="0"/>
              <w:spacing w:line="276" w:lineRule="auto"/>
              <w:ind w:firstLine="738"/>
              <w:jc w:val="both"/>
              <w:rPr>
                <w:rFonts w:ascii="Verdana" w:hAnsi="Verdana"/>
              </w:rPr>
            </w:pPr>
            <w:r w:rsidRPr="009C3FB6">
              <w:rPr>
                <w:rFonts w:ascii="Verdana" w:eastAsia="Times New Roman" w:hAnsi="Verdana" w:cs="Arial"/>
                <w:shd w:val="clear" w:color="auto" w:fill="FFFFFF"/>
                <w:lang w:val="es-ES"/>
              </w:rPr>
              <w:t>Ahora bien, u</w:t>
            </w:r>
            <w:proofErr w:type="spellStart"/>
            <w:r w:rsidRPr="009C3FB6">
              <w:rPr>
                <w:rFonts w:ascii="Verdana" w:hAnsi="Verdana"/>
              </w:rPr>
              <w:t>na</w:t>
            </w:r>
            <w:proofErr w:type="spellEnd"/>
            <w:r w:rsidRPr="009C3FB6">
              <w:rPr>
                <w:rFonts w:ascii="Verdana" w:hAnsi="Verdana"/>
              </w:rPr>
              <w:t xml:space="preserve"> vez en firme el acto administrativo mediante el cual una Entidad Estatal</w:t>
            </w:r>
            <w:r w:rsidRPr="009C3FB6">
              <w:rPr>
                <w:rFonts w:ascii="Verdana" w:hAnsi="Verdana"/>
                <w:spacing w:val="-17"/>
              </w:rPr>
              <w:t xml:space="preserve"> </w:t>
            </w:r>
            <w:r w:rsidRPr="009C3FB6">
              <w:rPr>
                <w:rFonts w:ascii="Verdana" w:hAnsi="Verdana"/>
              </w:rPr>
              <w:t>haya</w:t>
            </w:r>
            <w:r w:rsidRPr="009C3FB6">
              <w:rPr>
                <w:rFonts w:ascii="Verdana" w:hAnsi="Verdana"/>
                <w:spacing w:val="-18"/>
              </w:rPr>
              <w:t xml:space="preserve"> </w:t>
            </w:r>
            <w:r w:rsidRPr="009C3FB6">
              <w:rPr>
                <w:rFonts w:ascii="Verdana" w:hAnsi="Verdana"/>
              </w:rPr>
              <w:t>declarado</w:t>
            </w:r>
            <w:r w:rsidRPr="009C3FB6">
              <w:rPr>
                <w:rFonts w:ascii="Verdana" w:hAnsi="Verdana"/>
                <w:spacing w:val="-16"/>
              </w:rPr>
              <w:t xml:space="preserve"> </w:t>
            </w:r>
            <w:r w:rsidRPr="009C3FB6">
              <w:rPr>
                <w:rFonts w:ascii="Verdana" w:hAnsi="Verdana"/>
              </w:rPr>
              <w:t>desierto</w:t>
            </w:r>
            <w:r w:rsidRPr="009C3FB6">
              <w:rPr>
                <w:rFonts w:ascii="Verdana" w:hAnsi="Verdana"/>
                <w:spacing w:val="-17"/>
              </w:rPr>
              <w:t xml:space="preserve"> </w:t>
            </w:r>
            <w:r w:rsidRPr="009C3FB6">
              <w:rPr>
                <w:rFonts w:ascii="Verdana" w:hAnsi="Verdana"/>
              </w:rPr>
              <w:t>un</w:t>
            </w:r>
            <w:r w:rsidRPr="009C3FB6">
              <w:rPr>
                <w:rFonts w:ascii="Verdana" w:hAnsi="Verdana"/>
                <w:spacing w:val="-19"/>
              </w:rPr>
              <w:t xml:space="preserve"> </w:t>
            </w:r>
            <w:r w:rsidRPr="009C3FB6">
              <w:rPr>
                <w:rFonts w:ascii="Verdana" w:hAnsi="Verdana"/>
              </w:rPr>
              <w:t>proceso</w:t>
            </w:r>
            <w:r w:rsidRPr="009C3FB6">
              <w:rPr>
                <w:rFonts w:ascii="Verdana" w:hAnsi="Verdana"/>
                <w:spacing w:val="-17"/>
              </w:rPr>
              <w:t xml:space="preserve"> </w:t>
            </w:r>
            <w:r w:rsidRPr="009C3FB6">
              <w:rPr>
                <w:rFonts w:ascii="Verdana" w:hAnsi="Verdana"/>
              </w:rPr>
              <w:t>de</w:t>
            </w:r>
            <w:r w:rsidRPr="009C3FB6">
              <w:rPr>
                <w:rFonts w:ascii="Verdana" w:hAnsi="Verdana"/>
                <w:spacing w:val="-19"/>
              </w:rPr>
              <w:t xml:space="preserve"> </w:t>
            </w:r>
            <w:r w:rsidRPr="009C3FB6">
              <w:rPr>
                <w:rFonts w:ascii="Verdana" w:hAnsi="Verdana"/>
              </w:rPr>
              <w:t>selección,</w:t>
            </w:r>
            <w:r w:rsidRPr="009C3FB6">
              <w:rPr>
                <w:rFonts w:ascii="Verdana" w:hAnsi="Verdana"/>
                <w:spacing w:val="-19"/>
              </w:rPr>
              <w:t xml:space="preserve"> </w:t>
            </w:r>
            <w:r w:rsidRPr="009C3FB6">
              <w:rPr>
                <w:rFonts w:ascii="Verdana" w:hAnsi="Verdana"/>
              </w:rPr>
              <w:t>la</w:t>
            </w:r>
            <w:r w:rsidRPr="009C3FB6">
              <w:rPr>
                <w:rFonts w:ascii="Verdana" w:hAnsi="Verdana"/>
                <w:spacing w:val="-19"/>
              </w:rPr>
              <w:t xml:space="preserve"> </w:t>
            </w:r>
            <w:r w:rsidRPr="009C3FB6">
              <w:rPr>
                <w:rFonts w:ascii="Verdana" w:hAnsi="Verdana"/>
              </w:rPr>
              <w:t>Entidad</w:t>
            </w:r>
            <w:r w:rsidRPr="009C3FB6">
              <w:rPr>
                <w:rFonts w:ascii="Verdana" w:hAnsi="Verdana"/>
                <w:spacing w:val="-18"/>
              </w:rPr>
              <w:t xml:space="preserve"> </w:t>
            </w:r>
            <w:r w:rsidRPr="009C3FB6">
              <w:rPr>
                <w:rFonts w:ascii="Verdana" w:hAnsi="Verdana"/>
              </w:rPr>
              <w:t>Estatal</w:t>
            </w:r>
            <w:r w:rsidRPr="009C3FB6">
              <w:rPr>
                <w:rFonts w:ascii="Verdana" w:hAnsi="Verdana"/>
                <w:spacing w:val="-17"/>
              </w:rPr>
              <w:t xml:space="preserve"> </w:t>
            </w:r>
            <w:r w:rsidRPr="009C3FB6">
              <w:rPr>
                <w:rFonts w:ascii="Verdana" w:hAnsi="Verdana"/>
              </w:rPr>
              <w:t>podrá considerar la posibilidad de adelantar un nuevo proceso de selección, teniendo en</w:t>
            </w:r>
            <w:r w:rsidRPr="009C3FB6">
              <w:rPr>
                <w:rFonts w:ascii="Verdana" w:hAnsi="Verdana"/>
                <w:spacing w:val="-4"/>
              </w:rPr>
              <w:t xml:space="preserve"> </w:t>
            </w:r>
            <w:r w:rsidRPr="009C3FB6">
              <w:rPr>
                <w:rFonts w:ascii="Verdana" w:hAnsi="Verdana"/>
              </w:rPr>
              <w:t>cuenta</w:t>
            </w:r>
            <w:r w:rsidRPr="009C3FB6">
              <w:rPr>
                <w:rFonts w:ascii="Verdana" w:hAnsi="Verdana"/>
                <w:spacing w:val="-3"/>
              </w:rPr>
              <w:t xml:space="preserve"> </w:t>
            </w:r>
            <w:r w:rsidRPr="009C3FB6">
              <w:rPr>
                <w:rFonts w:ascii="Verdana" w:hAnsi="Verdana"/>
              </w:rPr>
              <w:t>las</w:t>
            </w:r>
            <w:r w:rsidRPr="009C3FB6">
              <w:rPr>
                <w:rFonts w:ascii="Verdana" w:hAnsi="Verdana"/>
                <w:spacing w:val="-4"/>
              </w:rPr>
              <w:t xml:space="preserve"> </w:t>
            </w:r>
            <w:r w:rsidRPr="009C3FB6">
              <w:rPr>
                <w:rFonts w:ascii="Verdana" w:hAnsi="Verdana"/>
              </w:rPr>
              <w:t>cinco</w:t>
            </w:r>
            <w:r w:rsidRPr="009C3FB6">
              <w:rPr>
                <w:rFonts w:ascii="Verdana" w:hAnsi="Verdana"/>
                <w:spacing w:val="-3"/>
              </w:rPr>
              <w:t xml:space="preserve"> </w:t>
            </w:r>
            <w:r w:rsidRPr="009C3FB6">
              <w:rPr>
                <w:rFonts w:ascii="Verdana" w:hAnsi="Verdana"/>
              </w:rPr>
              <w:t>(5)</w:t>
            </w:r>
            <w:r w:rsidRPr="009C3FB6">
              <w:rPr>
                <w:rFonts w:ascii="Verdana" w:hAnsi="Verdana"/>
                <w:spacing w:val="-4"/>
              </w:rPr>
              <w:t xml:space="preserve"> </w:t>
            </w:r>
            <w:r w:rsidRPr="009C3FB6">
              <w:rPr>
                <w:rFonts w:ascii="Verdana" w:hAnsi="Verdana"/>
              </w:rPr>
              <w:t>modalidades</w:t>
            </w:r>
            <w:r w:rsidRPr="009C3FB6">
              <w:rPr>
                <w:rFonts w:ascii="Verdana" w:hAnsi="Verdana"/>
                <w:spacing w:val="-2"/>
              </w:rPr>
              <w:t xml:space="preserve"> </w:t>
            </w:r>
            <w:r w:rsidRPr="009C3FB6">
              <w:rPr>
                <w:rFonts w:ascii="Verdana" w:hAnsi="Verdana"/>
              </w:rPr>
              <w:t>de</w:t>
            </w:r>
            <w:r w:rsidRPr="009C3FB6">
              <w:rPr>
                <w:rFonts w:ascii="Verdana" w:hAnsi="Verdana"/>
                <w:spacing w:val="-5"/>
              </w:rPr>
              <w:t xml:space="preserve"> </w:t>
            </w:r>
            <w:r w:rsidRPr="009C3FB6">
              <w:rPr>
                <w:rFonts w:ascii="Verdana" w:hAnsi="Verdana"/>
              </w:rPr>
              <w:t>selección</w:t>
            </w:r>
            <w:r w:rsidRPr="009C3FB6">
              <w:rPr>
                <w:rFonts w:ascii="Verdana" w:hAnsi="Verdana"/>
                <w:spacing w:val="-2"/>
              </w:rPr>
              <w:t xml:space="preserve"> </w:t>
            </w:r>
            <w:r w:rsidRPr="009C3FB6">
              <w:rPr>
                <w:rFonts w:ascii="Verdana" w:hAnsi="Verdana"/>
              </w:rPr>
              <w:t>previstas</w:t>
            </w:r>
            <w:r w:rsidRPr="009C3FB6">
              <w:rPr>
                <w:rFonts w:ascii="Verdana" w:hAnsi="Verdana"/>
                <w:spacing w:val="-2"/>
              </w:rPr>
              <w:t xml:space="preserve"> </w:t>
            </w:r>
            <w:r w:rsidRPr="009C3FB6">
              <w:rPr>
                <w:rFonts w:ascii="Verdana" w:hAnsi="Verdana"/>
              </w:rPr>
              <w:t>en</w:t>
            </w:r>
            <w:r w:rsidRPr="009C3FB6">
              <w:rPr>
                <w:rFonts w:ascii="Verdana" w:hAnsi="Verdana"/>
                <w:spacing w:val="-4"/>
              </w:rPr>
              <w:t xml:space="preserve"> </w:t>
            </w:r>
            <w:r w:rsidRPr="009C3FB6">
              <w:rPr>
                <w:rFonts w:ascii="Verdana" w:hAnsi="Verdana"/>
              </w:rPr>
              <w:t>el</w:t>
            </w:r>
            <w:r w:rsidRPr="009C3FB6">
              <w:rPr>
                <w:rFonts w:ascii="Verdana" w:hAnsi="Verdana"/>
                <w:spacing w:val="-5"/>
              </w:rPr>
              <w:t xml:space="preserve"> </w:t>
            </w:r>
            <w:r w:rsidRPr="009C3FB6">
              <w:rPr>
                <w:rFonts w:ascii="Verdana" w:hAnsi="Verdana"/>
              </w:rPr>
              <w:t>artículo</w:t>
            </w:r>
            <w:r w:rsidRPr="009C3FB6">
              <w:rPr>
                <w:rFonts w:ascii="Verdana" w:hAnsi="Verdana"/>
                <w:spacing w:val="-2"/>
              </w:rPr>
              <w:t xml:space="preserve"> </w:t>
            </w:r>
            <w:r w:rsidRPr="009C3FB6">
              <w:rPr>
                <w:rFonts w:ascii="Verdana" w:hAnsi="Verdana"/>
              </w:rPr>
              <w:t>2</w:t>
            </w:r>
            <w:r w:rsidRPr="009C3FB6">
              <w:rPr>
                <w:rFonts w:ascii="Verdana" w:hAnsi="Verdana"/>
                <w:spacing w:val="-5"/>
              </w:rPr>
              <w:t xml:space="preserve"> </w:t>
            </w:r>
            <w:r w:rsidRPr="009C3FB6">
              <w:rPr>
                <w:rFonts w:ascii="Verdana" w:hAnsi="Verdana"/>
              </w:rPr>
              <w:t>de</w:t>
            </w:r>
            <w:r w:rsidRPr="009C3FB6">
              <w:rPr>
                <w:rFonts w:ascii="Verdana" w:hAnsi="Verdana"/>
                <w:spacing w:val="-5"/>
              </w:rPr>
              <w:t xml:space="preserve"> </w:t>
            </w:r>
            <w:r w:rsidRPr="009C3FB6">
              <w:rPr>
                <w:rFonts w:ascii="Verdana" w:hAnsi="Verdana"/>
              </w:rPr>
              <w:t>la Ley 1150 de 2007 y sus respectivas causales, respecto de las características particulares del objeto a contratar, las circunstancias de la contratación o la cuantía</w:t>
            </w:r>
            <w:r w:rsidRPr="009C3FB6">
              <w:rPr>
                <w:rFonts w:ascii="Verdana" w:hAnsi="Verdana"/>
                <w:spacing w:val="-8"/>
              </w:rPr>
              <w:t xml:space="preserve"> </w:t>
            </w:r>
            <w:r w:rsidRPr="009C3FB6">
              <w:rPr>
                <w:rFonts w:ascii="Verdana" w:hAnsi="Verdana"/>
              </w:rPr>
              <w:t>o</w:t>
            </w:r>
            <w:r w:rsidRPr="009C3FB6">
              <w:rPr>
                <w:rFonts w:ascii="Verdana" w:hAnsi="Verdana"/>
                <w:spacing w:val="-10"/>
              </w:rPr>
              <w:t xml:space="preserve"> </w:t>
            </w:r>
            <w:r w:rsidRPr="009C3FB6">
              <w:rPr>
                <w:rFonts w:ascii="Verdana" w:hAnsi="Verdana"/>
              </w:rPr>
              <w:t>destinación</w:t>
            </w:r>
            <w:r w:rsidRPr="009C3FB6">
              <w:rPr>
                <w:rFonts w:ascii="Verdana" w:hAnsi="Verdana"/>
                <w:spacing w:val="-6"/>
              </w:rPr>
              <w:t xml:space="preserve"> </w:t>
            </w:r>
            <w:r w:rsidRPr="009C3FB6">
              <w:rPr>
                <w:rFonts w:ascii="Verdana" w:hAnsi="Verdana"/>
              </w:rPr>
              <w:t>del</w:t>
            </w:r>
            <w:r w:rsidRPr="009C3FB6">
              <w:rPr>
                <w:rFonts w:ascii="Verdana" w:hAnsi="Verdana"/>
                <w:spacing w:val="-9"/>
              </w:rPr>
              <w:t xml:space="preserve"> </w:t>
            </w:r>
            <w:r w:rsidRPr="009C3FB6">
              <w:rPr>
                <w:rFonts w:ascii="Verdana" w:hAnsi="Verdana"/>
              </w:rPr>
              <w:t>bien,</w:t>
            </w:r>
            <w:r w:rsidRPr="009C3FB6">
              <w:rPr>
                <w:rFonts w:ascii="Verdana" w:hAnsi="Verdana"/>
                <w:spacing w:val="-8"/>
              </w:rPr>
              <w:t xml:space="preserve"> </w:t>
            </w:r>
            <w:r w:rsidRPr="009C3FB6">
              <w:rPr>
                <w:rFonts w:ascii="Verdana" w:hAnsi="Verdana"/>
              </w:rPr>
              <w:t>obra</w:t>
            </w:r>
            <w:r w:rsidRPr="009C3FB6">
              <w:rPr>
                <w:rFonts w:ascii="Verdana" w:hAnsi="Verdana"/>
                <w:spacing w:val="-9"/>
              </w:rPr>
              <w:t xml:space="preserve"> </w:t>
            </w:r>
            <w:r w:rsidRPr="009C3FB6">
              <w:rPr>
                <w:rFonts w:ascii="Verdana" w:hAnsi="Verdana"/>
              </w:rPr>
              <w:t>o</w:t>
            </w:r>
            <w:r w:rsidRPr="009C3FB6">
              <w:rPr>
                <w:rFonts w:ascii="Verdana" w:hAnsi="Verdana"/>
                <w:spacing w:val="-10"/>
              </w:rPr>
              <w:t xml:space="preserve"> </w:t>
            </w:r>
            <w:r w:rsidRPr="009C3FB6">
              <w:rPr>
                <w:rFonts w:ascii="Verdana" w:hAnsi="Verdana"/>
              </w:rPr>
              <w:t>servicio,</w:t>
            </w:r>
            <w:r w:rsidRPr="009C3FB6">
              <w:rPr>
                <w:rFonts w:ascii="Verdana" w:hAnsi="Verdana"/>
                <w:spacing w:val="-7"/>
              </w:rPr>
              <w:t xml:space="preserve"> </w:t>
            </w:r>
            <w:r w:rsidRPr="009C3FB6">
              <w:rPr>
                <w:rFonts w:ascii="Verdana" w:hAnsi="Verdana"/>
              </w:rPr>
              <w:t>que</w:t>
            </w:r>
            <w:r w:rsidRPr="009C3FB6">
              <w:rPr>
                <w:rFonts w:ascii="Verdana" w:hAnsi="Verdana"/>
                <w:spacing w:val="-9"/>
              </w:rPr>
              <w:t xml:space="preserve"> </w:t>
            </w:r>
            <w:r w:rsidRPr="009C3FB6">
              <w:rPr>
                <w:rFonts w:ascii="Verdana" w:hAnsi="Verdana"/>
              </w:rPr>
              <w:t>justifican</w:t>
            </w:r>
            <w:r w:rsidRPr="009C3FB6">
              <w:rPr>
                <w:rFonts w:ascii="Verdana" w:hAnsi="Verdana"/>
                <w:spacing w:val="-6"/>
              </w:rPr>
              <w:t xml:space="preserve"> </w:t>
            </w:r>
            <w:r w:rsidRPr="009C3FB6">
              <w:rPr>
                <w:rFonts w:ascii="Verdana" w:hAnsi="Verdana"/>
              </w:rPr>
              <w:t>la</w:t>
            </w:r>
            <w:r w:rsidRPr="009C3FB6">
              <w:rPr>
                <w:rFonts w:ascii="Verdana" w:hAnsi="Verdana"/>
                <w:spacing w:val="-9"/>
              </w:rPr>
              <w:t xml:space="preserve"> </w:t>
            </w:r>
            <w:r w:rsidRPr="009C3FB6">
              <w:rPr>
                <w:rFonts w:ascii="Verdana" w:hAnsi="Verdana"/>
              </w:rPr>
              <w:t>selección</w:t>
            </w:r>
            <w:r w:rsidRPr="009C3FB6">
              <w:rPr>
                <w:rFonts w:ascii="Verdana" w:hAnsi="Verdana"/>
                <w:spacing w:val="-6"/>
              </w:rPr>
              <w:t xml:space="preserve"> </w:t>
            </w:r>
            <w:r w:rsidRPr="009C3FB6">
              <w:rPr>
                <w:rFonts w:ascii="Verdana" w:hAnsi="Verdana"/>
              </w:rPr>
              <w:t>de</w:t>
            </w:r>
            <w:r w:rsidRPr="009C3FB6">
              <w:rPr>
                <w:rFonts w:ascii="Verdana" w:hAnsi="Verdana"/>
                <w:spacing w:val="-9"/>
              </w:rPr>
              <w:t xml:space="preserve"> </w:t>
            </w:r>
            <w:r w:rsidRPr="009C3FB6">
              <w:rPr>
                <w:rFonts w:ascii="Verdana" w:hAnsi="Verdana"/>
              </w:rPr>
              <w:t>una u otra modalidad de contratación especifica, que en todo caso debe estar siempre acorde a la Ley.</w:t>
            </w:r>
            <w:r>
              <w:rPr>
                <w:rFonts w:ascii="Verdana" w:hAnsi="Verdana"/>
              </w:rPr>
              <w:t xml:space="preserve"> </w:t>
            </w:r>
            <w:r w:rsidRPr="009C3FB6">
              <w:rPr>
                <w:rFonts w:ascii="Verdana" w:hAnsi="Verdana"/>
              </w:rPr>
              <w:t>Para</w:t>
            </w:r>
            <w:r w:rsidRPr="009C3FB6">
              <w:rPr>
                <w:rFonts w:ascii="Verdana" w:hAnsi="Verdana"/>
                <w:spacing w:val="-6"/>
              </w:rPr>
              <w:t xml:space="preserve"> </w:t>
            </w:r>
            <w:r w:rsidRPr="009C3FB6">
              <w:rPr>
                <w:rFonts w:ascii="Verdana" w:hAnsi="Verdana"/>
              </w:rPr>
              <w:t>estos</w:t>
            </w:r>
            <w:r w:rsidRPr="009C3FB6">
              <w:rPr>
                <w:rFonts w:ascii="Verdana" w:hAnsi="Verdana"/>
                <w:spacing w:val="-6"/>
              </w:rPr>
              <w:t xml:space="preserve"> </w:t>
            </w:r>
            <w:r w:rsidRPr="009C3FB6">
              <w:rPr>
                <w:rFonts w:ascii="Verdana" w:hAnsi="Verdana"/>
              </w:rPr>
              <w:t>casos, se</w:t>
            </w:r>
            <w:r w:rsidRPr="009C3FB6">
              <w:rPr>
                <w:rFonts w:ascii="Verdana" w:hAnsi="Verdana"/>
                <w:spacing w:val="-15"/>
              </w:rPr>
              <w:t xml:space="preserve"> </w:t>
            </w:r>
            <w:r w:rsidRPr="009C3FB6">
              <w:rPr>
                <w:rFonts w:ascii="Verdana" w:hAnsi="Verdana"/>
              </w:rPr>
              <w:t>recomienda</w:t>
            </w:r>
            <w:r w:rsidRPr="009C3FB6">
              <w:rPr>
                <w:rFonts w:ascii="Verdana" w:hAnsi="Verdana"/>
                <w:spacing w:val="-12"/>
              </w:rPr>
              <w:t xml:space="preserve"> </w:t>
            </w:r>
            <w:r w:rsidRPr="009C3FB6">
              <w:rPr>
                <w:rFonts w:ascii="Verdana" w:hAnsi="Verdana"/>
              </w:rPr>
              <w:t>que</w:t>
            </w:r>
            <w:r w:rsidRPr="009C3FB6">
              <w:rPr>
                <w:rFonts w:ascii="Verdana" w:hAnsi="Verdana"/>
                <w:spacing w:val="-14"/>
              </w:rPr>
              <w:t xml:space="preserve"> </w:t>
            </w:r>
            <w:r w:rsidRPr="009C3FB6">
              <w:rPr>
                <w:rFonts w:ascii="Verdana" w:hAnsi="Verdana"/>
              </w:rPr>
              <w:t>las</w:t>
            </w:r>
            <w:r w:rsidRPr="009C3FB6">
              <w:rPr>
                <w:rFonts w:ascii="Verdana" w:hAnsi="Verdana"/>
                <w:spacing w:val="-14"/>
              </w:rPr>
              <w:t xml:space="preserve"> </w:t>
            </w:r>
            <w:r w:rsidRPr="009C3FB6">
              <w:rPr>
                <w:rFonts w:ascii="Verdana" w:hAnsi="Verdana"/>
              </w:rPr>
              <w:t>Entidades</w:t>
            </w:r>
            <w:r w:rsidRPr="009C3FB6">
              <w:rPr>
                <w:rFonts w:ascii="Verdana" w:hAnsi="Verdana"/>
                <w:spacing w:val="-13"/>
              </w:rPr>
              <w:t xml:space="preserve"> </w:t>
            </w:r>
            <w:r w:rsidRPr="009C3FB6">
              <w:rPr>
                <w:rFonts w:ascii="Verdana" w:hAnsi="Verdana"/>
              </w:rPr>
              <w:t>Estatales</w:t>
            </w:r>
            <w:r w:rsidRPr="009C3FB6">
              <w:rPr>
                <w:rFonts w:ascii="Verdana" w:hAnsi="Verdana"/>
                <w:spacing w:val="-13"/>
              </w:rPr>
              <w:t xml:space="preserve"> </w:t>
            </w:r>
            <w:r w:rsidRPr="009C3FB6">
              <w:rPr>
                <w:rFonts w:ascii="Verdana" w:hAnsi="Verdana"/>
              </w:rPr>
              <w:t>revisen</w:t>
            </w:r>
            <w:r w:rsidRPr="009C3FB6">
              <w:rPr>
                <w:rFonts w:ascii="Verdana" w:hAnsi="Verdana"/>
                <w:spacing w:val="-15"/>
              </w:rPr>
              <w:t xml:space="preserve"> </w:t>
            </w:r>
            <w:r w:rsidRPr="009C3FB6">
              <w:rPr>
                <w:rFonts w:ascii="Verdana" w:hAnsi="Verdana"/>
              </w:rPr>
              <w:t>los</w:t>
            </w:r>
            <w:r w:rsidRPr="009C3FB6">
              <w:rPr>
                <w:rFonts w:ascii="Verdana" w:hAnsi="Verdana"/>
                <w:spacing w:val="-15"/>
              </w:rPr>
              <w:t xml:space="preserve"> </w:t>
            </w:r>
            <w:r w:rsidRPr="009C3FB6">
              <w:rPr>
                <w:rFonts w:ascii="Verdana" w:hAnsi="Verdana"/>
              </w:rPr>
              <w:t>factores</w:t>
            </w:r>
            <w:r w:rsidRPr="009C3FB6">
              <w:rPr>
                <w:rFonts w:ascii="Verdana" w:hAnsi="Verdana"/>
                <w:spacing w:val="-13"/>
              </w:rPr>
              <w:t xml:space="preserve"> </w:t>
            </w:r>
            <w:r w:rsidRPr="009C3FB6">
              <w:rPr>
                <w:rFonts w:ascii="Verdana" w:hAnsi="Verdana"/>
              </w:rPr>
              <w:t>que</w:t>
            </w:r>
            <w:r w:rsidRPr="009C3FB6">
              <w:rPr>
                <w:rFonts w:ascii="Verdana" w:hAnsi="Verdana"/>
                <w:spacing w:val="-14"/>
              </w:rPr>
              <w:t xml:space="preserve"> </w:t>
            </w:r>
            <w:r w:rsidRPr="009C3FB6">
              <w:rPr>
                <w:rFonts w:ascii="Verdana" w:hAnsi="Verdana"/>
              </w:rPr>
              <w:t>pueden</w:t>
            </w:r>
            <w:r w:rsidRPr="009C3FB6">
              <w:rPr>
                <w:rFonts w:ascii="Verdana" w:hAnsi="Verdana"/>
                <w:spacing w:val="-13"/>
              </w:rPr>
              <w:t xml:space="preserve"> </w:t>
            </w:r>
            <w:r w:rsidRPr="009C3FB6">
              <w:rPr>
                <w:rFonts w:ascii="Verdana" w:hAnsi="Verdana"/>
              </w:rPr>
              <w:t>estar afectando la participación en el procedimiento o las causas por las cuales los oferentes no están cumpliendo con los requisitos señalados en los Pliegos de Condiciones, con el fin de corregir los posibles obstáculos que conllevaron a la declaratoria de desierta.</w:t>
            </w:r>
          </w:p>
          <w:p w14:paraId="27298365" w14:textId="77777777" w:rsidR="00FA2C6C" w:rsidRDefault="00FA2C6C" w:rsidP="00A241F4">
            <w:pPr>
              <w:spacing w:line="276" w:lineRule="auto"/>
              <w:ind w:right="49" w:firstLine="708"/>
              <w:jc w:val="both"/>
              <w:rPr>
                <w:rFonts w:ascii="Verdana" w:hAnsi="Verdana" w:cs="Arial"/>
                <w:color w:val="000000" w:themeColor="text1"/>
              </w:rPr>
            </w:pPr>
            <w:r w:rsidRPr="009C3FB6">
              <w:rPr>
                <w:rFonts w:ascii="Verdana" w:hAnsi="Verdana"/>
              </w:rPr>
              <w:t xml:space="preserve">En caso de que en </w:t>
            </w:r>
            <w:r w:rsidRPr="6CB6BBDA">
              <w:rPr>
                <w:rFonts w:ascii="Verdana" w:hAnsi="Verdana"/>
              </w:rPr>
              <w:t>el</w:t>
            </w:r>
            <w:r w:rsidRPr="009C3FB6">
              <w:rPr>
                <w:rFonts w:ascii="Verdana" w:hAnsi="Verdana"/>
              </w:rPr>
              <w:t xml:space="preserve"> nuevo proceso </w:t>
            </w:r>
            <w:r w:rsidRPr="6CB6BBDA">
              <w:rPr>
                <w:rFonts w:ascii="Verdana" w:hAnsi="Verdana"/>
              </w:rPr>
              <w:t xml:space="preserve">que se llegue a </w:t>
            </w:r>
            <w:proofErr w:type="spellStart"/>
            <w:r w:rsidRPr="6CB6BBDA">
              <w:rPr>
                <w:rFonts w:ascii="Verdana" w:hAnsi="Verdana"/>
              </w:rPr>
              <w:t>aperturar</w:t>
            </w:r>
            <w:proofErr w:type="spellEnd"/>
            <w:r w:rsidRPr="6CB6BBDA">
              <w:rPr>
                <w:rFonts w:ascii="Verdana" w:hAnsi="Verdana"/>
              </w:rPr>
              <w:t xml:space="preserve"> a consecuencia de la declaratoria de desierto de uno anterior, </w:t>
            </w:r>
            <w:r w:rsidRPr="009C3FB6">
              <w:rPr>
                <w:rFonts w:ascii="Verdana" w:hAnsi="Verdana"/>
              </w:rPr>
              <w:t xml:space="preserve">se presenten solicitudes de limitación a </w:t>
            </w:r>
            <w:proofErr w:type="spellStart"/>
            <w:r w:rsidRPr="009C3FB6">
              <w:rPr>
                <w:rFonts w:ascii="Verdana" w:hAnsi="Verdana"/>
              </w:rPr>
              <w:t>mipymes</w:t>
            </w:r>
            <w:proofErr w:type="spellEnd"/>
            <w:r w:rsidRPr="009C3FB6">
              <w:rPr>
                <w:rFonts w:ascii="Verdana" w:hAnsi="Verdana"/>
              </w:rPr>
              <w:t>,</w:t>
            </w:r>
            <w:r w:rsidRPr="009C3FB6">
              <w:rPr>
                <w:rFonts w:ascii="Verdana" w:eastAsia="Calibri" w:hAnsi="Verdana" w:cs="Arial"/>
                <w:color w:val="000000" w:themeColor="text1"/>
              </w:rPr>
              <w:t xml:space="preserve"> para que proceda dicha limitación la entidad </w:t>
            </w:r>
            <w:r w:rsidRPr="6CB6BBDA">
              <w:rPr>
                <w:rFonts w:ascii="Verdana" w:eastAsia="Calibri" w:hAnsi="Verdana" w:cs="Arial"/>
                <w:color w:val="000000" w:themeColor="text1"/>
              </w:rPr>
              <w:t xml:space="preserve">en el nuevo proceso, </w:t>
            </w:r>
            <w:r w:rsidRPr="009C3FB6">
              <w:rPr>
                <w:rFonts w:ascii="Verdana" w:eastAsia="Calibri" w:hAnsi="Verdana" w:cs="Arial"/>
                <w:color w:val="000000" w:themeColor="text1"/>
              </w:rPr>
              <w:t xml:space="preserve">debe verificar el cumplimiento de </w:t>
            </w:r>
            <w:r w:rsidRPr="009C3FB6">
              <w:rPr>
                <w:rFonts w:ascii="Verdana" w:eastAsia="Arial" w:hAnsi="Verdana" w:cs="Arial"/>
                <w:color w:val="000000" w:themeColor="text1"/>
              </w:rPr>
              <w:t>los requisitos establecidos en los numerales 1 y 2 del artículo 2.2.1.2.4.2.2 del Decreto 1082 de 2015, modificado por el Decreto 1860 de 2021</w:t>
            </w:r>
            <w:r>
              <w:rPr>
                <w:rFonts w:ascii="Verdana" w:eastAsia="Arial" w:hAnsi="Verdana" w:cs="Arial"/>
                <w:color w:val="000000" w:themeColor="text1"/>
              </w:rPr>
              <w:t xml:space="preserve">. </w:t>
            </w:r>
            <w:r w:rsidRPr="00D804ED">
              <w:rPr>
                <w:rFonts w:ascii="Verdana" w:hAnsi="Verdana" w:cs="Arial"/>
                <w:color w:val="000000" w:themeColor="text1"/>
              </w:rPr>
              <w:t xml:space="preserve">Cumplidos los dos requisitos del artículo 2.2.1.2.4.2.2 </w:t>
            </w:r>
            <w:proofErr w:type="spellStart"/>
            <w:r w:rsidRPr="00D804ED">
              <w:rPr>
                <w:rFonts w:ascii="Verdana" w:hAnsi="Verdana" w:cs="Arial"/>
                <w:i/>
                <w:iCs/>
                <w:color w:val="000000" w:themeColor="text1"/>
              </w:rPr>
              <w:t>ibídem</w:t>
            </w:r>
            <w:proofErr w:type="spellEnd"/>
            <w:r w:rsidRPr="00D804ED">
              <w:rPr>
                <w:rFonts w:ascii="Verdana" w:hAnsi="Verdana" w:cs="Arial"/>
                <w:color w:val="000000" w:themeColor="text1"/>
              </w:rPr>
              <w:t>,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que se ejecutará el contrato.</w:t>
            </w:r>
          </w:p>
          <w:p w14:paraId="7EA28212" w14:textId="77777777" w:rsidR="00FA2C6C" w:rsidRDefault="00FA2C6C" w:rsidP="00A241F4">
            <w:pPr>
              <w:widowControl w:val="0"/>
              <w:autoSpaceDE w:val="0"/>
              <w:autoSpaceDN w:val="0"/>
              <w:spacing w:line="276" w:lineRule="auto"/>
              <w:ind w:right="176" w:firstLine="738"/>
              <w:jc w:val="both"/>
              <w:rPr>
                <w:rFonts w:ascii="Verdana" w:hAnsi="Verdana"/>
              </w:rPr>
            </w:pPr>
            <w:r w:rsidRPr="00F07825">
              <w:rPr>
                <w:rFonts w:ascii="Verdana" w:hAnsi="Verdana"/>
              </w:rPr>
              <w:lastRenderedPageBreak/>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B64D836" w14:textId="77777777" w:rsidR="00FA2C6C" w:rsidRDefault="00FA2C6C" w:rsidP="00A241F4">
            <w:pPr>
              <w:spacing w:line="276" w:lineRule="auto"/>
              <w:jc w:val="both"/>
              <w:rPr>
                <w:rFonts w:ascii="Verdana" w:eastAsia="Calibri" w:hAnsi="Verdana" w:cs="Arial"/>
                <w:color w:val="7030A0"/>
                <w:lang w:val="es-ES"/>
              </w:rPr>
            </w:pPr>
          </w:p>
        </w:tc>
      </w:tr>
    </w:tbl>
    <w:p w14:paraId="4B423DE2" w14:textId="77777777" w:rsidR="00FA2C6C" w:rsidRDefault="00FA2C6C" w:rsidP="00FA2C6C">
      <w:pPr>
        <w:tabs>
          <w:tab w:val="left" w:pos="142"/>
          <w:tab w:val="left" w:pos="284"/>
        </w:tabs>
        <w:spacing w:after="0" w:line="276" w:lineRule="auto"/>
        <w:jc w:val="both"/>
        <w:rPr>
          <w:rFonts w:ascii="Verdana" w:eastAsia="Century Gothic" w:hAnsi="Verdana" w:cs="Century Gothic"/>
          <w:b/>
          <w:bCs/>
          <w:lang w:val="es-ES"/>
        </w:rPr>
      </w:pPr>
    </w:p>
    <w:p w14:paraId="474CDDA5" w14:textId="77777777" w:rsidR="00FA2C6C" w:rsidRDefault="00FA2C6C" w:rsidP="00FA2C6C">
      <w:pPr>
        <w:tabs>
          <w:tab w:val="left" w:pos="142"/>
          <w:tab w:val="left" w:pos="284"/>
        </w:tabs>
        <w:spacing w:after="0" w:line="276" w:lineRule="auto"/>
        <w:jc w:val="both"/>
        <w:rPr>
          <w:rFonts w:ascii="Verdana" w:eastAsia="Century Gothic" w:hAnsi="Verdana" w:cs="Century Gothic"/>
          <w:b/>
          <w:bCs/>
          <w:lang w:val="es-ES"/>
        </w:rPr>
      </w:pPr>
    </w:p>
    <w:p w14:paraId="6ADFD4E9" w14:textId="77777777" w:rsidR="00FA2C6C" w:rsidRDefault="00FA2C6C" w:rsidP="00FA2C6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27F7E3E9" w14:textId="77777777" w:rsidR="00FA2C6C" w:rsidRDefault="00FA2C6C" w:rsidP="00FA2C6C">
      <w:pPr>
        <w:spacing w:after="0" w:line="276" w:lineRule="auto"/>
        <w:jc w:val="both"/>
        <w:rPr>
          <w:rFonts w:ascii="Verdana" w:eastAsia="Calibri" w:hAnsi="Verdana" w:cs="Arial"/>
          <w:color w:val="7030A0"/>
          <w:lang w:val="es-ES"/>
        </w:rPr>
      </w:pPr>
    </w:p>
    <w:p w14:paraId="6BEF1F75" w14:textId="77777777" w:rsidR="00FA2C6C" w:rsidRDefault="00FA2C6C" w:rsidP="00FA2C6C">
      <w:pPr>
        <w:spacing w:after="0" w:line="276" w:lineRule="auto"/>
        <w:ind w:right="49"/>
        <w:jc w:val="both"/>
        <w:rPr>
          <w:rFonts w:ascii="Verdana" w:eastAsia="Calibri" w:hAnsi="Verdana" w:cs="Arial"/>
          <w:lang w:val="es-ES"/>
        </w:rPr>
      </w:pPr>
      <w:r>
        <w:rPr>
          <w:rFonts w:ascii="Verdana" w:eastAsia="Calibri" w:hAnsi="Verdana" w:cs="Arial"/>
          <w:lang w:val="es-ES"/>
        </w:rPr>
        <w:t xml:space="preserve">Lo anterior se sustenta en las siguientes consideraciones: </w:t>
      </w:r>
    </w:p>
    <w:p w14:paraId="4F96C616" w14:textId="77777777" w:rsidR="00FA2C6C" w:rsidRDefault="00FA2C6C" w:rsidP="00FA2C6C">
      <w:pPr>
        <w:spacing w:after="0" w:line="276" w:lineRule="auto"/>
        <w:ind w:right="49"/>
        <w:jc w:val="both"/>
        <w:rPr>
          <w:rFonts w:ascii="Verdana" w:eastAsia="Calibri" w:hAnsi="Verdana" w:cs="Arial"/>
          <w:lang w:val="es-ES"/>
        </w:rPr>
      </w:pPr>
    </w:p>
    <w:p w14:paraId="663A1A20" w14:textId="77777777" w:rsidR="00FA2C6C" w:rsidRPr="00D804ED" w:rsidRDefault="00FA2C6C" w:rsidP="00FA2C6C">
      <w:pPr>
        <w:spacing w:after="0" w:line="276" w:lineRule="auto"/>
        <w:jc w:val="both"/>
        <w:rPr>
          <w:rFonts w:ascii="Verdana" w:eastAsia="Calibri" w:hAnsi="Verdana" w:cs="Arial"/>
        </w:rPr>
      </w:pPr>
      <w:r w:rsidRPr="00D804ED">
        <w:rPr>
          <w:rFonts w:ascii="Verdana" w:eastAsia="Calibri" w:hAnsi="Verdana" w:cs="Arial"/>
          <w:lang w:val="es-ES"/>
        </w:rPr>
        <w:t xml:space="preserve">La limitación territorial de las convocatorias a MiPymes encuentra su fundamento legal en el </w:t>
      </w:r>
      <w:r w:rsidRPr="00D804ED">
        <w:rPr>
          <w:rFonts w:ascii="Verdana" w:hAnsi="Verdana" w:cs="Arial"/>
        </w:rPr>
        <w:t xml:space="preserve">artículo </w:t>
      </w:r>
      <w:r w:rsidRPr="00D804ED">
        <w:rPr>
          <w:rFonts w:ascii="Verdana" w:eastAsia="Calibri" w:hAnsi="Verdana" w:cs="Arial"/>
        </w:rPr>
        <w:t>2.2.1.2.4.2.3 del Decreto 1082 de 2015, modificado por el artículo 5 del Decreto 1860 de 2021, como sigue:</w:t>
      </w:r>
    </w:p>
    <w:p w14:paraId="5E091930" w14:textId="77777777" w:rsidR="00FA2C6C" w:rsidRPr="00D804ED" w:rsidRDefault="00FA2C6C" w:rsidP="00FA2C6C">
      <w:pPr>
        <w:spacing w:after="0" w:line="276" w:lineRule="auto"/>
        <w:jc w:val="both"/>
        <w:rPr>
          <w:rFonts w:ascii="Verdana" w:eastAsia="Calibri" w:hAnsi="Verdana" w:cs="Arial"/>
        </w:rPr>
      </w:pPr>
    </w:p>
    <w:p w14:paraId="1E181EEE" w14:textId="77777777" w:rsidR="00FA2C6C" w:rsidRPr="00D804ED" w:rsidRDefault="00FA2C6C" w:rsidP="00FA2C6C">
      <w:pPr>
        <w:spacing w:after="0" w:line="240" w:lineRule="auto"/>
        <w:ind w:left="708" w:right="616" w:firstLine="62"/>
        <w:jc w:val="both"/>
        <w:rPr>
          <w:rFonts w:ascii="Verdana" w:eastAsia="Calibri" w:hAnsi="Verdana" w:cs="Arial"/>
          <w:sz w:val="20"/>
          <w:szCs w:val="20"/>
        </w:rPr>
      </w:pPr>
      <w:r w:rsidRPr="1042AEF4">
        <w:rPr>
          <w:rStyle w:val="Textoennegrita"/>
          <w:rFonts w:ascii="Verdana" w:hAnsi="Verdana" w:cs="Arial"/>
          <w:color w:val="000000" w:themeColor="text1"/>
          <w:sz w:val="20"/>
          <w:szCs w:val="20"/>
        </w:rPr>
        <w:t>Limitaciones territoriales. </w:t>
      </w:r>
      <w:r w:rsidRPr="1042AEF4">
        <w:rPr>
          <w:rFonts w:ascii="Verdana" w:hAnsi="Verdana" w:cs="Arial"/>
          <w:color w:val="000000" w:themeColor="text1"/>
          <w:sz w:val="20"/>
          <w:szCs w:val="20"/>
        </w:rPr>
        <w:t xml:space="preserve">De conformidad con el parágrafo 1 del artículo 12 de la Ley 1150 de 2007, las Entidades Estatales, independientemente de su régimen de contratación, los patrimonios autónomos constituidos por Entidades Estatales y los particulares que ejecuten recursos públicos, </w:t>
      </w:r>
      <w:r w:rsidRPr="1042AEF4">
        <w:rPr>
          <w:rFonts w:ascii="Verdana" w:hAnsi="Verdana" w:cs="Arial"/>
          <w:b/>
          <w:color w:val="000000" w:themeColor="text1"/>
          <w:sz w:val="20"/>
          <w:szCs w:val="20"/>
          <w:u w:val="single"/>
        </w:rPr>
        <w:t>pueden</w:t>
      </w:r>
      <w:r w:rsidRPr="1042AEF4">
        <w:rPr>
          <w:rFonts w:ascii="Verdana" w:hAnsi="Verdana" w:cs="Arial"/>
          <w:color w:val="000000" w:themeColor="text1"/>
          <w:sz w:val="20"/>
          <w:szCs w:val="20"/>
        </w:rPr>
        <w:t xml:space="preserve"> realizar convocatorias limitadas a </w:t>
      </w:r>
      <w:proofErr w:type="spellStart"/>
      <w:r w:rsidRPr="1042AEF4">
        <w:rPr>
          <w:rFonts w:ascii="Verdana" w:hAnsi="Verdana" w:cs="Arial"/>
          <w:color w:val="000000" w:themeColor="text1"/>
          <w:sz w:val="20"/>
          <w:szCs w:val="20"/>
        </w:rPr>
        <w:t>Mipyme</w:t>
      </w:r>
      <w:proofErr w:type="spellEnd"/>
      <w:r w:rsidRPr="1042AEF4">
        <w:rPr>
          <w:rFonts w:ascii="Verdana" w:hAnsi="Verdana" w:cs="Arial"/>
          <w:color w:val="000000" w:themeColor="text1"/>
          <w:sz w:val="20"/>
          <w:szCs w:val="20"/>
        </w:rPr>
        <w:t xml:space="preserve"> colombianas que tengan domicilio en los departamentos o municipios en donde se va a ejecutar el contrato. Cada </w:t>
      </w:r>
      <w:proofErr w:type="spellStart"/>
      <w:r w:rsidRPr="1042AEF4">
        <w:rPr>
          <w:rFonts w:ascii="Verdana" w:hAnsi="Verdana" w:cs="Arial"/>
          <w:color w:val="000000" w:themeColor="text1"/>
          <w:sz w:val="20"/>
          <w:szCs w:val="20"/>
        </w:rPr>
        <w:t>Mipyme</w:t>
      </w:r>
      <w:proofErr w:type="spellEnd"/>
      <w:r w:rsidRPr="1042AEF4">
        <w:rPr>
          <w:rFonts w:ascii="Verdana" w:hAnsi="Verdana" w:cs="Arial"/>
          <w:color w:val="000000" w:themeColor="text1"/>
          <w:sz w:val="20"/>
          <w:szCs w:val="20"/>
        </w:rPr>
        <w:t xml:space="preserve"> deberá acreditar su domicilio con los documentos a los que se refiere el siguiente artículo.</w:t>
      </w:r>
    </w:p>
    <w:p w14:paraId="1E6757CC" w14:textId="77777777" w:rsidR="00FA2C6C" w:rsidRPr="00D804ED" w:rsidRDefault="00FA2C6C" w:rsidP="00FA2C6C">
      <w:pPr>
        <w:spacing w:after="0" w:line="276" w:lineRule="auto"/>
        <w:jc w:val="both"/>
        <w:rPr>
          <w:rFonts w:ascii="Verdana" w:eastAsia="Calibri" w:hAnsi="Verdana" w:cs="Arial"/>
          <w:lang w:val="es-ES"/>
        </w:rPr>
      </w:pPr>
    </w:p>
    <w:p w14:paraId="7D9FDD96" w14:textId="77777777" w:rsidR="00FA2C6C" w:rsidRPr="00D804ED" w:rsidRDefault="00FA2C6C" w:rsidP="00FA2C6C">
      <w:pPr>
        <w:spacing w:after="120" w:line="276" w:lineRule="auto"/>
        <w:ind w:firstLine="708"/>
        <w:jc w:val="both"/>
        <w:rPr>
          <w:rFonts w:ascii="Verdana" w:eastAsia="Calibri" w:hAnsi="Verdana" w:cs="Arial"/>
          <w:color w:val="000000" w:themeColor="text1"/>
        </w:rPr>
      </w:pPr>
      <w:r w:rsidRPr="00D804ED">
        <w:rPr>
          <w:rFonts w:ascii="Verdana" w:eastAsia="Calibri" w:hAnsi="Verdana" w:cs="Arial"/>
          <w:lang w:val="es-ES"/>
        </w:rPr>
        <w:t xml:space="preserve">Como se evidencia de la redacción del anterior artículo, la decisión de limitar las convocatorias a MiPymes que tengan su domicilio en el municipio o departamento donde se va a ejecutar el contrato es facultativa de la entidad, en tanto la </w:t>
      </w:r>
      <w:r w:rsidRPr="00D804ED">
        <w:rPr>
          <w:rFonts w:ascii="Verdana" w:hAnsi="Verdana" w:cs="Arial"/>
          <w:color w:val="000000" w:themeColor="text1"/>
        </w:rPr>
        <w:t xml:space="preserve">norma se refiere a la facultad de la administración con el verbo infinitivo “poder”, no “deber”. </w:t>
      </w:r>
      <w:r w:rsidRPr="00D804ED">
        <w:rPr>
          <w:rFonts w:ascii="Verdana" w:eastAsia="Times New Roman" w:hAnsi="Verdana" w:cs="Arial"/>
          <w:lang w:eastAsia="es-CO"/>
        </w:rPr>
        <w:t>L</w:t>
      </w:r>
      <w:r w:rsidRPr="004508B5">
        <w:rPr>
          <w:rFonts w:ascii="Verdana" w:eastAsia="Times New Roman" w:hAnsi="Verdana" w:cs="Arial"/>
          <w:lang w:eastAsia="es-CO"/>
        </w:rPr>
        <w:t>a Agencia Nacional de Contratación Pública – Colombia Compra Eficiente</w:t>
      </w:r>
      <w:r w:rsidRPr="00D804ED">
        <w:rPr>
          <w:rFonts w:ascii="Verdana" w:eastAsia="Calibri" w:hAnsi="Verdana" w:cs="Arial"/>
          <w:color w:val="000000" w:themeColor="text1"/>
        </w:rPr>
        <w:t xml:space="preserve"> ha sostenido que la decisión de limitar territorialmente un</w:t>
      </w:r>
      <w:r w:rsidRPr="00D804ED">
        <w:rPr>
          <w:rFonts w:ascii="Verdana" w:hAnsi="Verdana" w:cs="Arial"/>
          <w:color w:val="000000" w:themeColor="text1"/>
        </w:rPr>
        <w:t xml:space="preserve">a convocatoria a MiPymes </w:t>
      </w:r>
      <w:r w:rsidRPr="00D804ED">
        <w:rPr>
          <w:rFonts w:ascii="Verdana" w:eastAsia="Calibri" w:hAnsi="Verdana" w:cs="Arial"/>
          <w:color w:val="000000" w:themeColor="text1"/>
        </w:rPr>
        <w:t>es discrecional, y ha precisado que, de todos modos, esta debe justificarse con fundamento en los correspondientes “estudios del sector”</w:t>
      </w:r>
      <w:r>
        <w:rPr>
          <w:rFonts w:ascii="Verdana" w:eastAsia="Calibri" w:hAnsi="Verdana" w:cs="Arial"/>
          <w:color w:val="000000" w:themeColor="text1"/>
        </w:rPr>
        <w:t>, como se puede encontrar detalladamente en la “</w:t>
      </w:r>
      <w:r w:rsidRPr="006E53C7">
        <w:rPr>
          <w:rFonts w:ascii="Verdana" w:eastAsia="Calibri" w:hAnsi="Verdana" w:cs="Arial"/>
          <w:color w:val="000000" w:themeColor="text1"/>
        </w:rPr>
        <w:t xml:space="preserve">GUÍA PARA PROMOVER </w:t>
      </w:r>
      <w:r w:rsidRPr="006E53C7">
        <w:rPr>
          <w:rFonts w:ascii="Verdana" w:eastAsia="Calibri" w:hAnsi="Verdana" w:cs="Arial"/>
          <w:color w:val="000000" w:themeColor="text1"/>
        </w:rPr>
        <w:lastRenderedPageBreak/>
        <w:t>LA PARTICIPACIÓN DE LAS MIPYMES EN LOS</w:t>
      </w:r>
      <w:r>
        <w:rPr>
          <w:rFonts w:ascii="Verdana" w:eastAsia="Calibri" w:hAnsi="Verdana" w:cs="Arial"/>
          <w:color w:val="000000" w:themeColor="text1"/>
        </w:rPr>
        <w:t xml:space="preserve"> </w:t>
      </w:r>
      <w:r w:rsidRPr="006E53C7">
        <w:rPr>
          <w:rFonts w:ascii="Verdana" w:eastAsia="Calibri" w:hAnsi="Verdana" w:cs="Arial"/>
          <w:color w:val="000000" w:themeColor="text1"/>
        </w:rPr>
        <w:t>PROCESOS DE COMPRA Y CONTRATACIÓN PÚBLICA</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2"/>
      </w:r>
      <w:r>
        <w:rPr>
          <w:rFonts w:ascii="Verdana" w:eastAsia="Calibri" w:hAnsi="Verdana" w:cs="Arial"/>
          <w:color w:val="000000" w:themeColor="text1"/>
        </w:rPr>
        <w:t>.</w:t>
      </w:r>
    </w:p>
    <w:p w14:paraId="7904B155" w14:textId="77777777" w:rsidR="00FA2C6C" w:rsidRPr="00D804ED" w:rsidRDefault="00FA2C6C" w:rsidP="00FA2C6C">
      <w:pPr>
        <w:spacing w:after="120" w:line="276" w:lineRule="auto"/>
        <w:ind w:firstLine="708"/>
        <w:jc w:val="both"/>
        <w:rPr>
          <w:rFonts w:ascii="Verdana" w:eastAsia="Arial" w:hAnsi="Verdana" w:cs="Arial"/>
          <w:color w:val="000000" w:themeColor="text1"/>
        </w:rPr>
      </w:pPr>
      <w:r w:rsidRPr="00D804ED">
        <w:rPr>
          <w:rFonts w:ascii="Verdana" w:eastAsia="Calibri" w:hAnsi="Verdana" w:cs="Arial"/>
          <w:color w:val="000000" w:themeColor="text1"/>
        </w:rPr>
        <w:t xml:space="preserve">Además, la entidad debe verificar </w:t>
      </w:r>
      <w:r w:rsidRPr="00D804ED">
        <w:rPr>
          <w:rFonts w:ascii="Verdana" w:eastAsia="Arial" w:hAnsi="Verdana" w:cs="Arial"/>
          <w:color w:val="000000" w:themeColor="text1"/>
        </w:rPr>
        <w:t>los requisitos establecidos en los numerales 1 y 2 del artículo 2.2.1.2.4.2.2 del Decreto 1082 de 2015, modificado por el Decreto 1860 de 2021, como sigue:</w:t>
      </w:r>
    </w:p>
    <w:p w14:paraId="4414152C" w14:textId="77777777" w:rsidR="00FA2C6C" w:rsidRPr="00D804ED" w:rsidRDefault="00FA2C6C" w:rsidP="00FA2C6C">
      <w:pPr>
        <w:spacing w:after="120" w:line="240" w:lineRule="auto"/>
        <w:ind w:left="709" w:right="616"/>
        <w:jc w:val="both"/>
        <w:rPr>
          <w:rFonts w:ascii="Verdana" w:hAnsi="Verdana" w:cs="Arial"/>
          <w:color w:val="000000"/>
          <w:sz w:val="20"/>
          <w:szCs w:val="20"/>
        </w:rPr>
      </w:pPr>
      <w:r w:rsidRPr="00D804ED">
        <w:rPr>
          <w:rStyle w:val="Textoennegrita"/>
          <w:rFonts w:ascii="Verdana" w:hAnsi="Verdana" w:cs="Arial"/>
          <w:color w:val="000000"/>
          <w:sz w:val="20"/>
          <w:szCs w:val="20"/>
        </w:rPr>
        <w:t xml:space="preserve">Convocatorias Limitadas a </w:t>
      </w:r>
      <w:proofErr w:type="spellStart"/>
      <w:r w:rsidRPr="00D804ED">
        <w:rPr>
          <w:rStyle w:val="Textoennegrita"/>
          <w:rFonts w:ascii="Verdana" w:hAnsi="Verdana" w:cs="Arial"/>
          <w:color w:val="000000"/>
          <w:sz w:val="20"/>
          <w:szCs w:val="20"/>
        </w:rPr>
        <w:t>Mipyme</w:t>
      </w:r>
      <w:proofErr w:type="spellEnd"/>
      <w:r w:rsidRPr="00D804ED">
        <w:rPr>
          <w:rStyle w:val="Textoennegrita"/>
          <w:rFonts w:ascii="Verdana" w:hAnsi="Verdana" w:cs="Arial"/>
          <w:color w:val="000000"/>
          <w:sz w:val="20"/>
          <w:szCs w:val="20"/>
        </w:rPr>
        <w:t>.</w:t>
      </w:r>
      <w:r w:rsidRPr="00D804ED">
        <w:rPr>
          <w:rFonts w:ascii="Verdana" w:hAnsi="Verdana" w:cs="Arial"/>
          <w:color w:val="000000"/>
          <w:sz w:val="20"/>
          <w:szCs w:val="20"/>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con mínimo un (1) año de existencia, cuando concurran los siguientes requisitos:</w:t>
      </w:r>
      <w:r w:rsidRPr="00D804ED">
        <w:rPr>
          <w:rFonts w:ascii="Verdana" w:hAnsi="Verdana" w:cs="Arial"/>
          <w:color w:val="000000"/>
          <w:sz w:val="20"/>
          <w:szCs w:val="20"/>
        </w:rPr>
        <w:br/>
      </w:r>
      <w:r w:rsidRPr="00D804ED">
        <w:rPr>
          <w:rFonts w:ascii="Verdana" w:hAnsi="Verdana" w:cs="Arial"/>
          <w:color w:val="000000"/>
          <w:sz w:val="20"/>
          <w:szCs w:val="20"/>
        </w:rPr>
        <w:br/>
        <w:t>1. El valor del Proceso de Contratación sea menor a ciento veinticinco mil dólares de los Estados Unidos de América (US$125.000), liquidados con la tasa de cambio que para el efecto determina cada dos años el Ministerio de Comercio, Industria y Turismo.</w:t>
      </w:r>
      <w:r w:rsidRPr="00D804ED">
        <w:rPr>
          <w:rFonts w:ascii="Verdana" w:hAnsi="Verdana" w:cs="Arial"/>
          <w:color w:val="000000"/>
          <w:sz w:val="20"/>
          <w:szCs w:val="20"/>
        </w:rPr>
        <w:br/>
      </w:r>
      <w:r w:rsidRPr="00D804ED">
        <w:rPr>
          <w:rFonts w:ascii="Verdana" w:hAnsi="Verdana" w:cs="Arial"/>
          <w:color w:val="000000"/>
          <w:sz w:val="20"/>
          <w:szCs w:val="20"/>
        </w:rPr>
        <w:br/>
        <w:t xml:space="preserve">2. Se hayan recibido solicitudes de por lo menos dos (2)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para limitar la convocatoria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por lo menos un (1) día hábil antes de la expedición del acto administrativo de apertura, o el que haga sus veces de acuerdo con la normativa aplicable a cada Proceso de Contratación.</w:t>
      </w:r>
    </w:p>
    <w:p w14:paraId="517D063C" w14:textId="77777777" w:rsidR="00FA2C6C" w:rsidRPr="00D804ED" w:rsidRDefault="00FA2C6C" w:rsidP="00FA2C6C">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t xml:space="preserve">Tratándose de personas jurídicas, las solicitudes solo las podrán realizar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cuyo objeto social les permita ejecutar el contrato relacionado con el proceso contractual.</w:t>
      </w:r>
    </w:p>
    <w:p w14:paraId="4465100D" w14:textId="77777777" w:rsidR="00FA2C6C" w:rsidRPr="00D804ED" w:rsidRDefault="00FA2C6C" w:rsidP="00FA2C6C">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r>
      <w:r w:rsidRPr="00D804ED">
        <w:rPr>
          <w:rStyle w:val="Textoennegrita"/>
          <w:rFonts w:ascii="Verdana" w:hAnsi="Verdana" w:cs="Arial"/>
          <w:color w:val="000000"/>
          <w:sz w:val="20"/>
          <w:szCs w:val="20"/>
        </w:rPr>
        <w:t>Parágrafo.</w:t>
      </w:r>
      <w:r w:rsidRPr="00D804ED">
        <w:rPr>
          <w:rFonts w:ascii="Verdana" w:hAnsi="Verdana" w:cs="Arial"/>
          <w:color w:val="000000"/>
          <w:sz w:val="20"/>
          <w:szCs w:val="20"/>
        </w:rPr>
        <w:t xml:space="preserve"> Las cooperativas y demás entidades de economía solidaria, siempre que tengan la calidad de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podrán solicitar y participar en las convocatorias limitadas en las mismas condiciones dispuestas en el presente artículo.</w:t>
      </w:r>
    </w:p>
    <w:p w14:paraId="74259DE8" w14:textId="77777777" w:rsidR="00FA2C6C" w:rsidRPr="00D804ED" w:rsidRDefault="00FA2C6C" w:rsidP="00FA2C6C">
      <w:pPr>
        <w:spacing w:after="120" w:line="276" w:lineRule="auto"/>
        <w:ind w:firstLine="709"/>
        <w:jc w:val="both"/>
        <w:rPr>
          <w:rFonts w:ascii="Verdana" w:eastAsia="Arial" w:hAnsi="Verdana" w:cs="Arial"/>
          <w:color w:val="000000"/>
        </w:rPr>
      </w:pPr>
      <w:r w:rsidRPr="00D804ED">
        <w:rPr>
          <w:rFonts w:ascii="Verdana" w:eastAsia="Arial" w:hAnsi="Verdana" w:cs="Arial"/>
          <w:color w:val="000000" w:themeColor="text1"/>
        </w:rPr>
        <w:t xml:space="preserve">En ese sentido, si la entidad no recibió las solicitudes </w:t>
      </w:r>
      <w:r>
        <w:rPr>
          <w:rFonts w:ascii="Verdana" w:eastAsia="Arial" w:hAnsi="Verdana" w:cs="Arial"/>
          <w:color w:val="000000" w:themeColor="text1"/>
        </w:rPr>
        <w:t xml:space="preserve">por </w:t>
      </w:r>
      <w:proofErr w:type="spellStart"/>
      <w:r>
        <w:rPr>
          <w:rFonts w:ascii="Verdana" w:eastAsia="Arial" w:hAnsi="Verdana" w:cs="Arial"/>
          <w:color w:val="000000" w:themeColor="text1"/>
        </w:rPr>
        <w:t>Mipymes</w:t>
      </w:r>
      <w:proofErr w:type="spellEnd"/>
      <w:r>
        <w:rPr>
          <w:rFonts w:ascii="Verdana" w:eastAsia="Arial" w:hAnsi="Verdana" w:cs="Arial"/>
          <w:color w:val="000000" w:themeColor="text1"/>
        </w:rPr>
        <w:t xml:space="preserve"> colombianas con mínimo un año de existencia </w:t>
      </w:r>
      <w:r w:rsidRPr="00D804ED">
        <w:rPr>
          <w:rFonts w:ascii="Verdana" w:eastAsia="Arial" w:hAnsi="Verdana" w:cs="Arial"/>
          <w:color w:val="000000" w:themeColor="text1"/>
        </w:rPr>
        <w:t xml:space="preserve">para limitar la convocatoria a MiPymes, no puede </w:t>
      </w:r>
      <w:r w:rsidRPr="00D804ED">
        <w:rPr>
          <w:rFonts w:ascii="Verdana" w:eastAsia="Arial" w:hAnsi="Verdana" w:cs="Arial"/>
          <w:i/>
          <w:iCs/>
          <w:color w:val="000000" w:themeColor="text1"/>
        </w:rPr>
        <w:t xml:space="preserve">motu proprio </w:t>
      </w:r>
      <w:r w:rsidRPr="00D804ED">
        <w:rPr>
          <w:rFonts w:ascii="Verdana" w:eastAsia="Arial" w:hAnsi="Verdana" w:cs="Arial"/>
          <w:color w:val="000000" w:themeColor="text1"/>
        </w:rPr>
        <w:t xml:space="preserve">proceder con la “limitación territorial” de que trata el artículo 2.2.1.2.4.2.3 del Decreto 1082 de 2015. Esto debido a que el </w:t>
      </w:r>
      <w:r w:rsidRPr="00D804ED">
        <w:rPr>
          <w:rFonts w:ascii="Verdana" w:eastAsia="Arial" w:hAnsi="Verdana" w:cs="Arial"/>
          <w:color w:val="000000" w:themeColor="text1"/>
        </w:rPr>
        <w:lastRenderedPageBreak/>
        <w:t>ejercicio de esta facultad solo puede darse ante la “limitación a MiPymes colombianas”, lo cual supone verificar los supuestos legales establecidos en los mencionados numerales.</w:t>
      </w:r>
    </w:p>
    <w:p w14:paraId="6227CFA8" w14:textId="77777777" w:rsidR="00FA2C6C" w:rsidRDefault="00FA2C6C" w:rsidP="00FA2C6C">
      <w:pPr>
        <w:spacing w:after="0" w:line="276" w:lineRule="auto"/>
        <w:ind w:right="49" w:firstLine="708"/>
        <w:jc w:val="both"/>
        <w:rPr>
          <w:rFonts w:ascii="Verdana" w:hAnsi="Verdana" w:cs="Arial"/>
          <w:color w:val="000000" w:themeColor="text1"/>
        </w:rPr>
      </w:pPr>
      <w:r w:rsidRPr="00D804ED">
        <w:rPr>
          <w:rFonts w:ascii="Verdana" w:hAnsi="Verdana" w:cs="Arial"/>
          <w:color w:val="000000" w:themeColor="text1"/>
        </w:rPr>
        <w:t xml:space="preserve">Cumplidos los dos requisitos del artículo 2.2.1.2.4.2.2 </w:t>
      </w:r>
      <w:proofErr w:type="spellStart"/>
      <w:r w:rsidRPr="00D804ED">
        <w:rPr>
          <w:rFonts w:ascii="Verdana" w:hAnsi="Verdana" w:cs="Arial"/>
          <w:i/>
          <w:iCs/>
          <w:color w:val="000000" w:themeColor="text1"/>
        </w:rPr>
        <w:t>ibídem</w:t>
      </w:r>
      <w:proofErr w:type="spellEnd"/>
      <w:r w:rsidRPr="00D804ED">
        <w:rPr>
          <w:rFonts w:ascii="Verdana" w:hAnsi="Verdana" w:cs="Arial"/>
          <w:color w:val="000000" w:themeColor="text1"/>
        </w:rPr>
        <w:t>,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que se ejecutará el contrato.</w:t>
      </w:r>
    </w:p>
    <w:p w14:paraId="2C563BF8" w14:textId="77777777" w:rsidR="00FA2C6C" w:rsidRPr="00CF06CF" w:rsidRDefault="00FA2C6C" w:rsidP="00FA2C6C">
      <w:pPr>
        <w:spacing w:after="0" w:line="276" w:lineRule="auto"/>
        <w:ind w:right="49"/>
        <w:jc w:val="both"/>
        <w:rPr>
          <w:rFonts w:ascii="Verdana" w:eastAsia="Calibri" w:hAnsi="Verdana" w:cs="Arial"/>
          <w:color w:val="000000" w:themeColor="text1"/>
        </w:rPr>
      </w:pPr>
      <w:r>
        <w:rPr>
          <w:rFonts w:ascii="Verdana" w:eastAsia="Calibri" w:hAnsi="Verdana" w:cs="Arial"/>
          <w:lang w:val="es-ES_tradnl"/>
        </w:rPr>
        <w:tab/>
        <w:t>Por su parte, l</w:t>
      </w:r>
      <w:r w:rsidRPr="00CF06CF">
        <w:rPr>
          <w:rFonts w:ascii="Verdana" w:eastAsia="Calibri" w:hAnsi="Verdana" w:cs="Arial"/>
          <w:color w:val="000000" w:themeColor="text1"/>
        </w:rPr>
        <w:t>a concurrencia</w:t>
      </w:r>
      <w:r>
        <w:rPr>
          <w:rFonts w:ascii="Verdana" w:eastAsia="Calibri" w:hAnsi="Verdana" w:cs="Arial"/>
          <w:color w:val="000000" w:themeColor="text1"/>
        </w:rPr>
        <w:t xml:space="preserve"> en un proceso de selección</w:t>
      </w:r>
      <w:r w:rsidRPr="00CF06CF">
        <w:rPr>
          <w:rFonts w:ascii="Verdana" w:eastAsia="Calibri" w:hAnsi="Verdana" w:cs="Arial"/>
          <w:color w:val="000000" w:themeColor="text1"/>
        </w:rPr>
        <w:t xml:space="preserve"> depende de que el pliego de condiciones defina reglas objetivas, justas, claras y completas que permitan la confección de los ofrecimientos –</w:t>
      </w:r>
      <w:proofErr w:type="spellStart"/>
      <w:r w:rsidRPr="00CF06CF">
        <w:rPr>
          <w:rFonts w:ascii="Verdana" w:eastAsia="Calibri" w:hAnsi="Verdana" w:cs="Arial"/>
          <w:color w:val="000000" w:themeColor="text1"/>
        </w:rPr>
        <w:t>lit.</w:t>
      </w:r>
      <w:proofErr w:type="spellEnd"/>
      <w:r w:rsidRPr="00CF06CF">
        <w:rPr>
          <w:rFonts w:ascii="Verdana" w:eastAsia="Calibri" w:hAnsi="Verdana" w:cs="Arial"/>
          <w:color w:val="000000" w:themeColor="text1"/>
        </w:rPr>
        <w:t xml:space="preserve"> b) del</w:t>
      </w:r>
      <w:r>
        <w:rPr>
          <w:rFonts w:ascii="Verdana" w:eastAsia="Calibri" w:hAnsi="Verdana" w:cs="Arial"/>
          <w:color w:val="000000" w:themeColor="text1"/>
        </w:rPr>
        <w:t xml:space="preserve"> numeral 5 del</w:t>
      </w:r>
      <w:r w:rsidRPr="00CF06CF">
        <w:rPr>
          <w:rFonts w:ascii="Verdana" w:eastAsia="Calibri" w:hAnsi="Verdana" w:cs="Arial"/>
          <w:color w:val="000000" w:themeColor="text1"/>
        </w:rPr>
        <w:t xml:space="preserve"> art</w:t>
      </w:r>
      <w:r>
        <w:rPr>
          <w:rFonts w:ascii="Verdana" w:eastAsia="Calibri" w:hAnsi="Verdana" w:cs="Arial"/>
          <w:color w:val="000000" w:themeColor="text1"/>
        </w:rPr>
        <w:t>ículo</w:t>
      </w:r>
      <w:r w:rsidRPr="00CF06CF">
        <w:rPr>
          <w:rFonts w:ascii="Verdana" w:eastAsia="Calibri" w:hAnsi="Verdana" w:cs="Arial"/>
          <w:color w:val="000000" w:themeColor="text1"/>
        </w:rPr>
        <w:t xml:space="preserve"> 24 de la Ley 80 de 1993–. Especialmente, los </w:t>
      </w:r>
      <w:r w:rsidRPr="00CF06CF">
        <w:rPr>
          <w:rFonts w:ascii="Verdana" w:eastAsia="Calibri" w:hAnsi="Verdana" w:cs="Arial"/>
          <w:i/>
          <w:iCs/>
          <w:color w:val="000000" w:themeColor="text1"/>
        </w:rPr>
        <w:t>requisitos habilitantes</w:t>
      </w:r>
      <w:r w:rsidRPr="00CF06CF">
        <w:rPr>
          <w:rFonts w:ascii="Verdana" w:eastAsia="Calibri" w:hAnsi="Verdana" w:cs="Arial"/>
          <w:color w:val="000000" w:themeColor="text1"/>
        </w:rPr>
        <w:t xml:space="preserve"> deben ser adecuados y proporcionales a la naturaleza del contrato y a su valor –</w:t>
      </w:r>
      <w:r>
        <w:rPr>
          <w:rFonts w:ascii="Verdana" w:eastAsia="Calibri" w:hAnsi="Verdana" w:cs="Arial"/>
          <w:color w:val="000000" w:themeColor="text1"/>
        </w:rPr>
        <w:t xml:space="preserve"> numeral 1 </w:t>
      </w:r>
      <w:r w:rsidRPr="00CF06CF">
        <w:rPr>
          <w:rFonts w:ascii="Verdana" w:eastAsia="Calibri" w:hAnsi="Verdana" w:cs="Arial"/>
          <w:color w:val="000000" w:themeColor="text1"/>
        </w:rPr>
        <w:t>art</w:t>
      </w:r>
      <w:r>
        <w:rPr>
          <w:rFonts w:ascii="Verdana" w:eastAsia="Calibri" w:hAnsi="Verdana" w:cs="Arial"/>
          <w:color w:val="000000" w:themeColor="text1"/>
        </w:rPr>
        <w:t>ículo</w:t>
      </w:r>
      <w:r w:rsidRPr="00CF06CF">
        <w:rPr>
          <w:rFonts w:ascii="Verdana" w:eastAsia="Calibri" w:hAnsi="Verdana" w:cs="Arial"/>
          <w:color w:val="000000" w:themeColor="text1"/>
        </w:rPr>
        <w:t xml:space="preserve"> 5 de la Ley 1150 de 2007 y art</w:t>
      </w:r>
      <w:r>
        <w:rPr>
          <w:rFonts w:ascii="Verdana" w:eastAsia="Calibri" w:hAnsi="Verdana" w:cs="Arial"/>
          <w:color w:val="000000" w:themeColor="text1"/>
        </w:rPr>
        <w:t>ículo</w:t>
      </w:r>
      <w:r w:rsidRPr="00CF06CF">
        <w:rPr>
          <w:rFonts w:ascii="Verdana" w:eastAsia="Calibri" w:hAnsi="Verdana" w:cs="Arial"/>
          <w:color w:val="000000" w:themeColor="text1"/>
        </w:rPr>
        <w:t xml:space="preserve"> 2.2.1.1.1.6.2 del Decreto 1082 de 2015–. Por su parte, los </w:t>
      </w:r>
      <w:r w:rsidRPr="00CF06CF">
        <w:rPr>
          <w:rFonts w:ascii="Verdana" w:eastAsia="Calibri" w:hAnsi="Verdana" w:cs="Arial"/>
          <w:i/>
          <w:iCs/>
          <w:color w:val="000000" w:themeColor="text1"/>
        </w:rPr>
        <w:t>criterios de escogencia</w:t>
      </w:r>
      <w:r w:rsidRPr="00CF06CF">
        <w:rPr>
          <w:rFonts w:ascii="Verdana" w:eastAsia="Calibri" w:hAnsi="Verdana" w:cs="Arial"/>
          <w:color w:val="000000" w:themeColor="text1"/>
        </w:rPr>
        <w:t xml:space="preserve"> y su respectiva ponderación deben ser proporcionados, objetivos y razonables, pues sólo así resultarán respetuosos de los principios de imparcialidad e igualdad de trato para todos los oferentes</w:t>
      </w:r>
      <w:r w:rsidRPr="00CF06CF">
        <w:rPr>
          <w:rStyle w:val="Refdenotaalpie"/>
          <w:rFonts w:ascii="Verdana" w:eastAsia="Calibri" w:hAnsi="Verdana" w:cs="Arial"/>
          <w:color w:val="000000" w:themeColor="text1"/>
        </w:rPr>
        <w:footnoteReference w:id="3"/>
      </w:r>
      <w:r w:rsidRPr="00CF06CF">
        <w:rPr>
          <w:rFonts w:ascii="Verdana" w:eastAsia="Calibri" w:hAnsi="Verdana" w:cs="Arial"/>
          <w:color w:val="000000" w:themeColor="text1"/>
        </w:rPr>
        <w:t xml:space="preserve">. </w:t>
      </w:r>
      <w:r w:rsidRPr="00CF06CF">
        <w:rPr>
          <w:rFonts w:ascii="Verdana" w:eastAsia="Calibri" w:hAnsi="Verdana" w:cs="Arial"/>
          <w:lang w:val="es-ES_tradnl"/>
        </w:rPr>
        <w:t xml:space="preserve">En este contexto, de cara a los principios de la función administrativa y la contratación estatal, los procesos de selección están regulados con el propósito de escoger la mejor propuesta para la realización del interés general. Dicho objetivo se concreta una vez concluye la fase de evaluación, momento en el cual la entidad determina la oferta más favorable. </w:t>
      </w:r>
    </w:p>
    <w:p w14:paraId="03476E11" w14:textId="77777777" w:rsidR="00FA2C6C" w:rsidRPr="00CF06CF" w:rsidRDefault="00FA2C6C" w:rsidP="00FA2C6C">
      <w:pPr>
        <w:spacing w:after="120" w:line="276" w:lineRule="auto"/>
        <w:ind w:right="49" w:firstLine="709"/>
        <w:jc w:val="both"/>
        <w:rPr>
          <w:rFonts w:ascii="Verdana" w:eastAsia="Calibri" w:hAnsi="Verdana" w:cs="Arial"/>
          <w:lang w:val="es-ES"/>
        </w:rPr>
      </w:pPr>
      <w:r w:rsidRPr="6CB6BBDA">
        <w:rPr>
          <w:rFonts w:ascii="Verdana" w:eastAsia="Calibri" w:hAnsi="Verdana" w:cs="Arial"/>
          <w:lang w:val="es-ES"/>
        </w:rPr>
        <w:t xml:space="preserve">No obstante, en algunos casos </w:t>
      </w:r>
      <w:r>
        <w:rPr>
          <w:rFonts w:ascii="Verdana" w:eastAsia="Calibri" w:hAnsi="Verdana" w:cs="Arial"/>
          <w:lang w:val="es-ES"/>
        </w:rPr>
        <w:t xml:space="preserve">la Entidad Estatal </w:t>
      </w:r>
      <w:r w:rsidRPr="6CB6BBDA">
        <w:rPr>
          <w:rFonts w:ascii="Verdana" w:eastAsia="Calibri" w:hAnsi="Verdana" w:cs="Arial"/>
          <w:lang w:val="es-ES"/>
        </w:rPr>
        <w:t>decide no adjudicar el contrato, porque no le es posible realizar una escogencia objetiva</w:t>
      </w:r>
      <w:r>
        <w:rPr>
          <w:rFonts w:ascii="Verdana" w:eastAsia="Calibri" w:hAnsi="Verdana" w:cs="Arial"/>
          <w:lang w:val="es-ES"/>
        </w:rPr>
        <w:t xml:space="preserve"> o porque no se presentan propuestas en el proceso, </w:t>
      </w:r>
      <w:r w:rsidRPr="6CB6BBDA">
        <w:rPr>
          <w:rFonts w:ascii="Verdana" w:eastAsia="Calibri" w:hAnsi="Verdana" w:cs="Arial"/>
          <w:lang w:val="es-ES"/>
        </w:rPr>
        <w:t>es así como se presenta una decisión negativa de la Administración que comporta la frustración del proceso contractual</w:t>
      </w:r>
      <w:r>
        <w:rPr>
          <w:rFonts w:ascii="Verdana" w:eastAsia="Calibri" w:hAnsi="Verdana" w:cs="Arial"/>
          <w:lang w:val="es-ES"/>
        </w:rPr>
        <w:t>.</w:t>
      </w:r>
      <w:r w:rsidRPr="6CB6BBDA">
        <w:rPr>
          <w:rFonts w:ascii="Verdana" w:eastAsia="Calibri" w:hAnsi="Verdana" w:cs="Arial"/>
          <w:lang w:val="es-ES"/>
        </w:rPr>
        <w:t xml:space="preserve"> La configuración de esta circunstancia está prevista en el numeral 18 del artículo 25 de la Ley 80 de 1993, pues –en el marco del principio de economía– la norma dispone que “La declaratoria de desierta de la licitación únicamente procederá por motivos o causas que impidan la escogencia objetiva y se declarará en acto administrativo en el que se señalarán en forma expresa y detallada las razones que han conducido a esa decisión”.</w:t>
      </w:r>
    </w:p>
    <w:p w14:paraId="665634E6" w14:textId="77777777" w:rsidR="00FA2C6C" w:rsidRPr="00CF06CF" w:rsidRDefault="00FA2C6C" w:rsidP="00FA2C6C">
      <w:pPr>
        <w:spacing w:before="120" w:after="120" w:line="276" w:lineRule="auto"/>
        <w:ind w:right="49" w:firstLine="709"/>
        <w:jc w:val="both"/>
        <w:rPr>
          <w:rFonts w:ascii="Verdana" w:eastAsia="Calibri" w:hAnsi="Verdana" w:cs="Arial"/>
          <w:lang w:val="es-ES"/>
        </w:rPr>
      </w:pPr>
      <w:r w:rsidRPr="6CB6BBDA">
        <w:rPr>
          <w:rFonts w:ascii="Verdana" w:eastAsia="Calibri" w:hAnsi="Verdana" w:cs="Arial"/>
          <w:lang w:val="es-ES"/>
        </w:rPr>
        <w:lastRenderedPageBreak/>
        <w:t xml:space="preserve">Si bien la disposición solo alude a la licitación, esta Agencia considera que su entendimiento debe ser amplio, para acoger a los demás procedimientos adoptados posteriormente por la Ley 1150 de 2007, que en su artículo 2 creó nuevas modalidades de selección que no existían bajo la Ley 80 original, esto es, además de la licitación pública, la selección abreviada, el concurso de méritos y la mínima cuantía. Esta interpretación encuentra fundamento en el artículo 23 de la Ley 80 de 1993, cuya redacción es más amplia, al prescribir que “Las actuaciones de quienes intervengan en la contratación estatal se desarrollarán con arreglo a los principios de transparencia, economía y responsabilidad y de conformidad con los postulados que rigen la función administrativa”. </w:t>
      </w:r>
      <w:r>
        <w:rPr>
          <w:rFonts w:ascii="Verdana" w:eastAsia="Calibri" w:hAnsi="Verdana" w:cs="Arial"/>
          <w:lang w:val="es-ES"/>
        </w:rPr>
        <w:t xml:space="preserve">Así mismo, el </w:t>
      </w:r>
      <w:r w:rsidRPr="00270BCD">
        <w:rPr>
          <w:rFonts w:ascii="Verdana" w:eastAsia="Calibri" w:hAnsi="Verdana" w:cs="Arial"/>
          <w:lang w:val="es-ES"/>
        </w:rPr>
        <w:t xml:space="preserve">Consejo de Estado en nota a pie de página refiriéndose al numeral 18 del artículo 25 de la Ley 80 de 1993, explica </w:t>
      </w:r>
      <w:r w:rsidRPr="00270BCD">
        <w:rPr>
          <w:rFonts w:ascii="Verdana" w:hAnsi="Verdana"/>
        </w:rPr>
        <w:t>“la norma habla de esta figura respecto de licitación o concurso, pero las consideraciones allí previstas naturalmente también resultan predicables respecto de cualquier proceso de selección</w:t>
      </w:r>
      <w:r>
        <w:rPr>
          <w:rFonts w:ascii="Verdana" w:hAnsi="Verdana"/>
        </w:rPr>
        <w:t>.</w:t>
      </w:r>
      <w:r w:rsidRPr="00270BCD">
        <w:rPr>
          <w:rFonts w:ascii="Verdana" w:hAnsi="Verdana"/>
        </w:rPr>
        <w:t>”</w:t>
      </w:r>
      <w:r w:rsidRPr="00270BCD">
        <w:rPr>
          <w:rStyle w:val="Refdenotaalpie"/>
          <w:rFonts w:ascii="Verdana" w:hAnsi="Verdana"/>
        </w:rPr>
        <w:footnoteReference w:id="4"/>
      </w:r>
    </w:p>
    <w:p w14:paraId="14385AA3" w14:textId="77777777" w:rsidR="00FA2C6C" w:rsidRPr="002E1693" w:rsidRDefault="00FA2C6C" w:rsidP="00FA2C6C">
      <w:pPr>
        <w:spacing w:before="120" w:after="120" w:line="276" w:lineRule="auto"/>
        <w:ind w:right="49" w:firstLine="709"/>
        <w:jc w:val="both"/>
        <w:rPr>
          <w:rFonts w:ascii="Verdana" w:eastAsia="Calibri" w:hAnsi="Verdana" w:cs="Arial"/>
          <w:i/>
          <w:iCs/>
          <w:color w:val="000000"/>
        </w:rPr>
      </w:pPr>
      <w:r w:rsidRPr="5357211F">
        <w:rPr>
          <w:rFonts w:ascii="Verdana" w:eastAsia="Calibri" w:hAnsi="Verdana" w:cs="Arial"/>
          <w:lang w:val="es-ES"/>
        </w:rPr>
        <w:t xml:space="preserve">En este sentido, </w:t>
      </w:r>
      <w:bookmarkStart w:id="1" w:name="_Hlk173756908"/>
      <w:r w:rsidRPr="5357211F">
        <w:rPr>
          <w:rFonts w:ascii="Verdana" w:eastAsia="Calibri" w:hAnsi="Verdana" w:cs="Arial"/>
          <w:lang w:val="es-ES"/>
        </w:rPr>
        <w:t>la declaratoria de desierta no es más que una decisión negativa respecto a la adjudicación del contrato, como consecuencia de la imposibilidad de aplicar el principio de selección objetiva</w:t>
      </w:r>
      <w:r>
        <w:rPr>
          <w:rFonts w:ascii="Verdana" w:eastAsia="Calibri" w:hAnsi="Verdana" w:cs="Arial"/>
          <w:lang w:val="es-ES"/>
        </w:rPr>
        <w:t xml:space="preserve"> o de la no presentación de propuestas en el proceso de selección</w:t>
      </w:r>
      <w:r w:rsidRPr="5357211F">
        <w:rPr>
          <w:rFonts w:ascii="Verdana" w:eastAsia="Calibri" w:hAnsi="Verdana" w:cs="Arial"/>
          <w:lang w:val="es-ES"/>
        </w:rPr>
        <w:t>. Ésta se adopta mediante un acto</w:t>
      </w:r>
      <w:r>
        <w:rPr>
          <w:rFonts w:ascii="Verdana" w:eastAsia="Calibri" w:hAnsi="Verdana" w:cs="Arial"/>
          <w:lang w:val="es-ES"/>
        </w:rPr>
        <w:t xml:space="preserve"> administrativo</w:t>
      </w:r>
      <w:r w:rsidRPr="5357211F">
        <w:rPr>
          <w:rFonts w:ascii="Verdana" w:eastAsia="Calibri" w:hAnsi="Verdana" w:cs="Arial"/>
          <w:lang w:val="es-ES"/>
        </w:rPr>
        <w:t xml:space="preserve"> definitivo –no de trámite–, pues con él finaliza el procedimiento contractual, lo que impide su continuación. En efecto, mediante dicho acto la entidad manifiesta su decisión de no adjudicar el contrato, esto es, de no seleccionar a su futuro contratista</w:t>
      </w:r>
      <w:bookmarkEnd w:id="1"/>
      <w:r>
        <w:rPr>
          <w:rFonts w:ascii="Verdana" w:eastAsia="Calibri" w:hAnsi="Verdana" w:cs="Arial"/>
          <w:lang w:val="es-ES"/>
        </w:rPr>
        <w:t xml:space="preserve"> </w:t>
      </w:r>
      <w:r w:rsidRPr="6CB6BBDA">
        <w:rPr>
          <w:rFonts w:ascii="Verdana" w:eastAsia="Calibri" w:hAnsi="Verdana" w:cs="Arial"/>
          <w:color w:val="000000" w:themeColor="text1"/>
          <w:lang w:val="es-ES"/>
        </w:rPr>
        <w:t xml:space="preserve">originado en un procedimiento de selección, por presentarse los supuestos establecidos por el legislador para dicha declaratoria. </w:t>
      </w:r>
    </w:p>
    <w:p w14:paraId="50F9EC17" w14:textId="77777777" w:rsidR="00FA2C6C" w:rsidRPr="002E1693" w:rsidRDefault="00FA2C6C" w:rsidP="00FA2C6C">
      <w:pPr>
        <w:spacing w:after="120" w:line="276" w:lineRule="auto"/>
        <w:ind w:right="49"/>
        <w:jc w:val="both"/>
        <w:rPr>
          <w:rFonts w:ascii="Verdana" w:eastAsia="Calibri" w:hAnsi="Verdana" w:cs="Arial"/>
          <w:color w:val="000000"/>
        </w:rPr>
      </w:pPr>
      <w:r w:rsidRPr="002E1693">
        <w:rPr>
          <w:rFonts w:ascii="Verdana" w:eastAsia="Calibri" w:hAnsi="Verdana" w:cs="Arial"/>
          <w:color w:val="000000"/>
        </w:rPr>
        <w:tab/>
        <w:t>De acuerdo con lo anterior, es claro que nuestro ordenamiento jurídico habilita a las Entidades Estatales para declarar desierto un proceso de selección cuando en su desarrollo se determine que no es posible escoger un contratista objetivamente, esto es, cuando no compareció al proceso de selección proponente alguno o existiendo ofertas, ninguna de ellas cumple con los requisitos establecidos en el pliego de condiciones para su escogencia.</w:t>
      </w:r>
    </w:p>
    <w:p w14:paraId="1EE31622" w14:textId="77777777" w:rsidR="00FA2C6C" w:rsidRDefault="00FA2C6C" w:rsidP="00FA2C6C">
      <w:pPr>
        <w:spacing w:after="120" w:line="276" w:lineRule="auto"/>
        <w:ind w:right="49" w:firstLine="709"/>
        <w:jc w:val="both"/>
        <w:rPr>
          <w:rFonts w:ascii="Verdana" w:eastAsia="Times New Roman" w:hAnsi="Verdana" w:cs="Arial"/>
          <w:color w:val="000000"/>
          <w:lang w:val="es-ES" w:eastAsia="es-ES"/>
        </w:rPr>
      </w:pPr>
      <w:r>
        <w:rPr>
          <w:rFonts w:ascii="Verdana" w:eastAsia="Calibri" w:hAnsi="Verdana" w:cs="Arial"/>
          <w:color w:val="000000"/>
        </w:rPr>
        <w:t>Así, s</w:t>
      </w:r>
      <w:proofErr w:type="spellStart"/>
      <w:r>
        <w:rPr>
          <w:rFonts w:ascii="Verdana" w:eastAsia="Times New Roman" w:hAnsi="Verdana" w:cs="Arial"/>
          <w:color w:val="000000"/>
          <w:lang w:val="es-ES" w:eastAsia="es-ES"/>
        </w:rPr>
        <w:t>egún</w:t>
      </w:r>
      <w:proofErr w:type="spellEnd"/>
      <w:r>
        <w:rPr>
          <w:rFonts w:ascii="Verdana" w:eastAsia="Times New Roman" w:hAnsi="Verdana" w:cs="Arial"/>
          <w:color w:val="000000"/>
          <w:lang w:val="es-ES" w:eastAsia="es-ES"/>
        </w:rPr>
        <w:t xml:space="preserve"> lo </w:t>
      </w:r>
      <w:r w:rsidRPr="009C3FB6">
        <w:rPr>
          <w:rFonts w:ascii="Verdana" w:eastAsia="Times New Roman" w:hAnsi="Verdana" w:cs="Arial"/>
          <w:color w:val="000000"/>
          <w:lang w:val="es-ES" w:eastAsia="es-ES"/>
        </w:rPr>
        <w:t xml:space="preserve">dispuesto en el artículo 25 de la Ley 80 de 1993 la declaratoria de desierta “únicamente procederá por motivos o causas que </w:t>
      </w:r>
      <w:r w:rsidRPr="009C3FB6">
        <w:rPr>
          <w:rFonts w:ascii="Verdana" w:eastAsia="Times New Roman" w:hAnsi="Verdana" w:cs="Arial"/>
          <w:color w:val="000000"/>
          <w:lang w:val="es-ES" w:eastAsia="es-ES"/>
        </w:rPr>
        <w:lastRenderedPageBreak/>
        <w:t xml:space="preserve">impidan la escogencia objetiva”. De esta manera, cualquier declaratoria de desierta de un proceso contractual implica que la entidad en el acto mediante el cual se declara exprese las razones por las cuales considera que no es posible realizar una selección objetiva de la mejor oferta y cómo esta circunstancia se presenta efectivamente en el procedimiento de selección. Esto hace que el acto administrativo mediante el cual se adopta </w:t>
      </w:r>
      <w:r>
        <w:rPr>
          <w:rFonts w:ascii="Verdana" w:eastAsia="Times New Roman" w:hAnsi="Verdana" w:cs="Arial"/>
          <w:color w:val="000000"/>
          <w:lang w:val="es-ES" w:eastAsia="es-ES"/>
        </w:rPr>
        <w:t xml:space="preserve">la </w:t>
      </w:r>
      <w:r w:rsidRPr="009C3FB6">
        <w:rPr>
          <w:rFonts w:ascii="Verdana" w:eastAsia="Times New Roman" w:hAnsi="Verdana" w:cs="Arial"/>
          <w:color w:val="000000"/>
          <w:lang w:val="es-ES" w:eastAsia="es-ES"/>
        </w:rPr>
        <w:t>decisión tenga carácter reglado</w:t>
      </w:r>
      <w:r w:rsidRPr="009C3FB6">
        <w:rPr>
          <w:rStyle w:val="Refdenotaalpie"/>
          <w:rFonts w:ascii="Verdana" w:eastAsia="Times New Roman" w:hAnsi="Verdana" w:cs="Arial"/>
          <w:color w:val="000000"/>
          <w:lang w:val="es-ES" w:eastAsia="es-ES"/>
        </w:rPr>
        <w:footnoteReference w:id="5"/>
      </w:r>
      <w:r w:rsidRPr="009C3FB6">
        <w:rPr>
          <w:rFonts w:ascii="Verdana" w:eastAsia="Times New Roman" w:hAnsi="Verdana" w:cs="Arial"/>
          <w:color w:val="000000"/>
          <w:lang w:val="es-ES" w:eastAsia="es-ES"/>
        </w:rPr>
        <w:t>.</w:t>
      </w:r>
      <w:r>
        <w:rPr>
          <w:rFonts w:ascii="Verdana" w:eastAsia="Times New Roman" w:hAnsi="Verdana" w:cs="Arial"/>
          <w:color w:val="000000"/>
          <w:lang w:val="es-ES" w:eastAsia="es-ES"/>
        </w:rPr>
        <w:t xml:space="preserve"> En efecto, el Consejo de Estado ha aclarado que:</w:t>
      </w:r>
    </w:p>
    <w:p w14:paraId="08D4DFC9" w14:textId="77777777" w:rsidR="00FA2C6C" w:rsidRPr="00410932" w:rsidRDefault="00FA2C6C" w:rsidP="00FA2C6C">
      <w:pPr>
        <w:spacing w:after="120" w:line="276" w:lineRule="auto"/>
        <w:ind w:left="708" w:right="616" w:firstLine="1"/>
        <w:jc w:val="both"/>
        <w:rPr>
          <w:rFonts w:ascii="Verdana" w:hAnsi="Verdana"/>
          <w:sz w:val="20"/>
          <w:szCs w:val="20"/>
        </w:rPr>
      </w:pPr>
      <w:r w:rsidRPr="00410932">
        <w:rPr>
          <w:rFonts w:ascii="Verdana" w:eastAsia="Times New Roman" w:hAnsi="Verdana" w:cs="Arial"/>
          <w:color w:val="000000"/>
          <w:sz w:val="20"/>
          <w:szCs w:val="20"/>
          <w:lang w:val="es-ES" w:eastAsia="es-ES"/>
        </w:rPr>
        <w:t>“</w:t>
      </w:r>
      <w:r w:rsidRPr="00410932">
        <w:rPr>
          <w:rFonts w:ascii="Verdana" w:hAnsi="Verdana"/>
          <w:sz w:val="20"/>
          <w:szCs w:val="20"/>
        </w:rPr>
        <w:t xml:space="preserve">Según la jurisprudencia de la Sala la administración no tiene la facultad discrecional para declarar a su arbitrio desierto un proceso de selección de contratista, decisión que sólo resulta procedente cuando medien causales y circunstancias contempladas en las normas, habida consideración a que la facultad de adjudicar o no un contrato estatal es </w:t>
      </w:r>
      <w:proofErr w:type="gramStart"/>
      <w:r w:rsidRPr="00410932">
        <w:rPr>
          <w:rFonts w:ascii="Verdana" w:hAnsi="Verdana"/>
          <w:sz w:val="20"/>
          <w:szCs w:val="20"/>
        </w:rPr>
        <w:t>reglada</w:t>
      </w:r>
      <w:proofErr w:type="gramEnd"/>
      <w:r w:rsidRPr="00410932">
        <w:rPr>
          <w:rFonts w:ascii="Verdana" w:hAnsi="Verdana"/>
          <w:sz w:val="20"/>
          <w:szCs w:val="20"/>
        </w:rPr>
        <w:t xml:space="preserve">. </w:t>
      </w:r>
    </w:p>
    <w:p w14:paraId="6999D5CB" w14:textId="77777777" w:rsidR="00FA2C6C" w:rsidRPr="00410932" w:rsidRDefault="00FA2C6C" w:rsidP="00FA2C6C">
      <w:pPr>
        <w:spacing w:after="120" w:line="276" w:lineRule="auto"/>
        <w:ind w:left="708" w:right="616" w:firstLine="1"/>
        <w:jc w:val="both"/>
        <w:rPr>
          <w:rFonts w:ascii="Verdana" w:eastAsia="Times New Roman" w:hAnsi="Verdana" w:cs="Arial"/>
          <w:color w:val="000000"/>
          <w:sz w:val="20"/>
          <w:szCs w:val="20"/>
          <w:lang w:val="es-ES" w:eastAsia="es-ES"/>
        </w:rPr>
      </w:pPr>
      <w:r w:rsidRPr="00410932">
        <w:rPr>
          <w:rFonts w:ascii="Verdana" w:hAnsi="Verdana"/>
          <w:sz w:val="20"/>
          <w:szCs w:val="20"/>
        </w:rPr>
        <w:t>De consiguiente, no cualquier hecho puede conducir a la declaratoria de desierta de un proceso de selección, sino que es menester que aquel impida la selección objetiva de la propuesta dentro del marco dispuesto por el ordenamiento jurídico.”</w:t>
      </w:r>
      <w:r w:rsidRPr="00410932">
        <w:rPr>
          <w:rStyle w:val="Refdenotaalpie"/>
          <w:rFonts w:ascii="Verdana" w:hAnsi="Verdana"/>
          <w:sz w:val="20"/>
          <w:szCs w:val="20"/>
        </w:rPr>
        <w:footnoteReference w:id="6"/>
      </w:r>
      <w:r w:rsidRPr="00410932">
        <w:rPr>
          <w:rFonts w:ascii="Verdana" w:eastAsia="Times New Roman" w:hAnsi="Verdana" w:cs="Arial"/>
          <w:color w:val="000000"/>
          <w:sz w:val="20"/>
          <w:szCs w:val="20"/>
          <w:lang w:val="es-ES" w:eastAsia="es-ES"/>
        </w:rPr>
        <w:t xml:space="preserve"> </w:t>
      </w:r>
    </w:p>
    <w:p w14:paraId="4DABBA4A" w14:textId="6F68A4BB" w:rsidR="00FA2C6C" w:rsidRPr="009C3FB6" w:rsidRDefault="00FA2C6C" w:rsidP="00FA2C6C">
      <w:pPr>
        <w:widowControl w:val="0"/>
        <w:autoSpaceDE w:val="0"/>
        <w:autoSpaceDN w:val="0"/>
        <w:spacing w:after="0" w:line="276" w:lineRule="auto"/>
        <w:ind w:right="49" w:firstLine="708"/>
        <w:jc w:val="both"/>
        <w:rPr>
          <w:rFonts w:ascii="Verdana" w:hAnsi="Verdana"/>
        </w:rPr>
      </w:pPr>
      <w:r w:rsidRPr="009C3FB6">
        <w:rPr>
          <w:rFonts w:ascii="Verdana" w:eastAsia="Times New Roman" w:hAnsi="Verdana" w:cs="Arial"/>
          <w:shd w:val="clear" w:color="auto" w:fill="FFFFFF"/>
          <w:lang w:val="es-ES"/>
        </w:rPr>
        <w:t>Ahora bien, u</w:t>
      </w:r>
      <w:proofErr w:type="spellStart"/>
      <w:r w:rsidRPr="009C3FB6">
        <w:rPr>
          <w:rFonts w:ascii="Verdana" w:hAnsi="Verdana"/>
        </w:rPr>
        <w:t>na</w:t>
      </w:r>
      <w:proofErr w:type="spellEnd"/>
      <w:r w:rsidRPr="009C3FB6">
        <w:rPr>
          <w:rFonts w:ascii="Verdana" w:hAnsi="Verdana"/>
        </w:rPr>
        <w:t xml:space="preserve"> vez en firme el acto administrativo mediante el cual una Entidad Estatal</w:t>
      </w:r>
      <w:r w:rsidRPr="009C3FB6">
        <w:rPr>
          <w:rFonts w:ascii="Verdana" w:hAnsi="Verdana"/>
          <w:spacing w:val="-17"/>
        </w:rPr>
        <w:t xml:space="preserve"> </w:t>
      </w:r>
      <w:r w:rsidRPr="009C3FB6">
        <w:rPr>
          <w:rFonts w:ascii="Verdana" w:hAnsi="Verdana"/>
        </w:rPr>
        <w:t>haya</w:t>
      </w:r>
      <w:r w:rsidRPr="009C3FB6">
        <w:rPr>
          <w:rFonts w:ascii="Verdana" w:hAnsi="Verdana"/>
          <w:spacing w:val="-18"/>
        </w:rPr>
        <w:t xml:space="preserve"> </w:t>
      </w:r>
      <w:r w:rsidRPr="009C3FB6">
        <w:rPr>
          <w:rFonts w:ascii="Verdana" w:hAnsi="Verdana"/>
        </w:rPr>
        <w:t>declarado</w:t>
      </w:r>
      <w:r w:rsidRPr="009C3FB6">
        <w:rPr>
          <w:rFonts w:ascii="Verdana" w:hAnsi="Verdana"/>
          <w:spacing w:val="-16"/>
        </w:rPr>
        <w:t xml:space="preserve"> </w:t>
      </w:r>
      <w:r w:rsidRPr="009C3FB6">
        <w:rPr>
          <w:rFonts w:ascii="Verdana" w:hAnsi="Verdana"/>
        </w:rPr>
        <w:t>desierto</w:t>
      </w:r>
      <w:r w:rsidRPr="009C3FB6">
        <w:rPr>
          <w:rFonts w:ascii="Verdana" w:hAnsi="Verdana"/>
          <w:spacing w:val="-17"/>
        </w:rPr>
        <w:t xml:space="preserve"> </w:t>
      </w:r>
      <w:r w:rsidRPr="009C3FB6">
        <w:rPr>
          <w:rFonts w:ascii="Verdana" w:hAnsi="Verdana"/>
        </w:rPr>
        <w:t>un</w:t>
      </w:r>
      <w:r w:rsidRPr="009C3FB6">
        <w:rPr>
          <w:rFonts w:ascii="Verdana" w:hAnsi="Verdana"/>
          <w:spacing w:val="-19"/>
        </w:rPr>
        <w:t xml:space="preserve"> </w:t>
      </w:r>
      <w:r w:rsidRPr="009C3FB6">
        <w:rPr>
          <w:rFonts w:ascii="Verdana" w:hAnsi="Verdana"/>
        </w:rPr>
        <w:t>proceso</w:t>
      </w:r>
      <w:r w:rsidRPr="009C3FB6">
        <w:rPr>
          <w:rFonts w:ascii="Verdana" w:hAnsi="Verdana"/>
          <w:spacing w:val="-17"/>
        </w:rPr>
        <w:t xml:space="preserve"> </w:t>
      </w:r>
      <w:r w:rsidRPr="009C3FB6">
        <w:rPr>
          <w:rFonts w:ascii="Verdana" w:hAnsi="Verdana"/>
        </w:rPr>
        <w:t>de</w:t>
      </w:r>
      <w:r w:rsidRPr="009C3FB6">
        <w:rPr>
          <w:rFonts w:ascii="Verdana" w:hAnsi="Verdana"/>
          <w:spacing w:val="-19"/>
        </w:rPr>
        <w:t xml:space="preserve"> </w:t>
      </w:r>
      <w:r w:rsidRPr="009C3FB6">
        <w:rPr>
          <w:rFonts w:ascii="Verdana" w:hAnsi="Verdana"/>
        </w:rPr>
        <w:t>selección,</w:t>
      </w:r>
      <w:r w:rsidRPr="009C3FB6">
        <w:rPr>
          <w:rFonts w:ascii="Verdana" w:hAnsi="Verdana"/>
          <w:spacing w:val="-19"/>
        </w:rPr>
        <w:t xml:space="preserve"> </w:t>
      </w:r>
      <w:r w:rsidRPr="009C3FB6">
        <w:rPr>
          <w:rFonts w:ascii="Verdana" w:hAnsi="Verdana"/>
        </w:rPr>
        <w:t>la</w:t>
      </w:r>
      <w:r w:rsidRPr="009C3FB6">
        <w:rPr>
          <w:rFonts w:ascii="Verdana" w:hAnsi="Verdana"/>
          <w:spacing w:val="-19"/>
        </w:rPr>
        <w:t xml:space="preserve"> </w:t>
      </w:r>
      <w:r w:rsidRPr="009C3FB6">
        <w:rPr>
          <w:rFonts w:ascii="Verdana" w:hAnsi="Verdana"/>
        </w:rPr>
        <w:t>Entidad</w:t>
      </w:r>
      <w:r w:rsidRPr="009C3FB6">
        <w:rPr>
          <w:rFonts w:ascii="Verdana" w:hAnsi="Verdana"/>
          <w:spacing w:val="-18"/>
        </w:rPr>
        <w:t xml:space="preserve"> </w:t>
      </w:r>
      <w:r w:rsidRPr="009C3FB6">
        <w:rPr>
          <w:rFonts w:ascii="Verdana" w:hAnsi="Verdana"/>
        </w:rPr>
        <w:t>Estatal</w:t>
      </w:r>
      <w:r w:rsidRPr="009C3FB6">
        <w:rPr>
          <w:rFonts w:ascii="Verdana" w:hAnsi="Verdana"/>
          <w:spacing w:val="-17"/>
        </w:rPr>
        <w:t xml:space="preserve"> </w:t>
      </w:r>
      <w:r w:rsidRPr="009C3FB6">
        <w:rPr>
          <w:rFonts w:ascii="Verdana" w:hAnsi="Verdana"/>
        </w:rPr>
        <w:t>podrá considerar la posibilidad de adelantar un nuevo proceso de selección, teniendo en</w:t>
      </w:r>
      <w:r w:rsidRPr="009C3FB6">
        <w:rPr>
          <w:rFonts w:ascii="Verdana" w:hAnsi="Verdana"/>
          <w:spacing w:val="-4"/>
        </w:rPr>
        <w:t xml:space="preserve"> </w:t>
      </w:r>
      <w:r w:rsidRPr="009C3FB6">
        <w:rPr>
          <w:rFonts w:ascii="Verdana" w:hAnsi="Verdana"/>
        </w:rPr>
        <w:t>cuenta</w:t>
      </w:r>
      <w:r w:rsidRPr="009C3FB6">
        <w:rPr>
          <w:rFonts w:ascii="Verdana" w:hAnsi="Verdana"/>
          <w:spacing w:val="-3"/>
        </w:rPr>
        <w:t xml:space="preserve"> </w:t>
      </w:r>
      <w:r w:rsidRPr="009C3FB6">
        <w:rPr>
          <w:rFonts w:ascii="Verdana" w:hAnsi="Verdana"/>
        </w:rPr>
        <w:t>las</w:t>
      </w:r>
      <w:r w:rsidRPr="009C3FB6">
        <w:rPr>
          <w:rFonts w:ascii="Verdana" w:hAnsi="Verdana"/>
          <w:spacing w:val="-4"/>
        </w:rPr>
        <w:t xml:space="preserve"> </w:t>
      </w:r>
      <w:r w:rsidRPr="009C3FB6">
        <w:rPr>
          <w:rFonts w:ascii="Verdana" w:hAnsi="Verdana"/>
        </w:rPr>
        <w:t>cinco</w:t>
      </w:r>
      <w:r w:rsidRPr="009C3FB6">
        <w:rPr>
          <w:rFonts w:ascii="Verdana" w:hAnsi="Verdana"/>
          <w:spacing w:val="-3"/>
        </w:rPr>
        <w:t xml:space="preserve"> </w:t>
      </w:r>
      <w:r w:rsidRPr="009C3FB6">
        <w:rPr>
          <w:rFonts w:ascii="Verdana" w:hAnsi="Verdana"/>
        </w:rPr>
        <w:t>(5)</w:t>
      </w:r>
      <w:r w:rsidRPr="009C3FB6">
        <w:rPr>
          <w:rFonts w:ascii="Verdana" w:hAnsi="Verdana"/>
          <w:spacing w:val="-4"/>
        </w:rPr>
        <w:t xml:space="preserve"> </w:t>
      </w:r>
      <w:r w:rsidRPr="009C3FB6">
        <w:rPr>
          <w:rFonts w:ascii="Verdana" w:hAnsi="Verdana"/>
        </w:rPr>
        <w:t>modalidades</w:t>
      </w:r>
      <w:r w:rsidRPr="009C3FB6">
        <w:rPr>
          <w:rFonts w:ascii="Verdana" w:hAnsi="Verdana"/>
          <w:spacing w:val="-2"/>
        </w:rPr>
        <w:t xml:space="preserve"> </w:t>
      </w:r>
      <w:r w:rsidRPr="009C3FB6">
        <w:rPr>
          <w:rFonts w:ascii="Verdana" w:hAnsi="Verdana"/>
        </w:rPr>
        <w:t>de</w:t>
      </w:r>
      <w:r w:rsidRPr="009C3FB6">
        <w:rPr>
          <w:rFonts w:ascii="Verdana" w:hAnsi="Verdana"/>
          <w:spacing w:val="-5"/>
        </w:rPr>
        <w:t xml:space="preserve"> </w:t>
      </w:r>
      <w:r w:rsidRPr="009C3FB6">
        <w:rPr>
          <w:rFonts w:ascii="Verdana" w:hAnsi="Verdana"/>
        </w:rPr>
        <w:t>selección</w:t>
      </w:r>
      <w:r w:rsidRPr="009C3FB6">
        <w:rPr>
          <w:rFonts w:ascii="Verdana" w:hAnsi="Verdana"/>
          <w:spacing w:val="-2"/>
        </w:rPr>
        <w:t xml:space="preserve"> </w:t>
      </w:r>
      <w:r w:rsidRPr="009C3FB6">
        <w:rPr>
          <w:rFonts w:ascii="Verdana" w:hAnsi="Verdana"/>
        </w:rPr>
        <w:t>previstas</w:t>
      </w:r>
      <w:r w:rsidRPr="009C3FB6">
        <w:rPr>
          <w:rFonts w:ascii="Verdana" w:hAnsi="Verdana"/>
          <w:spacing w:val="-2"/>
        </w:rPr>
        <w:t xml:space="preserve"> </w:t>
      </w:r>
      <w:r w:rsidRPr="009C3FB6">
        <w:rPr>
          <w:rFonts w:ascii="Verdana" w:hAnsi="Verdana"/>
        </w:rPr>
        <w:t>en</w:t>
      </w:r>
      <w:r w:rsidRPr="009C3FB6">
        <w:rPr>
          <w:rFonts w:ascii="Verdana" w:hAnsi="Verdana"/>
          <w:spacing w:val="-4"/>
        </w:rPr>
        <w:t xml:space="preserve"> </w:t>
      </w:r>
      <w:r w:rsidRPr="009C3FB6">
        <w:rPr>
          <w:rFonts w:ascii="Verdana" w:hAnsi="Verdana"/>
        </w:rPr>
        <w:t>el</w:t>
      </w:r>
      <w:r w:rsidRPr="009C3FB6">
        <w:rPr>
          <w:rFonts w:ascii="Verdana" w:hAnsi="Verdana"/>
          <w:spacing w:val="-5"/>
        </w:rPr>
        <w:t xml:space="preserve"> </w:t>
      </w:r>
      <w:r w:rsidRPr="009C3FB6">
        <w:rPr>
          <w:rFonts w:ascii="Verdana" w:hAnsi="Verdana"/>
        </w:rPr>
        <w:t>artículo</w:t>
      </w:r>
      <w:r w:rsidRPr="009C3FB6">
        <w:rPr>
          <w:rFonts w:ascii="Verdana" w:hAnsi="Verdana"/>
          <w:spacing w:val="-2"/>
        </w:rPr>
        <w:t xml:space="preserve"> </w:t>
      </w:r>
      <w:r w:rsidRPr="009C3FB6">
        <w:rPr>
          <w:rFonts w:ascii="Verdana" w:hAnsi="Verdana"/>
        </w:rPr>
        <w:t>2</w:t>
      </w:r>
      <w:r w:rsidRPr="009C3FB6">
        <w:rPr>
          <w:rFonts w:ascii="Verdana" w:hAnsi="Verdana"/>
          <w:spacing w:val="-5"/>
        </w:rPr>
        <w:t xml:space="preserve"> </w:t>
      </w:r>
      <w:r w:rsidRPr="009C3FB6">
        <w:rPr>
          <w:rFonts w:ascii="Verdana" w:hAnsi="Verdana"/>
        </w:rPr>
        <w:t>de</w:t>
      </w:r>
      <w:r w:rsidRPr="009C3FB6">
        <w:rPr>
          <w:rFonts w:ascii="Verdana" w:hAnsi="Verdana"/>
          <w:spacing w:val="-5"/>
        </w:rPr>
        <w:t xml:space="preserve"> </w:t>
      </w:r>
      <w:r w:rsidRPr="009C3FB6">
        <w:rPr>
          <w:rFonts w:ascii="Verdana" w:hAnsi="Verdana"/>
        </w:rPr>
        <w:t>la Ley 1150 de 2007 y sus respectivas causales, respecto de las características particulares del objeto a contratar, las circunstancias de la contratación o la cuantía</w:t>
      </w:r>
      <w:r w:rsidRPr="009C3FB6">
        <w:rPr>
          <w:rFonts w:ascii="Verdana" w:hAnsi="Verdana"/>
          <w:spacing w:val="-8"/>
        </w:rPr>
        <w:t xml:space="preserve"> </w:t>
      </w:r>
      <w:r w:rsidRPr="009C3FB6">
        <w:rPr>
          <w:rFonts w:ascii="Verdana" w:hAnsi="Verdana"/>
        </w:rPr>
        <w:t>o</w:t>
      </w:r>
      <w:r w:rsidRPr="009C3FB6">
        <w:rPr>
          <w:rFonts w:ascii="Verdana" w:hAnsi="Verdana"/>
          <w:spacing w:val="-10"/>
        </w:rPr>
        <w:t xml:space="preserve"> </w:t>
      </w:r>
      <w:r w:rsidRPr="009C3FB6">
        <w:rPr>
          <w:rFonts w:ascii="Verdana" w:hAnsi="Verdana"/>
        </w:rPr>
        <w:t>destinación</w:t>
      </w:r>
      <w:r w:rsidRPr="009C3FB6">
        <w:rPr>
          <w:rFonts w:ascii="Verdana" w:hAnsi="Verdana"/>
          <w:spacing w:val="-6"/>
        </w:rPr>
        <w:t xml:space="preserve"> </w:t>
      </w:r>
      <w:r w:rsidRPr="009C3FB6">
        <w:rPr>
          <w:rFonts w:ascii="Verdana" w:hAnsi="Verdana"/>
        </w:rPr>
        <w:t>del</w:t>
      </w:r>
      <w:r w:rsidRPr="009C3FB6">
        <w:rPr>
          <w:rFonts w:ascii="Verdana" w:hAnsi="Verdana"/>
          <w:spacing w:val="-9"/>
        </w:rPr>
        <w:t xml:space="preserve"> </w:t>
      </w:r>
      <w:r w:rsidRPr="009C3FB6">
        <w:rPr>
          <w:rFonts w:ascii="Verdana" w:hAnsi="Verdana"/>
        </w:rPr>
        <w:t>bien,</w:t>
      </w:r>
      <w:r w:rsidRPr="009C3FB6">
        <w:rPr>
          <w:rFonts w:ascii="Verdana" w:hAnsi="Verdana"/>
          <w:spacing w:val="-8"/>
        </w:rPr>
        <w:t xml:space="preserve"> </w:t>
      </w:r>
      <w:r w:rsidRPr="009C3FB6">
        <w:rPr>
          <w:rFonts w:ascii="Verdana" w:hAnsi="Verdana"/>
        </w:rPr>
        <w:t>obra</w:t>
      </w:r>
      <w:r w:rsidRPr="009C3FB6">
        <w:rPr>
          <w:rFonts w:ascii="Verdana" w:hAnsi="Verdana"/>
          <w:spacing w:val="-9"/>
        </w:rPr>
        <w:t xml:space="preserve"> </w:t>
      </w:r>
      <w:r w:rsidRPr="009C3FB6">
        <w:rPr>
          <w:rFonts w:ascii="Verdana" w:hAnsi="Verdana"/>
        </w:rPr>
        <w:t>o</w:t>
      </w:r>
      <w:r w:rsidRPr="009C3FB6">
        <w:rPr>
          <w:rFonts w:ascii="Verdana" w:hAnsi="Verdana"/>
          <w:spacing w:val="-10"/>
        </w:rPr>
        <w:t xml:space="preserve"> </w:t>
      </w:r>
      <w:r w:rsidRPr="009C3FB6">
        <w:rPr>
          <w:rFonts w:ascii="Verdana" w:hAnsi="Verdana"/>
        </w:rPr>
        <w:t>servicio,</w:t>
      </w:r>
      <w:r w:rsidRPr="009C3FB6">
        <w:rPr>
          <w:rFonts w:ascii="Verdana" w:hAnsi="Verdana"/>
          <w:spacing w:val="-7"/>
        </w:rPr>
        <w:t xml:space="preserve"> </w:t>
      </w:r>
      <w:r w:rsidRPr="009C3FB6">
        <w:rPr>
          <w:rFonts w:ascii="Verdana" w:hAnsi="Verdana"/>
        </w:rPr>
        <w:t>que</w:t>
      </w:r>
      <w:r w:rsidRPr="009C3FB6">
        <w:rPr>
          <w:rFonts w:ascii="Verdana" w:hAnsi="Verdana"/>
          <w:spacing w:val="-9"/>
        </w:rPr>
        <w:t xml:space="preserve"> </w:t>
      </w:r>
      <w:r w:rsidRPr="009C3FB6">
        <w:rPr>
          <w:rFonts w:ascii="Verdana" w:hAnsi="Verdana"/>
        </w:rPr>
        <w:t>justifican</w:t>
      </w:r>
      <w:r w:rsidRPr="009C3FB6">
        <w:rPr>
          <w:rFonts w:ascii="Verdana" w:hAnsi="Verdana"/>
          <w:spacing w:val="-6"/>
        </w:rPr>
        <w:t xml:space="preserve"> </w:t>
      </w:r>
      <w:r w:rsidRPr="009C3FB6">
        <w:rPr>
          <w:rFonts w:ascii="Verdana" w:hAnsi="Verdana"/>
        </w:rPr>
        <w:t>la</w:t>
      </w:r>
      <w:r w:rsidRPr="009C3FB6">
        <w:rPr>
          <w:rFonts w:ascii="Verdana" w:hAnsi="Verdana"/>
          <w:spacing w:val="-9"/>
        </w:rPr>
        <w:t xml:space="preserve"> </w:t>
      </w:r>
      <w:r w:rsidRPr="009C3FB6">
        <w:rPr>
          <w:rFonts w:ascii="Verdana" w:hAnsi="Verdana"/>
        </w:rPr>
        <w:t>selección</w:t>
      </w:r>
      <w:r w:rsidRPr="009C3FB6">
        <w:rPr>
          <w:rFonts w:ascii="Verdana" w:hAnsi="Verdana"/>
          <w:spacing w:val="-6"/>
        </w:rPr>
        <w:t xml:space="preserve"> </w:t>
      </w:r>
      <w:r w:rsidRPr="009C3FB6">
        <w:rPr>
          <w:rFonts w:ascii="Verdana" w:hAnsi="Verdana"/>
        </w:rPr>
        <w:t>de</w:t>
      </w:r>
      <w:r w:rsidRPr="009C3FB6">
        <w:rPr>
          <w:rFonts w:ascii="Verdana" w:hAnsi="Verdana"/>
          <w:spacing w:val="-9"/>
        </w:rPr>
        <w:t xml:space="preserve"> </w:t>
      </w:r>
      <w:r w:rsidRPr="009C3FB6">
        <w:rPr>
          <w:rFonts w:ascii="Verdana" w:hAnsi="Verdana"/>
        </w:rPr>
        <w:t>una u otra modalidad de contratación especifica, que en todo caso debe estar siempre acorde a la Ley.</w:t>
      </w:r>
      <w:r w:rsidR="05EBC534" w:rsidRPr="009C3FB6">
        <w:rPr>
          <w:rFonts w:ascii="Verdana" w:hAnsi="Verdana"/>
        </w:rPr>
        <w:t xml:space="preserve"> </w:t>
      </w:r>
      <w:r w:rsidRPr="009C3FB6">
        <w:rPr>
          <w:rFonts w:ascii="Verdana" w:hAnsi="Verdana"/>
        </w:rPr>
        <w:t>Para</w:t>
      </w:r>
      <w:r w:rsidRPr="009C3FB6">
        <w:rPr>
          <w:rFonts w:ascii="Verdana" w:hAnsi="Verdana"/>
          <w:spacing w:val="-6"/>
        </w:rPr>
        <w:t xml:space="preserve"> </w:t>
      </w:r>
      <w:r w:rsidRPr="009C3FB6">
        <w:rPr>
          <w:rFonts w:ascii="Verdana" w:hAnsi="Verdana"/>
        </w:rPr>
        <w:t>estos</w:t>
      </w:r>
      <w:r w:rsidRPr="009C3FB6">
        <w:rPr>
          <w:rFonts w:ascii="Verdana" w:hAnsi="Verdana"/>
          <w:spacing w:val="-6"/>
        </w:rPr>
        <w:t xml:space="preserve"> </w:t>
      </w:r>
      <w:r w:rsidRPr="009C3FB6">
        <w:rPr>
          <w:rFonts w:ascii="Verdana" w:hAnsi="Verdana"/>
        </w:rPr>
        <w:t>casos, se</w:t>
      </w:r>
      <w:r w:rsidRPr="009C3FB6">
        <w:rPr>
          <w:rFonts w:ascii="Verdana" w:hAnsi="Verdana"/>
          <w:spacing w:val="-15"/>
        </w:rPr>
        <w:t xml:space="preserve"> </w:t>
      </w:r>
      <w:r w:rsidRPr="009C3FB6">
        <w:rPr>
          <w:rFonts w:ascii="Verdana" w:hAnsi="Verdana"/>
        </w:rPr>
        <w:t>recomienda</w:t>
      </w:r>
      <w:r w:rsidRPr="009C3FB6">
        <w:rPr>
          <w:rFonts w:ascii="Verdana" w:hAnsi="Verdana"/>
          <w:spacing w:val="-12"/>
        </w:rPr>
        <w:t xml:space="preserve"> </w:t>
      </w:r>
      <w:r w:rsidRPr="009C3FB6">
        <w:rPr>
          <w:rFonts w:ascii="Verdana" w:hAnsi="Verdana"/>
        </w:rPr>
        <w:t>que</w:t>
      </w:r>
      <w:r w:rsidRPr="009C3FB6">
        <w:rPr>
          <w:rFonts w:ascii="Verdana" w:hAnsi="Verdana"/>
          <w:spacing w:val="-14"/>
        </w:rPr>
        <w:t xml:space="preserve"> </w:t>
      </w:r>
      <w:r w:rsidRPr="009C3FB6">
        <w:rPr>
          <w:rFonts w:ascii="Verdana" w:hAnsi="Verdana"/>
        </w:rPr>
        <w:t>las</w:t>
      </w:r>
      <w:r w:rsidRPr="009C3FB6">
        <w:rPr>
          <w:rFonts w:ascii="Verdana" w:hAnsi="Verdana"/>
          <w:spacing w:val="-14"/>
        </w:rPr>
        <w:t xml:space="preserve"> </w:t>
      </w:r>
      <w:r w:rsidRPr="009C3FB6">
        <w:rPr>
          <w:rFonts w:ascii="Verdana" w:hAnsi="Verdana"/>
        </w:rPr>
        <w:t>Entidades</w:t>
      </w:r>
      <w:r w:rsidRPr="009C3FB6">
        <w:rPr>
          <w:rFonts w:ascii="Verdana" w:hAnsi="Verdana"/>
          <w:spacing w:val="-13"/>
        </w:rPr>
        <w:t xml:space="preserve"> </w:t>
      </w:r>
      <w:r w:rsidRPr="009C3FB6">
        <w:rPr>
          <w:rFonts w:ascii="Verdana" w:hAnsi="Verdana"/>
        </w:rPr>
        <w:t>Estatales</w:t>
      </w:r>
      <w:r w:rsidRPr="009C3FB6">
        <w:rPr>
          <w:rFonts w:ascii="Verdana" w:hAnsi="Verdana"/>
          <w:spacing w:val="-13"/>
        </w:rPr>
        <w:t xml:space="preserve"> </w:t>
      </w:r>
      <w:r w:rsidRPr="009C3FB6">
        <w:rPr>
          <w:rFonts w:ascii="Verdana" w:hAnsi="Verdana"/>
        </w:rPr>
        <w:t>revisen</w:t>
      </w:r>
      <w:r w:rsidRPr="009C3FB6">
        <w:rPr>
          <w:rFonts w:ascii="Verdana" w:hAnsi="Verdana"/>
          <w:spacing w:val="-15"/>
        </w:rPr>
        <w:t xml:space="preserve"> </w:t>
      </w:r>
      <w:r w:rsidRPr="009C3FB6">
        <w:rPr>
          <w:rFonts w:ascii="Verdana" w:hAnsi="Verdana"/>
        </w:rPr>
        <w:t>los</w:t>
      </w:r>
      <w:r w:rsidRPr="009C3FB6">
        <w:rPr>
          <w:rFonts w:ascii="Verdana" w:hAnsi="Verdana"/>
          <w:spacing w:val="-15"/>
        </w:rPr>
        <w:t xml:space="preserve"> </w:t>
      </w:r>
      <w:r w:rsidRPr="009C3FB6">
        <w:rPr>
          <w:rFonts w:ascii="Verdana" w:hAnsi="Verdana"/>
        </w:rPr>
        <w:t>factores</w:t>
      </w:r>
      <w:r w:rsidRPr="009C3FB6">
        <w:rPr>
          <w:rFonts w:ascii="Verdana" w:hAnsi="Verdana"/>
          <w:spacing w:val="-13"/>
        </w:rPr>
        <w:t xml:space="preserve"> </w:t>
      </w:r>
      <w:r w:rsidRPr="009C3FB6">
        <w:rPr>
          <w:rFonts w:ascii="Verdana" w:hAnsi="Verdana"/>
        </w:rPr>
        <w:t>que</w:t>
      </w:r>
      <w:r w:rsidRPr="009C3FB6">
        <w:rPr>
          <w:rFonts w:ascii="Verdana" w:hAnsi="Verdana"/>
          <w:spacing w:val="-14"/>
        </w:rPr>
        <w:t xml:space="preserve"> </w:t>
      </w:r>
      <w:r w:rsidRPr="009C3FB6">
        <w:rPr>
          <w:rFonts w:ascii="Verdana" w:hAnsi="Verdana"/>
        </w:rPr>
        <w:t>pueden</w:t>
      </w:r>
      <w:r w:rsidRPr="009C3FB6">
        <w:rPr>
          <w:rFonts w:ascii="Verdana" w:hAnsi="Verdana"/>
          <w:spacing w:val="-13"/>
        </w:rPr>
        <w:t xml:space="preserve"> </w:t>
      </w:r>
      <w:r w:rsidRPr="009C3FB6">
        <w:rPr>
          <w:rFonts w:ascii="Verdana" w:hAnsi="Verdana"/>
        </w:rPr>
        <w:t>estar afectando la participación en el procedimiento o las causas por las cuales los oferentes no están cumpliendo con los requisitos señalados en los Pliegos de Condiciones, con el fin de corregir los posibles obstáculos que conllevaron a la declaratoria de desierta.</w:t>
      </w:r>
    </w:p>
    <w:p w14:paraId="50169827" w14:textId="77777777" w:rsidR="00FA2C6C" w:rsidRPr="009C3FB6" w:rsidRDefault="00FA2C6C" w:rsidP="00FA2C6C">
      <w:pPr>
        <w:widowControl w:val="0"/>
        <w:autoSpaceDE w:val="0"/>
        <w:autoSpaceDN w:val="0"/>
        <w:spacing w:after="0" w:line="276" w:lineRule="auto"/>
        <w:ind w:right="49"/>
        <w:jc w:val="both"/>
        <w:rPr>
          <w:rFonts w:ascii="Verdana" w:hAnsi="Verdana"/>
        </w:rPr>
      </w:pPr>
    </w:p>
    <w:p w14:paraId="0DD7DFE5" w14:textId="77777777" w:rsidR="00FA2C6C" w:rsidRDefault="00FA2C6C" w:rsidP="00FA2C6C">
      <w:pPr>
        <w:spacing w:after="0" w:line="276" w:lineRule="auto"/>
        <w:ind w:right="49" w:firstLine="708"/>
        <w:jc w:val="both"/>
        <w:rPr>
          <w:rFonts w:ascii="Verdana" w:hAnsi="Verdana" w:cs="Arial"/>
          <w:color w:val="000000" w:themeColor="text1"/>
        </w:rPr>
      </w:pPr>
      <w:r>
        <w:rPr>
          <w:rFonts w:ascii="Verdana" w:hAnsi="Verdana"/>
        </w:rPr>
        <w:t>E</w:t>
      </w:r>
      <w:r w:rsidRPr="6CB6BBDA">
        <w:rPr>
          <w:rFonts w:ascii="Verdana" w:hAnsi="Verdana"/>
        </w:rPr>
        <w:t xml:space="preserve">n el evento que la entidad decida </w:t>
      </w:r>
      <w:proofErr w:type="spellStart"/>
      <w:r w:rsidRPr="6CB6BBDA">
        <w:rPr>
          <w:rFonts w:ascii="Verdana" w:hAnsi="Verdana"/>
        </w:rPr>
        <w:t>aperturar</w:t>
      </w:r>
      <w:proofErr w:type="spellEnd"/>
      <w:r w:rsidRPr="6CB6BBDA">
        <w:rPr>
          <w:rFonts w:ascii="Verdana" w:hAnsi="Verdana"/>
        </w:rPr>
        <w:t xml:space="preserve"> un nuevo proceso de selección luego de la declaratoria de desierto del anterior, y en</w:t>
      </w:r>
      <w:r w:rsidRPr="009C3FB6">
        <w:rPr>
          <w:rFonts w:ascii="Verdana" w:hAnsi="Verdana"/>
        </w:rPr>
        <w:t xml:space="preserve"> caso de que en ese nuevo proceso se presenten solicitudes de limitación a </w:t>
      </w:r>
      <w:proofErr w:type="spellStart"/>
      <w:r w:rsidRPr="009C3FB6">
        <w:rPr>
          <w:rFonts w:ascii="Verdana" w:hAnsi="Verdana"/>
        </w:rPr>
        <w:t>mipymes</w:t>
      </w:r>
      <w:proofErr w:type="spellEnd"/>
      <w:r w:rsidRPr="009C3FB6">
        <w:rPr>
          <w:rFonts w:ascii="Verdana" w:hAnsi="Verdana"/>
        </w:rPr>
        <w:t xml:space="preserve">, </w:t>
      </w:r>
      <w:r w:rsidRPr="6CB6BBDA">
        <w:rPr>
          <w:rFonts w:ascii="Verdana" w:hAnsi="Verdana"/>
        </w:rPr>
        <w:t xml:space="preserve">se considera que </w:t>
      </w:r>
      <w:r w:rsidRPr="009C3FB6">
        <w:rPr>
          <w:rFonts w:ascii="Verdana" w:eastAsia="Calibri" w:hAnsi="Verdana" w:cs="Arial"/>
          <w:color w:val="000000" w:themeColor="text1"/>
        </w:rPr>
        <w:t xml:space="preserve">la entidad debe verificar el cumplimiento de </w:t>
      </w:r>
      <w:r w:rsidRPr="009C3FB6">
        <w:rPr>
          <w:rFonts w:ascii="Verdana" w:eastAsia="Arial" w:hAnsi="Verdana" w:cs="Arial"/>
          <w:color w:val="000000" w:themeColor="text1"/>
        </w:rPr>
        <w:t>los requisitos establecidos en los numerales 1 y 2 del artículo 2.2.1.2.4.2.2 del Decreto 1082 de 2015, modificado por el Decreto 1860 de 2021,</w:t>
      </w:r>
      <w:r>
        <w:rPr>
          <w:rFonts w:ascii="Verdana" w:eastAsia="Arial" w:hAnsi="Verdana" w:cs="Arial"/>
          <w:color w:val="000000" w:themeColor="text1"/>
        </w:rPr>
        <w:t xml:space="preserve"> para proceder con la limitación a </w:t>
      </w:r>
      <w:proofErr w:type="spellStart"/>
      <w:r>
        <w:rPr>
          <w:rFonts w:ascii="Verdana" w:eastAsia="Arial" w:hAnsi="Verdana" w:cs="Arial"/>
          <w:color w:val="000000" w:themeColor="text1"/>
        </w:rPr>
        <w:t>Mipymes</w:t>
      </w:r>
      <w:proofErr w:type="spellEnd"/>
      <w:r>
        <w:rPr>
          <w:rFonts w:ascii="Verdana" w:eastAsia="Arial" w:hAnsi="Verdana" w:cs="Arial"/>
          <w:color w:val="000000" w:themeColor="text1"/>
        </w:rPr>
        <w:t xml:space="preserve"> colombianas. </w:t>
      </w:r>
      <w:r w:rsidRPr="00D804ED">
        <w:rPr>
          <w:rFonts w:ascii="Verdana" w:hAnsi="Verdana" w:cs="Arial"/>
          <w:color w:val="000000" w:themeColor="text1"/>
        </w:rPr>
        <w:t xml:space="preserve">Cumplidos los dos requisitos del artículo 2.2.1.2.4.2.2 </w:t>
      </w:r>
      <w:proofErr w:type="spellStart"/>
      <w:r w:rsidRPr="00D804ED">
        <w:rPr>
          <w:rFonts w:ascii="Verdana" w:hAnsi="Verdana" w:cs="Arial"/>
          <w:i/>
          <w:iCs/>
          <w:color w:val="000000" w:themeColor="text1"/>
        </w:rPr>
        <w:t>ibídem</w:t>
      </w:r>
      <w:proofErr w:type="spellEnd"/>
      <w:r w:rsidRPr="00D804ED">
        <w:rPr>
          <w:rFonts w:ascii="Verdana" w:hAnsi="Verdana" w:cs="Arial"/>
          <w:color w:val="000000" w:themeColor="text1"/>
        </w:rPr>
        <w:t>,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que se ejecutará el contrato.</w:t>
      </w:r>
    </w:p>
    <w:p w14:paraId="2DB511DC" w14:textId="77777777" w:rsidR="00FA2C6C" w:rsidRPr="004508B5" w:rsidRDefault="00FA2C6C" w:rsidP="00FA2C6C">
      <w:pPr>
        <w:spacing w:after="0" w:line="276" w:lineRule="auto"/>
        <w:ind w:firstLine="705"/>
        <w:jc w:val="both"/>
        <w:textAlignment w:val="baseline"/>
        <w:rPr>
          <w:rFonts w:ascii="Verdana" w:eastAsia="Times New Roman" w:hAnsi="Verdana" w:cs="Arial"/>
          <w:lang w:val="es-MX" w:eastAsia="es-CO"/>
        </w:rPr>
      </w:pPr>
      <w:r w:rsidRPr="004508B5">
        <w:rPr>
          <w:rFonts w:ascii="Verdana" w:eastAsia="Times New Roman" w:hAnsi="Verdana" w:cs="Arial"/>
          <w:lang w:val="es-MX" w:eastAsia="es-CO"/>
        </w:rPr>
        <w:t xml:space="preserve">Con todo, debe advertirse que el hecho de la limitación territorial opere de manera discrecional implica que la misma no debe ser de forma caprichosa o arbitraría o de manera que desconozca los fines de la norma. </w:t>
      </w:r>
      <w:r w:rsidRPr="00D804ED">
        <w:rPr>
          <w:rFonts w:ascii="Verdana" w:eastAsia="Times New Roman" w:hAnsi="Verdana" w:cs="Arial"/>
          <w:lang w:val="es-MX" w:eastAsia="es-CO"/>
        </w:rPr>
        <w:t>Así el ordenamiento legal impone una carga de motivación en el ejercicio de facultades discrecionales,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p w14:paraId="167AEB35" w14:textId="77777777" w:rsidR="00FA2C6C" w:rsidRPr="00497417" w:rsidRDefault="00FA2C6C" w:rsidP="00FA2C6C">
      <w:pPr>
        <w:spacing w:after="0" w:line="276" w:lineRule="auto"/>
        <w:ind w:firstLine="705"/>
        <w:jc w:val="both"/>
        <w:textAlignment w:val="baseline"/>
        <w:rPr>
          <w:rFonts w:ascii="Verdana" w:hAnsi="Verdana" w:cs="Arial"/>
          <w:color w:val="000000"/>
          <w:shd w:val="clear" w:color="auto" w:fill="FFFFFF"/>
        </w:rPr>
      </w:pPr>
      <w:r w:rsidRPr="004508B5">
        <w:rPr>
          <w:rFonts w:ascii="Verdana" w:eastAsia="Times New Roman" w:hAnsi="Verdana" w:cs="Arial"/>
          <w:lang w:eastAsia="es-CO"/>
        </w:rPr>
        <w:t xml:space="preserve">Conforme a esto, el debido ejercicio de la referida potestad discrecional exige que converjan unos mínimos presupuestos de adecuación, para que resulte adecuada la decisión de limitar una convocatoria a la participación exclusiva de </w:t>
      </w:r>
      <w:r w:rsidRPr="00D804ED">
        <w:rPr>
          <w:rFonts w:ascii="Verdana" w:eastAsia="Times New Roman" w:hAnsi="Verdana" w:cs="Arial"/>
          <w:lang w:eastAsia="es-CO"/>
        </w:rPr>
        <w:t>MiPymes</w:t>
      </w:r>
      <w:r w:rsidRPr="004508B5">
        <w:rPr>
          <w:rFonts w:ascii="Verdana" w:eastAsia="Times New Roman" w:hAnsi="Verdana" w:cs="Arial"/>
          <w:lang w:eastAsia="es-CO"/>
        </w:rPr>
        <w:t xml:space="preserve">. </w:t>
      </w:r>
      <w:r w:rsidRPr="00D804ED">
        <w:rPr>
          <w:rFonts w:ascii="Verdana" w:eastAsia="Times New Roman" w:hAnsi="Verdana" w:cs="Arial"/>
          <w:lang w:eastAsia="es-CO"/>
        </w:rPr>
        <w:t>P</w:t>
      </w:r>
      <w:r w:rsidRPr="004508B5">
        <w:rPr>
          <w:rFonts w:ascii="Verdana" w:eastAsia="Times New Roman" w:hAnsi="Verdana" w:cs="Arial"/>
          <w:lang w:eastAsia="es-CO"/>
        </w:rPr>
        <w:t>or lo que</w:t>
      </w:r>
      <w:r w:rsidRPr="00D804ED">
        <w:rPr>
          <w:rFonts w:ascii="Verdana" w:eastAsia="Times New Roman" w:hAnsi="Verdana" w:cs="Arial"/>
          <w:lang w:eastAsia="es-CO"/>
        </w:rPr>
        <w:t xml:space="preserve">, </w:t>
      </w:r>
      <w:r w:rsidRPr="004508B5">
        <w:rPr>
          <w:rFonts w:ascii="Verdana" w:eastAsia="Times New Roman" w:hAnsi="Verdana" w:cs="Arial"/>
          <w:lang w:eastAsia="es-CO"/>
        </w:rPr>
        <w:t xml:space="preserve">la decisión de limitar territorialmente una convocatoria </w:t>
      </w:r>
      <w:r w:rsidRPr="00D804ED">
        <w:rPr>
          <w:rFonts w:ascii="Verdana" w:eastAsia="Times New Roman" w:hAnsi="Verdana" w:cs="Arial"/>
          <w:lang w:eastAsia="es-CO"/>
        </w:rPr>
        <w:t>resulta</w:t>
      </w:r>
      <w:r w:rsidRPr="004508B5">
        <w:rPr>
          <w:rFonts w:ascii="Verdana" w:eastAsia="Times New Roman" w:hAnsi="Verdana" w:cs="Arial"/>
          <w:lang w:eastAsia="es-CO"/>
        </w:rPr>
        <w:t xml:space="preserve"> razonable si la información recolectada en el marco del análisis del sector indica que en el lugar de ejecución del contrato existe un número significativo de </w:t>
      </w:r>
      <w:r w:rsidRPr="00D804ED">
        <w:rPr>
          <w:rFonts w:ascii="Verdana" w:eastAsia="Times New Roman" w:hAnsi="Verdana" w:cs="Arial"/>
          <w:lang w:eastAsia="es-CO"/>
        </w:rPr>
        <w:t>MiPymes</w:t>
      </w:r>
      <w:r w:rsidRPr="004508B5">
        <w:rPr>
          <w:rFonts w:ascii="Verdana" w:eastAsia="Times New Roman" w:hAnsi="Verdana" w:cs="Arial"/>
          <w:lang w:eastAsia="es-CO"/>
        </w:rPr>
        <w:t xml:space="preserve"> allí domiciliadas, cuyo objeto social les permitiría desarrollar el contrato o que estén interesadas en participar en el respectivo proceso de contratación. Adicionalmente, se torna relevante determinar que tantas de esas </w:t>
      </w:r>
      <w:r w:rsidRPr="00D804ED">
        <w:rPr>
          <w:rFonts w:ascii="Verdana" w:eastAsia="Times New Roman" w:hAnsi="Verdana" w:cs="Arial"/>
          <w:lang w:eastAsia="es-CO"/>
        </w:rPr>
        <w:t>MiPymes</w:t>
      </w:r>
      <w:r w:rsidRPr="004508B5">
        <w:rPr>
          <w:rFonts w:ascii="Verdana" w:eastAsia="Times New Roman" w:hAnsi="Verdana" w:cs="Arial"/>
          <w:lang w:eastAsia="es-CO"/>
        </w:rPr>
        <w:t xml:space="preserve"> tendrían la posibilidad de participar en el respectivo proceso de contratación en consideración en atención a las aptitudes e idoneidad requerida.  De acuerdo con lo anterior, difícilmente podría entenderse adecuada la decisión de limitar una convocatoria por el referido </w:t>
      </w:r>
      <w:r w:rsidRPr="004508B5">
        <w:rPr>
          <w:rFonts w:ascii="Verdana" w:eastAsia="Times New Roman" w:hAnsi="Verdana" w:cs="Arial"/>
          <w:lang w:eastAsia="es-CO"/>
        </w:rPr>
        <w:lastRenderedPageBreak/>
        <w:t>factor</w:t>
      </w:r>
      <w:r w:rsidRPr="00D804ED">
        <w:rPr>
          <w:rFonts w:ascii="Verdana" w:eastAsia="Times New Roman" w:hAnsi="Verdana" w:cs="Arial"/>
          <w:lang w:eastAsia="es-CO"/>
        </w:rPr>
        <w:t xml:space="preserve"> </w:t>
      </w:r>
      <w:r w:rsidRPr="00D804ED">
        <w:rPr>
          <w:rStyle w:val="normaltextrun"/>
          <w:rFonts w:ascii="Verdana" w:hAnsi="Verdana" w:cs="Arial"/>
          <w:color w:val="000000"/>
          <w:shd w:val="clear" w:color="auto" w:fill="FFFFFF"/>
        </w:rPr>
        <w:t>territorial, si dentro del estudio del sector no se identifican una pluralidad de MiPymes que estén en posición de participar en el respectivo proceso.</w:t>
      </w:r>
    </w:p>
    <w:p w14:paraId="049E1245" w14:textId="77777777" w:rsidR="00FA2C6C" w:rsidRDefault="00FA2C6C" w:rsidP="00FA2C6C">
      <w:pPr>
        <w:spacing w:after="12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F2F9584" w14:textId="77777777" w:rsidR="00FA2C6C" w:rsidRPr="00185EE9" w:rsidRDefault="00FA2C6C" w:rsidP="00FA2C6C">
      <w:pPr>
        <w:spacing w:after="0" w:line="276" w:lineRule="auto"/>
        <w:ind w:firstLine="708"/>
        <w:jc w:val="both"/>
        <w:rPr>
          <w:rFonts w:ascii="Verdana" w:eastAsia="Calibri" w:hAnsi="Verdana" w:cs="Arial"/>
          <w:bCs/>
          <w:color w:val="000000" w:themeColor="text1"/>
        </w:rPr>
      </w:pPr>
      <w:r w:rsidRPr="00E853DE">
        <w:rPr>
          <w:rFonts w:ascii="Verdana" w:eastAsia="Calibri" w:hAnsi="Verdana" w:cs="Arial"/>
          <w:bCs/>
          <w:color w:val="000000" w:themeColor="text1"/>
        </w:rPr>
        <w:t>Dentro de este marco, la entidad contratante definirá en cada caso concreto lo relacionado con</w:t>
      </w:r>
      <w:r>
        <w:rPr>
          <w:rFonts w:ascii="Verdana" w:eastAsia="Calibri" w:hAnsi="Verdana" w:cs="Arial"/>
          <w:bCs/>
          <w:color w:val="000000" w:themeColor="text1"/>
        </w:rPr>
        <w:t xml:space="preserve"> los aspectos puntuales d</w:t>
      </w:r>
      <w:r w:rsidRPr="00E853DE">
        <w:rPr>
          <w:rFonts w:ascii="Verdana" w:eastAsia="Calibri" w:hAnsi="Verdana" w:cs="Arial"/>
          <w:bCs/>
          <w:color w:val="000000" w:themeColor="text1"/>
        </w:rPr>
        <w:t>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185EE9">
        <w:rPr>
          <w:rFonts w:ascii="Verdana" w:eastAsia="Calibri" w:hAnsi="Verdana" w:cs="Arial"/>
          <w:bCs/>
          <w:color w:val="000000" w:themeColor="text1"/>
        </w:rPr>
        <w:t xml:space="preserve"> </w:t>
      </w:r>
    </w:p>
    <w:p w14:paraId="1F87C87D" w14:textId="77777777" w:rsidR="00FA2C6C" w:rsidRDefault="00FA2C6C" w:rsidP="00FA2C6C">
      <w:pPr>
        <w:widowControl w:val="0"/>
        <w:autoSpaceDE w:val="0"/>
        <w:autoSpaceDN w:val="0"/>
        <w:spacing w:after="0" w:line="276" w:lineRule="auto"/>
        <w:jc w:val="both"/>
        <w:rPr>
          <w:rFonts w:ascii="Verdana" w:hAnsi="Verdana" w:cs="Arial"/>
        </w:rPr>
      </w:pPr>
    </w:p>
    <w:p w14:paraId="37232D97" w14:textId="77777777" w:rsidR="00FA2C6C" w:rsidRDefault="00FA2C6C" w:rsidP="00FA2C6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5B98CCF3" w14:textId="77777777" w:rsidR="00FA2C6C" w:rsidRDefault="00FA2C6C" w:rsidP="00FA2C6C">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FA2C6C" w14:paraId="57EEC6BA" w14:textId="77777777" w:rsidTr="00A241F4">
        <w:trPr>
          <w:trHeight w:val="870"/>
        </w:trPr>
        <w:tc>
          <w:tcPr>
            <w:tcW w:w="8647" w:type="dxa"/>
            <w:tcBorders>
              <w:top w:val="dotted" w:sz="4" w:space="0" w:color="auto"/>
              <w:left w:val="dotted" w:sz="4" w:space="0" w:color="auto"/>
              <w:bottom w:val="dotted" w:sz="4" w:space="0" w:color="auto"/>
              <w:right w:val="dotted" w:sz="4" w:space="0" w:color="auto"/>
            </w:tcBorders>
            <w:hideMark/>
          </w:tcPr>
          <w:p w14:paraId="0FFB70FA" w14:textId="77777777" w:rsidR="00FA2C6C" w:rsidRPr="00453FA9" w:rsidRDefault="00FA2C6C" w:rsidP="00A241F4">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 xml:space="preserve">Ley 80 de 1993. Artículos </w:t>
            </w:r>
            <w:r>
              <w:rPr>
                <w:rFonts w:ascii="Verdana" w:hAnsi="Verdana" w:cs="Arial"/>
                <w:color w:val="000000" w:themeColor="text1"/>
              </w:rPr>
              <w:t>23, 24, 25 y 77</w:t>
            </w:r>
          </w:p>
          <w:p w14:paraId="3C29F379" w14:textId="77777777" w:rsidR="00FA2C6C" w:rsidRPr="00453FA9" w:rsidRDefault="00FA2C6C" w:rsidP="00A241F4">
            <w:pPr>
              <w:widowControl w:val="0"/>
              <w:numPr>
                <w:ilvl w:val="0"/>
                <w:numId w:val="17"/>
              </w:numPr>
              <w:autoSpaceDE w:val="0"/>
              <w:autoSpaceDN w:val="0"/>
              <w:spacing w:after="120" w:line="276" w:lineRule="auto"/>
              <w:contextualSpacing/>
              <w:jc w:val="both"/>
              <w:rPr>
                <w:rFonts w:ascii="Verdana" w:eastAsia="Calibri" w:hAnsi="Verdana" w:cs="Arial"/>
                <w:lang w:val="es-ES"/>
              </w:rPr>
            </w:pPr>
            <w:r w:rsidRPr="009C3FB6">
              <w:rPr>
                <w:rFonts w:ascii="Verdana" w:eastAsia="Arial" w:hAnsi="Verdana" w:cs="Arial"/>
                <w:color w:val="000000" w:themeColor="text1"/>
              </w:rPr>
              <w:t>Decreto 1082 de 2015</w:t>
            </w:r>
            <w:r>
              <w:rPr>
                <w:rFonts w:ascii="Verdana" w:eastAsia="Arial" w:hAnsi="Verdana" w:cs="Arial"/>
                <w:color w:val="000000" w:themeColor="text1"/>
              </w:rPr>
              <w:t>. A</w:t>
            </w:r>
            <w:r w:rsidRPr="009C3FB6">
              <w:rPr>
                <w:rFonts w:ascii="Verdana" w:eastAsia="Arial" w:hAnsi="Verdana" w:cs="Arial"/>
                <w:color w:val="000000" w:themeColor="text1"/>
              </w:rPr>
              <w:t>rtículo 2.2.1.2.4.2.2</w:t>
            </w:r>
            <w:r>
              <w:rPr>
                <w:rFonts w:ascii="Verdana" w:eastAsia="Arial" w:hAnsi="Verdana" w:cs="Arial"/>
                <w:color w:val="000000" w:themeColor="text1"/>
              </w:rPr>
              <w:t xml:space="preserve">., </w:t>
            </w:r>
            <w:r w:rsidRPr="00992A57">
              <w:rPr>
                <w:rFonts w:ascii="Verdana" w:hAnsi="Verdana" w:cs="Arial"/>
              </w:rPr>
              <w:t>2.2.1.2.4.2.3 y 2.2.1.2.4.2.4.</w:t>
            </w:r>
          </w:p>
          <w:p w14:paraId="306E3BD4" w14:textId="77777777" w:rsidR="00FA2C6C" w:rsidRPr="00992A57" w:rsidRDefault="00FA2C6C" w:rsidP="00A241F4">
            <w:pPr>
              <w:pStyle w:val="Prrafodelista"/>
              <w:widowControl w:val="0"/>
              <w:numPr>
                <w:ilvl w:val="0"/>
                <w:numId w:val="17"/>
              </w:numPr>
              <w:autoSpaceDE w:val="0"/>
              <w:autoSpaceDN w:val="0"/>
              <w:spacing w:after="120" w:line="276" w:lineRule="auto"/>
              <w:jc w:val="both"/>
              <w:rPr>
                <w:rFonts w:ascii="Verdana" w:hAnsi="Verdana" w:cs="Arial"/>
              </w:rPr>
            </w:pPr>
            <w:r w:rsidRPr="00992A57">
              <w:rPr>
                <w:rFonts w:ascii="Verdana" w:hAnsi="Verdana" w:cs="Arial"/>
              </w:rPr>
              <w:t>Ley 1437 de 2011, artículo 44</w:t>
            </w:r>
          </w:p>
          <w:p w14:paraId="0FFA09D0" w14:textId="77777777" w:rsidR="00FA2C6C" w:rsidRPr="00453FA9" w:rsidRDefault="00FA2C6C" w:rsidP="00A241F4">
            <w:pPr>
              <w:pStyle w:val="Prrafodelista"/>
              <w:widowControl w:val="0"/>
              <w:numPr>
                <w:ilvl w:val="0"/>
                <w:numId w:val="17"/>
              </w:numPr>
              <w:autoSpaceDE w:val="0"/>
              <w:autoSpaceDN w:val="0"/>
              <w:spacing w:after="120" w:line="276" w:lineRule="auto"/>
              <w:jc w:val="both"/>
              <w:rPr>
                <w:rFonts w:ascii="Verdana" w:hAnsi="Verdana" w:cs="Arial"/>
                <w:color w:val="7030A0"/>
              </w:rPr>
            </w:pPr>
            <w:r w:rsidRPr="00992A57">
              <w:rPr>
                <w:rFonts w:ascii="Verdana" w:hAnsi="Verdana" w:cs="Arial"/>
              </w:rPr>
              <w:t xml:space="preserve">GUÍA PARA PROMOVER LA PARTICIPACIÓN DE LAS MIPYMES EN LOS PROCESOS DE COMPRA Y CONTRATACIÓN PÚBLICA </w:t>
            </w:r>
            <w:hyperlink r:id="rId13" w:history="1">
              <w:r w:rsidRPr="00654D28">
                <w:rPr>
                  <w:rStyle w:val="Hipervnculo"/>
                  <w:rFonts w:ascii="Verdana" w:hAnsi="Verdana" w:cs="Arial"/>
                </w:rPr>
                <w:t>https://www.colombiacompra.gov.co/sites/cce_public/files/cce_documents/guia_para_promover_la_participacion_de_las_mipymes_en_los_procesos_de_compra_publica_cce-gad-gi-26_1.pdf</w:t>
              </w:r>
            </w:hyperlink>
            <w:r>
              <w:rPr>
                <w:rFonts w:ascii="Verdana" w:hAnsi="Verdana" w:cs="Arial"/>
                <w:color w:val="7030A0"/>
              </w:rPr>
              <w:t xml:space="preserve"> </w:t>
            </w:r>
            <w:r w:rsidRPr="00992A57">
              <w:rPr>
                <w:rFonts w:ascii="Verdana" w:hAnsi="Verdana" w:cs="Arial"/>
                <w:color w:val="7030A0"/>
              </w:rPr>
              <w:t xml:space="preserve"> </w:t>
            </w:r>
          </w:p>
          <w:p w14:paraId="06572338" w14:textId="77777777" w:rsidR="00FA2C6C" w:rsidRPr="008E3861" w:rsidRDefault="00FA2C6C" w:rsidP="00A241F4">
            <w:pPr>
              <w:widowControl w:val="0"/>
              <w:numPr>
                <w:ilvl w:val="0"/>
                <w:numId w:val="17"/>
              </w:numPr>
              <w:autoSpaceDE w:val="0"/>
              <w:autoSpaceDN w:val="0"/>
              <w:spacing w:line="276" w:lineRule="auto"/>
              <w:contextualSpacing/>
              <w:jc w:val="both"/>
              <w:rPr>
                <w:rFonts w:ascii="Verdana" w:eastAsia="Aptos" w:hAnsi="Verdana" w:cs="Arial"/>
              </w:rPr>
            </w:pPr>
            <w:r w:rsidRPr="008E3861">
              <w:rPr>
                <w:rFonts w:ascii="Verdana" w:hAnsi="Verdana"/>
                <w:lang w:val="es-ES"/>
              </w:rPr>
              <w:t xml:space="preserve">CONSEJO DE ESTADO. Sala de lo Contencioso Administrativo. Sección Tercera. Subsección B. Sentencia de 3 de mayo de 2013. </w:t>
            </w:r>
            <w:proofErr w:type="spellStart"/>
            <w:r w:rsidRPr="008E3861">
              <w:rPr>
                <w:rFonts w:ascii="Verdana" w:hAnsi="Verdana"/>
                <w:lang w:val="es-ES"/>
              </w:rPr>
              <w:t>Exp</w:t>
            </w:r>
            <w:proofErr w:type="spellEnd"/>
            <w:r w:rsidRPr="008E3861">
              <w:rPr>
                <w:rFonts w:ascii="Verdana" w:hAnsi="Verdana"/>
                <w:lang w:val="es-ES"/>
              </w:rPr>
              <w:t xml:space="preserve">. 23734. C.P: </w:t>
            </w:r>
            <w:r w:rsidRPr="008E3861">
              <w:rPr>
                <w:rFonts w:ascii="Verdana" w:hAnsi="Verdana" w:cs="Arial"/>
                <w:lang w:val="es-ES"/>
              </w:rPr>
              <w:t xml:space="preserve">Danilo Rojas </w:t>
            </w:r>
            <w:proofErr w:type="spellStart"/>
            <w:r w:rsidRPr="008E3861">
              <w:rPr>
                <w:rFonts w:ascii="Verdana" w:hAnsi="Verdana" w:cs="Arial"/>
                <w:lang w:val="es-ES"/>
              </w:rPr>
              <w:t>Betancourth</w:t>
            </w:r>
            <w:proofErr w:type="spellEnd"/>
            <w:r w:rsidRPr="008E3861">
              <w:rPr>
                <w:rFonts w:ascii="Verdana" w:hAnsi="Verdana" w:cs="Arial"/>
                <w:lang w:val="es-ES"/>
              </w:rPr>
              <w:t xml:space="preserve"> (E).</w:t>
            </w:r>
          </w:p>
        </w:tc>
      </w:tr>
    </w:tbl>
    <w:p w14:paraId="7E4AADED" w14:textId="77777777" w:rsidR="00FA2C6C" w:rsidRDefault="00FA2C6C" w:rsidP="00FA2C6C">
      <w:pPr>
        <w:widowControl w:val="0"/>
        <w:autoSpaceDE w:val="0"/>
        <w:autoSpaceDN w:val="0"/>
        <w:spacing w:after="0" w:line="276" w:lineRule="auto"/>
        <w:jc w:val="both"/>
        <w:rPr>
          <w:rFonts w:ascii="Verdana" w:hAnsi="Verdana" w:cs="Arial"/>
        </w:rPr>
      </w:pPr>
    </w:p>
    <w:p w14:paraId="11FF4D91" w14:textId="77777777" w:rsidR="00FA2C6C" w:rsidRDefault="00FA2C6C" w:rsidP="00FA2C6C">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0A4F7FE2" w14:textId="77777777" w:rsidR="00FA2C6C" w:rsidRDefault="00FA2C6C" w:rsidP="00FA2C6C">
      <w:pPr>
        <w:widowControl w:val="0"/>
        <w:autoSpaceDE w:val="0"/>
        <w:autoSpaceDN w:val="0"/>
        <w:spacing w:after="0" w:line="276" w:lineRule="auto"/>
        <w:jc w:val="both"/>
        <w:rPr>
          <w:rFonts w:ascii="Verdana" w:hAnsi="Verdana" w:cs="Arial"/>
        </w:rPr>
      </w:pPr>
    </w:p>
    <w:p w14:paraId="26E9AA2A" w14:textId="77777777" w:rsidR="00FA2C6C" w:rsidRPr="00453FA9" w:rsidRDefault="00FA2C6C" w:rsidP="00FA2C6C">
      <w:pPr>
        <w:widowControl w:val="0"/>
        <w:autoSpaceDE w:val="0"/>
        <w:autoSpaceDN w:val="0"/>
        <w:spacing w:after="0" w:line="276" w:lineRule="auto"/>
        <w:jc w:val="both"/>
        <w:rPr>
          <w:rStyle w:val="normaltextrun"/>
          <w:rFonts w:ascii="Verdana" w:eastAsia="Calibri" w:hAnsi="Verdana" w:cs="Times New Roman"/>
        </w:rPr>
      </w:pPr>
      <w:r w:rsidRPr="006A02B1">
        <w:rPr>
          <w:rFonts w:ascii="Verdana" w:eastAsia="Calibri" w:hAnsi="Verdana" w:cs="Times New Roman"/>
        </w:rPr>
        <w:t>sobre la declaratoria de desierta por parte de las entidades estatales, esta Subdirección se ha pronunciado en conceptos C-687 del 20 de octubre de 2022, C-313 del 31 de julio de 2023, C-377 del 8 de agosto de 2024, C- 535 del 24 de septiembre de 2024,</w:t>
      </w:r>
      <w:r>
        <w:rPr>
          <w:rFonts w:ascii="Verdana" w:eastAsia="Calibri" w:hAnsi="Verdana" w:cs="Times New Roman"/>
        </w:rPr>
        <w:t xml:space="preserve"> C-840 del 11 de diciembre de 2024,</w:t>
      </w:r>
      <w:r w:rsidRPr="006A02B1">
        <w:rPr>
          <w:rFonts w:ascii="Verdana" w:eastAsia="Calibri" w:hAnsi="Verdana" w:cs="Times New Roman"/>
        </w:rPr>
        <w:t xml:space="preserve"> </w:t>
      </w:r>
      <w:r>
        <w:rPr>
          <w:rFonts w:ascii="Verdana" w:eastAsia="Calibri" w:hAnsi="Verdana" w:cs="Times New Roman"/>
        </w:rPr>
        <w:t xml:space="preserve">C-716 del 15 de julio de 2025 y </w:t>
      </w:r>
      <w:r>
        <w:rPr>
          <w:rStyle w:val="normaltextrun"/>
          <w:rFonts w:ascii="Verdana" w:hAnsi="Verdana" w:cs="Arial"/>
          <w:shd w:val="clear" w:color="auto" w:fill="FFFFFF"/>
          <w:lang w:val="es-ES"/>
        </w:rPr>
        <w:t xml:space="preserve">sobre </w:t>
      </w:r>
      <w:r w:rsidRPr="00AD7D4E">
        <w:rPr>
          <w:rStyle w:val="normaltextrun"/>
          <w:rFonts w:ascii="Verdana" w:hAnsi="Verdana" w:cs="Arial"/>
          <w:shd w:val="clear" w:color="auto" w:fill="FFFFFF"/>
          <w:lang w:val="es-ES"/>
        </w:rPr>
        <w:t>las limitaciones territoriales de convocatorias a MiPymes, esta Subdirección se ha pronunciado en los conceptos Nro. C-705 de 7 de diciembre de 2020, C-523 del 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 C -094 del 19 de junio de 2024</w:t>
      </w:r>
      <w:r>
        <w:rPr>
          <w:rStyle w:val="normaltextrun"/>
          <w:rFonts w:ascii="Verdana" w:hAnsi="Verdana" w:cs="Arial"/>
          <w:shd w:val="clear" w:color="auto" w:fill="FFFFFF"/>
          <w:lang w:val="es-ES"/>
        </w:rPr>
        <w:t>, C-235 del 12 de agosto de 2024</w:t>
      </w:r>
      <w:r w:rsidRPr="00AD7D4E">
        <w:rPr>
          <w:rStyle w:val="normaltextrun"/>
          <w:rFonts w:ascii="Verdana" w:hAnsi="Verdana" w:cs="Arial"/>
          <w:shd w:val="clear" w:color="auto" w:fill="FFFFFF"/>
          <w:lang w:val="es-ES"/>
        </w:rPr>
        <w:t xml:space="preserve"> C-253 del 15 de agosto del 2024</w:t>
      </w:r>
      <w:r>
        <w:rPr>
          <w:rStyle w:val="normaltextrun"/>
          <w:rFonts w:ascii="Verdana" w:hAnsi="Verdana" w:cs="Arial"/>
          <w:shd w:val="clear" w:color="auto" w:fill="FFFFFF"/>
          <w:lang w:val="es-ES"/>
        </w:rPr>
        <w:t xml:space="preserve">, C-684 del 18 de noviembre de 2024 y C-100 del 25 de febrero de 2025, </w:t>
      </w:r>
      <w:r w:rsidRPr="006A02B1">
        <w:rPr>
          <w:rFonts w:ascii="Verdana" w:eastAsia="Calibri" w:hAnsi="Verdana" w:cs="Times New Roman"/>
        </w:rPr>
        <w:t>entre otros</w:t>
      </w:r>
      <w:r>
        <w:rPr>
          <w:rFonts w:ascii="Verdana" w:eastAsia="Calibri" w:hAnsi="Verdana" w:cs="Times New Roman"/>
        </w:rPr>
        <w:t xml:space="preserve">. </w:t>
      </w:r>
      <w:r>
        <w:rPr>
          <w:rStyle w:val="normaltextrun"/>
          <w:rFonts w:ascii="Verdana" w:hAnsi="Verdana" w:cs="Arial"/>
          <w:shd w:val="clear" w:color="auto" w:fill="FFFFFF"/>
          <w:lang w:val="es-ES"/>
        </w:rPr>
        <w:t>Es</w:t>
      </w:r>
      <w:r>
        <w:rPr>
          <w:rFonts w:ascii="Verdana" w:hAnsi="Verdana"/>
        </w:rPr>
        <w:t>tos y otros conceptos se encuentran disponibles para consulta en el Sistema de relatoría de la Agencia, al cual se puede acceder a través del siguiente enlace:</w:t>
      </w:r>
      <w:r>
        <w:rPr>
          <w:rStyle w:val="normaltextrun"/>
          <w:rFonts w:ascii="Verdana" w:hAnsi="Verdana" w:cs="Arial"/>
          <w:shd w:val="clear" w:color="auto" w:fill="FFFFFF"/>
          <w:lang w:val="es-ES"/>
        </w:rPr>
        <w:t xml:space="preserve"> </w:t>
      </w:r>
      <w:hyperlink r:id="rId14" w:history="1">
        <w:r>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lang w:val="es-ES"/>
        </w:rPr>
        <w:t xml:space="preserve">. </w:t>
      </w:r>
    </w:p>
    <w:p w14:paraId="6D31D569" w14:textId="77777777" w:rsidR="00FA2C6C" w:rsidRDefault="00FA2C6C" w:rsidP="00FA2C6C">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2BD51A47" w14:textId="77777777" w:rsidR="00FA2C6C" w:rsidRDefault="00FA2C6C" w:rsidP="00FA2C6C">
      <w:pPr>
        <w:shd w:val="clear" w:color="auto" w:fill="FFFFFF"/>
        <w:spacing w:after="0" w:line="276" w:lineRule="auto"/>
        <w:jc w:val="both"/>
        <w:textAlignment w:val="baseline"/>
        <w:rPr>
          <w:color w:val="467886"/>
          <w:u w:val="single"/>
          <w:bdr w:val="none" w:sz="0" w:space="0" w:color="auto" w:frame="1"/>
        </w:rPr>
      </w:pPr>
      <w:r>
        <w:rPr>
          <w:rFonts w:ascii="Verdana" w:hAnsi="Verdana"/>
          <w:color w:val="000000"/>
          <w:bdr w:val="none" w:sz="0" w:space="0" w:color="auto" w:frame="1"/>
        </w:rPr>
        <w:t>Le contamos que ya se encuentra disponible la </w:t>
      </w:r>
      <w:r>
        <w:rPr>
          <w:rFonts w:ascii="Verdana" w:hAnsi="Verdana"/>
          <w:b/>
          <w:bCs/>
          <w:color w:val="000000"/>
          <w:bdr w:val="none" w:sz="0" w:space="0" w:color="auto" w:frame="1"/>
        </w:rPr>
        <w:t>Guía de lineamientos de transparencia y selección objetiva para el departamento de La Guajira – Objetivo sexto constitucional de la Sentencia T-302 del 2017. </w:t>
      </w:r>
      <w:r>
        <w:rPr>
          <w:rFonts w:ascii="Verdana" w:hAnsi="Verdana"/>
          <w:color w:val="000000"/>
          <w:bdr w:val="none" w:sz="0" w:space="0" w:color="auto" w:frame="1"/>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Pr>
          <w:rFonts w:ascii="Verdana" w:hAnsi="Verdana"/>
          <w:color w:val="000000"/>
          <w:bdr w:val="none" w:sz="0" w:space="0" w:color="auto" w:frame="1"/>
        </w:rPr>
        <w:t>Wayúu</w:t>
      </w:r>
      <w:proofErr w:type="spellEnd"/>
      <w:r>
        <w:rPr>
          <w:rFonts w:ascii="Verdana" w:hAnsi="Verdana"/>
          <w:color w:val="000000"/>
          <w:bdr w:val="none" w:sz="0" w:space="0" w:color="auto" w:frame="1"/>
        </w:rPr>
        <w:t>. Puede consultar la guía en el siguiente enlace: </w:t>
      </w:r>
      <w:hyperlink r:id="rId15" w:tgtFrame="_blank" w:tooltip="Dirección URL original: https://www.colombiacompra.gov.co/wp-content/uploads/2025/05/GUIA-DE-LINEAMIENTOS-DE-TRANSPARENCIA-Y-SELECCION-OBJETIVA-1.0.pdf. Haga clic o pulse si confía en este vínculo." w:history="1">
        <w:r>
          <w:rPr>
            <w:rStyle w:val="Hipervnculo"/>
            <w:rFonts w:ascii="Verdana" w:hAnsi="Verdana"/>
            <w:color w:val="467886"/>
            <w:bdr w:val="none" w:sz="0" w:space="0" w:color="auto" w:frame="1"/>
          </w:rPr>
          <w:t>Guía de lineamientos de transparencia y selección objetiva para el departamento de La Guajira – Objetivo sexto constitucional de la Sentencia T-302 del 2017</w:t>
        </w:r>
      </w:hyperlink>
      <w:r>
        <w:rPr>
          <w:rFonts w:ascii="Verdana" w:hAnsi="Verdana"/>
          <w:color w:val="467886"/>
          <w:u w:val="single"/>
          <w:bdr w:val="none" w:sz="0" w:space="0" w:color="auto" w:frame="1"/>
        </w:rPr>
        <w:t>"</w:t>
      </w:r>
    </w:p>
    <w:p w14:paraId="295DD675" w14:textId="77777777" w:rsidR="00FA2C6C" w:rsidRDefault="00FA2C6C" w:rsidP="00FA2C6C">
      <w:pPr>
        <w:spacing w:after="0" w:line="276" w:lineRule="auto"/>
        <w:jc w:val="both"/>
        <w:rPr>
          <w:rFonts w:ascii="Verdana" w:hAnsi="Verdana"/>
        </w:rPr>
      </w:pPr>
    </w:p>
    <w:p w14:paraId="0FF916FB" w14:textId="77777777" w:rsidR="00FA2C6C" w:rsidRDefault="00FA2C6C" w:rsidP="00FA2C6C">
      <w:pPr>
        <w:spacing w:after="0" w:line="276" w:lineRule="auto"/>
        <w:jc w:val="both"/>
        <w:rPr>
          <w:rFonts w:ascii="Verdana" w:hAnsi="Verdana"/>
        </w:rPr>
      </w:pPr>
      <w:r>
        <w:rPr>
          <w:rFonts w:ascii="Verdana" w:hAnsi="Verdana"/>
        </w:rPr>
        <w:t xml:space="preserve">Por último, lo invitamos a seguirnos en las redes sociales en las cuales se difunde información institucional: </w:t>
      </w:r>
    </w:p>
    <w:p w14:paraId="61F351CE" w14:textId="77777777" w:rsidR="00FA2C6C" w:rsidRDefault="00FA2C6C" w:rsidP="00FA2C6C">
      <w:pPr>
        <w:spacing w:after="0" w:line="276" w:lineRule="auto"/>
        <w:jc w:val="both"/>
        <w:rPr>
          <w:rFonts w:ascii="Verdana" w:hAnsi="Verdana"/>
        </w:rPr>
      </w:pPr>
    </w:p>
    <w:p w14:paraId="4E9635A2" w14:textId="77777777" w:rsidR="00FA2C6C" w:rsidRDefault="00FA2C6C" w:rsidP="00FA2C6C">
      <w:pPr>
        <w:spacing w:after="0" w:line="276" w:lineRule="auto"/>
        <w:jc w:val="both"/>
        <w:rPr>
          <w:rFonts w:ascii="Verdana" w:hAnsi="Verdana"/>
        </w:rPr>
      </w:pPr>
      <w:r>
        <w:rPr>
          <w:rFonts w:ascii="Verdana" w:hAnsi="Verdana"/>
        </w:rPr>
        <w:t xml:space="preserve">Twitter: </w:t>
      </w:r>
      <w:r>
        <w:rPr>
          <w:rStyle w:val="Hipervnculo"/>
          <w:rFonts w:ascii="Verdana" w:hAnsi="Verdana"/>
          <w:color w:val="4472C4" w:themeColor="accent1"/>
        </w:rPr>
        <w:t>@colombiacompra</w:t>
      </w:r>
      <w:r>
        <w:rPr>
          <w:rFonts w:ascii="Verdana" w:hAnsi="Verdana"/>
          <w:color w:val="4472C4" w:themeColor="accent1"/>
        </w:rPr>
        <w:t xml:space="preserve"> </w:t>
      </w:r>
    </w:p>
    <w:p w14:paraId="739473F8" w14:textId="77777777" w:rsidR="00FA2C6C" w:rsidRDefault="00FA2C6C" w:rsidP="00FA2C6C">
      <w:pPr>
        <w:spacing w:after="0" w:line="276" w:lineRule="auto"/>
        <w:jc w:val="both"/>
        <w:rPr>
          <w:rFonts w:ascii="Verdana" w:hAnsi="Verdana"/>
        </w:rPr>
      </w:pPr>
      <w:r>
        <w:rPr>
          <w:rFonts w:ascii="Verdana" w:hAnsi="Verdana"/>
        </w:rPr>
        <w:t xml:space="preserve">Facebook: </w:t>
      </w:r>
      <w:proofErr w:type="spellStart"/>
      <w:r>
        <w:rPr>
          <w:rStyle w:val="Hipervnculo"/>
          <w:rFonts w:ascii="Verdana" w:hAnsi="Verdana"/>
          <w:color w:val="4472C4" w:themeColor="accent1"/>
        </w:rPr>
        <w:t>ColombiaCompraEficiente</w:t>
      </w:r>
      <w:proofErr w:type="spellEnd"/>
    </w:p>
    <w:p w14:paraId="2131F56B" w14:textId="77777777" w:rsidR="00FA2C6C" w:rsidRDefault="00FA2C6C" w:rsidP="00FA2C6C">
      <w:pPr>
        <w:spacing w:after="0" w:line="276" w:lineRule="auto"/>
        <w:jc w:val="both"/>
        <w:rPr>
          <w:rFonts w:ascii="Verdana" w:hAnsi="Verdana"/>
        </w:rPr>
      </w:pPr>
      <w:r>
        <w:rPr>
          <w:rFonts w:ascii="Verdana" w:hAnsi="Verdana"/>
        </w:rPr>
        <w:t xml:space="preserve">LinkedIn: </w:t>
      </w:r>
      <w:r>
        <w:rPr>
          <w:rStyle w:val="Hipervnculo"/>
          <w:rFonts w:ascii="Verdana" w:hAnsi="Verdana"/>
          <w:color w:val="4472C4" w:themeColor="accent1"/>
        </w:rPr>
        <w:t>Agencia Nacional de Contratación Pública - Colombia Compra Eficiente</w:t>
      </w:r>
      <w:r>
        <w:rPr>
          <w:rFonts w:ascii="Verdana" w:hAnsi="Verdana"/>
          <w:color w:val="4472C4" w:themeColor="accent1"/>
        </w:rPr>
        <w:t xml:space="preserve"> </w:t>
      </w:r>
      <w:r>
        <w:rPr>
          <w:rFonts w:ascii="Verdana" w:hAnsi="Verdana"/>
        </w:rPr>
        <w:t xml:space="preserve">Instagram: </w:t>
      </w:r>
      <w:r>
        <w:rPr>
          <w:rStyle w:val="Hipervnculo"/>
          <w:rFonts w:ascii="Verdana" w:hAnsi="Verdana"/>
          <w:color w:val="4472C4" w:themeColor="accent1"/>
        </w:rPr>
        <w:t>@colombiacompraeficiente_cce</w:t>
      </w:r>
    </w:p>
    <w:p w14:paraId="14A0DB52" w14:textId="77777777" w:rsidR="00FA2C6C" w:rsidRDefault="00FA2C6C" w:rsidP="00FA2C6C">
      <w:pPr>
        <w:widowControl w:val="0"/>
        <w:autoSpaceDE w:val="0"/>
        <w:autoSpaceDN w:val="0"/>
        <w:spacing w:after="0" w:line="276" w:lineRule="auto"/>
        <w:jc w:val="both"/>
        <w:rPr>
          <w:rFonts w:ascii="Verdana" w:hAnsi="Verdana" w:cs="Arial"/>
        </w:rPr>
      </w:pPr>
    </w:p>
    <w:p w14:paraId="7A0A9D45" w14:textId="77777777" w:rsidR="00FA2C6C" w:rsidRDefault="00FA2C6C" w:rsidP="00FA2C6C">
      <w:pPr>
        <w:widowControl w:val="0"/>
        <w:autoSpaceDE w:val="0"/>
        <w:autoSpaceDN w:val="0"/>
        <w:spacing w:after="0" w:line="276" w:lineRule="auto"/>
        <w:jc w:val="both"/>
        <w:rPr>
          <w:rFonts w:ascii="Verdana" w:hAnsi="Verdana" w:cs="Arial"/>
          <w:lang w:val="es-ES_tradnl"/>
        </w:rPr>
      </w:pPr>
      <w:r>
        <w:rPr>
          <w:rFonts w:ascii="Verdana" w:hAnsi="Verdana" w:cs="Arial"/>
        </w:rPr>
        <w:t xml:space="preserve">Este concepto tiene el alcance previsto en el artículo 28 del Código de Procedimiento Administrativo y de lo Contencioso Administrativo </w:t>
      </w:r>
      <w:r>
        <w:rPr>
          <w:rFonts w:ascii="Verdana" w:hAnsi="Verdana" w:cs="Arial"/>
          <w:lang w:val="es-ES_tradnl"/>
        </w:rPr>
        <w:t>y las expresiones aquí utilizadas con mayúscula inicial deben ser entendidas con el significado que les otorga el artículo 2.2.1.1.1.3.1. del Decreto 1082 de 2015.</w:t>
      </w:r>
    </w:p>
    <w:p w14:paraId="04406106" w14:textId="77777777" w:rsidR="00FA2C6C" w:rsidRDefault="00FA2C6C" w:rsidP="00FA2C6C">
      <w:pPr>
        <w:widowControl w:val="0"/>
        <w:autoSpaceDE w:val="0"/>
        <w:autoSpaceDN w:val="0"/>
        <w:spacing w:after="0" w:line="276" w:lineRule="auto"/>
        <w:jc w:val="both"/>
        <w:rPr>
          <w:rFonts w:ascii="Verdana" w:hAnsi="Verdana" w:cs="Arial"/>
        </w:rPr>
      </w:pPr>
    </w:p>
    <w:p w14:paraId="34D6C785" w14:textId="77777777" w:rsidR="00FA2C6C" w:rsidRDefault="00FA2C6C" w:rsidP="00FA2C6C">
      <w:pPr>
        <w:spacing w:after="0" w:line="276" w:lineRule="auto"/>
        <w:rPr>
          <w:rFonts w:ascii="Verdana" w:hAnsi="Verdana" w:cs="Arial"/>
          <w:lang w:eastAsia="es-CO"/>
        </w:rPr>
      </w:pPr>
      <w:r>
        <w:rPr>
          <w:rFonts w:ascii="Verdana" w:eastAsia="Times New Roman" w:hAnsi="Verdana" w:cs="Arial"/>
          <w:lang w:eastAsia="es-CO"/>
        </w:rPr>
        <w:t>Atentamente,</w:t>
      </w:r>
      <w:r>
        <w:rPr>
          <w:rFonts w:ascii="Verdana" w:hAnsi="Verdana" w:cs="Arial"/>
          <w:lang w:eastAsia="es-CO"/>
        </w:rPr>
        <w:t xml:space="preserve"> </w:t>
      </w:r>
    </w:p>
    <w:p w14:paraId="2EB116D4" w14:textId="77777777" w:rsidR="00FA2C6C" w:rsidRDefault="00FA2C6C" w:rsidP="00FA2C6C">
      <w:pPr>
        <w:spacing w:after="0" w:line="276" w:lineRule="auto"/>
        <w:jc w:val="center"/>
      </w:pPr>
    </w:p>
    <w:p w14:paraId="5AC590DD" w14:textId="4F4E312F" w:rsidR="00FA2C6C" w:rsidRPr="00593A5F" w:rsidRDefault="00FD1B49" w:rsidP="00FA2C6C">
      <w:pPr>
        <w:spacing w:line="276" w:lineRule="auto"/>
        <w:jc w:val="center"/>
        <w:rPr>
          <w:rFonts w:ascii="Verdana" w:hAnsi="Verdana" w:cs="Arial"/>
          <w:color w:val="000000"/>
          <w:lang w:val="es-ES_tradnl" w:eastAsia="es-CO"/>
        </w:rPr>
      </w:pPr>
      <w:r>
        <w:rPr>
          <w:noProof/>
        </w:rPr>
        <w:drawing>
          <wp:inline distT="0" distB="0" distL="0" distR="0" wp14:anchorId="05C1C1BA" wp14:editId="7531B464">
            <wp:extent cx="3768725" cy="1399540"/>
            <wp:effectExtent l="0" t="0" r="3175" b="0"/>
            <wp:docPr id="3" name="Imagen 3"/>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68725" cy="1399540"/>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FA2C6C" w:rsidRPr="00593A5F" w14:paraId="2A1EDF74" w14:textId="77777777" w:rsidTr="00A241F4">
        <w:trPr>
          <w:trHeight w:val="315"/>
        </w:trPr>
        <w:tc>
          <w:tcPr>
            <w:tcW w:w="893" w:type="dxa"/>
            <w:vAlign w:val="center"/>
            <w:hideMark/>
          </w:tcPr>
          <w:p w14:paraId="685363EC" w14:textId="77777777" w:rsidR="00FA2C6C" w:rsidRPr="003751C7" w:rsidRDefault="00FA2C6C" w:rsidP="00A241F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622D3551" w14:textId="77777777" w:rsidR="00FA2C6C" w:rsidRPr="00B3605D" w:rsidRDefault="00FA2C6C" w:rsidP="00A241F4">
            <w:pPr>
              <w:contextualSpacing/>
              <w:rPr>
                <w:rFonts w:ascii="Verdana" w:eastAsia="Arial" w:hAnsi="Verdana" w:cs="Arial"/>
                <w:sz w:val="16"/>
                <w:szCs w:val="16"/>
              </w:rPr>
            </w:pPr>
            <w:r w:rsidRPr="00B3605D">
              <w:rPr>
                <w:rFonts w:ascii="Verdana" w:eastAsia="Arial" w:hAnsi="Verdana" w:cs="Arial"/>
                <w:sz w:val="16"/>
                <w:szCs w:val="16"/>
              </w:rPr>
              <w:t xml:space="preserve">Catalina Cubides </w:t>
            </w:r>
            <w:proofErr w:type="spellStart"/>
            <w:r w:rsidRPr="00B3605D">
              <w:rPr>
                <w:rFonts w:ascii="Verdana" w:eastAsia="Arial" w:hAnsi="Verdana" w:cs="Arial"/>
                <w:sz w:val="16"/>
                <w:szCs w:val="16"/>
              </w:rPr>
              <w:t>Es</w:t>
            </w:r>
            <w:r>
              <w:rPr>
                <w:rFonts w:ascii="Verdana" w:eastAsia="Arial" w:hAnsi="Verdana" w:cs="Arial"/>
                <w:sz w:val="16"/>
                <w:szCs w:val="16"/>
              </w:rPr>
              <w:t>t</w:t>
            </w:r>
            <w:r w:rsidRPr="00B3605D">
              <w:rPr>
                <w:rFonts w:ascii="Verdana" w:eastAsia="Arial" w:hAnsi="Verdana" w:cs="Arial"/>
                <w:sz w:val="16"/>
                <w:szCs w:val="16"/>
              </w:rPr>
              <w:t>upiñan</w:t>
            </w:r>
            <w:proofErr w:type="spellEnd"/>
          </w:p>
          <w:p w14:paraId="7B63436E" w14:textId="77777777" w:rsidR="00FA2C6C" w:rsidRPr="00B3605D" w:rsidRDefault="00FA2C6C" w:rsidP="00A241F4">
            <w:pPr>
              <w:contextualSpacing/>
              <w:rPr>
                <w:rFonts w:ascii="Verdana" w:eastAsia="Arial" w:hAnsi="Verdana" w:cs="Arial"/>
                <w:sz w:val="16"/>
                <w:szCs w:val="16"/>
              </w:rPr>
            </w:pPr>
            <w:r w:rsidRPr="00B3605D">
              <w:rPr>
                <w:rStyle w:val="normaltextrun"/>
                <w:rFonts w:ascii="Verdana" w:eastAsia="Arial" w:hAnsi="Verdana" w:cs="Arial"/>
                <w:sz w:val="16"/>
                <w:szCs w:val="16"/>
              </w:rPr>
              <w:t>Contratista de la Subdirección de Gestión Contractual</w:t>
            </w:r>
          </w:p>
        </w:tc>
      </w:tr>
      <w:tr w:rsidR="00FA2C6C" w:rsidRPr="00593A5F" w14:paraId="1710A273" w14:textId="77777777" w:rsidTr="00A241F4">
        <w:trPr>
          <w:trHeight w:val="330"/>
        </w:trPr>
        <w:tc>
          <w:tcPr>
            <w:tcW w:w="893" w:type="dxa"/>
            <w:vAlign w:val="center"/>
            <w:hideMark/>
          </w:tcPr>
          <w:p w14:paraId="7D6F2ECB" w14:textId="77777777" w:rsidR="00FA2C6C" w:rsidRPr="003751C7" w:rsidRDefault="00FA2C6C" w:rsidP="00A241F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D6310CB" w14:textId="77777777" w:rsidR="00FA2C6C" w:rsidRPr="00B3605D" w:rsidRDefault="00FA2C6C" w:rsidP="00A241F4">
            <w:pPr>
              <w:pStyle w:val="paragraph"/>
              <w:spacing w:before="0" w:beforeAutospacing="0" w:after="0" w:afterAutospacing="0"/>
              <w:contextualSpacing/>
              <w:textAlignment w:val="baseline"/>
              <w:rPr>
                <w:rFonts w:ascii="Verdana" w:hAnsi="Verdana" w:cs="Segoe UI"/>
                <w:sz w:val="16"/>
                <w:szCs w:val="16"/>
              </w:rPr>
            </w:pPr>
            <w:r w:rsidRPr="00B3605D">
              <w:rPr>
                <w:rFonts w:ascii="Verdana" w:hAnsi="Verdana" w:cs="Segoe UI"/>
                <w:sz w:val="16"/>
                <w:szCs w:val="16"/>
              </w:rPr>
              <w:t xml:space="preserve">Juan Carlos González Vásquez </w:t>
            </w:r>
          </w:p>
          <w:p w14:paraId="4C87F6B7" w14:textId="77777777" w:rsidR="00FA2C6C" w:rsidRPr="00B3605D" w:rsidRDefault="00FA2C6C" w:rsidP="00A241F4">
            <w:pPr>
              <w:pStyle w:val="paragraph"/>
              <w:spacing w:before="0" w:beforeAutospacing="0" w:after="0" w:afterAutospacing="0"/>
              <w:contextualSpacing/>
              <w:textAlignment w:val="baseline"/>
              <w:rPr>
                <w:rFonts w:ascii="Verdana" w:hAnsi="Verdana" w:cs="Segoe UI"/>
                <w:sz w:val="16"/>
                <w:szCs w:val="16"/>
              </w:rPr>
            </w:pPr>
            <w:r w:rsidRPr="00B3605D">
              <w:rPr>
                <w:rStyle w:val="normaltextrun"/>
                <w:rFonts w:ascii="Verdana" w:hAnsi="Verdana" w:cs="Arial"/>
                <w:sz w:val="16"/>
                <w:szCs w:val="16"/>
                <w:lang w:val="es-ES"/>
              </w:rPr>
              <w:t>Contratista de la Subdirección de Gestión Contractual</w:t>
            </w:r>
            <w:r w:rsidRPr="00B3605D">
              <w:rPr>
                <w:rStyle w:val="eop"/>
                <w:rFonts w:ascii="Verdana" w:hAnsi="Verdana" w:cs="Arial"/>
                <w:sz w:val="16"/>
                <w:szCs w:val="16"/>
              </w:rPr>
              <w:t> </w:t>
            </w:r>
          </w:p>
        </w:tc>
      </w:tr>
      <w:tr w:rsidR="00FA2C6C" w:rsidRPr="00593A5F" w14:paraId="64926B6B" w14:textId="77777777" w:rsidTr="00A241F4">
        <w:trPr>
          <w:trHeight w:val="300"/>
        </w:trPr>
        <w:tc>
          <w:tcPr>
            <w:tcW w:w="893" w:type="dxa"/>
            <w:vAlign w:val="center"/>
          </w:tcPr>
          <w:p w14:paraId="7434D2B1" w14:textId="77777777" w:rsidR="00FA2C6C" w:rsidRPr="003751C7" w:rsidRDefault="00FA2C6C" w:rsidP="00A241F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983C3FE" w14:textId="77777777" w:rsidR="00FA2C6C" w:rsidRPr="003751C7" w:rsidRDefault="00FA2C6C" w:rsidP="00A241F4">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3F02AC22" w14:textId="77777777" w:rsidR="00FA2C6C" w:rsidRPr="003751C7" w:rsidRDefault="00FA2C6C" w:rsidP="00A241F4">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602FC442" w14:textId="77777777" w:rsidR="00FA2C6C" w:rsidRDefault="00FA2C6C" w:rsidP="00FA2C6C">
      <w:pPr>
        <w:spacing w:after="0" w:line="240" w:lineRule="auto"/>
        <w:rPr>
          <w:rFonts w:ascii="Verdana" w:eastAsia="Times New Roman" w:hAnsi="Verdana" w:cs="Arial"/>
          <w:sz w:val="24"/>
          <w:szCs w:val="24"/>
          <w:lang w:eastAsia="es-ES"/>
        </w:rPr>
      </w:pPr>
    </w:p>
    <w:p w14:paraId="2388F065" w14:textId="77777777" w:rsidR="00FA2C6C" w:rsidRPr="00BA2081" w:rsidRDefault="00FA2C6C" w:rsidP="00FA2C6C"/>
    <w:p w14:paraId="577B130E" w14:textId="77777777" w:rsidR="00FA2C6C" w:rsidRPr="00C767AB" w:rsidRDefault="00FA2C6C" w:rsidP="00FA2C6C"/>
    <w:bookmarkEnd w:id="0"/>
    <w:p w14:paraId="0465BA6D" w14:textId="77777777" w:rsidR="00E245AB" w:rsidRPr="0044528D" w:rsidRDefault="00E245AB" w:rsidP="00E245AB">
      <w:pPr>
        <w:spacing w:after="0"/>
        <w:rPr>
          <w:rFonts w:ascii="Verdana" w:hAnsi="Verdana"/>
        </w:rPr>
      </w:pPr>
    </w:p>
    <w:sectPr w:rsidR="00E245AB" w:rsidRPr="0044528D"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95C5BF" w14:textId="77777777" w:rsidR="00086F39" w:rsidRDefault="00086F39" w:rsidP="004A1847">
      <w:pPr>
        <w:spacing w:after="0" w:line="240" w:lineRule="auto"/>
      </w:pPr>
      <w:r>
        <w:separator/>
      </w:r>
    </w:p>
  </w:endnote>
  <w:endnote w:type="continuationSeparator" w:id="0">
    <w:p w14:paraId="735964F1" w14:textId="77777777" w:rsidR="00086F39" w:rsidRDefault="00086F39" w:rsidP="004A1847">
      <w:pPr>
        <w:spacing w:after="0" w:line="240" w:lineRule="auto"/>
      </w:pPr>
      <w:r>
        <w:continuationSeparator/>
      </w:r>
    </w:p>
  </w:endnote>
  <w:endnote w:type="continuationNotice" w:id="1">
    <w:p w14:paraId="70CEBC3E" w14:textId="77777777" w:rsidR="00086F39" w:rsidRDefault="00086F3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MT">
    <w:altName w:val="Arial"/>
    <w:panose1 w:val="00000000000000000000"/>
    <w:charset w:val="00"/>
    <w:family w:val="auto"/>
    <w:notTrueType/>
    <w:pitch w:val="default"/>
    <w:sig w:usb0="00000003" w:usb1="00000000" w:usb2="00000000" w:usb3="00000000" w:csb0="00000001"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3A43E3" w14:textId="77777777" w:rsidR="00086F39" w:rsidRDefault="00086F39" w:rsidP="004A1847">
      <w:pPr>
        <w:spacing w:after="0" w:line="240" w:lineRule="auto"/>
      </w:pPr>
      <w:r>
        <w:separator/>
      </w:r>
    </w:p>
  </w:footnote>
  <w:footnote w:type="continuationSeparator" w:id="0">
    <w:p w14:paraId="730C3A36" w14:textId="77777777" w:rsidR="00086F39" w:rsidRDefault="00086F39" w:rsidP="004A1847">
      <w:pPr>
        <w:spacing w:after="0" w:line="240" w:lineRule="auto"/>
      </w:pPr>
      <w:r>
        <w:continuationSeparator/>
      </w:r>
    </w:p>
  </w:footnote>
  <w:footnote w:type="continuationNotice" w:id="1">
    <w:p w14:paraId="32D983FD" w14:textId="77777777" w:rsidR="00086F39" w:rsidRDefault="00086F39">
      <w:pPr>
        <w:spacing w:after="0" w:line="240" w:lineRule="auto"/>
      </w:pPr>
    </w:p>
  </w:footnote>
  <w:footnote w:id="2">
    <w:p w14:paraId="791CD550" w14:textId="77777777" w:rsidR="00FA2C6C" w:rsidRPr="00992A57" w:rsidRDefault="00FA2C6C" w:rsidP="00FA2C6C">
      <w:pPr>
        <w:pStyle w:val="Textonotapie"/>
        <w:rPr>
          <w:rFonts w:ascii="Verdana" w:hAnsi="Verdana"/>
          <w:sz w:val="16"/>
          <w:szCs w:val="16"/>
          <w:lang w:val="es-ES"/>
        </w:rPr>
      </w:pPr>
      <w:r w:rsidRPr="00992A57">
        <w:rPr>
          <w:rStyle w:val="Refdenotaalpie"/>
          <w:rFonts w:ascii="Verdana" w:hAnsi="Verdana"/>
          <w:sz w:val="16"/>
          <w:szCs w:val="16"/>
        </w:rPr>
        <w:footnoteRef/>
      </w:r>
      <w:r w:rsidRPr="00992A57">
        <w:rPr>
          <w:rFonts w:ascii="Verdana" w:hAnsi="Verdana"/>
          <w:sz w:val="16"/>
          <w:szCs w:val="16"/>
        </w:rPr>
        <w:t xml:space="preserve"> Se puede acceder a la Guía mencionada en el siguiente link: </w:t>
      </w:r>
      <w:hyperlink r:id="rId1" w:history="1">
        <w:r w:rsidRPr="00992A57">
          <w:rPr>
            <w:rStyle w:val="Hipervnculo"/>
            <w:rFonts w:ascii="Verdana" w:hAnsi="Verdana"/>
            <w:sz w:val="16"/>
            <w:szCs w:val="16"/>
          </w:rPr>
          <w:t>https://www.colombiacompra.gov.co/sites/cce_public/files/cce_documents/guia_para_promover_la_participacion_de_las_mipymes_en_los_procesos_de_compra_publica_cce-gad-gi-26_1.pdf</w:t>
        </w:r>
      </w:hyperlink>
      <w:r w:rsidRPr="00992A57">
        <w:rPr>
          <w:rFonts w:ascii="Verdana" w:hAnsi="Verdana"/>
          <w:sz w:val="16"/>
          <w:szCs w:val="16"/>
        </w:rPr>
        <w:t xml:space="preserve"> </w:t>
      </w:r>
    </w:p>
  </w:footnote>
  <w:footnote w:id="3">
    <w:p w14:paraId="62305845" w14:textId="77777777" w:rsidR="00FA2C6C" w:rsidRPr="002450F2" w:rsidRDefault="00FA2C6C" w:rsidP="00FA2C6C">
      <w:pPr>
        <w:pStyle w:val="Textonotapie"/>
        <w:ind w:firstLine="708"/>
        <w:jc w:val="both"/>
        <w:rPr>
          <w:rFonts w:ascii="Verdana" w:hAnsi="Verdana"/>
          <w:sz w:val="16"/>
          <w:szCs w:val="16"/>
        </w:rPr>
      </w:pPr>
      <w:r w:rsidRPr="002450F2">
        <w:rPr>
          <w:rStyle w:val="Refdenotaalpie"/>
          <w:rFonts w:ascii="Verdana" w:hAnsi="Verdana"/>
          <w:sz w:val="16"/>
          <w:szCs w:val="16"/>
        </w:rPr>
        <w:footnoteRef/>
      </w:r>
      <w:r w:rsidRPr="002450F2">
        <w:rPr>
          <w:rFonts w:ascii="Verdana" w:hAnsi="Verdana"/>
          <w:sz w:val="16"/>
          <w:szCs w:val="16"/>
        </w:rPr>
        <w:t xml:space="preserve"> CONSEJO DE ESTADO. Sección Tercera. Subsección A. Sentencia del 14 de marzo de 2013. Rad. 24059. C.P. Mauricio Fajardo Gómez.</w:t>
      </w:r>
    </w:p>
  </w:footnote>
  <w:footnote w:id="4">
    <w:p w14:paraId="73B732CB" w14:textId="77777777" w:rsidR="00FA2C6C" w:rsidRPr="00A47648" w:rsidRDefault="00FA2C6C" w:rsidP="00FA2C6C">
      <w:pPr>
        <w:pStyle w:val="Textonotapie"/>
        <w:ind w:firstLine="708"/>
        <w:rPr>
          <w:lang w:val="es-ES"/>
        </w:rPr>
      </w:pPr>
      <w:r>
        <w:rPr>
          <w:rStyle w:val="Refdenotaalpie"/>
        </w:rPr>
        <w:footnoteRef/>
      </w:r>
      <w:r>
        <w:t xml:space="preserve"> </w:t>
      </w:r>
      <w:r>
        <w:rPr>
          <w:lang w:val="es-ES"/>
        </w:rPr>
        <w:t xml:space="preserve"> CONSEJO DE ESTADO. Sala de lo Contencioso Administrativo. Sección Tercera. Subsección B. Sentencia de 3 de mayo de 2013. Exp. 23734. C.P: </w:t>
      </w:r>
      <w:r>
        <w:rPr>
          <w:rFonts w:ascii="Verdana" w:hAnsi="Verdana" w:cs="Arial"/>
          <w:sz w:val="14"/>
          <w:szCs w:val="14"/>
          <w:lang w:val="es-ES"/>
        </w:rPr>
        <w:t>Danilo Rojas Betancourth (E).</w:t>
      </w:r>
    </w:p>
  </w:footnote>
  <w:footnote w:id="5">
    <w:p w14:paraId="56248CE2" w14:textId="77777777" w:rsidR="00FA2C6C" w:rsidRPr="00985553" w:rsidRDefault="00FA2C6C" w:rsidP="00FA2C6C">
      <w:pPr>
        <w:pStyle w:val="Textonotapie"/>
        <w:ind w:firstLine="708"/>
        <w:jc w:val="both"/>
        <w:rPr>
          <w:rFonts w:ascii="Verdana" w:hAnsi="Verdana"/>
          <w:sz w:val="14"/>
          <w:szCs w:val="14"/>
        </w:rPr>
      </w:pPr>
      <w:r w:rsidRPr="004247DE">
        <w:rPr>
          <w:rStyle w:val="Refdenotaalpie"/>
          <w:rFonts w:ascii="Verdana" w:hAnsi="Verdana"/>
          <w:sz w:val="14"/>
          <w:szCs w:val="14"/>
        </w:rPr>
        <w:footnoteRef/>
      </w:r>
      <w:r w:rsidRPr="004247DE">
        <w:rPr>
          <w:rFonts w:ascii="Verdana" w:hAnsi="Verdana"/>
          <w:sz w:val="14"/>
          <w:szCs w:val="14"/>
        </w:rPr>
        <w:t xml:space="preserve"> PINO RICCI, Jorge. El régimen jurídico de los contratos estatales. Bogotá: Universidad externado de Colombia, 2005. Pp. 305-306. Como explica la jurisprudencia, “[…] la administración no tiene la facultad discrecional para declarar a su arbitrio desierta la licitación, decisión que sólo resulta procedente cuando medien causales y circunstancias contempladas en las normas, por cuanto, como ya se anotó, la facultad de adjudicar o no un contrato estatal es reglada. No cualquier hecho </w:t>
      </w:r>
      <w:r w:rsidRPr="00985553">
        <w:rPr>
          <w:rFonts w:ascii="Verdana" w:hAnsi="Verdana"/>
          <w:sz w:val="14"/>
          <w:szCs w:val="14"/>
        </w:rPr>
        <w:t xml:space="preserve">conduce a la declaratoria de desierta de una licitación, sino que es menester que el mismo impida la selección objetiva de la propuesta dentro del marco dispuesto por el ordenamiento jurídico” (CONSEJO DE ESTADO. Sección Tercera. Sentencia 27 de abril de 2011. Rad. 28293. CP. Ruth Stella Correa Palacio).  </w:t>
      </w:r>
    </w:p>
    <w:p w14:paraId="533D8CBF" w14:textId="77777777" w:rsidR="00FA2C6C" w:rsidRPr="00985553" w:rsidRDefault="00FA2C6C" w:rsidP="00FA2C6C">
      <w:pPr>
        <w:pStyle w:val="Textonotapie"/>
        <w:ind w:firstLine="708"/>
        <w:jc w:val="both"/>
        <w:rPr>
          <w:rFonts w:ascii="Verdana" w:hAnsi="Verdana"/>
          <w:sz w:val="14"/>
          <w:szCs w:val="14"/>
        </w:rPr>
      </w:pPr>
    </w:p>
  </w:footnote>
  <w:footnote w:id="6">
    <w:p w14:paraId="7B4D62A2" w14:textId="77777777" w:rsidR="00FA2C6C" w:rsidRPr="00C91166" w:rsidRDefault="00FA2C6C" w:rsidP="00FA2C6C">
      <w:pPr>
        <w:pStyle w:val="Textonotapie"/>
        <w:rPr>
          <w:lang w:val="es-ES"/>
        </w:rPr>
      </w:pPr>
      <w:r>
        <w:rPr>
          <w:rStyle w:val="Refdenotaalpie"/>
        </w:rPr>
        <w:footnoteRef/>
      </w:r>
      <w:r>
        <w:t xml:space="preserve"> </w:t>
      </w:r>
      <w:r>
        <w:rPr>
          <w:lang w:val="es-ES"/>
        </w:rPr>
        <w:t xml:space="preserve">CONSEJO DE ESTADO. Sala de lo Contencioso Administrativo. Sección Tercera. Subsección B. Sentencia de 3 de mayo de 2013. Exp. 23734. C.P: </w:t>
      </w:r>
      <w:r>
        <w:rPr>
          <w:rFonts w:ascii="Verdana" w:hAnsi="Verdana" w:cs="Arial"/>
          <w:sz w:val="14"/>
          <w:szCs w:val="14"/>
          <w:lang w:val="es-ES"/>
        </w:rPr>
        <w:t>Danilo Rojas Betancourth (E).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39263521">
    <w:abstractNumId w:val="7"/>
  </w:num>
  <w:num w:numId="2" w16cid:durableId="1026056595">
    <w:abstractNumId w:val="2"/>
  </w:num>
  <w:num w:numId="3" w16cid:durableId="863862626">
    <w:abstractNumId w:val="5"/>
  </w:num>
  <w:num w:numId="4" w16cid:durableId="38295049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71851738">
    <w:abstractNumId w:val="2"/>
  </w:num>
  <w:num w:numId="6" w16cid:durableId="1736120618">
    <w:abstractNumId w:val="13"/>
  </w:num>
  <w:num w:numId="7" w16cid:durableId="710495286">
    <w:abstractNumId w:val="6"/>
  </w:num>
  <w:num w:numId="8" w16cid:durableId="105390810">
    <w:abstractNumId w:val="12"/>
  </w:num>
  <w:num w:numId="9" w16cid:durableId="428309082">
    <w:abstractNumId w:val="8"/>
  </w:num>
  <w:num w:numId="10" w16cid:durableId="1209341993">
    <w:abstractNumId w:val="11"/>
  </w:num>
  <w:num w:numId="11" w16cid:durableId="580452368">
    <w:abstractNumId w:val="9"/>
  </w:num>
  <w:num w:numId="12" w16cid:durableId="1112018228">
    <w:abstractNumId w:val="1"/>
  </w:num>
  <w:num w:numId="13" w16cid:durableId="51202123">
    <w:abstractNumId w:val="4"/>
  </w:num>
  <w:num w:numId="14" w16cid:durableId="49236232">
    <w:abstractNumId w:val="14"/>
  </w:num>
  <w:num w:numId="15" w16cid:durableId="208079565">
    <w:abstractNumId w:val="10"/>
  </w:num>
  <w:num w:numId="16" w16cid:durableId="915867934">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4878657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86F39"/>
    <w:rsid w:val="000A683E"/>
    <w:rsid w:val="000B19B9"/>
    <w:rsid w:val="000D0334"/>
    <w:rsid w:val="000F6486"/>
    <w:rsid w:val="00125105"/>
    <w:rsid w:val="00127233"/>
    <w:rsid w:val="001E4177"/>
    <w:rsid w:val="001F7DC6"/>
    <w:rsid w:val="002012C8"/>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63EC0"/>
    <w:rsid w:val="00374F5E"/>
    <w:rsid w:val="00377E3E"/>
    <w:rsid w:val="003A779E"/>
    <w:rsid w:val="003C12F5"/>
    <w:rsid w:val="003D0F4D"/>
    <w:rsid w:val="003D5B0D"/>
    <w:rsid w:val="003E0499"/>
    <w:rsid w:val="003F3941"/>
    <w:rsid w:val="00406575"/>
    <w:rsid w:val="00414C74"/>
    <w:rsid w:val="0042722E"/>
    <w:rsid w:val="0044528D"/>
    <w:rsid w:val="004A1847"/>
    <w:rsid w:val="004A305D"/>
    <w:rsid w:val="004B354F"/>
    <w:rsid w:val="004F21C4"/>
    <w:rsid w:val="004F685F"/>
    <w:rsid w:val="005566E8"/>
    <w:rsid w:val="00574867"/>
    <w:rsid w:val="00591460"/>
    <w:rsid w:val="005C3777"/>
    <w:rsid w:val="005C5CDC"/>
    <w:rsid w:val="005D476C"/>
    <w:rsid w:val="006219F8"/>
    <w:rsid w:val="006302F7"/>
    <w:rsid w:val="00665D70"/>
    <w:rsid w:val="0067536E"/>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67F95"/>
    <w:rsid w:val="008843B6"/>
    <w:rsid w:val="00891928"/>
    <w:rsid w:val="00897A3A"/>
    <w:rsid w:val="008A446D"/>
    <w:rsid w:val="008D180B"/>
    <w:rsid w:val="008F0EA7"/>
    <w:rsid w:val="00923EEF"/>
    <w:rsid w:val="009419F9"/>
    <w:rsid w:val="0095685E"/>
    <w:rsid w:val="00961B09"/>
    <w:rsid w:val="00965334"/>
    <w:rsid w:val="0097093E"/>
    <w:rsid w:val="00976E75"/>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C3D36"/>
    <w:rsid w:val="00BD6FAA"/>
    <w:rsid w:val="00BD7F72"/>
    <w:rsid w:val="00C04FB3"/>
    <w:rsid w:val="00C330EB"/>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B4D31"/>
    <w:rsid w:val="00EC38A7"/>
    <w:rsid w:val="00EE1AA8"/>
    <w:rsid w:val="00F31EDC"/>
    <w:rsid w:val="00F462B3"/>
    <w:rsid w:val="00F51056"/>
    <w:rsid w:val="00F5664F"/>
    <w:rsid w:val="00F666C4"/>
    <w:rsid w:val="00F76AFC"/>
    <w:rsid w:val="00FA2C6C"/>
    <w:rsid w:val="00FA47C0"/>
    <w:rsid w:val="00FB5DD1"/>
    <w:rsid w:val="00FC2B5D"/>
    <w:rsid w:val="00FD1B49"/>
    <w:rsid w:val="00FF1449"/>
    <w:rsid w:val="05EBC534"/>
    <w:rsid w:val="1042AEF4"/>
    <w:rsid w:val="469A02C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FA2C6C"/>
    <w:rPr>
      <w:rFonts w:ascii="Geomanist Light" w:hAnsi="Geomanist Light"/>
      <w:lang w:val="es-ES"/>
    </w:rPr>
  </w:style>
  <w:style w:type="paragraph" w:customStyle="1" w:styleId="Appelnotedebasde">
    <w:name w:val="Appel note de bas de..."/>
    <w:basedOn w:val="Normal"/>
    <w:link w:val="Refdenotaalpie"/>
    <w:uiPriority w:val="99"/>
    <w:rsid w:val="00FA2C6C"/>
    <w:pPr>
      <w:spacing w:line="240" w:lineRule="exact"/>
    </w:pPr>
    <w:rPr>
      <w:vertAlign w:val="superscript"/>
    </w:rPr>
  </w:style>
  <w:style w:type="character" w:styleId="Textoennegrita">
    <w:name w:val="Strong"/>
    <w:basedOn w:val="Fuentedeprrafopredeter"/>
    <w:uiPriority w:val="22"/>
    <w:qFormat/>
    <w:rsid w:val="00FA2C6C"/>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ites/cce_public/files/cce_documents/guia_para_promover_la_participacion_de_las_mipymes_en_los_procesos_de_compra_publica_cce-gad-gi-26_1.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tatianaclopez29@"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tmp"/><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wp-content%2Fuploads%2F2025%2F05%2FGUIA-DE-LINEAMIENTOS-DE-TRANSPARENCIA-Y-SELECCION-OBJETIVA-1.0.pdf&amp;data=05%7C02%7Ccatalina.cubides%40colombiacompra.gov.co%7C7cfff6dece924643582c08dd97bfed90%7C7b09041e245149d08cb179d5e3d8c1be%7C0%7C0%7C638833572789617407%7CUnknown%7CTWFpbGZsb3d8eyJFbXB0eU1hcGkiOnRydWUsIlYiOiIwLjAuMDAwMCIsIlAiOiJXaW4zMiIsIkFOIjoiTWFpbCIsIldUIjoyfQ%3D%3D%7C0%7C%7C%7C&amp;sdata=9uKHGs1CT3BZvajf54ettWU83zMQL5yVTuUSLWeSBxw%3D&amp;reserved=0"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latoria.colombiacompra.gov.co/busqueda/conceptos"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guia_para_promover_la_participacion_de_las_mipymes_en_los_procesos_de_compra_publica_cce-gad-gi-26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purl.org/dc/dcmitype/"/>
    <ds:schemaRef ds:uri="http://purl.org/dc/elements/1.1/"/>
    <ds:schemaRef ds:uri="http://purl.org/dc/terms/"/>
    <ds:schemaRef ds:uri="http://schemas.microsoft.com/office/2006/documentManagement/types"/>
    <ds:schemaRef ds:uri="9d85dbaf-23eb-4e57-a637-93dcacc8b1a1"/>
    <ds:schemaRef ds:uri="http://www.w3.org/XML/1998/namespace"/>
    <ds:schemaRef ds:uri="http://schemas.microsoft.com/office/infopath/2007/PartnerControls"/>
    <ds:schemaRef ds:uri="http://schemas.openxmlformats.org/package/2006/metadata/core-properties"/>
    <ds:schemaRef ds:uri="a6cb9e4b-f1d1-4245-83ec-6cad768d538a"/>
    <ds:schemaRef ds:uri="http://schemas.microsoft.com/office/2006/metadata/properties"/>
  </ds:schemaRefs>
</ds:datastoreItem>
</file>

<file path=customXml/itemProps2.xml><?xml version="1.0" encoding="utf-8"?>
<ds:datastoreItem xmlns:ds="http://schemas.openxmlformats.org/officeDocument/2006/customXml" ds:itemID="{36BAEE86-96E5-4F5A-9BAD-8A9A31AD7F5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B6EE30-B316-4876-9C80-2D9C69614A20}">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4390</Words>
  <Characters>24145</Characters>
  <Application>Microsoft Office Word</Application>
  <DocSecurity>0</DocSecurity>
  <Lines>201</Lines>
  <Paragraphs>56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2025-09-22T14:56:00Z</dcterms:created>
  <dcterms:modified xsi:type="dcterms:W3CDTF">2025-09-22T14:56:00Z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