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2B52D" w14:textId="77777777" w:rsidR="00F63182" w:rsidRPr="00396DBB" w:rsidRDefault="00F63182" w:rsidP="00F63182">
      <w:pPr>
        <w:pStyle w:val="Textoindependiente"/>
        <w:ind w:right="102"/>
        <w:jc w:val="both"/>
        <w:rPr>
          <w:rFonts w:cs="Arial"/>
          <w:b/>
          <w:color w:val="000000" w:themeColor="text1"/>
          <w:lang w:val="es-ES_tradnl"/>
        </w:rPr>
      </w:pPr>
      <w:bookmarkStart w:id="0" w:name="_Hlk143780582"/>
      <w:r>
        <w:rPr>
          <w:rFonts w:cs="Arial"/>
          <w:b/>
          <w:color w:val="000000" w:themeColor="text1"/>
          <w:lang w:val="es-ES_tradnl"/>
        </w:rPr>
        <w:t>SELECCIÓN ABREVIADA</w:t>
      </w:r>
      <w:r w:rsidRPr="00396DBB">
        <w:rPr>
          <w:rFonts w:cs="Arial"/>
          <w:b/>
          <w:color w:val="000000" w:themeColor="text1"/>
          <w:lang w:val="es-ES_tradnl"/>
        </w:rPr>
        <w:t xml:space="preserve"> – </w:t>
      </w:r>
      <w:r>
        <w:rPr>
          <w:rFonts w:cs="Arial"/>
          <w:b/>
          <w:color w:val="000000" w:themeColor="text1"/>
          <w:lang w:val="es-ES_tradnl"/>
        </w:rPr>
        <w:t>Marco normativo</w:t>
      </w:r>
      <w:r w:rsidRPr="00396DBB">
        <w:rPr>
          <w:rFonts w:cs="Arial"/>
          <w:b/>
          <w:color w:val="000000" w:themeColor="text1"/>
          <w:lang w:val="es-ES_tradnl"/>
        </w:rPr>
        <w:t xml:space="preserve"> </w:t>
      </w:r>
    </w:p>
    <w:p w14:paraId="50FD2689" w14:textId="77777777" w:rsidR="00F63182" w:rsidRPr="00396DBB" w:rsidRDefault="00F63182" w:rsidP="00F63182">
      <w:pPr>
        <w:pStyle w:val="Textoindependiente"/>
        <w:ind w:right="102"/>
        <w:jc w:val="both"/>
        <w:rPr>
          <w:rFonts w:cs="Arial"/>
          <w:color w:val="000000" w:themeColor="text1"/>
          <w:sz w:val="20"/>
          <w:szCs w:val="20"/>
          <w:lang w:val="es-ES_tradnl"/>
        </w:rPr>
      </w:pPr>
    </w:p>
    <w:p w14:paraId="1ABC2F89" w14:textId="77777777" w:rsidR="00F63182" w:rsidRDefault="00F63182" w:rsidP="00F63182">
      <w:pPr>
        <w:spacing w:after="0" w:line="240" w:lineRule="auto"/>
        <w:jc w:val="both"/>
        <w:rPr>
          <w:rFonts w:ascii="Verdana" w:eastAsia="Arial" w:hAnsi="Verdana" w:cs="Arial"/>
          <w:color w:val="000000" w:themeColor="text1"/>
          <w:sz w:val="20"/>
          <w:szCs w:val="20"/>
        </w:rPr>
      </w:pPr>
      <w:r w:rsidRPr="00C371AB">
        <w:rPr>
          <w:rFonts w:ascii="Verdana" w:eastAsia="Arial" w:hAnsi="Verdana" w:cs="Arial"/>
          <w:bCs/>
          <w:color w:val="000000" w:themeColor="text1"/>
          <w:sz w:val="20"/>
          <w:szCs w:val="20"/>
          <w:lang w:val="es-MX"/>
        </w:rPr>
        <w:t xml:space="preserve">Respecto a la selección abreviada, </w:t>
      </w:r>
      <w:r w:rsidRPr="00C371AB">
        <w:rPr>
          <w:rFonts w:ascii="Verdana" w:eastAsia="Arial" w:hAnsi="Verdana" w:cs="Arial"/>
          <w:color w:val="000000" w:themeColor="text1"/>
          <w:sz w:val="20"/>
          <w:szCs w:val="20"/>
        </w:rPr>
        <w:t xml:space="preserve">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40786579" w14:textId="77777777" w:rsidR="00F63182" w:rsidRPr="00C371AB" w:rsidRDefault="00F63182" w:rsidP="00F63182">
      <w:pPr>
        <w:spacing w:after="0" w:line="240" w:lineRule="auto"/>
        <w:jc w:val="both"/>
        <w:rPr>
          <w:rFonts w:ascii="Verdana" w:eastAsia="Arial" w:hAnsi="Verdana" w:cs="Arial"/>
          <w:color w:val="000000" w:themeColor="text1"/>
          <w:sz w:val="20"/>
          <w:szCs w:val="20"/>
        </w:rPr>
      </w:pPr>
    </w:p>
    <w:p w14:paraId="65D9B077" w14:textId="77777777" w:rsidR="00F63182" w:rsidRDefault="00F63182" w:rsidP="00F63182">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r>
        <w:rPr>
          <w:rFonts w:ascii="Verdana" w:eastAsia="Arial" w:hAnsi="Verdana" w:cs="Arial"/>
          <w:color w:val="000000" w:themeColor="text1"/>
          <w:sz w:val="20"/>
          <w:szCs w:val="20"/>
        </w:rPr>
        <w:t>.</w:t>
      </w:r>
    </w:p>
    <w:p w14:paraId="6B53B971" w14:textId="77777777" w:rsidR="00F63182" w:rsidRDefault="00F63182" w:rsidP="00F63182">
      <w:pPr>
        <w:spacing w:after="0" w:line="240" w:lineRule="auto"/>
        <w:jc w:val="both"/>
        <w:rPr>
          <w:rFonts w:ascii="Verdana" w:eastAsia="Arial" w:hAnsi="Verdana" w:cs="Arial"/>
          <w:color w:val="000000" w:themeColor="text1"/>
          <w:sz w:val="20"/>
          <w:szCs w:val="20"/>
        </w:rPr>
      </w:pPr>
    </w:p>
    <w:p w14:paraId="05FE19B1" w14:textId="77777777" w:rsidR="00F63182" w:rsidRPr="00FB1576" w:rsidRDefault="00F63182" w:rsidP="00F63182">
      <w:pPr>
        <w:spacing w:after="0" w:line="240" w:lineRule="auto"/>
        <w:jc w:val="both"/>
        <w:rPr>
          <w:rFonts w:ascii="Verdana" w:eastAsia="Arial" w:hAnsi="Verdana" w:cs="Arial"/>
          <w:color w:val="000000" w:themeColor="text1"/>
          <w:sz w:val="20"/>
          <w:szCs w:val="20"/>
        </w:rPr>
      </w:pPr>
      <w:r w:rsidRPr="00C371AB">
        <w:rPr>
          <w:rFonts w:ascii="Verdana" w:eastAsia="Arial" w:hAnsi="Verdana" w:cs="Arial"/>
          <w:color w:val="000000" w:themeColor="text1"/>
          <w:sz w:val="20"/>
          <w:szCs w:val="20"/>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002C5586" w14:textId="77777777" w:rsidR="00F63182" w:rsidRPr="00396DBB" w:rsidRDefault="00F63182" w:rsidP="00F63182">
      <w:pPr>
        <w:spacing w:after="0" w:line="240" w:lineRule="auto"/>
        <w:jc w:val="both"/>
        <w:rPr>
          <w:rFonts w:ascii="Verdana" w:eastAsia="Calibri" w:hAnsi="Verdana" w:cs="Arial"/>
          <w:b/>
          <w:color w:val="000000" w:themeColor="text1"/>
          <w:lang w:val="es-ES_tradnl"/>
        </w:rPr>
      </w:pPr>
    </w:p>
    <w:p w14:paraId="3FD9AE53" w14:textId="77777777" w:rsidR="00F63182" w:rsidRPr="00396DBB" w:rsidRDefault="00F63182" w:rsidP="00F63182">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Definición </w:t>
      </w:r>
      <w:r w:rsidRPr="00396DBB">
        <w:rPr>
          <w:rFonts w:ascii="Verdana" w:eastAsia="Calibri" w:hAnsi="Verdana" w:cs="Arial"/>
          <w:b/>
          <w:color w:val="000000" w:themeColor="text1"/>
          <w:lang w:val="es-ES_tradnl"/>
        </w:rPr>
        <w:t xml:space="preserve"> </w:t>
      </w:r>
    </w:p>
    <w:p w14:paraId="1D018C49" w14:textId="77777777" w:rsidR="00F63182" w:rsidRPr="00396DBB" w:rsidRDefault="00F63182" w:rsidP="00F63182">
      <w:pPr>
        <w:spacing w:after="0" w:line="240" w:lineRule="auto"/>
        <w:jc w:val="both"/>
        <w:rPr>
          <w:rFonts w:ascii="Verdana" w:eastAsia="Calibri" w:hAnsi="Verdana" w:cs="Arial"/>
          <w:bCs/>
          <w:color w:val="000000" w:themeColor="text1"/>
          <w:sz w:val="20"/>
          <w:szCs w:val="20"/>
          <w:lang w:val="es-ES_tradnl"/>
        </w:rPr>
      </w:pPr>
    </w:p>
    <w:p w14:paraId="5F6F7E1F" w14:textId="77777777" w:rsidR="00F63182" w:rsidRDefault="00F63182" w:rsidP="00F63182">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S</w:t>
      </w:r>
      <w:r w:rsidRPr="00C371AB">
        <w:rPr>
          <w:rFonts w:ascii="Verdana" w:hAnsi="Verdana" w:cs="Arial"/>
          <w:color w:val="000000" w:themeColor="text1"/>
          <w:sz w:val="20"/>
          <w:szCs w:val="20"/>
        </w:rPr>
        <w:t>egún el literal a) del artículo 2.2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w:t>
      </w:r>
      <w:r w:rsidRPr="00782519">
        <w:rPr>
          <w:rFonts w:ascii="Verdana" w:hAnsi="Verdana" w:cs="Arial"/>
          <w:color w:val="000000" w:themeColor="text1"/>
          <w:sz w:val="20"/>
          <w:szCs w:val="20"/>
        </w:rPr>
        <w:t>.</w:t>
      </w:r>
    </w:p>
    <w:p w14:paraId="53464E8A" w14:textId="77777777" w:rsidR="00F63182" w:rsidRPr="00396DBB" w:rsidRDefault="00F63182" w:rsidP="00F63182">
      <w:pPr>
        <w:spacing w:after="0" w:line="240" w:lineRule="auto"/>
        <w:jc w:val="both"/>
        <w:rPr>
          <w:rFonts w:ascii="Verdana" w:hAnsi="Verdana" w:cs="Arial"/>
          <w:color w:val="000000" w:themeColor="text1"/>
          <w:sz w:val="21"/>
          <w:szCs w:val="21"/>
          <w:lang w:val="es-ES_tradnl"/>
        </w:rPr>
      </w:pPr>
    </w:p>
    <w:p w14:paraId="4B3FF7D2" w14:textId="77777777" w:rsidR="00F63182" w:rsidRPr="00396DBB" w:rsidRDefault="00F63182" w:rsidP="00F63182">
      <w:pPr>
        <w:spacing w:after="0" w:line="240" w:lineRule="auto"/>
        <w:jc w:val="both"/>
        <w:rPr>
          <w:rFonts w:ascii="Verdana" w:eastAsia="Calibri" w:hAnsi="Verdana" w:cs="Arial"/>
          <w:b/>
          <w:color w:val="000000" w:themeColor="text1"/>
          <w:lang w:val="es-ES_tradnl"/>
        </w:rPr>
      </w:pPr>
      <w:r w:rsidRPr="00C371AB">
        <w:rPr>
          <w:rFonts w:ascii="Verdana" w:eastAsia="Calibri" w:hAnsi="Verdana" w:cs="Arial"/>
          <w:b/>
          <w:color w:val="000000" w:themeColor="text1"/>
          <w:lang w:val="es-ES_tradnl"/>
        </w:rPr>
        <w:t>BIENES Y SERVICIOS DE CARACTERÍSTICAS TÉCNICAS UNIFORMES</w:t>
      </w:r>
      <w:r w:rsidRPr="00782519">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Características – Formas de adquisición </w:t>
      </w:r>
    </w:p>
    <w:p w14:paraId="70131E82" w14:textId="77777777" w:rsidR="00F63182" w:rsidRPr="00782519" w:rsidRDefault="00F63182" w:rsidP="00F63182">
      <w:pPr>
        <w:tabs>
          <w:tab w:val="left" w:pos="426"/>
        </w:tabs>
        <w:spacing w:after="0" w:line="240" w:lineRule="auto"/>
        <w:contextualSpacing/>
        <w:jc w:val="both"/>
        <w:rPr>
          <w:rFonts w:ascii="Verdana" w:eastAsia="Calibri" w:hAnsi="Verdana" w:cs="Arial"/>
          <w:b/>
          <w:bCs/>
          <w:sz w:val="20"/>
          <w:szCs w:val="20"/>
          <w:lang w:val="es-MX"/>
        </w:rPr>
      </w:pPr>
    </w:p>
    <w:p w14:paraId="28865EA9" w14:textId="77777777" w:rsidR="00F63182" w:rsidRDefault="00F63182" w:rsidP="00F63182">
      <w:pPr>
        <w:tabs>
          <w:tab w:val="left" w:pos="426"/>
        </w:tabs>
        <w:spacing w:after="0" w:line="240" w:lineRule="auto"/>
        <w:contextualSpacing/>
        <w:jc w:val="both"/>
        <w:rPr>
          <w:rFonts w:ascii="Verdana" w:eastAsia="Calibri" w:hAnsi="Verdana" w:cs="Arial"/>
          <w:noProof/>
          <w:sz w:val="20"/>
          <w:szCs w:val="20"/>
          <w:lang w:val="es-ES_tradnl"/>
        </w:rPr>
      </w:pPr>
      <w:r w:rsidRPr="00C371AB">
        <w:rPr>
          <w:rFonts w:ascii="Verdana" w:eastAsia="Calibri" w:hAnsi="Verdana" w:cs="Arial"/>
          <w:noProof/>
          <w:sz w:val="20"/>
          <w:szCs w:val="20"/>
          <w:lang w:val="es-ES_tradnl"/>
        </w:rPr>
        <w:t xml:space="preserve">Para identificar los bienes y servicios que corresponden a este tipo, se destacan dos (2) aspectos importantes: la común utilización y la homogeneidad. Para la doctrina, la </w:t>
      </w:r>
      <w:r w:rsidRPr="00C371AB">
        <w:rPr>
          <w:rFonts w:ascii="Verdana" w:eastAsia="Calibri" w:hAnsi="Verdana" w:cs="Arial"/>
          <w:i/>
          <w:iCs/>
          <w:noProof/>
          <w:sz w:val="20"/>
          <w:szCs w:val="20"/>
          <w:lang w:val="es-ES_tradnl"/>
        </w:rPr>
        <w:t>común utilización</w:t>
      </w:r>
      <w:r w:rsidRPr="00C371AB">
        <w:rPr>
          <w:rFonts w:ascii="Verdana" w:eastAsia="Calibri" w:hAnsi="Verdana" w:cs="Arial"/>
          <w:noProof/>
          <w:sz w:val="20"/>
          <w:szCs w:val="20"/>
          <w:lang w:val="es-ES_tradnl"/>
        </w:rPr>
        <w:t xml:space="preserve"> “[…] busca que los bienes o servicios que se compren en esta categoría sean de los que se ofrecen en un mercado con un estándar para quienes los demandan, o lo que es igual, que la oferta de los mismos en el mercado ocurriese en condiciones </w:t>
      </w:r>
      <w:r w:rsidRPr="00C371AB">
        <w:rPr>
          <w:rFonts w:ascii="Verdana" w:eastAsia="Calibri" w:hAnsi="Verdana" w:cs="Arial"/>
          <w:noProof/>
          <w:sz w:val="20"/>
          <w:szCs w:val="20"/>
          <w:lang w:val="es-ES_tradnl"/>
        </w:rPr>
        <w:lastRenderedPageBreak/>
        <w:t xml:space="preserve">equivalentes para todo interesado en adquirirlos”. Por su parte, la </w:t>
      </w:r>
      <w:r w:rsidRPr="00C371AB">
        <w:rPr>
          <w:rFonts w:ascii="Verdana" w:eastAsia="Calibri" w:hAnsi="Verdana" w:cs="Arial"/>
          <w:i/>
          <w:iCs/>
          <w:noProof/>
          <w:sz w:val="20"/>
          <w:szCs w:val="20"/>
          <w:lang w:val="es-ES_tradnl"/>
        </w:rPr>
        <w:t>homogeneidad</w:t>
      </w:r>
      <w:r w:rsidRPr="00C371AB">
        <w:rPr>
          <w:rFonts w:ascii="Verdana" w:eastAsia="Calibri" w:hAnsi="Verdana" w:cs="Arial"/>
          <w:noProof/>
          <w:sz w:val="20"/>
          <w:szCs w:val="20"/>
          <w:lang w:val="es-ES_tradnl"/>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45EA2F6B" w14:textId="77777777" w:rsidR="00F63182" w:rsidRPr="00C371AB" w:rsidRDefault="00F63182" w:rsidP="00F63182">
      <w:pPr>
        <w:tabs>
          <w:tab w:val="left" w:pos="426"/>
        </w:tabs>
        <w:spacing w:after="0" w:line="240" w:lineRule="auto"/>
        <w:contextualSpacing/>
        <w:jc w:val="both"/>
        <w:rPr>
          <w:rFonts w:ascii="Verdana" w:eastAsia="Calibri" w:hAnsi="Verdana" w:cs="Arial"/>
          <w:noProof/>
          <w:sz w:val="20"/>
          <w:szCs w:val="20"/>
          <w:lang w:val="es-ES_tradnl"/>
        </w:rPr>
      </w:pPr>
    </w:p>
    <w:p w14:paraId="4429F449" w14:textId="77777777" w:rsidR="00F63182" w:rsidRDefault="00F63182" w:rsidP="00F63182">
      <w:pPr>
        <w:tabs>
          <w:tab w:val="left" w:pos="426"/>
        </w:tabs>
        <w:spacing w:after="0" w:line="240" w:lineRule="auto"/>
        <w:contextualSpacing/>
        <w:jc w:val="both"/>
        <w:rPr>
          <w:rFonts w:ascii="Verdana" w:eastAsia="Calibri" w:hAnsi="Verdana" w:cs="Arial"/>
          <w:noProof/>
          <w:sz w:val="20"/>
          <w:szCs w:val="20"/>
          <w:lang w:val="es-ES_tradnl"/>
        </w:rPr>
      </w:pPr>
      <w:r w:rsidRPr="00C371AB">
        <w:rPr>
          <w:rFonts w:ascii="Verdana" w:eastAsia="Calibri" w:hAnsi="Verdana" w:cs="Arial"/>
          <w:noProof/>
          <w:sz w:val="20"/>
          <w:szCs w:val="20"/>
          <w:lang w:val="es-ES_tradnl"/>
        </w:rPr>
        <w:t>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w:t>
      </w:r>
      <w:r w:rsidRPr="00782519">
        <w:rPr>
          <w:rFonts w:ascii="Verdana" w:eastAsia="Calibri" w:hAnsi="Verdana" w:cs="Arial"/>
          <w:noProof/>
          <w:sz w:val="20"/>
          <w:szCs w:val="20"/>
          <w:lang w:val="es-ES_tradnl"/>
        </w:rPr>
        <w:t xml:space="preserve">. </w:t>
      </w:r>
    </w:p>
    <w:p w14:paraId="188D7B40" w14:textId="77777777" w:rsidR="00F63182" w:rsidRPr="00396DBB" w:rsidRDefault="00F63182" w:rsidP="00F63182">
      <w:pPr>
        <w:spacing w:after="0" w:line="240" w:lineRule="auto"/>
        <w:jc w:val="both"/>
        <w:rPr>
          <w:rFonts w:ascii="Verdana" w:hAnsi="Verdana" w:cs="Arial"/>
          <w:color w:val="000000" w:themeColor="text1"/>
          <w:sz w:val="21"/>
          <w:szCs w:val="21"/>
          <w:lang w:val="es-ES_tradnl"/>
        </w:rPr>
      </w:pPr>
    </w:p>
    <w:p w14:paraId="14C0933D" w14:textId="77777777" w:rsidR="00F63182" w:rsidRPr="005C16B7" w:rsidRDefault="00F63182" w:rsidP="00F63182">
      <w:pPr>
        <w:spacing w:after="0" w:line="240" w:lineRule="auto"/>
        <w:jc w:val="both"/>
        <w:rPr>
          <w:rFonts w:ascii="Verdana" w:eastAsia="Calibri" w:hAnsi="Verdana" w:cs="Arial"/>
          <w:b/>
          <w:bCs/>
          <w:lang w:val="es-ES_tradnl"/>
        </w:rPr>
      </w:pPr>
      <w:r w:rsidRPr="005C16B7">
        <w:rPr>
          <w:rFonts w:ascii="Verdana" w:eastAsia="Calibri" w:hAnsi="Verdana" w:cs="Arial"/>
          <w:b/>
          <w:bCs/>
          <w:lang w:val="es-ES_tradnl"/>
        </w:rPr>
        <w:t>BOLSA DE PRODUCTOS – Noción – Procedencia</w:t>
      </w:r>
    </w:p>
    <w:p w14:paraId="3ADD3A37" w14:textId="77777777" w:rsidR="00F63182" w:rsidRPr="005C16B7" w:rsidRDefault="00F63182" w:rsidP="00F63182">
      <w:pPr>
        <w:spacing w:after="0" w:line="240" w:lineRule="auto"/>
        <w:jc w:val="both"/>
        <w:rPr>
          <w:rFonts w:ascii="Verdana" w:eastAsia="Calibri" w:hAnsi="Verdana" w:cs="Arial"/>
          <w:b/>
          <w:bCs/>
          <w:lang w:val="es-ES_tradnl"/>
        </w:rPr>
      </w:pPr>
    </w:p>
    <w:p w14:paraId="540F2C84" w14:textId="77777777" w:rsidR="00F63182" w:rsidRPr="005C16B7" w:rsidRDefault="00F63182" w:rsidP="00F63182">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La adquisición de bienes mediante el mecanismo de bolsa de productos 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competitivo11.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p>
    <w:p w14:paraId="652BAA4E" w14:textId="77777777" w:rsidR="00F63182" w:rsidRPr="005C16B7" w:rsidRDefault="00F63182" w:rsidP="00F63182">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 xml:space="preserve">La negociación por parte de la entidad se da a través de un comisionista, el cual debe ser contratado por la entidad de conformidad con el procedimiento y reglas de la respectiva bolsa de productos. A su vez, la calidad de los productos negociados y la liquidación de las operaciones celebradas debe estar respaldada por garantía. </w:t>
      </w:r>
    </w:p>
    <w:p w14:paraId="573150D2" w14:textId="77777777" w:rsidR="00F63182" w:rsidRPr="005C16B7" w:rsidRDefault="00F63182" w:rsidP="00F63182">
      <w:pPr>
        <w:jc w:val="both"/>
        <w:rPr>
          <w:rFonts w:ascii="Verdana" w:eastAsia="Geomanist Light" w:hAnsi="Verdana" w:cs="Arial"/>
          <w:color w:val="000000" w:themeColor="text1"/>
          <w:sz w:val="20"/>
          <w:szCs w:val="20"/>
          <w:lang w:val="es-MX"/>
        </w:rPr>
      </w:pPr>
      <w:r w:rsidRPr="005C16B7">
        <w:rPr>
          <w:rFonts w:ascii="Verdana" w:eastAsia="Geomanist Light" w:hAnsi="Verdana" w:cs="Arial"/>
          <w:color w:val="000000" w:themeColor="text1"/>
          <w:sz w:val="20"/>
          <w:szCs w:val="20"/>
          <w:lang w:val="es-MX"/>
        </w:rPr>
        <w:t>De conformidad con el artículo 2.2.1.2.1.2.12 del Decreto 1082 de 2015, modificado por el artículo 2 del Decreto 310 del 25 de marzo de 2021, cuando no exista un acuerdo marco de precios el adelantamiento de una compra mediante el mecanismo de bolsa de productos, requiere que las entidades realicen un estudio comparativo en el que determinen las ventajas de utilizar el mecanismo, frente a la posibilidad de acudir a la subasta inversa o a la posibilidad de promover un nuevo acuerdo marco de precios, análisis en que se deberá considerar el proceso de selección del comisionista, los costos asociados a la selección, el valor de la comisión y de las garantía (…).</w:t>
      </w:r>
    </w:p>
    <w:p w14:paraId="4C1BE1B7" w14:textId="77777777" w:rsidR="00F63182" w:rsidRPr="00F63182" w:rsidRDefault="00F63182" w:rsidP="00F63182">
      <w:pPr>
        <w:pStyle w:val="Textoindependiente"/>
        <w:spacing w:before="168"/>
        <w:ind w:left="0"/>
        <w:rPr>
          <w:lang w:val="es-MX"/>
        </w:rPr>
      </w:pPr>
    </w:p>
    <w:p w14:paraId="465A9C84" w14:textId="78CFE98C" w:rsidR="00F63182" w:rsidRDefault="00F63182" w:rsidP="00F63182">
      <w:pPr>
        <w:pStyle w:val="Textoindependiente"/>
        <w:spacing w:before="168"/>
        <w:ind w:left="0"/>
      </w:pPr>
      <w:r>
        <w:rPr>
          <w:noProof/>
        </w:rPr>
        <w:lastRenderedPageBreak/>
        <w:drawing>
          <wp:anchor distT="0" distB="0" distL="0" distR="0" simplePos="0" relativeHeight="251659264" behindDoc="0" locked="0" layoutInCell="1" allowOverlap="1" wp14:anchorId="54420D29" wp14:editId="04FFCC58">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8"/>
        </w:rPr>
        <w:t xml:space="preserve"> </w:t>
      </w:r>
      <w:r>
        <w:t>D.C.,</w:t>
      </w:r>
      <w:r>
        <w:rPr>
          <w:spacing w:val="-6"/>
        </w:rPr>
        <w:t xml:space="preserve"> </w:t>
      </w:r>
      <w:r>
        <w:t>16</w:t>
      </w:r>
      <w:r>
        <w:rPr>
          <w:spacing w:val="-1"/>
        </w:rPr>
        <w:t xml:space="preserve"> </w:t>
      </w:r>
      <w:proofErr w:type="gramStart"/>
      <w:r>
        <w:t>Septiembre</w:t>
      </w:r>
      <w:proofErr w:type="gramEnd"/>
      <w:r>
        <w:rPr>
          <w:spacing w:val="-3"/>
        </w:rPr>
        <w:t xml:space="preserve"> </w:t>
      </w:r>
      <w:r>
        <w:rPr>
          <w:spacing w:val="-4"/>
        </w:rPr>
        <w:t>2025</w:t>
      </w:r>
    </w:p>
    <w:p w14:paraId="1D334DF2" w14:textId="77777777" w:rsidR="00F63182" w:rsidRDefault="00F63182" w:rsidP="00F63182">
      <w:pPr>
        <w:pStyle w:val="Textoindependiente"/>
        <w:spacing w:before="16"/>
        <w:ind w:left="0"/>
      </w:pPr>
    </w:p>
    <w:p w14:paraId="4BFA396E" w14:textId="77777777" w:rsidR="00C17CB4" w:rsidRPr="00593A5F" w:rsidRDefault="00C17CB4" w:rsidP="00C17CB4">
      <w:pPr>
        <w:spacing w:after="0" w:line="240" w:lineRule="auto"/>
        <w:jc w:val="both"/>
        <w:rPr>
          <w:rFonts w:ascii="Verdana" w:eastAsia="Calibri" w:hAnsi="Verdana" w:cs="Arial"/>
          <w:color w:val="000000"/>
          <w:lang w:val="es-ES"/>
        </w:rPr>
      </w:pPr>
    </w:p>
    <w:p w14:paraId="5979FEBC" w14:textId="77777777" w:rsidR="00C17CB4" w:rsidRDefault="00C17CB4" w:rsidP="00C17CB4">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w:t>
      </w:r>
      <w:r>
        <w:rPr>
          <w:rFonts w:ascii="Verdana" w:eastAsia="Calibri" w:hAnsi="Verdana" w:cs="Arial"/>
          <w:lang w:val="es-ES" w:eastAsia="es-ES"/>
        </w:rPr>
        <w:t>ra</w:t>
      </w:r>
    </w:p>
    <w:p w14:paraId="382E60F7" w14:textId="77777777" w:rsidR="00C17CB4" w:rsidRPr="00EF38C1" w:rsidRDefault="00C17CB4" w:rsidP="00C17CB4">
      <w:pPr>
        <w:spacing w:after="0" w:line="240" w:lineRule="auto"/>
        <w:jc w:val="both"/>
        <w:rPr>
          <w:rFonts w:ascii="Verdana" w:eastAsia="Calibri" w:hAnsi="Verdana" w:cs="Arial"/>
          <w:b/>
          <w:bCs/>
          <w:lang w:val="es-ES" w:eastAsia="es-ES"/>
        </w:rPr>
      </w:pPr>
      <w:r w:rsidRPr="00EF38C1">
        <w:rPr>
          <w:rFonts w:ascii="Verdana" w:eastAsia="Calibri" w:hAnsi="Verdana" w:cs="Arial"/>
          <w:b/>
          <w:bCs/>
          <w:lang w:val="es-ES" w:eastAsia="es-ES"/>
        </w:rPr>
        <w:t>Ana María Aguirre Tovar</w:t>
      </w:r>
    </w:p>
    <w:p w14:paraId="664AC86F" w14:textId="77777777" w:rsidR="00C17CB4" w:rsidRPr="00B96799" w:rsidRDefault="00C17CB4" w:rsidP="00C17CB4">
      <w:pPr>
        <w:spacing w:after="0" w:line="240" w:lineRule="auto"/>
        <w:jc w:val="both"/>
        <w:rPr>
          <w:rFonts w:ascii="Verdana" w:eastAsia="Calibri" w:hAnsi="Verdana" w:cs="Arial"/>
          <w:lang w:val="es-ES" w:eastAsia="es-ES"/>
        </w:rPr>
      </w:pPr>
      <w:r w:rsidRPr="00EF38C1">
        <w:rPr>
          <w:rFonts w:ascii="Verdana" w:eastAsia="Calibri" w:hAnsi="Verdana" w:cs="Arial"/>
          <w:lang w:val="es-ES" w:eastAsia="es-ES"/>
        </w:rPr>
        <w:t>JEFE OFICINA DE CONTROL</w:t>
      </w:r>
      <w:r>
        <w:rPr>
          <w:rFonts w:ascii="Verdana" w:eastAsia="Calibri" w:hAnsi="Verdana" w:cs="Arial"/>
          <w:lang w:val="es-ES" w:eastAsia="es-ES"/>
        </w:rPr>
        <w:t xml:space="preserve"> </w:t>
      </w:r>
      <w:r w:rsidRPr="00EF38C1">
        <w:rPr>
          <w:rFonts w:ascii="Verdana" w:eastAsia="Calibri" w:hAnsi="Verdana" w:cs="Arial"/>
          <w:lang w:val="es-ES" w:eastAsia="es-ES"/>
        </w:rPr>
        <w:t>INTERNO</w:t>
      </w:r>
      <w:r>
        <w:rPr>
          <w:rFonts w:ascii="Verdana" w:eastAsia="Calibri" w:hAnsi="Verdana" w:cs="Arial"/>
          <w:lang w:val="es-ES" w:eastAsia="es-ES"/>
        </w:rPr>
        <w:t xml:space="preserve"> </w:t>
      </w:r>
      <w:r w:rsidRPr="00EF38C1">
        <w:rPr>
          <w:rFonts w:ascii="Verdana" w:eastAsia="Calibri" w:hAnsi="Verdana" w:cs="Arial"/>
          <w:lang w:val="es-ES" w:eastAsia="es-ES"/>
        </w:rPr>
        <w:t>DISCIPLINARIO</w:t>
      </w:r>
    </w:p>
    <w:p w14:paraId="5DF828F5" w14:textId="77777777" w:rsidR="00C17CB4" w:rsidRDefault="00C17CB4" w:rsidP="00C17CB4">
      <w:pPr>
        <w:spacing w:after="0" w:line="240" w:lineRule="auto"/>
        <w:rPr>
          <w:rFonts w:ascii="Verdana" w:eastAsia="Calibri" w:hAnsi="Verdana" w:cs="Arial"/>
          <w:lang w:val="es-ES" w:eastAsia="es-ES"/>
        </w:rPr>
      </w:pPr>
      <w:hyperlink r:id="rId11" w:history="1">
        <w:r w:rsidRPr="002F4319">
          <w:rPr>
            <w:rStyle w:val="Hipervnculo"/>
            <w:rFonts w:ascii="Verdana" w:eastAsia="Calibri" w:hAnsi="Verdana" w:cs="Arial"/>
            <w:lang w:val="es-ES" w:eastAsia="es-ES"/>
          </w:rPr>
          <w:t>Disciplinario@catastrobogota.gov.co</w:t>
        </w:r>
      </w:hyperlink>
    </w:p>
    <w:p w14:paraId="144828A8" w14:textId="77777777" w:rsidR="00C17CB4" w:rsidRPr="00B96799" w:rsidRDefault="00C17CB4" w:rsidP="00C17CB4">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2F4C6CDB" w14:textId="77777777" w:rsidR="00C17CB4" w:rsidRPr="00593A5F" w:rsidRDefault="00C17CB4" w:rsidP="00C17CB4">
      <w:pPr>
        <w:spacing w:after="0" w:line="240" w:lineRule="auto"/>
        <w:rPr>
          <w:rFonts w:ascii="Verdana" w:eastAsia="Calibri" w:hAnsi="Verdana" w:cs="Arial"/>
          <w:b/>
          <w:bCs/>
          <w:color w:val="000000"/>
          <w:lang w:val="es-ES_tradnl" w:eastAsia="es-ES_tradnl"/>
        </w:rPr>
      </w:pPr>
    </w:p>
    <w:p w14:paraId="21F8CD66" w14:textId="77777777" w:rsidR="00C17CB4" w:rsidRPr="00593A5F" w:rsidRDefault="00C17CB4" w:rsidP="00C17CB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17CB4" w:rsidRPr="00593A5F" w14:paraId="7D72BA3B" w14:textId="77777777" w:rsidTr="00F63182">
        <w:trPr>
          <w:trHeight w:val="884"/>
        </w:trPr>
        <w:tc>
          <w:tcPr>
            <w:tcW w:w="3119" w:type="dxa"/>
          </w:tcPr>
          <w:p w14:paraId="60EC929A" w14:textId="77777777" w:rsidR="00C17CB4" w:rsidRPr="00C00976" w:rsidRDefault="00C17CB4" w:rsidP="00CE4AB1">
            <w:pPr>
              <w:jc w:val="both"/>
              <w:rPr>
                <w:rFonts w:ascii="Verdana" w:eastAsia="Calibri" w:hAnsi="Verdana" w:cs="Arial"/>
                <w:b/>
                <w:bCs/>
                <w:color w:val="7030A0"/>
                <w:lang w:val="es-ES_tradnl" w:eastAsia="es-ES_tradnl"/>
              </w:rPr>
            </w:pPr>
          </w:p>
        </w:tc>
        <w:tc>
          <w:tcPr>
            <w:tcW w:w="5670" w:type="dxa"/>
          </w:tcPr>
          <w:p w14:paraId="6EC101E6" w14:textId="77777777" w:rsidR="00C17CB4" w:rsidRPr="00C00976" w:rsidRDefault="00C17CB4" w:rsidP="00CE4AB1">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xml:space="preserve"> 1094</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tc>
      </w:tr>
      <w:tr w:rsidR="00C17CB4" w:rsidRPr="00593A5F" w14:paraId="2F16F88D" w14:textId="77777777" w:rsidTr="00F63182">
        <w:trPr>
          <w:trHeight w:val="884"/>
        </w:trPr>
        <w:tc>
          <w:tcPr>
            <w:tcW w:w="3119" w:type="dxa"/>
          </w:tcPr>
          <w:p w14:paraId="355F5601" w14:textId="77777777" w:rsidR="00C17CB4" w:rsidRPr="00EF38C1" w:rsidRDefault="00C17CB4" w:rsidP="00CE4AB1">
            <w:pPr>
              <w:jc w:val="both"/>
              <w:rPr>
                <w:rFonts w:ascii="Verdana" w:eastAsia="Calibri" w:hAnsi="Verdana" w:cs="Arial"/>
                <w:color w:val="000000" w:themeColor="text1"/>
                <w:lang w:val="es-ES_tradnl" w:eastAsia="es-ES_tradnl"/>
              </w:rPr>
            </w:pPr>
            <w:r w:rsidRPr="00EF38C1">
              <w:rPr>
                <w:rFonts w:ascii="Verdana" w:eastAsia="Calibri" w:hAnsi="Verdana" w:cs="Arial"/>
                <w:b/>
                <w:color w:val="000000" w:themeColor="text1"/>
                <w:lang w:val="es-ES_tradnl" w:eastAsia="es-ES_tradnl"/>
              </w:rPr>
              <w:t>Temas:</w:t>
            </w:r>
            <w:r w:rsidRPr="00EF38C1">
              <w:rPr>
                <w:rFonts w:ascii="Verdana" w:eastAsia="Calibri" w:hAnsi="Verdana" w:cs="Arial"/>
                <w:color w:val="000000" w:themeColor="text1"/>
                <w:lang w:val="es-ES_tradnl" w:eastAsia="es-ES_tradnl"/>
              </w:rPr>
              <w:t xml:space="preserve">                   </w:t>
            </w:r>
          </w:p>
        </w:tc>
        <w:tc>
          <w:tcPr>
            <w:tcW w:w="5670" w:type="dxa"/>
          </w:tcPr>
          <w:p w14:paraId="257345D9" w14:textId="77777777" w:rsidR="00C17CB4" w:rsidRPr="00EF38C1" w:rsidRDefault="00C17CB4" w:rsidP="00CE4AB1">
            <w:pPr>
              <w:spacing w:line="276" w:lineRule="auto"/>
              <w:jc w:val="both"/>
              <w:rPr>
                <w:rFonts w:ascii="Verdana" w:eastAsia="Calibri" w:hAnsi="Verdana" w:cs="Arial"/>
                <w:color w:val="000000" w:themeColor="text1"/>
                <w:lang w:val="es-ES" w:eastAsia="es-ES"/>
              </w:rPr>
            </w:pPr>
            <w:r w:rsidRPr="00F145EE">
              <w:rPr>
                <w:rFonts w:ascii="Verdana" w:eastAsia="Calibri" w:hAnsi="Verdana" w:cs="Arial"/>
                <w:color w:val="000000" w:themeColor="text1"/>
                <w:lang w:val="es-ES" w:eastAsia="es-ES"/>
              </w:rPr>
              <w:t>BIENES Y SERVICIOS DE CARACTERÍSTICAS TÉCNICAS UNIFORMES – Definición / COMÚN UTILIZACIÓN Y HOMOGENEIDAD ‒ Bienes y servicios ‒Características – Formas de adquisición</w:t>
            </w:r>
            <w:r>
              <w:rPr>
                <w:rFonts w:ascii="Verdana" w:eastAsia="Calibri" w:hAnsi="Verdana" w:cs="Arial"/>
                <w:color w:val="000000" w:themeColor="text1"/>
                <w:lang w:val="es-ES" w:eastAsia="es-ES"/>
              </w:rPr>
              <w:t xml:space="preserve"> </w:t>
            </w:r>
            <w:r w:rsidRPr="00F145EE">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BOLSA MERCANTIL – </w:t>
            </w:r>
            <w:r w:rsidRPr="00F145EE">
              <w:rPr>
                <w:rFonts w:ascii="Verdana" w:eastAsia="Calibri" w:hAnsi="Verdana" w:cs="Arial"/>
                <w:color w:val="000000" w:themeColor="text1"/>
                <w:lang w:val="es-ES" w:eastAsia="es-ES"/>
              </w:rPr>
              <w:t>Definición</w:t>
            </w:r>
            <w:r>
              <w:rPr>
                <w:rFonts w:ascii="Verdana" w:eastAsia="Calibri" w:hAnsi="Verdana" w:cs="Arial"/>
                <w:color w:val="000000" w:themeColor="text1"/>
                <w:lang w:val="es-ES" w:eastAsia="es-ES"/>
              </w:rPr>
              <w:t xml:space="preserve"> – características – Contrato de comisión. </w:t>
            </w:r>
          </w:p>
          <w:p w14:paraId="524B555F" w14:textId="77777777" w:rsidR="00C17CB4" w:rsidRPr="00EF38C1" w:rsidRDefault="00C17CB4" w:rsidP="00CE4AB1">
            <w:pPr>
              <w:spacing w:line="276" w:lineRule="auto"/>
              <w:jc w:val="both"/>
              <w:rPr>
                <w:rFonts w:ascii="Verdana" w:eastAsia="Calibri" w:hAnsi="Verdana" w:cs="Arial"/>
                <w:color w:val="000000" w:themeColor="text1"/>
                <w:lang w:val="es-ES" w:eastAsia="es-ES"/>
              </w:rPr>
            </w:pPr>
          </w:p>
        </w:tc>
      </w:tr>
      <w:tr w:rsidR="00C17CB4" w:rsidRPr="00593A5F" w14:paraId="41E6EB14" w14:textId="77777777" w:rsidTr="00F63182">
        <w:tc>
          <w:tcPr>
            <w:tcW w:w="3119" w:type="dxa"/>
          </w:tcPr>
          <w:p w14:paraId="1F4A074D" w14:textId="77777777" w:rsidR="00C17CB4" w:rsidRPr="00EF38C1" w:rsidRDefault="00C17CB4" w:rsidP="00CE4AB1">
            <w:pPr>
              <w:jc w:val="both"/>
              <w:rPr>
                <w:rFonts w:ascii="Verdana" w:eastAsia="Calibri" w:hAnsi="Verdana" w:cs="Arial"/>
                <w:b/>
                <w:color w:val="000000" w:themeColor="text1"/>
                <w:lang w:val="es-ES_tradnl" w:eastAsia="es-ES_tradnl"/>
              </w:rPr>
            </w:pPr>
            <w:r w:rsidRPr="00EF38C1">
              <w:rPr>
                <w:rFonts w:ascii="Verdana" w:eastAsia="Calibri" w:hAnsi="Verdana" w:cs="Arial"/>
                <w:b/>
                <w:color w:val="000000" w:themeColor="text1"/>
                <w:lang w:val="es-ES_tradnl" w:eastAsia="es-ES_tradnl"/>
              </w:rPr>
              <w:t>Radicación:</w:t>
            </w:r>
            <w:r w:rsidRPr="00EF38C1">
              <w:rPr>
                <w:rFonts w:ascii="Verdana" w:eastAsia="Calibri" w:hAnsi="Verdana" w:cs="Arial"/>
                <w:color w:val="000000" w:themeColor="text1"/>
                <w:lang w:val="es-ES_tradnl" w:eastAsia="es-ES_tradnl"/>
              </w:rPr>
              <w:t xml:space="preserve">               </w:t>
            </w:r>
          </w:p>
        </w:tc>
        <w:tc>
          <w:tcPr>
            <w:tcW w:w="5670" w:type="dxa"/>
          </w:tcPr>
          <w:p w14:paraId="7606D2C9" w14:textId="77777777" w:rsidR="00C17CB4" w:rsidRPr="00EF38C1" w:rsidRDefault="00C17CB4" w:rsidP="00CE4AB1">
            <w:pPr>
              <w:jc w:val="both"/>
              <w:rPr>
                <w:rFonts w:ascii="Verdana" w:eastAsia="Calibri" w:hAnsi="Verdana" w:cs="Arial"/>
                <w:color w:val="000000" w:themeColor="text1"/>
                <w:lang w:val="es-ES_tradnl" w:eastAsia="es-ES_tradnl"/>
              </w:rPr>
            </w:pPr>
            <w:r w:rsidRPr="00EF38C1">
              <w:rPr>
                <w:rFonts w:ascii="Verdana" w:eastAsia="Calibri" w:hAnsi="Verdana" w:cs="Arial"/>
                <w:color w:val="000000" w:themeColor="text1"/>
                <w:lang w:val="es-ES_tradnl" w:eastAsia="es-ES_tradnl"/>
              </w:rPr>
              <w:t xml:space="preserve">Respuesta a consulta con radicado No. </w:t>
            </w:r>
            <w:r w:rsidRPr="00EF38C1">
              <w:rPr>
                <w:rFonts w:ascii="Verdana" w:hAnsi="Verdana" w:cs="Calibri"/>
                <w:color w:val="000000" w:themeColor="text1"/>
              </w:rPr>
              <w:t>1_2025_08_05_008167</w:t>
            </w:r>
          </w:p>
          <w:p w14:paraId="7ED16399" w14:textId="77777777" w:rsidR="00C17CB4" w:rsidRPr="00EF38C1" w:rsidRDefault="00C17CB4" w:rsidP="00CE4AB1">
            <w:pPr>
              <w:jc w:val="both"/>
              <w:rPr>
                <w:rFonts w:ascii="Verdana" w:eastAsia="Calibri" w:hAnsi="Verdana" w:cs="Arial"/>
                <w:color w:val="000000" w:themeColor="text1"/>
                <w:lang w:val="es-ES_tradnl" w:eastAsia="es-ES_tradnl"/>
              </w:rPr>
            </w:pPr>
          </w:p>
        </w:tc>
      </w:tr>
    </w:tbl>
    <w:p w14:paraId="591B3260" w14:textId="77777777" w:rsidR="00C17CB4" w:rsidRPr="00593A5F" w:rsidRDefault="00C17CB4" w:rsidP="00C17CB4">
      <w:pPr>
        <w:spacing w:after="0" w:line="240" w:lineRule="auto"/>
        <w:jc w:val="both"/>
        <w:rPr>
          <w:rFonts w:ascii="Verdana" w:eastAsia="Calibri" w:hAnsi="Verdana" w:cs="Arial"/>
          <w:color w:val="000000"/>
          <w:lang w:val="es-ES_tradnl" w:eastAsia="es-ES_tradnl"/>
        </w:rPr>
      </w:pPr>
    </w:p>
    <w:p w14:paraId="03687674" w14:textId="77777777" w:rsidR="00C17CB4" w:rsidRPr="00EF38C1" w:rsidRDefault="00C17CB4" w:rsidP="00C17CB4">
      <w:pPr>
        <w:spacing w:after="0" w:line="276" w:lineRule="auto"/>
        <w:jc w:val="both"/>
        <w:rPr>
          <w:rFonts w:ascii="Verdana" w:eastAsia="Calibri" w:hAnsi="Verdana" w:cs="Arial"/>
          <w:color w:val="000000" w:themeColor="text1"/>
          <w:lang w:val="es-ES" w:eastAsia="es-ES"/>
        </w:rPr>
      </w:pPr>
      <w:r w:rsidRPr="00EF38C1">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EF38C1">
        <w:rPr>
          <w:rFonts w:ascii="Verdana" w:eastAsia="Calibri" w:hAnsi="Verdana" w:cs="Arial"/>
          <w:color w:val="000000" w:themeColor="text1"/>
          <w:lang w:val="es-ES" w:eastAsia="es-ES"/>
        </w:rPr>
        <w:t xml:space="preserve"> señora Aguirre: </w:t>
      </w:r>
    </w:p>
    <w:p w14:paraId="5994F0FE" w14:textId="77777777" w:rsidR="00C17CB4" w:rsidRDefault="00C17CB4" w:rsidP="00C17CB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1EE2A99" w14:textId="77777777" w:rsidR="00C17CB4" w:rsidRPr="00EF38C1" w:rsidRDefault="00C17CB4" w:rsidP="00C17CB4">
      <w:pPr>
        <w:spacing w:after="0" w:line="276" w:lineRule="auto"/>
        <w:jc w:val="both"/>
        <w:rPr>
          <w:rFonts w:ascii="Verdana" w:eastAsia="Calibri" w:hAnsi="Verdana" w:cs="Arial"/>
          <w:color w:val="000000" w:themeColor="text1"/>
          <w:lang w:val="es-ES" w:eastAsia="es-ES"/>
        </w:rPr>
      </w:pPr>
      <w:r w:rsidRPr="00EF38C1">
        <w:rPr>
          <w:rFonts w:ascii="Verdana" w:eastAsia="Calibri" w:hAnsi="Verdana" w:cs="Arial"/>
          <w:color w:val="000000" w:themeColor="text1"/>
          <w:lang w:val="es-ES" w:eastAsia="es-ES"/>
        </w:rPr>
        <w:t>En ejercicio de la competencia otorgada por los artículos 3, numeral 5º, y 11, numeral 8º, del Decreto Ley 4170 de 2011,</w:t>
      </w:r>
      <w:r w:rsidRPr="00EF38C1">
        <w:rPr>
          <w:rFonts w:ascii="Verdana" w:eastAsia="Arial MT" w:hAnsi="Verdana" w:cs="Arial MT"/>
          <w:color w:val="000000" w:themeColor="text1"/>
          <w:lang w:val="es-ES" w:eastAsia="es-ES"/>
        </w:rPr>
        <w:t xml:space="preserve"> </w:t>
      </w:r>
      <w:r w:rsidRPr="00EF38C1">
        <w:rPr>
          <w:rFonts w:ascii="Verdana" w:hAnsi="Verdana" w:cs="Arial"/>
          <w:color w:val="000000" w:themeColor="text1"/>
        </w:rPr>
        <w:t xml:space="preserve">así como lo establecido en el artículo 4 de la Resolución 1707 de 2018 expedida por esta Entidad, </w:t>
      </w:r>
      <w:r w:rsidRPr="00EF38C1">
        <w:rPr>
          <w:rFonts w:ascii="Verdana" w:eastAsia="Calibri" w:hAnsi="Verdana" w:cs="Arial"/>
          <w:color w:val="000000" w:themeColor="text1"/>
          <w:lang w:val="es-ES" w:eastAsia="es-ES"/>
        </w:rPr>
        <w:t>la Agencia Nacional de Contratación Pública – Colombia Compra Eficiente– responde su solicitud de consulta de fecha cinco (5) de agosto de 2025, en la cual manifiesta lo siguiente</w:t>
      </w:r>
      <w:r>
        <w:rPr>
          <w:rFonts w:ascii="Verdana" w:eastAsia="Calibri" w:hAnsi="Verdana" w:cs="Arial"/>
          <w:color w:val="000000" w:themeColor="text1"/>
          <w:lang w:val="es-ES" w:eastAsia="es-ES"/>
        </w:rPr>
        <w:t>:</w:t>
      </w:r>
    </w:p>
    <w:p w14:paraId="68E4FFC1" w14:textId="77777777" w:rsidR="00C17CB4" w:rsidRPr="00EF38C1" w:rsidRDefault="00C17CB4" w:rsidP="00C17CB4">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34347697" w14:textId="3A2CEAE4" w:rsidR="00C17CB4" w:rsidRPr="00EF38C1" w:rsidRDefault="00C17CB4" w:rsidP="00C17CB4">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bookmarkStart w:id="2" w:name="OLE_LINK3"/>
      <w:r w:rsidRPr="00EF38C1">
        <w:rPr>
          <w:rFonts w:ascii="Verdana" w:eastAsia="Century Gothic" w:hAnsi="Verdana" w:cs="Century Gothic"/>
          <w:color w:val="000000" w:themeColor="text1"/>
          <w:sz w:val="20"/>
          <w:szCs w:val="20"/>
          <w:lang w:val="es-ES"/>
        </w:rPr>
        <w:t>“</w:t>
      </w:r>
      <w:bookmarkEnd w:id="1"/>
      <w:r w:rsidRPr="00EF38C1">
        <w:rPr>
          <w:rFonts w:ascii="Verdana" w:eastAsia="Century Gothic" w:hAnsi="Verdana" w:cs="Century Gothic"/>
          <w:color w:val="000000" w:themeColor="text1"/>
          <w:sz w:val="20"/>
          <w:szCs w:val="20"/>
          <w:lang w:val="es-ES"/>
        </w:rPr>
        <w:t xml:space="preserve">¿EN LOS </w:t>
      </w:r>
      <w:r w:rsidRPr="4E1D6B97">
        <w:rPr>
          <w:rFonts w:ascii="Verdana" w:eastAsia="Century Gothic" w:hAnsi="Verdana" w:cs="Century Gothic"/>
          <w:color w:val="000000" w:themeColor="text1"/>
          <w:sz w:val="20"/>
          <w:szCs w:val="20"/>
          <w:lang w:val="es-ES"/>
        </w:rPr>
        <w:t>PROCESO</w:t>
      </w:r>
      <w:r w:rsidR="1F5455B9" w:rsidRPr="4E1D6B97">
        <w:rPr>
          <w:rFonts w:ascii="Verdana" w:eastAsia="Century Gothic" w:hAnsi="Verdana" w:cs="Century Gothic"/>
          <w:color w:val="000000" w:themeColor="text1"/>
          <w:sz w:val="20"/>
          <w:szCs w:val="20"/>
          <w:lang w:val="es-ES"/>
        </w:rPr>
        <w:t>S</w:t>
      </w:r>
      <w:r w:rsidRPr="00EF38C1">
        <w:rPr>
          <w:rFonts w:ascii="Verdana" w:eastAsia="Century Gothic" w:hAnsi="Verdana" w:cs="Century Gothic"/>
          <w:color w:val="000000" w:themeColor="text1"/>
          <w:sz w:val="20"/>
          <w:szCs w:val="20"/>
          <w:lang w:val="es-ES"/>
        </w:rPr>
        <w:t xml:space="preserve"> DE SELECCION ABREVIADA CON SUBASTA INVERSA ES POSIBLE QUE PRESENTEN </w:t>
      </w:r>
      <w:r w:rsidRPr="4E1D6B97">
        <w:rPr>
          <w:rFonts w:ascii="Verdana" w:eastAsia="Century Gothic" w:hAnsi="Verdana" w:cs="Century Gothic"/>
          <w:color w:val="000000" w:themeColor="text1"/>
          <w:sz w:val="20"/>
          <w:szCs w:val="20"/>
          <w:lang w:val="es-ES"/>
        </w:rPr>
        <w:t>CONTRATOS</w:t>
      </w:r>
      <w:r w:rsidRPr="00EF38C1">
        <w:rPr>
          <w:rFonts w:ascii="Verdana" w:eastAsia="Century Gothic" w:hAnsi="Verdana" w:cs="Century Gothic"/>
          <w:color w:val="000000" w:themeColor="text1"/>
          <w:sz w:val="20"/>
          <w:szCs w:val="20"/>
          <w:lang w:val="es-ES"/>
        </w:rPr>
        <w:t xml:space="preserve"> DE COMISON POR SERVCIOS DE INTERMEDIACION?</w:t>
      </w:r>
    </w:p>
    <w:p w14:paraId="5BB652C6" w14:textId="77777777" w:rsidR="00C17CB4" w:rsidRPr="00593A5F" w:rsidRDefault="00C17CB4" w:rsidP="00C17CB4">
      <w:pPr>
        <w:pStyle w:val="Prrafodelista"/>
        <w:tabs>
          <w:tab w:val="left" w:pos="142"/>
          <w:tab w:val="left" w:pos="284"/>
        </w:tabs>
        <w:spacing w:line="276" w:lineRule="auto"/>
        <w:ind w:left="0"/>
        <w:jc w:val="both"/>
        <w:rPr>
          <w:rFonts w:ascii="Verdana" w:eastAsia="Century Gothic" w:hAnsi="Verdana" w:cs="Century Gothic"/>
          <w:b/>
          <w:bCs/>
        </w:rPr>
      </w:pPr>
    </w:p>
    <w:bookmarkEnd w:id="2"/>
    <w:p w14:paraId="7C92608D" w14:textId="77777777" w:rsidR="00C17CB4" w:rsidRDefault="00C17CB4" w:rsidP="00C17CB4">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593A5F">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68EED46" w14:textId="77777777" w:rsidR="00C17CB4" w:rsidRDefault="00C17CB4" w:rsidP="00C17CB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w:t>
      </w:r>
    </w:p>
    <w:p w14:paraId="04314710" w14:textId="77777777" w:rsidR="00C17CB4" w:rsidRPr="00593A5F" w:rsidRDefault="00C17CB4" w:rsidP="00C17CB4">
      <w:pPr>
        <w:spacing w:after="0" w:line="276" w:lineRule="auto"/>
        <w:ind w:firstLine="709"/>
        <w:jc w:val="both"/>
        <w:rPr>
          <w:rFonts w:ascii="Verdana" w:eastAsia="Calibri" w:hAnsi="Verdana" w:cs="Arial"/>
          <w:color w:val="000000"/>
          <w:lang w:val="es-ES" w:eastAsia="es-ES"/>
        </w:rPr>
      </w:pPr>
    </w:p>
    <w:p w14:paraId="717FDFDD" w14:textId="77777777" w:rsidR="00C17CB4" w:rsidRPr="00593A5F" w:rsidRDefault="00C17CB4" w:rsidP="00C17CB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1BC242F" w14:textId="77777777" w:rsidR="00C17CB4" w:rsidRPr="00593A5F" w:rsidRDefault="00C17CB4" w:rsidP="00C17CB4">
      <w:pPr>
        <w:tabs>
          <w:tab w:val="left" w:pos="426"/>
        </w:tabs>
        <w:spacing w:after="0" w:line="276" w:lineRule="auto"/>
        <w:jc w:val="both"/>
        <w:rPr>
          <w:rFonts w:ascii="Verdana" w:eastAsia="Century Gothic" w:hAnsi="Verdana" w:cs="Century Gothic"/>
          <w:lang w:val="es-ES"/>
        </w:rPr>
      </w:pPr>
    </w:p>
    <w:p w14:paraId="39C50580" w14:textId="77777777" w:rsidR="00C17CB4" w:rsidRPr="000C3385" w:rsidRDefault="00C17CB4" w:rsidP="00C17CB4">
      <w:pPr>
        <w:spacing w:after="0" w:line="276" w:lineRule="auto"/>
        <w:jc w:val="both"/>
        <w:rPr>
          <w:rFonts w:ascii="Verdana" w:eastAsia="Century Gothic" w:hAnsi="Verdana" w:cs="Century Gothic"/>
          <w:color w:val="000000" w:themeColor="text1"/>
        </w:rPr>
      </w:pPr>
      <w:bookmarkStart w:id="3" w:name="OLE_LINK4"/>
      <w:r w:rsidRPr="000C3385">
        <w:rPr>
          <w:rFonts w:ascii="Verdana" w:eastAsia="Century Gothic" w:hAnsi="Verdana" w:cs="Century Gothic"/>
          <w:color w:val="000000" w:themeColor="text1"/>
        </w:rPr>
        <w:t>De acuerdo con el contenido de su solicitud, esta Agencia resolverá el  siguiente problema jurídico: ¿</w:t>
      </w:r>
      <w:r>
        <w:rPr>
          <w:rFonts w:ascii="Verdana" w:eastAsia="Century Gothic" w:hAnsi="Verdana" w:cs="Century Gothic"/>
          <w:color w:val="000000" w:themeColor="text1"/>
        </w:rPr>
        <w:t xml:space="preserve">Cuáles son las modalidades de contratación o los mecanismos habilitados en la contratación pública, para la </w:t>
      </w:r>
      <w:r w:rsidRPr="3A7B13FE">
        <w:rPr>
          <w:rFonts w:ascii="Verdana" w:eastAsia="Calibri" w:hAnsi="Verdana" w:cs="Arial"/>
          <w:color w:val="000000"/>
          <w:lang w:val="es-ES" w:eastAsia="es-ES"/>
        </w:rPr>
        <w:t>adquisición o suministro de bienes y servicios de características técnicas uniformes</w:t>
      </w:r>
      <w:r>
        <w:rPr>
          <w:rFonts w:ascii="Verdana" w:eastAsia="Century Gothic" w:hAnsi="Verdana" w:cs="Century Gothic"/>
          <w:color w:val="000000" w:themeColor="text1"/>
        </w:rPr>
        <w:t>?</w:t>
      </w:r>
    </w:p>
    <w:bookmarkEnd w:id="3"/>
    <w:p w14:paraId="5670E4F4" w14:textId="77777777" w:rsidR="00C17CB4" w:rsidRPr="00593A5F" w:rsidRDefault="00C17CB4" w:rsidP="00C17CB4">
      <w:pPr>
        <w:spacing w:after="0" w:line="276" w:lineRule="auto"/>
        <w:jc w:val="both"/>
        <w:rPr>
          <w:rFonts w:ascii="Verdana" w:eastAsia="Calibri" w:hAnsi="Verdana" w:cs="Arial"/>
          <w:color w:val="7030A0"/>
          <w:lang w:val="es-ES"/>
        </w:rPr>
      </w:pPr>
    </w:p>
    <w:p w14:paraId="440C3C3B" w14:textId="77777777" w:rsidR="00C17CB4" w:rsidRPr="00593A5F" w:rsidRDefault="00C17CB4" w:rsidP="00C17C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46F8A3D" w14:textId="77777777" w:rsidR="00C17CB4" w:rsidRPr="00593A5F" w:rsidRDefault="00C17CB4" w:rsidP="00C17CB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17CB4" w:rsidRPr="00593A5F" w14:paraId="52FB3E1A" w14:textId="77777777" w:rsidTr="00CE4AB1">
        <w:tc>
          <w:tcPr>
            <w:tcW w:w="8828" w:type="dxa"/>
          </w:tcPr>
          <w:p w14:paraId="1BAA25EC" w14:textId="62A0283E" w:rsidR="00C17CB4" w:rsidRPr="007153FF" w:rsidRDefault="00C17CB4" w:rsidP="00CE4AB1">
            <w:pPr>
              <w:pStyle w:val="NormalWeb"/>
              <w:spacing w:line="276" w:lineRule="auto"/>
              <w:jc w:val="both"/>
              <w:rPr>
                <w:rStyle w:val="citation-226"/>
                <w:rFonts w:ascii="Verdana" w:hAnsi="Verdana"/>
                <w:sz w:val="22"/>
                <w:szCs w:val="22"/>
              </w:rPr>
            </w:pPr>
            <w:r w:rsidRPr="007153FF">
              <w:rPr>
                <w:rFonts w:ascii="Verdana" w:hAnsi="Verdana"/>
                <w:sz w:val="22"/>
                <w:szCs w:val="22"/>
              </w:rPr>
              <w:t xml:space="preserve">Para la adquisición o suministro de bienes y servicios de características técnicas uniformes, la Ley 1150 de 2007 establece la Selección Abreviada como la modalidad de contratación aplicable, la cual, según </w:t>
            </w:r>
            <w:r w:rsidR="257A2DC9" w:rsidRPr="007153FF">
              <w:rPr>
                <w:rFonts w:ascii="Verdana" w:hAnsi="Verdana"/>
                <w:sz w:val="22"/>
                <w:szCs w:val="22"/>
              </w:rPr>
              <w:t xml:space="preserve">el inciso segundo del literal a) </w:t>
            </w:r>
            <w:r w:rsidR="516C5D03" w:rsidRPr="007153FF">
              <w:rPr>
                <w:rFonts w:ascii="Verdana" w:hAnsi="Verdana"/>
                <w:sz w:val="22"/>
                <w:szCs w:val="22"/>
              </w:rPr>
              <w:t xml:space="preserve">numeral segundo </w:t>
            </w:r>
            <w:r w:rsidR="2A4792B9" w:rsidRPr="007153FF">
              <w:rPr>
                <w:rFonts w:ascii="Verdana" w:hAnsi="Verdana"/>
                <w:sz w:val="22"/>
                <w:szCs w:val="22"/>
              </w:rPr>
              <w:t>de</w:t>
            </w:r>
            <w:r w:rsidRPr="007153FF">
              <w:rPr>
                <w:rFonts w:ascii="Verdana" w:hAnsi="Verdana"/>
                <w:sz w:val="22"/>
                <w:szCs w:val="22"/>
              </w:rPr>
              <w:t xml:space="preserve"> su artículo 2, se materializa a través de tres mecanismos con un orden de prelación. La primera y obligatoria opción que toda entidad estatal debe agotar es la verificación de un Acuerdo Marco de Precios vigente. Este instrumento funciona como un catálogo de compra centralizado donde ya se han preseleccionado proveedores y negociado las condiciones de calidad, entrega y precio. </w:t>
            </w:r>
            <w:r w:rsidRPr="007153FF">
              <w:rPr>
                <w:rStyle w:val="citation-226"/>
                <w:rFonts w:ascii="Verdana" w:hAnsi="Verdana"/>
                <w:sz w:val="22"/>
                <w:szCs w:val="22"/>
              </w:rPr>
              <w:t xml:space="preserve">Conforme al artículo 2.2.1.2.1.2.7 del Decreto 1082 de 2015, si el bien o servicio requerido está disponible bajo esta modalidad, la entidad tiene la obligación legal de utilizarla, simplificando </w:t>
            </w:r>
            <w:r w:rsidRPr="007153FF">
              <w:rPr>
                <w:rStyle w:val="citation-226"/>
                <w:rFonts w:ascii="Verdana" w:hAnsi="Verdana"/>
                <w:sz w:val="22"/>
                <w:szCs w:val="22"/>
              </w:rPr>
              <w:lastRenderedPageBreak/>
              <w:t>su proceso de compra a la colocación de una orden directa y garantizando eficiencia.</w:t>
            </w:r>
          </w:p>
          <w:p w14:paraId="113249B0" w14:textId="51DC6896" w:rsidR="00C17CB4" w:rsidRPr="007153FF" w:rsidRDefault="00C17CB4" w:rsidP="00042AE1">
            <w:pPr>
              <w:pStyle w:val="NormalWeb"/>
              <w:spacing w:line="276" w:lineRule="auto"/>
              <w:jc w:val="both"/>
              <w:rPr>
                <w:rFonts w:ascii="Verdana" w:hAnsi="Verdana"/>
                <w:sz w:val="22"/>
                <w:szCs w:val="22"/>
              </w:rPr>
            </w:pPr>
            <w:r w:rsidRPr="007153FF">
              <w:rPr>
                <w:rStyle w:val="citation-226"/>
                <w:rFonts w:ascii="Verdana" w:hAnsi="Verdana"/>
                <w:sz w:val="22"/>
                <w:szCs w:val="22"/>
              </w:rPr>
              <w:t xml:space="preserve">          </w:t>
            </w:r>
            <w:r w:rsidRPr="007153FF">
              <w:rPr>
                <w:rStyle w:val="citation-225"/>
                <w:rFonts w:ascii="Verdana" w:hAnsi="Verdana"/>
                <w:sz w:val="22"/>
                <w:szCs w:val="22"/>
              </w:rPr>
              <w:t>En caso de no existir un Acuerdo Marco de Precios aplicable, la entidad puede optar por la Subasta Inversa, mecanismo regulado en el parágrafo 2 del literal a) del artículo 2 de la Ley 1150 de 2007</w:t>
            </w:r>
            <w:r w:rsidRPr="007153FF">
              <w:rPr>
                <w:rFonts w:ascii="Verdana" w:hAnsi="Verdana"/>
                <w:sz w:val="22"/>
                <w:szCs w:val="22"/>
              </w:rPr>
              <w:t xml:space="preserve">. Este es un procedimiento de compra directa y competitiva que se desarrolla en dos fases. </w:t>
            </w:r>
            <w:r w:rsidRPr="007153FF">
              <w:rPr>
                <w:rStyle w:val="citation-224"/>
                <w:rFonts w:ascii="Verdana" w:hAnsi="Verdana"/>
                <w:sz w:val="22"/>
                <w:szCs w:val="22"/>
              </w:rPr>
              <w:t>En una primera etapa de habilitación, la entidad evalúa las propuestas bajo un estricto criterio de "pasa o no pasa", verificando el cumplimiento de los requisitos sin otorgar puntajes</w:t>
            </w:r>
            <w:r w:rsidRPr="007153FF">
              <w:rPr>
                <w:rFonts w:ascii="Verdana" w:hAnsi="Verdana"/>
                <w:sz w:val="22"/>
                <w:szCs w:val="22"/>
              </w:rPr>
              <w:t xml:space="preserve">. Solo los proponentes habilitados son convocados a una segunda etapa de puja, donde compiten para ofrecer el precio más bajo. </w:t>
            </w:r>
            <w:r w:rsidRPr="007153FF">
              <w:rPr>
                <w:rStyle w:val="citation-223"/>
                <w:rFonts w:ascii="Verdana" w:hAnsi="Verdana"/>
                <w:sz w:val="22"/>
                <w:szCs w:val="22"/>
              </w:rPr>
              <w:t>Tal como lo exige el numeral 3 del artículo 5 de la Ley 1150 de 2007, el menor precio ofrecido es el único factor de evaluación y selección</w:t>
            </w:r>
            <w:r w:rsidRPr="007153FF">
              <w:rPr>
                <w:rFonts w:ascii="Verdana" w:hAnsi="Verdana"/>
                <w:sz w:val="22"/>
                <w:szCs w:val="22"/>
              </w:rPr>
              <w:t xml:space="preserve">. </w:t>
            </w:r>
            <w:r w:rsidRPr="007153FF">
              <w:rPr>
                <w:rStyle w:val="citation-222"/>
                <w:rFonts w:ascii="Verdana" w:hAnsi="Verdana"/>
                <w:sz w:val="22"/>
                <w:szCs w:val="22"/>
              </w:rPr>
              <w:t xml:space="preserve">Las reglas específicas del procedimiento, como el contenido de la oferta y los alances, se encuentran en el artículo 2.2.1.2.1.2.2 del Decreto 1082 de 2015 </w:t>
            </w:r>
            <w:r w:rsidRPr="007153FF">
              <w:rPr>
                <w:rFonts w:ascii="Verdana" w:hAnsi="Verdana"/>
                <w:sz w:val="22"/>
                <w:szCs w:val="22"/>
              </w:rPr>
              <w:t>.</w:t>
            </w:r>
          </w:p>
          <w:p w14:paraId="4008041B" w14:textId="7C773C3E" w:rsidR="4E1D6B97" w:rsidRPr="007153FF" w:rsidRDefault="00C17CB4" w:rsidP="4E1D6B97">
            <w:pPr>
              <w:pStyle w:val="NormalWeb"/>
              <w:spacing w:line="276" w:lineRule="auto"/>
              <w:jc w:val="both"/>
              <w:rPr>
                <w:rFonts w:ascii="Verdana" w:hAnsi="Verdana"/>
                <w:sz w:val="22"/>
                <w:szCs w:val="22"/>
              </w:rPr>
            </w:pPr>
            <w:r w:rsidRPr="007153FF">
              <w:rPr>
                <w:rStyle w:val="citation-221"/>
                <w:rFonts w:ascii="Verdana" w:hAnsi="Verdana"/>
                <w:sz w:val="22"/>
                <w:szCs w:val="22"/>
              </w:rPr>
              <w:t xml:space="preserve">      Finalmente, y con el propósito de responder la consulta, existe un tercer mecanismo, también supeditado a la inexistencia de un Acuerdo Marco, por medio del cual las entidades pueden acudir a la Bolsa de Productos, mecanismo contemplado en el numeral 2 del artículo 2 de la Ley 1150 de 2007 y regulado por el Decreto 2555 de 2010 y los artículos 2.2.1.2.1.2.11 a 2.2.1.2.1.2.19 del Decreto 1082 de 2015</w:t>
            </w:r>
            <w:r w:rsidRPr="007153FF">
              <w:rPr>
                <w:rFonts w:ascii="Verdana" w:hAnsi="Verdana"/>
                <w:sz w:val="22"/>
                <w:szCs w:val="22"/>
              </w:rPr>
              <w:t xml:space="preserve">. </w:t>
            </w:r>
            <w:r w:rsidRPr="007153FF">
              <w:rPr>
                <w:rStyle w:val="citation-220"/>
                <w:rFonts w:ascii="Verdana" w:hAnsi="Verdana"/>
                <w:sz w:val="22"/>
                <w:szCs w:val="22"/>
              </w:rPr>
              <w:t>Este es un modelo de compra indirecta en el cual la entidad celebra un contrato de comisión con una sociedad comisionista experta, quien negocia la adquisición en un mercado organizado en nombre de la entidad</w:t>
            </w:r>
            <w:r w:rsidRPr="007153FF">
              <w:rPr>
                <w:rFonts w:ascii="Verdana" w:hAnsi="Verdana"/>
                <w:sz w:val="22"/>
                <w:szCs w:val="22"/>
              </w:rPr>
              <w:t xml:space="preserve">. </w:t>
            </w:r>
            <w:r w:rsidRPr="007153FF">
              <w:rPr>
                <w:rStyle w:val="citation-219"/>
                <w:rFonts w:ascii="Verdana" w:hAnsi="Verdana"/>
                <w:sz w:val="22"/>
                <w:szCs w:val="22"/>
              </w:rPr>
              <w:t>Para utilizar esta opción,</w:t>
            </w:r>
            <w:r w:rsidR="354B3909" w:rsidRPr="007153FF">
              <w:rPr>
                <w:rStyle w:val="citation-219"/>
                <w:rFonts w:ascii="Verdana" w:hAnsi="Verdana"/>
                <w:sz w:val="22"/>
                <w:szCs w:val="22"/>
              </w:rPr>
              <w:t xml:space="preserve"> además de verificar los requisitos y lineamientos establecidos por la Agencia Nacional de Contratación Pública Colombia Compra Eficiente en la Circul</w:t>
            </w:r>
            <w:r w:rsidR="68D6BE52" w:rsidRPr="007153FF">
              <w:rPr>
                <w:rStyle w:val="citation-219"/>
                <w:rFonts w:ascii="Verdana" w:hAnsi="Verdana"/>
                <w:sz w:val="22"/>
                <w:szCs w:val="22"/>
              </w:rPr>
              <w:t>a</w:t>
            </w:r>
            <w:r w:rsidR="354B3909" w:rsidRPr="007153FF">
              <w:rPr>
                <w:rStyle w:val="citation-219"/>
                <w:rFonts w:ascii="Verdana" w:hAnsi="Verdana"/>
                <w:sz w:val="22"/>
                <w:szCs w:val="22"/>
              </w:rPr>
              <w:t>r</w:t>
            </w:r>
            <w:r w:rsidR="15A28F07" w:rsidRPr="007153FF">
              <w:rPr>
                <w:rStyle w:val="citation-219"/>
                <w:rFonts w:ascii="Verdana" w:hAnsi="Verdana"/>
                <w:sz w:val="22"/>
                <w:szCs w:val="22"/>
              </w:rPr>
              <w:t xml:space="preserve"> </w:t>
            </w:r>
            <w:r w:rsidR="354B3909" w:rsidRPr="007153FF">
              <w:rPr>
                <w:rStyle w:val="citation-219"/>
                <w:rFonts w:ascii="Verdana" w:hAnsi="Verdana"/>
                <w:sz w:val="22"/>
                <w:szCs w:val="22"/>
              </w:rPr>
              <w:t xml:space="preserve">Externa 004 de 21 de </w:t>
            </w:r>
            <w:r w:rsidR="3DA0E5DA" w:rsidRPr="007153FF">
              <w:rPr>
                <w:rStyle w:val="citation-219"/>
                <w:rFonts w:ascii="Verdana" w:hAnsi="Verdana"/>
                <w:sz w:val="22"/>
                <w:szCs w:val="22"/>
              </w:rPr>
              <w:t>septiembre</w:t>
            </w:r>
            <w:r w:rsidR="354B3909" w:rsidRPr="007153FF">
              <w:rPr>
                <w:rStyle w:val="citation-219"/>
                <w:rFonts w:ascii="Verdana" w:hAnsi="Verdana"/>
                <w:sz w:val="22"/>
                <w:szCs w:val="22"/>
              </w:rPr>
              <w:t xml:space="preserve"> de </w:t>
            </w:r>
            <w:r w:rsidR="07C7E076" w:rsidRPr="007153FF">
              <w:rPr>
                <w:rStyle w:val="citation-219"/>
                <w:rFonts w:ascii="Verdana" w:hAnsi="Verdana"/>
                <w:sz w:val="22"/>
                <w:szCs w:val="22"/>
              </w:rPr>
              <w:t>2021</w:t>
            </w:r>
            <w:r w:rsidRPr="007153FF">
              <w:rPr>
                <w:rStyle w:val="citation-219"/>
                <w:rFonts w:ascii="Verdana" w:hAnsi="Verdana"/>
                <w:sz w:val="22"/>
                <w:szCs w:val="22"/>
              </w:rPr>
              <w:t>, el artículo 2.2.1.2.1.2.12 del Decreto 1082 de 2015, exige que la entidad elabore y publique un estudio comparativo previo, donde justifique las ventajas de este mecanismo frente a la subasta inversa, analizando todos los costos asociados, incluyendo el valor de la comisión</w:t>
            </w:r>
            <w:r w:rsidRPr="007153FF">
              <w:rPr>
                <w:rFonts w:ascii="Verdana" w:hAnsi="Verdana"/>
                <w:sz w:val="22"/>
                <w:szCs w:val="22"/>
              </w:rPr>
              <w:t>.</w:t>
            </w:r>
          </w:p>
          <w:p w14:paraId="311D769D" w14:textId="288F748F" w:rsidR="4E1D6B97" w:rsidRPr="007153FF" w:rsidRDefault="37234500">
            <w:pPr>
              <w:pStyle w:val="NormalWeb"/>
              <w:spacing w:line="276" w:lineRule="auto"/>
              <w:jc w:val="both"/>
              <w:rPr>
                <w:rFonts w:ascii="Verdana" w:hAnsi="Verdana"/>
                <w:sz w:val="22"/>
                <w:szCs w:val="22"/>
              </w:rPr>
            </w:pPr>
            <w:r w:rsidRPr="007153FF">
              <w:rPr>
                <w:rFonts w:ascii="Verdana" w:hAnsi="Verdana"/>
                <w:sz w:val="22"/>
                <w:szCs w:val="22"/>
              </w:rPr>
              <w:t xml:space="preserve">   </w:t>
            </w:r>
            <w:r w:rsidR="2217FCBC" w:rsidRPr="007153FF">
              <w:rPr>
                <w:rFonts w:ascii="Verdana" w:hAnsi="Verdana"/>
                <w:sz w:val="22"/>
                <w:szCs w:val="22"/>
              </w:rPr>
              <w:t>Es imperioso que la entidad estatal al momento de elaborar los documentos y estudios previo</w:t>
            </w:r>
            <w:r w:rsidR="2217FCBC" w:rsidRPr="007153FF">
              <w:rPr>
                <w:rFonts w:ascii="Verdana" w:eastAsiaTheme="minorEastAsia" w:hAnsi="Verdana" w:cstheme="minorBidi"/>
                <w:sz w:val="22"/>
                <w:szCs w:val="22"/>
              </w:rPr>
              <w:t xml:space="preserve">s y verificar la modalidad de </w:t>
            </w:r>
            <w:r w:rsidR="2D8EF900" w:rsidRPr="007153FF">
              <w:rPr>
                <w:rFonts w:ascii="Verdana" w:eastAsiaTheme="minorEastAsia" w:hAnsi="Verdana" w:cstheme="minorBidi"/>
                <w:sz w:val="22"/>
                <w:szCs w:val="22"/>
              </w:rPr>
              <w:t>selección</w:t>
            </w:r>
            <w:r w:rsidR="2217FCBC" w:rsidRPr="007153FF">
              <w:rPr>
                <w:rFonts w:ascii="Verdana" w:eastAsiaTheme="minorEastAsia" w:hAnsi="Verdana" w:cstheme="minorBidi"/>
                <w:sz w:val="22"/>
                <w:szCs w:val="22"/>
              </w:rPr>
              <w:t xml:space="preserve"> </w:t>
            </w:r>
            <w:r w:rsidR="5937AB0F" w:rsidRPr="007153FF">
              <w:rPr>
                <w:rFonts w:ascii="Verdana" w:eastAsiaTheme="minorEastAsia" w:hAnsi="Verdana" w:cstheme="minorBidi"/>
                <w:sz w:val="22"/>
                <w:szCs w:val="22"/>
              </w:rPr>
              <w:t>aplicable</w:t>
            </w:r>
            <w:r w:rsidR="2217FCBC" w:rsidRPr="007153FF">
              <w:rPr>
                <w:rFonts w:ascii="Verdana" w:eastAsiaTheme="minorEastAsia" w:hAnsi="Verdana" w:cstheme="minorBidi"/>
                <w:sz w:val="22"/>
                <w:szCs w:val="22"/>
              </w:rPr>
              <w:t xml:space="preserve"> para</w:t>
            </w:r>
            <w:r w:rsidR="5915816F" w:rsidRPr="007153FF">
              <w:rPr>
                <w:rFonts w:ascii="Verdana" w:eastAsiaTheme="minorEastAsia" w:hAnsi="Verdana" w:cstheme="minorBidi"/>
                <w:sz w:val="22"/>
                <w:szCs w:val="22"/>
              </w:rPr>
              <w:t xml:space="preserve"> adquirir</w:t>
            </w:r>
            <w:r w:rsidR="2217FCBC" w:rsidRPr="007153FF">
              <w:rPr>
                <w:rFonts w:ascii="Verdana" w:eastAsiaTheme="minorEastAsia" w:hAnsi="Verdana" w:cstheme="minorBidi"/>
                <w:sz w:val="22"/>
                <w:szCs w:val="22"/>
              </w:rPr>
              <w:t xml:space="preserve"> bienes y servicios como los referidos en la </w:t>
            </w:r>
            <w:r w:rsidR="130226A3" w:rsidRPr="007153FF">
              <w:rPr>
                <w:rFonts w:ascii="Verdana" w:eastAsiaTheme="minorEastAsia" w:hAnsi="Verdana" w:cstheme="minorBidi"/>
                <w:sz w:val="22"/>
                <w:szCs w:val="22"/>
              </w:rPr>
              <w:t>consulta</w:t>
            </w:r>
            <w:r w:rsidR="2217FCBC" w:rsidRPr="007153FF">
              <w:rPr>
                <w:rFonts w:ascii="Verdana" w:eastAsiaTheme="minorEastAsia" w:hAnsi="Verdana" w:cstheme="minorBidi"/>
                <w:sz w:val="22"/>
                <w:szCs w:val="22"/>
              </w:rPr>
              <w:t xml:space="preserve">, se allane a lo dispuesto en la </w:t>
            </w:r>
            <w:r w:rsidR="01BDE026" w:rsidRPr="007153FF">
              <w:rPr>
                <w:rFonts w:ascii="Verdana" w:eastAsiaTheme="minorEastAsia" w:hAnsi="Verdana" w:cstheme="minorBidi"/>
                <w:sz w:val="22"/>
                <w:szCs w:val="22"/>
              </w:rPr>
              <w:t>Circular</w:t>
            </w:r>
            <w:r w:rsidR="2217FCBC" w:rsidRPr="007153FF">
              <w:rPr>
                <w:rFonts w:ascii="Verdana" w:eastAsiaTheme="minorEastAsia" w:hAnsi="Verdana" w:cstheme="minorBidi"/>
                <w:sz w:val="22"/>
                <w:szCs w:val="22"/>
              </w:rPr>
              <w:t xml:space="preserve"> Externa 0</w:t>
            </w:r>
            <w:r w:rsidR="73AED708" w:rsidRPr="007153FF">
              <w:rPr>
                <w:rFonts w:ascii="Verdana" w:eastAsiaTheme="minorEastAsia" w:hAnsi="Verdana" w:cstheme="minorBidi"/>
                <w:sz w:val="22"/>
                <w:szCs w:val="22"/>
              </w:rPr>
              <w:t xml:space="preserve">04 de 21 de septiembre de 2021 </w:t>
            </w:r>
            <w:r w:rsidR="300A5093" w:rsidRPr="007153FF">
              <w:rPr>
                <w:rFonts w:ascii="Verdana" w:eastAsiaTheme="minorEastAsia" w:hAnsi="Verdana" w:cstheme="minorBidi"/>
                <w:sz w:val="22"/>
                <w:szCs w:val="22"/>
              </w:rPr>
              <w:t>expedida</w:t>
            </w:r>
            <w:r w:rsidR="73AED708" w:rsidRPr="007153FF">
              <w:rPr>
                <w:rFonts w:ascii="Verdana" w:eastAsiaTheme="minorEastAsia" w:hAnsi="Verdana" w:cstheme="minorBidi"/>
                <w:sz w:val="22"/>
                <w:szCs w:val="22"/>
              </w:rPr>
              <w:t xml:space="preserve"> por </w:t>
            </w:r>
            <w:r w:rsidR="331D8A37" w:rsidRPr="007153FF">
              <w:rPr>
                <w:rFonts w:ascii="Verdana" w:eastAsiaTheme="minorEastAsia" w:hAnsi="Verdana" w:cstheme="minorBidi"/>
                <w:sz w:val="22"/>
                <w:szCs w:val="22"/>
              </w:rPr>
              <w:t>la</w:t>
            </w:r>
            <w:r w:rsidR="73AED708" w:rsidRPr="007153FF">
              <w:rPr>
                <w:rFonts w:ascii="Verdana" w:eastAsiaTheme="minorEastAsia" w:hAnsi="Verdana" w:cstheme="minorBidi"/>
                <w:sz w:val="22"/>
                <w:szCs w:val="22"/>
              </w:rPr>
              <w:t xml:space="preserve"> </w:t>
            </w:r>
            <w:r w:rsidR="73AED708" w:rsidRPr="007153FF">
              <w:rPr>
                <w:rFonts w:ascii="Verdana" w:eastAsiaTheme="minorEastAsia" w:hAnsi="Verdana" w:cstheme="minorBidi"/>
                <w:sz w:val="22"/>
                <w:szCs w:val="22"/>
              </w:rPr>
              <w:lastRenderedPageBreak/>
              <w:t xml:space="preserve">Agencia </w:t>
            </w:r>
            <w:r w:rsidR="0EE244B0" w:rsidRPr="007153FF">
              <w:rPr>
                <w:rFonts w:ascii="Verdana" w:eastAsiaTheme="minorEastAsia" w:hAnsi="Verdana" w:cstheme="minorBidi"/>
                <w:sz w:val="22"/>
                <w:szCs w:val="22"/>
              </w:rPr>
              <w:t>Nacional</w:t>
            </w:r>
            <w:r w:rsidR="73AED708" w:rsidRPr="007153FF">
              <w:rPr>
                <w:rFonts w:ascii="Verdana" w:eastAsiaTheme="minorEastAsia" w:hAnsi="Verdana" w:cstheme="minorBidi"/>
                <w:sz w:val="22"/>
                <w:szCs w:val="22"/>
              </w:rPr>
              <w:t xml:space="preserve"> del Contratación P</w:t>
            </w:r>
            <w:r w:rsidR="1ED12B29" w:rsidRPr="007153FF">
              <w:rPr>
                <w:rFonts w:ascii="Verdana" w:eastAsiaTheme="minorEastAsia" w:hAnsi="Verdana" w:cstheme="minorBidi"/>
                <w:sz w:val="22"/>
                <w:szCs w:val="22"/>
              </w:rPr>
              <w:t>ú</w:t>
            </w:r>
            <w:r w:rsidR="73AED708" w:rsidRPr="007153FF">
              <w:rPr>
                <w:rFonts w:ascii="Verdana" w:eastAsiaTheme="minorEastAsia" w:hAnsi="Verdana" w:cstheme="minorBidi"/>
                <w:sz w:val="22"/>
                <w:szCs w:val="22"/>
              </w:rPr>
              <w:t xml:space="preserve">blica Colombia Compra Eficiente, al regular lo siguiente: </w:t>
            </w:r>
          </w:p>
          <w:p w14:paraId="7A6AF722" w14:textId="7DD41FA0" w:rsidR="4E1D6B97" w:rsidRPr="007153FF" w:rsidRDefault="245EFCAC" w:rsidP="4E1D6B97">
            <w:pPr>
              <w:pStyle w:val="NormalWeb"/>
              <w:spacing w:line="276" w:lineRule="auto"/>
              <w:jc w:val="both"/>
              <w:rPr>
                <w:rFonts w:ascii="Verdana" w:hAnsi="Verdana"/>
                <w:sz w:val="22"/>
                <w:szCs w:val="22"/>
              </w:rPr>
            </w:pPr>
            <w:r w:rsidRPr="007153FF">
              <w:rPr>
                <w:rFonts w:ascii="Verdana" w:hAnsi="Verdana"/>
                <w:sz w:val="22"/>
                <w:szCs w:val="22"/>
              </w:rPr>
              <w:t>“(...)</w:t>
            </w:r>
          </w:p>
          <w:p w14:paraId="42FE60FD" w14:textId="2DA06E8F" w:rsidR="4E1D6B97" w:rsidRPr="007153FF" w:rsidRDefault="245EFCAC" w:rsidP="4E1D6B97">
            <w:pPr>
              <w:pStyle w:val="NormalWeb"/>
              <w:spacing w:line="276" w:lineRule="auto"/>
              <w:jc w:val="both"/>
              <w:rPr>
                <w:rFonts w:ascii="Verdana" w:hAnsi="Verdana"/>
                <w:i/>
                <w:iCs/>
                <w:sz w:val="22"/>
                <w:szCs w:val="22"/>
              </w:rPr>
            </w:pPr>
            <w:r w:rsidRPr="007153FF">
              <w:rPr>
                <w:rFonts w:ascii="Verdana" w:hAnsi="Verdana"/>
                <w:sz w:val="22"/>
                <w:szCs w:val="22"/>
              </w:rPr>
              <w:t xml:space="preserve">           </w:t>
            </w:r>
            <w:r w:rsidR="73AED708" w:rsidRPr="007153FF">
              <w:rPr>
                <w:rFonts w:ascii="Verdana" w:hAnsi="Verdana"/>
                <w:i/>
                <w:iCs/>
                <w:sz w:val="22"/>
                <w:szCs w:val="22"/>
              </w:rPr>
              <w:t>De conformidad con lo anterior, la entidad compradora deberá verificar si existe algún Acuerdo Marco de Precios cuyo catálogo ofrezca el bien o servicio requerido ante su necesidad.</w:t>
            </w:r>
            <w:r w:rsidR="084E4BF2" w:rsidRPr="007153FF">
              <w:rPr>
                <w:rFonts w:ascii="Verdana" w:hAnsi="Verdana"/>
                <w:i/>
                <w:iCs/>
                <w:sz w:val="22"/>
                <w:szCs w:val="22"/>
              </w:rPr>
              <w:t xml:space="preserve"> </w:t>
            </w:r>
            <w:r w:rsidR="73AED708" w:rsidRPr="007153FF">
              <w:rPr>
                <w:rFonts w:ascii="Verdana" w:hAnsi="Verdana"/>
                <w:i/>
                <w:iCs/>
                <w:sz w:val="22"/>
                <w:szCs w:val="22"/>
              </w:rPr>
              <w:t xml:space="preserve">Una vez realizada dicha verificación, si la entidad evidencia que el Acuerdo Marco de Precios vigente satisface su requerimiento, se encontrará en la obligación de utilizarlo y efectuar la adquisición de dicho bien o servicio a través de la Tienda Virtual del Estado Colombiano. </w:t>
            </w:r>
            <w:r w:rsidR="007153FF" w:rsidRPr="007153FF">
              <w:rPr>
                <w:rFonts w:ascii="Verdana" w:hAnsi="Verdana"/>
                <w:i/>
                <w:iCs/>
                <w:sz w:val="22"/>
                <w:szCs w:val="22"/>
              </w:rPr>
              <w:t>Si mi amor lindo espérame que estés ocupada mi amor</w:t>
            </w:r>
          </w:p>
          <w:p w14:paraId="15580015" w14:textId="73371185" w:rsidR="73AED708" w:rsidRPr="007153FF" w:rsidRDefault="73AED708" w:rsidP="4E1D6B97">
            <w:pPr>
              <w:pStyle w:val="NormalWeb"/>
              <w:spacing w:line="276" w:lineRule="auto"/>
              <w:jc w:val="both"/>
              <w:rPr>
                <w:rFonts w:ascii="Verdana" w:hAnsi="Verdana"/>
                <w:sz w:val="22"/>
                <w:szCs w:val="22"/>
              </w:rPr>
            </w:pPr>
            <w:r w:rsidRPr="007153FF">
              <w:rPr>
                <w:rFonts w:ascii="Verdana" w:hAnsi="Verdana"/>
                <w:i/>
                <w:iCs/>
                <w:sz w:val="22"/>
                <w:szCs w:val="22"/>
              </w:rPr>
              <w:t xml:space="preserve">De otro lado, en virtud de lo establecido en el inciso primero del </w:t>
            </w:r>
            <w:r w:rsidR="76938B93" w:rsidRPr="007153FF">
              <w:rPr>
                <w:rFonts w:ascii="Verdana" w:hAnsi="Verdana"/>
                <w:i/>
                <w:iCs/>
                <w:sz w:val="22"/>
                <w:szCs w:val="22"/>
              </w:rPr>
              <w:t>artículo</w:t>
            </w:r>
            <w:r w:rsidRPr="007153FF">
              <w:rPr>
                <w:rFonts w:ascii="Verdana" w:hAnsi="Verdana"/>
                <w:i/>
                <w:iCs/>
                <w:sz w:val="22"/>
                <w:szCs w:val="22"/>
              </w:rPr>
              <w:t xml:space="preserve"> 2.2.1.2.1.2.7 del Decreto 1082 de 2015, modificado por el artículo 1 del Decreto 310 de 2021, para el caso de las Entidades Estatales de la Rama Ejecutiva del Poder Público del orden nacional, obligadas a aplicar la Ley 80 de 1993 y la Ley 1150 de 2007, </w:t>
            </w:r>
            <w:r w:rsidR="20EFE947" w:rsidRPr="007153FF">
              <w:rPr>
                <w:rFonts w:ascii="Verdana" w:hAnsi="Verdana"/>
                <w:i/>
                <w:iCs/>
                <w:sz w:val="22"/>
                <w:szCs w:val="22"/>
              </w:rPr>
              <w:t>o</w:t>
            </w:r>
            <w:r w:rsidRPr="007153FF">
              <w:rPr>
                <w:rFonts w:ascii="Verdana" w:hAnsi="Verdana"/>
                <w:i/>
                <w:iCs/>
                <w:sz w:val="22"/>
                <w:szCs w:val="22"/>
              </w:rPr>
              <w:t xml:space="preserve"> las normas que las modifiquen, aclaren, adicionen o sustituyan deberán utilizar por regla general el Acuerdo Marco de Precios correspondiente. Esto, sin perjuicio de la residual posibilidad de la Entidad de adquirir sus bienes o servicios de características técnicas uniformes y común utilización, a través de las modalidades para el efecto descritas por el artículo 2 de la Ley 1150, en el caso de presentarse y demostrarse por parte del ente comprador, la ocurrencia de los supuestos del artículo 2.2.1.2.1.2.12. del Decreto 1082 de 2015, modificado por el artículo 2° del Decreto 310 de 2021</w:t>
            </w:r>
            <w:r w:rsidR="4D1D2AF8" w:rsidRPr="007153FF">
              <w:rPr>
                <w:rFonts w:ascii="Verdana" w:hAnsi="Verdana"/>
                <w:i/>
                <w:iCs/>
                <w:sz w:val="22"/>
                <w:szCs w:val="22"/>
              </w:rPr>
              <w:t>”</w:t>
            </w:r>
            <w:r w:rsidRPr="007153FF">
              <w:rPr>
                <w:rFonts w:ascii="Verdana" w:hAnsi="Verdana"/>
                <w:sz w:val="22"/>
                <w:szCs w:val="22"/>
              </w:rPr>
              <w:t>.</w:t>
            </w:r>
          </w:p>
          <w:p w14:paraId="047A921D" w14:textId="184E6F16" w:rsidR="4E1D6B97" w:rsidRPr="007153FF" w:rsidRDefault="00F63CF2" w:rsidP="4E1D6B97">
            <w:pPr>
              <w:pStyle w:val="NormalWeb"/>
              <w:spacing w:line="276" w:lineRule="auto"/>
              <w:jc w:val="both"/>
              <w:rPr>
                <w:rFonts w:ascii="Verdana" w:hAnsi="Verdana"/>
                <w:sz w:val="22"/>
                <w:szCs w:val="22"/>
              </w:rPr>
            </w:pPr>
            <w:r w:rsidRPr="007153FF">
              <w:rPr>
                <w:rFonts w:ascii="Verdana" w:hAnsi="Verdana"/>
                <w:sz w:val="22"/>
                <w:szCs w:val="22"/>
              </w:rPr>
              <w:t xml:space="preserve">      </w:t>
            </w:r>
            <w:r w:rsidR="280490FC" w:rsidRPr="007153FF">
              <w:rPr>
                <w:rFonts w:ascii="Verdana" w:hAnsi="Verdana"/>
                <w:sz w:val="22"/>
                <w:szCs w:val="22"/>
              </w:rPr>
              <w:t>S</w:t>
            </w:r>
            <w:r w:rsidR="1F6422B5" w:rsidRPr="007153FF">
              <w:rPr>
                <w:rFonts w:ascii="Verdana" w:hAnsi="Verdana"/>
                <w:sz w:val="22"/>
                <w:szCs w:val="22"/>
              </w:rPr>
              <w:t xml:space="preserve">e infiere que </w:t>
            </w:r>
            <w:r w:rsidR="40DB9C9B" w:rsidRPr="007153FF">
              <w:rPr>
                <w:rFonts w:ascii="Verdana" w:hAnsi="Verdana"/>
                <w:sz w:val="22"/>
                <w:szCs w:val="22"/>
              </w:rPr>
              <w:t xml:space="preserve">el objeto de la </w:t>
            </w:r>
            <w:r w:rsidR="5F09C3E4" w:rsidRPr="007153FF">
              <w:rPr>
                <w:rFonts w:ascii="Verdana" w:hAnsi="Verdana"/>
                <w:sz w:val="22"/>
                <w:szCs w:val="22"/>
              </w:rPr>
              <w:t>consulta</w:t>
            </w:r>
            <w:r w:rsidR="40DB9C9B" w:rsidRPr="007153FF">
              <w:rPr>
                <w:rFonts w:ascii="Verdana" w:hAnsi="Verdana"/>
                <w:sz w:val="22"/>
                <w:szCs w:val="22"/>
              </w:rPr>
              <w:t xml:space="preserve"> </w:t>
            </w:r>
            <w:r w:rsidR="5AEB15DE" w:rsidRPr="007153FF">
              <w:rPr>
                <w:rFonts w:ascii="Verdana" w:hAnsi="Verdana"/>
                <w:sz w:val="22"/>
                <w:szCs w:val="22"/>
              </w:rPr>
              <w:t>está relacionado con</w:t>
            </w:r>
            <w:r w:rsidR="40DB9C9B" w:rsidRPr="007153FF">
              <w:rPr>
                <w:rFonts w:ascii="Verdana" w:hAnsi="Verdana"/>
                <w:sz w:val="22"/>
                <w:szCs w:val="22"/>
              </w:rPr>
              <w:t xml:space="preserve"> la posibilidad de adelantar un proceso de selección </w:t>
            </w:r>
            <w:r w:rsidR="42593185" w:rsidRPr="007153FF">
              <w:rPr>
                <w:rFonts w:ascii="Verdana" w:hAnsi="Verdana"/>
                <w:sz w:val="22"/>
                <w:szCs w:val="22"/>
              </w:rPr>
              <w:t>abreviada</w:t>
            </w:r>
            <w:r w:rsidR="40DB9C9B" w:rsidRPr="007153FF">
              <w:rPr>
                <w:rFonts w:ascii="Verdana" w:hAnsi="Verdana"/>
                <w:sz w:val="22"/>
                <w:szCs w:val="22"/>
              </w:rPr>
              <w:t xml:space="preserve"> de </w:t>
            </w:r>
            <w:r w:rsidR="6A516254" w:rsidRPr="007153FF">
              <w:rPr>
                <w:rFonts w:ascii="Verdana" w:hAnsi="Verdana"/>
                <w:sz w:val="22"/>
                <w:szCs w:val="22"/>
              </w:rPr>
              <w:t xml:space="preserve">subasta inversa para contratar servicios de intermediación, </w:t>
            </w:r>
            <w:r w:rsidR="2794AC44" w:rsidRPr="007153FF">
              <w:rPr>
                <w:rFonts w:ascii="Verdana" w:hAnsi="Verdana"/>
                <w:sz w:val="22"/>
                <w:szCs w:val="22"/>
              </w:rPr>
              <w:t>por lo tanto</w:t>
            </w:r>
            <w:r w:rsidR="7D30FC7D" w:rsidRPr="007153FF">
              <w:rPr>
                <w:rFonts w:ascii="Verdana" w:hAnsi="Verdana"/>
                <w:sz w:val="22"/>
                <w:szCs w:val="22"/>
              </w:rPr>
              <w:t xml:space="preserve"> </w:t>
            </w:r>
            <w:r w:rsidR="6A516254" w:rsidRPr="007153FF">
              <w:rPr>
                <w:rFonts w:ascii="Verdana" w:hAnsi="Verdana"/>
                <w:sz w:val="22"/>
                <w:szCs w:val="22"/>
              </w:rPr>
              <w:t xml:space="preserve">es menester que cada entidad en </w:t>
            </w:r>
            <w:r w:rsidR="6CCB1D26" w:rsidRPr="007153FF">
              <w:rPr>
                <w:rFonts w:ascii="Verdana" w:hAnsi="Verdana"/>
                <w:sz w:val="22"/>
                <w:szCs w:val="22"/>
              </w:rPr>
              <w:t>particular</w:t>
            </w:r>
            <w:r w:rsidR="6A516254" w:rsidRPr="007153FF">
              <w:rPr>
                <w:rFonts w:ascii="Verdana" w:hAnsi="Verdana"/>
                <w:sz w:val="22"/>
                <w:szCs w:val="22"/>
              </w:rPr>
              <w:t xml:space="preserve"> al momento de </w:t>
            </w:r>
            <w:r w:rsidR="6AAA083C" w:rsidRPr="007153FF">
              <w:rPr>
                <w:rFonts w:ascii="Verdana" w:hAnsi="Verdana"/>
                <w:sz w:val="22"/>
                <w:szCs w:val="22"/>
              </w:rPr>
              <w:t>estructurar</w:t>
            </w:r>
            <w:r w:rsidR="6A516254" w:rsidRPr="007153FF">
              <w:rPr>
                <w:rFonts w:ascii="Verdana" w:hAnsi="Verdana"/>
                <w:sz w:val="22"/>
                <w:szCs w:val="22"/>
              </w:rPr>
              <w:t xml:space="preserve"> la fase de </w:t>
            </w:r>
            <w:r w:rsidR="03C33CC7" w:rsidRPr="007153FF">
              <w:rPr>
                <w:rFonts w:ascii="Verdana" w:hAnsi="Verdana"/>
                <w:sz w:val="22"/>
                <w:szCs w:val="22"/>
              </w:rPr>
              <w:t>planeación</w:t>
            </w:r>
            <w:r w:rsidR="6A516254" w:rsidRPr="007153FF">
              <w:rPr>
                <w:rFonts w:ascii="Verdana" w:hAnsi="Verdana"/>
                <w:sz w:val="22"/>
                <w:szCs w:val="22"/>
              </w:rPr>
              <w:t xml:space="preserve"> y elaborar los documentos y </w:t>
            </w:r>
            <w:r w:rsidR="7EF1DD69" w:rsidRPr="007153FF">
              <w:rPr>
                <w:rFonts w:ascii="Verdana" w:hAnsi="Verdana"/>
                <w:sz w:val="22"/>
                <w:szCs w:val="22"/>
              </w:rPr>
              <w:t>estudios</w:t>
            </w:r>
            <w:r w:rsidR="6A516254" w:rsidRPr="007153FF">
              <w:rPr>
                <w:rFonts w:ascii="Verdana" w:hAnsi="Verdana"/>
                <w:sz w:val="22"/>
                <w:szCs w:val="22"/>
              </w:rPr>
              <w:t xml:space="preserve"> </w:t>
            </w:r>
            <w:r w:rsidR="4E2EBC56" w:rsidRPr="007153FF">
              <w:rPr>
                <w:rFonts w:ascii="Verdana" w:hAnsi="Verdana"/>
                <w:sz w:val="22"/>
                <w:szCs w:val="22"/>
              </w:rPr>
              <w:t xml:space="preserve">previos, </w:t>
            </w:r>
            <w:r w:rsidR="6A516254" w:rsidRPr="007153FF">
              <w:rPr>
                <w:rFonts w:ascii="Verdana" w:hAnsi="Verdana"/>
                <w:sz w:val="22"/>
                <w:szCs w:val="22"/>
              </w:rPr>
              <w:t>establ</w:t>
            </w:r>
            <w:r w:rsidR="68A73C91" w:rsidRPr="007153FF">
              <w:rPr>
                <w:rFonts w:ascii="Verdana" w:hAnsi="Verdana"/>
                <w:sz w:val="22"/>
                <w:szCs w:val="22"/>
              </w:rPr>
              <w:t>e</w:t>
            </w:r>
            <w:r w:rsidR="6A516254" w:rsidRPr="007153FF">
              <w:rPr>
                <w:rFonts w:ascii="Verdana" w:hAnsi="Verdana"/>
                <w:sz w:val="22"/>
                <w:szCs w:val="22"/>
              </w:rPr>
              <w:t xml:space="preserve">zca </w:t>
            </w:r>
            <w:r w:rsidR="78CF0B0D" w:rsidRPr="007153FF">
              <w:rPr>
                <w:rFonts w:ascii="Verdana" w:hAnsi="Verdana"/>
                <w:sz w:val="22"/>
                <w:szCs w:val="22"/>
              </w:rPr>
              <w:t xml:space="preserve">en </w:t>
            </w:r>
            <w:r w:rsidR="2BB65306" w:rsidRPr="007153FF">
              <w:rPr>
                <w:rFonts w:ascii="Verdana" w:hAnsi="Verdana"/>
                <w:sz w:val="22"/>
                <w:szCs w:val="22"/>
              </w:rPr>
              <w:t>la</w:t>
            </w:r>
            <w:r w:rsidR="78CF0B0D" w:rsidRPr="007153FF">
              <w:rPr>
                <w:rFonts w:ascii="Verdana" w:hAnsi="Verdana"/>
                <w:sz w:val="22"/>
                <w:szCs w:val="22"/>
              </w:rPr>
              <w:t xml:space="preserve"> justificación de la contratación</w:t>
            </w:r>
            <w:r w:rsidR="6A516254" w:rsidRPr="007153FF">
              <w:rPr>
                <w:rFonts w:ascii="Verdana" w:hAnsi="Verdana"/>
                <w:sz w:val="22"/>
                <w:szCs w:val="22"/>
              </w:rPr>
              <w:t xml:space="preserve"> y </w:t>
            </w:r>
            <w:r w:rsidR="3F88D7F0" w:rsidRPr="007153FF">
              <w:rPr>
                <w:rFonts w:ascii="Verdana" w:hAnsi="Verdana"/>
                <w:sz w:val="22"/>
                <w:szCs w:val="22"/>
              </w:rPr>
              <w:t>modalidad</w:t>
            </w:r>
            <w:r w:rsidR="6A516254" w:rsidRPr="007153FF">
              <w:rPr>
                <w:rFonts w:ascii="Verdana" w:hAnsi="Verdana"/>
                <w:sz w:val="22"/>
                <w:szCs w:val="22"/>
              </w:rPr>
              <w:t xml:space="preserve"> de </w:t>
            </w:r>
            <w:r w:rsidR="30E9D100" w:rsidRPr="007153FF">
              <w:rPr>
                <w:rFonts w:ascii="Verdana" w:hAnsi="Verdana"/>
                <w:sz w:val="22"/>
                <w:szCs w:val="22"/>
              </w:rPr>
              <w:t>selección</w:t>
            </w:r>
            <w:r w:rsidR="6A516254" w:rsidRPr="007153FF">
              <w:rPr>
                <w:rFonts w:ascii="Verdana" w:hAnsi="Verdana"/>
                <w:sz w:val="22"/>
                <w:szCs w:val="22"/>
              </w:rPr>
              <w:t xml:space="preserve"> </w:t>
            </w:r>
            <w:r w:rsidR="2F6CCADA" w:rsidRPr="007153FF">
              <w:rPr>
                <w:rFonts w:ascii="Verdana" w:hAnsi="Verdana"/>
                <w:sz w:val="22"/>
                <w:szCs w:val="22"/>
              </w:rPr>
              <w:t>aplicab</w:t>
            </w:r>
            <w:r w:rsidR="305329F1" w:rsidRPr="007153FF">
              <w:rPr>
                <w:rFonts w:ascii="Verdana" w:hAnsi="Verdana"/>
                <w:sz w:val="22"/>
                <w:szCs w:val="22"/>
              </w:rPr>
              <w:t>le</w:t>
            </w:r>
            <w:r w:rsidR="6A516254" w:rsidRPr="007153FF">
              <w:rPr>
                <w:rFonts w:ascii="Verdana" w:hAnsi="Verdana"/>
                <w:sz w:val="22"/>
                <w:szCs w:val="22"/>
              </w:rPr>
              <w:t xml:space="preserve"> el an</w:t>
            </w:r>
            <w:r w:rsidR="74A46D6C" w:rsidRPr="007153FF">
              <w:rPr>
                <w:rFonts w:ascii="Verdana" w:hAnsi="Verdana"/>
                <w:sz w:val="22"/>
                <w:szCs w:val="22"/>
              </w:rPr>
              <w:t>á</w:t>
            </w:r>
            <w:r w:rsidR="6A516254" w:rsidRPr="007153FF">
              <w:rPr>
                <w:rFonts w:ascii="Verdana" w:hAnsi="Verdana"/>
                <w:sz w:val="22"/>
                <w:szCs w:val="22"/>
              </w:rPr>
              <w:t>lisis de s</w:t>
            </w:r>
            <w:r w:rsidR="2D816B0D" w:rsidRPr="007153FF">
              <w:rPr>
                <w:rFonts w:ascii="Verdana" w:hAnsi="Verdana"/>
                <w:sz w:val="22"/>
                <w:szCs w:val="22"/>
              </w:rPr>
              <w:t>í</w:t>
            </w:r>
            <w:r w:rsidR="6A516254" w:rsidRPr="007153FF">
              <w:rPr>
                <w:rFonts w:ascii="Verdana" w:hAnsi="Verdana"/>
                <w:sz w:val="22"/>
                <w:szCs w:val="22"/>
              </w:rPr>
              <w:t xml:space="preserve"> los bi</w:t>
            </w:r>
            <w:r w:rsidR="7AF92537" w:rsidRPr="007153FF">
              <w:rPr>
                <w:rFonts w:ascii="Verdana" w:hAnsi="Verdana"/>
                <w:sz w:val="22"/>
                <w:szCs w:val="22"/>
              </w:rPr>
              <w:t>e</w:t>
            </w:r>
            <w:r w:rsidR="6A516254" w:rsidRPr="007153FF">
              <w:rPr>
                <w:rFonts w:ascii="Verdana" w:hAnsi="Verdana"/>
                <w:sz w:val="22"/>
                <w:szCs w:val="22"/>
              </w:rPr>
              <w:t xml:space="preserve">nes a </w:t>
            </w:r>
            <w:r w:rsidR="61BC8407" w:rsidRPr="007153FF">
              <w:rPr>
                <w:rFonts w:ascii="Verdana" w:hAnsi="Verdana"/>
                <w:sz w:val="22"/>
                <w:szCs w:val="22"/>
              </w:rPr>
              <w:t>contratar</w:t>
            </w:r>
            <w:r w:rsidR="30AA5D8A" w:rsidRPr="007153FF">
              <w:rPr>
                <w:rFonts w:ascii="Verdana" w:hAnsi="Verdana"/>
                <w:sz w:val="22"/>
                <w:szCs w:val="22"/>
              </w:rPr>
              <w:t xml:space="preserve"> </w:t>
            </w:r>
            <w:r w:rsidR="77E35038" w:rsidRPr="007153FF">
              <w:rPr>
                <w:rFonts w:ascii="Verdana" w:hAnsi="Verdana"/>
                <w:sz w:val="22"/>
                <w:szCs w:val="22"/>
              </w:rPr>
              <w:t>corresponden</w:t>
            </w:r>
            <w:r w:rsidR="30AA5D8A" w:rsidRPr="007153FF">
              <w:rPr>
                <w:rFonts w:ascii="Verdana" w:hAnsi="Verdana"/>
                <w:sz w:val="22"/>
                <w:szCs w:val="22"/>
              </w:rPr>
              <w:t xml:space="preserve"> a </w:t>
            </w:r>
            <w:r w:rsidR="34ED77AD" w:rsidRPr="007153FF">
              <w:rPr>
                <w:rFonts w:ascii="Verdana" w:hAnsi="Verdana"/>
                <w:sz w:val="22"/>
                <w:szCs w:val="22"/>
              </w:rPr>
              <w:t>aquellos</w:t>
            </w:r>
            <w:r w:rsidR="30AA5D8A" w:rsidRPr="007153FF">
              <w:rPr>
                <w:rFonts w:ascii="Verdana" w:hAnsi="Verdana"/>
                <w:sz w:val="22"/>
                <w:szCs w:val="22"/>
              </w:rPr>
              <w:t xml:space="preserve"> de </w:t>
            </w:r>
            <w:r w:rsidR="3CA5E139" w:rsidRPr="007153FF">
              <w:rPr>
                <w:rFonts w:ascii="Verdana" w:hAnsi="Verdana"/>
                <w:sz w:val="22"/>
                <w:szCs w:val="22"/>
              </w:rPr>
              <w:t>características</w:t>
            </w:r>
            <w:r w:rsidR="30AA5D8A" w:rsidRPr="007153FF">
              <w:rPr>
                <w:rFonts w:ascii="Verdana" w:hAnsi="Verdana"/>
                <w:sz w:val="22"/>
                <w:szCs w:val="22"/>
              </w:rPr>
              <w:t xml:space="preserve"> </w:t>
            </w:r>
            <w:r w:rsidR="0FD5A6DE" w:rsidRPr="007153FF">
              <w:rPr>
                <w:rFonts w:ascii="Verdana" w:hAnsi="Verdana"/>
                <w:sz w:val="22"/>
                <w:szCs w:val="22"/>
              </w:rPr>
              <w:t>técnicas</w:t>
            </w:r>
            <w:r w:rsidR="30AA5D8A" w:rsidRPr="007153FF">
              <w:rPr>
                <w:rFonts w:ascii="Verdana" w:hAnsi="Verdana"/>
                <w:sz w:val="22"/>
                <w:szCs w:val="22"/>
              </w:rPr>
              <w:t xml:space="preserve"> unif</w:t>
            </w:r>
            <w:r w:rsidR="132E70AE" w:rsidRPr="007153FF">
              <w:rPr>
                <w:rFonts w:ascii="Verdana" w:hAnsi="Verdana"/>
                <w:sz w:val="22"/>
                <w:szCs w:val="22"/>
              </w:rPr>
              <w:t>ormes.</w:t>
            </w:r>
          </w:p>
          <w:p w14:paraId="67F8E878" w14:textId="7E30ACF5" w:rsidR="00C17CB4" w:rsidRPr="00271AC7" w:rsidRDefault="00042AE1" w:rsidP="00CE4AB1">
            <w:pPr>
              <w:pStyle w:val="NormalWeb"/>
              <w:spacing w:line="276" w:lineRule="auto"/>
              <w:jc w:val="both"/>
              <w:rPr>
                <w:rFonts w:ascii="Verdana" w:eastAsia="Calibri" w:hAnsi="Verdana" w:cs="Arial"/>
              </w:rPr>
            </w:pPr>
            <w:r w:rsidRPr="007153FF">
              <w:rPr>
                <w:rFonts w:ascii="Verdana" w:eastAsiaTheme="minorEastAsia" w:hAnsi="Verdana" w:cstheme="minorBidi"/>
                <w:sz w:val="22"/>
                <w:szCs w:val="22"/>
              </w:rPr>
              <w:t xml:space="preserve">     </w:t>
            </w:r>
            <w:r w:rsidR="00C17CB4" w:rsidRPr="007153FF">
              <w:rPr>
                <w:rFonts w:ascii="Verdana" w:eastAsiaTheme="minorEastAsia" w:hAnsi="Verdana" w:cstheme="minorBidi"/>
                <w:sz w:val="22"/>
                <w:szCs w:val="22"/>
              </w:rPr>
              <w:t xml:space="preserve">Por último, debe advertirse que, el </w:t>
            </w:r>
            <w:r w:rsidR="00C17CB4" w:rsidRPr="007153FF">
              <w:rPr>
                <w:rFonts w:ascii="Verdana" w:eastAsia="Calibri" w:hAnsi="Verdana" w:cs="Arial"/>
                <w:sz w:val="22"/>
                <w:szCs w:val="22"/>
              </w:rPr>
              <w:t xml:space="preserve">análisis requerido para resolver problemas específicos sobre </w:t>
            </w:r>
            <w:r w:rsidR="6FDBF992" w:rsidRPr="007153FF">
              <w:rPr>
                <w:rFonts w:ascii="Verdana" w:eastAsia="Calibri" w:hAnsi="Verdana" w:cs="Arial"/>
                <w:sz w:val="22"/>
                <w:szCs w:val="22"/>
              </w:rPr>
              <w:t xml:space="preserve">la modalidad de </w:t>
            </w:r>
            <w:r w:rsidR="022C1AE3" w:rsidRPr="007153FF">
              <w:rPr>
                <w:rFonts w:ascii="Verdana" w:eastAsia="Calibri" w:hAnsi="Verdana" w:cs="Arial"/>
                <w:sz w:val="22"/>
                <w:szCs w:val="22"/>
              </w:rPr>
              <w:t>selección que</w:t>
            </w:r>
            <w:r w:rsidR="00C17CB4" w:rsidRPr="007153FF">
              <w:rPr>
                <w:rFonts w:ascii="Verdana" w:eastAsia="Calibri" w:hAnsi="Verdana" w:cs="Arial"/>
                <w:sz w:val="22"/>
                <w:szCs w:val="22"/>
              </w:rPr>
              <w:t xml:space="preserve"> debe ser utilizado </w:t>
            </w:r>
            <w:r w:rsidR="00C17CB4" w:rsidRPr="007153FF">
              <w:rPr>
                <w:rFonts w:ascii="Verdana" w:eastAsia="Calibri" w:hAnsi="Verdana" w:cs="Arial"/>
                <w:sz w:val="22"/>
                <w:szCs w:val="22"/>
              </w:rPr>
              <w:lastRenderedPageBreak/>
              <w:t xml:space="preserve">por cada entidad para </w:t>
            </w:r>
            <w:r w:rsidR="00C17CB4" w:rsidRPr="007153FF">
              <w:rPr>
                <w:rFonts w:ascii="Verdana" w:eastAsia="Century Gothic" w:hAnsi="Verdana" w:cs="Century Gothic"/>
                <w:color w:val="000000" w:themeColor="text1"/>
                <w:sz w:val="22"/>
                <w:szCs w:val="22"/>
              </w:rPr>
              <w:t xml:space="preserve">la </w:t>
            </w:r>
            <w:r w:rsidR="00C17CB4" w:rsidRPr="007153FF">
              <w:rPr>
                <w:rFonts w:ascii="Verdana" w:eastAsia="Calibri" w:hAnsi="Verdana" w:cs="Arial"/>
                <w:color w:val="000000" w:themeColor="text1"/>
                <w:sz w:val="22"/>
                <w:szCs w:val="22"/>
                <w:lang w:val="es-ES" w:eastAsia="es-ES"/>
              </w:rPr>
              <w:t xml:space="preserve">adquisición o suministro de bienes y servicios de características técnicas uniformes, corresponde a </w:t>
            </w:r>
            <w:r w:rsidR="00C17CB4" w:rsidRPr="007153FF">
              <w:rPr>
                <w:rFonts w:ascii="Verdana" w:eastAsia="Calibri" w:hAnsi="Verdana" w:cs="Arial"/>
                <w:sz w:val="22"/>
                <w:szCs w:val="22"/>
              </w:rPr>
              <w:t>quien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0B8A449D" w14:textId="77777777" w:rsidR="00C17CB4" w:rsidRPr="00593A5F" w:rsidRDefault="00C17CB4" w:rsidP="00C17CB4">
      <w:pPr>
        <w:tabs>
          <w:tab w:val="left" w:pos="142"/>
          <w:tab w:val="left" w:pos="284"/>
        </w:tabs>
        <w:spacing w:after="0" w:line="276" w:lineRule="auto"/>
        <w:jc w:val="both"/>
        <w:rPr>
          <w:rFonts w:ascii="Verdana" w:eastAsia="Century Gothic" w:hAnsi="Verdana" w:cs="Century Gothic"/>
          <w:b/>
          <w:bCs/>
          <w:lang w:val="es-ES"/>
        </w:rPr>
      </w:pPr>
    </w:p>
    <w:p w14:paraId="5276F45B" w14:textId="77777777" w:rsidR="00C17CB4" w:rsidRPr="00593A5F" w:rsidRDefault="00C17CB4" w:rsidP="00C17C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8891F2D" w14:textId="77777777" w:rsidR="00C17CB4" w:rsidRPr="00593A5F" w:rsidRDefault="00C17CB4" w:rsidP="00C17CB4">
      <w:pPr>
        <w:spacing w:after="0" w:line="276" w:lineRule="auto"/>
        <w:jc w:val="both"/>
        <w:rPr>
          <w:rFonts w:ascii="Verdana" w:eastAsia="Calibri" w:hAnsi="Verdana" w:cs="Arial"/>
          <w:color w:val="7030A0"/>
          <w:lang w:val="es-ES"/>
        </w:rPr>
      </w:pPr>
    </w:p>
    <w:p w14:paraId="7F7DCC33" w14:textId="77777777" w:rsidR="00C17CB4" w:rsidRPr="00B96799" w:rsidRDefault="00C17CB4" w:rsidP="00C17CB4">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80FABFA" w14:textId="77777777" w:rsidR="00C17CB4" w:rsidRDefault="00C17CB4" w:rsidP="00C17CB4">
      <w:pPr>
        <w:spacing w:after="0" w:line="276" w:lineRule="auto"/>
        <w:jc w:val="both"/>
        <w:rPr>
          <w:rFonts w:ascii="Verdana" w:eastAsia="Calibri" w:hAnsi="Verdana" w:cs="Arial"/>
          <w:color w:val="7030A0"/>
          <w:lang w:val="es-ES"/>
        </w:rPr>
      </w:pPr>
    </w:p>
    <w:p w14:paraId="2C455B6E" w14:textId="77777777" w:rsidR="00C17CB4" w:rsidRPr="00F145EE" w:rsidRDefault="00C17CB4" w:rsidP="00C17CB4">
      <w:pPr>
        <w:spacing w:after="120" w:line="276" w:lineRule="auto"/>
        <w:jc w:val="both"/>
        <w:rPr>
          <w:rFonts w:ascii="Verdana" w:eastAsia="Calibri" w:hAnsi="Verdana" w:cs="Arial"/>
          <w:bCs/>
          <w:color w:val="000000" w:themeColor="text1"/>
          <w:lang w:val="es-MX" w:eastAsia="es-ES_tradnl"/>
        </w:rPr>
      </w:pPr>
      <w:r w:rsidRPr="3A7B13FE">
        <w:rPr>
          <w:rFonts w:ascii="Verdana" w:eastAsia="Calibri" w:hAnsi="Verdana" w:cs="Arial"/>
          <w:color w:val="000000" w:themeColor="text1"/>
          <w:lang w:val="es-ES" w:eastAsia="es-ES"/>
        </w:rPr>
        <w:t>P</w:t>
      </w:r>
      <w:r w:rsidRPr="00F145EE">
        <w:rPr>
          <w:rFonts w:ascii="Verdana" w:hAnsi="Verdana" w:cs="Arial"/>
          <w:color w:val="000000" w:themeColor="text1"/>
          <w:lang w:val="es-ES"/>
        </w:rPr>
        <w:t>ara las entidades sometidas al Estatuto General de Contratación de la Administración Pública</w:t>
      </w:r>
      <w:r>
        <w:rPr>
          <w:rFonts w:ascii="Verdana" w:hAnsi="Verdana" w:cs="Arial"/>
          <w:color w:val="000000" w:themeColor="text1"/>
          <w:lang w:val="es-ES"/>
        </w:rPr>
        <w:t xml:space="preserve"> – en adelante EGCAP –</w:t>
      </w:r>
      <w:r w:rsidRPr="00F145EE">
        <w:rPr>
          <w:rFonts w:ascii="Verdana" w:hAnsi="Verdana" w:cs="Arial"/>
          <w:color w:val="000000" w:themeColor="text1"/>
          <w:lang w:val="es-ES"/>
        </w:rPr>
        <w:t xml:space="preserve">, los procesos de selección se rigen por </w:t>
      </w:r>
      <w:r w:rsidRPr="3A7B13FE">
        <w:rPr>
          <w:rFonts w:ascii="Verdana" w:hAnsi="Verdana" w:cs="Arial"/>
          <w:color w:val="000000" w:themeColor="text1"/>
          <w:lang w:val="es-ES"/>
        </w:rPr>
        <w:t>el artículo 2 de la Ley 1150 de 2007</w:t>
      </w:r>
      <w:r w:rsidRPr="00F145EE">
        <w:rPr>
          <w:rFonts w:ascii="Verdana" w:hAnsi="Verdana" w:cs="Arial"/>
          <w:color w:val="000000" w:themeColor="text1"/>
          <w:lang w:val="es-ES"/>
        </w:rPr>
        <w:t xml:space="preserve">. El </w:t>
      </w:r>
      <w:r w:rsidRPr="3A7B13FE">
        <w:rPr>
          <w:rFonts w:ascii="Verdana" w:eastAsia="Calibri" w:hAnsi="Verdana" w:cs="Arial"/>
          <w:color w:val="000000" w:themeColor="text1"/>
          <w:lang w:val="es-MX" w:eastAsia="es-ES"/>
        </w:rPr>
        <w:t>numeral uno, inciso primero, de la norma citada</w:t>
      </w:r>
      <w:r w:rsidRPr="3A7B13FE">
        <w:rPr>
          <w:rFonts w:ascii="Verdana" w:hAnsi="Verdana" w:cs="Arial"/>
          <w:color w:val="000000" w:themeColor="text1"/>
          <w:lang w:val="es-ES"/>
        </w:rPr>
        <w:t xml:space="preserve"> </w:t>
      </w:r>
      <w:r w:rsidRPr="3A7B13FE">
        <w:rPr>
          <w:rFonts w:ascii="Verdana" w:eastAsia="Calibri" w:hAnsi="Verdana" w:cs="Arial"/>
          <w:color w:val="000000" w:themeColor="text1"/>
          <w:lang w:val="es-MX" w:eastAsia="es-ES"/>
        </w:rPr>
        <w:t xml:space="preserve">dispone que “La escogencia del contratista se efectuará por </w:t>
      </w:r>
      <w:r w:rsidRPr="3A7B13FE">
        <w:rPr>
          <w:rFonts w:ascii="Verdana" w:eastAsia="Calibri" w:hAnsi="Verdana" w:cs="Arial"/>
          <w:i/>
          <w:iCs/>
          <w:color w:val="000000" w:themeColor="text1"/>
          <w:lang w:val="es-MX" w:eastAsia="es-ES"/>
        </w:rPr>
        <w:t>regla general</w:t>
      </w:r>
      <w:r w:rsidRPr="3A7B13FE">
        <w:rPr>
          <w:rFonts w:ascii="Verdana" w:eastAsia="Calibri" w:hAnsi="Verdana" w:cs="Arial"/>
          <w:color w:val="000000" w:themeColor="text1"/>
          <w:lang w:val="es-MX" w:eastAsia="es-ES"/>
        </w:rPr>
        <w:t xml:space="preserve"> a través de licitación pública, con las </w:t>
      </w:r>
      <w:r w:rsidRPr="3A7B13FE">
        <w:rPr>
          <w:rFonts w:ascii="Verdana" w:eastAsia="Calibri" w:hAnsi="Verdana" w:cs="Arial"/>
          <w:i/>
          <w:iCs/>
          <w:color w:val="000000" w:themeColor="text1"/>
          <w:lang w:val="es-MX" w:eastAsia="es-ES"/>
        </w:rPr>
        <w:t>excepciones</w:t>
      </w:r>
      <w:r w:rsidRPr="3A7B13FE">
        <w:rPr>
          <w:rFonts w:ascii="Verdana" w:eastAsia="Calibri" w:hAnsi="Verdana" w:cs="Arial"/>
          <w:color w:val="000000" w:themeColor="text1"/>
          <w:lang w:val="es-MX" w:eastAsia="es-ES"/>
        </w:rPr>
        <w:t xml:space="preserve"> que se señalan en los numerales 2, 3 y 4 del presente artículo”. Esta norma sustituye el derogado numeral 1 del artículo 24 de la Ley 80 de 1993, relativo al principio de transparencia</w:t>
      </w:r>
      <w:r w:rsidRPr="3A7B13FE">
        <w:rPr>
          <w:rStyle w:val="Refdenotaalpie"/>
          <w:rFonts w:ascii="Verdana" w:eastAsia="Calibri" w:hAnsi="Verdana" w:cs="Arial"/>
          <w:color w:val="000000" w:themeColor="text1"/>
          <w:lang w:val="es-MX" w:eastAsia="es-ES"/>
        </w:rPr>
        <w:footnoteReference w:id="1"/>
      </w:r>
      <w:r w:rsidRPr="3A7B13FE">
        <w:rPr>
          <w:rFonts w:ascii="Verdana" w:eastAsia="Calibri" w:hAnsi="Verdana" w:cs="Arial"/>
          <w:color w:val="000000" w:themeColor="text1"/>
          <w:lang w:val="es-MX" w:eastAsia="es-ES"/>
        </w:rPr>
        <w:t xml:space="preserve">. </w:t>
      </w:r>
    </w:p>
    <w:p w14:paraId="7BD15AFB" w14:textId="77777777" w:rsidR="00C17CB4" w:rsidRPr="00F145EE" w:rsidRDefault="00C17CB4" w:rsidP="00C17CB4">
      <w:pPr>
        <w:spacing w:after="120" w:line="276" w:lineRule="auto"/>
        <w:ind w:firstLine="708"/>
        <w:jc w:val="both"/>
        <w:rPr>
          <w:rFonts w:ascii="Verdana" w:eastAsia="Calibri" w:hAnsi="Verdana" w:cs="Arial"/>
          <w:bCs/>
          <w:color w:val="000000" w:themeColor="text1"/>
          <w:lang w:val="es-MX" w:eastAsia="es-ES_tradnl"/>
        </w:rPr>
      </w:pPr>
      <w:r w:rsidRPr="3A7B13FE">
        <w:rPr>
          <w:rFonts w:ascii="Verdana" w:eastAsia="Calibri" w:hAnsi="Verdana" w:cs="Arial"/>
          <w:color w:val="000000" w:themeColor="text1"/>
          <w:lang w:val="es-MX" w:eastAsia="es-ES"/>
        </w:rPr>
        <w:t>Así las cosas, salvo norma especial que ordene la celebración del negocio jurídico por otra modalidad de selección, debe aplicarse la regla general de licitación pública</w:t>
      </w:r>
      <w:r w:rsidRPr="3A7B13FE">
        <w:rPr>
          <w:rStyle w:val="Refdenotaalpie"/>
          <w:rFonts w:ascii="Verdana" w:eastAsia="Calibri" w:hAnsi="Verdana" w:cs="Arial"/>
          <w:color w:val="000000" w:themeColor="text1"/>
          <w:lang w:val="es-MX" w:eastAsia="es-ES"/>
        </w:rPr>
        <w:footnoteReference w:id="2"/>
      </w:r>
      <w:r w:rsidRPr="3A7B13FE">
        <w:rPr>
          <w:rFonts w:ascii="Verdana" w:eastAsia="Calibri" w:hAnsi="Verdana" w:cs="Arial"/>
          <w:color w:val="000000" w:themeColor="text1"/>
          <w:lang w:val="es-MX" w:eastAsia="es-ES"/>
        </w:rPr>
        <w:t xml:space="preserve">. Del texto de la norma también se concluye que, dependiendo </w:t>
      </w:r>
      <w:r w:rsidRPr="3A7B13FE">
        <w:rPr>
          <w:rFonts w:ascii="Verdana" w:eastAsia="Calibri" w:hAnsi="Verdana" w:cs="Arial"/>
          <w:color w:val="000000" w:themeColor="text1"/>
          <w:lang w:val="es-MX" w:eastAsia="es-ES"/>
        </w:rPr>
        <w:lastRenderedPageBreak/>
        <w:t>del objeto o el valor de presupuesto oficial, es posible aplicar de otros procedimientos contractuales. Estos pueden ser con pluralidad de oferentes –v. gr. la selección abreviada de menor cuantía o la mínima cuantía– o sin concurrencia de proponentes –por ejemplo, la contratación directa–.</w:t>
      </w:r>
    </w:p>
    <w:p w14:paraId="299C4F16" w14:textId="77777777" w:rsidR="00C17CB4" w:rsidRPr="00F145EE" w:rsidRDefault="00C17CB4" w:rsidP="00C17CB4">
      <w:pPr>
        <w:spacing w:after="120" w:line="276" w:lineRule="auto"/>
        <w:ind w:firstLine="708"/>
        <w:jc w:val="both"/>
        <w:rPr>
          <w:rFonts w:ascii="Verdana" w:eastAsia="Calibri" w:hAnsi="Verdana" w:cs="Arial"/>
          <w:color w:val="000000" w:themeColor="text1"/>
        </w:rPr>
      </w:pPr>
      <w:r w:rsidRPr="3A7B13FE">
        <w:rPr>
          <w:rFonts w:ascii="Verdana" w:eastAsia="Calibri" w:hAnsi="Verdana" w:cs="Arial"/>
          <w:color w:val="000000" w:themeColor="text1"/>
          <w:lang w:val="es-MX" w:eastAsia="es-ES"/>
        </w:rPr>
        <w:t xml:space="preserve">Respecto de la selección abreviada, </w:t>
      </w:r>
      <w:r w:rsidRPr="00F145EE">
        <w:rPr>
          <w:rFonts w:ascii="Verdana" w:eastAsia="Calibri" w:hAnsi="Verdana" w:cs="Arial"/>
          <w:color w:val="000000" w:themeColor="text1"/>
        </w:rPr>
        <w:t>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s="Arial"/>
          <w:color w:val="000000" w:themeColor="text1"/>
        </w:rPr>
        <w:t xml:space="preserve">. Esta disposición, a su vez, </w:t>
      </w:r>
      <w:r w:rsidRPr="00F145EE">
        <w:rPr>
          <w:rFonts w:ascii="Verdana" w:eastAsia="Calibri" w:hAnsi="Verdana" w:cs="Arial"/>
          <w:color w:val="000000" w:themeColor="text1"/>
        </w:rPr>
        <w:t>regula cada una de las causales</w:t>
      </w:r>
      <w:r>
        <w:rPr>
          <w:rFonts w:ascii="Verdana" w:eastAsia="Calibri" w:hAnsi="Verdana" w:cs="Arial"/>
          <w:color w:val="000000" w:themeColor="text1"/>
        </w:rPr>
        <w:t xml:space="preserve"> frente a las cuales procede esta modalidad de contratación</w:t>
      </w:r>
      <w:r w:rsidRPr="00F145EE">
        <w:rPr>
          <w:rStyle w:val="Refdenotaalpie"/>
          <w:rFonts w:ascii="Verdana" w:eastAsia="Calibri" w:hAnsi="Verdana" w:cs="Arial"/>
          <w:color w:val="000000" w:themeColor="text1"/>
        </w:rPr>
        <w:footnoteReference w:id="3"/>
      </w:r>
      <w:r w:rsidRPr="00F145EE">
        <w:rPr>
          <w:rFonts w:ascii="Verdana" w:eastAsia="Calibri" w:hAnsi="Verdana" w:cs="Arial"/>
          <w:color w:val="000000" w:themeColor="text1"/>
        </w:rPr>
        <w:t xml:space="preserve">. </w:t>
      </w:r>
    </w:p>
    <w:p w14:paraId="6C92DB3A" w14:textId="77777777" w:rsidR="00C17CB4" w:rsidRPr="00F145EE" w:rsidRDefault="00C17CB4" w:rsidP="00C17CB4">
      <w:pPr>
        <w:spacing w:after="0" w:line="276" w:lineRule="auto"/>
        <w:ind w:firstLine="708"/>
        <w:jc w:val="both"/>
        <w:rPr>
          <w:rFonts w:ascii="Verdana" w:eastAsia="Calibri" w:hAnsi="Verdana" w:cs="Arial"/>
          <w:color w:val="000000" w:themeColor="text1"/>
        </w:rPr>
      </w:pPr>
      <w:r w:rsidRPr="00F145EE">
        <w:rPr>
          <w:rFonts w:ascii="Verdana" w:eastAsia="Calibri" w:hAnsi="Verdana" w:cs="Arial"/>
          <w:color w:val="000000" w:themeColor="text1"/>
        </w:rPr>
        <w:lastRenderedPageBreak/>
        <w:t>Se trata de un procedimiento que, conforme a la reglamentación exp</w:t>
      </w:r>
      <w:r>
        <w:rPr>
          <w:rFonts w:ascii="Verdana" w:eastAsia="Calibri" w:hAnsi="Verdana" w:cs="Arial"/>
          <w:color w:val="000000" w:themeColor="text1"/>
        </w:rPr>
        <w:t>e</w:t>
      </w:r>
      <w:r w:rsidRPr="00F145EE">
        <w:rPr>
          <w:rFonts w:ascii="Verdana" w:eastAsia="Calibri" w:hAnsi="Verdana" w:cs="Arial"/>
          <w:color w:val="000000" w:themeColor="text1"/>
        </w:rPr>
        <w:t>d</w:t>
      </w:r>
      <w:r>
        <w:rPr>
          <w:rFonts w:ascii="Verdana" w:eastAsia="Calibri" w:hAnsi="Verdana" w:cs="Arial"/>
          <w:color w:val="000000" w:themeColor="text1"/>
        </w:rPr>
        <w:t>id</w:t>
      </w:r>
      <w:r w:rsidRPr="00F145EE">
        <w:rPr>
          <w:rFonts w:ascii="Verdana" w:eastAsia="Calibri" w:hAnsi="Verdana" w:cs="Arial"/>
          <w:color w:val="000000" w:themeColor="text1"/>
        </w:rPr>
        <w:t xml:space="preserve">a </w:t>
      </w:r>
      <w:r>
        <w:rPr>
          <w:rFonts w:ascii="Verdana" w:eastAsia="Calibri" w:hAnsi="Verdana" w:cs="Arial"/>
          <w:color w:val="000000" w:themeColor="text1"/>
        </w:rPr>
        <w:t>por</w:t>
      </w:r>
      <w:r w:rsidRPr="00F145EE">
        <w:rPr>
          <w:rFonts w:ascii="Verdana" w:eastAsia="Calibri" w:hAnsi="Verdana" w:cs="Arial"/>
          <w:color w:val="000000" w:themeColor="text1"/>
        </w:rPr>
        <w:t xml:space="preserve"> el Gobierno Nacional, </w:t>
      </w:r>
      <w:r>
        <w:rPr>
          <w:rFonts w:ascii="Verdana" w:eastAsia="Calibri" w:hAnsi="Verdana" w:cs="Arial"/>
          <w:color w:val="000000" w:themeColor="text1"/>
        </w:rPr>
        <w:t xml:space="preserve">permite </w:t>
      </w:r>
      <w:r w:rsidRPr="00F145EE">
        <w:rPr>
          <w:rFonts w:ascii="Verdana" w:eastAsia="Calibri" w:hAnsi="Verdana" w:cs="Arial"/>
          <w:color w:val="000000" w:themeColor="text1"/>
        </w:rPr>
        <w:t>agiliza</w:t>
      </w:r>
      <w:r>
        <w:rPr>
          <w:rFonts w:ascii="Verdana" w:eastAsia="Calibri" w:hAnsi="Verdana" w:cs="Arial"/>
          <w:color w:val="000000" w:themeColor="text1"/>
        </w:rPr>
        <w:t>r</w:t>
      </w:r>
      <w:r w:rsidRPr="00F145EE">
        <w:rPr>
          <w:rFonts w:ascii="Verdana" w:eastAsia="Calibri" w:hAnsi="Verdana" w:cs="Arial"/>
          <w:color w:val="000000" w:themeColor="text1"/>
        </w:rPr>
        <w:t xml:space="preserve"> la contratación estatal en los eventos en que no se justifica adelantar una licitación pública, pero tampoco limitar la participación de los proponentes como en la contratación directa</w:t>
      </w:r>
      <w:r>
        <w:rPr>
          <w:rFonts w:ascii="Verdana" w:eastAsia="Calibri" w:hAnsi="Verdana" w:cs="Arial"/>
          <w:color w:val="000000" w:themeColor="text1"/>
        </w:rPr>
        <w:t>. D</w:t>
      </w:r>
      <w:r w:rsidRPr="00F145EE">
        <w:rPr>
          <w:rFonts w:ascii="Verdana" w:eastAsia="Calibri" w:hAnsi="Verdana" w:cs="Arial"/>
          <w:color w:val="000000" w:themeColor="text1"/>
        </w:rPr>
        <w:t>e forma tal que</w:t>
      </w:r>
      <w:r>
        <w:rPr>
          <w:rFonts w:ascii="Verdana" w:eastAsia="Calibri" w:hAnsi="Verdana" w:cs="Arial"/>
          <w:color w:val="000000" w:themeColor="text1"/>
        </w:rPr>
        <w:t>, la selección abreviada</w:t>
      </w:r>
      <w:r w:rsidRPr="00F145EE">
        <w:rPr>
          <w:rFonts w:ascii="Verdana" w:eastAsia="Calibri" w:hAnsi="Verdana" w:cs="Arial"/>
          <w:color w:val="000000" w:themeColor="text1"/>
        </w:rPr>
        <w:t xml:space="preserve"> es un mecanismo de selección objetiva que asegura una mayor concurrencia de participantes sin sacrificar los principios de eficacia y eficiencia en el proceso de selección. En la exposición de motivos se explica lo siguiente:</w:t>
      </w:r>
    </w:p>
    <w:p w14:paraId="58F130E9" w14:textId="77777777" w:rsidR="00C17CB4" w:rsidRPr="00F145EE" w:rsidRDefault="00C17CB4" w:rsidP="00C17CB4">
      <w:pPr>
        <w:spacing w:after="0" w:line="276" w:lineRule="auto"/>
        <w:jc w:val="both"/>
        <w:rPr>
          <w:rFonts w:ascii="Verdana" w:eastAsia="Calibri" w:hAnsi="Verdana" w:cs="Arial"/>
          <w:color w:val="000000" w:themeColor="text1"/>
        </w:rPr>
      </w:pPr>
    </w:p>
    <w:p w14:paraId="37EE499D" w14:textId="77777777" w:rsidR="00C17CB4" w:rsidRPr="008B0875" w:rsidRDefault="00C17CB4" w:rsidP="00C17CB4">
      <w:pPr>
        <w:spacing w:after="0" w:line="240" w:lineRule="auto"/>
        <w:ind w:left="709" w:right="709"/>
        <w:jc w:val="both"/>
        <w:rPr>
          <w:rFonts w:ascii="Verdana" w:eastAsia="Calibri" w:hAnsi="Verdana" w:cs="Arial"/>
          <w:color w:val="000000" w:themeColor="text1"/>
          <w:sz w:val="20"/>
          <w:szCs w:val="20"/>
        </w:rPr>
      </w:pPr>
      <w:r w:rsidRPr="008B0875">
        <w:rPr>
          <w:rFonts w:ascii="Verdana" w:eastAsia="Calibri" w:hAnsi="Verdana" w:cs="Arial"/>
          <w:color w:val="000000" w:themeColor="text1"/>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4B8AE640" w14:textId="77777777" w:rsidR="00C17CB4" w:rsidRPr="008B0875" w:rsidRDefault="00C17CB4" w:rsidP="00C17CB4">
      <w:pPr>
        <w:spacing w:after="0" w:line="240" w:lineRule="auto"/>
        <w:ind w:left="709" w:right="709"/>
        <w:jc w:val="both"/>
        <w:rPr>
          <w:rFonts w:ascii="Verdana" w:eastAsia="Calibri" w:hAnsi="Verdana" w:cs="Arial"/>
          <w:color w:val="000000" w:themeColor="text1"/>
          <w:sz w:val="20"/>
          <w:szCs w:val="20"/>
        </w:rPr>
      </w:pPr>
    </w:p>
    <w:p w14:paraId="2AAFF367" w14:textId="77777777" w:rsidR="00C17CB4" w:rsidRPr="008B0875" w:rsidRDefault="00C17CB4" w:rsidP="00C17CB4">
      <w:pPr>
        <w:spacing w:after="0" w:line="240" w:lineRule="auto"/>
        <w:ind w:left="709" w:right="709"/>
        <w:jc w:val="both"/>
        <w:rPr>
          <w:rFonts w:ascii="Verdana" w:eastAsia="Calibri" w:hAnsi="Verdana" w:cs="Arial"/>
          <w:color w:val="000000" w:themeColor="text1"/>
          <w:sz w:val="20"/>
          <w:szCs w:val="20"/>
        </w:rPr>
      </w:pPr>
      <w:r w:rsidRPr="008B0875">
        <w:rPr>
          <w:rFonts w:ascii="Verdana" w:eastAsia="Calibri" w:hAnsi="Verdana" w:cs="Arial"/>
          <w:color w:val="000000" w:themeColor="text1"/>
          <w:sz w:val="20"/>
          <w:szCs w:val="20"/>
        </w:rPr>
        <w:t>– Se crea la llamada ‘selección abreviada’, para permitir la existencia de procedimientos de selección que, basados estrictamente en los principios cardinales de la contratación pública, permitan de manera ágil la adopción de decisiones de selección […]”</w:t>
      </w:r>
      <w:r w:rsidRPr="008B0875">
        <w:rPr>
          <w:rStyle w:val="Refdenotaalpie"/>
          <w:rFonts w:ascii="Verdana" w:eastAsia="Calibri" w:hAnsi="Verdana" w:cs="Arial"/>
          <w:color w:val="000000" w:themeColor="text1"/>
          <w:sz w:val="20"/>
          <w:szCs w:val="20"/>
        </w:rPr>
        <w:footnoteReference w:id="4"/>
      </w:r>
      <w:r w:rsidRPr="008B0875">
        <w:rPr>
          <w:rFonts w:ascii="Verdana" w:eastAsia="Calibri" w:hAnsi="Verdana" w:cs="Arial"/>
          <w:color w:val="000000" w:themeColor="text1"/>
          <w:sz w:val="20"/>
          <w:szCs w:val="20"/>
        </w:rPr>
        <w:t>.</w:t>
      </w:r>
    </w:p>
    <w:p w14:paraId="3B197B34" w14:textId="77777777" w:rsidR="00C17CB4" w:rsidRDefault="00C17CB4" w:rsidP="00C17CB4">
      <w:pPr>
        <w:spacing w:after="0" w:line="276" w:lineRule="auto"/>
        <w:jc w:val="both"/>
        <w:rPr>
          <w:rFonts w:ascii="Verdana" w:eastAsia="Calibri" w:hAnsi="Verdana" w:cs="Arial"/>
          <w:lang w:eastAsia="es-ES"/>
        </w:rPr>
      </w:pPr>
    </w:p>
    <w:p w14:paraId="5B9849FD" w14:textId="77777777" w:rsidR="00C17CB4" w:rsidRPr="00F145EE" w:rsidRDefault="00C17CB4" w:rsidP="00C17CB4">
      <w:pPr>
        <w:spacing w:after="120" w:line="276" w:lineRule="auto"/>
        <w:ind w:firstLine="708"/>
        <w:jc w:val="both"/>
        <w:rPr>
          <w:rFonts w:ascii="Verdana" w:eastAsia="Calibri" w:hAnsi="Verdana" w:cs="Arial"/>
          <w:color w:val="000000" w:themeColor="text1"/>
        </w:rPr>
      </w:pPr>
      <w:r w:rsidRPr="00F145EE">
        <w:rPr>
          <w:rFonts w:ascii="Verdana" w:eastAsia="Calibri" w:hAnsi="Verdana" w:cs="Arial"/>
          <w:color w:val="000000" w:themeColor="text1"/>
        </w:rPr>
        <w:t>La selección abreviada se caracteriza por tener etapas un poco más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F145EE">
        <w:rPr>
          <w:rStyle w:val="Refdenotaalpie"/>
          <w:rFonts w:ascii="Verdana" w:eastAsia="Calibri" w:hAnsi="Verdana" w:cs="Arial"/>
          <w:color w:val="000000" w:themeColor="text1"/>
        </w:rPr>
        <w:footnoteReference w:id="5"/>
      </w:r>
      <w:r w:rsidRPr="00F145EE">
        <w:rPr>
          <w:rFonts w:ascii="Verdana" w:eastAsia="Calibri" w:hAnsi="Verdana" w:cs="Arial"/>
          <w:color w:val="000000" w:themeColor="text1"/>
        </w:rPr>
        <w:t xml:space="preserve">. </w:t>
      </w:r>
    </w:p>
    <w:p w14:paraId="7C5B4F6A" w14:textId="77777777" w:rsidR="00C17CB4" w:rsidRPr="00213C84" w:rsidRDefault="00C17CB4" w:rsidP="00C17CB4">
      <w:pPr>
        <w:spacing w:after="120" w:line="276" w:lineRule="auto"/>
        <w:ind w:firstLine="708"/>
        <w:jc w:val="both"/>
        <w:rPr>
          <w:rFonts w:ascii="Verdana" w:eastAsia="Calibri" w:hAnsi="Verdana" w:cs="Arial"/>
          <w:lang w:eastAsia="es-ES"/>
        </w:rPr>
      </w:pPr>
      <w:r>
        <w:rPr>
          <w:rFonts w:ascii="Verdana" w:eastAsia="Calibri" w:hAnsi="Verdana" w:cs="Arial"/>
          <w:lang w:eastAsia="es-ES"/>
        </w:rPr>
        <w:t>Por su parte</w:t>
      </w:r>
      <w:r w:rsidRPr="00213C84">
        <w:rPr>
          <w:rFonts w:ascii="Verdana" w:eastAsia="Calibri" w:hAnsi="Verdana" w:cs="Arial"/>
          <w:lang w:eastAsia="es-ES"/>
        </w:rPr>
        <w:t xml:space="preserve">, el Decreto 1082 de 2015, reglamenta las causales para acudir al procedimiento de selección abreviada establecidas en el numeral 2 del artículo 2 de la Ley 1150 de 2007, y regula el procedimiento, detallando el </w:t>
      </w:r>
      <w:r w:rsidRPr="00213C84">
        <w:rPr>
          <w:rFonts w:ascii="Verdana" w:eastAsia="Calibri" w:hAnsi="Verdana" w:cs="Arial"/>
          <w:lang w:eastAsia="es-ES"/>
        </w:rPr>
        <w:lastRenderedPageBreak/>
        <w:t>contenido del pliego de condiciones, las etapas, entre otros. Dentro de dichas causales se destaca la contratación de menor cuantía y la subasta inversa.</w:t>
      </w:r>
    </w:p>
    <w:p w14:paraId="560293E9" w14:textId="77777777" w:rsidR="00C17CB4" w:rsidRDefault="00C17CB4" w:rsidP="00C17CB4">
      <w:pPr>
        <w:spacing w:after="120" w:line="276" w:lineRule="auto"/>
        <w:ind w:firstLine="709"/>
        <w:jc w:val="both"/>
        <w:rPr>
          <w:rFonts w:ascii="Verdana" w:eastAsia="Calibri" w:hAnsi="Verdana" w:cs="Arial"/>
          <w:color w:val="000000" w:themeColor="text1"/>
        </w:rPr>
      </w:pPr>
      <w:r w:rsidRPr="3A7B13FE">
        <w:rPr>
          <w:rFonts w:ascii="Verdana" w:eastAsia="Calibri" w:hAnsi="Verdana" w:cs="Arial"/>
          <w:color w:val="000000"/>
          <w:lang w:val="es-ES" w:eastAsia="es-ES"/>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3A7B13FE">
        <w:rPr>
          <w:rFonts w:ascii="Verdana" w:eastAsia="Calibri" w:hAnsi="Verdana" w:cs="Arial"/>
          <w:color w:val="000000" w:themeColor="text1"/>
        </w:rPr>
        <w:t xml:space="preserve">el artículo 28 del Código Civil dispone: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3A7B13FE">
        <w:rPr>
          <w:rFonts w:ascii="Verdana" w:eastAsia="Calibri" w:hAnsi="Verdana" w:cs="Arial"/>
          <w:i/>
          <w:iCs/>
          <w:color w:val="000000" w:themeColor="text1"/>
        </w:rPr>
        <w:t>ibidem</w:t>
      </w:r>
      <w:r w:rsidRPr="3A7B13FE">
        <w:rPr>
          <w:rFonts w:ascii="Verdana" w:eastAsia="Calibri" w:hAnsi="Verdana" w:cs="Arial"/>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3A7B13FE">
        <w:rPr>
          <w:rStyle w:val="Refdenotaalpie"/>
          <w:rFonts w:ascii="Verdana" w:eastAsia="Calibri" w:hAnsi="Verdana" w:cs="Arial"/>
          <w:color w:val="000000" w:themeColor="text1"/>
        </w:rPr>
        <w:footnoteReference w:id="6"/>
      </w:r>
      <w:r w:rsidRPr="3A7B13FE">
        <w:rPr>
          <w:rFonts w:ascii="Verdana" w:eastAsia="Calibri" w:hAnsi="Verdana" w:cs="Arial"/>
          <w:color w:val="000000" w:themeColor="text1"/>
        </w:rPr>
        <w:t xml:space="preserve">. </w:t>
      </w:r>
    </w:p>
    <w:p w14:paraId="3BF13BF8" w14:textId="77777777" w:rsidR="00C17CB4" w:rsidRPr="00F145EE" w:rsidRDefault="00C17CB4" w:rsidP="00C17CB4">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En ese sentido</w:t>
      </w:r>
      <w:r w:rsidRPr="00F145EE">
        <w:rPr>
          <w:rFonts w:ascii="Verdana" w:eastAsia="Calibri" w:hAnsi="Verdana" w:cs="Arial"/>
          <w:bCs/>
          <w:color w:val="000000" w:themeColor="text1"/>
        </w:rPr>
        <w:t xml:space="preserve">, el literal a) del artículo 2, numeral 2 de la Ley 1150 de 2007, </w:t>
      </w:r>
      <w:r>
        <w:rPr>
          <w:rFonts w:ascii="Verdana" w:eastAsia="Calibri" w:hAnsi="Verdana" w:cs="Arial"/>
          <w:bCs/>
          <w:color w:val="000000" w:themeColor="text1"/>
        </w:rPr>
        <w:t>define</w:t>
      </w:r>
      <w:r w:rsidRPr="00F145EE">
        <w:rPr>
          <w:rFonts w:ascii="Verdana" w:eastAsia="Calibri" w:hAnsi="Verdana" w:cs="Arial"/>
          <w:bCs/>
          <w:color w:val="000000" w:themeColor="text1"/>
        </w:rPr>
        <w:t xml:space="preserve"> </w:t>
      </w:r>
      <w:r w:rsidRPr="004823C8">
        <w:rPr>
          <w:rFonts w:ascii="Verdana" w:eastAsia="Calibri" w:hAnsi="Verdana" w:cs="Arial"/>
          <w:i/>
          <w:color w:val="000000" w:themeColor="text1"/>
        </w:rPr>
        <w:t>los bienes y servicios de características técnicas uniformes</w:t>
      </w:r>
      <w:r w:rsidRPr="00F145EE">
        <w:rPr>
          <w:rFonts w:ascii="Verdana" w:eastAsia="Calibri" w:hAnsi="Verdana" w:cs="Arial"/>
          <w:bCs/>
          <w:color w:val="000000" w:themeColor="text1"/>
        </w:rPr>
        <w:t xml:space="preserve"> </w:t>
      </w:r>
      <w:r>
        <w:rPr>
          <w:rFonts w:ascii="Verdana" w:eastAsia="Calibri" w:hAnsi="Verdana" w:cs="Arial"/>
          <w:bCs/>
          <w:color w:val="000000" w:themeColor="text1"/>
        </w:rPr>
        <w:t xml:space="preserve">como: </w:t>
      </w:r>
      <w:r w:rsidRPr="00F145EE">
        <w:rPr>
          <w:rFonts w:ascii="Verdana" w:eastAsia="Calibri" w:hAnsi="Verdana" w:cs="Arial"/>
          <w:bCs/>
          <w:color w:val="000000" w:themeColor="text1"/>
        </w:rPr>
        <w:t>“[…] aquellos que poseen las mismas especificaciones técnicas, con independencia de su diseño o de sus características descriptivas, y comparten patrones de desempeño y calidad objetivamente definidos”. Asimismo, el artículo 2.2.1.1.1.3.1 del Decreto 1082 de 2015 los de</w:t>
      </w:r>
      <w:r>
        <w:rPr>
          <w:rFonts w:ascii="Verdana" w:eastAsia="Calibri" w:hAnsi="Verdana" w:cs="Arial"/>
          <w:bCs/>
          <w:color w:val="000000" w:themeColor="text1"/>
        </w:rPr>
        <w:t>scribe</w:t>
      </w:r>
      <w:r w:rsidRPr="00F145EE">
        <w:rPr>
          <w:rFonts w:ascii="Verdana" w:eastAsia="Calibri" w:hAnsi="Verdana" w:cs="Arial"/>
          <w:bCs/>
          <w:color w:val="000000" w:themeColor="text1"/>
        </w:rPr>
        <w:t xml:space="preserv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w:t>
      </w:r>
      <w:r w:rsidRPr="00F145EE">
        <w:rPr>
          <w:rFonts w:ascii="Verdana" w:eastAsia="Calibri" w:hAnsi="Verdana" w:cs="Arial"/>
          <w:bCs/>
          <w:color w:val="000000" w:themeColor="text1"/>
        </w:rPr>
        <w:lastRenderedPageBreak/>
        <w:t xml:space="preserve">esta manera, conforme a las normas citadas en el párrafo precedente, prima la definición legal sobre el uso general o el significado técnico.  </w:t>
      </w:r>
    </w:p>
    <w:p w14:paraId="30966945" w14:textId="77777777" w:rsidR="00C17CB4" w:rsidRPr="00F145EE" w:rsidRDefault="00C17CB4" w:rsidP="00C17CB4">
      <w:pPr>
        <w:spacing w:after="120" w:line="276" w:lineRule="auto"/>
        <w:ind w:firstLine="709"/>
        <w:jc w:val="both"/>
        <w:rPr>
          <w:rFonts w:ascii="Verdana" w:eastAsia="Calibri" w:hAnsi="Verdana" w:cs="Arial"/>
          <w:bCs/>
          <w:color w:val="000000" w:themeColor="text1"/>
        </w:rPr>
      </w:pPr>
      <w:r w:rsidRPr="3A7B13FE">
        <w:rPr>
          <w:rFonts w:ascii="Verdana" w:eastAsia="Calibri" w:hAnsi="Verdana" w:cs="Arial"/>
          <w:color w:val="000000" w:themeColor="text1"/>
        </w:rPr>
        <w:t xml:space="preserve">Para identificar los bienes y servicios que corresponden a este tipo, se destacan dos (2) aspectos importantes: la común utilización y la homogeneidad. Para la doctrina, la </w:t>
      </w:r>
      <w:r w:rsidRPr="3A7B13FE">
        <w:rPr>
          <w:rFonts w:ascii="Verdana" w:eastAsia="Calibri" w:hAnsi="Verdana" w:cs="Arial"/>
          <w:i/>
          <w:iCs/>
          <w:color w:val="000000" w:themeColor="text1"/>
        </w:rPr>
        <w:t>común utilización</w:t>
      </w:r>
      <w:r w:rsidRPr="3A7B13FE">
        <w:rPr>
          <w:rFonts w:ascii="Verdana" w:eastAsia="Calibri" w:hAnsi="Verdana" w:cs="Arial"/>
          <w:color w:val="000000" w:themeColor="text1"/>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w:t>
      </w:r>
      <w:r w:rsidRPr="3A7B13FE">
        <w:rPr>
          <w:rStyle w:val="Refdenotaalpie"/>
          <w:rFonts w:ascii="Verdana" w:eastAsia="Calibri" w:hAnsi="Verdana" w:cs="Arial"/>
          <w:color w:val="000000" w:themeColor="text1"/>
        </w:rPr>
        <w:footnoteReference w:id="7"/>
      </w:r>
      <w:r w:rsidRPr="3A7B13FE">
        <w:rPr>
          <w:rFonts w:ascii="Verdana" w:eastAsia="Calibri" w:hAnsi="Verdana" w:cs="Arial"/>
          <w:color w:val="000000" w:themeColor="text1"/>
        </w:rPr>
        <w:t xml:space="preserve">. Por su parte, la </w:t>
      </w:r>
      <w:r w:rsidRPr="3A7B13FE">
        <w:rPr>
          <w:rFonts w:ascii="Verdana" w:eastAsia="Calibri" w:hAnsi="Verdana" w:cs="Arial"/>
          <w:i/>
          <w:iCs/>
          <w:color w:val="000000" w:themeColor="text1"/>
        </w:rPr>
        <w:t>homogeneidad</w:t>
      </w:r>
      <w:r w:rsidRPr="3A7B13FE">
        <w:rPr>
          <w:rFonts w:ascii="Verdana" w:eastAsia="Calibri" w:hAnsi="Verdana" w:cs="Arial"/>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3A7B13FE">
        <w:rPr>
          <w:rStyle w:val="Refdenotaalpie"/>
          <w:rFonts w:ascii="Verdana" w:eastAsia="Calibri" w:hAnsi="Verdana" w:cs="Arial"/>
          <w:color w:val="000000" w:themeColor="text1"/>
        </w:rPr>
        <w:footnoteReference w:id="8"/>
      </w:r>
      <w:r w:rsidRPr="3A7B13FE">
        <w:rPr>
          <w:rFonts w:ascii="Verdana" w:eastAsia="Calibri" w:hAnsi="Verdana" w:cs="Arial"/>
          <w:color w:val="000000" w:themeColor="text1"/>
        </w:rPr>
        <w:t>.</w:t>
      </w:r>
    </w:p>
    <w:p w14:paraId="15513D2F" w14:textId="77777777" w:rsidR="00C17CB4" w:rsidRDefault="00C17CB4" w:rsidP="00C17CB4">
      <w:pPr>
        <w:spacing w:after="120" w:line="276" w:lineRule="auto"/>
        <w:ind w:firstLine="708"/>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Los elementos centrales para definir si un bien o servicio </w:t>
      </w:r>
      <w:r>
        <w:rPr>
          <w:rFonts w:ascii="Verdana" w:eastAsia="Calibri" w:hAnsi="Verdana" w:cs="Arial"/>
          <w:bCs/>
          <w:color w:val="000000" w:themeColor="text1"/>
        </w:rPr>
        <w:t>es</w:t>
      </w:r>
      <w:r w:rsidRPr="00F145EE">
        <w:rPr>
          <w:rFonts w:ascii="Verdana" w:eastAsia="Calibri" w:hAnsi="Verdana" w:cs="Arial"/>
          <w:bCs/>
          <w:color w:val="000000" w:themeColor="text1"/>
        </w:rPr>
        <w:t xml:space="preserve"> características técnicas uniformes consiste </w:t>
      </w:r>
      <w:r>
        <w:rPr>
          <w:rFonts w:ascii="Verdana" w:eastAsia="Calibri" w:hAnsi="Verdana" w:cs="Arial"/>
          <w:bCs/>
          <w:color w:val="000000" w:themeColor="text1"/>
        </w:rPr>
        <w:t xml:space="preserve">son: i) </w:t>
      </w:r>
      <w:r w:rsidRPr="00F145EE">
        <w:rPr>
          <w:rFonts w:ascii="Verdana" w:eastAsia="Calibri" w:hAnsi="Verdana" w:cs="Arial"/>
          <w:bCs/>
          <w:color w:val="000000" w:themeColor="text1"/>
        </w:rPr>
        <w:t xml:space="preserve">que posea las mismas especificaciones técnicas y </w:t>
      </w: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que </w:t>
      </w:r>
      <w:r w:rsidRPr="00F145EE">
        <w:rPr>
          <w:rFonts w:ascii="Verdana" w:eastAsia="Calibri" w:hAnsi="Verdana" w:cs="Arial"/>
          <w:bCs/>
          <w:color w:val="000000" w:themeColor="text1"/>
        </w:rPr>
        <w:t xml:space="preserve">compartan patrones de desempeño y calidad objetivamente definidos. Por ello, es posible adquirirlos en el mercado en condiciones estandarizadas u homogéneas, con independencia de su diseño o de sus características descriptivas, pues estas no afectan su funcionalidad. La forma en que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w:t>
      </w:r>
    </w:p>
    <w:p w14:paraId="68A4E1A1" w14:textId="77777777" w:rsidR="00C17CB4" w:rsidRPr="00F145EE" w:rsidRDefault="00C17CB4" w:rsidP="00C17CB4">
      <w:pPr>
        <w:spacing w:after="0" w:line="276" w:lineRule="auto"/>
        <w:ind w:firstLine="708"/>
        <w:jc w:val="both"/>
        <w:rPr>
          <w:rFonts w:ascii="Verdana" w:eastAsia="Calibri" w:hAnsi="Verdana" w:cs="Arial"/>
          <w:color w:val="000000" w:themeColor="text1"/>
        </w:rPr>
      </w:pPr>
      <w:r w:rsidRPr="00F145EE">
        <w:rPr>
          <w:rFonts w:ascii="Verdana" w:eastAsia="Calibri" w:hAnsi="Verdana" w:cs="Arial"/>
          <w:bCs/>
          <w:color w:val="000000" w:themeColor="text1"/>
        </w:rPr>
        <w:t xml:space="preserve">Al respecto, la exposición de motivos de la Ley 1150 de 2007 </w:t>
      </w:r>
      <w:r>
        <w:rPr>
          <w:rFonts w:ascii="Verdana" w:eastAsia="Calibri" w:hAnsi="Verdana" w:cs="Arial"/>
          <w:bCs/>
          <w:color w:val="000000" w:themeColor="text1"/>
        </w:rPr>
        <w:t>refuerza esta idea, al</w:t>
      </w:r>
      <w:r w:rsidRPr="00F145EE">
        <w:rPr>
          <w:rFonts w:ascii="Verdana" w:eastAsia="Calibri" w:hAnsi="Verdana" w:cs="Arial"/>
          <w:bCs/>
          <w:color w:val="000000" w:themeColor="text1"/>
        </w:rPr>
        <w:t xml:space="preserve"> explica</w:t>
      </w:r>
      <w:r>
        <w:rPr>
          <w:rFonts w:ascii="Verdana" w:eastAsia="Calibri" w:hAnsi="Verdana" w:cs="Arial"/>
          <w:bCs/>
          <w:color w:val="000000" w:themeColor="text1"/>
        </w:rPr>
        <w:t>r</w:t>
      </w:r>
      <w:r w:rsidRPr="00F145EE">
        <w:rPr>
          <w:rFonts w:ascii="Verdana" w:eastAsia="Calibri" w:hAnsi="Verdana" w:cs="Arial"/>
          <w:bCs/>
          <w:color w:val="000000" w:themeColor="text1"/>
        </w:rPr>
        <w:t xml:space="preserve"> que: </w:t>
      </w:r>
    </w:p>
    <w:p w14:paraId="1870C81D" w14:textId="77777777" w:rsidR="00C17CB4" w:rsidRPr="00F145EE" w:rsidRDefault="00C17CB4" w:rsidP="00C17CB4">
      <w:pPr>
        <w:spacing w:after="0" w:line="276" w:lineRule="auto"/>
        <w:jc w:val="both"/>
        <w:rPr>
          <w:rFonts w:ascii="Verdana" w:eastAsia="Calibri" w:hAnsi="Verdana" w:cs="Arial"/>
          <w:color w:val="000000" w:themeColor="text1"/>
        </w:rPr>
      </w:pPr>
    </w:p>
    <w:p w14:paraId="39B9C638" w14:textId="77777777" w:rsidR="00C17CB4" w:rsidRPr="008B0875" w:rsidRDefault="00C17CB4" w:rsidP="00C17CB4">
      <w:pPr>
        <w:spacing w:after="0" w:line="240" w:lineRule="auto"/>
        <w:ind w:left="709" w:right="709"/>
        <w:jc w:val="both"/>
        <w:rPr>
          <w:rFonts w:ascii="Verdana" w:eastAsia="Calibri" w:hAnsi="Verdana" w:cs="Arial"/>
          <w:color w:val="000000" w:themeColor="text1"/>
          <w:sz w:val="20"/>
          <w:szCs w:val="20"/>
        </w:rPr>
      </w:pPr>
      <w:r w:rsidRPr="008B0875">
        <w:rPr>
          <w:rFonts w:ascii="Verdana" w:eastAsia="Calibri" w:hAnsi="Verdana" w:cs="Arial"/>
          <w:color w:val="000000" w:themeColor="text1"/>
          <w:sz w:val="20"/>
          <w:szCs w:val="20"/>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Departamento Nacional de Planeación, corresponden a más del 80% en número de contratos. </w:t>
      </w:r>
      <w:r w:rsidRPr="3A7B13FE">
        <w:rPr>
          <w:rFonts w:ascii="Verdana" w:eastAsia="Calibri" w:hAnsi="Verdana" w:cs="Arial"/>
          <w:i/>
          <w:iCs/>
          <w:color w:val="000000" w:themeColor="text1"/>
          <w:sz w:val="20"/>
          <w:szCs w:val="20"/>
        </w:rPr>
        <w:t xml:space="preserve">De esta </w:t>
      </w:r>
      <w:r w:rsidRPr="3A7B13FE">
        <w:rPr>
          <w:rFonts w:ascii="Verdana" w:eastAsia="Calibri" w:hAnsi="Verdana" w:cs="Arial"/>
          <w:i/>
          <w:iCs/>
          <w:color w:val="000000" w:themeColor="text1"/>
          <w:sz w:val="20"/>
          <w:szCs w:val="20"/>
        </w:rPr>
        <w:lastRenderedPageBreak/>
        <w:t>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8B0875">
        <w:rPr>
          <w:rFonts w:ascii="Verdana" w:eastAsia="Calibri" w:hAnsi="Verdana" w:cs="Arial"/>
          <w:color w:val="000000" w:themeColor="text1"/>
          <w:sz w:val="20"/>
          <w:szCs w:val="20"/>
        </w:rPr>
        <w:t xml:space="preserve"> […]”</w:t>
      </w:r>
      <w:r w:rsidRPr="008B0875">
        <w:rPr>
          <w:rStyle w:val="Refdenotaalpie"/>
          <w:rFonts w:ascii="Verdana" w:eastAsia="Calibri" w:hAnsi="Verdana" w:cs="Arial"/>
          <w:color w:val="000000" w:themeColor="text1"/>
          <w:sz w:val="20"/>
          <w:szCs w:val="20"/>
        </w:rPr>
        <w:footnoteReference w:id="9"/>
      </w:r>
      <w:r w:rsidRPr="008B0875">
        <w:rPr>
          <w:rFonts w:ascii="Verdana" w:eastAsia="Calibri" w:hAnsi="Verdana" w:cs="Arial"/>
          <w:color w:val="000000" w:themeColor="text1"/>
          <w:sz w:val="20"/>
          <w:szCs w:val="20"/>
        </w:rPr>
        <w:t>. (Énfasis fuera de texto)</w:t>
      </w:r>
    </w:p>
    <w:p w14:paraId="26F62956" w14:textId="77777777" w:rsidR="00C17CB4" w:rsidRPr="004823C8" w:rsidRDefault="00C17CB4" w:rsidP="00C17CB4">
      <w:pPr>
        <w:spacing w:after="0" w:line="276" w:lineRule="auto"/>
        <w:jc w:val="both"/>
        <w:rPr>
          <w:rFonts w:ascii="Verdana" w:eastAsia="Calibri" w:hAnsi="Verdana" w:cs="Arial"/>
          <w:color w:val="000000" w:themeColor="text1"/>
        </w:rPr>
      </w:pPr>
    </w:p>
    <w:p w14:paraId="4C9C9DA9" w14:textId="77777777" w:rsidR="00C17CB4" w:rsidRPr="00F145EE" w:rsidRDefault="00C17CB4" w:rsidP="00C17CB4">
      <w:pPr>
        <w:spacing w:after="120" w:line="276" w:lineRule="auto"/>
        <w:ind w:firstLine="709"/>
        <w:jc w:val="both"/>
        <w:rPr>
          <w:rFonts w:ascii="Verdana" w:eastAsia="Calibri" w:hAnsi="Verdana" w:cs="Arial"/>
          <w:color w:val="000000" w:themeColor="text1"/>
        </w:rPr>
      </w:pPr>
      <w:r w:rsidRPr="00F145EE">
        <w:rPr>
          <w:rFonts w:ascii="Verdana" w:eastAsia="Calibri" w:hAnsi="Verdana" w:cs="Arial"/>
          <w:color w:val="000000" w:themeColor="text1"/>
        </w:rPr>
        <w:t>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F145EE">
        <w:rPr>
          <w:rStyle w:val="Refdenotaalpie"/>
          <w:rFonts w:ascii="Verdana" w:eastAsia="Calibri" w:hAnsi="Verdana" w:cs="Arial"/>
          <w:color w:val="000000" w:themeColor="text1"/>
        </w:rPr>
        <w:footnoteReference w:id="10"/>
      </w:r>
    </w:p>
    <w:p w14:paraId="2F5938EF" w14:textId="77777777" w:rsidR="00C17CB4" w:rsidRDefault="00C17CB4" w:rsidP="00C17CB4">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 xml:space="preserve">Ahora bien, como </w:t>
      </w:r>
      <w:r>
        <w:rPr>
          <w:rFonts w:ascii="Verdana" w:eastAsia="Calibri" w:hAnsi="Verdana" w:cs="Times New Roman"/>
          <w:iCs/>
          <w:color w:val="000000" w:themeColor="text1"/>
          <w:lang w:val="es-ES"/>
        </w:rPr>
        <w:t>lo</w:t>
      </w:r>
      <w:r w:rsidRPr="00F145EE">
        <w:rPr>
          <w:rFonts w:ascii="Verdana" w:eastAsia="Calibri" w:hAnsi="Verdana" w:cs="Times New Roman"/>
          <w:iCs/>
          <w:color w:val="000000" w:themeColor="text1"/>
          <w:lang w:val="es-ES"/>
        </w:rPr>
        <w:t xml:space="preserve"> indica su denominación normativa, no basta con que el bien o servicio de que se trate </w:t>
      </w:r>
      <w:r>
        <w:rPr>
          <w:rFonts w:ascii="Verdana" w:eastAsia="Calibri" w:hAnsi="Verdana" w:cs="Times New Roman"/>
          <w:iCs/>
          <w:color w:val="000000" w:themeColor="text1"/>
          <w:lang w:val="es-ES"/>
        </w:rPr>
        <w:t>tenga</w:t>
      </w:r>
      <w:r w:rsidRPr="00F145EE">
        <w:rPr>
          <w:rFonts w:ascii="Verdana" w:eastAsia="Calibri" w:hAnsi="Verdana" w:cs="Times New Roman"/>
          <w:iCs/>
          <w:color w:val="000000" w:themeColor="text1"/>
          <w:lang w:val="es-ES"/>
        </w:rPr>
        <w:t xml:space="preserve"> características técnicas uniformes, sino que, además, es necesario que sea de “común utilización”. Esta expresión, </w:t>
      </w:r>
      <w:r>
        <w:rPr>
          <w:rFonts w:ascii="Verdana" w:eastAsia="Calibri" w:hAnsi="Verdana" w:cs="Times New Roman"/>
          <w:iCs/>
          <w:color w:val="000000" w:themeColor="text1"/>
          <w:lang w:val="es-ES"/>
        </w:rPr>
        <w:t>según</w:t>
      </w:r>
      <w:r w:rsidRPr="00F145EE">
        <w:rPr>
          <w:rFonts w:ascii="Verdana" w:eastAsia="Calibri" w:hAnsi="Verdana" w:cs="Times New Roman"/>
          <w:iCs/>
          <w:color w:val="000000" w:themeColor="text1"/>
          <w:lang w:val="es-ES"/>
        </w:rPr>
        <w:t xml:space="preserve"> la doctrina especializada, debe interpretarse en el sentido de que el bien o servicio se ofrezca en el mercado en forma equivalente para quienes deseen adquirirlo y usarlo. Eso no quiere decir que el bien o servicio deba ser usado por toda la sociedad, inexorablemente. Lo importante es que se encuentre estandarizado en el mercado para todo aquel que desee adquirirlo. Por ejemplo, una impresora o un proyector no son ni quizá</w:t>
      </w:r>
      <w:r>
        <w:rPr>
          <w:rFonts w:ascii="Verdana" w:eastAsia="Calibri" w:hAnsi="Verdana" w:cs="Times New Roman"/>
          <w:iCs/>
          <w:color w:val="000000" w:themeColor="text1"/>
          <w:lang w:val="es-ES"/>
        </w:rPr>
        <w:t xml:space="preserve"> </w:t>
      </w:r>
      <w:r w:rsidRPr="00F145EE">
        <w:rPr>
          <w:rFonts w:ascii="Verdana" w:eastAsia="Calibri" w:hAnsi="Verdana" w:cs="Times New Roman"/>
          <w:iCs/>
          <w:color w:val="000000" w:themeColor="text1"/>
          <w:lang w:val="es-ES"/>
        </w:rPr>
        <w:t xml:space="preserve">serán usados por todas las personas, pero son de común utilización porque cualquier sujeto interesado puede buscarlos y adquirirlos según la oferta estándar que hay en el mercado. </w:t>
      </w:r>
    </w:p>
    <w:p w14:paraId="0CE9E8D1" w14:textId="77777777" w:rsidR="00C17CB4" w:rsidRPr="00F145EE" w:rsidRDefault="00C17CB4" w:rsidP="00C17CB4">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 xml:space="preserve">Es este el análisis que debe efectuar cada Entidad Estatal contratante para </w:t>
      </w:r>
      <w:r>
        <w:rPr>
          <w:rFonts w:ascii="Verdana" w:eastAsia="Calibri" w:hAnsi="Verdana" w:cs="Times New Roman"/>
          <w:iCs/>
          <w:color w:val="000000" w:themeColor="text1"/>
          <w:lang w:val="es-ES"/>
        </w:rPr>
        <w:t>determinar</w:t>
      </w:r>
      <w:r w:rsidRPr="00F145EE">
        <w:rPr>
          <w:rFonts w:ascii="Verdana" w:eastAsia="Calibri" w:hAnsi="Verdana" w:cs="Times New Roman"/>
          <w:iCs/>
          <w:color w:val="000000" w:themeColor="text1"/>
          <w:lang w:val="es-ES"/>
        </w:rPr>
        <w:t xml:space="preserve"> el bien o servicio que pretende adquirir </w:t>
      </w:r>
      <w:r>
        <w:rPr>
          <w:rFonts w:ascii="Verdana" w:eastAsia="Calibri" w:hAnsi="Verdana" w:cs="Times New Roman"/>
          <w:iCs/>
          <w:color w:val="000000" w:themeColor="text1"/>
          <w:lang w:val="es-ES"/>
        </w:rPr>
        <w:t>se ajusta a la categoría de</w:t>
      </w:r>
      <w:r w:rsidRPr="00F145EE">
        <w:rPr>
          <w:rFonts w:ascii="Verdana" w:eastAsia="Calibri" w:hAnsi="Verdana" w:cs="Times New Roman"/>
          <w:iCs/>
          <w:color w:val="000000" w:themeColor="text1"/>
          <w:lang w:val="es-ES"/>
        </w:rPr>
        <w:t xml:space="preserve"> características técnicas uniformes y de común utilización. Para ello es recomendable </w:t>
      </w:r>
      <w:r>
        <w:rPr>
          <w:rFonts w:ascii="Verdana" w:eastAsia="Calibri" w:hAnsi="Verdana" w:cs="Times New Roman"/>
          <w:iCs/>
          <w:color w:val="000000" w:themeColor="text1"/>
          <w:lang w:val="es-ES"/>
        </w:rPr>
        <w:t>apoyarse en</w:t>
      </w:r>
      <w:r w:rsidRPr="00F145EE">
        <w:rPr>
          <w:rFonts w:ascii="Verdana" w:eastAsia="Calibri" w:hAnsi="Verdana" w:cs="Times New Roman"/>
          <w:iCs/>
          <w:color w:val="000000" w:themeColor="text1"/>
          <w:lang w:val="es-ES"/>
        </w:rPr>
        <w:t xml:space="preserve"> la información que aporten los estudios previos, especialmente la suministrada por el personal de la entidad encargado de definir </w:t>
      </w:r>
      <w:r w:rsidRPr="00F145EE">
        <w:rPr>
          <w:rFonts w:ascii="Verdana" w:eastAsia="Calibri" w:hAnsi="Verdana" w:cs="Times New Roman"/>
          <w:iCs/>
          <w:color w:val="000000" w:themeColor="text1"/>
          <w:lang w:val="es-ES"/>
        </w:rPr>
        <w:lastRenderedPageBreak/>
        <w:t>las especificaciones técnicas del contrato y de analizar sus condiciones de oferta en el mercado.</w:t>
      </w:r>
    </w:p>
    <w:p w14:paraId="0495520D" w14:textId="77777777" w:rsidR="00C17CB4" w:rsidRPr="00F145EE" w:rsidRDefault="00C17CB4" w:rsidP="00C17CB4">
      <w:pPr>
        <w:spacing w:after="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En definitiva, la </w:t>
      </w:r>
      <w:r>
        <w:rPr>
          <w:rFonts w:ascii="Verdana" w:eastAsia="Calibri" w:hAnsi="Verdana" w:cs="Arial"/>
          <w:bCs/>
          <w:color w:val="000000" w:themeColor="text1"/>
        </w:rPr>
        <w:t>característica</w:t>
      </w:r>
      <w:r w:rsidRPr="00F145EE">
        <w:rPr>
          <w:rFonts w:ascii="Verdana" w:eastAsia="Calibri" w:hAnsi="Verdana" w:cs="Arial"/>
          <w:bCs/>
          <w:color w:val="000000" w:themeColor="text1"/>
        </w:rPr>
        <w:t xml:space="preserve"> común de este conjunto de bienes y servicios es que, con independencia de sus características descriptivas, comparten patrones de desempeño y calidad similares</w:t>
      </w:r>
      <w:r>
        <w:rPr>
          <w:rFonts w:ascii="Verdana" w:eastAsia="Calibri" w:hAnsi="Verdana" w:cs="Arial"/>
          <w:bCs/>
          <w:color w:val="000000" w:themeColor="text1"/>
        </w:rPr>
        <w:t xml:space="preserve">, que pertinente </w:t>
      </w:r>
      <w:r w:rsidRPr="00F145EE">
        <w:rPr>
          <w:rFonts w:ascii="Verdana" w:eastAsia="Calibri" w:hAnsi="Verdana" w:cs="Arial"/>
          <w:bCs/>
          <w:color w:val="000000" w:themeColor="text1"/>
        </w:rPr>
        <w:t xml:space="preserve">la satisfacción </w:t>
      </w:r>
      <w:r>
        <w:rPr>
          <w:rFonts w:ascii="Verdana" w:eastAsia="Calibri" w:hAnsi="Verdana" w:cs="Arial"/>
          <w:bCs/>
          <w:color w:val="000000" w:themeColor="text1"/>
        </w:rPr>
        <w:t>adecuada</w:t>
      </w:r>
      <w:r w:rsidRPr="00F145EE">
        <w:rPr>
          <w:rFonts w:ascii="Verdana" w:eastAsia="Calibri" w:hAnsi="Verdana" w:cs="Arial"/>
          <w:bCs/>
          <w:color w:val="000000" w:themeColor="text1"/>
        </w:rPr>
        <w:t xml:space="preserve"> de la necesidad a la que atienden. Igualmente, el inciso segundo del literal a) del artículo 2, numeral 2 de la Ley 1150 de 2007 dispone que “</w:t>
      </w:r>
      <w:r w:rsidRPr="00F145EE">
        <w:rPr>
          <w:rFonts w:ascii="Verdana" w:eastAsia="Calibri" w:hAnsi="Verdana" w:cs="Arial"/>
          <w:bCs/>
          <w:i/>
          <w:iCs/>
          <w:color w:val="000000" w:themeColor="text1"/>
        </w:rPr>
        <w:t>Para la adquisición de estos bienes y servicios las entidades deberán</w:t>
      </w:r>
      <w:r w:rsidRPr="00F145EE">
        <w:rPr>
          <w:rFonts w:ascii="Verdana" w:eastAsia="Calibri" w:hAnsi="Verdana" w:cs="Arial"/>
          <w:bCs/>
          <w:color w:val="000000" w:themeColor="text1"/>
        </w:rPr>
        <w:t xml:space="preserve">, siempre que el reglamento así lo señale, </w:t>
      </w:r>
      <w:r w:rsidRPr="00F145EE">
        <w:rPr>
          <w:rFonts w:ascii="Verdana" w:eastAsia="Calibri" w:hAnsi="Verdana" w:cs="Arial"/>
          <w:bCs/>
          <w:i/>
          <w:iCs/>
          <w:color w:val="000000" w:themeColor="text1"/>
        </w:rPr>
        <w:t>hacer uso</w:t>
      </w:r>
      <w:r w:rsidRPr="00F145EE">
        <w:rPr>
          <w:rFonts w:ascii="Verdana" w:eastAsia="Calibri" w:hAnsi="Verdana" w:cs="Arial"/>
          <w:bCs/>
          <w:color w:val="000000" w:themeColor="text1"/>
        </w:rPr>
        <w:t xml:space="preserve"> de procedimientos de subasta inversa o de instrumentos de compra por catálogo derivados de la celebración de acuerdos marco de precios o </w:t>
      </w:r>
      <w:r w:rsidRPr="00F145EE">
        <w:rPr>
          <w:rFonts w:ascii="Verdana" w:eastAsia="Calibri" w:hAnsi="Verdana" w:cs="Arial"/>
          <w:bCs/>
          <w:i/>
          <w:iCs/>
          <w:color w:val="000000" w:themeColor="text1"/>
        </w:rPr>
        <w:t xml:space="preserve">de </w:t>
      </w:r>
      <w:r w:rsidRPr="00F145EE">
        <w:rPr>
          <w:rFonts w:ascii="Verdana" w:eastAsia="Calibri" w:hAnsi="Verdana" w:cs="Arial"/>
          <w:bCs/>
          <w:color w:val="000000" w:themeColor="text1"/>
        </w:rPr>
        <w:t>procedimientos de adquisición en bolsas de productos” (Énfasis fuera de texto). Estos mecanismos se aplicarán en la forma que disponga el Decreto 1082 de 2015 para para cada uno de ellos.</w:t>
      </w:r>
    </w:p>
    <w:p w14:paraId="6F797212" w14:textId="77777777" w:rsidR="00C17CB4" w:rsidRDefault="00C17CB4" w:rsidP="00C17CB4">
      <w:pPr>
        <w:spacing w:after="0" w:line="276" w:lineRule="auto"/>
        <w:jc w:val="both"/>
        <w:rPr>
          <w:rFonts w:ascii="Verdana" w:eastAsia="Calibri" w:hAnsi="Verdana" w:cs="Arial"/>
          <w:bCs/>
          <w:color w:val="000000" w:themeColor="text1"/>
        </w:rPr>
      </w:pPr>
    </w:p>
    <w:p w14:paraId="211A02F8" w14:textId="77777777" w:rsidR="00C17CB4" w:rsidRDefault="00C17CB4" w:rsidP="00C17CB4">
      <w:pPr>
        <w:spacing w:after="120" w:line="276" w:lineRule="auto"/>
        <w:ind w:right="79" w:firstLine="709"/>
        <w:jc w:val="both"/>
        <w:rPr>
          <w:rFonts w:ascii="Verdana" w:eastAsia="Arial" w:hAnsi="Verdana" w:cs="Arial"/>
          <w:bCs/>
        </w:rPr>
      </w:pPr>
      <w:r>
        <w:rPr>
          <w:rFonts w:ascii="Verdana" w:eastAsia="Calibri" w:hAnsi="Verdana"/>
          <w:color w:val="000000" w:themeColor="text1"/>
          <w:lang w:val="es-ES"/>
        </w:rPr>
        <w:t xml:space="preserve">En este contexto es importante precisar que, </w:t>
      </w:r>
      <w:r w:rsidRPr="007913EF">
        <w:rPr>
          <w:rFonts w:ascii="Verdana" w:eastAsia="Calibri" w:hAnsi="Verdana"/>
          <w:color w:val="000000" w:themeColor="text1"/>
          <w:lang w:val="es-ES"/>
        </w:rPr>
        <w:t xml:space="preserve">toda entidad pública tiene el deber de verificar, de manera previa al inicio de un proceso de selección, la existencia de acuerdos marco de precios vigentes que puedan ser aplicables a la adquisición de </w:t>
      </w:r>
      <w:r>
        <w:rPr>
          <w:rFonts w:ascii="Verdana" w:eastAsia="Calibri" w:hAnsi="Verdana"/>
          <w:color w:val="000000" w:themeColor="text1"/>
          <w:lang w:val="es-ES"/>
        </w:rPr>
        <w:t xml:space="preserve">los </w:t>
      </w:r>
      <w:r w:rsidRPr="007913EF">
        <w:rPr>
          <w:rFonts w:ascii="Verdana" w:eastAsia="Calibri" w:hAnsi="Verdana"/>
          <w:color w:val="000000" w:themeColor="text1"/>
          <w:lang w:val="es-ES"/>
        </w:rPr>
        <w:t>bienes y servicios requeridos</w:t>
      </w:r>
      <w:r>
        <w:rPr>
          <w:rFonts w:ascii="Verdana" w:eastAsia="Calibri" w:hAnsi="Verdana"/>
          <w:color w:val="000000" w:themeColor="text1"/>
          <w:lang w:val="es-ES"/>
        </w:rPr>
        <w:t xml:space="preserve">. </w:t>
      </w:r>
      <w:r w:rsidRPr="00B81379">
        <w:rPr>
          <w:rFonts w:ascii="Verdana" w:eastAsia="Calibri" w:hAnsi="Verdana"/>
          <w:color w:val="000000" w:themeColor="text1"/>
          <w:lang w:val="es-ES"/>
        </w:rPr>
        <w:t>De encontrarse vigente un acuerdo marco que cubra dichos bienes o servicios, la entidad deberá ceñirse a las condiciones y procedimientos establecidos en dicho instrumento, en cumplimiento de los lineamientos definidos</w:t>
      </w:r>
      <w:r>
        <w:rPr>
          <w:rFonts w:ascii="Verdana" w:eastAsia="Calibri" w:hAnsi="Verdana"/>
          <w:color w:val="000000" w:themeColor="text1"/>
          <w:lang w:val="es-ES"/>
        </w:rPr>
        <w:t xml:space="preserve"> en </w:t>
      </w:r>
      <w:r w:rsidRPr="00B81379">
        <w:rPr>
          <w:rFonts w:ascii="Verdana" w:eastAsia="Calibri" w:hAnsi="Verdana"/>
          <w:color w:val="000000" w:themeColor="text1"/>
          <w:lang w:val="es-ES"/>
        </w:rPr>
        <w:t>el numeral 14 de la Circular Externa Única</w:t>
      </w:r>
      <w:r>
        <w:rPr>
          <w:rStyle w:val="Refdenotaalpie"/>
          <w:rFonts w:ascii="Verdana" w:eastAsia="Arial" w:hAnsi="Verdana" w:cs="Arial"/>
          <w:bCs/>
        </w:rPr>
        <w:footnoteReference w:id="11"/>
      </w:r>
      <w:r w:rsidRPr="00B81379">
        <w:rPr>
          <w:rFonts w:ascii="Verdana" w:eastAsia="Calibri" w:hAnsi="Verdana"/>
          <w:color w:val="000000" w:themeColor="text1"/>
          <w:lang w:val="es-ES"/>
        </w:rPr>
        <w:t xml:space="preserve"> </w:t>
      </w:r>
      <w:r>
        <w:rPr>
          <w:rFonts w:ascii="Verdana" w:eastAsia="Calibri" w:hAnsi="Verdana"/>
          <w:color w:val="000000" w:themeColor="text1"/>
          <w:lang w:val="es-ES"/>
        </w:rPr>
        <w:t>expedida</w:t>
      </w:r>
      <w:r w:rsidRPr="00B81379">
        <w:rPr>
          <w:rFonts w:ascii="Verdana" w:eastAsia="Calibri" w:hAnsi="Verdana"/>
          <w:color w:val="000000" w:themeColor="text1"/>
          <w:lang w:val="es-ES"/>
        </w:rPr>
        <w:t xml:space="preserve"> por la Agencia Nacional de Contratación Pública – Colombia Compra Eficiente,</w:t>
      </w:r>
      <w:r>
        <w:rPr>
          <w:rFonts w:ascii="Verdana" w:eastAsia="Calibri" w:hAnsi="Verdana"/>
          <w:color w:val="000000" w:themeColor="text1"/>
          <w:lang w:val="es-ES"/>
        </w:rPr>
        <w:t xml:space="preserve"> así como lo dispuesto</w:t>
      </w:r>
      <w:r w:rsidRPr="00B81379">
        <w:rPr>
          <w:rFonts w:ascii="Verdana" w:eastAsia="Calibri" w:hAnsi="Verdana"/>
          <w:color w:val="000000" w:themeColor="text1"/>
          <w:lang w:val="es-ES"/>
        </w:rPr>
        <w:t xml:space="preserve"> en el artículo 2.2.1.2.1.2.7 del Decreto 1082 de 2015</w:t>
      </w:r>
      <w:r>
        <w:rPr>
          <w:rFonts w:ascii="Verdana" w:eastAsia="Arial" w:hAnsi="Verdana" w:cs="Arial"/>
          <w:bCs/>
        </w:rPr>
        <w:t>, los cuales señalan que las</w:t>
      </w:r>
      <w:r w:rsidRPr="00204C39">
        <w:rPr>
          <w:rFonts w:ascii="Verdana" w:eastAsia="Arial" w:hAnsi="Verdana" w:cs="Arial"/>
          <w:bCs/>
        </w:rPr>
        <w:t xml:space="preserve"> Entidades Estatales sometidas al Estatuto General de Contratación de la Administración Pública, están obligadas</w:t>
      </w:r>
      <w:r>
        <w:rPr>
          <w:rFonts w:ascii="Verdana" w:eastAsia="Arial" w:hAnsi="Verdana" w:cs="Arial"/>
          <w:bCs/>
        </w:rPr>
        <w:t xml:space="preserve"> a </w:t>
      </w:r>
      <w:r w:rsidRPr="000D1B69">
        <w:rPr>
          <w:rFonts w:ascii="Verdana" w:eastAsia="Arial" w:hAnsi="Verdana" w:cs="Arial"/>
          <w:bCs/>
        </w:rPr>
        <w:t>adquirir Bienes y Servicios de Características Técnicas Uniformes de Común Utilización a través de los Acuerdos Marco de Precios previamente justificados, diseñados, organizados y celebrados por la Agencia Nacional de Contratación Pública -Colombia Compra Eficiente-.</w:t>
      </w:r>
    </w:p>
    <w:p w14:paraId="7DF0A341" w14:textId="50416F22" w:rsidR="00C17CB4" w:rsidRPr="006926C4" w:rsidRDefault="00150D4F" w:rsidP="00C17CB4">
      <w:pPr>
        <w:spacing w:line="276" w:lineRule="auto"/>
        <w:jc w:val="both"/>
        <w:rPr>
          <w:rFonts w:ascii="Verdana" w:hAnsi="Verdana"/>
          <w:color w:val="333333"/>
          <w:shd w:val="clear" w:color="auto" w:fill="FFFFFF"/>
        </w:rPr>
      </w:pPr>
      <w:r>
        <w:rPr>
          <w:rFonts w:ascii="Verdana" w:eastAsia="Calibri" w:hAnsi="Verdana" w:cs="Arial"/>
          <w:bCs/>
          <w:lang w:val="es-MX"/>
        </w:rPr>
        <w:t xml:space="preserve">        </w:t>
      </w:r>
      <w:r w:rsidR="00C17CB4" w:rsidRPr="006926C4">
        <w:rPr>
          <w:rFonts w:ascii="Verdana" w:eastAsia="Calibri" w:hAnsi="Verdana" w:cs="Arial"/>
          <w:bCs/>
          <w:lang w:val="es-MX"/>
        </w:rPr>
        <w:t xml:space="preserve">ii) </w:t>
      </w:r>
      <w:r w:rsidR="00C17CB4" w:rsidRPr="006926C4">
        <w:rPr>
          <w:rFonts w:ascii="Verdana" w:eastAsia="Calibri" w:hAnsi="Verdana" w:cs="Arial"/>
          <w:bCs/>
          <w:i/>
          <w:iCs/>
          <w:lang w:val="es-MX"/>
        </w:rPr>
        <w:t>La</w:t>
      </w:r>
      <w:r w:rsidR="00C17CB4" w:rsidRPr="006926C4">
        <w:rPr>
          <w:rFonts w:ascii="Verdana" w:eastAsia="Calibri" w:hAnsi="Verdana" w:cs="Arial"/>
          <w:i/>
          <w:iCs/>
          <w:lang w:val="es-MX"/>
        </w:rPr>
        <w:t xml:space="preserve"> subasta inversa</w:t>
      </w:r>
      <w:r w:rsidR="00C17CB4" w:rsidRPr="006926C4">
        <w:rPr>
          <w:rFonts w:ascii="Verdana" w:eastAsia="Calibri" w:hAnsi="Verdana" w:cs="Arial"/>
          <w:lang w:val="es-MX"/>
        </w:rPr>
        <w:t xml:space="preserve">, según el paragrafo 2 del literal a) del artículo 2 de la Ley 1150 de 2007, se establece como uno de los procedimientos de la selección abreviada </w:t>
      </w:r>
      <w:r w:rsidR="00C17CB4" w:rsidRPr="006926C4">
        <w:rPr>
          <w:rFonts w:ascii="Verdana" w:hAnsi="Verdana"/>
          <w:color w:val="333333"/>
          <w:shd w:val="clear" w:color="auto" w:fill="FFFFFF"/>
        </w:rPr>
        <w:t xml:space="preserve">para “la adquisición o suministro de bienes y servicios de características técnicas uniformes y de común utilización por parte de las entidades, que corresponden a aquellos que poseen las mismas especificaciones </w:t>
      </w:r>
      <w:r w:rsidR="00C17CB4" w:rsidRPr="006926C4">
        <w:rPr>
          <w:rFonts w:ascii="Verdana" w:hAnsi="Verdana"/>
          <w:color w:val="333333"/>
          <w:shd w:val="clear" w:color="auto" w:fill="FFFFFF"/>
        </w:rPr>
        <w:lastRenderedPageBreak/>
        <w:t xml:space="preserve">técnicas, con independencia de su diseño o de sus características descriptivas, y comparten patrones de desempeño y calidad objetivamente definidos”.  </w:t>
      </w:r>
    </w:p>
    <w:p w14:paraId="13B3F98A" w14:textId="77777777" w:rsidR="00C17CB4" w:rsidRPr="004B2F74" w:rsidRDefault="00C17CB4" w:rsidP="00C17CB4">
      <w:pPr>
        <w:spacing w:line="276" w:lineRule="auto"/>
        <w:jc w:val="both"/>
        <w:rPr>
          <w:rFonts w:ascii="Verdana" w:hAnsi="Verdana"/>
          <w:color w:val="333333"/>
          <w:shd w:val="clear" w:color="auto" w:fill="FFFFFF"/>
        </w:rPr>
      </w:pPr>
      <w:r w:rsidRPr="006926C4">
        <w:rPr>
          <w:rFonts w:ascii="Verdana" w:hAnsi="Verdana"/>
          <w:color w:val="333333"/>
          <w:shd w:val="clear" w:color="auto" w:fill="FFFFFF"/>
        </w:rPr>
        <w:t xml:space="preserve">A su vez, </w:t>
      </w:r>
      <w:r w:rsidRPr="006926C4">
        <w:rPr>
          <w:rFonts w:ascii="Verdana" w:eastAsia="Calibri" w:hAnsi="Verdana" w:cs="Arial"/>
          <w:bCs/>
          <w:lang w:val="es-MX"/>
        </w:rPr>
        <w:t>se ha definido por parte de la doctrina de la siguiente manera:</w:t>
      </w:r>
    </w:p>
    <w:p w14:paraId="0A212116" w14:textId="3F45DED7" w:rsidR="00C17CB4" w:rsidRPr="006926C4" w:rsidRDefault="00C17CB4" w:rsidP="00150D4F">
      <w:pPr>
        <w:ind w:left="709" w:right="709"/>
        <w:jc w:val="both"/>
        <w:rPr>
          <w:rFonts w:ascii="Verdana" w:eastAsia="Calibri" w:hAnsi="Verdana" w:cs="Arial"/>
          <w:bCs/>
          <w:lang w:val="es-MX"/>
        </w:rPr>
      </w:pPr>
      <w:r w:rsidRPr="006926C4">
        <w:rPr>
          <w:rFonts w:ascii="Verdana" w:eastAsia="Calibri" w:hAnsi="Verdana" w:cs="Arial"/>
          <w:bCs/>
          <w:lang w:val="es-MX"/>
        </w:rPr>
        <w:t xml:space="preserve">“La subasta inversa consiste en seleccionar, en las negociaciones como adjudicatario del contrato, no a quién [sic] OFRECE MÁS por un bien, sino por el contrario, a quién [sic] ofrece ejecutar una obra o </w:t>
      </w:r>
      <w:r w:rsidRPr="006926C4">
        <w:rPr>
          <w:rFonts w:ascii="Verdana" w:eastAsia="Calibri" w:hAnsi="Verdana" w:cs="Arial"/>
          <w:bCs/>
          <w:u w:val="single"/>
          <w:lang w:val="es-MX"/>
        </w:rPr>
        <w:t>servicio por un menor valor</w:t>
      </w:r>
      <w:r w:rsidRPr="006926C4">
        <w:rPr>
          <w:rFonts w:ascii="Verdana" w:eastAsia="Calibri" w:hAnsi="Verdana" w:cs="Arial"/>
          <w:bCs/>
          <w:lang w:val="es-MX"/>
        </w:rPr>
        <w:t>. Será mejor oferta por este sistema la que reuniendo las mejores condiciones técnicas de ejecución, en una puja de precios a la inversa, resulte ser la que se ejecute por un valor menor al ofrecido por otros”</w:t>
      </w:r>
      <w:r w:rsidRPr="006926C4">
        <w:rPr>
          <w:rStyle w:val="Refdenotaalpie"/>
          <w:rFonts w:ascii="Verdana" w:eastAsia="Calibri" w:hAnsi="Verdana" w:cs="Arial"/>
          <w:bCs/>
          <w:lang w:val="es-MX"/>
        </w:rPr>
        <w:t xml:space="preserve"> </w:t>
      </w:r>
      <w:r w:rsidRPr="006926C4">
        <w:rPr>
          <w:rStyle w:val="Refdenotaalpie"/>
          <w:rFonts w:ascii="Verdana" w:eastAsia="Calibri" w:hAnsi="Verdana" w:cs="Arial"/>
          <w:bCs/>
          <w:lang w:val="es-MX"/>
        </w:rPr>
        <w:footnoteReference w:id="12"/>
      </w:r>
      <w:r w:rsidRPr="006926C4">
        <w:rPr>
          <w:rFonts w:ascii="Verdana" w:eastAsia="Calibri" w:hAnsi="Verdana" w:cs="Arial"/>
          <w:bCs/>
          <w:lang w:val="es-MX"/>
        </w:rPr>
        <w:t>. (Énfasis dentro del texto) (Subrayado fuera de texto)</w:t>
      </w:r>
    </w:p>
    <w:p w14:paraId="33FF0875" w14:textId="77777777" w:rsidR="00C17CB4" w:rsidRPr="006926C4" w:rsidRDefault="00C17CB4" w:rsidP="00C17CB4">
      <w:pPr>
        <w:spacing w:line="276" w:lineRule="auto"/>
        <w:ind w:firstLine="708"/>
        <w:jc w:val="both"/>
        <w:rPr>
          <w:rFonts w:ascii="Verdana" w:eastAsia="Calibri" w:hAnsi="Verdana" w:cs="Arial"/>
          <w:bCs/>
          <w:lang w:val="es-MX"/>
        </w:rPr>
      </w:pPr>
      <w:r w:rsidRPr="006926C4">
        <w:rPr>
          <w:rFonts w:ascii="Verdana" w:eastAsia="Calibri" w:hAnsi="Verdana" w:cs="Arial"/>
          <w:bCs/>
          <w:lang w:val="es-MX"/>
        </w:rPr>
        <w:t>En consonancia con lo anterior, en virtud de la motivación del legislador por proveer de mayor agilidad y eficiencia la contratación de algunos bienes o servicios, se crea la modalidad de selección abreviada, en la cual “[…] en principio, no deberían presentarse las complejidades de un proceso de licitación pública, en cuanto a sus prerrequisitos, fórmulas de convocatoria, etapas, métodos de evaluación, plazos, etc., pues la naturaleza de los bienes y servicios que con ella se proveen no tienen la complejidad, costo, o importancia de aquellos otros propios de la licitación pública o, en cualquier caso, el Legislador consideró que son requeridos para suplir necesidades del servicio público de manera más ágil y eficiente”</w:t>
      </w:r>
      <w:r w:rsidRPr="006926C4">
        <w:rPr>
          <w:rStyle w:val="Refdenotaalpie"/>
          <w:rFonts w:ascii="Verdana" w:eastAsia="Calibri" w:hAnsi="Verdana" w:cs="Arial"/>
          <w:bCs/>
          <w:lang w:val="es-MX"/>
        </w:rPr>
        <w:footnoteReference w:id="13"/>
      </w:r>
      <w:r w:rsidRPr="006926C4">
        <w:rPr>
          <w:rFonts w:ascii="Verdana" w:eastAsia="Calibri" w:hAnsi="Verdana" w:cs="Arial"/>
          <w:bCs/>
          <w:lang w:val="es-MX"/>
        </w:rPr>
        <w:t>.</w:t>
      </w:r>
    </w:p>
    <w:p w14:paraId="59F44492" w14:textId="77777777" w:rsidR="00C17CB4" w:rsidRPr="006926C4" w:rsidRDefault="00C17CB4" w:rsidP="00C17CB4">
      <w:pPr>
        <w:spacing w:line="276" w:lineRule="auto"/>
        <w:ind w:firstLine="708"/>
        <w:jc w:val="both"/>
        <w:rPr>
          <w:rFonts w:ascii="Verdana" w:eastAsia="Calibri" w:hAnsi="Verdana" w:cs="Arial"/>
          <w:bCs/>
          <w:lang w:val="es-MX"/>
        </w:rPr>
      </w:pPr>
      <w:r w:rsidRPr="006926C4">
        <w:rPr>
          <w:rFonts w:ascii="Verdana" w:eastAsia="Calibri" w:hAnsi="Verdana" w:cs="Arial"/>
          <w:bCs/>
          <w:lang w:val="es-MX"/>
        </w:rPr>
        <w:t>De otra parte, de acuerdo con la naturaleza de los bienes y servicios de características técnicas uniformes y común utilización –</w:t>
      </w:r>
      <w:r w:rsidRPr="006926C4">
        <w:rPr>
          <w:rFonts w:ascii="Verdana" w:hAnsi="Verdana"/>
        </w:rPr>
        <w:t xml:space="preserve">definidos en el literal a) del numeral 2° del artículo 2 como aquellos que: </w:t>
      </w:r>
      <w:r w:rsidRPr="006926C4">
        <w:rPr>
          <w:rFonts w:ascii="Verdana" w:hAnsi="Verdana"/>
          <w:i/>
          <w:iCs/>
        </w:rPr>
        <w:t>poseen las mismas especificaciones técnicas, con independencia de su diseño o de sus características descriptivas, y comparten patrones de desempeño y calidad objetivamente definidos</w:t>
      </w:r>
      <w:r w:rsidRPr="006926C4">
        <w:rPr>
          <w:rFonts w:ascii="Verdana" w:eastAsia="Calibri" w:hAnsi="Verdana" w:cs="Arial"/>
          <w:bCs/>
          <w:lang w:val="es-MX"/>
        </w:rPr>
        <w:t xml:space="preserve">–, el numeral 3 del artículo 5 de la Ley 1150 de 2007, determina que para los procesos de selección cuyo objeto sea la adquisición o suministro de estos, las entidades estatales deberán incluir “como único factor de evaluación el </w:t>
      </w:r>
      <w:r w:rsidRPr="006926C4">
        <w:rPr>
          <w:rFonts w:ascii="Verdana" w:eastAsia="Calibri" w:hAnsi="Verdana" w:cs="Arial"/>
          <w:bCs/>
          <w:i/>
          <w:iCs/>
          <w:lang w:val="es-MX"/>
        </w:rPr>
        <w:t>menor precio ofrecido</w:t>
      </w:r>
      <w:r w:rsidRPr="006926C4">
        <w:rPr>
          <w:rFonts w:ascii="Verdana" w:eastAsia="Calibri" w:hAnsi="Verdana" w:cs="Arial"/>
          <w:bCs/>
          <w:lang w:val="es-MX"/>
        </w:rPr>
        <w:t>” (Énfasis fuera de texto).</w:t>
      </w:r>
    </w:p>
    <w:p w14:paraId="0AF78D9A" w14:textId="77777777" w:rsidR="00C17CB4" w:rsidRPr="006926C4" w:rsidRDefault="00C17CB4" w:rsidP="00C17CB4">
      <w:pPr>
        <w:spacing w:line="276" w:lineRule="auto"/>
        <w:ind w:firstLine="708"/>
        <w:jc w:val="both"/>
        <w:rPr>
          <w:rFonts w:ascii="Verdana" w:eastAsia="Calibri" w:hAnsi="Verdana" w:cs="Arial"/>
          <w:bCs/>
          <w:u w:val="single"/>
          <w:lang w:val="es-MX"/>
        </w:rPr>
      </w:pPr>
      <w:r w:rsidRPr="006926C4">
        <w:rPr>
          <w:rFonts w:ascii="Verdana" w:eastAsia="Calibri" w:hAnsi="Verdana" w:cs="Arial"/>
          <w:bCs/>
          <w:lang w:val="es-MX"/>
        </w:rPr>
        <w:t xml:space="preserve">En atención a esto, se concluye que, en la subasta inversa, sabiendo que la selección abreviada tiene como fin suplir necesidades del servicio público de </w:t>
      </w:r>
      <w:r w:rsidRPr="006926C4">
        <w:rPr>
          <w:rFonts w:ascii="Verdana" w:eastAsia="Calibri" w:hAnsi="Verdana" w:cs="Arial"/>
          <w:bCs/>
          <w:lang w:val="es-MX"/>
        </w:rPr>
        <w:lastRenderedPageBreak/>
        <w:t xml:space="preserve">manera más ágil y eficiente a diferencia de las complejidades procedimentales propias de la licitación pública, entre otros, el único factor ponderable es </w:t>
      </w:r>
      <w:r w:rsidRPr="006926C4">
        <w:rPr>
          <w:rFonts w:ascii="Verdana" w:eastAsia="Calibri" w:hAnsi="Verdana" w:cs="Arial"/>
          <w:bCs/>
          <w:u w:val="single"/>
          <w:lang w:val="es-MX"/>
        </w:rPr>
        <w:t>el precio</w:t>
      </w:r>
      <w:r w:rsidRPr="006926C4">
        <w:rPr>
          <w:rFonts w:ascii="Verdana" w:eastAsia="Calibri" w:hAnsi="Verdana" w:cs="Arial"/>
          <w:bCs/>
          <w:lang w:val="es-MX"/>
        </w:rPr>
        <w:t>.</w:t>
      </w:r>
    </w:p>
    <w:p w14:paraId="56000A63" w14:textId="106FABF8" w:rsidR="00C17CB4" w:rsidRPr="006926C4" w:rsidRDefault="00C17CB4" w:rsidP="00C17CB4">
      <w:pPr>
        <w:spacing w:line="276" w:lineRule="auto"/>
        <w:ind w:firstLine="708"/>
        <w:jc w:val="both"/>
        <w:rPr>
          <w:rFonts w:ascii="Verdana" w:hAnsi="Verdana"/>
        </w:rPr>
      </w:pPr>
      <w:bookmarkStart w:id="4" w:name="OLE_LINK5"/>
      <w:r w:rsidRPr="006926C4">
        <w:rPr>
          <w:rFonts w:ascii="Verdana" w:hAnsi="Verdana"/>
        </w:rPr>
        <w:t xml:space="preserve">Sin perjuicio de lo anterior, en relación con las reglas del procedimiento de subasta inversa, vale la pena destacar el contenido del artículo 2.2.1.2.1.2.2. del Decreto 1082 de 2015. En particular, dicha disposición establece: i) parte del contenido del pliego de condiciones; </w:t>
      </w:r>
      <w:proofErr w:type="spellStart"/>
      <w:r w:rsidRPr="006926C4">
        <w:rPr>
          <w:rFonts w:ascii="Verdana" w:hAnsi="Verdana"/>
        </w:rPr>
        <w:t>ii</w:t>
      </w:r>
      <w:proofErr w:type="spellEnd"/>
      <w:r w:rsidRPr="006926C4">
        <w:rPr>
          <w:rFonts w:ascii="Verdana" w:hAnsi="Verdana"/>
        </w:rPr>
        <w:t xml:space="preserve">) el contenido de la oferta que se divide en dos parles: por un lado, lo relacionado con la acreditación de la capacidad para participar en el proceso y el cumplimiento de la ficha técnica y, por otro lado, el precio inicial propuesto; </w:t>
      </w:r>
      <w:proofErr w:type="spellStart"/>
      <w:r w:rsidRPr="006926C4">
        <w:rPr>
          <w:rFonts w:ascii="Verdana" w:hAnsi="Verdana"/>
        </w:rPr>
        <w:t>iii</w:t>
      </w:r>
      <w:proofErr w:type="spellEnd"/>
      <w:r w:rsidRPr="006926C4">
        <w:rPr>
          <w:rFonts w:ascii="Verdana" w:hAnsi="Verdana"/>
        </w:rPr>
        <w:t xml:space="preserve">) las reglas de publicación del informe de habilitación que sirve de mecanismo para informar quienes de los oferentes se </w:t>
      </w:r>
      <w:r w:rsidRPr="5089A988">
        <w:rPr>
          <w:rFonts w:ascii="Verdana" w:hAnsi="Verdana"/>
        </w:rPr>
        <w:t>encuentra</w:t>
      </w:r>
      <w:r w:rsidR="700CE858" w:rsidRPr="5089A988">
        <w:rPr>
          <w:rFonts w:ascii="Verdana" w:hAnsi="Verdana"/>
        </w:rPr>
        <w:t>n</w:t>
      </w:r>
      <w:r w:rsidRPr="5089A988">
        <w:rPr>
          <w:rFonts w:ascii="Verdana" w:hAnsi="Verdana"/>
        </w:rPr>
        <w:t xml:space="preserve"> habilitado</w:t>
      </w:r>
      <w:r w:rsidR="4350B21A" w:rsidRPr="5089A988">
        <w:rPr>
          <w:rFonts w:ascii="Verdana" w:hAnsi="Verdana"/>
        </w:rPr>
        <w:t>s</w:t>
      </w:r>
      <w:r w:rsidRPr="006926C4">
        <w:rPr>
          <w:rFonts w:ascii="Verdana" w:hAnsi="Verdana"/>
        </w:rPr>
        <w:t xml:space="preserve"> para participar en la subasta; </w:t>
      </w:r>
      <w:proofErr w:type="spellStart"/>
      <w:r w:rsidRPr="006926C4">
        <w:rPr>
          <w:rFonts w:ascii="Verdana" w:hAnsi="Verdana"/>
        </w:rPr>
        <w:t>iv</w:t>
      </w:r>
      <w:proofErr w:type="spellEnd"/>
      <w:r w:rsidRPr="006926C4">
        <w:rPr>
          <w:rFonts w:ascii="Verdana" w:hAnsi="Verdana"/>
        </w:rPr>
        <w:t xml:space="preserve">) la regla que exige a la entidad adelantar la subasta cuando existan por lo menos dos oferentes habilitados; v) la posibilidad que tiene la entidad de adjudicar al único oferente en la medida en que acredite ser hábil y su oferta sea igual o inferior al presupuesto del contrato; vi) la regla de inicio de subasta con el precio más bajo propuesto y la validez de los lances; entre otras.  </w:t>
      </w:r>
    </w:p>
    <w:bookmarkEnd w:id="4"/>
    <w:p w14:paraId="5A9B4FB4" w14:textId="77777777" w:rsidR="00C17CB4" w:rsidRDefault="00C17CB4" w:rsidP="00C17CB4">
      <w:pPr>
        <w:spacing w:after="120" w:line="276" w:lineRule="auto"/>
        <w:ind w:right="79"/>
        <w:jc w:val="both"/>
        <w:rPr>
          <w:rFonts w:ascii="Verdana" w:eastAsia="Arial" w:hAnsi="Verdana" w:cs="Arial"/>
          <w:bCs/>
        </w:rPr>
      </w:pPr>
      <w:r>
        <w:rPr>
          <w:rFonts w:ascii="Verdana" w:hAnsi="Verdana"/>
        </w:rPr>
        <w:t xml:space="preserve">        </w:t>
      </w:r>
      <w:r w:rsidRPr="006926C4">
        <w:rPr>
          <w:rFonts w:ascii="Verdana" w:hAnsi="Verdana"/>
        </w:rPr>
        <w:t>En este sentido, el criterio primordial de selección en estos procesos es el precio, una vez se han verificado los requisitos habilitantes y el cumplimiento de las especificaciones técnicas mínimas. El objetivo es la eficiencia en el gasto público mediante la obtención del bien o servicio requerido al menor costo posible.</w:t>
      </w:r>
    </w:p>
    <w:p w14:paraId="134DA122" w14:textId="77777777" w:rsidR="00C17CB4" w:rsidRDefault="00C17CB4" w:rsidP="00C17CB4">
      <w:pPr>
        <w:spacing w:after="120" w:line="276" w:lineRule="auto"/>
        <w:ind w:right="79"/>
        <w:jc w:val="both"/>
        <w:rPr>
          <w:rFonts w:ascii="Verdana" w:eastAsia="Times New Roman" w:hAnsi="Verdana" w:cs="Calibri"/>
          <w:color w:val="000000"/>
          <w:shd w:val="clear" w:color="auto" w:fill="FFFFFF"/>
          <w:lang w:eastAsia="es-CO"/>
        </w:rPr>
      </w:pPr>
      <w:proofErr w:type="spellStart"/>
      <w:r w:rsidRPr="004B2F74">
        <w:rPr>
          <w:rFonts w:ascii="Verdana" w:eastAsia="Times New Roman" w:hAnsi="Verdana" w:cs="Calibri"/>
          <w:i/>
          <w:iCs/>
          <w:color w:val="000000"/>
          <w:shd w:val="clear" w:color="auto" w:fill="FFFFFF"/>
          <w:lang w:eastAsia="es-CO"/>
        </w:rPr>
        <w:t>iii</w:t>
      </w:r>
      <w:proofErr w:type="spellEnd"/>
      <w:r w:rsidRPr="004B2F74">
        <w:rPr>
          <w:rFonts w:ascii="Verdana" w:eastAsia="Times New Roman" w:hAnsi="Verdana" w:cs="Calibri"/>
          <w:i/>
          <w:iCs/>
          <w:color w:val="000000"/>
          <w:shd w:val="clear" w:color="auto" w:fill="FFFFFF"/>
          <w:lang w:eastAsia="es-CO"/>
        </w:rPr>
        <w:t>.</w:t>
      </w:r>
      <w:r>
        <w:rPr>
          <w:rFonts w:ascii="Verdana" w:eastAsia="Times New Roman" w:hAnsi="Verdana" w:cs="Calibri"/>
          <w:color w:val="000000"/>
          <w:shd w:val="clear" w:color="auto" w:fill="FFFFFF"/>
          <w:lang w:eastAsia="es-CO"/>
        </w:rPr>
        <w:t xml:space="preserve"> Bolsa de productos para </w:t>
      </w:r>
      <w:r>
        <w:rPr>
          <w:rFonts w:ascii="Verdana" w:eastAsia="Century Gothic" w:hAnsi="Verdana" w:cs="Century Gothic"/>
          <w:color w:val="000000" w:themeColor="text1"/>
        </w:rPr>
        <w:t xml:space="preserve">la </w:t>
      </w:r>
      <w:r w:rsidRPr="3A7B13FE">
        <w:rPr>
          <w:rFonts w:ascii="Verdana" w:eastAsia="Calibri" w:hAnsi="Verdana" w:cs="Arial"/>
          <w:color w:val="000000"/>
          <w:lang w:val="es-ES" w:eastAsia="es-ES"/>
        </w:rPr>
        <w:t>adquisición o suministro de bienes y servicios de características técnicas uniformes</w:t>
      </w:r>
      <w:r>
        <w:rPr>
          <w:rFonts w:ascii="Verdana" w:eastAsia="Calibri" w:hAnsi="Verdana" w:cs="Arial"/>
          <w:color w:val="000000"/>
          <w:lang w:val="es-ES" w:eastAsia="es-ES"/>
        </w:rPr>
        <w:t xml:space="preserve">. </w:t>
      </w:r>
    </w:p>
    <w:p w14:paraId="242B48AE" w14:textId="076A93B6" w:rsidR="00C17CB4" w:rsidRDefault="00C17CB4" w:rsidP="00C17CB4">
      <w:pPr>
        <w:spacing w:after="120" w:line="276" w:lineRule="auto"/>
        <w:jc w:val="both"/>
        <w:rPr>
          <w:rFonts w:ascii="Verdana" w:eastAsia="Calibri" w:hAnsi="Verdana" w:cs="Arial"/>
          <w:lang w:val="es-MX"/>
        </w:rPr>
      </w:pPr>
      <w:bookmarkStart w:id="5" w:name="OLE_LINK1"/>
      <w:r w:rsidRPr="00844B92">
        <w:rPr>
          <w:rFonts w:ascii="Verdana" w:eastAsia="Calibri" w:hAnsi="Verdana" w:cs="Arial"/>
          <w:lang w:val="es-MX"/>
        </w:rPr>
        <w:t xml:space="preserve">Las compras en bolsa de productos son un mecanismo contemplado en el </w:t>
      </w:r>
      <w:r w:rsidR="553C4CF1" w:rsidRPr="00844B92">
        <w:rPr>
          <w:rFonts w:ascii="Verdana" w:eastAsia="Calibri" w:hAnsi="Verdana" w:cs="Arial"/>
          <w:lang w:val="es-MX"/>
        </w:rPr>
        <w:t xml:space="preserve">segundo inciso del literal a), </w:t>
      </w:r>
      <w:r w:rsidRPr="00844B92">
        <w:rPr>
          <w:rFonts w:ascii="Verdana" w:eastAsia="Calibri" w:hAnsi="Verdana" w:cs="Arial"/>
          <w:lang w:val="es-MX"/>
        </w:rPr>
        <w:t>numeral 2 del artículo 2 de la Ley 1150 de 2007, en el marco de la modalidad de selección abreviada, para la adquisición o suministro de bienes y servicios de características técnicas uniformes y de común utilización por parte de las entidades estatales</w:t>
      </w:r>
      <w:r w:rsidRPr="00844B92">
        <w:rPr>
          <w:rStyle w:val="Refdenotaalpie"/>
          <w:rFonts w:ascii="Verdana" w:eastAsia="Calibri" w:hAnsi="Verdana" w:cs="Arial"/>
          <w:lang w:val="es-MX"/>
        </w:rPr>
        <w:footnoteReference w:id="14"/>
      </w:r>
      <w:r w:rsidRPr="00844B92">
        <w:rPr>
          <w:rFonts w:ascii="Verdana" w:eastAsia="Calibri" w:hAnsi="Verdana" w:cs="Arial"/>
          <w:lang w:val="es-MX"/>
        </w:rPr>
        <w:t>.</w:t>
      </w:r>
    </w:p>
    <w:p w14:paraId="2B8FFEF3" w14:textId="77777777" w:rsidR="00C17CB4" w:rsidRPr="00B523E8" w:rsidRDefault="00C17CB4" w:rsidP="00C17CB4">
      <w:pPr>
        <w:spacing w:after="120" w:line="276" w:lineRule="auto"/>
        <w:ind w:firstLine="709"/>
        <w:jc w:val="both"/>
        <w:rPr>
          <w:rFonts w:ascii="Verdana" w:eastAsia="Calibri" w:hAnsi="Verdana" w:cs="Arial"/>
          <w:lang w:val="es-MX"/>
        </w:rPr>
      </w:pPr>
      <w:r>
        <w:rPr>
          <w:rFonts w:ascii="Verdana" w:eastAsia="Calibri" w:hAnsi="Verdana" w:cs="Arial"/>
        </w:rPr>
        <w:lastRenderedPageBreak/>
        <w:t>Sin embargo, c</w:t>
      </w:r>
      <w:r w:rsidRPr="00B523E8">
        <w:rPr>
          <w:rFonts w:ascii="Verdana" w:eastAsia="Calibri" w:hAnsi="Verdana" w:cs="Arial"/>
        </w:rPr>
        <w:t>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w:t>
      </w:r>
    </w:p>
    <w:p w14:paraId="4E346B8C" w14:textId="77777777" w:rsidR="00C17CB4" w:rsidRPr="00844B92" w:rsidRDefault="00C17CB4" w:rsidP="00C17CB4">
      <w:pPr>
        <w:spacing w:after="120" w:line="276" w:lineRule="auto"/>
        <w:ind w:firstLine="709"/>
        <w:jc w:val="both"/>
        <w:rPr>
          <w:rFonts w:ascii="Verdana" w:eastAsia="Calibri" w:hAnsi="Verdana" w:cs="Arial"/>
          <w:lang w:val="es-MX"/>
        </w:rPr>
      </w:pPr>
      <w:r>
        <w:rPr>
          <w:rFonts w:ascii="Verdana" w:eastAsia="Calibri" w:hAnsi="Verdana" w:cs="Arial"/>
          <w:lang w:val="es-MX"/>
        </w:rPr>
        <w:t>Así las cosas, l</w:t>
      </w:r>
      <w:r w:rsidRPr="00844B92">
        <w:rPr>
          <w:rFonts w:ascii="Verdana" w:eastAsia="Calibri" w:hAnsi="Verdana" w:cs="Arial"/>
          <w:lang w:val="es-MX"/>
        </w:rPr>
        <w:t>a adquisición de bienes mediante el mecanismo de bolsa de productos 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w:t>
      </w:r>
      <w:r w:rsidRPr="00844B92">
        <w:rPr>
          <w:rFonts w:ascii="Verdana" w:eastAsia="Calibri" w:hAnsi="Verdana" w:cs="Arial"/>
          <w:vertAlign w:val="superscript"/>
          <w:lang w:val="es-MX"/>
        </w:rPr>
        <w:footnoteReference w:id="15"/>
      </w:r>
      <w:r w:rsidRPr="00844B92">
        <w:rPr>
          <w:rFonts w:ascii="Verdana" w:eastAsia="Calibri" w:hAnsi="Verdana" w:cs="Arial"/>
          <w:lang w:val="es-MX"/>
        </w:rPr>
        <w:t>.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r w:rsidRPr="00844B92">
        <w:rPr>
          <w:rStyle w:val="Refdenotaalpie"/>
          <w:rFonts w:ascii="Verdana" w:eastAsia="Calibri" w:hAnsi="Verdana" w:cs="Arial"/>
          <w:lang w:val="es-MX"/>
        </w:rPr>
        <w:footnoteReference w:id="16"/>
      </w:r>
      <w:r w:rsidRPr="00844B92">
        <w:rPr>
          <w:rFonts w:ascii="Verdana" w:eastAsia="Calibri" w:hAnsi="Verdana" w:cs="Arial"/>
          <w:lang w:val="es-MX"/>
        </w:rPr>
        <w:t>.</w:t>
      </w:r>
    </w:p>
    <w:p w14:paraId="4C0EA756" w14:textId="77777777" w:rsidR="00C17CB4" w:rsidRPr="00844B92" w:rsidRDefault="00C17CB4" w:rsidP="00C17CB4">
      <w:pPr>
        <w:spacing w:after="120" w:line="276" w:lineRule="auto"/>
        <w:jc w:val="both"/>
        <w:rPr>
          <w:rFonts w:ascii="Verdana" w:eastAsia="Calibri" w:hAnsi="Verdana" w:cs="Arial"/>
          <w:lang w:val="es-MX"/>
        </w:rPr>
      </w:pPr>
      <w:r w:rsidRPr="00844B92">
        <w:rPr>
          <w:rFonts w:ascii="Verdana" w:eastAsia="Calibri" w:hAnsi="Verdana" w:cs="Arial"/>
          <w:lang w:val="es-MX"/>
        </w:rPr>
        <w:tab/>
      </w:r>
      <w:r>
        <w:rPr>
          <w:rFonts w:ascii="Verdana" w:eastAsia="Calibri" w:hAnsi="Verdana" w:cs="Arial"/>
          <w:color w:val="000000" w:themeColor="text1"/>
        </w:rPr>
        <w:t xml:space="preserve">De acuerdo con lo anterior, </w:t>
      </w:r>
      <w:r>
        <w:rPr>
          <w:rFonts w:ascii="Verdana" w:eastAsia="Calibri" w:hAnsi="Verdana" w:cs="Arial"/>
          <w:lang w:val="es-MX"/>
        </w:rPr>
        <w:t>l</w:t>
      </w:r>
      <w:r w:rsidRPr="00844B92">
        <w:rPr>
          <w:rFonts w:ascii="Verdana" w:eastAsia="Calibri" w:hAnsi="Verdana" w:cs="Arial"/>
          <w:lang w:val="es-MX"/>
        </w:rPr>
        <w:t>a negociación por parte de la entidad se da a través de un comisionista, el cual debe ser contratado por la entidad de conformidad con el procedimiento y reglas de la respectiva bolsa de productos</w:t>
      </w:r>
      <w:r w:rsidRPr="00844B92">
        <w:rPr>
          <w:rStyle w:val="Refdenotaalpie"/>
          <w:rFonts w:ascii="Verdana" w:eastAsia="Calibri" w:hAnsi="Verdana" w:cs="Arial"/>
          <w:lang w:val="es-MX"/>
        </w:rPr>
        <w:footnoteReference w:id="17"/>
      </w:r>
      <w:r w:rsidRPr="00844B92">
        <w:rPr>
          <w:rFonts w:ascii="Verdana" w:eastAsia="Calibri" w:hAnsi="Verdana" w:cs="Arial"/>
          <w:lang w:val="es-MX"/>
        </w:rPr>
        <w:t xml:space="preserve">. A su vez, la calidad de los productos negociados y la liquidación de las </w:t>
      </w:r>
      <w:r w:rsidRPr="00844B92">
        <w:rPr>
          <w:rFonts w:ascii="Verdana" w:eastAsia="Calibri" w:hAnsi="Verdana" w:cs="Arial"/>
          <w:lang w:val="es-MX"/>
        </w:rPr>
        <w:lastRenderedPageBreak/>
        <w:t>operaciones celebradas debe estar respaldada por garantías</w:t>
      </w:r>
      <w:r w:rsidRPr="00844B92">
        <w:rPr>
          <w:rStyle w:val="Refdenotaalpie"/>
          <w:rFonts w:ascii="Verdana" w:eastAsia="Calibri" w:hAnsi="Verdana" w:cs="Arial"/>
          <w:lang w:val="es-MX"/>
        </w:rPr>
        <w:footnoteReference w:id="18"/>
      </w:r>
      <w:r w:rsidRPr="00844B92">
        <w:rPr>
          <w:rFonts w:ascii="Verdana" w:eastAsia="Calibri" w:hAnsi="Verdana" w:cs="Arial"/>
          <w:lang w:val="es-MX"/>
        </w:rPr>
        <w:t>.</w:t>
      </w:r>
      <w:r>
        <w:rPr>
          <w:rFonts w:ascii="Verdana" w:eastAsia="Calibri" w:hAnsi="Verdana" w:cs="Arial"/>
          <w:lang w:val="es-MX"/>
        </w:rPr>
        <w:t xml:space="preserve"> </w:t>
      </w:r>
      <w:r>
        <w:rPr>
          <w:rFonts w:ascii="Verdana" w:eastAsia="Calibri" w:hAnsi="Verdana" w:cs="Arial"/>
          <w:color w:val="000000" w:themeColor="text1"/>
        </w:rPr>
        <w:t xml:space="preserve">Igualmente, este proceso se </w:t>
      </w:r>
      <w:r>
        <w:rPr>
          <w:rFonts w:ascii="Verdana" w:eastAsia="Calibri" w:hAnsi="Verdana" w:cs="Arial"/>
          <w:color w:val="000000" w:themeColor="text1"/>
          <w:lang w:val="es-ES"/>
        </w:rPr>
        <w:t>encuentra respaldado por el</w:t>
      </w:r>
      <w:r w:rsidRPr="00F10CF5">
        <w:rPr>
          <w:rFonts w:ascii="Verdana" w:eastAsia="Calibri" w:hAnsi="Verdana" w:cs="Arial"/>
          <w:color w:val="000000" w:themeColor="text1"/>
        </w:rPr>
        <w:t xml:space="preserve"> marco regulatorio en la optimización de los procedimientos de compra en el ámbito público, asegurando eficiencia y equidad en las transacciones.</w:t>
      </w:r>
    </w:p>
    <w:p w14:paraId="69366109" w14:textId="77777777" w:rsidR="00C17CB4" w:rsidRDefault="00C17CB4" w:rsidP="00C17CB4">
      <w:pPr>
        <w:spacing w:after="120" w:line="276" w:lineRule="auto"/>
        <w:jc w:val="both"/>
        <w:rPr>
          <w:rFonts w:ascii="Verdana" w:eastAsia="Calibri" w:hAnsi="Verdana" w:cs="Arial"/>
          <w:lang w:val="es-MX"/>
        </w:rPr>
      </w:pPr>
      <w:r w:rsidRPr="00844B92">
        <w:rPr>
          <w:rFonts w:ascii="Verdana" w:eastAsia="Calibri" w:hAnsi="Verdana" w:cs="Arial"/>
          <w:lang w:val="es-MX"/>
        </w:rPr>
        <w:tab/>
        <w:t>De conformidad con el artículo 2.2.1.2.1.2.12 del Decreto 1082 de 2015, modificado por el artículo 2 del Decreto 310 del 25 de marzo de 2021, las entidades reali</w:t>
      </w:r>
      <w:r>
        <w:rPr>
          <w:rFonts w:ascii="Verdana" w:eastAsia="Calibri" w:hAnsi="Verdana" w:cs="Arial"/>
          <w:lang w:val="es-MX"/>
        </w:rPr>
        <w:t>zan</w:t>
      </w:r>
      <w:r w:rsidRPr="00844B92">
        <w:rPr>
          <w:rFonts w:ascii="Verdana" w:eastAsia="Calibri" w:hAnsi="Verdana" w:cs="Arial"/>
          <w:lang w:val="es-MX"/>
        </w:rPr>
        <w:t xml:space="preserve"> un estudio comparativo en el que determinen las ventajas de utilizar el mecanismo. La disposición indicada además expresa que este estudio debe señalar la forma en que la entidad estatal garantiza los principios y objetivos del sistema de compras, contratación pública, los postulados de la función administrativa y de la gestión fiscal. De otro lado, expresamente se establece en el inciso segundo de la norma analizada que: “(…) este estudio deberá consignarse expresamente en los documentos del Proceso de Selección y se deberá garantizar su oportuna publicidad a través del SECOP”.</w:t>
      </w:r>
    </w:p>
    <w:p w14:paraId="77F1E642" w14:textId="006DAF9A" w:rsidR="00B873AF" w:rsidRDefault="00C17CB4" w:rsidP="00C17CB4">
      <w:pPr>
        <w:spacing w:after="120" w:line="276" w:lineRule="auto"/>
        <w:ind w:firstLine="709"/>
        <w:jc w:val="both"/>
        <w:rPr>
          <w:rFonts w:ascii="Verdana" w:eastAsia="Calibri" w:hAnsi="Verdana" w:cs="Arial"/>
          <w:color w:val="000000" w:themeColor="text1"/>
          <w:lang w:val="es-MX"/>
        </w:rPr>
      </w:pPr>
      <w:bookmarkStart w:id="7" w:name="OLE_LINK6"/>
      <w:r w:rsidRPr="004157FA">
        <w:rPr>
          <w:rFonts w:ascii="Verdana" w:hAnsi="Verdana" w:cs="Arial"/>
          <w:lang w:val="es-MX"/>
        </w:rPr>
        <w:t>No obstante</w:t>
      </w:r>
      <w:r w:rsidRPr="004157FA">
        <w:rPr>
          <w:rFonts w:ascii="Verdana" w:eastAsia="Calibri" w:hAnsi="Verdana" w:cs="Arial"/>
          <w:color w:val="000000" w:themeColor="text1"/>
          <w:lang w:val="es-MX"/>
        </w:rPr>
        <w:t xml:space="preserve">, los incisos tercero y cuarto de la disposición analizada también permiten a las entidades estatales acudir a las bolsas de productos cuando a pesar de la existencia de un acuerdo marco de precios, mediante aquel mecanismo se obtengan precios inferiores, incluyendo los costos generados por concepto de comisionistas de bolsa y los gastos de operación indicados en el artículo 2.2.1.2.1.2.15. del Decreto 1082 de 2015 y no se desmejoren las condiciones técnicas y de calidad. </w:t>
      </w:r>
      <w:r w:rsidR="004A37D8">
        <w:rPr>
          <w:rFonts w:ascii="Verdana" w:eastAsia="Calibri" w:hAnsi="Verdana" w:cs="Arial"/>
          <w:color w:val="000000" w:themeColor="text1"/>
          <w:lang w:val="es-MX"/>
        </w:rPr>
        <w:t>L</w:t>
      </w:r>
      <w:r w:rsidR="004A37D8" w:rsidRPr="004A37D8">
        <w:rPr>
          <w:rFonts w:ascii="Verdana" w:eastAsia="Calibri" w:hAnsi="Verdana" w:cs="Arial"/>
          <w:color w:val="000000" w:themeColor="text1"/>
          <w:lang w:val="es-MX"/>
        </w:rPr>
        <w:t>o anterior, sin perjuicio de qué cada entidad verifique lo previsto en el parágrafo tercero</w:t>
      </w:r>
      <w:r w:rsidR="0034345B">
        <w:rPr>
          <w:rFonts w:ascii="Verdana" w:eastAsia="Calibri" w:hAnsi="Verdana" w:cs="Arial"/>
          <w:color w:val="000000" w:themeColor="text1"/>
          <w:lang w:val="es-MX"/>
        </w:rPr>
        <w:t xml:space="preserve"> respecto de la obligatoriedad del Acuerdo Marco para las </w:t>
      </w:r>
      <w:r w:rsidR="00C73086">
        <w:rPr>
          <w:rFonts w:ascii="Verdana" w:eastAsia="Calibri" w:hAnsi="Verdana" w:cs="Arial"/>
          <w:color w:val="000000" w:themeColor="text1"/>
          <w:lang w:val="es-MX"/>
        </w:rPr>
        <w:t>entidades</w:t>
      </w:r>
      <w:r w:rsidR="00DF699D">
        <w:rPr>
          <w:rFonts w:ascii="Verdana" w:eastAsia="Calibri" w:hAnsi="Verdana" w:cs="Arial"/>
          <w:color w:val="000000" w:themeColor="text1"/>
          <w:lang w:val="es-MX"/>
        </w:rPr>
        <w:t xml:space="preserve"> estatales </w:t>
      </w:r>
      <w:r w:rsidR="00614390">
        <w:rPr>
          <w:rFonts w:ascii="Verdana" w:eastAsia="Calibri" w:hAnsi="Verdana" w:cs="Arial"/>
          <w:color w:val="000000" w:themeColor="text1"/>
          <w:lang w:val="es-MX"/>
        </w:rPr>
        <w:t>de la Rama Ejecutiva del Poder Público</w:t>
      </w:r>
      <w:r w:rsidR="00CA391B">
        <w:rPr>
          <w:rFonts w:ascii="Verdana" w:eastAsia="Calibri" w:hAnsi="Verdana" w:cs="Arial"/>
          <w:color w:val="000000" w:themeColor="text1"/>
          <w:lang w:val="es-MX"/>
        </w:rPr>
        <w:t xml:space="preserve"> del orden Nacional. </w:t>
      </w:r>
    </w:p>
    <w:bookmarkEnd w:id="7"/>
    <w:p w14:paraId="66358B75" w14:textId="2E0E5C26" w:rsidR="00C17CB4" w:rsidRDefault="00C17CB4" w:rsidP="00C17CB4">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lang w:val="es-MX"/>
        </w:rPr>
        <w:t xml:space="preserve">Este análisis comparativo se debe realizar con el “promedio de los valores finales de las operaciones secundarias materializadas con ocasión de las órdenes </w:t>
      </w:r>
      <w:r w:rsidRPr="004157FA">
        <w:rPr>
          <w:rFonts w:ascii="Verdana" w:eastAsia="Calibri" w:hAnsi="Verdana" w:cs="Arial"/>
          <w:color w:val="000000" w:themeColor="text1"/>
          <w:lang w:val="es-MX"/>
        </w:rPr>
        <w:lastRenderedPageBreak/>
        <w:t>de compra colocadas por las Entidades compradoras a través de la Tienda Virtual del Estado, administrada por la Agencia Nacional de Contratación Pública -Colombia Compra Eficiente- durante los últimos seis (6) meses</w:t>
      </w:r>
      <w:r>
        <w:rPr>
          <w:rStyle w:val="Refdenotaalpie"/>
          <w:rFonts w:ascii="Verdana" w:eastAsia="Calibri" w:hAnsi="Verdana" w:cs="Arial"/>
          <w:color w:val="000000" w:themeColor="text1"/>
          <w:lang w:val="es-MX"/>
        </w:rPr>
        <w:footnoteReference w:id="19"/>
      </w:r>
      <w:r>
        <w:rPr>
          <w:rFonts w:ascii="Verdana" w:eastAsia="Calibri" w:hAnsi="Verdana" w:cs="Arial"/>
          <w:color w:val="000000" w:themeColor="text1"/>
          <w:lang w:val="es-MX"/>
        </w:rPr>
        <w:t>.</w:t>
      </w:r>
    </w:p>
    <w:p w14:paraId="2F33E4A4" w14:textId="77777777" w:rsidR="00C17CB4" w:rsidRPr="004157FA" w:rsidRDefault="00C17CB4" w:rsidP="00C17CB4">
      <w:pPr>
        <w:spacing w:after="120" w:line="276" w:lineRule="auto"/>
        <w:ind w:firstLine="708"/>
        <w:jc w:val="both"/>
        <w:rPr>
          <w:rFonts w:ascii="Verdana" w:hAnsi="Verdana" w:cs="Arial"/>
          <w:lang w:val="es-MX"/>
        </w:rPr>
      </w:pPr>
      <w:r w:rsidRPr="004157FA">
        <w:rPr>
          <w:rFonts w:ascii="Verdana" w:eastAsia="Calibri" w:hAnsi="Verdana" w:cs="Arial"/>
          <w:color w:val="000000" w:themeColor="text1"/>
          <w:lang w:val="es-MX"/>
        </w:rPr>
        <w:t xml:space="preserve">De otro lado, desde una perspectiva general, en principio la adquisición de bienes y servicios de características técnicas uniformes a través del mecanismo de bolsa de productos, se encuentra sometido al deber de publicidad de las actuaciones contractuales de las entidades públicas establecido en el artículo 3 de la Ley 1150 de 2007 y regulado por el artículo 2.2.1.1.1.7.1 del Decreto 1082 de 2015, que obliga a publicar en SECOP la documentación que </w:t>
      </w:r>
      <w:r w:rsidRPr="004157FA">
        <w:rPr>
          <w:rFonts w:ascii="Verdana" w:hAnsi="Verdana" w:cs="Arial"/>
          <w:lang w:val="es-MX"/>
        </w:rPr>
        <w:t xml:space="preserve">conforma el expediente del proceso de contratación.  </w:t>
      </w:r>
    </w:p>
    <w:p w14:paraId="74D738F3" w14:textId="1B25A5A3" w:rsidR="00C17CB4" w:rsidRPr="004157FA" w:rsidRDefault="00C17CB4" w:rsidP="00C17CB4">
      <w:pPr>
        <w:spacing w:after="120" w:line="276" w:lineRule="auto"/>
        <w:ind w:firstLine="708"/>
        <w:jc w:val="both"/>
        <w:rPr>
          <w:rFonts w:ascii="Verdana" w:eastAsia="Calibri" w:hAnsi="Verdana" w:cs="Arial"/>
          <w:color w:val="000000" w:themeColor="text1"/>
          <w:lang w:val="es-MX"/>
        </w:rPr>
      </w:pPr>
      <w:r w:rsidRPr="004157FA">
        <w:rPr>
          <w:rFonts w:ascii="Verdana" w:hAnsi="Verdana" w:cs="Arial"/>
          <w:lang w:val="es-MX"/>
        </w:rPr>
        <w:t>Sin embargo, en</w:t>
      </w:r>
      <w:r w:rsidRPr="004157FA">
        <w:rPr>
          <w:rFonts w:ascii="Verdana" w:eastAsia="Calibri" w:hAnsi="Verdana" w:cs="Arial"/>
          <w:color w:val="000000" w:themeColor="text1"/>
          <w:lang w:val="es-MX"/>
        </w:rPr>
        <w:t xml:space="preserve"> lo relativo a la publicación de las compras realizadas a través del mecanismo de bolsa de productos, el artículo 2.2.1.1.1.7.1 del Decreto 1082 de 2015 exceptúa el cumplimiento de esta obligación al disponer </w:t>
      </w:r>
      <w:r w:rsidRPr="004157FA">
        <w:rPr>
          <w:rFonts w:ascii="Verdana" w:eastAsia="Calibri" w:hAnsi="Verdana" w:cs="Arial"/>
          <w:color w:val="000000" w:themeColor="text1"/>
          <w:lang w:val="es-MX"/>
        </w:rPr>
        <w:lastRenderedPageBreak/>
        <w:t>que “[…] Los documentos de las operaciones que se realicen en bolsa de productos no tienen que ser publicados en el S</w:t>
      </w:r>
      <w:r>
        <w:rPr>
          <w:rFonts w:ascii="Verdana" w:eastAsia="Calibri" w:hAnsi="Verdana" w:cs="Arial"/>
          <w:color w:val="000000" w:themeColor="text1"/>
          <w:lang w:val="es-MX"/>
        </w:rPr>
        <w:t>ECOP</w:t>
      </w:r>
      <w:r w:rsidRPr="004157FA">
        <w:rPr>
          <w:rFonts w:ascii="Verdana" w:eastAsia="Calibri" w:hAnsi="Verdana" w:cs="Arial"/>
          <w:color w:val="000000" w:themeColor="text1"/>
          <w:lang w:val="es-MX"/>
        </w:rPr>
        <w:t xml:space="preserve">”. Conforme a dicha disposición, los documentos en donde consten las operaciones realizadas en la bolsa de productos a órdenes de una entidad estatal no deben publicarse en el SECOP. </w:t>
      </w:r>
    </w:p>
    <w:p w14:paraId="7FB0A627" w14:textId="77777777" w:rsidR="00C17CB4" w:rsidRDefault="00C17CB4" w:rsidP="00C17CB4">
      <w:pPr>
        <w:spacing w:after="120" w:line="276" w:lineRule="auto"/>
        <w:ind w:firstLine="709"/>
        <w:jc w:val="both"/>
        <w:rPr>
          <w:rFonts w:ascii="Verdana" w:hAnsi="Verdana" w:cs="Arial"/>
          <w:lang w:val="es-MX"/>
        </w:rPr>
      </w:pPr>
      <w:r w:rsidRPr="004157FA">
        <w:rPr>
          <w:rFonts w:ascii="Verdana" w:eastAsia="Calibri" w:hAnsi="Verdana" w:cs="Arial"/>
          <w:color w:val="000000" w:themeColor="text1"/>
          <w:lang w:val="es-MX"/>
        </w:rPr>
        <w:t xml:space="preserve">Ahora bien, para determinar el alcance de tal excepción al deber de publicidad de la actividad contractual, es necesario precisar a qué se refiere el artículo 2.2.1.1.1.7.1 del Decreto 1082 de 2015 al mencionar  “los documentos de las operaciones que se realicen en bolsa de productos”. En primera medida, el término </w:t>
      </w:r>
      <w:r w:rsidRPr="004157FA">
        <w:rPr>
          <w:rFonts w:ascii="Verdana" w:eastAsia="Calibri" w:hAnsi="Verdana" w:cs="Arial"/>
          <w:i/>
          <w:iCs/>
          <w:color w:val="000000" w:themeColor="text1"/>
          <w:lang w:val="es-MX"/>
        </w:rPr>
        <w:t>operación</w:t>
      </w:r>
      <w:r w:rsidRPr="004157FA">
        <w:rPr>
          <w:rFonts w:ascii="Verdana" w:eastAsia="Calibri" w:hAnsi="Verdana" w:cs="Arial"/>
          <w:color w:val="000000" w:themeColor="text1"/>
          <w:lang w:val="es-MX"/>
        </w:rPr>
        <w:t xml:space="preserve"> alude a interacciones entre los inversores, emisores de títulos y vendedores de bienes que tienen lugar dentro de una bolsa de productos. En esa línea encontramos que, en el concepto de operaciones de bolsa “</w:t>
      </w:r>
      <w:r w:rsidRPr="004157FA">
        <w:rPr>
          <w:rFonts w:ascii="Verdana" w:eastAsia="Calibri" w:hAnsi="Verdana" w:cs="Arial"/>
          <w:color w:val="000000" w:themeColor="text1"/>
        </w:rPr>
        <w:t xml:space="preserve">pueden incluirse una larga serie de actos económicos, que tengan por lo menos para uno de los contratantes, el fin directo o indirecto de obtener ventajas de las variaciones del curso de los valores o de los precios de las mercaderías </w:t>
      </w:r>
      <w:r w:rsidRPr="004157FA">
        <w:rPr>
          <w:rFonts w:ascii="Verdana" w:hAnsi="Verdana" w:cs="Arial"/>
          <w:lang w:val="es-MX"/>
        </w:rPr>
        <w:t>en relación al tiempo”</w:t>
      </w:r>
      <w:r>
        <w:rPr>
          <w:rStyle w:val="Refdenotaalpie"/>
          <w:rFonts w:ascii="Verdana" w:hAnsi="Verdana" w:cs="Arial"/>
          <w:lang w:val="es-MX"/>
        </w:rPr>
        <w:footnoteReference w:id="20"/>
      </w:r>
      <w:r>
        <w:rPr>
          <w:rFonts w:ascii="Verdana" w:hAnsi="Verdana" w:cs="Arial"/>
          <w:lang w:val="es-MX"/>
        </w:rPr>
        <w:t>.</w:t>
      </w:r>
    </w:p>
    <w:p w14:paraId="36E32B51" w14:textId="77777777" w:rsidR="00C17CB4" w:rsidRDefault="00C17CB4" w:rsidP="00C17CB4">
      <w:pPr>
        <w:spacing w:after="120" w:line="276" w:lineRule="auto"/>
        <w:ind w:firstLine="709"/>
        <w:jc w:val="both"/>
        <w:rPr>
          <w:rFonts w:ascii="Verdana" w:eastAsia="Calibri" w:hAnsi="Verdana" w:cs="Arial"/>
          <w:color w:val="000000" w:themeColor="text1"/>
        </w:rPr>
      </w:pPr>
      <w:r w:rsidRPr="004157FA">
        <w:rPr>
          <w:rFonts w:ascii="Verdana" w:hAnsi="Verdana" w:cs="Arial"/>
          <w:lang w:val="es-MX"/>
        </w:rPr>
        <w:t>Las operaciones</w:t>
      </w:r>
      <w:r w:rsidRPr="004157FA">
        <w:rPr>
          <w:rFonts w:ascii="Verdana" w:eastAsia="Calibri" w:hAnsi="Verdana" w:cs="Arial"/>
          <w:color w:val="000000" w:themeColor="text1"/>
        </w:rPr>
        <w:t xml:space="preserve"> a la vez pueden ser de distinto carácter dependiendo del objeto de la misma, así pues, respecto de los valores públicos y privados pueden hacerse emisiones públicas y privadas, operaciones de conversión y de amortización, operaciones de compraventa, operaciones de prenda entre otras; mientras que respecto de los productos pueden hacerse operaciones de compraventa, prenda y anticipación</w:t>
      </w:r>
      <w:r>
        <w:rPr>
          <w:rStyle w:val="Refdenotaalpie"/>
          <w:rFonts w:ascii="Verdana" w:eastAsia="Calibri" w:hAnsi="Verdana" w:cs="Arial"/>
          <w:color w:val="000000" w:themeColor="text1"/>
        </w:rPr>
        <w:footnoteReference w:id="21"/>
      </w:r>
      <w:r>
        <w:rPr>
          <w:rFonts w:ascii="Verdana" w:eastAsia="Calibri" w:hAnsi="Verdana" w:cs="Arial"/>
          <w:color w:val="000000" w:themeColor="text1"/>
        </w:rPr>
        <w:t>.</w:t>
      </w:r>
    </w:p>
    <w:p w14:paraId="440193B9" w14:textId="0E5018E3" w:rsidR="00C17CB4" w:rsidRDefault="00C17CB4" w:rsidP="00C17CB4">
      <w:pPr>
        <w:spacing w:after="120" w:line="276" w:lineRule="auto"/>
        <w:ind w:firstLine="709"/>
        <w:jc w:val="both"/>
        <w:rPr>
          <w:rFonts w:ascii="Verdana" w:eastAsia="Calibri" w:hAnsi="Verdana" w:cs="Arial"/>
          <w:color w:val="000000" w:themeColor="text1"/>
        </w:rPr>
      </w:pPr>
      <w:r w:rsidRPr="004157FA">
        <w:rPr>
          <w:rFonts w:ascii="Verdana" w:eastAsia="Calibri" w:hAnsi="Verdana" w:cs="Arial"/>
          <w:color w:val="000000" w:themeColor="text1"/>
        </w:rPr>
        <w:t xml:space="preserve">En ese orden, el contexto y normativa en el que se ubica el </w:t>
      </w:r>
      <w:r w:rsidRPr="004157FA">
        <w:rPr>
          <w:rFonts w:ascii="Verdana" w:eastAsia="Calibri" w:hAnsi="Verdana" w:cs="Arial"/>
          <w:color w:val="000000" w:themeColor="text1"/>
          <w:lang w:val="es-MX"/>
        </w:rPr>
        <w:t xml:space="preserve">artículo 2.2.1.1.1.7.1 del Decreto 1082 de 2015, conduce a interpretar que las operaciones a las que se refiere la norma son operaciones de compraventa de productos, específicamente para la compra de bienes y servicios de características técnicas uniformes y de común utilización, única finalidad para la que se contempla el mecanismo de bolsa de productos en el EGCAP, a las que </w:t>
      </w:r>
      <w:r w:rsidRPr="004157FA">
        <w:rPr>
          <w:rFonts w:ascii="Verdana" w:eastAsia="Calibri" w:hAnsi="Verdana" w:cs="Arial"/>
          <w:color w:val="000000" w:themeColor="text1"/>
        </w:rPr>
        <w:t>pueden acceder las entidades estatales en los términos analizados previamente.</w:t>
      </w:r>
    </w:p>
    <w:p w14:paraId="0B8CFD1F" w14:textId="77777777" w:rsidR="00C17CB4" w:rsidRDefault="00C17CB4" w:rsidP="00C17CB4">
      <w:pPr>
        <w:spacing w:after="120" w:line="276" w:lineRule="auto"/>
        <w:ind w:firstLine="709"/>
        <w:jc w:val="both"/>
        <w:rPr>
          <w:rFonts w:ascii="Verdana" w:hAnsi="Verdana" w:cs="Arial"/>
          <w:lang w:val="es-MX"/>
        </w:rPr>
      </w:pPr>
      <w:r w:rsidRPr="004157FA">
        <w:rPr>
          <w:rFonts w:ascii="Verdana" w:eastAsia="Calibri" w:hAnsi="Verdana" w:cs="Arial"/>
          <w:color w:val="000000" w:themeColor="text1"/>
        </w:rPr>
        <w:t>La adquisición</w:t>
      </w:r>
      <w:r w:rsidRPr="004157FA">
        <w:rPr>
          <w:rFonts w:ascii="Verdana" w:eastAsia="Calibri" w:hAnsi="Verdana" w:cs="Arial"/>
          <w:color w:val="000000" w:themeColor="text1"/>
          <w:lang w:val="es-MX"/>
        </w:rPr>
        <w:t xml:space="preserve"> de estos bienes, sin perjuicio de la aplicación de los artículos 2.2.1.2.1.2.11</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a</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2.1.2.1.2.19 del Decreto 1082 de 2015 en lo pertinente, se rigen principalmente por el Decreto 2555 de 2010 y los </w:t>
      </w:r>
      <w:r w:rsidRPr="004157FA">
        <w:rPr>
          <w:rFonts w:ascii="Verdana" w:eastAsia="Calibri" w:hAnsi="Verdana" w:cs="Arial"/>
          <w:color w:val="000000" w:themeColor="text1"/>
          <w:lang w:val="es-MX"/>
        </w:rPr>
        <w:lastRenderedPageBreak/>
        <w:t xml:space="preserve">reglamentos internos de las bolsas de productos en las que se lleven a cabo las operaciones. El Decreto 2555 de 2010, mediante el artículo 2.11.1.1.5, habilita a las bolsas de productos para expedir sus reglamentos, estableciendo que estos deberán regular la organización, administración, funcionamiento, así como las operaciones y actividades que se realicen por conducto de los mercados que </w:t>
      </w:r>
      <w:r w:rsidRPr="004157FA">
        <w:rPr>
          <w:rFonts w:ascii="Verdana" w:hAnsi="Verdana" w:cs="Arial"/>
          <w:lang w:val="es-MX"/>
        </w:rPr>
        <w:t>administre la correspondiente bolsa</w:t>
      </w:r>
      <w:r>
        <w:rPr>
          <w:rStyle w:val="Refdenotaalpie"/>
          <w:rFonts w:ascii="Verdana" w:hAnsi="Verdana" w:cs="Arial"/>
          <w:lang w:val="es-MX"/>
        </w:rPr>
        <w:footnoteReference w:id="22"/>
      </w:r>
      <w:r>
        <w:rPr>
          <w:rFonts w:ascii="Verdana" w:hAnsi="Verdana" w:cs="Arial"/>
          <w:lang w:val="es-MX"/>
        </w:rPr>
        <w:t>.</w:t>
      </w:r>
    </w:p>
    <w:p w14:paraId="3AD74ABB" w14:textId="77777777" w:rsidR="00C17CB4" w:rsidRDefault="00C17CB4" w:rsidP="00C17CB4">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t>En el marco de</w:t>
      </w:r>
      <w:r w:rsidRPr="004157FA">
        <w:rPr>
          <w:rFonts w:ascii="Verdana" w:eastAsia="Calibri" w:hAnsi="Verdana" w:cs="Arial"/>
          <w:color w:val="000000" w:themeColor="text1"/>
          <w:lang w:val="es-MX"/>
        </w:rPr>
        <w:t xml:space="preserve"> tal ejercicio de autorregulación que implica la expedición de sus propios reglamentos, las bolsas de productos tienen la posibilidad de definir distintas modalidades para llevar a cabo las negociaciones de los productos, establecer sus requisitos, procedimientos e incluso determinar documentación que deberá ser producida en el marco de las operaciones que se lleven a cabo. Tal documentación relativa a la ocurrencia de las operaciones bursátiles, regulada por los reglamentos de las respectivas bolsas, es a la que se refiere el artículo 2.2.1.1.1.7.1 del Decreto 1082 de 2015.</w:t>
      </w:r>
    </w:p>
    <w:p w14:paraId="705AB1CF" w14:textId="77777777" w:rsidR="00C17CB4" w:rsidRPr="0051718B" w:rsidRDefault="00C17CB4" w:rsidP="00C17CB4">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lang w:val="es-MX"/>
        </w:rPr>
        <w:t>Un ejemplo de estos documentos lo encontramos en el Reglamento de la Bolsa Mercantil de Colombia</w:t>
      </w:r>
      <w:r>
        <w:rPr>
          <w:rStyle w:val="Refdenotaalpie"/>
          <w:rFonts w:ascii="Verdana" w:eastAsia="Calibri" w:hAnsi="Verdana" w:cs="Arial"/>
          <w:color w:val="000000" w:themeColor="text1"/>
          <w:lang w:val="es-MX"/>
        </w:rPr>
        <w:footnoteReference w:id="23"/>
      </w:r>
      <w:r w:rsidRPr="004157FA">
        <w:rPr>
          <w:rFonts w:ascii="Verdana" w:eastAsia="Calibri" w:hAnsi="Verdana" w:cs="Arial"/>
          <w:color w:val="000000" w:themeColor="text1"/>
          <w:lang w:val="es-MX"/>
        </w:rPr>
        <w:t>, que en el marco de la regulación de las generalidades de los escenarios de negociación en rueda de viva voz, en el artículo 3.2.2.1.8, alude la necesidad de dejar constancia de las operaciones realizadas a través de la bolsa en “un documento idóneo, suscrito por las sociedades comisionistas miembros de la Bolsa que lo celebren y por un representante de la Bolsa debidamente facultado para tal efecto”, documento que titula comprobante de transacción</w:t>
      </w:r>
      <w:r>
        <w:rPr>
          <w:rStyle w:val="Refdenotaalpie"/>
          <w:rFonts w:ascii="Verdana" w:eastAsia="Calibri" w:hAnsi="Verdana" w:cs="Arial"/>
          <w:color w:val="000000" w:themeColor="text1"/>
          <w:lang w:val="es-MX"/>
        </w:rPr>
        <w:footnoteReference w:id="24"/>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Otro ejemplo se encuentra en el </w:t>
      </w:r>
      <w:r w:rsidRPr="004157FA">
        <w:rPr>
          <w:rFonts w:ascii="Verdana" w:eastAsia="Calibri" w:hAnsi="Verdana" w:cs="Arial"/>
          <w:color w:val="000000" w:themeColor="text1"/>
          <w:lang w:val="es-MX"/>
        </w:rPr>
        <w:lastRenderedPageBreak/>
        <w:t xml:space="preserve">artículo 3.2.2.4.4. del referido reglamento, que en dentro de la regulación de la metodología de subasta como mecanismo de negociación, establece la obligación de la Bolsa de elaborar “un Instructivo Operativo que recoja las condiciones, aspectos operativos y criterios de adjudicación, en forma clara y completa, así como las demás que correspondan según el tipo de subasta que se </w:t>
      </w:r>
      <w:r w:rsidRPr="004157FA">
        <w:rPr>
          <w:rFonts w:ascii="Verdana" w:hAnsi="Verdana" w:cs="Arial"/>
          <w:lang w:val="es-MX"/>
        </w:rPr>
        <w:t>requiera adelantar (…).”</w:t>
      </w:r>
    </w:p>
    <w:p w14:paraId="62645625" w14:textId="77777777" w:rsidR="00C17CB4" w:rsidRDefault="00C17CB4" w:rsidP="00C17CB4">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t>Conforme a</w:t>
      </w:r>
      <w:r w:rsidRPr="004157FA">
        <w:rPr>
          <w:rFonts w:ascii="Verdana" w:eastAsia="Calibri" w:hAnsi="Verdana" w:cs="Arial"/>
          <w:color w:val="000000" w:themeColor="text1"/>
          <w:lang w:val="es-MX"/>
        </w:rPr>
        <w:t xml:space="preserve"> lo anterior, la excepción que hace el artículo 2.2.1.1.1.7.1 del Decreto 1082 de 2015 al deber de publicar en el SECOP los documentos en los que se refleja la actividad contractual de las entidades estatales,  se refiere a este tipo de documentos, que se relacionan directamente con las operaciones bursátiles que celebra el comisionista para la adquisición, dentro de la respectiva bolsa, de los bienes y servicios de características técnicas uniformes y de común utilización que le han sido encargados por la entidad estatal. Estos documentos, al ser expedidos en el marco del funcionamiento de la bolsa, y de acuerdo con la reglamentación expedida por esta, están exceptuados de la publicación en el SECOP por el reglamento especial y particular.</w:t>
      </w:r>
    </w:p>
    <w:p w14:paraId="3E49C4B3" w14:textId="2C681E4E" w:rsidR="00C17CB4" w:rsidRDefault="00C17CB4" w:rsidP="00C17CB4">
      <w:pPr>
        <w:spacing w:after="120" w:line="276" w:lineRule="auto"/>
        <w:ind w:firstLine="709"/>
        <w:jc w:val="both"/>
        <w:rPr>
          <w:rFonts w:ascii="Verdana" w:hAnsi="Verdana" w:cs="Arial"/>
        </w:rPr>
      </w:pPr>
      <w:r w:rsidRPr="00F751A8">
        <w:rPr>
          <w:rFonts w:ascii="Verdana" w:hAnsi="Verdana" w:cs="Arial"/>
          <w:lang w:val="es-MX"/>
        </w:rPr>
        <w:t xml:space="preserve">Finalmente, el parágrafo 1 de artículo 2.2.1.2.1.2.12, faculta a </w:t>
      </w:r>
      <w:r w:rsidRPr="00F751A8">
        <w:rPr>
          <w:rFonts w:ascii="Verdana" w:hAnsi="Verdana" w:cs="Arial"/>
        </w:rPr>
        <w:t>la Agencia Nacional de contratación Pública - Colombia Compra Eficiente para definir los lineamientos generales, así como los criterios objetivos y medibles con arreglo a los cuales, las entidades estatales deben realizar sus adquisiciones de bienes o servicios de características técnicas uniformes.</w:t>
      </w:r>
    </w:p>
    <w:p w14:paraId="4535A46E" w14:textId="26D70757" w:rsidR="4E1D6B97" w:rsidRDefault="3035890E" w:rsidP="4E1D6B97">
      <w:pPr>
        <w:pStyle w:val="NormalWeb"/>
        <w:spacing w:line="276" w:lineRule="auto"/>
        <w:jc w:val="both"/>
        <w:rPr>
          <w:rFonts w:ascii="Verdana" w:hAnsi="Verdana"/>
          <w:sz w:val="22"/>
          <w:szCs w:val="22"/>
        </w:rPr>
      </w:pPr>
      <w:r w:rsidRPr="4E1D6B97">
        <w:rPr>
          <w:rFonts w:ascii="Verdana" w:hAnsi="Verdana"/>
          <w:sz w:val="22"/>
          <w:szCs w:val="22"/>
        </w:rPr>
        <w:t xml:space="preserve">     Es imperioso que la entidad estatal al momento de elaborar los documentos y estudios previos y verificar la modalidad de selección aplicable para adquirir bienes y servicios como los referidos en la consulta, se allane a lo dispuesto en la Circular Externa 004 de 21 de septiembre de 2021 expedida por la Agencia Nacional del Contratación Pública Colombia Compra Eficiente, al regular lo siguiente: </w:t>
      </w:r>
    </w:p>
    <w:p w14:paraId="0D496F7B" w14:textId="45399AB5" w:rsidR="4E1D6B97" w:rsidRDefault="3035890E" w:rsidP="4E1D6B97">
      <w:pPr>
        <w:pStyle w:val="NormalWeb"/>
        <w:spacing w:line="276" w:lineRule="auto"/>
        <w:jc w:val="both"/>
        <w:rPr>
          <w:rFonts w:ascii="Verdana" w:hAnsi="Verdana"/>
          <w:sz w:val="22"/>
          <w:szCs w:val="22"/>
        </w:rPr>
      </w:pPr>
      <w:r w:rsidRPr="4E1D6B97">
        <w:rPr>
          <w:rFonts w:ascii="Verdana" w:hAnsi="Verdana"/>
          <w:sz w:val="22"/>
          <w:szCs w:val="22"/>
        </w:rPr>
        <w:t>“(...)</w:t>
      </w:r>
    </w:p>
    <w:p w14:paraId="14B1F4F8" w14:textId="23F767E6" w:rsidR="4E1D6B97" w:rsidRDefault="3035890E" w:rsidP="4E1D6B97">
      <w:pPr>
        <w:pStyle w:val="NormalWeb"/>
        <w:spacing w:line="276" w:lineRule="auto"/>
        <w:jc w:val="both"/>
        <w:rPr>
          <w:rFonts w:ascii="Verdana" w:hAnsi="Verdana"/>
          <w:i/>
          <w:iCs/>
          <w:sz w:val="22"/>
          <w:szCs w:val="22"/>
        </w:rPr>
      </w:pPr>
      <w:r w:rsidRPr="4E1D6B97">
        <w:rPr>
          <w:rFonts w:ascii="Verdana" w:hAnsi="Verdana"/>
          <w:sz w:val="22"/>
          <w:szCs w:val="22"/>
        </w:rPr>
        <w:t xml:space="preserve">           </w:t>
      </w:r>
      <w:r w:rsidRPr="4E1D6B97">
        <w:rPr>
          <w:rFonts w:ascii="Verdana" w:hAnsi="Verdana"/>
          <w:i/>
          <w:iCs/>
          <w:sz w:val="22"/>
          <w:szCs w:val="22"/>
        </w:rPr>
        <w:t xml:space="preserve">De conformidad con lo anterior, la entidad compradora deberá verificar si existe algún Acuerdo Marco de Precios cuyo catálogo ofrezca el bien o servicio requerido ante su necesidad. Una vez realizada dicha verificación, si la entidad </w:t>
      </w:r>
      <w:r w:rsidRPr="4E1D6B97">
        <w:rPr>
          <w:rFonts w:ascii="Verdana" w:hAnsi="Verdana"/>
          <w:i/>
          <w:iCs/>
          <w:sz w:val="22"/>
          <w:szCs w:val="22"/>
        </w:rPr>
        <w:lastRenderedPageBreak/>
        <w:t xml:space="preserve">evidencia que el Acuerdo Marco de Precios vigente satisface su requerimiento, se encontrará en la obligación de utilizarlo y efectuar la adquisición de dicho bien o servicio a través de la Tienda Virtual del Estado Colombiano. </w:t>
      </w:r>
    </w:p>
    <w:p w14:paraId="38F5CDB6" w14:textId="519EA77B" w:rsidR="4E1D6B97" w:rsidRDefault="007153FF" w:rsidP="007153FF">
      <w:pPr>
        <w:pStyle w:val="NormalWeb"/>
        <w:spacing w:line="276" w:lineRule="auto"/>
        <w:jc w:val="both"/>
      </w:pPr>
      <w:r>
        <w:rPr>
          <w:rFonts w:ascii="Verdana" w:hAnsi="Verdana"/>
          <w:i/>
          <w:iCs/>
          <w:sz w:val="22"/>
          <w:szCs w:val="22"/>
        </w:rPr>
        <w:t xml:space="preserve">           </w:t>
      </w:r>
      <w:r w:rsidR="3035890E" w:rsidRPr="4E1D6B97">
        <w:rPr>
          <w:rFonts w:ascii="Verdana" w:hAnsi="Verdana"/>
          <w:i/>
          <w:iCs/>
          <w:sz w:val="22"/>
          <w:szCs w:val="22"/>
        </w:rPr>
        <w:t>De otro lado, en virtud de lo establecido en el inciso primero del artículo 2.2.1.2.1.2.7 del Decreto 1082 de 2015, modificado por el artículo 1 del Decreto 310 de 2021, para el caso de las Entidades Estatales de la Rama Ejecutiva del Poder Público del orden nacional, obligadas a aplicar la Ley 80 de 1993 y la Ley 1150 de 2007, o las normas que las modifiquen, aclaren, adicionen o sustituyan deberán utilizar por regla general el Acuerdo Marco de Precios correspondiente. Esto, sin perjuicio de la residual posibilidad de la Entidad de adquirir sus bienes o servicios de características técnicas uniformes y común utilización, a través de las modalidades para el efecto descritas por el artículo 2 de la Ley 1150, en el caso de presentarse y demostrarse por parte del ente comprador, la ocurrencia de los supuestos del artículo 2.2.1.2.1.2.12. del Decreto 1082 de 2015, modificado por el artículo 2° del Decreto 310 de 2021”</w:t>
      </w:r>
      <w:r w:rsidR="3035890E" w:rsidRPr="4E1D6B97">
        <w:rPr>
          <w:rFonts w:ascii="Verdana" w:hAnsi="Verdana"/>
          <w:sz w:val="22"/>
          <w:szCs w:val="22"/>
        </w:rPr>
        <w:t>.</w:t>
      </w:r>
    </w:p>
    <w:p w14:paraId="2F0BD926" w14:textId="77777777" w:rsidR="00C17CB4" w:rsidRDefault="00C17CB4" w:rsidP="00C17CB4">
      <w:pPr>
        <w:spacing w:after="120" w:line="276" w:lineRule="auto"/>
        <w:ind w:firstLine="709"/>
        <w:jc w:val="both"/>
        <w:rPr>
          <w:rFonts w:ascii="Verdana" w:hAnsi="Verdana" w:cs="Arial"/>
        </w:rPr>
      </w:pPr>
      <w:r>
        <w:rPr>
          <w:rFonts w:ascii="Verdana" w:hAnsi="Verdana" w:cs="Arial"/>
        </w:rPr>
        <w:t>En ese orden de ideas, d</w:t>
      </w:r>
      <w:r w:rsidRPr="00F751A8">
        <w:rPr>
          <w:rFonts w:ascii="Verdana" w:hAnsi="Verdana" w:cs="Arial"/>
        </w:rPr>
        <w:t>icha facultad fue ejercida a través de la Circular CCE-004 del 21 de septiembre de 2021</w:t>
      </w:r>
      <w:r>
        <w:rPr>
          <w:rStyle w:val="Refdenotaalpie"/>
          <w:rFonts w:ascii="Verdana" w:hAnsi="Verdana" w:cs="Arial"/>
        </w:rPr>
        <w:footnoteReference w:id="25"/>
      </w:r>
      <w:r>
        <w:rPr>
          <w:rFonts w:ascii="Verdana" w:hAnsi="Verdana" w:cs="Arial"/>
        </w:rPr>
        <w:t xml:space="preserve">, </w:t>
      </w:r>
      <w:r w:rsidRPr="00F751A8">
        <w:rPr>
          <w:rFonts w:ascii="Verdana" w:hAnsi="Verdana" w:cs="Arial"/>
        </w:rPr>
        <w:t xml:space="preserve">en la que además del Plan Operativo de Despliegue para materializar el régimen de obligatoriedad de la utilización de los acuerdos marco de precios, se establecieron unos criterios con base en los cuales las entidades estatales deben sustentar la escogencia del respectivo mecanismo para adquirir los bienes y/o servicios de características técnicas uniformes que requieran. Dentro de estos encontramos: </w:t>
      </w:r>
    </w:p>
    <w:p w14:paraId="749663A3" w14:textId="77777777" w:rsidR="00C17CB4" w:rsidRPr="00841950" w:rsidRDefault="00C17CB4" w:rsidP="00C17CB4">
      <w:pPr>
        <w:pStyle w:val="Prrafodelista"/>
        <w:numPr>
          <w:ilvl w:val="0"/>
          <w:numId w:val="18"/>
        </w:numPr>
        <w:spacing w:after="120" w:line="276" w:lineRule="auto"/>
        <w:jc w:val="both"/>
        <w:rPr>
          <w:rFonts w:ascii="Verdana" w:hAnsi="Verdana" w:cs="Arial"/>
        </w:rPr>
      </w:pPr>
      <w:r w:rsidRPr="00841950">
        <w:rPr>
          <w:rFonts w:ascii="Verdana" w:hAnsi="Verdana" w:cs="Arial"/>
        </w:rPr>
        <w:t>validación de la disponibilidad del Bien o Servicio requerido por la entidad estatal en los catálogos de bienes y servicios ofrecidos en los acuerdos marco vigentes en la Tienda Virtual del Estado Colombiano;</w:t>
      </w:r>
    </w:p>
    <w:p w14:paraId="48796671" w14:textId="77777777" w:rsidR="00C17CB4" w:rsidRDefault="00C17CB4" w:rsidP="00C17CB4">
      <w:pPr>
        <w:pStyle w:val="Prrafodelista"/>
        <w:numPr>
          <w:ilvl w:val="0"/>
          <w:numId w:val="18"/>
        </w:numPr>
        <w:spacing w:after="120" w:line="276" w:lineRule="auto"/>
        <w:jc w:val="both"/>
        <w:rPr>
          <w:rFonts w:ascii="Verdana" w:hAnsi="Verdana" w:cs="Arial"/>
        </w:rPr>
      </w:pPr>
      <w:r w:rsidRPr="00841950">
        <w:rPr>
          <w:rFonts w:ascii="Verdana" w:hAnsi="Verdana" w:cs="Arial"/>
        </w:rPr>
        <w:t xml:space="preserve">existencia de un Acuerdo Marco de precios y disponibilidad de los mismos bienes y/o servicios a través de la Bolsa de Productos; </w:t>
      </w:r>
    </w:p>
    <w:p w14:paraId="00898EF0" w14:textId="71A94876" w:rsidR="00C17CB4" w:rsidRPr="00150D4F" w:rsidRDefault="00C17CB4" w:rsidP="00C17CB4">
      <w:pPr>
        <w:pStyle w:val="Prrafodelista"/>
        <w:numPr>
          <w:ilvl w:val="0"/>
          <w:numId w:val="18"/>
        </w:numPr>
        <w:spacing w:after="120" w:line="276" w:lineRule="auto"/>
        <w:jc w:val="both"/>
        <w:rPr>
          <w:rFonts w:ascii="Verdana" w:hAnsi="Verdana" w:cs="Arial"/>
        </w:rPr>
      </w:pPr>
      <w:r w:rsidRPr="000C3A45">
        <w:rPr>
          <w:rFonts w:ascii="Verdana" w:hAnsi="Verdana" w:cs="Arial"/>
        </w:rPr>
        <w:t xml:space="preserve">no existencia de un Acuerdo Marco de precios.        </w:t>
      </w:r>
    </w:p>
    <w:p w14:paraId="20AD0E05" w14:textId="1664854E" w:rsidR="00C17CB4" w:rsidRPr="00150D4F" w:rsidRDefault="00C17CB4" w:rsidP="00150D4F">
      <w:pPr>
        <w:spacing w:after="120" w:line="276" w:lineRule="auto"/>
        <w:jc w:val="both"/>
        <w:rPr>
          <w:rFonts w:ascii="Verdana" w:eastAsia="Calibri" w:hAnsi="Verdana" w:cs="Arial"/>
          <w:lang w:val="es-MX"/>
        </w:rPr>
      </w:pPr>
      <w:r>
        <w:rPr>
          <w:rFonts w:ascii="Verdana" w:hAnsi="Verdana" w:cs="Arial"/>
        </w:rPr>
        <w:t xml:space="preserve"> </w:t>
      </w:r>
      <w:bookmarkStart w:id="8" w:name="OLE_LINK2"/>
      <w:r w:rsidR="00150D4F">
        <w:rPr>
          <w:rFonts w:ascii="Verdana" w:hAnsi="Verdana" w:cs="Arial"/>
        </w:rPr>
        <w:t xml:space="preserve">        </w:t>
      </w:r>
      <w:r w:rsidRPr="00F5610C">
        <w:rPr>
          <w:rFonts w:ascii="Verdana" w:hAnsi="Verdana" w:cs="Arial"/>
        </w:rPr>
        <w:t xml:space="preserve">Así las cosas, se puede concluir </w:t>
      </w:r>
      <w:r w:rsidRPr="00F5610C">
        <w:rPr>
          <w:rFonts w:ascii="Verdana" w:hAnsi="Verdana"/>
        </w:rPr>
        <w:t>que en el mecanismo de adquisición</w:t>
      </w:r>
      <w:r>
        <w:rPr>
          <w:rFonts w:ascii="Verdana" w:hAnsi="Verdana"/>
        </w:rPr>
        <w:t xml:space="preserve"> de bienes de características técnicas uniformes donde se cumplan los requisitos </w:t>
      </w:r>
      <w:r>
        <w:rPr>
          <w:rFonts w:ascii="Verdana" w:eastAsia="Calibri" w:hAnsi="Verdana" w:cs="Arial"/>
          <w:lang w:val="es-MX"/>
        </w:rPr>
        <w:t xml:space="preserve">del </w:t>
      </w:r>
      <w:r w:rsidRPr="00844B92">
        <w:rPr>
          <w:rFonts w:ascii="Verdana" w:eastAsia="Calibri" w:hAnsi="Verdana" w:cs="Arial"/>
          <w:lang w:val="es-MX"/>
        </w:rPr>
        <w:t xml:space="preserve"> artículo 2.2.1.2.1.2.12 del Decreto 1082 de 2015, modificado por el artículo 2 </w:t>
      </w:r>
      <w:r w:rsidRPr="00844B92">
        <w:rPr>
          <w:rFonts w:ascii="Verdana" w:eastAsia="Calibri" w:hAnsi="Verdana" w:cs="Arial"/>
          <w:lang w:val="es-MX"/>
        </w:rPr>
        <w:lastRenderedPageBreak/>
        <w:t>del Decreto 310 del 25 de marzo de 202</w:t>
      </w:r>
      <w:r>
        <w:rPr>
          <w:rFonts w:ascii="Verdana" w:eastAsia="Calibri" w:hAnsi="Verdana" w:cs="Arial"/>
          <w:lang w:val="es-MX"/>
        </w:rPr>
        <w:t xml:space="preserve">1, trae </w:t>
      </w:r>
      <w:r w:rsidRPr="00F5610C">
        <w:rPr>
          <w:rFonts w:ascii="Verdana" w:hAnsi="Verdana"/>
        </w:rPr>
        <w:t xml:space="preserve">la figura de la comisión </w:t>
      </w:r>
      <w:r>
        <w:rPr>
          <w:rFonts w:ascii="Verdana" w:hAnsi="Verdana"/>
        </w:rPr>
        <w:t>como</w:t>
      </w:r>
      <w:r w:rsidRPr="00F5610C">
        <w:rPr>
          <w:rFonts w:ascii="Verdana" w:hAnsi="Verdana"/>
        </w:rPr>
        <w:t xml:space="preserve"> un elemento</w:t>
      </w:r>
      <w:r>
        <w:rPr>
          <w:rFonts w:ascii="Verdana" w:hAnsi="Verdana"/>
        </w:rPr>
        <w:t xml:space="preserve"> natural, del proceso de bolsa mercantil;  a través del cual l</w:t>
      </w:r>
      <w:r w:rsidRPr="00F5610C">
        <w:rPr>
          <w:rFonts w:ascii="Verdana" w:hAnsi="Verdana"/>
        </w:rPr>
        <w:t xml:space="preserve">a entidad estatal no compra directamente, sino que contrata a un intermediario llamado "comisionista" para que realice la negociación en su nombre, </w:t>
      </w:r>
      <w:r>
        <w:rPr>
          <w:rFonts w:ascii="Verdana" w:hAnsi="Verdana"/>
        </w:rPr>
        <w:t>siempre y cuando se analicen</w:t>
      </w:r>
      <w:r w:rsidRPr="00F5610C">
        <w:rPr>
          <w:rFonts w:ascii="Verdana" w:hAnsi="Verdana"/>
        </w:rPr>
        <w:t xml:space="preserve"> previamente los </w:t>
      </w:r>
      <w:r w:rsidR="30552BDD" w:rsidRPr="4E1D6B97">
        <w:rPr>
          <w:rFonts w:ascii="Verdana" w:hAnsi="Verdana"/>
        </w:rPr>
        <w:t xml:space="preserve">requisitos previstos en la Circular externa 004 de 2021, se revisen los </w:t>
      </w:r>
      <w:r w:rsidRPr="00F5610C">
        <w:rPr>
          <w:rFonts w:ascii="Verdana" w:hAnsi="Verdana"/>
        </w:rPr>
        <w:t>costos asociados a este servicio, incluyendo el "valor de la comisión"</w:t>
      </w:r>
      <w:r>
        <w:rPr>
          <w:rFonts w:ascii="Verdana" w:hAnsi="Verdana"/>
        </w:rPr>
        <w:t xml:space="preserve">, para determinar que es procedente realizar la selección abreviada por bolsa mercantil. </w:t>
      </w:r>
      <w:bookmarkEnd w:id="5"/>
      <w:bookmarkEnd w:id="8"/>
    </w:p>
    <w:p w14:paraId="29FF9A01" w14:textId="77777777" w:rsidR="00C17CB4" w:rsidRPr="00593A5F" w:rsidRDefault="00C17CB4" w:rsidP="00C17C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DC3D714" w14:textId="77777777" w:rsidR="00C17CB4" w:rsidRPr="00593A5F" w:rsidRDefault="00C17CB4" w:rsidP="00C17CB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17CB4" w:rsidRPr="00593A5F" w14:paraId="681C141F" w14:textId="77777777" w:rsidTr="00CE4AB1">
        <w:trPr>
          <w:trHeight w:val="870"/>
        </w:trPr>
        <w:tc>
          <w:tcPr>
            <w:tcW w:w="8647" w:type="dxa"/>
          </w:tcPr>
          <w:p w14:paraId="6D1EF560" w14:textId="77777777" w:rsidR="00C17CB4" w:rsidRPr="00C05F78" w:rsidRDefault="00C17CB4" w:rsidP="00C17CB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F145EE">
              <w:rPr>
                <w:rFonts w:ascii="Verdana" w:hAnsi="Verdana" w:cs="Arial"/>
              </w:rPr>
              <w:t>Código Civil, artículos 28 y 29.</w:t>
            </w:r>
          </w:p>
          <w:p w14:paraId="57B85F48" w14:textId="77777777" w:rsidR="00C17CB4" w:rsidRDefault="00C17CB4" w:rsidP="00C17CB4">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Ley 80 de 1993, artículo 13 y 32</w:t>
            </w:r>
          </w:p>
          <w:p w14:paraId="572C2D4A" w14:textId="77777777" w:rsidR="00C17CB4" w:rsidRPr="00F145EE" w:rsidRDefault="00C17CB4" w:rsidP="00C17CB4">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F145EE">
              <w:rPr>
                <w:rFonts w:ascii="Verdana" w:hAnsi="Verdana" w:cs="Arial"/>
              </w:rPr>
              <w:t>Ley 1150 de 2007, artículo 2</w:t>
            </w:r>
            <w:r>
              <w:rPr>
                <w:rFonts w:ascii="Verdana" w:hAnsi="Verdana" w:cs="Arial"/>
              </w:rPr>
              <w:t xml:space="preserve"> numeral 2.</w:t>
            </w:r>
          </w:p>
          <w:p w14:paraId="54D24B72" w14:textId="77777777" w:rsidR="00C17CB4" w:rsidRPr="006072E8" w:rsidRDefault="00C17CB4" w:rsidP="00C17CB4">
            <w:pPr>
              <w:pStyle w:val="Prrafodelista"/>
              <w:widowControl w:val="0"/>
              <w:numPr>
                <w:ilvl w:val="0"/>
                <w:numId w:val="17"/>
              </w:numPr>
              <w:autoSpaceDE w:val="0"/>
              <w:autoSpaceDN w:val="0"/>
              <w:spacing w:line="276" w:lineRule="auto"/>
              <w:ind w:left="714" w:hanging="357"/>
              <w:contextualSpacing w:val="0"/>
              <w:jc w:val="both"/>
              <w:rPr>
                <w:color w:val="000000" w:themeColor="text1"/>
                <w:lang w:val="es-ES_tradnl"/>
              </w:rPr>
            </w:pPr>
            <w:r w:rsidRPr="00F145EE">
              <w:rPr>
                <w:rFonts w:ascii="Verdana" w:hAnsi="Verdana" w:cs="Arial"/>
              </w:rPr>
              <w:t xml:space="preserve">Decreto 1082 de 2015, artículos 2.2.2.1.1.1.3.1, </w:t>
            </w:r>
            <w:r w:rsidRPr="00F145EE">
              <w:rPr>
                <w:rFonts w:ascii="Verdana" w:eastAsia="Calibri" w:hAnsi="Verdana" w:cs="Arial"/>
                <w:bCs/>
                <w:color w:val="000000" w:themeColor="text1"/>
              </w:rPr>
              <w:t>2.2.1.1.2.2.2</w:t>
            </w:r>
            <w:r w:rsidRPr="00F145EE">
              <w:rPr>
                <w:rFonts w:ascii="Verdana" w:hAnsi="Verdana" w:cs="Arial"/>
              </w:rPr>
              <w:t xml:space="preserve"> </w:t>
            </w:r>
            <w:r w:rsidRPr="00F145EE">
              <w:rPr>
                <w:rFonts w:ascii="Verdana" w:eastAsia="Calibri" w:hAnsi="Verdana" w:cs="Arial"/>
                <w:bCs/>
                <w:color w:val="000000" w:themeColor="text1"/>
              </w:rPr>
              <w:t>2.2.1.2.4.2.10, 2.2.1.2.4.2.11, 2.2.1.2.4.2.12</w:t>
            </w:r>
            <w:r>
              <w:rPr>
                <w:rFonts w:ascii="Verdana" w:eastAsia="Calibri" w:hAnsi="Verdana" w:cs="Arial"/>
                <w:bCs/>
                <w:color w:val="000000" w:themeColor="text1"/>
              </w:rPr>
              <w:t xml:space="preserve">, </w:t>
            </w:r>
            <w:r w:rsidRPr="00F145EE">
              <w:rPr>
                <w:rFonts w:ascii="Verdana" w:eastAsia="Calibri" w:hAnsi="Verdana" w:cs="Arial"/>
                <w:bCs/>
                <w:color w:val="000000" w:themeColor="text1"/>
              </w:rPr>
              <w:t>2.2.1.2.4.2.13</w:t>
            </w:r>
            <w:r>
              <w:rPr>
                <w:rFonts w:ascii="Verdana" w:eastAsia="Calibri" w:hAnsi="Verdana" w:cs="Arial"/>
                <w:bCs/>
                <w:color w:val="000000" w:themeColor="text1"/>
              </w:rPr>
              <w:t xml:space="preserve">, </w:t>
            </w:r>
            <w:r w:rsidRPr="00C75FC4">
              <w:rPr>
                <w:rFonts w:ascii="Verdana" w:eastAsia="Times New Roman" w:hAnsi="Verdana" w:cs="Calibri"/>
                <w:color w:val="000000"/>
                <w:shd w:val="clear" w:color="auto" w:fill="FFFFFF"/>
                <w:lang w:eastAsia="es-CO"/>
              </w:rPr>
              <w:t xml:space="preserve">2.2.1.2.1.2.11 </w:t>
            </w:r>
            <w:r>
              <w:rPr>
                <w:rFonts w:ascii="Verdana" w:eastAsia="Times New Roman" w:hAnsi="Verdana" w:cs="Calibri"/>
                <w:color w:val="000000"/>
                <w:shd w:val="clear" w:color="auto" w:fill="FFFFFF"/>
                <w:lang w:eastAsia="es-CO"/>
              </w:rPr>
              <w:t>a</w:t>
            </w:r>
            <w:r w:rsidRPr="00C75FC4">
              <w:rPr>
                <w:rFonts w:ascii="Verdana" w:eastAsia="Times New Roman" w:hAnsi="Verdana" w:cs="Calibri"/>
                <w:color w:val="000000"/>
                <w:shd w:val="clear" w:color="auto" w:fill="FFFFFF"/>
                <w:lang w:eastAsia="es-CO"/>
              </w:rPr>
              <w:t xml:space="preserve"> 2.2.1.2.1.2.19</w:t>
            </w:r>
          </w:p>
          <w:p w14:paraId="22A52CE8" w14:textId="77777777" w:rsidR="00C17CB4" w:rsidRPr="00C75FC4" w:rsidRDefault="00C17CB4" w:rsidP="00C17CB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 xml:space="preserve">Decreto 2555 de 2010 </w:t>
            </w:r>
          </w:p>
          <w:p w14:paraId="35B8879D" w14:textId="77777777" w:rsidR="00C17CB4" w:rsidRPr="006072E8" w:rsidRDefault="00C17CB4" w:rsidP="00C17CB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Decreto 310 de 2021, articulo 2.</w:t>
            </w:r>
          </w:p>
          <w:p w14:paraId="033768E2" w14:textId="77777777" w:rsidR="00C17CB4" w:rsidRPr="006072E8" w:rsidRDefault="00C17CB4" w:rsidP="00C17CB4">
            <w:pPr>
              <w:pStyle w:val="Prrafodelista"/>
              <w:widowControl w:val="0"/>
              <w:numPr>
                <w:ilvl w:val="0"/>
                <w:numId w:val="17"/>
              </w:numPr>
              <w:autoSpaceDE w:val="0"/>
              <w:autoSpaceDN w:val="0"/>
              <w:spacing w:line="276" w:lineRule="auto"/>
              <w:contextualSpacing w:val="0"/>
              <w:jc w:val="both"/>
              <w:rPr>
                <w:rFonts w:ascii="Verdana" w:hAnsi="Verdana" w:cs="Arial"/>
              </w:rPr>
            </w:pPr>
            <w:r w:rsidRPr="00B81379">
              <w:rPr>
                <w:rFonts w:ascii="Verdana" w:eastAsia="Calibri" w:hAnsi="Verdana"/>
                <w:color w:val="000000" w:themeColor="text1"/>
              </w:rPr>
              <w:t>Circular Externa Única</w:t>
            </w:r>
            <w:r>
              <w:rPr>
                <w:rFonts w:ascii="Verdana" w:eastAsia="Calibri" w:hAnsi="Verdana"/>
                <w:color w:val="000000" w:themeColor="text1"/>
              </w:rPr>
              <w:t xml:space="preserve"> expedida</w:t>
            </w:r>
            <w:r w:rsidRPr="00B81379">
              <w:rPr>
                <w:rFonts w:ascii="Verdana" w:eastAsia="Calibri" w:hAnsi="Verdana"/>
                <w:color w:val="000000" w:themeColor="text1"/>
              </w:rPr>
              <w:t xml:space="preserve"> por la Agencia Nacional de Contratación Pública – Colombia Compra Eficiente</w:t>
            </w:r>
            <w:r>
              <w:rPr>
                <w:rFonts w:ascii="Verdana" w:eastAsia="Calibri" w:hAnsi="Verdana"/>
                <w:color w:val="000000" w:themeColor="text1"/>
              </w:rPr>
              <w:t>.</w:t>
            </w:r>
          </w:p>
          <w:p w14:paraId="7FBF4737" w14:textId="77777777" w:rsidR="00C17CB4" w:rsidRPr="00AC742F" w:rsidRDefault="00C17CB4" w:rsidP="00C17CB4">
            <w:pPr>
              <w:pStyle w:val="Prrafodelista"/>
              <w:widowControl w:val="0"/>
              <w:numPr>
                <w:ilvl w:val="0"/>
                <w:numId w:val="17"/>
              </w:numPr>
              <w:autoSpaceDE w:val="0"/>
              <w:autoSpaceDN w:val="0"/>
              <w:spacing w:line="276" w:lineRule="auto"/>
              <w:contextualSpacing w:val="0"/>
              <w:jc w:val="both"/>
              <w:rPr>
                <w:rFonts w:ascii="Verdana" w:hAnsi="Verdana" w:cs="Arial"/>
              </w:rPr>
            </w:pPr>
            <w:r w:rsidRPr="00C75FC4">
              <w:rPr>
                <w:rFonts w:ascii="Verdana" w:hAnsi="Verdana" w:cs="Arial"/>
              </w:rPr>
              <w:t xml:space="preserve">Circular CCE-004 del 21 de septiembre de 2021. Disponible: </w:t>
            </w:r>
            <w:hyperlink r:id="rId12" w:history="1">
              <w:r w:rsidRPr="00C75FC4">
                <w:rPr>
                  <w:rStyle w:val="Hipervnculo"/>
                  <w:rFonts w:ascii="Verdana" w:hAnsi="Verdana" w:cs="Arial"/>
                </w:rPr>
                <w:t>vf_circular_externa_004_de_2021_002_2.pdf (colombiacompra.gov.co)</w:t>
              </w:r>
            </w:hyperlink>
          </w:p>
        </w:tc>
      </w:tr>
    </w:tbl>
    <w:p w14:paraId="183CE5DF" w14:textId="77777777" w:rsidR="00C17CB4" w:rsidRPr="00593A5F" w:rsidRDefault="00C17CB4" w:rsidP="00C17CB4">
      <w:pPr>
        <w:widowControl w:val="0"/>
        <w:autoSpaceDE w:val="0"/>
        <w:autoSpaceDN w:val="0"/>
        <w:spacing w:after="0" w:line="276" w:lineRule="auto"/>
        <w:jc w:val="both"/>
        <w:rPr>
          <w:rFonts w:ascii="Verdana" w:hAnsi="Verdana" w:cs="Arial"/>
        </w:rPr>
      </w:pPr>
    </w:p>
    <w:p w14:paraId="734B521B" w14:textId="77777777" w:rsidR="00C17CB4" w:rsidRPr="00593A5F" w:rsidRDefault="00C17CB4" w:rsidP="00C17C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99DB8F" w14:textId="77777777" w:rsidR="00C17CB4" w:rsidRDefault="00C17CB4" w:rsidP="00C17CB4">
      <w:pPr>
        <w:widowControl w:val="0"/>
        <w:autoSpaceDE w:val="0"/>
        <w:autoSpaceDN w:val="0"/>
        <w:spacing w:after="0" w:line="276" w:lineRule="auto"/>
        <w:jc w:val="both"/>
        <w:rPr>
          <w:rFonts w:ascii="Verdana" w:hAnsi="Verdana" w:cs="Arial"/>
        </w:rPr>
      </w:pPr>
    </w:p>
    <w:p w14:paraId="4888B944" w14:textId="266BB14D" w:rsidR="00C17CB4" w:rsidRPr="00593A5F" w:rsidRDefault="00C17CB4" w:rsidP="00C17CB4">
      <w:pPr>
        <w:widowControl w:val="0"/>
        <w:autoSpaceDE w:val="0"/>
        <w:autoSpaceDN w:val="0"/>
        <w:spacing w:after="0" w:line="276" w:lineRule="auto"/>
        <w:jc w:val="both"/>
        <w:rPr>
          <w:rFonts w:ascii="Verdana" w:hAnsi="Verdana" w:cs="Arial"/>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definición de los </w:t>
      </w:r>
      <w:r w:rsidRPr="00CC71AC">
        <w:rPr>
          <w:rFonts w:ascii="Verdana" w:hAnsi="Verdana" w:cs="Arial"/>
          <w:shd w:val="clear" w:color="auto" w:fill="FFFFFF"/>
        </w:rPr>
        <w:t>bienes y servicios de características técnicas uniformes</w:t>
      </w:r>
      <w:r>
        <w:rPr>
          <w:rFonts w:ascii="Verdana" w:hAnsi="Verdana" w:cs="Arial"/>
          <w:shd w:val="clear" w:color="auto" w:fill="FFFFFF"/>
        </w:rPr>
        <w:t xml:space="preserve"> en los Conceptos </w:t>
      </w:r>
      <w:r w:rsidRPr="001816D5">
        <w:rPr>
          <w:rFonts w:ascii="Verdana" w:hAnsi="Verdana" w:cs="Arial"/>
          <w:shd w:val="clear" w:color="auto" w:fill="FFFFFF"/>
        </w:rPr>
        <w:t>C-678 de 24 de noviembre de 2020</w:t>
      </w:r>
      <w:r>
        <w:rPr>
          <w:rFonts w:ascii="Verdana" w:hAnsi="Verdana" w:cs="Arial"/>
          <w:shd w:val="clear" w:color="auto" w:fill="FFFFFF"/>
        </w:rPr>
        <w:t>, C-024 de 24 de febrero de 2021, C-123 de 5 de abril de 2021, C-565 de 12 de septiembre de 2022, C-669 de 18 de octubre de 2022, C-850 de 16 de diciembre de 2022, C-905 de 28 de diciembre de 2022, C-957 de 30 de enero de 2023, C-064 de 5 de junio de 2023, C-456 del 27 de octubre de 2023, C-597 de 8 de noviembre de 2024, C-628 de 30 de octubre de 2024, C-749 de 12 de noviembre de 2024, C-787 de 19 de noviembre de 2024, C-103 del 14 de febrero de 2025 y C-136 del 7 de marzo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se encuentran disponibles para consulta en el Sistema de relatoría de la Agencia, al cual puede accederse a través del siguiente enlace</w:t>
      </w:r>
      <w:r w:rsidR="00B30FE0">
        <w:rPr>
          <w:rStyle w:val="normaltextrun"/>
          <w:rFonts w:ascii="Verdana" w:hAnsi="Verdana" w:cs="Arial"/>
          <w:shd w:val="clear" w:color="auto" w:fill="FFFFFF"/>
        </w:rPr>
        <w:t>:</w:t>
      </w:r>
      <w:r w:rsidR="00B30FE0" w:rsidRPr="00B30FE0">
        <w:t xml:space="preserve"> </w:t>
      </w:r>
      <w:hyperlink r:id="rId13" w:history="1">
        <w:r w:rsidR="00B30FE0" w:rsidRPr="00542CA3">
          <w:rPr>
            <w:rStyle w:val="Hipervnculo"/>
            <w:rFonts w:ascii="Verdana" w:hAnsi="Verdana" w:cs="Arial"/>
            <w:shd w:val="clear" w:color="auto" w:fill="FFFFFF"/>
          </w:rPr>
          <w:t>https://relatoria.colombiacompra.gov.co/busqueda/conceptos</w:t>
        </w:r>
      </w:hyperlink>
      <w:r w:rsidR="00B30FE0" w:rsidRPr="00542CA3">
        <w:rPr>
          <w:rFonts w:ascii="Verdana" w:hAnsi="Verdana" w:cs="Arial"/>
          <w:shd w:val="clear" w:color="auto" w:fill="FFFFFF"/>
        </w:rPr>
        <w:t xml:space="preserve">. </w:t>
      </w:r>
      <w:r w:rsidR="00B30FE0" w:rsidRPr="00542CA3">
        <w:rPr>
          <w:rFonts w:ascii="Verdana" w:hAnsi="Verdana" w:cs="Arial"/>
          <w:shd w:val="clear" w:color="auto" w:fill="FFFFFF"/>
          <w:lang w:val="es-ES"/>
        </w:rPr>
        <w:t xml:space="preserve"> </w:t>
      </w:r>
    </w:p>
    <w:p w14:paraId="40384802" w14:textId="7B2D1F0F" w:rsidR="00C17CB4" w:rsidRDefault="00C17CB4" w:rsidP="00C17CB4">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A1554D">
        <w:rPr>
          <w:rStyle w:val="normaltextrun"/>
          <w:rFonts w:ascii="Verdana" w:hAnsi="Verdana" w:cs="Arial"/>
          <w:color w:val="FF0000"/>
          <w:shd w:val="clear" w:color="auto" w:fill="FFFFFF"/>
          <w:lang w:val="es-ES"/>
        </w:rPr>
        <w:fldChar w:fldCharType="begin"/>
      </w:r>
      <w:r w:rsidRPr="00A1554D">
        <w:rPr>
          <w:rStyle w:val="normaltextrun"/>
          <w:rFonts w:ascii="Verdana" w:hAnsi="Verdana" w:cs="Arial"/>
          <w:color w:val="FF0000"/>
          <w:shd w:val="clear" w:color="auto" w:fill="FFFFFF"/>
          <w:lang w:val="es-ES"/>
        </w:rPr>
        <w:instrText>https://relatoria.colombiacompra.gov.co/busqueda/conceptos</w:instrText>
      </w:r>
      <w:r w:rsidRPr="00A1554D">
        <w:rPr>
          <w:rStyle w:val="normaltextrun"/>
          <w:rFonts w:ascii="Verdana" w:hAnsi="Verdana" w:cs="Arial"/>
          <w:color w:val="FF0000"/>
          <w:shd w:val="clear" w:color="auto" w:fill="FFFFFF"/>
          <w:lang w:val="es-ES"/>
        </w:rPr>
        <w:fldChar w:fldCharType="separate"/>
      </w:r>
      <w:r w:rsidRPr="00A1554D">
        <w:rPr>
          <w:rStyle w:val="Hipervnculo"/>
          <w:rFonts w:ascii="Verdana" w:hAnsi="Verdana" w:cs="Arial"/>
          <w:shd w:val="clear" w:color="auto" w:fill="FFFFFF"/>
          <w:lang w:val="es-ES"/>
        </w:rPr>
        <w:t>https://relatoria.colombiacompra.gov.co/busqueda/conceptos</w:t>
      </w:r>
      <w:r w:rsidRPr="00A1554D">
        <w:rPr>
          <w:rStyle w:val="normaltextrun"/>
          <w:rFonts w:ascii="Verdana" w:hAnsi="Verdana" w:cs="Arial"/>
          <w:color w:val="FF0000"/>
          <w:shd w:val="clear" w:color="auto" w:fill="FFFFFF"/>
          <w:lang w:val="es-ES"/>
        </w:rPr>
        <w:fldChar w:fldCharType="end"/>
      </w:r>
    </w:p>
    <w:p w14:paraId="4A2F5A8E" w14:textId="77777777" w:rsidR="00C17CB4" w:rsidRDefault="00C17CB4" w:rsidP="00C17CB4">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4"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15B1CDA9" w14:textId="77777777" w:rsidR="00C17CB4" w:rsidRPr="003E2460" w:rsidRDefault="00C17CB4" w:rsidP="00C17CB4">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12B783A" w14:textId="77777777" w:rsidR="00C17CB4" w:rsidRPr="003E2460" w:rsidRDefault="00C17CB4" w:rsidP="00C17CB4">
      <w:pPr>
        <w:spacing w:after="0" w:line="240" w:lineRule="auto"/>
        <w:jc w:val="both"/>
        <w:rPr>
          <w:rFonts w:ascii="Verdana" w:hAnsi="Verdana"/>
        </w:rPr>
      </w:pPr>
    </w:p>
    <w:p w14:paraId="5BB02CE0" w14:textId="77777777" w:rsidR="00C17CB4" w:rsidRPr="003E2460" w:rsidRDefault="00C17CB4" w:rsidP="00C17CB4">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10B6651F" w14:textId="77777777" w:rsidR="00C17CB4" w:rsidRPr="003E2460" w:rsidRDefault="00C17CB4" w:rsidP="00C17CB4">
      <w:pPr>
        <w:spacing w:after="0" w:line="240" w:lineRule="auto"/>
        <w:jc w:val="both"/>
        <w:rPr>
          <w:rFonts w:ascii="Verdana" w:hAnsi="Verdana"/>
        </w:rPr>
      </w:pPr>
      <w:r w:rsidRPr="1F9252E4">
        <w:rPr>
          <w:rFonts w:ascii="Verdana" w:hAnsi="Verdana"/>
        </w:rPr>
        <w:t xml:space="preserve">Facebook: </w:t>
      </w:r>
      <w:proofErr w:type="spellStart"/>
      <w:r w:rsidRPr="1F9252E4">
        <w:rPr>
          <w:rStyle w:val="Hipervnculo"/>
          <w:rFonts w:ascii="Verdana" w:hAnsi="Verdana"/>
          <w:color w:val="4472C4" w:themeColor="accent1"/>
        </w:rPr>
        <w:t>ColombiaCompraEficiente</w:t>
      </w:r>
      <w:proofErr w:type="spellEnd"/>
    </w:p>
    <w:p w14:paraId="4051FE46" w14:textId="77777777" w:rsidR="00C17CB4" w:rsidRPr="003E2460" w:rsidRDefault="00C17CB4" w:rsidP="00C17CB4">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24949D1F" w14:textId="77777777" w:rsidR="00C17CB4" w:rsidRPr="00593A5F" w:rsidRDefault="00C17CB4" w:rsidP="00C17CB4">
      <w:pPr>
        <w:widowControl w:val="0"/>
        <w:autoSpaceDE w:val="0"/>
        <w:autoSpaceDN w:val="0"/>
        <w:spacing w:after="0" w:line="276" w:lineRule="auto"/>
        <w:jc w:val="both"/>
        <w:rPr>
          <w:rFonts w:ascii="Verdana" w:hAnsi="Verdana" w:cs="Arial"/>
        </w:rPr>
      </w:pPr>
    </w:p>
    <w:p w14:paraId="745C71FE" w14:textId="77777777" w:rsidR="00C17CB4" w:rsidRPr="00593A5F" w:rsidRDefault="00C17CB4" w:rsidP="00C17CB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98E2545" w14:textId="77777777" w:rsidR="00C17CB4" w:rsidRPr="00593A5F" w:rsidRDefault="00C17CB4" w:rsidP="00C17CB4">
      <w:pPr>
        <w:widowControl w:val="0"/>
        <w:autoSpaceDE w:val="0"/>
        <w:autoSpaceDN w:val="0"/>
        <w:spacing w:after="0" w:line="276" w:lineRule="auto"/>
        <w:jc w:val="both"/>
        <w:rPr>
          <w:rFonts w:ascii="Verdana" w:hAnsi="Verdana" w:cs="Arial"/>
        </w:rPr>
      </w:pPr>
    </w:p>
    <w:p w14:paraId="7D38959D" w14:textId="77777777" w:rsidR="00C17CB4" w:rsidRPr="00593A5F" w:rsidRDefault="00C17CB4" w:rsidP="00C17CB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4E48466" w14:textId="77777777" w:rsidR="0085526C" w:rsidRDefault="0085526C" w:rsidP="00B86394">
      <w:pPr>
        <w:spacing w:after="0"/>
        <w:jc w:val="center"/>
        <w:rPr>
          <w:rFonts w:ascii="Verdana" w:hAnsi="Verdana"/>
        </w:rPr>
      </w:pPr>
    </w:p>
    <w:p w14:paraId="0465BA6D" w14:textId="4D499C04" w:rsidR="00E245AB" w:rsidRDefault="00F63182" w:rsidP="00B86394">
      <w:pPr>
        <w:spacing w:after="0"/>
        <w:jc w:val="center"/>
        <w:rPr>
          <w:rFonts w:ascii="Verdana" w:hAnsi="Verdana"/>
        </w:rPr>
      </w:pPr>
      <w:r w:rsidRPr="004D5C25">
        <w:rPr>
          <w:rFonts w:ascii="Century Gothic" w:hAnsi="Century Gothic"/>
          <w:noProof/>
        </w:rPr>
        <w:drawing>
          <wp:inline distT="0" distB="0" distL="0" distR="0" wp14:anchorId="2EBA65C8" wp14:editId="3FDF732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394701" cy="1457365"/>
                    </a:xfrm>
                    <a:prstGeom prst="rect">
                      <a:avLst/>
                    </a:prstGeom>
                  </pic:spPr>
                </pic:pic>
              </a:graphicData>
            </a:graphic>
          </wp:inline>
        </w:drawing>
      </w:r>
    </w:p>
    <w:tbl>
      <w:tblPr>
        <w:tblStyle w:val="Tablaconcuadrcula"/>
        <w:tblpPr w:leftFromText="141" w:rightFromText="141" w:vertAnchor="text" w:horzAnchor="page" w:tblpX="2619" w:tblpY="626"/>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5526C" w:rsidRPr="00EA1223" w14:paraId="0BB2D19F" w14:textId="77777777" w:rsidTr="0085526C">
        <w:trPr>
          <w:trHeight w:val="315"/>
        </w:trPr>
        <w:tc>
          <w:tcPr>
            <w:tcW w:w="893" w:type="dxa"/>
            <w:vAlign w:val="center"/>
            <w:hideMark/>
          </w:tcPr>
          <w:p w14:paraId="300DCE8D" w14:textId="77777777" w:rsidR="0085526C" w:rsidRPr="00EA1223" w:rsidRDefault="0085526C" w:rsidP="0085526C">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B9C12E" w14:textId="77777777" w:rsidR="0085526C" w:rsidRPr="00EA1223" w:rsidRDefault="0085526C" w:rsidP="0085526C">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1D34BFE7" w14:textId="77777777" w:rsidR="0085526C" w:rsidRPr="00EA1223" w:rsidRDefault="0085526C" w:rsidP="0085526C">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85526C" w:rsidRPr="00EA1223" w14:paraId="63F65210" w14:textId="77777777" w:rsidTr="0085526C">
        <w:trPr>
          <w:trHeight w:val="330"/>
        </w:trPr>
        <w:tc>
          <w:tcPr>
            <w:tcW w:w="893" w:type="dxa"/>
            <w:vAlign w:val="center"/>
            <w:hideMark/>
          </w:tcPr>
          <w:p w14:paraId="662065ED" w14:textId="77777777" w:rsidR="0085526C" w:rsidRPr="00EA1223" w:rsidRDefault="0085526C" w:rsidP="0085526C">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F3128A" w14:textId="29ED8931" w:rsidR="0085526C" w:rsidRPr="00EA1223" w:rsidRDefault="0085526C" w:rsidP="0085526C">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Carlos </w:t>
            </w:r>
            <w:r w:rsidRPr="7DF5FA7F">
              <w:rPr>
                <w:rStyle w:val="normaltextrun"/>
                <w:rFonts w:ascii="Verdana" w:hAnsi="Verdana" w:cs="Arial"/>
                <w:sz w:val="16"/>
                <w:szCs w:val="16"/>
                <w:lang w:val="es-ES"/>
              </w:rPr>
              <w:t>Gonzále</w:t>
            </w:r>
            <w:r w:rsidR="42714D05" w:rsidRPr="7DF5FA7F">
              <w:rPr>
                <w:rStyle w:val="normaltextrun"/>
                <w:rFonts w:ascii="Verdana" w:hAnsi="Verdana" w:cs="Arial"/>
                <w:sz w:val="16"/>
                <w:szCs w:val="16"/>
                <w:lang w:val="es-ES"/>
              </w:rPr>
              <w:t>z</w:t>
            </w:r>
            <w:r>
              <w:rPr>
                <w:rStyle w:val="normaltextrun"/>
                <w:rFonts w:ascii="Verdana" w:hAnsi="Verdana" w:cs="Arial"/>
                <w:sz w:val="16"/>
                <w:szCs w:val="16"/>
                <w:lang w:val="es-ES"/>
              </w:rPr>
              <w:t xml:space="preserve"> Vásquez</w:t>
            </w:r>
          </w:p>
          <w:p w14:paraId="1F1AD8A7" w14:textId="77777777" w:rsidR="0085526C" w:rsidRPr="00EA1223" w:rsidRDefault="0085526C" w:rsidP="0085526C">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85526C" w:rsidRPr="00EA1223" w14:paraId="214964F8" w14:textId="77777777" w:rsidTr="0085526C">
        <w:trPr>
          <w:trHeight w:val="300"/>
        </w:trPr>
        <w:tc>
          <w:tcPr>
            <w:tcW w:w="893" w:type="dxa"/>
            <w:vAlign w:val="center"/>
          </w:tcPr>
          <w:p w14:paraId="7BB71004" w14:textId="77777777" w:rsidR="0085526C" w:rsidRPr="00EA1223" w:rsidRDefault="0085526C" w:rsidP="0085526C">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EE7259" w14:textId="77777777" w:rsidR="0085526C" w:rsidRPr="00EA1223" w:rsidRDefault="0085526C" w:rsidP="0085526C">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2EA594C7" w14:textId="77777777" w:rsidR="0085526C" w:rsidRPr="00EA1223" w:rsidRDefault="0085526C" w:rsidP="0085526C">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bookmarkEnd w:id="0"/>
    </w:tbl>
    <w:p w14:paraId="0E35B41F" w14:textId="3DA3ED0C" w:rsidR="0085526C" w:rsidRPr="0044528D" w:rsidRDefault="0085526C" w:rsidP="00143B9A">
      <w:pPr>
        <w:spacing w:after="0"/>
        <w:rPr>
          <w:rFonts w:ascii="Verdana" w:hAnsi="Verdana"/>
        </w:rPr>
      </w:pPr>
    </w:p>
    <w:sectPr w:rsidR="0085526C"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544F1" w14:textId="77777777" w:rsidR="00E667A5" w:rsidRDefault="00E667A5" w:rsidP="004A1847">
      <w:pPr>
        <w:spacing w:after="0" w:line="240" w:lineRule="auto"/>
      </w:pPr>
      <w:r>
        <w:separator/>
      </w:r>
    </w:p>
  </w:endnote>
  <w:endnote w:type="continuationSeparator" w:id="0">
    <w:p w14:paraId="218F74D1" w14:textId="77777777" w:rsidR="00E667A5" w:rsidRDefault="00E667A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F28DB" w14:textId="77777777" w:rsidR="00E667A5" w:rsidRDefault="00E667A5" w:rsidP="004A1847">
      <w:pPr>
        <w:spacing w:after="0" w:line="240" w:lineRule="auto"/>
      </w:pPr>
      <w:r>
        <w:separator/>
      </w:r>
    </w:p>
  </w:footnote>
  <w:footnote w:type="continuationSeparator" w:id="0">
    <w:p w14:paraId="4EFFA7FD" w14:textId="77777777" w:rsidR="00E667A5" w:rsidRDefault="00E667A5" w:rsidP="004A1847">
      <w:pPr>
        <w:spacing w:after="0" w:line="240" w:lineRule="auto"/>
      </w:pPr>
      <w:r>
        <w:continuationSeparator/>
      </w:r>
    </w:p>
  </w:footnote>
  <w:footnote w:id="1">
    <w:p w14:paraId="7ED0A829" w14:textId="77777777" w:rsidR="00C17CB4" w:rsidRPr="00457B8D" w:rsidRDefault="00C17CB4" w:rsidP="00C17CB4">
      <w:pPr>
        <w:pStyle w:val="Textonotapie"/>
        <w:ind w:firstLine="709"/>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El inciso primero de </w:t>
      </w:r>
      <w:r>
        <w:rPr>
          <w:rFonts w:ascii="Verdana" w:hAnsi="Verdana" w:cs="Arial"/>
          <w:sz w:val="16"/>
          <w:szCs w:val="16"/>
        </w:rPr>
        <w:t xml:space="preserve">la </w:t>
      </w:r>
      <w:r w:rsidRPr="00457B8D">
        <w:rPr>
          <w:rFonts w:ascii="Verdana" w:hAnsi="Verdana" w:cs="Arial"/>
          <w:sz w:val="16"/>
          <w:szCs w:val="16"/>
        </w:rPr>
        <w:t>norma disponía que, conforme al principio de transparencia, “</w:t>
      </w:r>
      <w:r w:rsidRPr="00457B8D">
        <w:rPr>
          <w:rFonts w:ascii="Verdana" w:hAnsi="Verdana" w:cs="Arial"/>
          <w:i/>
          <w:iCs/>
          <w:sz w:val="16"/>
          <w:szCs w:val="16"/>
        </w:rPr>
        <w:t>La escogencia del contratista se efectuará siempre a través de licitación o concurso públicos</w:t>
      </w:r>
      <w:r w:rsidRPr="00457B8D">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2">
    <w:p w14:paraId="25D01DF7" w14:textId="77777777" w:rsidR="00C17CB4" w:rsidRPr="00457B8D" w:rsidRDefault="00C17CB4" w:rsidP="00C17CB4">
      <w:pPr>
        <w:pStyle w:val="Textonotapie"/>
        <w:ind w:firstLine="709"/>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57B8D">
        <w:rPr>
          <w:rFonts w:ascii="Verdana" w:hAnsi="Verdana" w:cs="Arial"/>
          <w:i/>
          <w:iCs/>
          <w:sz w:val="16"/>
          <w:szCs w:val="16"/>
        </w:rPr>
        <w:t>Presentación de la oferta de manera dinámica</w:t>
      </w:r>
      <w:r w:rsidRPr="00457B8D">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3">
    <w:p w14:paraId="3C1A43F4" w14:textId="77777777" w:rsidR="00C17CB4" w:rsidRPr="00C9259A" w:rsidRDefault="00C17CB4" w:rsidP="00C17CB4">
      <w:pPr>
        <w:pStyle w:val="Textonotapie"/>
        <w:ind w:firstLine="709"/>
        <w:jc w:val="both"/>
        <w:rPr>
          <w:rFonts w:ascii="Verdana" w:hAnsi="Verdana" w:cs="Arial"/>
          <w:sz w:val="18"/>
          <w:szCs w:val="18"/>
        </w:rPr>
      </w:pPr>
      <w:r w:rsidRPr="00C9259A">
        <w:rPr>
          <w:rStyle w:val="Refdenotaalpie"/>
          <w:rFonts w:ascii="Verdana" w:hAnsi="Verdana"/>
          <w:sz w:val="18"/>
          <w:szCs w:val="18"/>
        </w:rPr>
        <w:footnoteRef/>
      </w:r>
      <w:r w:rsidRPr="00C9259A">
        <w:rPr>
          <w:rFonts w:ascii="Verdana" w:hAnsi="Verdana"/>
          <w:sz w:val="18"/>
          <w:szCs w:val="18"/>
        </w:rPr>
        <w:t xml:space="preserve"> </w:t>
      </w:r>
      <w:r w:rsidRPr="00C9259A">
        <w:rPr>
          <w:rFonts w:ascii="Verdana" w:hAnsi="Verdana" w:cs="Arial"/>
          <w:sz w:val="18"/>
          <w:szCs w:val="18"/>
        </w:rPr>
        <w:t xml:space="preserve">El numeral 2 del artículo 2 de la Ley 1150 de 2007 prescribe: </w:t>
      </w:r>
      <w:r w:rsidRPr="00C9259A">
        <w:rPr>
          <w:rFonts w:ascii="Verdana" w:hAnsi="Verdana"/>
          <w:sz w:val="18"/>
          <w:szCs w:val="18"/>
        </w:rPr>
        <w:t xml:space="preserve">“[…] </w:t>
      </w:r>
      <w:r w:rsidRPr="00C9259A">
        <w:rPr>
          <w:rFonts w:ascii="Verdana" w:hAnsi="Verdana" w:cs="Arial"/>
          <w:sz w:val="18"/>
          <w:szCs w:val="18"/>
        </w:rPr>
        <w:t>Serán causales de selección abreviada las siguientes:</w:t>
      </w:r>
    </w:p>
    <w:p w14:paraId="56ADBC75"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6223C605"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11708EC7"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26221D6B"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w:t>
      </w:r>
    </w:p>
    <w:p w14:paraId="05CF6366"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0024E526"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227792E9"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e) La enajenación de bienes del Estado, con excepción de aquellos a que se refiere la Ley 226 de 1995.</w:t>
      </w:r>
    </w:p>
    <w:p w14:paraId="604BBFA6"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 xml:space="preserve">[…]; </w:t>
      </w:r>
    </w:p>
    <w:p w14:paraId="550424B6"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 xml:space="preserve">f) Productos de origen o destinación agropecuarios que se ofrezcan en las bolsas de productos legalmente constituidas; </w:t>
      </w:r>
    </w:p>
    <w:p w14:paraId="1B01390E"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18F686E2"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44A159CD"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i) La contratación de bienes y servicios que se requieran para la defensa y seguridad nacional.</w:t>
      </w:r>
    </w:p>
    <w:p w14:paraId="7CFEF52C" w14:textId="77777777" w:rsidR="00C17CB4" w:rsidRPr="00457B8D" w:rsidRDefault="00C17CB4" w:rsidP="00C17CB4">
      <w:pPr>
        <w:pStyle w:val="Textonotapie"/>
        <w:ind w:firstLine="709"/>
        <w:jc w:val="both"/>
        <w:rPr>
          <w:rFonts w:ascii="Verdana" w:hAnsi="Verdana" w:cs="Arial"/>
          <w:sz w:val="16"/>
          <w:szCs w:val="16"/>
        </w:rPr>
      </w:pPr>
      <w:r w:rsidRPr="00457B8D">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4">
    <w:p w14:paraId="5C1081CF" w14:textId="77777777" w:rsidR="00C17CB4" w:rsidRPr="00C9259A" w:rsidRDefault="00C17CB4" w:rsidP="00C17CB4">
      <w:pPr>
        <w:pStyle w:val="Textonotapie"/>
        <w:ind w:firstLine="709"/>
        <w:jc w:val="both"/>
        <w:rPr>
          <w:rFonts w:ascii="Verdana" w:hAnsi="Verdana" w:cs="Arial"/>
          <w:sz w:val="18"/>
          <w:szCs w:val="18"/>
        </w:rPr>
      </w:pPr>
      <w:r w:rsidRPr="00C9259A">
        <w:rPr>
          <w:rStyle w:val="Refdenotaalpie"/>
          <w:rFonts w:ascii="Verdana" w:hAnsi="Verdana"/>
          <w:sz w:val="18"/>
          <w:szCs w:val="18"/>
        </w:rPr>
        <w:footnoteRef/>
      </w:r>
      <w:r w:rsidRPr="00C9259A">
        <w:rPr>
          <w:rFonts w:ascii="Verdana" w:hAnsi="Verdana"/>
          <w:sz w:val="18"/>
          <w:szCs w:val="18"/>
        </w:rPr>
        <w:t xml:space="preserve"> </w:t>
      </w:r>
      <w:r w:rsidRPr="00C9259A">
        <w:rPr>
          <w:rFonts w:ascii="Verdana" w:hAnsi="Verdana" w:cs="Arial"/>
          <w:sz w:val="18"/>
          <w:szCs w:val="18"/>
        </w:rPr>
        <w:t xml:space="preserve">CONGRESO DE LA REPÚBLICA. Exposición de motivos de la Ley 1150 de 2007. Gaceta del Congreso No. 458 del 1º de agosto de 2005. p. 8. </w:t>
      </w:r>
    </w:p>
  </w:footnote>
  <w:footnote w:id="5">
    <w:p w14:paraId="0050C08A" w14:textId="77777777" w:rsidR="00C17CB4" w:rsidRPr="00C9259A" w:rsidRDefault="00C17CB4" w:rsidP="00C17CB4">
      <w:pPr>
        <w:pStyle w:val="Textonotapie"/>
        <w:ind w:firstLine="709"/>
        <w:jc w:val="both"/>
        <w:rPr>
          <w:rFonts w:ascii="Verdana" w:hAnsi="Verdana" w:cs="Arial"/>
          <w:sz w:val="18"/>
          <w:szCs w:val="18"/>
        </w:rPr>
      </w:pPr>
      <w:r w:rsidRPr="00C9259A">
        <w:rPr>
          <w:rStyle w:val="Refdenotaalpie"/>
          <w:rFonts w:ascii="Verdana" w:hAnsi="Verdana"/>
          <w:sz w:val="18"/>
          <w:szCs w:val="18"/>
        </w:rPr>
        <w:footnoteRef/>
      </w:r>
      <w:r w:rsidRPr="00C9259A">
        <w:rPr>
          <w:rFonts w:ascii="Verdana" w:hAnsi="Verdana"/>
          <w:sz w:val="18"/>
          <w:szCs w:val="18"/>
        </w:rPr>
        <w:t xml:space="preserve"> </w:t>
      </w:r>
      <w:r w:rsidRPr="00C9259A">
        <w:rPr>
          <w:rFonts w:ascii="Verdana" w:hAnsi="Verdana" w:cs="Arial"/>
          <w:sz w:val="18"/>
          <w:szCs w:val="18"/>
        </w:rPr>
        <w:t xml:space="preserve">CONSEJO DE ESTADO. Sección Tercera. Subsección A. Sentencia del 23 de julio de 2015. Exp. 36.805. C. P. Hernán Andrade Rincón. </w:t>
      </w:r>
    </w:p>
  </w:footnote>
  <w:footnote w:id="6">
    <w:p w14:paraId="34F7158C" w14:textId="77777777" w:rsidR="00C17CB4" w:rsidRDefault="00C17CB4" w:rsidP="00C17CB4">
      <w:pPr>
        <w:pStyle w:val="Textonotapie"/>
        <w:ind w:firstLine="708"/>
        <w:jc w:val="both"/>
        <w:rPr>
          <w:rFonts w:ascii="Verdana" w:hAnsi="Verdana"/>
          <w:sz w:val="18"/>
          <w:szCs w:val="18"/>
        </w:rPr>
      </w:pPr>
      <w:r w:rsidRPr="00C9259A">
        <w:rPr>
          <w:rStyle w:val="Refdenotaalpie"/>
          <w:rFonts w:ascii="Verdana" w:hAnsi="Verdana"/>
          <w:sz w:val="18"/>
          <w:szCs w:val="18"/>
        </w:rPr>
        <w:footnoteRef/>
      </w:r>
      <w:r w:rsidRPr="00C9259A">
        <w:rPr>
          <w:rFonts w:ascii="Verdana" w:hAnsi="Verdana"/>
          <w:sz w:val="18"/>
          <w:szCs w:val="18"/>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C9259A">
        <w:rPr>
          <w:rFonts w:ascii="Verdana" w:hAnsi="Verdana"/>
          <w:i/>
          <w:iCs/>
          <w:sz w:val="18"/>
          <w:szCs w:val="18"/>
        </w:rPr>
        <w:t>las palabras de la ley se entenderán en su sentido natural y obvio, según el uso general de las mismas palabras</w:t>
      </w:r>
      <w:r w:rsidRPr="00C9259A">
        <w:rPr>
          <w:rFonts w:ascii="Verdana" w:hAnsi="Verdana"/>
          <w:sz w:val="18"/>
          <w:szCs w:val="18"/>
        </w:rPr>
        <w:t>’, es decir, el uso de la gente educada. El Diccionario de la Lengua publicado por la Real Academia Española goza a este respecto de gran autoridad. ‘</w:t>
      </w:r>
      <w:r w:rsidRPr="00C9259A">
        <w:rPr>
          <w:rFonts w:ascii="Verdana" w:hAnsi="Verdana"/>
          <w:i/>
          <w:iCs/>
          <w:sz w:val="18"/>
          <w:szCs w:val="18"/>
        </w:rPr>
        <w:t>Pero cuando el legislador</w:t>
      </w:r>
      <w:r w:rsidRPr="00C9259A">
        <w:rPr>
          <w:rFonts w:ascii="Verdana" w:hAnsi="Verdana"/>
          <w:sz w:val="18"/>
          <w:szCs w:val="18"/>
        </w:rPr>
        <w:t xml:space="preserve">, agrega el artículo 20, </w:t>
      </w:r>
      <w:r w:rsidRPr="00C9259A">
        <w:rPr>
          <w:rFonts w:ascii="Verdana" w:hAnsi="Verdana"/>
          <w:i/>
          <w:iCs/>
          <w:sz w:val="18"/>
          <w:szCs w:val="18"/>
        </w:rPr>
        <w:t>las haya definido expresamente para ciertas materias se les dará en éstas su significado legal</w:t>
      </w:r>
      <w:r w:rsidRPr="00C9259A">
        <w:rPr>
          <w:rFonts w:ascii="Verdana" w:hAnsi="Verdana"/>
          <w:sz w:val="18"/>
          <w:szCs w:val="18"/>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p w14:paraId="0602642C" w14:textId="77777777" w:rsidR="00C17CB4" w:rsidRPr="00C9259A" w:rsidRDefault="00C17CB4" w:rsidP="00C17CB4">
      <w:pPr>
        <w:pStyle w:val="Textonotapie"/>
        <w:ind w:firstLine="708"/>
        <w:jc w:val="both"/>
        <w:rPr>
          <w:rFonts w:ascii="Verdana" w:hAnsi="Verdana"/>
          <w:sz w:val="18"/>
          <w:szCs w:val="18"/>
          <w:lang w:val="es-CO"/>
        </w:rPr>
      </w:pPr>
    </w:p>
  </w:footnote>
  <w:footnote w:id="7">
    <w:p w14:paraId="24C9925A" w14:textId="77777777" w:rsidR="00C17CB4" w:rsidRPr="00C9259A" w:rsidRDefault="00C17CB4" w:rsidP="00C17CB4">
      <w:pPr>
        <w:pStyle w:val="Textonotapie"/>
        <w:ind w:firstLine="709"/>
        <w:jc w:val="both"/>
        <w:rPr>
          <w:rFonts w:ascii="Verdana" w:hAnsi="Verdana"/>
          <w:sz w:val="18"/>
          <w:szCs w:val="18"/>
        </w:rPr>
      </w:pPr>
      <w:r w:rsidRPr="00C9259A">
        <w:rPr>
          <w:rStyle w:val="Refdenotaalpie"/>
          <w:rFonts w:ascii="Verdana" w:hAnsi="Verdana"/>
          <w:sz w:val="18"/>
          <w:szCs w:val="18"/>
        </w:rPr>
        <w:footnoteRef/>
      </w:r>
      <w:r w:rsidRPr="00C9259A">
        <w:rPr>
          <w:rFonts w:ascii="Verdana" w:hAnsi="Verdana"/>
          <w:sz w:val="18"/>
          <w:szCs w:val="18"/>
        </w:rPr>
        <w:t xml:space="preserve"> SUÁREZ BELTRÁN, Gonzalo. Estudios de derecho contractual público. Colombia: Bogotá, 2014. p. 72.</w:t>
      </w:r>
    </w:p>
  </w:footnote>
  <w:footnote w:id="8">
    <w:p w14:paraId="64003A2B" w14:textId="77777777" w:rsidR="00C17CB4" w:rsidRPr="00C9259A" w:rsidRDefault="00C17CB4" w:rsidP="00C17CB4">
      <w:pPr>
        <w:pStyle w:val="Textonotapie"/>
        <w:ind w:firstLine="709"/>
        <w:jc w:val="both"/>
        <w:rPr>
          <w:rFonts w:ascii="Verdana" w:hAnsi="Verdana"/>
          <w:sz w:val="18"/>
          <w:szCs w:val="18"/>
          <w:lang w:val="es-CO"/>
        </w:rPr>
      </w:pPr>
      <w:r w:rsidRPr="00C9259A">
        <w:rPr>
          <w:rStyle w:val="Refdenotaalpie"/>
          <w:rFonts w:ascii="Verdana" w:hAnsi="Verdana"/>
          <w:sz w:val="18"/>
          <w:szCs w:val="18"/>
        </w:rPr>
        <w:footnoteRef/>
      </w:r>
      <w:r w:rsidRPr="00C9259A">
        <w:rPr>
          <w:rFonts w:ascii="Verdana" w:hAnsi="Verdana"/>
          <w:sz w:val="18"/>
          <w:szCs w:val="18"/>
        </w:rPr>
        <w:t xml:space="preserve"> </w:t>
      </w:r>
      <w:r w:rsidRPr="00C9259A">
        <w:rPr>
          <w:rFonts w:ascii="Verdana" w:hAnsi="Verdana"/>
          <w:i/>
          <w:iCs/>
          <w:sz w:val="18"/>
          <w:szCs w:val="18"/>
        </w:rPr>
        <w:t>Ibidem</w:t>
      </w:r>
      <w:r w:rsidRPr="00C9259A">
        <w:rPr>
          <w:rFonts w:ascii="Verdana" w:hAnsi="Verdana"/>
          <w:sz w:val="18"/>
          <w:szCs w:val="18"/>
        </w:rPr>
        <w:t>.</w:t>
      </w:r>
    </w:p>
  </w:footnote>
  <w:footnote w:id="9">
    <w:p w14:paraId="77C47BA7" w14:textId="77777777" w:rsidR="00C17CB4" w:rsidRPr="00457B8D" w:rsidRDefault="00C17CB4" w:rsidP="00C17CB4">
      <w:pPr>
        <w:pStyle w:val="Textonotapie"/>
        <w:ind w:firstLine="709"/>
        <w:jc w:val="both"/>
        <w:rPr>
          <w:rFonts w:ascii="Verdana" w:hAnsi="Verdana" w:cs="Arial"/>
          <w:sz w:val="16"/>
          <w:szCs w:val="16"/>
        </w:rPr>
      </w:pPr>
      <w:r w:rsidRPr="00C9259A">
        <w:rPr>
          <w:rStyle w:val="Refdenotaalpie"/>
          <w:rFonts w:ascii="Verdana" w:hAnsi="Verdana"/>
          <w:sz w:val="18"/>
          <w:szCs w:val="18"/>
        </w:rPr>
        <w:footnoteRef/>
      </w:r>
      <w:r w:rsidRPr="00C9259A">
        <w:rPr>
          <w:rFonts w:ascii="Verdana" w:hAnsi="Verdana"/>
          <w:sz w:val="18"/>
          <w:szCs w:val="18"/>
        </w:rPr>
        <w:t xml:space="preserve"> </w:t>
      </w:r>
      <w:r w:rsidRPr="00C9259A">
        <w:rPr>
          <w:rFonts w:ascii="Verdana" w:hAnsi="Verdana" w:cs="Arial"/>
          <w:sz w:val="18"/>
          <w:szCs w:val="18"/>
        </w:rPr>
        <w:t>CONGRESO DE LA REPÚBLICA. Exposición de motivos de la Ley 1150 de 2007. Gaceta del Congreso No. 458 del 1º de agosto de 2005. p. 8.</w:t>
      </w:r>
      <w:r w:rsidRPr="00457B8D">
        <w:rPr>
          <w:rFonts w:ascii="Verdana" w:hAnsi="Verdana" w:cs="Arial"/>
          <w:sz w:val="16"/>
          <w:szCs w:val="16"/>
        </w:rPr>
        <w:t xml:space="preserve"> </w:t>
      </w:r>
    </w:p>
  </w:footnote>
  <w:footnote w:id="10">
    <w:p w14:paraId="47C8B56C" w14:textId="77777777" w:rsidR="00C17CB4" w:rsidRPr="00C9259A" w:rsidRDefault="00C17CB4" w:rsidP="00C17CB4">
      <w:pPr>
        <w:pStyle w:val="Textonotapie"/>
        <w:ind w:firstLine="709"/>
        <w:jc w:val="both"/>
        <w:rPr>
          <w:rFonts w:ascii="Verdana" w:hAnsi="Verdana"/>
          <w:sz w:val="18"/>
          <w:szCs w:val="18"/>
          <w:lang w:val="es-CO"/>
        </w:rPr>
      </w:pPr>
      <w:r w:rsidRPr="00C9259A">
        <w:rPr>
          <w:rStyle w:val="Refdenotaalpie"/>
          <w:rFonts w:ascii="Verdana" w:hAnsi="Verdana"/>
          <w:sz w:val="18"/>
          <w:szCs w:val="18"/>
        </w:rPr>
        <w:footnoteRef/>
      </w:r>
      <w:r w:rsidRPr="00C9259A">
        <w:rPr>
          <w:rFonts w:ascii="Verdana" w:hAnsi="Verdana"/>
          <w:sz w:val="18"/>
          <w:szCs w:val="18"/>
        </w:rPr>
        <w:t xml:space="preserve"> DÁVILA VINUEZA, Luis Guillermo. Régimen jurídico de la contratación estatal. </w:t>
      </w:r>
      <w:r w:rsidRPr="00C9259A">
        <w:rPr>
          <w:rFonts w:ascii="Verdana" w:hAnsi="Verdana" w:cs="Arial"/>
          <w:sz w:val="18"/>
          <w:szCs w:val="18"/>
          <w:lang w:val="es-CO"/>
        </w:rPr>
        <w:t>Tercera Edición</w:t>
      </w:r>
      <w:r w:rsidRPr="00C9259A">
        <w:rPr>
          <w:rFonts w:ascii="Verdana" w:hAnsi="Verdana"/>
          <w:sz w:val="18"/>
          <w:szCs w:val="18"/>
          <w:lang w:val="es-CO"/>
        </w:rPr>
        <w:t>. Bogotá: Legis, 2016. pp. 466-467.</w:t>
      </w:r>
    </w:p>
  </w:footnote>
  <w:footnote w:id="11">
    <w:p w14:paraId="79E4BE88" w14:textId="77777777" w:rsidR="00C17CB4" w:rsidRDefault="00C17CB4" w:rsidP="00C17CB4">
      <w:pPr>
        <w:pStyle w:val="Textonotapie"/>
        <w:ind w:firstLine="709"/>
        <w:rPr>
          <w:rFonts w:ascii="Verdana" w:hAnsi="Verdana"/>
          <w:sz w:val="18"/>
          <w:szCs w:val="18"/>
        </w:rPr>
      </w:pPr>
      <w:r w:rsidRPr="00B62AE9">
        <w:rPr>
          <w:rStyle w:val="Refdenotaalpie"/>
          <w:rFonts w:ascii="Verdana" w:hAnsi="Verdana"/>
          <w:sz w:val="18"/>
          <w:szCs w:val="18"/>
        </w:rPr>
        <w:footnoteRef/>
      </w:r>
      <w:r w:rsidRPr="00B62AE9">
        <w:rPr>
          <w:rFonts w:ascii="Verdana" w:hAnsi="Verdana"/>
          <w:sz w:val="18"/>
          <w:szCs w:val="18"/>
        </w:rPr>
        <w:t xml:space="preserve"> </w:t>
      </w:r>
      <w:r>
        <w:rPr>
          <w:rFonts w:ascii="Verdana" w:hAnsi="Verdana"/>
          <w:sz w:val="18"/>
          <w:szCs w:val="18"/>
        </w:rPr>
        <w:t xml:space="preserve"> </w:t>
      </w:r>
      <w:hyperlink r:id="rId1" w:history="1">
        <w:r w:rsidRPr="00061525">
          <w:rPr>
            <w:rStyle w:val="Hipervnculo"/>
            <w:rFonts w:ascii="Verdana" w:hAnsi="Verdana"/>
            <w:sz w:val="18"/>
            <w:szCs w:val="18"/>
          </w:rPr>
          <w:t>https://www.colombiacompra.gov.co/normativa-y-relatoria/circular-unica-externa</w:t>
        </w:r>
      </w:hyperlink>
      <w:r>
        <w:rPr>
          <w:rFonts w:ascii="Verdana" w:hAnsi="Verdana"/>
          <w:sz w:val="18"/>
          <w:szCs w:val="18"/>
        </w:rPr>
        <w:t xml:space="preserve">  </w:t>
      </w:r>
    </w:p>
    <w:p w14:paraId="576E607D" w14:textId="77777777" w:rsidR="00C17CB4" w:rsidRPr="00B62AE9" w:rsidRDefault="00C17CB4" w:rsidP="00C17CB4">
      <w:pPr>
        <w:pStyle w:val="Textonotapie"/>
        <w:ind w:firstLine="709"/>
        <w:rPr>
          <w:rFonts w:ascii="Verdana" w:hAnsi="Verdana"/>
          <w:sz w:val="18"/>
          <w:szCs w:val="18"/>
          <w:lang w:val="es-ES"/>
        </w:rPr>
      </w:pPr>
    </w:p>
  </w:footnote>
  <w:footnote w:id="12">
    <w:p w14:paraId="407889A1" w14:textId="77777777" w:rsidR="00C17CB4" w:rsidRPr="002311A2" w:rsidRDefault="00C17CB4" w:rsidP="00C17CB4">
      <w:pPr>
        <w:pStyle w:val="Textonotapie"/>
        <w:ind w:firstLine="567"/>
        <w:jc w:val="both"/>
        <w:rPr>
          <w:rFonts w:ascii="Verdana" w:hAnsi="Verdana"/>
          <w:sz w:val="14"/>
          <w:szCs w:val="14"/>
          <w:lang w:val="es-CO"/>
        </w:rPr>
      </w:pPr>
      <w:r w:rsidRPr="002311A2">
        <w:rPr>
          <w:rStyle w:val="Refdenotaalpie"/>
          <w:rFonts w:ascii="Verdana" w:hAnsi="Verdana"/>
          <w:sz w:val="14"/>
          <w:szCs w:val="14"/>
        </w:rPr>
        <w:footnoteRef/>
      </w:r>
      <w:r w:rsidRPr="002311A2">
        <w:rPr>
          <w:rFonts w:ascii="Verdana" w:hAnsi="Verdana"/>
          <w:sz w:val="14"/>
          <w:szCs w:val="14"/>
        </w:rPr>
        <w:t xml:space="preserve"> Juan Ángel Palacio Hincapié. </w:t>
      </w:r>
      <w:r w:rsidRPr="002311A2">
        <w:rPr>
          <w:rFonts w:ascii="Verdana" w:hAnsi="Verdana"/>
          <w:i/>
          <w:iCs/>
          <w:sz w:val="14"/>
          <w:szCs w:val="14"/>
        </w:rPr>
        <w:t xml:space="preserve">La transparencia en la contratación estatal. </w:t>
      </w:r>
      <w:r w:rsidRPr="002311A2">
        <w:rPr>
          <w:rFonts w:ascii="Verdana" w:hAnsi="Verdana"/>
          <w:sz w:val="14"/>
          <w:szCs w:val="14"/>
        </w:rPr>
        <w:t>Bogotá, Ediciones Doctrina y Ley, 2008, p. 40.</w:t>
      </w:r>
    </w:p>
  </w:footnote>
  <w:footnote w:id="13">
    <w:p w14:paraId="6B44C6BE" w14:textId="77777777" w:rsidR="00C17CB4" w:rsidRPr="002311A2" w:rsidRDefault="00C17CB4" w:rsidP="00C17CB4">
      <w:pPr>
        <w:pStyle w:val="Textonotapie"/>
        <w:ind w:firstLine="567"/>
        <w:jc w:val="both"/>
        <w:rPr>
          <w:rFonts w:ascii="Verdana" w:hAnsi="Verdana"/>
          <w:sz w:val="14"/>
          <w:szCs w:val="14"/>
          <w:lang w:val="es-CO"/>
        </w:rPr>
      </w:pPr>
      <w:r w:rsidRPr="002311A2">
        <w:rPr>
          <w:rStyle w:val="Refdenotaalpie"/>
          <w:rFonts w:ascii="Verdana" w:hAnsi="Verdana"/>
          <w:sz w:val="14"/>
          <w:szCs w:val="14"/>
        </w:rPr>
        <w:footnoteRef/>
      </w:r>
      <w:r w:rsidRPr="002311A2">
        <w:rPr>
          <w:rFonts w:ascii="Verdana" w:hAnsi="Verdana"/>
          <w:sz w:val="14"/>
          <w:szCs w:val="14"/>
        </w:rPr>
        <w:t xml:space="preserve"> Consejo de Estado. Sección Tercera. Subsección A. Sentencia del 23 de julio de 2015. Exp. 36.805. Consejero Ponente: Hernán Andrade Rincón.</w:t>
      </w:r>
    </w:p>
  </w:footnote>
  <w:footnote w:id="14">
    <w:p w14:paraId="48895E62" w14:textId="77777777" w:rsidR="00C17CB4" w:rsidRPr="00A565FD" w:rsidRDefault="00C17CB4" w:rsidP="00C17CB4">
      <w:pPr>
        <w:pStyle w:val="Textonotapie"/>
        <w:spacing w:line="276" w:lineRule="auto"/>
        <w:ind w:firstLine="709"/>
        <w:jc w:val="both"/>
        <w:rPr>
          <w:rFonts w:ascii="Verdana" w:hAnsi="Verdana" w:cs="Arial"/>
          <w:color w:val="000000"/>
          <w:sz w:val="16"/>
          <w:szCs w:val="16"/>
        </w:rPr>
      </w:pPr>
      <w:r w:rsidRPr="00A565FD">
        <w:rPr>
          <w:rStyle w:val="Refdenotaalpie"/>
          <w:rFonts w:ascii="Verdana" w:hAnsi="Verdana"/>
          <w:sz w:val="16"/>
          <w:szCs w:val="16"/>
        </w:rPr>
        <w:footnoteRef/>
      </w:r>
      <w:r w:rsidRPr="00A565FD">
        <w:rPr>
          <w:rFonts w:ascii="Verdana" w:hAnsi="Verdana"/>
          <w:sz w:val="16"/>
          <w:szCs w:val="16"/>
        </w:rPr>
        <w:t xml:space="preserve"> </w:t>
      </w:r>
      <w:r w:rsidRPr="00A565FD">
        <w:rPr>
          <w:rFonts w:ascii="Verdana" w:hAnsi="Verdana" w:cs="Arial"/>
          <w:sz w:val="16"/>
          <w:szCs w:val="16"/>
        </w:rPr>
        <w:t>Ley 1150 de 2007 “</w:t>
      </w:r>
      <w:r w:rsidRPr="00A565FD">
        <w:rPr>
          <w:rStyle w:val="Textoennegrita"/>
          <w:rFonts w:ascii="Verdana" w:hAnsi="Verdana" w:cs="Arial"/>
          <w:color w:val="000000"/>
          <w:sz w:val="16"/>
          <w:szCs w:val="16"/>
        </w:rPr>
        <w:t>Artículo 2.</w:t>
      </w:r>
      <w:r w:rsidRPr="00A565FD">
        <w:rPr>
          <w:rStyle w:val="nfasis"/>
          <w:rFonts w:ascii="Verdana" w:hAnsi="Verdana" w:cs="Arial"/>
          <w:color w:val="000000"/>
          <w:sz w:val="16"/>
          <w:szCs w:val="16"/>
        </w:rPr>
        <w:t xml:space="preserve"> De las modalidades de selección. </w:t>
      </w:r>
      <w:r w:rsidRPr="00A565FD">
        <w:rPr>
          <w:rFonts w:ascii="Verdana" w:hAnsi="Verdana" w:cs="Arial"/>
          <w:color w:val="000000"/>
          <w:sz w:val="16"/>
          <w:szCs w:val="16"/>
        </w:rPr>
        <w:t>La escogencia del contratista se efectuará con arreglo a las modalidades de selección de licitación pública, selección abreviada, concurso de méritos y contratación directa, con base en las siguientes reglas:</w:t>
      </w:r>
    </w:p>
    <w:p w14:paraId="58F6BD14" w14:textId="77777777" w:rsidR="00C17CB4" w:rsidRPr="00A565FD" w:rsidRDefault="00C17CB4" w:rsidP="00C17CB4">
      <w:pPr>
        <w:pStyle w:val="Textonotapie"/>
        <w:spacing w:line="276" w:lineRule="auto"/>
        <w:ind w:firstLine="709"/>
        <w:jc w:val="both"/>
        <w:rPr>
          <w:rFonts w:ascii="Verdana" w:hAnsi="Verdana" w:cs="Arial"/>
          <w:color w:val="000000"/>
          <w:sz w:val="16"/>
          <w:szCs w:val="16"/>
        </w:rPr>
      </w:pPr>
      <w:r w:rsidRPr="00A565FD">
        <w:rPr>
          <w:rFonts w:ascii="Verdana" w:hAnsi="Verdana" w:cs="Arial"/>
          <w:color w:val="000000"/>
          <w:sz w:val="16"/>
          <w:szCs w:val="16"/>
        </w:rPr>
        <w:t>(…)</w:t>
      </w:r>
    </w:p>
    <w:p w14:paraId="0CC07C30" w14:textId="77777777" w:rsidR="00C17CB4" w:rsidRPr="00A565FD" w:rsidRDefault="00C17CB4" w:rsidP="00C17CB4">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El Gobierno Nacional reglamentará la materia. </w:t>
      </w:r>
    </w:p>
    <w:p w14:paraId="4F6901B2" w14:textId="77777777" w:rsidR="00C17CB4" w:rsidRPr="00A565FD" w:rsidRDefault="00C17CB4" w:rsidP="00C17CB4">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Serán causales de selección abreviada las siguientes: </w:t>
      </w:r>
    </w:p>
    <w:p w14:paraId="0A72F5B7" w14:textId="77777777" w:rsidR="00C17CB4" w:rsidRPr="00A565FD" w:rsidRDefault="00C17CB4" w:rsidP="00C17CB4">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 </w:t>
      </w:r>
    </w:p>
    <w:p w14:paraId="77491E1B" w14:textId="77777777" w:rsidR="00C17CB4" w:rsidRPr="00A565FD" w:rsidRDefault="00C17CB4" w:rsidP="00C17CB4">
      <w:pPr>
        <w:pStyle w:val="Textonotapie"/>
        <w:spacing w:line="276" w:lineRule="auto"/>
        <w:ind w:firstLine="709"/>
        <w:jc w:val="both"/>
        <w:rPr>
          <w:rFonts w:ascii="Arial" w:hAnsi="Arial" w:cs="Arial"/>
          <w:sz w:val="19"/>
          <w:szCs w:val="19"/>
        </w:rPr>
      </w:pPr>
      <w:r w:rsidRPr="00A565FD">
        <w:rPr>
          <w:rFonts w:ascii="Verdana" w:hAnsi="Verdana" w:cs="Arial"/>
          <w:sz w:val="16"/>
          <w:szCs w:val="16"/>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r w:rsidRPr="00FC1901">
        <w:rPr>
          <w:rFonts w:ascii="Arial" w:hAnsi="Arial" w:cs="Arial"/>
          <w:color w:val="000000"/>
          <w:sz w:val="19"/>
          <w:szCs w:val="19"/>
        </w:rPr>
        <w:t> </w:t>
      </w:r>
    </w:p>
  </w:footnote>
  <w:footnote w:id="15">
    <w:p w14:paraId="4B14ED97" w14:textId="77777777" w:rsidR="00C17CB4" w:rsidRPr="00A565FD" w:rsidRDefault="00C17CB4" w:rsidP="00C17CB4">
      <w:pPr>
        <w:pStyle w:val="Textonotapie"/>
        <w:ind w:firstLine="708"/>
        <w:jc w:val="both"/>
        <w:rPr>
          <w:rFonts w:ascii="Verdana" w:hAnsi="Verdana" w:cs="Arial"/>
          <w:color w:val="000000" w:themeColor="text1"/>
          <w:sz w:val="16"/>
          <w:szCs w:val="16"/>
          <w:lang w:val="es-CO"/>
        </w:rPr>
      </w:pPr>
      <w:r w:rsidRPr="00A565FD">
        <w:rPr>
          <w:rStyle w:val="Refdenotaalpie"/>
          <w:rFonts w:ascii="Verdana" w:hAnsi="Verdana" w:cs="Arial"/>
          <w:color w:val="000000" w:themeColor="text1"/>
          <w:sz w:val="16"/>
          <w:szCs w:val="16"/>
        </w:rPr>
        <w:footnoteRef/>
      </w:r>
      <w:r w:rsidRPr="00A565FD">
        <w:rPr>
          <w:rFonts w:ascii="Verdana" w:hAnsi="Verdana" w:cs="Arial"/>
          <w:color w:val="000000" w:themeColor="text1"/>
          <w:sz w:val="16"/>
          <w:szCs w:val="16"/>
        </w:rPr>
        <w:t xml:space="preserve"> DÁVILA VINUEZA, Luis Guillermo. Régimen jurídico de la contratación estatal. Tercera edición. Bogotá: Legis, 2016. p. 469. </w:t>
      </w:r>
    </w:p>
  </w:footnote>
  <w:footnote w:id="16">
    <w:p w14:paraId="7CEB9663" w14:textId="77777777" w:rsidR="00C17CB4" w:rsidRPr="009B41DD" w:rsidRDefault="00C17CB4" w:rsidP="00C17CB4">
      <w:pPr>
        <w:pStyle w:val="Textonotapie"/>
        <w:ind w:firstLine="709"/>
        <w:rPr>
          <w:rFonts w:ascii="Verdana" w:hAnsi="Verdana"/>
          <w:sz w:val="16"/>
          <w:szCs w:val="16"/>
          <w:lang w:val="es-ES"/>
        </w:rPr>
      </w:pPr>
      <w:r w:rsidRPr="009B41DD">
        <w:rPr>
          <w:rStyle w:val="Refdenotaalpie"/>
          <w:rFonts w:ascii="Verdana" w:hAnsi="Verdana"/>
          <w:sz w:val="16"/>
          <w:szCs w:val="16"/>
        </w:rPr>
        <w:footnoteRef/>
      </w:r>
      <w:r w:rsidRPr="009B41DD">
        <w:rPr>
          <w:rFonts w:ascii="Verdana" w:hAnsi="Verdana"/>
          <w:sz w:val="16"/>
          <w:szCs w:val="16"/>
        </w:rPr>
        <w:t xml:space="preserve"> </w:t>
      </w:r>
      <w:r w:rsidRPr="009B41DD">
        <w:rPr>
          <w:rFonts w:ascii="Verdana" w:hAnsi="Verdana" w:cs="Arial"/>
          <w:i/>
          <w:iCs/>
          <w:sz w:val="16"/>
          <w:szCs w:val="16"/>
        </w:rPr>
        <w:t>Ibídem.</w:t>
      </w:r>
    </w:p>
  </w:footnote>
  <w:footnote w:id="17">
    <w:p w14:paraId="74F560AD" w14:textId="77777777" w:rsidR="00C17CB4" w:rsidRPr="009B41DD" w:rsidRDefault="00C17CB4" w:rsidP="00C17CB4">
      <w:pPr>
        <w:pStyle w:val="Textonotapie"/>
        <w:ind w:firstLine="708"/>
        <w:jc w:val="both"/>
        <w:rPr>
          <w:rFonts w:ascii="Verdana" w:hAnsi="Verdana" w:cs="Arial"/>
          <w:sz w:val="16"/>
          <w:szCs w:val="16"/>
        </w:rPr>
      </w:pPr>
      <w:r w:rsidRPr="009B41DD">
        <w:rPr>
          <w:rStyle w:val="Refdenotaalpie"/>
          <w:rFonts w:ascii="Verdana" w:hAnsi="Verdana"/>
          <w:sz w:val="16"/>
          <w:szCs w:val="16"/>
        </w:rPr>
        <w:footnoteRef/>
      </w:r>
      <w:r w:rsidRPr="009B41DD">
        <w:rPr>
          <w:rFonts w:ascii="Verdana" w:hAnsi="Verdana"/>
          <w:sz w:val="16"/>
          <w:szCs w:val="16"/>
        </w:rPr>
        <w:t xml:space="preserve"> </w:t>
      </w:r>
      <w:r w:rsidRPr="009B41DD">
        <w:rPr>
          <w:rFonts w:ascii="Verdana" w:hAnsi="Verdana" w:cs="Arial"/>
          <w:sz w:val="16"/>
          <w:szCs w:val="16"/>
        </w:rPr>
        <w:t>Decreto 1082 de 2015 “Artículo 2.2.1.2.1.2.14. Selección del comisionista. La Entidad Estatal debe seleccionar al comisionista de acuerdo con el procedimiento interno aplicable en la bolsa de productos, el cual debe ser competitivo.</w:t>
      </w:r>
    </w:p>
    <w:p w14:paraId="048AD1B3" w14:textId="77777777" w:rsidR="00C17CB4" w:rsidRPr="009B41DD" w:rsidRDefault="00C17CB4" w:rsidP="00C17CB4">
      <w:pPr>
        <w:pStyle w:val="Textonotapie"/>
        <w:ind w:firstLine="708"/>
        <w:jc w:val="both"/>
        <w:rPr>
          <w:rFonts w:ascii="Verdana" w:hAnsi="Verdana" w:cs="Arial"/>
          <w:sz w:val="16"/>
          <w:szCs w:val="16"/>
        </w:rPr>
      </w:pPr>
      <w:r w:rsidRPr="009B41DD">
        <w:rPr>
          <w:rFonts w:ascii="Verdana" w:hAnsi="Verdana" w:cs="Arial"/>
          <w:sz w:val="16"/>
          <w:szCs w:val="16"/>
        </w:rPr>
        <w:t>“Entidad Estatal debe publicar el contrato suscrito con el comisionista seleccionado y sus modificaciones en el Secop”.</w:t>
      </w:r>
    </w:p>
  </w:footnote>
  <w:footnote w:id="18">
    <w:p w14:paraId="5C9B7573" w14:textId="77777777" w:rsidR="00C17CB4" w:rsidRPr="009B41DD" w:rsidRDefault="00C17CB4" w:rsidP="00C17CB4">
      <w:pPr>
        <w:pStyle w:val="NormalWeb"/>
        <w:spacing w:after="0"/>
        <w:ind w:firstLine="708"/>
        <w:jc w:val="both"/>
        <w:rPr>
          <w:rFonts w:ascii="Verdana" w:hAnsi="Verdana" w:cs="Arial"/>
          <w:color w:val="000000"/>
          <w:sz w:val="16"/>
          <w:szCs w:val="16"/>
        </w:rPr>
      </w:pPr>
      <w:r w:rsidRPr="009B41DD">
        <w:rPr>
          <w:rStyle w:val="Refdenotaalpie"/>
          <w:rFonts w:ascii="Verdana" w:hAnsi="Verdana"/>
          <w:sz w:val="16"/>
          <w:szCs w:val="16"/>
        </w:rPr>
        <w:footnoteRef/>
      </w:r>
      <w:r>
        <w:rPr>
          <w:rFonts w:ascii="Verdana" w:hAnsi="Verdana" w:cs="Arial"/>
          <w:sz w:val="16"/>
          <w:szCs w:val="16"/>
        </w:rPr>
        <w:t xml:space="preserve"> </w:t>
      </w:r>
      <w:r w:rsidRPr="009B41DD">
        <w:rPr>
          <w:rFonts w:ascii="Verdana" w:hAnsi="Verdana" w:cs="Arial"/>
          <w:sz w:val="16"/>
          <w:szCs w:val="16"/>
        </w:rPr>
        <w:t>Decreto 1082 de 2015 “</w:t>
      </w:r>
      <w:r w:rsidRPr="009B41DD">
        <w:rPr>
          <w:rFonts w:ascii="Verdana" w:hAnsi="Verdana" w:cs="Arial"/>
          <w:color w:val="000000"/>
          <w:sz w:val="16"/>
          <w:szCs w:val="16"/>
        </w:rPr>
        <w:t>Artículo 2.2.1.2.1.2.17. Garantía única a favor de la Entidad Estatal. Como requisito para la ejecución del contrato de comisión, el comisionista seleccionado debe constituir a favor de la entidad estatal comitente la garantía única de cumplimiento, en relación con el valor de la comisión que la Entidad Estatal pagará al comisionista por sus servicios. </w:t>
      </w:r>
    </w:p>
    <w:p w14:paraId="52F5AA2C" w14:textId="77777777" w:rsidR="00C17CB4" w:rsidRPr="009B41DD" w:rsidRDefault="00C17CB4" w:rsidP="00C17CB4">
      <w:pPr>
        <w:spacing w:after="0"/>
        <w:ind w:firstLine="709"/>
        <w:jc w:val="both"/>
        <w:rPr>
          <w:rFonts w:ascii="Verdana" w:eastAsia="Times New Roman" w:hAnsi="Verdana" w:cs="Arial"/>
          <w:color w:val="000000"/>
          <w:sz w:val="16"/>
          <w:szCs w:val="16"/>
          <w:lang w:eastAsia="es-CO"/>
        </w:rPr>
      </w:pPr>
      <w:bookmarkStart w:id="6" w:name="ver_30051355"/>
      <w:bookmarkEnd w:id="6"/>
      <w:r w:rsidRPr="009B41DD">
        <w:rPr>
          <w:rFonts w:ascii="Verdana" w:eastAsia="Times New Roman" w:hAnsi="Verdana" w:cs="Arial"/>
          <w:color w:val="000000"/>
          <w:sz w:val="16"/>
          <w:szCs w:val="16"/>
          <w:lang w:eastAsia="es-CO"/>
        </w:rPr>
        <w:t>“Artículo 2.2.1.2.1.2.18. Garantías de cumplimiento a favor del organismo de compensación de la bolsa de productos. La Entidad Estatal y el comitente vendedor deben constituir a favor del organismo de compensación de la bolsa de productos las garantías establecidas en su reglamento, para garantizar el cumplimiento de las negociaciones mediante las cuales la Entidad Estatal adquiere Bienes y Servicios de Características Técnicas Uniformes.</w:t>
      </w:r>
    </w:p>
    <w:p w14:paraId="358E3B51" w14:textId="77777777" w:rsidR="00C17CB4" w:rsidRPr="009B41DD" w:rsidRDefault="00C17CB4" w:rsidP="00C17CB4">
      <w:pPr>
        <w:spacing w:after="0"/>
        <w:ind w:firstLine="709"/>
        <w:jc w:val="both"/>
        <w:rPr>
          <w:rFonts w:ascii="Arial" w:eastAsia="Times New Roman" w:hAnsi="Arial" w:cs="Arial"/>
          <w:color w:val="000000"/>
          <w:sz w:val="19"/>
          <w:szCs w:val="19"/>
          <w:lang w:eastAsia="es-CO"/>
        </w:rPr>
      </w:pPr>
      <w:r w:rsidRPr="009B41DD">
        <w:rPr>
          <w:rFonts w:ascii="Verdana" w:eastAsia="Times New Roman" w:hAnsi="Verdana" w:cs="Arial"/>
          <w:color w:val="000000"/>
          <w:sz w:val="16"/>
          <w:szCs w:val="16"/>
          <w:lang w:eastAsia="es-CO"/>
        </w:rPr>
        <w:t>Las Entidades Estatales pueden exigir al comitente vendedor garantías adicionales a las señaladas en el presente artículo, siempre y cuando resulten adecuadas y proporcionales al objeto a contratar y a su valor”.</w:t>
      </w:r>
    </w:p>
  </w:footnote>
  <w:footnote w:id="19">
    <w:p w14:paraId="2C866A65" w14:textId="77777777" w:rsidR="00C17CB4" w:rsidRPr="00D7529D" w:rsidRDefault="00C17CB4" w:rsidP="00C17CB4">
      <w:pPr>
        <w:pStyle w:val="Textonotapie"/>
        <w:ind w:firstLine="708"/>
        <w:jc w:val="both"/>
        <w:rPr>
          <w:rFonts w:ascii="Verdana" w:hAnsi="Verdana" w:cs="Arial"/>
          <w:sz w:val="16"/>
          <w:szCs w:val="16"/>
        </w:rPr>
      </w:pPr>
      <w:r w:rsidRPr="00D7529D">
        <w:rPr>
          <w:rStyle w:val="Refdenotaalpie"/>
          <w:rFonts w:ascii="Verdana" w:hAnsi="Verdana"/>
          <w:sz w:val="16"/>
          <w:szCs w:val="16"/>
        </w:rPr>
        <w:footnoteRef/>
      </w:r>
      <w:r w:rsidRPr="00D7529D">
        <w:rPr>
          <w:rFonts w:ascii="Verdana" w:hAnsi="Verdana"/>
          <w:sz w:val="16"/>
          <w:szCs w:val="16"/>
        </w:rPr>
        <w:t xml:space="preserve"> </w:t>
      </w:r>
      <w:r w:rsidRPr="00D7529D">
        <w:rPr>
          <w:rFonts w:ascii="Verdana" w:hAnsi="Verdana" w:cs="Arial"/>
          <w:sz w:val="16"/>
          <w:szCs w:val="16"/>
        </w:rPr>
        <w:t>El artículo 2.2.1.2.1.2.12. del Decreto 1082 de 2015, modificado por el artículo 2 del Decreto 310 del 25 de marzo de 2021 establece: “Planeación de una adquisición en la bolsa de productos.</w:t>
      </w:r>
      <w:r w:rsidRPr="00D7529D">
        <w:rPr>
          <w:rFonts w:ascii="Arial" w:hAnsi="Arial" w:cs="Arial"/>
          <w:sz w:val="16"/>
          <w:szCs w:val="16"/>
        </w:rPr>
        <w:t>​</w:t>
      </w:r>
      <w:r w:rsidRPr="00D7529D">
        <w:rPr>
          <w:rFonts w:ascii="Verdana" w:hAnsi="Verdana" w:cs="Arial"/>
          <w:sz w:val="16"/>
          <w:szCs w:val="16"/>
        </w:rPr>
        <w:t xml:space="preserve"> Cuando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 </w:t>
      </w:r>
    </w:p>
    <w:p w14:paraId="3BAC619C" w14:textId="77777777" w:rsidR="00C17CB4" w:rsidRPr="00D7529D" w:rsidRDefault="00C17CB4" w:rsidP="00C17CB4">
      <w:pPr>
        <w:pStyle w:val="Textonotapie"/>
        <w:ind w:firstLine="708"/>
        <w:jc w:val="both"/>
        <w:rPr>
          <w:rFonts w:ascii="Verdana" w:hAnsi="Verdana" w:cs="Arial"/>
          <w:sz w:val="16"/>
          <w:szCs w:val="16"/>
        </w:rPr>
      </w:pPr>
      <w:r w:rsidRPr="00D7529D">
        <w:rPr>
          <w:rFonts w:ascii="Verdana" w:hAnsi="Verdana" w:cs="Arial"/>
          <w:sz w:val="16"/>
          <w:szCs w:val="16"/>
        </w:rPr>
        <w:t xml:space="preserve">“El estudio mencionado deberá dar cuenta de la forma en que la Entidad Estatal garantiza los principios y objetivos del sistema de compras, contratación pública, los postulados de la función administrativa y de la gestión fiscal. Este estudio deberá consignarse expresamente en los documentos del Proceso de Selección y se deberá garantizar su oportuna publicidad a través del SECOP. </w:t>
      </w:r>
    </w:p>
    <w:p w14:paraId="5F296AFF" w14:textId="77777777" w:rsidR="00C17CB4" w:rsidRPr="00D7529D" w:rsidRDefault="00C17CB4" w:rsidP="00C17CB4">
      <w:pPr>
        <w:pStyle w:val="Textonotapie"/>
        <w:ind w:firstLine="708"/>
        <w:jc w:val="both"/>
        <w:rPr>
          <w:rFonts w:ascii="Verdana" w:hAnsi="Verdana" w:cs="Arial"/>
          <w:sz w:val="16"/>
          <w:szCs w:val="16"/>
        </w:rPr>
      </w:pPr>
      <w:r w:rsidRPr="00D7529D">
        <w:rPr>
          <w:rFonts w:ascii="Verdana" w:hAnsi="Verdana" w:cs="Arial"/>
          <w:sz w:val="16"/>
          <w:szCs w:val="16"/>
        </w:rPr>
        <w:t xml:space="preserve">“Aun existiendo un Acuerdo Marco de Precios, las entidades estatales podrán acudir a las bolsas de productos, siempre que a través de este mecanismo se obtengan precios inferiores al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 incluyendo los costos generados por concepto de comisionistas de bolsa y gastos de operación de qué trata el artículo 2.2.1.2.1.2.1.5 del presente Decreto, valores que deberán ser verificados por el respectivo ordenador del gasto en el último boletín de precios que, para el efecto, expida el órgano rector de la contratación estatal. </w:t>
      </w:r>
    </w:p>
    <w:p w14:paraId="52FAA3DC" w14:textId="77777777" w:rsidR="00C17CB4" w:rsidRPr="00D7529D" w:rsidRDefault="00C17CB4" w:rsidP="00C17CB4">
      <w:pPr>
        <w:pStyle w:val="Textonotapie"/>
        <w:ind w:firstLine="708"/>
        <w:jc w:val="both"/>
        <w:rPr>
          <w:rFonts w:ascii="Verdana" w:hAnsi="Verdana" w:cs="Arial"/>
          <w:sz w:val="16"/>
          <w:szCs w:val="16"/>
        </w:rPr>
      </w:pPr>
      <w:r w:rsidRPr="00D7529D">
        <w:rPr>
          <w:rFonts w:ascii="Verdana" w:hAnsi="Verdana" w:cs="Arial"/>
          <w:sz w:val="16"/>
          <w:szCs w:val="16"/>
        </w:rPr>
        <w:t xml:space="preserve">“Estas adquisiciones, no podrán desmejorar las condiciones técnicas y de calidad definidas para los bienes y servicios que conforman los catálogos de los acuerdos marco de precios de la Agencia Nacional de Contratación Pública como ente rector en la materia o quien haga sus veces. </w:t>
      </w:r>
    </w:p>
    <w:p w14:paraId="746D05FC" w14:textId="77777777" w:rsidR="00C17CB4" w:rsidRPr="00D7529D" w:rsidRDefault="00C17CB4" w:rsidP="00C17CB4">
      <w:pPr>
        <w:pStyle w:val="Textonotapie"/>
        <w:ind w:firstLine="708"/>
        <w:jc w:val="both"/>
        <w:rPr>
          <w:rFonts w:ascii="Verdana" w:hAnsi="Verdana" w:cs="Arial"/>
          <w:sz w:val="16"/>
          <w:szCs w:val="16"/>
        </w:rPr>
      </w:pPr>
      <w:r w:rsidRPr="00D7529D">
        <w:rPr>
          <w:rFonts w:ascii="Verdana" w:hAnsi="Verdana" w:cs="Arial"/>
          <w:sz w:val="16"/>
          <w:szCs w:val="16"/>
        </w:rPr>
        <w:t xml:space="preserve">“Parágrafo 1. La Agencia Nacional de contratación Pública - Colombia Compra Eficiente, a través de la circular de que trata el numeral 2 del parágrafo 1 del artículo 2.2.1.2.1.2.7. del presente Decreto definirá los lineamientos generales, así como 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 </w:t>
      </w:r>
    </w:p>
    <w:p w14:paraId="158B974D" w14:textId="77777777" w:rsidR="00C17CB4" w:rsidRDefault="00C17CB4" w:rsidP="00C17CB4">
      <w:pPr>
        <w:pStyle w:val="Textonotapie"/>
        <w:ind w:firstLine="708"/>
        <w:jc w:val="both"/>
        <w:rPr>
          <w:rFonts w:ascii="Verdana" w:hAnsi="Verdana" w:cs="Arial"/>
          <w:sz w:val="16"/>
          <w:szCs w:val="16"/>
        </w:rPr>
      </w:pPr>
      <w:r w:rsidRPr="00D7529D">
        <w:rPr>
          <w:rFonts w:ascii="Verdana" w:hAnsi="Verdana" w:cs="Arial"/>
          <w:sz w:val="16"/>
          <w:szCs w:val="16"/>
        </w:rPr>
        <w:t>“Parágrafo 2. Para los efectos de este Decreto, entiéndase por Bolsa de Productos, las sociedades vigiladas por la Superintendencia Financiera de Colombia y definidas en el artículo 2.11.1.1.1 del Decreto 2555 de 2010 o la norma que la modifique, adicione o sustituya.</w:t>
      </w:r>
    </w:p>
    <w:p w14:paraId="2738171A" w14:textId="77777777" w:rsidR="00C17CB4" w:rsidRPr="00D7529D" w:rsidRDefault="00C17CB4" w:rsidP="00C17CB4">
      <w:pPr>
        <w:pStyle w:val="Textonotapie"/>
        <w:ind w:firstLine="708"/>
        <w:jc w:val="both"/>
        <w:rPr>
          <w:rFonts w:ascii="Verdana" w:hAnsi="Verdana" w:cs="Arial"/>
          <w:sz w:val="16"/>
          <w:szCs w:val="16"/>
        </w:rPr>
      </w:pPr>
      <w:r w:rsidRPr="00D7529D">
        <w:rPr>
          <w:rFonts w:ascii="Verdana" w:hAnsi="Verdana" w:cs="Arial"/>
          <w:sz w:val="16"/>
          <w:szCs w:val="16"/>
        </w:rPr>
        <w:t>“Parágrafo 3. Lo previsto en el parágrafo 1 de este artículo no será aplicable a las Entidades Estatales de la Rama Ejecutiva del Poder Público del orden nacional, obligadas a aplicar la Ley 80 de 1993 y la Ley 1150 de 2007, o las normas que las modifiquen, aclaren, adicionen o sustituyan, las cuales en todo caso están obligadas a adquirir Bienes y Servicios de Características Técnicas Uniformes a través de los Acuerdos Marco de Precios vigentes estructurados por la Agencia Nacional de Contratación Pública -Colombia Compra Eficiente”.</w:t>
      </w:r>
    </w:p>
  </w:footnote>
  <w:footnote w:id="20">
    <w:p w14:paraId="2DDB07C7" w14:textId="77777777" w:rsidR="00C17CB4" w:rsidRPr="00F026FD" w:rsidRDefault="00C17CB4" w:rsidP="00C17CB4">
      <w:pPr>
        <w:pStyle w:val="Textonotapie"/>
        <w:ind w:firstLine="709"/>
        <w:jc w:val="both"/>
        <w:rPr>
          <w:rFonts w:ascii="Verdana" w:hAnsi="Verdana"/>
          <w:sz w:val="16"/>
          <w:szCs w:val="16"/>
          <w:lang w:val="es-ES"/>
        </w:rPr>
      </w:pPr>
      <w:r w:rsidRPr="00F026FD">
        <w:rPr>
          <w:rStyle w:val="Refdenotaalpie"/>
          <w:rFonts w:ascii="Verdana" w:hAnsi="Verdana"/>
          <w:sz w:val="16"/>
          <w:szCs w:val="16"/>
        </w:rPr>
        <w:footnoteRef/>
      </w:r>
      <w:r w:rsidRPr="00F026FD">
        <w:rPr>
          <w:rFonts w:ascii="Verdana" w:hAnsi="Verdana"/>
          <w:sz w:val="16"/>
          <w:szCs w:val="16"/>
        </w:rPr>
        <w:t xml:space="preserve"> </w:t>
      </w:r>
      <w:r w:rsidRPr="00F026FD">
        <w:rPr>
          <w:rFonts w:ascii="Verdana" w:hAnsi="Verdana" w:cs="Arial"/>
          <w:color w:val="000000" w:themeColor="text1"/>
          <w:sz w:val="16"/>
          <w:szCs w:val="16"/>
        </w:rPr>
        <w:t xml:space="preserve">PIAGGIO, H. Las operaciones de Bolsa. Revista de la Facultad de Derecho. Pontificia Universidad Católica del Perú, No. 2, 1945, pp. 37-43. Recuperado en: </w:t>
      </w:r>
      <w:hyperlink r:id="rId2" w:history="1">
        <w:r w:rsidRPr="00F026FD">
          <w:rPr>
            <w:rFonts w:ascii="Verdana" w:hAnsi="Verdana" w:cs="Arial"/>
            <w:color w:val="000000" w:themeColor="text1"/>
            <w:sz w:val="16"/>
            <w:szCs w:val="16"/>
          </w:rPr>
          <w:t>http://revistas.pucp.edu.pe/index.php/derechopucp/article/view/6348/6396</w:t>
        </w:r>
      </w:hyperlink>
    </w:p>
  </w:footnote>
  <w:footnote w:id="21">
    <w:p w14:paraId="46C63423" w14:textId="77777777" w:rsidR="00C17CB4" w:rsidRPr="00F026FD" w:rsidRDefault="00C17CB4" w:rsidP="00C17CB4">
      <w:pPr>
        <w:pStyle w:val="Textonotapie"/>
        <w:rPr>
          <w:rFonts w:ascii="Verdana" w:hAnsi="Verdana"/>
          <w:sz w:val="16"/>
          <w:szCs w:val="16"/>
          <w:lang w:val="es-ES"/>
        </w:rPr>
      </w:pPr>
      <w:r w:rsidRPr="00F026FD">
        <w:rPr>
          <w:rStyle w:val="Refdenotaalpie"/>
          <w:rFonts w:ascii="Verdana" w:hAnsi="Verdana"/>
          <w:sz w:val="16"/>
          <w:szCs w:val="16"/>
        </w:rPr>
        <w:footnoteRef/>
      </w:r>
      <w:r w:rsidRPr="00F026FD">
        <w:rPr>
          <w:rFonts w:ascii="Verdana" w:hAnsi="Verdana"/>
          <w:sz w:val="16"/>
          <w:szCs w:val="16"/>
        </w:rPr>
        <w:t xml:space="preserve"> </w:t>
      </w:r>
      <w:r w:rsidRPr="00F026FD">
        <w:rPr>
          <w:rFonts w:ascii="Verdana" w:hAnsi="Verdana" w:cs="Arial"/>
          <w:color w:val="000000" w:themeColor="text1"/>
          <w:sz w:val="16"/>
          <w:szCs w:val="16"/>
        </w:rPr>
        <w:t>Ibídem</w:t>
      </w:r>
      <w:r>
        <w:rPr>
          <w:rFonts w:ascii="Verdana" w:hAnsi="Verdana" w:cs="Arial"/>
          <w:color w:val="000000" w:themeColor="text1"/>
          <w:sz w:val="16"/>
          <w:szCs w:val="16"/>
        </w:rPr>
        <w:t>.</w:t>
      </w:r>
    </w:p>
  </w:footnote>
  <w:footnote w:id="22">
    <w:p w14:paraId="3CCAEA32" w14:textId="77777777" w:rsidR="00C17CB4" w:rsidRDefault="00C17CB4" w:rsidP="00C17CB4">
      <w:pPr>
        <w:spacing w:after="0" w:line="240" w:lineRule="auto"/>
        <w:ind w:firstLine="709"/>
        <w:jc w:val="both"/>
        <w:rPr>
          <w:rFonts w:ascii="Verdana" w:hAnsi="Verdana"/>
          <w:sz w:val="16"/>
          <w:szCs w:val="16"/>
        </w:rPr>
      </w:pPr>
      <w:r>
        <w:rPr>
          <w:rStyle w:val="Refdenotaalpie"/>
        </w:rPr>
        <w:footnoteRef/>
      </w:r>
      <w:r>
        <w:t xml:space="preserve"> </w:t>
      </w:r>
      <w:r w:rsidRPr="00446113">
        <w:rPr>
          <w:rFonts w:ascii="Verdana" w:hAnsi="Verdana"/>
          <w:sz w:val="16"/>
          <w:szCs w:val="16"/>
        </w:rPr>
        <w:t>Decreto 2555 de 2010 “Artículo 2.11.1.1.5. Reglamentos generales de las bolsas.   </w:t>
      </w:r>
      <w:r w:rsidRPr="00446113">
        <w:rPr>
          <w:rFonts w:ascii="Verdana" w:hAnsi="Verdana"/>
          <w:sz w:val="16"/>
          <w:szCs w:val="16"/>
        </w:rPr>
        <w:tab/>
        <w:t xml:space="preserve">“Las bolsas de bienes y productos agropecuarios, agroindustriales o de otros </w:t>
      </w:r>
      <w:r w:rsidRPr="00446113">
        <w:rPr>
          <w:rFonts w:ascii="Verdana" w:hAnsi="Verdana"/>
          <w:sz w:val="16"/>
          <w:szCs w:val="16"/>
        </w:rPr>
        <w:t>commodities deberán contar con reglamentos que rijan su organización, administración, funcionamiento, así como las operaciones y actividades que se realicen por conducto de los mercados que administren. </w:t>
      </w:r>
    </w:p>
    <w:p w14:paraId="4F8764F1" w14:textId="77777777" w:rsidR="00C17CB4" w:rsidRPr="00446113" w:rsidRDefault="00C17CB4" w:rsidP="00C17CB4">
      <w:pPr>
        <w:spacing w:after="0" w:line="240" w:lineRule="auto"/>
        <w:ind w:firstLine="709"/>
        <w:jc w:val="both"/>
        <w:rPr>
          <w:rFonts w:ascii="Verdana" w:hAnsi="Verdana"/>
          <w:sz w:val="16"/>
          <w:szCs w:val="16"/>
        </w:rPr>
      </w:pPr>
      <w:r w:rsidRPr="00446113">
        <w:rPr>
          <w:rFonts w:ascii="Verdana" w:hAnsi="Verdana"/>
          <w:sz w:val="16"/>
          <w:szCs w:val="16"/>
        </w:rPr>
        <w:t>“Las bolsas de bienes y productos agropecuarios, agroindustriales o de otros commodities que administren sistemas de registro de operaciones, deberán establecer las normas que regulen la organización, administración y funcionamiento de dichos sistemas. </w:t>
      </w:r>
    </w:p>
    <w:p w14:paraId="18385728" w14:textId="77777777" w:rsidR="00C17CB4" w:rsidRDefault="00C17CB4" w:rsidP="00C17CB4">
      <w:pPr>
        <w:spacing w:after="0" w:line="240" w:lineRule="auto"/>
        <w:ind w:firstLine="709"/>
        <w:jc w:val="both"/>
        <w:rPr>
          <w:rFonts w:ascii="Verdana" w:hAnsi="Verdana"/>
          <w:sz w:val="16"/>
          <w:szCs w:val="16"/>
        </w:rPr>
      </w:pPr>
      <w:r w:rsidRPr="00446113">
        <w:rPr>
          <w:rFonts w:ascii="Verdana" w:hAnsi="Verdana"/>
          <w:sz w:val="16"/>
          <w:szCs w:val="16"/>
        </w:rPr>
        <w:t> “Estos reglamentos y sus modificaciones deberán ser aprobados por la junta directiva y autorizados por la Superintendencia Financiera de Colombia.</w:t>
      </w:r>
    </w:p>
    <w:p w14:paraId="447458B2" w14:textId="77777777" w:rsidR="00C17CB4" w:rsidRPr="00F33A6C" w:rsidRDefault="00C17CB4" w:rsidP="00C17CB4">
      <w:pPr>
        <w:spacing w:after="0" w:line="240" w:lineRule="auto"/>
        <w:ind w:firstLine="709"/>
        <w:jc w:val="both"/>
        <w:rPr>
          <w:rFonts w:ascii="Verdana" w:hAnsi="Verdana"/>
          <w:sz w:val="16"/>
          <w:szCs w:val="16"/>
        </w:rPr>
      </w:pPr>
      <w:r w:rsidRPr="00446113">
        <w:rPr>
          <w:rFonts w:ascii="Verdana" w:hAnsi="Verdana"/>
          <w:sz w:val="16"/>
          <w:szCs w:val="16"/>
        </w:rPr>
        <w:t>“Parágrafo 1°. Cuando se trate de las subastas y los servicios a cargo del gestor del mercado de gas natural realizados en desarrollo de la regulación establecida por la Comisión de Regulación de Energía y Gas Combustible (CREG) respecto del funcionamiento del mercado mayorista de gas combustible, no será necesario que las bolsas de bienes y productos agropecuarios, agroindustriales o de otros commodities tengan reglamentos autorizados por la Superintendencia Financiera de Colombia”.</w:t>
      </w:r>
    </w:p>
  </w:footnote>
  <w:footnote w:id="23">
    <w:p w14:paraId="3E7B8339" w14:textId="77777777" w:rsidR="00C17CB4" w:rsidRPr="00F33A6C" w:rsidRDefault="00C17CB4" w:rsidP="00C17CB4">
      <w:pPr>
        <w:pStyle w:val="Textonotapie"/>
        <w:ind w:firstLine="709"/>
        <w:rPr>
          <w:lang w:val="es-ES"/>
        </w:rPr>
      </w:pPr>
      <w:r>
        <w:rPr>
          <w:rStyle w:val="Refdenotaalpie"/>
        </w:rPr>
        <w:footnoteRef/>
      </w:r>
      <w:r>
        <w:t xml:space="preserve"> </w:t>
      </w:r>
      <w:r w:rsidRPr="00F751A8">
        <w:rPr>
          <w:rFonts w:ascii="Verdana" w:hAnsi="Verdana"/>
          <w:sz w:val="12"/>
          <w:szCs w:val="12"/>
        </w:rPr>
        <w:t xml:space="preserve">Ver en línea: </w:t>
      </w:r>
      <w:hyperlink r:id="rId3" w:history="1">
        <w:r w:rsidRPr="00F751A8">
          <w:rPr>
            <w:rStyle w:val="Hipervnculo"/>
            <w:rFonts w:ascii="Verdana" w:hAnsi="Verdana"/>
            <w:sz w:val="12"/>
            <w:szCs w:val="12"/>
          </w:rPr>
          <w:t>https://bolsamercantil.com.co/sites/default/files/2022-07/Reglamento%20BMC%20-%20v20220525.pdf</w:t>
        </w:r>
      </w:hyperlink>
    </w:p>
  </w:footnote>
  <w:footnote w:id="24">
    <w:p w14:paraId="23660464" w14:textId="77777777" w:rsidR="00C17CB4" w:rsidRPr="00F33A6C" w:rsidRDefault="00C17CB4" w:rsidP="00C17CB4">
      <w:pPr>
        <w:pStyle w:val="Textonotapie"/>
        <w:ind w:firstLine="708"/>
        <w:jc w:val="both"/>
        <w:rPr>
          <w:rFonts w:ascii="Verdana" w:hAnsi="Verdana" w:cs="Arial"/>
          <w:color w:val="000000" w:themeColor="text1"/>
          <w:sz w:val="16"/>
          <w:szCs w:val="16"/>
        </w:rPr>
      </w:pPr>
      <w:r>
        <w:rPr>
          <w:rStyle w:val="Refdenotaalpie"/>
        </w:rPr>
        <w:footnoteRef/>
      </w:r>
      <w:r>
        <w:t xml:space="preserve"> </w:t>
      </w:r>
      <w:r w:rsidRPr="00F33A6C">
        <w:rPr>
          <w:rFonts w:ascii="Verdana" w:hAnsi="Verdana" w:cs="Arial"/>
          <w:color w:val="000000" w:themeColor="text1"/>
          <w:sz w:val="16"/>
          <w:szCs w:val="16"/>
        </w:rPr>
        <w:t xml:space="preserve">Reglamento Bolsa Mercantil de Colombia, aprobado por la Resolución No. 2023 de 2008 de la Superintendencia Financiera de Colombia. “Artículo 3.2.2.1.8.- Comprobantes de transacción. Aprobado por Resolución No. 2023 de 2008 de la Superintendencia Financiera de Colombia. De las operaciones realizadas a través de la Bolsa se dejará constancia en un documento idóneo, suscrito por las sociedades comisionistas miembros de la Bolsa que lo celebren y por un representante de la Bolsa debidamente facultado para tal efecto. </w:t>
      </w:r>
    </w:p>
    <w:p w14:paraId="1BC32C46" w14:textId="77777777" w:rsidR="00C17CB4" w:rsidRPr="00F33A6C" w:rsidRDefault="00C17CB4" w:rsidP="00C17CB4">
      <w:pPr>
        <w:pStyle w:val="Textonotapie"/>
        <w:jc w:val="both"/>
        <w:rPr>
          <w:lang w:val="es-ES"/>
        </w:rPr>
      </w:pPr>
      <w:r w:rsidRPr="00F33A6C">
        <w:rPr>
          <w:rFonts w:ascii="Verdana" w:hAnsi="Verdana" w:cs="Arial"/>
          <w:color w:val="000000" w:themeColor="text1"/>
          <w:sz w:val="16"/>
          <w:szCs w:val="16"/>
        </w:rPr>
        <w:t>“Los comprobantes deberán expresar al menos el activo, la calidad y cantidad del objeto de la operación, su precio, lugar y plazo de entrega, y la comisión cobrada. El documento original se les entregará a las sociedades comisionistas miembros de la Bolsa la copia del original será conservada por la Bolsa”.</w:t>
      </w:r>
    </w:p>
  </w:footnote>
  <w:footnote w:id="25">
    <w:p w14:paraId="298638E5" w14:textId="77777777" w:rsidR="00C17CB4" w:rsidRPr="00152814" w:rsidRDefault="00C17CB4" w:rsidP="00C17CB4">
      <w:pPr>
        <w:pStyle w:val="Textonotapie"/>
        <w:ind w:firstLine="709"/>
        <w:jc w:val="both"/>
        <w:rPr>
          <w:lang w:val="en-US"/>
        </w:rPr>
      </w:pPr>
      <w:r>
        <w:rPr>
          <w:rStyle w:val="Refdenotaalpie"/>
        </w:rPr>
        <w:footnoteRef/>
      </w:r>
      <w:hyperlink r:id="rId4" w:history="1">
        <w:r w:rsidRPr="00457C91">
          <w:rPr>
            <w:rStyle w:val="Hipervnculo"/>
            <w:rFonts w:ascii="Verdana" w:hAnsi="Verdana" w:cs="Arial"/>
            <w:sz w:val="16"/>
            <w:szCs w:val="16"/>
            <w:lang w:val="en-US"/>
          </w:rPr>
          <w:t>https://www.colombiacompra.gov.co/sites/cce_public/files/cce_circulares/vf_circular_externa_004_de_2021_ 002_2.pdf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411901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trackRevisions/>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68D"/>
    <w:rsid w:val="00042AE1"/>
    <w:rsid w:val="00046945"/>
    <w:rsid w:val="00057424"/>
    <w:rsid w:val="00061B2A"/>
    <w:rsid w:val="00082362"/>
    <w:rsid w:val="000A683E"/>
    <w:rsid w:val="000B19B9"/>
    <w:rsid w:val="000D0334"/>
    <w:rsid w:val="000F6486"/>
    <w:rsid w:val="00125105"/>
    <w:rsid w:val="00127233"/>
    <w:rsid w:val="00143B9A"/>
    <w:rsid w:val="00150D4F"/>
    <w:rsid w:val="001E4177"/>
    <w:rsid w:val="001F7DC6"/>
    <w:rsid w:val="002130A4"/>
    <w:rsid w:val="0021359B"/>
    <w:rsid w:val="002421BB"/>
    <w:rsid w:val="00256DC7"/>
    <w:rsid w:val="0025796E"/>
    <w:rsid w:val="002707A2"/>
    <w:rsid w:val="002951A0"/>
    <w:rsid w:val="002962BC"/>
    <w:rsid w:val="002A093D"/>
    <w:rsid w:val="002A0DD0"/>
    <w:rsid w:val="002A0F97"/>
    <w:rsid w:val="002A49AC"/>
    <w:rsid w:val="002A64FD"/>
    <w:rsid w:val="002C7A84"/>
    <w:rsid w:val="002E4FD9"/>
    <w:rsid w:val="00322A85"/>
    <w:rsid w:val="00324168"/>
    <w:rsid w:val="0034345B"/>
    <w:rsid w:val="003448F4"/>
    <w:rsid w:val="00374F5E"/>
    <w:rsid w:val="00377E3E"/>
    <w:rsid w:val="003A5949"/>
    <w:rsid w:val="003A779E"/>
    <w:rsid w:val="003D0F4D"/>
    <w:rsid w:val="003D5B0D"/>
    <w:rsid w:val="003E0499"/>
    <w:rsid w:val="003F3941"/>
    <w:rsid w:val="00406575"/>
    <w:rsid w:val="00414C74"/>
    <w:rsid w:val="0042722E"/>
    <w:rsid w:val="0044528D"/>
    <w:rsid w:val="0046052E"/>
    <w:rsid w:val="004A1847"/>
    <w:rsid w:val="004A305D"/>
    <w:rsid w:val="004A37D8"/>
    <w:rsid w:val="004B26B8"/>
    <w:rsid w:val="004F21C4"/>
    <w:rsid w:val="004F685F"/>
    <w:rsid w:val="00534A04"/>
    <w:rsid w:val="005566E8"/>
    <w:rsid w:val="00574867"/>
    <w:rsid w:val="00591460"/>
    <w:rsid w:val="005C3777"/>
    <w:rsid w:val="005C5CDC"/>
    <w:rsid w:val="005D476C"/>
    <w:rsid w:val="00614390"/>
    <w:rsid w:val="006219F8"/>
    <w:rsid w:val="006302F7"/>
    <w:rsid w:val="00665D70"/>
    <w:rsid w:val="006900D9"/>
    <w:rsid w:val="006A760C"/>
    <w:rsid w:val="00706C16"/>
    <w:rsid w:val="00710DEA"/>
    <w:rsid w:val="007153FF"/>
    <w:rsid w:val="00730014"/>
    <w:rsid w:val="00756841"/>
    <w:rsid w:val="007649AB"/>
    <w:rsid w:val="00771D0C"/>
    <w:rsid w:val="007833AC"/>
    <w:rsid w:val="007B268C"/>
    <w:rsid w:val="007B7171"/>
    <w:rsid w:val="007C0C0F"/>
    <w:rsid w:val="007C3DC2"/>
    <w:rsid w:val="007E1A1D"/>
    <w:rsid w:val="007E5497"/>
    <w:rsid w:val="00806F5F"/>
    <w:rsid w:val="00820278"/>
    <w:rsid w:val="0085526C"/>
    <w:rsid w:val="00867F95"/>
    <w:rsid w:val="008843B6"/>
    <w:rsid w:val="00891928"/>
    <w:rsid w:val="00897A3A"/>
    <w:rsid w:val="008A446D"/>
    <w:rsid w:val="008D180B"/>
    <w:rsid w:val="008F0EA7"/>
    <w:rsid w:val="008F5A62"/>
    <w:rsid w:val="00900FF9"/>
    <w:rsid w:val="0091096B"/>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33DF0"/>
    <w:rsid w:val="00A40829"/>
    <w:rsid w:val="00AB0ADB"/>
    <w:rsid w:val="00AF1C3A"/>
    <w:rsid w:val="00B00C0E"/>
    <w:rsid w:val="00B01B1A"/>
    <w:rsid w:val="00B30FE0"/>
    <w:rsid w:val="00B44A47"/>
    <w:rsid w:val="00B57589"/>
    <w:rsid w:val="00B72CD3"/>
    <w:rsid w:val="00B72FFF"/>
    <w:rsid w:val="00B73738"/>
    <w:rsid w:val="00B86394"/>
    <w:rsid w:val="00B873AF"/>
    <w:rsid w:val="00BC3D36"/>
    <w:rsid w:val="00BD7F72"/>
    <w:rsid w:val="00BF49D6"/>
    <w:rsid w:val="00C04FB3"/>
    <w:rsid w:val="00C17CB4"/>
    <w:rsid w:val="00C330EB"/>
    <w:rsid w:val="00C73086"/>
    <w:rsid w:val="00C754BE"/>
    <w:rsid w:val="00C76B1C"/>
    <w:rsid w:val="00CA391B"/>
    <w:rsid w:val="00CB6357"/>
    <w:rsid w:val="00CC1B26"/>
    <w:rsid w:val="00D14528"/>
    <w:rsid w:val="00D423A2"/>
    <w:rsid w:val="00D520D8"/>
    <w:rsid w:val="00D5E8F4"/>
    <w:rsid w:val="00D63AC2"/>
    <w:rsid w:val="00D7383B"/>
    <w:rsid w:val="00D7542B"/>
    <w:rsid w:val="00DA231B"/>
    <w:rsid w:val="00DB4981"/>
    <w:rsid w:val="00DC39FC"/>
    <w:rsid w:val="00DF5254"/>
    <w:rsid w:val="00DF699D"/>
    <w:rsid w:val="00E16408"/>
    <w:rsid w:val="00E20894"/>
    <w:rsid w:val="00E245AB"/>
    <w:rsid w:val="00E2764C"/>
    <w:rsid w:val="00E27F2E"/>
    <w:rsid w:val="00E50AFE"/>
    <w:rsid w:val="00E60737"/>
    <w:rsid w:val="00E62664"/>
    <w:rsid w:val="00E667A5"/>
    <w:rsid w:val="00E75C92"/>
    <w:rsid w:val="00E771DC"/>
    <w:rsid w:val="00E8772A"/>
    <w:rsid w:val="00E90F6B"/>
    <w:rsid w:val="00E92C27"/>
    <w:rsid w:val="00EA0E3D"/>
    <w:rsid w:val="00EC38A7"/>
    <w:rsid w:val="00EE1AA8"/>
    <w:rsid w:val="00EF4CF8"/>
    <w:rsid w:val="00F31EDC"/>
    <w:rsid w:val="00F404C0"/>
    <w:rsid w:val="00F462B3"/>
    <w:rsid w:val="00F5664F"/>
    <w:rsid w:val="00F63182"/>
    <w:rsid w:val="00F63CF2"/>
    <w:rsid w:val="00F666C4"/>
    <w:rsid w:val="00F76AFC"/>
    <w:rsid w:val="00FA47C0"/>
    <w:rsid w:val="00FB5DD1"/>
    <w:rsid w:val="00FC2B5D"/>
    <w:rsid w:val="00FF1449"/>
    <w:rsid w:val="01BDE026"/>
    <w:rsid w:val="022C1AE3"/>
    <w:rsid w:val="03C33CC7"/>
    <w:rsid w:val="054CAF87"/>
    <w:rsid w:val="060DE5E5"/>
    <w:rsid w:val="06DD0D52"/>
    <w:rsid w:val="0777C2AC"/>
    <w:rsid w:val="07C7E076"/>
    <w:rsid w:val="084E4BF2"/>
    <w:rsid w:val="08F21916"/>
    <w:rsid w:val="09511D3C"/>
    <w:rsid w:val="0DFB1BAD"/>
    <w:rsid w:val="0EE244B0"/>
    <w:rsid w:val="0EFDFBFC"/>
    <w:rsid w:val="0FC9B025"/>
    <w:rsid w:val="0FD5A6DE"/>
    <w:rsid w:val="12B11E7A"/>
    <w:rsid w:val="130226A3"/>
    <w:rsid w:val="132E70AE"/>
    <w:rsid w:val="15A28F07"/>
    <w:rsid w:val="176FA3EA"/>
    <w:rsid w:val="1970A55D"/>
    <w:rsid w:val="19802690"/>
    <w:rsid w:val="1C04AA38"/>
    <w:rsid w:val="1C27FAD6"/>
    <w:rsid w:val="1C97AEB0"/>
    <w:rsid w:val="1ED12B29"/>
    <w:rsid w:val="1F5455B9"/>
    <w:rsid w:val="1F6422B5"/>
    <w:rsid w:val="1FA681BB"/>
    <w:rsid w:val="20EFE947"/>
    <w:rsid w:val="2188818D"/>
    <w:rsid w:val="21AD8A0C"/>
    <w:rsid w:val="2217FCBC"/>
    <w:rsid w:val="2249C6B0"/>
    <w:rsid w:val="245EFCAC"/>
    <w:rsid w:val="257A2DC9"/>
    <w:rsid w:val="2794AC44"/>
    <w:rsid w:val="280490FC"/>
    <w:rsid w:val="285C9A1D"/>
    <w:rsid w:val="2A4792B9"/>
    <w:rsid w:val="2BB65306"/>
    <w:rsid w:val="2D549CD3"/>
    <w:rsid w:val="2D816B0D"/>
    <w:rsid w:val="2D8EF900"/>
    <w:rsid w:val="2F6CCADA"/>
    <w:rsid w:val="300A5093"/>
    <w:rsid w:val="3035890E"/>
    <w:rsid w:val="304F2C74"/>
    <w:rsid w:val="305329F1"/>
    <w:rsid w:val="30552BDD"/>
    <w:rsid w:val="30AA5D8A"/>
    <w:rsid w:val="30E9D100"/>
    <w:rsid w:val="3104FE37"/>
    <w:rsid w:val="331D8A37"/>
    <w:rsid w:val="3371D395"/>
    <w:rsid w:val="33DE94BA"/>
    <w:rsid w:val="34ED77AD"/>
    <w:rsid w:val="354B3909"/>
    <w:rsid w:val="36E4F812"/>
    <w:rsid w:val="37234500"/>
    <w:rsid w:val="380AA4E2"/>
    <w:rsid w:val="3869254A"/>
    <w:rsid w:val="3CA5E139"/>
    <w:rsid w:val="3D36EE49"/>
    <w:rsid w:val="3DA0E5DA"/>
    <w:rsid w:val="3E6F09F7"/>
    <w:rsid w:val="3F09AF43"/>
    <w:rsid w:val="3F5ED217"/>
    <w:rsid w:val="3F88D7F0"/>
    <w:rsid w:val="40DB9C9B"/>
    <w:rsid w:val="42593185"/>
    <w:rsid w:val="42714D05"/>
    <w:rsid w:val="4350B21A"/>
    <w:rsid w:val="46348018"/>
    <w:rsid w:val="4A05D5E8"/>
    <w:rsid w:val="4C8EFEB7"/>
    <w:rsid w:val="4D1D2AF8"/>
    <w:rsid w:val="4D92E143"/>
    <w:rsid w:val="4D99B0E1"/>
    <w:rsid w:val="4E1D6B97"/>
    <w:rsid w:val="4E2EBC56"/>
    <w:rsid w:val="4EBA0678"/>
    <w:rsid w:val="4F1182DF"/>
    <w:rsid w:val="5015B6AD"/>
    <w:rsid w:val="5089A988"/>
    <w:rsid w:val="516C5D03"/>
    <w:rsid w:val="53BDB1A7"/>
    <w:rsid w:val="53DC6537"/>
    <w:rsid w:val="553C4CF1"/>
    <w:rsid w:val="56692FA5"/>
    <w:rsid w:val="56B956F0"/>
    <w:rsid w:val="583AD7B0"/>
    <w:rsid w:val="58491FEC"/>
    <w:rsid w:val="58563420"/>
    <w:rsid w:val="5915816F"/>
    <w:rsid w:val="591D92B2"/>
    <w:rsid w:val="5937AB0F"/>
    <w:rsid w:val="5AEB15DE"/>
    <w:rsid w:val="5B42F551"/>
    <w:rsid w:val="5BB1A54B"/>
    <w:rsid w:val="5C2103B6"/>
    <w:rsid w:val="5D43E53B"/>
    <w:rsid w:val="5F09C3E4"/>
    <w:rsid w:val="61BC8407"/>
    <w:rsid w:val="62C1560E"/>
    <w:rsid w:val="634B36EF"/>
    <w:rsid w:val="63638109"/>
    <w:rsid w:val="661CEF82"/>
    <w:rsid w:val="670B2849"/>
    <w:rsid w:val="67A00664"/>
    <w:rsid w:val="68A73C91"/>
    <w:rsid w:val="68D6BE52"/>
    <w:rsid w:val="6A516254"/>
    <w:rsid w:val="6AAA083C"/>
    <w:rsid w:val="6CCB1D26"/>
    <w:rsid w:val="6CF06B85"/>
    <w:rsid w:val="6D2398BA"/>
    <w:rsid w:val="6DA5260A"/>
    <w:rsid w:val="6E3F90FC"/>
    <w:rsid w:val="6E448FAA"/>
    <w:rsid w:val="6F12F396"/>
    <w:rsid w:val="6F1AB79B"/>
    <w:rsid w:val="6FDBF992"/>
    <w:rsid w:val="700CE858"/>
    <w:rsid w:val="709A6B80"/>
    <w:rsid w:val="7175946A"/>
    <w:rsid w:val="7204B61F"/>
    <w:rsid w:val="7274186D"/>
    <w:rsid w:val="7341529B"/>
    <w:rsid w:val="73AED708"/>
    <w:rsid w:val="749E493C"/>
    <w:rsid w:val="74A46D6C"/>
    <w:rsid w:val="74D95282"/>
    <w:rsid w:val="765E5CE4"/>
    <w:rsid w:val="76938B93"/>
    <w:rsid w:val="769AEB2A"/>
    <w:rsid w:val="77E35038"/>
    <w:rsid w:val="78CF0B0D"/>
    <w:rsid w:val="7ADE3C81"/>
    <w:rsid w:val="7AF92537"/>
    <w:rsid w:val="7B6BAB6C"/>
    <w:rsid w:val="7B912330"/>
    <w:rsid w:val="7D073C1A"/>
    <w:rsid w:val="7D30FC7D"/>
    <w:rsid w:val="7DF5FA7F"/>
    <w:rsid w:val="7EF1DD69"/>
    <w:rsid w:val="7EF8D2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17CB4"/>
    <w:pPr>
      <w:spacing w:line="240" w:lineRule="exact"/>
    </w:pPr>
    <w:rPr>
      <w:vertAlign w:val="superscript"/>
    </w:rPr>
  </w:style>
  <w:style w:type="character" w:styleId="Textoennegrita">
    <w:name w:val="Strong"/>
    <w:basedOn w:val="Fuentedeprrafopredeter"/>
    <w:uiPriority w:val="22"/>
    <w:qFormat/>
    <w:rsid w:val="00C17CB4"/>
    <w:rPr>
      <w:b/>
      <w:bCs/>
    </w:rPr>
  </w:style>
  <w:style w:type="character" w:styleId="nfasis">
    <w:name w:val="Emphasis"/>
    <w:basedOn w:val="Fuentedeprrafopredeter"/>
    <w:uiPriority w:val="20"/>
    <w:qFormat/>
    <w:rsid w:val="00C17CB4"/>
    <w:rPr>
      <w:i/>
      <w:i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17CB4"/>
    <w:rPr>
      <w:rFonts w:ascii="Geomanist Light" w:hAnsi="Geomanist Light"/>
      <w:lang w:val="es-ES"/>
    </w:rPr>
  </w:style>
  <w:style w:type="character" w:customStyle="1" w:styleId="NormalWebCar">
    <w:name w:val="Normal (Web) Car"/>
    <w:link w:val="NormalWeb"/>
    <w:uiPriority w:val="99"/>
    <w:rsid w:val="00C17CB4"/>
    <w:rPr>
      <w:rFonts w:ascii="Times New Roman" w:eastAsia="Times New Roman" w:hAnsi="Times New Roman" w:cs="Times New Roman"/>
      <w:sz w:val="24"/>
      <w:szCs w:val="24"/>
      <w:lang w:eastAsia="es-CO"/>
    </w:rPr>
  </w:style>
  <w:style w:type="character" w:customStyle="1" w:styleId="citation-184">
    <w:name w:val="citation-184"/>
    <w:basedOn w:val="Fuentedeprrafopredeter"/>
    <w:rsid w:val="00C17CB4"/>
  </w:style>
  <w:style w:type="character" w:customStyle="1" w:styleId="citation-226">
    <w:name w:val="citation-226"/>
    <w:basedOn w:val="Fuentedeprrafopredeter"/>
    <w:rsid w:val="00C17CB4"/>
  </w:style>
  <w:style w:type="character" w:customStyle="1" w:styleId="citation-225">
    <w:name w:val="citation-225"/>
    <w:basedOn w:val="Fuentedeprrafopredeter"/>
    <w:rsid w:val="00C17CB4"/>
  </w:style>
  <w:style w:type="character" w:customStyle="1" w:styleId="citation-224">
    <w:name w:val="citation-224"/>
    <w:basedOn w:val="Fuentedeprrafopredeter"/>
    <w:rsid w:val="00C17CB4"/>
  </w:style>
  <w:style w:type="character" w:customStyle="1" w:styleId="citation-223">
    <w:name w:val="citation-223"/>
    <w:basedOn w:val="Fuentedeprrafopredeter"/>
    <w:rsid w:val="00C17CB4"/>
  </w:style>
  <w:style w:type="character" w:customStyle="1" w:styleId="citation-222">
    <w:name w:val="citation-222"/>
    <w:basedOn w:val="Fuentedeprrafopredeter"/>
    <w:rsid w:val="00C17CB4"/>
  </w:style>
  <w:style w:type="character" w:customStyle="1" w:styleId="citation-221">
    <w:name w:val="citation-221"/>
    <w:basedOn w:val="Fuentedeprrafopredeter"/>
    <w:rsid w:val="00C17CB4"/>
  </w:style>
  <w:style w:type="character" w:customStyle="1" w:styleId="citation-220">
    <w:name w:val="citation-220"/>
    <w:basedOn w:val="Fuentedeprrafopredeter"/>
    <w:rsid w:val="00C17CB4"/>
  </w:style>
  <w:style w:type="character" w:customStyle="1" w:styleId="citation-219">
    <w:name w:val="citation-219"/>
    <w:basedOn w:val="Fuentedeprrafopredeter"/>
    <w:rsid w:val="00C17CB4"/>
  </w:style>
  <w:style w:type="paragraph" w:styleId="Textocomentario">
    <w:name w:val="annotation text"/>
    <w:basedOn w:val="Normal"/>
    <w:link w:val="TextocomentarioCar"/>
    <w:uiPriority w:val="99"/>
    <w:semiHidden/>
    <w:unhideWhenUsed/>
    <w:rsid w:val="007E1A1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E1A1D"/>
    <w:rPr>
      <w:sz w:val="20"/>
      <w:szCs w:val="20"/>
    </w:rPr>
  </w:style>
  <w:style w:type="character" w:styleId="Refdecomentario">
    <w:name w:val="annotation reference"/>
    <w:basedOn w:val="Fuentedeprrafopredeter"/>
    <w:uiPriority w:val="99"/>
    <w:semiHidden/>
    <w:unhideWhenUsed/>
    <w:rsid w:val="007E1A1D"/>
    <w:rPr>
      <w:sz w:val="16"/>
      <w:szCs w:val="16"/>
    </w:rPr>
  </w:style>
  <w:style w:type="paragraph" w:styleId="Asuntodelcomentario">
    <w:name w:val="annotation subject"/>
    <w:basedOn w:val="Textocomentario"/>
    <w:next w:val="Textocomentario"/>
    <w:link w:val="AsuntodelcomentarioCar"/>
    <w:uiPriority w:val="99"/>
    <w:semiHidden/>
    <w:unhideWhenUsed/>
    <w:rsid w:val="00256DC7"/>
    <w:rPr>
      <w:b/>
      <w:bCs/>
    </w:rPr>
  </w:style>
  <w:style w:type="character" w:customStyle="1" w:styleId="AsuntodelcomentarioCar">
    <w:name w:val="Asunto del comentario Car"/>
    <w:basedOn w:val="TextocomentarioCar"/>
    <w:link w:val="Asuntodelcomentario"/>
    <w:uiPriority w:val="99"/>
    <w:semiHidden/>
    <w:rsid w:val="00256DC7"/>
    <w:rPr>
      <w:b/>
      <w:bCs/>
      <w:sz w:val="20"/>
      <w:szCs w:val="20"/>
    </w:rPr>
  </w:style>
  <w:style w:type="paragraph" w:styleId="Textoindependiente">
    <w:name w:val="Body Text"/>
    <w:basedOn w:val="Normal"/>
    <w:link w:val="TextoindependienteCar"/>
    <w:uiPriority w:val="1"/>
    <w:qFormat/>
    <w:rsid w:val="00F63182"/>
    <w:pPr>
      <w:widowControl w:val="0"/>
      <w:autoSpaceDE w:val="0"/>
      <w:autoSpaceDN w:val="0"/>
      <w:spacing w:after="0" w:line="240" w:lineRule="auto"/>
      <w:ind w:left="26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F63182"/>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circulares/vf_circular_externa_004_de_2021_002_2.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sciplinario@catastrobogota.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ala-de-prensa/boletin-digita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bolsamercantil.com.co/sites/default/files/2022-07/Reglamento%20BMC%20-%20v20220525.pdf" TargetMode="External"/><Relationship Id="rId2" Type="http://schemas.openxmlformats.org/officeDocument/2006/relationships/hyperlink" Target="http://revistas.pucp.edu.pe/index.php/derechopucp/article/view/6348/6396" TargetMode="External"/><Relationship Id="rId1" Type="http://schemas.openxmlformats.org/officeDocument/2006/relationships/hyperlink" Target="https://www.colombiacompra.gov.co/normativa-y-relatoria/circular-unica-externa" TargetMode="External"/><Relationship Id="rId4" Type="http://schemas.openxmlformats.org/officeDocument/2006/relationships/hyperlink" Target="https://www.colombiacompra.gov.co/sites/cce_public/files/cce_circulares/vf_circular_externa_004_de_2021_%2000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www.w3.org/XML/1998/namespace"/>
    <ds:schemaRef ds:uri="http://schemas.openxmlformats.org/package/2006/metadata/core-properties"/>
    <ds:schemaRef ds:uri="a6cb9e4b-f1d1-4245-83ec-6cad768d538a"/>
    <ds:schemaRef ds:uri="http://purl.org/dc/dcmitype/"/>
    <ds:schemaRef ds:uri="http://purl.org/dc/elements/1.1/"/>
    <ds:schemaRef ds:uri="http://schemas.microsoft.com/office/2006/documentManagement/types"/>
    <ds:schemaRef ds:uri="9d85dbaf-23eb-4e57-a637-93dcacc8b1a1"/>
    <ds:schemaRef ds:uri="http://schemas.microsoft.com/office/infopath/2007/PartnerControls"/>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8F7567D-6BDD-4198-8B95-12C6A4FA01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7437</Words>
  <Characters>40909</Characters>
  <Application>Microsoft Office Word</Application>
  <DocSecurity>0</DocSecurity>
  <Lines>340</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2025-09-19T18:07:00Z</dcterms:created>
  <dcterms:modified xsi:type="dcterms:W3CDTF">2025-09-19T18:07:00Z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