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4235B" w14:textId="77777777" w:rsidR="00AF08FD" w:rsidRPr="00CF41A0" w:rsidRDefault="00AF08FD" w:rsidP="00AF08FD">
      <w:pPr>
        <w:spacing w:after="0" w:line="240" w:lineRule="auto"/>
        <w:jc w:val="both"/>
        <w:rPr>
          <w:rFonts w:ascii="Verdana" w:eastAsia="Calibri" w:hAnsi="Verdana" w:cs="Arial"/>
          <w:b/>
          <w:lang w:val="es-ES_tradnl"/>
        </w:rPr>
      </w:pPr>
      <w:r w:rsidRPr="00CF41A0">
        <w:rPr>
          <w:rFonts w:ascii="Verdana" w:eastAsia="Calibri" w:hAnsi="Verdana" w:cs="Arial"/>
          <w:b/>
          <w:lang w:val="es-ES_tradnl"/>
        </w:rPr>
        <w:t>LIQUIDACIÓN DEL CONTRATO – Definición – Objetivo</w:t>
      </w:r>
    </w:p>
    <w:p w14:paraId="5A0D2D3B" w14:textId="77777777" w:rsidR="00AF08FD" w:rsidRPr="00CF41A0" w:rsidRDefault="00AF08FD" w:rsidP="00AF08FD">
      <w:pPr>
        <w:spacing w:after="0" w:line="240" w:lineRule="auto"/>
        <w:jc w:val="both"/>
        <w:rPr>
          <w:rFonts w:ascii="Verdana" w:eastAsia="Calibri" w:hAnsi="Verdana" w:cs="Arial"/>
          <w:sz w:val="20"/>
          <w:szCs w:val="20"/>
          <w:lang w:val="es-ES_tradnl"/>
        </w:rPr>
      </w:pPr>
    </w:p>
    <w:p w14:paraId="468D12BD" w14:textId="77777777" w:rsidR="00AF08FD" w:rsidRPr="00CF41A0" w:rsidRDefault="00AF08FD" w:rsidP="00AF08FD">
      <w:pPr>
        <w:spacing w:after="0" w:line="240" w:lineRule="auto"/>
        <w:jc w:val="both"/>
        <w:rPr>
          <w:rFonts w:ascii="Verdana" w:eastAsia="Calibri" w:hAnsi="Verdana" w:cs="Arial"/>
          <w:sz w:val="20"/>
          <w:szCs w:val="20"/>
          <w:lang w:val="es-ES_tradnl"/>
        </w:rPr>
      </w:pPr>
      <w:r w:rsidRPr="00CF41A0">
        <w:rPr>
          <w:rFonts w:ascii="Verdana" w:eastAsia="Calibri" w:hAnsi="Verdana" w:cs="Arial"/>
          <w:sz w:val="20"/>
          <w:szCs w:val="20"/>
          <w:lang w:val="es-ES_tradnl"/>
        </w:rPr>
        <w:t xml:space="preserv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 </w:t>
      </w:r>
    </w:p>
    <w:p w14:paraId="2D14C27D" w14:textId="77777777" w:rsidR="00AF08FD" w:rsidRPr="00CF41A0" w:rsidRDefault="00AF08FD" w:rsidP="00AF08FD">
      <w:pPr>
        <w:spacing w:after="0" w:line="240" w:lineRule="auto"/>
        <w:jc w:val="both"/>
        <w:rPr>
          <w:rFonts w:ascii="Verdana" w:eastAsia="Aptos" w:hAnsi="Verdana" w:cs="Arial"/>
          <w:sz w:val="20"/>
          <w:szCs w:val="20"/>
          <w:lang w:val="es-MX"/>
        </w:rPr>
      </w:pPr>
    </w:p>
    <w:p w14:paraId="1076097C" w14:textId="77777777" w:rsidR="00AF08FD" w:rsidRPr="00CF41A0" w:rsidRDefault="00AF08FD" w:rsidP="00AF08FD">
      <w:pPr>
        <w:spacing w:after="0" w:line="240" w:lineRule="auto"/>
        <w:jc w:val="both"/>
        <w:rPr>
          <w:rFonts w:ascii="Verdana" w:eastAsia="Calibri" w:hAnsi="Verdana" w:cs="Arial"/>
          <w:bCs/>
          <w:sz w:val="20"/>
          <w:szCs w:val="20"/>
          <w:lang w:val="es-ES_tradnl"/>
        </w:rPr>
      </w:pPr>
      <w:r w:rsidRPr="00CF41A0">
        <w:rPr>
          <w:rFonts w:ascii="Verdana" w:eastAsia="Times New Roman" w:hAnsi="Verdana" w:cs="Arial"/>
          <w:sz w:val="20"/>
          <w:szCs w:val="20"/>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CF41A0">
        <w:rPr>
          <w:rFonts w:ascii="Verdana" w:eastAsia="Times New Roman" w:hAnsi="Verdana" w:cs="Arial"/>
          <w:i/>
          <w:iCs/>
          <w:sz w:val="20"/>
          <w:szCs w:val="20"/>
          <w:lang w:val="es-ES_tradnl" w:eastAsia="es-ES_tradnl"/>
        </w:rPr>
        <w:t>liquidar</w:t>
      </w:r>
      <w:r w:rsidRPr="00CF41A0">
        <w:rPr>
          <w:rFonts w:ascii="Verdana" w:eastAsia="Times New Roman" w:hAnsi="Verdana" w:cs="Arial"/>
          <w:sz w:val="20"/>
          <w:szCs w:val="20"/>
          <w:lang w:val="es-ES_tradnl" w:eastAsia="es-ES_tradnl"/>
        </w:rPr>
        <w:t xml:space="preserve"> supone un ajuste en relación con las cuentas y el estado de cumplimiento del contrato estatal y, por el otro, que la </w:t>
      </w:r>
      <w:r w:rsidRPr="00CF41A0">
        <w:rPr>
          <w:rFonts w:ascii="Verdana" w:eastAsia="Times New Roman" w:hAnsi="Verdana" w:cs="Arial"/>
          <w:i/>
          <w:iCs/>
          <w:sz w:val="20"/>
          <w:szCs w:val="20"/>
          <w:lang w:val="es-ES_tradnl" w:eastAsia="es-ES_tradnl"/>
        </w:rPr>
        <w:t>liquidación</w:t>
      </w:r>
      <w:r w:rsidRPr="00CF41A0">
        <w:rPr>
          <w:rFonts w:ascii="Verdana" w:eastAsia="Times New Roman" w:hAnsi="Verdana" w:cs="Arial"/>
          <w:sz w:val="20"/>
          <w:szCs w:val="20"/>
          <w:lang w:val="es-ES_tradnl" w:eastAsia="es-ES_tradnl"/>
        </w:rPr>
        <w:t xml:space="preserve"> debe incluir el análisis de las condiciones de calidad y oportunidad en la entrega de los bienes, obras o servicios, así como el balance económico y el comportamiento financiero del negocio.</w:t>
      </w:r>
    </w:p>
    <w:p w14:paraId="1B5685E2" w14:textId="77777777" w:rsidR="00AF08FD" w:rsidRPr="00CF41A0" w:rsidRDefault="00AF08FD" w:rsidP="00AF08FD">
      <w:pPr>
        <w:spacing w:after="0" w:line="240" w:lineRule="auto"/>
        <w:jc w:val="both"/>
        <w:rPr>
          <w:rFonts w:ascii="Verdana" w:eastAsia="Calibri" w:hAnsi="Verdana" w:cs="Arial"/>
          <w:bCs/>
          <w:sz w:val="20"/>
          <w:szCs w:val="20"/>
          <w:lang w:val="es-ES_tradnl"/>
        </w:rPr>
      </w:pPr>
    </w:p>
    <w:p w14:paraId="615AEC8B" w14:textId="77777777" w:rsidR="00AF08FD" w:rsidRPr="00CF41A0" w:rsidRDefault="00AF08FD" w:rsidP="00AF08FD">
      <w:pPr>
        <w:spacing w:after="0" w:line="240" w:lineRule="auto"/>
        <w:jc w:val="both"/>
        <w:rPr>
          <w:rFonts w:ascii="Verdana" w:eastAsia="Calibri" w:hAnsi="Verdana" w:cs="Arial"/>
          <w:b/>
          <w:lang w:val="es-ES_tradnl"/>
        </w:rPr>
      </w:pPr>
      <w:r w:rsidRPr="00CF41A0">
        <w:rPr>
          <w:rFonts w:ascii="Verdana" w:eastAsia="Calibri" w:hAnsi="Verdana" w:cs="Arial"/>
          <w:b/>
          <w:lang w:val="es-ES_tradnl"/>
        </w:rPr>
        <w:t>LIQUIDACIÓN DEL CONTRATO – Normativa</w:t>
      </w:r>
    </w:p>
    <w:p w14:paraId="7831683C" w14:textId="77777777" w:rsidR="00AF08FD" w:rsidRPr="00CF41A0" w:rsidRDefault="00AF08FD" w:rsidP="00AF08FD">
      <w:pPr>
        <w:spacing w:after="0" w:line="240" w:lineRule="auto"/>
        <w:jc w:val="both"/>
        <w:rPr>
          <w:rFonts w:ascii="Verdana" w:eastAsia="Calibri" w:hAnsi="Verdana" w:cs="Arial"/>
          <w:sz w:val="20"/>
          <w:szCs w:val="20"/>
          <w:lang w:val="es-ES_tradnl"/>
        </w:rPr>
      </w:pPr>
    </w:p>
    <w:p w14:paraId="1A78BA8A" w14:textId="77777777" w:rsidR="00AF08FD" w:rsidRPr="00CF41A0" w:rsidRDefault="00AF08FD" w:rsidP="00AF08FD">
      <w:pPr>
        <w:spacing w:after="0" w:line="240" w:lineRule="auto"/>
        <w:jc w:val="both"/>
        <w:rPr>
          <w:rFonts w:ascii="Verdana" w:eastAsia="Times New Roman" w:hAnsi="Verdana" w:cs="Arial"/>
          <w:sz w:val="20"/>
          <w:szCs w:val="20"/>
          <w:lang w:val="es-ES_tradnl" w:eastAsia="es-ES_tradnl"/>
        </w:rPr>
      </w:pPr>
      <w:r w:rsidRPr="00CF41A0">
        <w:rPr>
          <w:rFonts w:ascii="Verdana" w:eastAsia="Calibri" w:hAnsi="Verdana" w:cs="Arial"/>
          <w:sz w:val="20"/>
          <w:szCs w:val="20"/>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2498F39C" w14:textId="77777777" w:rsidR="00AF08FD" w:rsidRPr="00CF41A0" w:rsidRDefault="00AF08FD" w:rsidP="00AF08FD">
      <w:pPr>
        <w:spacing w:after="0" w:line="240" w:lineRule="auto"/>
        <w:jc w:val="both"/>
        <w:rPr>
          <w:rFonts w:ascii="Verdana" w:eastAsia="Calibri" w:hAnsi="Verdana" w:cs="Arial"/>
          <w:bCs/>
          <w:sz w:val="20"/>
          <w:szCs w:val="20"/>
          <w:lang w:val="es-ES_tradnl"/>
        </w:rPr>
      </w:pPr>
    </w:p>
    <w:p w14:paraId="1AC67959" w14:textId="49EB14FB" w:rsidR="00AF08FD" w:rsidRPr="00CF41A0" w:rsidRDefault="00AF08FD" w:rsidP="00AF08FD">
      <w:pPr>
        <w:spacing w:after="0" w:line="240" w:lineRule="auto"/>
        <w:jc w:val="both"/>
        <w:rPr>
          <w:rFonts w:ascii="Verdana" w:eastAsia="Aptos" w:hAnsi="Verdana" w:cs="Arial"/>
          <w:b/>
          <w:lang w:val="es-ES_tradnl" w:eastAsia="es-ES"/>
        </w:rPr>
      </w:pPr>
      <w:r w:rsidRPr="00CF41A0">
        <w:rPr>
          <w:rFonts w:ascii="Verdana" w:eastAsia="Calibri" w:hAnsi="Verdana" w:cs="Arial"/>
          <w:b/>
          <w:lang w:val="es-ES_tradnl"/>
        </w:rPr>
        <w:t>LIQUIDACIÓN DEL CONTRATO</w:t>
      </w:r>
      <w:r w:rsidRPr="00CF41A0">
        <w:rPr>
          <w:rFonts w:ascii="Verdana" w:eastAsia="Aptos" w:hAnsi="Verdana" w:cs="Arial"/>
          <w:b/>
          <w:lang w:val="es-ES_tradnl" w:eastAsia="es-ES"/>
        </w:rPr>
        <w:t xml:space="preserve"> – Acta – Contenido </w:t>
      </w:r>
    </w:p>
    <w:p w14:paraId="4B29FE5C" w14:textId="77777777" w:rsidR="00AF08FD" w:rsidRPr="00CF41A0" w:rsidRDefault="00AF08FD" w:rsidP="00AF08FD">
      <w:pPr>
        <w:spacing w:after="0" w:line="240" w:lineRule="auto"/>
        <w:jc w:val="both"/>
        <w:rPr>
          <w:rFonts w:ascii="Verdana" w:eastAsia="Aptos" w:hAnsi="Verdana" w:cs="Times New Roman"/>
          <w:sz w:val="20"/>
          <w:szCs w:val="20"/>
          <w:highlight w:val="yellow"/>
        </w:rPr>
      </w:pPr>
    </w:p>
    <w:p w14:paraId="250FDDA6" w14:textId="77777777" w:rsidR="00AF08FD" w:rsidRPr="00CF41A0" w:rsidRDefault="00AF08FD" w:rsidP="00AF08FD">
      <w:pPr>
        <w:spacing w:after="0" w:line="240" w:lineRule="auto"/>
        <w:jc w:val="both"/>
        <w:rPr>
          <w:rFonts w:ascii="Verdana" w:eastAsia="Aptos" w:hAnsi="Verdana" w:cs="Times New Roman"/>
          <w:sz w:val="20"/>
          <w:szCs w:val="20"/>
        </w:rPr>
      </w:pPr>
      <w:r w:rsidRPr="00CF41A0">
        <w:rPr>
          <w:rFonts w:ascii="Verdana" w:eastAsia="Aptos" w:hAnsi="Verdana" w:cs="Times New Roman"/>
          <w:sz w:val="20"/>
          <w:szCs w:val="20"/>
        </w:rPr>
        <w:t>La normativa del sistema de compra pública regula el contenido del acta de liquidación que realizan las partes de forma bilateral, en principio, en una norma actualmente derogada, esto es, el Decreto 222 de 1983 que disponía en su artículo 289 el contenido de la liquidación, sin que se mencionara el tema de la fecha del documento. Y la norma actual que es la Ley 80 de 1993, en su artículo 60, también trata del contenido de la liquidación sin que tampoco se mencione la fecha del acta de liquidación.</w:t>
      </w:r>
    </w:p>
    <w:p w14:paraId="6CB6F50E" w14:textId="77777777" w:rsidR="00AF08FD" w:rsidRPr="00CF41A0" w:rsidRDefault="00AF08FD" w:rsidP="00AF08FD">
      <w:pPr>
        <w:spacing w:after="0" w:line="240" w:lineRule="auto"/>
        <w:jc w:val="both"/>
        <w:rPr>
          <w:rFonts w:ascii="Verdana" w:eastAsia="Aptos" w:hAnsi="Verdana" w:cs="Times New Roman"/>
          <w:sz w:val="20"/>
          <w:szCs w:val="20"/>
        </w:rPr>
      </w:pPr>
      <w:r w:rsidRPr="00CF41A0">
        <w:rPr>
          <w:rFonts w:ascii="Verdana" w:eastAsia="Aptos" w:hAnsi="Verdana" w:cs="Times New Roman"/>
          <w:sz w:val="20"/>
          <w:szCs w:val="20"/>
        </w:rPr>
        <w:t>(…)</w:t>
      </w:r>
    </w:p>
    <w:p w14:paraId="41E40C6D" w14:textId="77777777" w:rsidR="00AF08FD" w:rsidRPr="00CF41A0" w:rsidRDefault="00AF08FD" w:rsidP="00AF08FD">
      <w:pPr>
        <w:spacing w:after="0" w:line="240" w:lineRule="auto"/>
        <w:jc w:val="both"/>
        <w:rPr>
          <w:rFonts w:ascii="Verdana" w:eastAsia="Aptos" w:hAnsi="Verdana" w:cs="Times New Roman"/>
          <w:sz w:val="20"/>
          <w:szCs w:val="20"/>
        </w:rPr>
      </w:pPr>
      <w:r w:rsidRPr="00CF41A0">
        <w:rPr>
          <w:rFonts w:ascii="Verdana" w:eastAsia="Aptos" w:hAnsi="Verdana" w:cs="Times New Roman"/>
          <w:sz w:val="20"/>
          <w:szCs w:val="20"/>
        </w:rPr>
        <w:t>Por tanto, se identifica la necesidad de la fecha del acta de liquidación y su publicación para que se pueda determinar si se cumplieron los plazos de la liquidación bilateral, o si esta no existió, proceder a la liquidación unilateral o judicial en los plazos señalados por la norma, que en caso de que las partes no pacten en el contrato el plazo de la liquidación bilateral, la ley trae un término supletivo. Así se observa que la existencia o no de liquidación bilateral, influye en los plazos que la norma dispone para la liquidación unilateral y judicial, además de que la jurisprudencia ha señalado la importancia de conocer la fecha de suscripción de la liquidación para diferentes efectos, entre otros, para hacer reclamaciones mediante acciones judiciales:</w:t>
      </w:r>
    </w:p>
    <w:p w14:paraId="64BD92A1" w14:textId="77777777" w:rsidR="00AF08FD" w:rsidRPr="00CF41A0" w:rsidRDefault="00AF08FD" w:rsidP="00AF08FD">
      <w:pPr>
        <w:spacing w:after="0" w:line="240" w:lineRule="auto"/>
        <w:jc w:val="both"/>
        <w:rPr>
          <w:rFonts w:ascii="Verdana" w:eastAsia="Aptos" w:hAnsi="Verdana" w:cs="Times New Roman"/>
          <w:sz w:val="20"/>
          <w:szCs w:val="20"/>
        </w:rPr>
      </w:pPr>
      <w:r w:rsidRPr="00CF41A0">
        <w:rPr>
          <w:rFonts w:ascii="Verdana" w:eastAsia="Aptos" w:hAnsi="Verdana" w:cs="Times New Roman"/>
          <w:sz w:val="20"/>
          <w:szCs w:val="20"/>
        </w:rPr>
        <w:t>(…)</w:t>
      </w:r>
    </w:p>
    <w:p w14:paraId="3B7D5250" w14:textId="77777777" w:rsidR="00551243" w:rsidRDefault="00551243" w:rsidP="00C203C3">
      <w:pPr>
        <w:spacing w:after="0" w:line="240" w:lineRule="auto"/>
        <w:jc w:val="both"/>
        <w:rPr>
          <w:rFonts w:ascii="Verdana" w:eastAsia="Aptos" w:hAnsi="Verdana" w:cs="Times New Roman"/>
          <w:sz w:val="20"/>
          <w:szCs w:val="20"/>
        </w:rPr>
      </w:pPr>
    </w:p>
    <w:p w14:paraId="0AF15AB7" w14:textId="77777777" w:rsidR="00551243" w:rsidRDefault="00551243" w:rsidP="00C203C3">
      <w:pPr>
        <w:spacing w:after="0" w:line="240" w:lineRule="auto"/>
        <w:jc w:val="both"/>
        <w:rPr>
          <w:rFonts w:ascii="Verdana" w:eastAsia="Aptos" w:hAnsi="Verdana" w:cs="Times New Roman"/>
          <w:sz w:val="20"/>
          <w:szCs w:val="20"/>
        </w:rPr>
      </w:pPr>
    </w:p>
    <w:p w14:paraId="5CDDD379" w14:textId="77777777" w:rsidR="00AF08FD" w:rsidRDefault="00AF08FD" w:rsidP="00C203C3">
      <w:pPr>
        <w:spacing w:after="0" w:line="240" w:lineRule="auto"/>
        <w:jc w:val="both"/>
        <w:rPr>
          <w:rFonts w:ascii="Verdana" w:eastAsia="Calibri" w:hAnsi="Verdana" w:cs="Arial"/>
          <w:b/>
          <w:bCs/>
        </w:rPr>
      </w:pPr>
    </w:p>
    <w:p w14:paraId="2E353487" w14:textId="77777777" w:rsidR="00AF08FD" w:rsidRDefault="00AF08FD" w:rsidP="00C203C3">
      <w:pPr>
        <w:spacing w:after="0" w:line="240" w:lineRule="auto"/>
        <w:jc w:val="both"/>
        <w:rPr>
          <w:rFonts w:ascii="Verdana" w:eastAsia="Calibri" w:hAnsi="Verdana" w:cs="Arial"/>
          <w:b/>
          <w:bCs/>
        </w:rPr>
      </w:pPr>
    </w:p>
    <w:p w14:paraId="38B9BA45" w14:textId="77777777" w:rsidR="00AF08FD" w:rsidRDefault="00AF08FD" w:rsidP="00C203C3">
      <w:pPr>
        <w:spacing w:after="0" w:line="240" w:lineRule="auto"/>
        <w:jc w:val="both"/>
        <w:rPr>
          <w:rFonts w:ascii="Verdana" w:eastAsia="Calibri" w:hAnsi="Verdana" w:cs="Arial"/>
          <w:b/>
          <w:bCs/>
        </w:rPr>
      </w:pPr>
    </w:p>
    <w:p w14:paraId="218791F8" w14:textId="77777777" w:rsidR="00551243" w:rsidRPr="00AF08FD" w:rsidRDefault="00551243" w:rsidP="00C203C3">
      <w:pPr>
        <w:spacing w:after="0" w:line="240" w:lineRule="auto"/>
        <w:jc w:val="both"/>
        <w:rPr>
          <w:rFonts w:ascii="Verdana" w:eastAsia="Aptos" w:hAnsi="Verdana" w:cs="Times New Roman"/>
          <w:sz w:val="20"/>
          <w:szCs w:val="20"/>
        </w:rPr>
      </w:pPr>
    </w:p>
    <w:p w14:paraId="00711C54" w14:textId="77777777" w:rsidR="00551243" w:rsidRPr="00AF08FD" w:rsidRDefault="00551243" w:rsidP="00C203C3">
      <w:pPr>
        <w:spacing w:after="0" w:line="240" w:lineRule="auto"/>
        <w:jc w:val="both"/>
        <w:rPr>
          <w:rFonts w:ascii="Verdana" w:eastAsia="Aptos" w:hAnsi="Verdana" w:cs="Times New Roman"/>
          <w:sz w:val="20"/>
          <w:szCs w:val="20"/>
        </w:rPr>
      </w:pPr>
    </w:p>
    <w:p w14:paraId="734BF481" w14:textId="2867CCEE" w:rsidR="00A64017" w:rsidRDefault="00A64017" w:rsidP="00103B90">
      <w:pPr>
        <w:spacing w:after="0" w:line="240" w:lineRule="auto"/>
        <w:rPr>
          <w:rFonts w:ascii="Verdana" w:hAnsi="Verdana"/>
        </w:rPr>
      </w:pPr>
      <w:bookmarkStart w:id="0" w:name="_Hlk181166130"/>
      <w:r>
        <w:rPr>
          <w:rFonts w:ascii="Verdana" w:hAnsi="Verdana"/>
        </w:rPr>
        <w:t>B</w:t>
      </w:r>
      <w:r w:rsidRPr="0044528D">
        <w:rPr>
          <w:rFonts w:ascii="Verdana" w:hAnsi="Verdana"/>
        </w:rPr>
        <w:t xml:space="preserve">ogotá D.C., </w:t>
      </w:r>
      <w:r w:rsidR="001436CB">
        <w:rPr>
          <w:rFonts w:ascii="Verdana" w:hAnsi="Verdana"/>
        </w:rPr>
        <w:t>17</w:t>
      </w:r>
      <w:r w:rsidR="00324E0B">
        <w:rPr>
          <w:rFonts w:ascii="Verdana" w:hAnsi="Verdana"/>
        </w:rPr>
        <w:t xml:space="preserve"> </w:t>
      </w:r>
      <w:r w:rsidR="00763E4A">
        <w:rPr>
          <w:rFonts w:ascii="Verdana" w:hAnsi="Verdana"/>
        </w:rPr>
        <w:t xml:space="preserve">de </w:t>
      </w:r>
      <w:r w:rsidR="001436CB">
        <w:rPr>
          <w:rFonts w:ascii="Verdana" w:hAnsi="Verdana"/>
        </w:rPr>
        <w:t>septiembre</w:t>
      </w:r>
      <w:r w:rsidR="00763E4A">
        <w:rPr>
          <w:rFonts w:ascii="Verdana" w:hAnsi="Verdana"/>
        </w:rPr>
        <w:t xml:space="preserve"> de </w:t>
      </w:r>
      <w:r w:rsidR="001436CB">
        <w:rPr>
          <w:rFonts w:ascii="Verdana" w:hAnsi="Verdana"/>
        </w:rPr>
        <w:t>2025</w:t>
      </w:r>
      <w:r w:rsidR="00324E0B">
        <w:rPr>
          <w:rFonts w:ascii="Verdana" w:hAnsi="Verdana"/>
        </w:rPr>
        <w:t xml:space="preserve"> </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463ECFF8" w14:textId="0D512017" w:rsidR="00763E4A" w:rsidRDefault="001436CB" w:rsidP="00763E4A">
      <w:pPr>
        <w:spacing w:after="0" w:line="240" w:lineRule="auto"/>
        <w:jc w:val="right"/>
        <w:rPr>
          <w:rFonts w:ascii="Verdana" w:hAnsi="Verdana"/>
        </w:rPr>
      </w:pPr>
      <w:r>
        <w:rPr>
          <w:rFonts w:ascii="Verdana" w:hAnsi="Verdana"/>
          <w:noProof/>
        </w:rPr>
        <w:drawing>
          <wp:inline distT="0" distB="0" distL="0" distR="0" wp14:anchorId="06076241" wp14:editId="4E730F04">
            <wp:extent cx="3322899" cy="990600"/>
            <wp:effectExtent l="0" t="0" r="0" b="0"/>
            <wp:docPr id="7928474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24177" cy="990981"/>
                    </a:xfrm>
                    <a:prstGeom prst="rect">
                      <a:avLst/>
                    </a:prstGeom>
                    <a:noFill/>
                    <a:ln>
                      <a:noFill/>
                    </a:ln>
                  </pic:spPr>
                </pic:pic>
              </a:graphicData>
            </a:graphic>
          </wp:inline>
        </w:drawing>
      </w:r>
    </w:p>
    <w:p w14:paraId="68F08A63" w14:textId="77777777" w:rsidR="00A64017" w:rsidRDefault="00A64017" w:rsidP="00103B90">
      <w:pPr>
        <w:spacing w:after="0" w:line="240" w:lineRule="auto"/>
        <w:rPr>
          <w:rFonts w:ascii="Verdana" w:hAnsi="Verdana"/>
        </w:rPr>
      </w:pPr>
    </w:p>
    <w:p w14:paraId="6EF9D4E0" w14:textId="4CBA29BE"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D33AE98" w14:textId="0464E5AB" w:rsidR="0005444B" w:rsidRDefault="00BD5442" w:rsidP="00A64017">
      <w:pPr>
        <w:spacing w:after="0" w:line="240" w:lineRule="auto"/>
        <w:rPr>
          <w:rFonts w:ascii="Verdana" w:eastAsia="Calibri" w:hAnsi="Verdana" w:cs="Arial"/>
          <w:b/>
          <w:bCs/>
          <w:lang w:eastAsia="es-ES"/>
        </w:rPr>
      </w:pPr>
      <w:r>
        <w:rPr>
          <w:rFonts w:ascii="Verdana" w:eastAsia="Calibri" w:hAnsi="Verdana" w:cs="Arial"/>
          <w:b/>
          <w:bCs/>
          <w:lang w:eastAsia="es-ES"/>
        </w:rPr>
        <w:t>FABIAN ERNESTO RAMIREZ CRUZ</w:t>
      </w:r>
    </w:p>
    <w:p w14:paraId="1FD85336" w14:textId="1FBE4C51" w:rsidR="00A64017" w:rsidRPr="0005444B" w:rsidRDefault="00BD5442" w:rsidP="00A64017">
      <w:pPr>
        <w:spacing w:after="0" w:line="240" w:lineRule="auto"/>
        <w:rPr>
          <w:rFonts w:ascii="Verdana" w:eastAsia="Calibri" w:hAnsi="Verdana" w:cs="Arial"/>
          <w:b/>
          <w:bCs/>
          <w:lang w:eastAsia="es-ES"/>
        </w:rPr>
      </w:pPr>
      <w:hyperlink r:id="rId12" w:history="1">
        <w:r w:rsidRPr="00E40231">
          <w:rPr>
            <w:rStyle w:val="Hipervnculo"/>
            <w:rFonts w:ascii="Verdana" w:hAnsi="Verdana"/>
          </w:rPr>
          <w:t>alcalde.bosa@gobiernobogota.gov.co</w:t>
        </w:r>
      </w:hyperlink>
      <w:r>
        <w:rPr>
          <w:rFonts w:ascii="Verdana" w:hAnsi="Verdana"/>
        </w:rPr>
        <w:t xml:space="preserve"> </w:t>
      </w:r>
    </w:p>
    <w:p w14:paraId="48FCFCCF" w14:textId="3236392D" w:rsidR="00A64017" w:rsidRDefault="00BD5442" w:rsidP="00A64017">
      <w:pPr>
        <w:spacing w:after="0" w:line="240" w:lineRule="auto"/>
        <w:rPr>
          <w:rFonts w:ascii="Verdana" w:hAnsi="Verdana"/>
        </w:rPr>
      </w:pPr>
      <w:r>
        <w:rPr>
          <w:rFonts w:ascii="Verdana" w:hAnsi="Verdana"/>
        </w:rPr>
        <w:t>B</w:t>
      </w:r>
      <w:r w:rsidRPr="0044528D">
        <w:rPr>
          <w:rFonts w:ascii="Verdana" w:hAnsi="Verdana"/>
        </w:rPr>
        <w:t>ogotá D.C.</w:t>
      </w:r>
      <w:r>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35627BEF"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324E0B">
              <w:rPr>
                <w:rFonts w:ascii="Verdana" w:eastAsia="Calibri" w:hAnsi="Verdana" w:cs="Arial"/>
                <w:b/>
                <w:bCs/>
                <w:lang w:val="es-ES" w:eastAsia="es-ES"/>
              </w:rPr>
              <w:t>10</w:t>
            </w:r>
            <w:r w:rsidR="00BD5442">
              <w:rPr>
                <w:rFonts w:ascii="Verdana" w:eastAsia="Calibri" w:hAnsi="Verdana" w:cs="Arial"/>
                <w:b/>
                <w:bCs/>
                <w:lang w:val="es-ES" w:eastAsia="es-ES"/>
              </w:rPr>
              <w:t>95</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3E8F5FFE" w:rsidR="00BB5A06" w:rsidRPr="00280D79" w:rsidRDefault="00AF08FD" w:rsidP="00103B90">
            <w:pPr>
              <w:jc w:val="both"/>
              <w:rPr>
                <w:rFonts w:ascii="Verdana" w:eastAsia="Calibri" w:hAnsi="Verdana" w:cs="Arial"/>
                <w:b/>
                <w:highlight w:val="yellow"/>
                <w:lang w:val="es-ES" w:eastAsia="es-ES"/>
              </w:rPr>
            </w:pPr>
            <w:r w:rsidRPr="00CF41A0">
              <w:rPr>
                <w:rFonts w:ascii="Verdana" w:eastAsia="Calibri" w:hAnsi="Verdana" w:cs="Arial"/>
                <w:bCs/>
                <w:lang w:val="es-ES_tradnl"/>
              </w:rPr>
              <w:t>LIQUIDACIÓN DEL CONTRATO – Definición – Objetivo / LIQUIDACIÓN DEL CONTRATO – Normativa / LIQUIDACIÓN DEL CONTRATO – Acta – Contenido</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4BA37435"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BD5442" w:rsidRPr="00BD5442">
              <w:rPr>
                <w:rFonts w:ascii="Verdana" w:eastAsia="Calibri" w:hAnsi="Verdana" w:cs="Arial"/>
                <w:lang w:val="es-ES_tradnl" w:eastAsia="es-ES_tradnl"/>
              </w:rPr>
              <w:t>1_2025_08_05_008165</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0F4EEDB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324E0B">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BD5442">
        <w:rPr>
          <w:rFonts w:ascii="Verdana" w:eastAsia="Calibri" w:hAnsi="Verdana" w:cs="Arial"/>
          <w:lang w:val="es-ES" w:eastAsia="es-ES"/>
        </w:rPr>
        <w:t>Ramírez</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65A865F9"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sidR="0005444B">
        <w:rPr>
          <w:rFonts w:ascii="Verdana" w:eastAsia="Calibri" w:hAnsi="Verdana" w:cs="Arial"/>
          <w:lang w:val="es-ES" w:eastAsia="es-ES"/>
        </w:rPr>
        <w:t xml:space="preserve"> trasladada por el departamento administrativo de la función pública y en esta entidad el </w:t>
      </w:r>
      <w:r w:rsidR="00631045">
        <w:rPr>
          <w:rFonts w:ascii="Verdana" w:eastAsia="Calibri" w:hAnsi="Verdana" w:cs="Arial"/>
          <w:lang w:val="es-ES" w:eastAsia="es-ES"/>
        </w:rPr>
        <w:t>0</w:t>
      </w:r>
      <w:r w:rsidR="006268DD">
        <w:rPr>
          <w:rFonts w:ascii="Verdana" w:eastAsia="Calibri" w:hAnsi="Verdana" w:cs="Arial"/>
          <w:lang w:val="es-ES" w:eastAsia="es-ES"/>
        </w:rPr>
        <w:t>4</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1" w:name="_Hlk95313578"/>
    </w:p>
    <w:bookmarkEnd w:id="1"/>
    <w:p w14:paraId="11D516E0" w14:textId="1BA20C2B" w:rsidR="00A64017" w:rsidRPr="00EA70F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3E73EB6" w14:textId="77777777" w:rsidR="00631045" w:rsidRDefault="00631045"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89E7EFC" w14:textId="1FEA6090" w:rsidR="00347D2C" w:rsidRDefault="002916A2" w:rsidP="00347D2C">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sidRPr="002916A2">
        <w:rPr>
          <w:rFonts w:ascii="Verdana" w:eastAsia="Century Gothic" w:hAnsi="Verdana" w:cs="Century Gothic"/>
          <w:i/>
          <w:iCs/>
          <w:sz w:val="20"/>
          <w:szCs w:val="20"/>
          <w:lang w:val="es-MX"/>
        </w:rPr>
        <w:t xml:space="preserve">En el marco de un contrato de obra ejecutado y finalizado, frente al cual aún se encuentra pendiente la suscripción del acta de liquidación, surge la siguiente situación jurídica: la contraloría mediante informe de </w:t>
      </w:r>
      <w:r w:rsidR="00DB4F4E" w:rsidRPr="002916A2">
        <w:rPr>
          <w:rFonts w:ascii="Verdana" w:eastAsia="Century Gothic" w:hAnsi="Verdana" w:cs="Century Gothic"/>
          <w:i/>
          <w:iCs/>
          <w:sz w:val="20"/>
          <w:szCs w:val="20"/>
          <w:lang w:val="es-MX"/>
        </w:rPr>
        <w:t>auditoría</w:t>
      </w:r>
      <w:r w:rsidRPr="002916A2">
        <w:rPr>
          <w:rFonts w:ascii="Verdana" w:eastAsia="Century Gothic" w:hAnsi="Verdana" w:cs="Century Gothic"/>
          <w:i/>
          <w:iCs/>
          <w:sz w:val="20"/>
          <w:szCs w:val="20"/>
          <w:lang w:val="es-MX"/>
        </w:rPr>
        <w:t xml:space="preserve"> ha evidenciado la existencia de un presunto hallazgo fiscal</w:t>
      </w:r>
      <w:r w:rsidR="007A4C2B">
        <w:rPr>
          <w:rFonts w:ascii="Verdana" w:eastAsia="Century Gothic" w:hAnsi="Verdana" w:cs="Century Gothic"/>
          <w:i/>
          <w:iCs/>
          <w:sz w:val="20"/>
          <w:szCs w:val="20"/>
          <w:lang w:val="es-MX"/>
        </w:rPr>
        <w:t>. E</w:t>
      </w:r>
      <w:r w:rsidRPr="002916A2">
        <w:rPr>
          <w:rFonts w:ascii="Verdana" w:eastAsia="Century Gothic" w:hAnsi="Verdana" w:cs="Century Gothic"/>
          <w:i/>
          <w:iCs/>
          <w:sz w:val="20"/>
          <w:szCs w:val="20"/>
          <w:lang w:val="es-MX"/>
        </w:rPr>
        <w:t>n consecuencia</w:t>
      </w:r>
      <w:r w:rsidR="007A4C2B">
        <w:rPr>
          <w:rFonts w:ascii="Verdana" w:eastAsia="Century Gothic" w:hAnsi="Verdana" w:cs="Century Gothic"/>
          <w:i/>
          <w:iCs/>
          <w:sz w:val="20"/>
          <w:szCs w:val="20"/>
          <w:lang w:val="es-MX"/>
        </w:rPr>
        <w:t xml:space="preserve">, </w:t>
      </w:r>
      <w:r w:rsidRPr="002916A2">
        <w:rPr>
          <w:rFonts w:ascii="Verdana" w:eastAsia="Century Gothic" w:hAnsi="Verdana" w:cs="Century Gothic"/>
          <w:i/>
          <w:iCs/>
          <w:sz w:val="20"/>
          <w:szCs w:val="20"/>
          <w:lang w:val="es-MX"/>
        </w:rPr>
        <w:t xml:space="preserve">y teniendo en cuenta que la liquidación contractual conllevaría el pago del saldo final equivalente al 5% del valor total del contrato </w:t>
      </w:r>
      <w:r w:rsidRPr="007A4C2B">
        <w:rPr>
          <w:rFonts w:ascii="Verdana" w:eastAsia="Century Gothic" w:hAnsi="Verdana" w:cs="Century Gothic"/>
          <w:i/>
          <w:iCs/>
          <w:sz w:val="20"/>
          <w:szCs w:val="20"/>
          <w:u w:val="single"/>
          <w:lang w:val="es-MX"/>
        </w:rPr>
        <w:t xml:space="preserve">se plantea la necesidad de determinar si resulta jurídicamente prudente continuar con dicho trámite </w:t>
      </w:r>
      <w:proofErr w:type="spellStart"/>
      <w:r w:rsidRPr="007A4C2B">
        <w:rPr>
          <w:rFonts w:ascii="Verdana" w:eastAsia="Century Gothic" w:hAnsi="Verdana" w:cs="Century Gothic"/>
          <w:i/>
          <w:iCs/>
          <w:sz w:val="20"/>
          <w:szCs w:val="20"/>
          <w:u w:val="single"/>
          <w:lang w:val="es-MX"/>
        </w:rPr>
        <w:t>liquidatorio</w:t>
      </w:r>
      <w:proofErr w:type="spellEnd"/>
      <w:r w:rsidRPr="007A4C2B">
        <w:rPr>
          <w:rFonts w:ascii="Verdana" w:eastAsia="Century Gothic" w:hAnsi="Verdana" w:cs="Century Gothic"/>
          <w:i/>
          <w:iCs/>
          <w:sz w:val="20"/>
          <w:szCs w:val="20"/>
          <w:u w:val="single"/>
          <w:lang w:val="es-MX"/>
        </w:rPr>
        <w:t xml:space="preserve"> y efectuar el correspondiente desembolso</w:t>
      </w:r>
      <w:r w:rsidR="007A4C2B">
        <w:rPr>
          <w:rFonts w:ascii="Verdana" w:eastAsia="Century Gothic" w:hAnsi="Verdana" w:cs="Century Gothic"/>
          <w:i/>
          <w:iCs/>
          <w:sz w:val="20"/>
          <w:szCs w:val="20"/>
          <w:lang w:val="es-MX"/>
        </w:rPr>
        <w:t>. e</w:t>
      </w:r>
      <w:r w:rsidRPr="002916A2">
        <w:rPr>
          <w:rFonts w:ascii="Verdana" w:eastAsia="Century Gothic" w:hAnsi="Verdana" w:cs="Century Gothic"/>
          <w:i/>
          <w:iCs/>
          <w:sz w:val="20"/>
          <w:szCs w:val="20"/>
          <w:lang w:val="es-MX"/>
        </w:rPr>
        <w:t xml:space="preserve">n este contexto se requiere establecer </w:t>
      </w:r>
      <w:r w:rsidRPr="007A4C2B">
        <w:rPr>
          <w:rFonts w:ascii="Verdana" w:eastAsia="Century Gothic" w:hAnsi="Verdana" w:cs="Century Gothic"/>
          <w:i/>
          <w:iCs/>
          <w:sz w:val="20"/>
          <w:szCs w:val="20"/>
          <w:u w:val="single"/>
          <w:lang w:val="es-MX"/>
        </w:rPr>
        <w:t>cuáles serían las actuaciones jurídicas, contables y administrativas que debe adelantar el fondo de desarrollo local con el propósito de salvaguardar los recursos públicos y prevenir un eventual detrimento patrimonial</w:t>
      </w:r>
      <w:r w:rsidRPr="002916A2">
        <w:rPr>
          <w:rFonts w:ascii="Verdana" w:eastAsia="Century Gothic" w:hAnsi="Verdana" w:cs="Century Gothic"/>
          <w:i/>
          <w:iCs/>
          <w:sz w:val="20"/>
          <w:szCs w:val="20"/>
          <w:lang w:val="es-MX"/>
        </w:rPr>
        <w:t xml:space="preserve"> atendiendo a los compromisos de legalidad, responsabilidad fiscal y gestión del erario, consagrados en el artículo 200 novela constitución política</w:t>
      </w:r>
      <w:r w:rsidR="007A4C2B" w:rsidRPr="007A4C2B">
        <w:rPr>
          <w:rFonts w:ascii="Verdana" w:eastAsia="Century Gothic" w:hAnsi="Verdana" w:cs="Century Gothic"/>
          <w:i/>
          <w:iCs/>
          <w:sz w:val="20"/>
          <w:szCs w:val="20"/>
          <w:lang w:val="es-MX"/>
        </w:rPr>
        <w:t xml:space="preserve"> y en la ley 610 de 2000</w:t>
      </w:r>
      <w:r w:rsidR="007A4C2B">
        <w:rPr>
          <w:rFonts w:ascii="Verdana" w:eastAsia="Century Gothic" w:hAnsi="Verdana" w:cs="Century Gothic"/>
          <w:i/>
          <w:iCs/>
          <w:sz w:val="20"/>
          <w:szCs w:val="20"/>
          <w:lang w:val="es-MX"/>
        </w:rPr>
        <w:t>.</w:t>
      </w:r>
    </w:p>
    <w:p w14:paraId="2C915686" w14:textId="77777777" w:rsidR="007A4C2B" w:rsidRDefault="007A4C2B" w:rsidP="00347D2C">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52B2A0A5" w14:textId="5B4CA293" w:rsidR="007A4C2B" w:rsidRDefault="007A4C2B" w:rsidP="007A4C2B">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sidRPr="007A4C2B">
        <w:rPr>
          <w:rFonts w:ascii="Verdana" w:eastAsia="Century Gothic" w:hAnsi="Verdana" w:cs="Century Gothic"/>
          <w:i/>
          <w:iCs/>
          <w:sz w:val="20"/>
          <w:szCs w:val="20"/>
          <w:lang w:val="es-MX"/>
        </w:rPr>
        <w:t>Al respecto, el criterio jurídico el fondo de desarrollo local consiste en</w:t>
      </w:r>
      <w:r>
        <w:rPr>
          <w:rFonts w:ascii="Verdana" w:eastAsia="Century Gothic" w:hAnsi="Verdana" w:cs="Century Gothic"/>
          <w:i/>
          <w:iCs/>
          <w:sz w:val="20"/>
          <w:szCs w:val="20"/>
          <w:lang w:val="es-MX"/>
        </w:rPr>
        <w:t xml:space="preserve"> que</w:t>
      </w:r>
      <w:r w:rsidRPr="007A4C2B">
        <w:rPr>
          <w:rFonts w:ascii="Verdana" w:eastAsia="Century Gothic" w:hAnsi="Verdana" w:cs="Century Gothic"/>
          <w:i/>
          <w:iCs/>
          <w:sz w:val="20"/>
          <w:szCs w:val="20"/>
          <w:lang w:val="es-MX"/>
        </w:rPr>
        <w:t xml:space="preserve"> la liquidación de un contrato de obra en el ordenamiento jurídico colombiano no constituye una simple formalidad</w:t>
      </w:r>
      <w:r>
        <w:rPr>
          <w:rFonts w:ascii="Verdana" w:eastAsia="Century Gothic" w:hAnsi="Verdana" w:cs="Century Gothic"/>
          <w:i/>
          <w:iCs/>
          <w:sz w:val="20"/>
          <w:szCs w:val="20"/>
          <w:lang w:val="es-MX"/>
        </w:rPr>
        <w:t xml:space="preserve">, </w:t>
      </w:r>
      <w:r w:rsidRPr="007A4C2B">
        <w:rPr>
          <w:rFonts w:ascii="Verdana" w:eastAsia="Century Gothic" w:hAnsi="Verdana" w:cs="Century Gothic"/>
          <w:i/>
          <w:iCs/>
          <w:sz w:val="20"/>
          <w:szCs w:val="20"/>
          <w:lang w:val="es-MX"/>
        </w:rPr>
        <w:t xml:space="preserve">sino que reviste el carácter de una obligación legal imperativa que emana tanto en la naturaleza misma de estos negocios jurídicos como en la normativa aplicable que lo rige coma en especial el artículo 60 de la </w:t>
      </w:r>
      <w:r>
        <w:rPr>
          <w:rFonts w:ascii="Verdana" w:eastAsia="Century Gothic" w:hAnsi="Verdana" w:cs="Century Gothic"/>
          <w:i/>
          <w:iCs/>
          <w:sz w:val="20"/>
          <w:szCs w:val="20"/>
          <w:lang w:val="es-MX"/>
        </w:rPr>
        <w:t>L</w:t>
      </w:r>
      <w:r w:rsidRPr="007A4C2B">
        <w:rPr>
          <w:rFonts w:ascii="Verdana" w:eastAsia="Century Gothic" w:hAnsi="Verdana" w:cs="Century Gothic"/>
          <w:i/>
          <w:iCs/>
          <w:sz w:val="20"/>
          <w:szCs w:val="20"/>
          <w:lang w:val="es-MX"/>
        </w:rPr>
        <w:t>ey 80 de 1993</w:t>
      </w:r>
      <w:r>
        <w:rPr>
          <w:rFonts w:ascii="Verdana" w:eastAsia="Century Gothic" w:hAnsi="Verdana" w:cs="Century Gothic"/>
          <w:i/>
          <w:iCs/>
          <w:sz w:val="20"/>
          <w:szCs w:val="20"/>
          <w:lang w:val="es-MX"/>
        </w:rPr>
        <w:t>.</w:t>
      </w:r>
      <w:r w:rsidRPr="007A4C2B">
        <w:rPr>
          <w:rFonts w:ascii="Verdana" w:eastAsia="Century Gothic" w:hAnsi="Verdana" w:cs="Century Gothic"/>
          <w:i/>
          <w:iCs/>
          <w:sz w:val="20"/>
          <w:szCs w:val="20"/>
          <w:lang w:val="es-MX"/>
        </w:rPr>
        <w:t xml:space="preserve"> </w:t>
      </w:r>
      <w:r>
        <w:rPr>
          <w:rFonts w:ascii="Verdana" w:eastAsia="Century Gothic" w:hAnsi="Verdana" w:cs="Century Gothic"/>
          <w:i/>
          <w:iCs/>
          <w:sz w:val="20"/>
          <w:szCs w:val="20"/>
          <w:lang w:val="es-MX"/>
        </w:rPr>
        <w:t>E</w:t>
      </w:r>
      <w:r w:rsidRPr="007A4C2B">
        <w:rPr>
          <w:rFonts w:ascii="Verdana" w:eastAsia="Century Gothic" w:hAnsi="Verdana" w:cs="Century Gothic"/>
          <w:i/>
          <w:iCs/>
          <w:sz w:val="20"/>
          <w:szCs w:val="20"/>
          <w:lang w:val="es-MX"/>
        </w:rPr>
        <w:t>n este contexto los contratos de obra pública implican prestaciones continuas y prolongadas, siendo entonces obligatorio adelantar este procedimiento liquida</w:t>
      </w:r>
      <w:r>
        <w:rPr>
          <w:rFonts w:ascii="Verdana" w:eastAsia="Century Gothic" w:hAnsi="Verdana" w:cs="Century Gothic"/>
          <w:i/>
          <w:iCs/>
          <w:sz w:val="20"/>
          <w:szCs w:val="20"/>
          <w:lang w:val="es-MX"/>
        </w:rPr>
        <w:t>tario.</w:t>
      </w:r>
    </w:p>
    <w:p w14:paraId="34343341" w14:textId="77777777" w:rsidR="007A4C2B" w:rsidRDefault="007A4C2B" w:rsidP="007A4C2B">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2CDDC996" w14:textId="0183837C" w:rsidR="00A64017" w:rsidRPr="00EA70F7" w:rsidRDefault="007A4C2B"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7A4C2B">
        <w:rPr>
          <w:rFonts w:ascii="Verdana" w:eastAsia="Century Gothic" w:hAnsi="Verdana" w:cs="Century Gothic"/>
          <w:i/>
          <w:iCs/>
          <w:sz w:val="20"/>
          <w:szCs w:val="20"/>
          <w:lang w:val="es-MX"/>
        </w:rPr>
        <w:t xml:space="preserve">En atención a lo expuesto, este fondo de desarrollo local reitera los siguientes cuestionamientos: </w:t>
      </w:r>
      <w:r>
        <w:rPr>
          <w:rFonts w:ascii="Verdana" w:eastAsia="Century Gothic" w:hAnsi="Verdana" w:cs="Century Gothic"/>
          <w:i/>
          <w:iCs/>
          <w:sz w:val="20"/>
          <w:szCs w:val="20"/>
          <w:lang w:val="es-MX"/>
        </w:rPr>
        <w:t>¿</w:t>
      </w:r>
      <w:r w:rsidRPr="007A4C2B">
        <w:rPr>
          <w:rFonts w:ascii="Verdana" w:eastAsia="Century Gothic" w:hAnsi="Verdana" w:cs="Century Gothic"/>
          <w:i/>
          <w:iCs/>
          <w:sz w:val="20"/>
          <w:szCs w:val="20"/>
          <w:lang w:val="es-MX"/>
        </w:rPr>
        <w:t>resulta jurídicamente procedente continuar con el trámite de liquidación del contrato y efectuar el desembolso correspondiente</w:t>
      </w:r>
      <w:r w:rsidR="00DB4F4E">
        <w:rPr>
          <w:rFonts w:ascii="Verdana" w:eastAsia="Century Gothic" w:hAnsi="Verdana" w:cs="Century Gothic"/>
          <w:i/>
          <w:iCs/>
          <w:sz w:val="20"/>
          <w:szCs w:val="20"/>
          <w:lang w:val="es-MX"/>
        </w:rPr>
        <w:t xml:space="preserve">, </w:t>
      </w:r>
      <w:r w:rsidRPr="007A4C2B">
        <w:rPr>
          <w:rFonts w:ascii="Verdana" w:eastAsia="Century Gothic" w:hAnsi="Verdana" w:cs="Century Gothic"/>
          <w:i/>
          <w:iCs/>
          <w:sz w:val="20"/>
          <w:szCs w:val="20"/>
          <w:lang w:val="es-MX"/>
        </w:rPr>
        <w:t>en caso afirmativo</w:t>
      </w:r>
      <w:r>
        <w:rPr>
          <w:rFonts w:ascii="Verdana" w:eastAsia="Century Gothic" w:hAnsi="Verdana" w:cs="Century Gothic"/>
          <w:i/>
          <w:iCs/>
          <w:sz w:val="20"/>
          <w:szCs w:val="20"/>
          <w:lang w:val="es-MX"/>
        </w:rPr>
        <w:t>?</w:t>
      </w:r>
      <w:r w:rsidRPr="007A4C2B">
        <w:rPr>
          <w:rFonts w:ascii="Verdana" w:eastAsia="Century Gothic" w:hAnsi="Verdana" w:cs="Century Gothic"/>
          <w:i/>
          <w:iCs/>
          <w:sz w:val="20"/>
          <w:szCs w:val="20"/>
          <w:lang w:val="es-MX"/>
        </w:rPr>
        <w:t>,</w:t>
      </w:r>
      <w:r>
        <w:rPr>
          <w:rFonts w:ascii="Verdana" w:eastAsia="Century Gothic" w:hAnsi="Verdana" w:cs="Century Gothic"/>
          <w:i/>
          <w:iCs/>
          <w:sz w:val="20"/>
          <w:szCs w:val="20"/>
          <w:lang w:val="es-MX"/>
        </w:rPr>
        <w:t xml:space="preserve"> ¿</w:t>
      </w:r>
      <w:r w:rsidRPr="007A4C2B">
        <w:rPr>
          <w:rFonts w:ascii="Verdana" w:eastAsia="Century Gothic" w:hAnsi="Verdana" w:cs="Century Gothic"/>
          <w:i/>
          <w:iCs/>
          <w:sz w:val="20"/>
          <w:szCs w:val="20"/>
          <w:lang w:val="es-MX"/>
        </w:rPr>
        <w:t>cuáles serían las actuaciones jurídicas contables y administrativas específicas que debe adelantar el fondo con el fin de garantizar la protección de los recursos públicos y evitar la ocurrencia de un eventual detrimento patrimonial</w:t>
      </w:r>
      <w:r>
        <w:rPr>
          <w:rFonts w:ascii="Verdana" w:eastAsia="Century Gothic" w:hAnsi="Verdana" w:cs="Century Gothic"/>
          <w:i/>
          <w:iCs/>
          <w:sz w:val="20"/>
          <w:szCs w:val="20"/>
          <w:lang w:val="es-MX"/>
        </w:rPr>
        <w:t>?</w:t>
      </w:r>
      <w:r w:rsidR="00DB4F4E">
        <w:rPr>
          <w:rFonts w:ascii="Verdana" w:eastAsia="Century Gothic" w:hAnsi="Verdana" w:cs="Century Gothic"/>
          <w:i/>
          <w:iCs/>
          <w:sz w:val="20"/>
          <w:szCs w:val="20"/>
          <w:lang w:val="es-MX"/>
        </w:rPr>
        <w:t xml:space="preserve"> </w:t>
      </w:r>
      <w:r w:rsidR="00CA01D8" w:rsidRPr="00CA01D8">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86175AA" w14:textId="77777777" w:rsidR="00BF6574" w:rsidRPr="00AA3B9F" w:rsidRDefault="00BF6574" w:rsidP="00A64017">
      <w:pPr>
        <w:spacing w:after="0" w:line="276" w:lineRule="auto"/>
        <w:ind w:firstLine="709"/>
        <w:jc w:val="both"/>
        <w:rPr>
          <w:rFonts w:ascii="Verdana" w:eastAsia="Calibri" w:hAnsi="Verdana" w:cs="Arial"/>
          <w:lang w:val="es-ES" w:eastAsia="es-ES"/>
        </w:rPr>
      </w:pP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7230EF74" w14:textId="2242D3A1" w:rsidR="00A64017" w:rsidRDefault="00A64017" w:rsidP="00B23BA1">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2" w:name="_Hlk196737317"/>
      <w:r w:rsidR="00572201">
        <w:rPr>
          <w:rFonts w:ascii="Verdana" w:eastAsia="Calibri" w:hAnsi="Verdana" w:cs="Arial"/>
          <w:lang w:eastAsia="es-ES"/>
        </w:rPr>
        <w:t xml:space="preserve"> </w:t>
      </w:r>
      <w:r w:rsidR="00572201" w:rsidRPr="00572201">
        <w:rPr>
          <w:rFonts w:ascii="Verdana" w:eastAsia="Century Gothic" w:hAnsi="Verdana" w:cs="Century Gothic"/>
        </w:rPr>
        <w:t>¿</w:t>
      </w:r>
      <w:r w:rsidR="002462D7" w:rsidRPr="002462D7">
        <w:rPr>
          <w:rFonts w:ascii="Verdana" w:eastAsia="Century Gothic" w:hAnsi="Verdana" w:cs="Century Gothic"/>
        </w:rPr>
        <w:t>En el marco de un contrato estatal ya ejecutado y próximo a liquidarse, resulta jurídicamente procedente suscribir el acta de liquidación cuando en el proceso se han identificado hallazgos fiscales por parte de los entes de control</w:t>
      </w:r>
      <w:r w:rsidR="00572201">
        <w:rPr>
          <w:rFonts w:ascii="Verdana" w:eastAsia="Century Gothic" w:hAnsi="Verdana" w:cs="Century Gothic"/>
        </w:rPr>
        <w:t>?</w:t>
      </w:r>
    </w:p>
    <w:p w14:paraId="7D015B67" w14:textId="77777777" w:rsidR="00B23BA1" w:rsidRDefault="00B23BA1" w:rsidP="00B23BA1">
      <w:pPr>
        <w:spacing w:after="0" w:line="276" w:lineRule="auto"/>
        <w:jc w:val="both"/>
        <w:rPr>
          <w:rFonts w:ascii="Verdana" w:eastAsia="Century Gothic" w:hAnsi="Verdana" w:cs="Century Gothic"/>
        </w:rPr>
      </w:pPr>
    </w:p>
    <w:bookmarkEnd w:id="2"/>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31A5EF14" w14:textId="3A707504" w:rsidR="00974941" w:rsidRDefault="00974941" w:rsidP="00BD5442">
            <w:pPr>
              <w:spacing w:after="120" w:line="276" w:lineRule="auto"/>
              <w:jc w:val="both"/>
              <w:rPr>
                <w:rFonts w:ascii="Verdana" w:eastAsia="Aptos" w:hAnsi="Verdana" w:cs="Times New Roman"/>
                <w:lang w:val="es-MX"/>
              </w:rPr>
            </w:pPr>
            <w:r>
              <w:rPr>
                <w:rFonts w:ascii="Verdana" w:eastAsia="Calibri" w:hAnsi="Verdana" w:cs="Arial"/>
              </w:rPr>
              <w:t xml:space="preserve">   </w:t>
            </w:r>
            <w:r w:rsidR="002462D7">
              <w:rPr>
                <w:rFonts w:ascii="Verdana" w:eastAsia="Calibri" w:hAnsi="Verdana" w:cs="Arial"/>
              </w:rPr>
              <w:t xml:space="preserve">  </w:t>
            </w:r>
            <w:r>
              <w:rPr>
                <w:rFonts w:ascii="Verdana" w:eastAsia="Calibri" w:hAnsi="Verdana" w:cs="Arial"/>
              </w:rPr>
              <w:t xml:space="preserve">   </w:t>
            </w:r>
            <w:r w:rsidR="00572201" w:rsidRPr="60F4F7EF">
              <w:rPr>
                <w:rFonts w:ascii="Verdana" w:eastAsia="Calibri" w:hAnsi="Verdana" w:cs="Arial"/>
              </w:rPr>
              <w:t xml:space="preserve">Frente al problema jurídico planteado es preciso señalar que </w:t>
            </w:r>
            <w:r>
              <w:rPr>
                <w:rFonts w:ascii="Verdana" w:eastAsia="Calibri" w:hAnsi="Verdana" w:cs="Arial"/>
              </w:rPr>
              <w:t>l</w:t>
            </w:r>
            <w:r w:rsidRPr="00CF41A0">
              <w:rPr>
                <w:rFonts w:ascii="Verdana" w:eastAsia="Aptos" w:hAnsi="Verdana" w:cs="Times New Roman"/>
                <w:lang w:val="es-MX"/>
              </w:rPr>
              <w:t>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Pr>
                <w:rFonts w:ascii="Verdana" w:eastAsia="Aptos" w:hAnsi="Verdana" w:cs="Times New Roman"/>
                <w:lang w:val="es-MX"/>
              </w:rPr>
              <w:t>.</w:t>
            </w:r>
          </w:p>
          <w:p w14:paraId="54913E43" w14:textId="0745F738" w:rsidR="00974941" w:rsidRPr="00CF41A0" w:rsidRDefault="002462D7" w:rsidP="00974941">
            <w:pPr>
              <w:spacing w:after="120" w:line="276" w:lineRule="auto"/>
              <w:ind w:firstLine="709"/>
              <w:jc w:val="both"/>
              <w:rPr>
                <w:rFonts w:ascii="Verdana" w:eastAsia="Aptos" w:hAnsi="Verdana" w:cs="Times New Roman"/>
                <w:lang w:val="es-MX"/>
              </w:rPr>
            </w:pPr>
            <w:r>
              <w:rPr>
                <w:rFonts w:ascii="Verdana" w:eastAsia="Times New Roman" w:hAnsi="Verdana" w:cs="Arial"/>
                <w:lang w:val="es-ES" w:eastAsia="es-ES"/>
              </w:rPr>
              <w:t xml:space="preserve"> </w:t>
            </w:r>
            <w:r w:rsidR="00974941">
              <w:rPr>
                <w:rFonts w:ascii="Verdana" w:eastAsia="Times New Roman" w:hAnsi="Verdana" w:cs="Arial"/>
                <w:lang w:val="es-ES" w:eastAsia="es-ES"/>
              </w:rPr>
              <w:t>Ahora bien, e</w:t>
            </w:r>
            <w:r w:rsidR="00974941" w:rsidRPr="00CF41A0">
              <w:rPr>
                <w:rFonts w:ascii="Verdana" w:eastAsia="Times New Roman" w:hAnsi="Verdana" w:cs="Arial"/>
                <w:lang w:val="es-ES" w:eastAsia="es-ES"/>
              </w:rPr>
              <w:t xml:space="preserve">xisten tres tipos de liquidación: i) bilateral, </w:t>
            </w:r>
            <w:proofErr w:type="spellStart"/>
            <w:r w:rsidR="00974941" w:rsidRPr="00CF41A0">
              <w:rPr>
                <w:rFonts w:ascii="Verdana" w:eastAsia="Times New Roman" w:hAnsi="Verdana" w:cs="Arial"/>
                <w:lang w:val="es-ES" w:eastAsia="es-ES"/>
              </w:rPr>
              <w:t>ii</w:t>
            </w:r>
            <w:proofErr w:type="spellEnd"/>
            <w:r w:rsidR="00974941" w:rsidRPr="00CF41A0">
              <w:rPr>
                <w:rFonts w:ascii="Verdana" w:eastAsia="Times New Roman" w:hAnsi="Verdana" w:cs="Arial"/>
                <w:lang w:val="es-ES" w:eastAsia="es-ES"/>
              </w:rPr>
              <w:t xml:space="preserve">) unilateral y </w:t>
            </w:r>
            <w:proofErr w:type="spellStart"/>
            <w:r w:rsidR="00974941" w:rsidRPr="00CF41A0">
              <w:rPr>
                <w:rFonts w:ascii="Verdana" w:eastAsia="Times New Roman" w:hAnsi="Verdana" w:cs="Arial"/>
                <w:lang w:val="es-ES" w:eastAsia="es-ES"/>
              </w:rPr>
              <w:t>iii</w:t>
            </w:r>
            <w:proofErr w:type="spellEnd"/>
            <w:r w:rsidR="00974941" w:rsidRPr="00CF41A0">
              <w:rPr>
                <w:rFonts w:ascii="Verdana" w:eastAsia="Times New Roman" w:hAnsi="Verdana" w:cs="Arial"/>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241F2BC1" w14:textId="426C709C" w:rsidR="00974941" w:rsidRPr="00DF1686" w:rsidRDefault="00974941" w:rsidP="00BD5442">
            <w:pPr>
              <w:spacing w:after="120" w:line="276" w:lineRule="auto"/>
              <w:jc w:val="both"/>
              <w:rPr>
                <w:rFonts w:ascii="Verdana" w:eastAsia="Arial" w:hAnsi="Verdana" w:cs="Arial"/>
                <w:u w:val="single"/>
                <w:lang w:val="es-ES" w:eastAsia="es-ES" w:bidi="es-ES"/>
              </w:rPr>
            </w:pPr>
            <w:r>
              <w:rPr>
                <w:rFonts w:ascii="Verdana" w:eastAsia="Arial" w:hAnsi="Verdana" w:cs="Arial"/>
                <w:lang w:eastAsia="es-ES" w:bidi="es-ES"/>
              </w:rPr>
              <w:t xml:space="preserve">        En este orden de ideas l</w:t>
            </w:r>
            <w:r w:rsidRPr="00F37F48">
              <w:rPr>
                <w:rFonts w:ascii="Verdana" w:eastAsia="Arial" w:hAnsi="Verdana" w:cs="Arial"/>
                <w:lang w:eastAsia="es-ES" w:bidi="es-ES"/>
              </w:rPr>
              <w:t xml:space="preserve">a </w:t>
            </w:r>
            <w:r w:rsidRPr="00F37F48">
              <w:rPr>
                <w:rFonts w:ascii="Verdana" w:eastAsia="Times New Roman" w:hAnsi="Verdana" w:cs="Arial"/>
                <w:color w:val="000000"/>
                <w:bdr w:val="none" w:sz="0" w:space="0" w:color="auto" w:frame="1"/>
                <w:shd w:val="clear" w:color="auto" w:fill="FFFFFF"/>
                <w:lang w:val="es-ES" w:eastAsia="es-ES_tradnl"/>
              </w:rPr>
              <w:t xml:space="preserve">liquidación bilateral es </w:t>
            </w:r>
            <w:r w:rsidRPr="00F37F48">
              <w:rPr>
                <w:rFonts w:ascii="Verdana" w:eastAsia="Arial" w:hAnsi="Verdana" w:cs="Arial"/>
                <w:lang w:val="es-ES" w:eastAsia="es-ES" w:bidi="es-ES"/>
              </w:rPr>
              <w:t xml:space="preserve">un acuerdo en el que las partes del contrato estatal, en ejercicio de la autonomía de la voluntad, regulan la finalización de su relación y disponen de los intereses que emanan de ella. Asimismo,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w:t>
            </w:r>
            <w:r w:rsidRPr="00DF1686">
              <w:rPr>
                <w:rFonts w:ascii="Verdana" w:eastAsia="Arial" w:hAnsi="Verdana" w:cs="Arial"/>
                <w:u w:val="single"/>
                <w:lang w:val="es-ES" w:eastAsia="es-ES" w:bidi="es-ES"/>
              </w:rPr>
              <w:t>la moral y las buenas costumbres</w:t>
            </w:r>
            <w:r w:rsidR="00195D47" w:rsidRPr="00DF1686">
              <w:rPr>
                <w:rFonts w:ascii="Verdana" w:eastAsia="Arial" w:hAnsi="Verdana" w:cs="Arial"/>
                <w:u w:val="single"/>
                <w:lang w:val="es-ES" w:eastAsia="es-ES" w:bidi="es-ES"/>
              </w:rPr>
              <w:t>.</w:t>
            </w:r>
          </w:p>
          <w:p w14:paraId="04B8A1B6" w14:textId="161463F1" w:rsidR="00195D47" w:rsidRDefault="00195D47" w:rsidP="00BD5442">
            <w:pPr>
              <w:spacing w:after="120" w:line="276" w:lineRule="auto"/>
              <w:jc w:val="both"/>
              <w:rPr>
                <w:rFonts w:ascii="Verdana" w:eastAsia="Calibri" w:hAnsi="Verdana" w:cs="Arial"/>
              </w:rPr>
            </w:pPr>
            <w:r>
              <w:rPr>
                <w:rFonts w:ascii="Verdana" w:eastAsia="Calibri" w:hAnsi="Verdana" w:cs="Arial"/>
              </w:rPr>
              <w:t xml:space="preserve">     </w:t>
            </w:r>
            <w:r w:rsidR="00DF1686">
              <w:rPr>
                <w:rFonts w:ascii="Verdana" w:eastAsia="Calibri" w:hAnsi="Verdana" w:cs="Arial"/>
              </w:rPr>
              <w:t xml:space="preserve"> </w:t>
            </w:r>
            <w:r w:rsidR="002462D7">
              <w:rPr>
                <w:rFonts w:ascii="Verdana" w:eastAsia="Calibri" w:hAnsi="Verdana" w:cs="Arial"/>
              </w:rPr>
              <w:t xml:space="preserve"> </w:t>
            </w:r>
            <w:r w:rsidR="00DF1686">
              <w:rPr>
                <w:rFonts w:ascii="Verdana" w:eastAsia="Calibri" w:hAnsi="Verdana" w:cs="Arial"/>
              </w:rPr>
              <w:t xml:space="preserve"> </w:t>
            </w:r>
            <w:r>
              <w:rPr>
                <w:rFonts w:ascii="Verdana" w:eastAsia="Calibri" w:hAnsi="Verdana" w:cs="Arial"/>
              </w:rPr>
              <w:t xml:space="preserve"> Ahora bien, por su parte e</w:t>
            </w:r>
            <w:r w:rsidRPr="00195D47">
              <w:rPr>
                <w:rFonts w:ascii="Verdana" w:eastAsia="Calibri" w:hAnsi="Verdana" w:cs="Arial"/>
              </w:rPr>
              <w:t>n el contexto de la contratación pública, un hallazgo fiscal es un concepto jurídico y contable que emerge de una auditoría realizada por los entes de control fiscal, como la Contraloría General de la República. Se trata de un indicio de una posible lesión al patrimonio público, que se produce a raíz de una gestión fiscal ineficiente, ineficaz o contraria a la ley. Este hallazgo puede ser un simple señalamiento o, si hay pruebas que lo sustenten, dar origen a un proceso de responsabilidad fiscal.</w:t>
            </w:r>
          </w:p>
          <w:p w14:paraId="37323F1F" w14:textId="6F1BBC51" w:rsidR="00195D47" w:rsidRPr="00195D47" w:rsidRDefault="00DF1686" w:rsidP="00195D47">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2462D7">
              <w:rPr>
                <w:rFonts w:ascii="Verdana" w:eastAsia="Calibri" w:hAnsi="Verdana" w:cs="Arial"/>
                <w:bCs/>
                <w:lang w:eastAsia="es-ES_tradnl"/>
              </w:rPr>
              <w:t xml:space="preserve"> </w:t>
            </w:r>
            <w:r>
              <w:rPr>
                <w:rFonts w:ascii="Verdana" w:eastAsia="Calibri" w:hAnsi="Verdana" w:cs="Arial"/>
                <w:bCs/>
                <w:lang w:eastAsia="es-ES_tradnl"/>
              </w:rPr>
              <w:t xml:space="preserve">     </w:t>
            </w:r>
            <w:r w:rsidR="002462D7">
              <w:rPr>
                <w:rFonts w:ascii="Verdana" w:eastAsia="Calibri" w:hAnsi="Verdana" w:cs="Arial"/>
                <w:bCs/>
                <w:lang w:eastAsia="es-ES_tradnl"/>
              </w:rPr>
              <w:t xml:space="preserve"> </w:t>
            </w:r>
            <w:r w:rsidR="00195D47" w:rsidRPr="00195D47">
              <w:rPr>
                <w:rFonts w:ascii="Verdana" w:eastAsia="Calibri" w:hAnsi="Verdana" w:cs="Arial"/>
                <w:bCs/>
                <w:lang w:eastAsia="es-ES_tradnl"/>
              </w:rPr>
              <w:t>En virtud de lo expuesto, corresponderá a las partes contratantes y a sus respectivos equipos jurídicos valorar, con base en los hallazgos fiscales identificados y el marco normativo aplicable, si resulta procedente proceder a la firma del acta de liquidación. Esta decisión deberá adoptarse considerando los principios de transparencia, responsabilidad y legalidad, así como las posibles consecuencias jurídicas, fiscales y patrimoniales que pueda generar el cierre contractual en dichas condiciones.</w:t>
            </w:r>
          </w:p>
          <w:p w14:paraId="1DAC6B05" w14:textId="7FD6D0F8" w:rsidR="00195D47" w:rsidRPr="00195D47" w:rsidRDefault="00DF1686" w:rsidP="00195D47">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002462D7">
              <w:rPr>
                <w:rFonts w:ascii="Verdana" w:eastAsia="Calibri" w:hAnsi="Verdana" w:cs="Arial"/>
                <w:bCs/>
                <w:lang w:eastAsia="es-ES_tradnl"/>
              </w:rPr>
              <w:t xml:space="preserve">  </w:t>
            </w:r>
            <w:r>
              <w:rPr>
                <w:rFonts w:ascii="Verdana" w:eastAsia="Calibri" w:hAnsi="Verdana" w:cs="Arial"/>
                <w:bCs/>
                <w:lang w:eastAsia="es-ES_tradnl"/>
              </w:rPr>
              <w:t xml:space="preserve">    </w:t>
            </w:r>
            <w:r w:rsidR="00195D47" w:rsidRPr="00195D47">
              <w:rPr>
                <w:rFonts w:ascii="Verdana" w:eastAsia="Calibri" w:hAnsi="Verdana" w:cs="Arial"/>
                <w:bCs/>
                <w:lang w:eastAsia="es-ES_tradnl"/>
              </w:rPr>
              <w:t xml:space="preserve">De igual manera, se recomienda consultar la </w:t>
            </w:r>
            <w:r w:rsidR="00195D47" w:rsidRPr="00195D47">
              <w:rPr>
                <w:rFonts w:ascii="Verdana" w:eastAsia="Calibri" w:hAnsi="Verdana" w:cs="Arial"/>
                <w:lang w:eastAsia="es-ES_tradnl"/>
              </w:rPr>
              <w:t xml:space="preserve">Guía para la liquidación de </w:t>
            </w:r>
            <w:r>
              <w:rPr>
                <w:rFonts w:ascii="Verdana" w:eastAsia="Calibri" w:hAnsi="Verdana" w:cs="Arial"/>
                <w:lang w:eastAsia="es-ES_tradnl"/>
              </w:rPr>
              <w:t xml:space="preserve">los procesos de contratación </w:t>
            </w:r>
            <w:r w:rsidR="00195D47" w:rsidRPr="00195D47">
              <w:rPr>
                <w:rFonts w:ascii="Verdana" w:eastAsia="Calibri" w:hAnsi="Verdana" w:cs="Arial"/>
                <w:lang w:eastAsia="es-ES_tradnl"/>
              </w:rPr>
              <w:t>de Colombia Compra Eficiente</w:t>
            </w:r>
            <w:r>
              <w:rPr>
                <w:rStyle w:val="Refdenotaalpie"/>
                <w:rFonts w:ascii="Verdana" w:eastAsia="Calibri" w:hAnsi="Verdana" w:cs="Arial"/>
                <w:lang w:eastAsia="es-ES_tradnl"/>
              </w:rPr>
              <w:footnoteReference w:id="1"/>
            </w:r>
            <w:r w:rsidR="00195D47" w:rsidRPr="00195D47">
              <w:rPr>
                <w:rFonts w:ascii="Verdana" w:eastAsia="Calibri" w:hAnsi="Verdana" w:cs="Arial"/>
                <w:bCs/>
                <w:lang w:eastAsia="es-ES_tradnl"/>
              </w:rPr>
              <w:t>, documento que proporciona lineamientos técnicos y jurídicos sobre el procedimiento, los tipos de liquidación y las obligaciones de las partes. Esta herramienta práctica resulta de gran utilidad para orientar a las entidades estatales en la toma de decisiones, garantizando el cumplimiento de la normativa vigente y la adecuada protección de los recursos públicos.</w:t>
            </w:r>
          </w:p>
          <w:p w14:paraId="4FED5380" w14:textId="77777777"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EA94571" w14:textId="78BD7916" w:rsidR="00A64017" w:rsidRPr="00E529C2"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2462D7">
              <w:rPr>
                <w:rFonts w:ascii="Verdana" w:eastAsia="Calibri" w:hAnsi="Verdana" w:cs="Times New Roman"/>
                <w:lang w:val="es-ES"/>
              </w:rPr>
              <w:t xml:space="preserve"> </w:t>
            </w: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156CD9F7" w14:textId="3FB2DF0D" w:rsidR="0074582E" w:rsidRPr="00CF41A0" w:rsidRDefault="0074582E" w:rsidP="0074582E">
      <w:pPr>
        <w:spacing w:after="0" w:line="276" w:lineRule="auto"/>
        <w:ind w:firstLine="360"/>
        <w:jc w:val="both"/>
        <w:rPr>
          <w:rFonts w:ascii="Verdana" w:eastAsia="Calibri" w:hAnsi="Verdana" w:cs="Arial"/>
          <w:lang w:val="es-ES" w:eastAsia="es-ES"/>
        </w:rPr>
      </w:pPr>
      <w:r>
        <w:rPr>
          <w:rFonts w:ascii="Verdana" w:eastAsia="Calibri" w:hAnsi="Verdana" w:cs="Arial"/>
        </w:rPr>
        <w:t xml:space="preserve">  </w:t>
      </w:r>
      <w:r w:rsidR="00194843">
        <w:rPr>
          <w:rFonts w:ascii="Verdana" w:eastAsia="Calibri" w:hAnsi="Verdana" w:cs="Arial"/>
        </w:rPr>
        <w:t>En primer lugar,</w:t>
      </w:r>
      <w:r w:rsidR="00194843" w:rsidRPr="004F6FF1">
        <w:rPr>
          <w:rFonts w:ascii="Verdana" w:eastAsia="Calibri" w:hAnsi="Verdana" w:cs="Arial"/>
        </w:rPr>
        <w:t xml:space="preserve"> debe advertirse que,</w:t>
      </w:r>
      <w:r w:rsidR="00194843" w:rsidRPr="004F6FF1">
        <w:rPr>
          <w:rFonts w:ascii="Verdana" w:eastAsia="Calibri" w:hAnsi="Verdana" w:cs="Arial"/>
          <w:lang w:val="es-ES_tradnl" w:eastAsia="es-ES_tradnl"/>
        </w:rPr>
        <w:t xml:space="preserve"> </w:t>
      </w:r>
      <w:r>
        <w:rPr>
          <w:rFonts w:ascii="Verdana" w:eastAsia="Calibri" w:hAnsi="Verdana" w:cs="Arial"/>
          <w:lang w:val="es-ES_tradnl" w:eastAsia="es-ES_tradnl"/>
        </w:rPr>
        <w:t>l</w:t>
      </w:r>
      <w:r w:rsidRPr="00CF41A0">
        <w:rPr>
          <w:rFonts w:ascii="Verdana" w:eastAsia="Calibri" w:hAnsi="Verdana" w:cs="Arial"/>
          <w:lang w:val="es-ES_tradnl"/>
        </w:rPr>
        <w:t>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sidRPr="00CF41A0">
        <w:rPr>
          <w:rFonts w:ascii="Verdana" w:eastAsia="Calibri" w:hAnsi="Verdana" w:cs="Arial"/>
          <w:vertAlign w:val="superscript"/>
          <w:lang w:val="es-ES_tradnl"/>
        </w:rPr>
        <w:footnoteReference w:id="2"/>
      </w:r>
      <w:r w:rsidRPr="00CF41A0">
        <w:rPr>
          <w:rFonts w:ascii="Verdana" w:eastAsia="Calibri" w:hAnsi="Verdana" w:cs="Arial"/>
          <w:lang w:val="es-ES_tradnl"/>
        </w:rPr>
        <w:t xml:space="preserve">. </w:t>
      </w:r>
      <w:r w:rsidRPr="00CF41A0">
        <w:rPr>
          <w:rFonts w:ascii="Verdana" w:eastAsia="Aptos" w:hAnsi="Verdana" w:cs="Arial"/>
          <w:lang w:val="es-ES_tradnl"/>
        </w:rPr>
        <w:t>En armonía con lo esto, la doctrina ha definido la liquidación de la siguiente manera:</w:t>
      </w:r>
    </w:p>
    <w:p w14:paraId="0BF29CB2" w14:textId="77777777" w:rsidR="0074582E" w:rsidRPr="00CF41A0" w:rsidRDefault="0074582E" w:rsidP="0074582E">
      <w:pPr>
        <w:spacing w:after="0" w:line="276" w:lineRule="auto"/>
        <w:jc w:val="both"/>
        <w:rPr>
          <w:rFonts w:ascii="Verdana" w:eastAsia="Aptos" w:hAnsi="Verdana" w:cs="Arial"/>
          <w:lang w:val="es-ES_tradnl"/>
        </w:rPr>
      </w:pPr>
    </w:p>
    <w:p w14:paraId="75720279" w14:textId="77777777" w:rsidR="0074582E" w:rsidRPr="00CF41A0" w:rsidRDefault="0074582E" w:rsidP="0074582E">
      <w:pPr>
        <w:spacing w:after="0" w:line="240" w:lineRule="auto"/>
        <w:ind w:left="709" w:right="709"/>
        <w:jc w:val="both"/>
        <w:rPr>
          <w:rFonts w:ascii="Verdana" w:eastAsia="Aptos" w:hAnsi="Verdana" w:cs="Arial"/>
          <w:sz w:val="20"/>
          <w:szCs w:val="20"/>
          <w:lang w:val="es-MX"/>
        </w:rPr>
      </w:pPr>
      <w:r w:rsidRPr="00CF41A0">
        <w:rPr>
          <w:rFonts w:ascii="Verdana" w:eastAsia="Aptos" w:hAnsi="Verdana" w:cs="Arial"/>
          <w:sz w:val="20"/>
          <w:szCs w:val="20"/>
          <w:lang w:val="es-ES_tradnl"/>
        </w:rPr>
        <w:t>“</w:t>
      </w:r>
      <w:r w:rsidRPr="00CF41A0">
        <w:rPr>
          <w:rFonts w:ascii="Verdana" w:eastAsia="Aptos"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cuanto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CF41A0">
        <w:rPr>
          <w:rFonts w:ascii="Verdana" w:eastAsia="Aptos" w:hAnsi="Verdana" w:cs="Arial"/>
          <w:sz w:val="20"/>
          <w:szCs w:val="20"/>
          <w:lang w:val="es-MX"/>
        </w:rPr>
        <w:t>ii</w:t>
      </w:r>
      <w:proofErr w:type="spellEnd"/>
      <w:r w:rsidRPr="00CF41A0">
        <w:rPr>
          <w:rFonts w:ascii="Verdana" w:eastAsia="Aptos"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CF41A0">
        <w:rPr>
          <w:rFonts w:ascii="Verdana" w:eastAsia="Aptos" w:hAnsi="Verdana" w:cs="Arial"/>
          <w:sz w:val="20"/>
          <w:szCs w:val="20"/>
          <w:vertAlign w:val="superscript"/>
          <w:lang w:val="es-MX"/>
        </w:rPr>
        <w:footnoteReference w:id="3"/>
      </w:r>
      <w:r w:rsidRPr="00CF41A0">
        <w:rPr>
          <w:rFonts w:ascii="Verdana" w:eastAsia="Aptos" w:hAnsi="Verdana" w:cs="Arial"/>
          <w:sz w:val="20"/>
          <w:szCs w:val="20"/>
          <w:lang w:val="es-MX"/>
        </w:rPr>
        <w:t xml:space="preserve"> </w:t>
      </w:r>
    </w:p>
    <w:p w14:paraId="31D5C36F" w14:textId="77777777" w:rsidR="0074582E" w:rsidRPr="00CF41A0" w:rsidRDefault="0074582E" w:rsidP="0074582E">
      <w:pPr>
        <w:spacing w:after="0" w:line="276" w:lineRule="auto"/>
        <w:jc w:val="both"/>
        <w:rPr>
          <w:rFonts w:ascii="Verdana" w:eastAsia="Aptos" w:hAnsi="Verdana" w:cs="Arial"/>
          <w:lang w:val="es-MX"/>
        </w:rPr>
      </w:pPr>
    </w:p>
    <w:p w14:paraId="70B74D51" w14:textId="77777777" w:rsidR="0074582E" w:rsidRPr="00CF41A0" w:rsidRDefault="0074582E" w:rsidP="0074582E">
      <w:pPr>
        <w:spacing w:after="120" w:line="276" w:lineRule="auto"/>
        <w:ind w:firstLine="708"/>
        <w:jc w:val="both"/>
        <w:rPr>
          <w:rFonts w:ascii="Verdana" w:eastAsia="Times New Roman" w:hAnsi="Verdana" w:cs="Arial"/>
          <w:szCs w:val="24"/>
          <w:lang w:val="es-ES_tradnl" w:eastAsia="es-ES_tradnl"/>
        </w:rPr>
      </w:pPr>
      <w:r w:rsidRPr="00CF41A0">
        <w:rPr>
          <w:rFonts w:ascii="Verdana" w:eastAsia="Times New Roman" w:hAnsi="Verdana" w:cs="Arial"/>
          <w:szCs w:val="24"/>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CF41A0">
        <w:rPr>
          <w:rFonts w:ascii="Verdana" w:eastAsia="Times New Roman" w:hAnsi="Verdana" w:cs="Arial"/>
          <w:i/>
          <w:iCs/>
          <w:szCs w:val="24"/>
          <w:lang w:val="es-ES_tradnl" w:eastAsia="es-ES_tradnl"/>
        </w:rPr>
        <w:t>liquidar</w:t>
      </w:r>
      <w:r w:rsidRPr="00CF41A0">
        <w:rPr>
          <w:rFonts w:ascii="Verdana" w:eastAsia="Times New Roman" w:hAnsi="Verdana" w:cs="Arial"/>
          <w:szCs w:val="24"/>
          <w:lang w:val="es-ES_tradnl" w:eastAsia="es-ES_tradnl"/>
        </w:rPr>
        <w:t xml:space="preserve"> supone un ajuste en relación con las cuentas y el estado de cumplimiento del contrato estatal y, por el otro, que la </w:t>
      </w:r>
      <w:r w:rsidRPr="00CF41A0">
        <w:rPr>
          <w:rFonts w:ascii="Verdana" w:eastAsia="Times New Roman" w:hAnsi="Verdana" w:cs="Arial"/>
          <w:i/>
          <w:iCs/>
          <w:szCs w:val="24"/>
          <w:lang w:val="es-ES_tradnl" w:eastAsia="es-ES_tradnl"/>
        </w:rPr>
        <w:t>liquidación</w:t>
      </w:r>
      <w:r w:rsidRPr="00CF41A0">
        <w:rPr>
          <w:rFonts w:ascii="Verdana" w:eastAsia="Times New Roman" w:hAnsi="Verdana" w:cs="Arial"/>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CF41A0">
        <w:rPr>
          <w:rFonts w:ascii="Verdana" w:eastAsia="Times New Roman" w:hAnsi="Verdana" w:cs="Arial"/>
          <w:szCs w:val="24"/>
          <w:vertAlign w:val="superscript"/>
          <w:lang w:val="es-ES_tradnl" w:eastAsia="es-ES_tradnl"/>
        </w:rPr>
        <w:footnoteReference w:id="4"/>
      </w:r>
      <w:r w:rsidRPr="00CF41A0">
        <w:rPr>
          <w:rFonts w:ascii="Verdana" w:eastAsia="Times New Roman" w:hAnsi="Verdana" w:cs="Arial"/>
          <w:szCs w:val="24"/>
          <w:lang w:val="es-ES_tradnl" w:eastAsia="es-ES_tradnl"/>
        </w:rPr>
        <w:t xml:space="preserve">. </w:t>
      </w:r>
    </w:p>
    <w:p w14:paraId="431E0E04" w14:textId="77777777" w:rsidR="0074582E" w:rsidRPr="00CF41A0" w:rsidRDefault="0074582E" w:rsidP="0074582E">
      <w:pPr>
        <w:spacing w:after="120" w:line="276" w:lineRule="auto"/>
        <w:ind w:firstLine="708"/>
        <w:jc w:val="both"/>
        <w:rPr>
          <w:rFonts w:ascii="Verdana" w:eastAsia="Times New Roman" w:hAnsi="Verdana" w:cs="Arial"/>
          <w:szCs w:val="24"/>
          <w:lang w:val="es-ES_tradnl" w:eastAsia="es-ES_tradnl"/>
        </w:rPr>
      </w:pPr>
      <w:r w:rsidRPr="00CF41A0">
        <w:rPr>
          <w:rFonts w:ascii="Verdana" w:eastAsia="Calibri" w:hAnsi="Verdana" w:cs="Arial"/>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730C9760" w14:textId="77777777" w:rsidR="0074582E" w:rsidRPr="00CF41A0" w:rsidRDefault="0074582E" w:rsidP="0074582E">
      <w:pPr>
        <w:spacing w:after="120" w:line="276" w:lineRule="auto"/>
        <w:ind w:firstLine="708"/>
        <w:jc w:val="both"/>
        <w:rPr>
          <w:rFonts w:ascii="Verdana" w:eastAsia="Calibri" w:hAnsi="Verdana" w:cs="Arial"/>
          <w:lang w:val="es-ES"/>
        </w:rPr>
      </w:pPr>
      <w:r w:rsidRPr="00CF41A0">
        <w:rPr>
          <w:rFonts w:ascii="Verdana" w:eastAsia="Calibri" w:hAnsi="Verdana" w:cs="Arial"/>
          <w:lang w:val="es-ES"/>
        </w:rPr>
        <w:t>De acuerdo con el artículo 60 de la Ley 80 de 1993, los contratos de tracto sucesivo, aquellos cuyo cumplimiento o ejecución se prolongue en el tiempo y los demás que lo requieran “</w:t>
      </w:r>
      <w:r w:rsidRPr="00CF41A0">
        <w:rPr>
          <w:rFonts w:ascii="Verdana" w:eastAsia="Calibri" w:hAnsi="Verdana" w:cs="Arial"/>
          <w:i/>
          <w:iCs/>
          <w:lang w:val="es-ES"/>
        </w:rPr>
        <w:t>serán objeto de liquidación</w:t>
      </w:r>
      <w:r w:rsidRPr="00CF41A0">
        <w:rPr>
          <w:rFonts w:ascii="Verdana" w:eastAsia="Calibri" w:hAnsi="Verdana" w:cs="Arial"/>
          <w:lang w:val="es-ES"/>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CF41A0">
        <w:rPr>
          <w:rFonts w:ascii="Verdana" w:eastAsia="Calibri" w:hAnsi="Verdana" w:cs="Arial"/>
          <w:vertAlign w:val="superscript"/>
          <w:lang w:val="es-ES"/>
        </w:rPr>
        <w:footnoteReference w:id="5"/>
      </w:r>
      <w:r w:rsidRPr="00CF41A0">
        <w:rPr>
          <w:rFonts w:ascii="Verdana" w:eastAsia="Calibri" w:hAnsi="Verdana" w:cs="Arial"/>
          <w:lang w:val="es-ES"/>
        </w:rPr>
        <w:t xml:space="preserve">, así como la probabilidad de que puedan surgir diferencias durante la ejecución del contrato; sin perjuicio de que, como se indicó, todos los contratos estatales de </w:t>
      </w:r>
      <w:r w:rsidRPr="00CF41A0">
        <w:rPr>
          <w:rFonts w:ascii="Verdana" w:eastAsia="Calibri" w:hAnsi="Verdana" w:cs="Arial"/>
          <w:i/>
          <w:iCs/>
          <w:lang w:val="es-ES"/>
        </w:rPr>
        <w:t>tracto sucesivo</w:t>
      </w:r>
      <w:r w:rsidRPr="00CF41A0">
        <w:rPr>
          <w:rFonts w:ascii="Verdana" w:eastAsia="Calibri" w:hAnsi="Verdana" w:cs="Arial"/>
          <w:lang w:val="es-ES"/>
        </w:rPr>
        <w:t xml:space="preserve"> o aquellos cuya ejecución se prolongue en el tiempo siempre deban liquidarse. </w:t>
      </w:r>
    </w:p>
    <w:p w14:paraId="45183B9B" w14:textId="77777777" w:rsidR="0074582E" w:rsidRPr="00CF41A0" w:rsidRDefault="0074582E" w:rsidP="0074582E">
      <w:pPr>
        <w:spacing w:after="120" w:line="276" w:lineRule="auto"/>
        <w:ind w:firstLine="708"/>
        <w:jc w:val="both"/>
        <w:rPr>
          <w:rFonts w:ascii="Verdana" w:eastAsia="Times New Roman" w:hAnsi="Verdana" w:cs="Arial"/>
          <w:lang w:val="es-ES" w:eastAsia="es-ES"/>
        </w:rPr>
      </w:pPr>
      <w:r w:rsidRPr="00CF41A0">
        <w:rPr>
          <w:rFonts w:ascii="Verdana" w:eastAsia="Calibri" w:hAnsi="Verdana" w:cs="Arial"/>
          <w:lang w:val="es-ES"/>
        </w:rPr>
        <w:t>Por su parte, el artículo 11 de la Ley 1150 de 2007</w:t>
      </w:r>
      <w:r w:rsidRPr="00CF41A0">
        <w:rPr>
          <w:rFonts w:ascii="Verdana" w:eastAsia="Calibri" w:hAnsi="Verdana" w:cs="Arial"/>
          <w:vertAlign w:val="superscript"/>
          <w:lang w:val="es-ES"/>
        </w:rPr>
        <w:footnoteReference w:id="6"/>
      </w:r>
      <w:r w:rsidRPr="00CF41A0">
        <w:rPr>
          <w:rFonts w:ascii="Verdana" w:eastAsia="Calibri" w:hAnsi="Verdana" w:cs="Arial"/>
          <w:lang w:val="es-ES"/>
        </w:rPr>
        <w:t xml:space="preserve"> contiene las reglas de tipo procedimental para liquidar los contratos estatales. D</w:t>
      </w:r>
      <w:r w:rsidRPr="00CF41A0">
        <w:rPr>
          <w:rFonts w:ascii="Verdana" w:eastAsia="Times New Roman" w:hAnsi="Verdana" w:cs="Arial"/>
          <w:lang w:val="es-ES" w:eastAsia="es-ES"/>
        </w:rPr>
        <w:t xml:space="preserve">e acuerdo con dicha disposición, existen tres tipos de liquidación: i) bilateral, </w:t>
      </w:r>
      <w:proofErr w:type="spellStart"/>
      <w:r w:rsidRPr="00CF41A0">
        <w:rPr>
          <w:rFonts w:ascii="Verdana" w:eastAsia="Times New Roman" w:hAnsi="Verdana" w:cs="Arial"/>
          <w:lang w:val="es-ES" w:eastAsia="es-ES"/>
        </w:rPr>
        <w:t>ii</w:t>
      </w:r>
      <w:proofErr w:type="spellEnd"/>
      <w:r w:rsidRPr="00CF41A0">
        <w:rPr>
          <w:rFonts w:ascii="Verdana" w:eastAsia="Times New Roman" w:hAnsi="Verdana" w:cs="Arial"/>
          <w:lang w:val="es-ES" w:eastAsia="es-ES"/>
        </w:rPr>
        <w:t xml:space="preserve">) unilateral y </w:t>
      </w:r>
      <w:proofErr w:type="spellStart"/>
      <w:r w:rsidRPr="00CF41A0">
        <w:rPr>
          <w:rFonts w:ascii="Verdana" w:eastAsia="Times New Roman" w:hAnsi="Verdana" w:cs="Arial"/>
          <w:lang w:val="es-ES" w:eastAsia="es-ES"/>
        </w:rPr>
        <w:t>iii</w:t>
      </w:r>
      <w:proofErr w:type="spellEnd"/>
      <w:r w:rsidRPr="00CF41A0">
        <w:rPr>
          <w:rFonts w:ascii="Verdana" w:eastAsia="Times New Roman" w:hAnsi="Verdana" w:cs="Arial"/>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4DB37B5B" w14:textId="77777777" w:rsidR="0074582E" w:rsidRPr="00CF41A0" w:rsidRDefault="0074582E" w:rsidP="0074582E">
      <w:pPr>
        <w:spacing w:after="120" w:line="276" w:lineRule="auto"/>
        <w:ind w:firstLine="705"/>
        <w:jc w:val="both"/>
        <w:rPr>
          <w:rFonts w:ascii="Verdana" w:eastAsia="Times New Roman" w:hAnsi="Verdana" w:cs="Arial"/>
          <w:bCs/>
          <w:szCs w:val="24"/>
          <w:lang w:eastAsia="es-ES_tradnl"/>
        </w:rPr>
      </w:pPr>
      <w:r w:rsidRPr="00CF41A0">
        <w:rPr>
          <w:rFonts w:ascii="Verdana" w:eastAsia="Times New Roman" w:hAnsi="Verdana" w:cs="Arial"/>
          <w:bdr w:val="none" w:sz="0" w:space="0" w:color="auto" w:frame="1"/>
          <w:shd w:val="clear" w:color="auto" w:fill="FFFFFF"/>
          <w:lang w:eastAsia="es-ES"/>
        </w:rPr>
        <w:t>Igualmente</w:t>
      </w:r>
      <w:r w:rsidRPr="00CF41A0">
        <w:rPr>
          <w:rFonts w:ascii="Verdana" w:eastAsia="Times New Roman" w:hAnsi="Verdana" w:cs="Arial"/>
          <w:bCs/>
          <w:szCs w:val="24"/>
          <w:lang w:eastAsia="es-ES_tradnl"/>
        </w:rPr>
        <w:t xml:space="preserve">, el artículo 11 de la Ley 1150 de 2007 determinó que dichos plazos inician a contarse desde la terminación de la ejecución del contrato, ya sea por vencimiento de plazo, o por expedición de acto administrativo de ordenó su terminación o la fecha de acuerdo entre las partes para ello. </w:t>
      </w:r>
    </w:p>
    <w:p w14:paraId="265AE00B" w14:textId="77777777" w:rsidR="0074582E" w:rsidRPr="00F37F48" w:rsidRDefault="0074582E" w:rsidP="0074582E">
      <w:pPr>
        <w:widowControl w:val="0"/>
        <w:autoSpaceDE w:val="0"/>
        <w:autoSpaceDN w:val="0"/>
        <w:spacing w:after="120" w:line="276" w:lineRule="auto"/>
        <w:ind w:right="108" w:firstLine="708"/>
        <w:jc w:val="both"/>
        <w:rPr>
          <w:rFonts w:ascii="Verdana" w:hAnsi="Verdana"/>
          <w:sz w:val="16"/>
          <w:szCs w:val="16"/>
        </w:rPr>
      </w:pPr>
      <w:r w:rsidRPr="0074582E">
        <w:rPr>
          <w:rFonts w:ascii="Verdana" w:eastAsia="Times New Roman" w:hAnsi="Verdana" w:cs="Arial"/>
          <w:color w:val="000000"/>
          <w:bdr w:val="none" w:sz="0" w:space="0" w:color="auto" w:frame="1"/>
          <w:shd w:val="clear" w:color="auto" w:fill="FFFFFF"/>
          <w:lang w:val="es-ES" w:eastAsia="es-ES_tradnl"/>
        </w:rPr>
        <w:t xml:space="preserve">Frente a la naturaleza jurídica de la liquidación bilateral, </w:t>
      </w:r>
      <w:r w:rsidRPr="0074582E">
        <w:rPr>
          <w:rFonts w:ascii="Verdana" w:eastAsia="Arial" w:hAnsi="Verdana" w:cs="Arial"/>
          <w:lang w:val="es-MX" w:eastAsia="es-ES" w:bidi="es-ES"/>
        </w:rPr>
        <w:t>esta Agencia ha señalado que</w:t>
      </w:r>
      <w:r w:rsidRPr="0074582E">
        <w:rPr>
          <w:rFonts w:ascii="Verdana" w:eastAsia="Arial" w:hAnsi="Verdana" w:cs="Arial"/>
          <w:lang w:val="es-ES" w:eastAsia="es-ES" w:bidi="es-ES"/>
        </w:rPr>
        <w:t xml:space="preserve"> se trata de un negocio jurídico, en el que las partes del contrato estatal, en ejercicio de la autonomía de la voluntad</w:t>
      </w:r>
      <w:r w:rsidRPr="00F37F48">
        <w:rPr>
          <w:rFonts w:ascii="Verdana" w:eastAsia="Arial" w:hAnsi="Verdana" w:cs="Arial"/>
          <w:lang w:val="es-ES" w:eastAsia="es-ES" w:bidi="es-ES"/>
        </w:rPr>
        <w:t>, regulan la finalización de su relación y disponen de los intereses que emanan de ella</w:t>
      </w:r>
      <w:r w:rsidRPr="00F37F48">
        <w:rPr>
          <w:rFonts w:ascii="Verdana" w:eastAsia="Arial" w:hAnsi="Verdana" w:cs="Arial"/>
          <w:vertAlign w:val="superscript"/>
          <w:lang w:val="es-ES" w:eastAsia="es-ES" w:bidi="es-ES"/>
        </w:rPr>
        <w:footnoteReference w:id="7"/>
      </w:r>
      <w:r w:rsidRPr="00F37F48">
        <w:rPr>
          <w:rFonts w:ascii="Verdana" w:eastAsia="Arial" w:hAnsi="Verdana" w:cs="Arial"/>
          <w:lang w:val="es-ES" w:eastAsia="es-ES" w:bidi="es-ES"/>
        </w:rPr>
        <w:t>.</w:t>
      </w:r>
      <w:r w:rsidRPr="00F37F48">
        <w:t xml:space="preserve"> </w:t>
      </w:r>
      <w:r w:rsidRPr="00F37F48">
        <w:rPr>
          <w:rFonts w:ascii="Verdana" w:eastAsia="Arial" w:hAnsi="Verdana" w:cs="Arial"/>
          <w:lang w:eastAsia="es-ES" w:bidi="es-ES"/>
        </w:rPr>
        <w:t xml:space="preserve">Dicho acuerdo reviste un carácter negocial, en la medida en que implica manifestaciones recíprocas dirigidas a producir efectos jurídicos concretos frente a las prestaciones mutuas de la relación contractual. </w:t>
      </w:r>
    </w:p>
    <w:p w14:paraId="459DC9AC" w14:textId="77777777" w:rsidR="0074582E" w:rsidRDefault="0074582E" w:rsidP="0074582E">
      <w:pPr>
        <w:widowControl w:val="0"/>
        <w:autoSpaceDE w:val="0"/>
        <w:autoSpaceDN w:val="0"/>
        <w:spacing w:after="120" w:line="276" w:lineRule="auto"/>
        <w:ind w:right="108" w:firstLine="360"/>
        <w:jc w:val="both"/>
        <w:rPr>
          <w:rFonts w:ascii="Verdana" w:hAnsi="Verdana"/>
          <w:sz w:val="16"/>
          <w:szCs w:val="16"/>
        </w:rPr>
      </w:pPr>
      <w:r w:rsidRPr="00F37F48">
        <w:rPr>
          <w:rFonts w:ascii="Verdana" w:eastAsia="Arial" w:hAnsi="Verdana" w:cs="Arial"/>
          <w:lang w:eastAsia="es-ES" w:bidi="es-ES"/>
        </w:rPr>
        <w:t xml:space="preserve">Sobre el particular el Consejo de Estado ha manifestado de manera reiterada que “Cuando dicha liquidación se lleva a cabo de manera bilateral, configura </w:t>
      </w:r>
      <w:r w:rsidRPr="00F37F48">
        <w:rPr>
          <w:rFonts w:ascii="Verdana" w:eastAsia="Arial" w:hAnsi="Verdana" w:cs="Arial"/>
          <w:i/>
          <w:iCs/>
          <w:lang w:eastAsia="es-ES" w:bidi="es-ES"/>
        </w:rPr>
        <w:t>un negocio jurídico</w:t>
      </w:r>
      <w:r w:rsidRPr="00F37F48">
        <w:rPr>
          <w:rFonts w:ascii="Verdana" w:eastAsia="Arial" w:hAnsi="Verdana" w:cs="Arial"/>
          <w:lang w:eastAsia="es-ES" w:bidi="es-ES"/>
        </w:rPr>
        <w:t xml:space="preserve"> que surge de la manifestación de voluntad de las partes, quienes al suscribir la respectiva acta consienten en que ese corte de cuentas corresponde a la realidad de la ejecución contractual y, por ello, se pueden declarar a paz y salvo una vez satisfechas las obligaciones que se deriven directamente de ese trabajo conjunto de liquidación</w:t>
      </w:r>
      <w:r w:rsidRPr="00F37F48">
        <w:rPr>
          <w:rFonts w:ascii="Verdana" w:eastAsia="Arial" w:hAnsi="Verdana" w:cs="Arial"/>
          <w:vertAlign w:val="superscript"/>
          <w:lang w:eastAsia="es-ES" w:bidi="es-ES"/>
        </w:rPr>
        <w:footnoteReference w:id="8"/>
      </w:r>
      <w:r w:rsidRPr="00F37F48">
        <w:rPr>
          <w:rFonts w:ascii="Verdana" w:eastAsia="Arial" w:hAnsi="Verdana" w:cs="Arial"/>
          <w:lang w:eastAsia="es-ES" w:bidi="es-ES"/>
        </w:rPr>
        <w:t xml:space="preserve">”. </w:t>
      </w:r>
      <w:r w:rsidRPr="00F37F48">
        <w:rPr>
          <w:rFonts w:ascii="Verdana" w:eastAsia="Arial" w:hAnsi="Verdana" w:cs="Arial"/>
          <w:lang w:val="es-ES" w:eastAsia="es-ES" w:bidi="es-ES"/>
        </w:rPr>
        <w:t xml:space="preserve"> </w:t>
      </w:r>
    </w:p>
    <w:p w14:paraId="72E17459" w14:textId="51B29089" w:rsidR="0074582E" w:rsidRPr="0074582E" w:rsidRDefault="0074582E" w:rsidP="0074582E">
      <w:pPr>
        <w:widowControl w:val="0"/>
        <w:autoSpaceDE w:val="0"/>
        <w:autoSpaceDN w:val="0"/>
        <w:spacing w:after="120" w:line="276" w:lineRule="auto"/>
        <w:ind w:right="108" w:firstLine="360"/>
        <w:jc w:val="both"/>
        <w:rPr>
          <w:rFonts w:ascii="Verdana" w:hAnsi="Verdana"/>
          <w:sz w:val="16"/>
          <w:szCs w:val="16"/>
        </w:rPr>
      </w:pPr>
      <w:r w:rsidRPr="00F37F48">
        <w:rPr>
          <w:rFonts w:ascii="Verdana" w:eastAsia="Arial" w:hAnsi="Verdana" w:cs="Arial"/>
          <w:lang w:val="es-ES" w:eastAsia="es-ES" w:bidi="es-ES"/>
        </w:rPr>
        <w:t xml:space="preserve">Aunado a lo anterior, la liquidación bilateral tiene efectos de título ejecutivo, transaccionales, puesto que las declaraciones y expresiones incorporadas en la correspondiente acta son reconocidas y protegidas por el ordenamiento jurídico, siempre y cuando no sean contrarias a la Constitución Política, la ley, el orden público, la moral y las buenas </w:t>
      </w:r>
      <w:r w:rsidRPr="002350F4">
        <w:rPr>
          <w:rFonts w:ascii="Verdana" w:eastAsia="Arial" w:hAnsi="Verdana" w:cs="Arial"/>
          <w:lang w:val="es-ES" w:eastAsia="es-ES" w:bidi="es-ES"/>
        </w:rPr>
        <w:t>costumbres.</w:t>
      </w:r>
    </w:p>
    <w:p w14:paraId="625C7E65" w14:textId="77777777" w:rsidR="0074582E" w:rsidRDefault="0074582E" w:rsidP="0074582E">
      <w:pPr>
        <w:spacing w:after="120" w:line="276" w:lineRule="auto"/>
        <w:ind w:firstLine="360"/>
        <w:jc w:val="both"/>
        <w:rPr>
          <w:rFonts w:ascii="Verdana" w:eastAsia="Calibri" w:hAnsi="Verdana" w:cs="Arial"/>
        </w:rPr>
      </w:pPr>
      <w:r>
        <w:rPr>
          <w:rFonts w:ascii="Verdana" w:eastAsia="Calibri" w:hAnsi="Verdana" w:cs="Arial"/>
        </w:rPr>
        <w:t>Ahora bien, por su parte e</w:t>
      </w:r>
      <w:r w:rsidRPr="00195D47">
        <w:rPr>
          <w:rFonts w:ascii="Verdana" w:eastAsia="Calibri" w:hAnsi="Verdana" w:cs="Arial"/>
        </w:rPr>
        <w:t>n el contexto de la contratación pública, un hallazgo fiscal es un concepto jurídico y contable que emerge de una auditoría realizada por los entes de control fiscal, como la Contraloría General de la República. Se trata de un indicio de una posible lesión al patrimonio público, que se produce a raíz de una gestión fiscal ineficiente, ineficaz o contraria a la ley. Este hallazgo puede ser un simple señalamiento o, si hay pruebas que lo sustenten, dar origen a un proceso de responsabilidad fiscal.</w:t>
      </w:r>
    </w:p>
    <w:p w14:paraId="6570D508" w14:textId="77777777" w:rsidR="0074582E" w:rsidRDefault="0074582E" w:rsidP="0074582E">
      <w:pPr>
        <w:spacing w:after="120" w:line="276" w:lineRule="auto"/>
        <w:ind w:firstLine="360"/>
        <w:jc w:val="both"/>
        <w:rPr>
          <w:rFonts w:ascii="Verdana" w:eastAsia="Calibri" w:hAnsi="Verdana" w:cs="Arial"/>
          <w:bCs/>
          <w:lang w:eastAsia="es-ES_tradnl"/>
        </w:rPr>
      </w:pPr>
      <w:r w:rsidRPr="00195D47">
        <w:rPr>
          <w:rFonts w:ascii="Verdana" w:eastAsia="Calibri" w:hAnsi="Verdana" w:cs="Arial"/>
          <w:bCs/>
          <w:lang w:eastAsia="es-ES_tradnl"/>
        </w:rPr>
        <w:t>En virtud de lo expuesto, corresponderá a las partes contratantes y a sus respectivos equipos jurídicos valorar, con base en los hallazgos fiscales identificados y el marco normativo aplicable, si resulta procedente proceder a la firma del acta de liquidación. Esta decisión deberá adoptarse considerando los principios de transparencia, responsabilidad y legalidad, así como las posibles consecuencias jurídicas, fiscales y patrimoniales que pueda generar el cierre contractual en dichas condiciones.</w:t>
      </w:r>
    </w:p>
    <w:p w14:paraId="245DEA4B" w14:textId="7D66A264" w:rsidR="0074582E" w:rsidRPr="00195D47" w:rsidRDefault="0074582E" w:rsidP="0074582E">
      <w:pPr>
        <w:spacing w:after="120" w:line="276" w:lineRule="auto"/>
        <w:ind w:firstLine="360"/>
        <w:jc w:val="both"/>
        <w:rPr>
          <w:rFonts w:ascii="Verdana" w:eastAsia="Calibri" w:hAnsi="Verdana" w:cs="Arial"/>
          <w:bCs/>
          <w:lang w:eastAsia="es-ES_tradnl"/>
        </w:rPr>
      </w:pPr>
      <w:r>
        <w:rPr>
          <w:rFonts w:ascii="Verdana" w:eastAsia="Calibri" w:hAnsi="Verdana" w:cs="Arial"/>
          <w:bCs/>
          <w:lang w:eastAsia="es-ES_tradnl"/>
        </w:rPr>
        <w:t>D</w:t>
      </w:r>
      <w:r w:rsidRPr="00195D47">
        <w:rPr>
          <w:rFonts w:ascii="Verdana" w:eastAsia="Calibri" w:hAnsi="Verdana" w:cs="Arial"/>
          <w:bCs/>
          <w:lang w:eastAsia="es-ES_tradnl"/>
        </w:rPr>
        <w:t xml:space="preserve">e igual manera, se recomienda consultar la </w:t>
      </w:r>
      <w:r w:rsidRPr="00195D47">
        <w:rPr>
          <w:rFonts w:ascii="Verdana" w:eastAsia="Calibri" w:hAnsi="Verdana" w:cs="Arial"/>
          <w:lang w:eastAsia="es-ES_tradnl"/>
        </w:rPr>
        <w:t xml:space="preserve">Guía para la liquidación de </w:t>
      </w:r>
      <w:r>
        <w:rPr>
          <w:rFonts w:ascii="Verdana" w:eastAsia="Calibri" w:hAnsi="Verdana" w:cs="Arial"/>
          <w:lang w:eastAsia="es-ES_tradnl"/>
        </w:rPr>
        <w:t xml:space="preserve">los procesos de contratación </w:t>
      </w:r>
      <w:r w:rsidRPr="00195D47">
        <w:rPr>
          <w:rFonts w:ascii="Verdana" w:eastAsia="Calibri" w:hAnsi="Verdana" w:cs="Arial"/>
          <w:lang w:eastAsia="es-ES_tradnl"/>
        </w:rPr>
        <w:t>de Colombia Compra Eficiente</w:t>
      </w:r>
      <w:r>
        <w:rPr>
          <w:rStyle w:val="Refdenotaalpie"/>
          <w:rFonts w:ascii="Verdana" w:eastAsia="Calibri" w:hAnsi="Verdana" w:cs="Arial"/>
          <w:lang w:eastAsia="es-ES_tradnl"/>
        </w:rPr>
        <w:footnoteReference w:id="9"/>
      </w:r>
      <w:r w:rsidRPr="00195D47">
        <w:rPr>
          <w:rFonts w:ascii="Verdana" w:eastAsia="Calibri" w:hAnsi="Verdana" w:cs="Arial"/>
          <w:bCs/>
          <w:lang w:eastAsia="es-ES_tradnl"/>
        </w:rPr>
        <w:t>, documento que proporciona lineamientos técnicos y jurídicos sobre el procedimiento, los tipos de liquidación y las obligaciones de las partes. Esta herramienta práctica resulta de gran utilidad para orientar a las entidades estatales en la toma de decisiones, garantizando el cumplimiento de la normativa vigente y la adecuada protección de los recursos públicos.</w:t>
      </w:r>
    </w:p>
    <w:p w14:paraId="44526D5A" w14:textId="77777777" w:rsidR="00E640A2" w:rsidRPr="00C71956" w:rsidRDefault="00E640A2" w:rsidP="00E640A2">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2E2F7D2" w14:textId="2939FCF3" w:rsidR="00D065E6" w:rsidRDefault="00E640A2" w:rsidP="00E640A2">
      <w:pPr>
        <w:widowControl w:val="0"/>
        <w:autoSpaceDE w:val="0"/>
        <w:autoSpaceDN w:val="0"/>
        <w:spacing w:after="120" w:line="276" w:lineRule="auto"/>
        <w:jc w:val="both"/>
        <w:rPr>
          <w:rFonts w:ascii="Verdana" w:eastAsia="Calibri" w:hAnsi="Verdana" w:cs="Arial"/>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F41F5FF" w14:textId="77777777" w:rsidR="00D065E6" w:rsidRDefault="00D065E6" w:rsidP="00D065E6">
      <w:pPr>
        <w:widowControl w:val="0"/>
        <w:autoSpaceDE w:val="0"/>
        <w:autoSpaceDN w:val="0"/>
        <w:spacing w:after="120" w:line="276" w:lineRule="auto"/>
        <w:jc w:val="both"/>
        <w:rPr>
          <w:rFonts w:ascii="Verdana" w:eastAsia="Calibri" w:hAnsi="Verdana" w:cs="Arial"/>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4195BB58" w14:textId="77777777" w:rsidR="0074582E" w:rsidRPr="00CF41A0" w:rsidRDefault="0074582E" w:rsidP="0074582E">
            <w:pPr>
              <w:numPr>
                <w:ilvl w:val="0"/>
                <w:numId w:val="23"/>
              </w:numPr>
              <w:spacing w:line="276" w:lineRule="auto"/>
              <w:ind w:left="360"/>
              <w:jc w:val="both"/>
              <w:rPr>
                <w:rFonts w:ascii="Verdana" w:eastAsia="Calibri" w:hAnsi="Verdana" w:cs="Arial"/>
                <w:lang w:val="es-ES_tradnl"/>
              </w:rPr>
            </w:pPr>
            <w:r w:rsidRPr="00CF41A0">
              <w:rPr>
                <w:rFonts w:ascii="Verdana" w:eastAsia="Calibri" w:hAnsi="Verdana" w:cs="Arial"/>
                <w:lang w:val="es-ES_tradnl"/>
              </w:rPr>
              <w:t xml:space="preserve">Constitución Política de Colombia: Artículos 6 y 121. </w:t>
            </w:r>
          </w:p>
          <w:p w14:paraId="2840FC42" w14:textId="77777777" w:rsidR="0074582E" w:rsidRPr="00CF41A0" w:rsidRDefault="0074582E" w:rsidP="0074582E">
            <w:pPr>
              <w:spacing w:line="276" w:lineRule="auto"/>
              <w:jc w:val="both"/>
              <w:rPr>
                <w:rFonts w:ascii="Verdana" w:eastAsia="Calibri" w:hAnsi="Verdana" w:cs="Arial"/>
                <w:lang w:val="es-ES_tradnl"/>
              </w:rPr>
            </w:pPr>
          </w:p>
          <w:p w14:paraId="601A28EC" w14:textId="77777777" w:rsidR="0074582E" w:rsidRPr="00CF41A0" w:rsidRDefault="0074582E" w:rsidP="0074582E">
            <w:pPr>
              <w:numPr>
                <w:ilvl w:val="0"/>
                <w:numId w:val="23"/>
              </w:numPr>
              <w:spacing w:line="276" w:lineRule="auto"/>
              <w:ind w:left="360"/>
              <w:jc w:val="both"/>
              <w:rPr>
                <w:rFonts w:ascii="Verdana" w:eastAsia="Calibri" w:hAnsi="Verdana" w:cs="Arial"/>
                <w:lang w:val="es-ES_tradnl"/>
              </w:rPr>
            </w:pPr>
            <w:r w:rsidRPr="00CF41A0">
              <w:rPr>
                <w:rFonts w:ascii="Verdana" w:eastAsia="Calibri" w:hAnsi="Verdana" w:cs="Arial"/>
                <w:lang w:val="es-ES_tradnl"/>
              </w:rPr>
              <w:t>Ley 80 de 1993: Artículos 3 y 60.</w:t>
            </w:r>
          </w:p>
          <w:p w14:paraId="66A0C15F" w14:textId="77777777" w:rsidR="0074582E" w:rsidRPr="00CF41A0" w:rsidRDefault="0074582E" w:rsidP="0074582E">
            <w:pPr>
              <w:spacing w:line="276" w:lineRule="auto"/>
              <w:jc w:val="both"/>
              <w:rPr>
                <w:rFonts w:ascii="Verdana" w:eastAsia="Calibri" w:hAnsi="Verdana" w:cs="Arial"/>
                <w:lang w:val="es-ES_tradnl"/>
              </w:rPr>
            </w:pPr>
          </w:p>
          <w:p w14:paraId="402738F8" w14:textId="77777777" w:rsidR="0074582E" w:rsidRDefault="0074582E" w:rsidP="0074582E">
            <w:pPr>
              <w:numPr>
                <w:ilvl w:val="0"/>
                <w:numId w:val="23"/>
              </w:numPr>
              <w:spacing w:line="276" w:lineRule="auto"/>
              <w:ind w:left="360"/>
              <w:jc w:val="both"/>
              <w:rPr>
                <w:rFonts w:ascii="Verdana" w:eastAsia="Calibri" w:hAnsi="Verdana" w:cs="Arial"/>
                <w:lang w:val="es-ES_tradnl"/>
              </w:rPr>
            </w:pPr>
            <w:r w:rsidRPr="00CF41A0">
              <w:rPr>
                <w:rFonts w:ascii="Verdana" w:eastAsia="Calibri" w:hAnsi="Verdana" w:cs="Arial"/>
                <w:lang w:val="es-ES_tradnl"/>
              </w:rPr>
              <w:t xml:space="preserve">Ley 1150 de 2007: Artículo 11. </w:t>
            </w:r>
          </w:p>
          <w:p w14:paraId="69007EC7" w14:textId="77777777" w:rsidR="00AF08FD" w:rsidRDefault="00AF08FD" w:rsidP="00AF08FD">
            <w:pPr>
              <w:pStyle w:val="Prrafodelista"/>
              <w:ind w:left="312"/>
              <w:rPr>
                <w:rFonts w:ascii="Verdana" w:eastAsia="Calibri" w:hAnsi="Verdana" w:cs="Arial"/>
                <w:lang w:val="es-ES_tradnl"/>
              </w:rPr>
            </w:pPr>
          </w:p>
          <w:p w14:paraId="68EAD104" w14:textId="48C6F12D" w:rsidR="00AF08FD" w:rsidRPr="00AF08FD" w:rsidRDefault="00AF08FD" w:rsidP="00AF08FD">
            <w:pPr>
              <w:pStyle w:val="Prrafodelista"/>
              <w:numPr>
                <w:ilvl w:val="0"/>
                <w:numId w:val="23"/>
              </w:numPr>
              <w:spacing w:line="276" w:lineRule="auto"/>
              <w:ind w:left="312"/>
              <w:jc w:val="both"/>
              <w:rPr>
                <w:rFonts w:ascii="Verdana" w:eastAsia="Calibri" w:hAnsi="Verdana" w:cs="Arial"/>
                <w:lang w:val="es-ES_tradnl"/>
              </w:rPr>
            </w:pPr>
            <w:r w:rsidRPr="00AF08FD">
              <w:rPr>
                <w:rFonts w:ascii="Verdana" w:eastAsia="Calibri" w:hAnsi="Verdana" w:cs="Arial"/>
                <w:lang w:val="es-ES_tradnl"/>
              </w:rPr>
              <w:t xml:space="preserve">Consejo de Estado. Sección Tercera. Subsección C. 20 de octubre de 2014, M.P: Enrique Gil Botero. </w:t>
            </w:r>
            <w:proofErr w:type="spellStart"/>
            <w:r w:rsidRPr="00AF08FD">
              <w:rPr>
                <w:rFonts w:ascii="Verdana" w:eastAsia="Calibri" w:hAnsi="Verdana" w:cs="Arial"/>
                <w:lang w:val="es-ES_tradnl"/>
              </w:rPr>
              <w:t>Exp</w:t>
            </w:r>
            <w:proofErr w:type="spellEnd"/>
            <w:r w:rsidRPr="00AF08FD">
              <w:rPr>
                <w:rFonts w:ascii="Verdana" w:eastAsia="Calibri" w:hAnsi="Verdana" w:cs="Arial"/>
                <w:lang w:val="es-ES_tradnl"/>
              </w:rPr>
              <w:t>. 27.777.</w:t>
            </w:r>
          </w:p>
          <w:p w14:paraId="136168D6" w14:textId="77777777" w:rsidR="00AF08FD" w:rsidRPr="00AF08FD" w:rsidRDefault="00AF08FD" w:rsidP="00AF08FD">
            <w:pPr>
              <w:spacing w:line="276" w:lineRule="auto"/>
              <w:ind w:left="312"/>
              <w:jc w:val="both"/>
              <w:rPr>
                <w:rFonts w:ascii="Verdana" w:eastAsia="Calibri" w:hAnsi="Verdana" w:cs="Arial"/>
                <w:lang w:val="es-ES_tradnl"/>
              </w:rPr>
            </w:pPr>
          </w:p>
          <w:p w14:paraId="1AFFA02D" w14:textId="77777777" w:rsidR="00AF08FD" w:rsidRPr="00AF08FD" w:rsidRDefault="00AF08FD" w:rsidP="00AF08FD">
            <w:pPr>
              <w:pStyle w:val="Prrafodelista"/>
              <w:numPr>
                <w:ilvl w:val="0"/>
                <w:numId w:val="23"/>
              </w:numPr>
              <w:spacing w:line="276" w:lineRule="auto"/>
              <w:ind w:left="312"/>
              <w:jc w:val="both"/>
              <w:rPr>
                <w:rFonts w:ascii="Verdana" w:eastAsia="Calibri" w:hAnsi="Verdana" w:cs="Arial"/>
                <w:lang w:val="es-ES_tradnl"/>
              </w:rPr>
            </w:pPr>
            <w:r w:rsidRPr="00AF08FD">
              <w:rPr>
                <w:rFonts w:ascii="Verdana" w:eastAsia="Calibri" w:hAnsi="Verdana" w:cs="Arial"/>
                <w:lang w:val="es-ES_tradnl"/>
              </w:rPr>
              <w:t>Consejo De Estado, Sala de Consulta y Servicio Civil. Radicado No. 1453. Concepto de 6 de agosto de 2003. MP. Augusto Trejos.</w:t>
            </w:r>
          </w:p>
          <w:p w14:paraId="5BB0AE4B" w14:textId="77777777" w:rsidR="00AF08FD" w:rsidRPr="00AF08FD" w:rsidRDefault="00AF08FD" w:rsidP="00AF08FD">
            <w:pPr>
              <w:spacing w:line="276" w:lineRule="auto"/>
              <w:ind w:left="312"/>
              <w:jc w:val="both"/>
              <w:rPr>
                <w:rFonts w:ascii="Verdana" w:eastAsia="Calibri" w:hAnsi="Verdana" w:cs="Arial"/>
                <w:lang w:val="es-ES_tradnl"/>
              </w:rPr>
            </w:pPr>
          </w:p>
          <w:p w14:paraId="241B6C2F" w14:textId="77777777" w:rsidR="00AF08FD" w:rsidRPr="00AF08FD" w:rsidRDefault="00AF08FD" w:rsidP="00AF08FD">
            <w:pPr>
              <w:spacing w:line="276" w:lineRule="auto"/>
              <w:ind w:left="312"/>
              <w:jc w:val="both"/>
              <w:rPr>
                <w:rFonts w:ascii="Verdana" w:eastAsia="Calibri" w:hAnsi="Verdana" w:cs="Arial"/>
                <w:lang w:val="es-ES_tradnl"/>
              </w:rPr>
            </w:pPr>
          </w:p>
          <w:p w14:paraId="78658086" w14:textId="1C71990B" w:rsidR="00AF08FD" w:rsidRPr="00CF41A0" w:rsidRDefault="00AF08FD" w:rsidP="00AF08FD">
            <w:pPr>
              <w:numPr>
                <w:ilvl w:val="0"/>
                <w:numId w:val="23"/>
              </w:numPr>
              <w:spacing w:line="276" w:lineRule="auto"/>
              <w:ind w:left="312"/>
              <w:jc w:val="both"/>
              <w:rPr>
                <w:rFonts w:ascii="Verdana" w:eastAsia="Calibri" w:hAnsi="Verdana" w:cs="Arial"/>
                <w:lang w:val="es-ES_tradnl"/>
              </w:rPr>
            </w:pPr>
            <w:r w:rsidRPr="00AF08FD">
              <w:rPr>
                <w:rFonts w:ascii="Verdana" w:eastAsia="Calibri" w:hAnsi="Verdana" w:cs="Arial"/>
                <w:lang w:val="es-ES_tradnl"/>
              </w:rPr>
              <w:t xml:space="preserve">Consejo </w:t>
            </w:r>
            <w:r>
              <w:rPr>
                <w:rFonts w:ascii="Verdana" w:eastAsia="Calibri" w:hAnsi="Verdana" w:cs="Arial"/>
                <w:lang w:val="es-ES_tradnl"/>
              </w:rPr>
              <w:t>d</w:t>
            </w:r>
            <w:r w:rsidRPr="00AF08FD">
              <w:rPr>
                <w:rFonts w:ascii="Verdana" w:eastAsia="Calibri" w:hAnsi="Verdana" w:cs="Arial"/>
                <w:lang w:val="es-ES_tradnl"/>
              </w:rPr>
              <w:t>e Estado, Sección Tercera, Subsección A, Sentencia del 20 de mayo de 2024, radicado No. 58.879, Consejera Ponente: María Adriana Marín</w:t>
            </w:r>
            <w:r>
              <w:rPr>
                <w:rFonts w:ascii="Verdana" w:eastAsia="Calibri" w:hAnsi="Verdana" w:cs="Arial"/>
                <w:lang w:val="es-ES_tradnl"/>
              </w:rPr>
              <w:t>.</w:t>
            </w:r>
          </w:p>
          <w:p w14:paraId="60CC6EC9" w14:textId="1B1C6334" w:rsidR="00A64017" w:rsidRPr="00332677" w:rsidRDefault="00A64017" w:rsidP="00B33A31">
            <w:pPr>
              <w:pStyle w:val="Prrafodelista"/>
              <w:widowControl w:val="0"/>
              <w:autoSpaceDE w:val="0"/>
              <w:autoSpaceDN w:val="0"/>
              <w:spacing w:after="120" w:line="276" w:lineRule="auto"/>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555D43EB" w:rsidR="00A64017" w:rsidRPr="00AE7E03" w:rsidRDefault="00AF08FD" w:rsidP="00A64017">
      <w:pPr>
        <w:widowControl w:val="0"/>
        <w:autoSpaceDE w:val="0"/>
        <w:autoSpaceDN w:val="0"/>
        <w:spacing w:after="0" w:line="276" w:lineRule="auto"/>
        <w:jc w:val="both"/>
        <w:rPr>
          <w:rFonts w:ascii="Verdana" w:eastAsia="Arial" w:hAnsi="Verdana" w:cs="Arial"/>
          <w:lang w:val="es-MX" w:eastAsia="es-ES"/>
        </w:rPr>
      </w:pPr>
      <w:r w:rsidRPr="00CF41A0">
        <w:rPr>
          <w:rFonts w:ascii="Verdana" w:eastAsia="Aptos" w:hAnsi="Verdana" w:cs="Arial"/>
        </w:rPr>
        <w:t xml:space="preserve">La </w:t>
      </w:r>
      <w:r w:rsidRPr="00CF41A0">
        <w:rPr>
          <w:rFonts w:ascii="Verdana" w:eastAsia="Calibri" w:hAnsi="Verdana" w:cs="Arial"/>
        </w:rPr>
        <w:t xml:space="preserve">Agencia Nacional de Contratación Pública ― Colombia Compra Eficiente </w:t>
      </w:r>
      <w:r w:rsidRPr="00CF41A0">
        <w:rPr>
          <w:rFonts w:ascii="Verdana" w:eastAsia="Aptos" w:hAnsi="Verdana" w:cs="Arial"/>
          <w:shd w:val="clear" w:color="auto" w:fill="FFFFFF"/>
          <w:lang w:val="es-ES"/>
        </w:rPr>
        <w:t xml:space="preserve">se ha pronunciado </w:t>
      </w:r>
      <w:r w:rsidRPr="00CF41A0">
        <w:rPr>
          <w:rFonts w:ascii="Verdana" w:eastAsia="Calibri" w:hAnsi="Verdana" w:cs="Arial"/>
          <w:lang w:val="es-ES_tradnl" w:eastAsia="es-ES_tradnl"/>
        </w:rPr>
        <w:t>sobre la liquidación de los contratos en los conceptos C-479 del 27 de julio de 2020, C-625 del 28 de septiembre del 2020, C-078 del 17 de marzo de 2021, C-769 del 16 de noviembre de 2022, C-015 del 24 de febrero del 2023, C-019 del 19 de abril del 2023, C-176 del 03 de mayo del 2023, C-158 del 06 de junio del 2023, C-307 del 25 de julio del 2023, C-048 del 26 de febrero de 2025</w:t>
      </w:r>
      <w:r w:rsidR="00E640A2">
        <w:rPr>
          <w:rFonts w:ascii="Verdana" w:hAnsi="Verdana" w:cs="Arial"/>
          <w:color w:val="000000" w:themeColor="text1"/>
          <w:shd w:val="clear" w:color="auto" w:fill="FFFFFF"/>
          <w:lang w:val="es-ES"/>
        </w:rPr>
        <w:t>,</w:t>
      </w:r>
      <w:r>
        <w:rPr>
          <w:rFonts w:ascii="Verdana" w:hAnsi="Verdana" w:cs="Arial"/>
          <w:color w:val="000000" w:themeColor="text1"/>
          <w:shd w:val="clear" w:color="auto" w:fill="FFFFFF"/>
          <w:lang w:val="es-ES"/>
        </w:rPr>
        <w:t xml:space="preserve"> C-975 del 19 de </w:t>
      </w:r>
      <w:proofErr w:type="spellStart"/>
      <w:r>
        <w:rPr>
          <w:rFonts w:ascii="Verdana" w:hAnsi="Verdana" w:cs="Arial"/>
          <w:color w:val="000000" w:themeColor="text1"/>
          <w:shd w:val="clear" w:color="auto" w:fill="FFFFFF"/>
          <w:lang w:val="es-ES"/>
        </w:rPr>
        <w:t>agoto</w:t>
      </w:r>
      <w:proofErr w:type="spellEnd"/>
      <w:r>
        <w:rPr>
          <w:rFonts w:ascii="Verdana" w:hAnsi="Verdana" w:cs="Arial"/>
          <w:color w:val="000000" w:themeColor="text1"/>
          <w:shd w:val="clear" w:color="auto" w:fill="FFFFFF"/>
          <w:lang w:val="es-ES"/>
        </w:rPr>
        <w:t xml:space="preserve"> de 2025,</w:t>
      </w:r>
      <w:r w:rsidR="00E640A2">
        <w:rPr>
          <w:rFonts w:ascii="Verdana" w:hAnsi="Verdana" w:cs="Arial"/>
          <w:color w:val="000000" w:themeColor="text1"/>
          <w:shd w:val="clear" w:color="auto" w:fill="FFFFFF"/>
          <w:lang w:val="es-ES"/>
        </w:rPr>
        <w:t xml:space="preserve"> </w:t>
      </w:r>
      <w:r w:rsidR="00E640A2" w:rsidRPr="00283CFD">
        <w:rPr>
          <w:rFonts w:ascii="Verdana" w:hAnsi="Verdana" w:cs="Arial"/>
          <w:color w:val="000000" w:themeColor="text1"/>
          <w:shd w:val="clear" w:color="auto" w:fill="FFFFFF"/>
          <w:lang w:val="es-ES"/>
        </w:rPr>
        <w:t>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AD7D7F1" w14:textId="77777777" w:rsidR="00A64017" w:rsidRPr="00505CD6" w:rsidRDefault="00A64017" w:rsidP="00A64017">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312D8F5E" w:rsidR="0073141C" w:rsidRDefault="0073141C" w:rsidP="00A64017">
      <w:pPr>
        <w:spacing w:line="276" w:lineRule="auto"/>
        <w:jc w:val="center"/>
        <w:rPr>
          <w:noProof/>
        </w:rPr>
      </w:pPr>
    </w:p>
    <w:p w14:paraId="6249C70A" w14:textId="74FCAA89" w:rsidR="001436CB" w:rsidRDefault="001436CB" w:rsidP="00A64017">
      <w:pPr>
        <w:spacing w:line="276" w:lineRule="auto"/>
        <w:jc w:val="center"/>
        <w:rPr>
          <w:noProof/>
        </w:rPr>
      </w:pPr>
      <w:r>
        <w:rPr>
          <w:noProof/>
        </w:rPr>
        <w:drawing>
          <wp:inline distT="0" distB="0" distL="0" distR="0" wp14:anchorId="44C63960" wp14:editId="4190E372">
            <wp:extent cx="3421380" cy="1468739"/>
            <wp:effectExtent l="0" t="0" r="7620" b="0"/>
            <wp:docPr id="12969886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7765" cy="1471480"/>
                    </a:xfrm>
                    <a:prstGeom prst="rect">
                      <a:avLst/>
                    </a:prstGeom>
                    <a:noFill/>
                    <a:ln>
                      <a:noFill/>
                    </a:ln>
                  </pic:spPr>
                </pic:pic>
              </a:graphicData>
            </a:graphic>
          </wp:inline>
        </w:drawing>
      </w:r>
    </w:p>
    <w:p w14:paraId="7832DE3B" w14:textId="77777777" w:rsidR="001436CB" w:rsidRDefault="001436CB"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6E44CE" w14:textId="77777777" w:rsidR="0001075E" w:rsidRDefault="0001075E" w:rsidP="00A15B1F">
            <w:pPr>
              <w:spacing w:line="276" w:lineRule="auto"/>
              <w:contextualSpacing/>
              <w:jc w:val="both"/>
              <w:rPr>
                <w:rFonts w:ascii="Verdana" w:hAnsi="Verdana"/>
                <w:sz w:val="16"/>
                <w:szCs w:val="16"/>
              </w:rPr>
            </w:pPr>
            <w:r w:rsidRPr="0001075E">
              <w:rPr>
                <w:rFonts w:ascii="Verdana" w:hAnsi="Verdana"/>
                <w:sz w:val="16"/>
                <w:szCs w:val="16"/>
              </w:rPr>
              <w:t>Alejandro Sarmiento</w:t>
            </w:r>
          </w:p>
          <w:p w14:paraId="72046261" w14:textId="7B3E2F2F" w:rsidR="00A64017" w:rsidRPr="007911EE" w:rsidRDefault="0001075E"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Gestor T1 G 6</w:t>
            </w:r>
            <w:r w:rsidR="00A64017">
              <w:rPr>
                <w:rStyle w:val="normaltextrun"/>
                <w:rFonts w:ascii="Verdana" w:eastAsia="Arial" w:hAnsi="Verdana"/>
                <w:sz w:val="16"/>
                <w:szCs w:val="16"/>
              </w:rPr>
              <w:t xml:space="preserve"> </w:t>
            </w:r>
            <w:r w:rsidR="00A64017" w:rsidRPr="00CD7324">
              <w:rPr>
                <w:rStyle w:val="normaltextrun"/>
                <w:rFonts w:ascii="Verdana" w:eastAsia="Arial" w:hAnsi="Verdana"/>
                <w:sz w:val="16"/>
                <w:szCs w:val="16"/>
              </w:rPr>
              <w:t>de la</w:t>
            </w:r>
            <w:r w:rsidR="00A64017"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4C6F1CF3" w14:textId="644B0C8E" w:rsidR="00F30C63" w:rsidRPr="00F30C63" w:rsidRDefault="00F30C63" w:rsidP="00103B90"/>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630E5" w14:textId="77777777" w:rsidR="00DE3C2A" w:rsidRDefault="00DE3C2A" w:rsidP="004A1847">
      <w:pPr>
        <w:spacing w:after="0" w:line="240" w:lineRule="auto"/>
      </w:pPr>
      <w:r>
        <w:separator/>
      </w:r>
    </w:p>
  </w:endnote>
  <w:endnote w:type="continuationSeparator" w:id="0">
    <w:p w14:paraId="73D227F4" w14:textId="77777777" w:rsidR="00DE3C2A" w:rsidRDefault="00DE3C2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4B0AF" w14:textId="77777777" w:rsidR="00DE3C2A" w:rsidRDefault="00DE3C2A" w:rsidP="004A1847">
      <w:pPr>
        <w:spacing w:after="0" w:line="240" w:lineRule="auto"/>
      </w:pPr>
      <w:r>
        <w:separator/>
      </w:r>
    </w:p>
  </w:footnote>
  <w:footnote w:type="continuationSeparator" w:id="0">
    <w:p w14:paraId="3D74FCE6" w14:textId="77777777" w:rsidR="00DE3C2A" w:rsidRDefault="00DE3C2A" w:rsidP="004A1847">
      <w:pPr>
        <w:spacing w:after="0" w:line="240" w:lineRule="auto"/>
      </w:pPr>
      <w:r>
        <w:continuationSeparator/>
      </w:r>
    </w:p>
  </w:footnote>
  <w:footnote w:id="1">
    <w:p w14:paraId="1272D9A4" w14:textId="7E6A8896" w:rsidR="00DF1686" w:rsidRPr="00DF1686" w:rsidRDefault="00DF1686" w:rsidP="00DF1686">
      <w:pPr>
        <w:pStyle w:val="Textonotapie"/>
        <w:jc w:val="both"/>
        <w:rPr>
          <w:rFonts w:ascii="Verdana" w:hAnsi="Verdana"/>
          <w:sz w:val="16"/>
          <w:szCs w:val="16"/>
          <w:lang w:val="es-ES"/>
        </w:rPr>
      </w:pPr>
      <w:r w:rsidRPr="00DF1686">
        <w:rPr>
          <w:rStyle w:val="Refdenotaalpie"/>
          <w:rFonts w:ascii="Verdana" w:hAnsi="Verdana"/>
          <w:sz w:val="16"/>
          <w:szCs w:val="16"/>
        </w:rPr>
        <w:footnoteRef/>
      </w:r>
      <w:r w:rsidRPr="00DF1686">
        <w:rPr>
          <w:rFonts w:ascii="Verdana" w:hAnsi="Verdana"/>
          <w:sz w:val="16"/>
          <w:szCs w:val="16"/>
        </w:rPr>
        <w:t>https://www.colombiacompra.gov.co/wp-content/uploads/2024/08/2016-Guia-para-la-liquidacion-contratos-estatales-G-LPC-01.pdf</w:t>
      </w:r>
    </w:p>
  </w:footnote>
  <w:footnote w:id="2">
    <w:p w14:paraId="799027EC" w14:textId="77777777" w:rsidR="0074582E" w:rsidRPr="00062EC1" w:rsidRDefault="0074582E" w:rsidP="0074582E">
      <w:pPr>
        <w:pStyle w:val="Textonotapie"/>
        <w:ind w:firstLine="708"/>
        <w:contextualSpacing/>
        <w:jc w:val="both"/>
        <w:rPr>
          <w:rFonts w:ascii="Verdana" w:hAnsi="Verdana" w:cs="Arial"/>
          <w:sz w:val="16"/>
          <w:szCs w:val="16"/>
        </w:rPr>
      </w:pPr>
      <w:r w:rsidRPr="00062EC1">
        <w:rPr>
          <w:rStyle w:val="Refdenotaalpie"/>
          <w:rFonts w:ascii="Verdana" w:hAnsi="Verdana" w:cs="Arial"/>
          <w:sz w:val="16"/>
          <w:szCs w:val="16"/>
        </w:rPr>
        <w:footnoteRef/>
      </w:r>
      <w:r w:rsidRPr="00062EC1">
        <w:rPr>
          <w:rFonts w:ascii="Verdana" w:hAnsi="Verdana" w:cs="Arial"/>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 EXPOSITO, Juan Carlos. Forma y contenido del contrato estatal. Bogotá: Universidad Externado de Colombia, p. 89 y 90.</w:t>
      </w:r>
    </w:p>
    <w:p w14:paraId="2A588F15" w14:textId="77777777" w:rsidR="0074582E" w:rsidRPr="00062EC1" w:rsidRDefault="0074582E" w:rsidP="0074582E">
      <w:pPr>
        <w:pStyle w:val="Textonotapie"/>
        <w:ind w:firstLine="708"/>
        <w:contextualSpacing/>
        <w:jc w:val="both"/>
        <w:rPr>
          <w:rFonts w:ascii="Verdana" w:hAnsi="Verdana" w:cs="Arial"/>
          <w:sz w:val="16"/>
          <w:szCs w:val="16"/>
        </w:rPr>
      </w:pPr>
    </w:p>
  </w:footnote>
  <w:footnote w:id="3">
    <w:p w14:paraId="2275E655" w14:textId="77777777" w:rsidR="0074582E" w:rsidRPr="00CF41A0" w:rsidRDefault="0074582E" w:rsidP="0074582E">
      <w:pPr>
        <w:pStyle w:val="Textonotapie"/>
        <w:ind w:firstLine="708"/>
        <w:contextualSpacing/>
        <w:jc w:val="both"/>
        <w:rPr>
          <w:rFonts w:ascii="Verdana" w:hAnsi="Verdana" w:cs="Arial"/>
          <w:color w:val="000000"/>
          <w:sz w:val="16"/>
          <w:szCs w:val="16"/>
        </w:rPr>
      </w:pPr>
      <w:r w:rsidRPr="00CF41A0">
        <w:rPr>
          <w:rStyle w:val="Refdenotaalpie"/>
          <w:rFonts w:ascii="Verdana" w:hAnsi="Verdana" w:cs="Arial"/>
          <w:color w:val="000000"/>
          <w:sz w:val="16"/>
          <w:szCs w:val="16"/>
        </w:rPr>
        <w:footnoteRef/>
      </w:r>
      <w:r w:rsidRPr="00CF41A0">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20120C38" w14:textId="77777777" w:rsidR="0074582E" w:rsidRPr="00CF41A0" w:rsidRDefault="0074582E" w:rsidP="0074582E">
      <w:pPr>
        <w:pStyle w:val="Textonotapie"/>
        <w:ind w:firstLine="708"/>
        <w:contextualSpacing/>
        <w:jc w:val="both"/>
        <w:rPr>
          <w:rFonts w:ascii="Verdana" w:hAnsi="Verdana" w:cs="Arial"/>
          <w:color w:val="000000"/>
          <w:sz w:val="16"/>
          <w:szCs w:val="16"/>
        </w:rPr>
      </w:pPr>
    </w:p>
  </w:footnote>
  <w:footnote w:id="4">
    <w:p w14:paraId="6F6B82CD" w14:textId="77777777" w:rsidR="0074582E" w:rsidRPr="00062EC1" w:rsidRDefault="0074582E" w:rsidP="0074582E">
      <w:pPr>
        <w:spacing w:after="0" w:line="240" w:lineRule="auto"/>
        <w:ind w:firstLine="708"/>
        <w:contextualSpacing/>
        <w:jc w:val="both"/>
        <w:rPr>
          <w:rFonts w:ascii="Verdana" w:hAnsi="Verdana" w:cs="Arial"/>
          <w:sz w:val="16"/>
          <w:szCs w:val="16"/>
        </w:rPr>
      </w:pPr>
      <w:r w:rsidRPr="00062EC1">
        <w:rPr>
          <w:rStyle w:val="Refdenotaalpie"/>
          <w:rFonts w:ascii="Verdana" w:hAnsi="Verdana" w:cs="Arial"/>
          <w:sz w:val="16"/>
          <w:szCs w:val="16"/>
        </w:rPr>
        <w:footnoteRef/>
      </w:r>
      <w:r w:rsidRPr="00062EC1">
        <w:rPr>
          <w:rFonts w:ascii="Verdana" w:hAnsi="Verdana" w:cs="Arial"/>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0A85F719" w14:textId="77777777" w:rsidR="0074582E" w:rsidRPr="00062EC1" w:rsidRDefault="0074582E" w:rsidP="0074582E">
      <w:pPr>
        <w:spacing w:after="0" w:line="240" w:lineRule="auto"/>
        <w:ind w:firstLine="708"/>
        <w:contextualSpacing/>
        <w:jc w:val="both"/>
        <w:rPr>
          <w:rFonts w:ascii="Verdana" w:hAnsi="Verdana" w:cs="Arial"/>
          <w:sz w:val="16"/>
          <w:szCs w:val="16"/>
        </w:rPr>
      </w:pPr>
    </w:p>
  </w:footnote>
  <w:footnote w:id="5">
    <w:p w14:paraId="5065410A" w14:textId="77777777" w:rsidR="0074582E" w:rsidRPr="00062EC1" w:rsidRDefault="0074582E" w:rsidP="0074582E">
      <w:pPr>
        <w:pStyle w:val="Textonotapie"/>
        <w:ind w:firstLine="708"/>
        <w:contextualSpacing/>
        <w:jc w:val="both"/>
        <w:rPr>
          <w:rFonts w:ascii="Verdana" w:hAnsi="Verdana" w:cs="Arial"/>
          <w:sz w:val="16"/>
          <w:szCs w:val="16"/>
        </w:rPr>
      </w:pPr>
      <w:r w:rsidRPr="00062EC1">
        <w:rPr>
          <w:rStyle w:val="Refdenotaalpie"/>
          <w:rFonts w:ascii="Verdana" w:hAnsi="Verdana" w:cs="Arial"/>
          <w:sz w:val="16"/>
          <w:szCs w:val="16"/>
        </w:rPr>
        <w:footnoteRef/>
      </w:r>
      <w:r w:rsidRPr="00062EC1">
        <w:rPr>
          <w:rFonts w:ascii="Verdana" w:hAnsi="Verdana" w:cs="Arial"/>
          <w:sz w:val="16"/>
          <w:szCs w:val="16"/>
        </w:rPr>
        <w:t xml:space="preserve"> </w:t>
      </w:r>
      <w:bookmarkStart w:id="3" w:name="_Hlk208849314"/>
      <w:r w:rsidRPr="00062EC1">
        <w:rPr>
          <w:rFonts w:ascii="Verdana" w:hAnsi="Verdana" w:cs="Arial"/>
          <w:sz w:val="16"/>
          <w:szCs w:val="16"/>
        </w:rPr>
        <w:t>Consejo De Estado, Sala de Consulta y Servicio Civil. Radicado No. 1453. Concepto de 6 de agosto de 2003. MP. Augusto Trejos.</w:t>
      </w:r>
    </w:p>
    <w:p w14:paraId="577CF6FF" w14:textId="77777777" w:rsidR="0074582E" w:rsidRPr="00062EC1" w:rsidRDefault="0074582E" w:rsidP="0074582E">
      <w:pPr>
        <w:pStyle w:val="Textonotapie"/>
        <w:ind w:firstLine="708"/>
        <w:contextualSpacing/>
        <w:jc w:val="both"/>
        <w:rPr>
          <w:rFonts w:ascii="Verdana" w:hAnsi="Verdana" w:cs="Arial"/>
          <w:sz w:val="16"/>
          <w:szCs w:val="16"/>
        </w:rPr>
      </w:pPr>
    </w:p>
    <w:bookmarkEnd w:id="3"/>
  </w:footnote>
  <w:footnote w:id="6">
    <w:p w14:paraId="701C70B9" w14:textId="77777777" w:rsidR="0074582E" w:rsidRPr="00062EC1" w:rsidRDefault="0074582E" w:rsidP="0074582E">
      <w:pPr>
        <w:pStyle w:val="Textonotapie"/>
        <w:ind w:firstLine="708"/>
        <w:contextualSpacing/>
        <w:jc w:val="both"/>
        <w:rPr>
          <w:rFonts w:ascii="Verdana" w:hAnsi="Verdana" w:cs="Arial"/>
          <w:sz w:val="16"/>
          <w:szCs w:val="16"/>
          <w:lang w:val="es-ES"/>
        </w:rPr>
      </w:pPr>
      <w:r w:rsidRPr="00062EC1">
        <w:rPr>
          <w:rStyle w:val="Refdenotaalpie"/>
          <w:rFonts w:ascii="Verdana" w:hAnsi="Verdana" w:cs="Arial"/>
          <w:sz w:val="16"/>
          <w:szCs w:val="16"/>
        </w:rPr>
        <w:footnoteRef/>
      </w:r>
      <w:r w:rsidRPr="00062EC1">
        <w:rPr>
          <w:rFonts w:ascii="Verdana" w:hAnsi="Verdana" w:cs="Arial"/>
          <w:sz w:val="16"/>
          <w:szCs w:val="16"/>
        </w:rPr>
        <w:t xml:space="preserve"> </w:t>
      </w:r>
      <w:r w:rsidRPr="00062EC1">
        <w:rPr>
          <w:rFonts w:ascii="Verdana" w:hAnsi="Verdana" w:cs="Arial"/>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E1D4C1E" w14:textId="77777777" w:rsidR="0074582E" w:rsidRPr="00062EC1" w:rsidRDefault="0074582E" w:rsidP="0074582E">
      <w:pPr>
        <w:pStyle w:val="Textonotapie"/>
        <w:ind w:firstLine="708"/>
        <w:contextualSpacing/>
        <w:jc w:val="both"/>
        <w:rPr>
          <w:rFonts w:ascii="Verdana" w:hAnsi="Verdana" w:cs="Arial"/>
          <w:sz w:val="16"/>
          <w:szCs w:val="16"/>
          <w:lang w:val="es-ES"/>
        </w:rPr>
      </w:pPr>
      <w:r w:rsidRPr="00062EC1">
        <w:rPr>
          <w:rFonts w:ascii="Verdana" w:hAnsi="Verdana" w:cs="Arial"/>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14FDC563" w14:textId="77777777" w:rsidR="0074582E" w:rsidRPr="00062EC1" w:rsidRDefault="0074582E" w:rsidP="0074582E">
      <w:pPr>
        <w:pStyle w:val="Textonotapie"/>
        <w:ind w:firstLine="708"/>
        <w:contextualSpacing/>
        <w:jc w:val="both"/>
        <w:rPr>
          <w:rFonts w:ascii="Verdana" w:hAnsi="Verdana" w:cs="Arial"/>
          <w:sz w:val="16"/>
          <w:szCs w:val="16"/>
          <w:lang w:val="es-ES"/>
        </w:rPr>
      </w:pPr>
      <w:r w:rsidRPr="00062EC1">
        <w:rPr>
          <w:rFonts w:ascii="Verdana" w:hAnsi="Verdana" w:cs="Arial"/>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668A1A10" w14:textId="77777777" w:rsidR="0074582E" w:rsidRPr="00062EC1" w:rsidRDefault="0074582E" w:rsidP="0074582E">
      <w:pPr>
        <w:pStyle w:val="Textonotapie"/>
        <w:ind w:firstLine="708"/>
        <w:contextualSpacing/>
        <w:jc w:val="both"/>
        <w:rPr>
          <w:rFonts w:ascii="Verdana" w:hAnsi="Verdana" w:cs="Arial"/>
          <w:sz w:val="16"/>
          <w:szCs w:val="16"/>
          <w:lang w:val="es-ES"/>
        </w:rPr>
      </w:pPr>
      <w:r w:rsidRPr="00062EC1">
        <w:rPr>
          <w:rFonts w:ascii="Verdana" w:hAnsi="Verdana" w:cs="Arial"/>
          <w:sz w:val="16"/>
          <w:szCs w:val="16"/>
          <w:lang w:val="es-ES"/>
        </w:rPr>
        <w:t>Los contratistas tendrán derecho a efectuar salvedades a la liquidación por mutuo acuerdo, y en este evento la liquidación unilateral solo procederá en relación con los aspectos que no hayan sido objeto de acuerdo”.</w:t>
      </w:r>
    </w:p>
    <w:p w14:paraId="5B16D35E" w14:textId="77777777" w:rsidR="0074582E" w:rsidRPr="00062EC1" w:rsidRDefault="0074582E" w:rsidP="0074582E">
      <w:pPr>
        <w:pStyle w:val="Textonotapie"/>
        <w:ind w:firstLine="708"/>
        <w:contextualSpacing/>
        <w:jc w:val="both"/>
        <w:rPr>
          <w:rFonts w:ascii="Verdana" w:hAnsi="Verdana" w:cs="Arial"/>
          <w:sz w:val="16"/>
          <w:szCs w:val="16"/>
          <w:lang w:val="es-ES"/>
        </w:rPr>
      </w:pPr>
    </w:p>
  </w:footnote>
  <w:footnote w:id="7">
    <w:p w14:paraId="4DF300A0" w14:textId="77777777" w:rsidR="0074582E" w:rsidRPr="00986DEE" w:rsidRDefault="0074582E" w:rsidP="0074582E">
      <w:pPr>
        <w:pStyle w:val="Textonotapie"/>
        <w:ind w:firstLine="709"/>
        <w:jc w:val="both"/>
        <w:rPr>
          <w:rFonts w:ascii="Verdana" w:hAnsi="Verdana"/>
          <w:sz w:val="16"/>
          <w:szCs w:val="16"/>
          <w:lang w:val="es-CO"/>
        </w:rPr>
      </w:pPr>
      <w:r>
        <w:rPr>
          <w:rStyle w:val="Refdenotaalpie"/>
        </w:rPr>
        <w:footnoteRef/>
      </w:r>
      <w:r>
        <w:t xml:space="preserve"> </w:t>
      </w:r>
      <w:r w:rsidRPr="00DA6F45">
        <w:rPr>
          <w:rFonts w:ascii="Verdana" w:hAnsi="Verdana"/>
          <w:sz w:val="16"/>
          <w:szCs w:val="16"/>
        </w:rPr>
        <w:t xml:space="preserve">Conceptos </w:t>
      </w:r>
      <w:r>
        <w:rPr>
          <w:rFonts w:ascii="Verdana" w:hAnsi="Verdana"/>
          <w:sz w:val="16"/>
          <w:szCs w:val="16"/>
        </w:rPr>
        <w:t>C</w:t>
      </w:r>
      <w:r w:rsidRPr="00DA6F45">
        <w:rPr>
          <w:rFonts w:ascii="Verdana" w:hAnsi="Verdana"/>
          <w:sz w:val="16"/>
          <w:szCs w:val="16"/>
        </w:rPr>
        <w:t>-494 del 17 de septiembre de 2021, C-759 del 11 de noviembre de 2022.</w:t>
      </w:r>
    </w:p>
  </w:footnote>
  <w:footnote w:id="8">
    <w:p w14:paraId="7E6BDBC1" w14:textId="77777777" w:rsidR="0074582E" w:rsidRPr="002D50CA" w:rsidRDefault="0074582E" w:rsidP="0074582E">
      <w:pPr>
        <w:pStyle w:val="Textonotapie"/>
        <w:ind w:firstLine="709"/>
        <w:jc w:val="both"/>
        <w:rPr>
          <w:lang w:val="es-CO"/>
        </w:rPr>
      </w:pPr>
      <w:r>
        <w:rPr>
          <w:rStyle w:val="Refdenotaalpie"/>
        </w:rPr>
        <w:footnoteRef/>
      </w:r>
      <w:r>
        <w:t xml:space="preserve"> </w:t>
      </w:r>
      <w:bookmarkStart w:id="4" w:name="_Hlk208849330"/>
      <w:r w:rsidRPr="0027107E">
        <w:rPr>
          <w:rFonts w:ascii="Verdana" w:hAnsi="Verdana" w:cs="Arial"/>
          <w:color w:val="000000"/>
          <w:sz w:val="16"/>
          <w:szCs w:val="16"/>
        </w:rPr>
        <w:t xml:space="preserve">Sección Tercera, Subsección </w:t>
      </w:r>
      <w:r>
        <w:rPr>
          <w:rFonts w:ascii="Verdana" w:hAnsi="Verdana" w:cs="Arial"/>
          <w:color w:val="000000"/>
          <w:sz w:val="16"/>
          <w:szCs w:val="16"/>
        </w:rPr>
        <w:t>A</w:t>
      </w:r>
      <w:r w:rsidRPr="0027107E">
        <w:rPr>
          <w:rFonts w:ascii="Verdana" w:hAnsi="Verdana" w:cs="Arial"/>
          <w:color w:val="000000"/>
          <w:sz w:val="16"/>
          <w:szCs w:val="16"/>
        </w:rPr>
        <w:t>, Sentencia del 2</w:t>
      </w:r>
      <w:r>
        <w:rPr>
          <w:rFonts w:ascii="Verdana" w:hAnsi="Verdana" w:cs="Arial"/>
          <w:color w:val="000000"/>
          <w:sz w:val="16"/>
          <w:szCs w:val="16"/>
        </w:rPr>
        <w:t>0</w:t>
      </w:r>
      <w:r w:rsidRPr="0027107E">
        <w:rPr>
          <w:rFonts w:ascii="Verdana" w:hAnsi="Verdana" w:cs="Arial"/>
          <w:color w:val="000000"/>
          <w:sz w:val="16"/>
          <w:szCs w:val="16"/>
        </w:rPr>
        <w:t xml:space="preserve"> de </w:t>
      </w:r>
      <w:r>
        <w:rPr>
          <w:rFonts w:ascii="Verdana" w:hAnsi="Verdana" w:cs="Arial"/>
          <w:color w:val="000000"/>
          <w:sz w:val="16"/>
          <w:szCs w:val="16"/>
        </w:rPr>
        <w:t>mayo</w:t>
      </w:r>
      <w:r w:rsidRPr="0027107E">
        <w:rPr>
          <w:rFonts w:ascii="Verdana" w:hAnsi="Verdana" w:cs="Arial"/>
          <w:color w:val="000000"/>
          <w:sz w:val="16"/>
          <w:szCs w:val="16"/>
        </w:rPr>
        <w:t xml:space="preserve"> de 20</w:t>
      </w:r>
      <w:r>
        <w:rPr>
          <w:rFonts w:ascii="Verdana" w:hAnsi="Verdana" w:cs="Arial"/>
          <w:color w:val="000000"/>
          <w:sz w:val="16"/>
          <w:szCs w:val="16"/>
        </w:rPr>
        <w:t>24</w:t>
      </w:r>
      <w:r w:rsidRPr="0027107E">
        <w:rPr>
          <w:rFonts w:ascii="Verdana" w:hAnsi="Verdana" w:cs="Arial"/>
          <w:color w:val="000000"/>
          <w:sz w:val="16"/>
          <w:szCs w:val="16"/>
        </w:rPr>
        <w:t xml:space="preserve">, radicado No. </w:t>
      </w:r>
      <w:r>
        <w:rPr>
          <w:rFonts w:ascii="Verdana" w:hAnsi="Verdana" w:cs="Arial"/>
          <w:color w:val="000000"/>
          <w:sz w:val="16"/>
          <w:szCs w:val="16"/>
        </w:rPr>
        <w:t>58.879</w:t>
      </w:r>
      <w:r w:rsidRPr="0027107E">
        <w:rPr>
          <w:rFonts w:ascii="Verdana" w:hAnsi="Verdana" w:cs="Arial"/>
          <w:color w:val="000000"/>
          <w:sz w:val="16"/>
          <w:szCs w:val="16"/>
        </w:rPr>
        <w:t>, Consejer</w:t>
      </w:r>
      <w:r>
        <w:rPr>
          <w:rFonts w:ascii="Verdana" w:hAnsi="Verdana" w:cs="Arial"/>
          <w:color w:val="000000"/>
          <w:sz w:val="16"/>
          <w:szCs w:val="16"/>
        </w:rPr>
        <w:t>a</w:t>
      </w:r>
      <w:r w:rsidRPr="0027107E">
        <w:rPr>
          <w:rFonts w:ascii="Verdana" w:hAnsi="Verdana" w:cs="Arial"/>
          <w:color w:val="000000"/>
          <w:sz w:val="16"/>
          <w:szCs w:val="16"/>
        </w:rPr>
        <w:t xml:space="preserve"> Ponente</w:t>
      </w:r>
      <w:r>
        <w:rPr>
          <w:rFonts w:ascii="Verdana" w:hAnsi="Verdana" w:cs="Arial"/>
          <w:color w:val="000000"/>
          <w:sz w:val="16"/>
          <w:szCs w:val="16"/>
        </w:rPr>
        <w:t>:</w:t>
      </w:r>
      <w:r w:rsidRPr="0027107E">
        <w:rPr>
          <w:rFonts w:ascii="Verdana" w:hAnsi="Verdana" w:cs="Arial"/>
          <w:color w:val="000000"/>
          <w:sz w:val="16"/>
          <w:szCs w:val="16"/>
        </w:rPr>
        <w:t xml:space="preserve"> </w:t>
      </w:r>
      <w:r>
        <w:rPr>
          <w:rFonts w:ascii="Verdana" w:hAnsi="Verdana" w:cs="Arial"/>
          <w:color w:val="000000"/>
          <w:sz w:val="16"/>
          <w:szCs w:val="16"/>
        </w:rPr>
        <w:t>María Adriana Marín</w:t>
      </w:r>
      <w:bookmarkEnd w:id="4"/>
      <w:r w:rsidRPr="0027107E">
        <w:rPr>
          <w:rFonts w:ascii="Verdana" w:hAnsi="Verdana" w:cs="Arial"/>
          <w:color w:val="000000"/>
          <w:sz w:val="16"/>
          <w:szCs w:val="16"/>
        </w:rPr>
        <w:t>.</w:t>
      </w:r>
    </w:p>
  </w:footnote>
  <w:footnote w:id="9">
    <w:p w14:paraId="41F1F63E" w14:textId="77777777" w:rsidR="0074582E" w:rsidRPr="00DF1686" w:rsidRDefault="0074582E" w:rsidP="0074582E">
      <w:pPr>
        <w:pStyle w:val="Textonotapie"/>
        <w:jc w:val="both"/>
        <w:rPr>
          <w:rFonts w:ascii="Verdana" w:hAnsi="Verdana"/>
          <w:sz w:val="16"/>
          <w:szCs w:val="16"/>
          <w:lang w:val="es-ES"/>
        </w:rPr>
      </w:pPr>
      <w:r w:rsidRPr="00DF1686">
        <w:rPr>
          <w:rStyle w:val="Refdenotaalpie"/>
          <w:rFonts w:ascii="Verdana" w:hAnsi="Verdana"/>
          <w:sz w:val="16"/>
          <w:szCs w:val="16"/>
        </w:rPr>
        <w:footnoteRef/>
      </w:r>
      <w:r w:rsidRPr="00DF1686">
        <w:rPr>
          <w:rFonts w:ascii="Verdana" w:hAnsi="Verdana"/>
          <w:sz w:val="16"/>
          <w:szCs w:val="16"/>
        </w:rPr>
        <w:t>https://www.colombiacompra.gov.co/wp-content/uploads/2024/08/2016-Guia-para-la-liquidacion-contratos-estatales-G-LPC-01.pdf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AD9FC56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C70AA2"/>
    <w:multiLevelType w:val="hybridMultilevel"/>
    <w:tmpl w:val="C9DC9F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4563DDB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3"/>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9"/>
  </w:num>
  <w:num w:numId="7" w16cid:durableId="1946422806">
    <w:abstractNumId w:val="9"/>
  </w:num>
  <w:num w:numId="8" w16cid:durableId="152644682">
    <w:abstractNumId w:val="18"/>
  </w:num>
  <w:num w:numId="9" w16cid:durableId="1317221377">
    <w:abstractNumId w:val="11"/>
  </w:num>
  <w:num w:numId="10" w16cid:durableId="1471245386">
    <w:abstractNumId w:val="17"/>
  </w:num>
  <w:num w:numId="11" w16cid:durableId="289172385">
    <w:abstractNumId w:val="12"/>
  </w:num>
  <w:num w:numId="12" w16cid:durableId="1470781324">
    <w:abstractNumId w:val="2"/>
  </w:num>
  <w:num w:numId="13" w16cid:durableId="1512908409">
    <w:abstractNumId w:val="7"/>
  </w:num>
  <w:num w:numId="14" w16cid:durableId="895897244">
    <w:abstractNumId w:val="20"/>
  </w:num>
  <w:num w:numId="15" w16cid:durableId="390349800">
    <w:abstractNumId w:val="16"/>
  </w:num>
  <w:num w:numId="16" w16cid:durableId="1380713882">
    <w:abstractNumId w:val="1"/>
  </w:num>
  <w:num w:numId="17" w16cid:durableId="691802391">
    <w:abstractNumId w:val="13"/>
  </w:num>
  <w:num w:numId="18" w16cid:durableId="1290623316">
    <w:abstractNumId w:val="4"/>
  </w:num>
  <w:num w:numId="19" w16cid:durableId="1742479704">
    <w:abstractNumId w:val="0"/>
  </w:num>
  <w:num w:numId="20" w16cid:durableId="1522546441">
    <w:abstractNumId w:val="15"/>
  </w:num>
  <w:num w:numId="21" w16cid:durableId="375933272">
    <w:abstractNumId w:val="14"/>
  </w:num>
  <w:num w:numId="22" w16cid:durableId="1601723362">
    <w:abstractNumId w:val="6"/>
  </w:num>
  <w:num w:numId="23" w16cid:durableId="12032056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75E"/>
    <w:rsid w:val="00012B18"/>
    <w:rsid w:val="00016F78"/>
    <w:rsid w:val="00024715"/>
    <w:rsid w:val="00031E96"/>
    <w:rsid w:val="00046945"/>
    <w:rsid w:val="00046C11"/>
    <w:rsid w:val="0005444B"/>
    <w:rsid w:val="00061B2A"/>
    <w:rsid w:val="00082362"/>
    <w:rsid w:val="000A683E"/>
    <w:rsid w:val="000B19B9"/>
    <w:rsid w:val="000B4FA5"/>
    <w:rsid w:val="000D0334"/>
    <w:rsid w:val="000F6486"/>
    <w:rsid w:val="00103B90"/>
    <w:rsid w:val="00125105"/>
    <w:rsid w:val="00127233"/>
    <w:rsid w:val="00131B05"/>
    <w:rsid w:val="001436CB"/>
    <w:rsid w:val="001511A0"/>
    <w:rsid w:val="00194843"/>
    <w:rsid w:val="00194937"/>
    <w:rsid w:val="00195D47"/>
    <w:rsid w:val="001D1756"/>
    <w:rsid w:val="001E4177"/>
    <w:rsid w:val="001F663F"/>
    <w:rsid w:val="001F7DC6"/>
    <w:rsid w:val="00203E0B"/>
    <w:rsid w:val="00205479"/>
    <w:rsid w:val="00207B77"/>
    <w:rsid w:val="00211183"/>
    <w:rsid w:val="00215206"/>
    <w:rsid w:val="002421BB"/>
    <w:rsid w:val="00242FED"/>
    <w:rsid w:val="002462D7"/>
    <w:rsid w:val="0025796E"/>
    <w:rsid w:val="002707A2"/>
    <w:rsid w:val="002806D7"/>
    <w:rsid w:val="002916A2"/>
    <w:rsid w:val="002935B7"/>
    <w:rsid w:val="002951A0"/>
    <w:rsid w:val="002962BC"/>
    <w:rsid w:val="002A093D"/>
    <w:rsid w:val="002A0DD0"/>
    <w:rsid w:val="002A49AC"/>
    <w:rsid w:val="002A64FD"/>
    <w:rsid w:val="002A7DD8"/>
    <w:rsid w:val="002B114D"/>
    <w:rsid w:val="002C7A84"/>
    <w:rsid w:val="002E4FD9"/>
    <w:rsid w:val="002F1334"/>
    <w:rsid w:val="00302C65"/>
    <w:rsid w:val="00322A85"/>
    <w:rsid w:val="00323054"/>
    <w:rsid w:val="00324168"/>
    <w:rsid w:val="00324E0B"/>
    <w:rsid w:val="00325779"/>
    <w:rsid w:val="003448F4"/>
    <w:rsid w:val="00347D2C"/>
    <w:rsid w:val="003639A5"/>
    <w:rsid w:val="00374F5E"/>
    <w:rsid w:val="00377E3E"/>
    <w:rsid w:val="003A2E2D"/>
    <w:rsid w:val="003A779E"/>
    <w:rsid w:val="003D0F4D"/>
    <w:rsid w:val="003D5B0D"/>
    <w:rsid w:val="003E0499"/>
    <w:rsid w:val="003E2F6B"/>
    <w:rsid w:val="003F3941"/>
    <w:rsid w:val="00406575"/>
    <w:rsid w:val="004138FA"/>
    <w:rsid w:val="00414C74"/>
    <w:rsid w:val="0042722E"/>
    <w:rsid w:val="0044528D"/>
    <w:rsid w:val="00487F18"/>
    <w:rsid w:val="0049089A"/>
    <w:rsid w:val="00493AF3"/>
    <w:rsid w:val="004A1847"/>
    <w:rsid w:val="004A305D"/>
    <w:rsid w:val="004B50C2"/>
    <w:rsid w:val="004C2D42"/>
    <w:rsid w:val="004C63BA"/>
    <w:rsid w:val="004F21C4"/>
    <w:rsid w:val="004F685F"/>
    <w:rsid w:val="00551243"/>
    <w:rsid w:val="005566E8"/>
    <w:rsid w:val="00567040"/>
    <w:rsid w:val="00572201"/>
    <w:rsid w:val="00574867"/>
    <w:rsid w:val="005806A6"/>
    <w:rsid w:val="00591460"/>
    <w:rsid w:val="005B3816"/>
    <w:rsid w:val="005C3777"/>
    <w:rsid w:val="005C5CDC"/>
    <w:rsid w:val="005C7DAB"/>
    <w:rsid w:val="005D476C"/>
    <w:rsid w:val="0061329B"/>
    <w:rsid w:val="006219F8"/>
    <w:rsid w:val="006268DD"/>
    <w:rsid w:val="00631045"/>
    <w:rsid w:val="00637BBF"/>
    <w:rsid w:val="00665D70"/>
    <w:rsid w:val="00675FED"/>
    <w:rsid w:val="006900D9"/>
    <w:rsid w:val="00706C16"/>
    <w:rsid w:val="0072552A"/>
    <w:rsid w:val="0073141C"/>
    <w:rsid w:val="0074582E"/>
    <w:rsid w:val="00756841"/>
    <w:rsid w:val="00763E4A"/>
    <w:rsid w:val="007649AB"/>
    <w:rsid w:val="00771D0C"/>
    <w:rsid w:val="007733E9"/>
    <w:rsid w:val="007833AC"/>
    <w:rsid w:val="007A4C2B"/>
    <w:rsid w:val="007B268C"/>
    <w:rsid w:val="007B7171"/>
    <w:rsid w:val="007C0C0F"/>
    <w:rsid w:val="007C3DC2"/>
    <w:rsid w:val="007E5497"/>
    <w:rsid w:val="00806F5F"/>
    <w:rsid w:val="00820278"/>
    <w:rsid w:val="00826A46"/>
    <w:rsid w:val="0085531F"/>
    <w:rsid w:val="00867F95"/>
    <w:rsid w:val="008843B6"/>
    <w:rsid w:val="00891928"/>
    <w:rsid w:val="008A30DF"/>
    <w:rsid w:val="008A446D"/>
    <w:rsid w:val="008B22D4"/>
    <w:rsid w:val="008B5BD4"/>
    <w:rsid w:val="008D180B"/>
    <w:rsid w:val="008E2432"/>
    <w:rsid w:val="008F0EA7"/>
    <w:rsid w:val="00923EEF"/>
    <w:rsid w:val="009419F9"/>
    <w:rsid w:val="009552F8"/>
    <w:rsid w:val="0095685E"/>
    <w:rsid w:val="00961B09"/>
    <w:rsid w:val="00965334"/>
    <w:rsid w:val="0097093E"/>
    <w:rsid w:val="00974941"/>
    <w:rsid w:val="00986AC5"/>
    <w:rsid w:val="009A0DFA"/>
    <w:rsid w:val="009A2609"/>
    <w:rsid w:val="009B2D26"/>
    <w:rsid w:val="009C71FA"/>
    <w:rsid w:val="009C72E7"/>
    <w:rsid w:val="009D0270"/>
    <w:rsid w:val="009D3058"/>
    <w:rsid w:val="009E7558"/>
    <w:rsid w:val="009F3A13"/>
    <w:rsid w:val="00A122D3"/>
    <w:rsid w:val="00A17F13"/>
    <w:rsid w:val="00A20739"/>
    <w:rsid w:val="00A24C35"/>
    <w:rsid w:val="00A33C78"/>
    <w:rsid w:val="00A52834"/>
    <w:rsid w:val="00A64017"/>
    <w:rsid w:val="00AA1AB8"/>
    <w:rsid w:val="00AB0ADB"/>
    <w:rsid w:val="00AC19F6"/>
    <w:rsid w:val="00AD1D1F"/>
    <w:rsid w:val="00AF08FD"/>
    <w:rsid w:val="00B01B1A"/>
    <w:rsid w:val="00B023E1"/>
    <w:rsid w:val="00B0429C"/>
    <w:rsid w:val="00B23BA1"/>
    <w:rsid w:val="00B2560E"/>
    <w:rsid w:val="00B33A31"/>
    <w:rsid w:val="00B403F3"/>
    <w:rsid w:val="00B41E30"/>
    <w:rsid w:val="00B45CE8"/>
    <w:rsid w:val="00B66319"/>
    <w:rsid w:val="00B72CD3"/>
    <w:rsid w:val="00B72FFF"/>
    <w:rsid w:val="00B74C13"/>
    <w:rsid w:val="00BA7AA4"/>
    <w:rsid w:val="00BB5A06"/>
    <w:rsid w:val="00BC3D36"/>
    <w:rsid w:val="00BD5442"/>
    <w:rsid w:val="00BD7F72"/>
    <w:rsid w:val="00BE36F8"/>
    <w:rsid w:val="00BF6574"/>
    <w:rsid w:val="00C04FB3"/>
    <w:rsid w:val="00C203C3"/>
    <w:rsid w:val="00C330EB"/>
    <w:rsid w:val="00C36867"/>
    <w:rsid w:val="00C41061"/>
    <w:rsid w:val="00C754BE"/>
    <w:rsid w:val="00C76B1C"/>
    <w:rsid w:val="00C8467B"/>
    <w:rsid w:val="00C9219A"/>
    <w:rsid w:val="00CA01D8"/>
    <w:rsid w:val="00CB6357"/>
    <w:rsid w:val="00CC1B26"/>
    <w:rsid w:val="00CE429E"/>
    <w:rsid w:val="00D0361D"/>
    <w:rsid w:val="00D065E6"/>
    <w:rsid w:val="00D423A2"/>
    <w:rsid w:val="00D520D8"/>
    <w:rsid w:val="00D63AC2"/>
    <w:rsid w:val="00D7383B"/>
    <w:rsid w:val="00D73921"/>
    <w:rsid w:val="00DA231B"/>
    <w:rsid w:val="00DB4F4E"/>
    <w:rsid w:val="00DC39FC"/>
    <w:rsid w:val="00DE3C2A"/>
    <w:rsid w:val="00DF1686"/>
    <w:rsid w:val="00DF5254"/>
    <w:rsid w:val="00E10F5E"/>
    <w:rsid w:val="00E16408"/>
    <w:rsid w:val="00E20894"/>
    <w:rsid w:val="00E245AB"/>
    <w:rsid w:val="00E25A6A"/>
    <w:rsid w:val="00E2764C"/>
    <w:rsid w:val="00E27F2E"/>
    <w:rsid w:val="00E50AFE"/>
    <w:rsid w:val="00E640A2"/>
    <w:rsid w:val="00E75C92"/>
    <w:rsid w:val="00E771DC"/>
    <w:rsid w:val="00E8182D"/>
    <w:rsid w:val="00E8772A"/>
    <w:rsid w:val="00E90F6B"/>
    <w:rsid w:val="00E92C27"/>
    <w:rsid w:val="00EA0E3D"/>
    <w:rsid w:val="00EA70F7"/>
    <w:rsid w:val="00EC38A7"/>
    <w:rsid w:val="00ED706A"/>
    <w:rsid w:val="00ED7384"/>
    <w:rsid w:val="00EE1AA8"/>
    <w:rsid w:val="00EF736C"/>
    <w:rsid w:val="00F22A91"/>
    <w:rsid w:val="00F30C63"/>
    <w:rsid w:val="00F31EDC"/>
    <w:rsid w:val="00F3680E"/>
    <w:rsid w:val="00F462B3"/>
    <w:rsid w:val="00F54BD6"/>
    <w:rsid w:val="00F5664F"/>
    <w:rsid w:val="00F666C4"/>
    <w:rsid w:val="00F76AFC"/>
    <w:rsid w:val="00F82E4E"/>
    <w:rsid w:val="00F90BD2"/>
    <w:rsid w:val="00FA47C0"/>
    <w:rsid w:val="00FB5DD1"/>
    <w:rsid w:val="00FC13EB"/>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calde.bosa@gobiernobogot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3F4A03B-A1B5-443E-B276-2B65EC1DA5CD}">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255502-65D0-479B-B9E7-AE9FE7915758}"/>
</file>

<file path=docProps/app.xml><?xml version="1.0" encoding="utf-8"?>
<Properties xmlns="http://schemas.openxmlformats.org/officeDocument/2006/extended-properties" xmlns:vt="http://schemas.openxmlformats.org/officeDocument/2006/docPropsVTypes">
  <Template>Normal</Template>
  <TotalTime>486</TotalTime>
  <Pages>12</Pages>
  <Words>3900</Words>
  <Characters>21450</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23</cp:revision>
  <cp:lastPrinted>2023-01-10T21:18:00Z</cp:lastPrinted>
  <dcterms:created xsi:type="dcterms:W3CDTF">2025-08-19T14:54:00Z</dcterms:created>
  <dcterms:modified xsi:type="dcterms:W3CDTF">2025-09-18T23:10:00Z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