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A071E" w14:textId="77777777" w:rsidR="00200DB3" w:rsidRPr="00562FAE" w:rsidRDefault="00200DB3" w:rsidP="00200DB3">
      <w:pPr>
        <w:spacing w:after="0"/>
        <w:rPr>
          <w:rFonts w:ascii="Verdana" w:eastAsia="Aptos" w:hAnsi="Verdana" w:cs="Times New Roman"/>
        </w:rPr>
      </w:pPr>
      <w:bookmarkStart w:id="0" w:name="_Hlk143780582"/>
      <w:r w:rsidRPr="00562FAE">
        <w:rPr>
          <w:rFonts w:ascii="Verdana" w:eastAsia="Aptos" w:hAnsi="Verdana" w:cs="Times New Roman"/>
          <w:b/>
          <w:bCs/>
          <w:color w:val="000000"/>
        </w:rPr>
        <w:t xml:space="preserve">DOCUMENTOS TIPO – Fundamento normativo – Obligatoriedad </w:t>
      </w:r>
    </w:p>
    <w:p w14:paraId="6B7FB940" w14:textId="77777777" w:rsidR="00200DB3" w:rsidRPr="002D2FBE" w:rsidRDefault="00200DB3" w:rsidP="00200DB3">
      <w:pPr>
        <w:spacing w:after="0" w:line="276" w:lineRule="auto"/>
        <w:jc w:val="both"/>
        <w:rPr>
          <w:rFonts w:ascii="Verdana" w:eastAsia="Calibri" w:hAnsi="Verdana" w:cs="Arial"/>
          <w:b/>
          <w:bCs/>
          <w:lang w:val="es-ES_tradnl"/>
        </w:rPr>
      </w:pPr>
    </w:p>
    <w:p w14:paraId="1DF2C4AA" w14:textId="77777777" w:rsidR="00200DB3" w:rsidRPr="002D2FBE" w:rsidRDefault="00200DB3" w:rsidP="00200DB3">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2D2FBE">
        <w:rPr>
          <w:rFonts w:ascii="Verdana" w:eastAsia="Times New Roman" w:hAnsi="Verdana" w:cs="Arial"/>
          <w:kern w:val="2"/>
          <w:sz w:val="20"/>
          <w:szCs w:val="20"/>
          <w:shd w:val="clear" w:color="auto" w:fill="FFFFFF"/>
          <w:lang w:val="es-ES_tradnl" w:eastAsia="es-ES_tradnl"/>
          <w14:ligatures w14:val="standardContextual"/>
        </w:rPr>
        <w:t xml:space="preserve">Los documentos tipo expedidos por la Agencia Nacional de Contratación Pública </w:t>
      </w:r>
      <w:r w:rsidRPr="002D2FBE">
        <w:rPr>
          <w:rFonts w:ascii="Symbol" w:eastAsia="Symbol" w:hAnsi="Symbol" w:cs="Symbol"/>
          <w:kern w:val="2"/>
          <w:sz w:val="20"/>
          <w:szCs w:val="20"/>
          <w:shd w:val="clear" w:color="auto" w:fill="FFFFFF"/>
          <w:lang w:val="es-ES_tradnl" w:eastAsia="es-ES_tradnl"/>
          <w14:ligatures w14:val="standardContextual"/>
        </w:rPr>
        <w:t>-</w:t>
      </w:r>
      <w:r w:rsidRPr="002D2FBE">
        <w:rPr>
          <w:rFonts w:ascii="Verdana" w:eastAsia="Times New Roman" w:hAnsi="Verdana" w:cs="Arial"/>
          <w:kern w:val="2"/>
          <w:sz w:val="20"/>
          <w:szCs w:val="20"/>
          <w:shd w:val="clear" w:color="auto" w:fill="FFFFFF"/>
          <w:lang w:val="es-ES_tradnl" w:eastAsia="es-ES_tradnl"/>
          <w14:ligatures w14:val="standardContextua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056F5D57" w14:textId="77777777" w:rsidR="00200DB3" w:rsidRDefault="00200DB3" w:rsidP="00200DB3">
      <w:pPr>
        <w:spacing w:after="0" w:line="276" w:lineRule="auto"/>
        <w:jc w:val="both"/>
        <w:rPr>
          <w:rFonts w:ascii="Verdana" w:eastAsia="Geomanist Light" w:hAnsi="Verdana" w:cs="Arial"/>
          <w:lang w:val="es-ES_tradnl"/>
        </w:rPr>
      </w:pPr>
    </w:p>
    <w:p w14:paraId="1C5C9332" w14:textId="77777777" w:rsidR="00200DB3" w:rsidRPr="0056112B" w:rsidRDefault="00200DB3" w:rsidP="00200DB3">
      <w:pPr>
        <w:spacing w:after="0"/>
        <w:jc w:val="both"/>
        <w:rPr>
          <w:rFonts w:ascii="Verdana" w:eastAsia="Calibri" w:hAnsi="Verdana" w:cs="Times New Roman"/>
        </w:rPr>
      </w:pPr>
      <w:r w:rsidRPr="0056112B">
        <w:rPr>
          <w:rFonts w:ascii="Verdana" w:eastAsia="Aptos" w:hAnsi="Verdana" w:cs="Arial"/>
          <w:b/>
          <w:color w:val="000000"/>
          <w:kern w:val="2"/>
          <w:lang w:val="es-ES_tradnl"/>
          <w14:ligatures w14:val="standardContextual"/>
        </w:rPr>
        <w:t>CAUSALES DE RECHAZO – Principio de legalidad – Configuración – Documentos Tipo</w:t>
      </w:r>
    </w:p>
    <w:p w14:paraId="2687AEAC" w14:textId="77777777" w:rsidR="00200DB3" w:rsidRPr="0056112B" w:rsidRDefault="00200DB3" w:rsidP="00200DB3">
      <w:pPr>
        <w:spacing w:after="0" w:line="278" w:lineRule="auto"/>
        <w:jc w:val="both"/>
        <w:rPr>
          <w:rFonts w:ascii="Verdana" w:eastAsia="Aptos" w:hAnsi="Verdana" w:cs="Arial"/>
          <w:b/>
          <w:color w:val="000000"/>
          <w:kern w:val="2"/>
          <w:lang w:val="es-ES_tradnl"/>
          <w14:ligatures w14:val="standardContextual"/>
        </w:rPr>
      </w:pPr>
    </w:p>
    <w:p w14:paraId="3E44B73B" w14:textId="77777777" w:rsidR="00200DB3" w:rsidRPr="0056112B" w:rsidRDefault="00200DB3" w:rsidP="00200DB3">
      <w:pPr>
        <w:spacing w:after="0" w:line="240" w:lineRule="auto"/>
        <w:jc w:val="both"/>
        <w:rPr>
          <w:rFonts w:ascii="Verdana" w:eastAsia="Aptos" w:hAnsi="Verdana" w:cs="Arial"/>
          <w:bCs/>
          <w:color w:val="000000"/>
          <w:kern w:val="2"/>
          <w:sz w:val="20"/>
          <w:szCs w:val="20"/>
          <w:lang w:val="es-ES_tradnl"/>
          <w14:ligatures w14:val="standardContextual"/>
        </w:rPr>
      </w:pPr>
      <w:r w:rsidRPr="0056112B">
        <w:rPr>
          <w:rFonts w:ascii="Verdana" w:eastAsia="Aptos" w:hAnsi="Verdana" w:cs="Arial"/>
          <w:bCs/>
          <w:color w:val="000000"/>
          <w:kern w:val="2"/>
          <w:sz w:val="20"/>
          <w:szCs w:val="20"/>
          <w:lang w:val="es-ES_tradnl"/>
          <w14:ligatures w14:val="standardContextual"/>
        </w:rPr>
        <w:t xml:space="preserve">[…] </w:t>
      </w:r>
      <w:r w:rsidRPr="000F4716">
        <w:rPr>
          <w:rFonts w:ascii="Verdana" w:eastAsia="Aptos" w:hAnsi="Verdana" w:cs="Arial"/>
          <w:bCs/>
          <w:color w:val="000000"/>
          <w:kern w:val="2"/>
          <w:sz w:val="20"/>
          <w:szCs w:val="20"/>
          <w:lang w:val="es-ES_tradnl"/>
          <w14:ligatures w14:val="standardContextu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 señala:</w:t>
      </w:r>
    </w:p>
    <w:p w14:paraId="6D36157E" w14:textId="77777777" w:rsidR="00200DB3" w:rsidRPr="0056112B" w:rsidRDefault="00200DB3" w:rsidP="00200DB3">
      <w:pPr>
        <w:spacing w:after="0" w:line="240" w:lineRule="auto"/>
        <w:jc w:val="both"/>
        <w:rPr>
          <w:rFonts w:ascii="Verdana" w:eastAsia="Aptos" w:hAnsi="Verdana" w:cs="Arial"/>
          <w:bCs/>
          <w:color w:val="000000"/>
          <w:kern w:val="2"/>
          <w:sz w:val="20"/>
          <w:szCs w:val="20"/>
          <w:lang w:val="es-ES_tradnl"/>
          <w14:ligatures w14:val="standardContextual"/>
        </w:rPr>
      </w:pPr>
      <w:r w:rsidRPr="0056112B">
        <w:rPr>
          <w:rFonts w:ascii="Verdana" w:eastAsia="Aptos" w:hAnsi="Verdana" w:cs="Arial"/>
          <w:bCs/>
          <w:color w:val="000000"/>
          <w:kern w:val="2"/>
          <w:sz w:val="20"/>
          <w:szCs w:val="20"/>
          <w:lang w:val="es-ES_tradnl"/>
          <w14:ligatures w14:val="standardContextual"/>
        </w:rPr>
        <w:t>[…]</w:t>
      </w:r>
    </w:p>
    <w:p w14:paraId="4EE3726B" w14:textId="77777777" w:rsidR="00200DB3" w:rsidRPr="0056112B" w:rsidRDefault="00200DB3" w:rsidP="00200DB3">
      <w:pPr>
        <w:spacing w:after="0" w:line="240" w:lineRule="auto"/>
        <w:jc w:val="both"/>
        <w:rPr>
          <w:rFonts w:ascii="Verdana" w:eastAsia="Aptos" w:hAnsi="Verdana" w:cs="Arial"/>
          <w:bCs/>
          <w:color w:val="000000"/>
          <w:kern w:val="2"/>
          <w:sz w:val="20"/>
          <w:szCs w:val="20"/>
          <w:lang w:val="es-ES_tradnl"/>
          <w14:ligatures w14:val="standardContextual"/>
        </w:rPr>
      </w:pPr>
      <w:r w:rsidRPr="000F4716">
        <w:rPr>
          <w:rFonts w:ascii="Verdana" w:eastAsia="Aptos" w:hAnsi="Verdana" w:cs="Arial"/>
          <w:bCs/>
          <w:color w:val="000000"/>
          <w:kern w:val="2"/>
          <w:sz w:val="20"/>
          <w:szCs w:val="20"/>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 sostuvo</w:t>
      </w:r>
      <w:r>
        <w:rPr>
          <w:rFonts w:ascii="Verdana" w:eastAsia="Aptos" w:hAnsi="Verdana" w:cs="Arial"/>
          <w:bCs/>
          <w:color w:val="000000"/>
          <w:kern w:val="2"/>
          <w:sz w:val="20"/>
          <w:szCs w:val="20"/>
          <w:lang w:val="es-ES_tradnl"/>
          <w14:ligatures w14:val="standardContextual"/>
        </w:rPr>
        <w:t xml:space="preserve">: </w:t>
      </w:r>
      <w:r w:rsidRPr="0056112B">
        <w:rPr>
          <w:rFonts w:ascii="Verdana" w:eastAsia="Aptos" w:hAnsi="Verdana" w:cs="Arial"/>
          <w:bCs/>
          <w:color w:val="000000"/>
          <w:kern w:val="2"/>
          <w:sz w:val="20"/>
          <w:szCs w:val="20"/>
          <w:lang w:val="es-ES_tradnl"/>
          <w14:ligatures w14:val="standardContextual"/>
        </w:rPr>
        <w:t>[…]</w:t>
      </w:r>
    </w:p>
    <w:p w14:paraId="25EB4B12" w14:textId="77777777" w:rsidR="00200DB3" w:rsidRPr="002D2FBE" w:rsidRDefault="00200DB3" w:rsidP="00200DB3">
      <w:pPr>
        <w:spacing w:after="0" w:line="276" w:lineRule="auto"/>
        <w:jc w:val="both"/>
        <w:rPr>
          <w:rFonts w:ascii="Verdana" w:eastAsia="Geomanist Light" w:hAnsi="Verdana" w:cs="Arial"/>
          <w:lang w:val="es-ES_tradnl"/>
        </w:rPr>
      </w:pPr>
    </w:p>
    <w:p w14:paraId="4EABB174" w14:textId="77777777" w:rsidR="00200DB3" w:rsidRPr="00562FAE" w:rsidRDefault="00200DB3" w:rsidP="00200DB3">
      <w:pPr>
        <w:spacing w:after="0" w:line="240" w:lineRule="auto"/>
        <w:jc w:val="both"/>
        <w:rPr>
          <w:rFonts w:ascii="Verdana" w:eastAsia="Calibri" w:hAnsi="Verdana" w:cs="Arial"/>
          <w:b/>
          <w:bCs/>
          <w:kern w:val="2"/>
          <w14:ligatures w14:val="standardContextual"/>
        </w:rPr>
      </w:pPr>
      <w:r w:rsidRPr="00562FAE">
        <w:rPr>
          <w:rFonts w:ascii="Verdana" w:eastAsia="Calibri" w:hAnsi="Verdana" w:cs="Arial"/>
          <w:b/>
          <w:bCs/>
          <w:kern w:val="2"/>
          <w14:ligatures w14:val="standardContextual"/>
        </w:rPr>
        <w:t xml:space="preserve">DOCUMENTOS TIPO </w:t>
      </w:r>
      <w:r w:rsidRPr="00562FAE">
        <w:rPr>
          <w:rFonts w:ascii="Verdana" w:eastAsia="Calibri" w:hAnsi="Verdana" w:cs="Arial"/>
          <w:b/>
          <w:bCs/>
          <w:color w:val="000000"/>
          <w:kern w:val="2"/>
          <w14:ligatures w14:val="standardContextual"/>
        </w:rPr>
        <w:t xml:space="preserve">– </w:t>
      </w:r>
      <w:r w:rsidRPr="00562FAE">
        <w:rPr>
          <w:rFonts w:ascii="Verdana" w:eastAsia="Calibri" w:hAnsi="Verdana" w:cs="Arial"/>
          <w:b/>
          <w:bCs/>
          <w:kern w:val="2"/>
          <w14:ligatures w14:val="standardContextual"/>
        </w:rPr>
        <w:t>Causales de rechazo – Información Inexacta - Literal H</w:t>
      </w:r>
    </w:p>
    <w:p w14:paraId="2BC386A9" w14:textId="77777777" w:rsidR="00200DB3" w:rsidRPr="002D2FBE" w:rsidRDefault="00200DB3" w:rsidP="00200DB3">
      <w:pPr>
        <w:spacing w:after="0" w:line="240" w:lineRule="auto"/>
        <w:jc w:val="both"/>
        <w:rPr>
          <w:rFonts w:ascii="Arial" w:eastAsia="Calibri" w:hAnsi="Arial" w:cs="Arial"/>
          <w:b/>
          <w:bCs/>
          <w:kern w:val="2"/>
          <w:sz w:val="20"/>
          <w:szCs w:val="20"/>
          <w14:ligatures w14:val="standardContextual"/>
        </w:rPr>
      </w:pPr>
    </w:p>
    <w:p w14:paraId="0711BADE" w14:textId="77777777" w:rsidR="00200DB3" w:rsidRPr="002D2FBE" w:rsidRDefault="00200DB3" w:rsidP="00200DB3">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2D2FBE">
        <w:rPr>
          <w:rFonts w:ascii="Verdana" w:eastAsia="Times New Roman" w:hAnsi="Verdana" w:cs="Arial"/>
          <w:kern w:val="2"/>
          <w:sz w:val="20"/>
          <w:szCs w:val="20"/>
          <w:shd w:val="clear" w:color="auto" w:fill="FFFFFF"/>
          <w:lang w:val="es-ES_tradnl" w:eastAsia="es-ES_tradnl"/>
          <w14:ligatures w14:val="standardContextual"/>
        </w:rPr>
        <w:t xml:space="preserve">(…) la causal de rechazo del literal H del numeral 1.15 del documento tipo prescribe: “[…] Que el Proponente aporte información inexacta sobre la cual pueda existir una posible falsedad en los términos de la sección 1.11. del documento base”. Esta causal aplica en los supuestos en el que la Entidad Estatal en ejercicio de su derecho de verificar integralmente la información aportada por el Proponente, evidencie que existe una inconsistencia entre la información suministrada por el Proponente y la efectivamente verificada por la Entidad, cuya consecuencia será que la información que pretende demostrar el Proponente se tendrá por no acreditada y la Entidad Estatal además deberá compulsar copias a las autoridades competentes en aquellos eventos en los cuales la información aportada tenga inconsistencias sobre las cuales pueda existir una presunta falsedad, sin que el Proponente haya demostrado lo contrario, y procederá a rechazar la oferta. </w:t>
      </w:r>
    </w:p>
    <w:p w14:paraId="4E3A9656" w14:textId="77777777" w:rsidR="00200DB3" w:rsidRPr="002D2FBE" w:rsidRDefault="00200DB3" w:rsidP="00200DB3">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p>
    <w:p w14:paraId="38A64A38" w14:textId="77777777" w:rsidR="00200DB3" w:rsidRPr="002D2FBE" w:rsidRDefault="00200DB3" w:rsidP="00200DB3">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2D2FBE">
        <w:rPr>
          <w:rFonts w:ascii="Verdana" w:eastAsia="Times New Roman" w:hAnsi="Verdana" w:cs="Arial"/>
          <w:kern w:val="2"/>
          <w:sz w:val="20"/>
          <w:szCs w:val="20"/>
          <w:shd w:val="clear" w:color="auto" w:fill="FFFFFF"/>
          <w:lang w:val="es-ES_tradnl" w:eastAsia="es-ES_tradnl"/>
          <w14:ligatures w14:val="standardContextual"/>
        </w:rPr>
        <w:t xml:space="preserve">Según lo expuesto por esta Agencia en el concepto con radicado 2201913000008148 del 30 de octubre de 2019, la inexactitud –en el contexto de los “Documentos Tipo”– se entiende como “la disparidad, imprecisión, disconformidad o falta de precisión que se da de una información a otra”. En este sentido, “(…) se habla de inexactitud cuando la </w:t>
      </w:r>
      <w:r w:rsidRPr="002D2FBE">
        <w:rPr>
          <w:rFonts w:ascii="Verdana" w:eastAsia="Times New Roman" w:hAnsi="Verdana" w:cs="Arial"/>
          <w:kern w:val="2"/>
          <w:sz w:val="20"/>
          <w:szCs w:val="20"/>
          <w:shd w:val="clear" w:color="auto" w:fill="FFFFFF"/>
          <w:lang w:val="es-ES_tradnl" w:eastAsia="es-ES_tradnl"/>
          <w14:ligatures w14:val="standardContextual"/>
        </w:rPr>
        <w:lastRenderedPageBreak/>
        <w:t>información que aporta el proponente no concuerda con la que verifica la entidad, lo cual lleva a que esta información se entienda como no acreditada”.</w:t>
      </w:r>
    </w:p>
    <w:p w14:paraId="0B31FF48" w14:textId="77777777" w:rsidR="00200DB3" w:rsidRPr="002D2FBE" w:rsidRDefault="00200DB3" w:rsidP="00200DB3">
      <w:pPr>
        <w:spacing w:after="0" w:line="240" w:lineRule="auto"/>
        <w:rPr>
          <w:rFonts w:ascii="Verdana" w:eastAsia="Geomanist Light" w:hAnsi="Verdana" w:cs="Arial"/>
          <w:lang w:val="es-MX"/>
        </w:rPr>
      </w:pPr>
    </w:p>
    <w:p w14:paraId="181B13F9" w14:textId="3C610BB6" w:rsidR="00200DB3" w:rsidRPr="0056112B" w:rsidRDefault="00200DB3" w:rsidP="00200DB3">
      <w:pPr>
        <w:spacing w:after="0" w:line="276" w:lineRule="auto"/>
        <w:jc w:val="both"/>
        <w:rPr>
          <w:rFonts w:ascii="Verdana" w:eastAsia="Aptos" w:hAnsi="Verdana" w:cs="Times New Roman"/>
          <w:kern w:val="2"/>
          <w14:ligatures w14:val="standardContextual"/>
        </w:rPr>
      </w:pPr>
      <w:r w:rsidRPr="0056112B">
        <w:rPr>
          <w:rFonts w:ascii="Verdana" w:eastAsia="Aptos" w:hAnsi="Verdana" w:cs="Arial"/>
          <w:b/>
          <w:color w:val="000000"/>
          <w:kern w:val="2"/>
          <w:lang w:val="es-ES_tradnl"/>
          <w14:ligatures w14:val="standardContextual"/>
        </w:rPr>
        <w:t xml:space="preserve">DOCUMENTOS TIPO – </w:t>
      </w:r>
      <w:r>
        <w:rPr>
          <w:rFonts w:ascii="Verdana" w:eastAsia="Aptos" w:hAnsi="Verdana" w:cs="Arial"/>
          <w:b/>
          <w:color w:val="000000"/>
          <w:kern w:val="2"/>
          <w:lang w:val="es-ES_tradnl"/>
          <w14:ligatures w14:val="standardContextual"/>
        </w:rPr>
        <w:t xml:space="preserve">Selección abreviada </w:t>
      </w:r>
      <w:r w:rsidR="00EE5ED7" w:rsidRPr="00EE5ED7">
        <w:rPr>
          <w:rFonts w:ascii="Verdana" w:eastAsia="Aptos" w:hAnsi="Verdana" w:cs="Arial"/>
          <w:b/>
          <w:bCs/>
          <w:color w:val="000000"/>
          <w:kern w:val="2"/>
          <w:lang w:val="es-ES"/>
          <w14:ligatures w14:val="standardContextual"/>
        </w:rPr>
        <w:t>–</w:t>
      </w:r>
      <w:r w:rsidR="00EE5ED7">
        <w:rPr>
          <w:rFonts w:ascii="Verdana" w:eastAsia="Aptos" w:hAnsi="Verdana" w:cs="Arial"/>
          <w:b/>
          <w:color w:val="000000"/>
          <w:kern w:val="2"/>
          <w:lang w:val="es-ES_tradnl"/>
          <w14:ligatures w14:val="standardContextual"/>
        </w:rPr>
        <w:t xml:space="preserve"> </w:t>
      </w:r>
      <w:r w:rsidRPr="0056112B">
        <w:rPr>
          <w:rFonts w:ascii="Verdana" w:eastAsia="Aptos" w:hAnsi="Verdana" w:cs="Arial"/>
          <w:b/>
          <w:color w:val="000000"/>
          <w:kern w:val="2"/>
          <w:lang w:val="es-ES_tradnl"/>
          <w14:ligatures w14:val="standardContextual"/>
        </w:rPr>
        <w:t xml:space="preserve">Infraestructura de transporte – Versión </w:t>
      </w:r>
      <w:r>
        <w:rPr>
          <w:rFonts w:ascii="Verdana" w:eastAsia="Aptos" w:hAnsi="Verdana" w:cs="Arial"/>
          <w:b/>
          <w:color w:val="000000"/>
          <w:kern w:val="2"/>
          <w:lang w:val="es-ES_tradnl"/>
          <w14:ligatures w14:val="standardContextual"/>
        </w:rPr>
        <w:t>3</w:t>
      </w:r>
      <w:r w:rsidRPr="0056112B">
        <w:rPr>
          <w:rFonts w:ascii="Verdana" w:eastAsia="Aptos" w:hAnsi="Verdana" w:cs="Arial"/>
          <w:b/>
          <w:color w:val="000000"/>
          <w:kern w:val="2"/>
          <w:lang w:val="es-ES_tradnl"/>
          <w14:ligatures w14:val="standardContextual"/>
        </w:rPr>
        <w:t xml:space="preserve"> – Causal de rechazo del literal B – Presentación de distintas propuestas</w:t>
      </w:r>
    </w:p>
    <w:p w14:paraId="61D9EE61" w14:textId="77777777" w:rsidR="00200DB3" w:rsidRPr="0056112B" w:rsidRDefault="00200DB3" w:rsidP="00200DB3">
      <w:pPr>
        <w:spacing w:after="0" w:line="240" w:lineRule="auto"/>
        <w:rPr>
          <w:rFonts w:ascii="Verdana" w:eastAsia="Geomanist Light" w:hAnsi="Verdana" w:cs="Arial"/>
          <w:lang w:val="es-ES_tradnl"/>
        </w:rPr>
      </w:pPr>
    </w:p>
    <w:p w14:paraId="009ADE8D" w14:textId="77777777" w:rsidR="00200DB3" w:rsidRDefault="00200DB3" w:rsidP="00200DB3">
      <w:pPr>
        <w:shd w:val="clear" w:color="auto" w:fill="FFFFFF"/>
        <w:spacing w:after="0" w:line="240" w:lineRule="auto"/>
        <w:jc w:val="both"/>
        <w:textAlignment w:val="baseline"/>
        <w:rPr>
          <w:rFonts w:ascii="Verdana" w:eastAsia="Aptos" w:hAnsi="Verdana" w:cs="Arial"/>
          <w:color w:val="000000"/>
          <w:kern w:val="2"/>
          <w:sz w:val="20"/>
          <w:szCs w:val="20"/>
          <w:lang w:val="es-ES"/>
          <w14:ligatures w14:val="standardContextual"/>
        </w:rPr>
      </w:pPr>
      <w:r w:rsidRPr="000F4716">
        <w:rPr>
          <w:rFonts w:ascii="Verdana" w:eastAsia="Aptos" w:hAnsi="Verdana" w:cs="Arial"/>
          <w:color w:val="000000"/>
          <w:kern w:val="2"/>
          <w:sz w:val="20"/>
          <w:szCs w:val="20"/>
          <w:lang w:val="es-ES"/>
          <w14:ligatures w14:val="standardContextual"/>
        </w:rPr>
        <w:t>Al respecto, es necesario resaltar que la causal de rechazo contenida en el literal B del numeral 1.15 –causales de rechazo– del documento tipo indicado, está prevista para propuestas distintas presentadas por un mismo proponente, escenario que no admite aclaración por parte de la entidad estatal y da lugar al rechazo justificado de las ofertas involucradas.</w:t>
      </w:r>
    </w:p>
    <w:p w14:paraId="50587C7F" w14:textId="77777777" w:rsidR="00200DB3" w:rsidRPr="000F4716" w:rsidRDefault="00200DB3" w:rsidP="00200DB3">
      <w:pPr>
        <w:shd w:val="clear" w:color="auto" w:fill="FFFFFF"/>
        <w:spacing w:after="0" w:line="240" w:lineRule="auto"/>
        <w:jc w:val="both"/>
        <w:textAlignment w:val="baseline"/>
        <w:rPr>
          <w:rFonts w:ascii="Verdana" w:eastAsia="Aptos" w:hAnsi="Verdana" w:cs="Arial"/>
          <w:color w:val="000000"/>
          <w:kern w:val="2"/>
          <w:sz w:val="20"/>
          <w:szCs w:val="20"/>
          <w:lang w:val="es-ES"/>
          <w14:ligatures w14:val="standardContextual"/>
        </w:rPr>
      </w:pPr>
    </w:p>
    <w:p w14:paraId="50FDB9B4" w14:textId="6E7819F6" w:rsidR="00200DB3" w:rsidRPr="002D2FBE" w:rsidRDefault="00200DB3" w:rsidP="00746F80">
      <w:pPr>
        <w:spacing w:after="0" w:line="240" w:lineRule="auto"/>
        <w:jc w:val="both"/>
        <w:rPr>
          <w:rFonts w:ascii="Verdana" w:eastAsia="Geomanist Light" w:hAnsi="Verdana" w:cs="Arial"/>
          <w:lang w:val="es-MX"/>
        </w:rPr>
      </w:pPr>
      <w:r w:rsidRPr="000F4716">
        <w:rPr>
          <w:rFonts w:ascii="Verdana" w:eastAsia="Aptos" w:hAnsi="Verdana" w:cs="Arial"/>
          <w:color w:val="000000"/>
          <w:kern w:val="2"/>
          <w:sz w:val="20"/>
          <w:szCs w:val="20"/>
          <w:lang w:val="es-ES"/>
          <w14:ligatures w14:val="standardContextual"/>
        </w:rPr>
        <w:t xml:space="preserve">En ese sentido, es importante señalar que la causal distingue de si se trata de un proponente persona natural o jurídica, o un proponente plural. Así, la causal en comento se configura cuando: i) una misma persona natural o jurídica funge como oferente o hace parte en más de una propuesta para el mismo proceso de contratación, o </w:t>
      </w:r>
      <w:proofErr w:type="spellStart"/>
      <w:r w:rsidRPr="000F4716">
        <w:rPr>
          <w:rFonts w:ascii="Verdana" w:eastAsia="Aptos" w:hAnsi="Verdana" w:cs="Arial"/>
          <w:color w:val="000000"/>
          <w:kern w:val="2"/>
          <w:sz w:val="20"/>
          <w:szCs w:val="20"/>
          <w:lang w:val="es-ES"/>
          <w14:ligatures w14:val="standardContextual"/>
        </w:rPr>
        <w:t>ii</w:t>
      </w:r>
      <w:proofErr w:type="spellEnd"/>
      <w:r w:rsidRPr="000F4716">
        <w:rPr>
          <w:rFonts w:ascii="Verdana" w:eastAsia="Aptos" w:hAnsi="Verdana" w:cs="Arial"/>
          <w:color w:val="000000"/>
          <w:kern w:val="2"/>
          <w:sz w:val="20"/>
          <w:szCs w:val="20"/>
          <w:lang w:val="es-ES"/>
          <w14:ligatures w14:val="standardContextual"/>
        </w:rPr>
        <w:t>) un mismo integrante de una estructura plural es oferente o hace parte en más de una oferta en el mismo proceso de contratación</w:t>
      </w:r>
    </w:p>
    <w:p w14:paraId="30CA0948" w14:textId="77777777" w:rsidR="00200DB3" w:rsidRPr="002D2FBE" w:rsidRDefault="00200DB3" w:rsidP="00200DB3">
      <w:pPr>
        <w:spacing w:after="0" w:line="240" w:lineRule="auto"/>
        <w:rPr>
          <w:rFonts w:ascii="Verdana" w:eastAsia="Geomanist Light" w:hAnsi="Verdana" w:cs="Arial"/>
          <w:lang w:val="es-MX"/>
        </w:rPr>
      </w:pPr>
    </w:p>
    <w:p w14:paraId="51D2CF4B" w14:textId="0084E9DC" w:rsidR="00200DB3" w:rsidRPr="00080835" w:rsidRDefault="00200DB3" w:rsidP="00200DB3">
      <w:pPr>
        <w:jc w:val="both"/>
        <w:rPr>
          <w:rFonts w:ascii="Verdana" w:eastAsia="Times New Roman" w:hAnsi="Verdana" w:cs="Times New Roman"/>
          <w:lang w:val="es-ES"/>
        </w:rPr>
      </w:pPr>
      <w:r w:rsidRPr="00080835">
        <w:rPr>
          <w:rFonts w:ascii="Verdana" w:eastAsia="Times New Roman" w:hAnsi="Verdana" w:cs="Century Gothic"/>
          <w:b/>
          <w:bCs/>
        </w:rPr>
        <w:t>TRASLADO DEL INFORME DE EVALUACIÓN</w:t>
      </w:r>
      <w:r w:rsidRPr="00080835">
        <w:rPr>
          <w:rFonts w:ascii="Verdana" w:eastAsia="Times New Roman" w:hAnsi="Verdana" w:cs="Arial"/>
          <w:b/>
          <w:bCs/>
          <w:lang w:val="es-ES" w:eastAsia="es-ES"/>
        </w:rPr>
        <w:t xml:space="preserve"> – Naturaleza/Traslado del informe de evaluación – Principios – Debido proceso</w:t>
      </w:r>
    </w:p>
    <w:p w14:paraId="1F675CAB" w14:textId="77777777" w:rsidR="00200DB3" w:rsidRPr="00080835" w:rsidRDefault="00200DB3" w:rsidP="00200DB3">
      <w:pPr>
        <w:spacing w:after="120" w:line="276" w:lineRule="auto"/>
        <w:jc w:val="both"/>
        <w:rPr>
          <w:rFonts w:ascii="Verdana" w:eastAsia="Times New Roman" w:hAnsi="Verdana" w:cs="Arial"/>
          <w:sz w:val="20"/>
          <w:szCs w:val="20"/>
        </w:rPr>
      </w:pPr>
      <w:r w:rsidRPr="00080835">
        <w:rPr>
          <w:rFonts w:ascii="Verdana" w:eastAsia="Times New Roman" w:hAnsi="Verdana" w:cs="Arial"/>
          <w:sz w:val="20"/>
          <w:szCs w:val="20"/>
        </w:rPr>
        <w:t>Como primera medida, es importante señalar que, el informe de evaluación de propuestas es una actuación reglada dentro del procedimiento de selección contractual, mediante la cual se realiza una comparación objetiva de las ofertas presentadas por los proponentes, con base exclusivamente en los criterios de selección establecidos en los pliegos de condiciones o documentos equivalentes, cuyo fin es garantizar la transparencia y la publicidad de la actividad precontractual, permitir la participación activa de los oferentes mediante observaciones que puedan enriquecer el análisis técnico y jurídico de las propuestas y prevenir errores o interpretaciones subjetivas en la evaluación.</w:t>
      </w:r>
    </w:p>
    <w:p w14:paraId="5B5ADF97" w14:textId="77777777" w:rsidR="00200DB3" w:rsidRPr="00080835" w:rsidRDefault="00200DB3" w:rsidP="00200DB3">
      <w:pPr>
        <w:spacing w:after="120" w:line="276" w:lineRule="auto"/>
        <w:jc w:val="both"/>
        <w:rPr>
          <w:rFonts w:ascii="Verdana" w:eastAsia="Times New Roman" w:hAnsi="Verdana" w:cs="Arial"/>
          <w:sz w:val="20"/>
          <w:szCs w:val="20"/>
        </w:rPr>
      </w:pPr>
      <w:r w:rsidRPr="00080835">
        <w:rPr>
          <w:rFonts w:ascii="Verdana" w:eastAsia="Times New Roman" w:hAnsi="Verdana" w:cs="Arial"/>
          <w:sz w:val="20"/>
          <w:szCs w:val="20"/>
        </w:rPr>
        <w:t>Así mismo, vale mencionar que, tratándose de la licitación pública, el término para subsanar o de traslado será de cinco (5) días hábiles, como lo prevé el artículo 1 de la Ley 1882 de 2018. Por su parte, en la selección abreviada de menor cuantía y en el concurso de méritos será de tres (3) días hábiles, en aplicación de lo dispuesto en los artículos 2.2.1.2.1.2.20 y 2.2.1.2.1.3.2 del Decreto 1082 de 2015. A su turno, en la selección abreviada por subasta inversa será hasta el momento previo a la realización de la subasta (artículo 5 de la Ley 1882 de 2018). Finalmente, en la mínima cuantía el plazo será de 1 día hábil, según lo estatuido en el artículo 2.2.1.2.1.5.2 del Decreto 1082 de 2015.</w:t>
      </w:r>
    </w:p>
    <w:p w14:paraId="48408B08" w14:textId="77777777" w:rsidR="00200DB3" w:rsidRPr="00080835" w:rsidRDefault="00200DB3" w:rsidP="00200DB3">
      <w:pPr>
        <w:spacing w:after="120" w:line="276" w:lineRule="auto"/>
        <w:jc w:val="both"/>
        <w:rPr>
          <w:rFonts w:ascii="Verdana" w:eastAsia="Times New Roman" w:hAnsi="Verdana" w:cs="Arial"/>
          <w:color w:val="000000" w:themeColor="text1"/>
          <w:sz w:val="20"/>
          <w:szCs w:val="20"/>
        </w:rPr>
      </w:pPr>
      <w:r w:rsidRPr="00080835">
        <w:rPr>
          <w:rFonts w:ascii="Verdana" w:eastAsia="Times New Roman" w:hAnsi="Verdana" w:cs="Arial"/>
          <w:color w:val="000000" w:themeColor="text1"/>
          <w:sz w:val="20"/>
          <w:szCs w:val="20"/>
        </w:rPr>
        <w:lastRenderedPageBreak/>
        <w:t>De manera conclusiva, y en respuesta al interrogante planteado, la omisión del término de traslado del informe de evaluación en un proceso de mínima cuantía constituye una vulneración al debido proceso y a los principios de la contratación estatal, en particular los de transparencia, publicidad, selección objetiva, incluso cuando se trate de un procedimiento simplificado como el de mínima cuantía.</w:t>
      </w:r>
    </w:p>
    <w:p w14:paraId="6F229050" w14:textId="77777777" w:rsidR="00200DB3" w:rsidRPr="00080835" w:rsidRDefault="00200DB3" w:rsidP="00200DB3">
      <w:pPr>
        <w:spacing w:after="120" w:line="276" w:lineRule="auto"/>
        <w:jc w:val="both"/>
        <w:rPr>
          <w:rFonts w:ascii="Verdana" w:eastAsia="Times New Roman" w:hAnsi="Verdana" w:cs="Arial"/>
          <w:color w:val="000000" w:themeColor="text1"/>
          <w:sz w:val="20"/>
          <w:szCs w:val="20"/>
        </w:rPr>
      </w:pPr>
      <w:r w:rsidRPr="00080835">
        <w:rPr>
          <w:rFonts w:ascii="Verdana" w:eastAsia="Times New Roman" w:hAnsi="Verdana" w:cs="Arial"/>
          <w:color w:val="000000" w:themeColor="text1"/>
          <w:sz w:val="20"/>
          <w:szCs w:val="20"/>
        </w:rPr>
        <w:t xml:space="preserve">Si bien, la modalidad de mínima cuantía está diseñada para ser ágil y con menos formalidades que otras modalidades de selección, esto no significa que pueda prescindirse del cumplimiento de las garantías mínimas del procedimiento administrativo. Entre estas garantías se encuentra el traslado del informe de evaluación, que tiene una función central: permitir que los oferentes conozcan los criterios de evaluación aplicados y ejerzan su derecho a presentar observaciones u objeciones. […] </w:t>
      </w:r>
    </w:p>
    <w:p w14:paraId="1C07482C" w14:textId="77777777" w:rsidR="00200DB3" w:rsidRPr="00080835" w:rsidRDefault="00200DB3" w:rsidP="00200DB3">
      <w:pPr>
        <w:spacing w:after="0" w:line="240" w:lineRule="auto"/>
        <w:rPr>
          <w:rFonts w:ascii="Verdana" w:eastAsia="Geomanist Light" w:hAnsi="Verdana" w:cs="Arial"/>
          <w:sz w:val="20"/>
          <w:szCs w:val="20"/>
          <w:lang w:val="es-MX"/>
        </w:rPr>
      </w:pPr>
    </w:p>
    <w:p w14:paraId="5E68843E" w14:textId="77777777" w:rsidR="00200DB3" w:rsidRPr="002D2FBE" w:rsidRDefault="00200DB3" w:rsidP="00200DB3">
      <w:pPr>
        <w:spacing w:after="0" w:line="240" w:lineRule="auto"/>
        <w:rPr>
          <w:rFonts w:ascii="Verdana" w:eastAsia="Geomanist Light" w:hAnsi="Verdana" w:cs="Arial"/>
          <w:lang w:val="es-MX"/>
        </w:rPr>
      </w:pPr>
    </w:p>
    <w:p w14:paraId="6AA62A91" w14:textId="77777777" w:rsidR="00200DB3" w:rsidRDefault="00200DB3" w:rsidP="00200DB3">
      <w:pPr>
        <w:spacing w:after="0" w:line="240" w:lineRule="auto"/>
        <w:rPr>
          <w:rFonts w:ascii="Verdana" w:eastAsia="Geomanist Light" w:hAnsi="Verdana" w:cs="Arial"/>
          <w:lang w:val="es-MX"/>
        </w:rPr>
      </w:pPr>
    </w:p>
    <w:p w14:paraId="03BBFA09" w14:textId="77777777" w:rsidR="00200DB3" w:rsidRDefault="00200DB3" w:rsidP="00200DB3">
      <w:pPr>
        <w:spacing w:after="0" w:line="240" w:lineRule="auto"/>
        <w:rPr>
          <w:rFonts w:ascii="Verdana" w:eastAsia="Geomanist Light" w:hAnsi="Verdana" w:cs="Arial"/>
          <w:lang w:val="es-MX"/>
        </w:rPr>
      </w:pPr>
    </w:p>
    <w:p w14:paraId="5D73DA53" w14:textId="77777777" w:rsidR="00200DB3" w:rsidRDefault="00200DB3" w:rsidP="00200DB3">
      <w:pPr>
        <w:spacing w:after="0" w:line="240" w:lineRule="auto"/>
        <w:rPr>
          <w:rFonts w:ascii="Verdana" w:eastAsia="Geomanist Light" w:hAnsi="Verdana" w:cs="Arial"/>
          <w:lang w:val="es-MX"/>
        </w:rPr>
      </w:pPr>
    </w:p>
    <w:p w14:paraId="408B7EB0" w14:textId="77777777" w:rsidR="00200DB3" w:rsidRDefault="00200DB3" w:rsidP="00200DB3">
      <w:pPr>
        <w:spacing w:after="0" w:line="240" w:lineRule="auto"/>
        <w:rPr>
          <w:rFonts w:ascii="Verdana" w:eastAsia="Geomanist Light" w:hAnsi="Verdana" w:cs="Arial"/>
          <w:lang w:val="es-MX"/>
        </w:rPr>
      </w:pPr>
    </w:p>
    <w:p w14:paraId="42880C4A" w14:textId="77777777" w:rsidR="00200DB3" w:rsidRDefault="00200DB3" w:rsidP="00200DB3">
      <w:pPr>
        <w:spacing w:after="0" w:line="240" w:lineRule="auto"/>
        <w:rPr>
          <w:rFonts w:ascii="Verdana" w:eastAsia="Geomanist Light" w:hAnsi="Verdana" w:cs="Arial"/>
          <w:lang w:val="es-MX"/>
        </w:rPr>
      </w:pPr>
    </w:p>
    <w:p w14:paraId="784C515D" w14:textId="77777777" w:rsidR="00200DB3" w:rsidRDefault="00200DB3" w:rsidP="00200DB3">
      <w:pPr>
        <w:spacing w:after="0" w:line="240" w:lineRule="auto"/>
        <w:rPr>
          <w:rFonts w:ascii="Verdana" w:eastAsia="Geomanist Light" w:hAnsi="Verdana" w:cs="Arial"/>
          <w:lang w:val="es-MX"/>
        </w:rPr>
      </w:pPr>
    </w:p>
    <w:p w14:paraId="22DA5EDD" w14:textId="77777777" w:rsidR="00200DB3" w:rsidRDefault="00200DB3" w:rsidP="00200DB3">
      <w:pPr>
        <w:spacing w:after="0" w:line="240" w:lineRule="auto"/>
        <w:rPr>
          <w:rFonts w:ascii="Verdana" w:eastAsia="Geomanist Light" w:hAnsi="Verdana" w:cs="Arial"/>
          <w:lang w:val="es-MX"/>
        </w:rPr>
      </w:pPr>
    </w:p>
    <w:p w14:paraId="2E76045A" w14:textId="77777777" w:rsidR="00200DB3" w:rsidRDefault="00200DB3" w:rsidP="00200DB3">
      <w:pPr>
        <w:spacing w:after="0" w:line="240" w:lineRule="auto"/>
        <w:rPr>
          <w:rFonts w:ascii="Verdana" w:eastAsia="Geomanist Light" w:hAnsi="Verdana" w:cs="Arial"/>
          <w:lang w:val="es-MX"/>
        </w:rPr>
      </w:pPr>
    </w:p>
    <w:p w14:paraId="0091AFCA" w14:textId="77777777" w:rsidR="00200DB3" w:rsidRDefault="00200DB3" w:rsidP="00200DB3">
      <w:pPr>
        <w:spacing w:after="0" w:line="240" w:lineRule="auto"/>
        <w:rPr>
          <w:rFonts w:ascii="Verdana" w:eastAsia="Geomanist Light" w:hAnsi="Verdana" w:cs="Arial"/>
          <w:lang w:val="es-MX"/>
        </w:rPr>
      </w:pPr>
    </w:p>
    <w:p w14:paraId="7011899C" w14:textId="77777777" w:rsidR="00200DB3" w:rsidRDefault="00200DB3" w:rsidP="00200DB3">
      <w:pPr>
        <w:spacing w:after="0" w:line="240" w:lineRule="auto"/>
        <w:rPr>
          <w:rFonts w:ascii="Verdana" w:eastAsia="Geomanist Light" w:hAnsi="Verdana" w:cs="Arial"/>
          <w:lang w:val="es-MX"/>
        </w:rPr>
      </w:pPr>
    </w:p>
    <w:p w14:paraId="6BD90C79" w14:textId="77777777" w:rsidR="00200DB3" w:rsidRDefault="00200DB3" w:rsidP="00200DB3">
      <w:pPr>
        <w:spacing w:after="0" w:line="240" w:lineRule="auto"/>
        <w:rPr>
          <w:rFonts w:ascii="Verdana" w:eastAsia="Geomanist Light" w:hAnsi="Verdana" w:cs="Arial"/>
          <w:lang w:val="es-MX"/>
        </w:rPr>
      </w:pPr>
    </w:p>
    <w:p w14:paraId="2977155A" w14:textId="77777777" w:rsidR="008D5906" w:rsidRDefault="008D5906" w:rsidP="00200DB3">
      <w:pPr>
        <w:spacing w:after="0" w:line="240" w:lineRule="auto"/>
        <w:rPr>
          <w:rFonts w:ascii="Verdana" w:eastAsia="Geomanist Light" w:hAnsi="Verdana" w:cs="Arial"/>
          <w:lang w:val="es-MX"/>
        </w:rPr>
      </w:pPr>
    </w:p>
    <w:p w14:paraId="7E88AAAF" w14:textId="77777777" w:rsidR="008D5906" w:rsidRDefault="008D5906" w:rsidP="00200DB3">
      <w:pPr>
        <w:spacing w:after="0" w:line="240" w:lineRule="auto"/>
        <w:rPr>
          <w:rFonts w:ascii="Verdana" w:eastAsia="Geomanist Light" w:hAnsi="Verdana" w:cs="Arial"/>
          <w:lang w:val="es-MX"/>
        </w:rPr>
      </w:pPr>
    </w:p>
    <w:p w14:paraId="5C9C3679" w14:textId="77777777" w:rsidR="008D5906" w:rsidRDefault="008D5906" w:rsidP="00200DB3">
      <w:pPr>
        <w:spacing w:after="0" w:line="240" w:lineRule="auto"/>
        <w:rPr>
          <w:rFonts w:ascii="Verdana" w:eastAsia="Geomanist Light" w:hAnsi="Verdana" w:cs="Arial"/>
          <w:lang w:val="es-MX"/>
        </w:rPr>
      </w:pPr>
    </w:p>
    <w:p w14:paraId="66AB30D1" w14:textId="77777777" w:rsidR="008D5906" w:rsidRDefault="008D5906" w:rsidP="00200DB3">
      <w:pPr>
        <w:spacing w:after="0" w:line="240" w:lineRule="auto"/>
        <w:rPr>
          <w:rFonts w:ascii="Verdana" w:eastAsia="Geomanist Light" w:hAnsi="Verdana" w:cs="Arial"/>
          <w:lang w:val="es-MX"/>
        </w:rPr>
      </w:pPr>
    </w:p>
    <w:p w14:paraId="5C054B1C" w14:textId="77777777" w:rsidR="008D5906" w:rsidRDefault="008D5906" w:rsidP="00200DB3">
      <w:pPr>
        <w:spacing w:after="0" w:line="240" w:lineRule="auto"/>
        <w:rPr>
          <w:rFonts w:ascii="Verdana" w:eastAsia="Geomanist Light" w:hAnsi="Verdana" w:cs="Arial"/>
          <w:lang w:val="es-MX"/>
        </w:rPr>
      </w:pPr>
    </w:p>
    <w:p w14:paraId="16793929" w14:textId="77777777" w:rsidR="008D5906" w:rsidRDefault="008D5906" w:rsidP="00200DB3">
      <w:pPr>
        <w:spacing w:after="0" w:line="240" w:lineRule="auto"/>
        <w:rPr>
          <w:rFonts w:ascii="Verdana" w:eastAsia="Geomanist Light" w:hAnsi="Verdana" w:cs="Arial"/>
          <w:lang w:val="es-MX"/>
        </w:rPr>
      </w:pPr>
    </w:p>
    <w:p w14:paraId="694EBB49" w14:textId="77777777" w:rsidR="008D5906" w:rsidRDefault="008D5906" w:rsidP="00200DB3">
      <w:pPr>
        <w:spacing w:after="0" w:line="240" w:lineRule="auto"/>
        <w:rPr>
          <w:rFonts w:ascii="Verdana" w:eastAsia="Geomanist Light" w:hAnsi="Verdana" w:cs="Arial"/>
          <w:lang w:val="es-MX"/>
        </w:rPr>
      </w:pPr>
    </w:p>
    <w:p w14:paraId="4F36091C" w14:textId="77777777" w:rsidR="008D5906" w:rsidRDefault="008D5906" w:rsidP="00200DB3">
      <w:pPr>
        <w:spacing w:after="0" w:line="240" w:lineRule="auto"/>
        <w:rPr>
          <w:rFonts w:ascii="Verdana" w:eastAsia="Geomanist Light" w:hAnsi="Verdana" w:cs="Arial"/>
          <w:lang w:val="es-MX"/>
        </w:rPr>
      </w:pPr>
    </w:p>
    <w:p w14:paraId="462CA559" w14:textId="77777777" w:rsidR="008D5906" w:rsidRDefault="008D5906" w:rsidP="00200DB3">
      <w:pPr>
        <w:spacing w:after="0" w:line="240" w:lineRule="auto"/>
        <w:rPr>
          <w:rFonts w:ascii="Verdana" w:eastAsia="Geomanist Light" w:hAnsi="Verdana" w:cs="Arial"/>
          <w:lang w:val="es-MX"/>
        </w:rPr>
      </w:pPr>
    </w:p>
    <w:p w14:paraId="7EB83C1F" w14:textId="77777777" w:rsidR="008D5906" w:rsidRDefault="008D5906" w:rsidP="00200DB3">
      <w:pPr>
        <w:spacing w:after="0" w:line="240" w:lineRule="auto"/>
        <w:rPr>
          <w:rFonts w:ascii="Verdana" w:eastAsia="Geomanist Light" w:hAnsi="Verdana" w:cs="Arial"/>
          <w:lang w:val="es-MX"/>
        </w:rPr>
      </w:pPr>
    </w:p>
    <w:p w14:paraId="54F03FE0" w14:textId="77777777" w:rsidR="008D5906" w:rsidRDefault="008D5906" w:rsidP="00200DB3">
      <w:pPr>
        <w:spacing w:after="0" w:line="240" w:lineRule="auto"/>
        <w:rPr>
          <w:rFonts w:ascii="Verdana" w:eastAsia="Geomanist Light" w:hAnsi="Verdana" w:cs="Arial"/>
          <w:lang w:val="es-MX"/>
        </w:rPr>
      </w:pPr>
    </w:p>
    <w:p w14:paraId="6F48E207" w14:textId="77777777" w:rsidR="008D5906" w:rsidRDefault="008D5906" w:rsidP="00200DB3">
      <w:pPr>
        <w:spacing w:after="0" w:line="240" w:lineRule="auto"/>
        <w:rPr>
          <w:rFonts w:ascii="Verdana" w:eastAsia="Geomanist Light" w:hAnsi="Verdana" w:cs="Arial"/>
          <w:lang w:val="es-MX"/>
        </w:rPr>
      </w:pPr>
    </w:p>
    <w:p w14:paraId="5202806D" w14:textId="77777777" w:rsidR="008D5906" w:rsidRDefault="008D5906" w:rsidP="00200DB3">
      <w:pPr>
        <w:spacing w:after="0" w:line="240" w:lineRule="auto"/>
        <w:rPr>
          <w:rFonts w:ascii="Verdana" w:eastAsia="Geomanist Light" w:hAnsi="Verdana" w:cs="Arial"/>
          <w:lang w:val="es-MX"/>
        </w:rPr>
      </w:pPr>
    </w:p>
    <w:p w14:paraId="078F7D33" w14:textId="77777777" w:rsidR="008D5906" w:rsidRDefault="008D5906" w:rsidP="00200DB3">
      <w:pPr>
        <w:spacing w:after="0" w:line="240" w:lineRule="auto"/>
        <w:rPr>
          <w:rFonts w:ascii="Verdana" w:eastAsia="Geomanist Light" w:hAnsi="Verdana" w:cs="Arial"/>
          <w:lang w:val="es-MX"/>
        </w:rPr>
      </w:pPr>
    </w:p>
    <w:p w14:paraId="00C06B6E" w14:textId="77777777" w:rsidR="00200DB3" w:rsidRDefault="00200DB3" w:rsidP="00200DB3">
      <w:pPr>
        <w:spacing w:after="0" w:line="240" w:lineRule="auto"/>
        <w:rPr>
          <w:rFonts w:ascii="Verdana" w:eastAsia="Geomanist Light" w:hAnsi="Verdana" w:cs="Arial"/>
          <w:lang w:val="es-MX"/>
        </w:rPr>
      </w:pPr>
    </w:p>
    <w:p w14:paraId="70E61CF8" w14:textId="77777777" w:rsidR="00200DB3" w:rsidRDefault="00200DB3" w:rsidP="00200DB3">
      <w:pPr>
        <w:spacing w:after="0" w:line="240" w:lineRule="auto"/>
        <w:rPr>
          <w:rFonts w:ascii="Verdana" w:eastAsia="Geomanist Light" w:hAnsi="Verdana" w:cs="Arial"/>
          <w:lang w:val="es-MX"/>
        </w:rPr>
      </w:pPr>
    </w:p>
    <w:p w14:paraId="46F25745" w14:textId="77777777" w:rsidR="00200DB3" w:rsidRDefault="00200DB3" w:rsidP="00200DB3">
      <w:pPr>
        <w:spacing w:after="0" w:line="240" w:lineRule="auto"/>
        <w:rPr>
          <w:rFonts w:ascii="Verdana" w:eastAsia="Geomanist Light" w:hAnsi="Verdana" w:cs="Arial"/>
          <w:lang w:val="es-MX"/>
        </w:rPr>
      </w:pPr>
    </w:p>
    <w:p w14:paraId="5A0ADD23" w14:textId="77777777" w:rsidR="00200DB3" w:rsidRDefault="00200DB3" w:rsidP="00200DB3">
      <w:pPr>
        <w:spacing w:after="0" w:line="240" w:lineRule="auto"/>
        <w:rPr>
          <w:rFonts w:ascii="Verdana" w:eastAsia="Geomanist Light" w:hAnsi="Verdana" w:cs="Arial"/>
          <w:lang w:val="es-MX"/>
        </w:rPr>
      </w:pPr>
    </w:p>
    <w:p w14:paraId="6DD27735" w14:textId="77777777" w:rsidR="00200DB3" w:rsidRPr="0044528D" w:rsidRDefault="00200DB3" w:rsidP="00200DB3">
      <w:pPr>
        <w:spacing w:after="0"/>
        <w:rPr>
          <w:rFonts w:ascii="Verdana" w:hAnsi="Verdana"/>
        </w:rPr>
      </w:pPr>
      <w:r w:rsidRPr="0044528D">
        <w:rPr>
          <w:rFonts w:ascii="Verdana" w:hAnsi="Verdana"/>
        </w:rPr>
        <w:t xml:space="preserve">Bogotá D.C., [Día] </w:t>
      </w:r>
      <w:r w:rsidRPr="001511A0">
        <w:rPr>
          <w:rFonts w:ascii="Verdana" w:hAnsi="Verdana"/>
        </w:rPr>
        <w:t>[</w:t>
      </w:r>
      <w:proofErr w:type="spellStart"/>
      <w:r w:rsidRPr="001511A0">
        <w:rPr>
          <w:rFonts w:ascii="Verdana" w:hAnsi="Verdana"/>
        </w:rPr>
        <w:t>Mes.NombreCapitalizado</w:t>
      </w:r>
      <w:proofErr w:type="spellEnd"/>
      <w:r w:rsidRPr="001511A0">
        <w:rPr>
          <w:rFonts w:ascii="Verdana" w:hAnsi="Verdana"/>
        </w:rPr>
        <w:t xml:space="preserve">] </w:t>
      </w:r>
      <w:r w:rsidRPr="0044528D">
        <w:rPr>
          <w:rFonts w:ascii="Verdana" w:hAnsi="Verdana"/>
        </w:rPr>
        <w:t>[Año]</w:t>
      </w:r>
      <w:r w:rsidRPr="0044528D">
        <w:rPr>
          <w:rFonts w:ascii="Verdana" w:hAnsi="Verdana"/>
        </w:rPr>
        <w:tab/>
      </w:r>
    </w:p>
    <w:p w14:paraId="3E3410E2" w14:textId="77777777" w:rsidR="00200DB3" w:rsidRPr="0044528D" w:rsidRDefault="00200DB3" w:rsidP="00200DB3">
      <w:pPr>
        <w:spacing w:after="0"/>
        <w:rPr>
          <w:rFonts w:ascii="Verdana" w:hAnsi="Verdana"/>
        </w:rPr>
      </w:pPr>
    </w:p>
    <w:p w14:paraId="6E7885D7" w14:textId="77777777" w:rsidR="00200DB3" w:rsidRPr="00C81171" w:rsidRDefault="00200DB3" w:rsidP="00200DB3">
      <w:pPr>
        <w:spacing w:after="0" w:line="240" w:lineRule="auto"/>
        <w:rPr>
          <w:rFonts w:ascii="Verdana" w:eastAsia="Calibri" w:hAnsi="Verdana" w:cs="Arial"/>
          <w:lang w:eastAsia="es-ES"/>
        </w:rPr>
      </w:pPr>
    </w:p>
    <w:p w14:paraId="20B37DD9" w14:textId="77777777" w:rsidR="00200DB3" w:rsidRPr="002D2FBE" w:rsidRDefault="00200DB3" w:rsidP="00200DB3">
      <w:pPr>
        <w:spacing w:after="0" w:line="240" w:lineRule="auto"/>
        <w:rPr>
          <w:rFonts w:ascii="Verdana" w:eastAsia="Calibri" w:hAnsi="Verdana" w:cs="Arial"/>
          <w:lang w:val="es-MX" w:eastAsia="es-ES"/>
        </w:rPr>
      </w:pPr>
    </w:p>
    <w:p w14:paraId="20EFA14F" w14:textId="5E966165" w:rsidR="00200DB3" w:rsidRDefault="00746F80" w:rsidP="00200DB3">
      <w:pPr>
        <w:spacing w:after="0" w:line="240" w:lineRule="auto"/>
        <w:rPr>
          <w:rFonts w:ascii="Verdana" w:eastAsia="Calibri" w:hAnsi="Verdana" w:cs="Arial"/>
          <w:lang w:val="es-ES" w:eastAsia="es-ES"/>
        </w:rPr>
      </w:pPr>
      <w:r w:rsidRPr="000A256E">
        <w:rPr>
          <w:rFonts w:ascii="Verdana" w:eastAsia="Calibri" w:hAnsi="Verdana" w:cs="Arial"/>
          <w:noProof/>
          <w:lang w:val="pt-BR" w:eastAsia="es-ES"/>
        </w:rPr>
        <w:drawing>
          <wp:anchor distT="0" distB="0" distL="114300" distR="114300" simplePos="0" relativeHeight="251657216" behindDoc="0" locked="0" layoutInCell="1" allowOverlap="1" wp14:anchorId="3A39E5C0" wp14:editId="66A45F36">
            <wp:simplePos x="0" y="0"/>
            <wp:positionH relativeFrom="margin">
              <wp:align>right</wp:align>
            </wp:positionH>
            <wp:positionV relativeFrom="paragraph">
              <wp:posOffset>52705</wp:posOffset>
            </wp:positionV>
            <wp:extent cx="3098165" cy="897890"/>
            <wp:effectExtent l="0" t="0" r="6985" b="0"/>
            <wp:wrapSquare wrapText="bothSides"/>
            <wp:docPr id="14415213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521361" name=""/>
                    <pic:cNvPicPr/>
                  </pic:nvPicPr>
                  <pic:blipFill>
                    <a:blip r:embed="rId10">
                      <a:extLst>
                        <a:ext uri="{28A0092B-C50C-407E-A947-70E740481C1C}">
                          <a14:useLocalDpi xmlns:a14="http://schemas.microsoft.com/office/drawing/2010/main" val="0"/>
                        </a:ext>
                      </a:extLst>
                    </a:blip>
                    <a:stretch>
                      <a:fillRect/>
                    </a:stretch>
                  </pic:blipFill>
                  <pic:spPr>
                    <a:xfrm>
                      <a:off x="0" y="0"/>
                      <a:ext cx="3098165" cy="897890"/>
                    </a:xfrm>
                    <a:prstGeom prst="rect">
                      <a:avLst/>
                    </a:prstGeom>
                  </pic:spPr>
                </pic:pic>
              </a:graphicData>
            </a:graphic>
            <wp14:sizeRelH relativeFrom="margin">
              <wp14:pctWidth>0</wp14:pctWidth>
            </wp14:sizeRelH>
            <wp14:sizeRelV relativeFrom="margin">
              <wp14:pctHeight>0</wp14:pctHeight>
            </wp14:sizeRelV>
          </wp:anchor>
        </w:drawing>
      </w:r>
      <w:r w:rsidR="00200DB3" w:rsidRPr="002D2FBE">
        <w:rPr>
          <w:rFonts w:ascii="Verdana" w:eastAsia="Calibri" w:hAnsi="Verdana" w:cs="Arial"/>
          <w:lang w:val="es-ES" w:eastAsia="es-ES"/>
        </w:rPr>
        <w:t>Señor</w:t>
      </w:r>
    </w:p>
    <w:p w14:paraId="240C2560" w14:textId="77777777" w:rsidR="00200DB3" w:rsidRPr="005C4775" w:rsidRDefault="00200DB3" w:rsidP="00200DB3">
      <w:pPr>
        <w:spacing w:after="0" w:line="240" w:lineRule="auto"/>
        <w:rPr>
          <w:rFonts w:ascii="Verdana" w:eastAsia="Calibri" w:hAnsi="Verdana" w:cs="Arial"/>
          <w:b/>
          <w:bCs/>
          <w:lang w:val="es-ES" w:eastAsia="es-ES"/>
        </w:rPr>
      </w:pPr>
      <w:r w:rsidRPr="005C4775">
        <w:rPr>
          <w:rFonts w:ascii="Verdana" w:eastAsia="Calibri" w:hAnsi="Verdana" w:cs="Arial"/>
          <w:b/>
          <w:bCs/>
          <w:lang w:val="es-ES" w:eastAsia="es-ES"/>
        </w:rPr>
        <w:t>Luis Alexis Correa Salazar</w:t>
      </w:r>
    </w:p>
    <w:p w14:paraId="010286E8" w14:textId="77777777" w:rsidR="00200DB3" w:rsidRDefault="00200DB3" w:rsidP="00200DB3">
      <w:pPr>
        <w:spacing w:after="0" w:line="240" w:lineRule="auto"/>
        <w:rPr>
          <w:rFonts w:ascii="Verdana" w:eastAsia="Calibri" w:hAnsi="Verdana" w:cs="Arial"/>
          <w:lang w:val="es-ES" w:eastAsia="es-ES"/>
        </w:rPr>
      </w:pPr>
      <w:hyperlink r:id="rId11" w:history="1">
        <w:r w:rsidRPr="00043B88">
          <w:rPr>
            <w:rStyle w:val="Hipervnculo"/>
            <w:rFonts w:ascii="Verdana" w:eastAsia="Calibri" w:hAnsi="Verdana" w:cs="Arial"/>
            <w:lang w:val="es-ES" w:eastAsia="es-ES"/>
          </w:rPr>
          <w:t>luiscorreasalazar@hotmail.com</w:t>
        </w:r>
      </w:hyperlink>
      <w:r>
        <w:rPr>
          <w:rFonts w:ascii="Verdana" w:eastAsia="Calibri" w:hAnsi="Verdana" w:cs="Arial"/>
          <w:lang w:val="es-ES" w:eastAsia="es-ES"/>
        </w:rPr>
        <w:t xml:space="preserve"> </w:t>
      </w:r>
    </w:p>
    <w:p w14:paraId="58FE1A24" w14:textId="2513F88C" w:rsidR="00200DB3" w:rsidRDefault="00200DB3" w:rsidP="00200DB3">
      <w:pPr>
        <w:spacing w:after="0" w:line="240" w:lineRule="auto"/>
        <w:rPr>
          <w:rFonts w:ascii="Verdana" w:eastAsia="Calibri" w:hAnsi="Verdana" w:cs="Arial"/>
          <w:lang w:val="es-ES" w:eastAsia="es-ES"/>
        </w:rPr>
      </w:pPr>
      <w:r>
        <w:rPr>
          <w:rFonts w:ascii="Verdana" w:eastAsia="Calibri" w:hAnsi="Verdana" w:cs="Arial"/>
          <w:lang w:val="es-ES" w:eastAsia="es-ES"/>
        </w:rPr>
        <w:t xml:space="preserve">Santander, Piedecuesta </w:t>
      </w:r>
    </w:p>
    <w:p w14:paraId="68F3EFD6" w14:textId="77777777" w:rsidR="000A256E" w:rsidRDefault="000A256E" w:rsidP="00200DB3">
      <w:pPr>
        <w:spacing w:after="0" w:line="240" w:lineRule="auto"/>
        <w:rPr>
          <w:rFonts w:ascii="Verdana" w:eastAsia="Calibri" w:hAnsi="Verdana" w:cs="Arial"/>
          <w:lang w:val="es-ES" w:eastAsia="es-ES"/>
        </w:rPr>
      </w:pPr>
    </w:p>
    <w:p w14:paraId="790A80DD" w14:textId="77777777" w:rsidR="000A256E" w:rsidRDefault="000A256E" w:rsidP="00200DB3">
      <w:pPr>
        <w:spacing w:after="0" w:line="240" w:lineRule="auto"/>
        <w:rPr>
          <w:rFonts w:ascii="Verdana" w:eastAsia="Calibri" w:hAnsi="Verdana" w:cs="Arial"/>
          <w:lang w:val="es-ES" w:eastAsia="es-ES"/>
        </w:rPr>
      </w:pPr>
    </w:p>
    <w:p w14:paraId="19361FA6" w14:textId="23646C2B" w:rsidR="000A256E" w:rsidRPr="00A9240F" w:rsidRDefault="000A256E" w:rsidP="000A256E">
      <w:pPr>
        <w:spacing w:after="0" w:line="240" w:lineRule="auto"/>
        <w:jc w:val="right"/>
        <w:rPr>
          <w:rFonts w:ascii="Verdana" w:eastAsia="Calibri" w:hAnsi="Verdana" w:cs="Arial"/>
          <w:lang w:val="pt-BR" w:eastAsia="es-ES"/>
        </w:rPr>
      </w:pPr>
    </w:p>
    <w:p w14:paraId="273DC932" w14:textId="77777777" w:rsidR="00200DB3" w:rsidRPr="002D2FBE" w:rsidRDefault="00200DB3" w:rsidP="00200DB3">
      <w:pPr>
        <w:spacing w:after="0" w:line="240" w:lineRule="auto"/>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200DB3" w:rsidRPr="002D2FBE" w14:paraId="36F51329" w14:textId="77777777" w:rsidTr="001311D3">
        <w:trPr>
          <w:trHeight w:val="999"/>
        </w:trPr>
        <w:tc>
          <w:tcPr>
            <w:tcW w:w="3402" w:type="dxa"/>
          </w:tcPr>
          <w:p w14:paraId="085C5A9C" w14:textId="77777777" w:rsidR="00200DB3" w:rsidRPr="002D2FBE" w:rsidRDefault="00200DB3" w:rsidP="001311D3">
            <w:pPr>
              <w:jc w:val="both"/>
              <w:rPr>
                <w:rFonts w:ascii="Verdana" w:eastAsia="Aptos" w:hAnsi="Verdana" w:cs="Arial"/>
                <w:b/>
                <w:bCs/>
                <w:lang w:val="es-ES_tradnl" w:eastAsia="es-ES_tradnl"/>
              </w:rPr>
            </w:pPr>
          </w:p>
        </w:tc>
        <w:tc>
          <w:tcPr>
            <w:tcW w:w="5831" w:type="dxa"/>
            <w:hideMark/>
          </w:tcPr>
          <w:p w14:paraId="5A0CC52C" w14:textId="1DC08DF7" w:rsidR="00200DB3" w:rsidRPr="002D2FBE" w:rsidRDefault="00200DB3" w:rsidP="001311D3">
            <w:pPr>
              <w:jc w:val="both"/>
              <w:rPr>
                <w:rFonts w:ascii="Verdana" w:eastAsia="Aptos" w:hAnsi="Verdana" w:cs="Arial"/>
                <w:b/>
                <w:bCs/>
                <w:lang w:val="es-ES" w:eastAsia="es-ES"/>
              </w:rPr>
            </w:pPr>
            <w:r w:rsidRPr="002D2FBE">
              <w:rPr>
                <w:rFonts w:ascii="Verdana" w:eastAsia="Aptos" w:hAnsi="Verdana" w:cs="Arial"/>
                <w:b/>
                <w:bCs/>
                <w:lang w:val="es-ES" w:eastAsia="es-ES"/>
              </w:rPr>
              <w:t xml:space="preserve">Concepto C- </w:t>
            </w:r>
            <w:r w:rsidR="00EE42E3">
              <w:rPr>
                <w:rFonts w:ascii="Verdana" w:eastAsia="Aptos" w:hAnsi="Verdana" w:cs="Arial"/>
                <w:b/>
                <w:bCs/>
                <w:lang w:val="es-ES" w:eastAsia="es-ES"/>
              </w:rPr>
              <w:t xml:space="preserve">1102 </w:t>
            </w:r>
            <w:r w:rsidRPr="002D2FBE">
              <w:rPr>
                <w:rFonts w:ascii="Verdana" w:eastAsia="Aptos" w:hAnsi="Verdana" w:cs="Arial"/>
                <w:b/>
                <w:bCs/>
                <w:lang w:val="es-ES" w:eastAsia="es-ES"/>
              </w:rPr>
              <w:t>de 2025</w:t>
            </w:r>
          </w:p>
        </w:tc>
      </w:tr>
      <w:tr w:rsidR="00200DB3" w:rsidRPr="002D2FBE" w14:paraId="0E152907" w14:textId="77777777" w:rsidTr="001311D3">
        <w:trPr>
          <w:trHeight w:val="999"/>
        </w:trPr>
        <w:tc>
          <w:tcPr>
            <w:tcW w:w="3402" w:type="dxa"/>
            <w:hideMark/>
          </w:tcPr>
          <w:p w14:paraId="72ECCE21" w14:textId="77777777" w:rsidR="00200DB3" w:rsidRPr="002D2FBE" w:rsidRDefault="00200DB3" w:rsidP="001311D3">
            <w:pPr>
              <w:jc w:val="both"/>
              <w:rPr>
                <w:rFonts w:ascii="Verdana" w:eastAsia="Aptos" w:hAnsi="Verdana" w:cs="Arial"/>
                <w:lang w:val="es-ES_tradnl" w:eastAsia="es-ES_tradnl"/>
              </w:rPr>
            </w:pPr>
            <w:r w:rsidRPr="002D2FBE">
              <w:rPr>
                <w:rFonts w:ascii="Verdana" w:eastAsia="Aptos" w:hAnsi="Verdana" w:cs="Arial"/>
                <w:b/>
                <w:lang w:val="es-ES_tradnl" w:eastAsia="es-ES_tradnl"/>
              </w:rPr>
              <w:t>Temas:</w:t>
            </w:r>
            <w:r w:rsidRPr="002D2FBE">
              <w:rPr>
                <w:rFonts w:ascii="Verdana" w:eastAsia="Aptos" w:hAnsi="Verdana" w:cs="Arial"/>
                <w:lang w:val="es-ES_tradnl" w:eastAsia="es-ES_tradnl"/>
              </w:rPr>
              <w:t xml:space="preserve">                   </w:t>
            </w:r>
          </w:p>
        </w:tc>
        <w:tc>
          <w:tcPr>
            <w:tcW w:w="5831" w:type="dxa"/>
          </w:tcPr>
          <w:p w14:paraId="01ACB7B6" w14:textId="77777777" w:rsidR="00200DB3" w:rsidRPr="00080835" w:rsidRDefault="00200DB3" w:rsidP="001311D3">
            <w:pPr>
              <w:jc w:val="both"/>
              <w:rPr>
                <w:rFonts w:ascii="Verdana" w:eastAsia="Times New Roman" w:hAnsi="Verdana" w:cs="Times New Roman"/>
                <w:bCs/>
                <w:lang w:val="es-ES"/>
              </w:rPr>
            </w:pPr>
            <w:r w:rsidRPr="003C3BB0">
              <w:rPr>
                <w:rFonts w:ascii="Verdana" w:eastAsia="Aptos" w:hAnsi="Verdana" w:cs="Arial"/>
                <w:bCs/>
                <w:lang w:val="es-MX" w:eastAsia="es-ES"/>
              </w:rPr>
              <w:t>DOCUMENTO TIPO – Fundamento normativo /</w:t>
            </w:r>
            <w:r w:rsidRPr="003C3BB0">
              <w:rPr>
                <w:rFonts w:ascii="Verdana" w:eastAsia="Calibri" w:hAnsi="Verdana" w:cs="Arial"/>
                <w:bCs/>
                <w:lang w:val="es-ES_tradnl"/>
              </w:rPr>
              <w:t xml:space="preserve"> </w:t>
            </w:r>
            <w:r w:rsidRPr="003C3BB0">
              <w:rPr>
                <w:rFonts w:ascii="Verdana" w:eastAsia="Aptos" w:hAnsi="Verdana" w:cs="Arial"/>
                <w:bCs/>
                <w:color w:val="000000"/>
                <w:kern w:val="2"/>
                <w:lang w:val="es-ES_tradnl"/>
                <w14:ligatures w14:val="standardContextual"/>
              </w:rPr>
              <w:t xml:space="preserve">CAUSALES DE RECHAZO – Principio de legalidad – Configuración – Documentos Tipo/ </w:t>
            </w:r>
            <w:r w:rsidRPr="003C3BB0">
              <w:rPr>
                <w:rFonts w:ascii="Verdana" w:eastAsia="Calibri" w:hAnsi="Verdana" w:cs="Arial"/>
                <w:bCs/>
              </w:rPr>
              <w:t xml:space="preserve">DOCUMENTOS TIPO </w:t>
            </w:r>
            <w:r w:rsidRPr="003C3BB0">
              <w:rPr>
                <w:rFonts w:ascii="Verdana" w:eastAsia="Calibri" w:hAnsi="Verdana" w:cs="Arial"/>
                <w:bCs/>
                <w:color w:val="000000"/>
              </w:rPr>
              <w:t xml:space="preserve">– </w:t>
            </w:r>
            <w:r w:rsidRPr="003C3BB0">
              <w:rPr>
                <w:rFonts w:ascii="Verdana" w:eastAsia="Calibri" w:hAnsi="Verdana" w:cs="Arial"/>
                <w:bCs/>
              </w:rPr>
              <w:t xml:space="preserve">Causales de rechazo – Información Inexacta - Literal H / </w:t>
            </w:r>
            <w:r w:rsidRPr="003C3BB0">
              <w:rPr>
                <w:rFonts w:ascii="Verdana" w:eastAsia="Aptos" w:hAnsi="Verdana" w:cs="Arial"/>
                <w:bCs/>
                <w:color w:val="000000"/>
                <w:kern w:val="2"/>
                <w:lang w:val="es-ES_tradnl"/>
                <w14:ligatures w14:val="standardContextual"/>
              </w:rPr>
              <w:t>DOCUMENTOS TIPO – Selección abreviada Infraestructura de transporte – Versión 3 – Causal de rechazo del literal B – Presentación de distintas propuestas</w:t>
            </w:r>
            <w:r w:rsidRPr="003C3BB0">
              <w:rPr>
                <w:rFonts w:ascii="Verdana" w:eastAsia="Times New Roman" w:hAnsi="Verdana" w:cs="Century Gothic"/>
                <w:bCs/>
              </w:rPr>
              <w:t xml:space="preserve"> / </w:t>
            </w:r>
            <w:r w:rsidRPr="00080835">
              <w:rPr>
                <w:rFonts w:ascii="Verdana" w:eastAsia="Times New Roman" w:hAnsi="Verdana" w:cs="Century Gothic"/>
                <w:bCs/>
              </w:rPr>
              <w:t>TRASLADO DEL INFORME DE EVALUACIÓN</w:t>
            </w:r>
            <w:r w:rsidRPr="00080835">
              <w:rPr>
                <w:rFonts w:ascii="Verdana" w:eastAsia="Times New Roman" w:hAnsi="Verdana" w:cs="Arial"/>
                <w:bCs/>
                <w:lang w:val="es-ES" w:eastAsia="es-ES"/>
              </w:rPr>
              <w:t xml:space="preserve"> – Naturaleza / Traslado del informe de evaluación – Principios – Debido proceso</w:t>
            </w:r>
          </w:p>
          <w:p w14:paraId="5A106DFF" w14:textId="77777777" w:rsidR="00200DB3" w:rsidRPr="003C3BB0" w:rsidRDefault="00200DB3" w:rsidP="001311D3">
            <w:pPr>
              <w:spacing w:line="276" w:lineRule="auto"/>
              <w:jc w:val="both"/>
              <w:rPr>
                <w:rFonts w:ascii="Verdana" w:eastAsia="Aptos" w:hAnsi="Verdana" w:cs="Times New Roman"/>
                <w:kern w:val="2"/>
                <w:lang w:val="es-ES"/>
                <w14:ligatures w14:val="standardContextual"/>
              </w:rPr>
            </w:pPr>
          </w:p>
          <w:p w14:paraId="4358C846" w14:textId="77777777" w:rsidR="00200DB3" w:rsidRPr="0098404A" w:rsidRDefault="00200DB3" w:rsidP="001311D3">
            <w:pPr>
              <w:jc w:val="both"/>
              <w:rPr>
                <w:rFonts w:ascii="Verdana" w:eastAsia="Calibri" w:hAnsi="Verdana" w:cs="Times New Roman"/>
              </w:rPr>
            </w:pPr>
          </w:p>
          <w:p w14:paraId="400800D8" w14:textId="77777777" w:rsidR="00200DB3" w:rsidRPr="002D2FBE" w:rsidRDefault="00200DB3" w:rsidP="001311D3">
            <w:pPr>
              <w:widowControl w:val="0"/>
              <w:autoSpaceDE w:val="0"/>
              <w:autoSpaceDN w:val="0"/>
              <w:spacing w:line="276" w:lineRule="auto"/>
              <w:jc w:val="both"/>
              <w:rPr>
                <w:rFonts w:ascii="Verdana" w:eastAsia="Times New Roman" w:hAnsi="Verdana" w:cs="Arial"/>
                <w:bCs/>
              </w:rPr>
            </w:pPr>
          </w:p>
        </w:tc>
      </w:tr>
      <w:tr w:rsidR="00200DB3" w:rsidRPr="002D2FBE" w14:paraId="2CE223C8" w14:textId="77777777" w:rsidTr="001311D3">
        <w:trPr>
          <w:trHeight w:val="597"/>
        </w:trPr>
        <w:tc>
          <w:tcPr>
            <w:tcW w:w="3402" w:type="dxa"/>
            <w:hideMark/>
          </w:tcPr>
          <w:p w14:paraId="5CD39AC1" w14:textId="77777777" w:rsidR="00200DB3" w:rsidRPr="002D2FBE" w:rsidRDefault="00200DB3" w:rsidP="001311D3">
            <w:pPr>
              <w:jc w:val="both"/>
              <w:rPr>
                <w:rFonts w:ascii="Verdana" w:eastAsia="Aptos" w:hAnsi="Verdana" w:cs="Arial"/>
                <w:b/>
                <w:lang w:val="es-ES_tradnl" w:eastAsia="es-ES_tradnl"/>
              </w:rPr>
            </w:pPr>
            <w:r w:rsidRPr="002D2FBE">
              <w:rPr>
                <w:rFonts w:ascii="Verdana" w:eastAsia="Aptos" w:hAnsi="Verdana" w:cs="Arial"/>
                <w:b/>
                <w:lang w:val="es-ES_tradnl" w:eastAsia="es-ES_tradnl"/>
              </w:rPr>
              <w:t>Radicación:</w:t>
            </w:r>
            <w:r w:rsidRPr="002D2FBE">
              <w:rPr>
                <w:rFonts w:ascii="Verdana" w:eastAsia="Aptos" w:hAnsi="Verdana" w:cs="Arial"/>
                <w:lang w:val="es-ES_tradnl" w:eastAsia="es-ES_tradnl"/>
              </w:rPr>
              <w:t xml:space="preserve">               </w:t>
            </w:r>
          </w:p>
        </w:tc>
        <w:tc>
          <w:tcPr>
            <w:tcW w:w="5831" w:type="dxa"/>
          </w:tcPr>
          <w:p w14:paraId="3CE4B435" w14:textId="77777777" w:rsidR="00200DB3" w:rsidRPr="002D2FBE" w:rsidRDefault="00200DB3" w:rsidP="001311D3">
            <w:pPr>
              <w:jc w:val="both"/>
              <w:rPr>
                <w:rFonts w:ascii="Verdana" w:eastAsia="Aptos" w:hAnsi="Verdana" w:cs="Arial"/>
                <w:lang w:val="es-ES_tradnl" w:eastAsia="es-ES_tradnl"/>
              </w:rPr>
            </w:pPr>
            <w:r w:rsidRPr="002D2FBE">
              <w:rPr>
                <w:rFonts w:ascii="Verdana" w:eastAsia="Aptos" w:hAnsi="Verdana" w:cs="Arial"/>
                <w:lang w:val="es-ES_tradnl" w:eastAsia="es-ES_tradnl"/>
              </w:rPr>
              <w:t>Respuesta a consulta con radicado No. 1_2025_0</w:t>
            </w:r>
            <w:r>
              <w:rPr>
                <w:rFonts w:ascii="Verdana" w:eastAsia="Aptos" w:hAnsi="Verdana" w:cs="Arial"/>
                <w:lang w:val="es-ES_tradnl" w:eastAsia="es-ES_tradnl"/>
              </w:rPr>
              <w:t>8</w:t>
            </w:r>
            <w:r w:rsidRPr="002D2FBE">
              <w:rPr>
                <w:rFonts w:ascii="Verdana" w:eastAsia="Aptos" w:hAnsi="Verdana" w:cs="Arial"/>
                <w:lang w:val="es-ES_tradnl" w:eastAsia="es-ES_tradnl"/>
              </w:rPr>
              <w:t>_</w:t>
            </w:r>
            <w:r>
              <w:rPr>
                <w:rFonts w:ascii="Verdana" w:eastAsia="Aptos" w:hAnsi="Verdana" w:cs="Arial"/>
                <w:lang w:val="es-ES_tradnl" w:eastAsia="es-ES_tradnl"/>
              </w:rPr>
              <w:t>06</w:t>
            </w:r>
            <w:r w:rsidRPr="002D2FBE">
              <w:rPr>
                <w:rFonts w:ascii="Verdana" w:eastAsia="Aptos" w:hAnsi="Verdana" w:cs="Arial"/>
                <w:lang w:val="es-ES_tradnl" w:eastAsia="es-ES_tradnl"/>
              </w:rPr>
              <w:t>_00</w:t>
            </w:r>
            <w:r>
              <w:rPr>
                <w:rFonts w:ascii="Verdana" w:eastAsia="Aptos" w:hAnsi="Verdana" w:cs="Arial"/>
                <w:lang w:val="es-ES_tradnl" w:eastAsia="es-ES_tradnl"/>
              </w:rPr>
              <w:t>8212</w:t>
            </w:r>
          </w:p>
        </w:tc>
      </w:tr>
    </w:tbl>
    <w:p w14:paraId="7A8370EA" w14:textId="77777777" w:rsidR="00200DB3" w:rsidRPr="002D2FBE" w:rsidRDefault="00200DB3" w:rsidP="00200DB3">
      <w:pPr>
        <w:spacing w:after="0" w:line="240" w:lineRule="auto"/>
        <w:jc w:val="both"/>
        <w:rPr>
          <w:rFonts w:ascii="Verdana" w:eastAsia="Calibri" w:hAnsi="Verdana" w:cs="Arial"/>
          <w:lang w:val="es-ES_tradnl" w:eastAsia="es-ES_tradnl"/>
        </w:rPr>
      </w:pPr>
    </w:p>
    <w:p w14:paraId="1F8FC93B" w14:textId="77777777" w:rsidR="00200DB3" w:rsidRPr="002D2FBE" w:rsidRDefault="00200DB3" w:rsidP="00200DB3">
      <w:pPr>
        <w:spacing w:after="0" w:line="276" w:lineRule="auto"/>
        <w:jc w:val="both"/>
        <w:rPr>
          <w:rFonts w:ascii="Verdana" w:eastAsia="Calibri" w:hAnsi="Verdana" w:cs="Arial"/>
          <w:lang w:val="es-ES" w:eastAsia="es-ES"/>
        </w:rPr>
      </w:pPr>
      <w:r w:rsidRPr="002D2FBE">
        <w:rPr>
          <w:rFonts w:ascii="Verdana" w:eastAsia="Calibri" w:hAnsi="Verdana" w:cs="Arial"/>
          <w:lang w:val="es-ES" w:eastAsia="es-ES"/>
        </w:rPr>
        <w:t xml:space="preserve">Estimado señor </w:t>
      </w:r>
      <w:r>
        <w:rPr>
          <w:rFonts w:ascii="Verdana" w:eastAsia="Calibri" w:hAnsi="Verdana" w:cs="Arial"/>
          <w:lang w:eastAsia="es-ES"/>
        </w:rPr>
        <w:t>Correa</w:t>
      </w:r>
      <w:r w:rsidRPr="002D2FBE">
        <w:rPr>
          <w:rFonts w:ascii="Verdana" w:eastAsia="Calibri" w:hAnsi="Verdana" w:cs="Arial"/>
          <w:lang w:val="es-ES" w:eastAsia="es-ES"/>
        </w:rPr>
        <w:t xml:space="preserve">:  </w:t>
      </w:r>
    </w:p>
    <w:p w14:paraId="6A279899" w14:textId="77777777" w:rsidR="00200DB3" w:rsidRPr="002D2FBE" w:rsidRDefault="00200DB3" w:rsidP="00200DB3">
      <w:pPr>
        <w:tabs>
          <w:tab w:val="left" w:pos="3768"/>
        </w:tabs>
        <w:spacing w:after="0" w:line="276" w:lineRule="auto"/>
        <w:jc w:val="both"/>
        <w:rPr>
          <w:rFonts w:ascii="Verdana" w:eastAsia="Calibri" w:hAnsi="Verdana" w:cs="Arial"/>
          <w:lang w:val="es-ES" w:eastAsia="es-ES"/>
        </w:rPr>
      </w:pPr>
      <w:r w:rsidRPr="002D2FBE">
        <w:rPr>
          <w:rFonts w:ascii="Verdana" w:eastAsia="Calibri" w:hAnsi="Verdana" w:cs="Arial"/>
          <w:lang w:val="es-ES" w:eastAsia="es-ES"/>
        </w:rPr>
        <w:tab/>
      </w:r>
    </w:p>
    <w:p w14:paraId="0C162051" w14:textId="77777777" w:rsidR="00200DB3" w:rsidRPr="002D2FBE" w:rsidRDefault="00200DB3" w:rsidP="00200DB3">
      <w:pPr>
        <w:spacing w:after="0" w:line="276" w:lineRule="auto"/>
        <w:jc w:val="both"/>
        <w:rPr>
          <w:rFonts w:ascii="Verdana" w:eastAsia="Calibri" w:hAnsi="Verdana" w:cs="Arial"/>
          <w:lang w:val="es-ES" w:eastAsia="es-ES"/>
        </w:rPr>
      </w:pPr>
      <w:r w:rsidRPr="002D2FBE">
        <w:rPr>
          <w:rFonts w:ascii="Verdana" w:eastAsia="Calibri" w:hAnsi="Verdana" w:cs="Arial"/>
          <w:lang w:val="es-ES" w:eastAsia="es-ES"/>
        </w:rPr>
        <w:t>En ejercicio de la competencia otorgada por los artículos 3, numeral 5º, y 11, numeral 8º, del Decreto Ley 4170 de 2011,</w:t>
      </w:r>
      <w:r w:rsidRPr="002D2FBE">
        <w:rPr>
          <w:rFonts w:ascii="Verdana" w:eastAsia="Arial MT" w:hAnsi="Verdana" w:cs="Arial MT"/>
          <w:lang w:val="es-ES" w:eastAsia="es-ES"/>
        </w:rPr>
        <w:t xml:space="preserve"> </w:t>
      </w:r>
      <w:r w:rsidRPr="002D2FBE">
        <w:rPr>
          <w:rFonts w:ascii="Verdana" w:eastAsia="Calibri" w:hAnsi="Verdana" w:cs="Arial"/>
        </w:rPr>
        <w:t xml:space="preserve">así como lo establecido en el artículo 4 de la Resolución 1707 de 2018 expedida por esta Entidad, </w:t>
      </w:r>
      <w:r w:rsidRPr="002D2FBE">
        <w:rPr>
          <w:rFonts w:ascii="Verdana" w:eastAsia="Calibri" w:hAnsi="Verdana" w:cs="Arial"/>
          <w:lang w:val="es-ES" w:eastAsia="es-ES"/>
        </w:rPr>
        <w:t xml:space="preserve">la Agencia Nacional de Contratación Pública – Colombia Compra Eficiente– responde su solicitud de consulta de fecha de </w:t>
      </w:r>
      <w:r>
        <w:rPr>
          <w:rFonts w:ascii="Verdana" w:eastAsia="Calibri" w:hAnsi="Verdana" w:cs="Arial"/>
          <w:lang w:val="es-ES" w:eastAsia="es-ES"/>
        </w:rPr>
        <w:t>06</w:t>
      </w:r>
      <w:r w:rsidRPr="002D2FBE">
        <w:rPr>
          <w:rFonts w:ascii="Verdana" w:eastAsia="Calibri" w:hAnsi="Verdana" w:cs="Arial"/>
          <w:lang w:val="es-ES" w:eastAsia="es-ES"/>
        </w:rPr>
        <w:t xml:space="preserve"> de</w:t>
      </w:r>
      <w:r>
        <w:rPr>
          <w:rFonts w:ascii="Verdana" w:eastAsia="Calibri" w:hAnsi="Verdana" w:cs="Arial"/>
          <w:lang w:val="es-ES" w:eastAsia="es-ES"/>
        </w:rPr>
        <w:t xml:space="preserve"> agosto </w:t>
      </w:r>
      <w:r w:rsidRPr="002D2FBE">
        <w:rPr>
          <w:rFonts w:ascii="Verdana" w:eastAsia="Calibri" w:hAnsi="Verdana" w:cs="Arial"/>
          <w:lang w:val="es-ES" w:eastAsia="es-ES"/>
        </w:rPr>
        <w:t xml:space="preserve">de 2025, en la cual manifiesta lo siguiente: </w:t>
      </w:r>
      <w:bookmarkStart w:id="1" w:name="_Hlk95313578"/>
    </w:p>
    <w:p w14:paraId="47E28B22" w14:textId="77777777" w:rsidR="00200DB3" w:rsidRPr="002D2FBE" w:rsidRDefault="00200DB3" w:rsidP="00200DB3">
      <w:pPr>
        <w:spacing w:after="0" w:line="276" w:lineRule="auto"/>
        <w:jc w:val="both"/>
        <w:rPr>
          <w:rFonts w:ascii="Verdana" w:eastAsia="Calibri" w:hAnsi="Verdana" w:cs="Arial"/>
          <w:sz w:val="21"/>
          <w:szCs w:val="21"/>
          <w:lang w:val="es-ES" w:eastAsia="es-ES"/>
        </w:rPr>
      </w:pPr>
    </w:p>
    <w:bookmarkEnd w:id="1"/>
    <w:p w14:paraId="59006AAC" w14:textId="7002F5E5" w:rsidR="00200DB3" w:rsidRDefault="00200DB3" w:rsidP="00200DB3">
      <w:pPr>
        <w:autoSpaceDE w:val="0"/>
        <w:autoSpaceDN w:val="0"/>
        <w:adjustRightInd w:val="0"/>
        <w:spacing w:after="0" w:line="240" w:lineRule="auto"/>
        <w:ind w:left="709" w:right="709"/>
        <w:jc w:val="both"/>
        <w:rPr>
          <w:rFonts w:ascii="Verdana" w:eastAsia="Calibri" w:hAnsi="Verdana" w:cs="Arial"/>
          <w:sz w:val="20"/>
          <w:szCs w:val="20"/>
          <w:lang w:val="es-ES" w:eastAsia="es-ES"/>
        </w:rPr>
      </w:pPr>
      <w:r w:rsidRPr="002D2FBE">
        <w:rPr>
          <w:rFonts w:ascii="Verdana" w:eastAsia="Calibri" w:hAnsi="Verdana" w:cs="Arial"/>
          <w:sz w:val="21"/>
          <w:szCs w:val="21"/>
          <w:lang w:val="es-ES" w:eastAsia="es-ES"/>
        </w:rPr>
        <w:lastRenderedPageBreak/>
        <w:t>“</w:t>
      </w:r>
      <w:r w:rsidRPr="005A44BC">
        <w:rPr>
          <w:rFonts w:ascii="Verdana" w:eastAsia="Calibri" w:hAnsi="Verdana" w:cs="Arial"/>
          <w:sz w:val="20"/>
          <w:szCs w:val="20"/>
          <w:lang w:val="es-ES" w:eastAsia="es-ES"/>
        </w:rPr>
        <w:t xml:space="preserve">1. </w:t>
      </w:r>
      <w:r w:rsidR="00A95F17" w:rsidRPr="005A44BC">
        <w:rPr>
          <w:rFonts w:ascii="Verdana" w:eastAsia="Calibri" w:hAnsi="Verdana" w:cs="Arial"/>
          <w:sz w:val="20"/>
          <w:szCs w:val="20"/>
          <w:lang w:val="es-ES" w:eastAsia="es-ES"/>
        </w:rPr>
        <w:t>¿</w:t>
      </w:r>
      <w:r w:rsidRPr="005A44BC">
        <w:rPr>
          <w:rFonts w:ascii="Verdana" w:eastAsia="Calibri" w:hAnsi="Verdana" w:cs="Arial"/>
          <w:sz w:val="20"/>
          <w:szCs w:val="20"/>
          <w:lang w:val="es-ES" w:eastAsia="es-ES"/>
        </w:rPr>
        <w:t>Respecto a la causal de rechazo H, brindar información inexacta, es obligación de la entidad contratante verificar la evidencia que ex exponga sobre una posible información inexacta? O, por el contrario, si esa información inexacta goza del principio de la buena fe.</w:t>
      </w:r>
    </w:p>
    <w:p w14:paraId="000921BA" w14:textId="77777777" w:rsidR="00200DB3" w:rsidRPr="005A44BC" w:rsidRDefault="00200DB3" w:rsidP="00200DB3">
      <w:pPr>
        <w:autoSpaceDE w:val="0"/>
        <w:autoSpaceDN w:val="0"/>
        <w:adjustRightInd w:val="0"/>
        <w:spacing w:after="0" w:line="240" w:lineRule="auto"/>
        <w:ind w:left="709" w:right="709"/>
        <w:jc w:val="both"/>
        <w:rPr>
          <w:rFonts w:ascii="Verdana" w:eastAsia="Calibri" w:hAnsi="Verdana" w:cs="Arial"/>
          <w:sz w:val="20"/>
          <w:szCs w:val="20"/>
          <w:lang w:val="es-ES" w:eastAsia="es-ES"/>
        </w:rPr>
      </w:pPr>
    </w:p>
    <w:p w14:paraId="795F9CDB" w14:textId="120E4BBF" w:rsidR="00200DB3" w:rsidRDefault="00200DB3" w:rsidP="00200DB3">
      <w:pPr>
        <w:autoSpaceDE w:val="0"/>
        <w:autoSpaceDN w:val="0"/>
        <w:adjustRightInd w:val="0"/>
        <w:spacing w:after="0" w:line="240" w:lineRule="auto"/>
        <w:ind w:left="709" w:right="709"/>
        <w:jc w:val="both"/>
        <w:rPr>
          <w:rFonts w:ascii="Verdana" w:eastAsia="Calibri" w:hAnsi="Verdana" w:cs="Arial"/>
          <w:sz w:val="20"/>
          <w:szCs w:val="20"/>
          <w:lang w:val="es-ES" w:eastAsia="es-ES"/>
        </w:rPr>
      </w:pPr>
      <w:r w:rsidRPr="005A44BC">
        <w:rPr>
          <w:rFonts w:ascii="Verdana" w:eastAsia="Calibri" w:hAnsi="Verdana" w:cs="Arial"/>
          <w:sz w:val="20"/>
          <w:szCs w:val="20"/>
          <w:lang w:val="es-ES" w:eastAsia="es-ES"/>
        </w:rPr>
        <w:t xml:space="preserve">2. Si en procesos de selección abreviada, manifiestan interés en presentar oferta dos o más empresas </w:t>
      </w:r>
      <w:proofErr w:type="spellStart"/>
      <w:r w:rsidRPr="005A44BC">
        <w:rPr>
          <w:rFonts w:ascii="Verdana" w:eastAsia="Calibri" w:hAnsi="Verdana" w:cs="Arial"/>
          <w:sz w:val="20"/>
          <w:szCs w:val="20"/>
          <w:lang w:val="es-ES" w:eastAsia="es-ES"/>
        </w:rPr>
        <w:t>sas</w:t>
      </w:r>
      <w:proofErr w:type="spellEnd"/>
      <w:r w:rsidRPr="005A44BC">
        <w:rPr>
          <w:rFonts w:ascii="Verdana" w:eastAsia="Calibri" w:hAnsi="Verdana" w:cs="Arial"/>
          <w:sz w:val="20"/>
          <w:szCs w:val="20"/>
          <w:lang w:val="es-ES" w:eastAsia="es-ES"/>
        </w:rPr>
        <w:t xml:space="preserve"> que tienen en común un accionista, se aplica el concepto de que se valida la primera </w:t>
      </w:r>
      <w:proofErr w:type="spellStart"/>
      <w:r w:rsidRPr="005A44BC">
        <w:rPr>
          <w:rFonts w:ascii="Verdana" w:eastAsia="Calibri" w:hAnsi="Verdana" w:cs="Arial"/>
          <w:sz w:val="20"/>
          <w:szCs w:val="20"/>
          <w:lang w:val="es-ES" w:eastAsia="es-ES"/>
        </w:rPr>
        <w:t>sas</w:t>
      </w:r>
      <w:proofErr w:type="spellEnd"/>
      <w:r w:rsidRPr="005A44BC">
        <w:rPr>
          <w:rFonts w:ascii="Verdana" w:eastAsia="Calibri" w:hAnsi="Verdana" w:cs="Arial"/>
          <w:sz w:val="20"/>
          <w:szCs w:val="20"/>
          <w:lang w:val="es-ES" w:eastAsia="es-ES"/>
        </w:rPr>
        <w:t xml:space="preserve"> en manifestar interés, o, por el contrario, </w:t>
      </w:r>
      <w:r w:rsidR="00A95F17" w:rsidRPr="005A44BC">
        <w:rPr>
          <w:rFonts w:ascii="Verdana" w:eastAsia="Calibri" w:hAnsi="Verdana" w:cs="Arial"/>
          <w:sz w:val="20"/>
          <w:szCs w:val="20"/>
          <w:lang w:val="es-ES" w:eastAsia="es-ES"/>
        </w:rPr>
        <w:t>¿</w:t>
      </w:r>
      <w:r w:rsidRPr="005A44BC">
        <w:rPr>
          <w:rFonts w:ascii="Verdana" w:eastAsia="Calibri" w:hAnsi="Verdana" w:cs="Arial"/>
          <w:sz w:val="20"/>
          <w:szCs w:val="20"/>
          <w:lang w:val="es-ES" w:eastAsia="es-ES"/>
        </w:rPr>
        <w:t xml:space="preserve">al demostrarse la intención de engañar a la entidad contratante se debería inhabilitar las </w:t>
      </w:r>
      <w:proofErr w:type="spellStart"/>
      <w:r w:rsidRPr="005A44BC">
        <w:rPr>
          <w:rFonts w:ascii="Verdana" w:eastAsia="Calibri" w:hAnsi="Verdana" w:cs="Arial"/>
          <w:sz w:val="20"/>
          <w:szCs w:val="20"/>
          <w:lang w:val="es-ES" w:eastAsia="es-ES"/>
        </w:rPr>
        <w:t>sas</w:t>
      </w:r>
      <w:proofErr w:type="spellEnd"/>
      <w:r w:rsidRPr="005A44BC">
        <w:rPr>
          <w:rFonts w:ascii="Verdana" w:eastAsia="Calibri" w:hAnsi="Verdana" w:cs="Arial"/>
          <w:sz w:val="20"/>
          <w:szCs w:val="20"/>
          <w:lang w:val="es-ES" w:eastAsia="es-ES"/>
        </w:rPr>
        <w:t xml:space="preserve"> donde se evidencien que comparten el mismo accionista?</w:t>
      </w:r>
    </w:p>
    <w:p w14:paraId="641177EA" w14:textId="77777777" w:rsidR="00200DB3" w:rsidRPr="005A44BC" w:rsidRDefault="00200DB3" w:rsidP="00200DB3">
      <w:pPr>
        <w:autoSpaceDE w:val="0"/>
        <w:autoSpaceDN w:val="0"/>
        <w:adjustRightInd w:val="0"/>
        <w:spacing w:after="0" w:line="240" w:lineRule="auto"/>
        <w:ind w:right="709"/>
        <w:jc w:val="both"/>
        <w:rPr>
          <w:rFonts w:ascii="Verdana" w:eastAsia="Calibri" w:hAnsi="Verdana" w:cs="Arial"/>
          <w:sz w:val="20"/>
          <w:szCs w:val="20"/>
          <w:lang w:val="es-ES" w:eastAsia="es-ES"/>
        </w:rPr>
      </w:pPr>
    </w:p>
    <w:p w14:paraId="0D324B50" w14:textId="56CC5EFB" w:rsidR="00200DB3" w:rsidRPr="002D2FBE" w:rsidRDefault="00200DB3" w:rsidP="00200DB3">
      <w:pPr>
        <w:autoSpaceDE w:val="0"/>
        <w:autoSpaceDN w:val="0"/>
        <w:adjustRightInd w:val="0"/>
        <w:spacing w:after="0" w:line="240" w:lineRule="auto"/>
        <w:ind w:left="709" w:right="709"/>
        <w:jc w:val="both"/>
        <w:rPr>
          <w:rFonts w:ascii="t9" w:eastAsia="Aptos" w:hAnsi="t9" w:cs="t9"/>
          <w:sz w:val="24"/>
          <w:szCs w:val="24"/>
          <w:lang w:val="es-MX"/>
          <w14:ligatures w14:val="standardContextual"/>
        </w:rPr>
      </w:pPr>
      <w:r w:rsidRPr="005A44BC">
        <w:rPr>
          <w:rFonts w:ascii="Verdana" w:eastAsia="Calibri" w:hAnsi="Verdana" w:cs="Arial"/>
          <w:sz w:val="20"/>
          <w:szCs w:val="20"/>
          <w:lang w:val="es-ES" w:eastAsia="es-ES"/>
        </w:rPr>
        <w:t xml:space="preserve">3. Al comité evaluador le obliga responder observaciones así el oferente se encuentre en causal de rechazo? </w:t>
      </w:r>
      <w:r w:rsidR="00A95F17" w:rsidRPr="005A44BC">
        <w:rPr>
          <w:rFonts w:ascii="Verdana" w:eastAsia="Calibri" w:hAnsi="Verdana" w:cs="Arial"/>
          <w:sz w:val="20"/>
          <w:szCs w:val="20"/>
          <w:lang w:val="es-ES" w:eastAsia="es-ES"/>
        </w:rPr>
        <w:t>¿</w:t>
      </w:r>
      <w:r w:rsidRPr="005A44BC">
        <w:rPr>
          <w:rFonts w:ascii="Verdana" w:eastAsia="Calibri" w:hAnsi="Verdana" w:cs="Arial"/>
          <w:sz w:val="20"/>
          <w:szCs w:val="20"/>
          <w:lang w:val="es-ES" w:eastAsia="es-ES"/>
        </w:rPr>
        <w:t>En caso de que sea negativa la respuesta y se evidencia que el oferente rechazado y observado presenta información inexacta, que justificación jurídica le asiste?”.</w:t>
      </w:r>
      <w:r w:rsidRPr="002D2FBE">
        <w:rPr>
          <w:rFonts w:ascii="Verdana" w:eastAsia="Calibri" w:hAnsi="Verdana" w:cs="Arial"/>
          <w:sz w:val="21"/>
          <w:szCs w:val="21"/>
          <w:lang w:val="es-ES" w:eastAsia="es-ES"/>
        </w:rPr>
        <w:t xml:space="preserve"> (sic)</w:t>
      </w:r>
    </w:p>
    <w:p w14:paraId="5D8006D7" w14:textId="77777777" w:rsidR="00200DB3" w:rsidRPr="002D2FBE" w:rsidRDefault="00200DB3" w:rsidP="00200DB3">
      <w:pPr>
        <w:spacing w:after="0" w:line="240" w:lineRule="auto"/>
        <w:ind w:left="709" w:right="709"/>
        <w:jc w:val="both"/>
        <w:rPr>
          <w:rFonts w:ascii="ArialMT" w:eastAsia="Times New Roman" w:hAnsi="ArialMT" w:cs="Times New Roman"/>
          <w:sz w:val="21"/>
          <w:szCs w:val="21"/>
          <w:lang w:eastAsia="es-CO"/>
        </w:rPr>
      </w:pPr>
    </w:p>
    <w:p w14:paraId="13934A96" w14:textId="77777777" w:rsidR="00200DB3" w:rsidRPr="002D2FBE" w:rsidRDefault="00200DB3" w:rsidP="00200DB3">
      <w:pPr>
        <w:spacing w:after="120" w:line="276" w:lineRule="auto"/>
        <w:ind w:firstLine="709"/>
        <w:jc w:val="both"/>
        <w:rPr>
          <w:rFonts w:ascii="Verdana" w:eastAsia="Calibri" w:hAnsi="Verdana" w:cs="Arial"/>
          <w:szCs w:val="24"/>
          <w:lang w:val="es-ES_tradnl" w:eastAsia="es-ES_tradnl"/>
        </w:rPr>
      </w:pPr>
      <w:r w:rsidRPr="002D2FBE">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D2FBE">
        <w:rPr>
          <w:rFonts w:ascii="Verdana" w:eastAsia="Calibri" w:hAnsi="Verdana" w:cs="Arial"/>
          <w:szCs w:val="24"/>
          <w:lang w:val="es-ES_tradnl" w:eastAsia="es-ES_tradnl"/>
        </w:rPr>
        <w:tab/>
      </w:r>
    </w:p>
    <w:p w14:paraId="14A12639" w14:textId="77777777" w:rsidR="00200DB3" w:rsidRPr="002D2FBE" w:rsidRDefault="00200DB3" w:rsidP="00200DB3">
      <w:pPr>
        <w:spacing w:after="0" w:line="276" w:lineRule="auto"/>
        <w:ind w:firstLine="708"/>
        <w:jc w:val="both"/>
        <w:rPr>
          <w:rFonts w:ascii="Verdana" w:eastAsia="Calibri" w:hAnsi="Verdana" w:cs="Arial"/>
          <w:lang w:val="es-ES" w:eastAsia="es-ES"/>
        </w:rPr>
      </w:pPr>
      <w:r w:rsidRPr="002D2FBE">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0544285C" w14:textId="77777777" w:rsidR="00200DB3" w:rsidRPr="002D2FBE" w:rsidRDefault="00200DB3" w:rsidP="00200DB3">
      <w:pPr>
        <w:spacing w:after="0" w:line="276" w:lineRule="auto"/>
        <w:ind w:firstLine="709"/>
        <w:jc w:val="both"/>
        <w:rPr>
          <w:rFonts w:ascii="Verdana" w:eastAsia="Calibri" w:hAnsi="Verdana" w:cs="Arial"/>
          <w:lang w:val="es-ES" w:eastAsia="es-ES"/>
        </w:rPr>
      </w:pPr>
    </w:p>
    <w:p w14:paraId="22CD081F" w14:textId="77777777" w:rsidR="00200DB3" w:rsidRPr="002D2FBE" w:rsidRDefault="00200DB3" w:rsidP="00200DB3">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2D2FBE">
        <w:rPr>
          <w:rFonts w:ascii="Verdana" w:eastAsia="Century Gothic" w:hAnsi="Verdana" w:cs="Century Gothic"/>
          <w:b/>
          <w:bCs/>
          <w:lang w:val="es-ES"/>
        </w:rPr>
        <w:t>Problema planteado:</w:t>
      </w:r>
    </w:p>
    <w:p w14:paraId="2EBD57AB" w14:textId="77777777" w:rsidR="00200DB3" w:rsidRPr="002D2FBE" w:rsidRDefault="00200DB3" w:rsidP="00200DB3">
      <w:pPr>
        <w:tabs>
          <w:tab w:val="left" w:pos="426"/>
        </w:tabs>
        <w:spacing w:after="0" w:line="276" w:lineRule="auto"/>
        <w:jc w:val="both"/>
        <w:rPr>
          <w:rFonts w:ascii="Verdana" w:eastAsia="Century Gothic" w:hAnsi="Verdana" w:cs="Century Gothic"/>
          <w:lang w:val="es-ES"/>
        </w:rPr>
      </w:pPr>
    </w:p>
    <w:p w14:paraId="30D8FCC2" w14:textId="77777777" w:rsidR="00200DB3" w:rsidRDefault="00200DB3" w:rsidP="00200DB3">
      <w:pPr>
        <w:spacing w:after="0" w:line="276" w:lineRule="auto"/>
        <w:jc w:val="both"/>
        <w:rPr>
          <w:rFonts w:ascii="Verdana" w:eastAsia="Century Gothic" w:hAnsi="Verdana" w:cs="Century Gothic"/>
        </w:rPr>
      </w:pPr>
      <w:r w:rsidRPr="002D2FBE">
        <w:rPr>
          <w:rFonts w:ascii="Verdana" w:eastAsia="Century Gothic" w:hAnsi="Verdana" w:cs="Century Gothic"/>
        </w:rPr>
        <w:t>De acuerdo con el contenido de su solicitud, esta Agencia resolverá los siguientes problemas jurídicos:</w:t>
      </w:r>
      <w:r>
        <w:rPr>
          <w:rFonts w:ascii="Verdana" w:eastAsia="Century Gothic" w:hAnsi="Verdana" w:cs="Century Gothic"/>
        </w:rPr>
        <w:t xml:space="preserve"> i) </w:t>
      </w:r>
      <w:r w:rsidRPr="002D2FBE">
        <w:rPr>
          <w:rFonts w:ascii="Verdana" w:eastAsia="Century Gothic" w:hAnsi="Verdana" w:cs="Century Gothic"/>
        </w:rPr>
        <w:t xml:space="preserve">En relación con la causal de rechazo contenida en el literal H del </w:t>
      </w:r>
      <w:r>
        <w:rPr>
          <w:rFonts w:ascii="Verdana" w:eastAsia="Century Gothic" w:hAnsi="Verdana" w:cs="Century Gothic"/>
        </w:rPr>
        <w:t>documento base de documentos</w:t>
      </w:r>
      <w:r w:rsidRPr="002D2FBE">
        <w:rPr>
          <w:rFonts w:ascii="Verdana" w:eastAsia="Century Gothic" w:hAnsi="Verdana" w:cs="Century Gothic"/>
        </w:rPr>
        <w:t xml:space="preserve"> tipo de </w:t>
      </w:r>
      <w:r>
        <w:rPr>
          <w:rFonts w:ascii="Verdana" w:eastAsia="Century Gothic" w:hAnsi="Verdana" w:cs="Century Gothic"/>
        </w:rPr>
        <w:t xml:space="preserve">selección abreviada de menor </w:t>
      </w:r>
      <w:r>
        <w:rPr>
          <w:rFonts w:ascii="Verdana" w:eastAsia="Century Gothic" w:hAnsi="Verdana" w:cs="Century Gothic"/>
        </w:rPr>
        <w:lastRenderedPageBreak/>
        <w:t xml:space="preserve">cuantía </w:t>
      </w:r>
      <w:r w:rsidRPr="002D2FBE">
        <w:rPr>
          <w:rFonts w:ascii="Verdana" w:eastAsia="Century Gothic" w:hAnsi="Verdana" w:cs="Century Gothic"/>
        </w:rPr>
        <w:t xml:space="preserve">de infraestructura de transporte – versión </w:t>
      </w:r>
      <w:r>
        <w:rPr>
          <w:rFonts w:ascii="Verdana" w:eastAsia="Century Gothic" w:hAnsi="Verdana" w:cs="Century Gothic"/>
        </w:rPr>
        <w:t>3 ¿Es obligación de la Entidad Estatal verificar la evidencia que se exponga sobre una posible información inexacta?</w:t>
      </w:r>
    </w:p>
    <w:p w14:paraId="0F657CD1" w14:textId="77777777" w:rsidR="00200DB3" w:rsidRDefault="00200DB3" w:rsidP="00200DB3">
      <w:pPr>
        <w:spacing w:after="0" w:line="276" w:lineRule="auto"/>
        <w:jc w:val="both"/>
        <w:rPr>
          <w:rFonts w:ascii="Verdana" w:eastAsia="Century Gothic" w:hAnsi="Verdana" w:cs="Century Gothic"/>
        </w:rPr>
      </w:pPr>
    </w:p>
    <w:p w14:paraId="43720557" w14:textId="77777777" w:rsidR="00200DB3" w:rsidRDefault="00200DB3" w:rsidP="00200DB3">
      <w:pPr>
        <w:spacing w:after="0" w:line="276" w:lineRule="auto"/>
        <w:jc w:val="both"/>
        <w:rPr>
          <w:rFonts w:ascii="Verdana" w:eastAsia="Century Gothic" w:hAnsi="Verdana" w:cs="Century Gothic"/>
        </w:rPr>
      </w:pPr>
      <w:proofErr w:type="spellStart"/>
      <w:r>
        <w:rPr>
          <w:rFonts w:ascii="Verdana" w:eastAsia="Century Gothic" w:hAnsi="Verdana" w:cs="Century Gothic"/>
        </w:rPr>
        <w:t>ii</w:t>
      </w:r>
      <w:proofErr w:type="spellEnd"/>
      <w:r>
        <w:rPr>
          <w:rFonts w:ascii="Verdana" w:eastAsia="Century Gothic" w:hAnsi="Verdana" w:cs="Century Gothic"/>
        </w:rPr>
        <w:t>) ¿En un proceso de contratación mediante la modalidad de selección abreviada, donde participan dos empresas que tienen en común un accionista puede una de ellas ser adjudicataria del contrato?</w:t>
      </w:r>
    </w:p>
    <w:p w14:paraId="0843A2EA" w14:textId="77777777" w:rsidR="00200DB3" w:rsidRDefault="00200DB3" w:rsidP="00200DB3">
      <w:pPr>
        <w:spacing w:after="0" w:line="276" w:lineRule="auto"/>
        <w:jc w:val="both"/>
        <w:rPr>
          <w:rFonts w:ascii="Verdana" w:eastAsia="Century Gothic" w:hAnsi="Verdana" w:cs="Century Gothic"/>
        </w:rPr>
      </w:pPr>
    </w:p>
    <w:p w14:paraId="25CDA95A" w14:textId="77777777" w:rsidR="00200DB3" w:rsidRDefault="00200DB3" w:rsidP="00200DB3">
      <w:pPr>
        <w:spacing w:after="0" w:line="276" w:lineRule="auto"/>
        <w:jc w:val="both"/>
        <w:rPr>
          <w:rFonts w:ascii="Verdana" w:eastAsia="Century Gothic" w:hAnsi="Verdana" w:cs="Century Gothic"/>
        </w:rPr>
      </w:pPr>
      <w:proofErr w:type="spellStart"/>
      <w:r>
        <w:rPr>
          <w:rFonts w:ascii="Verdana" w:eastAsia="Century Gothic" w:hAnsi="Verdana" w:cs="Century Gothic"/>
        </w:rPr>
        <w:t>iii</w:t>
      </w:r>
      <w:proofErr w:type="spellEnd"/>
      <w:r>
        <w:rPr>
          <w:rFonts w:ascii="Verdana" w:eastAsia="Century Gothic" w:hAnsi="Verdana" w:cs="Century Gothic"/>
        </w:rPr>
        <w:t>) ¿El comité evaluador está obligado a responder todas las observaciones que se presenten en determinado proceso de contratación?</w:t>
      </w:r>
    </w:p>
    <w:p w14:paraId="5DE699F7" w14:textId="77777777" w:rsidR="00200DB3" w:rsidRDefault="00200DB3" w:rsidP="00200DB3">
      <w:pPr>
        <w:spacing w:after="0" w:line="276" w:lineRule="auto"/>
        <w:jc w:val="both"/>
        <w:rPr>
          <w:rFonts w:ascii="Verdana" w:eastAsia="Century Gothic" w:hAnsi="Verdana" w:cs="Century Gothic"/>
        </w:rPr>
      </w:pPr>
    </w:p>
    <w:p w14:paraId="72AD8260" w14:textId="77777777" w:rsidR="00200DB3" w:rsidRPr="002213F0" w:rsidRDefault="00200DB3" w:rsidP="00200DB3">
      <w:pPr>
        <w:spacing w:after="0" w:line="276" w:lineRule="auto"/>
        <w:jc w:val="both"/>
        <w:rPr>
          <w:rFonts w:ascii="Verdana" w:eastAsia="Century Gothic" w:hAnsi="Verdana" w:cs="Century Gothic"/>
        </w:rPr>
      </w:pPr>
    </w:p>
    <w:p w14:paraId="056FA16D" w14:textId="77777777" w:rsidR="00200DB3" w:rsidRPr="002D2FBE" w:rsidRDefault="00200DB3" w:rsidP="00200DB3">
      <w:pPr>
        <w:spacing w:after="0" w:line="276" w:lineRule="auto"/>
        <w:jc w:val="both"/>
        <w:rPr>
          <w:rFonts w:ascii="Verdana" w:eastAsia="Century Gothic" w:hAnsi="Verdana" w:cs="Century Gothic"/>
          <w:b/>
          <w:bCs/>
          <w:lang w:val="es-ES"/>
        </w:rPr>
      </w:pPr>
      <w:r w:rsidRPr="002D2FBE">
        <w:rPr>
          <w:rFonts w:ascii="Verdana" w:eastAsia="Century Gothic" w:hAnsi="Verdana" w:cs="Century Gothic"/>
          <w:b/>
          <w:bCs/>
          <w:lang w:val="es-ES"/>
        </w:rPr>
        <w:t>Respuestas:</w:t>
      </w: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00DB3" w:rsidRPr="002D2FBE" w14:paraId="35DBFCF3" w14:textId="77777777" w:rsidTr="001311D3">
        <w:trPr>
          <w:trHeight w:val="6899"/>
        </w:trPr>
        <w:tc>
          <w:tcPr>
            <w:tcW w:w="8828" w:type="dxa"/>
            <w:tcBorders>
              <w:top w:val="dotted" w:sz="4" w:space="0" w:color="auto"/>
              <w:left w:val="dotted" w:sz="4" w:space="0" w:color="auto"/>
              <w:bottom w:val="dotted" w:sz="4" w:space="0" w:color="auto"/>
              <w:right w:val="dotted" w:sz="4" w:space="0" w:color="auto"/>
            </w:tcBorders>
          </w:tcPr>
          <w:p w14:paraId="26909283" w14:textId="77777777" w:rsidR="00200DB3" w:rsidRPr="00313E0F" w:rsidRDefault="00200DB3" w:rsidP="00200DB3">
            <w:pPr>
              <w:pStyle w:val="Prrafodelista"/>
              <w:numPr>
                <w:ilvl w:val="0"/>
                <w:numId w:val="20"/>
              </w:numPr>
              <w:spacing w:line="276" w:lineRule="auto"/>
              <w:ind w:left="-74"/>
              <w:jc w:val="both"/>
              <w:rPr>
                <w:rFonts w:ascii="Verdana" w:eastAsia="Aptos" w:hAnsi="Verdana" w:cs="Arial"/>
              </w:rPr>
            </w:pPr>
            <w:r>
              <w:rPr>
                <w:rFonts w:ascii="Verdana" w:eastAsia="Calibri" w:hAnsi="Verdana" w:cs="Arial"/>
                <w:lang w:val="es-MX"/>
              </w:rPr>
              <w:t xml:space="preserve">i)       </w:t>
            </w:r>
            <w:r w:rsidRPr="00313E0F">
              <w:rPr>
                <w:rFonts w:ascii="Verdana" w:eastAsia="Calibri" w:hAnsi="Verdana" w:cs="Arial"/>
                <w:lang w:val="es-MX"/>
              </w:rPr>
              <w:t xml:space="preserve">La </w:t>
            </w:r>
            <w:r w:rsidRPr="00313E0F">
              <w:rPr>
                <w:rFonts w:ascii="Verdana" w:eastAsia="Calibri" w:hAnsi="Verdana" w:cs="Arial"/>
              </w:rPr>
              <w:t xml:space="preserve">regla de verificación de la información prevista en el numeral 1.11 del documento base aplica frente a la </w:t>
            </w:r>
            <w:r w:rsidRPr="00313E0F">
              <w:rPr>
                <w:rFonts w:ascii="Verdana" w:eastAsia="Calibri" w:hAnsi="Verdana" w:cs="Arial"/>
                <w:i/>
                <w:iCs/>
              </w:rPr>
              <w:t>totalidad de la información y documentación aportada para cumplir los requisitos exigidos en el pliego de condiciones</w:t>
            </w:r>
            <w:r w:rsidRPr="00313E0F">
              <w:rPr>
                <w:rFonts w:ascii="Verdana" w:eastAsia="Calibri" w:hAnsi="Verdana" w:cs="Arial"/>
              </w:rPr>
              <w:t>. En este sentido, t</w:t>
            </w:r>
            <w:r w:rsidRPr="00313E0F">
              <w:rPr>
                <w:rFonts w:ascii="Verdana" w:eastAsia="Aptos" w:hAnsi="Verdana" w:cs="Arial"/>
              </w:rPr>
              <w:t>eniendo en cuenta su petición, es importante indicar que, lo expresado en la causal de rechazo contenida en el literal H del numeral 1.15 de los documentos tipo de</w:t>
            </w:r>
            <w:r>
              <w:rPr>
                <w:rFonts w:ascii="Verdana" w:eastAsia="Aptos" w:hAnsi="Verdana" w:cs="Arial"/>
              </w:rPr>
              <w:t xml:space="preserve"> selección abreviada de menor cuantía </w:t>
            </w:r>
            <w:r w:rsidRPr="00313E0F">
              <w:rPr>
                <w:rFonts w:ascii="Verdana" w:eastAsia="Aptos" w:hAnsi="Verdana" w:cs="Arial"/>
              </w:rPr>
              <w:t xml:space="preserve">de infraestructura de transporte – versión </w:t>
            </w:r>
            <w:r>
              <w:rPr>
                <w:rFonts w:ascii="Verdana" w:eastAsia="Aptos" w:hAnsi="Verdana" w:cs="Arial"/>
              </w:rPr>
              <w:t>3</w:t>
            </w:r>
            <w:r w:rsidRPr="00313E0F">
              <w:rPr>
                <w:rFonts w:ascii="Verdana" w:eastAsia="Aptos" w:hAnsi="Verdana" w:cs="Arial"/>
              </w:rPr>
              <w:t>, es exigible con la documentación objeto de verificación y de evaluación por parte de la Entidad Estatal, tanto para requisitos habilitantes como de calificación o ponderables. Sin embargo, los supuestos de hecho en los que se fundamenta la causal de rechazo del literal H, esto es por presunta falsedad, no permite subsanación, sin que en esto sea relevante que se otorguen o no puntos a la propuesta, pues ocurridos los eventos que contienen se configura el supuesto que da lugar al rechazo dado a que la finalidad que persigue la causal sub examine es desincentivar todas las prácticas delictivas en los procesos de contratación estatal.</w:t>
            </w:r>
          </w:p>
          <w:p w14:paraId="1351831C" w14:textId="77777777" w:rsidR="00200DB3" w:rsidRPr="002D2FBE" w:rsidRDefault="00200DB3" w:rsidP="001311D3">
            <w:pPr>
              <w:spacing w:line="276" w:lineRule="auto"/>
              <w:ind w:left="57"/>
              <w:jc w:val="both"/>
              <w:rPr>
                <w:rFonts w:ascii="Verdana" w:eastAsia="Aptos" w:hAnsi="Verdana" w:cs="Arial"/>
              </w:rPr>
            </w:pPr>
          </w:p>
          <w:p w14:paraId="391F82A5" w14:textId="77777777" w:rsidR="00200DB3" w:rsidRDefault="00200DB3" w:rsidP="001311D3">
            <w:pPr>
              <w:spacing w:line="276" w:lineRule="auto"/>
              <w:jc w:val="both"/>
              <w:rPr>
                <w:rFonts w:ascii="Verdana" w:eastAsia="Aptos" w:hAnsi="Verdana" w:cs="Arial"/>
              </w:rPr>
            </w:pPr>
            <w:r w:rsidRPr="002D2FBE">
              <w:rPr>
                <w:rFonts w:ascii="Verdana" w:eastAsia="Aptos" w:hAnsi="Verdana" w:cs="Arial"/>
              </w:rPr>
              <w:t xml:space="preserve">En este sentido, la configuración de la causal se determinará teniendo en cuenta si la información inexacta conduce a una posible falsedad de los documentos sujetos de verificación y/o evaluación por parte de la Entidad Estatal, tanto para requisitos habilitantes como de calificación o ponderables. Por consiguiente, la entidad estatal deberá analizar concretamente cada uno de los casos en concreto para determinar si existe una posible falsedad, caso en el cual, luego de dar la oportunidad para que el proponente se manifieste, </w:t>
            </w:r>
            <w:r w:rsidRPr="002D2FBE">
              <w:rPr>
                <w:rFonts w:ascii="Verdana" w:eastAsia="Aptos" w:hAnsi="Verdana" w:cs="Arial"/>
              </w:rPr>
              <w:lastRenderedPageBreak/>
              <w:t>es procedente rechazar la oferta y remitir copias a las autoridades competentes, quienes adelantarán las respectivas investigaciones.</w:t>
            </w:r>
          </w:p>
          <w:p w14:paraId="08E3B3A2" w14:textId="77777777" w:rsidR="00200DB3" w:rsidRDefault="00200DB3" w:rsidP="001311D3">
            <w:pPr>
              <w:spacing w:line="276" w:lineRule="auto"/>
              <w:jc w:val="both"/>
              <w:rPr>
                <w:rFonts w:ascii="Verdana" w:eastAsia="Aptos" w:hAnsi="Verdana" w:cs="Arial"/>
              </w:rPr>
            </w:pPr>
          </w:p>
          <w:p w14:paraId="226F1077" w14:textId="77777777" w:rsidR="00200DB3" w:rsidRDefault="00200DB3" w:rsidP="00200DB3">
            <w:pPr>
              <w:pStyle w:val="Prrafodelista"/>
              <w:numPr>
                <w:ilvl w:val="0"/>
                <w:numId w:val="20"/>
              </w:numPr>
              <w:spacing w:line="276" w:lineRule="auto"/>
              <w:ind w:left="-17"/>
              <w:jc w:val="both"/>
              <w:rPr>
                <w:rFonts w:ascii="Verdana" w:eastAsia="Aptos" w:hAnsi="Verdana" w:cs="Arial"/>
              </w:rPr>
            </w:pPr>
            <w:r>
              <w:rPr>
                <w:rFonts w:ascii="Verdana" w:eastAsia="Aptos" w:hAnsi="Verdana" w:cs="Arial"/>
                <w:lang w:val="es-CO"/>
              </w:rPr>
              <w:t>i</w:t>
            </w:r>
            <w:r>
              <w:rPr>
                <w:rFonts w:ascii="Verdana" w:eastAsia="Aptos" w:hAnsi="Verdana" w:cs="Arial"/>
              </w:rPr>
              <w:t xml:space="preserve">i) Cuando una misma persona natural o jurídica, o integrante de un proponente plural presente o haga parte de varias propuestas para determinado proceso de contratación los proponentes incurren en causal de rechazo y por consiguiente no podrán ser adjudicataria del contrato. </w:t>
            </w:r>
          </w:p>
          <w:p w14:paraId="19D76B11" w14:textId="77777777" w:rsidR="00200DB3" w:rsidRPr="00B37BCE" w:rsidRDefault="00200DB3" w:rsidP="001311D3">
            <w:pPr>
              <w:spacing w:line="276" w:lineRule="auto"/>
              <w:jc w:val="both"/>
              <w:rPr>
                <w:rFonts w:ascii="Verdana" w:eastAsia="Aptos" w:hAnsi="Verdana" w:cs="Arial"/>
              </w:rPr>
            </w:pPr>
          </w:p>
          <w:p w14:paraId="783329BD" w14:textId="77777777" w:rsidR="00200DB3" w:rsidRDefault="00200DB3" w:rsidP="001311D3">
            <w:pPr>
              <w:spacing w:line="276" w:lineRule="auto"/>
              <w:jc w:val="both"/>
              <w:rPr>
                <w:rFonts w:ascii="Verdana" w:eastAsia="Aptos" w:hAnsi="Verdana" w:cs="Arial"/>
                <w:lang w:val="es-ES"/>
              </w:rPr>
            </w:pPr>
            <w:r w:rsidRPr="009C29B8">
              <w:rPr>
                <w:rFonts w:ascii="Verdana" w:eastAsia="Aptos" w:hAnsi="Verdana" w:cs="Arial"/>
                <w:lang w:val="es-ES"/>
              </w:rPr>
              <w:t xml:space="preserve">En ese sentido, es importante señalar que la causal distingue de si se trata de un proponente persona natural o jurídica, o un proponente plural. Así, la causal en comento se configura cuando: i) una misma persona natural o jurídica funge como oferente o hace parte en más de una propuesta para el mismo proceso de contratación, o </w:t>
            </w:r>
            <w:proofErr w:type="spellStart"/>
            <w:r w:rsidRPr="009C29B8">
              <w:rPr>
                <w:rFonts w:ascii="Verdana" w:eastAsia="Aptos" w:hAnsi="Verdana" w:cs="Arial"/>
                <w:lang w:val="es-ES"/>
              </w:rPr>
              <w:t>ii</w:t>
            </w:r>
            <w:proofErr w:type="spellEnd"/>
            <w:r w:rsidRPr="009C29B8">
              <w:rPr>
                <w:rFonts w:ascii="Verdana" w:eastAsia="Aptos" w:hAnsi="Verdana" w:cs="Arial"/>
                <w:lang w:val="es-ES"/>
              </w:rPr>
              <w:t>) un mismo integrante de una estructura plural es oferente o hace parte en más de una oferta en el mismo proceso de contratación.</w:t>
            </w:r>
          </w:p>
          <w:p w14:paraId="5DD52B33" w14:textId="77777777" w:rsidR="00200DB3" w:rsidRDefault="00200DB3" w:rsidP="001311D3">
            <w:pPr>
              <w:spacing w:line="276" w:lineRule="auto"/>
              <w:jc w:val="both"/>
              <w:rPr>
                <w:rFonts w:ascii="Verdana" w:eastAsia="Aptos" w:hAnsi="Verdana" w:cs="Arial"/>
                <w:lang w:val="es-ES"/>
              </w:rPr>
            </w:pPr>
          </w:p>
          <w:p w14:paraId="55E720F6" w14:textId="77777777" w:rsidR="00200DB3" w:rsidRDefault="00200DB3" w:rsidP="001311D3">
            <w:pPr>
              <w:spacing w:line="276" w:lineRule="auto"/>
              <w:jc w:val="both"/>
              <w:rPr>
                <w:rFonts w:ascii="Verdana" w:eastAsia="Aptos" w:hAnsi="Verdana" w:cs="Arial"/>
                <w:lang w:val="es-ES"/>
              </w:rPr>
            </w:pPr>
            <w:r w:rsidRPr="0082773F">
              <w:rPr>
                <w:rFonts w:ascii="Verdana" w:eastAsia="Aptos" w:hAnsi="Verdana" w:cs="Arial"/>
                <w:lang w:val="es-ES"/>
              </w:rPr>
              <w:t>Esta causal está dirigida a evitar que un mismo proponente presente de manera individual más de una propuesta o haga parte en más de una oferta para un mismo proceso de contratación. Por lo tanto, para que opere la causal, debe tratarse de un proponente persona natural o jurídica, o de un integrante de un proponente plural [consorcio o unión temporal]</w:t>
            </w:r>
          </w:p>
          <w:p w14:paraId="1EE86A9D" w14:textId="77777777" w:rsidR="00200DB3" w:rsidRDefault="00200DB3" w:rsidP="001311D3">
            <w:pPr>
              <w:spacing w:line="276" w:lineRule="auto"/>
              <w:jc w:val="both"/>
              <w:rPr>
                <w:rFonts w:ascii="Verdana" w:eastAsia="Aptos" w:hAnsi="Verdana" w:cs="Arial"/>
                <w:lang w:val="es-ES"/>
              </w:rPr>
            </w:pPr>
          </w:p>
          <w:p w14:paraId="554EDC6E" w14:textId="77777777" w:rsidR="00200DB3" w:rsidRDefault="00200DB3" w:rsidP="001311D3">
            <w:pPr>
              <w:spacing w:line="276" w:lineRule="auto"/>
              <w:jc w:val="both"/>
              <w:rPr>
                <w:rFonts w:ascii="Verdana" w:eastAsia="Aptos" w:hAnsi="Verdana" w:cs="Arial"/>
                <w:lang w:val="es-ES"/>
              </w:rPr>
            </w:pPr>
          </w:p>
          <w:p w14:paraId="4D6B482B" w14:textId="77777777" w:rsidR="00200DB3" w:rsidRDefault="00200DB3" w:rsidP="00200DB3">
            <w:pPr>
              <w:pStyle w:val="Prrafodelista"/>
              <w:numPr>
                <w:ilvl w:val="0"/>
                <w:numId w:val="20"/>
              </w:numPr>
              <w:spacing w:line="276" w:lineRule="auto"/>
              <w:ind w:left="0"/>
              <w:jc w:val="both"/>
              <w:rPr>
                <w:rFonts w:ascii="Verdana" w:eastAsia="Aptos" w:hAnsi="Verdana" w:cs="Arial"/>
              </w:rPr>
            </w:pPr>
            <w:proofErr w:type="spellStart"/>
            <w:r>
              <w:rPr>
                <w:rFonts w:ascii="Verdana" w:eastAsia="Aptos" w:hAnsi="Verdana" w:cs="Arial"/>
              </w:rPr>
              <w:t>iii</w:t>
            </w:r>
            <w:proofErr w:type="spellEnd"/>
            <w:r>
              <w:rPr>
                <w:rFonts w:ascii="Verdana" w:eastAsia="Aptos" w:hAnsi="Verdana" w:cs="Arial"/>
              </w:rPr>
              <w:t xml:space="preserve">)  Las observaciones allegadas antes y durante las diferentes etapas del proceso contractual forman parte de la institución del derecho de petición, de manera que la entidad estatal está en la obligación de recibirlas y emitir respuesta de fondo, motivándolas e indicando de manera clara las razones por las cuales las acoge o las rechaza. </w:t>
            </w:r>
          </w:p>
          <w:p w14:paraId="27BC7C27" w14:textId="77777777" w:rsidR="00200DB3" w:rsidRPr="00952F45" w:rsidRDefault="00200DB3" w:rsidP="001311D3">
            <w:pPr>
              <w:spacing w:line="276" w:lineRule="auto"/>
              <w:jc w:val="both"/>
              <w:rPr>
                <w:rFonts w:ascii="Verdana" w:eastAsia="Aptos" w:hAnsi="Verdana" w:cs="Arial"/>
              </w:rPr>
            </w:pPr>
          </w:p>
          <w:p w14:paraId="04F3B88B" w14:textId="77777777" w:rsidR="00200DB3" w:rsidRDefault="00200DB3" w:rsidP="001311D3">
            <w:pPr>
              <w:pStyle w:val="Prrafodelista"/>
              <w:spacing w:line="276" w:lineRule="auto"/>
              <w:ind w:left="0"/>
              <w:jc w:val="both"/>
              <w:rPr>
                <w:rFonts w:ascii="Verdana" w:eastAsia="Aptos" w:hAnsi="Verdana" w:cs="Arial"/>
              </w:rPr>
            </w:pPr>
            <w:r>
              <w:rPr>
                <w:rFonts w:ascii="Verdana" w:eastAsia="Aptos" w:hAnsi="Verdana" w:cs="Arial"/>
              </w:rPr>
              <w:t xml:space="preserve">El comité evaluador deberá responder las observaciones que resulten de la evaluación de los requisitos habilitantes y los requisitos objeto de puntuación los cuales brindó a través del informe de evaluación, y se debe hacer antes de la adjudicación del contrato. Estas deben realizarse en los tiempos estipulados para cada modalidad de contratación.  </w:t>
            </w:r>
          </w:p>
          <w:p w14:paraId="14FB4DD8" w14:textId="77777777" w:rsidR="00200DB3" w:rsidRDefault="00200DB3" w:rsidP="001311D3">
            <w:pPr>
              <w:pStyle w:val="Prrafodelista"/>
              <w:spacing w:line="276" w:lineRule="auto"/>
              <w:ind w:left="0"/>
              <w:jc w:val="both"/>
              <w:rPr>
                <w:rFonts w:ascii="Verdana" w:eastAsia="Aptos" w:hAnsi="Verdana" w:cs="Arial"/>
              </w:rPr>
            </w:pPr>
          </w:p>
          <w:p w14:paraId="07E6046E" w14:textId="77777777" w:rsidR="00200DB3" w:rsidRDefault="00200DB3" w:rsidP="001311D3">
            <w:pPr>
              <w:spacing w:after="120" w:line="276" w:lineRule="auto"/>
              <w:jc w:val="both"/>
              <w:rPr>
                <w:rFonts w:ascii="Verdana" w:eastAsia="Times New Roman" w:hAnsi="Verdana" w:cs="Arial"/>
              </w:rPr>
            </w:pPr>
            <w:r>
              <w:rPr>
                <w:rFonts w:ascii="Verdana" w:eastAsia="Times New Roman" w:hAnsi="Verdana" w:cs="Arial"/>
              </w:rPr>
              <w:t>E</w:t>
            </w:r>
            <w:r w:rsidRPr="004E5844">
              <w:rPr>
                <w:rFonts w:ascii="Verdana" w:eastAsia="Times New Roman" w:hAnsi="Verdana" w:cs="Arial"/>
              </w:rPr>
              <w:t xml:space="preserve">s importante señalar que, el informe de evaluación de propuestas es una actuación reglada dentro del procedimiento de selección contractual, mediante </w:t>
            </w:r>
            <w:r w:rsidRPr="004E5844">
              <w:rPr>
                <w:rFonts w:ascii="Verdana" w:eastAsia="Times New Roman" w:hAnsi="Verdana" w:cs="Arial"/>
              </w:rPr>
              <w:lastRenderedPageBreak/>
              <w:t>la cual se realiza una comparación objetiva de las ofertas presentadas por los proponentes, con base exclusivamente en los criterios de selección establecidos en los pliegos de condiciones o documentos equivalentes, cuyo fin es garantizar la transparencia y la publicidad de la actividad precontractual, permitir la participación activa de los oferentes mediante observaciones que puedan enriquecer el análisis técnico y jurídico de las propuestas y prevenir errores o interpretaciones subjetivas en la evaluación</w:t>
            </w:r>
            <w:r>
              <w:rPr>
                <w:rFonts w:ascii="Verdana" w:eastAsia="Times New Roman" w:hAnsi="Verdana" w:cs="Arial"/>
              </w:rPr>
              <w:t xml:space="preserve">,  relacionado al objeto de su consulta, se permitiría entonces que el oferente pueda presentar sus argumentos contra determinada  decisión que rechazó su oferta por considerar que presenta información inexacta. </w:t>
            </w:r>
          </w:p>
          <w:p w14:paraId="1E44A2D7" w14:textId="77777777" w:rsidR="00200DB3" w:rsidRDefault="00200DB3" w:rsidP="001311D3">
            <w:pPr>
              <w:spacing w:after="120" w:line="276" w:lineRule="auto"/>
              <w:jc w:val="both"/>
              <w:rPr>
                <w:rFonts w:ascii="Verdana" w:eastAsia="Times New Roman" w:hAnsi="Verdana" w:cs="Arial"/>
              </w:rPr>
            </w:pPr>
            <w:r>
              <w:rPr>
                <w:rFonts w:ascii="Verdana" w:eastAsia="Times New Roman" w:hAnsi="Verdana" w:cs="Arial"/>
              </w:rPr>
              <w:t>Vale mencionar que, el termino para publicar el informe de evaluación de ofertas en la selección abreviada de menor cuantía será de tres (3) días hábiles en aplicación de los dispuesto en los artículos 2.2.1.2.1.2.20 del Decreto 1082 de 2015.</w:t>
            </w:r>
          </w:p>
          <w:p w14:paraId="4A27D265" w14:textId="77777777" w:rsidR="00200DB3" w:rsidRPr="004E5844" w:rsidRDefault="00200DB3" w:rsidP="001311D3">
            <w:pPr>
              <w:spacing w:after="120" w:line="276" w:lineRule="auto"/>
              <w:jc w:val="both"/>
              <w:rPr>
                <w:rFonts w:ascii="Verdana" w:eastAsia="Times New Roman" w:hAnsi="Verdana" w:cs="Arial"/>
              </w:rPr>
            </w:pPr>
          </w:p>
          <w:p w14:paraId="74BF40AF" w14:textId="77777777" w:rsidR="00200DB3" w:rsidRPr="004E5844" w:rsidRDefault="00200DB3" w:rsidP="001311D3">
            <w:pPr>
              <w:pStyle w:val="Prrafodelista"/>
              <w:spacing w:line="276" w:lineRule="auto"/>
              <w:ind w:left="0"/>
              <w:jc w:val="both"/>
              <w:rPr>
                <w:rFonts w:ascii="Verdana" w:eastAsia="Aptos" w:hAnsi="Verdana" w:cs="Arial"/>
                <w:lang w:val="es-CO"/>
              </w:rPr>
            </w:pPr>
          </w:p>
          <w:p w14:paraId="68216B2A" w14:textId="77777777" w:rsidR="00200DB3" w:rsidRPr="007F1E8C" w:rsidRDefault="00200DB3" w:rsidP="001311D3">
            <w:pPr>
              <w:spacing w:line="276" w:lineRule="auto"/>
              <w:ind w:left="-113"/>
              <w:jc w:val="both"/>
              <w:rPr>
                <w:rFonts w:ascii="Verdana" w:eastAsia="Aptos" w:hAnsi="Verdana" w:cs="Arial"/>
              </w:rPr>
            </w:pPr>
          </w:p>
          <w:p w14:paraId="0DDB6C72" w14:textId="1B269D56" w:rsidR="00200DB3" w:rsidRPr="00746F80" w:rsidRDefault="00200DB3" w:rsidP="00746F80">
            <w:pPr>
              <w:spacing w:line="276" w:lineRule="auto"/>
              <w:ind w:left="-113"/>
              <w:jc w:val="both"/>
              <w:rPr>
                <w:rFonts w:ascii="Verdana" w:eastAsia="Aptos" w:hAnsi="Verdana" w:cs="Arial"/>
              </w:rPr>
            </w:pPr>
          </w:p>
        </w:tc>
      </w:tr>
    </w:tbl>
    <w:p w14:paraId="5383BE35" w14:textId="77777777" w:rsidR="00200DB3" w:rsidRPr="002D2FBE" w:rsidRDefault="00200DB3" w:rsidP="00200DB3">
      <w:pPr>
        <w:tabs>
          <w:tab w:val="left" w:pos="142"/>
          <w:tab w:val="left" w:pos="284"/>
        </w:tabs>
        <w:spacing w:after="0" w:line="276" w:lineRule="auto"/>
        <w:jc w:val="both"/>
        <w:rPr>
          <w:rFonts w:ascii="Verdana" w:eastAsia="Century Gothic" w:hAnsi="Verdana" w:cs="Century Gothic"/>
          <w:b/>
          <w:bCs/>
          <w:lang w:val="es-ES"/>
        </w:rPr>
      </w:pPr>
    </w:p>
    <w:p w14:paraId="0024DF7C" w14:textId="77777777" w:rsidR="00200DB3" w:rsidRPr="002D2FBE" w:rsidRDefault="00200DB3" w:rsidP="00200DB3">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2D2FBE">
        <w:rPr>
          <w:rFonts w:ascii="Verdana" w:eastAsia="Century Gothic" w:hAnsi="Verdana" w:cs="Century Gothic"/>
          <w:b/>
          <w:bCs/>
          <w:lang w:val="es-ES"/>
        </w:rPr>
        <w:t>Razones de la respuesta:</w:t>
      </w:r>
    </w:p>
    <w:p w14:paraId="219E3E90" w14:textId="77777777" w:rsidR="00200DB3" w:rsidRPr="002D2FBE" w:rsidRDefault="00200DB3" w:rsidP="00200DB3">
      <w:pPr>
        <w:spacing w:after="0" w:line="276" w:lineRule="auto"/>
        <w:jc w:val="both"/>
        <w:rPr>
          <w:rFonts w:ascii="Verdana" w:eastAsia="Calibri" w:hAnsi="Verdana" w:cs="Arial"/>
          <w:lang w:val="es-ES"/>
        </w:rPr>
      </w:pPr>
    </w:p>
    <w:p w14:paraId="4ED2DBBA" w14:textId="77777777" w:rsidR="00200DB3" w:rsidRPr="002D2FBE" w:rsidRDefault="00200DB3" w:rsidP="00200DB3">
      <w:pPr>
        <w:spacing w:after="0" w:line="276" w:lineRule="auto"/>
        <w:jc w:val="both"/>
        <w:rPr>
          <w:rFonts w:ascii="Verdana" w:eastAsia="Calibri" w:hAnsi="Verdana" w:cs="Arial"/>
          <w:lang w:val="es-ES"/>
        </w:rPr>
      </w:pPr>
      <w:r w:rsidRPr="002D2FBE">
        <w:rPr>
          <w:rFonts w:ascii="Verdana" w:eastAsia="Calibri" w:hAnsi="Verdana" w:cs="Arial"/>
          <w:lang w:val="es-ES"/>
        </w:rPr>
        <w:t xml:space="preserve">Lo anterior se sustenta en las siguientes consideraciones: </w:t>
      </w:r>
    </w:p>
    <w:p w14:paraId="0A444664" w14:textId="77777777" w:rsidR="00200DB3" w:rsidRPr="002D2FBE" w:rsidRDefault="00200DB3" w:rsidP="00200DB3">
      <w:pPr>
        <w:snapToGrid w:val="0"/>
        <w:spacing w:after="0" w:line="276" w:lineRule="auto"/>
        <w:jc w:val="both"/>
        <w:rPr>
          <w:rFonts w:ascii="Verdana" w:eastAsia="Calibri" w:hAnsi="Verdana" w:cs="Arial"/>
          <w:lang w:val="es-ES_tradnl"/>
        </w:rPr>
      </w:pPr>
    </w:p>
    <w:p w14:paraId="784D194E" w14:textId="77777777" w:rsidR="00200DB3" w:rsidRPr="002D2FBE" w:rsidRDefault="00200DB3" w:rsidP="00200DB3">
      <w:pPr>
        <w:numPr>
          <w:ilvl w:val="0"/>
          <w:numId w:val="17"/>
        </w:numPr>
        <w:snapToGrid w:val="0"/>
        <w:spacing w:after="0" w:line="276" w:lineRule="auto"/>
        <w:jc w:val="both"/>
        <w:rPr>
          <w:rFonts w:ascii="Verdana" w:eastAsia="Calibri" w:hAnsi="Verdana" w:cs="Arial"/>
          <w:lang w:val="es-ES_tradnl"/>
        </w:rPr>
      </w:pPr>
      <w:r w:rsidRPr="002D2FBE">
        <w:rPr>
          <w:rFonts w:ascii="Verdana" w:eastAsia="Calibri" w:hAnsi="Verdana" w:cs="Arial"/>
          <w:lang w:val="es-ES_tradnl"/>
        </w:rPr>
        <w:t xml:space="preserve">Los documentos tipo expedidos por la Agencia Nacional de Contratación Pública </w:t>
      </w:r>
      <w:r w:rsidRPr="002D2FBE">
        <w:rPr>
          <w:rFonts w:ascii="Symbol" w:eastAsia="Symbol" w:hAnsi="Symbol" w:cs="Symbol"/>
          <w:lang w:val="es-ES_tradnl"/>
        </w:rPr>
        <w:t>-</w:t>
      </w:r>
      <w:r w:rsidRPr="002D2FBE">
        <w:rPr>
          <w:rFonts w:ascii="Verdana" w:eastAsia="Calibri" w:hAnsi="Verdana" w:cs="Arial"/>
          <w:lang w:val="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40D0C145" w14:textId="77777777" w:rsidR="00200DB3" w:rsidRPr="002D2FBE" w:rsidRDefault="00200DB3" w:rsidP="00200DB3">
      <w:pPr>
        <w:spacing w:after="0"/>
        <w:rPr>
          <w:rFonts w:ascii="Verdana" w:eastAsia="Calibri" w:hAnsi="Verdana" w:cs="Arial"/>
          <w:bCs/>
        </w:rPr>
      </w:pPr>
    </w:p>
    <w:p w14:paraId="23933854" w14:textId="77777777" w:rsidR="00200DB3" w:rsidRPr="002D2FBE" w:rsidRDefault="00200DB3" w:rsidP="00200DB3">
      <w:pPr>
        <w:numPr>
          <w:ilvl w:val="0"/>
          <w:numId w:val="17"/>
        </w:numPr>
        <w:spacing w:after="0" w:line="276" w:lineRule="auto"/>
        <w:jc w:val="both"/>
        <w:rPr>
          <w:rFonts w:ascii="Verdana" w:eastAsia="Calibri" w:hAnsi="Verdana" w:cs="Arial"/>
          <w:bCs/>
        </w:rPr>
      </w:pPr>
      <w:r w:rsidRPr="002D2FBE">
        <w:rPr>
          <w:rFonts w:ascii="Verdana" w:eastAsia="Aptos" w:hAnsi="Verdana" w:cs="Times New Roman"/>
          <w:lang w:val="es-ES_tradnl"/>
        </w:rPr>
        <w:lastRenderedPageBreak/>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2D2FBE">
        <w:rPr>
          <w:rFonts w:ascii="Verdana" w:eastAsia="Aptos" w:hAnsi="Verdana" w:cs="Times New Roman"/>
          <w:vertAlign w:val="superscript"/>
          <w:lang w:val="es-ES_tradnl"/>
        </w:rPr>
        <w:footnoteReference w:id="2"/>
      </w:r>
      <w:r w:rsidRPr="002D2FBE">
        <w:rPr>
          <w:rFonts w:ascii="Verdana" w:eastAsia="Aptos" w:hAnsi="Verdana" w:cs="Times New Roman"/>
          <w:lang w:val="es-ES_tradnl"/>
        </w:rPr>
        <w:t>.</w:t>
      </w:r>
    </w:p>
    <w:p w14:paraId="61E4B432" w14:textId="77777777" w:rsidR="00200DB3" w:rsidRPr="002D2FBE" w:rsidRDefault="00200DB3" w:rsidP="00200DB3">
      <w:pPr>
        <w:spacing w:after="0" w:line="278" w:lineRule="auto"/>
        <w:ind w:left="720"/>
        <w:rPr>
          <w:rFonts w:ascii="Verdana" w:eastAsia="Calibri" w:hAnsi="Verdana" w:cs="Arial"/>
          <w:bCs/>
        </w:rPr>
      </w:pPr>
    </w:p>
    <w:p w14:paraId="1DE1DF86" w14:textId="77777777" w:rsidR="00200DB3" w:rsidRPr="002D2FBE" w:rsidRDefault="00200DB3" w:rsidP="00200DB3">
      <w:pPr>
        <w:numPr>
          <w:ilvl w:val="0"/>
          <w:numId w:val="17"/>
        </w:numPr>
        <w:spacing w:after="0" w:line="276" w:lineRule="auto"/>
        <w:jc w:val="both"/>
        <w:rPr>
          <w:rFonts w:ascii="Verdana" w:eastAsia="Calibri" w:hAnsi="Verdana" w:cs="Arial"/>
          <w:bCs/>
        </w:rPr>
      </w:pPr>
      <w:r w:rsidRPr="002D2FBE">
        <w:rPr>
          <w:rFonts w:ascii="Verdana" w:eastAsia="Calibri" w:hAnsi="Verdana" w:cs="Arial"/>
          <w:bCs/>
        </w:rPr>
        <w:t xml:space="preserve">La Agencia Nacional de Contratación Pública – Colombia Compra Eficiente expidió los documentos tipo para procesos de contratación de obra pública de infraestructura de transporte adelantados bajo las modalidades de selección de licitación pública –versión 4–, selección abreviada de menor cuantía –versión 3– y mínima cuantía –versión 2 con modificaciones–, mediante las resoluciones 465, 463 y 464 de 2024, respectivamente. Estos documentos tipo entraron en vigor para procesos de contratación cuyo aviso de convocatoria o invitación se publique a partir del 3 de febrero de 2025. </w:t>
      </w:r>
    </w:p>
    <w:p w14:paraId="7D48C6BB" w14:textId="77777777" w:rsidR="00200DB3" w:rsidRPr="002D2FBE" w:rsidRDefault="00200DB3" w:rsidP="00200DB3">
      <w:pPr>
        <w:spacing w:after="0" w:line="276" w:lineRule="auto"/>
        <w:jc w:val="both"/>
        <w:rPr>
          <w:rFonts w:ascii="Verdana" w:eastAsia="Calibri" w:hAnsi="Verdana" w:cs="Arial"/>
          <w:bCs/>
        </w:rPr>
      </w:pPr>
    </w:p>
    <w:p w14:paraId="6BFCF6D5" w14:textId="77777777" w:rsidR="00200DB3" w:rsidRPr="002D2FBE" w:rsidRDefault="00200DB3" w:rsidP="00200DB3">
      <w:pPr>
        <w:numPr>
          <w:ilvl w:val="0"/>
          <w:numId w:val="17"/>
        </w:numPr>
        <w:spacing w:after="0" w:line="276" w:lineRule="auto"/>
        <w:jc w:val="both"/>
        <w:rPr>
          <w:rFonts w:ascii="Verdana" w:eastAsia="Calibri" w:hAnsi="Verdana" w:cs="Arial"/>
          <w:bCs/>
        </w:rPr>
      </w:pPr>
      <w:r w:rsidRPr="002D2FBE">
        <w:rPr>
          <w:rFonts w:ascii="Verdana" w:eastAsia="Calibri" w:hAnsi="Verdana" w:cs="Arial"/>
          <w:bCs/>
        </w:rPr>
        <w:t>Es importante señalar que, 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 señala:</w:t>
      </w:r>
    </w:p>
    <w:p w14:paraId="62962FCE" w14:textId="77777777" w:rsidR="00200DB3" w:rsidRPr="002D2FBE" w:rsidRDefault="00200DB3" w:rsidP="00200DB3">
      <w:pPr>
        <w:spacing w:after="0" w:line="276" w:lineRule="auto"/>
        <w:ind w:left="720"/>
        <w:jc w:val="both"/>
        <w:rPr>
          <w:rFonts w:ascii="Verdana" w:eastAsia="Calibri" w:hAnsi="Verdana" w:cs="Arial"/>
          <w:bCs/>
        </w:rPr>
      </w:pPr>
    </w:p>
    <w:p w14:paraId="36B4D75D" w14:textId="77777777" w:rsidR="00200DB3" w:rsidRPr="002D2FBE" w:rsidRDefault="00200DB3" w:rsidP="00200DB3">
      <w:pPr>
        <w:spacing w:after="0" w:line="240" w:lineRule="auto"/>
        <w:ind w:left="709" w:right="709"/>
        <w:jc w:val="both"/>
        <w:rPr>
          <w:rFonts w:ascii="Verdana" w:eastAsia="Calibri" w:hAnsi="Verdana" w:cs="Arial"/>
          <w:bCs/>
          <w:sz w:val="21"/>
          <w:szCs w:val="21"/>
        </w:rPr>
      </w:pPr>
      <w:r w:rsidRPr="002D2FBE">
        <w:rPr>
          <w:rFonts w:ascii="Verdana" w:eastAsia="Calibri" w:hAnsi="Verdana" w:cs="Arial"/>
          <w:bCs/>
          <w:sz w:val="21"/>
          <w:szCs w:val="21"/>
        </w:rPr>
        <w:t xml:space="preserve">“Quiere con esto destacar la Sala que las causales de rechazo de las propuestas pueden ser legales y por lo mismo generan el efecto del descarte o exclusión de la oferta </w:t>
      </w:r>
      <w:proofErr w:type="spellStart"/>
      <w:r w:rsidRPr="002D2FBE">
        <w:rPr>
          <w:rFonts w:ascii="Verdana" w:eastAsia="Calibri" w:hAnsi="Verdana" w:cs="Arial"/>
          <w:bCs/>
          <w:sz w:val="21"/>
          <w:szCs w:val="21"/>
        </w:rPr>
        <w:t>ope</w:t>
      </w:r>
      <w:proofErr w:type="spellEnd"/>
      <w:r w:rsidRPr="002D2FBE">
        <w:rPr>
          <w:rFonts w:ascii="Verdana" w:eastAsia="Calibri" w:hAnsi="Verdana" w:cs="Arial"/>
          <w:bCs/>
          <w:sz w:val="21"/>
          <w:szCs w:val="21"/>
        </w:rPr>
        <w:t xml:space="preserve"> </w:t>
      </w:r>
      <w:proofErr w:type="spellStart"/>
      <w:r w:rsidRPr="002D2FBE">
        <w:rPr>
          <w:rFonts w:ascii="Verdana" w:eastAsia="Calibri" w:hAnsi="Verdana" w:cs="Arial"/>
          <w:bCs/>
          <w:sz w:val="21"/>
          <w:szCs w:val="21"/>
        </w:rPr>
        <w:t>legis</w:t>
      </w:r>
      <w:proofErr w:type="spellEnd"/>
      <w:r w:rsidRPr="002D2FBE">
        <w:rPr>
          <w:rFonts w:ascii="Verdana" w:eastAsia="Calibri" w:hAnsi="Verdana" w:cs="Arial"/>
          <w:bCs/>
          <w:sz w:val="21"/>
          <w:szCs w:val="21"/>
        </w:rPr>
        <w:t xml:space="preserve">,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w:t>
      </w:r>
      <w:r w:rsidRPr="002D2FBE">
        <w:rPr>
          <w:rFonts w:ascii="Verdana" w:eastAsia="Calibri" w:hAnsi="Verdana" w:cs="Arial"/>
          <w:bCs/>
          <w:sz w:val="21"/>
          <w:szCs w:val="21"/>
        </w:rPr>
        <w:lastRenderedPageBreak/>
        <w:t>economía y responsabilidad, así como el deber de selección objetiva en la contratación.”</w:t>
      </w:r>
    </w:p>
    <w:p w14:paraId="52B6E958" w14:textId="77777777" w:rsidR="00200DB3" w:rsidRPr="002D2FBE" w:rsidRDefault="00200DB3" w:rsidP="00200DB3">
      <w:pPr>
        <w:spacing w:after="0" w:line="276" w:lineRule="auto"/>
        <w:ind w:left="720"/>
        <w:jc w:val="both"/>
        <w:rPr>
          <w:rFonts w:ascii="Verdana" w:eastAsia="Calibri" w:hAnsi="Verdana" w:cs="Arial"/>
          <w:bCs/>
        </w:rPr>
      </w:pPr>
    </w:p>
    <w:p w14:paraId="4E22B7A6" w14:textId="77777777" w:rsidR="00200DB3" w:rsidRPr="002D2FBE" w:rsidRDefault="00200DB3" w:rsidP="00200DB3">
      <w:pPr>
        <w:numPr>
          <w:ilvl w:val="0"/>
          <w:numId w:val="17"/>
        </w:numPr>
        <w:spacing w:after="0" w:line="276" w:lineRule="auto"/>
        <w:jc w:val="both"/>
        <w:rPr>
          <w:rFonts w:ascii="Verdana" w:eastAsia="Calibri" w:hAnsi="Verdana" w:cs="Arial"/>
          <w:bCs/>
        </w:rPr>
      </w:pPr>
      <w:r w:rsidRPr="002D2FBE">
        <w:rPr>
          <w:rFonts w:ascii="Verdana" w:eastAsia="Calibri" w:hAnsi="Verdana" w:cs="Arial"/>
          <w:bCs/>
        </w:rPr>
        <w:t xml:space="preserve">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 sostuvo: </w:t>
      </w:r>
    </w:p>
    <w:p w14:paraId="24EC3D9D" w14:textId="77777777" w:rsidR="00200DB3" w:rsidRPr="002D2FBE" w:rsidRDefault="00200DB3" w:rsidP="00200DB3">
      <w:pPr>
        <w:spacing w:after="0" w:line="276" w:lineRule="auto"/>
        <w:ind w:left="720"/>
        <w:jc w:val="both"/>
        <w:rPr>
          <w:rFonts w:ascii="Verdana" w:eastAsia="Calibri" w:hAnsi="Verdana" w:cs="Arial"/>
          <w:bCs/>
        </w:rPr>
      </w:pPr>
    </w:p>
    <w:p w14:paraId="16046F81" w14:textId="77777777" w:rsidR="00200DB3" w:rsidRPr="002D2FBE" w:rsidRDefault="00200DB3" w:rsidP="00200DB3">
      <w:pPr>
        <w:spacing w:after="0" w:line="240" w:lineRule="auto"/>
        <w:ind w:left="709" w:right="709"/>
        <w:jc w:val="both"/>
        <w:rPr>
          <w:rFonts w:ascii="Verdana" w:eastAsia="Calibri" w:hAnsi="Verdana" w:cs="Arial"/>
          <w:bCs/>
          <w:sz w:val="21"/>
          <w:szCs w:val="21"/>
        </w:rPr>
      </w:pPr>
      <w:r w:rsidRPr="002D2FBE">
        <w:rPr>
          <w:rFonts w:ascii="Verdana" w:eastAsia="Calibri" w:hAnsi="Verdana" w:cs="Arial"/>
          <w:bCs/>
          <w:sz w:val="21"/>
          <w:szCs w:val="21"/>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43365592" w14:textId="77777777" w:rsidR="00200DB3" w:rsidRPr="002D2FBE" w:rsidRDefault="00200DB3" w:rsidP="00200DB3">
      <w:pPr>
        <w:spacing w:after="0" w:line="276" w:lineRule="auto"/>
        <w:ind w:left="720"/>
        <w:jc w:val="both"/>
        <w:rPr>
          <w:rFonts w:ascii="Verdana" w:eastAsia="Calibri" w:hAnsi="Verdana" w:cs="Arial"/>
          <w:bCs/>
        </w:rPr>
      </w:pPr>
    </w:p>
    <w:p w14:paraId="167D943D" w14:textId="77777777" w:rsidR="00200DB3" w:rsidRPr="002D2FBE" w:rsidRDefault="00200DB3" w:rsidP="00200DB3">
      <w:pPr>
        <w:numPr>
          <w:ilvl w:val="0"/>
          <w:numId w:val="17"/>
        </w:numPr>
        <w:spacing w:after="0" w:line="276" w:lineRule="auto"/>
        <w:jc w:val="both"/>
        <w:rPr>
          <w:rFonts w:ascii="Verdana" w:eastAsia="Calibri" w:hAnsi="Verdana" w:cs="Arial"/>
          <w:bCs/>
        </w:rPr>
      </w:pPr>
      <w:r w:rsidRPr="002D2FBE">
        <w:rPr>
          <w:rFonts w:ascii="Verdana" w:eastAsia="Calibri" w:hAnsi="Verdana" w:cs="Arial"/>
          <w:bC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6AACA599" w14:textId="77777777" w:rsidR="00200DB3" w:rsidRPr="002D2FBE" w:rsidRDefault="00200DB3" w:rsidP="00200DB3">
      <w:pPr>
        <w:spacing w:after="0" w:line="276" w:lineRule="auto"/>
        <w:ind w:left="720"/>
        <w:jc w:val="both"/>
        <w:rPr>
          <w:rFonts w:ascii="Verdana" w:eastAsia="Calibri" w:hAnsi="Verdana" w:cs="Arial"/>
          <w:bCs/>
        </w:rPr>
      </w:pPr>
    </w:p>
    <w:p w14:paraId="7C59DCAF" w14:textId="77777777" w:rsidR="00200DB3" w:rsidRPr="002D2FBE" w:rsidRDefault="00200DB3" w:rsidP="00200DB3">
      <w:pPr>
        <w:numPr>
          <w:ilvl w:val="0"/>
          <w:numId w:val="17"/>
        </w:numPr>
        <w:spacing w:after="0" w:line="276" w:lineRule="auto"/>
        <w:jc w:val="both"/>
        <w:rPr>
          <w:rFonts w:ascii="Verdana" w:eastAsia="Calibri" w:hAnsi="Verdana" w:cs="Arial"/>
          <w:bCs/>
        </w:rPr>
      </w:pPr>
      <w:r w:rsidRPr="002D2FBE">
        <w:rPr>
          <w:rFonts w:ascii="Verdana" w:eastAsia="Calibri" w:hAnsi="Verdana" w:cs="Arial"/>
          <w:bCs/>
        </w:rPr>
        <w:t>Adicionalmente, la Agencia Nacional de Contratación Pública – Colombia Compra Eficiente</w:t>
      </w:r>
      <w:r>
        <w:rPr>
          <w:rFonts w:ascii="Verdana" w:eastAsia="Calibri" w:hAnsi="Verdana" w:cs="Arial"/>
          <w:bCs/>
        </w:rPr>
        <w:t xml:space="preserve"> ha señalado y sostiene en los conceptos emitidos que</w:t>
      </w:r>
      <w:r w:rsidRPr="002D2FBE">
        <w:rPr>
          <w:rFonts w:ascii="Verdana" w:eastAsia="Calibri" w:hAnsi="Verdana" w:cs="Arial"/>
          <w:bCs/>
        </w:rPr>
        <w:t xml:space="preserve"> las causales de rechazo de las ofertas establecidas en los documentos tipo son taxativas, descartándose que la entidad introduzca nuevas, salvo las contempladas directamente en la ley. Igualmente, por la naturaleza de </w:t>
      </w:r>
      <w:r w:rsidRPr="002D2FBE">
        <w:rPr>
          <w:rFonts w:ascii="Verdana" w:eastAsia="Calibri" w:hAnsi="Verdana" w:cs="Arial"/>
          <w:bCs/>
        </w:rPr>
        <w:lastRenderedPageBreak/>
        <w:t>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1E741A51" w14:textId="77777777" w:rsidR="00200DB3" w:rsidRPr="002D2FBE" w:rsidRDefault="00200DB3" w:rsidP="00200DB3">
      <w:pPr>
        <w:spacing w:after="0" w:line="276" w:lineRule="auto"/>
        <w:jc w:val="both"/>
        <w:rPr>
          <w:rFonts w:ascii="Verdana" w:eastAsia="Calibri" w:hAnsi="Verdana" w:cs="Arial"/>
          <w:bCs/>
        </w:rPr>
      </w:pPr>
    </w:p>
    <w:p w14:paraId="672248E6" w14:textId="77777777" w:rsidR="00200DB3" w:rsidRPr="002D2FBE" w:rsidRDefault="00200DB3" w:rsidP="00200DB3">
      <w:pPr>
        <w:numPr>
          <w:ilvl w:val="0"/>
          <w:numId w:val="17"/>
        </w:numPr>
        <w:spacing w:after="0" w:line="276" w:lineRule="auto"/>
        <w:jc w:val="both"/>
        <w:rPr>
          <w:rFonts w:ascii="Verdana" w:eastAsia="Calibri" w:hAnsi="Verdana" w:cs="Arial"/>
          <w:bCs/>
        </w:rPr>
      </w:pPr>
      <w:r w:rsidRPr="002D2FBE">
        <w:rPr>
          <w:rFonts w:ascii="Verdana" w:eastAsia="Calibri" w:hAnsi="Verdana" w:cs="Arial"/>
          <w:bCs/>
        </w:rPr>
        <w:t xml:space="preserve">Ahora bien, los documentos tipo contienen parámetros obligatorios para las entidades estatales sometidas al Estatuto General de Contratación de la Administración Pública que adelanten la tipología contractual que estos se encarguen de desarrollar. En la versión </w:t>
      </w:r>
      <w:r>
        <w:rPr>
          <w:rFonts w:ascii="Verdana" w:eastAsia="Calibri" w:hAnsi="Verdana" w:cs="Arial"/>
          <w:bCs/>
        </w:rPr>
        <w:t>3</w:t>
      </w:r>
      <w:r w:rsidRPr="002D2FBE">
        <w:rPr>
          <w:rFonts w:ascii="Verdana" w:eastAsia="Calibri" w:hAnsi="Verdana" w:cs="Arial"/>
          <w:bCs/>
        </w:rPr>
        <w:t xml:space="preserve"> de los documentos tipo de </w:t>
      </w:r>
      <w:r>
        <w:rPr>
          <w:rFonts w:ascii="Verdana" w:eastAsia="Calibri" w:hAnsi="Verdana" w:cs="Arial"/>
          <w:bCs/>
        </w:rPr>
        <w:t xml:space="preserve">selección abreviada de menor cuantía </w:t>
      </w:r>
      <w:r w:rsidRPr="002D2FBE">
        <w:rPr>
          <w:rFonts w:ascii="Verdana" w:eastAsia="Calibri" w:hAnsi="Verdana" w:cs="Arial"/>
          <w:bCs/>
        </w:rPr>
        <w:t xml:space="preserve">de infraestructura de transporte, se incluyeron las causales de rechazo de las ofertas, entre ellas, la relacionada con la presente consulta –causal H–, la cual se transcribe en los siguientes términos:    </w:t>
      </w:r>
    </w:p>
    <w:p w14:paraId="29539797" w14:textId="77777777" w:rsidR="00200DB3" w:rsidRPr="002D2FBE" w:rsidRDefault="00200DB3" w:rsidP="00200DB3">
      <w:pPr>
        <w:spacing w:after="0" w:line="240" w:lineRule="auto"/>
        <w:ind w:left="709" w:right="709"/>
        <w:jc w:val="both"/>
        <w:rPr>
          <w:rFonts w:ascii="Verdana" w:eastAsia="Calibri" w:hAnsi="Verdana" w:cs="Arial"/>
          <w:bCs/>
          <w:sz w:val="21"/>
          <w:szCs w:val="21"/>
        </w:rPr>
      </w:pPr>
    </w:p>
    <w:p w14:paraId="06EB5540" w14:textId="77777777" w:rsidR="00200DB3" w:rsidRPr="002D2FBE" w:rsidRDefault="00200DB3" w:rsidP="00200DB3">
      <w:pPr>
        <w:spacing w:after="0" w:line="240" w:lineRule="auto"/>
        <w:ind w:left="709" w:right="709"/>
        <w:jc w:val="both"/>
        <w:rPr>
          <w:rFonts w:ascii="Verdana" w:eastAsia="Calibri" w:hAnsi="Verdana" w:cs="Arial"/>
          <w:bCs/>
          <w:sz w:val="21"/>
          <w:szCs w:val="21"/>
        </w:rPr>
      </w:pPr>
      <w:r w:rsidRPr="002D2FBE">
        <w:rPr>
          <w:rFonts w:ascii="Verdana" w:eastAsia="Calibri" w:hAnsi="Verdana" w:cs="Arial"/>
          <w:bCs/>
          <w:sz w:val="21"/>
          <w:szCs w:val="21"/>
        </w:rPr>
        <w:t xml:space="preserve">H. “Que el proponente aporte información inexacta sobre la cual pueda existir una posible falsedad en los términos de la sección 1.11 del Documento Base.” </w:t>
      </w:r>
    </w:p>
    <w:p w14:paraId="0D32201E" w14:textId="77777777" w:rsidR="00200DB3" w:rsidRPr="002D2FBE" w:rsidRDefault="00200DB3" w:rsidP="00200DB3">
      <w:pPr>
        <w:spacing w:after="0" w:line="240" w:lineRule="auto"/>
        <w:ind w:left="709" w:right="709"/>
        <w:jc w:val="both"/>
        <w:rPr>
          <w:rFonts w:ascii="Verdana" w:eastAsia="Calibri" w:hAnsi="Verdana" w:cs="Arial"/>
          <w:bCs/>
          <w:sz w:val="21"/>
          <w:szCs w:val="21"/>
        </w:rPr>
      </w:pPr>
    </w:p>
    <w:p w14:paraId="5706C449" w14:textId="77777777" w:rsidR="00200DB3" w:rsidRPr="002D2FBE" w:rsidRDefault="00200DB3" w:rsidP="00200DB3">
      <w:pPr>
        <w:numPr>
          <w:ilvl w:val="0"/>
          <w:numId w:val="17"/>
        </w:numPr>
        <w:spacing w:after="0" w:line="276" w:lineRule="auto"/>
        <w:jc w:val="both"/>
        <w:rPr>
          <w:rFonts w:ascii="Verdana" w:eastAsia="Calibri" w:hAnsi="Verdana" w:cs="Arial"/>
          <w:bCs/>
        </w:rPr>
      </w:pPr>
      <w:r w:rsidRPr="002D2FBE">
        <w:rPr>
          <w:rFonts w:ascii="Verdana" w:eastAsia="Calibri" w:hAnsi="Verdana" w:cs="Arial"/>
          <w:bCs/>
        </w:rPr>
        <w:t xml:space="preserve">Esta Agencia ha señalado que, esta causal de rechazo aplica cuando el proponente aporta información inexacta, de acuerdo con lo señalado en el numeral 1.11. del documento base: </w:t>
      </w:r>
    </w:p>
    <w:p w14:paraId="39A516DC" w14:textId="77777777" w:rsidR="00200DB3" w:rsidRPr="002D2FBE" w:rsidRDefault="00200DB3" w:rsidP="00200DB3">
      <w:pPr>
        <w:spacing w:after="0" w:line="276" w:lineRule="auto"/>
        <w:jc w:val="both"/>
        <w:rPr>
          <w:rFonts w:ascii="Arial" w:eastAsia="Calibri" w:hAnsi="Arial" w:cs="Arial"/>
          <w:lang w:val="es-MX"/>
        </w:rPr>
      </w:pPr>
    </w:p>
    <w:p w14:paraId="0D6AD6CF" w14:textId="77777777" w:rsidR="00200DB3" w:rsidRPr="002D2FBE" w:rsidRDefault="00200DB3" w:rsidP="00200DB3">
      <w:pPr>
        <w:spacing w:after="120" w:line="240" w:lineRule="auto"/>
        <w:ind w:left="709" w:right="709"/>
        <w:jc w:val="both"/>
        <w:rPr>
          <w:rFonts w:ascii="Arial" w:eastAsia="Calibri" w:hAnsi="Arial" w:cs="Arial"/>
          <w:b/>
          <w:bCs/>
          <w:sz w:val="21"/>
          <w:szCs w:val="21"/>
        </w:rPr>
      </w:pPr>
      <w:bookmarkStart w:id="2" w:name="_Toc508648251"/>
      <w:bookmarkStart w:id="3" w:name="_Toc508984035"/>
      <w:bookmarkStart w:id="4" w:name="_Toc509843865"/>
      <w:bookmarkStart w:id="5" w:name="_Toc511924773"/>
      <w:bookmarkStart w:id="6" w:name="_Toc520226862"/>
      <w:bookmarkStart w:id="7" w:name="_Toc520297832"/>
      <w:bookmarkStart w:id="8" w:name="_Toc520317097"/>
      <w:bookmarkStart w:id="9" w:name="_Toc533083698"/>
      <w:bookmarkStart w:id="10" w:name="_Ref4940712"/>
      <w:bookmarkStart w:id="11" w:name="_Toc5006129"/>
      <w:r w:rsidRPr="002D2FBE">
        <w:rPr>
          <w:rFonts w:ascii="Arial" w:eastAsia="Calibri" w:hAnsi="Arial" w:cs="Arial"/>
          <w:b/>
          <w:bCs/>
          <w:sz w:val="21"/>
          <w:szCs w:val="21"/>
        </w:rPr>
        <w:t>1.11 INFORMACIÓN INEXACTA</w:t>
      </w:r>
      <w:bookmarkEnd w:id="2"/>
      <w:bookmarkEnd w:id="3"/>
      <w:bookmarkEnd w:id="4"/>
      <w:bookmarkEnd w:id="5"/>
      <w:bookmarkEnd w:id="6"/>
      <w:bookmarkEnd w:id="7"/>
      <w:bookmarkEnd w:id="8"/>
      <w:bookmarkEnd w:id="9"/>
      <w:bookmarkEnd w:id="10"/>
      <w:bookmarkEnd w:id="11"/>
      <w:r w:rsidRPr="002D2FBE">
        <w:rPr>
          <w:rFonts w:ascii="Arial" w:eastAsia="Calibri" w:hAnsi="Arial" w:cs="Arial"/>
          <w:b/>
          <w:bCs/>
          <w:sz w:val="21"/>
          <w:szCs w:val="21"/>
        </w:rPr>
        <w:t xml:space="preserve"> </w:t>
      </w:r>
    </w:p>
    <w:p w14:paraId="56BF715B" w14:textId="77777777" w:rsidR="00200DB3" w:rsidRPr="002D2FBE" w:rsidRDefault="00200DB3" w:rsidP="00200DB3">
      <w:pPr>
        <w:spacing w:after="120" w:line="240" w:lineRule="auto"/>
        <w:ind w:left="709" w:right="709"/>
        <w:jc w:val="both"/>
        <w:rPr>
          <w:rFonts w:ascii="Arial" w:eastAsia="Calibri" w:hAnsi="Arial" w:cs="Arial"/>
          <w:sz w:val="21"/>
          <w:szCs w:val="21"/>
        </w:rPr>
      </w:pPr>
      <w:r w:rsidRPr="002D2FBE">
        <w:rPr>
          <w:rFonts w:ascii="Arial" w:eastAsia="Calibri" w:hAnsi="Arial" w:cs="Arial"/>
          <w:sz w:val="21"/>
          <w:szCs w:val="21"/>
        </w:rPr>
        <w:t xml:space="preserve">La Entidad se reserva el derecho de verificar integralmente la información aportada por el Proponente. Para esto, puede acudir a las autoridades, personas, empresas o entidades respectivas. </w:t>
      </w:r>
    </w:p>
    <w:p w14:paraId="096C85B5" w14:textId="77777777" w:rsidR="00200DB3" w:rsidRPr="002D2FBE" w:rsidRDefault="00200DB3" w:rsidP="00200DB3">
      <w:pPr>
        <w:spacing w:after="120" w:line="240" w:lineRule="auto"/>
        <w:ind w:left="709" w:right="709"/>
        <w:jc w:val="both"/>
        <w:rPr>
          <w:rFonts w:ascii="Arial" w:eastAsia="Calibri" w:hAnsi="Arial" w:cs="Arial"/>
          <w:sz w:val="21"/>
          <w:szCs w:val="21"/>
        </w:rPr>
      </w:pPr>
      <w:r w:rsidRPr="002D2FBE">
        <w:rPr>
          <w:rFonts w:ascii="Arial" w:eastAsia="Calibri" w:hAnsi="Arial" w:cs="Arial"/>
          <w:sz w:val="21"/>
          <w:szCs w:val="21"/>
        </w:rPr>
        <w:t xml:space="preserve">Cuando exista inconsistencia entre la información suministrada por el Proponente y la efectivamente verificada por la Entidad, la información que pretende demostrar el Proponente se tendrá por no acreditada. </w:t>
      </w:r>
    </w:p>
    <w:p w14:paraId="23521579" w14:textId="77777777" w:rsidR="00200DB3" w:rsidRPr="002D2FBE" w:rsidRDefault="00200DB3" w:rsidP="00200DB3">
      <w:pPr>
        <w:spacing w:after="0" w:line="240" w:lineRule="auto"/>
        <w:ind w:left="709" w:right="709"/>
        <w:jc w:val="both"/>
        <w:rPr>
          <w:rFonts w:ascii="Arial" w:eastAsia="Calibri" w:hAnsi="Arial" w:cs="Arial"/>
          <w:sz w:val="21"/>
          <w:szCs w:val="21"/>
        </w:rPr>
      </w:pPr>
      <w:r w:rsidRPr="002D2FBE">
        <w:rPr>
          <w:rFonts w:ascii="Arial" w:eastAsia="Calibri" w:hAnsi="Arial" w:cs="Arial"/>
          <w:sz w:val="21"/>
          <w:szCs w:val="21"/>
        </w:rPr>
        <w:t xml:space="preserve">La Entidad compulsará copias a las autoridades competentes en aquellos eventos en los cuales la información aportada tenga inconsistencias sobre las cuales pueda existir una presunta falsedad, sin que el Proponente haya demostrado lo contrario, y procederá a rechazar la oferta. </w:t>
      </w:r>
    </w:p>
    <w:p w14:paraId="1F0E7696" w14:textId="77777777" w:rsidR="00200DB3" w:rsidRPr="002D2FBE" w:rsidRDefault="00200DB3" w:rsidP="00200DB3">
      <w:pPr>
        <w:spacing w:after="0" w:line="276" w:lineRule="auto"/>
        <w:jc w:val="both"/>
        <w:rPr>
          <w:rFonts w:ascii="Arial" w:eastAsia="Calibri" w:hAnsi="Arial" w:cs="Arial"/>
        </w:rPr>
      </w:pPr>
    </w:p>
    <w:p w14:paraId="08E811BE" w14:textId="77777777" w:rsidR="00200DB3" w:rsidRPr="002D2FBE" w:rsidRDefault="00200DB3" w:rsidP="00200DB3">
      <w:pPr>
        <w:numPr>
          <w:ilvl w:val="0"/>
          <w:numId w:val="17"/>
        </w:numPr>
        <w:spacing w:after="0" w:line="276" w:lineRule="auto"/>
        <w:jc w:val="both"/>
        <w:rPr>
          <w:rFonts w:ascii="Verdana" w:eastAsia="Calibri" w:hAnsi="Verdana" w:cs="Arial"/>
          <w:bCs/>
        </w:rPr>
      </w:pPr>
      <w:r w:rsidRPr="002D2FBE">
        <w:rPr>
          <w:rFonts w:ascii="Verdana" w:eastAsia="Calibri" w:hAnsi="Verdana" w:cs="Arial"/>
          <w:bCs/>
        </w:rPr>
        <w:t xml:space="preserve">Esta numeral faculta a la entidad estatal para verificar la información aportada, para lo cual podrá acudir a las autoridades, personas, empresas o entidades que estén en posición de verificar la información. No obstante, tal verificación es potestativa, no obligatoria, ya que los procedimientos de selección exigen que los proponentes actúen conforme al principio de </w:t>
      </w:r>
      <w:r w:rsidRPr="002D2FBE">
        <w:rPr>
          <w:rFonts w:ascii="Verdana" w:eastAsia="Calibri" w:hAnsi="Verdana" w:cs="Arial"/>
          <w:bCs/>
        </w:rPr>
        <w:lastRenderedPageBreak/>
        <w:t>la buena fe, “que se debe manifestar en la presentación completa y veraz de la información que constituye su oferta, así como la lealtad y comportamiento adecuado frente a la entidad estatal y los demás proponentes durante las diferentes etapas del procedimiento de contratación”</w:t>
      </w:r>
      <w:r w:rsidRPr="002D2FBE">
        <w:rPr>
          <w:rFonts w:ascii="Verdana" w:eastAsia="Calibri" w:hAnsi="Verdana" w:cs="Arial"/>
          <w:bCs/>
          <w:vertAlign w:val="superscript"/>
        </w:rPr>
        <w:footnoteReference w:id="3"/>
      </w:r>
      <w:r w:rsidRPr="002D2FBE">
        <w:rPr>
          <w:rFonts w:ascii="Verdana" w:eastAsia="Calibri" w:hAnsi="Verdana" w:cs="Arial"/>
          <w:bCs/>
        </w:rPr>
        <w:t>. Conforme a ello, la prerrogativa de verificación es una herramienta para que la Administración adquiera certeza en el cumplimiento de los requisitos del procedimiento de selección y del comportamiento leal que se exige a los proponentes.</w:t>
      </w:r>
    </w:p>
    <w:p w14:paraId="49FD50CF" w14:textId="77777777" w:rsidR="00200DB3" w:rsidRPr="002D2FBE" w:rsidRDefault="00200DB3" w:rsidP="00200DB3">
      <w:pPr>
        <w:spacing w:after="0" w:line="278" w:lineRule="auto"/>
        <w:jc w:val="both"/>
        <w:rPr>
          <w:rFonts w:ascii="Verdana" w:eastAsia="Aptos" w:hAnsi="Verdana" w:cs="Arial"/>
          <w:kern w:val="2"/>
          <w14:ligatures w14:val="standardContextual"/>
        </w:rPr>
      </w:pPr>
    </w:p>
    <w:p w14:paraId="1611E42D" w14:textId="77777777" w:rsidR="00200DB3" w:rsidRPr="002D2FBE" w:rsidRDefault="00200DB3" w:rsidP="00200DB3">
      <w:pPr>
        <w:numPr>
          <w:ilvl w:val="0"/>
          <w:numId w:val="17"/>
        </w:numPr>
        <w:spacing w:after="0" w:line="278" w:lineRule="auto"/>
        <w:jc w:val="both"/>
        <w:rPr>
          <w:rFonts w:ascii="Verdana" w:eastAsia="Aptos" w:hAnsi="Verdana" w:cs="Arial"/>
          <w:kern w:val="2"/>
          <w14:ligatures w14:val="standardContextual"/>
        </w:rPr>
      </w:pPr>
      <w:r w:rsidRPr="002D2FBE">
        <w:rPr>
          <w:rFonts w:ascii="Verdana" w:eastAsia="Calibri" w:hAnsi="Verdana" w:cs="Arial"/>
          <w:bCs/>
          <w:kern w:val="2"/>
          <w:lang w:val="es-ES_tradnl"/>
          <w14:ligatures w14:val="standardContextual"/>
        </w:rPr>
        <w:t>En este sentido, la causal</w:t>
      </w:r>
      <w:r w:rsidRPr="002D2FBE">
        <w:rPr>
          <w:rFonts w:ascii="Verdana" w:eastAsia="Calibri" w:hAnsi="Verdana" w:cs="Arial"/>
          <w:bCs/>
          <w:kern w:val="2"/>
          <w14:ligatures w14:val="standardContextual"/>
        </w:rPr>
        <w:t xml:space="preserve"> de rechazo contenida en el literal H del numeral 1.15 de los documentos tipo </w:t>
      </w:r>
      <w:r>
        <w:rPr>
          <w:rFonts w:ascii="Verdana" w:eastAsia="Calibri" w:hAnsi="Verdana" w:cs="Arial"/>
          <w:bCs/>
        </w:rPr>
        <w:t xml:space="preserve">selección abreviada de menor cuantía </w:t>
      </w:r>
      <w:r w:rsidRPr="002D2FBE">
        <w:rPr>
          <w:rFonts w:ascii="Verdana" w:eastAsia="Calibri" w:hAnsi="Verdana" w:cs="Arial"/>
          <w:bCs/>
        </w:rPr>
        <w:t>de infraestructura de transporte</w:t>
      </w:r>
      <w:r>
        <w:rPr>
          <w:rFonts w:ascii="Verdana" w:eastAsia="Calibri" w:hAnsi="Verdana" w:cs="Arial"/>
          <w:bCs/>
        </w:rPr>
        <w:t xml:space="preserve"> versión 3 - </w:t>
      </w:r>
      <w:r w:rsidRPr="002D2FBE">
        <w:rPr>
          <w:rFonts w:ascii="Verdana" w:eastAsia="Calibri" w:hAnsi="Verdana" w:cs="Arial"/>
          <w:bCs/>
          <w:kern w:val="2"/>
          <w14:ligatures w14:val="standardContextual"/>
        </w:rPr>
        <w:t>, aplica en los supuestos en el que la</w:t>
      </w:r>
      <w:r w:rsidRPr="002D2FBE">
        <w:rPr>
          <w:rFonts w:ascii="Verdana" w:eastAsia="Aptos" w:hAnsi="Verdana" w:cs="Arial"/>
          <w:kern w:val="2"/>
          <w14:ligatures w14:val="standardContextual"/>
        </w:rPr>
        <w:t xml:space="preserve"> Entidad Estatal en ejercicio de su derecho de verificar integralmente la información aportada por el Proponente, evidencie que existe una inconsistencia entre la información suministrada por el Proponente y la efectivamente verificada por la Entidad, cuya consecuencia será que la información que pretende demostrar el Proponente se tendrá por no acreditada y la Entidad Estatal además deberá compulsar copias a las autoridades competentes en aquellos eventos en los cuales la información aportada tenga inconsistencias sobre las cuales pueda existir una presunta falsedad, sin que el Proponente haya demostrado lo contrario, y procederá a rechazar la oferta. </w:t>
      </w:r>
    </w:p>
    <w:p w14:paraId="476B570F" w14:textId="77777777" w:rsidR="00200DB3" w:rsidRPr="002D2FBE" w:rsidRDefault="00200DB3" w:rsidP="00200DB3">
      <w:pPr>
        <w:spacing w:after="120" w:line="278" w:lineRule="auto"/>
        <w:ind w:left="720"/>
        <w:contextualSpacing/>
        <w:jc w:val="both"/>
        <w:rPr>
          <w:rFonts w:ascii="Verdana" w:eastAsia="Aptos" w:hAnsi="Verdana" w:cs="Arial"/>
          <w:kern w:val="2"/>
          <w14:ligatures w14:val="standardContextual"/>
        </w:rPr>
      </w:pPr>
    </w:p>
    <w:p w14:paraId="7BF7A393" w14:textId="77777777" w:rsidR="00200DB3" w:rsidRPr="002D2FBE" w:rsidRDefault="00200DB3" w:rsidP="00200DB3">
      <w:pPr>
        <w:numPr>
          <w:ilvl w:val="0"/>
          <w:numId w:val="17"/>
        </w:numPr>
        <w:spacing w:before="120" w:line="276" w:lineRule="auto"/>
        <w:contextualSpacing/>
        <w:jc w:val="both"/>
        <w:rPr>
          <w:rFonts w:ascii="Verdana" w:eastAsia="Aptos" w:hAnsi="Verdana" w:cs="Arial"/>
          <w:kern w:val="2"/>
          <w:lang w:val="es-MX" w:eastAsia="es-CO"/>
          <w14:ligatures w14:val="standardContextual"/>
        </w:rPr>
      </w:pPr>
      <w:r w:rsidRPr="002D2FBE">
        <w:rPr>
          <w:rFonts w:ascii="Verdana" w:eastAsia="Aptos" w:hAnsi="Verdana" w:cs="Arial"/>
          <w:kern w:val="2"/>
          <w:lang w:eastAsia="es-CO"/>
          <w14:ligatures w14:val="standardContextual"/>
        </w:rPr>
        <w:t>Según</w:t>
      </w:r>
      <w:r w:rsidRPr="002D2FBE">
        <w:rPr>
          <w:rFonts w:ascii="Verdana" w:eastAsia="Aptos" w:hAnsi="Verdana" w:cs="Arial"/>
          <w:kern w:val="2"/>
          <w:lang w:val="es-MX" w:eastAsia="es-CO"/>
          <w14:ligatures w14:val="standardContextual"/>
        </w:rPr>
        <w:t xml:space="preserve"> lo expuesto por esta Agencia en el concepto con radicado 2201913000008148 del 30 de octubre de 2019, la inexactitud –en el contexto de los “Documentos Tipo”– se entiende como “la disparidad, imprecisión, disconformidad o falta de precisión que se da de una información a otra”. En este sentido, “(…) se habla de inexactitud cuando la información que aporta el proponente no concuerda con la que verifica la entidad, lo cual lleva a que esta información se entienda como no acreditada”.</w:t>
      </w:r>
    </w:p>
    <w:p w14:paraId="664B4964" w14:textId="77777777" w:rsidR="00200DB3" w:rsidRPr="002D2FBE" w:rsidRDefault="00200DB3" w:rsidP="00200DB3">
      <w:pPr>
        <w:spacing w:before="120" w:line="276" w:lineRule="auto"/>
        <w:ind w:left="720"/>
        <w:contextualSpacing/>
        <w:jc w:val="both"/>
        <w:rPr>
          <w:rFonts w:ascii="Verdana" w:eastAsia="Aptos" w:hAnsi="Verdana" w:cs="Arial"/>
          <w:kern w:val="2"/>
          <w:lang w:val="es-MX" w:eastAsia="es-CO"/>
          <w14:ligatures w14:val="standardContextual"/>
        </w:rPr>
      </w:pPr>
    </w:p>
    <w:p w14:paraId="714B7F6E" w14:textId="77777777" w:rsidR="00200DB3" w:rsidRPr="002D2FBE" w:rsidRDefault="00200DB3" w:rsidP="00200DB3">
      <w:pPr>
        <w:numPr>
          <w:ilvl w:val="0"/>
          <w:numId w:val="17"/>
        </w:numPr>
        <w:spacing w:before="120" w:line="276" w:lineRule="auto"/>
        <w:contextualSpacing/>
        <w:jc w:val="both"/>
        <w:rPr>
          <w:rFonts w:ascii="Verdana" w:eastAsia="Calibri" w:hAnsi="Verdana" w:cs="Arial"/>
          <w:kern w:val="2"/>
          <w14:ligatures w14:val="standardContextual"/>
        </w:rPr>
      </w:pPr>
      <w:r w:rsidRPr="002D2FBE">
        <w:rPr>
          <w:rFonts w:ascii="Verdana" w:eastAsia="Calibri" w:hAnsi="Verdana" w:cs="Arial"/>
          <w:kern w:val="2"/>
          <w:lang w:val="es-MX"/>
          <w14:ligatures w14:val="standardContextual"/>
        </w:rPr>
        <w:lastRenderedPageBreak/>
        <w:t xml:space="preserve">La </w:t>
      </w:r>
      <w:r w:rsidRPr="002D2FBE">
        <w:rPr>
          <w:rFonts w:ascii="Verdana" w:eastAsia="Calibri" w:hAnsi="Verdana" w:cs="Arial"/>
          <w:kern w:val="2"/>
          <w14:ligatures w14:val="standardContextual"/>
        </w:rPr>
        <w:t>regla de verificación de la información prevista en el numeral 1.11</w:t>
      </w:r>
      <w:r w:rsidRPr="002D2FBE">
        <w:rPr>
          <w:rFonts w:ascii="Verdana" w:eastAsia="Calibri" w:hAnsi="Verdana" w:cs="Arial"/>
          <w:kern w:val="2"/>
          <w:vertAlign w:val="superscript"/>
          <w14:ligatures w14:val="standardContextual"/>
        </w:rPr>
        <w:footnoteReference w:id="4"/>
      </w:r>
      <w:r w:rsidRPr="002D2FBE">
        <w:rPr>
          <w:rFonts w:ascii="Verdana" w:eastAsia="Calibri" w:hAnsi="Verdana" w:cs="Arial"/>
          <w:kern w:val="2"/>
          <w14:ligatures w14:val="standardContextual"/>
        </w:rPr>
        <w:t xml:space="preserve"> del documento base aplica frente a la </w:t>
      </w:r>
      <w:r w:rsidRPr="002D2FBE">
        <w:rPr>
          <w:rFonts w:ascii="Verdana" w:eastAsia="Calibri" w:hAnsi="Verdana" w:cs="Arial"/>
          <w:i/>
          <w:iCs/>
          <w:kern w:val="2"/>
          <w14:ligatures w14:val="standardContextual"/>
        </w:rPr>
        <w:t>totalidad de la información y documentación aportada para cumplir los requisitos exigidos en el pliego de condiciones</w:t>
      </w:r>
      <w:r w:rsidRPr="002D2FBE">
        <w:rPr>
          <w:rFonts w:ascii="Verdana" w:eastAsia="Calibri" w:hAnsi="Verdana" w:cs="Arial"/>
          <w:kern w:val="2"/>
          <w14:ligatures w14:val="standardContextual"/>
        </w:rPr>
        <w:t xml:space="preserve">. Además, consagra dos supuestos, con consecuencias diferentes: el primero, señala que una vez verificada la información y evidenciada la inconsistencia, la entidad estatal la tendrá por no acreditada. Por ejemplo, cuando se presente documentación para acreditar un requisito habilitante y ante las observaciones recibidas en el traslado del informe de evaluación no se logue constatar con exactitud lo acreditado o la veracidad </w:t>
      </w:r>
      <w:proofErr w:type="gramStart"/>
      <w:r w:rsidRPr="002D2FBE">
        <w:rPr>
          <w:rFonts w:ascii="Verdana" w:eastAsia="Calibri" w:hAnsi="Verdana" w:cs="Arial"/>
          <w:kern w:val="2"/>
          <w14:ligatures w14:val="standardContextual"/>
        </w:rPr>
        <w:t>del mismo</w:t>
      </w:r>
      <w:proofErr w:type="gramEnd"/>
      <w:r w:rsidRPr="002D2FBE">
        <w:rPr>
          <w:rFonts w:ascii="Verdana" w:eastAsia="Calibri" w:hAnsi="Verdana" w:cs="Arial"/>
          <w:kern w:val="2"/>
          <w14:ligatures w14:val="standardContextual"/>
        </w:rPr>
        <w:t xml:space="preserve"> y ante esa duda, no tendrá en cuenta la documentación aportada, sin perjuicio de que el proponente cumpla con el requisito habilitante con los demás documentos que aporte. En este evento, se trata de inconsistencias que, aunque no se superan por la ausencia de otro medio probatorio, no tienen la connotación de falsedad. </w:t>
      </w:r>
    </w:p>
    <w:p w14:paraId="786493B2" w14:textId="77777777" w:rsidR="00200DB3" w:rsidRPr="002D2FBE" w:rsidRDefault="00200DB3" w:rsidP="00200DB3">
      <w:pPr>
        <w:spacing w:before="120" w:line="276" w:lineRule="auto"/>
        <w:ind w:left="720"/>
        <w:contextualSpacing/>
        <w:jc w:val="both"/>
        <w:rPr>
          <w:rFonts w:ascii="Verdana" w:eastAsia="Calibri" w:hAnsi="Verdana" w:cs="Arial"/>
          <w:kern w:val="2"/>
          <w14:ligatures w14:val="standardContextual"/>
        </w:rPr>
      </w:pPr>
    </w:p>
    <w:p w14:paraId="458313DE" w14:textId="77777777" w:rsidR="00200DB3" w:rsidRPr="002D2FBE" w:rsidRDefault="00200DB3" w:rsidP="00200DB3">
      <w:pPr>
        <w:numPr>
          <w:ilvl w:val="0"/>
          <w:numId w:val="17"/>
        </w:numPr>
        <w:spacing w:after="0" w:line="276" w:lineRule="auto"/>
        <w:jc w:val="both"/>
        <w:rPr>
          <w:rFonts w:ascii="Verdana" w:eastAsia="Calibri" w:hAnsi="Verdana" w:cs="Arial"/>
          <w:kern w:val="2"/>
          <w14:ligatures w14:val="standardContextual"/>
        </w:rPr>
      </w:pPr>
      <w:r w:rsidRPr="002D2FBE">
        <w:rPr>
          <w:rFonts w:ascii="Verdana" w:eastAsia="Calibri" w:hAnsi="Verdana" w:cs="Arial"/>
          <w:kern w:val="2"/>
          <w14:ligatures w14:val="standardContextual"/>
        </w:rPr>
        <w:t xml:space="preserve">El segundo evento se configura cuando de la verificación se corrobora que las inconsistencias obedecerían a una presunta falsedad no desvirtuada por el proponente, caso en el cual se rechaza la oferta y se informa a las autoridades correspondientes. En ese sentido, cuando la entidad tiene el suficiente convencimiento de la existencia de la presunta falsedad, y luego de dar la oportunidad para que el proponente se manifieste, es procedente rechazar la oferta y compulsar copias a las autoridades competentes, quienes adelantarán las respectivas investigaciones. </w:t>
      </w:r>
    </w:p>
    <w:p w14:paraId="509DFD65" w14:textId="77777777" w:rsidR="00200DB3" w:rsidRPr="002D2FBE" w:rsidRDefault="00200DB3" w:rsidP="00200DB3">
      <w:pPr>
        <w:spacing w:after="0" w:line="276" w:lineRule="auto"/>
        <w:ind w:left="720"/>
        <w:jc w:val="both"/>
        <w:rPr>
          <w:rFonts w:ascii="Verdana" w:eastAsia="Calibri" w:hAnsi="Verdana" w:cs="Arial"/>
          <w:kern w:val="2"/>
          <w14:ligatures w14:val="standardContextual"/>
        </w:rPr>
      </w:pPr>
    </w:p>
    <w:p w14:paraId="580EEC0C" w14:textId="77777777" w:rsidR="00200DB3" w:rsidRPr="002D2FBE" w:rsidRDefault="00200DB3" w:rsidP="00200DB3">
      <w:pPr>
        <w:numPr>
          <w:ilvl w:val="0"/>
          <w:numId w:val="17"/>
        </w:numPr>
        <w:spacing w:after="0" w:line="276" w:lineRule="auto"/>
        <w:jc w:val="both"/>
        <w:rPr>
          <w:rFonts w:ascii="Verdana" w:eastAsia="Calibri" w:hAnsi="Verdana" w:cs="Arial"/>
          <w:kern w:val="2"/>
          <w14:ligatures w14:val="standardContextual"/>
        </w:rPr>
      </w:pPr>
      <w:r w:rsidRPr="002D2FBE">
        <w:rPr>
          <w:rFonts w:ascii="Verdana" w:eastAsia="Times New Roman" w:hAnsi="Verdana" w:cs="Arial"/>
          <w:color w:val="000000"/>
          <w:kern w:val="2"/>
          <w:shd w:val="clear" w:color="auto" w:fill="FFFFFF"/>
          <w:lang w:val="es-ES" w:eastAsia="es-MX"/>
          <w14:ligatures w14:val="standardContextual"/>
        </w:rPr>
        <w:lastRenderedPageBreak/>
        <w:t xml:space="preserve">En este último caso, </w:t>
      </w:r>
      <w:r w:rsidRPr="002D2FBE">
        <w:rPr>
          <w:rFonts w:ascii="Verdana" w:eastAsia="Calibri" w:hAnsi="Verdana" w:cs="Arial"/>
          <w:kern w:val="2"/>
          <w14:ligatures w14:val="standardContextual"/>
        </w:rPr>
        <w:t>no se puede subsanar el estar incurso en la causal de rechazo del literal H, pues el rechazo procede de forma automática, es decir, sin permitirle al proponente subsanar la “inexactitud” de la oferta o la presunta falsedad sobre un documento aportado</w:t>
      </w:r>
      <w:r w:rsidRPr="002D2FBE">
        <w:rPr>
          <w:rFonts w:ascii="Verdana" w:eastAsia="Aptos" w:hAnsi="Verdana" w:cs="Arial"/>
          <w:kern w:val="2"/>
          <w14:ligatures w14:val="standardContextual"/>
        </w:rPr>
        <w:t>.</w:t>
      </w:r>
    </w:p>
    <w:p w14:paraId="4F8278D3" w14:textId="77777777" w:rsidR="00200DB3" w:rsidRPr="002D2FBE" w:rsidRDefault="00200DB3" w:rsidP="00200DB3">
      <w:pPr>
        <w:spacing w:after="0" w:line="276" w:lineRule="auto"/>
        <w:jc w:val="both"/>
        <w:rPr>
          <w:rFonts w:ascii="Verdana" w:eastAsia="Calibri" w:hAnsi="Verdana" w:cs="Arial"/>
          <w:kern w:val="2"/>
          <w14:ligatures w14:val="standardContextual"/>
        </w:rPr>
      </w:pPr>
    </w:p>
    <w:p w14:paraId="5B622924" w14:textId="77777777" w:rsidR="00200DB3" w:rsidRPr="002D2FBE" w:rsidRDefault="00200DB3" w:rsidP="00200DB3">
      <w:pPr>
        <w:spacing w:after="0" w:line="276" w:lineRule="auto"/>
        <w:ind w:left="720"/>
        <w:jc w:val="both"/>
        <w:rPr>
          <w:rFonts w:ascii="Verdana" w:eastAsia="Calibri" w:hAnsi="Verdana" w:cs="Arial"/>
          <w:kern w:val="2"/>
          <w14:ligatures w14:val="standardContextual"/>
        </w:rPr>
      </w:pPr>
      <w:bookmarkStart w:id="13" w:name="_Hlk88745204"/>
    </w:p>
    <w:p w14:paraId="5FD138E5" w14:textId="77777777" w:rsidR="00200DB3" w:rsidRDefault="00200DB3" w:rsidP="00200DB3">
      <w:pPr>
        <w:numPr>
          <w:ilvl w:val="0"/>
          <w:numId w:val="17"/>
        </w:numPr>
        <w:spacing w:after="0" w:line="276" w:lineRule="auto"/>
        <w:ind w:left="714" w:hanging="357"/>
        <w:jc w:val="both"/>
        <w:rPr>
          <w:rFonts w:ascii="Verdana" w:eastAsia="Calibri" w:hAnsi="Verdana" w:cs="Arial"/>
          <w:kern w:val="2"/>
          <w14:ligatures w14:val="standardContextual"/>
        </w:rPr>
      </w:pPr>
      <w:r w:rsidRPr="002D2FBE">
        <w:rPr>
          <w:rFonts w:ascii="Verdana" w:eastAsia="Calibri" w:hAnsi="Verdana" w:cs="Arial"/>
          <w:kern w:val="2"/>
          <w14:ligatures w14:val="standardContextual"/>
        </w:rPr>
        <w:t>En este sentido, la configuración de la causal se determinará teniendo en cuenta si la información inexacta conduce a una posible falsedad de los documentos sujetos de verificación y/o evaluación por parte de la Entidad Estatal, tanto para requisitos habilitantes como de calificación o ponderables.</w:t>
      </w:r>
      <w:bookmarkEnd w:id="13"/>
      <w:r w:rsidRPr="002D2FBE">
        <w:rPr>
          <w:rFonts w:ascii="Verdana" w:eastAsia="Calibri" w:hAnsi="Verdana" w:cs="Arial"/>
          <w:kern w:val="2"/>
          <w14:ligatures w14:val="standardContextual"/>
        </w:rPr>
        <w:t xml:space="preserve"> Por consiguiente, la entidad estatal deberá analizar concretamente cada uno de los casos en concreto para determinar si existe una posible falsedad, caso en el cual, luego de dar la oportunidad para que el proponente se manifieste, es procedente rechazar la oferta y remitir copias a las autoridades competentes, quienes adelantarán las respectivas investigaciones.</w:t>
      </w:r>
    </w:p>
    <w:p w14:paraId="78809BD4" w14:textId="77777777" w:rsidR="00200DB3" w:rsidRDefault="00200DB3" w:rsidP="00200DB3">
      <w:pPr>
        <w:spacing w:after="0" w:line="276" w:lineRule="auto"/>
        <w:jc w:val="both"/>
        <w:rPr>
          <w:rFonts w:ascii="Verdana" w:eastAsia="Calibri" w:hAnsi="Verdana" w:cs="Arial"/>
          <w:kern w:val="2"/>
          <w14:ligatures w14:val="standardContextual"/>
        </w:rPr>
      </w:pPr>
    </w:p>
    <w:p w14:paraId="78E710C5" w14:textId="77777777" w:rsidR="00200DB3" w:rsidRDefault="00200DB3" w:rsidP="00200DB3">
      <w:pPr>
        <w:spacing w:after="0" w:line="276" w:lineRule="auto"/>
        <w:jc w:val="both"/>
        <w:rPr>
          <w:rFonts w:ascii="Verdana" w:eastAsia="Calibri" w:hAnsi="Verdana" w:cs="Arial"/>
          <w:kern w:val="2"/>
          <w14:ligatures w14:val="standardContextual"/>
        </w:rPr>
      </w:pPr>
    </w:p>
    <w:p w14:paraId="537B400A" w14:textId="77777777" w:rsidR="00200DB3" w:rsidRDefault="00200DB3" w:rsidP="00200DB3">
      <w:pPr>
        <w:pStyle w:val="Prrafodelista"/>
        <w:numPr>
          <w:ilvl w:val="0"/>
          <w:numId w:val="17"/>
        </w:numPr>
        <w:spacing w:after="0" w:line="276" w:lineRule="auto"/>
        <w:jc w:val="both"/>
        <w:rPr>
          <w:rFonts w:ascii="Verdana" w:eastAsia="Calibri" w:hAnsi="Verdana" w:cs="Arial"/>
          <w:kern w:val="2"/>
          <w14:ligatures w14:val="standardContextual"/>
        </w:rPr>
      </w:pPr>
      <w:r>
        <w:rPr>
          <w:rFonts w:ascii="Verdana" w:eastAsia="Calibri" w:hAnsi="Verdana" w:cs="Arial"/>
          <w:kern w:val="2"/>
          <w14:ligatures w14:val="standardContextual"/>
        </w:rPr>
        <w:t xml:space="preserve">Además de la causal de rechazo abordada y con el </w:t>
      </w:r>
      <w:proofErr w:type="spellStart"/>
      <w:r>
        <w:rPr>
          <w:rFonts w:ascii="Verdana" w:eastAsia="Calibri" w:hAnsi="Verdana" w:cs="Arial"/>
          <w:kern w:val="2"/>
          <w14:ligatures w14:val="standardContextual"/>
        </w:rPr>
        <w:t>animo</w:t>
      </w:r>
      <w:proofErr w:type="spellEnd"/>
      <w:r>
        <w:rPr>
          <w:rFonts w:ascii="Verdana" w:eastAsia="Calibri" w:hAnsi="Verdana" w:cs="Arial"/>
          <w:kern w:val="2"/>
          <w14:ligatures w14:val="standardContextual"/>
        </w:rPr>
        <w:t xml:space="preserve"> de emitir respuesta amplia y completa sobre el objeto de sus consultas, es importante traer a colación la causal de rechazo establecida en el documento tipo de selección abreviada de menor cuantía de infraestructura de transporte versión 3 - en el literal B del numeral 1.15- la cual se transcribe para brindar mayor lucidez: </w:t>
      </w:r>
    </w:p>
    <w:p w14:paraId="3A549DD1" w14:textId="77777777" w:rsidR="00200DB3" w:rsidRPr="00502AB4" w:rsidRDefault="00200DB3" w:rsidP="00200DB3">
      <w:pPr>
        <w:spacing w:after="0" w:line="276" w:lineRule="auto"/>
        <w:jc w:val="both"/>
        <w:rPr>
          <w:rFonts w:ascii="Verdana" w:eastAsia="Calibri" w:hAnsi="Verdana" w:cs="Arial"/>
          <w:kern w:val="2"/>
          <w14:ligatures w14:val="standardContextual"/>
        </w:rPr>
      </w:pPr>
    </w:p>
    <w:p w14:paraId="5B374120" w14:textId="77777777" w:rsidR="00200DB3" w:rsidRPr="0056112B" w:rsidRDefault="00200DB3" w:rsidP="00200DB3">
      <w:pPr>
        <w:adjustRightInd w:val="0"/>
        <w:spacing w:after="0" w:line="240" w:lineRule="auto"/>
        <w:ind w:left="709" w:right="709"/>
        <w:contextualSpacing/>
        <w:jc w:val="both"/>
        <w:rPr>
          <w:rFonts w:ascii="Verdana" w:eastAsia="Aptos" w:hAnsi="Verdana" w:cs="Arial"/>
          <w:color w:val="000000"/>
          <w:kern w:val="2"/>
          <w:sz w:val="21"/>
          <w:szCs w:val="21"/>
          <w:bdr w:val="none" w:sz="0" w:space="0" w:color="auto" w:frame="1"/>
          <w:lang w:val="es-MX"/>
          <w14:ligatures w14:val="standardContextual"/>
        </w:rPr>
      </w:pPr>
      <w:r w:rsidRPr="0056112B">
        <w:rPr>
          <w:rFonts w:ascii="Verdana" w:eastAsia="Aptos" w:hAnsi="Verdana" w:cs="Arial"/>
          <w:color w:val="000000"/>
          <w:kern w:val="2"/>
          <w:sz w:val="21"/>
          <w:szCs w:val="21"/>
          <w:bdr w:val="none" w:sz="0" w:space="0" w:color="auto" w:frame="1"/>
          <w:lang w:val="es-MX"/>
          <w14:ligatures w14:val="standardContextual"/>
        </w:rPr>
        <w:t>“B.</w:t>
      </w:r>
      <w:r w:rsidRPr="0056112B">
        <w:rPr>
          <w:rFonts w:ascii="Verdana" w:eastAsia="Aptos" w:hAnsi="Verdana" w:cs="Arial"/>
          <w:color w:val="000000"/>
          <w:kern w:val="2"/>
          <w:sz w:val="21"/>
          <w:szCs w:val="21"/>
          <w:bdr w:val="none" w:sz="0" w:space="0" w:color="auto" w:frame="1"/>
          <w:lang w:val="es-MX"/>
          <w14:ligatures w14:val="standardContextual"/>
        </w:rPr>
        <w:tab/>
        <w:t>Cuando una misma persona natural o jurídica, o integrante de un proponente plural presente o haga parte en más de una propuesta para el presente Proceso de Contratación.</w:t>
      </w:r>
    </w:p>
    <w:p w14:paraId="71CA5F89" w14:textId="77777777" w:rsidR="00200DB3" w:rsidRDefault="00200DB3" w:rsidP="00200DB3">
      <w:pPr>
        <w:adjustRightInd w:val="0"/>
        <w:spacing w:after="0" w:line="240" w:lineRule="auto"/>
        <w:ind w:left="709" w:right="709"/>
        <w:contextualSpacing/>
        <w:jc w:val="both"/>
        <w:rPr>
          <w:rFonts w:ascii="Verdana" w:eastAsia="Aptos" w:hAnsi="Verdana" w:cs="Arial"/>
          <w:color w:val="000000"/>
          <w:kern w:val="2"/>
          <w:sz w:val="21"/>
          <w:szCs w:val="21"/>
          <w:bdr w:val="none" w:sz="0" w:space="0" w:color="auto" w:frame="1"/>
          <w:lang w:val="es-MX"/>
          <w14:ligatures w14:val="standardContextual"/>
        </w:rPr>
      </w:pPr>
      <w:r w:rsidRPr="0056112B">
        <w:rPr>
          <w:rFonts w:ascii="Verdana" w:eastAsia="Aptos" w:hAnsi="Verdana" w:cs="Arial"/>
          <w:color w:val="000000"/>
          <w:kern w:val="2"/>
          <w:sz w:val="21"/>
          <w:szCs w:val="21"/>
          <w:highlight w:val="lightGray"/>
          <w:bdr w:val="none" w:sz="0" w:space="0" w:color="auto" w:frame="1"/>
          <w:lang w:val="es-MX"/>
          <w14:ligatures w14:val="standardContextual"/>
        </w:rPr>
        <w:t>[Reemplazar el texto anterior por el siguiente, cuando el proceso es estructurado por lotes o segmentos: Cuando una misma persona natural o jurídica, o integrante de un proponente plural presente o haga parte en más de una propuesta para el mismo lote o segmento del presente Proceso de Contratación]</w:t>
      </w:r>
      <w:r w:rsidRPr="0056112B">
        <w:rPr>
          <w:rFonts w:ascii="Verdana" w:eastAsia="Aptos" w:hAnsi="Verdana" w:cs="Arial"/>
          <w:color w:val="000000"/>
          <w:kern w:val="2"/>
          <w:sz w:val="21"/>
          <w:szCs w:val="21"/>
          <w:bdr w:val="none" w:sz="0" w:space="0" w:color="auto" w:frame="1"/>
          <w:lang w:val="es-MX"/>
          <w14:ligatures w14:val="standardContextual"/>
        </w:rPr>
        <w:t>”</w:t>
      </w:r>
    </w:p>
    <w:p w14:paraId="7BBFEEB8" w14:textId="77777777" w:rsidR="00200DB3" w:rsidRDefault="00200DB3" w:rsidP="00200DB3">
      <w:pPr>
        <w:adjustRightInd w:val="0"/>
        <w:spacing w:after="0" w:line="240" w:lineRule="auto"/>
        <w:ind w:left="709" w:right="709"/>
        <w:contextualSpacing/>
        <w:jc w:val="both"/>
        <w:rPr>
          <w:rFonts w:ascii="Verdana" w:eastAsia="Aptos" w:hAnsi="Verdana" w:cs="Arial"/>
          <w:color w:val="000000"/>
          <w:kern w:val="2"/>
          <w:sz w:val="21"/>
          <w:szCs w:val="21"/>
          <w:bdr w:val="none" w:sz="0" w:space="0" w:color="auto" w:frame="1"/>
          <w:lang w:val="es-MX"/>
          <w14:ligatures w14:val="standardContextual"/>
        </w:rPr>
      </w:pPr>
    </w:p>
    <w:p w14:paraId="0D36150A" w14:textId="77777777" w:rsidR="00200DB3" w:rsidRDefault="00200DB3" w:rsidP="00200DB3">
      <w:pPr>
        <w:pStyle w:val="Prrafodelista"/>
        <w:numPr>
          <w:ilvl w:val="0"/>
          <w:numId w:val="17"/>
        </w:numPr>
        <w:shd w:val="clear" w:color="auto" w:fill="FFFFFF" w:themeFill="background1"/>
        <w:spacing w:after="120" w:line="276" w:lineRule="auto"/>
        <w:jc w:val="both"/>
        <w:textAlignment w:val="baseline"/>
        <w:rPr>
          <w:rFonts w:ascii="Verdana" w:eastAsia="Aptos" w:hAnsi="Verdana" w:cs="Arial"/>
          <w:color w:val="000000"/>
          <w:kern w:val="2"/>
          <w14:ligatures w14:val="standardContextual"/>
        </w:rPr>
      </w:pPr>
      <w:r w:rsidRPr="00915741">
        <w:rPr>
          <w:rFonts w:ascii="Verdana" w:eastAsia="Aptos" w:hAnsi="Verdana" w:cs="Arial"/>
          <w:color w:val="000000"/>
          <w:kern w:val="2"/>
          <w14:ligatures w14:val="standardContextual"/>
        </w:rPr>
        <w:t xml:space="preserve">Al respecto, es necesario resaltar que la causal de rechazo contenida en el literal B del numeral 1.15 –causales de rechazo– del documento tipo indicado, está prevista para propuestas distintas presentadas por un mismo proponente, escenario que no admite aclaración por parte de la </w:t>
      </w:r>
      <w:r w:rsidRPr="00915741">
        <w:rPr>
          <w:rFonts w:ascii="Verdana" w:eastAsia="Aptos" w:hAnsi="Verdana" w:cs="Arial"/>
          <w:color w:val="000000"/>
          <w:kern w:val="2"/>
          <w14:ligatures w14:val="standardContextual"/>
        </w:rPr>
        <w:lastRenderedPageBreak/>
        <w:t>entidad estatal y da lugar al rechazo justificado de las ofertas involucradas.</w:t>
      </w:r>
    </w:p>
    <w:p w14:paraId="6ED1CE69" w14:textId="77777777" w:rsidR="00200DB3" w:rsidRPr="00915741" w:rsidRDefault="00200DB3" w:rsidP="00200DB3">
      <w:pPr>
        <w:pStyle w:val="Prrafodelista"/>
        <w:shd w:val="clear" w:color="auto" w:fill="FFFFFF" w:themeFill="background1"/>
        <w:spacing w:after="120" w:line="276" w:lineRule="auto"/>
        <w:jc w:val="both"/>
        <w:textAlignment w:val="baseline"/>
        <w:rPr>
          <w:rFonts w:ascii="Verdana" w:eastAsia="Aptos" w:hAnsi="Verdana" w:cs="Arial"/>
          <w:color w:val="000000"/>
          <w:kern w:val="2"/>
          <w14:ligatures w14:val="standardContextual"/>
        </w:rPr>
      </w:pPr>
    </w:p>
    <w:p w14:paraId="01E891AD" w14:textId="77777777" w:rsidR="00200DB3" w:rsidRPr="004D4CFC" w:rsidRDefault="00200DB3" w:rsidP="00200DB3">
      <w:pPr>
        <w:pStyle w:val="Prrafodelista"/>
        <w:numPr>
          <w:ilvl w:val="0"/>
          <w:numId w:val="17"/>
        </w:numPr>
        <w:shd w:val="clear" w:color="auto" w:fill="FFFFFF" w:themeFill="background1"/>
        <w:spacing w:after="120" w:line="276" w:lineRule="auto"/>
        <w:jc w:val="both"/>
        <w:textAlignment w:val="baseline"/>
        <w:rPr>
          <w:rFonts w:ascii="Verdana" w:eastAsia="Aptos" w:hAnsi="Verdana" w:cs="Arial"/>
          <w:color w:val="000000"/>
          <w:kern w:val="2"/>
          <w14:ligatures w14:val="standardContextual"/>
        </w:rPr>
      </w:pPr>
      <w:r w:rsidRPr="004D4CFC">
        <w:rPr>
          <w:rFonts w:ascii="Verdana" w:eastAsia="Aptos" w:hAnsi="Verdana" w:cs="Arial"/>
          <w:color w:val="000000"/>
          <w:kern w:val="2"/>
          <w14:ligatures w14:val="standardContextual"/>
        </w:rPr>
        <w:t xml:space="preserve">En ese sentido, es importante señalar que la causal distingue de si se trata de un proponente persona natural o jurídica, o un proponente plural. Así, la causal en comento se configura cuando: i) una misma persona natural o jurídica funge como oferente o hace parte en más de una propuesta para el mismo proceso de contratación, o </w:t>
      </w:r>
      <w:proofErr w:type="spellStart"/>
      <w:r w:rsidRPr="004D4CFC">
        <w:rPr>
          <w:rFonts w:ascii="Verdana" w:eastAsia="Aptos" w:hAnsi="Verdana" w:cs="Arial"/>
          <w:color w:val="000000"/>
          <w:kern w:val="2"/>
          <w14:ligatures w14:val="standardContextual"/>
        </w:rPr>
        <w:t>ii</w:t>
      </w:r>
      <w:proofErr w:type="spellEnd"/>
      <w:r w:rsidRPr="004D4CFC">
        <w:rPr>
          <w:rFonts w:ascii="Verdana" w:eastAsia="Aptos" w:hAnsi="Verdana" w:cs="Arial"/>
          <w:color w:val="000000"/>
          <w:kern w:val="2"/>
          <w14:ligatures w14:val="standardContextual"/>
        </w:rPr>
        <w:t>) un mismo integrante de una estructura plural es oferente o hace parte en más de una oferta en el mismo proceso de contratación.</w:t>
      </w:r>
    </w:p>
    <w:p w14:paraId="52295351" w14:textId="77777777" w:rsidR="00200DB3" w:rsidRPr="002332EF" w:rsidRDefault="00200DB3" w:rsidP="00200DB3">
      <w:pPr>
        <w:pStyle w:val="Prrafodelista"/>
        <w:rPr>
          <w:rFonts w:ascii="Verdana" w:eastAsia="Aptos" w:hAnsi="Verdana" w:cs="Arial"/>
          <w:color w:val="000000"/>
          <w:kern w:val="2"/>
          <w:lang w:val="es-ES_tradnl"/>
          <w14:ligatures w14:val="standardContextual"/>
        </w:rPr>
      </w:pPr>
    </w:p>
    <w:p w14:paraId="166E307C" w14:textId="77777777" w:rsidR="00200DB3" w:rsidRPr="002332EF" w:rsidRDefault="00200DB3" w:rsidP="3557F87A">
      <w:pPr>
        <w:pStyle w:val="Prrafodelista"/>
        <w:numPr>
          <w:ilvl w:val="0"/>
          <w:numId w:val="17"/>
        </w:numPr>
        <w:shd w:val="clear" w:color="auto" w:fill="FFFFFF" w:themeFill="background1"/>
        <w:spacing w:after="120" w:line="276" w:lineRule="auto"/>
        <w:jc w:val="both"/>
        <w:textAlignment w:val="baseline"/>
        <w:rPr>
          <w:rFonts w:ascii="Verdana" w:eastAsia="Aptos" w:hAnsi="Verdana" w:cs="Arial"/>
          <w:color w:val="000000"/>
          <w:kern w:val="2"/>
          <w14:ligatures w14:val="standardContextual"/>
        </w:rPr>
      </w:pPr>
      <w:r w:rsidRPr="3557F87A">
        <w:rPr>
          <w:rFonts w:ascii="Verdana" w:eastAsia="Aptos" w:hAnsi="Verdana" w:cs="Arial"/>
          <w:color w:val="000000"/>
          <w:kern w:val="2"/>
          <w14:ligatures w14:val="standardContextual"/>
        </w:rPr>
        <w:t xml:space="preserve">Esta causal está dirigida a evitar que un mismo proponente presente de manera individual más de una propuesta o haga parte en más de una oferta para un mismo proceso de contratación. Por lo tanto, para que opere la causal, debe tratarse de un proponente persona natural o jurídica, o de un integrante de un proponente plural [consorcio o unión temporal], de manera que, </w:t>
      </w:r>
      <w:r w:rsidRPr="3557F87A">
        <w:rPr>
          <w:rFonts w:ascii="Verdana" w:eastAsia="Aptos" w:hAnsi="Verdana" w:cs="Arial"/>
          <w:i/>
          <w:iCs/>
          <w:color w:val="000000"/>
          <w:kern w:val="2"/>
          <w14:ligatures w14:val="standardContextual"/>
        </w:rPr>
        <w:t>stricto sensu,</w:t>
      </w:r>
      <w:r w:rsidRPr="3557F87A">
        <w:rPr>
          <w:rFonts w:ascii="Verdana" w:eastAsia="Aptos" w:hAnsi="Verdana" w:cs="Arial"/>
          <w:color w:val="000000"/>
          <w:kern w:val="2"/>
          <w14:ligatures w14:val="standardContextual"/>
        </w:rPr>
        <w:t xml:space="preserve"> no resulta aplicable cuando se trate de supuestos en los que un proponente tiene algún tipo de relación societaria o parentesco frente a otro oferente, tenido en cuenta la interpretación restrictiva que se predica de las causales de rechazo, sin perjuicio de que, eventualmente, resulte aplicable otra causal de rechazo, o alguna de las inhabilitades e incompatibilidades señaladas en la ley.</w:t>
      </w:r>
    </w:p>
    <w:p w14:paraId="1C46B84D" w14:textId="77777777" w:rsidR="00200DB3" w:rsidRDefault="00200DB3" w:rsidP="00200DB3">
      <w:pPr>
        <w:adjustRightInd w:val="0"/>
        <w:spacing w:after="0" w:line="240" w:lineRule="auto"/>
        <w:ind w:left="709" w:right="709"/>
        <w:contextualSpacing/>
        <w:jc w:val="both"/>
        <w:rPr>
          <w:rFonts w:ascii="Verdana" w:eastAsia="Aptos" w:hAnsi="Verdana" w:cs="Times New Roman"/>
          <w:kern w:val="2"/>
          <w:sz w:val="21"/>
          <w:szCs w:val="21"/>
          <w:lang w:val="es-ES_tradnl"/>
          <w14:ligatures w14:val="standardContextual"/>
        </w:rPr>
      </w:pPr>
    </w:p>
    <w:p w14:paraId="60191EBD" w14:textId="77777777" w:rsidR="00200DB3" w:rsidRPr="00B711E9" w:rsidRDefault="00200DB3" w:rsidP="00200DB3">
      <w:pPr>
        <w:pStyle w:val="Prrafodelista"/>
        <w:numPr>
          <w:ilvl w:val="0"/>
          <w:numId w:val="17"/>
        </w:numPr>
        <w:shd w:val="clear" w:color="auto" w:fill="FFFFFF" w:themeFill="background1"/>
        <w:spacing w:after="120" w:line="276" w:lineRule="auto"/>
        <w:jc w:val="both"/>
        <w:textAlignment w:val="baseline"/>
        <w:rPr>
          <w:rFonts w:ascii="Verdana" w:eastAsia="Aptos" w:hAnsi="Verdana" w:cs="Arial"/>
          <w:color w:val="000000"/>
          <w:kern w:val="2"/>
          <w14:ligatures w14:val="standardContextual"/>
        </w:rPr>
      </w:pPr>
      <w:r w:rsidRPr="00B711E9">
        <w:rPr>
          <w:rFonts w:ascii="Verdana" w:eastAsia="Aptos" w:hAnsi="Verdana" w:cs="Arial"/>
          <w:color w:val="000000"/>
          <w:kern w:val="2"/>
          <w14:ligatures w14:val="standardContextual"/>
        </w:rPr>
        <w:t xml:space="preserve">Ahora bien, tratándose de proponentes plurales, la causal del literal B del documento base no hace ningún tipo de distinción respecto a la participación de sus integrantes para su aplicación. Por esta razón, indistintamente del porcentaje de participación del integrante del consorcio o unión temporal, cuando </w:t>
      </w:r>
      <w:proofErr w:type="spellStart"/>
      <w:r w:rsidRPr="00B711E9">
        <w:rPr>
          <w:rFonts w:ascii="Verdana" w:eastAsia="Aptos" w:hAnsi="Verdana" w:cs="Arial"/>
          <w:color w:val="000000"/>
          <w:kern w:val="2"/>
          <w14:ligatures w14:val="standardContextual"/>
        </w:rPr>
        <w:t>este</w:t>
      </w:r>
      <w:proofErr w:type="spellEnd"/>
      <w:r w:rsidRPr="00B711E9">
        <w:rPr>
          <w:rFonts w:ascii="Verdana" w:eastAsia="Aptos" w:hAnsi="Verdana" w:cs="Arial"/>
          <w:color w:val="000000"/>
          <w:kern w:val="2"/>
          <w14:ligatures w14:val="standardContextual"/>
        </w:rPr>
        <w:t xml:space="preserve"> presente otra oferta de manera individual o haga parte en más de una oferta para el mismo proceso de contratación, es procedente el rechazo de las ofertas involucradas en el supuesto descrito en la causal. </w:t>
      </w:r>
    </w:p>
    <w:p w14:paraId="3EBD1E6A" w14:textId="77777777" w:rsidR="00200DB3" w:rsidRPr="00247884" w:rsidRDefault="00200DB3" w:rsidP="00200DB3">
      <w:pPr>
        <w:pStyle w:val="Prrafodelista"/>
        <w:rPr>
          <w:rFonts w:ascii="Verdana" w:eastAsia="Aptos" w:hAnsi="Verdana" w:cs="Arial"/>
          <w:color w:val="000000"/>
          <w:kern w:val="2"/>
          <w:lang w:val="es-ES_tradnl"/>
          <w14:ligatures w14:val="standardContextual"/>
        </w:rPr>
      </w:pPr>
    </w:p>
    <w:p w14:paraId="7844959B" w14:textId="77777777" w:rsidR="00200DB3" w:rsidRDefault="00200DB3" w:rsidP="00200DB3">
      <w:pPr>
        <w:pStyle w:val="Prrafodelista"/>
        <w:numPr>
          <w:ilvl w:val="0"/>
          <w:numId w:val="17"/>
        </w:numPr>
        <w:shd w:val="clear" w:color="auto" w:fill="FFFFFF"/>
        <w:spacing w:after="0" w:line="276" w:lineRule="auto"/>
        <w:jc w:val="both"/>
        <w:textAlignment w:val="baseline"/>
        <w:rPr>
          <w:rFonts w:ascii="Verdana" w:eastAsia="Aptos" w:hAnsi="Verdana" w:cs="Arial"/>
          <w:color w:val="000000"/>
          <w:kern w:val="2"/>
          <w:lang w:val="es-ES_tradnl"/>
          <w14:ligatures w14:val="standardContextual"/>
        </w:rPr>
      </w:pPr>
      <w:r w:rsidRPr="00247884">
        <w:rPr>
          <w:rFonts w:ascii="Verdana" w:eastAsia="Aptos" w:hAnsi="Verdana" w:cs="Arial"/>
          <w:color w:val="000000"/>
          <w:kern w:val="2"/>
          <w:lang w:val="es-ES_tradnl"/>
          <w14:ligatures w14:val="standardContextual"/>
        </w:rPr>
        <w:t xml:space="preserve">En cualquier caso, resulta necesario acotar que el rechazo de la oferta debe realizarse antes de la adjudicación, toda vez que, en virtud del principio de selección objetiva con base en el cual debe escogerse el contratista, no es posible adjudicar el contrato a un oferente que no cumpla con todas las condiciones establecidas en el pliego de condiciones </w:t>
      </w:r>
      <w:r w:rsidRPr="00247884">
        <w:rPr>
          <w:rFonts w:ascii="Verdana" w:eastAsia="Aptos" w:hAnsi="Verdana" w:cs="Arial"/>
          <w:color w:val="000000"/>
          <w:kern w:val="2"/>
          <w:lang w:val="es-ES_tradnl"/>
          <w14:ligatures w14:val="standardContextual"/>
        </w:rPr>
        <w:lastRenderedPageBreak/>
        <w:t xml:space="preserve">tipo o se encuentre en alguno de los supuestos que amerita el rechazo de la propuesta. </w:t>
      </w:r>
    </w:p>
    <w:p w14:paraId="7A2C57FC" w14:textId="77777777" w:rsidR="00200DB3" w:rsidRPr="00521D9E" w:rsidRDefault="00200DB3" w:rsidP="00200DB3">
      <w:pPr>
        <w:pStyle w:val="Prrafodelista"/>
        <w:rPr>
          <w:rFonts w:ascii="Verdana" w:eastAsia="Aptos" w:hAnsi="Verdana" w:cs="Arial"/>
          <w:color w:val="000000"/>
          <w:kern w:val="2"/>
          <w:lang w:val="es-ES_tradnl"/>
          <w14:ligatures w14:val="standardContextual"/>
        </w:rPr>
      </w:pPr>
    </w:p>
    <w:p w14:paraId="12386858" w14:textId="77777777" w:rsidR="00200DB3" w:rsidRPr="000C6196" w:rsidRDefault="00200DB3" w:rsidP="00200DB3">
      <w:pPr>
        <w:pStyle w:val="Prrafodelista"/>
        <w:numPr>
          <w:ilvl w:val="0"/>
          <w:numId w:val="17"/>
        </w:numPr>
        <w:shd w:val="clear" w:color="auto" w:fill="FFFFFF"/>
        <w:spacing w:after="0"/>
        <w:jc w:val="both"/>
        <w:textAlignment w:val="baseline"/>
        <w:rPr>
          <w:rFonts w:ascii="Verdana" w:eastAsia="Aptos" w:hAnsi="Verdana" w:cs="Arial"/>
          <w:color w:val="000000"/>
          <w:kern w:val="2"/>
          <w:lang w:val="es-CO"/>
          <w14:ligatures w14:val="standardContextual"/>
        </w:rPr>
      </w:pPr>
      <w:r w:rsidRPr="000C6196">
        <w:rPr>
          <w:rFonts w:ascii="Verdana" w:eastAsia="Aptos" w:hAnsi="Verdana" w:cs="Arial"/>
          <w:color w:val="000000"/>
          <w:kern w:val="2"/>
          <w:lang w:val="es-ES_tradnl"/>
          <w14:ligatures w14:val="standardContextual"/>
        </w:rPr>
        <w:t xml:space="preserve">En cumplimiento del derecho al debido proceso, el comité evaluador una vez rechazada la oferta, debe conceder el plazo para que el o los oferentes puedan manifestarse sobre la causal de rechazo, </w:t>
      </w:r>
      <w:r w:rsidRPr="000C6196">
        <w:rPr>
          <w:rFonts w:ascii="Verdana" w:eastAsia="Aptos" w:hAnsi="Verdana" w:cs="Arial"/>
          <w:color w:val="000000"/>
          <w:kern w:val="2"/>
          <w:lang w:val="es-CO"/>
          <w14:ligatures w14:val="standardContextual"/>
        </w:rPr>
        <w:t>el informe de evaluación de propuestas es una actuación reglada dentro del procedimiento de selección contractual, mediante la cual se realiza una comparación objetiva de las ofertas presentadas por los proponentes, con base exclusivamente en los criterios de selección establecidos en los pliegos de condiciones o documentos equivalentes.</w:t>
      </w:r>
    </w:p>
    <w:p w14:paraId="1907ACF2" w14:textId="77777777" w:rsidR="00200DB3" w:rsidRDefault="00200DB3" w:rsidP="00200DB3">
      <w:pPr>
        <w:pStyle w:val="Prrafodelista"/>
        <w:shd w:val="clear" w:color="auto" w:fill="FFFFFF"/>
        <w:spacing w:after="0" w:line="276" w:lineRule="auto"/>
        <w:jc w:val="both"/>
        <w:textAlignment w:val="baseline"/>
        <w:rPr>
          <w:rFonts w:ascii="Verdana" w:eastAsia="Aptos" w:hAnsi="Verdana" w:cs="Arial"/>
          <w:color w:val="000000"/>
          <w:kern w:val="2"/>
          <w:lang w:val="es-ES_tradnl"/>
          <w14:ligatures w14:val="standardContextual"/>
        </w:rPr>
      </w:pPr>
    </w:p>
    <w:p w14:paraId="56828380" w14:textId="77777777" w:rsidR="00200DB3" w:rsidRPr="00612517" w:rsidRDefault="00200DB3" w:rsidP="00200DB3">
      <w:pPr>
        <w:spacing w:after="0" w:line="276" w:lineRule="auto"/>
        <w:ind w:firstLine="708"/>
        <w:jc w:val="both"/>
        <w:rPr>
          <w:rFonts w:ascii="Verdana" w:eastAsia="Times New Roman" w:hAnsi="Verdana" w:cs="Arial"/>
          <w:color w:val="000000" w:themeColor="text1"/>
        </w:rPr>
      </w:pPr>
      <w:r w:rsidRPr="00612517">
        <w:rPr>
          <w:rFonts w:ascii="Verdana" w:eastAsia="Times New Roman" w:hAnsi="Verdana" w:cs="Arial"/>
          <w:color w:val="000000" w:themeColor="text1"/>
        </w:rPr>
        <w:t>El numeral 2° del artículo 24 de la ley 80 de 1993, en desarrollo del principio de transparencia, dispone que:</w:t>
      </w:r>
    </w:p>
    <w:p w14:paraId="67FB9931" w14:textId="77777777" w:rsidR="00200DB3" w:rsidRPr="00612517" w:rsidRDefault="00200DB3" w:rsidP="00200DB3">
      <w:pPr>
        <w:spacing w:after="0" w:line="276" w:lineRule="auto"/>
        <w:jc w:val="both"/>
        <w:rPr>
          <w:rFonts w:ascii="Verdana" w:eastAsia="Times New Roman" w:hAnsi="Verdana" w:cs="Arial"/>
          <w:color w:val="000000" w:themeColor="text1"/>
        </w:rPr>
      </w:pPr>
    </w:p>
    <w:p w14:paraId="3A30E8E2" w14:textId="77777777" w:rsidR="00200DB3" w:rsidRPr="00612517" w:rsidRDefault="00200DB3" w:rsidP="00200DB3">
      <w:pPr>
        <w:spacing w:after="0" w:line="240" w:lineRule="auto"/>
        <w:ind w:left="709" w:right="709"/>
        <w:jc w:val="both"/>
        <w:rPr>
          <w:rFonts w:ascii="Verdana" w:eastAsia="Times New Roman" w:hAnsi="Verdana" w:cs="Arial"/>
          <w:sz w:val="20"/>
          <w:szCs w:val="20"/>
          <w:shd w:val="clear" w:color="auto" w:fill="FFFFFF"/>
        </w:rPr>
      </w:pPr>
      <w:r w:rsidRPr="00612517">
        <w:rPr>
          <w:rFonts w:ascii="Verdana" w:eastAsia="Times New Roman" w:hAnsi="Verdana" w:cs="Arial"/>
          <w:sz w:val="20"/>
          <w:szCs w:val="20"/>
          <w:shd w:val="clear" w:color="auto" w:fill="FFFFFF"/>
        </w:rPr>
        <w:t>“En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w:t>
      </w:r>
    </w:p>
    <w:p w14:paraId="0162F827" w14:textId="77777777" w:rsidR="00200DB3" w:rsidRPr="00612517" w:rsidRDefault="00200DB3" w:rsidP="00200DB3">
      <w:pPr>
        <w:spacing w:after="0" w:line="276" w:lineRule="auto"/>
        <w:ind w:firstLine="708"/>
        <w:jc w:val="both"/>
        <w:rPr>
          <w:rFonts w:ascii="Verdana" w:eastAsia="Times New Roman" w:hAnsi="Verdana" w:cs="Arial"/>
          <w:shd w:val="clear" w:color="auto" w:fill="FFFFFF"/>
        </w:rPr>
      </w:pPr>
    </w:p>
    <w:p w14:paraId="4CD69FAC" w14:textId="77777777" w:rsidR="00200DB3" w:rsidRPr="00612517" w:rsidRDefault="00200DB3" w:rsidP="00200DB3">
      <w:pPr>
        <w:spacing w:after="0" w:line="276" w:lineRule="auto"/>
        <w:ind w:firstLine="708"/>
        <w:jc w:val="both"/>
        <w:rPr>
          <w:rFonts w:ascii="Verdana" w:eastAsia="Times New Roman" w:hAnsi="Verdana" w:cs="Arial"/>
          <w:shd w:val="clear" w:color="auto" w:fill="FFFFFF"/>
        </w:rPr>
      </w:pPr>
      <w:r w:rsidRPr="00612517">
        <w:rPr>
          <w:rFonts w:ascii="Verdana" w:eastAsia="Times New Roman" w:hAnsi="Verdana" w:cs="Arial"/>
          <w:shd w:val="clear" w:color="auto" w:fill="FFFFFF"/>
        </w:rPr>
        <w:t xml:space="preserve">Por su parte el artículo 30 ibidem que se refiere a la </w:t>
      </w:r>
      <w:r w:rsidRPr="00612517">
        <w:rPr>
          <w:rFonts w:ascii="Verdana" w:eastAsia="Times New Roman" w:hAnsi="Verdana" w:cs="Arial"/>
          <w:i/>
          <w:iCs/>
          <w:shd w:val="clear" w:color="auto" w:fill="FFFFFF"/>
        </w:rPr>
        <w:t>“Estructura De Los Procedimientos De Selección</w:t>
      </w:r>
      <w:r w:rsidRPr="00612517">
        <w:rPr>
          <w:rFonts w:ascii="Verdana" w:eastAsia="Times New Roman" w:hAnsi="Verdana" w:cs="Arial"/>
          <w:shd w:val="clear" w:color="auto" w:fill="FFFFFF"/>
        </w:rPr>
        <w:t xml:space="preserve">”, dice en su numeral 7°: </w:t>
      </w:r>
    </w:p>
    <w:p w14:paraId="60B86978" w14:textId="77777777" w:rsidR="00200DB3" w:rsidRPr="00612517" w:rsidRDefault="00200DB3" w:rsidP="00200DB3">
      <w:pPr>
        <w:spacing w:after="0" w:line="240" w:lineRule="auto"/>
        <w:ind w:right="709"/>
        <w:jc w:val="both"/>
        <w:rPr>
          <w:rFonts w:ascii="Verdana" w:eastAsia="Times New Roman" w:hAnsi="Verdana" w:cs="Arial"/>
          <w:shd w:val="clear" w:color="auto" w:fill="FFFFFF"/>
        </w:rPr>
      </w:pPr>
    </w:p>
    <w:p w14:paraId="1DB2F9B0" w14:textId="77777777" w:rsidR="00200DB3" w:rsidRPr="00612517" w:rsidRDefault="00200DB3" w:rsidP="00200DB3">
      <w:pPr>
        <w:spacing w:after="0" w:line="240" w:lineRule="auto"/>
        <w:ind w:left="709" w:right="709"/>
        <w:jc w:val="both"/>
        <w:rPr>
          <w:rFonts w:ascii="Verdana" w:eastAsia="Times New Roman" w:hAnsi="Verdana" w:cs="Arial"/>
          <w:sz w:val="20"/>
          <w:szCs w:val="20"/>
          <w:shd w:val="clear" w:color="auto" w:fill="FFFFFF"/>
        </w:rPr>
      </w:pPr>
      <w:r w:rsidRPr="00612517">
        <w:rPr>
          <w:rFonts w:ascii="Verdana" w:eastAsia="Times New Roman" w:hAnsi="Verdana" w:cs="Arial"/>
          <w:sz w:val="20"/>
          <w:szCs w:val="20"/>
          <w:shd w:val="clear" w:color="auto" w:fill="FFFFFF"/>
        </w:rPr>
        <w:t xml:space="preserve">“De acuerdo con la naturaleza, objeto y cuantía del contrato, en los pliegos de condiciones,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76218749" w14:textId="77777777" w:rsidR="00200DB3" w:rsidRPr="00612517" w:rsidRDefault="00200DB3" w:rsidP="00200DB3">
      <w:pPr>
        <w:spacing w:after="0" w:line="276" w:lineRule="auto"/>
        <w:ind w:right="709"/>
        <w:jc w:val="both"/>
        <w:rPr>
          <w:rFonts w:ascii="Verdana" w:eastAsia="Times New Roman" w:hAnsi="Verdana" w:cs="Arial"/>
          <w:shd w:val="clear" w:color="auto" w:fill="FFFFFF"/>
        </w:rPr>
      </w:pPr>
    </w:p>
    <w:p w14:paraId="7F4FFE1E" w14:textId="77777777" w:rsidR="00200DB3" w:rsidRPr="00612517" w:rsidRDefault="00200DB3" w:rsidP="00200DB3">
      <w:pPr>
        <w:spacing w:after="0" w:line="276" w:lineRule="auto"/>
        <w:ind w:firstLine="708"/>
        <w:jc w:val="both"/>
        <w:rPr>
          <w:rFonts w:ascii="Verdana" w:eastAsia="Times New Roman" w:hAnsi="Verdana" w:cs="Arial"/>
          <w:shd w:val="clear" w:color="auto" w:fill="FFFFFF"/>
        </w:rPr>
      </w:pPr>
      <w:r w:rsidRPr="00612517">
        <w:rPr>
          <w:rFonts w:ascii="Verdana" w:eastAsia="Times New Roman" w:hAnsi="Verdana" w:cs="Arial"/>
          <w:shd w:val="clear" w:color="auto" w:fill="FFFFFF"/>
        </w:rPr>
        <w:t xml:space="preserve">Sobre la naturaleza de los informes de evaluación se pronunció la Sección Tercera de esta Corporación en Sentencia del 7 de septiembre de 2004, expediente 13790. Sobre el particular, esta Corporación señaló: </w:t>
      </w:r>
    </w:p>
    <w:p w14:paraId="3AD4B5D1" w14:textId="77777777" w:rsidR="00200DB3" w:rsidRPr="00612517" w:rsidRDefault="00200DB3" w:rsidP="00200DB3">
      <w:pPr>
        <w:spacing w:after="0" w:line="276" w:lineRule="auto"/>
        <w:ind w:right="709" w:firstLine="708"/>
        <w:jc w:val="both"/>
        <w:rPr>
          <w:rFonts w:ascii="Verdana" w:eastAsia="Times New Roman" w:hAnsi="Verdana" w:cs="Arial"/>
          <w:shd w:val="clear" w:color="auto" w:fill="FFFFFF"/>
        </w:rPr>
      </w:pPr>
    </w:p>
    <w:p w14:paraId="0D4FE294" w14:textId="77777777" w:rsidR="00200DB3" w:rsidRPr="00612517" w:rsidRDefault="00200DB3" w:rsidP="00200DB3">
      <w:pPr>
        <w:spacing w:after="0" w:line="240" w:lineRule="auto"/>
        <w:ind w:left="709" w:right="709"/>
        <w:jc w:val="both"/>
        <w:rPr>
          <w:rFonts w:ascii="Verdana" w:eastAsia="Times New Roman" w:hAnsi="Verdana" w:cs="Arial"/>
          <w:sz w:val="20"/>
          <w:szCs w:val="20"/>
          <w:shd w:val="clear" w:color="auto" w:fill="FFFFFF"/>
        </w:rPr>
      </w:pPr>
      <w:r w:rsidRPr="00612517">
        <w:rPr>
          <w:rFonts w:ascii="Verdana" w:eastAsia="Times New Roman" w:hAnsi="Verdana" w:cs="Arial"/>
          <w:sz w:val="20"/>
          <w:szCs w:val="20"/>
          <w:shd w:val="clear" w:color="auto" w:fill="FFFFFF"/>
        </w:rPr>
        <w:t xml:space="preserve">“el informe de evaluación de las propuestas que generalmente elabora un comité asesor que previamente designa el representante legal de la entidad y que se advierte en los pliegos de condiciones, debe contener la comparación objetiva de las propuestas, con sujeción exclusivamente a los criterios de selección establecidos en los pliegos. Se trata de una actuación reglada en la cual las recomendaciones de ese comité deben basarse en los criterios o parámetros previamente definidos por la </w:t>
      </w:r>
      <w:r w:rsidRPr="00612517">
        <w:rPr>
          <w:rFonts w:ascii="Verdana" w:eastAsia="Times New Roman" w:hAnsi="Verdana" w:cs="Arial"/>
          <w:sz w:val="20"/>
          <w:szCs w:val="20"/>
          <w:shd w:val="clear" w:color="auto" w:fill="FFFFFF"/>
        </w:rPr>
        <w:lastRenderedPageBreak/>
        <w:t>administración como las bases de la licitación o del concurso. Por consiguiente, el informe de evaluación de las ofertas debe ser motivado con el fin de garantizar el principio de la transparencia y de publicidad de la actividad precontractual. Así lo establece el ordinal 7° del artículo 24 de la ley 80 de 1993: ‘Los actos administrativos que se expidan en la actividad contractual o con ocasión de ella, salvo los de mero trámite, se motivarán en forma detallada y precisa e igualmente lo serán los informes de evaluación, el acto de adjudicación y la declaratoria de desierto del proceso de escogencia’ (se destaca)”</w:t>
      </w:r>
    </w:p>
    <w:p w14:paraId="4CB3FE76" w14:textId="77777777" w:rsidR="00200DB3" w:rsidRPr="00612517" w:rsidRDefault="00200DB3" w:rsidP="00200DB3">
      <w:pPr>
        <w:spacing w:after="0" w:line="276" w:lineRule="auto"/>
        <w:ind w:left="709" w:right="709"/>
        <w:jc w:val="both"/>
        <w:rPr>
          <w:rFonts w:ascii="Verdana" w:eastAsia="Times New Roman" w:hAnsi="Verdana" w:cs="Arial"/>
          <w:sz w:val="20"/>
          <w:szCs w:val="20"/>
          <w:shd w:val="clear" w:color="auto" w:fill="FFFFFF"/>
        </w:rPr>
      </w:pPr>
    </w:p>
    <w:p w14:paraId="3035E5A3" w14:textId="77777777" w:rsidR="00200DB3" w:rsidRPr="00612517" w:rsidRDefault="00200DB3" w:rsidP="00200DB3">
      <w:pPr>
        <w:spacing w:after="0" w:line="276" w:lineRule="auto"/>
        <w:ind w:firstLine="708"/>
        <w:jc w:val="both"/>
        <w:rPr>
          <w:rFonts w:ascii="Verdana" w:eastAsia="Times New Roman" w:hAnsi="Verdana" w:cs="Arial"/>
          <w:shd w:val="clear" w:color="auto" w:fill="FFFFFF"/>
        </w:rPr>
      </w:pPr>
      <w:r w:rsidRPr="00612517">
        <w:rPr>
          <w:rFonts w:ascii="Verdana" w:eastAsia="Times New Roman" w:hAnsi="Verdana" w:cs="Arial"/>
          <w:shd w:val="clear" w:color="auto" w:fill="FFFFFF"/>
        </w:rPr>
        <w:t xml:space="preserve">Sobre la razón de ser y los alcances del traslado de los informes de evaluación, la exposición de motivos del proyecto de ley presentado por el gobierno, que se convirtió en la Ley 80 de 1993, señaló: </w:t>
      </w:r>
    </w:p>
    <w:p w14:paraId="1EB75FDB" w14:textId="77777777" w:rsidR="00200DB3" w:rsidRPr="00612517" w:rsidRDefault="00200DB3" w:rsidP="00200DB3">
      <w:pPr>
        <w:spacing w:after="0" w:line="276" w:lineRule="auto"/>
        <w:ind w:left="709" w:right="709"/>
        <w:jc w:val="both"/>
        <w:rPr>
          <w:rFonts w:ascii="Verdana" w:eastAsia="Times New Roman" w:hAnsi="Verdana" w:cs="Arial"/>
          <w:shd w:val="clear" w:color="auto" w:fill="FFFFFF"/>
        </w:rPr>
      </w:pPr>
    </w:p>
    <w:p w14:paraId="7BE50C87" w14:textId="77777777" w:rsidR="00200DB3" w:rsidRPr="00612517" w:rsidRDefault="00200DB3" w:rsidP="00200DB3">
      <w:pPr>
        <w:spacing w:after="0" w:line="240" w:lineRule="auto"/>
        <w:ind w:left="709" w:right="709"/>
        <w:jc w:val="both"/>
        <w:rPr>
          <w:rFonts w:ascii="Verdana" w:eastAsia="Times New Roman" w:hAnsi="Verdana" w:cs="Arial"/>
          <w:sz w:val="20"/>
          <w:szCs w:val="20"/>
          <w:shd w:val="clear" w:color="auto" w:fill="FFFFFF"/>
        </w:rPr>
      </w:pPr>
      <w:r w:rsidRPr="00612517">
        <w:rPr>
          <w:rFonts w:ascii="Verdana" w:eastAsia="Times New Roman" w:hAnsi="Verdana" w:cs="Arial"/>
          <w:sz w:val="20"/>
          <w:szCs w:val="20"/>
          <w:shd w:val="clear" w:color="auto" w:fill="FFFFFF"/>
        </w:rPr>
        <w:t>“…se otorga la facultad a los oferentes de conocer los informes, conceptos y decisiones producidos en el curso del proceso con el propósito de permitirles la formulación de observaciones y reparos, esto es, para que puedan discutirlos o controvertirlos en orden a preservar la igualdad de oportunidades (art. 24 inc. 2°)….se busca con ello no solo dar a conocer los estudios de cada una de las propuestas y su evaluación, sino también que los administradores reciban cierta colaboración de los participantes en el proceso de selección, quienes para el efecto tienen la oportunidad de ilustrar a la administración sobre hechos y circunstancias relevantes y que eventualmente hayan pasado desapercibidas”.</w:t>
      </w:r>
    </w:p>
    <w:p w14:paraId="1D1E8B2F" w14:textId="77777777" w:rsidR="00200DB3" w:rsidRPr="00612517" w:rsidRDefault="00200DB3" w:rsidP="00200DB3">
      <w:pPr>
        <w:spacing w:after="0" w:line="276" w:lineRule="auto"/>
        <w:ind w:firstLine="708"/>
        <w:jc w:val="both"/>
        <w:rPr>
          <w:rFonts w:ascii="Verdana" w:eastAsia="Times New Roman" w:hAnsi="Verdana" w:cs="Arial"/>
          <w:shd w:val="clear" w:color="auto" w:fill="FFFFFF"/>
        </w:rPr>
      </w:pPr>
    </w:p>
    <w:p w14:paraId="37CE5288" w14:textId="77777777" w:rsidR="00200DB3" w:rsidRPr="00612517" w:rsidRDefault="00200DB3" w:rsidP="00200DB3">
      <w:pPr>
        <w:spacing w:after="120" w:line="276" w:lineRule="auto"/>
        <w:ind w:firstLine="708"/>
        <w:jc w:val="both"/>
        <w:rPr>
          <w:rFonts w:ascii="Verdana" w:eastAsia="Times New Roman" w:hAnsi="Verdana" w:cs="Arial"/>
          <w:color w:val="000000" w:themeColor="text1"/>
        </w:rPr>
      </w:pPr>
      <w:r w:rsidRPr="00612517">
        <w:rPr>
          <w:rFonts w:ascii="Verdana" w:eastAsia="Times New Roman" w:hAnsi="Verdana" w:cs="Arial"/>
          <w:shd w:val="clear" w:color="auto" w:fill="FFFFFF"/>
        </w:rPr>
        <w:t xml:space="preserve">Respecto a la obligación específica de publicar el informe de evaluación, el Estatuto General de Contratación de la Administración Pública fijó los términos que para ello deben cumplir las Entidades Estatales en las distintas modalidades de selección. </w:t>
      </w:r>
      <w:r w:rsidRPr="00612517">
        <w:rPr>
          <w:rFonts w:ascii="Verdana" w:eastAsia="Times New Roman" w:hAnsi="Verdana" w:cs="Times New Roman"/>
        </w:rPr>
        <w:t>En los procesos de licitación pública, el informe de evaluación de las propuestas debe permanecer en la secretaría general de la Entidad Estatal contratante por el un término de cinco (5) días hábiles</w:t>
      </w:r>
      <w:r w:rsidRPr="00612517">
        <w:rPr>
          <w:rFonts w:ascii="Verdana" w:eastAsia="Times New Roman" w:hAnsi="Verdana" w:cs="Times New Roman"/>
          <w:vertAlign w:val="superscript"/>
        </w:rPr>
        <w:footnoteReference w:id="5"/>
      </w:r>
      <w:r w:rsidRPr="00612517">
        <w:rPr>
          <w:rFonts w:ascii="Verdana" w:eastAsia="Times New Roman" w:hAnsi="Verdana" w:cs="Times New Roman"/>
        </w:rPr>
        <w:t xml:space="preserve">. En los procesos de selección de concurso de méritos y de selección abreviada de menor cuantía, las Entidades Estatales están en la obligación de publicar el informe de evaluación por un término de tres (3) días hábiles, mientras que en los procesos de </w:t>
      </w:r>
      <w:r w:rsidRPr="00612517">
        <w:rPr>
          <w:rFonts w:ascii="Verdana" w:eastAsia="Times New Roman" w:hAnsi="Verdana" w:cs="Times New Roman"/>
        </w:rPr>
        <w:lastRenderedPageBreak/>
        <w:t>selección de mínima cuantía ese informe de evaluación deberá publicarse al menos por el término de un (1) día hábil</w:t>
      </w:r>
      <w:r w:rsidRPr="00612517">
        <w:rPr>
          <w:rFonts w:ascii="Verdana" w:eastAsia="Times New Roman" w:hAnsi="Verdana" w:cs="Times New Roman"/>
          <w:vertAlign w:val="superscript"/>
        </w:rPr>
        <w:footnoteReference w:id="6"/>
      </w:r>
      <w:r w:rsidRPr="00612517">
        <w:rPr>
          <w:rFonts w:ascii="Verdana" w:eastAsia="Times New Roman" w:hAnsi="Verdana" w:cs="Times New Roman"/>
        </w:rPr>
        <w:t>.</w:t>
      </w:r>
    </w:p>
    <w:p w14:paraId="0140F7B0" w14:textId="77777777" w:rsidR="00200DB3" w:rsidRPr="00612517" w:rsidRDefault="00200DB3" w:rsidP="00200DB3">
      <w:pPr>
        <w:tabs>
          <w:tab w:val="left" w:pos="709"/>
        </w:tabs>
        <w:spacing w:before="120" w:after="120" w:line="276" w:lineRule="auto"/>
        <w:jc w:val="both"/>
        <w:rPr>
          <w:rFonts w:ascii="Verdana" w:eastAsia="Times New Roman" w:hAnsi="Verdana" w:cs="Times New Roman"/>
        </w:rPr>
      </w:pPr>
      <w:r w:rsidRPr="00612517">
        <w:rPr>
          <w:rFonts w:ascii="Verdana" w:eastAsia="Times New Roman" w:hAnsi="Verdana" w:cs="Times New Roman"/>
        </w:rPr>
        <w:tab/>
        <w:t>El propósito de la publicación oportuna del informe de evaluación de las propuestas en cada una de estas modalidades es que los interesados puedan realizar las observaciones que consideren pertinentes y que, en los casos que sea procedente, la Entidad realice las modificaciones o ajustes necesarios.</w:t>
      </w:r>
    </w:p>
    <w:p w14:paraId="346ACAF8" w14:textId="77777777" w:rsidR="00200DB3" w:rsidRPr="00576980" w:rsidRDefault="00200DB3" w:rsidP="00200DB3">
      <w:pPr>
        <w:tabs>
          <w:tab w:val="left" w:pos="709"/>
        </w:tabs>
        <w:spacing w:before="120" w:after="120" w:line="276" w:lineRule="auto"/>
        <w:jc w:val="both"/>
        <w:rPr>
          <w:rFonts w:ascii="Verdana" w:eastAsia="Times New Roman" w:hAnsi="Verdana" w:cs="Times New Roman"/>
        </w:rPr>
      </w:pPr>
      <w:r w:rsidRPr="00612517">
        <w:rPr>
          <w:rFonts w:ascii="Verdana" w:eastAsia="Times New Roman" w:hAnsi="Verdana" w:cs="Times New Roman"/>
        </w:rPr>
        <w:tab/>
      </w:r>
    </w:p>
    <w:p w14:paraId="7FF95020" w14:textId="77777777" w:rsidR="00200DB3" w:rsidRPr="002D2FBE" w:rsidRDefault="00200DB3" w:rsidP="00200DB3">
      <w:pPr>
        <w:numPr>
          <w:ilvl w:val="0"/>
          <w:numId w:val="19"/>
        </w:numPr>
        <w:tabs>
          <w:tab w:val="left" w:pos="142"/>
          <w:tab w:val="left" w:pos="284"/>
        </w:tabs>
        <w:spacing w:after="0" w:line="276" w:lineRule="auto"/>
        <w:ind w:left="357" w:hanging="357"/>
        <w:jc w:val="both"/>
        <w:rPr>
          <w:rFonts w:ascii="Verdana" w:eastAsia="Century Gothic" w:hAnsi="Verdana" w:cs="Century Gothic"/>
          <w:b/>
          <w:bCs/>
          <w:lang w:val="es-ES_tradnl"/>
        </w:rPr>
      </w:pPr>
      <w:r w:rsidRPr="002D2FBE">
        <w:rPr>
          <w:rFonts w:ascii="Verdana" w:eastAsia="Century Gothic" w:hAnsi="Verdana" w:cs="Century Gothic"/>
          <w:b/>
          <w:bCs/>
          <w:lang w:val="es-ES_tradnl"/>
        </w:rPr>
        <w:t>Referencias normativas, jurisprudenciales y otras fuentes:</w:t>
      </w:r>
    </w:p>
    <w:p w14:paraId="1A83E4A2" w14:textId="77777777" w:rsidR="00200DB3" w:rsidRPr="002D2FBE" w:rsidRDefault="00200DB3" w:rsidP="00200DB3">
      <w:pPr>
        <w:spacing w:after="0"/>
        <w:ind w:left="-15840"/>
        <w:jc w:val="both"/>
        <w:rPr>
          <w:rFonts w:ascii="Verdana" w:eastAsia="Calibri" w:hAnsi="Verdana" w:cs="Arial"/>
          <w:b/>
          <w:bCs/>
        </w:rPr>
      </w:pPr>
      <w:r w:rsidRPr="002D2FB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00DB3" w:rsidRPr="002D2FBE" w14:paraId="5461E175" w14:textId="77777777" w:rsidTr="001311D3">
        <w:trPr>
          <w:trHeight w:val="870"/>
        </w:trPr>
        <w:tc>
          <w:tcPr>
            <w:tcW w:w="8647" w:type="dxa"/>
            <w:tcBorders>
              <w:top w:val="dotted" w:sz="4" w:space="0" w:color="auto"/>
              <w:left w:val="dotted" w:sz="4" w:space="0" w:color="auto"/>
              <w:bottom w:val="dotted" w:sz="4" w:space="0" w:color="auto"/>
              <w:right w:val="dotted" w:sz="4" w:space="0" w:color="auto"/>
            </w:tcBorders>
          </w:tcPr>
          <w:p w14:paraId="50E6E69A" w14:textId="77777777" w:rsidR="00200DB3" w:rsidRPr="002D2FBE" w:rsidRDefault="00200DB3" w:rsidP="001311D3">
            <w:pPr>
              <w:ind w:left="720"/>
              <w:contextualSpacing/>
              <w:jc w:val="both"/>
              <w:rPr>
                <w:rFonts w:ascii="Verdana" w:eastAsia="Calibri" w:hAnsi="Verdana" w:cs="Arial"/>
                <w:bCs/>
              </w:rPr>
            </w:pPr>
          </w:p>
          <w:p w14:paraId="45299449" w14:textId="77777777" w:rsidR="00200DB3" w:rsidRDefault="00200DB3" w:rsidP="001311D3">
            <w:pPr>
              <w:widowControl w:val="0"/>
              <w:numPr>
                <w:ilvl w:val="0"/>
                <w:numId w:val="18"/>
              </w:numPr>
              <w:autoSpaceDE w:val="0"/>
              <w:autoSpaceDN w:val="0"/>
              <w:snapToGrid w:val="0"/>
              <w:spacing w:after="120" w:line="276" w:lineRule="auto"/>
              <w:jc w:val="both"/>
              <w:rPr>
                <w:rFonts w:ascii="Verdana" w:eastAsia="Calibri" w:hAnsi="Verdana" w:cs="Arial"/>
                <w:lang w:val="es-ES_tradnl"/>
              </w:rPr>
            </w:pPr>
            <w:r w:rsidRPr="002D2FBE">
              <w:rPr>
                <w:rFonts w:ascii="Verdana" w:eastAsia="Calibri" w:hAnsi="Verdana" w:cs="Arial"/>
                <w:lang w:val="es-ES_tradnl"/>
              </w:rPr>
              <w:t xml:space="preserve">Ley 2022 de 2020, artículo 1. </w:t>
            </w:r>
          </w:p>
          <w:p w14:paraId="672A9566" w14:textId="77777777" w:rsidR="00200DB3" w:rsidRPr="00B13CF4" w:rsidRDefault="00200DB3" w:rsidP="001311D3">
            <w:pPr>
              <w:widowControl w:val="0"/>
              <w:numPr>
                <w:ilvl w:val="0"/>
                <w:numId w:val="18"/>
              </w:numPr>
              <w:autoSpaceDE w:val="0"/>
              <w:autoSpaceDN w:val="0"/>
              <w:spacing w:after="120" w:line="276" w:lineRule="auto"/>
              <w:contextualSpacing/>
              <w:jc w:val="both"/>
              <w:rPr>
                <w:rFonts w:ascii="Verdana" w:eastAsia="Times New Roman" w:hAnsi="Verdana" w:cs="Arial"/>
                <w:color w:val="000000" w:themeColor="text1"/>
                <w:u w:val="single"/>
                <w:lang w:val="es-ES"/>
              </w:rPr>
            </w:pPr>
            <w:r w:rsidRPr="00B13CF4">
              <w:rPr>
                <w:rFonts w:ascii="Verdana" w:eastAsia="Times New Roman" w:hAnsi="Verdana" w:cs="Arial"/>
                <w:color w:val="000000" w:themeColor="text1"/>
                <w:lang w:val="es-ES"/>
              </w:rPr>
              <w:t xml:space="preserve">Ley 80 de 1993, </w:t>
            </w:r>
            <w:r w:rsidRPr="00B13CF4">
              <w:rPr>
                <w:rFonts w:ascii="Verdana" w:eastAsia="Times New Roman" w:hAnsi="Verdana" w:cs="Times New Roman"/>
                <w:color w:val="000000" w:themeColor="text1"/>
                <w:lang w:val="es-ES"/>
              </w:rPr>
              <w:t>artículo 25 numeral 15; artículo 30.7; artículo 30.8</w:t>
            </w:r>
          </w:p>
          <w:p w14:paraId="67B264EF" w14:textId="77777777" w:rsidR="00200DB3" w:rsidRPr="002D2FBE" w:rsidRDefault="00200DB3" w:rsidP="001311D3">
            <w:pPr>
              <w:widowControl w:val="0"/>
              <w:numPr>
                <w:ilvl w:val="0"/>
                <w:numId w:val="18"/>
              </w:numPr>
              <w:autoSpaceDE w:val="0"/>
              <w:autoSpaceDN w:val="0"/>
              <w:snapToGrid w:val="0"/>
              <w:spacing w:after="120" w:line="276" w:lineRule="auto"/>
              <w:jc w:val="both"/>
              <w:rPr>
                <w:rFonts w:ascii="Verdana" w:eastAsia="Calibri" w:hAnsi="Verdana" w:cs="Arial"/>
                <w:lang w:val="es-ES_tradnl"/>
              </w:rPr>
            </w:pPr>
            <w:r w:rsidRPr="00E434F2">
              <w:rPr>
                <w:rFonts w:ascii="Verdana" w:eastAsia="Calibri" w:hAnsi="Verdana" w:cs="Arial"/>
              </w:rPr>
              <w:t>Decreto 1082 de 2015 artículo 2.2.1.2.1.5.2</w:t>
            </w:r>
            <w:r>
              <w:rPr>
                <w:rFonts w:ascii="Verdana" w:eastAsia="Calibri" w:hAnsi="Verdana" w:cs="Arial"/>
              </w:rPr>
              <w:t xml:space="preserve">, </w:t>
            </w:r>
            <w:r w:rsidRPr="00E434F2">
              <w:rPr>
                <w:rFonts w:ascii="Verdana" w:eastAsia="Calibri" w:hAnsi="Verdana" w:cs="Arial"/>
              </w:rPr>
              <w:t>2.2.1.2.1.2.20, 2.2.1.2.1.3.2</w:t>
            </w:r>
          </w:p>
          <w:p w14:paraId="41D720D5" w14:textId="77777777" w:rsidR="00200DB3" w:rsidRPr="002D2FBE" w:rsidRDefault="00200DB3" w:rsidP="001311D3">
            <w:pPr>
              <w:widowControl w:val="0"/>
              <w:numPr>
                <w:ilvl w:val="0"/>
                <w:numId w:val="18"/>
              </w:numPr>
              <w:autoSpaceDE w:val="0"/>
              <w:autoSpaceDN w:val="0"/>
              <w:snapToGrid w:val="0"/>
              <w:spacing w:after="120" w:line="276" w:lineRule="auto"/>
              <w:jc w:val="both"/>
              <w:rPr>
                <w:rFonts w:ascii="Verdana" w:eastAsia="Calibri" w:hAnsi="Verdana" w:cs="Arial"/>
                <w:lang w:val="es-ES"/>
              </w:rPr>
            </w:pPr>
            <w:r w:rsidRPr="002D2FBE">
              <w:rPr>
                <w:rFonts w:ascii="Verdana" w:eastAsia="Calibri" w:hAnsi="Verdana" w:cs="Arial"/>
                <w:lang w:val="es-ES"/>
              </w:rPr>
              <w:t xml:space="preserve">Consejo de Estado. Sección Tercera. Sentencia del 27 de abril de 2011. </w:t>
            </w:r>
            <w:proofErr w:type="spellStart"/>
            <w:r w:rsidRPr="002D2FBE">
              <w:rPr>
                <w:rFonts w:ascii="Verdana" w:eastAsia="Calibri" w:hAnsi="Verdana" w:cs="Arial"/>
                <w:lang w:val="es-ES"/>
              </w:rPr>
              <w:t>Exp</w:t>
            </w:r>
            <w:proofErr w:type="spellEnd"/>
            <w:r w:rsidRPr="002D2FBE">
              <w:rPr>
                <w:rFonts w:ascii="Verdana" w:eastAsia="Calibri" w:hAnsi="Verdana" w:cs="Arial"/>
                <w:lang w:val="es-ES"/>
              </w:rPr>
              <w:t>. 18.293. C.P. Ruth Stella Correa Palacio.</w:t>
            </w:r>
          </w:p>
          <w:p w14:paraId="75135674" w14:textId="77777777" w:rsidR="00200DB3" w:rsidRPr="002D2FBE" w:rsidRDefault="00200DB3" w:rsidP="001311D3">
            <w:pPr>
              <w:widowControl w:val="0"/>
              <w:numPr>
                <w:ilvl w:val="0"/>
                <w:numId w:val="18"/>
              </w:numPr>
              <w:autoSpaceDE w:val="0"/>
              <w:autoSpaceDN w:val="0"/>
              <w:snapToGrid w:val="0"/>
              <w:spacing w:after="120" w:line="276" w:lineRule="auto"/>
              <w:jc w:val="both"/>
              <w:rPr>
                <w:rFonts w:ascii="Verdana" w:eastAsia="Calibri" w:hAnsi="Verdana" w:cs="Arial"/>
                <w:lang w:val="es-ES"/>
              </w:rPr>
            </w:pPr>
            <w:r w:rsidRPr="002D2FBE">
              <w:rPr>
                <w:rFonts w:ascii="Verdana" w:eastAsia="Calibri" w:hAnsi="Verdana" w:cs="Arial"/>
                <w:lang w:val="es-ES"/>
              </w:rPr>
              <w:t xml:space="preserve">Consejo de Estado. Sección Tercera. Sentencia del 21 de noviembre de 2013. </w:t>
            </w:r>
            <w:proofErr w:type="spellStart"/>
            <w:r w:rsidRPr="002D2FBE">
              <w:rPr>
                <w:rFonts w:ascii="Verdana" w:eastAsia="Calibri" w:hAnsi="Verdana" w:cs="Arial"/>
                <w:lang w:val="es-ES"/>
              </w:rPr>
              <w:t>Exp</w:t>
            </w:r>
            <w:proofErr w:type="spellEnd"/>
            <w:r w:rsidRPr="002D2FBE">
              <w:rPr>
                <w:rFonts w:ascii="Verdana" w:eastAsia="Calibri" w:hAnsi="Verdana" w:cs="Arial"/>
                <w:lang w:val="es-ES"/>
              </w:rPr>
              <w:t>. 25397. C.P. Carlos Alberto Zambrano Barrera.</w:t>
            </w:r>
          </w:p>
          <w:p w14:paraId="01E8A07F" w14:textId="77777777" w:rsidR="00200DB3" w:rsidRPr="002D2FBE" w:rsidRDefault="00200DB3" w:rsidP="00200DB3">
            <w:pPr>
              <w:widowControl w:val="0"/>
              <w:numPr>
                <w:ilvl w:val="0"/>
                <w:numId w:val="18"/>
              </w:numPr>
              <w:autoSpaceDE w:val="0"/>
              <w:autoSpaceDN w:val="0"/>
              <w:spacing w:line="276" w:lineRule="auto"/>
              <w:contextualSpacing/>
              <w:jc w:val="both"/>
              <w:rPr>
                <w:rFonts w:ascii="Verdana" w:eastAsia="Aptos" w:hAnsi="Verdana" w:cs="Arial"/>
              </w:rPr>
            </w:pPr>
            <w:r w:rsidRPr="002D2FBE">
              <w:rPr>
                <w:rFonts w:ascii="Verdana" w:eastAsia="Aptos" w:hAnsi="Verdana" w:cs="Arial"/>
                <w:lang w:val="es-ES_tradnl"/>
              </w:rPr>
              <w:t>Documentos tipo de</w:t>
            </w:r>
            <w:r>
              <w:rPr>
                <w:rFonts w:ascii="Verdana" w:eastAsia="Aptos" w:hAnsi="Verdana" w:cs="Arial"/>
                <w:lang w:val="es-ES_tradnl"/>
              </w:rPr>
              <w:t xml:space="preserve"> selección abreviada de menor cuantía </w:t>
            </w:r>
            <w:r w:rsidRPr="002D2FBE">
              <w:rPr>
                <w:rFonts w:ascii="Verdana" w:eastAsia="Aptos" w:hAnsi="Verdana" w:cs="Arial"/>
                <w:lang w:val="es-ES_tradnl"/>
              </w:rPr>
              <w:t xml:space="preserve">de infraestructura de transporte – versión </w:t>
            </w:r>
            <w:r>
              <w:rPr>
                <w:rFonts w:ascii="Verdana" w:eastAsia="Aptos" w:hAnsi="Verdana" w:cs="Arial"/>
                <w:lang w:val="es-ES_tradnl"/>
              </w:rPr>
              <w:t>3</w:t>
            </w:r>
            <w:r w:rsidRPr="002D2FBE">
              <w:rPr>
                <w:rFonts w:ascii="Verdana" w:eastAsia="Aptos" w:hAnsi="Verdana" w:cs="Arial"/>
                <w:lang w:val="es-ES_tradnl"/>
              </w:rPr>
              <w:t xml:space="preserve">. Disponibles en: </w:t>
            </w:r>
            <w:hyperlink r:id="rId12" w:history="1">
              <w:r w:rsidRPr="00D018FB">
                <w:rPr>
                  <w:rStyle w:val="Hipervnculo"/>
                  <w:rFonts w:ascii="Verdana" w:eastAsia="Aptos" w:hAnsi="Verdana" w:cs="Arial"/>
                </w:rPr>
                <w:t>Documentos Tipo – ANCP Colombia Compra Eficiente</w:t>
              </w:r>
            </w:hyperlink>
          </w:p>
        </w:tc>
      </w:tr>
    </w:tbl>
    <w:p w14:paraId="4A131D9F" w14:textId="77777777" w:rsidR="00200DB3" w:rsidRPr="002D2FBE" w:rsidRDefault="00200DB3" w:rsidP="00200DB3">
      <w:pPr>
        <w:tabs>
          <w:tab w:val="left" w:pos="142"/>
          <w:tab w:val="left" w:pos="284"/>
        </w:tabs>
        <w:spacing w:after="0" w:line="276" w:lineRule="auto"/>
        <w:jc w:val="both"/>
        <w:rPr>
          <w:rFonts w:ascii="Verdana" w:eastAsia="Calibri" w:hAnsi="Verdana" w:cs="Arial"/>
        </w:rPr>
      </w:pPr>
    </w:p>
    <w:p w14:paraId="5A643E9E" w14:textId="77777777" w:rsidR="00200DB3" w:rsidRPr="002D2FBE" w:rsidRDefault="00200DB3" w:rsidP="00200DB3">
      <w:pPr>
        <w:tabs>
          <w:tab w:val="left" w:pos="142"/>
          <w:tab w:val="left" w:pos="284"/>
        </w:tabs>
        <w:spacing w:after="0" w:line="276" w:lineRule="auto"/>
        <w:jc w:val="both"/>
        <w:rPr>
          <w:rFonts w:ascii="Verdana" w:eastAsia="Century Gothic" w:hAnsi="Verdana" w:cs="Century Gothic"/>
          <w:b/>
          <w:bCs/>
          <w:lang w:val="es-ES"/>
        </w:rPr>
      </w:pPr>
      <w:r w:rsidRPr="002D2FBE">
        <w:rPr>
          <w:rFonts w:ascii="Verdana" w:eastAsia="Calibri" w:hAnsi="Verdana" w:cs="Arial"/>
          <w:b/>
          <w:bCs/>
        </w:rPr>
        <w:t>5</w:t>
      </w:r>
      <w:r w:rsidRPr="002D2FBE">
        <w:rPr>
          <w:rFonts w:ascii="Verdana" w:eastAsia="Calibri" w:hAnsi="Verdana" w:cs="Arial"/>
        </w:rPr>
        <w:t>.</w:t>
      </w:r>
      <w:r w:rsidRPr="002D2FBE">
        <w:rPr>
          <w:rFonts w:ascii="Verdana" w:eastAsia="Century Gothic" w:hAnsi="Verdana" w:cs="Century Gothic"/>
          <w:b/>
          <w:bCs/>
          <w:lang w:val="es-ES"/>
        </w:rPr>
        <w:t>Doctrina de la Agencia Nacional de Contratación Pública:</w:t>
      </w:r>
    </w:p>
    <w:p w14:paraId="52C315C7" w14:textId="77777777" w:rsidR="00200DB3" w:rsidRPr="002D2FBE" w:rsidRDefault="00200DB3" w:rsidP="00200DB3">
      <w:pPr>
        <w:widowControl w:val="0"/>
        <w:autoSpaceDE w:val="0"/>
        <w:autoSpaceDN w:val="0"/>
        <w:spacing w:after="0" w:line="276" w:lineRule="auto"/>
        <w:jc w:val="both"/>
        <w:rPr>
          <w:rFonts w:ascii="Verdana" w:eastAsia="Calibri" w:hAnsi="Verdana" w:cs="Arial"/>
        </w:rPr>
      </w:pPr>
    </w:p>
    <w:p w14:paraId="21276017" w14:textId="77777777" w:rsidR="00200DB3" w:rsidRPr="002D2FBE" w:rsidRDefault="00200DB3" w:rsidP="00200DB3">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2D2FBE">
        <w:rPr>
          <w:rFonts w:ascii="Verdana" w:eastAsia="Calibri" w:hAnsi="Verdana" w:cs="Arial"/>
          <w:kern w:val="2"/>
          <w:shd w:val="clear" w:color="auto" w:fill="FFFFFF"/>
          <w:lang w:val="es-ES_tradnl"/>
          <w14:ligatures w14:val="standardContextual"/>
        </w:rPr>
        <w:t>La Agencia Nacional de Contratación Pública – Colombia Compra Eficiente se</w:t>
      </w:r>
      <w:r w:rsidRPr="002D2FBE">
        <w:rPr>
          <w:rFonts w:ascii="Aptos" w:eastAsia="Aptos" w:hAnsi="Aptos" w:cs="Times New Roman"/>
          <w:kern w:val="2"/>
          <w14:ligatures w14:val="standardContextual"/>
        </w:rPr>
        <w:t xml:space="preserve"> </w:t>
      </w:r>
      <w:r w:rsidRPr="002D2FBE">
        <w:rPr>
          <w:rFonts w:ascii="Verdana" w:eastAsia="Calibri" w:hAnsi="Verdana" w:cs="Arial"/>
          <w:kern w:val="2"/>
          <w:shd w:val="clear" w:color="auto" w:fill="FFFFFF"/>
          <w:lang w:val="es-ES_tradnl"/>
          <w14:ligatures w14:val="standardContextual"/>
        </w:rPr>
        <w:t>pronunció sobre las causales de rechazo incorporadas en los pliegos de condiciones, en los conceptos 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C-128 del 2 de agosto de 2024, C-047 del 28 de febrero de 2025 y C-326 del 25 de abril de 2025, entre otros.</w:t>
      </w:r>
    </w:p>
    <w:p w14:paraId="7E9E224D" w14:textId="77777777" w:rsidR="00200DB3" w:rsidRPr="002D2FBE" w:rsidRDefault="00200DB3" w:rsidP="00200DB3">
      <w:pPr>
        <w:widowControl w:val="0"/>
        <w:autoSpaceDE w:val="0"/>
        <w:autoSpaceDN w:val="0"/>
        <w:spacing w:after="0" w:line="276" w:lineRule="auto"/>
        <w:jc w:val="both"/>
        <w:rPr>
          <w:rFonts w:ascii="Verdana" w:eastAsia="Times New Roman" w:hAnsi="Verdana" w:cs="Arial"/>
          <w:shd w:val="clear" w:color="auto" w:fill="FFFFFF"/>
          <w:lang w:val="es-ES"/>
        </w:rPr>
      </w:pPr>
    </w:p>
    <w:p w14:paraId="1396DCE9" w14:textId="77777777" w:rsidR="00200DB3" w:rsidRPr="002D2FBE" w:rsidRDefault="00200DB3" w:rsidP="00200DB3">
      <w:pPr>
        <w:widowControl w:val="0"/>
        <w:autoSpaceDE w:val="0"/>
        <w:autoSpaceDN w:val="0"/>
        <w:spacing w:after="0" w:line="276" w:lineRule="auto"/>
        <w:jc w:val="both"/>
        <w:rPr>
          <w:rFonts w:ascii="Verdana" w:eastAsia="Times New Roman" w:hAnsi="Verdana" w:cs="Arial"/>
          <w:shd w:val="clear" w:color="auto" w:fill="FFFFFF"/>
        </w:rPr>
      </w:pPr>
      <w:r w:rsidRPr="002D2FBE">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2D2FBE">
          <w:rPr>
            <w:rFonts w:ascii="Verdana" w:eastAsia="Calibri" w:hAnsi="Verdana" w:cs="Arial"/>
            <w:color w:val="000000"/>
            <w:u w:val="single"/>
            <w:shd w:val="clear" w:color="auto" w:fill="FFFFFF"/>
          </w:rPr>
          <w:t>https://relatoria.colombiacompra.gov.co/</w:t>
        </w:r>
      </w:hyperlink>
      <w:r w:rsidRPr="002D2FBE">
        <w:rPr>
          <w:rFonts w:ascii="Verdana" w:eastAsia="Calibri" w:hAnsi="Verdana" w:cs="Arial"/>
          <w:color w:val="000000"/>
          <w:shd w:val="clear" w:color="auto" w:fill="FFFFFF"/>
        </w:rPr>
        <w:t> .</w:t>
      </w:r>
    </w:p>
    <w:p w14:paraId="1DA590B7" w14:textId="77777777" w:rsidR="00200DB3" w:rsidRPr="002D2FBE" w:rsidRDefault="00200DB3" w:rsidP="00200DB3">
      <w:pPr>
        <w:spacing w:after="0" w:line="240" w:lineRule="auto"/>
        <w:jc w:val="both"/>
        <w:rPr>
          <w:rFonts w:ascii="Verdana" w:eastAsia="Calibri" w:hAnsi="Verdana" w:cs="Arial"/>
          <w:color w:val="000000"/>
          <w:shd w:val="clear" w:color="auto" w:fill="FFFFFF"/>
        </w:rPr>
      </w:pPr>
    </w:p>
    <w:p w14:paraId="73AD8D8D" w14:textId="77777777" w:rsidR="00200DB3" w:rsidRPr="002D2FBE" w:rsidRDefault="00200DB3" w:rsidP="00200DB3">
      <w:pPr>
        <w:shd w:val="clear" w:color="auto" w:fill="FFFFFF"/>
        <w:spacing w:after="0" w:line="240" w:lineRule="auto"/>
        <w:jc w:val="both"/>
        <w:textAlignment w:val="baseline"/>
        <w:rPr>
          <w:rFonts w:ascii="Verdana" w:eastAsia="Calibri" w:hAnsi="Verdana" w:cs="Arial"/>
          <w:kern w:val="2"/>
          <w:shd w:val="clear" w:color="auto" w:fill="FFFFFF"/>
          <w:lang w:val="es-ES"/>
          <w14:ligatures w14:val="standardContextual"/>
        </w:rPr>
      </w:pPr>
      <w:r w:rsidRPr="002D2FBE">
        <w:rPr>
          <w:rFonts w:ascii="Verdana" w:eastAsia="Calibri" w:hAnsi="Verdana" w:cs="Arial"/>
          <w:kern w:val="2"/>
          <w:shd w:val="clear" w:color="auto" w:fill="FFFFFF"/>
          <w:lang w:val="es-ES"/>
          <w14:ligatures w14:val="standardContextual"/>
        </w:rPr>
        <w:t xml:space="preserve">La Agencia Nacional de Contratación Pública – Colombia Compra Eficiente le informa que ya se encuentra disponible la Guía de lineamientos de transparencia y selección objetiva para el departamento de La Guajira – Objetivo sexto constitucional de la Sentencia T-302 del 2017. 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D2FBE">
        <w:rPr>
          <w:rFonts w:ascii="Verdana" w:eastAsia="Calibri" w:hAnsi="Verdana" w:cs="Arial"/>
          <w:kern w:val="2"/>
          <w:shd w:val="clear" w:color="auto" w:fill="FFFFFF"/>
          <w:lang w:val="es-ES"/>
          <w14:ligatures w14:val="standardContextual"/>
        </w:rPr>
        <w:t>Wayúu</w:t>
      </w:r>
      <w:proofErr w:type="spellEnd"/>
      <w:r w:rsidRPr="002D2FBE">
        <w:rPr>
          <w:rFonts w:ascii="Verdana" w:eastAsia="Calibri" w:hAnsi="Verdana" w:cs="Arial"/>
          <w:kern w:val="2"/>
          <w:shd w:val="clear" w:color="auto" w:fill="FFFFFF"/>
          <w:lang w:val="es-ES"/>
          <w14:ligatures w14:val="standardContextual"/>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2D2FBE">
          <w:rPr>
            <w:rFonts w:ascii="Verdana" w:eastAsia="Calibri" w:hAnsi="Verdana" w:cs="Arial"/>
            <w:color w:val="0070C0"/>
            <w:kern w:val="2"/>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2D2FBE">
        <w:rPr>
          <w:rFonts w:ascii="Verdana" w:eastAsia="Calibri" w:hAnsi="Verdana" w:cs="Arial"/>
          <w:color w:val="0070C0"/>
          <w:kern w:val="2"/>
          <w:shd w:val="clear" w:color="auto" w:fill="FFFFFF"/>
          <w:lang w:val="es-ES"/>
          <w14:ligatures w14:val="standardContextual"/>
        </w:rPr>
        <w:t>"</w:t>
      </w:r>
    </w:p>
    <w:p w14:paraId="641C4897" w14:textId="77777777" w:rsidR="00200DB3" w:rsidRPr="002D2FBE" w:rsidRDefault="00200DB3" w:rsidP="00200DB3">
      <w:pPr>
        <w:spacing w:after="0"/>
        <w:jc w:val="both"/>
        <w:rPr>
          <w:rFonts w:ascii="Verdana" w:eastAsia="Aptos" w:hAnsi="Verdana" w:cs="Times New Roman"/>
          <w:color w:val="212121"/>
          <w:lang w:val="es-ES"/>
        </w:rPr>
      </w:pPr>
    </w:p>
    <w:p w14:paraId="2C19B820" w14:textId="77777777" w:rsidR="00200DB3" w:rsidRDefault="00200DB3" w:rsidP="00200DB3">
      <w:pPr>
        <w:spacing w:after="0"/>
        <w:jc w:val="both"/>
        <w:rPr>
          <w:rFonts w:ascii="Verdana" w:hAnsi="Verdana"/>
        </w:rPr>
      </w:pPr>
      <w:r>
        <w:rPr>
          <w:rFonts w:ascii="Verdana" w:hAnsi="Verdana"/>
        </w:rPr>
        <w:t>A</w:t>
      </w:r>
      <w:r w:rsidRPr="0044528D">
        <w:rPr>
          <w:rFonts w:ascii="Verdana" w:hAnsi="Verdana"/>
        </w:rPr>
        <w:t xml:space="preserve">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1B97359" w14:textId="77777777" w:rsidR="00200DB3" w:rsidRPr="0044528D" w:rsidRDefault="00200DB3" w:rsidP="00200DB3">
      <w:pPr>
        <w:spacing w:after="0"/>
        <w:jc w:val="both"/>
        <w:rPr>
          <w:rFonts w:ascii="Verdana" w:hAnsi="Verdana"/>
        </w:rPr>
      </w:pPr>
    </w:p>
    <w:p w14:paraId="728B015C" w14:textId="77777777" w:rsidR="00200DB3" w:rsidRPr="0044528D" w:rsidRDefault="00200DB3" w:rsidP="00200DB3">
      <w:pPr>
        <w:pStyle w:val="Prrafodelista"/>
        <w:numPr>
          <w:ilvl w:val="0"/>
          <w:numId w:val="15"/>
        </w:numPr>
        <w:spacing w:after="0" w:line="240" w:lineRule="auto"/>
        <w:jc w:val="both"/>
        <w:rPr>
          <w:rFonts w:ascii="Verdana" w:hAnsi="Verdana"/>
        </w:rPr>
      </w:pPr>
      <w:r w:rsidRPr="0044528D">
        <w:rPr>
          <w:rFonts w:ascii="Verdana" w:hAnsi="Verdana"/>
        </w:rPr>
        <w:t>Línea nacional gratuita o servicio a la ciudadanía: 01800 0520808</w:t>
      </w:r>
    </w:p>
    <w:p w14:paraId="59C01324" w14:textId="77777777" w:rsidR="00200DB3" w:rsidRPr="0044528D" w:rsidRDefault="00200DB3" w:rsidP="00200DB3">
      <w:pPr>
        <w:pStyle w:val="Prrafodelista"/>
        <w:numPr>
          <w:ilvl w:val="0"/>
          <w:numId w:val="15"/>
        </w:numPr>
        <w:spacing w:after="0" w:line="240" w:lineRule="auto"/>
        <w:jc w:val="both"/>
        <w:rPr>
          <w:rFonts w:ascii="Verdana" w:hAnsi="Verdana"/>
        </w:rPr>
      </w:pPr>
      <w:r w:rsidRPr="0044528D">
        <w:rPr>
          <w:rFonts w:ascii="Verdana" w:hAnsi="Verdana"/>
        </w:rPr>
        <w:t>Línea en Bogotá (Mesa de servicio): +57 601 7456788</w:t>
      </w:r>
    </w:p>
    <w:p w14:paraId="38AB3B7F" w14:textId="77777777" w:rsidR="00200DB3" w:rsidRPr="0044528D" w:rsidRDefault="00200DB3" w:rsidP="00200DB3">
      <w:pPr>
        <w:pStyle w:val="Prrafodelista"/>
        <w:numPr>
          <w:ilvl w:val="0"/>
          <w:numId w:val="15"/>
        </w:numPr>
        <w:spacing w:after="0" w:line="240" w:lineRule="auto"/>
        <w:jc w:val="both"/>
        <w:rPr>
          <w:rFonts w:ascii="Verdana" w:hAnsi="Verdana"/>
        </w:rPr>
      </w:pPr>
      <w:r w:rsidRPr="0044528D">
        <w:rPr>
          <w:rFonts w:ascii="Verdana" w:hAnsi="Verdana"/>
        </w:rPr>
        <w:t>Línea de servicio y atención al ciudadano: +57 601 7956600</w:t>
      </w:r>
    </w:p>
    <w:p w14:paraId="1C1654CD" w14:textId="77777777" w:rsidR="00200DB3" w:rsidRPr="0044528D" w:rsidRDefault="00200DB3" w:rsidP="00200DB3">
      <w:pPr>
        <w:pStyle w:val="Prrafodelista"/>
        <w:numPr>
          <w:ilvl w:val="0"/>
          <w:numId w:val="15"/>
        </w:numPr>
        <w:spacing w:after="0" w:line="240" w:lineRule="auto"/>
        <w:jc w:val="both"/>
        <w:rPr>
          <w:rFonts w:ascii="Verdana" w:hAnsi="Verdana"/>
        </w:rPr>
      </w:pPr>
      <w:r w:rsidRPr="0044528D">
        <w:rPr>
          <w:rFonts w:ascii="Verdana" w:hAnsi="Verdana"/>
        </w:rPr>
        <w:t xml:space="preserve">Página web: </w:t>
      </w:r>
      <w:hyperlink r:id="rId15" w:history="1">
        <w:r w:rsidRPr="0044528D">
          <w:rPr>
            <w:rStyle w:val="Hipervnculo"/>
            <w:rFonts w:ascii="Verdana" w:hAnsi="Verdana"/>
          </w:rPr>
          <w:t>www.colombiacompra.gov.co</w:t>
        </w:r>
      </w:hyperlink>
    </w:p>
    <w:p w14:paraId="1FBFF1E6" w14:textId="77777777" w:rsidR="00200DB3" w:rsidRPr="0044528D" w:rsidRDefault="00200DB3" w:rsidP="00200DB3">
      <w:pPr>
        <w:pStyle w:val="Prrafodelista"/>
        <w:spacing w:after="0" w:line="240" w:lineRule="auto"/>
        <w:ind w:left="785"/>
        <w:jc w:val="both"/>
        <w:rPr>
          <w:rFonts w:ascii="Verdana" w:hAnsi="Verdana"/>
        </w:rPr>
      </w:pPr>
    </w:p>
    <w:p w14:paraId="21AFCB97" w14:textId="77777777" w:rsidR="00200DB3" w:rsidRPr="0044528D" w:rsidRDefault="00200DB3" w:rsidP="00200DB3">
      <w:pPr>
        <w:spacing w:after="0" w:line="240" w:lineRule="auto"/>
        <w:jc w:val="both"/>
        <w:rPr>
          <w:rFonts w:ascii="Verdana" w:hAnsi="Verdana"/>
        </w:rPr>
      </w:pPr>
      <w:r w:rsidRPr="0044528D">
        <w:rPr>
          <w:rFonts w:ascii="Verdana" w:hAnsi="Verdana"/>
        </w:rPr>
        <w:t xml:space="preserve">Por último, lo invitamos a seguirnos en las redes sociales en las cuales se difunde información institucional: </w:t>
      </w:r>
    </w:p>
    <w:p w14:paraId="70221AD2" w14:textId="77777777" w:rsidR="00200DB3" w:rsidRPr="0044528D" w:rsidRDefault="00200DB3" w:rsidP="00200DB3">
      <w:pPr>
        <w:spacing w:after="0" w:line="240" w:lineRule="auto"/>
        <w:jc w:val="both"/>
        <w:rPr>
          <w:rFonts w:ascii="Verdana" w:hAnsi="Verdana"/>
        </w:rPr>
      </w:pPr>
    </w:p>
    <w:p w14:paraId="676BE89E" w14:textId="77777777" w:rsidR="00200DB3" w:rsidRPr="0044528D" w:rsidRDefault="00200DB3" w:rsidP="00200DB3">
      <w:pPr>
        <w:spacing w:after="0" w:line="240" w:lineRule="auto"/>
        <w:jc w:val="both"/>
        <w:rPr>
          <w:rFonts w:ascii="Verdana" w:hAnsi="Verdana"/>
        </w:rPr>
      </w:pPr>
      <w:r w:rsidRPr="0044528D">
        <w:rPr>
          <w:rFonts w:ascii="Verdana" w:hAnsi="Verdana"/>
        </w:rPr>
        <w:t xml:space="preserve">Twitter: </w:t>
      </w:r>
      <w:r w:rsidRPr="0044528D">
        <w:rPr>
          <w:rStyle w:val="Hipervnculo"/>
          <w:rFonts w:ascii="Verdana" w:hAnsi="Verdana"/>
        </w:rPr>
        <w:t>@colombiacompra</w:t>
      </w:r>
      <w:r w:rsidRPr="0044528D">
        <w:rPr>
          <w:rFonts w:ascii="Verdana" w:hAnsi="Verdana"/>
        </w:rPr>
        <w:t xml:space="preserve"> </w:t>
      </w:r>
    </w:p>
    <w:p w14:paraId="31C7D8D4" w14:textId="77777777" w:rsidR="00200DB3" w:rsidRPr="0044528D" w:rsidRDefault="00200DB3" w:rsidP="00200DB3">
      <w:pPr>
        <w:spacing w:after="0" w:line="240" w:lineRule="auto"/>
        <w:jc w:val="both"/>
        <w:rPr>
          <w:rFonts w:ascii="Verdana" w:hAnsi="Verdana"/>
        </w:rPr>
      </w:pPr>
      <w:r w:rsidRPr="0044528D">
        <w:rPr>
          <w:rFonts w:ascii="Verdana" w:hAnsi="Verdana"/>
        </w:rPr>
        <w:t xml:space="preserve">Facebook: </w:t>
      </w:r>
      <w:proofErr w:type="spellStart"/>
      <w:r w:rsidRPr="0044528D">
        <w:rPr>
          <w:rStyle w:val="Hipervnculo"/>
          <w:rFonts w:ascii="Verdana" w:hAnsi="Verdana"/>
        </w:rPr>
        <w:t>ColombiaCompraEficiente</w:t>
      </w:r>
      <w:proofErr w:type="spellEnd"/>
    </w:p>
    <w:p w14:paraId="5AD61847" w14:textId="77777777" w:rsidR="00200DB3" w:rsidRPr="0044528D" w:rsidRDefault="00200DB3" w:rsidP="00200DB3">
      <w:pPr>
        <w:spacing w:after="0" w:line="240" w:lineRule="auto"/>
        <w:jc w:val="both"/>
        <w:rPr>
          <w:rFonts w:ascii="Verdana" w:hAnsi="Verdana"/>
        </w:rPr>
      </w:pPr>
      <w:r w:rsidRPr="0044528D">
        <w:rPr>
          <w:rFonts w:ascii="Verdana" w:hAnsi="Verdana"/>
        </w:rPr>
        <w:t xml:space="preserve">LinkedIn: </w:t>
      </w:r>
      <w:r w:rsidRPr="0044528D">
        <w:rPr>
          <w:rStyle w:val="Hipervnculo"/>
          <w:rFonts w:ascii="Verdana" w:hAnsi="Verdana"/>
        </w:rPr>
        <w:t>Agencia Nacional de Contratación Pública - Colombia Compra Eficiente</w:t>
      </w:r>
      <w:r w:rsidRPr="0044528D">
        <w:rPr>
          <w:rFonts w:ascii="Verdana" w:hAnsi="Verdana"/>
        </w:rPr>
        <w:t xml:space="preserve"> Instagram: </w:t>
      </w:r>
      <w:r w:rsidRPr="0044528D">
        <w:rPr>
          <w:rStyle w:val="Hipervnculo"/>
          <w:rFonts w:ascii="Verdana" w:hAnsi="Verdana"/>
        </w:rPr>
        <w:t>@colombiacompraeficiente_cce</w:t>
      </w:r>
    </w:p>
    <w:p w14:paraId="626E3EC5" w14:textId="77777777" w:rsidR="00200DB3" w:rsidRPr="0044528D" w:rsidRDefault="00200DB3" w:rsidP="00200DB3">
      <w:pPr>
        <w:spacing w:after="0" w:line="240" w:lineRule="auto"/>
        <w:jc w:val="both"/>
        <w:rPr>
          <w:rFonts w:ascii="Verdana" w:hAnsi="Verdana"/>
        </w:rPr>
      </w:pPr>
    </w:p>
    <w:p w14:paraId="3A6B09BF" w14:textId="77777777" w:rsidR="00200DB3" w:rsidRDefault="00200DB3" w:rsidP="00200DB3">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761B9BB" w14:textId="77777777" w:rsidR="00200DB3" w:rsidRPr="002D2FBE" w:rsidRDefault="00200DB3" w:rsidP="00200DB3">
      <w:pPr>
        <w:widowControl w:val="0"/>
        <w:autoSpaceDE w:val="0"/>
        <w:autoSpaceDN w:val="0"/>
        <w:spacing w:after="0" w:line="276" w:lineRule="auto"/>
        <w:jc w:val="both"/>
        <w:rPr>
          <w:rFonts w:ascii="Verdana" w:eastAsia="Calibri" w:hAnsi="Verdana" w:cs="Arial"/>
        </w:rPr>
      </w:pPr>
    </w:p>
    <w:p w14:paraId="3B1F1081" w14:textId="77777777" w:rsidR="00200DB3" w:rsidRDefault="00200DB3" w:rsidP="00200DB3">
      <w:pPr>
        <w:spacing w:after="0" w:line="240" w:lineRule="auto"/>
        <w:rPr>
          <w:rFonts w:ascii="Verdana" w:eastAsia="Calibri" w:hAnsi="Verdana" w:cs="Arial"/>
          <w:lang w:eastAsia="es-CO"/>
        </w:rPr>
      </w:pPr>
      <w:r w:rsidRPr="002D2FBE">
        <w:rPr>
          <w:rFonts w:ascii="Verdana" w:eastAsia="Times New Roman" w:hAnsi="Verdana" w:cs="Arial"/>
          <w:lang w:eastAsia="es-CO"/>
        </w:rPr>
        <w:t>Atentamente,</w:t>
      </w:r>
      <w:r w:rsidRPr="002D2FBE">
        <w:rPr>
          <w:rFonts w:ascii="Verdana" w:eastAsia="Calibri" w:hAnsi="Verdana" w:cs="Arial"/>
          <w:lang w:eastAsia="es-CO"/>
        </w:rPr>
        <w:t xml:space="preserve"> </w:t>
      </w:r>
    </w:p>
    <w:p w14:paraId="31C8E8F9" w14:textId="77777777" w:rsidR="00200DB3" w:rsidRDefault="00200DB3" w:rsidP="00200DB3">
      <w:pPr>
        <w:spacing w:after="0" w:line="240" w:lineRule="auto"/>
        <w:rPr>
          <w:rFonts w:ascii="Verdana" w:eastAsia="Calibri" w:hAnsi="Verdana" w:cs="Arial"/>
          <w:lang w:eastAsia="es-CO"/>
        </w:rPr>
      </w:pPr>
    </w:p>
    <w:p w14:paraId="039E7692" w14:textId="0B744BD6" w:rsidR="00200DB3" w:rsidRPr="00A9240F" w:rsidRDefault="00EA61EA" w:rsidP="00200DB3">
      <w:pPr>
        <w:spacing w:after="0" w:line="240" w:lineRule="auto"/>
        <w:jc w:val="center"/>
        <w:rPr>
          <w:rFonts w:ascii="Verdana" w:eastAsia="Calibri" w:hAnsi="Verdana" w:cs="Arial"/>
          <w:lang w:eastAsia="es-CO"/>
        </w:rPr>
      </w:pPr>
      <w:r w:rsidRPr="00EA61EA">
        <w:rPr>
          <w:rFonts w:ascii="Century Gothic" w:eastAsia="Aptos" w:hAnsi="Century Gothic" w:cs="Arial"/>
          <w:noProof/>
          <w:kern w:val="2"/>
          <w14:ligatures w14:val="standardContextual"/>
        </w:rPr>
        <w:drawing>
          <wp:inline distT="0" distB="0" distL="0" distR="0" wp14:anchorId="078E14DB" wp14:editId="70C2CD4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713777E8" w14:textId="77777777" w:rsidR="00200DB3" w:rsidRPr="002D2FBE" w:rsidRDefault="00200DB3" w:rsidP="00200DB3">
      <w:pPr>
        <w:tabs>
          <w:tab w:val="left" w:pos="1320"/>
        </w:tabs>
        <w:jc w:val="center"/>
        <w:rPr>
          <w:rFonts w:ascii="Century Gothic" w:eastAsia="Aptos" w:hAnsi="Century Gothic"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00DB3" w:rsidRPr="002D2FBE" w14:paraId="1123C4C5" w14:textId="77777777" w:rsidTr="001311D3">
        <w:trPr>
          <w:trHeight w:val="315"/>
        </w:trPr>
        <w:tc>
          <w:tcPr>
            <w:tcW w:w="893" w:type="dxa"/>
            <w:vAlign w:val="center"/>
            <w:hideMark/>
          </w:tcPr>
          <w:p w14:paraId="77FFFA4F" w14:textId="77777777" w:rsidR="00200DB3" w:rsidRPr="002D2FBE" w:rsidRDefault="00200DB3" w:rsidP="001311D3">
            <w:pPr>
              <w:rPr>
                <w:rFonts w:ascii="Verdana" w:eastAsia="Calibri" w:hAnsi="Verdana" w:cs="Arial"/>
                <w:sz w:val="16"/>
                <w:szCs w:val="16"/>
                <w:lang w:val="es-ES_tradnl" w:eastAsia="es-ES"/>
              </w:rPr>
            </w:pPr>
            <w:r w:rsidRPr="002D2FBE">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3232B2CB" w14:textId="77777777" w:rsidR="00200DB3" w:rsidRPr="002D2FBE" w:rsidRDefault="00200DB3" w:rsidP="001311D3">
            <w:pPr>
              <w:rPr>
                <w:rFonts w:ascii="Verdana" w:eastAsia="Arial" w:hAnsi="Verdana" w:cs="Arial"/>
                <w:sz w:val="16"/>
                <w:szCs w:val="16"/>
                <w:lang w:val="es-ES"/>
              </w:rPr>
            </w:pPr>
            <w:proofErr w:type="spellStart"/>
            <w:r>
              <w:rPr>
                <w:rFonts w:ascii="Verdana" w:eastAsia="Arial" w:hAnsi="Verdana" w:cs="Arial"/>
                <w:sz w:val="16"/>
                <w:szCs w:val="16"/>
                <w:lang w:val="es-ES"/>
              </w:rPr>
              <w:t>Hector</w:t>
            </w:r>
            <w:proofErr w:type="spellEnd"/>
            <w:r>
              <w:rPr>
                <w:rFonts w:ascii="Verdana" w:eastAsia="Arial" w:hAnsi="Verdana" w:cs="Arial"/>
                <w:sz w:val="16"/>
                <w:szCs w:val="16"/>
                <w:lang w:val="es-ES"/>
              </w:rPr>
              <w:t xml:space="preserve"> Luis Quiñones </w:t>
            </w:r>
            <w:proofErr w:type="spellStart"/>
            <w:r>
              <w:rPr>
                <w:rFonts w:ascii="Verdana" w:eastAsia="Arial" w:hAnsi="Verdana" w:cs="Arial"/>
                <w:sz w:val="16"/>
                <w:szCs w:val="16"/>
                <w:lang w:val="es-ES"/>
              </w:rPr>
              <w:t>Quiñones</w:t>
            </w:r>
            <w:proofErr w:type="spellEnd"/>
            <w:r>
              <w:rPr>
                <w:rFonts w:ascii="Verdana" w:eastAsia="Arial" w:hAnsi="Verdana" w:cs="Arial"/>
                <w:sz w:val="16"/>
                <w:szCs w:val="16"/>
                <w:lang w:val="es-ES"/>
              </w:rPr>
              <w:t xml:space="preserve"> </w:t>
            </w:r>
          </w:p>
          <w:p w14:paraId="5E01E698" w14:textId="77777777" w:rsidR="00200DB3" w:rsidRPr="002D2FBE" w:rsidRDefault="00200DB3" w:rsidP="001311D3">
            <w:pPr>
              <w:rPr>
                <w:rFonts w:ascii="Verdana" w:eastAsia="Arial" w:hAnsi="Verdana" w:cs="Arial"/>
                <w:sz w:val="16"/>
                <w:szCs w:val="16"/>
                <w:lang w:val="es-ES_tradnl"/>
              </w:rPr>
            </w:pPr>
            <w:r>
              <w:rPr>
                <w:rFonts w:ascii="Verdana" w:eastAsia="Arial" w:hAnsi="Verdana" w:cs="Arial"/>
                <w:sz w:val="16"/>
                <w:szCs w:val="16"/>
                <w:lang w:val="es-ES_tradnl"/>
              </w:rPr>
              <w:t xml:space="preserve">Analista T2 – 02 </w:t>
            </w:r>
            <w:r w:rsidRPr="002D2FBE">
              <w:rPr>
                <w:rFonts w:ascii="Verdana" w:eastAsia="Arial" w:hAnsi="Verdana" w:cs="Arial"/>
                <w:sz w:val="16"/>
                <w:szCs w:val="16"/>
                <w:lang w:val="es-ES_tradnl"/>
              </w:rPr>
              <w:t>de la Subdirección de Gestión Contractual</w:t>
            </w:r>
          </w:p>
          <w:p w14:paraId="09F82EB0" w14:textId="77777777" w:rsidR="00200DB3" w:rsidRPr="002D2FBE" w:rsidRDefault="00200DB3" w:rsidP="001311D3">
            <w:pPr>
              <w:rPr>
                <w:rFonts w:ascii="Verdana" w:eastAsia="Arial" w:hAnsi="Verdana" w:cs="Arial"/>
                <w:sz w:val="16"/>
                <w:szCs w:val="16"/>
                <w:lang w:val="es-ES_tradnl"/>
              </w:rPr>
            </w:pPr>
          </w:p>
        </w:tc>
      </w:tr>
      <w:tr w:rsidR="00200DB3" w:rsidRPr="002D2FBE" w14:paraId="3BE13B5C" w14:textId="77777777" w:rsidTr="001311D3">
        <w:trPr>
          <w:trHeight w:val="330"/>
        </w:trPr>
        <w:tc>
          <w:tcPr>
            <w:tcW w:w="893" w:type="dxa"/>
            <w:vAlign w:val="center"/>
            <w:hideMark/>
          </w:tcPr>
          <w:p w14:paraId="24408133" w14:textId="77777777" w:rsidR="00200DB3" w:rsidRPr="002D2FBE" w:rsidRDefault="00200DB3" w:rsidP="001311D3">
            <w:pPr>
              <w:rPr>
                <w:rFonts w:ascii="Verdana" w:eastAsia="Calibri" w:hAnsi="Verdana" w:cs="Arial"/>
                <w:sz w:val="16"/>
                <w:szCs w:val="16"/>
                <w:lang w:val="es-ES_tradnl" w:eastAsia="es-ES"/>
              </w:rPr>
            </w:pPr>
            <w:r w:rsidRPr="002D2FBE">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59A94DE1" w14:textId="77777777" w:rsidR="00200DB3" w:rsidRPr="002D2FBE" w:rsidRDefault="00200DB3" w:rsidP="001311D3">
            <w:pPr>
              <w:textAlignment w:val="baseline"/>
              <w:rPr>
                <w:rFonts w:ascii="Verdana" w:eastAsia="Times New Roman" w:hAnsi="Verdana" w:cs="Segoe UI"/>
                <w:sz w:val="16"/>
                <w:szCs w:val="16"/>
                <w:lang w:val="es-ES" w:eastAsia="es-ES"/>
              </w:rPr>
            </w:pPr>
            <w:r w:rsidRPr="002D2FBE">
              <w:rPr>
                <w:rFonts w:ascii="Verdana" w:eastAsia="Times New Roman" w:hAnsi="Verdana" w:cs="Segoe UI"/>
                <w:sz w:val="16"/>
                <w:szCs w:val="16"/>
                <w:lang w:val="es-ES" w:eastAsia="es-ES"/>
              </w:rPr>
              <w:t xml:space="preserve">Adriana </w:t>
            </w:r>
            <w:proofErr w:type="spellStart"/>
            <w:r w:rsidRPr="002D2FBE">
              <w:rPr>
                <w:rFonts w:ascii="Verdana" w:eastAsia="Times New Roman" w:hAnsi="Verdana" w:cs="Segoe UI"/>
                <w:sz w:val="16"/>
                <w:szCs w:val="16"/>
                <w:lang w:val="es-ES" w:eastAsia="es-ES"/>
              </w:rPr>
              <w:t>Katerine</w:t>
            </w:r>
            <w:proofErr w:type="spellEnd"/>
            <w:r w:rsidRPr="002D2FBE">
              <w:rPr>
                <w:rFonts w:ascii="Verdana" w:eastAsia="Times New Roman" w:hAnsi="Verdana" w:cs="Segoe UI"/>
                <w:sz w:val="16"/>
                <w:szCs w:val="16"/>
                <w:lang w:val="es-ES" w:eastAsia="es-ES"/>
              </w:rPr>
              <w:t xml:space="preserve"> López </w:t>
            </w:r>
            <w:proofErr w:type="spellStart"/>
            <w:r w:rsidRPr="002D2FBE">
              <w:rPr>
                <w:rFonts w:ascii="Verdana" w:eastAsia="Times New Roman" w:hAnsi="Verdana" w:cs="Segoe UI"/>
                <w:sz w:val="16"/>
                <w:szCs w:val="16"/>
                <w:lang w:val="es-ES" w:eastAsia="es-ES"/>
              </w:rPr>
              <w:t>Rodriguez</w:t>
            </w:r>
            <w:proofErr w:type="spellEnd"/>
            <w:r w:rsidRPr="002D2FBE">
              <w:rPr>
                <w:rFonts w:ascii="Verdana" w:eastAsia="Times New Roman" w:hAnsi="Verdana" w:cs="Segoe UI"/>
                <w:sz w:val="16"/>
                <w:szCs w:val="16"/>
                <w:lang w:val="es-ES" w:eastAsia="es-ES"/>
              </w:rPr>
              <w:t xml:space="preserve"> </w:t>
            </w:r>
          </w:p>
          <w:p w14:paraId="4F1D8E19" w14:textId="77777777" w:rsidR="00200DB3" w:rsidRPr="002D2FBE" w:rsidRDefault="00200DB3" w:rsidP="001311D3">
            <w:pPr>
              <w:textAlignment w:val="baseline"/>
              <w:rPr>
                <w:rFonts w:ascii="Verdana" w:eastAsia="Times New Roman" w:hAnsi="Verdana" w:cs="Segoe UI"/>
                <w:sz w:val="16"/>
                <w:szCs w:val="16"/>
                <w:lang w:val="es-ES_tradnl" w:eastAsia="es-ES_tradnl"/>
              </w:rPr>
            </w:pPr>
            <w:r w:rsidRPr="002D2FBE">
              <w:rPr>
                <w:rFonts w:ascii="Verdana" w:eastAsia="Times New Roman" w:hAnsi="Verdana" w:cs="Arial"/>
                <w:sz w:val="16"/>
                <w:szCs w:val="16"/>
                <w:lang w:val="es-ES_tradnl" w:eastAsia="es-ES_tradnl"/>
              </w:rPr>
              <w:t>Contratista de la Subdirección de Gestión Contractual </w:t>
            </w:r>
          </w:p>
        </w:tc>
      </w:tr>
      <w:tr w:rsidR="00200DB3" w:rsidRPr="002D2FBE" w14:paraId="5CD8389F" w14:textId="77777777" w:rsidTr="001311D3">
        <w:trPr>
          <w:trHeight w:val="300"/>
        </w:trPr>
        <w:tc>
          <w:tcPr>
            <w:tcW w:w="893" w:type="dxa"/>
            <w:vAlign w:val="center"/>
          </w:tcPr>
          <w:p w14:paraId="4AAF0FF0" w14:textId="77777777" w:rsidR="00200DB3" w:rsidRPr="002D2FBE" w:rsidRDefault="00200DB3" w:rsidP="001311D3">
            <w:pPr>
              <w:rPr>
                <w:rFonts w:ascii="Verdana" w:eastAsia="Calibri" w:hAnsi="Verdana" w:cs="Arial"/>
                <w:sz w:val="16"/>
                <w:szCs w:val="16"/>
                <w:lang w:val="es-ES_tradnl" w:eastAsia="es-ES"/>
              </w:rPr>
            </w:pPr>
            <w:r w:rsidRPr="002D2FBE">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39034A06" w14:textId="77777777" w:rsidR="00200DB3" w:rsidRPr="002D2FBE" w:rsidRDefault="00200DB3" w:rsidP="001311D3">
            <w:pPr>
              <w:rPr>
                <w:rFonts w:ascii="Verdana" w:eastAsia="Calibri" w:hAnsi="Verdana" w:cs="Arial"/>
                <w:sz w:val="16"/>
                <w:szCs w:val="16"/>
                <w:lang w:val="es-ES" w:eastAsia="es-ES"/>
              </w:rPr>
            </w:pPr>
            <w:r w:rsidRPr="002D2FBE">
              <w:rPr>
                <w:rFonts w:ascii="Verdana" w:eastAsia="Calibri" w:hAnsi="Verdana" w:cs="Arial"/>
                <w:sz w:val="16"/>
                <w:szCs w:val="16"/>
                <w:lang w:val="es-ES" w:eastAsia="es-ES"/>
              </w:rPr>
              <w:t xml:space="preserve">Carolina Quintero </w:t>
            </w:r>
            <w:proofErr w:type="spellStart"/>
            <w:r w:rsidRPr="002D2FBE">
              <w:rPr>
                <w:rFonts w:ascii="Verdana" w:eastAsia="Calibri" w:hAnsi="Verdana" w:cs="Arial"/>
                <w:sz w:val="16"/>
                <w:szCs w:val="16"/>
                <w:lang w:val="es-ES" w:eastAsia="es-ES"/>
              </w:rPr>
              <w:t>Gacharná</w:t>
            </w:r>
            <w:proofErr w:type="spellEnd"/>
          </w:p>
          <w:p w14:paraId="4E3B87DE" w14:textId="77777777" w:rsidR="00200DB3" w:rsidRPr="002D2FBE" w:rsidRDefault="00200DB3" w:rsidP="001311D3">
            <w:pPr>
              <w:rPr>
                <w:rFonts w:ascii="Verdana" w:eastAsia="Calibri" w:hAnsi="Verdana" w:cs="Arial"/>
                <w:sz w:val="16"/>
                <w:szCs w:val="16"/>
                <w:lang w:val="es-ES_tradnl" w:eastAsia="es-ES"/>
              </w:rPr>
            </w:pPr>
            <w:r w:rsidRPr="002D2FBE">
              <w:rPr>
                <w:rFonts w:ascii="Verdana" w:eastAsia="Calibri" w:hAnsi="Verdana" w:cs="Arial"/>
                <w:sz w:val="16"/>
                <w:szCs w:val="16"/>
                <w:lang w:val="es-ES_tradnl" w:eastAsia="es-ES"/>
              </w:rPr>
              <w:t>Subdirectora de Gestión Contractual ANCP – CCE</w:t>
            </w:r>
          </w:p>
        </w:tc>
      </w:tr>
      <w:bookmarkEnd w:id="0"/>
    </w:tbl>
    <w:p w14:paraId="6E0117F5" w14:textId="77777777" w:rsidR="00200DB3" w:rsidRPr="002D2FBE" w:rsidRDefault="00200DB3" w:rsidP="00200DB3">
      <w:pPr>
        <w:tabs>
          <w:tab w:val="left" w:pos="1320"/>
        </w:tabs>
        <w:rPr>
          <w:rFonts w:ascii="Century Gothic" w:eastAsia="Aptos" w:hAnsi="Century Gothic" w:cs="Times New Roman"/>
        </w:rPr>
      </w:pPr>
    </w:p>
    <w:p w14:paraId="3900974D" w14:textId="77777777" w:rsidR="003D5B0D" w:rsidRPr="00DC78A9" w:rsidRDefault="003D5B0D" w:rsidP="00DC78A9"/>
    <w:sectPr w:rsidR="003D5B0D" w:rsidRPr="00DC78A9"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83C7A" w14:textId="77777777" w:rsidR="009D5CC4" w:rsidRDefault="009D5CC4" w:rsidP="004A1847">
      <w:pPr>
        <w:spacing w:after="0" w:line="240" w:lineRule="auto"/>
      </w:pPr>
      <w:r>
        <w:separator/>
      </w:r>
    </w:p>
  </w:endnote>
  <w:endnote w:type="continuationSeparator" w:id="0">
    <w:p w14:paraId="15955180" w14:textId="77777777" w:rsidR="009D5CC4" w:rsidRDefault="009D5CC4" w:rsidP="004A1847">
      <w:pPr>
        <w:spacing w:after="0" w:line="240" w:lineRule="auto"/>
      </w:pPr>
      <w:r>
        <w:continuationSeparator/>
      </w:r>
    </w:p>
  </w:endnote>
  <w:endnote w:type="continuationNotice" w:id="1">
    <w:p w14:paraId="509DEE53" w14:textId="77777777" w:rsidR="009D5CC4" w:rsidRDefault="009D5C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t9">
    <w:altName w:val="Calibri"/>
    <w:panose1 w:val="00000000000000000000"/>
    <w:charset w:val="4D"/>
    <w:family w:val="auto"/>
    <w:notTrueType/>
    <w:pitch w:val="default"/>
    <w:sig w:usb0="00000003" w:usb1="00000000" w:usb2="00000000" w:usb3="00000000" w:csb0="00000001" w:csb1="00000000"/>
  </w:font>
  <w:font w:name="ArialMT">
    <w:altName w:val="Klee One"/>
    <w:panose1 w:val="00000000000000000000"/>
    <w:charset w:val="80"/>
    <w:family w:val="auto"/>
    <w:notTrueType/>
    <w:pitch w:val="default"/>
    <w:sig w:usb0="00000003" w:usb1="08070000" w:usb2="00000010" w:usb3="00000000" w:csb0="0002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DE6F9" w14:textId="77777777" w:rsidR="009D5CC4" w:rsidRDefault="009D5CC4" w:rsidP="004A1847">
      <w:pPr>
        <w:spacing w:after="0" w:line="240" w:lineRule="auto"/>
      </w:pPr>
      <w:r>
        <w:separator/>
      </w:r>
    </w:p>
  </w:footnote>
  <w:footnote w:type="continuationSeparator" w:id="0">
    <w:p w14:paraId="48B138E7" w14:textId="77777777" w:rsidR="009D5CC4" w:rsidRDefault="009D5CC4" w:rsidP="004A1847">
      <w:pPr>
        <w:spacing w:after="0" w:line="240" w:lineRule="auto"/>
      </w:pPr>
      <w:r>
        <w:continuationSeparator/>
      </w:r>
    </w:p>
  </w:footnote>
  <w:footnote w:type="continuationNotice" w:id="1">
    <w:p w14:paraId="3B551735" w14:textId="77777777" w:rsidR="009D5CC4" w:rsidRDefault="009D5CC4">
      <w:pPr>
        <w:spacing w:after="0" w:line="240" w:lineRule="auto"/>
      </w:pPr>
    </w:p>
  </w:footnote>
  <w:footnote w:id="2">
    <w:p w14:paraId="468C4928" w14:textId="77777777" w:rsidR="00200DB3" w:rsidRPr="008D6724" w:rsidRDefault="00200DB3" w:rsidP="00200DB3">
      <w:pPr>
        <w:pStyle w:val="Textonotapie"/>
        <w:ind w:firstLine="708"/>
        <w:jc w:val="both"/>
        <w:rPr>
          <w:rFonts w:ascii="Verdana" w:hAnsi="Verdana"/>
          <w:sz w:val="18"/>
          <w:szCs w:val="18"/>
        </w:rPr>
      </w:pPr>
      <w:r w:rsidRPr="008D6724">
        <w:rPr>
          <w:rStyle w:val="Refdenotaalpie"/>
          <w:rFonts w:ascii="Verdana" w:hAnsi="Verdana"/>
          <w:sz w:val="18"/>
          <w:szCs w:val="18"/>
        </w:rPr>
        <w:footnoteRef/>
      </w:r>
      <w:r w:rsidRPr="008D6724">
        <w:rPr>
          <w:rFonts w:ascii="Verdana" w:hAnsi="Verdana"/>
          <w:sz w:val="18"/>
          <w:szCs w:val="18"/>
        </w:rPr>
        <w:t xml:space="preserve"> Estos Documentos Tipo pueden ser consultados en la página web de Colombia Compra Eficiente, a través del siguiente enlace: </w:t>
      </w:r>
      <w:hyperlink r:id="rId1" w:history="1">
        <w:r w:rsidRPr="008D6724">
          <w:rPr>
            <w:rStyle w:val="Hipervnculo"/>
            <w:rFonts w:ascii="Verdana" w:hAnsi="Verdana"/>
            <w:sz w:val="18"/>
            <w:szCs w:val="18"/>
          </w:rPr>
          <w:t>https://www.colombiacompra.gov.co/documentos-tipo/documentos-tipo</w:t>
        </w:r>
      </w:hyperlink>
      <w:r w:rsidRPr="008D6724">
        <w:rPr>
          <w:rFonts w:ascii="Verdana" w:hAnsi="Verdana"/>
          <w:sz w:val="18"/>
          <w:szCs w:val="18"/>
        </w:rPr>
        <w:t xml:space="preserve"> </w:t>
      </w:r>
    </w:p>
  </w:footnote>
  <w:footnote w:id="3">
    <w:p w14:paraId="0EDF5EB9" w14:textId="77777777" w:rsidR="00200DB3" w:rsidRPr="00F50E2F" w:rsidRDefault="00200DB3" w:rsidP="00200DB3">
      <w:pPr>
        <w:pStyle w:val="Textonotapie"/>
        <w:ind w:firstLine="708"/>
        <w:jc w:val="both"/>
        <w:rPr>
          <w:rFonts w:ascii="Arial" w:hAnsi="Arial" w:cs="Arial"/>
          <w:sz w:val="19"/>
          <w:szCs w:val="19"/>
        </w:rPr>
      </w:pPr>
      <w:r w:rsidRPr="00F50E2F">
        <w:rPr>
          <w:rStyle w:val="Refdenotaalpie"/>
          <w:rFonts w:ascii="Arial" w:hAnsi="Arial" w:cs="Arial"/>
          <w:sz w:val="19"/>
          <w:szCs w:val="19"/>
        </w:rPr>
        <w:footnoteRef/>
      </w:r>
      <w:r w:rsidRPr="00F50E2F">
        <w:rPr>
          <w:rFonts w:ascii="Arial" w:hAnsi="Arial" w:cs="Arial"/>
          <w:sz w:val="19"/>
          <w:szCs w:val="19"/>
        </w:rPr>
        <w:t xml:space="preserve"> </w:t>
      </w:r>
      <w:proofErr w:type="spellStart"/>
      <w:r w:rsidRPr="00F50E2F">
        <w:rPr>
          <w:rFonts w:ascii="Arial" w:hAnsi="Arial" w:cs="Arial"/>
          <w:i/>
          <w:iCs/>
          <w:sz w:val="19"/>
          <w:szCs w:val="19"/>
        </w:rPr>
        <w:t>Ibídem</w:t>
      </w:r>
      <w:proofErr w:type="spellEnd"/>
      <w:r w:rsidRPr="00F50E2F">
        <w:rPr>
          <w:rFonts w:ascii="Arial" w:hAnsi="Arial" w:cs="Arial"/>
          <w:sz w:val="19"/>
          <w:szCs w:val="19"/>
        </w:rPr>
        <w:t xml:space="preserve"> </w:t>
      </w:r>
    </w:p>
  </w:footnote>
  <w:footnote w:id="4">
    <w:p w14:paraId="2A4194DB" w14:textId="77777777" w:rsidR="00200DB3" w:rsidRPr="002D2FBE" w:rsidRDefault="00200DB3" w:rsidP="00200DB3">
      <w:pPr>
        <w:pStyle w:val="Ttulo21"/>
        <w:spacing w:line="240" w:lineRule="auto"/>
        <w:ind w:firstLine="708"/>
        <w:jc w:val="both"/>
        <w:rPr>
          <w:rFonts w:ascii="Verdana" w:eastAsia="Aptos" w:hAnsi="Verdana"/>
          <w:color w:val="auto"/>
          <w:sz w:val="18"/>
          <w:szCs w:val="18"/>
        </w:rPr>
      </w:pPr>
      <w:r w:rsidRPr="008D6724">
        <w:rPr>
          <w:rStyle w:val="Refdenotaalpie"/>
          <w:rFonts w:ascii="Verdana" w:hAnsi="Verdana"/>
          <w:sz w:val="18"/>
          <w:szCs w:val="18"/>
        </w:rPr>
        <w:footnoteRef/>
      </w:r>
      <w:r w:rsidRPr="008D6724">
        <w:rPr>
          <w:rFonts w:ascii="Verdana" w:hAnsi="Verdana"/>
          <w:sz w:val="18"/>
          <w:szCs w:val="18"/>
        </w:rPr>
        <w:t xml:space="preserve"> </w:t>
      </w:r>
      <w:bookmarkStart w:id="12" w:name="_Toc176242633"/>
      <w:r w:rsidRPr="002D2FBE">
        <w:rPr>
          <w:rFonts w:ascii="Verdana" w:eastAsia="Aptos" w:hAnsi="Verdana"/>
          <w:color w:val="auto"/>
          <w:sz w:val="18"/>
          <w:szCs w:val="18"/>
        </w:rPr>
        <w:t>Documento base de los documentos tipo de</w:t>
      </w:r>
      <w:r>
        <w:rPr>
          <w:rFonts w:ascii="Verdana" w:eastAsia="Aptos" w:hAnsi="Verdana"/>
          <w:color w:val="auto"/>
          <w:sz w:val="18"/>
          <w:szCs w:val="18"/>
        </w:rPr>
        <w:t xml:space="preserve"> selección abreviada de menor cuantía </w:t>
      </w:r>
      <w:r w:rsidRPr="002D2FBE">
        <w:rPr>
          <w:rFonts w:ascii="Verdana" w:eastAsia="Aptos" w:hAnsi="Verdana"/>
          <w:color w:val="auto"/>
          <w:sz w:val="18"/>
          <w:szCs w:val="18"/>
        </w:rPr>
        <w:t xml:space="preserve">de infraestructura de transporte – versión </w:t>
      </w:r>
      <w:r>
        <w:rPr>
          <w:rFonts w:ascii="Verdana" w:eastAsia="Aptos" w:hAnsi="Verdana"/>
          <w:color w:val="auto"/>
          <w:sz w:val="18"/>
          <w:szCs w:val="18"/>
        </w:rPr>
        <w:t>3</w:t>
      </w:r>
      <w:r w:rsidRPr="002D2FBE">
        <w:rPr>
          <w:rFonts w:ascii="Verdana" w:eastAsia="Aptos" w:hAnsi="Verdana"/>
          <w:color w:val="auto"/>
          <w:sz w:val="18"/>
          <w:szCs w:val="18"/>
        </w:rPr>
        <w:t>, numeral 1.11:</w:t>
      </w:r>
    </w:p>
    <w:p w14:paraId="30F8717F" w14:textId="77777777" w:rsidR="00200DB3" w:rsidRPr="002D2FBE" w:rsidRDefault="00200DB3" w:rsidP="00200DB3">
      <w:pPr>
        <w:pStyle w:val="Ttulo21"/>
        <w:spacing w:line="240" w:lineRule="auto"/>
        <w:ind w:firstLine="708"/>
        <w:jc w:val="both"/>
        <w:rPr>
          <w:rFonts w:ascii="Verdana" w:eastAsia="Aptos" w:hAnsi="Verdana"/>
          <w:color w:val="auto"/>
          <w:sz w:val="18"/>
          <w:szCs w:val="18"/>
        </w:rPr>
      </w:pPr>
      <w:r w:rsidRPr="002D2FBE">
        <w:rPr>
          <w:rFonts w:ascii="Verdana" w:eastAsia="Aptos" w:hAnsi="Verdana"/>
          <w:color w:val="auto"/>
          <w:sz w:val="18"/>
          <w:szCs w:val="18"/>
        </w:rPr>
        <w:t>“INFORMACIÓN INEXACTA</w:t>
      </w:r>
      <w:bookmarkEnd w:id="12"/>
      <w:r w:rsidRPr="002D2FBE">
        <w:rPr>
          <w:rFonts w:ascii="Verdana" w:eastAsia="Aptos" w:hAnsi="Verdana"/>
          <w:color w:val="auto"/>
          <w:sz w:val="18"/>
          <w:szCs w:val="18"/>
        </w:rPr>
        <w:t>:</w:t>
      </w:r>
    </w:p>
    <w:p w14:paraId="4626EA1B" w14:textId="77777777" w:rsidR="00200DB3" w:rsidRPr="008D6724" w:rsidRDefault="00200DB3" w:rsidP="00200DB3">
      <w:pPr>
        <w:spacing w:line="240" w:lineRule="auto"/>
        <w:ind w:firstLine="708"/>
        <w:jc w:val="both"/>
        <w:rPr>
          <w:rFonts w:ascii="Verdana" w:hAnsi="Verdana"/>
          <w:sz w:val="18"/>
          <w:szCs w:val="18"/>
        </w:rPr>
      </w:pPr>
      <w:r w:rsidRPr="008D6724">
        <w:rPr>
          <w:rFonts w:ascii="Verdana" w:hAnsi="Verdana"/>
          <w:sz w:val="18"/>
          <w:szCs w:val="18"/>
        </w:rPr>
        <w:t xml:space="preserve">La entidad se reserva el derecho de verificar integralmente la información aportada por el proponente. Para esto, puede acudir a las autoridades, personas, empresas o entidades   respectivas. </w:t>
      </w:r>
    </w:p>
    <w:p w14:paraId="5DEFE6E6" w14:textId="77777777" w:rsidR="00200DB3" w:rsidRPr="008D6724" w:rsidRDefault="00200DB3" w:rsidP="00200DB3">
      <w:pPr>
        <w:spacing w:line="240" w:lineRule="auto"/>
        <w:ind w:firstLine="708"/>
        <w:jc w:val="both"/>
        <w:rPr>
          <w:rFonts w:ascii="Verdana" w:hAnsi="Verdana"/>
          <w:sz w:val="18"/>
          <w:szCs w:val="18"/>
        </w:rPr>
      </w:pPr>
      <w:r w:rsidRPr="008D6724">
        <w:rPr>
          <w:rFonts w:ascii="Verdana" w:hAnsi="Verdana"/>
          <w:sz w:val="18"/>
          <w:szCs w:val="18"/>
        </w:rPr>
        <w:t xml:space="preserve">Cuando exista inconsistencia entre la información suministrada por el proponente y la verificada por la entidad, la información que pretende demostrar el proponente se tendrá por no acreditada. </w:t>
      </w:r>
    </w:p>
    <w:p w14:paraId="5779DE45" w14:textId="77777777" w:rsidR="00200DB3" w:rsidRPr="008D6724" w:rsidRDefault="00200DB3" w:rsidP="00200DB3">
      <w:pPr>
        <w:spacing w:line="240" w:lineRule="auto"/>
        <w:ind w:firstLine="708"/>
        <w:jc w:val="both"/>
        <w:rPr>
          <w:rFonts w:ascii="Verdana" w:hAnsi="Verdana"/>
          <w:sz w:val="18"/>
          <w:szCs w:val="18"/>
        </w:rPr>
      </w:pPr>
      <w:r w:rsidRPr="008D6724">
        <w:rPr>
          <w:rFonts w:ascii="Verdana" w:hAnsi="Verdana"/>
          <w:sz w:val="18"/>
          <w:szCs w:val="18"/>
        </w:rPr>
        <w:t>La entidad compulsará copias a las autoridades competentes en aquellos eventos en los cuales la información aportada tenga inconsistencias sobre las cuales pueda existir una posible falsedad, sin que el proponente haya demostrado lo contrario, y rechazará la oferta</w:t>
      </w:r>
      <w:r>
        <w:rPr>
          <w:rFonts w:ascii="Verdana" w:hAnsi="Verdana"/>
          <w:sz w:val="18"/>
          <w:szCs w:val="18"/>
        </w:rPr>
        <w:t>”</w:t>
      </w:r>
      <w:r w:rsidRPr="008D6724">
        <w:rPr>
          <w:rFonts w:ascii="Verdana" w:hAnsi="Verdana"/>
          <w:sz w:val="18"/>
          <w:szCs w:val="18"/>
        </w:rPr>
        <w:t xml:space="preserve">. </w:t>
      </w:r>
    </w:p>
    <w:p w14:paraId="7950D94D" w14:textId="77777777" w:rsidR="00200DB3" w:rsidRPr="008D6724" w:rsidRDefault="00200DB3" w:rsidP="00200DB3">
      <w:pPr>
        <w:pStyle w:val="Textonotapie"/>
        <w:jc w:val="both"/>
        <w:rPr>
          <w:rFonts w:ascii="Verdana" w:hAnsi="Verdana"/>
          <w:sz w:val="18"/>
          <w:szCs w:val="18"/>
        </w:rPr>
      </w:pPr>
    </w:p>
  </w:footnote>
  <w:footnote w:id="5">
    <w:p w14:paraId="2DAD4FD1" w14:textId="77777777" w:rsidR="00200DB3" w:rsidRDefault="00200DB3" w:rsidP="00200DB3">
      <w:pPr>
        <w:pStyle w:val="Textonotapie"/>
        <w:spacing w:after="120"/>
        <w:ind w:firstLine="709"/>
        <w:jc w:val="both"/>
      </w:pPr>
      <w:r>
        <w:rPr>
          <w:vertAlign w:val="superscript"/>
        </w:rPr>
        <w:footnoteRef/>
      </w:r>
      <w:r>
        <w:t xml:space="preserve"> </w:t>
      </w:r>
      <w:r w:rsidRPr="0026407E">
        <w:rPr>
          <w:rFonts w:ascii="Verdana" w:hAnsi="Verdana" w:cs="Arial"/>
          <w:color w:val="000000" w:themeColor="text1"/>
          <w:sz w:val="16"/>
          <w:szCs w:val="16"/>
        </w:rPr>
        <w:t xml:space="preserve">Ley 80 de 1993: “Artículo 30. De la estructura de los procedimientos de selección. </w:t>
      </w:r>
      <w:r w:rsidRPr="0026407E">
        <w:rPr>
          <w:rFonts w:ascii="Verdana" w:hAnsi="Verdana" w:cs="Arial"/>
          <w:color w:val="000000" w:themeColor="text1"/>
          <w:sz w:val="16"/>
          <w:szCs w:val="16"/>
        </w:rPr>
        <w:t>La licitación se efectuará conforme a las siguientes reglas:</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6">
    <w:p w14:paraId="6CDBCDAE" w14:textId="77777777" w:rsidR="00200DB3" w:rsidRPr="0026407E" w:rsidRDefault="00200DB3" w:rsidP="00200DB3">
      <w:pPr>
        <w:pStyle w:val="Textonotapie"/>
        <w:spacing w:after="120"/>
        <w:ind w:firstLine="708"/>
        <w:jc w:val="both"/>
        <w:rPr>
          <w:rFonts w:ascii="Verdana" w:hAnsi="Verdana" w:cs="Arial"/>
          <w:color w:val="000000" w:themeColor="text1"/>
          <w:sz w:val="16"/>
          <w:szCs w:val="16"/>
        </w:rPr>
      </w:pPr>
      <w:r>
        <w:rPr>
          <w:vertAlign w:val="superscript"/>
        </w:rPr>
        <w:footnoteRef/>
      </w:r>
      <w:r>
        <w:t xml:space="preserve"> </w:t>
      </w:r>
      <w:r w:rsidRPr="0026407E">
        <w:rPr>
          <w:rFonts w:ascii="Verdana" w:hAnsi="Verdana" w:cs="Arial"/>
          <w:color w:val="000000" w:themeColor="text1"/>
          <w:sz w:val="16"/>
          <w:szCs w:val="16"/>
        </w:rPr>
        <w:t>Decreto 1082 de 2015: “Artículo 2.2.1.2.1.2.20. Procedimiento para la selección abreviada de menor cuantía. Además de las normas generales establecidas en el presente título, las siguientes reglas son aplicables a la selección abreviada de menor cuantía: […]</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4. La Entidad Estatal debe publicar el informe de evaluación de ofertas durante tres (3) días hábiles”.</w:t>
      </w:r>
    </w:p>
    <w:p w14:paraId="476E745C" w14:textId="77777777" w:rsidR="00200DB3" w:rsidRPr="0026407E" w:rsidRDefault="00200DB3" w:rsidP="00200DB3">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“Artículo 2.2.1.2.1.3.2. Procedimiento del concurso de méritos. Además de las reglas generales previstas en la ley y en el presente título, las siguientes reglas son aplicables al concurso de méritos abierto o con precalificación:</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2. La Entidad Estatal debe publicar durante tres (3) días hábiles el informe de evaluación, el cual debe contener la evaluación de las ofertas frente a todos los requisitos exigidos en el pliego de condiciones, incluyendo los requisitos habilitantes y los de asignación de puntaje”.</w:t>
      </w:r>
    </w:p>
    <w:p w14:paraId="7372D9D7" w14:textId="77777777" w:rsidR="00200DB3" w:rsidRDefault="00200DB3" w:rsidP="00200DB3">
      <w:pPr>
        <w:pStyle w:val="Textonotapie"/>
        <w:spacing w:after="120"/>
        <w:ind w:firstLine="709"/>
        <w:jc w:val="both"/>
      </w:pPr>
      <w:r w:rsidRPr="0026407E">
        <w:rPr>
          <w:rFonts w:ascii="Verdana" w:hAnsi="Verdana" w:cs="Arial"/>
          <w:color w:val="000000" w:themeColor="text1"/>
          <w:sz w:val="16"/>
          <w:szCs w:val="16"/>
        </w:rPr>
        <w:t>“Artículo 2.2.1.2.1.5.2. Procedimiento para la contratación de mínima cuantía. Las siguientes reglas son aplicables a la contratación cuyo valor no excede del 10% de la menor cuantía de la Entidad Estatal, independientemente de su objeto:</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6. La Entidad Estatal debe publicar el informe de evaluación durante mínimo un (1) día hábil, para que durante este término los oferentes presenten las observaciones que deberán ser respondidas por la Entidad Estatal antes de realizar la aceptación de la oferta seleccionada”.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5F6306"/>
    <w:multiLevelType w:val="hybridMultilevel"/>
    <w:tmpl w:val="1AEAEB36"/>
    <w:lvl w:ilvl="0" w:tplc="A3403FBA">
      <w:start w:val="1"/>
      <w:numFmt w:val="lowerRoman"/>
      <w:lvlText w:val="%1)"/>
      <w:lvlJc w:val="left"/>
      <w:pPr>
        <w:ind w:left="1743" w:hanging="720"/>
      </w:pPr>
      <w:rPr>
        <w:rFonts w:eastAsia="Calibri" w:hint="default"/>
      </w:rPr>
    </w:lvl>
    <w:lvl w:ilvl="1" w:tplc="240A0019">
      <w:start w:val="1"/>
      <w:numFmt w:val="lowerLetter"/>
      <w:lvlText w:val="%2."/>
      <w:lvlJc w:val="left"/>
      <w:pPr>
        <w:ind w:left="2103" w:hanging="360"/>
      </w:pPr>
    </w:lvl>
    <w:lvl w:ilvl="2" w:tplc="240A001B" w:tentative="1">
      <w:start w:val="1"/>
      <w:numFmt w:val="lowerRoman"/>
      <w:lvlText w:val="%3."/>
      <w:lvlJc w:val="right"/>
      <w:pPr>
        <w:ind w:left="2823" w:hanging="180"/>
      </w:pPr>
    </w:lvl>
    <w:lvl w:ilvl="3" w:tplc="240A000F" w:tentative="1">
      <w:start w:val="1"/>
      <w:numFmt w:val="decimal"/>
      <w:lvlText w:val="%4."/>
      <w:lvlJc w:val="left"/>
      <w:pPr>
        <w:ind w:left="3543" w:hanging="360"/>
      </w:pPr>
    </w:lvl>
    <w:lvl w:ilvl="4" w:tplc="240A0019" w:tentative="1">
      <w:start w:val="1"/>
      <w:numFmt w:val="lowerLetter"/>
      <w:lvlText w:val="%5."/>
      <w:lvlJc w:val="left"/>
      <w:pPr>
        <w:ind w:left="4263" w:hanging="360"/>
      </w:pPr>
    </w:lvl>
    <w:lvl w:ilvl="5" w:tplc="240A001B" w:tentative="1">
      <w:start w:val="1"/>
      <w:numFmt w:val="lowerRoman"/>
      <w:lvlText w:val="%6."/>
      <w:lvlJc w:val="right"/>
      <w:pPr>
        <w:ind w:left="4983" w:hanging="180"/>
      </w:pPr>
    </w:lvl>
    <w:lvl w:ilvl="6" w:tplc="240A000F" w:tentative="1">
      <w:start w:val="1"/>
      <w:numFmt w:val="decimal"/>
      <w:lvlText w:val="%7."/>
      <w:lvlJc w:val="left"/>
      <w:pPr>
        <w:ind w:left="5703" w:hanging="360"/>
      </w:pPr>
    </w:lvl>
    <w:lvl w:ilvl="7" w:tplc="240A0019" w:tentative="1">
      <w:start w:val="1"/>
      <w:numFmt w:val="lowerLetter"/>
      <w:lvlText w:val="%8."/>
      <w:lvlJc w:val="left"/>
      <w:pPr>
        <w:ind w:left="6423" w:hanging="360"/>
      </w:pPr>
    </w:lvl>
    <w:lvl w:ilvl="8" w:tplc="240A001B" w:tentative="1">
      <w:start w:val="1"/>
      <w:numFmt w:val="lowerRoman"/>
      <w:lvlText w:val="%9."/>
      <w:lvlJc w:val="right"/>
      <w:pPr>
        <w:ind w:left="7143"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40828532">
    <w:abstractNumId w:val="7"/>
  </w:num>
  <w:num w:numId="2" w16cid:durableId="1977029489">
    <w:abstractNumId w:val="2"/>
  </w:num>
  <w:num w:numId="3" w16cid:durableId="817647667">
    <w:abstractNumId w:val="5"/>
  </w:num>
  <w:num w:numId="4" w16cid:durableId="21296177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6951028">
    <w:abstractNumId w:val="2"/>
  </w:num>
  <w:num w:numId="6" w16cid:durableId="319697142">
    <w:abstractNumId w:val="15"/>
  </w:num>
  <w:num w:numId="7" w16cid:durableId="1223980469">
    <w:abstractNumId w:val="6"/>
  </w:num>
  <w:num w:numId="8" w16cid:durableId="1917011333">
    <w:abstractNumId w:val="14"/>
  </w:num>
  <w:num w:numId="9" w16cid:durableId="1226377079">
    <w:abstractNumId w:val="8"/>
  </w:num>
  <w:num w:numId="10" w16cid:durableId="2111314480">
    <w:abstractNumId w:val="13"/>
  </w:num>
  <w:num w:numId="11" w16cid:durableId="1281108121">
    <w:abstractNumId w:val="9"/>
  </w:num>
  <w:num w:numId="12" w16cid:durableId="985016555">
    <w:abstractNumId w:val="1"/>
  </w:num>
  <w:num w:numId="13" w16cid:durableId="445347083">
    <w:abstractNumId w:val="3"/>
  </w:num>
  <w:num w:numId="14" w16cid:durableId="1100561947">
    <w:abstractNumId w:val="16"/>
  </w:num>
  <w:num w:numId="15" w16cid:durableId="2082949662">
    <w:abstractNumId w:val="11"/>
  </w:num>
  <w:num w:numId="16" w16cid:durableId="139862772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85826444">
    <w:abstractNumId w:val="12"/>
  </w:num>
  <w:num w:numId="18" w16cid:durableId="1731879550">
    <w:abstractNumId w:val="10"/>
  </w:num>
  <w:num w:numId="19" w16cid:durableId="2133360150">
    <w:abstractNumId w:val="0"/>
  </w:num>
  <w:num w:numId="20" w16cid:durableId="20682154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500A"/>
    <w:rsid w:val="00067D5A"/>
    <w:rsid w:val="00082362"/>
    <w:rsid w:val="000A256E"/>
    <w:rsid w:val="000A683E"/>
    <w:rsid w:val="000B19B9"/>
    <w:rsid w:val="000D0334"/>
    <w:rsid w:val="000F6486"/>
    <w:rsid w:val="00125105"/>
    <w:rsid w:val="00127233"/>
    <w:rsid w:val="001511A0"/>
    <w:rsid w:val="001E4177"/>
    <w:rsid w:val="001F7DC6"/>
    <w:rsid w:val="00200DB3"/>
    <w:rsid w:val="002421BB"/>
    <w:rsid w:val="0025796E"/>
    <w:rsid w:val="002707A2"/>
    <w:rsid w:val="00284762"/>
    <w:rsid w:val="002951A0"/>
    <w:rsid w:val="002962BC"/>
    <w:rsid w:val="002A093D"/>
    <w:rsid w:val="002A0DD0"/>
    <w:rsid w:val="002A49AC"/>
    <w:rsid w:val="002A64FD"/>
    <w:rsid w:val="002B7281"/>
    <w:rsid w:val="002C7A84"/>
    <w:rsid w:val="002E4FD9"/>
    <w:rsid w:val="00322A85"/>
    <w:rsid w:val="00324168"/>
    <w:rsid w:val="003448F4"/>
    <w:rsid w:val="00374F5E"/>
    <w:rsid w:val="00377E3E"/>
    <w:rsid w:val="003A779E"/>
    <w:rsid w:val="003D0F4D"/>
    <w:rsid w:val="003D5B0D"/>
    <w:rsid w:val="003E0499"/>
    <w:rsid w:val="003F101A"/>
    <w:rsid w:val="003F3941"/>
    <w:rsid w:val="00406575"/>
    <w:rsid w:val="00414C74"/>
    <w:rsid w:val="0042722E"/>
    <w:rsid w:val="0044528D"/>
    <w:rsid w:val="00450160"/>
    <w:rsid w:val="004A1847"/>
    <w:rsid w:val="004A305D"/>
    <w:rsid w:val="004F21C4"/>
    <w:rsid w:val="004F685F"/>
    <w:rsid w:val="005566E8"/>
    <w:rsid w:val="00574867"/>
    <w:rsid w:val="00591460"/>
    <w:rsid w:val="005939CF"/>
    <w:rsid w:val="005B3816"/>
    <w:rsid w:val="005C3777"/>
    <w:rsid w:val="005C5CDC"/>
    <w:rsid w:val="005D476C"/>
    <w:rsid w:val="006219F8"/>
    <w:rsid w:val="00644C4A"/>
    <w:rsid w:val="00651209"/>
    <w:rsid w:val="00665D70"/>
    <w:rsid w:val="006900D9"/>
    <w:rsid w:val="006F6623"/>
    <w:rsid w:val="00706C16"/>
    <w:rsid w:val="00746F80"/>
    <w:rsid w:val="00756841"/>
    <w:rsid w:val="007649AB"/>
    <w:rsid w:val="00771D0C"/>
    <w:rsid w:val="00777F21"/>
    <w:rsid w:val="007833AC"/>
    <w:rsid w:val="007B268C"/>
    <w:rsid w:val="007B7171"/>
    <w:rsid w:val="007C0C0F"/>
    <w:rsid w:val="007C3DC2"/>
    <w:rsid w:val="007C5894"/>
    <w:rsid w:val="007E5497"/>
    <w:rsid w:val="00806F5F"/>
    <w:rsid w:val="00820278"/>
    <w:rsid w:val="00867F95"/>
    <w:rsid w:val="008843B6"/>
    <w:rsid w:val="0088705C"/>
    <w:rsid w:val="00891928"/>
    <w:rsid w:val="008A446D"/>
    <w:rsid w:val="008D180B"/>
    <w:rsid w:val="008D5906"/>
    <w:rsid w:val="008F0EA7"/>
    <w:rsid w:val="00923EEF"/>
    <w:rsid w:val="009419F9"/>
    <w:rsid w:val="0095685E"/>
    <w:rsid w:val="00961B09"/>
    <w:rsid w:val="00965334"/>
    <w:rsid w:val="0097093E"/>
    <w:rsid w:val="00973ED8"/>
    <w:rsid w:val="00986AC5"/>
    <w:rsid w:val="009A0DFA"/>
    <w:rsid w:val="009B2D26"/>
    <w:rsid w:val="009C71FA"/>
    <w:rsid w:val="009C72E7"/>
    <w:rsid w:val="009D3058"/>
    <w:rsid w:val="009D5CC4"/>
    <w:rsid w:val="009F3A13"/>
    <w:rsid w:val="00A122D3"/>
    <w:rsid w:val="00A17F13"/>
    <w:rsid w:val="00A20739"/>
    <w:rsid w:val="00A33C78"/>
    <w:rsid w:val="00A95F17"/>
    <w:rsid w:val="00AA643B"/>
    <w:rsid w:val="00AB0ADB"/>
    <w:rsid w:val="00B01B1A"/>
    <w:rsid w:val="00B66319"/>
    <w:rsid w:val="00B72CD3"/>
    <w:rsid w:val="00B72FFF"/>
    <w:rsid w:val="00BA7BD2"/>
    <w:rsid w:val="00BC3D36"/>
    <w:rsid w:val="00BD7F72"/>
    <w:rsid w:val="00C04FB3"/>
    <w:rsid w:val="00C330EB"/>
    <w:rsid w:val="00C41061"/>
    <w:rsid w:val="00C754BE"/>
    <w:rsid w:val="00C76B1C"/>
    <w:rsid w:val="00CB6357"/>
    <w:rsid w:val="00CC1B26"/>
    <w:rsid w:val="00D423A2"/>
    <w:rsid w:val="00D520D8"/>
    <w:rsid w:val="00D63AC2"/>
    <w:rsid w:val="00D7383B"/>
    <w:rsid w:val="00DA231B"/>
    <w:rsid w:val="00DC39FC"/>
    <w:rsid w:val="00DC78A9"/>
    <w:rsid w:val="00DF5254"/>
    <w:rsid w:val="00E16408"/>
    <w:rsid w:val="00E20894"/>
    <w:rsid w:val="00E245AB"/>
    <w:rsid w:val="00E2764C"/>
    <w:rsid w:val="00E27F2E"/>
    <w:rsid w:val="00E50AFE"/>
    <w:rsid w:val="00E75C92"/>
    <w:rsid w:val="00E771DC"/>
    <w:rsid w:val="00E8772A"/>
    <w:rsid w:val="00E90F6B"/>
    <w:rsid w:val="00E92C27"/>
    <w:rsid w:val="00EA0E3D"/>
    <w:rsid w:val="00EA61EA"/>
    <w:rsid w:val="00EC38A7"/>
    <w:rsid w:val="00ED7384"/>
    <w:rsid w:val="00EE1AA8"/>
    <w:rsid w:val="00EE42E3"/>
    <w:rsid w:val="00EE5ED7"/>
    <w:rsid w:val="00EE7A8D"/>
    <w:rsid w:val="00F31EDC"/>
    <w:rsid w:val="00F462B3"/>
    <w:rsid w:val="00F5664F"/>
    <w:rsid w:val="00F5724B"/>
    <w:rsid w:val="00F666C4"/>
    <w:rsid w:val="00F76AFC"/>
    <w:rsid w:val="00FA47C0"/>
    <w:rsid w:val="00FB5DD1"/>
    <w:rsid w:val="00FC2B5D"/>
    <w:rsid w:val="00FF1449"/>
    <w:rsid w:val="165E9519"/>
    <w:rsid w:val="3557F87A"/>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21">
    <w:name w:val="Título 21"/>
    <w:basedOn w:val="Normal"/>
    <w:next w:val="Normal"/>
    <w:uiPriority w:val="9"/>
    <w:unhideWhenUsed/>
    <w:qFormat/>
    <w:rsid w:val="00200DB3"/>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Appelnotedebasde">
    <w:name w:val="Appel note de bas de..."/>
    <w:basedOn w:val="Normal"/>
    <w:link w:val="Refdenotaalpie"/>
    <w:uiPriority w:val="99"/>
    <w:rsid w:val="00200DB3"/>
    <w:pPr>
      <w:spacing w:line="240" w:lineRule="exact"/>
    </w:pPr>
    <w:rPr>
      <w:vertAlign w:val="superscript"/>
    </w:rPr>
  </w:style>
  <w:style w:type="table" w:customStyle="1" w:styleId="Tablaconcuadrcula1">
    <w:name w:val="Tabla con cuadrícula1"/>
    <w:basedOn w:val="Tablanormal"/>
    <w:next w:val="Tablaconcuadrcula"/>
    <w:uiPriority w:val="39"/>
    <w:qFormat/>
    <w:rsid w:val="00200D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00DB3"/>
    <w:rPr>
      <w:rFonts w:ascii="Geomanist Light" w:hAnsi="Geomanist Light"/>
      <w:lang w:val="es-ES"/>
    </w:rPr>
  </w:style>
  <w:style w:type="character" w:styleId="Refdecomentario">
    <w:name w:val="annotation reference"/>
    <w:basedOn w:val="Fuentedeprrafopredeter"/>
    <w:uiPriority w:val="99"/>
    <w:semiHidden/>
    <w:unhideWhenUsed/>
    <w:rsid w:val="007C5894"/>
    <w:rPr>
      <w:sz w:val="16"/>
      <w:szCs w:val="16"/>
    </w:rPr>
  </w:style>
  <w:style w:type="paragraph" w:styleId="Textocomentario">
    <w:name w:val="annotation text"/>
    <w:basedOn w:val="Normal"/>
    <w:link w:val="TextocomentarioCar"/>
    <w:uiPriority w:val="99"/>
    <w:semiHidden/>
    <w:unhideWhenUsed/>
    <w:rsid w:val="007C589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C5894"/>
    <w:rPr>
      <w:sz w:val="20"/>
      <w:szCs w:val="20"/>
    </w:rPr>
  </w:style>
  <w:style w:type="paragraph" w:styleId="Asuntodelcomentario">
    <w:name w:val="annotation subject"/>
    <w:basedOn w:val="Textocomentario"/>
    <w:next w:val="Textocomentario"/>
    <w:link w:val="AsuntodelcomentarioCar"/>
    <w:uiPriority w:val="99"/>
    <w:semiHidden/>
    <w:unhideWhenUsed/>
    <w:rsid w:val="007C5894"/>
    <w:rPr>
      <w:b/>
      <w:bCs/>
    </w:rPr>
  </w:style>
  <w:style w:type="character" w:customStyle="1" w:styleId="AsuntodelcomentarioCar">
    <w:name w:val="Asunto del comentario Car"/>
    <w:basedOn w:val="TextocomentarioCar"/>
    <w:link w:val="Asuntodelcomentario"/>
    <w:uiPriority w:val="99"/>
    <w:semiHidden/>
    <w:rsid w:val="007C589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iscorreasalazar@hotmail.com" TargetMode="External"/><Relationship Id="rId5" Type="http://schemas.openxmlformats.org/officeDocument/2006/relationships/styles" Target="styles.xml"/><Relationship Id="rId15" Type="http://schemas.openxmlformats.org/officeDocument/2006/relationships/hyperlink" Target="http://www.colombiacompra.gov.co"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A5F280AF-EB68-4023-90BD-817D1B2932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purl.org/dc/terms/"/>
    <ds:schemaRef ds:uri="9d85dbaf-23eb-4e57-a637-93dcacc8b1a1"/>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a6cb9e4b-f1d1-4245-83ec-6cad768d53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6286</Words>
  <Characters>34574</Characters>
  <Application>Microsoft Office Word</Application>
  <DocSecurity>0</DocSecurity>
  <Lines>288</Lines>
  <Paragraphs>81</Paragraphs>
  <ScaleCrop>false</ScaleCrop>
  <Company/>
  <LinksUpToDate>false</LinksUpToDate>
  <CharactersWithSpaces>40779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2025-09-23T17:38:00Z</dcterms:created>
  <dcterms:modified xsi:type="dcterms:W3CDTF">2025-09-23T17:38:00Z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