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1BBB4" w14:textId="77777777" w:rsidR="007B251E" w:rsidRPr="00EA3BD1" w:rsidRDefault="007B251E" w:rsidP="007B251E">
      <w:pPr>
        <w:spacing w:before="120" w:after="0" w:line="240" w:lineRule="auto"/>
        <w:jc w:val="both"/>
        <w:rPr>
          <w:rFonts w:ascii="Verdana" w:eastAsia="Calibri" w:hAnsi="Verdana" w:cs="Arial"/>
          <w:b/>
          <w:bCs/>
          <w:color w:val="000000" w:themeColor="text1"/>
          <w:lang w:val="es-ES_tradnl" w:eastAsia="es-ES_tradnl"/>
        </w:rPr>
      </w:pPr>
      <w:bookmarkStart w:id="0" w:name="_Hlk143780582"/>
      <w:r w:rsidRPr="00EA3BD1">
        <w:rPr>
          <w:rFonts w:ascii="Verdana" w:eastAsia="Calibri" w:hAnsi="Verdana" w:cs="Arial"/>
          <w:b/>
          <w:bCs/>
          <w:color w:val="000000" w:themeColor="text1"/>
          <w:lang w:val="es-ES_tradnl" w:eastAsia="es-ES_tradnl"/>
        </w:rPr>
        <w:t xml:space="preserve">LEY 2020 DE 2020 – Objetivo </w:t>
      </w:r>
    </w:p>
    <w:p w14:paraId="764AE212" w14:textId="77777777" w:rsidR="007B251E" w:rsidRDefault="007B251E" w:rsidP="007B251E">
      <w:pPr>
        <w:widowControl w:val="0"/>
        <w:tabs>
          <w:tab w:val="left" w:pos="270"/>
          <w:tab w:val="left" w:pos="8647"/>
        </w:tabs>
        <w:kinsoku w:val="0"/>
        <w:overflowPunct w:val="0"/>
        <w:autoSpaceDE w:val="0"/>
        <w:autoSpaceDN w:val="0"/>
        <w:adjustRightInd w:val="0"/>
        <w:spacing w:before="120" w:after="120" w:line="240" w:lineRule="auto"/>
        <w:ind w:right="191"/>
        <w:jc w:val="both"/>
        <w:rPr>
          <w:rFonts w:ascii="Verdana" w:eastAsiaTheme="minorEastAsia" w:hAnsi="Verdana" w:cs="Arial"/>
          <w:color w:val="000000" w:themeColor="text1"/>
          <w:sz w:val="20"/>
          <w:szCs w:val="20"/>
          <w:lang w:eastAsia="es-CO"/>
        </w:rPr>
      </w:pPr>
      <w:r w:rsidRPr="00A833ED">
        <w:rPr>
          <w:rFonts w:ascii="Verdana" w:eastAsiaTheme="minorEastAsia" w:hAnsi="Verdana" w:cs="Arial"/>
          <w:color w:val="000000" w:themeColor="text1"/>
          <w:sz w:val="20"/>
          <w:szCs w:val="20"/>
          <w:lang w:eastAsia="es-CO"/>
        </w:rPr>
        <w:t>La Ley 2020 de 2020 creó el Registro Nacional de Obras Civiles Inconclusas, el cual</w:t>
      </w:r>
      <w:r>
        <w:rPr>
          <w:rFonts w:ascii="Verdana" w:eastAsiaTheme="minorEastAsia" w:hAnsi="Verdana" w:cs="Arial"/>
          <w:color w:val="000000" w:themeColor="text1"/>
          <w:sz w:val="20"/>
          <w:szCs w:val="20"/>
          <w:lang w:eastAsia="es-CO"/>
        </w:rPr>
        <w:t xml:space="preserve"> </w:t>
      </w:r>
      <w:r w:rsidRPr="00A833ED">
        <w:rPr>
          <w:rFonts w:ascii="Verdana" w:eastAsiaTheme="minorEastAsia" w:hAnsi="Verdana" w:cs="Arial"/>
          <w:color w:val="000000" w:themeColor="text1"/>
          <w:sz w:val="20"/>
          <w:szCs w:val="20"/>
          <w:lang w:eastAsia="es-CO"/>
        </w:rPr>
        <w:t xml:space="preserve">consiste en un sistema que permite identificar el estado de ejecución o terminación de las obras financiadas total o parcialmente con recursos públicos, para concretar su destinación definitiva. Según el inciso primero del literal a) del artículo 2 de esta ley, se entiende por obra civil inconclusa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31CFCC25" w14:textId="77777777" w:rsidR="007B251E" w:rsidRPr="00EA537E" w:rsidRDefault="007B251E" w:rsidP="007B251E">
      <w:pPr>
        <w:widowControl w:val="0"/>
        <w:tabs>
          <w:tab w:val="left" w:pos="270"/>
        </w:tabs>
        <w:kinsoku w:val="0"/>
        <w:overflowPunct w:val="0"/>
        <w:autoSpaceDE w:val="0"/>
        <w:autoSpaceDN w:val="0"/>
        <w:adjustRightInd w:val="0"/>
        <w:spacing w:before="93" w:after="120" w:line="240" w:lineRule="auto"/>
        <w:ind w:right="643"/>
        <w:jc w:val="both"/>
        <w:rPr>
          <w:rFonts w:ascii="Verdana" w:eastAsiaTheme="minorEastAsia" w:hAnsi="Verdana" w:cs="Arial"/>
          <w:b/>
          <w:bCs/>
          <w:spacing w:val="-10"/>
          <w:lang w:eastAsia="es-CO"/>
        </w:rPr>
      </w:pPr>
      <w:r w:rsidRPr="00EA537E">
        <w:rPr>
          <w:rFonts w:ascii="Verdana" w:eastAsiaTheme="minorEastAsia" w:hAnsi="Verdana" w:cs="Arial"/>
          <w:b/>
          <w:bCs/>
          <w:lang w:eastAsia="es-CO"/>
        </w:rPr>
        <w:t>REGISTRO NACIONAL</w:t>
      </w:r>
      <w:r w:rsidRPr="00EA537E">
        <w:rPr>
          <w:rFonts w:ascii="Verdana" w:eastAsiaTheme="minorEastAsia" w:hAnsi="Verdana" w:cs="Arial"/>
          <w:b/>
          <w:bCs/>
          <w:spacing w:val="-5"/>
          <w:lang w:eastAsia="es-CO"/>
        </w:rPr>
        <w:t xml:space="preserve"> </w:t>
      </w:r>
      <w:r w:rsidRPr="00EA537E">
        <w:rPr>
          <w:rFonts w:ascii="Verdana" w:eastAsiaTheme="minorEastAsia" w:hAnsi="Verdana" w:cs="Arial"/>
          <w:b/>
          <w:bCs/>
          <w:lang w:eastAsia="es-CO"/>
        </w:rPr>
        <w:t>DE</w:t>
      </w:r>
      <w:r w:rsidRPr="00EA537E">
        <w:rPr>
          <w:rFonts w:ascii="Verdana" w:eastAsiaTheme="minorEastAsia" w:hAnsi="Verdana" w:cs="Arial"/>
          <w:b/>
          <w:bCs/>
          <w:spacing w:val="-5"/>
          <w:lang w:eastAsia="es-CO"/>
        </w:rPr>
        <w:t xml:space="preserve"> </w:t>
      </w:r>
      <w:r w:rsidRPr="00EA537E">
        <w:rPr>
          <w:rFonts w:ascii="Verdana" w:eastAsiaTheme="minorEastAsia" w:hAnsi="Verdana" w:cs="Arial"/>
          <w:b/>
          <w:bCs/>
          <w:lang w:eastAsia="es-CO"/>
        </w:rPr>
        <w:t>OBRAS</w:t>
      </w:r>
      <w:r w:rsidRPr="00EA537E">
        <w:rPr>
          <w:rFonts w:ascii="Verdana" w:eastAsiaTheme="minorEastAsia" w:hAnsi="Verdana" w:cs="Arial"/>
          <w:b/>
          <w:bCs/>
          <w:spacing w:val="-5"/>
          <w:lang w:eastAsia="es-CO"/>
        </w:rPr>
        <w:t xml:space="preserve"> </w:t>
      </w:r>
      <w:r w:rsidRPr="00EA537E">
        <w:rPr>
          <w:rFonts w:ascii="Verdana" w:eastAsiaTheme="minorEastAsia" w:hAnsi="Verdana" w:cs="Arial"/>
          <w:b/>
          <w:bCs/>
          <w:lang w:eastAsia="es-CO"/>
        </w:rPr>
        <w:t>CIVILES</w:t>
      </w:r>
      <w:r w:rsidRPr="00EA537E">
        <w:rPr>
          <w:rFonts w:ascii="Verdana" w:eastAsiaTheme="minorEastAsia" w:hAnsi="Verdana" w:cs="Arial"/>
          <w:b/>
          <w:bCs/>
          <w:spacing w:val="-5"/>
          <w:lang w:eastAsia="es-CO"/>
        </w:rPr>
        <w:t xml:space="preserve"> </w:t>
      </w:r>
      <w:r w:rsidRPr="00EA537E">
        <w:rPr>
          <w:rFonts w:ascii="Verdana" w:eastAsiaTheme="minorEastAsia" w:hAnsi="Verdana" w:cs="Arial"/>
          <w:b/>
          <w:bCs/>
          <w:lang w:eastAsia="es-CO"/>
        </w:rPr>
        <w:t>INCONCLUSAS –</w:t>
      </w:r>
      <w:r w:rsidRPr="00EA537E">
        <w:rPr>
          <w:rFonts w:ascii="Verdana" w:eastAsiaTheme="minorEastAsia" w:hAnsi="Verdana" w:cs="Arial"/>
          <w:b/>
          <w:bCs/>
          <w:spacing w:val="-5"/>
          <w:lang w:eastAsia="es-CO"/>
        </w:rPr>
        <w:t xml:space="preserve"> </w:t>
      </w:r>
      <w:r w:rsidRPr="00EA537E">
        <w:rPr>
          <w:rFonts w:ascii="Verdana" w:eastAsiaTheme="minorEastAsia" w:hAnsi="Verdana" w:cs="Arial"/>
          <w:b/>
          <w:bCs/>
          <w:lang w:eastAsia="es-CO"/>
        </w:rPr>
        <w:t>Concepto</w:t>
      </w:r>
      <w:r w:rsidRPr="00EA537E">
        <w:rPr>
          <w:rFonts w:ascii="Verdana" w:eastAsiaTheme="minorEastAsia" w:hAnsi="Verdana" w:cs="Arial"/>
          <w:b/>
          <w:bCs/>
          <w:spacing w:val="-10"/>
          <w:lang w:eastAsia="es-CO"/>
        </w:rPr>
        <w:t xml:space="preserve"> – </w:t>
      </w:r>
      <w:r w:rsidRPr="00EA537E">
        <w:rPr>
          <w:rFonts w:ascii="Verdana" w:eastAsiaTheme="minorEastAsia" w:hAnsi="Verdana" w:cs="Arial"/>
          <w:b/>
          <w:bCs/>
          <w:lang w:eastAsia="es-CO"/>
        </w:rPr>
        <w:t xml:space="preserve">Ley 2020 de 2020 </w:t>
      </w:r>
    </w:p>
    <w:p w14:paraId="0BD767CF" w14:textId="77777777" w:rsidR="007B251E" w:rsidRPr="00EA537E" w:rsidRDefault="007B251E" w:rsidP="007B251E">
      <w:pPr>
        <w:widowControl w:val="0"/>
        <w:kinsoku w:val="0"/>
        <w:overflowPunct w:val="0"/>
        <w:autoSpaceDE w:val="0"/>
        <w:autoSpaceDN w:val="0"/>
        <w:adjustRightInd w:val="0"/>
        <w:spacing w:before="120" w:after="0" w:line="240" w:lineRule="auto"/>
        <w:ind w:right="176"/>
        <w:jc w:val="both"/>
        <w:rPr>
          <w:rFonts w:ascii="Verdana" w:eastAsiaTheme="minorEastAsia" w:hAnsi="Verdana" w:cs="Arial"/>
          <w:sz w:val="20"/>
          <w:szCs w:val="20"/>
          <w:lang w:eastAsia="es-CO"/>
        </w:rPr>
      </w:pPr>
      <w:r w:rsidRPr="00EA537E">
        <w:rPr>
          <w:rFonts w:ascii="Verdana" w:eastAsiaTheme="minorEastAsia" w:hAnsi="Verdana" w:cs="Arial"/>
          <w:sz w:val="20"/>
          <w:szCs w:val="20"/>
          <w:lang w:eastAsia="es-CO"/>
        </w:rPr>
        <w:t>El concepto de obra civil inconclusa es armónico con la definición del contrato</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de</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obra,</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prevista</w:t>
      </w:r>
      <w:r w:rsidRPr="00EA537E">
        <w:rPr>
          <w:rFonts w:ascii="Verdana" w:eastAsiaTheme="minorEastAsia" w:hAnsi="Verdana" w:cs="Arial"/>
          <w:spacing w:val="-7"/>
          <w:sz w:val="20"/>
          <w:szCs w:val="20"/>
          <w:lang w:eastAsia="es-CO"/>
        </w:rPr>
        <w:t xml:space="preserve"> </w:t>
      </w:r>
      <w:r w:rsidRPr="00EA537E">
        <w:rPr>
          <w:rFonts w:ascii="Verdana" w:eastAsiaTheme="minorEastAsia" w:hAnsi="Verdana" w:cs="Arial"/>
          <w:sz w:val="20"/>
          <w:szCs w:val="20"/>
          <w:lang w:eastAsia="es-CO"/>
        </w:rPr>
        <w:t>en</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el</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artículo</w:t>
      </w:r>
      <w:r w:rsidRPr="00EA537E">
        <w:rPr>
          <w:rFonts w:ascii="Verdana" w:eastAsiaTheme="minorEastAsia" w:hAnsi="Verdana" w:cs="Arial"/>
          <w:spacing w:val="-7"/>
          <w:sz w:val="20"/>
          <w:szCs w:val="20"/>
          <w:lang w:eastAsia="es-CO"/>
        </w:rPr>
        <w:t xml:space="preserve"> </w:t>
      </w:r>
      <w:r w:rsidRPr="00EA537E">
        <w:rPr>
          <w:rFonts w:ascii="Verdana" w:eastAsiaTheme="minorEastAsia" w:hAnsi="Verdana" w:cs="Arial"/>
          <w:sz w:val="20"/>
          <w:szCs w:val="20"/>
          <w:lang w:eastAsia="es-CO"/>
        </w:rPr>
        <w:t>32</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de</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la</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Ley</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80</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de</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1993,</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según</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el</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cual</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“Son</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contratos</w:t>
      </w:r>
      <w:r w:rsidRPr="00EA537E">
        <w:rPr>
          <w:rFonts w:ascii="Verdana" w:eastAsiaTheme="minorEastAsia" w:hAnsi="Verdana" w:cs="Arial"/>
          <w:spacing w:val="-8"/>
          <w:sz w:val="20"/>
          <w:szCs w:val="20"/>
          <w:lang w:eastAsia="es-CO"/>
        </w:rPr>
        <w:t xml:space="preserve"> </w:t>
      </w:r>
      <w:r w:rsidRPr="00EA537E">
        <w:rPr>
          <w:rFonts w:ascii="Verdana" w:eastAsiaTheme="minorEastAsia" w:hAnsi="Verdana" w:cs="Arial"/>
          <w:sz w:val="20"/>
          <w:szCs w:val="20"/>
          <w:lang w:eastAsia="es-CO"/>
        </w:rPr>
        <w:t>de obra</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los</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que</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celebren</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las</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entidades</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estatales</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para</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la</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construcción,</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mantenimiento,</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instalación</w:t>
      </w:r>
      <w:r w:rsidRPr="00EA537E">
        <w:rPr>
          <w:rFonts w:ascii="Verdana" w:eastAsiaTheme="minorEastAsia" w:hAnsi="Verdana" w:cs="Arial"/>
          <w:spacing w:val="-4"/>
          <w:sz w:val="20"/>
          <w:szCs w:val="20"/>
          <w:lang w:eastAsia="es-CO"/>
        </w:rPr>
        <w:t xml:space="preserve"> </w:t>
      </w:r>
      <w:r w:rsidRPr="00EA537E">
        <w:rPr>
          <w:rFonts w:ascii="Verdana" w:eastAsiaTheme="minorEastAsia" w:hAnsi="Verdana" w:cs="Arial"/>
          <w:sz w:val="20"/>
          <w:szCs w:val="20"/>
          <w:lang w:eastAsia="es-CO"/>
        </w:rPr>
        <w:t>y, en general, para la realización de cualquier otro trabajo material sobre bienes inmuebles, cualquiera</w:t>
      </w:r>
      <w:r w:rsidRPr="00EA537E">
        <w:rPr>
          <w:rFonts w:ascii="Verdana" w:eastAsiaTheme="minorEastAsia" w:hAnsi="Verdana" w:cs="Arial"/>
          <w:spacing w:val="-16"/>
          <w:sz w:val="20"/>
          <w:szCs w:val="20"/>
          <w:lang w:eastAsia="es-CO"/>
        </w:rPr>
        <w:t xml:space="preserve"> </w:t>
      </w:r>
      <w:r w:rsidRPr="00EA537E">
        <w:rPr>
          <w:rFonts w:ascii="Verdana" w:eastAsiaTheme="minorEastAsia" w:hAnsi="Verdana" w:cs="Arial"/>
          <w:sz w:val="20"/>
          <w:szCs w:val="20"/>
          <w:lang w:eastAsia="es-CO"/>
        </w:rPr>
        <w:t>que</w:t>
      </w:r>
      <w:r w:rsidRPr="00EA537E">
        <w:rPr>
          <w:rFonts w:ascii="Verdana" w:eastAsiaTheme="minorEastAsia" w:hAnsi="Verdana" w:cs="Arial"/>
          <w:spacing w:val="-15"/>
          <w:sz w:val="20"/>
          <w:szCs w:val="20"/>
          <w:lang w:eastAsia="es-CO"/>
        </w:rPr>
        <w:t xml:space="preserve"> </w:t>
      </w:r>
      <w:r w:rsidRPr="00EA537E">
        <w:rPr>
          <w:rFonts w:ascii="Verdana" w:eastAsiaTheme="minorEastAsia" w:hAnsi="Verdana" w:cs="Arial"/>
          <w:sz w:val="20"/>
          <w:szCs w:val="20"/>
          <w:lang w:eastAsia="es-CO"/>
        </w:rPr>
        <w:t>sea</w:t>
      </w:r>
      <w:r w:rsidRPr="00EA537E">
        <w:rPr>
          <w:rFonts w:ascii="Verdana" w:eastAsiaTheme="minorEastAsia" w:hAnsi="Verdana" w:cs="Arial"/>
          <w:spacing w:val="-15"/>
          <w:sz w:val="20"/>
          <w:szCs w:val="20"/>
          <w:lang w:eastAsia="es-CO"/>
        </w:rPr>
        <w:t xml:space="preserve"> </w:t>
      </w:r>
      <w:r w:rsidRPr="00EA537E">
        <w:rPr>
          <w:rFonts w:ascii="Verdana" w:eastAsiaTheme="minorEastAsia" w:hAnsi="Verdana" w:cs="Arial"/>
          <w:sz w:val="20"/>
          <w:szCs w:val="20"/>
          <w:lang w:eastAsia="es-CO"/>
        </w:rPr>
        <w:t>la</w:t>
      </w:r>
      <w:r w:rsidRPr="00EA537E">
        <w:rPr>
          <w:rFonts w:ascii="Verdana" w:eastAsiaTheme="minorEastAsia" w:hAnsi="Verdana" w:cs="Arial"/>
          <w:spacing w:val="-15"/>
          <w:sz w:val="20"/>
          <w:szCs w:val="20"/>
          <w:lang w:eastAsia="es-CO"/>
        </w:rPr>
        <w:t xml:space="preserve"> </w:t>
      </w:r>
      <w:r w:rsidRPr="00EA537E">
        <w:rPr>
          <w:rFonts w:ascii="Verdana" w:eastAsiaTheme="minorEastAsia" w:hAnsi="Verdana" w:cs="Arial"/>
          <w:sz w:val="20"/>
          <w:szCs w:val="20"/>
          <w:lang w:eastAsia="es-CO"/>
        </w:rPr>
        <w:t>modalidad</w:t>
      </w:r>
      <w:r w:rsidRPr="00EA537E">
        <w:rPr>
          <w:rFonts w:ascii="Verdana" w:eastAsiaTheme="minorEastAsia" w:hAnsi="Verdana" w:cs="Arial"/>
          <w:spacing w:val="-16"/>
          <w:sz w:val="20"/>
          <w:szCs w:val="20"/>
          <w:lang w:eastAsia="es-CO"/>
        </w:rPr>
        <w:t xml:space="preserve"> </w:t>
      </w:r>
      <w:r w:rsidRPr="00EA537E">
        <w:rPr>
          <w:rFonts w:ascii="Verdana" w:eastAsiaTheme="minorEastAsia" w:hAnsi="Verdana" w:cs="Arial"/>
          <w:sz w:val="20"/>
          <w:szCs w:val="20"/>
          <w:lang w:eastAsia="es-CO"/>
        </w:rPr>
        <w:t>de</w:t>
      </w:r>
      <w:r w:rsidRPr="00EA537E">
        <w:rPr>
          <w:rFonts w:ascii="Verdana" w:eastAsiaTheme="minorEastAsia" w:hAnsi="Verdana" w:cs="Arial"/>
          <w:spacing w:val="-15"/>
          <w:sz w:val="20"/>
          <w:szCs w:val="20"/>
          <w:lang w:eastAsia="es-CO"/>
        </w:rPr>
        <w:t xml:space="preserve"> </w:t>
      </w:r>
      <w:r w:rsidRPr="00EA537E">
        <w:rPr>
          <w:rFonts w:ascii="Verdana" w:eastAsiaTheme="minorEastAsia" w:hAnsi="Verdana" w:cs="Arial"/>
          <w:sz w:val="20"/>
          <w:szCs w:val="20"/>
          <w:lang w:eastAsia="es-CO"/>
        </w:rPr>
        <w:t>ejecución</w:t>
      </w:r>
      <w:r w:rsidRPr="00EA537E">
        <w:rPr>
          <w:rFonts w:ascii="Verdana" w:eastAsiaTheme="minorEastAsia" w:hAnsi="Verdana" w:cs="Arial"/>
          <w:spacing w:val="-15"/>
          <w:sz w:val="20"/>
          <w:szCs w:val="20"/>
          <w:lang w:eastAsia="es-CO"/>
        </w:rPr>
        <w:t xml:space="preserve"> </w:t>
      </w:r>
      <w:r w:rsidRPr="00EA537E">
        <w:rPr>
          <w:rFonts w:ascii="Verdana" w:eastAsiaTheme="minorEastAsia" w:hAnsi="Verdana" w:cs="Arial"/>
          <w:sz w:val="20"/>
          <w:szCs w:val="20"/>
          <w:lang w:eastAsia="es-CO"/>
        </w:rPr>
        <w:t>y</w:t>
      </w:r>
      <w:r w:rsidRPr="00EA537E">
        <w:rPr>
          <w:rFonts w:ascii="Verdana" w:eastAsiaTheme="minorEastAsia" w:hAnsi="Verdana" w:cs="Arial"/>
          <w:spacing w:val="-15"/>
          <w:sz w:val="20"/>
          <w:szCs w:val="20"/>
          <w:lang w:eastAsia="es-CO"/>
        </w:rPr>
        <w:t xml:space="preserve"> </w:t>
      </w:r>
      <w:r w:rsidRPr="00EA537E">
        <w:rPr>
          <w:rFonts w:ascii="Verdana" w:eastAsiaTheme="minorEastAsia" w:hAnsi="Verdana" w:cs="Arial"/>
          <w:sz w:val="20"/>
          <w:szCs w:val="20"/>
          <w:lang w:eastAsia="es-CO"/>
        </w:rPr>
        <w:t>pago”.</w:t>
      </w:r>
      <w:r w:rsidRPr="00EA537E">
        <w:rPr>
          <w:rFonts w:ascii="Verdana" w:eastAsiaTheme="minorEastAsia" w:hAnsi="Verdana" w:cs="Arial"/>
          <w:spacing w:val="-16"/>
          <w:sz w:val="20"/>
          <w:szCs w:val="20"/>
          <w:lang w:eastAsia="es-CO"/>
        </w:rPr>
        <w:t xml:space="preserve"> </w:t>
      </w:r>
      <w:r w:rsidRPr="00EA537E">
        <w:rPr>
          <w:rFonts w:ascii="Verdana" w:eastAsiaTheme="minorEastAsia" w:hAnsi="Verdana" w:cs="Arial"/>
          <w:sz w:val="20"/>
          <w:szCs w:val="20"/>
          <w:lang w:eastAsia="es-CO"/>
        </w:rPr>
        <w:t>Por</w:t>
      </w:r>
      <w:r w:rsidRPr="00EA537E">
        <w:rPr>
          <w:rFonts w:ascii="Verdana" w:eastAsiaTheme="minorEastAsia" w:hAnsi="Verdana" w:cs="Arial"/>
          <w:spacing w:val="-14"/>
          <w:sz w:val="20"/>
          <w:szCs w:val="20"/>
          <w:lang w:eastAsia="es-CO"/>
        </w:rPr>
        <w:t xml:space="preserve"> </w:t>
      </w:r>
      <w:r w:rsidRPr="00EA537E">
        <w:rPr>
          <w:rFonts w:ascii="Verdana" w:eastAsiaTheme="minorEastAsia" w:hAnsi="Verdana" w:cs="Arial"/>
          <w:sz w:val="20"/>
          <w:szCs w:val="20"/>
          <w:lang w:eastAsia="es-CO"/>
        </w:rPr>
        <w:t>tanto,</w:t>
      </w:r>
      <w:r w:rsidRPr="00EA537E">
        <w:rPr>
          <w:rFonts w:ascii="Verdana" w:eastAsiaTheme="minorEastAsia" w:hAnsi="Verdana" w:cs="Arial"/>
          <w:spacing w:val="-14"/>
          <w:sz w:val="20"/>
          <w:szCs w:val="20"/>
          <w:lang w:eastAsia="es-CO"/>
        </w:rPr>
        <w:t xml:space="preserve"> </w:t>
      </w:r>
      <w:r w:rsidRPr="00EA537E">
        <w:rPr>
          <w:rFonts w:ascii="Verdana" w:eastAsiaTheme="minorEastAsia" w:hAnsi="Verdana" w:cs="Arial"/>
          <w:sz w:val="20"/>
          <w:szCs w:val="20"/>
          <w:lang w:eastAsia="es-CO"/>
        </w:rPr>
        <w:t>cuando</w:t>
      </w:r>
      <w:r w:rsidRPr="00EA537E">
        <w:rPr>
          <w:rFonts w:ascii="Verdana" w:eastAsiaTheme="minorEastAsia" w:hAnsi="Verdana" w:cs="Arial"/>
          <w:spacing w:val="-16"/>
          <w:sz w:val="20"/>
          <w:szCs w:val="20"/>
          <w:lang w:eastAsia="es-CO"/>
        </w:rPr>
        <w:t xml:space="preserve"> </w:t>
      </w:r>
      <w:r w:rsidRPr="00EA537E">
        <w:rPr>
          <w:rFonts w:ascii="Verdana" w:eastAsiaTheme="minorEastAsia" w:hAnsi="Verdana" w:cs="Arial"/>
          <w:sz w:val="20"/>
          <w:szCs w:val="20"/>
          <w:lang w:eastAsia="es-CO"/>
        </w:rPr>
        <w:t>el</w:t>
      </w:r>
      <w:r w:rsidRPr="00EA537E">
        <w:rPr>
          <w:rFonts w:ascii="Verdana" w:eastAsiaTheme="minorEastAsia" w:hAnsi="Verdana" w:cs="Arial"/>
          <w:spacing w:val="-15"/>
          <w:sz w:val="20"/>
          <w:szCs w:val="20"/>
          <w:lang w:eastAsia="es-CO"/>
        </w:rPr>
        <w:t xml:space="preserve"> </w:t>
      </w:r>
      <w:r w:rsidRPr="00EA537E">
        <w:rPr>
          <w:rFonts w:ascii="Verdana" w:eastAsiaTheme="minorEastAsia" w:hAnsi="Verdana" w:cs="Arial"/>
          <w:sz w:val="20"/>
          <w:szCs w:val="20"/>
          <w:lang w:eastAsia="es-CO"/>
        </w:rPr>
        <w:t>trabajo</w:t>
      </w:r>
      <w:r w:rsidRPr="00EA537E">
        <w:rPr>
          <w:rFonts w:ascii="Verdana" w:eastAsiaTheme="minorEastAsia" w:hAnsi="Verdana" w:cs="Arial"/>
          <w:spacing w:val="-14"/>
          <w:sz w:val="20"/>
          <w:szCs w:val="20"/>
          <w:lang w:eastAsia="es-CO"/>
        </w:rPr>
        <w:t xml:space="preserve"> </w:t>
      </w:r>
      <w:r w:rsidRPr="00EA537E">
        <w:rPr>
          <w:rFonts w:ascii="Verdana" w:eastAsiaTheme="minorEastAsia" w:hAnsi="Verdana" w:cs="Arial"/>
          <w:sz w:val="20"/>
          <w:szCs w:val="20"/>
          <w:lang w:eastAsia="es-CO"/>
        </w:rPr>
        <w:t>material</w:t>
      </w:r>
      <w:r w:rsidRPr="00EA537E">
        <w:rPr>
          <w:rFonts w:ascii="Verdana" w:eastAsiaTheme="minorEastAsia" w:hAnsi="Verdana" w:cs="Arial"/>
          <w:spacing w:val="-16"/>
          <w:sz w:val="20"/>
          <w:szCs w:val="20"/>
          <w:lang w:eastAsia="es-CO"/>
        </w:rPr>
        <w:t xml:space="preserve"> </w:t>
      </w:r>
      <w:r w:rsidRPr="00EA537E">
        <w:rPr>
          <w:rFonts w:ascii="Verdana" w:eastAsiaTheme="minorEastAsia" w:hAnsi="Verdana" w:cs="Arial"/>
          <w:sz w:val="20"/>
          <w:szCs w:val="20"/>
          <w:lang w:eastAsia="es-CO"/>
        </w:rPr>
        <w:t>sobre el</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bien</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inmueble</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no</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ha</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finalizado satisfactoriamente</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o</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no</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se</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adecua</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a</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la</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función para</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la</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cual</w:t>
      </w:r>
      <w:r w:rsidRPr="00EA537E">
        <w:rPr>
          <w:rFonts w:ascii="Verdana" w:eastAsiaTheme="minorEastAsia" w:hAnsi="Verdana" w:cs="Arial"/>
          <w:spacing w:val="-1"/>
          <w:sz w:val="20"/>
          <w:szCs w:val="20"/>
          <w:lang w:eastAsia="es-CO"/>
        </w:rPr>
        <w:t xml:space="preserve"> </w:t>
      </w:r>
      <w:r w:rsidRPr="00EA537E">
        <w:rPr>
          <w:rFonts w:ascii="Verdana" w:eastAsiaTheme="minorEastAsia" w:hAnsi="Verdana" w:cs="Arial"/>
          <w:sz w:val="20"/>
          <w:szCs w:val="20"/>
          <w:lang w:eastAsia="es-CO"/>
        </w:rPr>
        <w:t>fue contratada</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la</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obra,</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esto</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se</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puede</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constatar</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en</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el</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registro</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creado</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por</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el</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artículo</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3</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de</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la</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Ley</w:t>
      </w:r>
      <w:r w:rsidRPr="00EA537E">
        <w:rPr>
          <w:rFonts w:ascii="Verdana" w:eastAsiaTheme="minorEastAsia" w:hAnsi="Verdana" w:cs="Arial"/>
          <w:spacing w:val="-2"/>
          <w:sz w:val="20"/>
          <w:szCs w:val="20"/>
          <w:lang w:eastAsia="es-CO"/>
        </w:rPr>
        <w:t xml:space="preserve"> </w:t>
      </w:r>
      <w:r w:rsidRPr="00EA537E">
        <w:rPr>
          <w:rFonts w:ascii="Verdana" w:eastAsiaTheme="minorEastAsia" w:hAnsi="Verdana" w:cs="Arial"/>
          <w:sz w:val="20"/>
          <w:szCs w:val="20"/>
          <w:lang w:eastAsia="es-CO"/>
        </w:rPr>
        <w:t>2020 de 2020.</w:t>
      </w:r>
    </w:p>
    <w:p w14:paraId="61B624CC" w14:textId="77777777" w:rsidR="007B251E" w:rsidRDefault="007B251E" w:rsidP="007B251E">
      <w:pPr>
        <w:tabs>
          <w:tab w:val="left" w:pos="709"/>
        </w:tabs>
        <w:spacing w:after="120" w:line="240" w:lineRule="auto"/>
        <w:jc w:val="both"/>
        <w:rPr>
          <w:rFonts w:ascii="Verdana" w:eastAsia="Arial" w:hAnsi="Verdana" w:cs="Arial"/>
          <w:sz w:val="20"/>
          <w:szCs w:val="20"/>
          <w:lang w:val="es-ES"/>
        </w:rPr>
      </w:pPr>
    </w:p>
    <w:p w14:paraId="23AE9395" w14:textId="77777777" w:rsidR="007B251E" w:rsidRDefault="007B251E" w:rsidP="007B251E">
      <w:pPr>
        <w:jc w:val="both"/>
        <w:rPr>
          <w:rFonts w:ascii="Verdana" w:eastAsia="Calibri" w:hAnsi="Verdana" w:cs="Arial"/>
          <w:lang w:val="es-ES" w:eastAsia="es-ES"/>
        </w:rPr>
      </w:pPr>
      <w:r w:rsidRPr="00D67171">
        <w:rPr>
          <w:rFonts w:ascii="Verdana" w:eastAsia="Calibri" w:hAnsi="Verdana" w:cs="Arial"/>
          <w:b/>
          <w:sz w:val="21"/>
          <w:szCs w:val="21"/>
        </w:rPr>
        <w:t>AGENCIA NACIONAL DE CONTRATACIÓN PÚBLICA – Conceptos – Alcance</w:t>
      </w:r>
      <w:r>
        <w:rPr>
          <w:rFonts w:ascii="Verdana" w:eastAsia="Calibri" w:hAnsi="Verdana" w:cs="Arial"/>
          <w:b/>
          <w:sz w:val="21"/>
          <w:szCs w:val="21"/>
        </w:rPr>
        <w:t xml:space="preserve"> - </w:t>
      </w:r>
      <w:r w:rsidRPr="00D67171">
        <w:rPr>
          <w:rFonts w:ascii="Verdana" w:eastAsia="Calibri" w:hAnsi="Verdana" w:cs="Arial"/>
          <w:b/>
        </w:rPr>
        <w:t>Competencia Consultiva – Obligatoriedad – Vinculatoriedad</w:t>
      </w:r>
    </w:p>
    <w:p w14:paraId="7B607D10" w14:textId="77777777" w:rsidR="007B251E" w:rsidRPr="00D67171" w:rsidRDefault="007B251E" w:rsidP="007B251E">
      <w:pPr>
        <w:spacing w:after="0" w:line="240" w:lineRule="auto"/>
        <w:rPr>
          <w:rFonts w:ascii="Verdana" w:eastAsia="Calibri" w:hAnsi="Verdana" w:cs="Arial"/>
          <w:b/>
          <w:sz w:val="21"/>
          <w:szCs w:val="21"/>
          <w:lang w:val="es-ES"/>
        </w:rPr>
      </w:pPr>
    </w:p>
    <w:p w14:paraId="3FAAC905" w14:textId="77777777" w:rsidR="007B251E" w:rsidRPr="00D67171" w:rsidRDefault="007B251E" w:rsidP="007B251E">
      <w:pPr>
        <w:spacing w:after="120" w:line="240" w:lineRule="auto"/>
        <w:jc w:val="both"/>
        <w:rPr>
          <w:rFonts w:ascii="Verdana" w:eastAsiaTheme="minorEastAsia" w:hAnsi="Verdana" w:cs="Arial"/>
          <w:sz w:val="21"/>
          <w:szCs w:val="21"/>
          <w:lang w:eastAsia="es-CO"/>
        </w:rPr>
      </w:pPr>
      <w:r w:rsidRPr="00D67171">
        <w:rPr>
          <w:rFonts w:ascii="Verdana" w:eastAsiaTheme="minorEastAsia" w:hAnsi="Verdana" w:cs="Arial"/>
          <w:sz w:val="21"/>
          <w:szCs w:val="21"/>
          <w:lang w:val="es-ES" w:eastAsia="es-CO"/>
        </w:rPr>
        <w:t>Respecto del objeto de su consulta debe advertirse que,</w:t>
      </w:r>
      <w:r w:rsidRPr="00D67171">
        <w:rPr>
          <w:rFonts w:ascii="Verdana" w:eastAsiaTheme="minorEastAsia" w:hAnsi="Verdana" w:cs="Arial"/>
          <w:sz w:val="21"/>
          <w:szCs w:val="21"/>
          <w:lang w:eastAsia="es-CO"/>
        </w:rPr>
        <w:t xml:space="preserve"> la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w:t>
      </w:r>
    </w:p>
    <w:p w14:paraId="15EEA88D" w14:textId="77777777" w:rsidR="007B251E" w:rsidRPr="00D67171" w:rsidRDefault="007B251E" w:rsidP="007B251E">
      <w:pPr>
        <w:spacing w:after="120" w:line="240" w:lineRule="auto"/>
        <w:jc w:val="both"/>
        <w:rPr>
          <w:rFonts w:ascii="Verdana" w:eastAsiaTheme="minorEastAsia" w:hAnsi="Verdana" w:cs="Arial"/>
          <w:sz w:val="21"/>
          <w:szCs w:val="21"/>
          <w:lang w:eastAsia="es-CO"/>
        </w:rPr>
      </w:pPr>
      <w:r w:rsidRPr="00D67171">
        <w:rPr>
          <w:rFonts w:ascii="Verdana" w:eastAsiaTheme="minorEastAsia" w:hAnsi="Verdana" w:cs="Arial"/>
          <w:sz w:val="21"/>
          <w:szCs w:val="21"/>
          <w:lang w:eastAsia="es-CO"/>
        </w:rPr>
        <w:t>En ese contexto, el legislador extraordinario facultó a la Agencia para “Absolver consultas sobre la aplicación de normas de carácter general” y “difundir las normas, reglas, procedimientos, medios tecnológicos y mejores prácticas para las compras y la contratación pública”, de conformidad con el numeral 5 y 10 del artículo 3 del Decreto Ley 4170 de</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 xml:space="preserve">2011. </w:t>
      </w:r>
      <w:r w:rsidRPr="00D67171">
        <w:rPr>
          <w:rFonts w:ascii="Verdana" w:eastAsia="Calibri" w:hAnsi="Verdana" w:cs="Arial"/>
          <w:sz w:val="21"/>
          <w:szCs w:val="21"/>
          <w:lang w:val="es-ES" w:eastAsia="es-CO"/>
        </w:rPr>
        <w:t xml:space="preserve">Así las cosas, </w:t>
      </w:r>
      <w:r w:rsidRPr="00D67171">
        <w:rPr>
          <w:rFonts w:ascii="Verdana" w:eastAsiaTheme="minorEastAsia" w:hAnsi="Verdana" w:cs="Arial"/>
          <w:sz w:val="21"/>
          <w:szCs w:val="21"/>
          <w:lang w:eastAsia="es-CO"/>
        </w:rPr>
        <w:t xml:space="preserve">de acuerdo con lo establecido en los artículos 3.5 y 11.8 </w:t>
      </w:r>
      <w:r w:rsidRPr="00D67171">
        <w:rPr>
          <w:rFonts w:ascii="Verdana" w:eastAsiaTheme="minorEastAsia" w:hAnsi="Verdana" w:cs="Arial"/>
          <w:i/>
          <w:iCs/>
          <w:sz w:val="21"/>
          <w:szCs w:val="21"/>
          <w:lang w:eastAsia="es-CO"/>
        </w:rPr>
        <w:t>ibidem</w:t>
      </w:r>
      <w:r w:rsidRPr="00D67171">
        <w:rPr>
          <w:rFonts w:ascii="Verdana" w:eastAsiaTheme="minorEastAsia" w:hAnsi="Verdana" w:cs="Arial"/>
          <w:sz w:val="21"/>
          <w:szCs w:val="21"/>
          <w:lang w:eastAsia="es-CO"/>
        </w:rPr>
        <w:t>, la Agencia Nacional de Contratación Pública – Colombia Compra Eficiente</w:t>
      </w:r>
      <w:r w:rsidRPr="00D67171">
        <w:rPr>
          <w:rFonts w:ascii="Verdana" w:eastAsiaTheme="minorEastAsia" w:hAnsi="Verdana" w:cs="Arial"/>
          <w:sz w:val="21"/>
          <w:szCs w:val="21"/>
          <w:lang w:val="es-ES" w:eastAsia="es-CO"/>
        </w:rPr>
        <w:t xml:space="preserve"> </w:t>
      </w:r>
      <w:r w:rsidRPr="00D67171">
        <w:rPr>
          <w:rFonts w:ascii="Verdana" w:eastAsiaTheme="minorEastAsia" w:hAnsi="Verdana" w:cs="Arial"/>
          <w:sz w:val="21"/>
          <w:szCs w:val="21"/>
          <w:lang w:eastAsia="es-CO"/>
        </w:rPr>
        <w:t>resuelve</w:t>
      </w:r>
      <w:r w:rsidRPr="00D67171">
        <w:rPr>
          <w:rFonts w:ascii="Verdana" w:eastAsiaTheme="minorEastAsia" w:hAnsi="Verdana" w:cs="Arial"/>
          <w:spacing w:val="-16"/>
          <w:sz w:val="21"/>
          <w:szCs w:val="21"/>
          <w:lang w:eastAsia="es-CO"/>
        </w:rPr>
        <w:t xml:space="preserve"> </w:t>
      </w:r>
      <w:r w:rsidRPr="00D67171">
        <w:rPr>
          <w:rFonts w:ascii="Verdana" w:eastAsiaTheme="minorEastAsia" w:hAnsi="Verdana" w:cs="Arial"/>
          <w:sz w:val="21"/>
          <w:szCs w:val="21"/>
          <w:lang w:eastAsia="es-CO"/>
        </w:rPr>
        <w:t>las</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consultas</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sobre</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los</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asuntos</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de</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su</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competencia,</w:t>
      </w:r>
      <w:r w:rsidRPr="00D67171">
        <w:rPr>
          <w:rFonts w:ascii="Verdana" w:eastAsiaTheme="minorEastAsia" w:hAnsi="Verdana" w:cs="Arial"/>
          <w:spacing w:val="-59"/>
          <w:sz w:val="21"/>
          <w:szCs w:val="21"/>
          <w:lang w:eastAsia="es-CO"/>
        </w:rPr>
        <w:t xml:space="preserve"> </w:t>
      </w:r>
      <w:r w:rsidRPr="00D67171">
        <w:rPr>
          <w:rFonts w:ascii="Verdana" w:eastAsiaTheme="minorEastAsia" w:hAnsi="Verdana" w:cs="Arial"/>
          <w:sz w:val="21"/>
          <w:szCs w:val="21"/>
          <w:lang w:eastAsia="es-CO"/>
        </w:rPr>
        <w:t>esto es, sobre las temáticas de la contratación estatal y compras públicas relacionadas en los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 xml:space="preserve">artículos citados. </w:t>
      </w:r>
    </w:p>
    <w:p w14:paraId="7FC4D3A1" w14:textId="77777777" w:rsidR="007B251E" w:rsidRDefault="007B251E" w:rsidP="007B251E">
      <w:pPr>
        <w:spacing w:after="120" w:line="240" w:lineRule="auto"/>
        <w:jc w:val="both"/>
        <w:rPr>
          <w:rFonts w:ascii="Verdana" w:eastAsiaTheme="minorEastAsia" w:hAnsi="Verdana" w:cs="Arial"/>
          <w:sz w:val="21"/>
          <w:szCs w:val="21"/>
          <w:lang w:eastAsia="es-CO"/>
        </w:rPr>
      </w:pPr>
      <w:r w:rsidRPr="00D67171">
        <w:rPr>
          <w:rFonts w:ascii="Verdana" w:eastAsiaTheme="minorEastAsia" w:hAnsi="Verdana" w:cs="Arial"/>
          <w:sz w:val="21"/>
          <w:szCs w:val="21"/>
          <w:lang w:eastAsia="es-CO"/>
        </w:rPr>
        <w:lastRenderedPageBreak/>
        <w:t>En ese sentido, resolver consultas sobre casos particulares desborda las</w:t>
      </w:r>
      <w:r w:rsidRPr="00D67171">
        <w:rPr>
          <w:rFonts w:ascii="Verdana" w:eastAsiaTheme="minorEastAsia" w:hAnsi="Verdana" w:cs="Arial"/>
          <w:spacing w:val="-59"/>
          <w:sz w:val="21"/>
          <w:szCs w:val="21"/>
          <w:lang w:eastAsia="es-CO"/>
        </w:rPr>
        <w:t xml:space="preserve"> </w:t>
      </w:r>
      <w:r w:rsidRPr="00D67171">
        <w:rPr>
          <w:rFonts w:ascii="Verdana" w:eastAsiaTheme="minorEastAsia" w:hAnsi="Verdana" w:cs="Arial"/>
          <w:sz w:val="21"/>
          <w:szCs w:val="21"/>
          <w:lang w:eastAsia="es-CO"/>
        </w:rPr>
        <w:t>atribuciones</w:t>
      </w:r>
      <w:r w:rsidRPr="00D67171">
        <w:rPr>
          <w:rFonts w:ascii="Verdana" w:eastAsiaTheme="minorEastAsia" w:hAnsi="Verdana" w:cs="Arial"/>
          <w:spacing w:val="-11"/>
          <w:sz w:val="21"/>
          <w:szCs w:val="21"/>
          <w:lang w:eastAsia="es-CO"/>
        </w:rPr>
        <w:t xml:space="preserve"> </w:t>
      </w:r>
      <w:r w:rsidRPr="00D67171">
        <w:rPr>
          <w:rFonts w:ascii="Verdana" w:eastAsiaTheme="minorEastAsia" w:hAnsi="Verdana" w:cs="Arial"/>
          <w:sz w:val="21"/>
          <w:szCs w:val="21"/>
          <w:lang w:eastAsia="es-CO"/>
        </w:rPr>
        <w:t>asignadas</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por</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el</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legislador,</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que</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no</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concibió</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a</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Colombia</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Compra</w:t>
      </w:r>
      <w:r w:rsidRPr="00D67171">
        <w:rPr>
          <w:rFonts w:ascii="Verdana" w:eastAsiaTheme="minorEastAsia" w:hAnsi="Verdana" w:cs="Arial"/>
          <w:spacing w:val="-11"/>
          <w:sz w:val="21"/>
          <w:szCs w:val="21"/>
          <w:lang w:eastAsia="es-CO"/>
        </w:rPr>
        <w:t xml:space="preserve"> </w:t>
      </w:r>
      <w:r w:rsidRPr="00D67171">
        <w:rPr>
          <w:rFonts w:ascii="Verdana" w:eastAsiaTheme="minorEastAsia" w:hAnsi="Verdana" w:cs="Arial"/>
          <w:sz w:val="21"/>
          <w:szCs w:val="21"/>
          <w:lang w:eastAsia="es-CO"/>
        </w:rPr>
        <w:t>Eficiente</w:t>
      </w:r>
      <w:r w:rsidRPr="00D67171">
        <w:rPr>
          <w:rFonts w:ascii="Verdana" w:eastAsiaTheme="minorEastAsia" w:hAnsi="Verdana" w:cs="Arial"/>
          <w:spacing w:val="-8"/>
          <w:sz w:val="21"/>
          <w:szCs w:val="21"/>
          <w:lang w:eastAsia="es-CO"/>
        </w:rPr>
        <w:t xml:space="preserve"> </w:t>
      </w:r>
      <w:r w:rsidRPr="00D67171">
        <w:rPr>
          <w:rFonts w:ascii="Verdana" w:eastAsiaTheme="minorEastAsia" w:hAnsi="Verdana" w:cs="Arial"/>
          <w:sz w:val="21"/>
          <w:szCs w:val="21"/>
          <w:lang w:eastAsia="es-CO"/>
        </w:rPr>
        <w:t>como</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una autoridad para</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solucionar</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problemas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jurídicos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particulares,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especialmente,</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cuando</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el</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conocimiento de estos últimos corresponde resolverlos a los partícipes del sistema de compra</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pública</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y,</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eventualmente,</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a</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las</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autoridades</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judiciales</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y</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a</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los</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organismos</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de</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control.</w:t>
      </w:r>
    </w:p>
    <w:p w14:paraId="3CF7C059" w14:textId="77777777" w:rsidR="007B251E" w:rsidRDefault="007B251E" w:rsidP="007B251E">
      <w:pPr>
        <w:spacing w:after="120" w:line="240" w:lineRule="auto"/>
        <w:jc w:val="both"/>
        <w:rPr>
          <w:rFonts w:ascii="Verdana" w:eastAsiaTheme="minorEastAsia" w:hAnsi="Verdana" w:cs="Arial"/>
          <w:sz w:val="21"/>
          <w:szCs w:val="21"/>
          <w:lang w:eastAsia="es-CO"/>
        </w:rPr>
      </w:pPr>
      <w:r>
        <w:rPr>
          <w:rFonts w:ascii="Verdana" w:eastAsiaTheme="minorEastAsia" w:hAnsi="Verdana" w:cs="Arial"/>
          <w:sz w:val="21"/>
          <w:szCs w:val="21"/>
          <w:lang w:eastAsia="es-CO"/>
        </w:rPr>
        <w:t>[…]</w:t>
      </w:r>
    </w:p>
    <w:p w14:paraId="079AEFBA" w14:textId="77777777" w:rsidR="007B251E" w:rsidRPr="00D67171" w:rsidRDefault="007B251E" w:rsidP="007B251E">
      <w:pPr>
        <w:spacing w:after="120" w:line="240" w:lineRule="auto"/>
        <w:jc w:val="both"/>
        <w:rPr>
          <w:rFonts w:ascii="Verdana" w:eastAsiaTheme="minorEastAsia" w:hAnsi="Verdana" w:cs="Arial"/>
          <w:sz w:val="21"/>
          <w:szCs w:val="21"/>
          <w:lang w:eastAsia="es-CO"/>
        </w:rPr>
      </w:pPr>
      <w:r w:rsidRPr="00D67171">
        <w:rPr>
          <w:rFonts w:ascii="Verdana" w:eastAsiaTheme="minorEastAsia" w:hAnsi="Verdana" w:cs="Arial"/>
          <w:sz w:val="21"/>
          <w:szCs w:val="21"/>
          <w:lang w:eastAsia="es-CO"/>
        </w:rPr>
        <w:t>Ahora bien, en relación con el problema jurídico planteado, debe señalarse que, el alcance de la competencia consultiva encuentra su fundamento normativo en el</w:t>
      </w:r>
      <w:r w:rsidRPr="00D67171">
        <w:rPr>
          <w:rFonts w:ascii="Verdana" w:eastAsiaTheme="minorEastAsia" w:hAnsi="Verdana" w:cs="Arial"/>
          <w:spacing w:val="-59"/>
          <w:sz w:val="21"/>
          <w:szCs w:val="21"/>
          <w:lang w:eastAsia="es-CO"/>
        </w:rPr>
        <w:t xml:space="preserve"> </w:t>
      </w:r>
      <w:r w:rsidRPr="00D67171">
        <w:rPr>
          <w:rFonts w:ascii="Verdana" w:eastAsiaTheme="minorEastAsia" w:hAnsi="Verdana" w:cs="Arial"/>
          <w:spacing w:val="-1"/>
          <w:sz w:val="21"/>
          <w:szCs w:val="21"/>
          <w:lang w:eastAsia="es-CO"/>
        </w:rPr>
        <w:t>artículo</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28</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de</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la</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Ley</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1437</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de</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2011,</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sustituido</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por</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el</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artículo</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pacing w:val="-1"/>
          <w:sz w:val="21"/>
          <w:szCs w:val="21"/>
          <w:lang w:eastAsia="es-CO"/>
        </w:rPr>
        <w:t>1</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de</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la</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Ley</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1755</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de</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2015,</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que</w:t>
      </w:r>
      <w:r w:rsidRPr="00D67171">
        <w:rPr>
          <w:rFonts w:ascii="Verdana" w:eastAsiaTheme="minorEastAsia" w:hAnsi="Verdana" w:cs="Arial"/>
          <w:spacing w:val="-15"/>
          <w:sz w:val="21"/>
          <w:szCs w:val="21"/>
          <w:lang w:eastAsia="es-CO"/>
        </w:rPr>
        <w:t xml:space="preserve"> </w:t>
      </w:r>
      <w:r w:rsidRPr="00D67171">
        <w:rPr>
          <w:rFonts w:ascii="Verdana" w:eastAsiaTheme="minorEastAsia" w:hAnsi="Verdana" w:cs="Arial"/>
          <w:sz w:val="21"/>
          <w:szCs w:val="21"/>
          <w:lang w:eastAsia="es-CO"/>
        </w:rPr>
        <w:t>dispone</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lo</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 xml:space="preserve">siguiente: </w:t>
      </w:r>
      <w:r w:rsidRPr="00D67171">
        <w:rPr>
          <w:rFonts w:ascii="Verdana" w:eastAsia="Times New Roman" w:hAnsi="Verdana" w:cs="Arial"/>
          <w:sz w:val="21"/>
          <w:szCs w:val="21"/>
        </w:rPr>
        <w:t>“Artículo</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28.</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Alcance</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de</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los</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conceptos.</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Salvo</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disposición</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legal</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en</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contrario,</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los</w:t>
      </w:r>
      <w:r w:rsidRPr="00D67171">
        <w:rPr>
          <w:rFonts w:ascii="Verdana" w:eastAsia="Times New Roman" w:hAnsi="Verdana" w:cs="Arial"/>
          <w:spacing w:val="-56"/>
          <w:sz w:val="21"/>
          <w:szCs w:val="21"/>
        </w:rPr>
        <w:t xml:space="preserve"> </w:t>
      </w:r>
      <w:r w:rsidRPr="00D67171">
        <w:rPr>
          <w:rFonts w:ascii="Verdana" w:eastAsia="Times New Roman" w:hAnsi="Verdana" w:cs="Arial"/>
          <w:sz w:val="21"/>
          <w:szCs w:val="21"/>
        </w:rPr>
        <w:t>conceptos emitidos por las autoridades como respuestas a peticiones realizadas en</w:t>
      </w:r>
      <w:r w:rsidRPr="00D67171">
        <w:rPr>
          <w:rFonts w:ascii="Verdana" w:eastAsia="Times New Roman" w:hAnsi="Verdana" w:cs="Arial"/>
          <w:spacing w:val="1"/>
          <w:sz w:val="21"/>
          <w:szCs w:val="21"/>
        </w:rPr>
        <w:t xml:space="preserve"> </w:t>
      </w:r>
      <w:r w:rsidRPr="00D67171">
        <w:rPr>
          <w:rFonts w:ascii="Verdana" w:eastAsia="Times New Roman" w:hAnsi="Verdana" w:cs="Arial"/>
          <w:sz w:val="21"/>
          <w:szCs w:val="21"/>
        </w:rPr>
        <w:t xml:space="preserve">ejercicio del derecho a formular consultas </w:t>
      </w:r>
      <w:r w:rsidRPr="00D67171">
        <w:rPr>
          <w:rFonts w:ascii="Verdana" w:eastAsia="Times New Roman" w:hAnsi="Verdana" w:cs="Arial"/>
          <w:i/>
          <w:sz w:val="21"/>
          <w:szCs w:val="21"/>
        </w:rPr>
        <w:t>no serán de obligatorio cumplimiento o</w:t>
      </w:r>
      <w:r w:rsidRPr="00D67171">
        <w:rPr>
          <w:rFonts w:ascii="Verdana" w:eastAsia="Times New Roman" w:hAnsi="Verdana" w:cs="Arial"/>
          <w:i/>
          <w:spacing w:val="1"/>
          <w:sz w:val="21"/>
          <w:szCs w:val="21"/>
        </w:rPr>
        <w:t xml:space="preserve"> </w:t>
      </w:r>
      <w:r w:rsidRPr="00D67171">
        <w:rPr>
          <w:rFonts w:ascii="Verdana" w:eastAsia="Times New Roman" w:hAnsi="Verdana" w:cs="Arial"/>
          <w:i/>
          <w:sz w:val="21"/>
          <w:szCs w:val="21"/>
        </w:rPr>
        <w:t>ejecución</w:t>
      </w:r>
      <w:r w:rsidRPr="00D67171">
        <w:rPr>
          <w:rFonts w:ascii="Verdana" w:eastAsia="Times New Roman" w:hAnsi="Verdana" w:cs="Arial"/>
          <w:sz w:val="21"/>
          <w:szCs w:val="21"/>
        </w:rPr>
        <w:t>”. [Énfasis fuera del texto original]</w:t>
      </w:r>
    </w:p>
    <w:p w14:paraId="5DEB5A6E" w14:textId="77777777" w:rsidR="007B251E" w:rsidRPr="00D67171" w:rsidRDefault="007B251E" w:rsidP="007B251E">
      <w:pPr>
        <w:spacing w:after="120" w:line="240" w:lineRule="auto"/>
        <w:jc w:val="both"/>
        <w:rPr>
          <w:rFonts w:ascii="Verdana" w:eastAsiaTheme="minorEastAsia" w:hAnsi="Verdana" w:cs="Arial"/>
          <w:sz w:val="21"/>
          <w:szCs w:val="21"/>
          <w:lang w:eastAsia="es-CO"/>
        </w:rPr>
      </w:pPr>
      <w:r w:rsidRPr="00D67171">
        <w:rPr>
          <w:rFonts w:ascii="Verdana" w:eastAsiaTheme="minorEastAsia" w:hAnsi="Verdana" w:cs="Arial"/>
          <w:sz w:val="21"/>
          <w:szCs w:val="21"/>
          <w:lang w:eastAsia="es-CO"/>
        </w:rPr>
        <w:t>La</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norma</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citada</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prescribe</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que</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los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conceptos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emitidos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por</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las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autoridades,</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como</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respuestas a peticiones realizadas en ejercicio del derecho a formular consultas, no son de</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obligatorio cumplimiento o de imperativa ejecución, es decir, no tienen efectos vinculantes. En</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particular, es preciso advertir que los conceptos emitidos por esta Entidad contienen la posición hermenéutica de la</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Subdirección de Gestión Contractual en relación con determinado aspecto del ordenamiento</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jurídico. Esta competencia de interpretación de normas generales, por definición, no puede</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extenderse</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a</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la</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resolución</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de</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controversias,</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ni</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a</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brindar</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asesorías</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sobre</w:t>
      </w:r>
      <w:r w:rsidRPr="00D67171">
        <w:rPr>
          <w:rFonts w:ascii="Verdana" w:eastAsiaTheme="minorEastAsia" w:hAnsi="Verdana" w:cs="Arial"/>
          <w:spacing w:val="-3"/>
          <w:sz w:val="21"/>
          <w:szCs w:val="21"/>
          <w:lang w:eastAsia="es-CO"/>
        </w:rPr>
        <w:t xml:space="preserve"> </w:t>
      </w:r>
      <w:r w:rsidRPr="00D67171">
        <w:rPr>
          <w:rFonts w:ascii="Verdana" w:eastAsiaTheme="minorEastAsia" w:hAnsi="Verdana" w:cs="Arial"/>
          <w:sz w:val="21"/>
          <w:szCs w:val="21"/>
          <w:lang w:eastAsia="es-CO"/>
        </w:rPr>
        <w:t>casos</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puntuales.</w:t>
      </w:r>
    </w:p>
    <w:p w14:paraId="28F92014" w14:textId="77777777" w:rsidR="007B251E" w:rsidRPr="00CF54DC" w:rsidRDefault="007B251E" w:rsidP="007B251E">
      <w:pPr>
        <w:spacing w:after="120" w:line="240" w:lineRule="auto"/>
        <w:jc w:val="both"/>
        <w:rPr>
          <w:rFonts w:ascii="Verdana" w:eastAsiaTheme="minorEastAsia" w:hAnsi="Verdana" w:cs="Arial"/>
          <w:szCs w:val="24"/>
          <w:lang w:eastAsia="es-CO"/>
        </w:rPr>
      </w:pPr>
      <w:r w:rsidRPr="00D67171">
        <w:rPr>
          <w:rFonts w:ascii="Verdana" w:eastAsiaTheme="minorEastAsia" w:hAnsi="Verdana" w:cs="Arial"/>
          <w:sz w:val="21"/>
          <w:szCs w:val="21"/>
          <w:lang w:eastAsia="es-CO"/>
        </w:rPr>
        <w:t>En otras palabras, los conceptos de esta Agencia tienen como objeto la interpretación de</w:t>
      </w:r>
      <w:r w:rsidRPr="00D67171">
        <w:rPr>
          <w:rFonts w:ascii="Verdana" w:eastAsiaTheme="minorEastAsia" w:hAnsi="Verdana" w:cs="Arial"/>
          <w:spacing w:val="-59"/>
          <w:sz w:val="21"/>
          <w:szCs w:val="21"/>
          <w:lang w:eastAsia="es-CO"/>
        </w:rPr>
        <w:t xml:space="preserve"> </w:t>
      </w:r>
      <w:r w:rsidRPr="00D67171">
        <w:rPr>
          <w:rFonts w:ascii="Verdana" w:eastAsiaTheme="minorEastAsia" w:hAnsi="Verdana" w:cs="Arial"/>
          <w:sz w:val="21"/>
          <w:szCs w:val="21"/>
          <w:lang w:eastAsia="es-CO"/>
        </w:rPr>
        <w:t>normas de carácter general, esto es, del ordenamiento jurídico en abstracto, no la resolución de controversias o la asesoría para casos concretos; además, no son vinculantes o de obligatorio</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cumplimiento</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para</w:t>
      </w:r>
      <w:r w:rsidRPr="00D67171">
        <w:rPr>
          <w:rFonts w:ascii="Verdana" w:eastAsiaTheme="minorEastAsia" w:hAnsi="Verdana" w:cs="Arial"/>
          <w:spacing w:val="-8"/>
          <w:sz w:val="21"/>
          <w:szCs w:val="21"/>
          <w:lang w:eastAsia="es-CO"/>
        </w:rPr>
        <w:t xml:space="preserve"> </w:t>
      </w:r>
      <w:r w:rsidRPr="00D67171">
        <w:rPr>
          <w:rFonts w:ascii="Verdana" w:eastAsiaTheme="minorEastAsia" w:hAnsi="Verdana" w:cs="Arial"/>
          <w:sz w:val="21"/>
          <w:szCs w:val="21"/>
          <w:lang w:eastAsia="es-CO"/>
        </w:rPr>
        <w:t>el</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destinatario,</w:t>
      </w:r>
      <w:r w:rsidRPr="00D67171">
        <w:rPr>
          <w:rFonts w:ascii="Verdana" w:eastAsiaTheme="minorEastAsia" w:hAnsi="Verdana" w:cs="Arial"/>
          <w:spacing w:val="-8"/>
          <w:sz w:val="21"/>
          <w:szCs w:val="21"/>
          <w:lang w:eastAsia="es-CO"/>
        </w:rPr>
        <w:t xml:space="preserve"> </w:t>
      </w:r>
      <w:r w:rsidRPr="00D67171">
        <w:rPr>
          <w:rFonts w:ascii="Verdana" w:eastAsiaTheme="minorEastAsia" w:hAnsi="Verdana" w:cs="Arial"/>
          <w:sz w:val="21"/>
          <w:szCs w:val="21"/>
          <w:lang w:eastAsia="es-CO"/>
        </w:rPr>
        <w:t>sino</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que</w:t>
      </w:r>
      <w:r w:rsidRPr="00D67171">
        <w:rPr>
          <w:rFonts w:ascii="Verdana" w:eastAsiaTheme="minorEastAsia" w:hAnsi="Verdana" w:cs="Arial"/>
          <w:spacing w:val="-9"/>
          <w:sz w:val="21"/>
          <w:szCs w:val="21"/>
          <w:lang w:eastAsia="es-CO"/>
        </w:rPr>
        <w:t xml:space="preserve"> </w:t>
      </w:r>
      <w:r w:rsidRPr="00D67171">
        <w:rPr>
          <w:rFonts w:ascii="Verdana" w:eastAsiaTheme="minorEastAsia" w:hAnsi="Verdana" w:cs="Arial"/>
          <w:sz w:val="21"/>
          <w:szCs w:val="21"/>
          <w:lang w:eastAsia="es-CO"/>
        </w:rPr>
        <w:t>expresan</w:t>
      </w:r>
      <w:r w:rsidRPr="00D67171">
        <w:rPr>
          <w:rFonts w:ascii="Verdana" w:eastAsiaTheme="minorEastAsia" w:hAnsi="Verdana" w:cs="Arial"/>
          <w:spacing w:val="-9"/>
          <w:sz w:val="21"/>
          <w:szCs w:val="21"/>
          <w:lang w:eastAsia="es-CO"/>
        </w:rPr>
        <w:t xml:space="preserve"> </w:t>
      </w:r>
      <w:r w:rsidRPr="00D67171">
        <w:rPr>
          <w:rFonts w:ascii="Verdana" w:eastAsiaTheme="minorEastAsia" w:hAnsi="Verdana" w:cs="Arial"/>
          <w:sz w:val="21"/>
          <w:szCs w:val="21"/>
          <w:lang w:eastAsia="es-CO"/>
        </w:rPr>
        <w:t>la</w:t>
      </w:r>
      <w:r w:rsidRPr="00D67171">
        <w:rPr>
          <w:rFonts w:ascii="Verdana" w:eastAsiaTheme="minorEastAsia" w:hAnsi="Verdana" w:cs="Arial"/>
          <w:spacing w:val="-9"/>
          <w:sz w:val="21"/>
          <w:szCs w:val="21"/>
          <w:lang w:eastAsia="es-CO"/>
        </w:rPr>
        <w:t xml:space="preserve"> </w:t>
      </w:r>
      <w:r w:rsidRPr="00D67171">
        <w:rPr>
          <w:rFonts w:ascii="Verdana" w:eastAsiaTheme="minorEastAsia" w:hAnsi="Verdana" w:cs="Arial"/>
          <w:sz w:val="21"/>
          <w:szCs w:val="21"/>
          <w:lang w:eastAsia="es-CO"/>
        </w:rPr>
        <w:t>posición</w:t>
      </w:r>
      <w:r w:rsidRPr="00D67171">
        <w:rPr>
          <w:rFonts w:ascii="Verdana" w:eastAsiaTheme="minorEastAsia" w:hAnsi="Verdana" w:cs="Arial"/>
          <w:spacing w:val="-9"/>
          <w:sz w:val="21"/>
          <w:szCs w:val="21"/>
          <w:lang w:eastAsia="es-CO"/>
        </w:rPr>
        <w:t xml:space="preserve"> </w:t>
      </w:r>
      <w:r w:rsidRPr="00D67171">
        <w:rPr>
          <w:rFonts w:ascii="Verdana" w:eastAsiaTheme="minorEastAsia" w:hAnsi="Verdana" w:cs="Arial"/>
          <w:sz w:val="21"/>
          <w:szCs w:val="21"/>
          <w:lang w:eastAsia="es-CO"/>
        </w:rPr>
        <w:t>interpretativa</w:t>
      </w:r>
      <w:r w:rsidRPr="00D67171">
        <w:rPr>
          <w:rFonts w:ascii="Verdana" w:eastAsiaTheme="minorEastAsia" w:hAnsi="Verdana" w:cs="Arial"/>
          <w:spacing w:val="-8"/>
          <w:sz w:val="21"/>
          <w:szCs w:val="21"/>
          <w:lang w:eastAsia="es-CO"/>
        </w:rPr>
        <w:t xml:space="preserve"> </w:t>
      </w:r>
      <w:r w:rsidRPr="00D67171">
        <w:rPr>
          <w:rFonts w:ascii="Verdana" w:eastAsiaTheme="minorEastAsia" w:hAnsi="Verdana" w:cs="Arial"/>
          <w:sz w:val="21"/>
          <w:szCs w:val="21"/>
          <w:lang w:eastAsia="es-CO"/>
        </w:rPr>
        <w:t>del</w:t>
      </w:r>
      <w:r w:rsidRPr="00D67171">
        <w:rPr>
          <w:rFonts w:ascii="Verdana" w:eastAsiaTheme="minorEastAsia" w:hAnsi="Verdana" w:cs="Arial"/>
          <w:spacing w:val="-10"/>
          <w:sz w:val="21"/>
          <w:szCs w:val="21"/>
          <w:lang w:eastAsia="es-CO"/>
        </w:rPr>
        <w:t xml:space="preserve"> </w:t>
      </w:r>
      <w:r w:rsidRPr="00D67171">
        <w:rPr>
          <w:rFonts w:ascii="Verdana" w:eastAsiaTheme="minorEastAsia" w:hAnsi="Verdana" w:cs="Arial"/>
          <w:sz w:val="21"/>
          <w:szCs w:val="21"/>
          <w:lang w:eastAsia="es-CO"/>
        </w:rPr>
        <w:t>organismo</w:t>
      </w:r>
      <w:r w:rsidRPr="00D67171">
        <w:rPr>
          <w:rFonts w:ascii="Verdana" w:eastAsiaTheme="minorEastAsia" w:hAnsi="Verdana" w:cs="Arial"/>
          <w:spacing w:val="-8"/>
          <w:sz w:val="21"/>
          <w:szCs w:val="21"/>
          <w:lang w:eastAsia="es-CO"/>
        </w:rPr>
        <w:t xml:space="preserve"> </w:t>
      </w:r>
      <w:r w:rsidRPr="00D67171">
        <w:rPr>
          <w:rFonts w:ascii="Verdana" w:eastAsiaTheme="minorEastAsia" w:hAnsi="Verdana" w:cs="Arial"/>
          <w:sz w:val="21"/>
          <w:szCs w:val="21"/>
          <w:lang w:eastAsia="es-CO"/>
        </w:rPr>
        <w:t>que</w:t>
      </w:r>
      <w:r w:rsidRPr="00D67171">
        <w:rPr>
          <w:rFonts w:ascii="Verdana" w:eastAsiaTheme="minorEastAsia" w:hAnsi="Verdana" w:cs="Arial"/>
          <w:spacing w:val="-59"/>
          <w:sz w:val="21"/>
          <w:szCs w:val="21"/>
          <w:lang w:eastAsia="es-CO"/>
        </w:rPr>
        <w:t xml:space="preserve"> </w:t>
      </w:r>
      <w:r w:rsidRPr="00D67171">
        <w:rPr>
          <w:rFonts w:ascii="Verdana" w:eastAsiaTheme="minorEastAsia" w:hAnsi="Verdana" w:cs="Arial"/>
          <w:sz w:val="21"/>
          <w:szCs w:val="21"/>
          <w:lang w:eastAsia="es-CO"/>
        </w:rPr>
        <w:t>elabora</w:t>
      </w:r>
      <w:r w:rsidRPr="00D67171">
        <w:rPr>
          <w:rFonts w:ascii="Verdana" w:eastAsiaTheme="minorEastAsia" w:hAnsi="Verdana" w:cs="Arial"/>
          <w:spacing w:val="-2"/>
          <w:sz w:val="21"/>
          <w:szCs w:val="21"/>
          <w:lang w:eastAsia="es-CO"/>
        </w:rPr>
        <w:t xml:space="preserve"> </w:t>
      </w:r>
      <w:r w:rsidRPr="00D67171">
        <w:rPr>
          <w:rFonts w:ascii="Verdana" w:eastAsiaTheme="minorEastAsia" w:hAnsi="Verdana" w:cs="Arial"/>
          <w:sz w:val="21"/>
          <w:szCs w:val="21"/>
          <w:lang w:eastAsia="es-CO"/>
        </w:rPr>
        <w:t>el</w:t>
      </w:r>
      <w:r w:rsidRPr="00D67171">
        <w:rPr>
          <w:rFonts w:ascii="Verdana" w:eastAsiaTheme="minorEastAsia" w:hAnsi="Verdana" w:cs="Arial"/>
          <w:spacing w:val="-1"/>
          <w:sz w:val="21"/>
          <w:szCs w:val="21"/>
          <w:lang w:eastAsia="es-CO"/>
        </w:rPr>
        <w:t xml:space="preserve"> </w:t>
      </w:r>
      <w:r w:rsidRPr="00D67171">
        <w:rPr>
          <w:rFonts w:ascii="Verdana" w:eastAsiaTheme="minorEastAsia" w:hAnsi="Verdana" w:cs="Arial"/>
          <w:sz w:val="21"/>
          <w:szCs w:val="21"/>
          <w:lang w:eastAsia="es-CO"/>
        </w:rPr>
        <w:t>concepto.</w:t>
      </w:r>
    </w:p>
    <w:p w14:paraId="78506B3D" w14:textId="77777777" w:rsidR="007B251E" w:rsidRPr="000B12AE" w:rsidRDefault="007B251E" w:rsidP="007B251E">
      <w:pPr>
        <w:tabs>
          <w:tab w:val="left" w:pos="709"/>
        </w:tabs>
        <w:spacing w:after="120" w:line="240" w:lineRule="auto"/>
        <w:jc w:val="both"/>
        <w:rPr>
          <w:rFonts w:ascii="Verdana" w:eastAsia="Calibri" w:hAnsi="Verdana" w:cs="Arial"/>
          <w:bCs/>
          <w:sz w:val="18"/>
          <w:szCs w:val="18"/>
          <w:lang w:eastAsia="es-ES_tradnl"/>
        </w:rPr>
      </w:pPr>
    </w:p>
    <w:p w14:paraId="402F0A68" w14:textId="77777777" w:rsidR="007B251E" w:rsidRPr="00EA537E" w:rsidRDefault="007B251E" w:rsidP="007B251E">
      <w:pPr>
        <w:widowControl w:val="0"/>
        <w:autoSpaceDE w:val="0"/>
        <w:autoSpaceDN w:val="0"/>
        <w:spacing w:line="276" w:lineRule="auto"/>
        <w:ind w:right="114"/>
        <w:jc w:val="both"/>
        <w:rPr>
          <w:rFonts w:ascii="Verdana" w:eastAsia="Calibri" w:hAnsi="Verdana" w:cs="Arial"/>
          <w:kern w:val="2"/>
          <w:sz w:val="20"/>
          <w:szCs w:val="20"/>
          <w:lang w:val="es-ES"/>
          <w14:ligatures w14:val="standardContextual"/>
        </w:rPr>
      </w:pPr>
    </w:p>
    <w:p w14:paraId="67AF0C60" w14:textId="77777777" w:rsidR="007B251E" w:rsidRDefault="007B251E" w:rsidP="007B251E">
      <w:pPr>
        <w:widowControl w:val="0"/>
        <w:autoSpaceDE w:val="0"/>
        <w:autoSpaceDN w:val="0"/>
        <w:spacing w:line="276" w:lineRule="auto"/>
        <w:ind w:right="114"/>
        <w:jc w:val="both"/>
        <w:rPr>
          <w:rFonts w:ascii="Verdana" w:eastAsia="Calibri" w:hAnsi="Verdana" w:cs="Arial"/>
          <w:kern w:val="2"/>
          <w:sz w:val="20"/>
          <w:szCs w:val="20"/>
          <w:lang w:val="es-ES_tradnl"/>
          <w14:ligatures w14:val="standardContextual"/>
        </w:rPr>
      </w:pPr>
    </w:p>
    <w:p w14:paraId="417A9B7D" w14:textId="77777777" w:rsidR="007B251E" w:rsidRDefault="007B251E" w:rsidP="007B251E">
      <w:pPr>
        <w:widowControl w:val="0"/>
        <w:autoSpaceDE w:val="0"/>
        <w:autoSpaceDN w:val="0"/>
        <w:spacing w:line="276" w:lineRule="auto"/>
        <w:ind w:right="114"/>
        <w:jc w:val="both"/>
        <w:rPr>
          <w:rFonts w:ascii="Verdana" w:eastAsia="Calibri" w:hAnsi="Verdana" w:cs="Arial"/>
          <w:kern w:val="2"/>
          <w:sz w:val="20"/>
          <w:szCs w:val="20"/>
          <w:lang w:val="es-ES_tradnl"/>
          <w14:ligatures w14:val="standardContextual"/>
        </w:rPr>
      </w:pPr>
    </w:p>
    <w:p w14:paraId="17CD3AF2" w14:textId="77777777" w:rsidR="007B251E" w:rsidRDefault="007B251E" w:rsidP="00E245AB">
      <w:pPr>
        <w:spacing w:after="0"/>
        <w:rPr>
          <w:rFonts w:ascii="Verdana" w:hAnsi="Verdana"/>
        </w:rPr>
      </w:pPr>
    </w:p>
    <w:p w14:paraId="4FA0C379" w14:textId="77777777" w:rsidR="007B251E" w:rsidRDefault="007B251E" w:rsidP="00E245AB">
      <w:pPr>
        <w:spacing w:after="0"/>
        <w:rPr>
          <w:rFonts w:ascii="Verdana" w:hAnsi="Verdana"/>
        </w:rPr>
      </w:pPr>
    </w:p>
    <w:p w14:paraId="41EFC17F" w14:textId="77777777" w:rsidR="007B251E" w:rsidRDefault="007B251E" w:rsidP="00E245AB">
      <w:pPr>
        <w:spacing w:after="0"/>
        <w:rPr>
          <w:rFonts w:ascii="Verdana" w:hAnsi="Verdana"/>
        </w:rPr>
      </w:pPr>
    </w:p>
    <w:p w14:paraId="75A97CD8" w14:textId="77777777" w:rsidR="007B251E" w:rsidRDefault="007B251E" w:rsidP="00E245AB">
      <w:pPr>
        <w:spacing w:after="0"/>
        <w:rPr>
          <w:rFonts w:ascii="Verdana" w:hAnsi="Verdana"/>
        </w:rPr>
      </w:pPr>
    </w:p>
    <w:p w14:paraId="3CB2C020" w14:textId="77777777" w:rsidR="007B251E" w:rsidRDefault="007B251E" w:rsidP="00E245AB">
      <w:pPr>
        <w:spacing w:after="0"/>
        <w:rPr>
          <w:rFonts w:ascii="Verdana" w:hAnsi="Verdana"/>
        </w:rPr>
      </w:pPr>
    </w:p>
    <w:p w14:paraId="702F829E" w14:textId="77777777" w:rsidR="007B251E" w:rsidRDefault="007B251E" w:rsidP="00E245AB">
      <w:pPr>
        <w:spacing w:after="0"/>
        <w:rPr>
          <w:rFonts w:ascii="Verdana" w:hAnsi="Verdana"/>
        </w:rPr>
      </w:pPr>
    </w:p>
    <w:p w14:paraId="3BD18400" w14:textId="77777777" w:rsidR="007B251E" w:rsidRDefault="007B251E" w:rsidP="00E245AB">
      <w:pPr>
        <w:spacing w:after="0"/>
        <w:rPr>
          <w:rFonts w:ascii="Verdana" w:hAnsi="Verdana"/>
        </w:rPr>
      </w:pPr>
    </w:p>
    <w:p w14:paraId="3FE2184B" w14:textId="375B1215" w:rsidR="00E245AB" w:rsidRPr="0044528D" w:rsidRDefault="00897A3A" w:rsidP="00E245AB">
      <w:pPr>
        <w:spacing w:after="0"/>
        <w:rPr>
          <w:rFonts w:ascii="Verdana" w:hAnsi="Verdana"/>
        </w:rPr>
      </w:pPr>
      <w:r w:rsidRPr="0044528D">
        <w:rPr>
          <w:rFonts w:ascii="Verdana" w:hAnsi="Verdana"/>
        </w:rPr>
        <w:lastRenderedPageBreak/>
        <w:t xml:space="preserve">Bogotá D.C., </w:t>
      </w:r>
      <w:r w:rsidR="009648D8">
        <w:rPr>
          <w:rFonts w:ascii="Verdana" w:hAnsi="Verdana"/>
        </w:rPr>
        <w:t>18 de septiembre de 2025</w:t>
      </w:r>
    </w:p>
    <w:p w14:paraId="5FCADBF9" w14:textId="77777777" w:rsidR="00E245AB" w:rsidRPr="0044528D" w:rsidRDefault="00E245AB" w:rsidP="00E245AB">
      <w:pPr>
        <w:spacing w:after="0"/>
        <w:rPr>
          <w:rFonts w:ascii="Verdana" w:hAnsi="Verdana"/>
        </w:rPr>
      </w:pPr>
    </w:p>
    <w:p w14:paraId="6F30F2E1" w14:textId="78A66AF6" w:rsidR="00FF5DBE" w:rsidRPr="00524568" w:rsidRDefault="00EC4086" w:rsidP="00FF5DBE">
      <w:pPr>
        <w:spacing w:after="0" w:line="240" w:lineRule="auto"/>
        <w:jc w:val="both"/>
        <w:rPr>
          <w:rFonts w:ascii="Verdana" w:eastAsia="Times New Roman" w:hAnsi="Verdana" w:cs="Arial"/>
          <w:lang w:eastAsia="es-ES_tradnl"/>
        </w:rPr>
      </w:pPr>
      <w:r w:rsidRPr="00B618F8">
        <w:rPr>
          <w:rFonts w:ascii="Verdana" w:eastAsia="Calibri" w:hAnsi="Verdana" w:cs="Arial"/>
          <w:noProof/>
          <w:color w:val="7030A0"/>
          <w:lang w:eastAsia="es-ES_tradnl"/>
        </w:rPr>
        <w:drawing>
          <wp:anchor distT="0" distB="0" distL="114300" distR="114300" simplePos="0" relativeHeight="251658240" behindDoc="1" locked="0" layoutInCell="1" allowOverlap="1" wp14:anchorId="4CCAE235" wp14:editId="27056BD8">
            <wp:simplePos x="0" y="0"/>
            <wp:positionH relativeFrom="column">
              <wp:posOffset>3124200</wp:posOffset>
            </wp:positionH>
            <wp:positionV relativeFrom="paragraph">
              <wp:posOffset>62865</wp:posOffset>
            </wp:positionV>
            <wp:extent cx="2636520" cy="769620"/>
            <wp:effectExtent l="0" t="0" r="0" b="0"/>
            <wp:wrapNone/>
            <wp:docPr id="86222646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2646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36520" cy="769620"/>
                    </a:xfrm>
                    <a:prstGeom prst="rect">
                      <a:avLst/>
                    </a:prstGeom>
                  </pic:spPr>
                </pic:pic>
              </a:graphicData>
            </a:graphic>
            <wp14:sizeRelH relativeFrom="page">
              <wp14:pctWidth>0</wp14:pctWidth>
            </wp14:sizeRelH>
            <wp14:sizeRelV relativeFrom="page">
              <wp14:pctHeight>0</wp14:pctHeight>
            </wp14:sizeRelV>
          </wp:anchor>
        </w:drawing>
      </w:r>
      <w:r w:rsidR="00FF5DBE" w:rsidRPr="00524568">
        <w:rPr>
          <w:rFonts w:ascii="Verdana" w:eastAsia="Times New Roman" w:hAnsi="Verdana" w:cs="Arial"/>
          <w:lang w:eastAsia="es-ES_tradnl"/>
        </w:rPr>
        <w:t>Señor</w:t>
      </w:r>
    </w:p>
    <w:p w14:paraId="43E29368" w14:textId="516B83C6" w:rsidR="00FF5DBE" w:rsidRPr="00524568" w:rsidRDefault="00FF5DBE" w:rsidP="00FF5DBE">
      <w:pPr>
        <w:spacing w:after="0" w:line="240" w:lineRule="auto"/>
        <w:jc w:val="both"/>
        <w:rPr>
          <w:rFonts w:ascii="Verdana" w:eastAsia="Times New Roman" w:hAnsi="Verdana" w:cs="Arial"/>
          <w:b/>
          <w:bCs/>
          <w:lang w:eastAsia="es-ES_tradnl"/>
        </w:rPr>
      </w:pPr>
      <w:r w:rsidRPr="00524568">
        <w:rPr>
          <w:rFonts w:ascii="Verdana" w:eastAsia="Times New Roman" w:hAnsi="Verdana" w:cs="Arial"/>
          <w:b/>
          <w:bCs/>
          <w:lang w:eastAsia="es-ES_tradnl"/>
        </w:rPr>
        <w:t xml:space="preserve">Hernando Daza Berrio </w:t>
      </w:r>
    </w:p>
    <w:p w14:paraId="663DC562" w14:textId="77777777" w:rsidR="00FF5DBE" w:rsidRPr="003141CD" w:rsidRDefault="00FF5DBE" w:rsidP="00FF5DBE">
      <w:pPr>
        <w:spacing w:after="0" w:line="240" w:lineRule="auto"/>
        <w:jc w:val="both"/>
        <w:rPr>
          <w:rFonts w:ascii="Verdana" w:eastAsia="Times New Roman" w:hAnsi="Verdana" w:cs="Arial"/>
          <w:lang w:val="pt-BR" w:eastAsia="es-ES_tradnl"/>
        </w:rPr>
      </w:pPr>
      <w:r w:rsidRPr="003141CD">
        <w:rPr>
          <w:rFonts w:ascii="Verdana" w:eastAsia="Times New Roman" w:hAnsi="Verdana" w:cs="Arial"/>
          <w:lang w:val="pt-BR" w:eastAsia="es-ES_tradnl"/>
        </w:rPr>
        <w:t xml:space="preserve">Representante legal </w:t>
      </w:r>
    </w:p>
    <w:p w14:paraId="6ACA412D" w14:textId="31477BE1" w:rsidR="00FF5DBE" w:rsidRDefault="00FF5DBE" w:rsidP="00FF5DBE">
      <w:pPr>
        <w:spacing w:after="0" w:line="240" w:lineRule="auto"/>
        <w:jc w:val="both"/>
        <w:rPr>
          <w:rFonts w:ascii="Verdana" w:eastAsia="Times New Roman" w:hAnsi="Verdana" w:cs="Arial"/>
          <w:lang w:val="pt-BR" w:eastAsia="es-ES_tradnl"/>
        </w:rPr>
      </w:pPr>
      <w:r w:rsidRPr="003141CD">
        <w:rPr>
          <w:rFonts w:ascii="Verdana" w:eastAsia="Times New Roman" w:hAnsi="Verdana" w:cs="Arial"/>
          <w:lang w:val="pt-BR" w:eastAsia="es-ES_tradnl"/>
        </w:rPr>
        <w:t xml:space="preserve">Consorcio </w:t>
      </w:r>
      <w:proofErr w:type="spellStart"/>
      <w:r w:rsidRPr="003141CD">
        <w:rPr>
          <w:rFonts w:ascii="Verdana" w:eastAsia="Times New Roman" w:hAnsi="Verdana" w:cs="Arial"/>
          <w:lang w:val="pt-BR" w:eastAsia="es-ES_tradnl"/>
        </w:rPr>
        <w:t>Aurbana</w:t>
      </w:r>
      <w:proofErr w:type="spellEnd"/>
      <w:r w:rsidRPr="003141CD">
        <w:rPr>
          <w:rFonts w:ascii="Verdana" w:eastAsia="Times New Roman" w:hAnsi="Verdana" w:cs="Arial"/>
          <w:lang w:val="pt-BR" w:eastAsia="es-ES_tradnl"/>
        </w:rPr>
        <w:t xml:space="preserve"> </w:t>
      </w:r>
      <w:proofErr w:type="spellStart"/>
      <w:r w:rsidRPr="003141CD">
        <w:rPr>
          <w:rFonts w:ascii="Verdana" w:eastAsia="Times New Roman" w:hAnsi="Verdana" w:cs="Arial"/>
          <w:lang w:val="pt-BR" w:eastAsia="es-ES_tradnl"/>
        </w:rPr>
        <w:t>Ingenieros</w:t>
      </w:r>
      <w:proofErr w:type="spellEnd"/>
      <w:r w:rsidRPr="003141CD">
        <w:rPr>
          <w:rFonts w:ascii="Verdana" w:eastAsia="Times New Roman" w:hAnsi="Verdana" w:cs="Arial"/>
          <w:lang w:val="pt-BR" w:eastAsia="es-ES_tradnl"/>
        </w:rPr>
        <w:t xml:space="preserve"> </w:t>
      </w:r>
      <w:r w:rsidRPr="003141CD">
        <w:rPr>
          <w:rFonts w:ascii="Verdana" w:eastAsia="Times New Roman" w:hAnsi="Verdana" w:cs="Arial"/>
          <w:lang w:val="pt-BR" w:eastAsia="es-ES_tradnl"/>
        </w:rPr>
        <w:tab/>
      </w:r>
    </w:p>
    <w:p w14:paraId="6C334FDC" w14:textId="77777777" w:rsidR="00FF5DBE" w:rsidRPr="007C57D7" w:rsidRDefault="00FF5DBE" w:rsidP="00FF5DBE">
      <w:pPr>
        <w:spacing w:after="0" w:line="240" w:lineRule="auto"/>
        <w:jc w:val="both"/>
        <w:rPr>
          <w:rFonts w:ascii="Verdana" w:eastAsia="Times New Roman" w:hAnsi="Verdana" w:cs="Calibri"/>
          <w:color w:val="1F4E78"/>
          <w:u w:val="single"/>
          <w:lang w:eastAsia="es-CO"/>
        </w:rPr>
      </w:pPr>
      <w:r w:rsidRPr="007C57D7">
        <w:rPr>
          <w:rFonts w:ascii="Verdana" w:eastAsia="Times New Roman" w:hAnsi="Verdana" w:cs="Calibri"/>
          <w:color w:val="1F4E78"/>
          <w:u w:val="single"/>
          <w:lang w:eastAsia="es-CO"/>
        </w:rPr>
        <w:t>arquitecturaurbanaltda277@gmail.com</w:t>
      </w:r>
    </w:p>
    <w:p w14:paraId="078B9626" w14:textId="77777777" w:rsidR="00FF5DBE" w:rsidRPr="003141CD" w:rsidRDefault="00FF5DBE" w:rsidP="00FF5DBE">
      <w:pPr>
        <w:spacing w:after="0" w:line="240" w:lineRule="auto"/>
        <w:jc w:val="both"/>
        <w:rPr>
          <w:rFonts w:ascii="Verdana" w:eastAsia="Times New Roman" w:hAnsi="Verdana" w:cs="Arial"/>
          <w:lang w:val="pt-BR" w:eastAsia="es-ES_tradnl"/>
        </w:rPr>
      </w:pPr>
      <w:r w:rsidRPr="003141CD">
        <w:rPr>
          <w:rFonts w:ascii="Verdana" w:eastAsia="Times New Roman" w:hAnsi="Verdana" w:cs="Arial"/>
          <w:lang w:val="pt-BR" w:eastAsia="es-ES_tradnl"/>
        </w:rPr>
        <w:t>Bogotá D.C</w:t>
      </w:r>
    </w:p>
    <w:p w14:paraId="110BE096" w14:textId="77777777" w:rsidR="00FF5DBE" w:rsidRDefault="00FF5DBE" w:rsidP="00FF5DBE">
      <w:pPr>
        <w:spacing w:after="0" w:line="240" w:lineRule="auto"/>
        <w:rPr>
          <w:rFonts w:ascii="Verdana" w:eastAsia="Calibri" w:hAnsi="Verdana" w:cs="Arial"/>
          <w:color w:val="7030A0"/>
          <w:lang w:eastAsia="es-ES_tradnl"/>
        </w:rPr>
      </w:pPr>
    </w:p>
    <w:p w14:paraId="383EEAF8" w14:textId="213490DE" w:rsidR="00B618F8" w:rsidRPr="00EA3BD1" w:rsidRDefault="00B618F8" w:rsidP="00B618F8">
      <w:pPr>
        <w:spacing w:after="0" w:line="240" w:lineRule="auto"/>
        <w:jc w:val="right"/>
        <w:rPr>
          <w:rFonts w:ascii="Verdana" w:eastAsia="Calibri" w:hAnsi="Verdana" w:cs="Arial"/>
          <w:color w:val="7030A0"/>
          <w:lang w:eastAsia="es-ES_tradnl"/>
        </w:rPr>
      </w:pPr>
    </w:p>
    <w:p w14:paraId="0FB3977D" w14:textId="77777777" w:rsidR="00FF5DBE" w:rsidRPr="00EA3BD1" w:rsidRDefault="00FF5DBE" w:rsidP="00FF5DBE">
      <w:pPr>
        <w:spacing w:after="0" w:line="240" w:lineRule="auto"/>
        <w:ind w:left="2694"/>
        <w:rPr>
          <w:rFonts w:ascii="Verdana" w:eastAsia="Calibri" w:hAnsi="Verdana" w:cs="Arial"/>
          <w:b/>
          <w:bCs/>
          <w:color w:val="000000" w:themeColor="text1"/>
          <w:lang w:eastAsia="es-ES_tradnl"/>
        </w:rPr>
      </w:pPr>
      <w:r w:rsidRPr="00EA3BD1">
        <w:rPr>
          <w:rFonts w:ascii="Verdana" w:eastAsia="Calibri" w:hAnsi="Verdana" w:cs="Arial"/>
          <w:b/>
          <w:bCs/>
          <w:color w:val="000000" w:themeColor="text1"/>
          <w:lang w:eastAsia="es-ES_tradnl"/>
        </w:rPr>
        <w:t>Concepto C-</w:t>
      </w:r>
      <w:r>
        <w:rPr>
          <w:rFonts w:ascii="Verdana" w:eastAsia="Calibri" w:hAnsi="Verdana" w:cs="Arial"/>
          <w:b/>
          <w:bCs/>
          <w:color w:val="000000" w:themeColor="text1"/>
          <w:lang w:eastAsia="es-ES_tradnl"/>
        </w:rPr>
        <w:t xml:space="preserve"> 1106   </w:t>
      </w:r>
      <w:r w:rsidRPr="00EA3BD1">
        <w:rPr>
          <w:rFonts w:ascii="Verdana" w:eastAsia="Calibri" w:hAnsi="Verdana" w:cs="Arial"/>
          <w:b/>
          <w:bCs/>
          <w:color w:val="000000" w:themeColor="text1"/>
          <w:lang w:eastAsia="es-ES_tradnl"/>
        </w:rPr>
        <w:t>de 2025</w:t>
      </w:r>
    </w:p>
    <w:p w14:paraId="77C74457" w14:textId="77777777" w:rsidR="00FF5DBE" w:rsidRPr="00EA3BD1" w:rsidRDefault="00FF5DBE" w:rsidP="00FF5DBE">
      <w:pPr>
        <w:spacing w:after="0" w:line="240" w:lineRule="auto"/>
        <w:jc w:val="both"/>
        <w:rPr>
          <w:rFonts w:ascii="Verdana" w:eastAsia="Calibri" w:hAnsi="Verdana" w:cs="Arial"/>
          <w:color w:val="7030A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FF5DBE" w:rsidRPr="00EA3BD1" w14:paraId="2423B4B8" w14:textId="77777777" w:rsidTr="00B60046">
        <w:tc>
          <w:tcPr>
            <w:tcW w:w="2694" w:type="dxa"/>
          </w:tcPr>
          <w:p w14:paraId="3295A4B5" w14:textId="77777777" w:rsidR="00FF5DBE" w:rsidRPr="00EA3BD1" w:rsidRDefault="00FF5DBE" w:rsidP="00B60046">
            <w:pPr>
              <w:rPr>
                <w:rFonts w:ascii="Verdana" w:eastAsia="Calibri" w:hAnsi="Verdana" w:cs="Arial"/>
                <w:color w:val="7030A0"/>
                <w:lang w:eastAsia="es-ES_tradnl"/>
              </w:rPr>
            </w:pPr>
            <w:r w:rsidRPr="00EA3BD1">
              <w:rPr>
                <w:rFonts w:ascii="Verdana" w:eastAsia="Calibri" w:hAnsi="Verdana" w:cs="Arial"/>
                <w:b/>
                <w:lang w:eastAsia="es-ES_tradnl"/>
              </w:rPr>
              <w:t>Temas</w:t>
            </w:r>
          </w:p>
        </w:tc>
        <w:tc>
          <w:tcPr>
            <w:tcW w:w="6095" w:type="dxa"/>
          </w:tcPr>
          <w:p w14:paraId="31DC8B32" w14:textId="77777777" w:rsidR="00FF5DBE" w:rsidRDefault="00FF5DBE" w:rsidP="00B60046">
            <w:pPr>
              <w:jc w:val="both"/>
              <w:rPr>
                <w:rFonts w:ascii="Verdana" w:eastAsia="Calibri" w:hAnsi="Verdana" w:cs="Arial"/>
                <w:lang w:val="es-ES" w:eastAsia="es-ES"/>
              </w:rPr>
            </w:pPr>
            <w:r w:rsidRPr="00EA3BD1">
              <w:rPr>
                <w:rFonts w:ascii="Verdana" w:eastAsia="Calibri" w:hAnsi="Verdana" w:cs="Arial"/>
                <w:bCs/>
              </w:rPr>
              <w:t xml:space="preserve">LEY 2020 DE 2020 – Objetivo / REGISTRO NACIONAL DE OBRAS CIVILES INCONCLUSAS – Concepto – Ley 2020 de 2020 </w:t>
            </w:r>
            <w:r>
              <w:rPr>
                <w:rFonts w:ascii="Verdana" w:eastAsia="Calibri" w:hAnsi="Verdana" w:cs="Arial"/>
                <w:bCs/>
              </w:rPr>
              <w:t xml:space="preserve">/ </w:t>
            </w:r>
            <w:r w:rsidRPr="0023577C">
              <w:rPr>
                <w:rFonts w:ascii="Verdana" w:eastAsia="Calibri" w:hAnsi="Verdana" w:cs="Arial"/>
                <w:bCs/>
              </w:rPr>
              <w:t>Agencia Nacional de Contratación Pública – Conceptos – Alcance – Competencia Consultiva – Obligatoriedad – Vinculatoriedad</w:t>
            </w:r>
          </w:p>
          <w:p w14:paraId="74D4D607" w14:textId="77777777" w:rsidR="00FF5DBE" w:rsidRPr="00524568" w:rsidRDefault="00FF5DBE" w:rsidP="00B60046">
            <w:pPr>
              <w:spacing w:line="276" w:lineRule="auto"/>
              <w:jc w:val="both"/>
              <w:rPr>
                <w:rFonts w:ascii="Verdana" w:eastAsia="Calibri" w:hAnsi="Verdana" w:cs="Arial"/>
                <w:bCs/>
                <w:lang w:val="es-ES"/>
              </w:rPr>
            </w:pPr>
          </w:p>
        </w:tc>
      </w:tr>
      <w:tr w:rsidR="00FF5DBE" w:rsidRPr="00EA3BD1" w14:paraId="3554B79C" w14:textId="77777777" w:rsidTr="00B60046">
        <w:tc>
          <w:tcPr>
            <w:tcW w:w="2694" w:type="dxa"/>
          </w:tcPr>
          <w:p w14:paraId="08D8B929" w14:textId="77777777" w:rsidR="00FF5DBE" w:rsidRPr="00EA3BD1" w:rsidRDefault="00FF5DBE" w:rsidP="00B60046">
            <w:pPr>
              <w:rPr>
                <w:rFonts w:ascii="Verdana" w:eastAsia="Calibri" w:hAnsi="Verdana" w:cs="Arial"/>
                <w:b/>
                <w:color w:val="000000" w:themeColor="text1"/>
                <w:lang w:eastAsia="es-ES_tradnl"/>
              </w:rPr>
            </w:pPr>
            <w:r w:rsidRPr="00EA3BD1">
              <w:rPr>
                <w:rFonts w:ascii="Verdana" w:eastAsia="Calibri" w:hAnsi="Verdana" w:cs="Arial"/>
                <w:b/>
                <w:color w:val="000000" w:themeColor="text1"/>
                <w:lang w:eastAsia="es-ES_tradnl"/>
              </w:rPr>
              <w:t>Radicación:</w:t>
            </w:r>
          </w:p>
        </w:tc>
        <w:tc>
          <w:tcPr>
            <w:tcW w:w="6095" w:type="dxa"/>
          </w:tcPr>
          <w:p w14:paraId="7D4403DA" w14:textId="77777777" w:rsidR="00FF5DBE" w:rsidRPr="00EA3BD1" w:rsidRDefault="00FF5DBE" w:rsidP="00B60046">
            <w:pPr>
              <w:jc w:val="both"/>
              <w:rPr>
                <w:rFonts w:ascii="Verdana" w:eastAsia="Calibri" w:hAnsi="Verdana" w:cs="Arial"/>
                <w:color w:val="000000" w:themeColor="text1"/>
                <w:lang w:eastAsia="es-ES_tradnl"/>
              </w:rPr>
            </w:pPr>
            <w:r w:rsidRPr="00EA3BD1">
              <w:rPr>
                <w:rFonts w:ascii="Verdana" w:eastAsia="Calibri" w:hAnsi="Verdana" w:cs="Arial"/>
                <w:color w:val="000000" w:themeColor="text1"/>
                <w:lang w:eastAsia="es-ES_tradnl"/>
              </w:rPr>
              <w:t xml:space="preserve">Respuesta a consulta radicado No. </w:t>
            </w:r>
            <w:r w:rsidRPr="00E47C21">
              <w:rPr>
                <w:rFonts w:ascii="Verdana" w:eastAsia="Calibri" w:hAnsi="Verdana" w:cs="Arial"/>
                <w:color w:val="000000" w:themeColor="text1"/>
                <w:lang w:eastAsia="es-ES_tradnl"/>
              </w:rPr>
              <w:t>1_2025_08_08_008262</w:t>
            </w:r>
          </w:p>
        </w:tc>
      </w:tr>
    </w:tbl>
    <w:p w14:paraId="0E14A76E" w14:textId="77777777" w:rsidR="00FF5DBE" w:rsidRPr="00EA3BD1" w:rsidRDefault="00FF5DBE" w:rsidP="00FF5DBE">
      <w:pPr>
        <w:spacing w:after="0" w:line="240" w:lineRule="auto"/>
        <w:jc w:val="both"/>
        <w:rPr>
          <w:rFonts w:ascii="Verdana" w:eastAsia="Calibri" w:hAnsi="Verdana" w:cs="Arial"/>
          <w:color w:val="000000" w:themeColor="text1"/>
          <w:lang w:eastAsia="es-ES_tradnl"/>
        </w:rPr>
      </w:pPr>
    </w:p>
    <w:p w14:paraId="4967CC93" w14:textId="77777777" w:rsidR="00FF5DBE" w:rsidRPr="00EA3BD1" w:rsidRDefault="00FF5DBE" w:rsidP="00FF5DBE">
      <w:pPr>
        <w:spacing w:after="0" w:line="240" w:lineRule="auto"/>
        <w:jc w:val="both"/>
        <w:rPr>
          <w:rFonts w:ascii="Verdana" w:eastAsia="Calibri" w:hAnsi="Verdana" w:cs="Arial"/>
          <w:color w:val="000000" w:themeColor="text1"/>
          <w:lang w:eastAsia="es-ES_tradnl"/>
        </w:rPr>
      </w:pPr>
    </w:p>
    <w:p w14:paraId="2E200449" w14:textId="2ADBA373" w:rsidR="00FF5DBE" w:rsidRPr="00EA3BD1" w:rsidRDefault="00FF5DBE" w:rsidP="00FF5DBE">
      <w:pPr>
        <w:spacing w:after="0" w:line="276" w:lineRule="auto"/>
        <w:jc w:val="both"/>
        <w:rPr>
          <w:rFonts w:ascii="Verdana" w:eastAsia="Calibri" w:hAnsi="Verdana" w:cs="Arial"/>
          <w:bCs/>
          <w:color w:val="000000" w:themeColor="text1"/>
          <w:lang w:eastAsia="es-ES_tradnl"/>
        </w:rPr>
      </w:pPr>
      <w:r w:rsidRPr="00EA3BD1">
        <w:rPr>
          <w:rFonts w:ascii="Verdana" w:eastAsia="Calibri" w:hAnsi="Verdana" w:cs="Arial"/>
          <w:color w:val="000000" w:themeColor="text1"/>
          <w:lang w:eastAsia="es-ES_tradnl"/>
        </w:rPr>
        <w:t xml:space="preserve">Estimado señor </w:t>
      </w:r>
      <w:r>
        <w:rPr>
          <w:rFonts w:ascii="Verdana" w:eastAsia="Calibri" w:hAnsi="Verdana" w:cs="Arial"/>
          <w:color w:val="000000" w:themeColor="text1"/>
          <w:lang w:eastAsia="es-ES_tradnl"/>
        </w:rPr>
        <w:t>Daza</w:t>
      </w:r>
      <w:r w:rsidRPr="00EA3BD1">
        <w:rPr>
          <w:rFonts w:ascii="Verdana" w:eastAsia="Calibri" w:hAnsi="Verdana" w:cs="Arial"/>
          <w:color w:val="000000" w:themeColor="text1"/>
          <w:lang w:eastAsia="es-ES_tradnl"/>
        </w:rPr>
        <w:t>:</w:t>
      </w:r>
      <w:r w:rsidR="00EC4086">
        <w:rPr>
          <w:rFonts w:ascii="Verdana" w:eastAsia="Calibri" w:hAnsi="Verdana" w:cs="Arial"/>
          <w:color w:val="000000" w:themeColor="text1"/>
          <w:lang w:eastAsia="es-ES_tradnl"/>
        </w:rPr>
        <w:t xml:space="preserve"> </w:t>
      </w:r>
    </w:p>
    <w:p w14:paraId="1D51390B" w14:textId="77777777" w:rsidR="00FF5DBE" w:rsidRPr="00EA3BD1" w:rsidRDefault="00FF5DBE" w:rsidP="00FF5DBE">
      <w:pPr>
        <w:spacing w:after="0" w:line="276" w:lineRule="auto"/>
        <w:jc w:val="both"/>
        <w:rPr>
          <w:rFonts w:ascii="Verdana" w:eastAsia="Calibri" w:hAnsi="Verdana" w:cs="Arial"/>
          <w:color w:val="000000" w:themeColor="text1"/>
          <w:lang w:eastAsia="es-ES_tradnl"/>
        </w:rPr>
      </w:pPr>
    </w:p>
    <w:p w14:paraId="50060A46" w14:textId="77777777" w:rsidR="00FF5DBE" w:rsidRDefault="00FF5DBE" w:rsidP="00FF5DBE">
      <w:pPr>
        <w:spacing w:after="0" w:line="276" w:lineRule="auto"/>
        <w:jc w:val="both"/>
        <w:rPr>
          <w:rFonts w:ascii="Verdana" w:eastAsia="Calibri" w:hAnsi="Verdana" w:cs="Arial"/>
          <w:color w:val="000000" w:themeColor="text1"/>
          <w:lang w:eastAsia="es-ES_tradnl"/>
        </w:rPr>
      </w:pPr>
      <w:r w:rsidRPr="00DC2F81">
        <w:rPr>
          <w:rFonts w:ascii="Verdana" w:eastAsia="Calibri" w:hAnsi="Verdana" w:cs="Arial"/>
          <w:color w:val="000000" w:themeColor="text1"/>
          <w:lang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del 0</w:t>
      </w:r>
      <w:r>
        <w:rPr>
          <w:rFonts w:ascii="Verdana" w:eastAsia="Calibri" w:hAnsi="Verdana" w:cs="Arial"/>
          <w:color w:val="000000" w:themeColor="text1"/>
          <w:lang w:eastAsia="es-ES_tradnl"/>
        </w:rPr>
        <w:t>8</w:t>
      </w:r>
      <w:r w:rsidRPr="00DC2F81">
        <w:rPr>
          <w:rFonts w:ascii="Verdana" w:eastAsia="Calibri" w:hAnsi="Verdana" w:cs="Arial"/>
          <w:color w:val="000000" w:themeColor="text1"/>
          <w:lang w:eastAsia="es-ES_tradnl"/>
        </w:rPr>
        <w:t xml:space="preserve"> de agosto de 2025, en las cuales manifiesta lo siguiente: </w:t>
      </w:r>
    </w:p>
    <w:p w14:paraId="12C510E0" w14:textId="77777777" w:rsidR="00FF5DBE" w:rsidRDefault="00FF5DBE" w:rsidP="00FF5DBE">
      <w:pPr>
        <w:spacing w:after="0" w:line="276" w:lineRule="auto"/>
        <w:jc w:val="both"/>
        <w:rPr>
          <w:rFonts w:ascii="Verdana" w:eastAsia="Calibri" w:hAnsi="Verdana" w:cs="Arial"/>
          <w:color w:val="000000" w:themeColor="text1"/>
          <w:lang w:eastAsia="es-ES_tradnl"/>
        </w:rPr>
      </w:pPr>
    </w:p>
    <w:p w14:paraId="2D251501" w14:textId="77777777" w:rsidR="00FF5DBE" w:rsidRDefault="00FF5DBE" w:rsidP="00FF5DBE">
      <w:pPr>
        <w:spacing w:after="0" w:line="276" w:lineRule="auto"/>
        <w:jc w:val="both"/>
        <w:rPr>
          <w:rFonts w:ascii="Verdana" w:eastAsia="Calibri" w:hAnsi="Verdana" w:cs="Arial"/>
          <w:color w:val="000000" w:themeColor="text1"/>
          <w:lang w:eastAsia="es-ES_tradnl"/>
        </w:rPr>
      </w:pPr>
    </w:p>
    <w:p w14:paraId="02A3809D" w14:textId="77777777" w:rsidR="00FF5DBE" w:rsidRDefault="00FF5DBE" w:rsidP="00FF5DBE">
      <w:pPr>
        <w:spacing w:after="0" w:line="276" w:lineRule="auto"/>
        <w:ind w:left="709" w:right="616"/>
        <w:jc w:val="both"/>
        <w:rPr>
          <w:rFonts w:ascii="Verdana" w:eastAsia="Times New Roman" w:hAnsi="Verdana" w:cs="Arial"/>
          <w:i/>
          <w:iCs/>
          <w:color w:val="000000" w:themeColor="text1"/>
          <w:lang w:eastAsia="es-ES_tradnl"/>
        </w:rPr>
      </w:pPr>
      <w:r w:rsidRPr="00DC2F81">
        <w:rPr>
          <w:rFonts w:ascii="Verdana" w:eastAsia="Times New Roman" w:hAnsi="Verdana" w:cs="Arial"/>
          <w:i/>
          <w:iCs/>
          <w:color w:val="000000" w:themeColor="text1"/>
          <w:lang w:eastAsia="es-ES_tradnl"/>
        </w:rPr>
        <w:t>“</w:t>
      </w:r>
      <w:r>
        <w:rPr>
          <w:rFonts w:ascii="Verdana" w:eastAsia="Times New Roman" w:hAnsi="Verdana" w:cs="Arial"/>
          <w:i/>
          <w:iCs/>
          <w:color w:val="000000" w:themeColor="text1"/>
          <w:lang w:eastAsia="es-ES_tradnl"/>
        </w:rPr>
        <w:t>[…]</w:t>
      </w:r>
    </w:p>
    <w:p w14:paraId="5589B1D1" w14:textId="77777777" w:rsidR="00FF5DBE" w:rsidRDefault="00FF5DBE" w:rsidP="00FF5DBE">
      <w:pPr>
        <w:spacing w:after="0" w:line="276" w:lineRule="auto"/>
        <w:ind w:left="709" w:right="616"/>
        <w:jc w:val="both"/>
        <w:rPr>
          <w:rFonts w:ascii="Verdana" w:eastAsia="Times New Roman" w:hAnsi="Verdana" w:cs="Arial"/>
          <w:i/>
          <w:iCs/>
          <w:color w:val="000000" w:themeColor="text1"/>
          <w:lang w:eastAsia="es-ES_tradnl"/>
        </w:rPr>
      </w:pPr>
      <w:r w:rsidRPr="00643E4C">
        <w:rPr>
          <w:rFonts w:ascii="Verdana" w:eastAsia="Times New Roman" w:hAnsi="Verdana" w:cs="Arial"/>
          <w:i/>
          <w:iCs/>
          <w:color w:val="000000" w:themeColor="text1"/>
          <w:lang w:eastAsia="es-ES_tradnl"/>
        </w:rPr>
        <w:t xml:space="preserve">¿Es jurídicamente válido que una entidad estatal aplique el descuento de un (1) punto de forma automática y sin análisis, con base únicamente en la existencia de una anotación en el REGISTRO NACIONAL DE OBRAS CIVILES INCONCLUSAS, incluso cuando existen documentos de la entidad contratante que desvirtúan la responsabilidad del contratista o del interventor? 2. </w:t>
      </w:r>
      <w:proofErr w:type="gramStart"/>
      <w:r w:rsidRPr="00643E4C">
        <w:rPr>
          <w:rFonts w:ascii="Verdana" w:eastAsia="Times New Roman" w:hAnsi="Verdana" w:cs="Arial"/>
          <w:i/>
          <w:iCs/>
          <w:color w:val="000000" w:themeColor="text1"/>
          <w:lang w:eastAsia="es-ES_tradnl"/>
        </w:rPr>
        <w:t xml:space="preserve">¿Cuál es el alcance obligatorio de los conceptos emitidos por COLOMBIA COMPRA EFICIENTE, tales como el CONCEPTO C-110 de 2021, en </w:t>
      </w:r>
      <w:r w:rsidRPr="00643E4C">
        <w:rPr>
          <w:rFonts w:ascii="Verdana" w:eastAsia="Times New Roman" w:hAnsi="Verdana" w:cs="Arial"/>
          <w:i/>
          <w:iCs/>
          <w:color w:val="000000" w:themeColor="text1"/>
          <w:lang w:eastAsia="es-ES_tradnl"/>
        </w:rPr>
        <w:lastRenderedPageBreak/>
        <w:t>los que se precisa que la anotación no genera automáticamente un descuento de puntaje y que debe existir un análisis previo por parte de la entidad contratante</w:t>
      </w:r>
      <w:r>
        <w:rPr>
          <w:rFonts w:ascii="Verdana" w:eastAsia="Times New Roman" w:hAnsi="Verdana" w:cs="Arial"/>
          <w:i/>
          <w:iCs/>
          <w:color w:val="000000" w:themeColor="text1"/>
          <w:lang w:eastAsia="es-ES_tradnl"/>
        </w:rPr>
        <w:t>.</w:t>
      </w:r>
      <w:proofErr w:type="gramEnd"/>
      <w:r>
        <w:rPr>
          <w:rFonts w:ascii="Verdana" w:eastAsia="Times New Roman" w:hAnsi="Verdana" w:cs="Arial"/>
          <w:i/>
          <w:iCs/>
          <w:color w:val="000000" w:themeColor="text1"/>
          <w:lang w:eastAsia="es-ES_tradnl"/>
        </w:rPr>
        <w:t xml:space="preserve"> […]”</w:t>
      </w:r>
    </w:p>
    <w:p w14:paraId="1E779445" w14:textId="77777777" w:rsidR="00FF5DBE" w:rsidRPr="00DC2F81" w:rsidRDefault="00FF5DBE" w:rsidP="00FF5DBE">
      <w:pPr>
        <w:spacing w:after="0" w:line="276" w:lineRule="auto"/>
        <w:jc w:val="both"/>
        <w:rPr>
          <w:rFonts w:ascii="Verdana" w:eastAsia="Times New Roman" w:hAnsi="Verdana" w:cs="Arial"/>
          <w:i/>
          <w:iCs/>
          <w:color w:val="000000" w:themeColor="text1"/>
          <w:lang w:eastAsia="es-ES_tradnl"/>
        </w:rPr>
      </w:pPr>
    </w:p>
    <w:p w14:paraId="6C7FD06A" w14:textId="77777777" w:rsidR="00FF5DBE" w:rsidRPr="00EA3BD1" w:rsidRDefault="00FF5DBE" w:rsidP="00FF5DBE">
      <w:pPr>
        <w:spacing w:after="120" w:line="276" w:lineRule="auto"/>
        <w:ind w:firstLine="709"/>
        <w:jc w:val="both"/>
        <w:rPr>
          <w:rFonts w:ascii="Verdana" w:eastAsia="Calibri" w:hAnsi="Verdana" w:cs="Arial"/>
          <w:color w:val="000000" w:themeColor="text1"/>
          <w:lang w:eastAsia="es-ES"/>
        </w:rPr>
      </w:pPr>
      <w:r w:rsidRPr="00EA3BD1">
        <w:rPr>
          <w:rFonts w:ascii="Verdana" w:eastAsia="Calibri" w:hAnsi="Verdana" w:cs="Arial"/>
          <w:color w:val="000000" w:themeColor="text1"/>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3BD1">
        <w:rPr>
          <w:rFonts w:ascii="Verdana" w:eastAsia="Calibri" w:hAnsi="Verdana" w:cs="Arial"/>
          <w:color w:val="000000" w:themeColor="text1"/>
          <w:szCs w:val="24"/>
          <w:lang w:eastAsia="es-ES_tradnl"/>
        </w:rPr>
        <w:tab/>
      </w:r>
    </w:p>
    <w:p w14:paraId="7E6B58EE" w14:textId="77777777" w:rsidR="00FF5DBE" w:rsidRPr="00EA3BD1" w:rsidRDefault="00FF5DBE" w:rsidP="00FF5DBE">
      <w:pPr>
        <w:spacing w:after="0" w:line="276" w:lineRule="auto"/>
        <w:ind w:firstLine="709"/>
        <w:jc w:val="both"/>
        <w:rPr>
          <w:rFonts w:ascii="Verdana" w:eastAsia="Calibri" w:hAnsi="Verdana" w:cs="Arial"/>
          <w:color w:val="000000" w:themeColor="text1"/>
          <w:lang w:eastAsia="es-ES"/>
        </w:rPr>
      </w:pPr>
      <w:r w:rsidRPr="00EA3BD1">
        <w:rPr>
          <w:rFonts w:ascii="Verdana" w:eastAsia="Calibri" w:hAnsi="Verdana" w:cs="Arial"/>
          <w:color w:val="000000" w:themeColor="text1"/>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773FAE59" w14:textId="77777777" w:rsidR="00FF5DBE" w:rsidRPr="00EA3BD1" w:rsidRDefault="00FF5DBE" w:rsidP="00FF5DBE">
      <w:pPr>
        <w:spacing w:after="0" w:line="276" w:lineRule="auto"/>
        <w:jc w:val="both"/>
        <w:rPr>
          <w:rFonts w:ascii="Verdana" w:eastAsia="Times New Roman" w:hAnsi="Verdana" w:cs="Arial"/>
          <w:color w:val="7030A0"/>
          <w:szCs w:val="24"/>
          <w:lang w:eastAsia="es-ES_tradnl"/>
        </w:rPr>
      </w:pPr>
    </w:p>
    <w:p w14:paraId="61109154" w14:textId="77777777" w:rsidR="00FF5DBE" w:rsidRPr="00EA3BD1" w:rsidRDefault="00FF5DBE" w:rsidP="00FF5DBE">
      <w:pPr>
        <w:tabs>
          <w:tab w:val="left" w:pos="0"/>
          <w:tab w:val="left" w:pos="284"/>
        </w:tabs>
        <w:spacing w:after="0" w:line="276" w:lineRule="auto"/>
        <w:jc w:val="both"/>
        <w:rPr>
          <w:rFonts w:ascii="Verdana" w:eastAsia="Calibri" w:hAnsi="Verdana" w:cs="Arial"/>
          <w:b/>
          <w:color w:val="000000" w:themeColor="text1"/>
        </w:rPr>
      </w:pPr>
      <w:r w:rsidRPr="00EA3BD1">
        <w:rPr>
          <w:rFonts w:ascii="Verdana" w:eastAsia="Calibri" w:hAnsi="Verdana" w:cs="Arial"/>
          <w:b/>
          <w:color w:val="000000" w:themeColor="text1"/>
        </w:rPr>
        <w:t>1. Problema planteado:</w:t>
      </w:r>
    </w:p>
    <w:p w14:paraId="53A42D3D" w14:textId="77777777" w:rsidR="00FF5DBE" w:rsidRPr="00EA3BD1" w:rsidRDefault="00FF5DBE" w:rsidP="00FF5DBE">
      <w:pPr>
        <w:tabs>
          <w:tab w:val="left" w:pos="0"/>
          <w:tab w:val="left" w:pos="284"/>
        </w:tabs>
        <w:spacing w:after="0" w:line="276" w:lineRule="auto"/>
        <w:jc w:val="both"/>
        <w:rPr>
          <w:rFonts w:ascii="Verdana" w:eastAsia="Calibri" w:hAnsi="Verdana" w:cs="Arial"/>
          <w:b/>
          <w:color w:val="000000" w:themeColor="text1"/>
        </w:rPr>
      </w:pPr>
    </w:p>
    <w:p w14:paraId="5C686250" w14:textId="7AF3A232" w:rsidR="00FF5DBE" w:rsidRPr="00410D77" w:rsidRDefault="00FF5DBE" w:rsidP="00FF5DBE">
      <w:pPr>
        <w:tabs>
          <w:tab w:val="left" w:pos="0"/>
          <w:tab w:val="left" w:pos="284"/>
        </w:tabs>
        <w:spacing w:after="0" w:line="276" w:lineRule="auto"/>
        <w:jc w:val="both"/>
        <w:rPr>
          <w:rFonts w:ascii="Verdana" w:eastAsia="Calibri" w:hAnsi="Verdana" w:cs="Arial"/>
          <w:color w:val="000000" w:themeColor="text1"/>
          <w:lang w:eastAsia="es-ES"/>
        </w:rPr>
      </w:pPr>
      <w:r w:rsidRPr="00410D77">
        <w:rPr>
          <w:rFonts w:ascii="Verdana" w:eastAsia="Calibri" w:hAnsi="Verdana" w:cs="Arial"/>
          <w:bCs/>
          <w:color w:val="000000" w:themeColor="text1"/>
        </w:rPr>
        <w:t xml:space="preserve">De </w:t>
      </w:r>
      <w:r w:rsidRPr="00410D77">
        <w:rPr>
          <w:rFonts w:ascii="Verdana" w:eastAsia="Calibri" w:hAnsi="Verdana" w:cs="Arial"/>
          <w:color w:val="000000" w:themeColor="text1"/>
          <w:lang w:eastAsia="es-ES"/>
        </w:rPr>
        <w:t>acuerdo con el contenido de su solicitud, esta Agencia resolverá el siguiente problema jurídico: 1. ¿se le debe descontar un (1) punto del factor de calidad de manera automática al proponente que cuente con el reporte</w:t>
      </w:r>
      <w:r w:rsidR="00E1740C">
        <w:rPr>
          <w:rFonts w:ascii="Verdana" w:eastAsia="Calibri" w:hAnsi="Verdana" w:cs="Arial"/>
          <w:color w:val="000000" w:themeColor="text1"/>
          <w:lang w:eastAsia="es-ES"/>
        </w:rPr>
        <w:t xml:space="preserve"> de obras inconclusas</w:t>
      </w:r>
      <w:r w:rsidRPr="00410D77">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2. </w:t>
      </w:r>
      <w:r w:rsidRPr="00D15D94">
        <w:rPr>
          <w:rFonts w:ascii="Verdana" w:eastAsia="Century Gothic" w:hAnsi="Verdana" w:cs="Century Gothic"/>
        </w:rPr>
        <w:t>¿Los conceptos emitidos por la Agencia Nacional de Contratación Pública – Colombia Compra Eficiente</w:t>
      </w:r>
      <w:r>
        <w:rPr>
          <w:rFonts w:ascii="Verdana" w:eastAsia="Century Gothic" w:hAnsi="Verdana" w:cs="Century Gothic"/>
        </w:rPr>
        <w:t>, en el marco de su función consultiva,</w:t>
      </w:r>
      <w:r w:rsidRPr="00D15D94">
        <w:rPr>
          <w:rFonts w:ascii="Verdana" w:eastAsia="Century Gothic" w:hAnsi="Verdana" w:cs="Century Gothic"/>
        </w:rPr>
        <w:t xml:space="preserve"> tienen carácter vinculante y/o de obligatorio cumplimiento para los partícip</w:t>
      </w:r>
      <w:r>
        <w:rPr>
          <w:rFonts w:ascii="Verdana" w:eastAsia="Century Gothic" w:hAnsi="Verdana" w:cs="Century Gothic"/>
        </w:rPr>
        <w:t>es</w:t>
      </w:r>
      <w:r w:rsidRPr="00D15D94">
        <w:rPr>
          <w:rFonts w:ascii="Verdana" w:eastAsia="Century Gothic" w:hAnsi="Verdana" w:cs="Century Gothic"/>
        </w:rPr>
        <w:t xml:space="preserve"> en los procesos de contratación pública?</w:t>
      </w:r>
    </w:p>
    <w:p w14:paraId="2B907925" w14:textId="77777777" w:rsidR="00FF5DBE" w:rsidRPr="00EA3BD1" w:rsidRDefault="00FF5DBE" w:rsidP="00FF5DBE">
      <w:pPr>
        <w:spacing w:after="0" w:line="276" w:lineRule="auto"/>
        <w:jc w:val="both"/>
        <w:rPr>
          <w:rFonts w:ascii="Verdana" w:eastAsia="Calibri" w:hAnsi="Verdana" w:cs="Arial"/>
          <w:color w:val="7030A0"/>
          <w:u w:val="single"/>
          <w:lang w:eastAsia="es-ES_tradnl"/>
        </w:rPr>
      </w:pPr>
    </w:p>
    <w:p w14:paraId="4F323D38" w14:textId="77777777" w:rsidR="00FF5DBE" w:rsidRPr="00EA3BD1" w:rsidRDefault="00FF5DBE" w:rsidP="00FF5DBE">
      <w:pPr>
        <w:widowControl w:val="0"/>
        <w:tabs>
          <w:tab w:val="left" w:pos="382"/>
        </w:tabs>
        <w:autoSpaceDE w:val="0"/>
        <w:autoSpaceDN w:val="0"/>
        <w:spacing w:after="0" w:line="276" w:lineRule="auto"/>
        <w:outlineLvl w:val="0"/>
        <w:rPr>
          <w:rFonts w:ascii="Verdana" w:eastAsia="Verdana" w:hAnsi="Verdana" w:cs="Verdana"/>
          <w:b/>
          <w:bCs/>
        </w:rPr>
      </w:pPr>
      <w:r w:rsidRPr="00EA3BD1">
        <w:rPr>
          <w:rFonts w:ascii="Verdana" w:eastAsia="Verdana" w:hAnsi="Verdana" w:cs="Verdana"/>
          <w:b/>
          <w:bCs/>
          <w:spacing w:val="-2"/>
        </w:rPr>
        <w:t>2. Respuesta:</w:t>
      </w:r>
    </w:p>
    <w:p w14:paraId="55635E6A" w14:textId="77777777" w:rsidR="00FF5DBE" w:rsidRPr="00EA3BD1" w:rsidRDefault="00FF5DBE" w:rsidP="00FF5DBE">
      <w:pPr>
        <w:tabs>
          <w:tab w:val="left" w:pos="142"/>
          <w:tab w:val="left" w:pos="284"/>
        </w:tabs>
        <w:spacing w:after="0" w:line="276" w:lineRule="auto"/>
        <w:jc w:val="both"/>
        <w:rPr>
          <w:rFonts w:ascii="Verdana" w:eastAsia="Century Gothic" w:hAnsi="Verdana" w:cs="Century Gothic"/>
          <w:b/>
          <w:bCs/>
          <w:color w:val="7030A0"/>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5DBE" w:rsidRPr="00EA3BD1" w14:paraId="6E804AA2" w14:textId="77777777" w:rsidTr="00B60046">
        <w:tc>
          <w:tcPr>
            <w:tcW w:w="8828" w:type="dxa"/>
          </w:tcPr>
          <w:p w14:paraId="6029F6E0" w14:textId="77777777" w:rsidR="00FF5DBE" w:rsidRPr="00410D77" w:rsidRDefault="00FF5DBE" w:rsidP="00B60046">
            <w:pPr>
              <w:spacing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1. Se</w:t>
            </w:r>
            <w:r w:rsidRPr="00410D77">
              <w:rPr>
                <w:rFonts w:ascii="Verdana" w:eastAsia="Calibri" w:hAnsi="Verdana" w:cs="Arial"/>
                <w:color w:val="000000" w:themeColor="text1"/>
                <w:lang w:eastAsia="es-ES"/>
              </w:rPr>
              <w:t xml:space="preserve"> precisa que el descuento del punto de la sumatoria obtenida en relación con el factor de calidad, del que trata el texto de los documentos base </w:t>
            </w:r>
            <w:r w:rsidRPr="00410D77">
              <w:rPr>
                <w:rFonts w:ascii="Verdana" w:eastAsia="Calibri" w:hAnsi="Verdana" w:cs="Arial"/>
                <w:color w:val="000000" w:themeColor="text1"/>
                <w:lang w:eastAsia="es-ES"/>
              </w:rPr>
              <w:lastRenderedPageBreak/>
              <w:t xml:space="preserve">adoptados por la Agencia Nacional de Contratación Pública – Colombia Compra Eficiente, en el documento pliego tipo para licitación pública, deberá efectuarse sólo si una vez realizada la consulta y el análisis de la Entidad Estatal sobre las anotaciones vigentes en el Registro Nacional de Obras Civiles Inconclusa, se determina que esa anotación se dio por un incumplimiento del contratista, por lo que, dependiendo del supuesto, la entidad descontará el punto. </w:t>
            </w:r>
          </w:p>
          <w:p w14:paraId="44F0DE92" w14:textId="77777777" w:rsidR="00FF5DBE" w:rsidRPr="00410D77" w:rsidRDefault="00FF5DBE" w:rsidP="00E1740C">
            <w:pPr>
              <w:spacing w:before="120" w:line="276" w:lineRule="auto"/>
              <w:ind w:firstLine="709"/>
              <w:jc w:val="both"/>
              <w:rPr>
                <w:rFonts w:ascii="Verdana" w:eastAsia="Calibri" w:hAnsi="Verdana" w:cs="Arial"/>
                <w:color w:val="000000" w:themeColor="text1"/>
                <w:lang w:eastAsia="es-ES"/>
              </w:rPr>
            </w:pPr>
            <w:r w:rsidRPr="00410D77">
              <w:rPr>
                <w:rFonts w:ascii="Verdana" w:eastAsia="Calibri" w:hAnsi="Verdana" w:cs="Arial"/>
                <w:color w:val="000000" w:themeColor="text1"/>
                <w:lang w:eastAsia="es-ES"/>
              </w:rPr>
              <w:t>En ese orden de ideas, se debe tener en cuenta que el hecho de que un contratista de obra o interventor se encuentre incluido en dicho Registro Nacional de Obras Civiles Inconclusas no genera automáticamente una consecuencia en la ponderación de los criterios de evaluación, pues la Entidad Estatal tiene el deber de consultar, analizar y valorar las anotaciones vigentes, con el fin de verificar si la misma corresponde a incumplimiento del proponente, en el caso de que así sea se aplicará el descuento contemplado.</w:t>
            </w:r>
          </w:p>
          <w:p w14:paraId="67974FCB" w14:textId="77777777" w:rsidR="00FF5DBE" w:rsidRDefault="00FF5DBE" w:rsidP="00E1740C">
            <w:pPr>
              <w:spacing w:before="120" w:line="276" w:lineRule="auto"/>
              <w:ind w:firstLine="709"/>
              <w:jc w:val="both"/>
              <w:rPr>
                <w:rFonts w:ascii="Verdana" w:eastAsia="Calibri" w:hAnsi="Verdana" w:cs="Arial"/>
                <w:color w:val="000000" w:themeColor="text1"/>
                <w:lang w:eastAsia="es-ES"/>
              </w:rPr>
            </w:pPr>
            <w:r w:rsidRPr="00410D77">
              <w:rPr>
                <w:rFonts w:ascii="Verdana" w:eastAsia="Calibri" w:hAnsi="Verdana" w:cs="Arial"/>
                <w:color w:val="000000" w:themeColor="text1"/>
                <w:lang w:eastAsia="es-ES"/>
              </w:rPr>
              <w:t>Asimismo, es importante indicar que en el caso de propuestas presentadas por los proponentes plurales, a la Entidad Estatal le asiste el deber de consultar en el Registro Nacional de Obras Civiles Inconclusas las anotación que al respecto existan únicamente de sus integrantes, esto es, personas naturales o jurídicas, y en caso tal de que se encuentren incluidos en dicho registro, deberán verificar si aquella corresponde a una anotación por incumplimiento, en el caso de que así sea, se aplicará el descuento contemplad</w:t>
            </w:r>
            <w:r>
              <w:rPr>
                <w:rFonts w:ascii="Verdana" w:eastAsia="Calibri" w:hAnsi="Verdana" w:cs="Arial"/>
                <w:color w:val="000000" w:themeColor="text1"/>
                <w:lang w:eastAsia="es-ES"/>
              </w:rPr>
              <w:t xml:space="preserve">o. </w:t>
            </w:r>
          </w:p>
          <w:p w14:paraId="32DD06E6" w14:textId="77777777" w:rsidR="00FF5DBE" w:rsidRDefault="00FF5DBE" w:rsidP="00B60046">
            <w:pPr>
              <w:spacing w:before="120" w:line="276" w:lineRule="auto"/>
              <w:ind w:firstLine="709"/>
              <w:jc w:val="both"/>
              <w:rPr>
                <w:rFonts w:ascii="Verdana" w:eastAsia="Calibri" w:hAnsi="Verdana" w:cs="Arial"/>
                <w:color w:val="000000" w:themeColor="text1"/>
                <w:lang w:eastAsia="es-ES"/>
              </w:rPr>
            </w:pPr>
          </w:p>
          <w:p w14:paraId="645E6B76" w14:textId="77777777" w:rsidR="00FF5DBE" w:rsidRDefault="00FF5DBE" w:rsidP="00B60046">
            <w:pPr>
              <w:spacing w:after="120" w:line="276" w:lineRule="auto"/>
              <w:jc w:val="both"/>
              <w:rPr>
                <w:rFonts w:ascii="Verdana" w:eastAsiaTheme="minorEastAsia" w:hAnsi="Verdana" w:cs="Arial"/>
                <w:szCs w:val="24"/>
                <w:lang w:eastAsia="es-CO"/>
              </w:rPr>
            </w:pPr>
            <w:r>
              <w:rPr>
                <w:rFonts w:ascii="Verdana" w:eastAsia="Calibri" w:hAnsi="Verdana" w:cs="Arial"/>
                <w:color w:val="000000" w:themeColor="text1"/>
                <w:lang w:eastAsia="es-ES"/>
              </w:rPr>
              <w:t xml:space="preserve">2. </w:t>
            </w:r>
            <w:r w:rsidRPr="00A3328A">
              <w:rPr>
                <w:rFonts w:ascii="Verdana" w:eastAsia="Calibri" w:hAnsi="Verdana" w:cs="Arial"/>
                <w:color w:val="000000" w:themeColor="text1"/>
              </w:rPr>
              <w:t>R</w:t>
            </w:r>
            <w:r w:rsidRPr="008E23AA">
              <w:rPr>
                <w:rFonts w:ascii="Verdana" w:eastAsia="Calibri" w:hAnsi="Verdana" w:cs="Arial"/>
                <w:color w:val="000000" w:themeColor="text1"/>
              </w:rPr>
              <w:t xml:space="preserve">especto al problema jurídico planteado, </w:t>
            </w:r>
            <w:r w:rsidRPr="00A3328A">
              <w:rPr>
                <w:rFonts w:ascii="Verdana" w:eastAsia="Calibri" w:hAnsi="Verdana" w:cs="Arial"/>
                <w:color w:val="000000" w:themeColor="text1"/>
              </w:rPr>
              <w:t>como</w:t>
            </w:r>
            <w:r w:rsidRPr="00CF54DC">
              <w:rPr>
                <w:rFonts w:ascii="Verdana" w:eastAsia="Calibri" w:hAnsi="Verdana" w:cs="Arial"/>
                <w:color w:val="000000" w:themeColor="text1"/>
              </w:rPr>
              <w:t xml:space="preserve"> primera medida, es importante señalar </w:t>
            </w:r>
            <w:r w:rsidRPr="00A3328A">
              <w:rPr>
                <w:rFonts w:ascii="Verdana" w:eastAsia="Calibri" w:hAnsi="Verdana" w:cs="Arial"/>
                <w:color w:val="000000" w:themeColor="text1"/>
              </w:rPr>
              <w:t xml:space="preserve">el carácter de los conceptos emitidos por </w:t>
            </w:r>
            <w:r w:rsidRPr="00CF54DC">
              <w:rPr>
                <w:rFonts w:ascii="Verdana" w:eastAsia="Calibri" w:hAnsi="Verdana" w:cs="Arial"/>
                <w:color w:val="000000" w:themeColor="text1"/>
              </w:rPr>
              <w:t>esta Agencia</w:t>
            </w:r>
            <w:r w:rsidRPr="00A3328A">
              <w:rPr>
                <w:rFonts w:ascii="Verdana" w:eastAsia="Calibri" w:hAnsi="Verdana" w:cs="Arial"/>
                <w:color w:val="000000" w:themeColor="text1"/>
              </w:rPr>
              <w:t>, en virtud de su competencia consultiva,</w:t>
            </w:r>
            <w:r w:rsidRPr="00CF54DC">
              <w:rPr>
                <w:rFonts w:ascii="Verdana" w:eastAsia="Calibri" w:hAnsi="Verdana" w:cs="Arial"/>
                <w:color w:val="000000" w:themeColor="text1"/>
              </w:rPr>
              <w:t xml:space="preserve"> está delimitada de manera clara en el artículo 28 de la Ley 1437 de 2011, modificado por el artículo 1 de la Ley 1755 de 2015. En dicho artículo se dispone que los conceptos emitidos por las autoridades como respuesta a las peticiones realizadas en ejercicio del derecho a formular consultas no son de obligatorio cumplimiento ni de ejecución imperativa, es decir, no tienen efectos vinculantes</w:t>
            </w:r>
            <w:r>
              <w:rPr>
                <w:rFonts w:ascii="Verdana" w:eastAsia="Calibri" w:hAnsi="Verdana" w:cs="Arial"/>
                <w:color w:val="000000" w:themeColor="text1"/>
              </w:rPr>
              <w:t>.</w:t>
            </w:r>
            <w:r>
              <w:rPr>
                <w:rFonts w:ascii="Verdana" w:eastAsiaTheme="minorEastAsia" w:hAnsi="Verdana" w:cs="Arial"/>
                <w:szCs w:val="24"/>
                <w:lang w:eastAsia="es-CO"/>
              </w:rPr>
              <w:t xml:space="preserve"> Estos conceptos </w:t>
            </w:r>
            <w:r w:rsidRPr="00CF54DC">
              <w:rPr>
                <w:rFonts w:ascii="Verdana" w:eastAsiaTheme="minorEastAsia" w:hAnsi="Verdana" w:cs="Arial"/>
                <w:szCs w:val="24"/>
                <w:lang w:eastAsia="es-CO"/>
              </w:rPr>
              <w:t>contienen la posición hermenéutica</w:t>
            </w:r>
            <w:r>
              <w:rPr>
                <w:rFonts w:ascii="Verdana" w:eastAsiaTheme="minorEastAsia" w:hAnsi="Verdana" w:cs="Arial"/>
                <w:szCs w:val="24"/>
                <w:lang w:eastAsia="es-CO"/>
              </w:rPr>
              <w:t xml:space="preserve"> de la Agencia,</w:t>
            </w:r>
            <w:r w:rsidRPr="00CF54DC">
              <w:rPr>
                <w:rFonts w:ascii="Verdana" w:eastAsiaTheme="minorEastAsia" w:hAnsi="Verdana" w:cs="Arial"/>
                <w:szCs w:val="24"/>
                <w:lang w:eastAsia="es-CO"/>
              </w:rPr>
              <w:t xml:space="preserve"> </w:t>
            </w:r>
            <w:r>
              <w:rPr>
                <w:rFonts w:ascii="Verdana" w:eastAsiaTheme="minorEastAsia" w:hAnsi="Verdana" w:cs="Arial"/>
                <w:szCs w:val="24"/>
                <w:lang w:eastAsia="es-CO"/>
              </w:rPr>
              <w:t xml:space="preserve">como ente rector de la contratación estatal, </w:t>
            </w:r>
            <w:r w:rsidRPr="00CF54DC">
              <w:rPr>
                <w:rFonts w:ascii="Verdana" w:eastAsiaTheme="minorEastAsia" w:hAnsi="Verdana" w:cs="Arial"/>
                <w:szCs w:val="24"/>
                <w:lang w:eastAsia="es-CO"/>
              </w:rPr>
              <w:t>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w:t>
            </w:r>
            <w:r>
              <w:rPr>
                <w:rFonts w:ascii="Verdana" w:eastAsiaTheme="minorEastAsia" w:hAnsi="Verdana" w:cs="Arial"/>
                <w:szCs w:val="24"/>
                <w:lang w:eastAsia="es-CO"/>
              </w:rPr>
              <w:t xml:space="preserve">, posición que puede servir como orientación o buenas prácticas para los partícipes del sistema de compras públicas en su gestión contractual. </w:t>
            </w:r>
          </w:p>
          <w:p w14:paraId="58451D42" w14:textId="57A70197" w:rsidR="00FF5DBE" w:rsidRPr="00E1740C" w:rsidRDefault="00FF5DBE" w:rsidP="00E1740C">
            <w:pPr>
              <w:spacing w:before="120" w:line="276" w:lineRule="auto"/>
              <w:ind w:firstLine="709"/>
              <w:jc w:val="both"/>
              <w:rPr>
                <w:rFonts w:ascii="Verdana" w:eastAsia="Calibri" w:hAnsi="Verdana" w:cs="Arial"/>
                <w:color w:val="000000" w:themeColor="text1"/>
                <w:lang w:eastAsia="es-ES"/>
              </w:rPr>
            </w:pPr>
            <w:r>
              <w:rPr>
                <w:rFonts w:ascii="Verdana" w:eastAsia="Calibri" w:hAnsi="Verdana" w:cs="Arial"/>
                <w:color w:val="000000" w:themeColor="text1"/>
              </w:rPr>
              <w:lastRenderedPageBreak/>
              <w:t>A l</w:t>
            </w:r>
            <w:r w:rsidRPr="00A3328A">
              <w:rPr>
                <w:rFonts w:ascii="Verdana" w:eastAsia="Calibri" w:hAnsi="Verdana" w:cs="Arial"/>
                <w:color w:val="000000" w:themeColor="text1"/>
              </w:rPr>
              <w:t>o</w:t>
            </w:r>
            <w:r w:rsidRPr="00CF54DC">
              <w:rPr>
                <w:rFonts w:ascii="Verdana" w:eastAsia="Calibri" w:hAnsi="Verdana" w:cs="Arial"/>
                <w:color w:val="000000" w:themeColor="text1"/>
              </w:rPr>
              <w:t xml:space="preserve"> anterior </w:t>
            </w:r>
            <w:r>
              <w:rPr>
                <w:rFonts w:ascii="Verdana" w:eastAsia="Calibri" w:hAnsi="Verdana" w:cs="Arial"/>
                <w:color w:val="000000" w:themeColor="text1"/>
              </w:rPr>
              <w:t>se suma, que la competencia consultiva se fija con límites claros, con el objeto de</w:t>
            </w:r>
            <w:r w:rsidRPr="00CF54DC">
              <w:rPr>
                <w:rFonts w:ascii="Verdana" w:eastAsia="Calibri" w:hAnsi="Verdana" w:cs="Arial"/>
                <w:color w:val="000000" w:themeColor="text1"/>
              </w:rPr>
              <w:t xml:space="preserve"> evitar que se actúe como una instancia de validación de las actuaciones de las entidades sujetas a la Ley 80 de 1993 o de los demás participantes en la contratación pública, lo cual corresponde a la competencia de los entes de control y los jueces de la República.</w:t>
            </w:r>
          </w:p>
        </w:tc>
      </w:tr>
    </w:tbl>
    <w:p w14:paraId="4ABC2B00" w14:textId="77777777" w:rsidR="00FF5DBE" w:rsidRPr="00EA3BD1" w:rsidRDefault="00FF5DBE" w:rsidP="00FF5DBE">
      <w:pPr>
        <w:spacing w:after="0" w:line="276" w:lineRule="auto"/>
        <w:jc w:val="both"/>
        <w:rPr>
          <w:rFonts w:ascii="Verdana" w:eastAsia="Times New Roman" w:hAnsi="Verdana" w:cs="Arial"/>
          <w:color w:val="7030A0"/>
          <w:lang w:eastAsia="es-ES_tradnl"/>
        </w:rPr>
      </w:pPr>
    </w:p>
    <w:p w14:paraId="2FCA8C79" w14:textId="77777777" w:rsidR="00FF5DBE" w:rsidRPr="00EA3BD1" w:rsidRDefault="00FF5DBE" w:rsidP="00FF5DB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EA3BD1">
        <w:rPr>
          <w:rFonts w:ascii="Verdana" w:eastAsia="Century Gothic" w:hAnsi="Verdana" w:cs="Century Gothic"/>
          <w:b/>
          <w:bCs/>
        </w:rPr>
        <w:t>3. Razones de la respuesta:</w:t>
      </w:r>
    </w:p>
    <w:p w14:paraId="087BBFE6" w14:textId="77777777" w:rsidR="00FF5DBE" w:rsidRPr="00EA3BD1" w:rsidRDefault="00FF5DBE" w:rsidP="00FF5DBE">
      <w:pPr>
        <w:pStyle w:val="Prrafodelista"/>
        <w:tabs>
          <w:tab w:val="left" w:pos="142"/>
          <w:tab w:val="left" w:pos="284"/>
        </w:tabs>
        <w:spacing w:after="0" w:line="276" w:lineRule="auto"/>
        <w:ind w:left="0"/>
        <w:contextualSpacing w:val="0"/>
        <w:jc w:val="both"/>
        <w:rPr>
          <w:rFonts w:ascii="Verdana" w:eastAsia="Calibri" w:hAnsi="Verdana" w:cs="Arial"/>
        </w:rPr>
      </w:pPr>
    </w:p>
    <w:p w14:paraId="0E7D880A" w14:textId="77777777" w:rsidR="00FF5DBE" w:rsidRDefault="00FF5DBE" w:rsidP="00FF5DBE">
      <w:pPr>
        <w:pStyle w:val="Prrafodelista"/>
        <w:tabs>
          <w:tab w:val="left" w:pos="142"/>
          <w:tab w:val="left" w:pos="284"/>
        </w:tabs>
        <w:spacing w:after="0" w:line="276" w:lineRule="auto"/>
        <w:ind w:left="0"/>
        <w:contextualSpacing w:val="0"/>
        <w:jc w:val="both"/>
        <w:rPr>
          <w:rFonts w:ascii="Verdana" w:eastAsia="Calibri" w:hAnsi="Verdana" w:cs="Arial"/>
        </w:rPr>
      </w:pPr>
      <w:r w:rsidRPr="00EA3BD1">
        <w:rPr>
          <w:rFonts w:ascii="Verdana" w:eastAsia="Calibri" w:hAnsi="Verdana" w:cs="Arial"/>
        </w:rPr>
        <w:t xml:space="preserve">Lo anterior se sustenta en las siguientes consideraciones: </w:t>
      </w:r>
    </w:p>
    <w:p w14:paraId="00D8A4EE" w14:textId="77777777" w:rsidR="00FF5DBE" w:rsidRPr="00EA3BD1" w:rsidRDefault="00FF5DBE" w:rsidP="00FF5DBE">
      <w:pPr>
        <w:pStyle w:val="Prrafodelista"/>
        <w:tabs>
          <w:tab w:val="left" w:pos="142"/>
          <w:tab w:val="left" w:pos="284"/>
        </w:tabs>
        <w:spacing w:after="0" w:line="276" w:lineRule="auto"/>
        <w:ind w:left="0"/>
        <w:contextualSpacing w:val="0"/>
        <w:jc w:val="both"/>
        <w:rPr>
          <w:rFonts w:ascii="Verdana" w:eastAsia="Calibri" w:hAnsi="Verdana" w:cs="Arial"/>
        </w:rPr>
      </w:pPr>
    </w:p>
    <w:p w14:paraId="123BE1E8" w14:textId="77777777" w:rsidR="00FF5DBE" w:rsidRDefault="00FF5DBE" w:rsidP="00FF5DBE">
      <w:pPr>
        <w:spacing w:after="0" w:line="276" w:lineRule="auto"/>
        <w:jc w:val="both"/>
        <w:rPr>
          <w:rFonts w:ascii="Verdana" w:eastAsia="Calibri" w:hAnsi="Verdana" w:cs="Arial"/>
          <w:lang w:val="es-MX"/>
        </w:rPr>
      </w:pPr>
      <w:r w:rsidRPr="00EA3BD1">
        <w:rPr>
          <w:rFonts w:ascii="Verdana" w:hAnsi="Verdana" w:cs="Arial"/>
          <w:lang w:val="es-ES_tradnl"/>
        </w:rPr>
        <w:t xml:space="preserve">i) </w:t>
      </w:r>
      <w:r w:rsidRPr="0060163E">
        <w:rPr>
          <w:rFonts w:ascii="Verdana" w:eastAsia="Calibri" w:hAnsi="Verdana" w:cs="Arial"/>
          <w:lang w:val="es-MX"/>
        </w:rPr>
        <w:t>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1E56318A" w14:textId="77777777" w:rsidR="00FF5DBE" w:rsidRDefault="00FF5DBE" w:rsidP="00FF5DBE">
      <w:pPr>
        <w:spacing w:after="0" w:line="276" w:lineRule="auto"/>
        <w:jc w:val="both"/>
        <w:rPr>
          <w:rFonts w:ascii="Verdana" w:eastAsia="Calibri" w:hAnsi="Verdana" w:cs="Arial"/>
          <w:lang w:val="es-MX"/>
        </w:rPr>
      </w:pPr>
    </w:p>
    <w:p w14:paraId="6BB73935" w14:textId="77777777" w:rsidR="00FF5DBE" w:rsidRDefault="00FF5DBE" w:rsidP="00FF5DBE">
      <w:pPr>
        <w:spacing w:after="0" w:line="240" w:lineRule="auto"/>
        <w:ind w:left="709" w:right="709"/>
        <w:jc w:val="both"/>
        <w:rPr>
          <w:rFonts w:ascii="Verdana" w:eastAsia="Calibri" w:hAnsi="Verdana" w:cs="Arial"/>
          <w:bCs/>
          <w:iCs/>
          <w:sz w:val="21"/>
          <w:szCs w:val="21"/>
          <w:lang w:val="es-ES"/>
        </w:rPr>
      </w:pPr>
      <w:r w:rsidRPr="000B4D9F">
        <w:rPr>
          <w:rFonts w:ascii="Verdana" w:eastAsia="Calibri" w:hAnsi="Verdana" w:cs="Arial"/>
          <w:sz w:val="21"/>
          <w:szCs w:val="21"/>
          <w:lang w:val="es-MX"/>
        </w:rPr>
        <w:t xml:space="preserve"> </w:t>
      </w:r>
      <w:r w:rsidRPr="000B4D9F">
        <w:rPr>
          <w:rFonts w:ascii="Verdana" w:eastAsia="Calibri" w:hAnsi="Verdana" w:cs="Arial"/>
          <w:bCs/>
          <w:iCs/>
          <w:sz w:val="21"/>
          <w:szCs w:val="21"/>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0B4D9F">
        <w:rPr>
          <w:rFonts w:ascii="Verdana" w:eastAsia="Calibri" w:hAnsi="Verdana" w:cs="Arial"/>
          <w:bCs/>
          <w:iCs/>
          <w:sz w:val="21"/>
          <w:szCs w:val="21"/>
          <w:vertAlign w:val="superscript"/>
          <w:lang w:val="es-ES"/>
        </w:rPr>
        <w:footnoteReference w:id="1"/>
      </w:r>
      <w:r w:rsidRPr="000B4D9F">
        <w:rPr>
          <w:rFonts w:ascii="Verdana" w:eastAsia="Calibri" w:hAnsi="Verdana" w:cs="Arial"/>
          <w:bCs/>
          <w:iCs/>
          <w:sz w:val="21"/>
          <w:szCs w:val="21"/>
          <w:lang w:val="es-ES"/>
        </w:rPr>
        <w:t>.</w:t>
      </w:r>
    </w:p>
    <w:p w14:paraId="6F1AA60B" w14:textId="77777777" w:rsidR="00FF5DBE" w:rsidRPr="000B4D9F" w:rsidRDefault="00FF5DBE" w:rsidP="00FF5DBE">
      <w:pPr>
        <w:spacing w:after="0" w:line="240" w:lineRule="auto"/>
        <w:ind w:left="709" w:right="709"/>
        <w:jc w:val="both"/>
        <w:rPr>
          <w:rFonts w:ascii="Verdana" w:eastAsia="Calibri" w:hAnsi="Verdana" w:cs="Arial"/>
          <w:bCs/>
          <w:iCs/>
          <w:sz w:val="21"/>
          <w:szCs w:val="21"/>
          <w:lang w:val="es-ES_tradnl"/>
        </w:rPr>
      </w:pPr>
    </w:p>
    <w:p w14:paraId="6C60D8EC" w14:textId="77777777" w:rsidR="00FF5DBE" w:rsidRDefault="00FF5DBE" w:rsidP="00FF5DBE">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proofErr w:type="spellStart"/>
      <w:r w:rsidRPr="007218AE">
        <w:rPr>
          <w:rFonts w:ascii="Verdana" w:eastAsia="Calibri" w:hAnsi="Verdana" w:cs="Arial"/>
        </w:rPr>
        <w:t>na</w:t>
      </w:r>
      <w:proofErr w:type="spellEnd"/>
      <w:r w:rsidRPr="007218AE">
        <w:rPr>
          <w:rFonts w:ascii="Verdana" w:eastAsia="Calibri" w:hAnsi="Verdana" w:cs="Arial"/>
        </w:rPr>
        <w:t xml:space="preserve">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w:t>
      </w:r>
      <w:r>
        <w:rPr>
          <w:rFonts w:ascii="Verdana" w:eastAsia="Calibri" w:hAnsi="Verdana" w:cs="Arial"/>
          <w:lang w:val="es-MX"/>
        </w:rPr>
        <w:lastRenderedPageBreak/>
        <w:t xml:space="preserve">estatal, que busca limitar la celebración de contratos, así como evitar que siga contratando por una inhabilidad o incompatibilidad sobreviniente. De acuerdo con lo expuesto, se señala que la Agencia Nacional de Contratación Pública es competente para resolver consultas sobre normas del sistema de compras y contratación públicas que establezca inhabilidades e incompatibilidades para contratar con el Estado. </w:t>
      </w:r>
    </w:p>
    <w:p w14:paraId="5A6EC959" w14:textId="77777777" w:rsidR="00FF5DBE" w:rsidRPr="0060163E" w:rsidRDefault="00FF5DBE" w:rsidP="00FF5DBE">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2"/>
      </w:r>
    </w:p>
    <w:p w14:paraId="672F3FA9" w14:textId="77777777" w:rsidR="00FF5DBE" w:rsidRPr="0060163E" w:rsidRDefault="00FF5DBE" w:rsidP="00FF5DBE">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1AAA188E" w14:textId="77777777" w:rsidR="00FF5DBE" w:rsidRPr="0060163E" w:rsidRDefault="00FF5DBE" w:rsidP="00FF5DBE">
      <w:pPr>
        <w:spacing w:after="0" w:line="276" w:lineRule="auto"/>
        <w:jc w:val="both"/>
        <w:rPr>
          <w:rFonts w:ascii="Verdana" w:eastAsia="Calibri" w:hAnsi="Verdana" w:cs="Arial"/>
          <w:lang w:val="es-MX"/>
        </w:rPr>
      </w:pPr>
    </w:p>
    <w:p w14:paraId="0A7CB11E" w14:textId="77777777" w:rsidR="00FF5DBE" w:rsidRPr="004218E1" w:rsidRDefault="00FF5DBE" w:rsidP="00FF5DBE">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6CA381D8" w14:textId="77777777" w:rsidR="00FF5DBE" w:rsidRPr="004218E1" w:rsidRDefault="00FF5DBE" w:rsidP="00FF5DBE">
      <w:pPr>
        <w:shd w:val="clear" w:color="auto" w:fill="FFFFFF"/>
        <w:spacing w:after="0" w:line="240" w:lineRule="auto"/>
        <w:ind w:left="709" w:right="709"/>
        <w:jc w:val="both"/>
        <w:rPr>
          <w:rFonts w:ascii="Verdana" w:eastAsia="Calibri" w:hAnsi="Verdana" w:cs="Arial"/>
          <w:sz w:val="21"/>
          <w:szCs w:val="21"/>
          <w:lang w:val="es-ES"/>
        </w:rPr>
      </w:pPr>
    </w:p>
    <w:p w14:paraId="57B93347" w14:textId="77777777" w:rsidR="00FF5DBE" w:rsidRPr="004218E1" w:rsidRDefault="00FF5DBE" w:rsidP="00FF5DBE">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w:t>
      </w:r>
      <w:r w:rsidRPr="004218E1">
        <w:rPr>
          <w:rFonts w:ascii="Verdana" w:eastAsia="Calibri" w:hAnsi="Verdana" w:cs="Arial"/>
          <w:sz w:val="21"/>
          <w:szCs w:val="21"/>
          <w:lang w:val="es-ES"/>
        </w:rPr>
        <w:lastRenderedPageBreak/>
        <w:t>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218E1">
        <w:rPr>
          <w:rFonts w:ascii="Verdana" w:eastAsia="Calibri" w:hAnsi="Verdana" w:cs="Arial"/>
          <w:sz w:val="21"/>
          <w:szCs w:val="21"/>
          <w:vertAlign w:val="superscript"/>
          <w:lang w:val="es-ES"/>
        </w:rPr>
        <w:footnoteReference w:id="3"/>
      </w:r>
    </w:p>
    <w:p w14:paraId="76F115B6" w14:textId="77777777" w:rsidR="00FF5DBE" w:rsidRPr="0060163E" w:rsidRDefault="00FF5DBE" w:rsidP="00FF5DBE">
      <w:pPr>
        <w:shd w:val="clear" w:color="auto" w:fill="FFFFFF"/>
        <w:spacing w:after="0" w:line="240" w:lineRule="auto"/>
        <w:ind w:left="709" w:right="709"/>
        <w:jc w:val="both"/>
        <w:rPr>
          <w:rFonts w:ascii="Verdana" w:eastAsia="Calibri" w:hAnsi="Verdana" w:cs="Arial"/>
          <w:lang w:val="es-ES"/>
        </w:rPr>
      </w:pPr>
    </w:p>
    <w:p w14:paraId="19DAEF0A" w14:textId="77777777" w:rsidR="00FF5DBE" w:rsidRPr="0060163E" w:rsidRDefault="00FF5DBE" w:rsidP="00FF5DBE">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7F111949" w14:textId="77777777" w:rsidR="00FF5DBE" w:rsidRPr="004218E1" w:rsidRDefault="00FF5DBE" w:rsidP="00FF5DBE">
      <w:pPr>
        <w:spacing w:after="0" w:line="276" w:lineRule="auto"/>
        <w:rPr>
          <w:rFonts w:ascii="Verdana" w:eastAsia="Times New Roman" w:hAnsi="Verdana" w:cs="Arial"/>
          <w:sz w:val="21"/>
          <w:szCs w:val="21"/>
          <w:shd w:val="clear" w:color="auto" w:fill="FFFFFF"/>
          <w:lang w:eastAsia="es-ES_tradnl"/>
        </w:rPr>
      </w:pPr>
    </w:p>
    <w:p w14:paraId="4E0410BC" w14:textId="77777777" w:rsidR="00FF5DBE" w:rsidRPr="004218E1" w:rsidRDefault="00FF5DBE" w:rsidP="00FF5DBE">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0D02E905" w14:textId="77777777" w:rsidR="00FF5DBE" w:rsidRPr="004218E1" w:rsidRDefault="00FF5DBE" w:rsidP="00FF5DBE">
      <w:pPr>
        <w:spacing w:after="0" w:line="240" w:lineRule="auto"/>
        <w:ind w:left="709" w:right="709"/>
        <w:jc w:val="both"/>
        <w:rPr>
          <w:rFonts w:ascii="Verdana" w:eastAsia="Calibri" w:hAnsi="Verdana" w:cs="Arial"/>
          <w:sz w:val="21"/>
          <w:szCs w:val="21"/>
          <w:lang w:val="es-MX"/>
        </w:rPr>
      </w:pPr>
    </w:p>
    <w:p w14:paraId="43B22DCC" w14:textId="77777777" w:rsidR="00FF5DBE" w:rsidRPr="004218E1" w:rsidRDefault="00FF5DBE" w:rsidP="00FF5DBE">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w:t>
      </w:r>
      <w:r w:rsidRPr="004218E1">
        <w:rPr>
          <w:rFonts w:ascii="Verdana" w:eastAsia="Calibri" w:hAnsi="Verdana" w:cs="Arial"/>
          <w:sz w:val="21"/>
          <w:szCs w:val="21"/>
          <w:lang w:val="es-MX"/>
        </w:rPr>
        <w:lastRenderedPageBreak/>
        <w:t>de las personas que resultan rechazadas del ámbito contractual del Estado”</w:t>
      </w:r>
      <w:r w:rsidRPr="004218E1">
        <w:rPr>
          <w:rFonts w:ascii="Verdana" w:eastAsia="Calibri" w:hAnsi="Verdana" w:cs="Arial"/>
          <w:sz w:val="21"/>
          <w:szCs w:val="21"/>
          <w:vertAlign w:val="superscript"/>
          <w:lang w:val="es-MX"/>
        </w:rPr>
        <w:footnoteReference w:id="4"/>
      </w:r>
      <w:r w:rsidRPr="004218E1">
        <w:rPr>
          <w:rFonts w:ascii="Verdana" w:eastAsia="Calibri" w:hAnsi="Verdana" w:cs="Arial"/>
          <w:sz w:val="21"/>
          <w:szCs w:val="21"/>
          <w:lang w:val="es-MX"/>
        </w:rPr>
        <w:t xml:space="preserve">. </w:t>
      </w:r>
    </w:p>
    <w:p w14:paraId="2593C1CE" w14:textId="77777777" w:rsidR="00FF5DBE" w:rsidRPr="0060163E" w:rsidRDefault="00FF5DBE" w:rsidP="00FF5DBE">
      <w:pPr>
        <w:spacing w:after="0" w:line="276" w:lineRule="auto"/>
        <w:ind w:right="709"/>
        <w:jc w:val="both"/>
        <w:rPr>
          <w:rFonts w:ascii="Verdana" w:eastAsia="Calibri" w:hAnsi="Verdana" w:cs="Arial"/>
          <w:lang w:val="es-MX"/>
        </w:rPr>
      </w:pPr>
    </w:p>
    <w:p w14:paraId="307EB562" w14:textId="77777777" w:rsidR="00FF5DBE" w:rsidRPr="0060163E" w:rsidRDefault="00FF5DBE" w:rsidP="00FF5DBE">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08013743" w14:textId="77777777" w:rsidR="00FF5DBE" w:rsidRPr="0060163E" w:rsidRDefault="00FF5DBE" w:rsidP="00FF5DBE">
      <w:pPr>
        <w:tabs>
          <w:tab w:val="left" w:pos="1532"/>
        </w:tabs>
        <w:spacing w:after="0" w:line="276" w:lineRule="auto"/>
        <w:jc w:val="both"/>
        <w:rPr>
          <w:rFonts w:ascii="Verdana" w:eastAsia="Calibri" w:hAnsi="Verdana" w:cs="Arial"/>
          <w:lang w:val="es-MX"/>
        </w:rPr>
      </w:pPr>
    </w:p>
    <w:p w14:paraId="31B1C3D5" w14:textId="77777777" w:rsidR="00FF5DBE" w:rsidRPr="004218E1" w:rsidRDefault="00FF5DBE" w:rsidP="00FF5DBE">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4218E1">
        <w:rPr>
          <w:rFonts w:ascii="Verdana" w:eastAsia="Calibri" w:hAnsi="Verdana" w:cs="Arial"/>
          <w:sz w:val="21"/>
          <w:szCs w:val="21"/>
          <w:lang w:val="es-MX"/>
        </w:rPr>
        <w:t>libertate</w:t>
      </w:r>
      <w:proofErr w:type="spellEnd"/>
      <w:r w:rsidRPr="004218E1">
        <w:rPr>
          <w:rFonts w:ascii="Verdana" w:eastAsia="Calibri" w:hAnsi="Verdana" w:cs="Arial"/>
          <w:sz w:val="21"/>
          <w:szCs w:val="21"/>
          <w:lang w:val="es-MX"/>
        </w:rPr>
        <w:t xml:space="preserve">, sino el de legalidad, el que ordena que la función pública debe someterse estrictamente a lo que disponga la Constitución y la ley (CP art. 6). </w:t>
      </w:r>
    </w:p>
    <w:p w14:paraId="0BB28897" w14:textId="77777777" w:rsidR="00FF5DBE" w:rsidRPr="004218E1" w:rsidRDefault="00FF5DBE" w:rsidP="00FF5DBE">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 </w:t>
      </w:r>
    </w:p>
    <w:p w14:paraId="5B2EC3E6" w14:textId="77777777" w:rsidR="00FF5DBE" w:rsidRPr="004218E1" w:rsidRDefault="00FF5DBE" w:rsidP="00FF5DBE">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218E1">
        <w:rPr>
          <w:rFonts w:ascii="Verdana" w:eastAsia="Calibri" w:hAnsi="Verdana" w:cs="Arial"/>
          <w:sz w:val="21"/>
          <w:szCs w:val="21"/>
          <w:vertAlign w:val="superscript"/>
          <w:lang w:val="es-MX"/>
        </w:rPr>
        <w:footnoteReference w:id="5"/>
      </w:r>
      <w:r w:rsidRPr="004218E1">
        <w:rPr>
          <w:rFonts w:ascii="Verdana" w:eastAsia="Calibri" w:hAnsi="Verdana" w:cs="Arial"/>
          <w:sz w:val="21"/>
          <w:szCs w:val="21"/>
          <w:lang w:val="es-MX"/>
        </w:rPr>
        <w:t>.</w:t>
      </w:r>
    </w:p>
    <w:p w14:paraId="2C1E2D7E" w14:textId="77777777" w:rsidR="00FF5DBE" w:rsidRPr="0060163E" w:rsidRDefault="00FF5DBE" w:rsidP="00FF5DBE">
      <w:pPr>
        <w:spacing w:after="0" w:line="276" w:lineRule="auto"/>
        <w:ind w:left="709" w:right="709"/>
        <w:jc w:val="both"/>
        <w:rPr>
          <w:rFonts w:ascii="Verdana" w:eastAsia="Calibri" w:hAnsi="Verdana" w:cs="Arial"/>
          <w:lang w:val="es-MX"/>
        </w:rPr>
      </w:pPr>
    </w:p>
    <w:p w14:paraId="1CC3F392" w14:textId="77777777" w:rsidR="00FF5DBE" w:rsidRPr="0060163E" w:rsidRDefault="00FF5DBE" w:rsidP="00FF5DBE">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6"/>
      </w:r>
      <w:r w:rsidRPr="0060163E">
        <w:rPr>
          <w:rFonts w:ascii="Verdana" w:eastAsia="Calibri" w:hAnsi="Verdana" w:cs="Arial"/>
          <w:lang w:val="es-MX"/>
        </w:rPr>
        <w:t>.</w:t>
      </w:r>
    </w:p>
    <w:p w14:paraId="2463F5BE" w14:textId="77777777" w:rsidR="00FF5DBE" w:rsidRPr="0060163E" w:rsidRDefault="00FF5DBE" w:rsidP="00FF5DBE">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lastRenderedPageBreak/>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7"/>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29D73B5D" w14:textId="77777777" w:rsidR="00FF5DBE" w:rsidRPr="0060163E" w:rsidRDefault="00FF5DBE" w:rsidP="00FF5DBE">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410D213F" w14:textId="77777777" w:rsidR="00FF5DBE" w:rsidRPr="0060163E" w:rsidRDefault="00FF5DBE" w:rsidP="00FF5DBE">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8"/>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w:t>
      </w:r>
      <w:r w:rsidRPr="0060163E">
        <w:rPr>
          <w:rFonts w:ascii="Verdana" w:eastAsia="Calibri" w:hAnsi="Verdana" w:cs="Arial"/>
          <w:lang w:val="es-ES_tradnl"/>
        </w:rPr>
        <w:lastRenderedPageBreak/>
        <w:t xml:space="preserve">interior de la jurisprudencia, tanto de la Corte Constitucional como de la Sección Tercera del Consejo de Estado. </w:t>
      </w:r>
    </w:p>
    <w:p w14:paraId="2FC14C26" w14:textId="77777777" w:rsidR="00FF5DBE" w:rsidRPr="0060163E" w:rsidRDefault="00FF5DBE" w:rsidP="00FF5DBE">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xml:space="preserve">. </w:t>
      </w:r>
    </w:p>
    <w:p w14:paraId="2593149D" w14:textId="77777777" w:rsidR="00FF5DBE" w:rsidRPr="0060163E" w:rsidRDefault="00FF5DBE" w:rsidP="00FF5DBE">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En tal sentido, la Sección Tercera ha señalado que:</w:t>
      </w:r>
    </w:p>
    <w:p w14:paraId="168A9777" w14:textId="77777777" w:rsidR="00FF5DBE" w:rsidRPr="0060163E" w:rsidRDefault="00FF5DBE" w:rsidP="00FF5DBE">
      <w:pPr>
        <w:spacing w:after="0" w:line="276" w:lineRule="auto"/>
        <w:ind w:firstLine="709"/>
        <w:jc w:val="both"/>
        <w:rPr>
          <w:rFonts w:ascii="Verdana" w:eastAsia="Calibri" w:hAnsi="Verdana" w:cs="Arial"/>
          <w:lang w:val="es-ES_tradnl"/>
        </w:rPr>
      </w:pPr>
    </w:p>
    <w:p w14:paraId="5DE16E32" w14:textId="77777777" w:rsidR="00FF5DBE" w:rsidRPr="004218E1" w:rsidRDefault="00FF5DBE" w:rsidP="00FF5DBE">
      <w:pPr>
        <w:spacing w:after="0" w:line="240" w:lineRule="auto"/>
        <w:ind w:left="709" w:right="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218E1">
        <w:rPr>
          <w:rFonts w:ascii="Verdana" w:eastAsia="Calibri" w:hAnsi="Verdana" w:cs="Arial"/>
          <w:sz w:val="21"/>
          <w:szCs w:val="21"/>
          <w:vertAlign w:val="superscript"/>
          <w:lang w:val="es-ES_tradnl"/>
        </w:rPr>
        <w:footnoteReference w:id="11"/>
      </w:r>
      <w:r w:rsidRPr="004218E1">
        <w:rPr>
          <w:rFonts w:ascii="Verdana" w:eastAsia="Calibri" w:hAnsi="Verdana" w:cs="Arial"/>
          <w:sz w:val="21"/>
          <w:szCs w:val="21"/>
          <w:lang w:val="es-ES_tradnl"/>
        </w:rPr>
        <w:t>.</w:t>
      </w:r>
    </w:p>
    <w:p w14:paraId="2C4D5652" w14:textId="77777777" w:rsidR="00FF5DBE" w:rsidRPr="004218E1" w:rsidRDefault="00FF5DBE" w:rsidP="00FF5DBE">
      <w:pPr>
        <w:spacing w:after="0" w:line="240" w:lineRule="auto"/>
        <w:ind w:firstLine="709"/>
        <w:jc w:val="both"/>
        <w:rPr>
          <w:rFonts w:ascii="Verdana" w:eastAsia="Calibri" w:hAnsi="Verdana" w:cs="Arial"/>
          <w:sz w:val="21"/>
          <w:szCs w:val="21"/>
          <w:lang w:val="es-ES_tradnl"/>
        </w:rPr>
      </w:pPr>
    </w:p>
    <w:p w14:paraId="2DF55FAE" w14:textId="77777777" w:rsidR="00FF5DBE" w:rsidRPr="004218E1" w:rsidRDefault="00FF5DBE" w:rsidP="00FF5DBE">
      <w:pPr>
        <w:spacing w:after="0" w:line="240" w:lineRule="auto"/>
        <w:ind w:firstLine="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También ha dicho que:</w:t>
      </w:r>
    </w:p>
    <w:p w14:paraId="39647286" w14:textId="77777777" w:rsidR="00FF5DBE" w:rsidRPr="004218E1" w:rsidRDefault="00FF5DBE" w:rsidP="00FF5DBE">
      <w:pPr>
        <w:spacing w:after="0" w:line="240" w:lineRule="auto"/>
        <w:ind w:left="709" w:right="616"/>
        <w:jc w:val="both"/>
        <w:rPr>
          <w:rFonts w:ascii="Verdana" w:eastAsia="Calibri" w:hAnsi="Verdana" w:cs="Arial"/>
          <w:sz w:val="21"/>
          <w:szCs w:val="21"/>
          <w:lang w:val="es-ES"/>
        </w:rPr>
      </w:pPr>
      <w:r w:rsidRPr="004218E1">
        <w:rPr>
          <w:rFonts w:ascii="Verdana" w:eastAsia="Calibri" w:hAnsi="Verdana" w:cs="Arial"/>
          <w:sz w:val="21"/>
          <w:szCs w:val="21"/>
          <w:lang w:val="es-ES"/>
        </w:rPr>
        <w:t xml:space="preserve">[…] la aplicación de estos preceptos exige una interpretación restrictiva, dado que según el principio hermenéutico </w:t>
      </w:r>
      <w:r w:rsidRPr="004218E1">
        <w:rPr>
          <w:rFonts w:ascii="Verdana" w:eastAsia="Calibri" w:hAnsi="Verdana" w:cs="Arial"/>
          <w:i/>
          <w:iCs/>
          <w:sz w:val="21"/>
          <w:szCs w:val="21"/>
          <w:lang w:val="es-ES"/>
        </w:rPr>
        <w:t xml:space="preserve">pro </w:t>
      </w:r>
      <w:proofErr w:type="spellStart"/>
      <w:r w:rsidRPr="004218E1">
        <w:rPr>
          <w:rFonts w:ascii="Verdana" w:eastAsia="Calibri" w:hAnsi="Verdana" w:cs="Arial"/>
          <w:i/>
          <w:iCs/>
          <w:sz w:val="21"/>
          <w:szCs w:val="21"/>
          <w:lang w:val="es-ES"/>
        </w:rPr>
        <w:t>libertate</w:t>
      </w:r>
      <w:proofErr w:type="spellEnd"/>
      <w:r w:rsidRPr="004218E1">
        <w:rPr>
          <w:rFonts w:ascii="Verdana" w:eastAsia="Calibri" w:hAnsi="Verdana" w:cs="Arial"/>
          <w:sz w:val="21"/>
          <w:szCs w:val="21"/>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w:t>
      </w:r>
      <w:r w:rsidRPr="004218E1">
        <w:rPr>
          <w:rFonts w:ascii="Verdana" w:eastAsia="Calibri" w:hAnsi="Verdana" w:cs="Arial"/>
          <w:sz w:val="21"/>
          <w:szCs w:val="21"/>
          <w:lang w:val="es-ES"/>
        </w:rPr>
        <w:lastRenderedPageBreak/>
        <w:t>palabras de la ley son la frontera que no se puede traspasar en el ejercicio hermenéutico de las mismas, pues de hacerlo se vulnerarían los derechos fundamentales al debido proceso (art. 29 CN) y a la igualdad (art. 13 Ibid.); […]”</w:t>
      </w:r>
      <w:r w:rsidRPr="004218E1">
        <w:rPr>
          <w:rFonts w:ascii="Verdana" w:eastAsia="Calibri" w:hAnsi="Verdana" w:cs="Arial"/>
          <w:sz w:val="21"/>
          <w:szCs w:val="21"/>
          <w:vertAlign w:val="superscript"/>
          <w:lang w:val="es-ES"/>
        </w:rPr>
        <w:footnoteReference w:id="12"/>
      </w:r>
      <w:r w:rsidRPr="004218E1">
        <w:rPr>
          <w:rFonts w:ascii="Verdana" w:eastAsia="Calibri" w:hAnsi="Verdana" w:cs="Arial"/>
          <w:sz w:val="21"/>
          <w:szCs w:val="21"/>
          <w:lang w:val="es-ES"/>
        </w:rPr>
        <w:t>.</w:t>
      </w:r>
    </w:p>
    <w:p w14:paraId="5D8A5020" w14:textId="77777777" w:rsidR="00FF5DBE" w:rsidRPr="0060163E" w:rsidRDefault="00FF5DBE" w:rsidP="00FF5DBE">
      <w:pPr>
        <w:spacing w:after="0" w:line="276" w:lineRule="auto"/>
        <w:jc w:val="both"/>
        <w:rPr>
          <w:rFonts w:ascii="Verdana" w:eastAsia="Arial" w:hAnsi="Verdana" w:cs="Arial"/>
          <w:color w:val="000000"/>
          <w:lang w:val="es-ES_tradnl"/>
        </w:rPr>
      </w:pPr>
    </w:p>
    <w:p w14:paraId="1E30C67A" w14:textId="77777777" w:rsidR="00FF5DBE" w:rsidRDefault="00FF5DBE" w:rsidP="00FF5DBE">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3"/>
      </w:r>
    </w:p>
    <w:p w14:paraId="503AEA8B" w14:textId="77777777" w:rsidR="00FF5DBE" w:rsidRPr="0060163E" w:rsidRDefault="00FF5DBE" w:rsidP="00FF5DBE">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4"/>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5"/>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existe consenso, incluso como lo ha expresado esta Agencia en ocasiones anteriores, que la creación de inhabilidades o incompatibilidades está reservada al constituyente o al legislador.</w:t>
      </w:r>
    </w:p>
    <w:p w14:paraId="7F44C77C" w14:textId="77777777" w:rsidR="00FF5DBE" w:rsidRPr="0060163E" w:rsidRDefault="00FF5DBE" w:rsidP="00FF5DBE">
      <w:pPr>
        <w:spacing w:after="120" w:line="276" w:lineRule="auto"/>
        <w:ind w:firstLine="708"/>
        <w:jc w:val="both"/>
        <w:rPr>
          <w:rFonts w:ascii="Verdana" w:eastAsia="Calibri" w:hAnsi="Verdana" w:cs="Arial"/>
          <w:color w:val="000000"/>
          <w:lang w:val="es-MX"/>
        </w:rPr>
      </w:pPr>
    </w:p>
    <w:p w14:paraId="0CA5DCF5" w14:textId="77777777" w:rsidR="00FF5DBE" w:rsidRPr="00EA3BD1" w:rsidRDefault="00FF5DBE" w:rsidP="00FF5DBE">
      <w:pPr>
        <w:tabs>
          <w:tab w:val="left" w:pos="0"/>
        </w:tabs>
        <w:spacing w:before="120" w:after="0" w:line="276" w:lineRule="auto"/>
        <w:jc w:val="both"/>
        <w:rPr>
          <w:rFonts w:ascii="Verdana" w:hAnsi="Verdana" w:cs="Arial"/>
          <w:lang w:val="es-ES_tradnl"/>
        </w:rPr>
      </w:pPr>
      <w:proofErr w:type="spellStart"/>
      <w:r>
        <w:rPr>
          <w:rFonts w:ascii="Verdana" w:hAnsi="Verdana" w:cs="Arial"/>
          <w:lang w:val="es-MX"/>
        </w:rPr>
        <w:t>ii</w:t>
      </w:r>
      <w:proofErr w:type="spellEnd"/>
      <w:r>
        <w:rPr>
          <w:rFonts w:ascii="Verdana" w:hAnsi="Verdana" w:cs="Arial"/>
          <w:lang w:val="es-MX"/>
        </w:rPr>
        <w:t xml:space="preserve">) </w:t>
      </w:r>
      <w:r>
        <w:rPr>
          <w:rFonts w:ascii="Verdana" w:hAnsi="Verdana" w:cs="Arial"/>
          <w:lang w:val="es-ES_tradnl"/>
        </w:rPr>
        <w:t>La</w:t>
      </w:r>
      <w:r w:rsidRPr="00EA3BD1">
        <w:rPr>
          <w:rFonts w:ascii="Verdana" w:hAnsi="Verdana" w:cs="Arial"/>
          <w:lang w:val="es-ES_tradnl"/>
        </w:rPr>
        <w:t xml:space="preserve"> Ley 2020 de 2020 creó el Registro Nacional de Obras Civiles Inconclusas</w:t>
      </w:r>
      <w:r>
        <w:rPr>
          <w:rFonts w:ascii="Verdana" w:hAnsi="Verdana" w:cs="Arial"/>
          <w:lang w:val="es-ES_tradnl"/>
        </w:rPr>
        <w:t xml:space="preserve">, el cual consiste en </w:t>
      </w:r>
      <w:r w:rsidRPr="00EA3BD1">
        <w:rPr>
          <w:rFonts w:ascii="Verdana" w:hAnsi="Verdana" w:cs="Arial"/>
          <w:lang w:val="es-ES_tradnl"/>
        </w:rPr>
        <w:t xml:space="preserve">un sistema que permite identificar el estado de ejecución o terminación de las obras financiadas total o parcialmente con recursos públicos, para concretar su destinación definitiva. </w:t>
      </w:r>
      <w:bookmarkStart w:id="1" w:name="_Hlk71184857"/>
      <w:r w:rsidRPr="00EA3BD1">
        <w:rPr>
          <w:rFonts w:ascii="Verdana" w:hAnsi="Verdana" w:cs="Arial"/>
          <w:lang w:val="es-ES_tradnl"/>
        </w:rPr>
        <w:t xml:space="preserve">Según el inciso primero del literal a) del artículo 2 de esta ley, se entiende por obra civil inconclusa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bookmarkEnd w:id="1"/>
    </w:p>
    <w:p w14:paraId="521A4EB0"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En otras palabras, el concepto de obra civil inconclusa es armónico con la definición del contrato de obra, prevista en el artículo 32 de la Ley 80 de 1993, 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se puede constatar en el registro creado por el artículo 3 de la Ley 2020 de 2020.</w:t>
      </w:r>
    </w:p>
    <w:p w14:paraId="56498BCE"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5E853DD1"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w:t>
      </w:r>
      <w:r w:rsidRPr="00EA3BD1">
        <w:rPr>
          <w:rFonts w:ascii="Verdana" w:hAnsi="Verdana" w:cs="Arial"/>
          <w:lang w:val="es-ES_tradnl"/>
        </w:rPr>
        <w:lastRenderedPageBreak/>
        <w:t xml:space="preserve">causas no imputables al contratista, la entidad contratante será la encargada de determinar si la misma se define como obra civil inconclusa, previa valoración de un comité técnico designado por el representante legal de la entidad contratante. </w:t>
      </w:r>
    </w:p>
    <w:p w14:paraId="38A16EEA"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Lo que pretende el legislador es que sea un órgano o una autoridad determinada, la que analice las circunstancias particulares del caso y las razones técnicas por las cuales la obra civil quedó en estado incompleto</w:t>
      </w:r>
      <w:r w:rsidRPr="00EA3BD1">
        <w:rPr>
          <w:rFonts w:ascii="Verdana" w:hAnsi="Verdana" w:cs="Arial"/>
          <w:color w:val="EE0000"/>
          <w:lang w:val="es-ES_tradnl"/>
        </w:rPr>
        <w:t xml:space="preserve">. </w:t>
      </w:r>
      <w:r w:rsidRPr="00EA3BD1">
        <w:rPr>
          <w:rFonts w:ascii="Verdana" w:hAnsi="Verdana" w:cs="Arial"/>
          <w:lang w:val="es-ES_tradnl"/>
        </w:rPr>
        <w:t xml:space="preserve">De esta manera, en el evento en que se defina por parte de este comité técnico que la obra civil es catalogada como inconclusa, pero por causas no imputables al contratista, deberá incluir en el Registro Nacional de Obras Civiles Inconclusas los datos correspondientes que den cuenta de esta situación.  </w:t>
      </w:r>
    </w:p>
    <w:p w14:paraId="2428E7BE" w14:textId="77777777" w:rsidR="00FF5DBE" w:rsidRPr="00EA3BD1" w:rsidRDefault="00FF5DBE" w:rsidP="00FF5DBE">
      <w:pPr>
        <w:spacing w:before="120" w:after="0" w:line="276" w:lineRule="auto"/>
        <w:ind w:firstLine="709"/>
        <w:jc w:val="both"/>
        <w:rPr>
          <w:rFonts w:ascii="Verdana" w:hAnsi="Verdana" w:cs="Arial"/>
          <w:lang w:val="es-ES"/>
        </w:rPr>
      </w:pPr>
      <w:r w:rsidRPr="7C40BFE3">
        <w:rPr>
          <w:rFonts w:ascii="Verdana" w:hAnsi="Verdana" w:cs="Arial"/>
          <w:lang w:val="es-ES"/>
        </w:rPr>
        <w:t xml:space="preserve">En esta medida, el propósito de la norma es no solo 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 Por ello los artículos 5 y 13 </w:t>
      </w:r>
      <w:proofErr w:type="spellStart"/>
      <w:r w:rsidRPr="7C40BFE3">
        <w:rPr>
          <w:rFonts w:ascii="Verdana" w:hAnsi="Verdana" w:cs="Arial"/>
          <w:lang w:val="es-ES"/>
        </w:rPr>
        <w:t>Ibídem</w:t>
      </w:r>
      <w:proofErr w:type="spellEnd"/>
      <w:r w:rsidRPr="7C40BFE3">
        <w:rPr>
          <w:rFonts w:ascii="Verdana" w:hAnsi="Verdana" w:cs="Arial"/>
          <w:lang w:val="es-ES"/>
        </w:rPr>
        <w:t xml:space="preserve"> disponen que la entidad estatal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p>
    <w:p w14:paraId="504F2A9B"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 xml:space="preserve">De conformidad con el artículo 3 de la Ley 2020 de 2020, el Registro Nacional de Obras Civiles Inconclusas es un sistema administrado por la Contraloría General de la República,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“Es un sistema que contiene los </w:t>
      </w:r>
      <w:r w:rsidRPr="00EA3BD1">
        <w:rPr>
          <w:rFonts w:ascii="Verdana" w:hAnsi="Verdana" w:cs="Arial"/>
          <w:lang w:val="es-ES_tradnl"/>
        </w:rPr>
        <w:lastRenderedPageBreak/>
        <w:t xml:space="preserve">datos sobre obras inconclusas en todo el territorio nacional. El inventario de obras civiles inconclusas reportado por las entidades estatales hará parte integral del banco de proyectos de la respectiva entidad”. </w:t>
      </w:r>
    </w:p>
    <w:p w14:paraId="08225A33"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La información de este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actualización permanente del Registro Nacional de Obras Civiles Inconclusas en los términos y condiciones que disponga la Contraloría General de la República.</w:t>
      </w:r>
    </w:p>
    <w:p w14:paraId="28EAFA7F"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El artículo 6 de la Ley 2020 de 2020 establece un deber a cargo de las entidades estatales dentro de los procedimientos que adelanten para la contratación de obras públicas. Consiste en la obligación de consultar y analizar la información contenida en el Registro Nacional de Obras Civiles Inconclusas. Además, dispone que en los procesos de selección de contratistas de obra e interventores han de considerarse las anotaciones del registro en la evaluación de las ofertas. La norma prescribe lo siguiente:</w:t>
      </w:r>
    </w:p>
    <w:p w14:paraId="599894CE" w14:textId="77777777" w:rsidR="00FF5DBE" w:rsidRPr="00EA3BD1" w:rsidRDefault="00FF5DBE" w:rsidP="00FF5DBE">
      <w:pPr>
        <w:tabs>
          <w:tab w:val="left" w:pos="0"/>
        </w:tabs>
        <w:spacing w:before="120" w:after="0" w:line="276" w:lineRule="auto"/>
        <w:ind w:left="709" w:right="709"/>
        <w:jc w:val="both"/>
        <w:rPr>
          <w:rFonts w:ascii="Verdana" w:hAnsi="Verdana" w:cs="Arial"/>
          <w:sz w:val="20"/>
          <w:szCs w:val="20"/>
          <w:lang w:val="es-ES_tradnl"/>
        </w:rPr>
      </w:pPr>
      <w:r w:rsidRPr="00EA3BD1">
        <w:rPr>
          <w:rFonts w:ascii="Verdana" w:hAnsi="Verdana" w:cs="Arial"/>
          <w:lang w:val="es-ES_tradnl"/>
        </w:rPr>
        <w:t>“</w:t>
      </w:r>
      <w:r w:rsidRPr="00EA3BD1">
        <w:rPr>
          <w:rFonts w:ascii="Verdana" w:hAnsi="Verdana" w:cs="Arial"/>
          <w:sz w:val="20"/>
          <w:szCs w:val="20"/>
          <w:lang w:val="es-ES_tradnl"/>
        </w:rPr>
        <w:t>En los procesos de contratación de obras públicas que adelanten las entidades estatales contratantes, sin importar la cuantía, deberán consultar y analizar las anotaciones vigentes que presenten las personas naturales o jurídicas, nacionales o extranjeras domiciliadas o con sucursal en Colombia, en el Registro Nacional de Obras Civiles Inconclusas.</w:t>
      </w:r>
    </w:p>
    <w:p w14:paraId="4D91854B" w14:textId="77777777" w:rsidR="00FF5DBE" w:rsidRPr="00EA3BD1" w:rsidRDefault="00FF5DBE" w:rsidP="00FF5DBE">
      <w:pPr>
        <w:tabs>
          <w:tab w:val="left" w:pos="0"/>
        </w:tabs>
        <w:spacing w:before="120" w:after="0" w:line="276" w:lineRule="auto"/>
        <w:ind w:left="709" w:right="709"/>
        <w:jc w:val="both"/>
        <w:rPr>
          <w:rFonts w:ascii="Verdana" w:hAnsi="Verdana" w:cs="Arial"/>
          <w:sz w:val="20"/>
          <w:szCs w:val="20"/>
          <w:lang w:val="es-ES_tradnl"/>
        </w:rPr>
      </w:pPr>
      <w:r w:rsidRPr="00EA3BD1">
        <w:rPr>
          <w:rFonts w:ascii="Verdana" w:hAnsi="Verdana" w:cs="Arial"/>
          <w:sz w:val="20"/>
          <w:szCs w:val="20"/>
          <w:lang w:val="es-ES_tradnl"/>
        </w:rPr>
        <w:t>Durante los procesos de selección objetiva para contratistas de obra o interventores, se tendrán en cuenta las anotaciones vigentes en el Registro Nacional de Obras Civiles Inconclusas al momento de evaluar los factores de ponderación de calidad, establecidos en el literal a) del artículo 5° de la Ley 1150 de 2007 o la norma que la modifique.</w:t>
      </w:r>
    </w:p>
    <w:p w14:paraId="62B35BA5" w14:textId="77777777" w:rsidR="00FF5DBE" w:rsidRPr="00EA3BD1" w:rsidRDefault="00FF5DBE" w:rsidP="00FF5DBE">
      <w:pPr>
        <w:tabs>
          <w:tab w:val="left" w:pos="0"/>
        </w:tabs>
        <w:spacing w:before="120" w:after="0" w:line="276" w:lineRule="auto"/>
        <w:ind w:left="709" w:right="709"/>
        <w:jc w:val="both"/>
        <w:rPr>
          <w:rFonts w:ascii="Verdana" w:hAnsi="Verdana" w:cs="Arial"/>
          <w:sz w:val="20"/>
          <w:szCs w:val="20"/>
          <w:lang w:val="es-ES_tradnl"/>
        </w:rPr>
      </w:pPr>
      <w:r w:rsidRPr="00EA3BD1">
        <w:rPr>
          <w:rFonts w:ascii="Verdana" w:hAnsi="Verdana" w:cs="Arial"/>
          <w:sz w:val="20"/>
          <w:szCs w:val="20"/>
          <w:lang w:val="es-ES_tradnl"/>
        </w:rPr>
        <w:t>Cualquier controversia o solicitud que surja en relación con los reportes de información que suministre la entidad contratante, serán resueltos por esta, atendiendo los principios y disposiciones establecidos en la normatividad vigente”</w:t>
      </w:r>
    </w:p>
    <w:p w14:paraId="15CFBB23" w14:textId="77777777" w:rsidR="00FF5DBE" w:rsidRPr="00EA3BD1" w:rsidRDefault="00FF5DBE" w:rsidP="00FF5DBE">
      <w:pPr>
        <w:tabs>
          <w:tab w:val="left" w:pos="0"/>
        </w:tabs>
        <w:spacing w:before="120" w:after="0" w:line="276" w:lineRule="auto"/>
        <w:ind w:firstLine="709"/>
        <w:jc w:val="both"/>
        <w:rPr>
          <w:rFonts w:ascii="Verdana" w:hAnsi="Verdana" w:cs="Arial"/>
          <w:lang w:val="es-ES_tradnl"/>
        </w:rPr>
      </w:pPr>
      <w:r w:rsidRPr="00EA3BD1">
        <w:rPr>
          <w:rFonts w:ascii="Verdana" w:hAnsi="Verdana" w:cs="Arial"/>
          <w:lang w:val="es-ES_tradnl"/>
        </w:rPr>
        <w:t xml:space="preserve">Como se observa, el artículo 6 de la Ley 2020 de 2020 se remite al literal a) del artículo 5 de la Ley 1150 de 2007, conviene recordar lo señalado en dicho enunciado normativo. Este consagra los criterios para garantizar la selección objetiva en los procedimientos contractuales, precisando la metodología con la </w:t>
      </w:r>
      <w:r w:rsidRPr="00EA3BD1">
        <w:rPr>
          <w:rFonts w:ascii="Verdana" w:hAnsi="Verdana" w:cs="Arial"/>
          <w:lang w:val="es-ES_tradnl"/>
        </w:rPr>
        <w:lastRenderedPageBreak/>
        <w:t>cual pueden establecerse tanto los requisitos habilitantes como los criterios de evaluación. En lo pertinente, la norma dispone:</w:t>
      </w:r>
    </w:p>
    <w:p w14:paraId="5D4ADA4C" w14:textId="77777777" w:rsidR="00FF5DBE" w:rsidRDefault="00FF5DBE" w:rsidP="00FF5DBE">
      <w:pPr>
        <w:tabs>
          <w:tab w:val="left" w:pos="0"/>
        </w:tabs>
        <w:spacing w:after="0" w:line="276" w:lineRule="auto"/>
        <w:ind w:left="709" w:right="709"/>
        <w:jc w:val="both"/>
        <w:rPr>
          <w:rFonts w:ascii="Verdana" w:hAnsi="Verdana" w:cs="Arial"/>
          <w:sz w:val="20"/>
          <w:szCs w:val="20"/>
          <w:lang w:val="es-ES_tradnl"/>
        </w:rPr>
      </w:pPr>
    </w:p>
    <w:p w14:paraId="1BA57260" w14:textId="77777777" w:rsidR="00FF5DBE" w:rsidRPr="00EA3BD1" w:rsidRDefault="00FF5DBE" w:rsidP="00FF5DBE">
      <w:pPr>
        <w:tabs>
          <w:tab w:val="left" w:pos="0"/>
        </w:tabs>
        <w:spacing w:after="0" w:line="276" w:lineRule="auto"/>
        <w:ind w:left="709" w:right="709"/>
        <w:jc w:val="both"/>
        <w:rPr>
          <w:rFonts w:ascii="Verdana" w:hAnsi="Verdana" w:cs="Arial"/>
          <w:sz w:val="20"/>
          <w:szCs w:val="20"/>
          <w:lang w:val="es-ES_tradnl"/>
        </w:rPr>
      </w:pPr>
      <w:r w:rsidRPr="00EA3BD1">
        <w:rPr>
          <w:rFonts w:ascii="Verdana" w:hAnsi="Verdana" w:cs="Arial"/>
          <w:sz w:val="20"/>
          <w:szCs w:val="20"/>
          <w:lang w:val="es-ES_tradnl"/>
        </w:rPr>
        <w: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35217B68" w14:textId="77777777" w:rsidR="00FF5DBE" w:rsidRDefault="00FF5DBE" w:rsidP="00FF5DBE">
      <w:pPr>
        <w:tabs>
          <w:tab w:val="left" w:pos="0"/>
        </w:tabs>
        <w:spacing w:after="0" w:line="276" w:lineRule="auto"/>
        <w:ind w:left="709" w:right="709"/>
        <w:jc w:val="both"/>
        <w:rPr>
          <w:rFonts w:ascii="Verdana" w:hAnsi="Verdana" w:cs="Arial"/>
          <w:sz w:val="20"/>
          <w:szCs w:val="20"/>
          <w:lang w:val="es-ES_tradnl"/>
        </w:rPr>
      </w:pPr>
      <w:r w:rsidRPr="00EA3BD1">
        <w:rPr>
          <w:rFonts w:ascii="Verdana" w:hAnsi="Verdana" w:cs="Arial"/>
          <w:sz w:val="20"/>
          <w:szCs w:val="20"/>
          <w:lang w:val="es-ES_tradnl"/>
        </w:rPr>
        <w:t>En los procesos de selección en los que se tenga en cuenta los factores técnicos y económicos, la oferta más ventajosa será la que resulte de aplicar alguna de las siguientes alternativas:</w:t>
      </w:r>
    </w:p>
    <w:p w14:paraId="608816E7" w14:textId="77777777" w:rsidR="00FF5DBE" w:rsidRPr="00EA3BD1" w:rsidRDefault="00FF5DBE" w:rsidP="00FF5DBE">
      <w:pPr>
        <w:tabs>
          <w:tab w:val="left" w:pos="0"/>
        </w:tabs>
        <w:spacing w:after="0" w:line="276" w:lineRule="auto"/>
        <w:ind w:left="709" w:right="709"/>
        <w:jc w:val="both"/>
        <w:rPr>
          <w:rFonts w:ascii="Verdana" w:hAnsi="Verdana" w:cs="Arial"/>
          <w:sz w:val="20"/>
          <w:szCs w:val="20"/>
          <w:lang w:val="es-ES_tradnl"/>
        </w:rPr>
      </w:pPr>
    </w:p>
    <w:p w14:paraId="5FE378C1" w14:textId="77777777" w:rsidR="00FF5DBE" w:rsidRPr="00EA3BD1" w:rsidRDefault="00FF5DBE" w:rsidP="00FF5DBE">
      <w:pPr>
        <w:tabs>
          <w:tab w:val="left" w:pos="0"/>
        </w:tabs>
        <w:spacing w:after="0" w:line="276" w:lineRule="auto"/>
        <w:ind w:left="709" w:right="709"/>
        <w:jc w:val="both"/>
        <w:rPr>
          <w:rFonts w:ascii="Verdana" w:hAnsi="Verdana" w:cs="Arial"/>
          <w:sz w:val="20"/>
          <w:szCs w:val="20"/>
          <w:lang w:val="es-ES_tradnl"/>
        </w:rPr>
      </w:pPr>
      <w:r w:rsidRPr="00EA3BD1">
        <w:rPr>
          <w:rFonts w:ascii="Verdana" w:hAnsi="Verdana" w:cs="Arial"/>
          <w:sz w:val="20"/>
          <w:szCs w:val="20"/>
          <w:lang w:val="es-ES_tradnl"/>
        </w:rPr>
        <w:t>a) La ponderación de los elementos de calidad y precio soportados en puntajes o fórmulas señaladas en el pliego de condiciones; o</w:t>
      </w:r>
    </w:p>
    <w:p w14:paraId="349C5FFA" w14:textId="77777777" w:rsidR="00FF5DBE" w:rsidRDefault="00FF5DBE" w:rsidP="00FF5DBE">
      <w:pPr>
        <w:tabs>
          <w:tab w:val="left" w:pos="0"/>
        </w:tabs>
        <w:spacing w:after="0" w:line="276" w:lineRule="auto"/>
        <w:ind w:left="709" w:right="709"/>
        <w:jc w:val="both"/>
        <w:rPr>
          <w:rFonts w:ascii="Verdana" w:hAnsi="Verdana" w:cs="Arial"/>
          <w:sz w:val="20"/>
          <w:szCs w:val="20"/>
          <w:lang w:val="es-ES_tradnl"/>
        </w:rPr>
      </w:pPr>
    </w:p>
    <w:p w14:paraId="6E1AC7D1" w14:textId="77777777" w:rsidR="00FF5DBE" w:rsidRDefault="00FF5DBE" w:rsidP="00FF5DBE">
      <w:pPr>
        <w:tabs>
          <w:tab w:val="left" w:pos="0"/>
        </w:tabs>
        <w:spacing w:after="0" w:line="276" w:lineRule="auto"/>
        <w:ind w:left="709" w:right="709"/>
        <w:jc w:val="both"/>
        <w:rPr>
          <w:rFonts w:ascii="Verdana" w:hAnsi="Verdana" w:cs="Arial"/>
          <w:sz w:val="20"/>
          <w:szCs w:val="20"/>
          <w:lang w:val="es-ES_tradnl"/>
        </w:rPr>
      </w:pPr>
      <w:r w:rsidRPr="00EA3BD1">
        <w:rPr>
          <w:rFonts w:ascii="Verdana" w:hAnsi="Verdana" w:cs="Arial"/>
          <w:sz w:val="20"/>
          <w:szCs w:val="20"/>
          <w:lang w:val="es-ES_tradnl"/>
        </w:rPr>
        <w:t xml:space="preserve">b) La ponderación de los elementos de calidad y precio que representen la mejor relación de costo-beneficio para la entidad (…)” </w:t>
      </w:r>
    </w:p>
    <w:p w14:paraId="1470A081" w14:textId="77777777" w:rsidR="00FF5DBE" w:rsidRPr="00EA3BD1" w:rsidRDefault="00FF5DBE" w:rsidP="00FF5DBE">
      <w:pPr>
        <w:tabs>
          <w:tab w:val="left" w:pos="0"/>
        </w:tabs>
        <w:spacing w:after="0" w:line="276" w:lineRule="auto"/>
        <w:ind w:left="709" w:right="709"/>
        <w:jc w:val="both"/>
        <w:rPr>
          <w:rFonts w:ascii="Verdana" w:hAnsi="Verdana" w:cs="Arial"/>
          <w:sz w:val="20"/>
          <w:szCs w:val="20"/>
          <w:lang w:val="es-ES_tradnl"/>
        </w:rPr>
      </w:pPr>
    </w:p>
    <w:p w14:paraId="3FCA26D7" w14:textId="77777777" w:rsidR="00FF5DBE" w:rsidRPr="00312394" w:rsidRDefault="00FF5DBE" w:rsidP="00FF5DBE">
      <w:pPr>
        <w:tabs>
          <w:tab w:val="left" w:pos="0"/>
        </w:tabs>
        <w:spacing w:after="0" w:line="276" w:lineRule="auto"/>
        <w:ind w:firstLine="709"/>
        <w:jc w:val="both"/>
        <w:rPr>
          <w:rFonts w:ascii="Verdana" w:eastAsia="Calibri" w:hAnsi="Verdana" w:cs="Arial"/>
          <w:color w:val="000000"/>
          <w:szCs w:val="24"/>
          <w:lang w:val="es-ES_tradnl" w:eastAsia="en-GB"/>
        </w:rPr>
      </w:pPr>
      <w:r w:rsidRPr="00312394">
        <w:rPr>
          <w:rFonts w:ascii="Verdana" w:eastAsia="Calibri" w:hAnsi="Verdana" w:cs="Arial"/>
          <w:color w:val="000000"/>
          <w:szCs w:val="24"/>
          <w:lang w:val="es-ES_tradnl" w:eastAsia="en-GB"/>
        </w:rPr>
        <w:t xml:space="preserve">De acuerdo con lo anterior, para interpretar el artículo 6 de la Ley 2020 de 2020 – especialmente el aparte referido a la evaluación de los factores de ponderación de calidad, previo análisis de las anotaciones del Registro Nacional de Obras Civiles Inconclusas– debe resaltarse que el artículo 5 de la Ley 1150 de 2007 </w:t>
      </w:r>
      <w:r w:rsidRPr="00312394">
        <w:rPr>
          <w:rFonts w:ascii="Verdana" w:eastAsia="Calibri" w:hAnsi="Verdana" w:cs="Arial"/>
          <w:iCs/>
          <w:color w:val="000000"/>
          <w:szCs w:val="24"/>
          <w:lang w:val="es-ES_tradnl" w:eastAsia="en-GB"/>
        </w:rPr>
        <w:t>no</w:t>
      </w:r>
      <w:r w:rsidRPr="00312394">
        <w:rPr>
          <w:rFonts w:ascii="Verdana" w:eastAsia="Calibri" w:hAnsi="Verdana" w:cs="Arial"/>
          <w:color w:val="000000"/>
          <w:szCs w:val="24"/>
          <w:lang w:val="es-ES_tradnl" w:eastAsia="en-GB"/>
        </w:rPr>
        <w:t xml:space="preserve"> los define, sino que se limita a mencionarlos de manera genérica. En efecto, el literal a) de dicho artículo está precedido por un inciso que establece: </w:t>
      </w:r>
      <w:r w:rsidRPr="00312394">
        <w:rPr>
          <w:rFonts w:ascii="Verdana" w:eastAsia="Calibri" w:hAnsi="Verdana" w:cs="Arial"/>
          <w:i/>
          <w:iCs/>
          <w:color w:val="000000"/>
          <w:szCs w:val="24"/>
          <w:lang w:val="es-ES_tradnl" w:eastAsia="en-GB"/>
        </w:rPr>
        <w:t>“En los procesos de selección en los que se tenga en cuenta los factores técnicos y económicos, la oferta más ventajosa será la que resulte de aplicar alguna de las siguientes alternativas”</w:t>
      </w:r>
      <w:r w:rsidRPr="00312394">
        <w:rPr>
          <w:rFonts w:ascii="Verdana" w:eastAsia="Calibri" w:hAnsi="Verdana" w:cs="Arial"/>
          <w:color w:val="000000"/>
          <w:szCs w:val="24"/>
          <w:lang w:val="es-ES_tradnl" w:eastAsia="en-GB"/>
        </w:rPr>
        <w:t xml:space="preserve">; y, a renglón seguido, dentro de las </w:t>
      </w:r>
      <w:r w:rsidRPr="00312394">
        <w:rPr>
          <w:rFonts w:ascii="Verdana" w:eastAsia="Calibri" w:hAnsi="Verdana" w:cs="Arial"/>
          <w:i/>
          <w:iCs/>
          <w:color w:val="000000"/>
          <w:szCs w:val="24"/>
          <w:lang w:val="es-ES_tradnl" w:eastAsia="en-GB"/>
        </w:rPr>
        <w:t>“alternativas”</w:t>
      </w:r>
      <w:r w:rsidRPr="00312394">
        <w:rPr>
          <w:rFonts w:ascii="Verdana" w:eastAsia="Calibri" w:hAnsi="Verdana" w:cs="Arial"/>
          <w:color w:val="000000"/>
          <w:szCs w:val="24"/>
          <w:lang w:val="es-ES_tradnl" w:eastAsia="en-GB"/>
        </w:rPr>
        <w:t xml:space="preserve">, el legislador incorpora la siguiente: </w:t>
      </w:r>
      <w:r w:rsidRPr="00312394">
        <w:rPr>
          <w:rFonts w:ascii="Verdana" w:eastAsia="Calibri" w:hAnsi="Verdana" w:cs="Arial"/>
          <w:i/>
          <w:iCs/>
          <w:color w:val="000000"/>
          <w:szCs w:val="24"/>
          <w:lang w:val="es-ES_tradnl" w:eastAsia="en-GB"/>
        </w:rPr>
        <w:t>“a) La ponderación de los elementos de calidad y precio soportados en puntajes o fórmulas señaladas en el pliego de condiciones”</w:t>
      </w:r>
      <w:r w:rsidRPr="00312394">
        <w:rPr>
          <w:rFonts w:ascii="Verdana" w:eastAsia="Calibri" w:hAnsi="Verdana" w:cs="Arial"/>
          <w:color w:val="000000"/>
          <w:szCs w:val="24"/>
          <w:lang w:val="es-ES_tradnl" w:eastAsia="en-GB"/>
        </w:rPr>
        <w:t>.</w:t>
      </w:r>
    </w:p>
    <w:p w14:paraId="4940E5DD" w14:textId="77777777" w:rsidR="00FF5DBE" w:rsidRPr="00312394" w:rsidRDefault="00FF5DBE" w:rsidP="00FF5DBE">
      <w:pPr>
        <w:spacing w:before="120" w:after="0" w:line="276" w:lineRule="auto"/>
        <w:ind w:firstLine="709"/>
        <w:jc w:val="both"/>
        <w:rPr>
          <w:rFonts w:ascii="Verdana" w:eastAsia="Calibri" w:hAnsi="Verdana" w:cs="Arial"/>
          <w:color w:val="000000"/>
          <w:lang w:val="es-ES" w:eastAsia="en-GB"/>
        </w:rPr>
      </w:pPr>
      <w:r w:rsidRPr="00312394">
        <w:rPr>
          <w:rFonts w:ascii="Verdana" w:eastAsia="Calibri" w:hAnsi="Verdana" w:cs="Arial"/>
          <w:color w:val="000000" w:themeColor="text1"/>
          <w:lang w:val="es-ES" w:eastAsia="en-GB"/>
        </w:rPr>
        <w:t xml:space="preserve">Como puede apreciarse, el Congreso de la República optó por conceder a las entidades estatales un margen de discrecionalidad administrativa para determinar en los procedimientos de selección que realicen cuáles serán los elementos de calidad y precio que tendrán en cuenta en la calificación o </w:t>
      </w:r>
      <w:r w:rsidRPr="00312394">
        <w:rPr>
          <w:rFonts w:ascii="Verdana" w:eastAsia="Calibri" w:hAnsi="Verdana" w:cs="Arial"/>
          <w:color w:val="000000" w:themeColor="text1"/>
          <w:lang w:val="es-ES" w:eastAsia="en-GB"/>
        </w:rPr>
        <w:lastRenderedPageBreak/>
        <w:t>ponderación. De igual forma, el legislador no estableció una fórmula o metodología específica para realizar esta ponderación, sino que también lo dejó librado a la apreciación de las entidades públicas interesadas en contratar.</w:t>
      </w:r>
    </w:p>
    <w:p w14:paraId="59BF2E5E" w14:textId="77777777" w:rsidR="00FF5DBE" w:rsidRPr="00312394" w:rsidRDefault="00FF5DBE" w:rsidP="00FF5DBE">
      <w:pPr>
        <w:tabs>
          <w:tab w:val="left" w:pos="0"/>
        </w:tabs>
        <w:spacing w:before="120" w:after="0" w:line="276" w:lineRule="auto"/>
        <w:ind w:firstLine="709"/>
        <w:jc w:val="both"/>
        <w:rPr>
          <w:rFonts w:ascii="Verdana" w:eastAsia="Times New Roman" w:hAnsi="Verdana" w:cs="Arial"/>
          <w:color w:val="000000"/>
          <w:szCs w:val="24"/>
          <w:lang w:eastAsia="es-ES_tradnl"/>
        </w:rPr>
      </w:pPr>
      <w:r w:rsidRPr="00312394">
        <w:rPr>
          <w:rFonts w:ascii="Verdana" w:eastAsia="Calibri" w:hAnsi="Verdana" w:cs="Arial"/>
          <w:color w:val="000000"/>
          <w:szCs w:val="24"/>
          <w:lang w:val="es-ES_tradnl" w:eastAsia="en-GB"/>
        </w:rPr>
        <w:t xml:space="preserve">Esta Subdirección se pronunció sobre el reconocimiento de la discrecionalidad administrativa como modelo de asignación de potestades en la contratación estatal. Por ejemplo, en el concepto C-120 del 3 de marzo de 2020 señaló que si bien la discrecionalidad implica un margen de libertad para las entidades estales, en todo caso, al hacer uso de ella, deben observar el artículo 44 de la Ley 1437 de 2011, según el cual </w:t>
      </w:r>
      <w:r w:rsidRPr="00312394">
        <w:rPr>
          <w:rFonts w:ascii="Verdana" w:eastAsia="Times New Roman" w:hAnsi="Verdana" w:cs="Arial"/>
          <w:color w:val="000000"/>
          <w:szCs w:val="24"/>
          <w:lang w:eastAsia="es-ES_tradnl"/>
        </w:rPr>
        <w:t>la decisión debe ser adecuada y proporcional al trámite y a los hechos que lo motivaron</w:t>
      </w:r>
      <w:r w:rsidRPr="00312394">
        <w:rPr>
          <w:rFonts w:ascii="Verdana" w:eastAsia="Times New Roman" w:hAnsi="Verdana" w:cs="Arial"/>
          <w:color w:val="000000"/>
          <w:szCs w:val="24"/>
          <w:vertAlign w:val="superscript"/>
          <w:lang w:eastAsia="es-ES_tradnl"/>
        </w:rPr>
        <w:footnoteReference w:id="16"/>
      </w:r>
      <w:r w:rsidRPr="00312394">
        <w:rPr>
          <w:rFonts w:ascii="Verdana" w:eastAsia="Times New Roman" w:hAnsi="Verdana" w:cs="Arial"/>
          <w:color w:val="000000"/>
          <w:szCs w:val="24"/>
          <w:lang w:eastAsia="es-ES_tradnl"/>
        </w:rPr>
        <w:t>. Este también ha sido el entendimiento de la doctrina, que ha considerado que el ejercicio de la discrecionalidad administrativa debe respetar el principio de proporcionalidad</w:t>
      </w:r>
      <w:r w:rsidRPr="00312394">
        <w:rPr>
          <w:rFonts w:ascii="Verdana" w:eastAsia="Times New Roman" w:hAnsi="Verdana" w:cs="Arial"/>
          <w:color w:val="000000"/>
          <w:szCs w:val="24"/>
          <w:vertAlign w:val="superscript"/>
          <w:lang w:eastAsia="es-ES_tradnl"/>
        </w:rPr>
        <w:footnoteReference w:id="17"/>
      </w:r>
      <w:r w:rsidRPr="00312394">
        <w:rPr>
          <w:rFonts w:ascii="Verdana" w:eastAsia="Times New Roman" w:hAnsi="Verdana" w:cs="Arial"/>
          <w:color w:val="000000"/>
          <w:szCs w:val="24"/>
          <w:lang w:eastAsia="es-ES_tradnl"/>
        </w:rPr>
        <w:t>.</w:t>
      </w:r>
    </w:p>
    <w:p w14:paraId="1662B93F" w14:textId="77777777" w:rsidR="00FF5DBE" w:rsidRPr="00312394" w:rsidRDefault="00FF5DBE" w:rsidP="00FF5DBE">
      <w:pPr>
        <w:tabs>
          <w:tab w:val="left" w:pos="0"/>
        </w:tabs>
        <w:spacing w:before="120" w:after="0" w:line="276" w:lineRule="auto"/>
        <w:ind w:firstLine="709"/>
        <w:jc w:val="both"/>
        <w:rPr>
          <w:rFonts w:ascii="Verdana" w:eastAsia="Times New Roman" w:hAnsi="Verdana" w:cs="Arial"/>
          <w:color w:val="000000"/>
          <w:szCs w:val="24"/>
          <w:lang w:eastAsia="es-ES_tradnl"/>
        </w:rPr>
      </w:pPr>
      <w:r w:rsidRPr="00312394">
        <w:rPr>
          <w:rFonts w:ascii="Verdana" w:eastAsia="Times New Roman" w:hAnsi="Verdana" w:cs="Arial"/>
          <w:color w:val="000000"/>
          <w:szCs w:val="24"/>
          <w:lang w:eastAsia="es-ES_tradnl"/>
        </w:rPr>
        <w:t xml:space="preserve">Esta discrecionalidad también se encuentra presente al momento de elaborar el pliego de condiciones y específicamente, al definir los criterios de calificación con puntos. Entre estos criterios se encuentran los elementos de calidad y precio indicados en el artículo 5, numeral 2, literal a), de la Ley 1150 de 2007. Por ello, la Sección Tercera del Consejo de Estado considera: </w:t>
      </w:r>
    </w:p>
    <w:p w14:paraId="64696B58" w14:textId="77777777" w:rsidR="00FF5DBE" w:rsidRPr="00312394" w:rsidRDefault="00FF5DBE" w:rsidP="00FF5DBE">
      <w:pPr>
        <w:tabs>
          <w:tab w:val="left" w:pos="0"/>
        </w:tabs>
        <w:spacing w:after="0" w:line="276" w:lineRule="auto"/>
        <w:ind w:left="709" w:right="709"/>
        <w:jc w:val="both"/>
        <w:rPr>
          <w:rFonts w:ascii="Verdana" w:eastAsia="Calibri" w:hAnsi="Verdana" w:cs="Arial"/>
          <w:color w:val="000000"/>
          <w:sz w:val="20"/>
          <w:szCs w:val="20"/>
          <w:lang w:eastAsia="en-GB"/>
        </w:rPr>
      </w:pPr>
    </w:p>
    <w:p w14:paraId="3B47F76B" w14:textId="77777777" w:rsidR="00FF5DBE" w:rsidRPr="00312394" w:rsidRDefault="00FF5DBE" w:rsidP="00FF5DBE">
      <w:pPr>
        <w:tabs>
          <w:tab w:val="left" w:pos="0"/>
        </w:tabs>
        <w:spacing w:after="0" w:line="240" w:lineRule="auto"/>
        <w:ind w:left="709" w:right="709"/>
        <w:jc w:val="both"/>
        <w:rPr>
          <w:rFonts w:ascii="Verdana" w:eastAsia="Calibri" w:hAnsi="Verdana" w:cs="Arial"/>
          <w:color w:val="000000"/>
          <w:sz w:val="20"/>
          <w:szCs w:val="20"/>
          <w:lang w:val="es-ES_tradnl" w:eastAsia="en-GB"/>
        </w:rPr>
      </w:pPr>
      <w:r w:rsidRPr="00312394">
        <w:rPr>
          <w:rFonts w:ascii="Verdana" w:eastAsia="Calibri" w:hAnsi="Verdana" w:cs="Arial"/>
          <w:color w:val="000000"/>
          <w:sz w:val="20"/>
          <w:szCs w:val="20"/>
          <w:lang w:val="es-ES_tradnl" w:eastAsia="en-GB"/>
        </w:rPr>
        <w:t xml:space="preserve">“Bajo esta premisa debe entenderse el deber de selección objetiva consagrado en el artículo 5 de la Ley 1150 de 2007, disposición que otorga discrecionalidad a las diversas entidades estatales para que establezcan en los pliegos de condiciones los diferentes factores de escogencia y calificación. Por ende, es cierto, como se desprende del libelo de la demanda, que el legislador otorgó a la Administración una libertad de elección de los distintos criterios de ponderación para asegurar que se </w:t>
      </w:r>
      <w:r w:rsidRPr="00312394">
        <w:rPr>
          <w:rFonts w:ascii="Verdana" w:eastAsia="Calibri" w:hAnsi="Verdana" w:cs="Arial"/>
          <w:color w:val="000000"/>
          <w:sz w:val="20"/>
          <w:szCs w:val="20"/>
          <w:lang w:val="es-ES_tradnl" w:eastAsia="en-GB"/>
        </w:rPr>
        <w:lastRenderedPageBreak/>
        <w:t>contratará con la mejor oferta, esto es, aquella que se ajuste mejor a las finalidades de interés general”</w:t>
      </w:r>
      <w:r w:rsidRPr="00312394">
        <w:rPr>
          <w:rFonts w:ascii="Verdana" w:eastAsia="Calibri" w:hAnsi="Verdana" w:cs="Arial"/>
          <w:color w:val="000000"/>
          <w:sz w:val="20"/>
          <w:szCs w:val="20"/>
          <w:vertAlign w:val="superscript"/>
          <w:lang w:val="es-ES_tradnl" w:eastAsia="en-GB"/>
        </w:rPr>
        <w:footnoteReference w:id="18"/>
      </w:r>
      <w:r w:rsidRPr="00312394">
        <w:rPr>
          <w:rFonts w:ascii="Verdana" w:eastAsia="Calibri" w:hAnsi="Verdana" w:cs="Arial"/>
          <w:color w:val="000000"/>
          <w:sz w:val="20"/>
          <w:szCs w:val="20"/>
          <w:lang w:val="es-ES_tradnl" w:eastAsia="en-GB"/>
        </w:rPr>
        <w:t>.</w:t>
      </w:r>
    </w:p>
    <w:p w14:paraId="52EBA5A7" w14:textId="77777777" w:rsidR="00FF5DBE" w:rsidRPr="00312394" w:rsidRDefault="00FF5DBE" w:rsidP="00FF5DBE">
      <w:pPr>
        <w:tabs>
          <w:tab w:val="left" w:pos="0"/>
        </w:tabs>
        <w:spacing w:after="0" w:line="276" w:lineRule="auto"/>
        <w:ind w:firstLine="709"/>
        <w:jc w:val="both"/>
        <w:rPr>
          <w:rFonts w:ascii="Verdana" w:eastAsia="Times New Roman" w:hAnsi="Verdana" w:cs="Arial"/>
          <w:color w:val="000000"/>
          <w:sz w:val="20"/>
          <w:lang w:eastAsia="es-ES_tradnl"/>
        </w:rPr>
      </w:pPr>
    </w:p>
    <w:p w14:paraId="353ED315" w14:textId="77777777" w:rsidR="00FF5DBE" w:rsidRPr="00312394" w:rsidRDefault="00FF5DBE" w:rsidP="00FF5DBE">
      <w:pPr>
        <w:spacing w:after="120" w:line="276" w:lineRule="auto"/>
        <w:ind w:firstLine="709"/>
        <w:jc w:val="both"/>
        <w:rPr>
          <w:rFonts w:ascii="Verdana" w:eastAsia="Times New Roman" w:hAnsi="Verdana" w:cs="Arial"/>
          <w:color w:val="000000"/>
          <w:szCs w:val="24"/>
          <w:lang w:eastAsia="es-ES_tradnl"/>
        </w:rPr>
      </w:pPr>
      <w:r w:rsidRPr="00312394">
        <w:rPr>
          <w:rFonts w:ascii="Verdana" w:eastAsia="Times New Roman" w:hAnsi="Verdana" w:cs="Arial"/>
          <w:color w:val="000000"/>
          <w:szCs w:val="24"/>
          <w:lang w:eastAsia="es-ES_tradnl"/>
        </w:rPr>
        <w:t>Por lo tanto, como se indicó, el artículo 6 de la Ley 2020 de 2020 establece que “Durante los procesos de selección objetiva para contratistas de obra o interventores, se tendrán en cuenta las anotaciones vigentes en el Registro Nacional de Obras Civiles Inconclusas al momento de evaluar los factores de ponderación de calidad, establecidos en el literal a) del artículo 5</w:t>
      </w:r>
      <w:r w:rsidRPr="00312394">
        <w:rPr>
          <w:rFonts w:ascii="Verdana" w:eastAsia="Times New Roman" w:hAnsi="Verdana" w:cs="Arial"/>
          <w:color w:val="000000"/>
          <w:szCs w:val="24"/>
          <w:vertAlign w:val="superscript"/>
          <w:lang w:eastAsia="es-ES_tradnl"/>
        </w:rPr>
        <w:t>o</w:t>
      </w:r>
      <w:r w:rsidRPr="00312394">
        <w:rPr>
          <w:rFonts w:ascii="Verdana" w:eastAsia="Times New Roman" w:hAnsi="Verdana" w:cs="Arial"/>
          <w:color w:val="000000"/>
          <w:szCs w:val="24"/>
          <w:lang w:eastAsia="es-ES_tradnl"/>
        </w:rPr>
        <w:t xml:space="preserve"> de la Ley 1150 de 2007 o la norma que la modifique”. De lo prescrito en la disposición precitada, se deriva que el deber de consultar y analizar solamente aplica a las tipologías contractuales de obra pública y de interventoría, y no a los demás contratos de consultoría. Esto por cuanto, si bien el contrato de interventoría es de consultoría, no todo contrato de consultoría tiene por objeto una interventoría. Así se desprende del artículo 32, numeral 2, de la Ley 80 de 1993</w:t>
      </w:r>
      <w:r w:rsidRPr="00312394">
        <w:rPr>
          <w:rStyle w:val="Refdenotaalpie"/>
          <w:rFonts w:ascii="Verdana" w:eastAsia="Times New Roman" w:hAnsi="Verdana" w:cs="Arial"/>
          <w:color w:val="000000"/>
          <w:szCs w:val="24"/>
          <w:lang w:eastAsia="es-ES_tradnl"/>
        </w:rPr>
        <w:footnoteReference w:id="19"/>
      </w:r>
      <w:r w:rsidRPr="00312394">
        <w:rPr>
          <w:rFonts w:ascii="Verdana" w:eastAsia="Times New Roman" w:hAnsi="Verdana" w:cs="Arial"/>
          <w:color w:val="000000"/>
          <w:szCs w:val="24"/>
          <w:lang w:eastAsia="es-ES_tradnl"/>
        </w:rPr>
        <w:t>.</w:t>
      </w:r>
    </w:p>
    <w:p w14:paraId="4634972F" w14:textId="77777777" w:rsidR="00FF5DBE" w:rsidRPr="00312394" w:rsidRDefault="00FF5DBE" w:rsidP="00FF5DBE">
      <w:pPr>
        <w:spacing w:after="0" w:line="276" w:lineRule="auto"/>
        <w:ind w:firstLine="709"/>
        <w:jc w:val="both"/>
        <w:rPr>
          <w:rFonts w:ascii="Verdana" w:eastAsia="Times New Roman" w:hAnsi="Verdana" w:cs="Arial"/>
          <w:color w:val="000000"/>
          <w:szCs w:val="24"/>
          <w:lang w:eastAsia="es-ES_tradnl"/>
        </w:rPr>
      </w:pPr>
      <w:r w:rsidRPr="00312394">
        <w:rPr>
          <w:rFonts w:ascii="Verdana" w:eastAsia="Times New Roman" w:hAnsi="Verdana" w:cs="Arial"/>
          <w:color w:val="000000"/>
          <w:szCs w:val="24"/>
          <w:lang w:eastAsia="es-ES_tradnl"/>
        </w:rPr>
        <w:t xml:space="preserve"> Para los contratos de obra pública y de interventoría, lo anterior significa que, al aplicar dichos criterios de calificación con puntos dentro del procedimiento contractual, las entidades estatales deben servirse de la información contenida en el Registro y de las actualizaciones de dicha información que se reporten por parte de la Contraloría General de la República y de las entidades estatales, conforme lo establece el artículo 3 de la Ley 2020 de 2020. </w:t>
      </w:r>
      <w:r w:rsidRPr="00312394">
        <w:rPr>
          <w:rFonts w:ascii="Verdana" w:eastAsia="Calibri" w:hAnsi="Verdana" w:cs="Arial"/>
          <w:lang w:val="es-MX"/>
        </w:rPr>
        <w:t>En este contexto, las entidades deberán examinar la particularidad de la anotación y determinar si esta afectará la ponderación al momento de realizar la respectiva evaluación.</w:t>
      </w:r>
    </w:p>
    <w:p w14:paraId="6A98B5A5" w14:textId="77777777" w:rsidR="00FF5DBE" w:rsidRPr="00312394" w:rsidRDefault="00FF5DBE" w:rsidP="00FF5DBE">
      <w:pPr>
        <w:spacing w:before="120" w:after="0" w:line="276" w:lineRule="auto"/>
        <w:ind w:firstLine="709"/>
        <w:jc w:val="both"/>
        <w:rPr>
          <w:rFonts w:ascii="Verdana" w:eastAsia="Times New Roman" w:hAnsi="Verdana" w:cs="Arial"/>
          <w:color w:val="000000"/>
          <w:szCs w:val="24"/>
          <w:lang w:val="es-MX" w:eastAsia="es-ES_tradnl"/>
        </w:rPr>
      </w:pPr>
      <w:r w:rsidRPr="00312394">
        <w:rPr>
          <w:rFonts w:ascii="Verdana" w:eastAsia="Times New Roman" w:hAnsi="Verdana" w:cs="Arial"/>
          <w:color w:val="000000"/>
          <w:szCs w:val="24"/>
          <w:lang w:eastAsia="es-ES_tradnl"/>
        </w:rPr>
        <w:t>De esta manera, como las entidades estatales cuentan con discrecionalidad para determinar los criterios de calificación, corresponde a estas definir, en los pliegos de condiciones, los factores de asignación de puntaje y</w:t>
      </w:r>
      <w:r w:rsidRPr="00312394">
        <w:rPr>
          <w:rFonts w:ascii="Verdana" w:eastAsia="Times New Roman" w:hAnsi="Verdana" w:cs="Arial"/>
          <w:color w:val="000000"/>
          <w:szCs w:val="24"/>
          <w:lang w:val="es-ES_tradnl" w:eastAsia="es-ES_tradnl"/>
        </w:rPr>
        <w:t xml:space="preserve"> la forma en que se realizará la valoración de las anotaciones vigentes en el Registro Nacional de Obras Civiles Inconclusas al momento de evaluar las ofertas, conforme a los parámetros del artículo 6 de la Ley 2020 de 2020</w:t>
      </w:r>
      <w:r w:rsidRPr="00312394">
        <w:rPr>
          <w:rFonts w:ascii="Verdana" w:eastAsia="Times New Roman" w:hAnsi="Verdana" w:cs="Arial"/>
          <w:color w:val="000000"/>
          <w:szCs w:val="24"/>
          <w:lang w:eastAsia="es-ES_tradnl"/>
        </w:rPr>
        <w:t xml:space="preserve">. Lo anterior, </w:t>
      </w:r>
      <w:r w:rsidRPr="00312394">
        <w:rPr>
          <w:rFonts w:ascii="Verdana" w:eastAsia="Times New Roman" w:hAnsi="Verdana" w:cs="Arial"/>
          <w:color w:val="000000"/>
          <w:szCs w:val="24"/>
          <w:lang w:eastAsia="es-ES_tradnl"/>
        </w:rPr>
        <w:lastRenderedPageBreak/>
        <w:t xml:space="preserve">teniendo en cuenta que </w:t>
      </w:r>
      <w:r w:rsidRPr="00312394">
        <w:rPr>
          <w:rFonts w:ascii="Verdana" w:eastAsia="Times New Roman" w:hAnsi="Verdana" w:cs="Arial"/>
          <w:color w:val="000000"/>
          <w:szCs w:val="24"/>
          <w:lang w:val="es-MX" w:eastAsia="es-ES_tradnl"/>
        </w:rPr>
        <w:t xml:space="preserve">la norma no restringió a una metodología específica el análisis y la valoración de estas anotaciones. </w:t>
      </w:r>
    </w:p>
    <w:p w14:paraId="7F7D7765" w14:textId="77777777" w:rsidR="00FF5DBE" w:rsidRPr="00312394" w:rsidRDefault="00FF5DBE" w:rsidP="00FF5DBE">
      <w:pPr>
        <w:spacing w:before="120" w:after="0" w:line="276" w:lineRule="auto"/>
        <w:ind w:firstLine="709"/>
        <w:jc w:val="both"/>
        <w:rPr>
          <w:rFonts w:ascii="Verdana" w:eastAsia="Calibri" w:hAnsi="Verdana" w:cs="Arial"/>
          <w:color w:val="000000"/>
          <w:lang w:val="es-ES_tradnl" w:eastAsia="en-GB"/>
        </w:rPr>
      </w:pPr>
      <w:r w:rsidRPr="00312394">
        <w:rPr>
          <w:rFonts w:ascii="Verdana" w:eastAsia="Times New Roman" w:hAnsi="Verdana" w:cs="Arial"/>
          <w:color w:val="000000"/>
          <w:szCs w:val="24"/>
          <w:lang w:eastAsia="es-ES_tradnl"/>
        </w:rPr>
        <w:t>Sin embargo, debe precisarse que l</w:t>
      </w:r>
      <w:r w:rsidRPr="00312394">
        <w:rPr>
          <w:rFonts w:ascii="Verdana" w:eastAsia="Calibri" w:hAnsi="Verdana" w:cs="Arial"/>
          <w:color w:val="000000"/>
          <w:szCs w:val="24"/>
          <w:lang w:val="es-ES_tradnl" w:eastAsia="en-GB"/>
        </w:rPr>
        <w:t>a sola inclusión en el Registro Nacional de Obras Civiles Inconclusas no puede entenderse como suficiente para</w:t>
      </w:r>
      <w:r w:rsidRPr="00312394">
        <w:rPr>
          <w:rFonts w:ascii="Verdana" w:eastAsia="Times New Roman" w:hAnsi="Verdana" w:cs="Arial"/>
          <w:color w:val="000000"/>
          <w:szCs w:val="24"/>
          <w:lang w:eastAsia="es-ES_tradnl"/>
        </w:rPr>
        <w:t xml:space="preserve"> afectar la ponderación del factor de calidad del proponente, puesto que la norma establece el deber de la entidad de realizar la consulta y el análisis de la anotación. </w:t>
      </w:r>
      <w:r w:rsidRPr="00312394">
        <w:rPr>
          <w:rFonts w:ascii="Verdana" w:eastAsia="Calibri" w:hAnsi="Verdana" w:cs="Arial"/>
          <w:color w:val="000000"/>
          <w:szCs w:val="24"/>
          <w:lang w:val="es-ES_tradnl" w:eastAsia="en-GB"/>
        </w:rPr>
        <w:t xml:space="preserve">Además, como se expuso, el Registro Nacional de Obras Civiles Inconclusas es un sistema </w:t>
      </w:r>
      <w:r w:rsidRPr="00312394">
        <w:rPr>
          <w:rFonts w:ascii="Verdana" w:eastAsia="Calibri" w:hAnsi="Verdana" w:cs="Arial"/>
          <w:color w:val="000000"/>
          <w:szCs w:val="24"/>
          <w:lang w:eastAsia="en-GB"/>
        </w:rPr>
        <w:t xml:space="preserve">que contiene los datos sobre obras inconclusas en todo el territorio nacional, compuesto por la información reportada por las entidades estatales o la información obtenida por la Contraloría General de la República. </w:t>
      </w:r>
      <w:r w:rsidRPr="00312394">
        <w:rPr>
          <w:rFonts w:ascii="Verdana" w:eastAsia="Calibri" w:hAnsi="Verdana" w:cs="Arial"/>
          <w:color w:val="000000"/>
          <w:szCs w:val="24"/>
          <w:lang w:val="es-ES_tradnl" w:eastAsia="en-GB"/>
        </w:rPr>
        <w:t xml:space="preserve">Esto significa que el Registro contiene toda la información necesaria que permita verificar el estado real de dicha obra, entre ellos, datos sobre la identificación del contratista, consultores, interventores y demás personas naturales y/o jurídicas que intervinieron en la planeación y ejecución del proyecto, entre otros. En este sentido, no puede entenderse que la sola inclusión de dicha información tenga incidencia </w:t>
      </w:r>
      <w:r w:rsidRPr="00312394">
        <w:rPr>
          <w:rFonts w:ascii="Verdana" w:eastAsia="Calibri" w:hAnsi="Verdana" w:cs="Arial"/>
          <w:i/>
          <w:iCs/>
          <w:color w:val="000000"/>
          <w:szCs w:val="24"/>
          <w:lang w:val="es-ES_tradnl" w:eastAsia="en-GB"/>
        </w:rPr>
        <w:t>automática</w:t>
      </w:r>
      <w:r w:rsidRPr="00312394">
        <w:rPr>
          <w:rFonts w:ascii="Verdana" w:eastAsia="Calibri" w:hAnsi="Verdana" w:cs="Arial"/>
          <w:color w:val="000000"/>
          <w:szCs w:val="24"/>
          <w:lang w:val="es-ES_tradnl" w:eastAsia="en-GB"/>
        </w:rPr>
        <w:t xml:space="preserve"> </w:t>
      </w:r>
      <w:r w:rsidRPr="00312394">
        <w:rPr>
          <w:rFonts w:ascii="Verdana" w:eastAsia="Calibri" w:hAnsi="Verdana" w:cs="Arial"/>
          <w:color w:val="000000"/>
          <w:lang w:val="es-ES_tradnl" w:eastAsia="en-GB"/>
        </w:rPr>
        <w:t xml:space="preserve">al momento de evaluar los factores de ponderación. Por ello, el artículo 6 dispuso expresamente que las entidades estatales contratantes </w:t>
      </w:r>
      <w:r w:rsidRPr="00312394">
        <w:rPr>
          <w:rFonts w:ascii="Verdana" w:eastAsia="Times New Roman" w:hAnsi="Verdana" w:cs="Arial"/>
          <w:color w:val="000000"/>
          <w:lang w:eastAsia="es-ES_tradnl"/>
        </w:rPr>
        <w:t>“</w:t>
      </w:r>
      <w:r w:rsidRPr="00312394">
        <w:rPr>
          <w:rFonts w:ascii="Verdana" w:eastAsia="Calibri" w:hAnsi="Verdana" w:cs="Arial"/>
          <w:color w:val="000000"/>
          <w:lang w:val="es-ES_tradnl" w:eastAsia="en-GB"/>
        </w:rPr>
        <w:t>deberán consultar y analizar las anotaciones vigentes que presenten las personas naturales o jurídicas, nacionales o extranjeras domiciliadas o con sucursal en Colombia, en el Registro Nacional de Obras Civiles Inconclusas</w:t>
      </w:r>
      <w:r w:rsidRPr="00312394">
        <w:rPr>
          <w:rFonts w:ascii="Verdana" w:eastAsia="Times New Roman" w:hAnsi="Verdana" w:cs="Arial"/>
          <w:color w:val="000000"/>
          <w:lang w:eastAsia="es-ES_tradnl"/>
        </w:rPr>
        <w:t>”</w:t>
      </w:r>
      <w:r w:rsidRPr="00312394">
        <w:rPr>
          <w:rFonts w:ascii="Verdana" w:eastAsia="Calibri" w:hAnsi="Verdana" w:cs="Arial"/>
          <w:color w:val="000000"/>
          <w:lang w:val="es-ES_tradnl" w:eastAsia="en-GB"/>
        </w:rPr>
        <w:t>.</w:t>
      </w:r>
    </w:p>
    <w:p w14:paraId="0B5A5295" w14:textId="77777777" w:rsidR="00FF5DBE" w:rsidRDefault="00FF5DBE" w:rsidP="00FF5DBE">
      <w:pPr>
        <w:spacing w:before="120" w:after="0" w:line="276" w:lineRule="auto"/>
        <w:ind w:firstLine="709"/>
        <w:jc w:val="both"/>
        <w:rPr>
          <w:rFonts w:ascii="Verdana" w:eastAsia="Calibri" w:hAnsi="Verdana" w:cs="Arial"/>
          <w:color w:val="000000"/>
          <w:lang w:val="es-ES_tradnl" w:eastAsia="en-GB"/>
        </w:rPr>
      </w:pPr>
      <w:r w:rsidRPr="00312394">
        <w:rPr>
          <w:rFonts w:ascii="Verdana" w:eastAsia="Times New Roman" w:hAnsi="Verdana" w:cs="Arial"/>
          <w:color w:val="000000"/>
          <w:szCs w:val="24"/>
          <w:lang w:eastAsia="es-ES_tradnl"/>
        </w:rPr>
        <w:t xml:space="preserve">De esta </w:t>
      </w:r>
      <w:r w:rsidRPr="00D75304">
        <w:rPr>
          <w:rFonts w:ascii="Verdana" w:eastAsia="Times New Roman" w:hAnsi="Verdana" w:cs="Arial"/>
          <w:color w:val="000000"/>
          <w:szCs w:val="24"/>
          <w:lang w:eastAsia="es-ES_tradnl"/>
        </w:rPr>
        <w:t>manera, el</w:t>
      </w:r>
      <w:r w:rsidRPr="00312394">
        <w:rPr>
          <w:rFonts w:ascii="Verdana" w:eastAsia="Times New Roman" w:hAnsi="Verdana" w:cs="Arial"/>
          <w:color w:val="000000"/>
          <w:szCs w:val="24"/>
          <w:lang w:eastAsia="es-ES_tradnl"/>
        </w:rPr>
        <w:t xml:space="preserve"> solo hecho de que el contratista de obra o interventor se encuentre incluido en dicho Registro no genera automáticamente una consecuencia en la ponderación de los criterios de evaluación, pues la entidad tiene el deber de </w:t>
      </w:r>
      <w:r w:rsidRPr="00312394">
        <w:rPr>
          <w:rFonts w:ascii="Verdana" w:eastAsia="Calibri" w:hAnsi="Verdana" w:cs="Arial"/>
          <w:color w:val="000000"/>
          <w:lang w:val="es-ES_tradnl" w:eastAsia="en-GB"/>
        </w:rPr>
        <w:t>consultar y analizar las anotaciones vigentes. En todo caso, si se presenta alguna discrepancia en relación con la información reportada en el Registro por la entidad contratante, el artículo 6 dispuso que tal controversia o solicitud será resuelta por la entidad contratante que suministró dicha información. En consecuencia, el contratista deberá manifestar su inconformidad directamente ante la entidad contratante que realizó la anotación, la cual deberá atenderla teniendo en cuenta los principios y disposiciones establecidas en la normatividad vigente.</w:t>
      </w:r>
    </w:p>
    <w:p w14:paraId="231EDF65" w14:textId="77777777" w:rsidR="00FF5DBE" w:rsidRDefault="00FF5DBE" w:rsidP="00FF5DBE">
      <w:pPr>
        <w:spacing w:before="120" w:after="0" w:line="278" w:lineRule="auto"/>
        <w:jc w:val="both"/>
        <w:rPr>
          <w:rFonts w:ascii="Verdana" w:hAnsi="Verdana"/>
        </w:rPr>
      </w:pPr>
      <w:proofErr w:type="spellStart"/>
      <w:r w:rsidRPr="000F1B7D">
        <w:rPr>
          <w:rFonts w:ascii="Verdana" w:hAnsi="Verdana" w:cs="Arial"/>
          <w:lang w:val="es-ES_tradnl"/>
        </w:rPr>
        <w:t>iii</w:t>
      </w:r>
      <w:proofErr w:type="spellEnd"/>
      <w:r w:rsidRPr="000F1B7D">
        <w:rPr>
          <w:rFonts w:ascii="Verdana" w:hAnsi="Verdana" w:cs="Arial"/>
          <w:lang w:val="es-ES_tradnl"/>
        </w:rPr>
        <w:t xml:space="preserve">) Con todo, en aras de resolver la cuestión objeto de consulta, debe advertirse que, revisado el marco jurídico del Registro Nacional de Obras Inconclusas establecido por la Ley 2020 de 2020, de acuerdo con el principio </w:t>
      </w:r>
      <w:r w:rsidRPr="00312394">
        <w:rPr>
          <w:rFonts w:ascii="Verdana" w:hAnsi="Verdana" w:cs="Arial"/>
          <w:i/>
          <w:iCs/>
          <w:lang w:val="es-ES_tradnl"/>
        </w:rPr>
        <w:t xml:space="preserve">pro </w:t>
      </w:r>
      <w:proofErr w:type="spellStart"/>
      <w:r w:rsidRPr="00312394">
        <w:rPr>
          <w:rFonts w:ascii="Verdana" w:hAnsi="Verdana" w:cs="Arial"/>
          <w:i/>
          <w:iCs/>
          <w:lang w:val="es-ES_tradnl"/>
        </w:rPr>
        <w:t>libertate</w:t>
      </w:r>
      <w:proofErr w:type="spellEnd"/>
      <w:r w:rsidRPr="00312394">
        <w:rPr>
          <w:rFonts w:ascii="Verdana" w:hAnsi="Verdana"/>
        </w:rPr>
        <w:t xml:space="preserve"> y conforme al criterio de interpretación restrictiva explicado </w:t>
      </w:r>
      <w:r w:rsidRPr="00312394">
        <w:rPr>
          <w:rFonts w:ascii="Verdana" w:hAnsi="Verdana"/>
          <w:i/>
          <w:iCs/>
        </w:rPr>
        <w:t>supra</w:t>
      </w:r>
      <w:r>
        <w:rPr>
          <w:rFonts w:ascii="Verdana" w:hAnsi="Verdana"/>
          <w:i/>
          <w:iCs/>
        </w:rPr>
        <w:t xml:space="preserve">, </w:t>
      </w:r>
      <w:r>
        <w:rPr>
          <w:rFonts w:ascii="Verdana" w:hAnsi="Verdana"/>
        </w:rPr>
        <w:t xml:space="preserve">es posible </w:t>
      </w:r>
      <w:r>
        <w:rPr>
          <w:rFonts w:ascii="Verdana" w:hAnsi="Verdana"/>
        </w:rPr>
        <w:lastRenderedPageBreak/>
        <w:t xml:space="preserve">afirmar que del mismo no derivan directamente restricciones a la capacidad para participar en procesos de selección, celebrar o ejecutar contratos estatales. Esto comoquiera que, ni el artículo 6, ni ninguna de las demás disposiciones que integran la Ley 2020 de 2020, hacen referencia a restricciones a la capacidad contractual que se configuren a partir de la inclusión en el referido registro. </w:t>
      </w:r>
    </w:p>
    <w:p w14:paraId="726CE12F" w14:textId="77777777" w:rsidR="00FF5DBE" w:rsidRDefault="00FF5DBE" w:rsidP="00FF5DBE">
      <w:pPr>
        <w:tabs>
          <w:tab w:val="left" w:pos="0"/>
          <w:tab w:val="left" w:pos="7938"/>
        </w:tabs>
        <w:spacing w:before="120" w:after="0" w:line="278" w:lineRule="auto"/>
        <w:ind w:right="49" w:firstLine="567"/>
        <w:jc w:val="both"/>
        <w:rPr>
          <w:rFonts w:ascii="Verdana" w:eastAsia="Arial" w:hAnsi="Verdana" w:cs="Arial"/>
          <w:lang w:val="es-ES"/>
        </w:rPr>
      </w:pPr>
      <w:r>
        <w:rPr>
          <w:rFonts w:ascii="Verdana" w:hAnsi="Verdana"/>
        </w:rPr>
        <w:t xml:space="preserve"> Con todo, si bien la inclusión en el </w:t>
      </w:r>
      <w:r w:rsidRPr="000E0EE6">
        <w:rPr>
          <w:rFonts w:ascii="Verdana" w:hAnsi="Verdana"/>
        </w:rPr>
        <w:t>Registro Nacional de Obras Civiles Inconclusas</w:t>
      </w:r>
      <w:r>
        <w:rPr>
          <w:rFonts w:ascii="Verdana" w:hAnsi="Verdana"/>
        </w:rPr>
        <w:t xml:space="preserve"> no genera </w:t>
      </w:r>
      <w:r w:rsidRPr="00312394">
        <w:rPr>
          <w:rFonts w:ascii="Verdana" w:hAnsi="Verdana"/>
          <w:i/>
          <w:iCs/>
        </w:rPr>
        <w:t>per se</w:t>
      </w:r>
      <w:r>
        <w:rPr>
          <w:rFonts w:ascii="Verdana" w:hAnsi="Verdana"/>
        </w:rPr>
        <w:t xml:space="preserve"> la configuración de una inhabilidad, nada obsta para que los hechos de los que da cuenta el registro puedan ser relevantes para la configuración de los supuestos de hecho de otras inhabilidades. Este, por ejemplo, podría ser el caso </w:t>
      </w:r>
      <w:r w:rsidRPr="00EA3BD1">
        <w:rPr>
          <w:rFonts w:ascii="Verdana" w:eastAsia="Arial" w:hAnsi="Verdana" w:cs="Arial"/>
          <w:lang w:val="es-ES"/>
        </w:rPr>
        <w:t>de</w:t>
      </w:r>
      <w:r>
        <w:rPr>
          <w:rFonts w:ascii="Verdana" w:eastAsia="Arial" w:hAnsi="Verdana" w:cs="Arial"/>
          <w:lang w:val="es-ES"/>
        </w:rPr>
        <w:t xml:space="preserve"> </w:t>
      </w:r>
      <w:r w:rsidRPr="00EA3BD1">
        <w:rPr>
          <w:rFonts w:ascii="Verdana" w:eastAsia="Arial" w:hAnsi="Verdana" w:cs="Arial"/>
          <w:lang w:val="es-ES"/>
        </w:rPr>
        <w:t>l</w:t>
      </w:r>
      <w:r>
        <w:rPr>
          <w:rFonts w:ascii="Verdana" w:eastAsia="Arial" w:hAnsi="Verdana" w:cs="Arial"/>
          <w:lang w:val="es-ES"/>
        </w:rPr>
        <w:t>a</w:t>
      </w:r>
      <w:r w:rsidRPr="00EA3BD1">
        <w:rPr>
          <w:rFonts w:ascii="Verdana" w:eastAsia="Arial" w:hAnsi="Verdana" w:cs="Arial"/>
          <w:lang w:val="es-ES"/>
        </w:rPr>
        <w:t xml:space="preserve"> </w:t>
      </w:r>
      <w:r>
        <w:rPr>
          <w:rFonts w:ascii="Verdana" w:eastAsia="Arial" w:hAnsi="Verdana" w:cs="Arial"/>
          <w:lang w:val="es-ES"/>
        </w:rPr>
        <w:t xml:space="preserve">inhabilidad por </w:t>
      </w:r>
      <w:r w:rsidRPr="00EA3BD1">
        <w:rPr>
          <w:rFonts w:ascii="Verdana" w:eastAsia="Arial" w:hAnsi="Verdana" w:cs="Arial"/>
          <w:lang w:val="es-ES"/>
        </w:rPr>
        <w:t xml:space="preserve">incumplimiento reiterado </w:t>
      </w:r>
      <w:r>
        <w:rPr>
          <w:rFonts w:ascii="Verdana" w:eastAsia="Arial" w:hAnsi="Verdana" w:cs="Arial"/>
          <w:lang w:val="es-ES"/>
        </w:rPr>
        <w:t>contemplada por el</w:t>
      </w:r>
      <w:r w:rsidRPr="00EA3BD1">
        <w:rPr>
          <w:rFonts w:ascii="Verdana" w:eastAsia="Arial" w:hAnsi="Verdana" w:cs="Arial"/>
          <w:lang w:val="es-ES"/>
        </w:rPr>
        <w:t xml:space="preserve"> artículo 90 de la Ley 1474 de 2011</w:t>
      </w:r>
      <w:r>
        <w:rPr>
          <w:rFonts w:ascii="Verdana" w:eastAsia="Arial" w:hAnsi="Verdana" w:cs="Arial"/>
          <w:lang w:val="es-ES"/>
        </w:rPr>
        <w:t>, cuya configuración bien podría estar asociada incumplimientos contractuales que han dado lugar a obras inconclusas, siempre que se cumplan los presupuestos de esta última norma</w:t>
      </w:r>
      <w:r>
        <w:rPr>
          <w:rStyle w:val="Refdenotaalpie"/>
          <w:rFonts w:ascii="Verdana" w:eastAsia="Arial" w:hAnsi="Verdana" w:cs="Arial"/>
          <w:lang w:val="es-ES"/>
        </w:rPr>
        <w:footnoteReference w:id="20"/>
      </w:r>
    </w:p>
    <w:p w14:paraId="5607AA74" w14:textId="77777777" w:rsidR="00FF5DBE" w:rsidRDefault="00FF5DBE" w:rsidP="00FF5DBE">
      <w:pPr>
        <w:tabs>
          <w:tab w:val="left" w:pos="0"/>
          <w:tab w:val="left" w:pos="7938"/>
        </w:tabs>
        <w:spacing w:before="120" w:after="0" w:line="278" w:lineRule="auto"/>
        <w:ind w:right="49" w:firstLine="567"/>
        <w:jc w:val="both"/>
        <w:rPr>
          <w:rFonts w:ascii="Verdana" w:eastAsia="Arial" w:hAnsi="Verdana" w:cs="Arial"/>
          <w:lang w:val="es-ES"/>
        </w:rPr>
      </w:pPr>
    </w:p>
    <w:p w14:paraId="7F231102" w14:textId="77777777" w:rsidR="00FF5DBE" w:rsidRPr="004B79A3" w:rsidRDefault="00FF5DBE" w:rsidP="00FF5DBE">
      <w:pPr>
        <w:spacing w:after="120" w:line="276" w:lineRule="auto"/>
        <w:jc w:val="both"/>
        <w:rPr>
          <w:rFonts w:ascii="Verdana" w:eastAsiaTheme="minorEastAsia" w:hAnsi="Verdana" w:cs="Arial"/>
          <w:lang w:eastAsia="es-CO"/>
        </w:rPr>
      </w:pPr>
      <w:r>
        <w:rPr>
          <w:rFonts w:ascii="Verdana" w:eastAsia="Arial" w:hAnsi="Verdana" w:cs="Arial"/>
          <w:lang w:val="es-ES"/>
        </w:rPr>
        <w:t xml:space="preserve">Ahora, con relación al segundo problema jurídico es menester precisar que </w:t>
      </w:r>
      <w:r w:rsidRPr="00CF54DC">
        <w:rPr>
          <w:rFonts w:ascii="Verdana" w:eastAsiaTheme="minorEastAsia" w:hAnsi="Verdana" w:cs="Arial"/>
          <w:lang w:eastAsia="es-CO"/>
        </w:rPr>
        <w:t>el alcance de la competencia consultiva encuentra su fundamento normativo en el</w:t>
      </w:r>
      <w:r w:rsidRPr="00CF54DC">
        <w:rPr>
          <w:rFonts w:ascii="Verdana" w:eastAsiaTheme="minorEastAsia" w:hAnsi="Verdana" w:cs="Arial"/>
          <w:spacing w:val="-59"/>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28</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1437</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2011,</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sustituido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por</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el</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1755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2015,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dispone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siguiente:</w:t>
      </w:r>
      <w:r>
        <w:rPr>
          <w:rFonts w:ascii="Verdana" w:eastAsiaTheme="minorEastAsia" w:hAnsi="Verdana" w:cs="Arial"/>
          <w:lang w:eastAsia="es-CO"/>
        </w:rPr>
        <w:t xml:space="preserve"> </w:t>
      </w:r>
      <w:r w:rsidRPr="0063536A">
        <w:rPr>
          <w:rFonts w:ascii="Verdana" w:eastAsia="Times New Roman" w:hAnsi="Verdana" w:cs="Arial"/>
        </w:rPr>
        <w:t>“Artículo</w:t>
      </w:r>
      <w:r w:rsidRPr="0063536A">
        <w:rPr>
          <w:rFonts w:ascii="Verdana" w:eastAsia="Times New Roman" w:hAnsi="Verdana" w:cs="Arial"/>
          <w:spacing w:val="1"/>
        </w:rPr>
        <w:t xml:space="preserve"> </w:t>
      </w:r>
      <w:r w:rsidRPr="0063536A">
        <w:rPr>
          <w:rFonts w:ascii="Verdana" w:eastAsia="Times New Roman" w:hAnsi="Verdana" w:cs="Arial"/>
        </w:rPr>
        <w:t>28.</w:t>
      </w:r>
      <w:r w:rsidRPr="0063536A">
        <w:rPr>
          <w:rFonts w:ascii="Verdana" w:eastAsia="Times New Roman" w:hAnsi="Verdana" w:cs="Arial"/>
          <w:spacing w:val="1"/>
        </w:rPr>
        <w:t xml:space="preserve"> </w:t>
      </w:r>
      <w:r w:rsidRPr="0063536A">
        <w:rPr>
          <w:rFonts w:ascii="Verdana" w:eastAsia="Times New Roman" w:hAnsi="Verdana" w:cs="Arial"/>
        </w:rPr>
        <w:t>Alcance</w:t>
      </w:r>
      <w:r w:rsidRPr="0063536A">
        <w:rPr>
          <w:rFonts w:ascii="Verdana" w:eastAsia="Times New Roman" w:hAnsi="Verdana" w:cs="Arial"/>
          <w:spacing w:val="1"/>
        </w:rPr>
        <w:t xml:space="preserve"> </w:t>
      </w:r>
      <w:r w:rsidRPr="0063536A">
        <w:rPr>
          <w:rFonts w:ascii="Verdana" w:eastAsia="Times New Roman" w:hAnsi="Verdana" w:cs="Arial"/>
        </w:rPr>
        <w:t>de</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1"/>
        </w:rPr>
        <w:t xml:space="preserve"> </w:t>
      </w:r>
      <w:r w:rsidRPr="0063536A">
        <w:rPr>
          <w:rFonts w:ascii="Verdana" w:eastAsia="Times New Roman" w:hAnsi="Verdana" w:cs="Arial"/>
        </w:rPr>
        <w:t>conceptos.</w:t>
      </w:r>
      <w:r w:rsidRPr="0063536A">
        <w:rPr>
          <w:rFonts w:ascii="Verdana" w:eastAsia="Times New Roman" w:hAnsi="Verdana" w:cs="Arial"/>
          <w:spacing w:val="1"/>
        </w:rPr>
        <w:t xml:space="preserve"> </w:t>
      </w:r>
      <w:r w:rsidRPr="0063536A">
        <w:rPr>
          <w:rFonts w:ascii="Verdana" w:eastAsia="Times New Roman" w:hAnsi="Verdana" w:cs="Arial"/>
        </w:rPr>
        <w:t>Salvo</w:t>
      </w:r>
      <w:r w:rsidRPr="0063536A">
        <w:rPr>
          <w:rFonts w:ascii="Verdana" w:eastAsia="Times New Roman" w:hAnsi="Verdana" w:cs="Arial"/>
          <w:spacing w:val="1"/>
        </w:rPr>
        <w:t xml:space="preserve"> </w:t>
      </w:r>
      <w:r w:rsidRPr="0063536A">
        <w:rPr>
          <w:rFonts w:ascii="Verdana" w:eastAsia="Times New Roman" w:hAnsi="Verdana" w:cs="Arial"/>
        </w:rPr>
        <w:t>disposición</w:t>
      </w:r>
      <w:r w:rsidRPr="0063536A">
        <w:rPr>
          <w:rFonts w:ascii="Verdana" w:eastAsia="Times New Roman" w:hAnsi="Verdana" w:cs="Arial"/>
          <w:spacing w:val="1"/>
        </w:rPr>
        <w:t xml:space="preserve"> </w:t>
      </w:r>
      <w:r w:rsidRPr="0063536A">
        <w:rPr>
          <w:rFonts w:ascii="Verdana" w:eastAsia="Times New Roman" w:hAnsi="Verdana" w:cs="Arial"/>
        </w:rPr>
        <w:t>legal</w:t>
      </w:r>
      <w:r w:rsidRPr="0063536A">
        <w:rPr>
          <w:rFonts w:ascii="Verdana" w:eastAsia="Times New Roman" w:hAnsi="Verdana" w:cs="Arial"/>
          <w:spacing w:val="1"/>
        </w:rPr>
        <w:t xml:space="preserve"> </w:t>
      </w:r>
      <w:r w:rsidRPr="0063536A">
        <w:rPr>
          <w:rFonts w:ascii="Verdana" w:eastAsia="Times New Roman" w:hAnsi="Verdana" w:cs="Arial"/>
        </w:rPr>
        <w:t>en</w:t>
      </w:r>
      <w:r w:rsidRPr="0063536A">
        <w:rPr>
          <w:rFonts w:ascii="Verdana" w:eastAsia="Times New Roman" w:hAnsi="Verdana" w:cs="Arial"/>
          <w:spacing w:val="1"/>
        </w:rPr>
        <w:t xml:space="preserve"> </w:t>
      </w:r>
      <w:r w:rsidRPr="0063536A">
        <w:rPr>
          <w:rFonts w:ascii="Verdana" w:eastAsia="Times New Roman" w:hAnsi="Verdana" w:cs="Arial"/>
        </w:rPr>
        <w:t>contrario,</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56"/>
        </w:rPr>
        <w:t xml:space="preserve"> </w:t>
      </w:r>
      <w:r w:rsidRPr="0063536A">
        <w:rPr>
          <w:rFonts w:ascii="Verdana" w:eastAsia="Times New Roman" w:hAnsi="Verdana" w:cs="Arial"/>
        </w:rPr>
        <w:t>conceptos emitidos por las autoridades como respuestas a peticiones realizadas en</w:t>
      </w:r>
      <w:r w:rsidRPr="0063536A">
        <w:rPr>
          <w:rFonts w:ascii="Verdana" w:eastAsia="Times New Roman" w:hAnsi="Verdana" w:cs="Arial"/>
          <w:spacing w:val="1"/>
        </w:rPr>
        <w:t xml:space="preserve"> </w:t>
      </w:r>
      <w:r w:rsidRPr="0063536A">
        <w:rPr>
          <w:rFonts w:ascii="Verdana" w:eastAsia="Times New Roman" w:hAnsi="Verdana" w:cs="Arial"/>
        </w:rPr>
        <w:t xml:space="preserve">ejercicio del derecho a formular consultas </w:t>
      </w:r>
      <w:r w:rsidRPr="0063536A">
        <w:rPr>
          <w:rFonts w:ascii="Verdana" w:eastAsia="Times New Roman" w:hAnsi="Verdana" w:cs="Arial"/>
          <w:i/>
        </w:rPr>
        <w:lastRenderedPageBreak/>
        <w:t>no serán de obligatorio cumplimiento o</w:t>
      </w:r>
      <w:r w:rsidRPr="0063536A">
        <w:rPr>
          <w:rFonts w:ascii="Verdana" w:eastAsia="Times New Roman" w:hAnsi="Verdana" w:cs="Arial"/>
          <w:i/>
          <w:spacing w:val="1"/>
        </w:rPr>
        <w:t xml:space="preserve"> </w:t>
      </w:r>
      <w:r w:rsidRPr="0063536A">
        <w:rPr>
          <w:rFonts w:ascii="Verdana" w:eastAsia="Times New Roman" w:hAnsi="Verdana" w:cs="Arial"/>
          <w:i/>
        </w:rPr>
        <w:t>ejecución</w:t>
      </w:r>
      <w:r w:rsidRPr="0063536A">
        <w:rPr>
          <w:rFonts w:ascii="Verdana" w:eastAsia="Times New Roman" w:hAnsi="Verdana" w:cs="Arial"/>
        </w:rPr>
        <w:t>”. [Énfasis fuera del texto original]</w:t>
      </w:r>
    </w:p>
    <w:p w14:paraId="7F507701" w14:textId="77777777" w:rsidR="00FF5DBE" w:rsidRPr="00CF54DC" w:rsidRDefault="00FF5DBE" w:rsidP="00FF5DBE">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norma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citada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prescribe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emitidos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las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autoridades,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como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respuestas a peticiones realizadas en ejercicio del derecho a formular consultas, no son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obligatorio cumplimiento o de imperativa ejecución, es decir, no tienen efectos vinculantes.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 xml:space="preserve">particular, es preciso advertir que los conceptos </w:t>
      </w:r>
      <w:r>
        <w:rPr>
          <w:rFonts w:ascii="Verdana" w:eastAsiaTheme="minorEastAsia" w:hAnsi="Verdana" w:cs="Arial"/>
          <w:szCs w:val="24"/>
          <w:lang w:eastAsia="es-CO"/>
        </w:rPr>
        <w:t>emitidos por esta Entidad</w:t>
      </w:r>
      <w:r w:rsidRPr="00CF54DC">
        <w:rPr>
          <w:rFonts w:ascii="Verdana" w:eastAsiaTheme="minorEastAsia" w:hAnsi="Verdana" w:cs="Arial"/>
          <w:szCs w:val="24"/>
          <w:lang w:eastAsia="es-CO"/>
        </w:rPr>
        <w:t xml:space="preserve"> contienen la posición hermenéutica de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Subdirección de Gestión Contractual 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 Esta competencia de interpretación de normas generales, por definición, no puede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extenderse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resolución</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controversias,</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ni</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brindar</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asesorías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sobre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casos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puntuales.</w:t>
      </w:r>
    </w:p>
    <w:p w14:paraId="4CF2562D" w14:textId="77777777" w:rsidR="00FF5DBE" w:rsidRPr="00CF54DC" w:rsidRDefault="00FF5DBE" w:rsidP="00FF5DBE">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otras palabras, los conceptos de esta Agencia tienen como objeto la interpretación de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normas de carácter general, esto es, del ordenamiento jurídico en abstracto, no la resolución de controversias o la asesoría para casos concretos; además, no son vinculantes o de obligatorio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para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destinatario,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sino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expresan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posición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interpretativa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organismo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elabora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w:t>
      </w:r>
    </w:p>
    <w:p w14:paraId="07E0DD15" w14:textId="77777777" w:rsidR="00FF5DBE" w:rsidRPr="00CF54DC" w:rsidRDefault="00FF5DBE" w:rsidP="00FF5DBE">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concordancia con ello, es importante resaltar que esta posición es compartida 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varias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entidades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públicas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ejercen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similar</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ejemplo,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Procuraduría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 xml:space="preserve">la </w:t>
      </w:r>
      <w:r w:rsidRPr="00CF54DC">
        <w:rPr>
          <w:rFonts w:ascii="Verdana" w:eastAsiaTheme="minorEastAsia" w:hAnsi="Verdana" w:cs="Arial"/>
          <w:spacing w:val="-1"/>
          <w:szCs w:val="24"/>
          <w:lang w:eastAsia="es-CO"/>
        </w:rPr>
        <w:t>Nación</w:t>
      </w:r>
      <w:r w:rsidRPr="00CF54DC">
        <w:rPr>
          <w:rFonts w:ascii="Verdana" w:eastAsiaTheme="minorEastAsia" w:hAnsi="Verdana" w:cs="Arial"/>
          <w:spacing w:val="-1"/>
          <w:szCs w:val="24"/>
          <w:vertAlign w:val="superscript"/>
          <w:lang w:eastAsia="es-CO"/>
        </w:rPr>
        <w:footnoteReference w:id="21"/>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aclaró</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concepto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sólo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constituye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un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auxiliar</w:t>
      </w:r>
      <w:r w:rsidRPr="00CF54DC">
        <w:rPr>
          <w:rFonts w:ascii="Verdana" w:eastAsiaTheme="minorEastAsia" w:hAnsi="Verdana" w:cs="Arial"/>
          <w:spacing w:val="-1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14"/>
          <w:szCs w:val="24"/>
          <w:lang w:eastAsia="es-CO"/>
        </w:rPr>
        <w:t xml:space="preserve"> </w:t>
      </w:r>
      <w:proofErr w:type="gramStart"/>
      <w:r w:rsidRPr="00CF54DC">
        <w:rPr>
          <w:rFonts w:ascii="Verdana" w:eastAsiaTheme="minorEastAsia" w:hAnsi="Verdana" w:cs="Arial"/>
          <w:szCs w:val="24"/>
          <w:lang w:eastAsia="es-CO"/>
        </w:rPr>
        <w:t xml:space="preserve">tiene </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carácter</w:t>
      </w:r>
      <w:proofErr w:type="gramEnd"/>
      <w:r w:rsidRPr="00CF54DC">
        <w:rPr>
          <w:rFonts w:ascii="Verdana" w:eastAsiaTheme="minorEastAsia" w:hAnsi="Verdana" w:cs="Arial"/>
          <w:szCs w:val="24"/>
          <w:lang w:eastAsia="es-CO"/>
        </w:rPr>
        <w:t xml:space="preserve"> vinculante de acuerdo con lo dispuesto en los artículos 230 de la Constitución Política,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5°</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153</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1887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2011”.</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Igualmente,</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año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 Contraloría General</w:t>
      </w:r>
      <w:r w:rsidRPr="00CF54DC">
        <w:rPr>
          <w:rFonts w:ascii="Verdana" w:eastAsiaTheme="minorEastAsia" w:hAnsi="Verdana" w:cs="Arial"/>
          <w:szCs w:val="24"/>
          <w:vertAlign w:val="superscript"/>
          <w:lang w:eastAsia="es-CO"/>
        </w:rPr>
        <w:t xml:space="preserve"> </w:t>
      </w:r>
      <w:r w:rsidRPr="00CF54DC">
        <w:rPr>
          <w:rFonts w:ascii="Verdana" w:eastAsiaTheme="minorEastAsia" w:hAnsi="Verdana" w:cs="Arial"/>
          <w:szCs w:val="24"/>
          <w:lang w:eastAsia="es-CO"/>
        </w:rPr>
        <w:t>de la República</w:t>
      </w:r>
      <w:r w:rsidRPr="00CF54DC">
        <w:rPr>
          <w:rFonts w:ascii="Verdana" w:eastAsiaTheme="minorEastAsia" w:hAnsi="Verdana" w:cs="Arial"/>
          <w:szCs w:val="24"/>
          <w:vertAlign w:val="superscript"/>
          <w:lang w:eastAsia="es-CO"/>
        </w:rPr>
        <w:footnoteReference w:id="22"/>
      </w:r>
      <w:r w:rsidRPr="00CF54DC">
        <w:rPr>
          <w:rFonts w:ascii="Verdana" w:eastAsiaTheme="minorEastAsia" w:hAnsi="Verdana" w:cs="Arial"/>
          <w:szCs w:val="24"/>
          <w:lang w:eastAsia="es-CO"/>
        </w:rPr>
        <w:t xml:space="preserve"> precisó que los “[…] conceptos emitidos por la Oficina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Contraloría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República,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son</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orientaciones</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carácter</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no son de obligatorio cumplimiento o ejecución, ni tienen el carácter de fuente normativa y sólo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pueden ser utilizados para facilitar la interpretación y aplicación de las normas jurídicas vigentes</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w:t>
      </w:r>
    </w:p>
    <w:p w14:paraId="588E3536" w14:textId="77777777" w:rsidR="00FF5DBE" w:rsidRPr="00CF54DC" w:rsidRDefault="00FF5DBE" w:rsidP="00FF5DBE">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 xml:space="preserve">En términos generales, lo que se busca con el ejercicio de la función consultiva es que la opinión jurídica de esta Agencia sea un criterio de </w:t>
      </w:r>
      <w:r w:rsidRPr="00CF54DC">
        <w:rPr>
          <w:rFonts w:ascii="Verdana" w:eastAsiaTheme="minorEastAsia" w:hAnsi="Verdana" w:cs="Arial"/>
          <w:szCs w:val="24"/>
          <w:lang w:eastAsia="es-CO"/>
        </w:rPr>
        <w:lastRenderedPageBreak/>
        <w:t>orientación para los operadores jurídicos, sin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 ello suponga resolver un problema entre partes o asumir la única posible interpretación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una disposición normativa. Esto no descarta que, en la práctica, al emitirse la opinión sobre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ordenamiento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jurídico,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exista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coincidencia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con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expone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alguna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 xml:space="preserve">de </w:t>
      </w:r>
      <w:r>
        <w:rPr>
          <w:rFonts w:ascii="Verdana" w:eastAsiaTheme="minorEastAsia" w:hAnsi="Verdana" w:cs="Arial"/>
          <w:szCs w:val="24"/>
          <w:lang w:eastAsia="es-CO"/>
        </w:rPr>
        <w:t>las</w:t>
      </w:r>
      <w:r w:rsidRPr="00CF54DC">
        <w:rPr>
          <w:rFonts w:ascii="Verdana" w:eastAsiaTheme="minorEastAsia" w:hAnsi="Verdana" w:cs="Arial"/>
          <w:szCs w:val="24"/>
          <w:lang w:eastAsia="es-CO"/>
        </w:rPr>
        <w:t xml:space="preserve"> partes o la persona que solicita la consulta, circunstancia que no descarta interpretaciones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diferentes</w:t>
      </w:r>
      <w:r w:rsidRPr="00CF54DC">
        <w:rPr>
          <w:rFonts w:ascii="Verdana" w:eastAsiaTheme="minorEastAsia" w:hAnsi="Verdana" w:cs="Arial"/>
          <w:szCs w:val="24"/>
          <w:vertAlign w:val="superscript"/>
          <w:lang w:eastAsia="es-CO"/>
        </w:rPr>
        <w:footnoteReference w:id="23"/>
      </w:r>
      <w:r w:rsidRPr="00CF54DC">
        <w:rPr>
          <w:rFonts w:ascii="Verdana" w:eastAsiaTheme="minorEastAsia" w:hAnsi="Verdana" w:cs="Arial"/>
          <w:szCs w:val="24"/>
          <w:lang w:eastAsia="es-CO"/>
        </w:rPr>
        <w:t>.</w:t>
      </w:r>
    </w:p>
    <w:p w14:paraId="629C3680" w14:textId="77777777" w:rsidR="00FF5DBE" w:rsidRPr="00CF54DC" w:rsidRDefault="00FF5DBE" w:rsidP="00FF5DBE">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este modo, las autoridades que ejercen funciones consultivas pueden expresar su</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virtud</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utilización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jurídicos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indeterminados.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Así,</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puede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pasar,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ejemplo,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que un ministerio considere que una norma debe entenderse en un sentido, pero que otra entidad,</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vinculada o adscrita a ese ministerio, entienda que la misma norma debe interpretarse de otra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manera. Eso hace parte de la lógica deliberativa y dialéctica del funcionamiento del Estado y</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refleja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principio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democrático.</w:t>
      </w:r>
    </w:p>
    <w:p w14:paraId="1DE3BD32" w14:textId="77777777" w:rsidR="00FF5DBE" w:rsidRDefault="00FF5DBE" w:rsidP="00FF5DBE">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todos modos, esto no significa, necesariamente, que el criterio de una u otra tenga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prevalencia sobre la otra, ya que se trata de opiniones emitidas a título de concepto, pese a que entre las entidades exista jerarquía, o de la naturaleza y competencias que se prediquen de una y otra. Incluso, aun cuando los jueces interpreten con autoridad el sentido de la disposición normativa, el concepto emitido por la entidad no deja de ser un concepto y no adquiere efectos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vinculantes, así coincida con el de la autoridad judicial, pues, en esa hipótesis, lo que vincula es</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decisión</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juez,</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entidad</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ejerció</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consultiva</w:t>
      </w:r>
      <w:r>
        <w:rPr>
          <w:rFonts w:ascii="Verdana" w:eastAsiaTheme="minorEastAsia" w:hAnsi="Verdana" w:cs="Arial"/>
          <w:szCs w:val="24"/>
          <w:lang w:eastAsia="es-CO"/>
        </w:rPr>
        <w:t xml:space="preserve">. </w:t>
      </w:r>
    </w:p>
    <w:p w14:paraId="44DDE1D5" w14:textId="77777777" w:rsidR="00FF5DBE" w:rsidRDefault="00FF5DBE" w:rsidP="00FF5DBE">
      <w:pPr>
        <w:spacing w:after="0" w:line="276" w:lineRule="auto"/>
        <w:ind w:firstLine="709"/>
        <w:jc w:val="both"/>
        <w:rPr>
          <w:rFonts w:ascii="Verdana" w:eastAsiaTheme="minorEastAsia" w:hAnsi="Verdana" w:cs="Arial"/>
          <w:szCs w:val="24"/>
          <w:lang w:eastAsia="es-CO"/>
        </w:rPr>
      </w:pPr>
      <w:r>
        <w:rPr>
          <w:rFonts w:ascii="Verdana" w:eastAsiaTheme="minorEastAsia" w:hAnsi="Verdana" w:cs="Arial"/>
          <w:szCs w:val="24"/>
          <w:lang w:eastAsia="es-CO"/>
        </w:rPr>
        <w:t xml:space="preserve">De lo expuesto se concluye que, </w:t>
      </w:r>
      <w:r>
        <w:rPr>
          <w:rFonts w:ascii="Verdana" w:eastAsiaTheme="minorEastAsia" w:hAnsi="Verdana" w:cs="Arial"/>
          <w:spacing w:val="-15"/>
          <w:szCs w:val="24"/>
          <w:lang w:eastAsia="es-CO"/>
        </w:rPr>
        <w:t xml:space="preserve">la competencia consultiva de esta Agencia </w:t>
      </w:r>
      <w:r w:rsidRPr="00CF54DC">
        <w:rPr>
          <w:rFonts w:ascii="Verdana" w:eastAsiaTheme="minorEastAsia" w:hAnsi="Verdana" w:cs="Arial"/>
          <w:szCs w:val="24"/>
          <w:lang w:eastAsia="es-CO"/>
        </w:rPr>
        <w:t>se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enmarca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artículo</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2011</w:t>
      </w:r>
      <w:r>
        <w:rPr>
          <w:rFonts w:ascii="Verdana" w:eastAsiaTheme="minorEastAsia" w:hAnsi="Verdana" w:cs="Arial"/>
          <w:spacing w:val="-15"/>
          <w:szCs w:val="24"/>
          <w:lang w:eastAsia="es-CO"/>
        </w:rPr>
        <w:t xml:space="preserve">, el cual señala que </w:t>
      </w:r>
      <w:r w:rsidRPr="00CF54DC">
        <w:rPr>
          <w:rFonts w:ascii="Verdana" w:eastAsiaTheme="minorEastAsia" w:hAnsi="Verdana" w:cs="Arial"/>
          <w:szCs w:val="24"/>
          <w:lang w:eastAsia="es-CO"/>
        </w:rPr>
        <w:t>los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emitidos en virtud del derecho a formular consultas </w:t>
      </w:r>
      <w:r w:rsidRPr="00CF54DC">
        <w:rPr>
          <w:rFonts w:ascii="Verdana" w:eastAsiaTheme="minorEastAsia" w:hAnsi="Verdana" w:cs="Arial"/>
          <w:szCs w:val="24"/>
          <w:lang w:eastAsia="es-CO"/>
        </w:rPr>
        <w:t>no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serán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obligatorio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imperativa </w:t>
      </w:r>
      <w:r w:rsidRPr="00CF54DC">
        <w:rPr>
          <w:rFonts w:ascii="Verdana" w:eastAsiaTheme="minorEastAsia" w:hAnsi="Verdana" w:cs="Arial"/>
          <w:szCs w:val="24"/>
          <w:lang w:eastAsia="es-CO"/>
        </w:rPr>
        <w:t>ejecución</w:t>
      </w:r>
      <w:r>
        <w:rPr>
          <w:rFonts w:ascii="Verdana" w:eastAsiaTheme="minorEastAsia" w:hAnsi="Verdana" w:cs="Arial"/>
          <w:szCs w:val="24"/>
          <w:lang w:eastAsia="es-CO"/>
        </w:rPr>
        <w:t xml:space="preserve">. Estos conceptos </w:t>
      </w:r>
      <w:r w:rsidRPr="00CF54DC">
        <w:rPr>
          <w:rFonts w:ascii="Verdana" w:eastAsiaTheme="minorEastAsia" w:hAnsi="Verdana" w:cs="Arial"/>
          <w:szCs w:val="24"/>
          <w:lang w:eastAsia="es-CO"/>
        </w:rPr>
        <w:t>contienen la posición hermenéutica</w:t>
      </w:r>
      <w:r>
        <w:rPr>
          <w:rFonts w:ascii="Verdana" w:eastAsiaTheme="minorEastAsia" w:hAnsi="Verdana" w:cs="Arial"/>
          <w:szCs w:val="24"/>
          <w:lang w:eastAsia="es-CO"/>
        </w:rPr>
        <w:t xml:space="preserve"> de la Agencia,</w:t>
      </w:r>
      <w:r w:rsidRPr="00CF54DC">
        <w:rPr>
          <w:rFonts w:ascii="Verdana" w:eastAsiaTheme="minorEastAsia" w:hAnsi="Verdana" w:cs="Arial"/>
          <w:szCs w:val="24"/>
          <w:lang w:eastAsia="es-CO"/>
        </w:rPr>
        <w:t xml:space="preserve"> </w:t>
      </w:r>
      <w:r>
        <w:rPr>
          <w:rFonts w:ascii="Verdana" w:eastAsiaTheme="minorEastAsia" w:hAnsi="Verdana" w:cs="Arial"/>
          <w:szCs w:val="24"/>
          <w:lang w:eastAsia="es-CO"/>
        </w:rPr>
        <w:t xml:space="preserve">como ente rector de la contratación estatal, </w:t>
      </w:r>
      <w:r w:rsidRPr="00CF54DC">
        <w:rPr>
          <w:rFonts w:ascii="Verdana" w:eastAsiaTheme="minorEastAsia" w:hAnsi="Verdana" w:cs="Arial"/>
          <w:szCs w:val="24"/>
          <w:lang w:eastAsia="es-CO"/>
        </w:rPr>
        <w:t>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w:t>
      </w:r>
      <w:r>
        <w:rPr>
          <w:rFonts w:ascii="Verdana" w:eastAsiaTheme="minorEastAsia" w:hAnsi="Verdana" w:cs="Arial"/>
          <w:szCs w:val="24"/>
          <w:lang w:eastAsia="es-CO"/>
        </w:rPr>
        <w:t xml:space="preserve">, posición que puede servir como orientación o buenas prácticas para los partícipes del sistema de compras públicas en su gestión contractual. </w:t>
      </w:r>
    </w:p>
    <w:p w14:paraId="0F2D8AD7" w14:textId="77777777" w:rsidR="00FF5DBE" w:rsidRPr="00063EF9" w:rsidRDefault="00FF5DBE" w:rsidP="00FF5DBE">
      <w:pPr>
        <w:tabs>
          <w:tab w:val="left" w:pos="0"/>
          <w:tab w:val="left" w:pos="7938"/>
        </w:tabs>
        <w:spacing w:before="120" w:after="0" w:line="278" w:lineRule="auto"/>
        <w:ind w:right="49" w:firstLine="567"/>
        <w:jc w:val="both"/>
        <w:rPr>
          <w:rFonts w:ascii="Verdana" w:eastAsia="Arial" w:hAnsi="Verdana" w:cs="Arial"/>
        </w:rPr>
      </w:pPr>
    </w:p>
    <w:p w14:paraId="61340124" w14:textId="77777777" w:rsidR="00FF5DBE" w:rsidRDefault="00FF5DBE" w:rsidP="00FF5DBE">
      <w:pPr>
        <w:tabs>
          <w:tab w:val="left" w:pos="0"/>
          <w:tab w:val="left" w:pos="7938"/>
        </w:tabs>
        <w:spacing w:before="120" w:after="0" w:line="278" w:lineRule="auto"/>
        <w:ind w:right="49" w:firstLine="567"/>
        <w:jc w:val="both"/>
        <w:rPr>
          <w:rFonts w:ascii="Verdana" w:eastAsia="Arial" w:hAnsi="Verdana" w:cs="Arial"/>
          <w:lang w:val="es-ES"/>
        </w:rPr>
      </w:pPr>
    </w:p>
    <w:p w14:paraId="231CB445" w14:textId="77777777" w:rsidR="00FF5DBE" w:rsidRPr="00EA3BD1" w:rsidRDefault="00FF5DBE" w:rsidP="00FF5DBE">
      <w:pPr>
        <w:tabs>
          <w:tab w:val="left" w:pos="142"/>
          <w:tab w:val="left" w:pos="284"/>
        </w:tabs>
        <w:spacing w:after="0" w:line="276" w:lineRule="auto"/>
        <w:jc w:val="both"/>
        <w:rPr>
          <w:rFonts w:ascii="Verdana" w:eastAsia="Century Gothic" w:hAnsi="Verdana" w:cs="Century Gothic"/>
          <w:b/>
          <w:bCs/>
        </w:rPr>
      </w:pPr>
      <w:r w:rsidRPr="00EA3BD1">
        <w:rPr>
          <w:rFonts w:ascii="Verdana" w:eastAsia="Century Gothic" w:hAnsi="Verdana" w:cs="Century Gothic"/>
          <w:b/>
          <w:bCs/>
        </w:rPr>
        <w:t>4. Referencias normativas, jurisprudenciales y otras fuentes:</w:t>
      </w:r>
    </w:p>
    <w:p w14:paraId="1F3C8E04" w14:textId="77777777" w:rsidR="00FF5DBE" w:rsidRPr="00EA3BD1" w:rsidRDefault="00FF5DBE" w:rsidP="00FF5DBE">
      <w:pPr>
        <w:tabs>
          <w:tab w:val="left" w:pos="142"/>
          <w:tab w:val="left" w:pos="284"/>
        </w:tabs>
        <w:spacing w:after="0" w:line="276" w:lineRule="auto"/>
        <w:jc w:val="both"/>
        <w:rPr>
          <w:rFonts w:ascii="Verdana" w:eastAsia="Century Gothic" w:hAnsi="Verdana" w:cs="Century Gothic"/>
          <w:b/>
          <w:bCs/>
          <w:color w:val="7030A0"/>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F5DBE" w:rsidRPr="00EA3BD1" w14:paraId="3E7E1E51" w14:textId="77777777" w:rsidTr="00B60046">
        <w:trPr>
          <w:trHeight w:val="870"/>
        </w:trPr>
        <w:tc>
          <w:tcPr>
            <w:tcW w:w="8647" w:type="dxa"/>
          </w:tcPr>
          <w:p w14:paraId="7120E5D9" w14:textId="77777777" w:rsidR="00FF5DBE" w:rsidRPr="00EA3BD1" w:rsidRDefault="00FF5DBE" w:rsidP="00B60046">
            <w:pPr>
              <w:pStyle w:val="Prrafodelista"/>
              <w:numPr>
                <w:ilvl w:val="0"/>
                <w:numId w:val="16"/>
              </w:numPr>
              <w:spacing w:after="120" w:line="276" w:lineRule="auto"/>
              <w:contextualSpacing w:val="0"/>
              <w:rPr>
                <w:rFonts w:ascii="Verdana" w:hAnsi="Verdana" w:cs="Arial"/>
              </w:rPr>
            </w:pPr>
            <w:r w:rsidRPr="00EA3BD1">
              <w:rPr>
                <w:rFonts w:ascii="Verdana" w:hAnsi="Verdana" w:cs="Arial"/>
              </w:rPr>
              <w:t>Constitución Política de Colombia, artículo 150.</w:t>
            </w:r>
          </w:p>
          <w:p w14:paraId="161EB118" w14:textId="77777777" w:rsidR="00FF5DBE" w:rsidRPr="00EA3BD1" w:rsidRDefault="00FF5DBE" w:rsidP="00B60046">
            <w:pPr>
              <w:pStyle w:val="Prrafodelista"/>
              <w:numPr>
                <w:ilvl w:val="0"/>
                <w:numId w:val="16"/>
              </w:numPr>
              <w:spacing w:after="120" w:line="276" w:lineRule="auto"/>
              <w:contextualSpacing w:val="0"/>
              <w:rPr>
                <w:rFonts w:ascii="Verdana" w:hAnsi="Verdana" w:cs="Arial"/>
              </w:rPr>
            </w:pPr>
            <w:r w:rsidRPr="00EA3BD1">
              <w:rPr>
                <w:rFonts w:ascii="Verdana" w:hAnsi="Verdana" w:cs="Arial"/>
              </w:rPr>
              <w:t>Ley 2020 de 2020, artículo 1,2 y 6.</w:t>
            </w:r>
          </w:p>
          <w:p w14:paraId="327C918E" w14:textId="77777777" w:rsidR="00FF5DBE" w:rsidRPr="00EA3BD1" w:rsidRDefault="00FF5DBE" w:rsidP="00B60046">
            <w:pPr>
              <w:pStyle w:val="Prrafodelista"/>
              <w:numPr>
                <w:ilvl w:val="0"/>
                <w:numId w:val="16"/>
              </w:numPr>
              <w:spacing w:after="120" w:line="276" w:lineRule="auto"/>
              <w:contextualSpacing w:val="0"/>
              <w:rPr>
                <w:rFonts w:ascii="Verdana" w:hAnsi="Verdana" w:cs="Arial"/>
              </w:rPr>
            </w:pPr>
            <w:r w:rsidRPr="00EA3BD1">
              <w:rPr>
                <w:rFonts w:ascii="Verdana" w:hAnsi="Verdana" w:cs="Arial"/>
              </w:rPr>
              <w:t>Ley 1150 de 2007, artículo 5.</w:t>
            </w:r>
          </w:p>
          <w:p w14:paraId="6FE8B206" w14:textId="77777777" w:rsidR="00FF5DBE" w:rsidRPr="00EA3BD1" w:rsidRDefault="00FF5DBE" w:rsidP="00B60046">
            <w:pPr>
              <w:pStyle w:val="Prrafodelista"/>
              <w:numPr>
                <w:ilvl w:val="0"/>
                <w:numId w:val="16"/>
              </w:numPr>
              <w:spacing w:after="120" w:line="276" w:lineRule="auto"/>
              <w:contextualSpacing w:val="0"/>
              <w:rPr>
                <w:rFonts w:ascii="Verdana" w:hAnsi="Verdana" w:cs="Arial"/>
              </w:rPr>
            </w:pPr>
            <w:r w:rsidRPr="00EA3BD1">
              <w:rPr>
                <w:rFonts w:ascii="Verdana" w:hAnsi="Verdana" w:cs="Arial"/>
              </w:rPr>
              <w:t>Ley 80 de 1993, artículo 32.</w:t>
            </w:r>
          </w:p>
          <w:p w14:paraId="4D028E49" w14:textId="77777777" w:rsidR="00FF5DBE" w:rsidRPr="00AA65B6" w:rsidRDefault="00FF5DBE" w:rsidP="00B60046">
            <w:pPr>
              <w:pStyle w:val="Prrafodelista"/>
              <w:numPr>
                <w:ilvl w:val="0"/>
                <w:numId w:val="16"/>
              </w:numPr>
              <w:spacing w:after="120" w:line="276" w:lineRule="auto"/>
              <w:contextualSpacing w:val="0"/>
              <w:rPr>
                <w:rFonts w:ascii="Verdana" w:hAnsi="Verdana" w:cs="Arial"/>
              </w:rPr>
            </w:pPr>
            <w:r w:rsidRPr="00EA3BD1">
              <w:rPr>
                <w:rFonts w:ascii="Verdana" w:hAnsi="Verdana" w:cs="Arial"/>
              </w:rPr>
              <w:t>Ley 1955 de 2019, artículo 43</w:t>
            </w:r>
          </w:p>
          <w:p w14:paraId="761954F7" w14:textId="77777777" w:rsidR="00FF5DBE" w:rsidRPr="00E07E2B" w:rsidRDefault="00FF5DBE" w:rsidP="00B60046">
            <w:pPr>
              <w:pStyle w:val="Prrafodelista"/>
              <w:numPr>
                <w:ilvl w:val="0"/>
                <w:numId w:val="16"/>
              </w:numPr>
              <w:spacing w:after="120" w:line="276" w:lineRule="auto"/>
              <w:contextualSpacing w:val="0"/>
              <w:jc w:val="both"/>
              <w:rPr>
                <w:rFonts w:ascii="Verdana" w:hAnsi="Verdana" w:cs="Arial"/>
                <w:color w:val="7030A0"/>
                <w:lang w:val="it-IT"/>
              </w:rPr>
            </w:pPr>
            <w:r w:rsidRPr="008D3D4D">
              <w:rPr>
                <w:rFonts w:ascii="Verdana" w:hAnsi="Verdana" w:cs="Arial"/>
                <w:lang w:val="pt-BR"/>
              </w:rPr>
              <w:t xml:space="preserve">Corte Constitucional. Sentencia T-1039 de 2006. </w:t>
            </w:r>
            <w:r w:rsidRPr="00E07E2B">
              <w:rPr>
                <w:rFonts w:ascii="Verdana" w:hAnsi="Verdana" w:cs="Arial"/>
                <w:lang w:val="it-IT"/>
              </w:rPr>
              <w:t xml:space="preserve">M.P. Humberto Sierra Porto. </w:t>
            </w:r>
          </w:p>
          <w:p w14:paraId="44DD8EC0" w14:textId="77777777" w:rsidR="00FF5DBE" w:rsidRPr="00EA3BD1" w:rsidRDefault="00FF5DBE" w:rsidP="00B60046">
            <w:pPr>
              <w:pStyle w:val="Prrafodelista"/>
              <w:numPr>
                <w:ilvl w:val="0"/>
                <w:numId w:val="16"/>
              </w:numPr>
              <w:spacing w:after="120" w:line="276" w:lineRule="auto"/>
              <w:contextualSpacing w:val="0"/>
              <w:jc w:val="both"/>
              <w:rPr>
                <w:rFonts w:ascii="Verdana" w:hAnsi="Verdana" w:cs="Arial"/>
                <w:color w:val="7030A0"/>
              </w:rPr>
            </w:pPr>
            <w:r w:rsidRPr="00EA3BD1">
              <w:rPr>
                <w:rFonts w:ascii="Verdana" w:hAnsi="Verdana" w:cs="Arial"/>
              </w:rPr>
              <w:t xml:space="preserve">Consejo de Estado. Sala de Consulta y Servicio Civil. Sección Tercera. Subsección A. Sentencia del 24 de junio de 2015. </w:t>
            </w:r>
            <w:proofErr w:type="spellStart"/>
            <w:r w:rsidRPr="00EA3BD1">
              <w:rPr>
                <w:rFonts w:ascii="Verdana" w:hAnsi="Verdana" w:cs="Arial"/>
              </w:rPr>
              <w:t>Exp</w:t>
            </w:r>
            <w:proofErr w:type="spellEnd"/>
            <w:r w:rsidRPr="00EA3BD1">
              <w:rPr>
                <w:rFonts w:ascii="Verdana" w:hAnsi="Verdana" w:cs="Arial"/>
              </w:rPr>
              <w:t xml:space="preserve">. 40.365. C.P. </w:t>
            </w:r>
            <w:r w:rsidRPr="00EA3BD1">
              <w:rPr>
                <w:rFonts w:ascii="Verdana" w:hAnsi="Verdana"/>
              </w:rPr>
              <w:t>Hernán Andrade Rincón (E).</w:t>
            </w:r>
          </w:p>
          <w:p w14:paraId="02BA41E2" w14:textId="77777777" w:rsidR="00FF5DBE" w:rsidRPr="00EA3BD1" w:rsidRDefault="00FF5DBE" w:rsidP="00B60046">
            <w:pPr>
              <w:pStyle w:val="Prrafodelista"/>
              <w:numPr>
                <w:ilvl w:val="0"/>
                <w:numId w:val="16"/>
              </w:numPr>
              <w:spacing w:after="120" w:line="276" w:lineRule="auto"/>
              <w:contextualSpacing w:val="0"/>
              <w:jc w:val="both"/>
              <w:rPr>
                <w:rFonts w:ascii="Verdana" w:hAnsi="Verdana" w:cs="Arial"/>
                <w:color w:val="7030A0"/>
              </w:rPr>
            </w:pPr>
            <w:r w:rsidRPr="00EA3BD1">
              <w:rPr>
                <w:rFonts w:ascii="Verdana" w:hAnsi="Verdana" w:cs="Arial"/>
              </w:rPr>
              <w:t xml:space="preserve">Consejo de Estado. Sala de Consulta y Servicio Civil. Sección Tercera. Subsección C. Sentencia del 22 de mayo de 2013. </w:t>
            </w:r>
            <w:proofErr w:type="spellStart"/>
            <w:r w:rsidRPr="00EA3BD1">
              <w:rPr>
                <w:rFonts w:ascii="Verdana" w:hAnsi="Verdana" w:cs="Arial"/>
              </w:rPr>
              <w:t>Exp</w:t>
            </w:r>
            <w:proofErr w:type="spellEnd"/>
            <w:r w:rsidRPr="00EA3BD1">
              <w:rPr>
                <w:rFonts w:ascii="Verdana" w:hAnsi="Verdana" w:cs="Arial"/>
              </w:rPr>
              <w:t xml:space="preserve">. 24.057. C.P. </w:t>
            </w:r>
            <w:r w:rsidRPr="00EA3BD1">
              <w:rPr>
                <w:rFonts w:ascii="Verdana" w:hAnsi="Verdana"/>
              </w:rPr>
              <w:t>Olga Mélida Valle De La Hoz.</w:t>
            </w:r>
          </w:p>
        </w:tc>
      </w:tr>
    </w:tbl>
    <w:p w14:paraId="075DF182" w14:textId="77777777" w:rsidR="00FF5DBE" w:rsidRPr="00EA3BD1" w:rsidRDefault="00FF5DBE" w:rsidP="00FF5DBE">
      <w:pPr>
        <w:pStyle w:val="Prrafodelista"/>
        <w:tabs>
          <w:tab w:val="left" w:pos="142"/>
          <w:tab w:val="left" w:pos="284"/>
        </w:tabs>
        <w:spacing w:after="120" w:line="276" w:lineRule="auto"/>
        <w:ind w:left="0"/>
        <w:contextualSpacing w:val="0"/>
        <w:jc w:val="both"/>
        <w:rPr>
          <w:rFonts w:ascii="Verdana" w:eastAsia="Century Gothic" w:hAnsi="Verdana" w:cs="Century Gothic"/>
          <w:b/>
          <w:bCs/>
          <w:color w:val="7030A0"/>
        </w:rPr>
      </w:pPr>
    </w:p>
    <w:p w14:paraId="3A06B7CF" w14:textId="77777777" w:rsidR="00FF5DBE" w:rsidRPr="00EA3BD1" w:rsidRDefault="00FF5DBE" w:rsidP="00FF5DBE">
      <w:pPr>
        <w:pStyle w:val="Prrafodelista"/>
        <w:tabs>
          <w:tab w:val="left" w:pos="142"/>
          <w:tab w:val="left" w:pos="284"/>
        </w:tabs>
        <w:spacing w:before="120" w:after="0" w:line="276" w:lineRule="auto"/>
        <w:ind w:left="0"/>
        <w:contextualSpacing w:val="0"/>
        <w:jc w:val="both"/>
        <w:rPr>
          <w:rStyle w:val="normaltextrun"/>
          <w:rFonts w:ascii="Verdana" w:eastAsia="Century Gothic" w:hAnsi="Verdana" w:cs="Century Gothic"/>
          <w:b/>
          <w:bCs/>
        </w:rPr>
      </w:pPr>
      <w:r w:rsidRPr="00EA3BD1">
        <w:rPr>
          <w:rFonts w:ascii="Verdana" w:eastAsia="Century Gothic" w:hAnsi="Verdana" w:cs="Century Gothic"/>
          <w:b/>
          <w:bCs/>
        </w:rPr>
        <w:t>5. Doctrina de la Agencia Nacional de Contratación Pública:</w:t>
      </w:r>
    </w:p>
    <w:p w14:paraId="2EC640CA" w14:textId="77777777" w:rsidR="00FF5DBE" w:rsidRPr="00EA3BD1" w:rsidRDefault="00FF5DBE" w:rsidP="00FF5DBE">
      <w:pPr>
        <w:widowControl w:val="0"/>
        <w:autoSpaceDE w:val="0"/>
        <w:autoSpaceDN w:val="0"/>
        <w:spacing w:before="120" w:after="0" w:line="276" w:lineRule="auto"/>
        <w:jc w:val="both"/>
        <w:rPr>
          <w:rStyle w:val="normaltextrun"/>
          <w:rFonts w:ascii="Verdana" w:hAnsi="Verdana" w:cs="Arial"/>
          <w:color w:val="000000" w:themeColor="text1"/>
          <w:shd w:val="clear" w:color="auto" w:fill="FFFFFF"/>
        </w:rPr>
      </w:pPr>
      <w:r w:rsidRPr="00EA3BD1">
        <w:rPr>
          <w:rStyle w:val="normaltextrun"/>
          <w:rFonts w:ascii="Verdana" w:hAnsi="Verdana" w:cs="Arial"/>
          <w:color w:val="000000" w:themeColor="text1"/>
          <w:shd w:val="clear" w:color="auto" w:fill="FFFFFF"/>
        </w:rPr>
        <w:t xml:space="preserve">Sobre el Registro Nacional de Obras Civiles Inconclusas, esta Subdirección se ha pronunciado en los conceptos Nro. </w:t>
      </w:r>
      <w:r>
        <w:rPr>
          <w:rStyle w:val="normaltextrun"/>
          <w:rFonts w:ascii="Verdana" w:hAnsi="Verdana" w:cs="Arial"/>
          <w:color w:val="000000" w:themeColor="text1"/>
          <w:shd w:val="clear" w:color="auto" w:fill="FFFFFF"/>
        </w:rPr>
        <w:t>C</w:t>
      </w:r>
      <w:r w:rsidRPr="00EA3BD1">
        <w:rPr>
          <w:rStyle w:val="normaltextrun"/>
          <w:rFonts w:ascii="Verdana" w:hAnsi="Verdana" w:cs="Arial"/>
          <w:color w:val="000000" w:themeColor="text1"/>
          <w:shd w:val="clear" w:color="auto" w:fill="FFFFFF"/>
        </w:rPr>
        <w:t>-088 del 17 de marzo de 2021, C-110 del 29 de marzo de 2021, C-203 del 3 de mayo de 2021, C-333 del 9 de julio de 2021, C-551 del 30 de septiembre de 2021, C-571 del 13 de octubre de 2021, C-591 del 21 de octubre de 2021, C-600 del 26 de octubre de 2021, C-626 del 9 de noviembre de 2021 y C-747 de 4 de febrero de 2022, C-194 del 12 de abril de 2022, C – 391 de 9 de agosto de 2022, C- 525 de 16 de agosto de 2022, C-632 de 30 de agosto de 2022, C-924 de 28 de diciembre de 2022, C-096 de 13 de junio de 2023, C-246 de 4 de julio de 2023,  C-249 del 10 de julio de 2023, C-348 del 28 de agosto de 2023, C-014 del 06 de marzo de 2024 y C-351 del 24 de abril de 2025</w:t>
      </w:r>
      <w:r>
        <w:rPr>
          <w:rStyle w:val="normaltextrun"/>
          <w:rFonts w:ascii="Verdana" w:hAnsi="Verdana" w:cs="Arial"/>
          <w:color w:val="000000" w:themeColor="text1"/>
          <w:shd w:val="clear" w:color="auto" w:fill="FFFFFF"/>
        </w:rPr>
        <w:t xml:space="preserve"> y los </w:t>
      </w:r>
      <w:r w:rsidRPr="0023577C">
        <w:rPr>
          <w:rFonts w:ascii="Verdana" w:eastAsia="Times New Roman" w:hAnsi="Verdana" w:cs="Arial"/>
        </w:rPr>
        <w:t>concepto C-863 del 15 de noviembre de 2022 y sobre sobre la competencia consultiva de la Agencia C-451 del 31 de agosto de 2021, C-519 del 23 de septiembre de 2021, C-117 del 24 de marzo de 2022 y C-149 del 5 de abril de 2022, C-427 del 6 de julio de 2022</w:t>
      </w:r>
      <w:r>
        <w:rPr>
          <w:rFonts w:ascii="Verdana" w:eastAsia="Times New Roman" w:hAnsi="Verdana" w:cs="Arial"/>
        </w:rPr>
        <w:t xml:space="preserve">, </w:t>
      </w:r>
      <w:r w:rsidRPr="0023577C">
        <w:rPr>
          <w:rFonts w:ascii="Verdana" w:eastAsia="Times New Roman" w:hAnsi="Verdana" w:cs="Arial"/>
        </w:rPr>
        <w:t>C-511 del 3 de agosto de 2022</w:t>
      </w:r>
      <w:r>
        <w:rPr>
          <w:rFonts w:ascii="Verdana" w:eastAsia="Times New Roman" w:hAnsi="Verdana" w:cs="Arial"/>
        </w:rPr>
        <w:t xml:space="preserve"> y </w:t>
      </w:r>
      <w:r w:rsidRPr="0023577C">
        <w:rPr>
          <w:rFonts w:ascii="Verdana" w:eastAsia="Times New Roman" w:hAnsi="Verdana" w:cs="Arial"/>
        </w:rPr>
        <w:t>C-767 de 2024.</w:t>
      </w:r>
      <w:r w:rsidRPr="00EA3BD1">
        <w:rPr>
          <w:rStyle w:val="normaltextrun"/>
          <w:rFonts w:ascii="Verdana" w:hAnsi="Verdana" w:cs="Arial"/>
          <w:color w:val="000000" w:themeColor="text1"/>
          <w:shd w:val="clear" w:color="auto" w:fill="FFFFFF"/>
        </w:rPr>
        <w:t>.</w:t>
      </w:r>
      <w:r>
        <w:rPr>
          <w:rStyle w:val="normaltextrun"/>
          <w:rFonts w:ascii="Verdana" w:hAnsi="Verdana" w:cs="Arial"/>
          <w:color w:val="000000" w:themeColor="text1"/>
          <w:shd w:val="clear" w:color="auto" w:fill="FFFFFF"/>
        </w:rPr>
        <w:t xml:space="preserve"> </w:t>
      </w:r>
      <w:r w:rsidRPr="00EA3BD1">
        <w:rPr>
          <w:rStyle w:val="normaltextrun"/>
          <w:rFonts w:ascii="Verdana" w:hAnsi="Verdana" w:cs="Arial"/>
          <w:color w:val="000000" w:themeColor="text1"/>
          <w:shd w:val="clear" w:color="auto" w:fill="FFFFFF"/>
        </w:rPr>
        <w:t xml:space="preserve">Estos y otros conceptos se encuentran </w:t>
      </w:r>
      <w:r w:rsidRPr="00EA3BD1">
        <w:rPr>
          <w:rStyle w:val="normaltextrun"/>
          <w:rFonts w:ascii="Verdana" w:hAnsi="Verdana" w:cs="Arial"/>
          <w:shd w:val="clear" w:color="auto" w:fill="FFFFFF"/>
        </w:rPr>
        <w:t xml:space="preserve">disponibles para </w:t>
      </w:r>
      <w:r w:rsidRPr="00EA3BD1">
        <w:rPr>
          <w:rStyle w:val="normaltextrun"/>
          <w:rFonts w:ascii="Verdana" w:hAnsi="Verdana" w:cs="Arial"/>
          <w:shd w:val="clear" w:color="auto" w:fill="FFFFFF"/>
        </w:rPr>
        <w:lastRenderedPageBreak/>
        <w:t>consulta en el Sistema de relatoría de la Agencia,</w:t>
      </w:r>
      <w:r w:rsidRPr="00EA3BD1">
        <w:rPr>
          <w:rStyle w:val="normaltextrun"/>
          <w:rFonts w:ascii="Verdana" w:hAnsi="Verdana"/>
          <w:shd w:val="clear" w:color="auto" w:fill="FFFFFF"/>
        </w:rPr>
        <w:t xml:space="preserve"> al cual puede accederse a través del siguiente enlace: </w:t>
      </w:r>
      <w:hyperlink r:id="rId11" w:history="1">
        <w:r w:rsidRPr="00EA3BD1">
          <w:rPr>
            <w:rStyle w:val="Hipervnculo"/>
            <w:rFonts w:ascii="Verdana" w:eastAsia="Calibri" w:hAnsi="Verdana" w:cs="Arial"/>
            <w:lang w:eastAsia="es-ES_tradnl"/>
          </w:rPr>
          <w:t>https://relatoria.colombiacompra.gov.co/busqueda/conceptos</w:t>
        </w:r>
      </w:hyperlink>
    </w:p>
    <w:p w14:paraId="06B04EE4" w14:textId="77777777" w:rsidR="00FF5DBE" w:rsidRPr="00EA3BD1" w:rsidRDefault="00FF5DBE" w:rsidP="00FF5DBE">
      <w:pPr>
        <w:spacing w:after="0" w:line="276" w:lineRule="auto"/>
        <w:jc w:val="both"/>
        <w:rPr>
          <w:rFonts w:ascii="Verdana" w:hAnsi="Verdana"/>
          <w:color w:val="7030A0"/>
        </w:rPr>
      </w:pPr>
    </w:p>
    <w:p w14:paraId="34CF3B93" w14:textId="77777777" w:rsidR="00FF5DBE" w:rsidRPr="00EA3BD1" w:rsidRDefault="00FF5DBE" w:rsidP="00FF5DBE">
      <w:pPr>
        <w:spacing w:after="0" w:line="276" w:lineRule="auto"/>
        <w:jc w:val="both"/>
        <w:rPr>
          <w:rFonts w:ascii="Verdana" w:hAnsi="Verdana"/>
          <w:color w:val="000000" w:themeColor="text1"/>
        </w:rPr>
      </w:pPr>
      <w:r w:rsidRPr="00EA3BD1">
        <w:rPr>
          <w:rFonts w:ascii="Verdana" w:hAnsi="Verdana"/>
          <w:color w:val="000000" w:themeColor="text1"/>
        </w:rPr>
        <w:t xml:space="preserve">Por último, lo invitamos a seguirnos en las redes sociales en las cuales se difunde información institucional: </w:t>
      </w:r>
    </w:p>
    <w:p w14:paraId="0D2D3977" w14:textId="77777777" w:rsidR="00FF5DBE" w:rsidRPr="00EA3BD1" w:rsidRDefault="00FF5DBE" w:rsidP="00FF5DBE">
      <w:pPr>
        <w:spacing w:after="0" w:line="276" w:lineRule="auto"/>
        <w:jc w:val="both"/>
        <w:rPr>
          <w:rFonts w:ascii="Verdana" w:hAnsi="Verdana"/>
          <w:color w:val="000000" w:themeColor="text1"/>
        </w:rPr>
      </w:pPr>
    </w:p>
    <w:p w14:paraId="1B025383" w14:textId="77777777" w:rsidR="00FF5DBE" w:rsidRPr="00EA3BD1" w:rsidRDefault="00FF5DBE" w:rsidP="00FF5DBE">
      <w:pPr>
        <w:spacing w:after="0" w:line="276" w:lineRule="auto"/>
        <w:jc w:val="both"/>
        <w:rPr>
          <w:rFonts w:ascii="Verdana" w:hAnsi="Verdana"/>
          <w:color w:val="000000" w:themeColor="text1"/>
        </w:rPr>
      </w:pPr>
      <w:r w:rsidRPr="00EA3BD1">
        <w:rPr>
          <w:rFonts w:ascii="Verdana" w:hAnsi="Verdana"/>
          <w:color w:val="000000" w:themeColor="text1"/>
        </w:rPr>
        <w:t xml:space="preserve">Twitter: </w:t>
      </w:r>
      <w:r w:rsidRPr="00EA3BD1">
        <w:rPr>
          <w:rStyle w:val="Hipervnculo"/>
          <w:rFonts w:ascii="Verdana" w:eastAsia="Calibri" w:hAnsi="Verdana" w:cs="Arial"/>
          <w:lang w:eastAsia="es-ES_tradnl"/>
        </w:rPr>
        <w:t>@colombiacompra</w:t>
      </w:r>
      <w:r w:rsidRPr="00EA3BD1">
        <w:rPr>
          <w:rFonts w:ascii="Verdana" w:hAnsi="Verdana"/>
          <w:color w:val="000000" w:themeColor="text1"/>
        </w:rPr>
        <w:t xml:space="preserve"> </w:t>
      </w:r>
    </w:p>
    <w:p w14:paraId="434A94CB" w14:textId="77777777" w:rsidR="00FF5DBE" w:rsidRPr="00EA3BD1" w:rsidRDefault="00FF5DBE" w:rsidP="00FF5DBE">
      <w:pPr>
        <w:spacing w:after="0" w:line="276" w:lineRule="auto"/>
        <w:jc w:val="both"/>
        <w:rPr>
          <w:rFonts w:ascii="Verdana" w:eastAsia="Calibri" w:hAnsi="Verdana" w:cs="Arial"/>
          <w:color w:val="000000" w:themeColor="text1"/>
          <w:u w:val="single"/>
          <w:lang w:eastAsia="es-ES_tradnl"/>
        </w:rPr>
      </w:pPr>
      <w:r w:rsidRPr="00EA3BD1">
        <w:rPr>
          <w:rFonts w:ascii="Verdana" w:hAnsi="Verdana"/>
          <w:color w:val="000000" w:themeColor="text1"/>
        </w:rPr>
        <w:t xml:space="preserve">Facebook: </w:t>
      </w:r>
      <w:proofErr w:type="spellStart"/>
      <w:r w:rsidRPr="00EA3BD1">
        <w:rPr>
          <w:rStyle w:val="Hipervnculo"/>
          <w:rFonts w:ascii="Verdana" w:eastAsia="Calibri" w:hAnsi="Verdana" w:cs="Arial"/>
          <w:lang w:eastAsia="es-ES_tradnl"/>
        </w:rPr>
        <w:t>ColombiaCompraEficiente</w:t>
      </w:r>
      <w:proofErr w:type="spellEnd"/>
    </w:p>
    <w:p w14:paraId="1F3AFF2C" w14:textId="77777777" w:rsidR="00FF5DBE" w:rsidRPr="00EA3BD1" w:rsidRDefault="00FF5DBE" w:rsidP="00FF5DBE">
      <w:pPr>
        <w:spacing w:after="0" w:line="276" w:lineRule="auto"/>
        <w:jc w:val="both"/>
        <w:rPr>
          <w:rFonts w:ascii="Verdana" w:hAnsi="Verdana"/>
          <w:color w:val="0000FF"/>
        </w:rPr>
      </w:pPr>
      <w:r w:rsidRPr="00EA3BD1">
        <w:rPr>
          <w:rFonts w:ascii="Verdana" w:hAnsi="Verdana"/>
          <w:color w:val="000000" w:themeColor="text1"/>
        </w:rPr>
        <w:t xml:space="preserve">LinkedIn: </w:t>
      </w:r>
      <w:r w:rsidRPr="00EA3BD1">
        <w:rPr>
          <w:rStyle w:val="Hipervnculo"/>
          <w:rFonts w:ascii="Verdana" w:eastAsia="Calibri" w:hAnsi="Verdana" w:cs="Arial"/>
          <w:lang w:eastAsia="es-ES_tradnl"/>
        </w:rPr>
        <w:t xml:space="preserve">Agencia Nacional de Contratación Pública - Colombia Compra Eficiente </w:t>
      </w:r>
      <w:r w:rsidRPr="00EA3BD1">
        <w:rPr>
          <w:rFonts w:ascii="Verdana" w:hAnsi="Verdana"/>
          <w:color w:val="000000" w:themeColor="text1"/>
        </w:rPr>
        <w:t xml:space="preserve">Instagram: </w:t>
      </w:r>
      <w:r w:rsidRPr="00EA3BD1">
        <w:rPr>
          <w:rStyle w:val="Hipervnculo"/>
          <w:rFonts w:ascii="Verdana" w:eastAsia="Calibri" w:hAnsi="Verdana" w:cs="Arial"/>
          <w:lang w:eastAsia="es-ES_tradnl"/>
        </w:rPr>
        <w:t>@colombiacompraeficiente_cce</w:t>
      </w:r>
    </w:p>
    <w:p w14:paraId="355C0324" w14:textId="77777777" w:rsidR="00FF5DBE" w:rsidRPr="00EA3BD1" w:rsidRDefault="00FF5DBE" w:rsidP="00FF5DBE">
      <w:pPr>
        <w:widowControl w:val="0"/>
        <w:autoSpaceDE w:val="0"/>
        <w:autoSpaceDN w:val="0"/>
        <w:spacing w:after="0" w:line="276" w:lineRule="auto"/>
        <w:jc w:val="both"/>
        <w:rPr>
          <w:rFonts w:ascii="Verdana" w:hAnsi="Verdana"/>
          <w:color w:val="000000" w:themeColor="text1"/>
        </w:rPr>
      </w:pPr>
    </w:p>
    <w:p w14:paraId="25F152D9" w14:textId="77777777" w:rsidR="00FF5DBE" w:rsidRPr="00EA3BD1" w:rsidRDefault="00FF5DBE" w:rsidP="00FF5DBE">
      <w:pPr>
        <w:widowControl w:val="0"/>
        <w:autoSpaceDE w:val="0"/>
        <w:autoSpaceDN w:val="0"/>
        <w:spacing w:after="0" w:line="276" w:lineRule="auto"/>
        <w:jc w:val="both"/>
        <w:rPr>
          <w:rFonts w:ascii="Verdana" w:hAnsi="Verdana" w:cs="Arial"/>
          <w:color w:val="000000" w:themeColor="text1"/>
        </w:rPr>
      </w:pPr>
      <w:r w:rsidRPr="00EA3BD1">
        <w:rPr>
          <w:rFonts w:ascii="Verdana" w:hAnsi="Verdana" w:cs="Arial"/>
          <w:color w:val="000000" w:themeColor="text1"/>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6040F59" w14:textId="77777777" w:rsidR="00FF5DBE" w:rsidRPr="00EA3BD1" w:rsidRDefault="00FF5DBE" w:rsidP="00FF5DBE">
      <w:pPr>
        <w:spacing w:after="0" w:line="276" w:lineRule="auto"/>
        <w:ind w:firstLine="709"/>
        <w:jc w:val="both"/>
        <w:rPr>
          <w:rFonts w:ascii="Verdana" w:eastAsia="Times New Roman" w:hAnsi="Verdana" w:cs="Arial"/>
          <w:color w:val="000000" w:themeColor="text1"/>
          <w:szCs w:val="24"/>
          <w:lang w:eastAsia="es-ES_tradnl"/>
        </w:rPr>
      </w:pPr>
    </w:p>
    <w:p w14:paraId="54CD8BDE" w14:textId="77777777" w:rsidR="00FF5DBE" w:rsidRPr="00EA3BD1" w:rsidRDefault="00FF5DBE" w:rsidP="00FF5DBE">
      <w:pPr>
        <w:spacing w:after="0" w:line="276" w:lineRule="auto"/>
        <w:jc w:val="both"/>
        <w:rPr>
          <w:rFonts w:ascii="Verdana" w:eastAsia="Times New Roman" w:hAnsi="Verdana" w:cs="Arial"/>
          <w:color w:val="000000" w:themeColor="text1"/>
          <w:lang w:eastAsia="es-CO"/>
        </w:rPr>
      </w:pPr>
      <w:bookmarkStart w:id="2" w:name="_Hlk117695077"/>
      <w:r w:rsidRPr="00EA3BD1">
        <w:rPr>
          <w:rFonts w:ascii="Verdana" w:eastAsia="Times New Roman" w:hAnsi="Verdana" w:cs="Arial"/>
          <w:color w:val="000000" w:themeColor="text1"/>
          <w:lang w:eastAsia="es-CO"/>
        </w:rPr>
        <w:t>Atentamente,</w:t>
      </w:r>
    </w:p>
    <w:p w14:paraId="6C7BA8E0" w14:textId="77777777" w:rsidR="00FF5DBE" w:rsidRPr="00EA3BD1" w:rsidRDefault="00FF5DBE" w:rsidP="00FF5DBE">
      <w:pPr>
        <w:spacing w:after="0" w:line="276" w:lineRule="auto"/>
        <w:jc w:val="both"/>
        <w:rPr>
          <w:rFonts w:ascii="Verdana" w:eastAsia="Times New Roman" w:hAnsi="Verdana" w:cs="Arial"/>
          <w:color w:val="7030A0"/>
          <w:lang w:eastAsia="es-CO"/>
        </w:rPr>
      </w:pPr>
    </w:p>
    <w:bookmarkEnd w:id="2"/>
    <w:p w14:paraId="5F0A826C" w14:textId="77777777" w:rsidR="00FF5DBE" w:rsidRDefault="00FF5DBE" w:rsidP="00FF5DBE">
      <w:pPr>
        <w:spacing w:after="0" w:line="276" w:lineRule="auto"/>
        <w:rPr>
          <w:rFonts w:eastAsia="Times New Roman" w:cs="Arial"/>
          <w:noProof/>
          <w:color w:val="7030A0"/>
          <w:lang w:eastAsia="es-CO"/>
        </w:rPr>
      </w:pPr>
    </w:p>
    <w:p w14:paraId="313A5C8D" w14:textId="1F3A6526" w:rsidR="00FF5DBE" w:rsidRPr="001F1916" w:rsidRDefault="009648D8" w:rsidP="00FF5DBE">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E47370F" wp14:editId="2D18033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p w14:paraId="26FD559B" w14:textId="77777777" w:rsidR="00FF5DBE" w:rsidRPr="001F1916" w:rsidRDefault="00FF5DBE" w:rsidP="00FF5DBE">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5DBE" w:rsidRPr="001F1916" w14:paraId="4B48DDC9" w14:textId="77777777" w:rsidTr="00B60046">
        <w:trPr>
          <w:trHeight w:val="315"/>
        </w:trPr>
        <w:tc>
          <w:tcPr>
            <w:tcW w:w="893" w:type="dxa"/>
            <w:vAlign w:val="center"/>
            <w:hideMark/>
          </w:tcPr>
          <w:p w14:paraId="5FC9E09E" w14:textId="77777777" w:rsidR="00FF5DBE" w:rsidRPr="001F1916" w:rsidRDefault="00FF5DBE" w:rsidP="00B6004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EBAE7E9" w14:textId="77777777" w:rsidR="00FF5DBE" w:rsidRPr="001F1916" w:rsidRDefault="00FF5DBE" w:rsidP="00B60046">
            <w:pPr>
              <w:spacing w:line="276" w:lineRule="auto"/>
              <w:contextualSpacing/>
              <w:rPr>
                <w:rFonts w:ascii="Verdana" w:eastAsia="Arial" w:hAnsi="Verdana" w:cs="Arial"/>
                <w:color w:val="000000" w:themeColor="text1"/>
                <w:sz w:val="16"/>
                <w:szCs w:val="16"/>
              </w:rPr>
            </w:pPr>
            <w:r w:rsidRPr="001F1916">
              <w:rPr>
                <w:rFonts w:ascii="Verdana" w:eastAsia="Arial" w:hAnsi="Verdana" w:cs="Arial"/>
                <w:color w:val="000000" w:themeColor="text1"/>
                <w:sz w:val="16"/>
                <w:szCs w:val="16"/>
              </w:rPr>
              <w:t xml:space="preserve">Diana Carolina Blanco Rodriguez </w:t>
            </w:r>
          </w:p>
          <w:p w14:paraId="435FBFAB" w14:textId="77777777" w:rsidR="00FF5DBE" w:rsidRPr="001F1916" w:rsidRDefault="00FF5DBE" w:rsidP="00B60046">
            <w:pPr>
              <w:spacing w:line="276" w:lineRule="auto"/>
              <w:contextualSpacing/>
              <w:rPr>
                <w:rFonts w:ascii="Verdana" w:eastAsia="Arial" w:hAnsi="Verdana" w:cs="Arial"/>
                <w:sz w:val="16"/>
                <w:szCs w:val="16"/>
              </w:rPr>
            </w:pPr>
            <w:r w:rsidRPr="001F1916">
              <w:rPr>
                <w:rFonts w:ascii="Verdana" w:eastAsia="Arial" w:hAnsi="Verdana" w:cs="Arial"/>
                <w:color w:val="000000" w:themeColor="text1"/>
                <w:sz w:val="16"/>
                <w:szCs w:val="16"/>
              </w:rPr>
              <w:t xml:space="preserve">Contratista de la Subdirección </w:t>
            </w:r>
            <w:r w:rsidRPr="001F1916">
              <w:rPr>
                <w:rFonts w:ascii="Verdana" w:eastAsia="Arial" w:hAnsi="Verdana" w:cs="Arial"/>
                <w:sz w:val="16"/>
                <w:szCs w:val="16"/>
              </w:rPr>
              <w:t>de Gestión Contractual</w:t>
            </w:r>
          </w:p>
        </w:tc>
      </w:tr>
      <w:tr w:rsidR="00FF5DBE" w:rsidRPr="001F1916" w14:paraId="5A60EE97" w14:textId="77777777" w:rsidTr="00B60046">
        <w:trPr>
          <w:trHeight w:val="330"/>
        </w:trPr>
        <w:tc>
          <w:tcPr>
            <w:tcW w:w="893" w:type="dxa"/>
            <w:vAlign w:val="center"/>
            <w:hideMark/>
          </w:tcPr>
          <w:p w14:paraId="4571399E" w14:textId="77777777" w:rsidR="00FF5DBE" w:rsidRPr="001F1916" w:rsidRDefault="00FF5DBE" w:rsidP="00B6004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BC34D2" w14:textId="77777777" w:rsidR="00FF5DBE" w:rsidRPr="001F1916" w:rsidRDefault="00FF5DBE" w:rsidP="00B60046">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 xml:space="preserve">Diana Saavedra </w:t>
            </w:r>
          </w:p>
          <w:p w14:paraId="06432EA4" w14:textId="77777777" w:rsidR="00FF5DBE" w:rsidRPr="001F1916" w:rsidRDefault="00FF5DBE" w:rsidP="00B60046">
            <w:pPr>
              <w:spacing w:line="276" w:lineRule="auto"/>
              <w:contextualSpacing/>
              <w:textAlignment w:val="baseline"/>
              <w:rPr>
                <w:rFonts w:ascii="Verdana" w:eastAsia="Times New Roman" w:hAnsi="Verdana" w:cs="Segoe UI"/>
                <w:sz w:val="16"/>
                <w:szCs w:val="16"/>
                <w:lang w:eastAsia="es-ES_tradnl"/>
              </w:rPr>
            </w:pPr>
            <w:r w:rsidRPr="001F1916">
              <w:rPr>
                <w:rFonts w:ascii="Verdana" w:eastAsia="Times New Roman" w:hAnsi="Verdana" w:cs="Arial"/>
                <w:sz w:val="16"/>
                <w:szCs w:val="16"/>
                <w:lang w:val="es-ES" w:eastAsia="es-ES_tradnl"/>
              </w:rPr>
              <w:t>Contratista de la Subdirección de Gestión Contractual</w:t>
            </w:r>
            <w:r w:rsidRPr="001F1916">
              <w:rPr>
                <w:rFonts w:ascii="Verdana" w:eastAsia="Times New Roman" w:hAnsi="Verdana" w:cs="Arial"/>
                <w:sz w:val="16"/>
                <w:szCs w:val="16"/>
                <w:lang w:eastAsia="es-ES_tradnl"/>
              </w:rPr>
              <w:t> </w:t>
            </w:r>
          </w:p>
        </w:tc>
      </w:tr>
      <w:tr w:rsidR="00FF5DBE" w:rsidRPr="001F1916" w14:paraId="68D12AE9" w14:textId="77777777" w:rsidTr="00B60046">
        <w:trPr>
          <w:trHeight w:val="300"/>
        </w:trPr>
        <w:tc>
          <w:tcPr>
            <w:tcW w:w="893" w:type="dxa"/>
            <w:vAlign w:val="center"/>
          </w:tcPr>
          <w:p w14:paraId="53AE0CB7" w14:textId="77777777" w:rsidR="00FF5DBE" w:rsidRPr="001F1916" w:rsidRDefault="00FF5DBE" w:rsidP="00B6004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2ABDF8" w14:textId="77777777" w:rsidR="00FF5DBE" w:rsidRPr="001F1916" w:rsidRDefault="00FF5DBE" w:rsidP="00B60046">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val="pt-BR" w:eastAsia="es-ES"/>
              </w:rPr>
              <w:t xml:space="preserve">Carolina Quintero </w:t>
            </w:r>
            <w:proofErr w:type="spellStart"/>
            <w:r w:rsidRPr="001F1916">
              <w:rPr>
                <w:rFonts w:ascii="Verdana" w:eastAsia="Calibri" w:hAnsi="Verdana" w:cs="Arial"/>
                <w:sz w:val="16"/>
                <w:szCs w:val="16"/>
                <w:lang w:val="pt-BR" w:eastAsia="es-ES"/>
              </w:rPr>
              <w:t>Gacharná</w:t>
            </w:r>
            <w:proofErr w:type="spellEnd"/>
          </w:p>
          <w:p w14:paraId="1DC6A5BE" w14:textId="77777777" w:rsidR="00FF5DBE" w:rsidRPr="001F1916" w:rsidRDefault="00FF5DBE" w:rsidP="00B60046">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eastAsia="es-ES"/>
              </w:rPr>
              <w:t>Subdirectora</w:t>
            </w:r>
            <w:r w:rsidRPr="001F1916">
              <w:rPr>
                <w:rFonts w:ascii="Verdana" w:eastAsia="Calibri" w:hAnsi="Verdana" w:cs="Arial"/>
                <w:sz w:val="16"/>
                <w:szCs w:val="16"/>
                <w:lang w:val="pt-BR" w:eastAsia="es-ES"/>
              </w:rPr>
              <w:t xml:space="preserve"> de Gestión </w:t>
            </w:r>
            <w:proofErr w:type="spellStart"/>
            <w:r w:rsidRPr="001F1916">
              <w:rPr>
                <w:rFonts w:ascii="Verdana" w:eastAsia="Calibri" w:hAnsi="Verdana" w:cs="Arial"/>
                <w:sz w:val="16"/>
                <w:szCs w:val="16"/>
                <w:lang w:val="pt-BR" w:eastAsia="es-ES"/>
              </w:rPr>
              <w:t>Contractual</w:t>
            </w:r>
            <w:proofErr w:type="spellEnd"/>
            <w:r w:rsidRPr="001F1916">
              <w:rPr>
                <w:rFonts w:ascii="Verdana" w:eastAsia="Calibri" w:hAnsi="Verdana" w:cs="Arial"/>
                <w:sz w:val="16"/>
                <w:szCs w:val="16"/>
                <w:lang w:val="pt-BR" w:eastAsia="es-ES"/>
              </w:rPr>
              <w:t xml:space="preserve"> ANCP – CCE</w:t>
            </w:r>
          </w:p>
        </w:tc>
      </w:tr>
    </w:tbl>
    <w:p w14:paraId="3B681206" w14:textId="77777777" w:rsidR="00FF5DBE" w:rsidRPr="00B14218" w:rsidRDefault="00FF5DBE" w:rsidP="00FF5DBE"/>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C53B2" w14:textId="77777777" w:rsidR="009741DD" w:rsidRDefault="009741DD" w:rsidP="004A1847">
      <w:pPr>
        <w:spacing w:after="0" w:line="240" w:lineRule="auto"/>
      </w:pPr>
      <w:r>
        <w:separator/>
      </w:r>
    </w:p>
  </w:endnote>
  <w:endnote w:type="continuationSeparator" w:id="0">
    <w:p w14:paraId="7D5F0D0A" w14:textId="77777777" w:rsidR="009741DD" w:rsidRDefault="009741D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F1C84" w14:textId="77777777" w:rsidR="009741DD" w:rsidRDefault="009741DD" w:rsidP="004A1847">
      <w:pPr>
        <w:spacing w:after="0" w:line="240" w:lineRule="auto"/>
      </w:pPr>
      <w:r>
        <w:separator/>
      </w:r>
    </w:p>
  </w:footnote>
  <w:footnote w:type="continuationSeparator" w:id="0">
    <w:p w14:paraId="393C3E11" w14:textId="77777777" w:rsidR="009741DD" w:rsidRDefault="009741DD" w:rsidP="004A1847">
      <w:pPr>
        <w:spacing w:after="0" w:line="240" w:lineRule="auto"/>
      </w:pPr>
      <w:r>
        <w:continuationSeparator/>
      </w:r>
    </w:p>
  </w:footnote>
  <w:footnote w:id="1">
    <w:p w14:paraId="68627B3F" w14:textId="77777777" w:rsidR="00FF5DBE" w:rsidRPr="00C70F19" w:rsidRDefault="00FF5DBE" w:rsidP="00FF5DBE">
      <w:pPr>
        <w:pStyle w:val="Textonotapie"/>
        <w:ind w:firstLine="708"/>
        <w:jc w:val="both"/>
        <w:rPr>
          <w:rFonts w:ascii="Verdana" w:hAnsi="Verdana"/>
          <w:sz w:val="16"/>
          <w:szCs w:val="16"/>
        </w:rPr>
      </w:pPr>
      <w:r w:rsidRPr="00C70F19">
        <w:rPr>
          <w:rFonts w:ascii="Verdana" w:hAnsi="Verdana"/>
          <w:sz w:val="16"/>
          <w:szCs w:val="16"/>
          <w:vertAlign w:val="superscript"/>
        </w:rPr>
        <w:footnoteRef/>
      </w:r>
      <w:r w:rsidRPr="008D3D4D">
        <w:rPr>
          <w:rFonts w:ascii="Verdana" w:hAnsi="Verdana"/>
          <w:sz w:val="16"/>
          <w:szCs w:val="16"/>
          <w:lang w:val="pt-BR"/>
        </w:rPr>
        <w:t xml:space="preserve"> CORTE CONSTITUCIONAL. Sentencia C-181 de 1997. </w:t>
      </w:r>
      <w:r w:rsidRPr="00C70F19">
        <w:rPr>
          <w:rFonts w:ascii="Verdana" w:hAnsi="Verdana"/>
          <w:sz w:val="16"/>
          <w:szCs w:val="16"/>
        </w:rPr>
        <w:t>M.P. Fabio Morón Díaz. Ver también las Sentencias C-540 de 2001, C-893 de 2003 y C-903 de 2008, entre otras.</w:t>
      </w:r>
    </w:p>
  </w:footnote>
  <w:footnote w:id="2">
    <w:p w14:paraId="251F0CC2" w14:textId="77777777" w:rsidR="00FF5DBE" w:rsidRPr="00C70F19" w:rsidRDefault="00FF5DBE" w:rsidP="00FF5DBE">
      <w:pPr>
        <w:pStyle w:val="Textonotapie"/>
        <w:ind w:firstLine="708"/>
        <w:jc w:val="both"/>
        <w:rPr>
          <w:rFonts w:ascii="Verdana" w:hAnsi="Verdana"/>
          <w:sz w:val="16"/>
          <w:szCs w:val="16"/>
          <w:lang w:val="pt-BR"/>
        </w:rPr>
      </w:pPr>
      <w:r w:rsidRPr="00C70F19">
        <w:rPr>
          <w:rStyle w:val="Refdenotaalpie"/>
          <w:rFonts w:ascii="Verdana" w:hAnsi="Verdana"/>
          <w:sz w:val="16"/>
          <w:szCs w:val="16"/>
        </w:rPr>
        <w:footnoteRef/>
      </w:r>
      <w:r w:rsidRPr="00C70F19">
        <w:rPr>
          <w:rFonts w:ascii="Verdana" w:hAnsi="Verdana"/>
          <w:sz w:val="16"/>
          <w:szCs w:val="16"/>
          <w:lang w:val="pt-BR"/>
        </w:rPr>
        <w:t xml:space="preserve"> CORTE CONSTITUCIONAL. Sentencia C-1016 de 2012. M.P. Jorge Iván Palacio.</w:t>
      </w:r>
    </w:p>
  </w:footnote>
  <w:footnote w:id="3">
    <w:p w14:paraId="33394565" w14:textId="77777777" w:rsidR="00FF5DBE" w:rsidRPr="00C70F19" w:rsidRDefault="00FF5DBE" w:rsidP="00FF5DBE">
      <w:pPr>
        <w:pStyle w:val="Textonotapie"/>
        <w:ind w:firstLine="708"/>
        <w:jc w:val="both"/>
        <w:rPr>
          <w:rFonts w:ascii="Verdana" w:hAnsi="Verdana"/>
          <w:sz w:val="16"/>
          <w:szCs w:val="16"/>
          <w:lang w:val="pt-BR"/>
        </w:rPr>
      </w:pPr>
      <w:r w:rsidRPr="00C70F19">
        <w:rPr>
          <w:rStyle w:val="Refdenotaalpie"/>
          <w:rFonts w:ascii="Verdana" w:hAnsi="Verdana"/>
          <w:sz w:val="16"/>
          <w:szCs w:val="16"/>
        </w:rPr>
        <w:footnoteRef/>
      </w:r>
      <w:r w:rsidRPr="00C70F19">
        <w:rPr>
          <w:rFonts w:ascii="Verdana" w:hAnsi="Verdana"/>
          <w:sz w:val="16"/>
          <w:szCs w:val="16"/>
        </w:rPr>
        <w:t xml:space="preserve"> CONSEJO DE ESTADO. Sección Tercera. Subsección A. Sentencia del 13 de noviembre de 2013. </w:t>
      </w:r>
      <w:r w:rsidRPr="00C70F19">
        <w:rPr>
          <w:rFonts w:ascii="Verdana" w:hAnsi="Verdana"/>
          <w:sz w:val="16"/>
          <w:szCs w:val="16"/>
          <w:lang w:val="pt-BR"/>
        </w:rPr>
        <w:t xml:space="preserve">Rad. 25.646. C.P. Mauricio Fajardo Gómez.  </w:t>
      </w:r>
    </w:p>
    <w:p w14:paraId="37280224" w14:textId="77777777" w:rsidR="00FF5DBE" w:rsidRPr="00C70F19" w:rsidRDefault="00FF5DBE" w:rsidP="00FF5DBE">
      <w:pPr>
        <w:pStyle w:val="Textonotapie"/>
        <w:jc w:val="both"/>
        <w:rPr>
          <w:rFonts w:ascii="Verdana" w:hAnsi="Verdana"/>
          <w:sz w:val="16"/>
          <w:szCs w:val="16"/>
          <w:lang w:val="pt-BR"/>
        </w:rPr>
      </w:pPr>
    </w:p>
  </w:footnote>
  <w:footnote w:id="4">
    <w:p w14:paraId="14E6FFBD" w14:textId="77777777" w:rsidR="00FF5DBE" w:rsidRPr="00C70F19" w:rsidRDefault="00FF5DBE" w:rsidP="00FF5DBE">
      <w:pPr>
        <w:pStyle w:val="Textonotapie"/>
        <w:ind w:firstLine="708"/>
        <w:jc w:val="both"/>
        <w:rPr>
          <w:rFonts w:ascii="Verdana" w:hAnsi="Verdana"/>
          <w:sz w:val="16"/>
          <w:szCs w:val="16"/>
          <w:lang w:val="pt-BR"/>
        </w:rPr>
      </w:pPr>
      <w:r w:rsidRPr="00C70F19">
        <w:rPr>
          <w:rStyle w:val="Refdenotaalpie"/>
          <w:rFonts w:ascii="Verdana" w:hAnsi="Verdana"/>
          <w:sz w:val="16"/>
          <w:szCs w:val="16"/>
        </w:rPr>
        <w:footnoteRef/>
      </w:r>
      <w:r w:rsidRPr="00C70F19">
        <w:rPr>
          <w:rFonts w:ascii="Verdana" w:hAnsi="Verdana"/>
          <w:sz w:val="16"/>
          <w:szCs w:val="16"/>
          <w:lang w:val="pt-BR"/>
        </w:rPr>
        <w:t xml:space="preserve"> CORTE CONSTITUCIONAL. Sentencia C-415 de 1994. M.P. Eduardo </w:t>
      </w:r>
      <w:r w:rsidRPr="00C70F19">
        <w:rPr>
          <w:rFonts w:ascii="Verdana" w:hAnsi="Verdana"/>
          <w:sz w:val="16"/>
          <w:szCs w:val="16"/>
          <w:lang w:val="pt-BR"/>
        </w:rPr>
        <w:t>Cifuentes Muñoz.</w:t>
      </w:r>
    </w:p>
  </w:footnote>
  <w:footnote w:id="5">
    <w:p w14:paraId="7CEDB545" w14:textId="77777777" w:rsidR="00FF5DBE" w:rsidRPr="00C70F19" w:rsidRDefault="00FF5DBE" w:rsidP="00FF5DBE">
      <w:pPr>
        <w:pStyle w:val="Textonotapie"/>
        <w:ind w:firstLine="708"/>
        <w:jc w:val="both"/>
        <w:rPr>
          <w:rFonts w:ascii="Verdana" w:hAnsi="Verdana"/>
          <w:sz w:val="16"/>
          <w:szCs w:val="16"/>
          <w:lang w:val="pt-BR"/>
        </w:rPr>
      </w:pPr>
      <w:r w:rsidRPr="00C70F19">
        <w:rPr>
          <w:rStyle w:val="Refdenotaalpie"/>
          <w:rFonts w:ascii="Verdana" w:hAnsi="Verdana"/>
          <w:sz w:val="16"/>
          <w:szCs w:val="16"/>
        </w:rPr>
        <w:footnoteRef/>
      </w:r>
      <w:r w:rsidRPr="00C70F19">
        <w:rPr>
          <w:rFonts w:ascii="Verdana" w:hAnsi="Verdana"/>
          <w:sz w:val="16"/>
          <w:szCs w:val="16"/>
          <w:lang w:val="pt-BR"/>
        </w:rPr>
        <w:t xml:space="preserve"> </w:t>
      </w:r>
      <w:r w:rsidRPr="00C70F19">
        <w:rPr>
          <w:rFonts w:ascii="Verdana" w:hAnsi="Verdana"/>
          <w:sz w:val="16"/>
          <w:szCs w:val="16"/>
          <w:lang w:val="pt-BR"/>
        </w:rPr>
        <w:t>Ibídem.</w:t>
      </w:r>
    </w:p>
    <w:p w14:paraId="46502070" w14:textId="77777777" w:rsidR="00FF5DBE" w:rsidRPr="00C70F19" w:rsidRDefault="00FF5DBE" w:rsidP="00FF5DBE">
      <w:pPr>
        <w:pStyle w:val="Textonotapie"/>
        <w:jc w:val="both"/>
        <w:rPr>
          <w:rFonts w:ascii="Verdana" w:hAnsi="Verdana"/>
          <w:sz w:val="16"/>
          <w:szCs w:val="16"/>
          <w:lang w:val="pt-BR"/>
        </w:rPr>
      </w:pPr>
    </w:p>
  </w:footnote>
  <w:footnote w:id="6">
    <w:p w14:paraId="0AF932A5" w14:textId="77777777" w:rsidR="00FF5DBE" w:rsidRPr="00C70F19" w:rsidRDefault="00FF5DBE" w:rsidP="00FF5DBE">
      <w:pPr>
        <w:pStyle w:val="Textonotapie"/>
        <w:ind w:firstLine="708"/>
        <w:jc w:val="both"/>
        <w:rPr>
          <w:rFonts w:ascii="Verdana" w:hAnsi="Verdana"/>
          <w:sz w:val="16"/>
          <w:szCs w:val="16"/>
          <w:lang w:val="es-CO"/>
        </w:rPr>
      </w:pPr>
      <w:r w:rsidRPr="00C70F19">
        <w:rPr>
          <w:rStyle w:val="Refdenotaalpie"/>
          <w:rFonts w:ascii="Verdana" w:hAnsi="Verdana"/>
          <w:sz w:val="16"/>
          <w:szCs w:val="16"/>
        </w:rPr>
        <w:footnoteRef/>
      </w:r>
      <w:r w:rsidRPr="00C70F19">
        <w:rPr>
          <w:rFonts w:ascii="Verdana" w:hAnsi="Verdana"/>
          <w:sz w:val="16"/>
          <w:szCs w:val="16"/>
          <w:lang w:val="pt-BR"/>
        </w:rPr>
        <w:t xml:space="preserve"> CORTE CONSTITUCIONAL. </w:t>
      </w:r>
      <w:r w:rsidRPr="00C70F19">
        <w:rPr>
          <w:rFonts w:ascii="Verdana" w:hAnsi="Verdana"/>
          <w:sz w:val="16"/>
          <w:szCs w:val="16"/>
        </w:rPr>
        <w:t xml:space="preserve">Sentencia C-780 de 2001. </w:t>
      </w:r>
      <w:r w:rsidRPr="00C70F19">
        <w:rPr>
          <w:rFonts w:ascii="Verdana" w:hAnsi="Verdana"/>
          <w:sz w:val="16"/>
          <w:szCs w:val="16"/>
          <w:lang w:val="es-CO"/>
        </w:rPr>
        <w:t xml:space="preserve">M.P. Jaime Córdoba Triviño. </w:t>
      </w:r>
    </w:p>
    <w:p w14:paraId="1518A223" w14:textId="77777777" w:rsidR="00FF5DBE" w:rsidRPr="00C70F19" w:rsidRDefault="00FF5DBE" w:rsidP="00FF5DBE">
      <w:pPr>
        <w:pStyle w:val="Textonotapie"/>
        <w:jc w:val="both"/>
        <w:rPr>
          <w:rFonts w:ascii="Verdana" w:hAnsi="Verdana"/>
          <w:sz w:val="16"/>
          <w:szCs w:val="16"/>
          <w:lang w:val="es-CO"/>
        </w:rPr>
      </w:pPr>
    </w:p>
  </w:footnote>
  <w:footnote w:id="7">
    <w:p w14:paraId="6D10C30C" w14:textId="77777777" w:rsidR="00FF5DBE" w:rsidRPr="00C70F19" w:rsidRDefault="00FF5DBE" w:rsidP="00FF5DBE">
      <w:pPr>
        <w:pStyle w:val="NormalWeb"/>
        <w:spacing w:before="0" w:beforeAutospacing="0" w:after="0" w:afterAutospacing="0"/>
        <w:ind w:firstLine="708"/>
        <w:jc w:val="both"/>
        <w:rPr>
          <w:rFonts w:ascii="Verdana" w:eastAsia="Calibri" w:hAnsi="Verdana" w:cs="Arial"/>
          <w:sz w:val="16"/>
          <w:szCs w:val="16"/>
          <w:lang w:val="es-ES" w:eastAsia="en-US"/>
        </w:rPr>
      </w:pPr>
      <w:r w:rsidRPr="00C70F19">
        <w:rPr>
          <w:rStyle w:val="Refdenotaalpie"/>
          <w:rFonts w:ascii="Verdana" w:hAnsi="Verdana"/>
          <w:sz w:val="16"/>
          <w:szCs w:val="16"/>
        </w:rPr>
        <w:footnoteRef/>
      </w:r>
      <w:r w:rsidRPr="00C70F19">
        <w:rPr>
          <w:rFonts w:ascii="Verdana" w:hAnsi="Verdana"/>
          <w:sz w:val="16"/>
          <w:szCs w:val="16"/>
        </w:rPr>
        <w:t xml:space="preserve"> </w:t>
      </w:r>
      <w:r w:rsidRPr="00C70F19">
        <w:rPr>
          <w:rFonts w:ascii="Verdana" w:eastAsia="Calibri" w:hAnsi="Verdana" w:cs="Arial"/>
          <w:sz w:val="16"/>
          <w:szCs w:val="16"/>
          <w:lang w:val="es-ES" w:eastAsia="en-US"/>
        </w:rPr>
        <w:t>Ley 80 de 1993: “Artículo 8: 1o. Son inhábiles para participar en licitaciones o concursos y para celebrar contratos con las entidades estatales: </w:t>
      </w:r>
    </w:p>
    <w:p w14:paraId="37179540"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a) Las personas que se hallen inhabilitadas para contratar por la Constitución y las leyes. </w:t>
      </w:r>
    </w:p>
    <w:p w14:paraId="1EC595B0"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b) Quienes participaron en las licitaciones o concursos o celebraron los contratos de que trata el literal anterior estando inhabilitados. </w:t>
      </w:r>
    </w:p>
    <w:p w14:paraId="1D0C47D2"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c) Quienes dieron lugar a la declaratoria de caducidad. </w:t>
      </w:r>
    </w:p>
    <w:p w14:paraId="7B2C16AE"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d) Quienes en sentencia judicial hayan sido condenados a la pena accesoria de interdicción de derechos y funciones públicas y quienes hayan sido sancionados disciplinariamente con destitución. </w:t>
      </w:r>
    </w:p>
    <w:p w14:paraId="656F17C8"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e) Quienes sin justa causa se abstengan de suscribir el contrato estatal adjudicado. </w:t>
      </w:r>
    </w:p>
    <w:p w14:paraId="71F0362F"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f) Los servidores públicos. </w:t>
      </w:r>
    </w:p>
    <w:p w14:paraId="275BA3CF"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01A8040F" w14:textId="77777777" w:rsidR="00FF5DBE" w:rsidRPr="00C70F19" w:rsidRDefault="00FF5DBE" w:rsidP="00FF5DBE">
      <w:pPr>
        <w:pStyle w:val="NormalWeb"/>
        <w:spacing w:before="0" w:beforeAutospacing="0" w:after="0" w:afterAutospacing="0"/>
        <w:ind w:firstLine="708"/>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25B06E58"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i) Los socios de sociedades de personas a las cuales se haya declarado la caducidad, así como las sociedades de personas de las que aquellos formen parte con posterioridad a dicha declaratoria. </w:t>
      </w:r>
    </w:p>
    <w:p w14:paraId="7C85F6F7"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3A6054A2"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1C9BA67E"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C70F19">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C70F19">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C70F19">
        <w:rPr>
          <w:rFonts w:ascii="Verdana" w:eastAsia="Calibri" w:hAnsi="Verdana" w:cs="Arial"/>
          <w:sz w:val="16"/>
          <w:szCs w:val="16"/>
          <w:lang w:val="es-ES" w:eastAsia="en-US"/>
        </w:rPr>
        <w:softHyphen/>
        <w:t>nería jurídica en los términos de ley, o cuyos representantes legales, ad</w:t>
      </w:r>
      <w:r w:rsidRPr="00C70F19">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C70F19">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1A4EE8DF"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w:t>
      </w:r>
    </w:p>
    <w:p w14:paraId="60487639" w14:textId="77777777" w:rsidR="00FF5DBE" w:rsidRPr="00C70F19" w:rsidRDefault="00FF5DBE" w:rsidP="00FF5DBE">
      <w:pPr>
        <w:pStyle w:val="NormalWeb"/>
        <w:spacing w:before="0" w:beforeAutospacing="0" w:after="0" w:afterAutospacing="0"/>
        <w:ind w:firstLine="708"/>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2o. Tampoco podrán participar en licitaciones o concursos ni celebrar contratos estatales con la entidad respectiva: </w:t>
      </w:r>
    </w:p>
    <w:p w14:paraId="56EC3FEC"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405D2B0F"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5149AE9F"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12BCF13E"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757F8514" w14:textId="77777777" w:rsidR="00FF5DBE" w:rsidRPr="00C70F19" w:rsidRDefault="00FF5DBE" w:rsidP="00FF5DBE">
      <w:pPr>
        <w:pStyle w:val="NormalWeb"/>
        <w:spacing w:before="0" w:beforeAutospacing="0" w:after="0" w:afterAutospacing="0"/>
        <w:jc w:val="both"/>
        <w:rPr>
          <w:rFonts w:ascii="Verdana" w:eastAsia="Calibri" w:hAnsi="Verdana" w:cs="Arial"/>
          <w:sz w:val="16"/>
          <w:szCs w:val="16"/>
          <w:lang w:val="es-ES" w:eastAsia="en-US"/>
        </w:rPr>
      </w:pPr>
      <w:r w:rsidRPr="00C70F19">
        <w:rPr>
          <w:rFonts w:ascii="Verdana" w:eastAsia="Calibri" w:hAnsi="Verdana" w:cs="Arial"/>
          <w:sz w:val="16"/>
          <w:szCs w:val="16"/>
          <w:lang w:val="es-ES" w:eastAsia="en-US"/>
        </w:rPr>
        <w:t>  </w:t>
      </w:r>
      <w:r w:rsidRPr="00C70F19">
        <w:rPr>
          <w:rFonts w:ascii="Verdana" w:eastAsia="Calibri" w:hAnsi="Verdana" w:cs="Arial"/>
          <w:sz w:val="16"/>
          <w:szCs w:val="16"/>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38213AE4" w14:textId="77777777" w:rsidR="00FF5DBE" w:rsidRPr="00C70F19" w:rsidRDefault="00FF5DBE" w:rsidP="00FF5DBE">
      <w:pPr>
        <w:pStyle w:val="NormalWeb"/>
        <w:spacing w:before="0" w:beforeAutospacing="0" w:after="0" w:afterAutospacing="0"/>
        <w:ind w:firstLine="708"/>
        <w:jc w:val="both"/>
        <w:rPr>
          <w:rFonts w:ascii="Verdana" w:eastAsia="Calibri" w:hAnsi="Verdana" w:cs="Arial"/>
          <w:sz w:val="16"/>
          <w:szCs w:val="16"/>
          <w:lang w:val="pt-BR" w:eastAsia="en-US"/>
        </w:rPr>
      </w:pPr>
      <w:r w:rsidRPr="00C70F19">
        <w:rPr>
          <w:rFonts w:ascii="Verdana" w:eastAsia="Calibri" w:hAnsi="Verdana" w:cs="Arial"/>
          <w:sz w:val="16"/>
          <w:szCs w:val="16"/>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exempleado público”. </w:t>
      </w:r>
      <w:r w:rsidRPr="00C70F19">
        <w:rPr>
          <w:rFonts w:ascii="Verdana" w:eastAsia="Calibri" w:hAnsi="Verdana" w:cs="Arial"/>
          <w:sz w:val="16"/>
          <w:szCs w:val="16"/>
          <w:lang w:val="pt-BR" w:eastAsia="en-US"/>
        </w:rPr>
        <w:t xml:space="preserve">(…). </w:t>
      </w:r>
    </w:p>
    <w:p w14:paraId="6DDD0295" w14:textId="77777777" w:rsidR="00FF5DBE" w:rsidRPr="00C70F19" w:rsidRDefault="00FF5DBE" w:rsidP="00FF5DBE">
      <w:pPr>
        <w:pStyle w:val="Textonotapie"/>
        <w:jc w:val="both"/>
        <w:rPr>
          <w:rFonts w:ascii="Verdana" w:hAnsi="Verdana"/>
          <w:sz w:val="16"/>
          <w:szCs w:val="16"/>
          <w:lang w:val="pt-BR"/>
        </w:rPr>
      </w:pPr>
    </w:p>
  </w:footnote>
  <w:footnote w:id="8">
    <w:p w14:paraId="52B91274" w14:textId="77777777" w:rsidR="00FF5DBE" w:rsidRPr="00C70F19" w:rsidRDefault="00FF5DBE" w:rsidP="00FF5DBE">
      <w:pPr>
        <w:pStyle w:val="Textonotapie"/>
        <w:ind w:firstLine="708"/>
        <w:jc w:val="both"/>
        <w:rPr>
          <w:rFonts w:ascii="Verdana" w:hAnsi="Verdana"/>
          <w:sz w:val="16"/>
          <w:szCs w:val="16"/>
          <w:lang w:val="pt-BR"/>
        </w:rPr>
      </w:pPr>
      <w:r w:rsidRPr="00C70F19">
        <w:rPr>
          <w:rStyle w:val="Refdenotaalpie"/>
          <w:rFonts w:ascii="Verdana" w:hAnsi="Verdana"/>
          <w:sz w:val="16"/>
          <w:szCs w:val="16"/>
        </w:rPr>
        <w:footnoteRef/>
      </w:r>
      <w:r w:rsidRPr="00C70F19">
        <w:rPr>
          <w:rFonts w:ascii="Verdana" w:hAnsi="Verdana"/>
          <w:sz w:val="16"/>
          <w:szCs w:val="16"/>
          <w:lang w:val="pt-BR"/>
        </w:rPr>
        <w:t xml:space="preserve"> </w:t>
      </w:r>
      <w:r w:rsidRPr="00C70F19">
        <w:rPr>
          <w:rFonts w:ascii="Verdana" w:hAnsi="Verdana" w:cs="Arial"/>
          <w:sz w:val="16"/>
          <w:szCs w:val="16"/>
          <w:lang w:val="pt-BR"/>
        </w:rPr>
        <w:t>Ibídem. p. 69.</w:t>
      </w:r>
    </w:p>
  </w:footnote>
  <w:footnote w:id="9">
    <w:p w14:paraId="2105BD97" w14:textId="77777777" w:rsidR="00FF5DBE" w:rsidRPr="00C70F19" w:rsidRDefault="00FF5DBE" w:rsidP="00FF5DBE">
      <w:pPr>
        <w:pStyle w:val="Textonotapie"/>
        <w:ind w:firstLine="708"/>
        <w:jc w:val="both"/>
        <w:rPr>
          <w:rFonts w:ascii="Verdana" w:hAnsi="Verdana" w:cs="Arial"/>
          <w:sz w:val="16"/>
          <w:szCs w:val="16"/>
          <w:lang w:val="es-ES"/>
        </w:rPr>
      </w:pPr>
      <w:r w:rsidRPr="00C70F19">
        <w:rPr>
          <w:rStyle w:val="Refdenotaalpie"/>
          <w:rFonts w:ascii="Verdana" w:hAnsi="Verdana"/>
          <w:sz w:val="16"/>
          <w:szCs w:val="16"/>
        </w:rPr>
        <w:footnoteRef/>
      </w:r>
      <w:r w:rsidRPr="00C70F19">
        <w:rPr>
          <w:rFonts w:ascii="Verdana" w:hAnsi="Verdana"/>
          <w:sz w:val="16"/>
          <w:szCs w:val="16"/>
          <w:lang w:val="pt-BR"/>
        </w:rPr>
        <w:t xml:space="preserve"> </w:t>
      </w:r>
      <w:r w:rsidRPr="00C70F19">
        <w:rPr>
          <w:rFonts w:ascii="Verdana" w:hAnsi="Verdana" w:cs="Arial"/>
          <w:sz w:val="16"/>
          <w:szCs w:val="16"/>
          <w:lang w:val="pt-BR"/>
        </w:rPr>
        <w:t xml:space="preserve">CORTE CONSTITUCIONAL. Sentencia T-1039 de 2006. M.P. Humberto </w:t>
      </w:r>
      <w:r w:rsidRPr="00C70F19">
        <w:rPr>
          <w:rFonts w:ascii="Verdana" w:hAnsi="Verdana" w:cs="Arial"/>
          <w:sz w:val="16"/>
          <w:szCs w:val="16"/>
          <w:lang w:val="pt-BR"/>
        </w:rPr>
        <w:t xml:space="preserve">Sierra Porto. </w:t>
      </w:r>
      <w:r w:rsidRPr="00C70F19">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74470E56" w14:textId="77777777" w:rsidR="00FF5DBE" w:rsidRPr="00C70F19" w:rsidRDefault="00FF5DBE" w:rsidP="00FF5DBE">
      <w:pPr>
        <w:pStyle w:val="Textonotapie"/>
        <w:jc w:val="both"/>
        <w:rPr>
          <w:rFonts w:ascii="Verdana" w:hAnsi="Verdana" w:cs="Arial"/>
          <w:sz w:val="16"/>
          <w:szCs w:val="16"/>
          <w:lang w:val="es-ES"/>
        </w:rPr>
      </w:pPr>
    </w:p>
  </w:footnote>
  <w:footnote w:id="10">
    <w:p w14:paraId="64FDFA31" w14:textId="77777777" w:rsidR="00FF5DBE" w:rsidRPr="00C70F19" w:rsidRDefault="00FF5DBE" w:rsidP="00FF5DBE">
      <w:pPr>
        <w:pStyle w:val="Textonotapie"/>
        <w:ind w:firstLine="708"/>
        <w:jc w:val="both"/>
        <w:rPr>
          <w:rFonts w:ascii="Verdana" w:hAnsi="Verdana" w:cs="Arial"/>
          <w:sz w:val="16"/>
          <w:szCs w:val="16"/>
          <w:lang w:val="es-ES"/>
        </w:rPr>
      </w:pPr>
      <w:r w:rsidRPr="00C70F19">
        <w:rPr>
          <w:rStyle w:val="Refdenotaalpie"/>
          <w:rFonts w:ascii="Verdana" w:hAnsi="Verdana"/>
          <w:sz w:val="16"/>
          <w:szCs w:val="16"/>
        </w:rPr>
        <w:footnoteRef/>
      </w:r>
      <w:r w:rsidRPr="00C70F19">
        <w:rPr>
          <w:rFonts w:ascii="Verdana" w:hAnsi="Verdana"/>
          <w:sz w:val="16"/>
          <w:szCs w:val="16"/>
        </w:rPr>
        <w:t xml:space="preserve"> </w:t>
      </w:r>
      <w:r w:rsidRPr="00C70F19">
        <w:rPr>
          <w:rFonts w:ascii="Verdana" w:hAnsi="Verdana" w:cs="Arial"/>
          <w:sz w:val="16"/>
          <w:szCs w:val="16"/>
          <w:lang w:val="es-ES"/>
        </w:rPr>
        <w:t xml:space="preserve">CONSEJO DE ESTADO. Sala de Consulta y Servicio Civil. Concepto del 30 de abril de 2015. </w:t>
      </w:r>
      <w:r w:rsidRPr="00C70F19">
        <w:rPr>
          <w:rFonts w:ascii="Verdana" w:hAnsi="Verdana" w:cs="Arial"/>
          <w:sz w:val="16"/>
          <w:szCs w:val="16"/>
          <w:lang w:val="es-ES"/>
        </w:rPr>
        <w:t>Exp. 2251. C.P. Álvaro Namén Vargas.</w:t>
      </w:r>
    </w:p>
    <w:p w14:paraId="7E741ADD" w14:textId="77777777" w:rsidR="00FF5DBE" w:rsidRPr="00C70F19" w:rsidRDefault="00FF5DBE" w:rsidP="00FF5DBE">
      <w:pPr>
        <w:pStyle w:val="Textonotapie"/>
        <w:jc w:val="both"/>
        <w:rPr>
          <w:rFonts w:ascii="Verdana" w:hAnsi="Verdana"/>
          <w:sz w:val="16"/>
          <w:szCs w:val="16"/>
          <w:lang w:val="es-ES_tradnl"/>
        </w:rPr>
      </w:pPr>
    </w:p>
  </w:footnote>
  <w:footnote w:id="11">
    <w:p w14:paraId="47379429" w14:textId="77777777" w:rsidR="00FF5DBE" w:rsidRPr="00C70F19" w:rsidRDefault="00FF5DBE" w:rsidP="00FF5DBE">
      <w:pPr>
        <w:pStyle w:val="Textonotapie"/>
        <w:ind w:firstLine="708"/>
        <w:jc w:val="both"/>
        <w:rPr>
          <w:rFonts w:ascii="Verdana" w:hAnsi="Verdana" w:cs="Arial"/>
          <w:sz w:val="16"/>
          <w:szCs w:val="16"/>
        </w:rPr>
      </w:pPr>
      <w:r w:rsidRPr="00C70F19">
        <w:rPr>
          <w:rStyle w:val="Refdenotaalpie"/>
          <w:rFonts w:ascii="Verdana" w:hAnsi="Verdana"/>
          <w:sz w:val="16"/>
          <w:szCs w:val="16"/>
        </w:rPr>
        <w:footnoteRef/>
      </w:r>
      <w:r w:rsidRPr="00C70F19">
        <w:rPr>
          <w:rFonts w:ascii="Verdana" w:hAnsi="Verdana"/>
          <w:sz w:val="16"/>
          <w:szCs w:val="16"/>
        </w:rPr>
        <w:t xml:space="preserve"> </w:t>
      </w:r>
      <w:r w:rsidRPr="00C70F19">
        <w:rPr>
          <w:rFonts w:ascii="Verdana" w:hAnsi="Verdana" w:cs="Arial"/>
          <w:sz w:val="16"/>
          <w:szCs w:val="16"/>
        </w:rPr>
        <w:t xml:space="preserve">CONSEJO DE ESTADO. Sección Tercera. Subsección A. Sentencia del 24 de junio de 2015. </w:t>
      </w:r>
      <w:r w:rsidRPr="00C70F19">
        <w:rPr>
          <w:rFonts w:ascii="Verdana" w:hAnsi="Verdana" w:cs="Arial"/>
          <w:sz w:val="16"/>
          <w:szCs w:val="16"/>
        </w:rPr>
        <w:t>Exp. 40.635. C.P. Hernán Andrade Rincón (E).</w:t>
      </w:r>
    </w:p>
    <w:p w14:paraId="3A3BB6BF" w14:textId="77777777" w:rsidR="00FF5DBE" w:rsidRPr="00C70F19" w:rsidRDefault="00FF5DBE" w:rsidP="00FF5DBE">
      <w:pPr>
        <w:pStyle w:val="Textonotapie"/>
        <w:jc w:val="both"/>
        <w:rPr>
          <w:rFonts w:ascii="Verdana" w:hAnsi="Verdana"/>
          <w:sz w:val="16"/>
          <w:szCs w:val="16"/>
          <w:lang w:val="es-ES_tradnl"/>
        </w:rPr>
      </w:pPr>
    </w:p>
  </w:footnote>
  <w:footnote w:id="12">
    <w:p w14:paraId="1FDE8CAA" w14:textId="77777777" w:rsidR="00FF5DBE" w:rsidRPr="00C70F19" w:rsidRDefault="00FF5DBE" w:rsidP="00FF5DBE">
      <w:pPr>
        <w:pStyle w:val="Textonotapie"/>
        <w:ind w:firstLine="708"/>
        <w:jc w:val="both"/>
        <w:rPr>
          <w:rFonts w:ascii="Verdana" w:hAnsi="Verdana"/>
          <w:sz w:val="16"/>
          <w:szCs w:val="16"/>
          <w:lang w:val="es-ES_tradnl"/>
        </w:rPr>
      </w:pPr>
      <w:r w:rsidRPr="00C70F19">
        <w:rPr>
          <w:rStyle w:val="Refdenotaalpie"/>
          <w:rFonts w:ascii="Verdana" w:hAnsi="Verdana"/>
          <w:sz w:val="16"/>
          <w:szCs w:val="16"/>
        </w:rPr>
        <w:footnoteRef/>
      </w:r>
      <w:r w:rsidRPr="00C70F19">
        <w:rPr>
          <w:rFonts w:ascii="Verdana" w:hAnsi="Verdana"/>
          <w:sz w:val="16"/>
          <w:szCs w:val="16"/>
        </w:rPr>
        <w:t xml:space="preserve"> </w:t>
      </w:r>
      <w:r w:rsidRPr="00C70F19">
        <w:rPr>
          <w:rFonts w:ascii="Verdana" w:hAnsi="Verdana" w:cs="Arial"/>
          <w:sz w:val="16"/>
          <w:szCs w:val="16"/>
        </w:rPr>
        <w:t xml:space="preserve">CONSEJO DE ESTADO. Sección Tercera. Subsección C. Sentencia del 22 de mayo de 2013. Rad. 24.057. C.P. Olga Mélida Valle De </w:t>
      </w:r>
      <w:r w:rsidRPr="00C70F19">
        <w:rPr>
          <w:rFonts w:ascii="Verdana" w:hAnsi="Verdana" w:cs="Arial"/>
          <w:sz w:val="16"/>
          <w:szCs w:val="16"/>
        </w:rPr>
        <w:t>De La Hoz.</w:t>
      </w:r>
    </w:p>
  </w:footnote>
  <w:footnote w:id="13">
    <w:p w14:paraId="37C70FFA" w14:textId="77777777" w:rsidR="00FF5DBE" w:rsidRPr="00C70F19" w:rsidRDefault="00FF5DBE" w:rsidP="00FF5DBE">
      <w:pPr>
        <w:pStyle w:val="Textonotapie"/>
        <w:ind w:firstLine="708"/>
        <w:jc w:val="both"/>
        <w:rPr>
          <w:rFonts w:ascii="Verdana" w:hAnsi="Verdana" w:cs="Arial"/>
          <w:sz w:val="16"/>
          <w:szCs w:val="16"/>
          <w:lang w:val="pt-BR"/>
        </w:rPr>
      </w:pPr>
      <w:r w:rsidRPr="00C70F19">
        <w:rPr>
          <w:rStyle w:val="Refdenotaalpie"/>
          <w:rFonts w:ascii="Verdana" w:hAnsi="Verdana"/>
          <w:sz w:val="16"/>
          <w:szCs w:val="16"/>
        </w:rPr>
        <w:footnoteRef/>
      </w:r>
      <w:r w:rsidRPr="00C70F19">
        <w:rPr>
          <w:rFonts w:ascii="Verdana" w:hAnsi="Verdana"/>
          <w:sz w:val="16"/>
          <w:szCs w:val="16"/>
          <w:lang w:val="pt-BR"/>
        </w:rPr>
        <w:t xml:space="preserve"> </w:t>
      </w:r>
      <w:r w:rsidRPr="00C70F19">
        <w:rPr>
          <w:rFonts w:ascii="Verdana" w:hAnsi="Verdana" w:cs="Arial"/>
          <w:sz w:val="16"/>
          <w:szCs w:val="16"/>
          <w:lang w:val="pt-BR"/>
        </w:rPr>
        <w:t xml:space="preserve">CORTE CONSTITUCIONAL. Sentencia C-415 de 1994. M.P. Eduardo </w:t>
      </w:r>
      <w:r w:rsidRPr="00C70F19">
        <w:rPr>
          <w:rFonts w:ascii="Verdana" w:hAnsi="Verdana" w:cs="Arial"/>
          <w:sz w:val="16"/>
          <w:szCs w:val="16"/>
          <w:lang w:val="pt-BR"/>
        </w:rPr>
        <w:t>Cifuentes Muñoz.</w:t>
      </w:r>
    </w:p>
    <w:p w14:paraId="6ABCC8D4" w14:textId="77777777" w:rsidR="00FF5DBE" w:rsidRPr="00C70F19" w:rsidRDefault="00FF5DBE" w:rsidP="00FF5DBE">
      <w:pPr>
        <w:pStyle w:val="Textonotapie"/>
        <w:jc w:val="both"/>
        <w:rPr>
          <w:rFonts w:ascii="Verdana" w:hAnsi="Verdana"/>
          <w:sz w:val="16"/>
          <w:szCs w:val="16"/>
          <w:lang w:val="pt-BR"/>
        </w:rPr>
      </w:pPr>
    </w:p>
  </w:footnote>
  <w:footnote w:id="14">
    <w:p w14:paraId="67715324" w14:textId="77777777" w:rsidR="00FF5DBE" w:rsidRPr="00C70F19" w:rsidRDefault="00FF5DBE" w:rsidP="00FF5DBE">
      <w:pPr>
        <w:pStyle w:val="Textonotapie"/>
        <w:ind w:firstLine="708"/>
        <w:jc w:val="both"/>
        <w:rPr>
          <w:rFonts w:ascii="Verdana" w:hAnsi="Verdana" w:cs="Arial"/>
          <w:color w:val="000000"/>
          <w:sz w:val="16"/>
          <w:szCs w:val="16"/>
        </w:rPr>
      </w:pPr>
      <w:r w:rsidRPr="00C70F19">
        <w:rPr>
          <w:rStyle w:val="Refdenotaalpie"/>
          <w:rFonts w:ascii="Verdana" w:hAnsi="Verdana"/>
          <w:sz w:val="16"/>
          <w:szCs w:val="16"/>
        </w:rPr>
        <w:footnoteRef/>
      </w:r>
      <w:r w:rsidRPr="00C70F19">
        <w:rPr>
          <w:rFonts w:ascii="Verdana" w:hAnsi="Verdana"/>
          <w:sz w:val="16"/>
          <w:szCs w:val="16"/>
          <w:lang w:val="pt-BR"/>
        </w:rPr>
        <w:t xml:space="preserve"> </w:t>
      </w:r>
      <w:r w:rsidRPr="00C70F19">
        <w:rPr>
          <w:rFonts w:ascii="Verdana" w:hAnsi="Verdana" w:cs="Arial"/>
          <w:color w:val="000000"/>
          <w:sz w:val="16"/>
          <w:szCs w:val="16"/>
          <w:lang w:val="pt-BR"/>
        </w:rPr>
        <w:t xml:space="preserve">CONSEJO DE ESTADO. Sala de </w:t>
      </w:r>
      <w:r w:rsidRPr="00C70F19">
        <w:rPr>
          <w:rFonts w:ascii="Verdana" w:hAnsi="Verdana" w:cs="Arial"/>
          <w:color w:val="000000"/>
          <w:sz w:val="16"/>
          <w:szCs w:val="16"/>
          <w:lang w:val="pt-BR"/>
        </w:rPr>
        <w:t xml:space="preserve">lo contencioso administrativo. Sentencia del 12 de diciembre de 2014. Exp. 26496. C.P. Ramiro Pazos Guerrero. </w:t>
      </w:r>
      <w:r w:rsidRPr="00C70F19">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p w14:paraId="018F7C06" w14:textId="77777777" w:rsidR="00FF5DBE" w:rsidRPr="00C70F19" w:rsidRDefault="00FF5DBE" w:rsidP="00FF5DBE">
      <w:pPr>
        <w:pStyle w:val="Textonotapie"/>
        <w:jc w:val="both"/>
        <w:rPr>
          <w:rFonts w:ascii="Verdana" w:hAnsi="Verdana"/>
          <w:sz w:val="16"/>
          <w:szCs w:val="16"/>
          <w:lang w:val="es-ES_tradnl"/>
        </w:rPr>
      </w:pPr>
    </w:p>
  </w:footnote>
  <w:footnote w:id="15">
    <w:p w14:paraId="7895B3E4" w14:textId="77777777" w:rsidR="00FF5DBE" w:rsidRPr="00C70F19" w:rsidRDefault="00FF5DBE" w:rsidP="00FF5DBE">
      <w:pPr>
        <w:pStyle w:val="Textonotapie"/>
        <w:ind w:firstLine="708"/>
        <w:jc w:val="both"/>
        <w:rPr>
          <w:rFonts w:ascii="Verdana" w:hAnsi="Verdana"/>
          <w:sz w:val="16"/>
          <w:szCs w:val="16"/>
          <w:lang w:val="es-ES_tradnl"/>
        </w:rPr>
      </w:pPr>
      <w:r w:rsidRPr="00C70F19">
        <w:rPr>
          <w:rStyle w:val="Refdenotaalpie"/>
          <w:rFonts w:ascii="Verdana" w:hAnsi="Verdana"/>
          <w:sz w:val="16"/>
          <w:szCs w:val="16"/>
        </w:rPr>
        <w:footnoteRef/>
      </w:r>
      <w:r w:rsidRPr="00C70F19">
        <w:rPr>
          <w:rFonts w:ascii="Verdana" w:hAnsi="Verdana"/>
          <w:sz w:val="16"/>
          <w:szCs w:val="16"/>
        </w:rPr>
        <w:t xml:space="preserve"> </w:t>
      </w:r>
      <w:r w:rsidRPr="00C70F19">
        <w:rPr>
          <w:rFonts w:ascii="Verdana" w:hAnsi="Verdana" w:cs="Arial"/>
          <w:color w:val="000000"/>
          <w:sz w:val="16"/>
          <w:szCs w:val="16"/>
        </w:rPr>
        <w:t>CONSEJO DE ESTADO. Sala de Consulta y Servicio Civil. Concepto del 29 de abril de 1998. Rad. 1097. C.P. Augusto Trejos Jaramillo.</w:t>
      </w:r>
    </w:p>
  </w:footnote>
  <w:footnote w:id="16">
    <w:p w14:paraId="22231722" w14:textId="77777777" w:rsidR="00FF5DBE" w:rsidRPr="00312394" w:rsidRDefault="00FF5DBE" w:rsidP="00FF5DBE">
      <w:pPr>
        <w:pStyle w:val="Textonotapie"/>
        <w:ind w:firstLine="709"/>
        <w:jc w:val="both"/>
        <w:rPr>
          <w:rFonts w:ascii="Verdana" w:hAnsi="Verdana" w:cs="Arial"/>
          <w:sz w:val="16"/>
          <w:szCs w:val="16"/>
        </w:rPr>
      </w:pPr>
      <w:r w:rsidRPr="00312394">
        <w:rPr>
          <w:rStyle w:val="Refdenotaalpie"/>
          <w:rFonts w:ascii="Verdana" w:hAnsi="Verdana" w:cs="Arial"/>
          <w:sz w:val="16"/>
          <w:szCs w:val="16"/>
        </w:rPr>
        <w:footnoteRef/>
      </w:r>
      <w:r w:rsidRPr="00312394">
        <w:rPr>
          <w:rFonts w:ascii="Verdana" w:hAnsi="Verdana" w:cs="Arial"/>
          <w:sz w:val="16"/>
          <w:szCs w:val="16"/>
        </w:rPr>
        <w:t xml:space="preserve"> </w:t>
      </w:r>
      <w:r w:rsidRPr="00312394">
        <w:rPr>
          <w:rFonts w:ascii="Verdana" w:hAnsi="Verdana" w:cs="Arial"/>
          <w:sz w:val="16"/>
          <w:szCs w:val="16"/>
          <w:lang w:eastAsia="es-CO"/>
        </w:rPr>
        <w:t>Ley 1437 de 2011:</w:t>
      </w:r>
      <w:r w:rsidRPr="00312394">
        <w:rPr>
          <w:rFonts w:ascii="Verdana" w:hAnsi="Verdana" w:cs="Arial"/>
          <w:sz w:val="16"/>
          <w:szCs w:val="16"/>
        </w:rPr>
        <w:t xml:space="preserve"> “Artículo 44. Decisiones discrecionales. En la medida en que el contenido de una decisión de carácter general o particular sea discrecional, debe ser adecuada a los fines de la norma que la autoriza, y proporcional a los hechos que le sirven de causa</w:t>
      </w:r>
      <w:r w:rsidRPr="00312394">
        <w:rPr>
          <w:rFonts w:ascii="Verdana" w:hAnsi="Verdana" w:cs="Arial"/>
          <w:sz w:val="16"/>
          <w:szCs w:val="16"/>
          <w:lang w:eastAsia="es-CO"/>
        </w:rPr>
        <w:t>”</w:t>
      </w:r>
      <w:r w:rsidRPr="00312394">
        <w:rPr>
          <w:rFonts w:ascii="Verdana" w:hAnsi="Verdana" w:cs="Arial"/>
          <w:sz w:val="16"/>
          <w:szCs w:val="16"/>
        </w:rPr>
        <w:t>.</w:t>
      </w:r>
    </w:p>
    <w:p w14:paraId="373B488C" w14:textId="77777777" w:rsidR="00FF5DBE" w:rsidRPr="00312394" w:rsidRDefault="00FF5DBE" w:rsidP="00FF5DBE">
      <w:pPr>
        <w:pStyle w:val="Textonotapie"/>
        <w:ind w:firstLine="709"/>
        <w:jc w:val="both"/>
        <w:rPr>
          <w:rFonts w:ascii="Verdana" w:hAnsi="Verdana" w:cs="Arial"/>
          <w:sz w:val="16"/>
          <w:szCs w:val="16"/>
          <w:lang w:val="es-ES"/>
        </w:rPr>
      </w:pPr>
    </w:p>
  </w:footnote>
  <w:footnote w:id="17">
    <w:p w14:paraId="785AEA7D" w14:textId="77777777" w:rsidR="00FF5DBE" w:rsidRPr="00312394" w:rsidRDefault="00FF5DBE" w:rsidP="00FF5DBE">
      <w:pPr>
        <w:pStyle w:val="Textonotapie"/>
        <w:ind w:firstLine="709"/>
        <w:jc w:val="both"/>
        <w:rPr>
          <w:rFonts w:ascii="Verdana" w:hAnsi="Verdana" w:cs="Arial"/>
          <w:sz w:val="16"/>
          <w:szCs w:val="16"/>
          <w:lang w:val="es-ES"/>
        </w:rPr>
      </w:pPr>
      <w:r w:rsidRPr="00312394">
        <w:rPr>
          <w:rStyle w:val="Refdenotaalpie"/>
          <w:rFonts w:ascii="Verdana" w:hAnsi="Verdana" w:cs="Arial"/>
          <w:sz w:val="16"/>
          <w:szCs w:val="16"/>
        </w:rPr>
        <w:footnoteRef/>
      </w:r>
      <w:r w:rsidRPr="00312394">
        <w:rPr>
          <w:rFonts w:ascii="Verdana" w:hAnsi="Verdana" w:cs="Arial"/>
          <w:sz w:val="16"/>
          <w:szCs w:val="16"/>
        </w:rPr>
        <w:t xml:space="preserve"> </w:t>
      </w:r>
      <w:r w:rsidRPr="00312394">
        <w:rPr>
          <w:rFonts w:ascii="Verdana" w:hAnsi="Verdana" w:cs="Arial"/>
          <w:sz w:val="16"/>
          <w:szCs w:val="16"/>
          <w:lang w:val="es-ES"/>
        </w:rPr>
        <w:t xml:space="preserve">Principio que se compone a su vez de “tres subprincipios, etapas o mandatos parciales: el </w:t>
      </w:r>
      <w:r w:rsidRPr="00312394">
        <w:rPr>
          <w:rFonts w:ascii="Verdana" w:hAnsi="Verdana" w:cs="Arial"/>
          <w:i/>
          <w:iCs/>
          <w:sz w:val="16"/>
          <w:szCs w:val="16"/>
          <w:lang w:val="es-ES"/>
        </w:rPr>
        <w:t>subprincipio o mandato de adecuación, de idoneidad o de congruencia</w:t>
      </w:r>
      <w:r w:rsidRPr="00312394">
        <w:rPr>
          <w:rFonts w:ascii="Verdana" w:hAnsi="Verdana" w:cs="Arial"/>
          <w:sz w:val="16"/>
          <w:szCs w:val="16"/>
          <w:lang w:val="es-ES"/>
        </w:rPr>
        <w:t xml:space="preserve">, por virtud del cual la medida limitadora de los derechos o intereses del administrado debe ser útil, apropiada o idónea para obtener el fin buscado, esto es, que el abanico de posibles medidas que ha de adoptar la Administración se limita a las que resulten congruentes con el entramado fáctico del caso y aptas para la consecución del cometido fijado por el ordenamiento jurídico al atribuir la potestad correspondiente a la Administración; el </w:t>
      </w:r>
      <w:r w:rsidRPr="00312394">
        <w:rPr>
          <w:rFonts w:ascii="Verdana" w:hAnsi="Verdana" w:cs="Arial"/>
          <w:i/>
          <w:iCs/>
          <w:sz w:val="16"/>
          <w:szCs w:val="16"/>
          <w:lang w:val="es-ES"/>
        </w:rPr>
        <w:t>subprincipio o mandato de necesidad, intervención mínima o menor lesividad</w:t>
      </w:r>
      <w:r w:rsidRPr="00312394">
        <w:rPr>
          <w:rFonts w:ascii="Verdana" w:hAnsi="Verdana" w:cs="Arial"/>
          <w:sz w:val="16"/>
          <w:szCs w:val="16"/>
          <w:lang w:val="es-ES"/>
        </w:rPr>
        <w:t xml:space="preserve">, de acuerdo con el cual la adopción de la medida elegida debe ser indispensable, dada la inexistencia de una alternativa distinta que sea tan eficaz para satisfacer el fin de interés público al cual apunta, pero menos limitativa del otro u otros principios, derechos o intereses en tensión; y en tercer lugar, </w:t>
      </w:r>
      <w:r w:rsidRPr="00312394">
        <w:rPr>
          <w:rFonts w:ascii="Verdana" w:hAnsi="Verdana" w:cs="Arial"/>
          <w:i/>
          <w:iCs/>
          <w:sz w:val="16"/>
          <w:szCs w:val="16"/>
          <w:lang w:val="es-ES"/>
        </w:rPr>
        <w:t>el subprincipio o mandato de proporcionalidad en sentido estricto</w:t>
      </w:r>
      <w:r w:rsidRPr="00312394">
        <w:rPr>
          <w:rFonts w:ascii="Verdana" w:hAnsi="Verdana" w:cs="Arial"/>
          <w:sz w:val="16"/>
          <w:szCs w:val="16"/>
          <w:lang w:val="es-ES"/>
        </w:rPr>
        <w:t>, de acuerdo con el cual debe producirse un equilibrio entre el perjuicio irrogado al derecho o interés que se limita y el beneficio que de ello se deriva para el bien jurídico que la medida prohíja” (MARÍN HERNÁNDEZ, Hugo Alberto. El principio de proporcionalidad en el derecho administrativo colombiano. Bogotá: Universidad Externado de Colombia, 2018. p. 34).</w:t>
      </w:r>
    </w:p>
    <w:p w14:paraId="52E2B020" w14:textId="77777777" w:rsidR="00FF5DBE" w:rsidRPr="00312394" w:rsidRDefault="00FF5DBE" w:rsidP="00FF5DBE">
      <w:pPr>
        <w:pStyle w:val="Textonotapie"/>
        <w:ind w:firstLine="709"/>
        <w:jc w:val="both"/>
        <w:rPr>
          <w:rFonts w:ascii="Verdana" w:hAnsi="Verdana" w:cs="Arial"/>
          <w:sz w:val="16"/>
          <w:szCs w:val="16"/>
          <w:lang w:val="es-ES"/>
        </w:rPr>
      </w:pPr>
    </w:p>
  </w:footnote>
  <w:footnote w:id="18">
    <w:p w14:paraId="5D8B990F" w14:textId="77777777" w:rsidR="00FF5DBE" w:rsidRPr="00312394" w:rsidRDefault="00FF5DBE" w:rsidP="00FF5DBE">
      <w:pPr>
        <w:spacing w:after="0" w:line="240" w:lineRule="auto"/>
        <w:ind w:firstLine="709"/>
        <w:jc w:val="both"/>
        <w:rPr>
          <w:rFonts w:ascii="Verdana" w:hAnsi="Verdana" w:cs="Arial"/>
          <w:sz w:val="16"/>
          <w:szCs w:val="16"/>
          <w:lang w:val="es-ES"/>
        </w:rPr>
      </w:pPr>
      <w:r w:rsidRPr="00312394">
        <w:rPr>
          <w:rStyle w:val="Refdenotaalpie"/>
          <w:rFonts w:ascii="Verdana" w:hAnsi="Verdana" w:cs="Arial"/>
          <w:sz w:val="16"/>
          <w:szCs w:val="16"/>
        </w:rPr>
        <w:footnoteRef/>
      </w:r>
      <w:r w:rsidRPr="00312394">
        <w:rPr>
          <w:rFonts w:ascii="Verdana" w:hAnsi="Verdana" w:cs="Arial"/>
          <w:sz w:val="16"/>
          <w:szCs w:val="16"/>
        </w:rPr>
        <w:t xml:space="preserve"> </w:t>
      </w:r>
      <w:r w:rsidRPr="00312394">
        <w:rPr>
          <w:rFonts w:ascii="Verdana" w:hAnsi="Verdana" w:cs="Arial"/>
          <w:sz w:val="16"/>
          <w:szCs w:val="16"/>
          <w:lang w:val="es-ES"/>
        </w:rPr>
        <w:t>Consejo de Estado. Sección Tercera. Sentencia del 14 de abril de 2010. Consejero Ponente: Enrique Gil Botero. Radicación número: 11001-03-26-000-2008-00101-00(36054).</w:t>
      </w:r>
    </w:p>
  </w:footnote>
  <w:footnote w:id="19">
    <w:p w14:paraId="4F7BC1B2" w14:textId="77777777" w:rsidR="00FF5DBE" w:rsidRPr="00312394" w:rsidRDefault="00FF5DBE" w:rsidP="00FF5DBE">
      <w:pPr>
        <w:pStyle w:val="Textonotapie"/>
        <w:ind w:firstLine="709"/>
        <w:jc w:val="both"/>
        <w:rPr>
          <w:rFonts w:ascii="Verdana" w:hAnsi="Verdana" w:cs="Arial"/>
          <w:sz w:val="16"/>
          <w:szCs w:val="16"/>
          <w:lang w:val="es-ES"/>
        </w:rPr>
      </w:pPr>
      <w:r w:rsidRPr="00312394">
        <w:rPr>
          <w:rStyle w:val="Refdenotaalpie"/>
          <w:rFonts w:ascii="Verdana" w:hAnsi="Verdana" w:cs="Arial"/>
          <w:sz w:val="16"/>
          <w:szCs w:val="16"/>
        </w:rPr>
        <w:footnoteRef/>
      </w:r>
      <w:r w:rsidRPr="00312394">
        <w:rPr>
          <w:rFonts w:ascii="Verdana" w:hAnsi="Verdana" w:cs="Arial"/>
          <w:sz w:val="16"/>
          <w:szCs w:val="16"/>
        </w:rPr>
        <w:t xml:space="preserve"> Esta norma establece: </w:t>
      </w:r>
      <w:r w:rsidRPr="00312394">
        <w:rPr>
          <w:rFonts w:ascii="Verdana" w:hAnsi="Verdana" w:cs="Arial"/>
          <w:sz w:val="16"/>
          <w:szCs w:val="16"/>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9C29D0F" w14:textId="77777777" w:rsidR="00FF5DBE" w:rsidRPr="00312394" w:rsidRDefault="00FF5DBE" w:rsidP="00FF5DBE">
      <w:pPr>
        <w:pStyle w:val="Textonotapie"/>
        <w:ind w:firstLine="709"/>
        <w:jc w:val="both"/>
        <w:rPr>
          <w:rFonts w:ascii="Verdana" w:hAnsi="Verdana" w:cs="Arial"/>
          <w:sz w:val="16"/>
          <w:szCs w:val="16"/>
          <w:lang w:val="es-ES"/>
        </w:rPr>
      </w:pPr>
      <w:r w:rsidRPr="00312394">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r>
        <w:rPr>
          <w:rFonts w:ascii="Verdana" w:hAnsi="Verdana" w:cs="Arial"/>
          <w:sz w:val="16"/>
          <w:szCs w:val="16"/>
          <w:lang w:val="es-ES"/>
        </w:rPr>
        <w:t xml:space="preserve"> </w:t>
      </w:r>
      <w:r w:rsidRPr="00312394">
        <w:rPr>
          <w:rFonts w:ascii="Verdana" w:hAnsi="Verdana" w:cs="Arial"/>
          <w:sz w:val="16"/>
          <w:szCs w:val="16"/>
          <w:lang w:val="es-ES"/>
        </w:rPr>
        <w:t>“Ninguna orden del interventor de una obra podrá darse verbalmente. Es obligatorio para el interventor entregar por escrito sus órdenes o sugerencias y ellas deben enmarcarse en los términos del respectivo contrato”.</w:t>
      </w:r>
    </w:p>
  </w:footnote>
  <w:footnote w:id="20">
    <w:p w14:paraId="1A1028A9" w14:textId="77777777" w:rsidR="00FF5DBE" w:rsidRPr="00312394" w:rsidRDefault="00FF5DBE" w:rsidP="00FF5DBE">
      <w:pPr>
        <w:pStyle w:val="Textonotapie"/>
        <w:ind w:firstLine="709"/>
        <w:jc w:val="both"/>
        <w:rPr>
          <w:rFonts w:ascii="Verdana" w:hAnsi="Verdana"/>
          <w:sz w:val="16"/>
          <w:szCs w:val="16"/>
        </w:rPr>
      </w:pPr>
      <w:r w:rsidRPr="00312394">
        <w:rPr>
          <w:rStyle w:val="Refdenotaalpie"/>
          <w:rFonts w:ascii="Verdana" w:hAnsi="Verdana"/>
          <w:sz w:val="16"/>
          <w:szCs w:val="16"/>
        </w:rPr>
        <w:footnoteRef/>
      </w:r>
      <w:r w:rsidRPr="00312394">
        <w:rPr>
          <w:rFonts w:ascii="Verdana" w:hAnsi="Verdana"/>
          <w:sz w:val="16"/>
          <w:szCs w:val="16"/>
        </w:rPr>
        <w:t xml:space="preserve"> Ley 1474 de 2011: “Artículo 90. Inhabilidad por incumplimiento reiterado. Quedará inhabilitado el contratista que incurra en alguna de las siguientes con­ductas: </w:t>
      </w:r>
    </w:p>
    <w:p w14:paraId="78F4978F" w14:textId="77777777" w:rsidR="00FF5DBE" w:rsidRPr="00312394" w:rsidRDefault="00FF5DBE" w:rsidP="00FF5DBE">
      <w:pPr>
        <w:pStyle w:val="Textonotapie"/>
        <w:ind w:firstLine="708"/>
        <w:jc w:val="both"/>
        <w:rPr>
          <w:rFonts w:ascii="Verdana" w:hAnsi="Verdana"/>
          <w:sz w:val="16"/>
          <w:szCs w:val="16"/>
        </w:rPr>
      </w:pPr>
      <w:r w:rsidRPr="00312394">
        <w:rPr>
          <w:rFonts w:ascii="Verdana" w:hAnsi="Verdana"/>
          <w:sz w:val="16"/>
          <w:szCs w:val="16"/>
        </w:rPr>
        <w:t xml:space="preserve">a) Haber sido objeto de imposición de cinco (5) o más multas durante la ejecución de uno o varios contratos, con una o va­rias entidades estatales, durante los últimos tres (3) años; </w:t>
      </w:r>
    </w:p>
    <w:p w14:paraId="5A6743AE" w14:textId="77777777" w:rsidR="00FF5DBE" w:rsidRPr="00312394" w:rsidRDefault="00FF5DBE" w:rsidP="00FF5DBE">
      <w:pPr>
        <w:pStyle w:val="Textonotapie"/>
        <w:ind w:firstLine="708"/>
        <w:jc w:val="both"/>
        <w:rPr>
          <w:rFonts w:ascii="Verdana" w:hAnsi="Verdana"/>
          <w:sz w:val="16"/>
          <w:szCs w:val="16"/>
        </w:rPr>
      </w:pPr>
      <w:r w:rsidRPr="00312394">
        <w:rPr>
          <w:rFonts w:ascii="Verdana" w:hAnsi="Verdana"/>
          <w:sz w:val="16"/>
          <w:szCs w:val="16"/>
        </w:rPr>
        <w:t xml:space="preserve">b) Haber sido objeto de declaratorias de incumplimiento con­tractual en por lo menos dos (2) contratos, con una o varias entidades estatales, durante los últimos tres (3) años; </w:t>
      </w:r>
    </w:p>
    <w:p w14:paraId="469C586E" w14:textId="77777777" w:rsidR="00FF5DBE" w:rsidRPr="00312394" w:rsidRDefault="00FF5DBE" w:rsidP="00FF5DBE">
      <w:pPr>
        <w:pStyle w:val="Textonotapie"/>
        <w:ind w:firstLine="708"/>
        <w:jc w:val="both"/>
        <w:rPr>
          <w:rFonts w:ascii="Verdana" w:hAnsi="Verdana"/>
          <w:sz w:val="16"/>
          <w:szCs w:val="16"/>
        </w:rPr>
      </w:pPr>
      <w:r w:rsidRPr="00312394">
        <w:rPr>
          <w:rFonts w:ascii="Verdana" w:hAnsi="Verdana"/>
          <w:sz w:val="16"/>
          <w:szCs w:val="16"/>
        </w:rPr>
        <w:t xml:space="preserve">c) Haber sido objeto de imposición de dos (2) multas y un (1) incumplimiento durante una misma vigencia fiscal, con una o varias entidades estatales. </w:t>
      </w:r>
    </w:p>
    <w:p w14:paraId="76F95537" w14:textId="77777777" w:rsidR="00FF5DBE" w:rsidRPr="00312394" w:rsidRDefault="00FF5DBE" w:rsidP="00FF5DBE">
      <w:pPr>
        <w:pStyle w:val="Textonotapie"/>
        <w:ind w:firstLine="708"/>
        <w:jc w:val="both"/>
        <w:rPr>
          <w:rFonts w:ascii="Verdana" w:hAnsi="Verdana"/>
          <w:sz w:val="16"/>
          <w:szCs w:val="16"/>
        </w:rPr>
      </w:pPr>
      <w:r w:rsidRPr="00312394">
        <w:rPr>
          <w:rFonts w:ascii="Verdana" w:hAnsi="Verdana"/>
          <w:sz w:val="16"/>
          <w:szCs w:val="16"/>
        </w:rPr>
        <w:t xml:space="preserve">d) Haber sido objeto de incumplimiento contractual o de imposición de dos (2) o más multas, con una o varias entidades, cuando se trate de contratos cuyo objeto esté relacionado con el Programa de Alimentación Escolar. Esta inhabilidad se extenderá por un término de diez (10) años, contados a partir de la publicación del acto administrativo que impone la inscripción de la última multa o incumplimiento en el Registro Único de Proponentes, de acuerdo con la información remitida por las entidades públicas. </w:t>
      </w:r>
      <w:r w:rsidRPr="00312394">
        <w:t>c</w:t>
      </w:r>
      <w:r w:rsidRPr="00312394">
        <w:rPr>
          <w:rFonts w:ascii="Verdana" w:hAnsi="Verdana"/>
          <w:sz w:val="16"/>
          <w:szCs w:val="16"/>
        </w:rPr>
        <w:t xml:space="preserve">La inhabilidad pertinente se hará explícita en el Registro Único de Proponentes cuando a ello haya lugar. </w:t>
      </w:r>
    </w:p>
    <w:p w14:paraId="56471657" w14:textId="77777777" w:rsidR="00FF5DBE" w:rsidRPr="00312394" w:rsidRDefault="00FF5DBE" w:rsidP="00FF5DBE">
      <w:pPr>
        <w:pStyle w:val="Textonotapie"/>
        <w:jc w:val="both"/>
        <w:rPr>
          <w:rFonts w:ascii="Verdana" w:hAnsi="Verdana"/>
          <w:sz w:val="16"/>
          <w:szCs w:val="16"/>
        </w:rPr>
      </w:pPr>
      <w:r w:rsidRPr="00312394">
        <w:rPr>
          <w:rFonts w:ascii="Verdana" w:hAnsi="Verdana"/>
          <w:sz w:val="16"/>
          <w:szCs w:val="16"/>
        </w:rPr>
        <w:tab/>
        <w:t xml:space="preserve">La inhabilidad se extenderá por un término de tres (3) años, con­tados a partir de la publicación del acto administrativo que impone la inscripción de la última multa o incumplimiento en el Registro Único de Proponentes, de acuerdo con la información remitida por las entida­des públicas. La inhabilidad pertinente se hará explícita en el Registro Único de Proponentes cuando a ello haya lugar. </w:t>
      </w:r>
    </w:p>
    <w:p w14:paraId="0030EF16" w14:textId="77777777" w:rsidR="00FF5DBE" w:rsidRPr="00312394" w:rsidRDefault="00FF5DBE" w:rsidP="00FF5DBE">
      <w:pPr>
        <w:pStyle w:val="Textonotapie"/>
        <w:ind w:firstLine="708"/>
        <w:jc w:val="both"/>
        <w:rPr>
          <w:rFonts w:ascii="Verdana" w:hAnsi="Verdana"/>
          <w:sz w:val="16"/>
          <w:szCs w:val="16"/>
        </w:rPr>
      </w:pPr>
      <w:r w:rsidRPr="00312394">
        <w:rPr>
          <w:rFonts w:ascii="Verdana" w:hAnsi="Verdana"/>
          <w:sz w:val="16"/>
          <w:szCs w:val="16"/>
        </w:rPr>
        <w:t>Parágrafo. La inhabilidad a que se refiere el presente artículo se ex­tenderá a los socios de sociedades de personas a las cuales se haya de­clarado esta inhabilidad, así como a las sociedades de personas de las que aquellos formen parte con posterioridad a dicha declaratoria”.</w:t>
      </w:r>
    </w:p>
  </w:footnote>
  <w:footnote w:id="21">
    <w:p w14:paraId="7050CC8C" w14:textId="77777777" w:rsidR="00FF5DBE" w:rsidRPr="0063536A" w:rsidRDefault="00FF5DBE" w:rsidP="00FF5DBE">
      <w:pPr>
        <w:pStyle w:val="Textonotapie"/>
        <w:ind w:firstLine="708"/>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Procuraduría</w:t>
      </w:r>
      <w:r w:rsidRPr="0063536A">
        <w:rPr>
          <w:rFonts w:ascii="Verdana" w:hAnsi="Verdana" w:cs="Arial"/>
          <w:spacing w:val="25"/>
          <w:sz w:val="16"/>
          <w:szCs w:val="16"/>
        </w:rPr>
        <w:t xml:space="preserve"> </w:t>
      </w:r>
      <w:r w:rsidRPr="0063536A">
        <w:rPr>
          <w:rFonts w:ascii="Verdana" w:hAnsi="Verdana" w:cs="Arial"/>
          <w:sz w:val="16"/>
          <w:szCs w:val="16"/>
        </w:rPr>
        <w:t>General</w:t>
      </w:r>
      <w:r w:rsidRPr="0063536A">
        <w:rPr>
          <w:rFonts w:ascii="Verdana" w:hAnsi="Verdana" w:cs="Arial"/>
          <w:spacing w:val="23"/>
          <w:sz w:val="16"/>
          <w:szCs w:val="16"/>
        </w:rPr>
        <w:t xml:space="preserve"> </w:t>
      </w:r>
      <w:r w:rsidRPr="0063536A">
        <w:rPr>
          <w:rFonts w:ascii="Verdana" w:hAnsi="Verdana" w:cs="Arial"/>
          <w:sz w:val="16"/>
          <w:szCs w:val="16"/>
        </w:rPr>
        <w:t>de</w:t>
      </w:r>
      <w:r w:rsidRPr="0063536A">
        <w:rPr>
          <w:rFonts w:ascii="Verdana" w:hAnsi="Verdana" w:cs="Arial"/>
          <w:spacing w:val="23"/>
          <w:sz w:val="16"/>
          <w:szCs w:val="16"/>
        </w:rPr>
        <w:t xml:space="preserve"> </w:t>
      </w:r>
      <w:r w:rsidRPr="0063536A">
        <w:rPr>
          <w:rFonts w:ascii="Verdana" w:hAnsi="Verdana" w:cs="Arial"/>
          <w:sz w:val="16"/>
          <w:szCs w:val="16"/>
        </w:rPr>
        <w:t>la</w:t>
      </w:r>
      <w:r w:rsidRPr="0063536A">
        <w:rPr>
          <w:rFonts w:ascii="Verdana" w:hAnsi="Verdana" w:cs="Arial"/>
          <w:spacing w:val="23"/>
          <w:sz w:val="16"/>
          <w:szCs w:val="16"/>
        </w:rPr>
        <w:t xml:space="preserve"> </w:t>
      </w:r>
      <w:r w:rsidRPr="0063536A">
        <w:rPr>
          <w:rFonts w:ascii="Verdana" w:hAnsi="Verdana" w:cs="Arial"/>
          <w:sz w:val="16"/>
          <w:szCs w:val="16"/>
        </w:rPr>
        <w:t>Nación.</w:t>
      </w:r>
      <w:r w:rsidRPr="0063536A">
        <w:rPr>
          <w:rFonts w:ascii="Verdana" w:hAnsi="Verdana" w:cs="Arial"/>
          <w:spacing w:val="23"/>
          <w:sz w:val="16"/>
          <w:szCs w:val="16"/>
        </w:rPr>
        <w:t xml:space="preserve"> </w:t>
      </w:r>
      <w:r w:rsidRPr="0063536A">
        <w:rPr>
          <w:rFonts w:ascii="Verdana" w:hAnsi="Verdana" w:cs="Arial"/>
          <w:sz w:val="16"/>
          <w:szCs w:val="16"/>
        </w:rPr>
        <w:t>Concepto</w:t>
      </w:r>
      <w:r w:rsidRPr="0063536A">
        <w:rPr>
          <w:rFonts w:ascii="Verdana" w:hAnsi="Verdana" w:cs="Arial"/>
          <w:spacing w:val="22"/>
          <w:sz w:val="16"/>
          <w:szCs w:val="16"/>
        </w:rPr>
        <w:t xml:space="preserve"> </w:t>
      </w:r>
      <w:r w:rsidRPr="0063536A">
        <w:rPr>
          <w:rFonts w:ascii="Verdana" w:hAnsi="Verdana" w:cs="Arial"/>
          <w:sz w:val="16"/>
          <w:szCs w:val="16"/>
        </w:rPr>
        <w:t>del</w:t>
      </w:r>
      <w:r w:rsidRPr="0063536A">
        <w:rPr>
          <w:rFonts w:ascii="Verdana" w:hAnsi="Verdana" w:cs="Arial"/>
          <w:spacing w:val="23"/>
          <w:sz w:val="16"/>
          <w:szCs w:val="16"/>
        </w:rPr>
        <w:t xml:space="preserve"> </w:t>
      </w:r>
      <w:r w:rsidRPr="0063536A">
        <w:rPr>
          <w:rFonts w:ascii="Verdana" w:hAnsi="Verdana" w:cs="Arial"/>
          <w:sz w:val="16"/>
          <w:szCs w:val="16"/>
        </w:rPr>
        <w:t>15</w:t>
      </w:r>
      <w:r w:rsidRPr="0063536A">
        <w:rPr>
          <w:rFonts w:ascii="Verdana" w:hAnsi="Verdana" w:cs="Arial"/>
          <w:spacing w:val="23"/>
          <w:sz w:val="16"/>
          <w:szCs w:val="16"/>
        </w:rPr>
        <w:t xml:space="preserve"> </w:t>
      </w:r>
      <w:r w:rsidRPr="0063536A">
        <w:rPr>
          <w:rFonts w:ascii="Verdana" w:hAnsi="Verdana" w:cs="Arial"/>
          <w:sz w:val="16"/>
          <w:szCs w:val="16"/>
        </w:rPr>
        <w:t>de</w:t>
      </w:r>
      <w:r w:rsidRPr="0063536A">
        <w:rPr>
          <w:rFonts w:ascii="Verdana" w:hAnsi="Verdana" w:cs="Arial"/>
          <w:spacing w:val="22"/>
          <w:sz w:val="16"/>
          <w:szCs w:val="16"/>
        </w:rPr>
        <w:t xml:space="preserve"> </w:t>
      </w:r>
      <w:r w:rsidRPr="0063536A">
        <w:rPr>
          <w:rFonts w:ascii="Verdana" w:hAnsi="Verdana" w:cs="Arial"/>
          <w:sz w:val="16"/>
          <w:szCs w:val="16"/>
        </w:rPr>
        <w:t>octubre</w:t>
      </w:r>
      <w:r w:rsidRPr="0063536A">
        <w:rPr>
          <w:rFonts w:ascii="Verdana" w:hAnsi="Verdana" w:cs="Arial"/>
          <w:spacing w:val="23"/>
          <w:sz w:val="16"/>
          <w:szCs w:val="16"/>
        </w:rPr>
        <w:t xml:space="preserve"> </w:t>
      </w:r>
      <w:r w:rsidRPr="0063536A">
        <w:rPr>
          <w:rFonts w:ascii="Verdana" w:hAnsi="Verdana" w:cs="Arial"/>
          <w:sz w:val="16"/>
          <w:szCs w:val="16"/>
        </w:rPr>
        <w:t>de</w:t>
      </w:r>
      <w:r w:rsidRPr="0063536A">
        <w:rPr>
          <w:rFonts w:ascii="Verdana" w:hAnsi="Verdana" w:cs="Arial"/>
          <w:spacing w:val="23"/>
          <w:sz w:val="16"/>
          <w:szCs w:val="16"/>
        </w:rPr>
        <w:t xml:space="preserve"> </w:t>
      </w:r>
      <w:r w:rsidRPr="0063536A">
        <w:rPr>
          <w:rFonts w:ascii="Verdana" w:hAnsi="Verdana" w:cs="Arial"/>
          <w:sz w:val="16"/>
          <w:szCs w:val="16"/>
        </w:rPr>
        <w:t>2014.</w:t>
      </w:r>
      <w:r w:rsidRPr="0063536A">
        <w:rPr>
          <w:rFonts w:ascii="Verdana" w:hAnsi="Verdana" w:cs="Arial"/>
          <w:spacing w:val="22"/>
          <w:sz w:val="16"/>
          <w:szCs w:val="16"/>
        </w:rPr>
        <w:t xml:space="preserve"> </w:t>
      </w:r>
      <w:r w:rsidRPr="0063536A">
        <w:rPr>
          <w:rFonts w:ascii="Verdana" w:hAnsi="Verdana" w:cs="Arial"/>
          <w:sz w:val="16"/>
          <w:szCs w:val="16"/>
        </w:rPr>
        <w:t>Procuraduría</w:t>
      </w:r>
      <w:r w:rsidRPr="0063536A">
        <w:rPr>
          <w:rFonts w:ascii="Verdana" w:hAnsi="Verdana" w:cs="Arial"/>
          <w:spacing w:val="25"/>
          <w:sz w:val="16"/>
          <w:szCs w:val="16"/>
        </w:rPr>
        <w:t xml:space="preserve"> </w:t>
      </w:r>
      <w:r w:rsidRPr="0063536A">
        <w:rPr>
          <w:rFonts w:ascii="Verdana" w:hAnsi="Verdana" w:cs="Arial"/>
          <w:sz w:val="16"/>
          <w:szCs w:val="16"/>
        </w:rPr>
        <w:t>Delegada</w:t>
      </w:r>
      <w:r w:rsidRPr="0063536A">
        <w:rPr>
          <w:rFonts w:ascii="Verdana" w:hAnsi="Verdana" w:cs="Arial"/>
          <w:spacing w:val="23"/>
          <w:sz w:val="16"/>
          <w:szCs w:val="16"/>
        </w:rPr>
        <w:t xml:space="preserve"> </w:t>
      </w:r>
      <w:r w:rsidRPr="0063536A">
        <w:rPr>
          <w:rFonts w:ascii="Verdana" w:hAnsi="Verdana" w:cs="Arial"/>
          <w:sz w:val="16"/>
          <w:szCs w:val="16"/>
        </w:rPr>
        <w:t>para</w:t>
      </w:r>
      <w:r w:rsidRPr="0063536A">
        <w:rPr>
          <w:rFonts w:ascii="Verdana" w:hAnsi="Verdana" w:cs="Arial"/>
          <w:spacing w:val="1"/>
          <w:sz w:val="16"/>
          <w:szCs w:val="16"/>
        </w:rPr>
        <w:t xml:space="preserve"> </w:t>
      </w:r>
      <w:r w:rsidRPr="0063536A">
        <w:rPr>
          <w:rFonts w:ascii="Verdana" w:hAnsi="Verdana" w:cs="Arial"/>
          <w:sz w:val="16"/>
          <w:szCs w:val="16"/>
        </w:rPr>
        <w:t>Asuntos</w:t>
      </w:r>
      <w:r w:rsidRPr="0063536A">
        <w:rPr>
          <w:rFonts w:ascii="Verdana" w:hAnsi="Verdana" w:cs="Arial"/>
          <w:spacing w:val="-2"/>
          <w:sz w:val="16"/>
          <w:szCs w:val="16"/>
        </w:rPr>
        <w:t xml:space="preserve"> </w:t>
      </w:r>
      <w:r w:rsidRPr="0063536A">
        <w:rPr>
          <w:rFonts w:ascii="Verdana" w:hAnsi="Verdana" w:cs="Arial"/>
          <w:sz w:val="16"/>
          <w:szCs w:val="16"/>
        </w:rPr>
        <w:t>Disciplinarios.</w:t>
      </w:r>
      <w:r w:rsidRPr="0063536A">
        <w:rPr>
          <w:rFonts w:ascii="Verdana" w:hAnsi="Verdana" w:cs="Arial"/>
          <w:spacing w:val="-1"/>
          <w:sz w:val="16"/>
          <w:szCs w:val="16"/>
        </w:rPr>
        <w:t xml:space="preserve"> </w:t>
      </w:r>
      <w:r w:rsidRPr="0063536A">
        <w:rPr>
          <w:rFonts w:ascii="Verdana" w:hAnsi="Verdana" w:cs="Arial"/>
          <w:sz w:val="16"/>
          <w:szCs w:val="16"/>
        </w:rPr>
        <w:t>Radicado</w:t>
      </w:r>
      <w:r w:rsidRPr="0063536A">
        <w:rPr>
          <w:rFonts w:ascii="Verdana" w:hAnsi="Verdana" w:cs="Arial"/>
          <w:spacing w:val="-2"/>
          <w:sz w:val="16"/>
          <w:szCs w:val="16"/>
        </w:rPr>
        <w:t xml:space="preserve"> </w:t>
      </w:r>
      <w:r w:rsidRPr="0063536A">
        <w:rPr>
          <w:rFonts w:ascii="Verdana" w:hAnsi="Verdana" w:cs="Arial"/>
          <w:sz w:val="16"/>
          <w:szCs w:val="16"/>
        </w:rPr>
        <w:t>PAD</w:t>
      </w:r>
      <w:r w:rsidRPr="0063536A">
        <w:rPr>
          <w:rFonts w:ascii="Verdana" w:hAnsi="Verdana" w:cs="Arial"/>
          <w:spacing w:val="-1"/>
          <w:sz w:val="16"/>
          <w:szCs w:val="16"/>
        </w:rPr>
        <w:t xml:space="preserve"> </w:t>
      </w:r>
      <w:r w:rsidRPr="0063536A">
        <w:rPr>
          <w:rFonts w:ascii="Verdana" w:hAnsi="Verdana" w:cs="Arial"/>
          <w:sz w:val="16"/>
          <w:szCs w:val="16"/>
        </w:rPr>
        <w:t>C-114-2014.</w:t>
      </w:r>
    </w:p>
    <w:p w14:paraId="66C4017B" w14:textId="77777777" w:rsidR="00FF5DBE" w:rsidRPr="0063536A" w:rsidRDefault="00FF5DBE" w:rsidP="00FF5DBE">
      <w:pPr>
        <w:pStyle w:val="Textonotapie"/>
        <w:ind w:firstLine="708"/>
        <w:contextualSpacing/>
        <w:jc w:val="both"/>
        <w:rPr>
          <w:rFonts w:ascii="Verdana" w:hAnsi="Verdana" w:cs="Arial"/>
          <w:sz w:val="16"/>
          <w:szCs w:val="16"/>
        </w:rPr>
      </w:pPr>
    </w:p>
  </w:footnote>
  <w:footnote w:id="22">
    <w:p w14:paraId="0879C632" w14:textId="77777777" w:rsidR="00FF5DBE" w:rsidRPr="0063536A" w:rsidRDefault="00FF5DBE" w:rsidP="00FF5DBE">
      <w:pPr>
        <w:pStyle w:val="Textonotapie"/>
        <w:ind w:firstLine="708"/>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Contraloría</w:t>
      </w:r>
      <w:r w:rsidRPr="0063536A">
        <w:rPr>
          <w:rFonts w:ascii="Verdana" w:hAnsi="Verdana" w:cs="Arial"/>
          <w:spacing w:val="-6"/>
          <w:sz w:val="16"/>
          <w:szCs w:val="16"/>
        </w:rPr>
        <w:t xml:space="preserve"> </w:t>
      </w:r>
      <w:r w:rsidRPr="0063536A">
        <w:rPr>
          <w:rFonts w:ascii="Verdana" w:hAnsi="Verdana" w:cs="Arial"/>
          <w:sz w:val="16"/>
          <w:szCs w:val="16"/>
        </w:rPr>
        <w:t>General</w:t>
      </w:r>
      <w:r w:rsidRPr="0063536A">
        <w:rPr>
          <w:rFonts w:ascii="Verdana" w:hAnsi="Verdana" w:cs="Arial"/>
          <w:spacing w:val="-6"/>
          <w:sz w:val="16"/>
          <w:szCs w:val="16"/>
        </w:rPr>
        <w:t xml:space="preserve"> </w:t>
      </w:r>
      <w:r w:rsidRPr="0063536A">
        <w:rPr>
          <w:rFonts w:ascii="Verdana" w:hAnsi="Verdana" w:cs="Arial"/>
          <w:sz w:val="16"/>
          <w:szCs w:val="16"/>
        </w:rPr>
        <w:t>de</w:t>
      </w:r>
      <w:r w:rsidRPr="0063536A">
        <w:rPr>
          <w:rFonts w:ascii="Verdana" w:hAnsi="Verdana" w:cs="Arial"/>
          <w:spacing w:val="-6"/>
          <w:sz w:val="16"/>
          <w:szCs w:val="16"/>
        </w:rPr>
        <w:t xml:space="preserve"> </w:t>
      </w:r>
      <w:r w:rsidRPr="0063536A">
        <w:rPr>
          <w:rFonts w:ascii="Verdana" w:hAnsi="Verdana" w:cs="Arial"/>
          <w:sz w:val="16"/>
          <w:szCs w:val="16"/>
        </w:rPr>
        <w:t>la</w:t>
      </w:r>
      <w:r w:rsidRPr="0063536A">
        <w:rPr>
          <w:rFonts w:ascii="Verdana" w:hAnsi="Verdana" w:cs="Arial"/>
          <w:spacing w:val="-5"/>
          <w:sz w:val="16"/>
          <w:szCs w:val="16"/>
        </w:rPr>
        <w:t xml:space="preserve"> </w:t>
      </w:r>
      <w:r w:rsidRPr="0063536A">
        <w:rPr>
          <w:rFonts w:ascii="Verdana" w:hAnsi="Verdana" w:cs="Arial"/>
          <w:sz w:val="16"/>
          <w:szCs w:val="16"/>
        </w:rPr>
        <w:t>República.</w:t>
      </w:r>
      <w:r w:rsidRPr="0063536A">
        <w:rPr>
          <w:rFonts w:ascii="Verdana" w:hAnsi="Verdana" w:cs="Arial"/>
          <w:spacing w:val="-6"/>
          <w:sz w:val="16"/>
          <w:szCs w:val="16"/>
        </w:rPr>
        <w:t xml:space="preserve"> </w:t>
      </w:r>
      <w:r w:rsidRPr="0063536A">
        <w:rPr>
          <w:rFonts w:ascii="Verdana" w:hAnsi="Verdana" w:cs="Arial"/>
          <w:sz w:val="16"/>
          <w:szCs w:val="16"/>
        </w:rPr>
        <w:t>Oficina</w:t>
      </w:r>
      <w:r w:rsidRPr="0063536A">
        <w:rPr>
          <w:rFonts w:ascii="Verdana" w:hAnsi="Verdana" w:cs="Arial"/>
          <w:spacing w:val="-6"/>
          <w:sz w:val="16"/>
          <w:szCs w:val="16"/>
        </w:rPr>
        <w:t xml:space="preserve"> </w:t>
      </w:r>
      <w:r w:rsidRPr="0063536A">
        <w:rPr>
          <w:rFonts w:ascii="Verdana" w:hAnsi="Verdana" w:cs="Arial"/>
          <w:sz w:val="16"/>
          <w:szCs w:val="16"/>
        </w:rPr>
        <w:t>Jurídica.</w:t>
      </w:r>
      <w:r w:rsidRPr="0063536A">
        <w:rPr>
          <w:rFonts w:ascii="Verdana" w:hAnsi="Verdana" w:cs="Arial"/>
          <w:spacing w:val="-6"/>
          <w:sz w:val="16"/>
          <w:szCs w:val="16"/>
        </w:rPr>
        <w:t xml:space="preserve"> </w:t>
      </w:r>
      <w:r w:rsidRPr="0063536A">
        <w:rPr>
          <w:rFonts w:ascii="Verdana" w:hAnsi="Verdana" w:cs="Arial"/>
          <w:sz w:val="16"/>
          <w:szCs w:val="16"/>
        </w:rPr>
        <w:t>Concepto</w:t>
      </w:r>
      <w:r w:rsidRPr="0063536A">
        <w:rPr>
          <w:rFonts w:ascii="Verdana" w:hAnsi="Verdana" w:cs="Arial"/>
          <w:spacing w:val="-6"/>
          <w:sz w:val="16"/>
          <w:szCs w:val="16"/>
        </w:rPr>
        <w:t xml:space="preserve"> </w:t>
      </w:r>
      <w:r w:rsidRPr="0063536A">
        <w:rPr>
          <w:rFonts w:ascii="Verdana" w:hAnsi="Verdana" w:cs="Arial"/>
          <w:sz w:val="16"/>
          <w:szCs w:val="16"/>
        </w:rPr>
        <w:t>80112-OJ-008</w:t>
      </w:r>
      <w:r w:rsidRPr="0063536A">
        <w:rPr>
          <w:rFonts w:ascii="Verdana" w:hAnsi="Verdana" w:cs="Arial"/>
          <w:spacing w:val="-6"/>
          <w:sz w:val="16"/>
          <w:szCs w:val="16"/>
        </w:rPr>
        <w:t xml:space="preserve"> </w:t>
      </w:r>
      <w:r w:rsidRPr="0063536A">
        <w:rPr>
          <w:rFonts w:ascii="Verdana" w:hAnsi="Verdana" w:cs="Arial"/>
          <w:sz w:val="16"/>
          <w:szCs w:val="16"/>
        </w:rPr>
        <w:t>2017.</w:t>
      </w:r>
    </w:p>
    <w:p w14:paraId="42B51EF7" w14:textId="77777777" w:rsidR="00FF5DBE" w:rsidRPr="0063536A" w:rsidRDefault="00FF5DBE" w:rsidP="00FF5DBE">
      <w:pPr>
        <w:pStyle w:val="Textonotapie"/>
        <w:ind w:firstLine="708"/>
        <w:contextualSpacing/>
        <w:jc w:val="both"/>
        <w:rPr>
          <w:rFonts w:ascii="Verdana" w:hAnsi="Verdana" w:cs="Arial"/>
          <w:sz w:val="16"/>
          <w:szCs w:val="16"/>
        </w:rPr>
      </w:pPr>
    </w:p>
  </w:footnote>
  <w:footnote w:id="23">
    <w:p w14:paraId="3971C96A" w14:textId="77777777" w:rsidR="00FF5DBE" w:rsidRPr="0063536A" w:rsidRDefault="00FF5DBE" w:rsidP="00FF5DBE">
      <w:pPr>
        <w:pStyle w:val="Textonotapie"/>
        <w:ind w:firstLine="708"/>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ARBOLEDA</w:t>
      </w:r>
      <w:r w:rsidRPr="0063536A">
        <w:rPr>
          <w:rFonts w:ascii="Verdana" w:hAnsi="Verdana" w:cs="Arial"/>
          <w:spacing w:val="-9"/>
          <w:sz w:val="16"/>
          <w:szCs w:val="16"/>
        </w:rPr>
        <w:t xml:space="preserve"> </w:t>
      </w:r>
      <w:r w:rsidRPr="0063536A">
        <w:rPr>
          <w:rFonts w:ascii="Verdana" w:hAnsi="Verdana" w:cs="Arial"/>
          <w:sz w:val="16"/>
          <w:szCs w:val="16"/>
        </w:rPr>
        <w:t>PERDOMO,</w:t>
      </w:r>
      <w:r w:rsidRPr="0063536A">
        <w:rPr>
          <w:rFonts w:ascii="Verdana" w:hAnsi="Verdana" w:cs="Arial"/>
          <w:spacing w:val="-9"/>
          <w:sz w:val="16"/>
          <w:szCs w:val="16"/>
        </w:rPr>
        <w:t xml:space="preserve"> </w:t>
      </w:r>
      <w:r w:rsidRPr="0063536A">
        <w:rPr>
          <w:rFonts w:ascii="Verdana" w:hAnsi="Verdana" w:cs="Arial"/>
          <w:sz w:val="16"/>
          <w:szCs w:val="16"/>
        </w:rPr>
        <w:t>Enrique</w:t>
      </w:r>
      <w:r w:rsidRPr="0063536A">
        <w:rPr>
          <w:rFonts w:ascii="Verdana" w:hAnsi="Verdana" w:cs="Arial"/>
          <w:spacing w:val="-8"/>
          <w:sz w:val="16"/>
          <w:szCs w:val="16"/>
        </w:rPr>
        <w:t xml:space="preserve"> </w:t>
      </w:r>
      <w:r w:rsidRPr="0063536A">
        <w:rPr>
          <w:rFonts w:ascii="Verdana" w:hAnsi="Verdana" w:cs="Arial"/>
          <w:sz w:val="16"/>
          <w:szCs w:val="16"/>
        </w:rPr>
        <w:t>José.</w:t>
      </w:r>
      <w:r w:rsidRPr="0063536A">
        <w:rPr>
          <w:rFonts w:ascii="Verdana" w:hAnsi="Verdana" w:cs="Arial"/>
          <w:spacing w:val="-10"/>
          <w:sz w:val="16"/>
          <w:szCs w:val="16"/>
        </w:rPr>
        <w:t xml:space="preserve"> </w:t>
      </w:r>
      <w:r w:rsidRPr="0063536A">
        <w:rPr>
          <w:rFonts w:ascii="Verdana" w:hAnsi="Verdana" w:cs="Arial"/>
          <w:sz w:val="16"/>
          <w:szCs w:val="16"/>
        </w:rPr>
        <w:t>Comentarios</w:t>
      </w:r>
      <w:r w:rsidRPr="0063536A">
        <w:rPr>
          <w:rFonts w:ascii="Verdana" w:hAnsi="Verdana" w:cs="Arial"/>
          <w:spacing w:val="-9"/>
          <w:sz w:val="16"/>
          <w:szCs w:val="16"/>
        </w:rPr>
        <w:t xml:space="preserve"> </w:t>
      </w:r>
      <w:r w:rsidRPr="0063536A">
        <w:rPr>
          <w:rFonts w:ascii="Verdana" w:hAnsi="Verdana" w:cs="Arial"/>
          <w:sz w:val="16"/>
          <w:szCs w:val="16"/>
        </w:rPr>
        <w:t>al</w:t>
      </w:r>
      <w:r w:rsidRPr="0063536A">
        <w:rPr>
          <w:rFonts w:ascii="Verdana" w:hAnsi="Verdana" w:cs="Arial"/>
          <w:spacing w:val="-9"/>
          <w:sz w:val="16"/>
          <w:szCs w:val="16"/>
        </w:rPr>
        <w:t xml:space="preserve"> </w:t>
      </w:r>
      <w:r w:rsidRPr="0063536A">
        <w:rPr>
          <w:rFonts w:ascii="Verdana" w:hAnsi="Verdana" w:cs="Arial"/>
          <w:sz w:val="16"/>
          <w:szCs w:val="16"/>
        </w:rPr>
        <w:t>Nuevo</w:t>
      </w:r>
      <w:r w:rsidRPr="0063536A">
        <w:rPr>
          <w:rFonts w:ascii="Verdana" w:hAnsi="Verdana" w:cs="Arial"/>
          <w:spacing w:val="-10"/>
          <w:sz w:val="16"/>
          <w:szCs w:val="16"/>
        </w:rPr>
        <w:t xml:space="preserve"> </w:t>
      </w:r>
      <w:r w:rsidRPr="0063536A">
        <w:rPr>
          <w:rFonts w:ascii="Verdana" w:hAnsi="Verdana" w:cs="Arial"/>
          <w:sz w:val="16"/>
          <w:szCs w:val="16"/>
        </w:rPr>
        <w:t>Código</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10"/>
          <w:sz w:val="16"/>
          <w:szCs w:val="16"/>
        </w:rPr>
        <w:t xml:space="preserve"> </w:t>
      </w:r>
      <w:r w:rsidRPr="0063536A">
        <w:rPr>
          <w:rFonts w:ascii="Verdana" w:hAnsi="Verdana" w:cs="Arial"/>
          <w:sz w:val="16"/>
          <w:szCs w:val="16"/>
        </w:rPr>
        <w:t>Procedimiento</w:t>
      </w:r>
      <w:r w:rsidRPr="0063536A">
        <w:rPr>
          <w:rFonts w:ascii="Verdana" w:hAnsi="Verdana" w:cs="Arial"/>
          <w:spacing w:val="-8"/>
          <w:sz w:val="16"/>
          <w:szCs w:val="16"/>
        </w:rPr>
        <w:t xml:space="preserve"> </w:t>
      </w:r>
      <w:r w:rsidRPr="0063536A">
        <w:rPr>
          <w:rFonts w:ascii="Verdana" w:hAnsi="Verdana" w:cs="Arial"/>
          <w:sz w:val="16"/>
          <w:szCs w:val="16"/>
        </w:rPr>
        <w:t>Administrativo</w:t>
      </w:r>
      <w:r w:rsidRPr="0063536A">
        <w:rPr>
          <w:rFonts w:ascii="Verdana" w:hAnsi="Verdana" w:cs="Arial"/>
          <w:spacing w:val="-7"/>
          <w:sz w:val="16"/>
          <w:szCs w:val="16"/>
        </w:rPr>
        <w:t xml:space="preserve"> </w:t>
      </w:r>
      <w:r w:rsidRPr="0063536A">
        <w:rPr>
          <w:rFonts w:ascii="Verdana" w:hAnsi="Verdana" w:cs="Arial"/>
          <w:sz w:val="16"/>
          <w:szCs w:val="16"/>
        </w:rPr>
        <w:t>y</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z w:val="16"/>
          <w:szCs w:val="16"/>
        </w:rPr>
        <w:t>lo</w:t>
      </w:r>
      <w:r w:rsidRPr="0063536A">
        <w:rPr>
          <w:rFonts w:ascii="Verdana" w:hAnsi="Verdana" w:cs="Arial"/>
          <w:spacing w:val="-2"/>
          <w:sz w:val="16"/>
          <w:szCs w:val="16"/>
        </w:rPr>
        <w:t xml:space="preserve"> </w:t>
      </w:r>
      <w:r w:rsidRPr="0063536A">
        <w:rPr>
          <w:rFonts w:ascii="Verdana" w:hAnsi="Verdana" w:cs="Arial"/>
          <w:sz w:val="16"/>
          <w:szCs w:val="16"/>
        </w:rPr>
        <w:t>Contencioso</w:t>
      </w:r>
      <w:r w:rsidRPr="0063536A">
        <w:rPr>
          <w:rFonts w:ascii="Verdana" w:hAnsi="Verdana" w:cs="Arial"/>
          <w:spacing w:val="-2"/>
          <w:sz w:val="16"/>
          <w:szCs w:val="16"/>
        </w:rPr>
        <w:t xml:space="preserve"> </w:t>
      </w:r>
      <w:r w:rsidRPr="0063536A">
        <w:rPr>
          <w:rFonts w:ascii="Verdana" w:hAnsi="Verdana" w:cs="Arial"/>
          <w:sz w:val="16"/>
          <w:szCs w:val="16"/>
        </w:rPr>
        <w:t>Administrativo</w:t>
      </w:r>
      <w:r w:rsidRPr="0063536A">
        <w:rPr>
          <w:rFonts w:ascii="Verdana" w:hAnsi="Verdana" w:cs="Arial"/>
          <w:spacing w:val="-1"/>
          <w:sz w:val="16"/>
          <w:szCs w:val="16"/>
        </w:rPr>
        <w:t xml:space="preserve"> </w:t>
      </w:r>
      <w:r w:rsidRPr="0063536A">
        <w:rPr>
          <w:rFonts w:ascii="Verdana" w:hAnsi="Verdana" w:cs="Arial"/>
          <w:sz w:val="16"/>
          <w:szCs w:val="16"/>
        </w:rPr>
        <w:t>(2ª</w:t>
      </w:r>
      <w:r w:rsidRPr="0063536A">
        <w:rPr>
          <w:rFonts w:ascii="Verdana" w:hAnsi="Verdana" w:cs="Arial"/>
          <w:spacing w:val="-2"/>
          <w:sz w:val="16"/>
          <w:szCs w:val="16"/>
        </w:rPr>
        <w:t xml:space="preserve"> </w:t>
      </w:r>
      <w:r w:rsidRPr="0063536A">
        <w:rPr>
          <w:rFonts w:ascii="Verdana" w:hAnsi="Verdana" w:cs="Arial"/>
          <w:sz w:val="16"/>
          <w:szCs w:val="16"/>
        </w:rPr>
        <w:t>ed.).</w:t>
      </w:r>
      <w:r w:rsidRPr="0063536A">
        <w:rPr>
          <w:rFonts w:ascii="Verdana" w:hAnsi="Verdana" w:cs="Arial"/>
          <w:spacing w:val="-2"/>
          <w:sz w:val="16"/>
          <w:szCs w:val="16"/>
        </w:rPr>
        <w:t xml:space="preserve"> </w:t>
      </w:r>
      <w:r w:rsidRPr="0063536A">
        <w:rPr>
          <w:rFonts w:ascii="Verdana" w:hAnsi="Verdana" w:cs="Arial"/>
          <w:sz w:val="16"/>
          <w:szCs w:val="16"/>
        </w:rPr>
        <w:t>Editorial</w:t>
      </w:r>
      <w:r w:rsidRPr="0063536A">
        <w:rPr>
          <w:rFonts w:ascii="Verdana" w:hAnsi="Verdana" w:cs="Arial"/>
          <w:spacing w:val="-1"/>
          <w:sz w:val="16"/>
          <w:szCs w:val="16"/>
        </w:rPr>
        <w:t xml:space="preserve"> </w:t>
      </w:r>
      <w:r w:rsidRPr="0063536A">
        <w:rPr>
          <w:rFonts w:ascii="Verdana" w:hAnsi="Verdana" w:cs="Arial"/>
          <w:sz w:val="16"/>
          <w:szCs w:val="16"/>
        </w:rPr>
        <w:t>Legis.</w:t>
      </w:r>
      <w:r w:rsidRPr="0063536A">
        <w:rPr>
          <w:rFonts w:ascii="Verdana" w:hAnsi="Verdana" w:cs="Arial"/>
          <w:spacing w:val="-2"/>
          <w:sz w:val="16"/>
          <w:szCs w:val="16"/>
        </w:rPr>
        <w:t xml:space="preserve"> </w:t>
      </w:r>
      <w:r w:rsidRPr="0063536A">
        <w:rPr>
          <w:rFonts w:ascii="Verdana" w:hAnsi="Verdana" w:cs="Arial"/>
          <w:sz w:val="16"/>
          <w:szCs w:val="16"/>
        </w:rPr>
        <w:t>Bogotá.</w:t>
      </w:r>
      <w:r w:rsidRPr="0063536A">
        <w:rPr>
          <w:rFonts w:ascii="Verdana" w:hAnsi="Verdana" w:cs="Arial"/>
          <w:spacing w:val="-2"/>
          <w:sz w:val="16"/>
          <w:szCs w:val="16"/>
        </w:rPr>
        <w:t xml:space="preserve"> </w:t>
      </w:r>
      <w:r w:rsidRPr="0063536A">
        <w:rPr>
          <w:rFonts w:ascii="Verdana" w:hAnsi="Verdana" w:cs="Arial"/>
          <w:sz w:val="16"/>
          <w:szCs w:val="16"/>
        </w:rPr>
        <w:t>2012.</w:t>
      </w:r>
      <w:r w:rsidRPr="0063536A">
        <w:rPr>
          <w:rFonts w:ascii="Verdana" w:hAnsi="Verdana" w:cs="Arial"/>
          <w:spacing w:val="-1"/>
          <w:sz w:val="16"/>
          <w:szCs w:val="16"/>
        </w:rPr>
        <w:t xml:space="preserve"> </w:t>
      </w:r>
      <w:r w:rsidRPr="0063536A">
        <w:rPr>
          <w:rFonts w:ascii="Verdana" w:hAnsi="Verdana" w:cs="Arial"/>
          <w:sz w:val="16"/>
          <w:szCs w:val="16"/>
        </w:rPr>
        <w:t>p.</w:t>
      </w:r>
      <w:r w:rsidRPr="0063536A">
        <w:rPr>
          <w:rFonts w:ascii="Verdana" w:hAnsi="Verdana" w:cs="Arial"/>
          <w:spacing w:val="-2"/>
          <w:sz w:val="16"/>
          <w:szCs w:val="16"/>
        </w:rPr>
        <w:t xml:space="preserve"> </w:t>
      </w:r>
      <w:r w:rsidRPr="0063536A">
        <w:rPr>
          <w:rFonts w:ascii="Verdana" w:hAnsi="Verdana" w:cs="Arial"/>
          <w:sz w:val="16"/>
          <w:szCs w:val="16"/>
        </w:rPr>
        <w:t>59</w:t>
      </w:r>
    </w:p>
    <w:p w14:paraId="5D48BF9F" w14:textId="77777777" w:rsidR="00FF5DBE" w:rsidRPr="0063536A" w:rsidRDefault="00FF5DBE" w:rsidP="00FF5DBE">
      <w:pPr>
        <w:pStyle w:val="Textonotapie"/>
        <w:ind w:firstLine="708"/>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35pt;height:11.3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1AE0494A"/>
    <w:lvl w:ilvl="0" w:tplc="08FE3E8E">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24B48"/>
    <w:rsid w:val="002421BB"/>
    <w:rsid w:val="0025796E"/>
    <w:rsid w:val="00266C77"/>
    <w:rsid w:val="002707A2"/>
    <w:rsid w:val="002951A0"/>
    <w:rsid w:val="002962BC"/>
    <w:rsid w:val="002A093D"/>
    <w:rsid w:val="002A0DD0"/>
    <w:rsid w:val="002A49AC"/>
    <w:rsid w:val="002A64FD"/>
    <w:rsid w:val="002C7A84"/>
    <w:rsid w:val="002E4FD9"/>
    <w:rsid w:val="00322A85"/>
    <w:rsid w:val="00322F46"/>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C6699"/>
    <w:rsid w:val="004E795C"/>
    <w:rsid w:val="004F21C4"/>
    <w:rsid w:val="004F685F"/>
    <w:rsid w:val="00531085"/>
    <w:rsid w:val="005566E8"/>
    <w:rsid w:val="00574867"/>
    <w:rsid w:val="00591460"/>
    <w:rsid w:val="005C3777"/>
    <w:rsid w:val="005C5CDC"/>
    <w:rsid w:val="005C66D7"/>
    <w:rsid w:val="005D476C"/>
    <w:rsid w:val="006219F8"/>
    <w:rsid w:val="006302F7"/>
    <w:rsid w:val="00643414"/>
    <w:rsid w:val="00665D70"/>
    <w:rsid w:val="006900D9"/>
    <w:rsid w:val="006A760C"/>
    <w:rsid w:val="006D331B"/>
    <w:rsid w:val="006E71D5"/>
    <w:rsid w:val="00706C16"/>
    <w:rsid w:val="00756841"/>
    <w:rsid w:val="007649AB"/>
    <w:rsid w:val="00771D0C"/>
    <w:rsid w:val="007833AC"/>
    <w:rsid w:val="007B251E"/>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48D8"/>
    <w:rsid w:val="00965334"/>
    <w:rsid w:val="0097093E"/>
    <w:rsid w:val="009741DD"/>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618F8"/>
    <w:rsid w:val="00B72CD3"/>
    <w:rsid w:val="00B72FFF"/>
    <w:rsid w:val="00BC3D36"/>
    <w:rsid w:val="00BD7F72"/>
    <w:rsid w:val="00C04FB3"/>
    <w:rsid w:val="00C330EB"/>
    <w:rsid w:val="00C754BE"/>
    <w:rsid w:val="00C76B1C"/>
    <w:rsid w:val="00C80F79"/>
    <w:rsid w:val="00CB6357"/>
    <w:rsid w:val="00CC1B26"/>
    <w:rsid w:val="00CF1698"/>
    <w:rsid w:val="00D423A2"/>
    <w:rsid w:val="00D520D8"/>
    <w:rsid w:val="00D63AC2"/>
    <w:rsid w:val="00D7383B"/>
    <w:rsid w:val="00DA231B"/>
    <w:rsid w:val="00DC39FC"/>
    <w:rsid w:val="00DF5254"/>
    <w:rsid w:val="00E07E2B"/>
    <w:rsid w:val="00E16408"/>
    <w:rsid w:val="00E1740C"/>
    <w:rsid w:val="00E20894"/>
    <w:rsid w:val="00E245AB"/>
    <w:rsid w:val="00E2764C"/>
    <w:rsid w:val="00E27F2E"/>
    <w:rsid w:val="00E50AFE"/>
    <w:rsid w:val="00E75C92"/>
    <w:rsid w:val="00E771DC"/>
    <w:rsid w:val="00E8772A"/>
    <w:rsid w:val="00E90F6B"/>
    <w:rsid w:val="00E92C27"/>
    <w:rsid w:val="00EA0E3D"/>
    <w:rsid w:val="00EC38A7"/>
    <w:rsid w:val="00EC4086"/>
    <w:rsid w:val="00EE1AA8"/>
    <w:rsid w:val="00F31EDC"/>
    <w:rsid w:val="00F462B3"/>
    <w:rsid w:val="00F5664F"/>
    <w:rsid w:val="00F666C4"/>
    <w:rsid w:val="00F76AFC"/>
    <w:rsid w:val="00FA47C0"/>
    <w:rsid w:val="00FB5DD1"/>
    <w:rsid w:val="00FC2B5D"/>
    <w:rsid w:val="00FC4403"/>
    <w:rsid w:val="00FF1449"/>
    <w:rsid w:val="00FF5D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F5DB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5DBE"/>
    <w:rPr>
      <w:rFonts w:ascii="Geomanist Light" w:hAnsi="Geomanist Light"/>
      <w:lang w:val="es-ES"/>
    </w:rPr>
  </w:style>
  <w:style w:type="character" w:customStyle="1" w:styleId="NormalWebCar">
    <w:name w:val="Normal (Web) Car"/>
    <w:link w:val="NormalWeb"/>
    <w:uiPriority w:val="99"/>
    <w:locked/>
    <w:rsid w:val="00FF5DB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C9F428A-E94E-4C68-B4F1-623920481C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25</Pages>
  <Words>7994</Words>
  <Characters>43967</Characters>
  <Application>Microsoft Office Word</Application>
  <DocSecurity>0</DocSecurity>
  <Lines>366</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2025-09-19T01:40:00Z</dcterms:created>
  <dcterms:modified xsi:type="dcterms:W3CDTF">2025-09-22T16:11:00Z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