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7A2B4" w14:textId="77777777" w:rsidR="001F2580" w:rsidRDefault="001F2580" w:rsidP="001F2580">
      <w:pPr>
        <w:jc w:val="both"/>
        <w:rPr>
          <w:rFonts w:ascii="Verdana" w:hAnsi="Verdana" w:cs="Arial"/>
          <w:b/>
          <w:bCs/>
          <w:lang w:val="es-MX"/>
        </w:rPr>
      </w:pPr>
      <w:bookmarkStart w:id="0" w:name="_Hlk143780582"/>
      <w:bookmarkStart w:id="1" w:name="_Hlk202875225"/>
      <w:bookmarkStart w:id="2" w:name="_Hlk203032812"/>
      <w:bookmarkStart w:id="3" w:name="_Hlk204367265"/>
      <w:bookmarkStart w:id="4" w:name="_Hlk206116713"/>
      <w:bookmarkStart w:id="5" w:name="_Hlk208772221"/>
      <w:r w:rsidRPr="001F2580">
        <w:rPr>
          <w:rFonts w:ascii="Verdana" w:hAnsi="Verdana" w:cs="Arial"/>
          <w:b/>
          <w:bCs/>
          <w:lang w:val="es-MX"/>
        </w:rPr>
        <w:t xml:space="preserve">INHABILIDADES ─ Definición ─ Finalidad ─ Limitación capacidad contractual </w:t>
      </w:r>
    </w:p>
    <w:p w14:paraId="4FAB9717" w14:textId="77777777" w:rsidR="001F2580" w:rsidRDefault="001F2580" w:rsidP="001F2580">
      <w:pPr>
        <w:spacing w:after="0" w:line="240" w:lineRule="auto"/>
        <w:jc w:val="both"/>
        <w:rPr>
          <w:rFonts w:ascii="Verdana" w:eastAsia="Calibri" w:hAnsi="Verdana" w:cs="Arial"/>
          <w:sz w:val="20"/>
          <w:szCs w:val="20"/>
          <w:lang w:val="es-MX"/>
        </w:rPr>
      </w:pPr>
      <w:r w:rsidRPr="001F2580">
        <w:rPr>
          <w:rFonts w:ascii="Verdana" w:eastAsia="Calibri" w:hAnsi="Verdana" w:cs="Arial"/>
          <w:sz w:val="20"/>
          <w:szCs w:val="20"/>
          <w:lang w:val="es-MX"/>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40BE97DD" w14:textId="77777777" w:rsidR="001F2580" w:rsidRDefault="001F2580" w:rsidP="001F2580">
      <w:pPr>
        <w:spacing w:after="0" w:line="240" w:lineRule="auto"/>
        <w:jc w:val="both"/>
        <w:rPr>
          <w:rFonts w:ascii="Verdana" w:eastAsia="Calibri" w:hAnsi="Verdana" w:cs="Arial"/>
          <w:sz w:val="20"/>
          <w:szCs w:val="20"/>
          <w:lang w:val="es-MX"/>
        </w:rPr>
      </w:pPr>
    </w:p>
    <w:p w14:paraId="087C280F" w14:textId="13B4C99D" w:rsidR="001F2580" w:rsidRPr="001F2580" w:rsidRDefault="001F2580" w:rsidP="00D15D5E">
      <w:pPr>
        <w:spacing w:after="0" w:line="240" w:lineRule="auto"/>
        <w:jc w:val="both"/>
        <w:rPr>
          <w:rFonts w:ascii="Verdana" w:eastAsia="Calibri" w:hAnsi="Verdana" w:cs="Arial"/>
          <w:sz w:val="20"/>
          <w:szCs w:val="20"/>
          <w:lang w:val="es-MX"/>
        </w:rPr>
      </w:pPr>
      <w:r w:rsidRPr="001F2580">
        <w:rPr>
          <w:rFonts w:ascii="Verdana" w:eastAsia="Calibri" w:hAnsi="Verdana" w:cs="Arial"/>
          <w:sz w:val="20"/>
          <w:szCs w:val="20"/>
          <w:lang w:val="es-MX"/>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w:t>
      </w:r>
      <w:r w:rsidR="00D15D5E">
        <w:rPr>
          <w:rFonts w:ascii="Verdana" w:eastAsia="Calibri" w:hAnsi="Verdana" w:cs="Arial"/>
          <w:sz w:val="20"/>
          <w:szCs w:val="20"/>
          <w:lang w:val="es-MX"/>
        </w:rPr>
        <w:t xml:space="preserve"> </w:t>
      </w:r>
      <w:r w:rsidR="00D15D5E" w:rsidRPr="00D15D5E">
        <w:rPr>
          <w:rFonts w:ascii="Verdana" w:eastAsia="Calibri" w:hAnsi="Verdana" w:cs="Arial"/>
          <w:sz w:val="20"/>
          <w:szCs w:val="20"/>
          <w:lang w:val="es-MX"/>
        </w:rPr>
        <w:t>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00D15D5E">
        <w:rPr>
          <w:rFonts w:ascii="Verdana" w:eastAsia="Calibri" w:hAnsi="Verdana" w:cs="Arial"/>
          <w:sz w:val="20"/>
          <w:szCs w:val="20"/>
          <w:lang w:val="es-MX"/>
        </w:rPr>
        <w:t>.</w:t>
      </w:r>
    </w:p>
    <w:p w14:paraId="37068DBF" w14:textId="77777777" w:rsidR="00D15D5E" w:rsidRDefault="00D15D5E" w:rsidP="00D15D5E">
      <w:pPr>
        <w:spacing w:after="0" w:line="240" w:lineRule="auto"/>
        <w:jc w:val="both"/>
        <w:rPr>
          <w:rFonts w:ascii="Verdana" w:hAnsi="Verdana" w:cs="Arial"/>
          <w:lang w:val="es-MX"/>
        </w:rPr>
      </w:pPr>
    </w:p>
    <w:p w14:paraId="70788EC5" w14:textId="1D8CA0EE" w:rsidR="001F2580" w:rsidRPr="001F2580" w:rsidRDefault="001F2580" w:rsidP="00D15D5E">
      <w:pPr>
        <w:spacing w:after="0" w:line="240" w:lineRule="auto"/>
        <w:jc w:val="both"/>
        <w:rPr>
          <w:rFonts w:ascii="Verdana" w:hAnsi="Verdana" w:cs="Arial"/>
          <w:b/>
          <w:bCs/>
          <w:lang w:val="es-ES_tradnl"/>
        </w:rPr>
      </w:pPr>
      <w:r w:rsidRPr="001F2580">
        <w:rPr>
          <w:rFonts w:ascii="Verdana" w:hAnsi="Verdana" w:cs="Arial"/>
          <w:b/>
          <w:bCs/>
          <w:lang w:val="es-ES_tradnl"/>
        </w:rPr>
        <w:t>INHABILIDADES – Taxatividad – Principio de legalidad – Interpretación restrictiva</w:t>
      </w:r>
      <w:r w:rsidRPr="001F2580" w:rsidDel="00A75E55">
        <w:rPr>
          <w:rFonts w:ascii="Verdana" w:hAnsi="Verdana" w:cs="Arial"/>
          <w:b/>
          <w:bCs/>
          <w:lang w:val="es-ES_tradnl"/>
        </w:rPr>
        <w:t xml:space="preserve"> </w:t>
      </w:r>
      <w:r w:rsidRPr="001F2580">
        <w:rPr>
          <w:rFonts w:ascii="Verdana" w:hAnsi="Verdana" w:cs="Arial"/>
          <w:b/>
          <w:bCs/>
          <w:lang w:val="es-ES_tradnl"/>
        </w:rPr>
        <w:t xml:space="preserve"> </w:t>
      </w:r>
    </w:p>
    <w:p w14:paraId="40674C12" w14:textId="77777777" w:rsidR="00D15D5E" w:rsidRDefault="00D15D5E" w:rsidP="00D15D5E">
      <w:pPr>
        <w:spacing w:after="0" w:line="240" w:lineRule="auto"/>
        <w:jc w:val="both"/>
        <w:rPr>
          <w:rFonts w:ascii="Verdana" w:hAnsi="Verdana" w:cs="Arial"/>
          <w:b/>
          <w:bCs/>
          <w:lang w:val="es-ES_tradnl"/>
        </w:rPr>
      </w:pPr>
    </w:p>
    <w:p w14:paraId="1357D204" w14:textId="77777777" w:rsidR="001930EE" w:rsidRDefault="00D15D5E" w:rsidP="001930EE">
      <w:pPr>
        <w:spacing w:after="0" w:line="240" w:lineRule="auto"/>
        <w:jc w:val="both"/>
        <w:rPr>
          <w:rFonts w:ascii="Verdana" w:hAnsi="Verdana" w:cs="Arial"/>
          <w:b/>
          <w:bCs/>
          <w:sz w:val="20"/>
          <w:szCs w:val="20"/>
          <w:lang w:val="es-MX"/>
        </w:rPr>
      </w:pPr>
      <w:r w:rsidRPr="00D15D5E">
        <w:rPr>
          <w:rFonts w:ascii="Verdana" w:hAnsi="Verdana" w:cs="Arial"/>
          <w:sz w:val="20"/>
          <w:szCs w:val="20"/>
          <w:lang w:val="es-ES_tradnl"/>
        </w:rPr>
        <w:t>[…]</w:t>
      </w:r>
      <w:r w:rsidRPr="00D15D5E">
        <w:rPr>
          <w:rFonts w:ascii="Verdana" w:hAnsi="Verdana" w:cs="Arial"/>
          <w:b/>
          <w:bCs/>
          <w:sz w:val="20"/>
          <w:szCs w:val="20"/>
          <w:lang w:val="es-ES_tradnl"/>
        </w:rPr>
        <w:t xml:space="preserve"> </w:t>
      </w:r>
      <w:r w:rsidRPr="00D15D5E">
        <w:rPr>
          <w:rFonts w:ascii="Verdana" w:eastAsia="Calibri" w:hAnsi="Verdana" w:cs="Arial"/>
          <w:sz w:val="20"/>
          <w:szCs w:val="20"/>
          <w:lang w:val="es-MX"/>
        </w:rPr>
        <w:t>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w:t>
      </w:r>
      <w:r w:rsidR="001930EE">
        <w:rPr>
          <w:rFonts w:ascii="Verdana" w:eastAsia="Calibri" w:hAnsi="Verdana" w:cs="Arial"/>
          <w:sz w:val="20"/>
          <w:szCs w:val="20"/>
          <w:lang w:val="es-MX"/>
        </w:rPr>
        <w:t>.</w:t>
      </w:r>
    </w:p>
    <w:p w14:paraId="67A0474C" w14:textId="77777777" w:rsidR="001930EE" w:rsidRDefault="001930EE" w:rsidP="001930EE">
      <w:pPr>
        <w:spacing w:after="0" w:line="240" w:lineRule="auto"/>
        <w:jc w:val="both"/>
        <w:rPr>
          <w:rFonts w:ascii="Verdana" w:hAnsi="Verdana" w:cs="Arial"/>
          <w:sz w:val="20"/>
          <w:szCs w:val="20"/>
          <w:lang w:val="es-ES_tradnl"/>
        </w:rPr>
      </w:pPr>
    </w:p>
    <w:p w14:paraId="3BA80D41" w14:textId="680374AF" w:rsidR="001930EE" w:rsidRPr="001930EE" w:rsidRDefault="001930EE" w:rsidP="001930EE">
      <w:pPr>
        <w:spacing w:after="0" w:line="240" w:lineRule="auto"/>
        <w:jc w:val="both"/>
        <w:rPr>
          <w:rFonts w:ascii="Verdana" w:hAnsi="Verdana" w:cs="Arial"/>
          <w:b/>
          <w:bCs/>
          <w:sz w:val="20"/>
          <w:szCs w:val="20"/>
          <w:lang w:val="es-ES_tradnl"/>
        </w:rPr>
      </w:pPr>
      <w:r w:rsidRPr="001930EE">
        <w:rPr>
          <w:rFonts w:ascii="Verdana" w:hAnsi="Verdana" w:cs="Arial"/>
          <w:sz w:val="20"/>
          <w:szCs w:val="20"/>
          <w:lang w:val="es-ES_tradnl"/>
        </w:rPr>
        <w:t xml:space="preserve">[…] </w:t>
      </w:r>
      <w:r w:rsidRPr="001930EE">
        <w:rPr>
          <w:rFonts w:ascii="Verdana" w:eastAsia="Calibri" w:hAnsi="Verdana" w:cs="Arial"/>
          <w:sz w:val="20"/>
          <w:szCs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1930EE">
        <w:rPr>
          <w:rFonts w:ascii="Verdana" w:eastAsia="Calibri" w:hAnsi="Verdana" w:cs="Arial"/>
          <w:i/>
          <w:iCs/>
          <w:sz w:val="20"/>
          <w:szCs w:val="20"/>
          <w:lang w:val="es-ES_tradnl"/>
        </w:rPr>
        <w:t xml:space="preserve">restrictiva, </w:t>
      </w:r>
      <w:r w:rsidRPr="001930EE">
        <w:rPr>
          <w:rFonts w:ascii="Verdana" w:eastAsia="Calibri" w:hAnsi="Verdana" w:cs="Arial"/>
          <w:sz w:val="20"/>
          <w:szCs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20188CC7" w14:textId="39113FD2" w:rsidR="001930EE" w:rsidRDefault="001930EE" w:rsidP="001930EE">
      <w:pPr>
        <w:spacing w:after="0" w:line="240" w:lineRule="auto"/>
        <w:jc w:val="both"/>
        <w:rPr>
          <w:rFonts w:ascii="Verdana" w:hAnsi="Verdana" w:cs="Arial"/>
          <w:b/>
          <w:bCs/>
          <w:lang w:val="es-ES_tradnl"/>
        </w:rPr>
      </w:pPr>
    </w:p>
    <w:p w14:paraId="652DA119" w14:textId="57F0ADB5" w:rsidR="001F2580" w:rsidRPr="001F2580" w:rsidRDefault="001F2580" w:rsidP="001F2580">
      <w:pPr>
        <w:spacing w:after="0" w:line="240" w:lineRule="auto"/>
        <w:jc w:val="both"/>
        <w:rPr>
          <w:rFonts w:ascii="Verdana" w:hAnsi="Verdana" w:cs="Arial"/>
          <w:b/>
          <w:bCs/>
          <w:lang w:val="es-ES_tradnl"/>
        </w:rPr>
      </w:pPr>
      <w:r w:rsidRPr="001F2580">
        <w:rPr>
          <w:rFonts w:ascii="Verdana" w:hAnsi="Verdana" w:cs="Arial"/>
          <w:b/>
          <w:bCs/>
          <w:lang w:val="es-ES_tradnl"/>
        </w:rPr>
        <w:t xml:space="preserve">INHABILIDADES E INCOMPATIBILIDADES – Ley 80 de 1993 </w:t>
      </w:r>
    </w:p>
    <w:p w14:paraId="4D378A67" w14:textId="77777777" w:rsidR="001930EE" w:rsidRDefault="001930EE" w:rsidP="001930EE">
      <w:pPr>
        <w:spacing w:after="0" w:line="240" w:lineRule="auto"/>
        <w:jc w:val="both"/>
        <w:rPr>
          <w:rFonts w:ascii="Verdana" w:hAnsi="Verdana" w:cs="Arial"/>
          <w:b/>
          <w:bCs/>
          <w:lang w:val="es-ES_tradnl"/>
        </w:rPr>
      </w:pPr>
    </w:p>
    <w:p w14:paraId="5CF8F30D" w14:textId="282276E2" w:rsidR="001930EE" w:rsidRPr="001930EE" w:rsidRDefault="001930EE" w:rsidP="001930EE">
      <w:pPr>
        <w:spacing w:after="0" w:line="240" w:lineRule="auto"/>
        <w:jc w:val="both"/>
        <w:rPr>
          <w:rFonts w:ascii="Verdana" w:eastAsia="Calibri" w:hAnsi="Verdana" w:cs="Arial"/>
          <w:sz w:val="20"/>
          <w:szCs w:val="20"/>
          <w:lang w:val="es-ES"/>
        </w:rPr>
      </w:pPr>
      <w:r w:rsidRPr="001930EE">
        <w:rPr>
          <w:rFonts w:ascii="Verdana" w:eastAsia="Calibri" w:hAnsi="Verdana" w:cs="Arial"/>
          <w:sz w:val="20"/>
          <w:szCs w:val="20"/>
          <w:lang w:val="es-ES"/>
        </w:rPr>
        <w:t xml:space="preserve">Ahora bien, en relación con la inhabilidad para contratar por parentesco, la Ley 80 de 1993 en su artículo 8, establece en el literal b) del numeral 2°, que no podrán participar en procedimientos de selección ni celebrar contratos estatales con la entidad respectiva “Las personas que tengan vínculos de parentesco, hasta el segundo grado de </w:t>
      </w:r>
      <w:r w:rsidRPr="001930EE">
        <w:rPr>
          <w:rFonts w:ascii="Verdana" w:eastAsia="Calibri" w:hAnsi="Verdana" w:cs="Arial"/>
          <w:sz w:val="20"/>
          <w:szCs w:val="20"/>
          <w:lang w:val="es-ES"/>
        </w:rPr>
        <w:lastRenderedPageBreak/>
        <w:t xml:space="preserve">consanguinidad, segundo de afinidad o primero civil con los servidores públicos de los niveles directivo, asesor, ejecutivo o con los miembros de la junta o consejo directivo, o con las personas que ejerzan el control interno o fiscal de la entidad contratante”. </w:t>
      </w:r>
    </w:p>
    <w:p w14:paraId="0FC3F3F3" w14:textId="77777777" w:rsidR="001930EE" w:rsidRDefault="001930EE" w:rsidP="001930EE">
      <w:pPr>
        <w:spacing w:after="0" w:line="240" w:lineRule="auto"/>
        <w:jc w:val="both"/>
        <w:rPr>
          <w:rFonts w:ascii="Verdana" w:hAnsi="Verdana" w:cs="Arial"/>
          <w:b/>
          <w:bCs/>
          <w:lang w:val="es-ES"/>
        </w:rPr>
      </w:pPr>
    </w:p>
    <w:p w14:paraId="4F4BD915" w14:textId="133FC061" w:rsidR="001F2580" w:rsidRPr="001F2580" w:rsidRDefault="001F2580" w:rsidP="001930EE">
      <w:pPr>
        <w:spacing w:after="0" w:line="240" w:lineRule="auto"/>
        <w:jc w:val="both"/>
        <w:rPr>
          <w:rFonts w:ascii="Verdana" w:hAnsi="Verdana" w:cs="Arial"/>
          <w:b/>
          <w:bCs/>
          <w:lang w:val="es-ES_tradnl"/>
        </w:rPr>
      </w:pPr>
      <w:r w:rsidRPr="001F2580">
        <w:rPr>
          <w:rFonts w:ascii="Verdana" w:hAnsi="Verdana" w:cs="Arial"/>
          <w:b/>
          <w:bCs/>
          <w:lang w:val="es-ES_tradnl"/>
        </w:rPr>
        <w:t xml:space="preserve">PROHIBICIONES / Ley 617 de 2000 – Norma especial </w:t>
      </w:r>
    </w:p>
    <w:p w14:paraId="21A3AE5A" w14:textId="77777777" w:rsidR="001930EE" w:rsidRDefault="001930EE" w:rsidP="001930EE">
      <w:pPr>
        <w:widowControl w:val="0"/>
        <w:autoSpaceDE w:val="0"/>
        <w:autoSpaceDN w:val="0"/>
        <w:spacing w:after="0" w:line="240" w:lineRule="auto"/>
        <w:jc w:val="both"/>
        <w:rPr>
          <w:rFonts w:ascii="Verdana" w:eastAsia="Calibri" w:hAnsi="Verdana" w:cs="Arial"/>
          <w:lang w:val="es-ES_tradnl"/>
        </w:rPr>
      </w:pPr>
    </w:p>
    <w:p w14:paraId="4062C121" w14:textId="4B6C0E78" w:rsidR="001930EE" w:rsidRDefault="001930EE" w:rsidP="001930EE">
      <w:pPr>
        <w:widowControl w:val="0"/>
        <w:autoSpaceDE w:val="0"/>
        <w:autoSpaceDN w:val="0"/>
        <w:spacing w:after="0" w:line="240" w:lineRule="auto"/>
        <w:jc w:val="both"/>
        <w:rPr>
          <w:rFonts w:ascii="Verdana" w:hAnsi="Verdana" w:cs="Open Sans"/>
          <w:sz w:val="20"/>
          <w:szCs w:val="20"/>
        </w:rPr>
      </w:pPr>
      <w:r>
        <w:rPr>
          <w:rFonts w:ascii="Verdana" w:eastAsia="Calibri" w:hAnsi="Verdana" w:cs="Arial"/>
          <w:sz w:val="20"/>
          <w:szCs w:val="20"/>
          <w:lang w:val="es-ES_tradnl"/>
        </w:rPr>
        <w:t xml:space="preserve">[…] </w:t>
      </w:r>
      <w:r w:rsidRPr="001930EE">
        <w:rPr>
          <w:rFonts w:ascii="Verdana" w:eastAsia="Calibri" w:hAnsi="Verdana" w:cs="Arial"/>
          <w:sz w:val="20"/>
          <w:szCs w:val="20"/>
          <w:lang w:val="es-ES_tradnl"/>
        </w:rPr>
        <w:t xml:space="preserve">el inciso tercero del artículo 49 de la Ley 617 de 2000 –modificado por las Leyes 821 de 2003, 1148 de 2007 y 1296 de 2009– introduce una </w:t>
      </w:r>
      <w:r w:rsidRPr="001930EE">
        <w:rPr>
          <w:rFonts w:ascii="Verdana" w:eastAsia="Calibri" w:hAnsi="Verdana" w:cs="Arial"/>
          <w:i/>
          <w:iCs/>
          <w:sz w:val="20"/>
          <w:szCs w:val="20"/>
          <w:lang w:val="es-ES_tradnl"/>
        </w:rPr>
        <w:t>regla especial</w:t>
      </w:r>
      <w:r w:rsidRPr="001930EE">
        <w:rPr>
          <w:rFonts w:ascii="Verdana" w:eastAsia="Calibri" w:hAnsi="Verdana" w:cs="Arial"/>
          <w:sz w:val="20"/>
          <w:szCs w:val="20"/>
          <w:lang w:val="es-ES_tradnl"/>
        </w:rPr>
        <w:t xml:space="preserve"> que restringe la contratación de las gobernaciones, asambleas, alcaldías y concejos:</w:t>
      </w:r>
      <w:r>
        <w:rPr>
          <w:rFonts w:ascii="Verdana" w:eastAsia="Calibri" w:hAnsi="Verdana" w:cs="Arial"/>
          <w:sz w:val="20"/>
          <w:szCs w:val="20"/>
          <w:lang w:val="es-ES_tradnl"/>
        </w:rPr>
        <w:t xml:space="preserve"> </w:t>
      </w:r>
      <w:r w:rsidRPr="001930EE">
        <w:rPr>
          <w:rFonts w:ascii="Verdana" w:eastAsia="Calibri" w:hAnsi="Verdana" w:cs="Arial"/>
          <w:sz w:val="20"/>
          <w:szCs w:val="20"/>
          <w:lang w:val="es-ES_tradnl"/>
        </w:rPr>
        <w:t xml:space="preserve">“(…) </w:t>
      </w:r>
      <w:r w:rsidRPr="001930EE">
        <w:rPr>
          <w:rFonts w:ascii="Verdana" w:hAnsi="Verdana" w:cs="Open Sans"/>
          <w:sz w:val="20"/>
          <w:szCs w:val="20"/>
        </w:rPr>
        <w:t>Los cónyuges o </w:t>
      </w:r>
      <w:r w:rsidRPr="001930EE">
        <w:rPr>
          <w:rFonts w:ascii="Verdana" w:hAnsi="Verdana" w:cs="Open Sans"/>
          <w:sz w:val="20"/>
          <w:szCs w:val="20"/>
          <w:u w:val="single"/>
        </w:rPr>
        <w:t>compañeros permanentes</w:t>
      </w:r>
      <w:r w:rsidRPr="001930EE">
        <w:rPr>
          <w:rFonts w:ascii="Verdana" w:hAnsi="Verdana" w:cs="Open Sans"/>
          <w:sz w:val="20"/>
          <w:szCs w:val="20"/>
        </w:rPr>
        <w:t> de los gobernadores, diputados, alcaldes municipales y distritales, concejales municipales y distritales y sus parientes </w:t>
      </w:r>
      <w:r w:rsidRPr="001930EE">
        <w:rPr>
          <w:rStyle w:val="iaj"/>
          <w:rFonts w:ascii="Verdana" w:hAnsi="Verdana" w:cs="Open Sans"/>
          <w:i/>
          <w:iCs/>
          <w:sz w:val="20"/>
          <w:szCs w:val="20"/>
        </w:rPr>
        <w:t>dentro del cuarto grado de consanguinidad,</w:t>
      </w:r>
      <w:r w:rsidRPr="001930EE">
        <w:rPr>
          <w:rFonts w:ascii="Verdana" w:hAnsi="Verdana" w:cs="Open Sans"/>
          <w:sz w:val="20"/>
          <w:szCs w:val="20"/>
        </w:rPr>
        <w:t> segundo de afinidad, o primero civil </w:t>
      </w:r>
      <w:r w:rsidRPr="001930EE">
        <w:rPr>
          <w:rStyle w:val="iaj"/>
          <w:rFonts w:ascii="Verdana" w:hAnsi="Verdana" w:cs="Open Sans"/>
          <w:i/>
          <w:iCs/>
          <w:sz w:val="20"/>
          <w:szCs w:val="20"/>
        </w:rPr>
        <w:t>no podrán ser contratistas</w:t>
      </w:r>
      <w:r w:rsidRPr="001930EE">
        <w:rPr>
          <w:rFonts w:ascii="Verdana" w:hAnsi="Verdana" w:cs="Open Sans"/>
          <w:sz w:val="20"/>
          <w:szCs w:val="20"/>
        </w:rPr>
        <w:t> del respectivo departamento, distrito o municipio, o de sus entidades descentralizadas, ni directa, ni indirectamente (…)”.</w:t>
      </w:r>
      <w:r>
        <w:rPr>
          <w:rFonts w:ascii="Verdana" w:hAnsi="Verdana" w:cs="Open Sans"/>
          <w:sz w:val="20"/>
          <w:szCs w:val="20"/>
        </w:rPr>
        <w:t xml:space="preserve"> </w:t>
      </w:r>
    </w:p>
    <w:p w14:paraId="7B7A57B4" w14:textId="77777777" w:rsidR="001930EE" w:rsidRDefault="001930EE" w:rsidP="001930EE">
      <w:pPr>
        <w:widowControl w:val="0"/>
        <w:autoSpaceDE w:val="0"/>
        <w:autoSpaceDN w:val="0"/>
        <w:spacing w:after="0" w:line="240" w:lineRule="auto"/>
        <w:jc w:val="both"/>
        <w:rPr>
          <w:rFonts w:ascii="Verdana" w:hAnsi="Verdana" w:cs="Open Sans"/>
          <w:sz w:val="20"/>
          <w:szCs w:val="20"/>
        </w:rPr>
      </w:pPr>
    </w:p>
    <w:p w14:paraId="6DD28E67" w14:textId="62D20F49" w:rsidR="001930EE" w:rsidRPr="001930EE" w:rsidRDefault="001930EE" w:rsidP="001930EE">
      <w:pPr>
        <w:spacing w:after="0" w:line="240" w:lineRule="auto"/>
        <w:jc w:val="both"/>
        <w:rPr>
          <w:rFonts w:ascii="Verdana" w:eastAsia="Calibri" w:hAnsi="Verdana" w:cs="Arial"/>
          <w:color w:val="000000" w:themeColor="text1"/>
          <w:sz w:val="20"/>
          <w:szCs w:val="20"/>
          <w:lang w:val="es-ES"/>
        </w:rPr>
      </w:pPr>
      <w:r w:rsidRPr="001930EE">
        <w:rPr>
          <w:rFonts w:ascii="Verdana" w:eastAsia="Calibri" w:hAnsi="Verdana" w:cs="Arial"/>
          <w:sz w:val="20"/>
          <w:szCs w:val="20"/>
          <w:lang w:val="es-ES"/>
        </w:rPr>
        <w:t xml:space="preserve">[…] Así, esta regla especial contenida en el artículo 49 de la Ley 617 de 2000 dispone en primer lugar una prohibición que </w:t>
      </w:r>
      <w:r w:rsidRPr="001930EE">
        <w:rPr>
          <w:rFonts w:ascii="Verdana" w:eastAsia="Calibri" w:hAnsi="Verdana" w:cs="Arial"/>
          <w:color w:val="000000" w:themeColor="text1"/>
          <w:sz w:val="20"/>
          <w:szCs w:val="20"/>
          <w:lang w:val="es-ES"/>
        </w:rPr>
        <w:t xml:space="preserve">aplica a los cónyuges o compañeros permanentes de los gobernadores, diputados, alcaldes o concejales, así como a sus parientes dentro del cuarto grado de consanguinidad, segundo de afinidad o primero civil, quienes no podrán celebrar contratos directa ni indirectamente con el departamento, distrito o municipio, o con sus entidades descentralizadas, tratándose de los municipios de primera, segunda y tercera categoría. </w:t>
      </w:r>
    </w:p>
    <w:p w14:paraId="5E7C2A63" w14:textId="77777777" w:rsidR="001930EE" w:rsidRPr="001930EE" w:rsidRDefault="001930EE" w:rsidP="001930EE">
      <w:pPr>
        <w:spacing w:after="0" w:line="240" w:lineRule="auto"/>
        <w:jc w:val="both"/>
        <w:rPr>
          <w:rFonts w:ascii="Verdana" w:hAnsi="Verdana" w:cs="Arial"/>
          <w:b/>
          <w:bCs/>
          <w:sz w:val="20"/>
          <w:szCs w:val="20"/>
          <w:lang w:val="es-ES"/>
        </w:rPr>
      </w:pPr>
    </w:p>
    <w:p w14:paraId="71058F76" w14:textId="3D12186E" w:rsidR="001F2580" w:rsidRDefault="001F2580" w:rsidP="0025041B">
      <w:pPr>
        <w:spacing w:after="0" w:line="240" w:lineRule="auto"/>
        <w:jc w:val="both"/>
        <w:rPr>
          <w:rFonts w:ascii="Verdana" w:hAnsi="Verdana" w:cs="Arial"/>
          <w:b/>
          <w:bCs/>
          <w:lang w:val="es-ES_tradnl"/>
        </w:rPr>
      </w:pPr>
      <w:r w:rsidRPr="001F2580">
        <w:rPr>
          <w:rFonts w:ascii="Verdana" w:hAnsi="Verdana" w:cs="Arial"/>
          <w:b/>
          <w:bCs/>
          <w:lang w:val="es-ES_tradnl"/>
        </w:rPr>
        <w:t xml:space="preserve">LEY 617 DE 2000 – Contratación directa e indirecta – inciso tercero del artículo 49 – Alcance </w:t>
      </w:r>
    </w:p>
    <w:p w14:paraId="6AE8D7EA" w14:textId="77777777" w:rsidR="0025041B" w:rsidRDefault="0025041B" w:rsidP="0025041B">
      <w:pPr>
        <w:spacing w:after="0" w:line="240" w:lineRule="auto"/>
        <w:jc w:val="both"/>
        <w:rPr>
          <w:rFonts w:ascii="Verdana" w:eastAsia="Calibri" w:hAnsi="Verdana" w:cs="Arial"/>
          <w:color w:val="000000" w:themeColor="text1"/>
          <w:sz w:val="20"/>
          <w:szCs w:val="20"/>
          <w:lang w:val="es-ES"/>
        </w:rPr>
      </w:pPr>
    </w:p>
    <w:p w14:paraId="6620908A" w14:textId="58E1D658" w:rsidR="001930EE" w:rsidRDefault="001930EE" w:rsidP="0025041B">
      <w:pPr>
        <w:spacing w:after="0" w:line="240" w:lineRule="auto"/>
        <w:jc w:val="both"/>
        <w:rPr>
          <w:rFonts w:ascii="Verdana" w:eastAsia="Calibri" w:hAnsi="Verdana" w:cs="Arial"/>
          <w:color w:val="000000"/>
          <w:sz w:val="20"/>
          <w:szCs w:val="20"/>
          <w:lang w:val="es-ES_tradnl"/>
        </w:rPr>
      </w:pPr>
      <w:r w:rsidRPr="001930EE">
        <w:rPr>
          <w:rFonts w:ascii="Verdana" w:eastAsia="Calibri" w:hAnsi="Verdana" w:cs="Arial"/>
          <w:color w:val="000000" w:themeColor="text1"/>
          <w:sz w:val="20"/>
          <w:szCs w:val="20"/>
          <w:lang w:val="es-ES"/>
        </w:rPr>
        <w:t>Por su parte, el parágrafo tercero del mencionado artículo 49 determina que, la prohibición relativa a la celebración de contratos se aplica únicamente para los concejales de los municipios de cuarta, quinta y sexta categoría, cuyos parientes sean los cónyuges o compañeros permanentes y parientes hasta el segundo grado de consanguinidad, primero de afinidad o único civil. En ese sentido, para los parientes que se encuentran dentro del tercer grado de consanguinidad de un concejal de un municipio de cuarta, quinta o sexta categoría, no operaría la prohibición</w:t>
      </w:r>
      <w:r w:rsidRPr="001930EE">
        <w:rPr>
          <w:rFonts w:ascii="Verdana" w:eastAsia="Calibri" w:hAnsi="Verdana" w:cs="Arial"/>
          <w:color w:val="000000"/>
          <w:sz w:val="20"/>
          <w:szCs w:val="20"/>
          <w:lang w:val="es-ES_tradnl"/>
        </w:rPr>
        <w:t>.</w:t>
      </w:r>
    </w:p>
    <w:p w14:paraId="5DB12FF8" w14:textId="77777777" w:rsidR="0025041B" w:rsidRDefault="0025041B" w:rsidP="0025041B">
      <w:pPr>
        <w:spacing w:after="0" w:line="240" w:lineRule="auto"/>
        <w:jc w:val="both"/>
        <w:rPr>
          <w:rFonts w:ascii="Verdana" w:eastAsia="Calibri" w:hAnsi="Verdana" w:cs="Arial"/>
          <w:color w:val="000000"/>
          <w:sz w:val="20"/>
          <w:szCs w:val="20"/>
          <w:lang w:val="es-ES_tradnl"/>
        </w:rPr>
      </w:pPr>
    </w:p>
    <w:p w14:paraId="684B5092" w14:textId="122EE24B" w:rsidR="001930EE" w:rsidRPr="001930EE" w:rsidRDefault="001930EE" w:rsidP="0025041B">
      <w:pPr>
        <w:spacing w:after="0" w:line="240" w:lineRule="auto"/>
        <w:jc w:val="both"/>
        <w:rPr>
          <w:rFonts w:ascii="Verdana" w:eastAsia="Calibri" w:hAnsi="Verdana" w:cs="Arial"/>
          <w:sz w:val="20"/>
          <w:szCs w:val="20"/>
          <w:lang w:val="es-ES_tradnl"/>
        </w:rPr>
      </w:pPr>
      <w:r w:rsidRPr="001930EE">
        <w:rPr>
          <w:rFonts w:ascii="Verdana" w:eastAsia="Calibri" w:hAnsi="Verdana" w:cs="Arial"/>
          <w:sz w:val="20"/>
          <w:szCs w:val="20"/>
          <w:lang w:val="es-ES"/>
        </w:rPr>
        <w:t>Por lo tanto, en principio</w:t>
      </w:r>
      <w:r w:rsidRPr="001930EE">
        <w:rPr>
          <w:rFonts w:ascii="Verdana" w:eastAsia="Calibri" w:hAnsi="Verdana" w:cs="Arial"/>
          <w:color w:val="000000"/>
          <w:sz w:val="20"/>
          <w:szCs w:val="20"/>
          <w:lang w:val="es-MX"/>
        </w:rPr>
        <w:t xml:space="preserve">, todas las entidades y funcionarios del artículo 2 de la Ley 80 de 1993 se rigen por las causales de inhabilidad del artículo 8 </w:t>
      </w:r>
      <w:r w:rsidRPr="001930EE">
        <w:rPr>
          <w:rFonts w:ascii="Verdana" w:eastAsia="Calibri" w:hAnsi="Verdana" w:cs="Arial"/>
          <w:i/>
          <w:iCs/>
          <w:color w:val="000000"/>
          <w:sz w:val="20"/>
          <w:szCs w:val="20"/>
          <w:lang w:val="es-MX"/>
        </w:rPr>
        <w:t>ibidem</w:t>
      </w:r>
      <w:r w:rsidRPr="001930EE">
        <w:rPr>
          <w:rFonts w:ascii="Verdana" w:eastAsia="Calibri" w:hAnsi="Verdana" w:cs="Arial"/>
          <w:color w:val="000000"/>
          <w:sz w:val="20"/>
          <w:szCs w:val="20"/>
          <w:lang w:val="es-MX"/>
        </w:rPr>
        <w:t xml:space="preserve">, incluyendo la del literal b) del numeral 2 explicada </w:t>
      </w:r>
      <w:r w:rsidRPr="001930EE">
        <w:rPr>
          <w:rFonts w:ascii="Verdana" w:eastAsia="Calibri" w:hAnsi="Verdana" w:cs="Arial"/>
          <w:i/>
          <w:iCs/>
          <w:color w:val="000000"/>
          <w:sz w:val="20"/>
          <w:szCs w:val="20"/>
          <w:lang w:val="es-MX"/>
        </w:rPr>
        <w:t>ut supra</w:t>
      </w:r>
      <w:r w:rsidRPr="001930EE">
        <w:rPr>
          <w:rFonts w:ascii="Verdana" w:eastAsia="Calibri" w:hAnsi="Verdana" w:cs="Arial"/>
          <w:color w:val="000000"/>
          <w:sz w:val="20"/>
          <w:szCs w:val="20"/>
          <w:lang w:val="es-MX"/>
        </w:rPr>
        <w:t>, p</w:t>
      </w:r>
      <w:proofErr w:type="spellStart"/>
      <w:r w:rsidRPr="001930EE">
        <w:rPr>
          <w:rFonts w:ascii="Verdana" w:eastAsia="Calibri" w:hAnsi="Verdana" w:cs="Arial"/>
          <w:sz w:val="20"/>
          <w:szCs w:val="20"/>
          <w:lang w:val="es-ES_tradnl"/>
        </w:rPr>
        <w:t>ues</w:t>
      </w:r>
      <w:proofErr w:type="spellEnd"/>
      <w:r w:rsidRPr="001930EE">
        <w:rPr>
          <w:rFonts w:ascii="Verdana" w:eastAsia="Calibri" w:hAnsi="Verdana" w:cs="Arial"/>
          <w:sz w:val="20"/>
          <w:szCs w:val="20"/>
          <w:lang w:val="es-ES_tradnl"/>
        </w:rPr>
        <w:t xml:space="preserve"> es la </w:t>
      </w:r>
      <w:r w:rsidRPr="001930EE">
        <w:rPr>
          <w:rFonts w:ascii="Verdana" w:eastAsia="Calibri" w:hAnsi="Verdana" w:cs="Arial"/>
          <w:i/>
          <w:iCs/>
          <w:sz w:val="20"/>
          <w:szCs w:val="20"/>
          <w:lang w:val="es-ES_tradnl"/>
        </w:rPr>
        <w:t>regla general</w:t>
      </w:r>
      <w:r w:rsidRPr="001930EE">
        <w:rPr>
          <w:rFonts w:ascii="Verdana" w:eastAsia="Calibri" w:hAnsi="Verdana" w:cs="Arial"/>
          <w:sz w:val="20"/>
          <w:szCs w:val="20"/>
          <w:lang w:val="es-ES_tradnl"/>
        </w:rPr>
        <w:t xml:space="preserve"> en materia de inhabilidades e incompatibilidades para la contratación de las entidades sometidas a la Ley 80 de 1993. Sin embargo, el artículo 49 de la Ley 617 de 2000 se trata de una </w:t>
      </w:r>
      <w:r w:rsidRPr="001930EE">
        <w:rPr>
          <w:rFonts w:ascii="Verdana" w:eastAsia="Calibri" w:hAnsi="Verdana" w:cs="Arial"/>
          <w:i/>
          <w:iCs/>
          <w:sz w:val="20"/>
          <w:szCs w:val="20"/>
          <w:lang w:val="es-ES_tradnl"/>
        </w:rPr>
        <w:t>regla especial</w:t>
      </w:r>
      <w:r w:rsidRPr="001930EE">
        <w:rPr>
          <w:rFonts w:ascii="Verdana" w:eastAsia="Calibri" w:hAnsi="Verdana" w:cs="Arial"/>
          <w:sz w:val="20"/>
          <w:szCs w:val="20"/>
          <w:lang w:val="es-ES_tradnl"/>
        </w:rPr>
        <w:t xml:space="preserve">, la cual se ratifica en las modificaciones posteriores del artículo 1º de las Leyes 821 de 2003, 1148 de 2007 y 1296 de 2009. Según esta regla,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 </w:t>
      </w:r>
    </w:p>
    <w:p w14:paraId="2C5ED153" w14:textId="77777777" w:rsidR="001930EE" w:rsidRPr="001930EE" w:rsidRDefault="001930EE" w:rsidP="001930EE">
      <w:pPr>
        <w:spacing w:after="0" w:line="240" w:lineRule="auto"/>
        <w:jc w:val="both"/>
        <w:rPr>
          <w:rFonts w:ascii="Verdana" w:eastAsia="Calibri" w:hAnsi="Verdana" w:cs="Arial"/>
          <w:sz w:val="20"/>
          <w:szCs w:val="20"/>
          <w:lang w:val="es-ES"/>
        </w:rPr>
      </w:pPr>
      <w:r w:rsidRPr="001930EE">
        <w:rPr>
          <w:rFonts w:ascii="Verdana" w:eastAsia="Calibri" w:hAnsi="Verdana" w:cs="Arial"/>
          <w:sz w:val="20"/>
          <w:szCs w:val="20"/>
          <w:lang w:val="es-ES"/>
        </w:rPr>
        <w:lastRenderedPageBreak/>
        <w:t>Empero dado que la interpretación de este tipo de normativa debe ser restrictiva se encuentra que, según lo dispuesto en el parágrafo tercero del artículo 49 de la Ley 617 de 2000 tratándose</w:t>
      </w:r>
      <w:r w:rsidRPr="001930EE">
        <w:rPr>
          <w:rFonts w:ascii="Verdana" w:eastAsia="Calibri" w:hAnsi="Verdana" w:cs="Arial"/>
          <w:color w:val="000000" w:themeColor="text1"/>
          <w:sz w:val="20"/>
          <w:szCs w:val="20"/>
          <w:lang w:val="es-ES"/>
        </w:rPr>
        <w:t xml:space="preserve"> de concejales de municipios de cuarta, quinta y sexta categoría, se aplica la prohibición únicamente a los cónyuges o compañeros permanentes y parientes hasta el segundo grado de consanguinidad, primero de afinidad o único civil.</w:t>
      </w:r>
    </w:p>
    <w:p w14:paraId="7A6AA510" w14:textId="77777777" w:rsidR="001930EE" w:rsidRDefault="001930EE" w:rsidP="001F2580">
      <w:pPr>
        <w:jc w:val="both"/>
        <w:rPr>
          <w:rFonts w:ascii="Verdana" w:hAnsi="Verdana" w:cs="Arial"/>
          <w:b/>
          <w:bCs/>
          <w:lang w:val="es-ES"/>
        </w:rPr>
      </w:pPr>
    </w:p>
    <w:p w14:paraId="0454B3AA" w14:textId="77777777" w:rsidR="001930EE" w:rsidRDefault="001930EE" w:rsidP="001F2580">
      <w:pPr>
        <w:jc w:val="both"/>
        <w:rPr>
          <w:rFonts w:ascii="Verdana" w:hAnsi="Verdana" w:cs="Arial"/>
          <w:b/>
          <w:bCs/>
          <w:lang w:val="es-ES"/>
        </w:rPr>
      </w:pPr>
    </w:p>
    <w:p w14:paraId="1E8610C1" w14:textId="77777777" w:rsidR="001930EE" w:rsidRDefault="001930EE" w:rsidP="001F2580">
      <w:pPr>
        <w:jc w:val="both"/>
        <w:rPr>
          <w:rFonts w:ascii="Verdana" w:hAnsi="Verdana" w:cs="Arial"/>
          <w:b/>
          <w:bCs/>
          <w:lang w:val="es-ES"/>
        </w:rPr>
      </w:pPr>
    </w:p>
    <w:p w14:paraId="0C24B509" w14:textId="77777777" w:rsidR="001930EE" w:rsidRDefault="001930EE" w:rsidP="001F2580">
      <w:pPr>
        <w:jc w:val="both"/>
        <w:rPr>
          <w:rFonts w:ascii="Verdana" w:hAnsi="Verdana" w:cs="Arial"/>
          <w:b/>
          <w:bCs/>
          <w:lang w:val="es-ES"/>
        </w:rPr>
      </w:pPr>
    </w:p>
    <w:p w14:paraId="30CCDD97" w14:textId="77777777" w:rsidR="001930EE" w:rsidRDefault="001930EE" w:rsidP="001F2580">
      <w:pPr>
        <w:jc w:val="both"/>
        <w:rPr>
          <w:rFonts w:ascii="Verdana" w:hAnsi="Verdana" w:cs="Arial"/>
          <w:b/>
          <w:bCs/>
          <w:lang w:val="es-ES"/>
        </w:rPr>
      </w:pPr>
    </w:p>
    <w:p w14:paraId="29A00996" w14:textId="77777777" w:rsidR="001930EE" w:rsidRDefault="001930EE" w:rsidP="001F2580">
      <w:pPr>
        <w:jc w:val="both"/>
        <w:rPr>
          <w:rFonts w:ascii="Verdana" w:hAnsi="Verdana" w:cs="Arial"/>
          <w:b/>
          <w:bCs/>
          <w:lang w:val="es-ES"/>
        </w:rPr>
      </w:pPr>
    </w:p>
    <w:p w14:paraId="3E2C8C29" w14:textId="77777777" w:rsidR="001930EE" w:rsidRDefault="001930EE" w:rsidP="001F2580">
      <w:pPr>
        <w:jc w:val="both"/>
        <w:rPr>
          <w:rFonts w:ascii="Verdana" w:hAnsi="Verdana" w:cs="Arial"/>
          <w:b/>
          <w:bCs/>
          <w:lang w:val="es-ES"/>
        </w:rPr>
      </w:pPr>
    </w:p>
    <w:p w14:paraId="697B4297" w14:textId="77777777" w:rsidR="001930EE" w:rsidRDefault="001930EE" w:rsidP="001F2580">
      <w:pPr>
        <w:jc w:val="both"/>
        <w:rPr>
          <w:rFonts w:ascii="Verdana" w:hAnsi="Verdana" w:cs="Arial"/>
          <w:b/>
          <w:bCs/>
          <w:lang w:val="es-ES"/>
        </w:rPr>
      </w:pPr>
    </w:p>
    <w:p w14:paraId="4D484413" w14:textId="77777777" w:rsidR="001930EE" w:rsidRDefault="001930EE" w:rsidP="001F2580">
      <w:pPr>
        <w:jc w:val="both"/>
        <w:rPr>
          <w:rFonts w:ascii="Verdana" w:hAnsi="Verdana" w:cs="Arial"/>
          <w:b/>
          <w:bCs/>
          <w:lang w:val="es-ES"/>
        </w:rPr>
      </w:pPr>
    </w:p>
    <w:p w14:paraId="075FE287" w14:textId="77777777" w:rsidR="001930EE" w:rsidRDefault="001930EE" w:rsidP="001F2580">
      <w:pPr>
        <w:jc w:val="both"/>
        <w:rPr>
          <w:rFonts w:ascii="Verdana" w:hAnsi="Verdana" w:cs="Arial"/>
          <w:b/>
          <w:bCs/>
          <w:lang w:val="es-ES"/>
        </w:rPr>
      </w:pPr>
    </w:p>
    <w:p w14:paraId="0C6DDDE8" w14:textId="77777777" w:rsidR="001930EE" w:rsidRDefault="001930EE" w:rsidP="001F2580">
      <w:pPr>
        <w:jc w:val="both"/>
        <w:rPr>
          <w:rFonts w:ascii="Verdana" w:hAnsi="Verdana" w:cs="Arial"/>
          <w:b/>
          <w:bCs/>
          <w:lang w:val="es-ES"/>
        </w:rPr>
      </w:pPr>
    </w:p>
    <w:p w14:paraId="463EBE03" w14:textId="77777777" w:rsidR="001930EE" w:rsidRDefault="001930EE" w:rsidP="001F2580">
      <w:pPr>
        <w:jc w:val="both"/>
        <w:rPr>
          <w:rFonts w:ascii="Verdana" w:hAnsi="Verdana" w:cs="Arial"/>
          <w:b/>
          <w:bCs/>
          <w:lang w:val="es-ES"/>
        </w:rPr>
      </w:pPr>
    </w:p>
    <w:p w14:paraId="2693A694" w14:textId="77777777" w:rsidR="001930EE" w:rsidRDefault="001930EE" w:rsidP="001F2580">
      <w:pPr>
        <w:jc w:val="both"/>
        <w:rPr>
          <w:rFonts w:ascii="Verdana" w:hAnsi="Verdana" w:cs="Arial"/>
          <w:b/>
          <w:bCs/>
          <w:lang w:val="es-ES"/>
        </w:rPr>
      </w:pPr>
    </w:p>
    <w:p w14:paraId="4E20FB77" w14:textId="77777777" w:rsidR="001930EE" w:rsidRDefault="001930EE" w:rsidP="001F2580">
      <w:pPr>
        <w:jc w:val="both"/>
        <w:rPr>
          <w:rFonts w:ascii="Verdana" w:hAnsi="Verdana" w:cs="Arial"/>
          <w:b/>
          <w:bCs/>
          <w:lang w:val="es-ES"/>
        </w:rPr>
      </w:pPr>
    </w:p>
    <w:p w14:paraId="797FE8EA" w14:textId="77777777" w:rsidR="001930EE" w:rsidRDefault="001930EE" w:rsidP="001F2580">
      <w:pPr>
        <w:jc w:val="both"/>
        <w:rPr>
          <w:rFonts w:ascii="Verdana" w:hAnsi="Verdana" w:cs="Arial"/>
          <w:b/>
          <w:bCs/>
          <w:lang w:val="es-ES"/>
        </w:rPr>
      </w:pPr>
    </w:p>
    <w:p w14:paraId="0947C40F" w14:textId="77777777" w:rsidR="001930EE" w:rsidRDefault="001930EE" w:rsidP="001F2580">
      <w:pPr>
        <w:jc w:val="both"/>
        <w:rPr>
          <w:rFonts w:ascii="Verdana" w:hAnsi="Verdana" w:cs="Arial"/>
          <w:b/>
          <w:bCs/>
          <w:lang w:val="es-ES"/>
        </w:rPr>
      </w:pPr>
    </w:p>
    <w:p w14:paraId="27FECAA0" w14:textId="77777777" w:rsidR="001930EE" w:rsidRDefault="001930EE" w:rsidP="001F2580">
      <w:pPr>
        <w:jc w:val="both"/>
        <w:rPr>
          <w:rFonts w:ascii="Verdana" w:hAnsi="Verdana" w:cs="Arial"/>
          <w:b/>
          <w:bCs/>
          <w:lang w:val="es-ES"/>
        </w:rPr>
      </w:pPr>
    </w:p>
    <w:p w14:paraId="253E8B7C" w14:textId="77777777" w:rsidR="001930EE" w:rsidRDefault="001930EE" w:rsidP="001F2580">
      <w:pPr>
        <w:jc w:val="both"/>
        <w:rPr>
          <w:rFonts w:ascii="Verdana" w:hAnsi="Verdana" w:cs="Arial"/>
          <w:b/>
          <w:bCs/>
          <w:lang w:val="es-ES"/>
        </w:rPr>
      </w:pPr>
    </w:p>
    <w:p w14:paraId="3CC8103F" w14:textId="77777777" w:rsidR="001930EE" w:rsidRDefault="001930EE" w:rsidP="001F2580">
      <w:pPr>
        <w:jc w:val="both"/>
        <w:rPr>
          <w:rFonts w:ascii="Verdana" w:hAnsi="Verdana" w:cs="Arial"/>
          <w:b/>
          <w:bCs/>
          <w:lang w:val="es-ES"/>
        </w:rPr>
      </w:pPr>
    </w:p>
    <w:p w14:paraId="1B36C4DF" w14:textId="77777777" w:rsidR="001930EE" w:rsidRDefault="001930EE" w:rsidP="001F2580">
      <w:pPr>
        <w:jc w:val="both"/>
        <w:rPr>
          <w:rFonts w:ascii="Verdana" w:hAnsi="Verdana" w:cs="Arial"/>
          <w:b/>
          <w:bCs/>
          <w:lang w:val="es-ES"/>
        </w:rPr>
      </w:pPr>
    </w:p>
    <w:p w14:paraId="5B8F9C83" w14:textId="77777777" w:rsidR="001930EE" w:rsidRDefault="001930EE" w:rsidP="001F2580">
      <w:pPr>
        <w:jc w:val="both"/>
        <w:rPr>
          <w:rFonts w:ascii="Verdana" w:hAnsi="Verdana" w:cs="Arial"/>
          <w:b/>
          <w:bCs/>
          <w:lang w:val="es-ES"/>
        </w:rPr>
      </w:pPr>
    </w:p>
    <w:p w14:paraId="18F95787" w14:textId="77777777" w:rsidR="001930EE" w:rsidRDefault="001930EE" w:rsidP="001F2580">
      <w:pPr>
        <w:jc w:val="both"/>
        <w:rPr>
          <w:rFonts w:ascii="Verdana" w:hAnsi="Verdana" w:cs="Arial"/>
          <w:b/>
          <w:bCs/>
          <w:lang w:val="es-ES"/>
        </w:rPr>
      </w:pPr>
    </w:p>
    <w:p w14:paraId="75E63675" w14:textId="77777777" w:rsidR="001930EE" w:rsidRDefault="001930EE" w:rsidP="00662485">
      <w:pPr>
        <w:spacing w:after="0" w:line="240" w:lineRule="auto"/>
        <w:jc w:val="both"/>
        <w:rPr>
          <w:rFonts w:ascii="Verdana" w:hAnsi="Verdana" w:cs="Arial"/>
          <w:b/>
          <w:bCs/>
          <w:lang w:val="es-ES"/>
        </w:rPr>
      </w:pPr>
    </w:p>
    <w:p w14:paraId="63B4903C" w14:textId="2ECC7D0D" w:rsidR="00662485" w:rsidRPr="008E4F36" w:rsidRDefault="00662485" w:rsidP="00662485">
      <w:pPr>
        <w:spacing w:after="0" w:line="240" w:lineRule="auto"/>
        <w:jc w:val="both"/>
        <w:rPr>
          <w:rFonts w:ascii="Verdana" w:hAnsi="Verdana"/>
        </w:rPr>
      </w:pPr>
      <w:r w:rsidRPr="008E4F36">
        <w:rPr>
          <w:rFonts w:ascii="Verdana" w:hAnsi="Verdana"/>
        </w:rPr>
        <w:lastRenderedPageBreak/>
        <w:t xml:space="preserve">Bogotá D.C., </w:t>
      </w:r>
      <w:r w:rsidR="00362FBF">
        <w:rPr>
          <w:rFonts w:ascii="Verdana" w:hAnsi="Verdana"/>
        </w:rPr>
        <w:t>11 de septiembre de 2025</w:t>
      </w:r>
    </w:p>
    <w:p w14:paraId="210E4143" w14:textId="77777777" w:rsidR="00662485" w:rsidRDefault="00662485" w:rsidP="00662485">
      <w:pPr>
        <w:spacing w:after="0" w:line="240" w:lineRule="auto"/>
        <w:jc w:val="both"/>
        <w:rPr>
          <w:rFonts w:ascii="Verdana" w:eastAsia="Calibri" w:hAnsi="Verdana" w:cs="Arial"/>
          <w:lang w:eastAsia="es-ES"/>
        </w:rPr>
      </w:pPr>
      <w:bookmarkStart w:id="6" w:name="_Hlk197462763"/>
      <w:bookmarkStart w:id="7" w:name="_Hlk197529996"/>
    </w:p>
    <w:p w14:paraId="7A2B0640" w14:textId="7FA4A420" w:rsidR="00362FBF" w:rsidRDefault="00362FBF" w:rsidP="00F236DA">
      <w:pPr>
        <w:spacing w:after="0" w:line="240" w:lineRule="auto"/>
        <w:jc w:val="right"/>
        <w:rPr>
          <w:rFonts w:ascii="Verdana" w:eastAsia="Calibri" w:hAnsi="Verdana" w:cs="Arial"/>
          <w:lang w:eastAsia="es-ES"/>
        </w:rPr>
      </w:pPr>
      <w:r w:rsidRPr="00362FBF">
        <w:rPr>
          <w:rFonts w:ascii="Verdana" w:eastAsia="Calibri" w:hAnsi="Verdana" w:cs="Arial"/>
          <w:noProof/>
          <w:lang w:eastAsia="es-ES"/>
        </w:rPr>
        <w:drawing>
          <wp:anchor distT="0" distB="0" distL="114300" distR="114300" simplePos="0" relativeHeight="251658240" behindDoc="1" locked="0" layoutInCell="1" allowOverlap="1" wp14:anchorId="2712A07A" wp14:editId="080F51A5">
            <wp:simplePos x="0" y="0"/>
            <wp:positionH relativeFrom="column">
              <wp:posOffset>3129915</wp:posOffset>
            </wp:positionH>
            <wp:positionV relativeFrom="paragraph">
              <wp:posOffset>3175</wp:posOffset>
            </wp:positionV>
            <wp:extent cx="2479265" cy="717194"/>
            <wp:effectExtent l="0" t="0" r="0" b="6985"/>
            <wp:wrapNone/>
            <wp:docPr id="214541309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41309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479265" cy="717194"/>
                    </a:xfrm>
                    <a:prstGeom prst="rect">
                      <a:avLst/>
                    </a:prstGeom>
                  </pic:spPr>
                </pic:pic>
              </a:graphicData>
            </a:graphic>
            <wp14:sizeRelH relativeFrom="page">
              <wp14:pctWidth>0</wp14:pctWidth>
            </wp14:sizeRelH>
            <wp14:sizeRelV relativeFrom="page">
              <wp14:pctHeight>0</wp14:pctHeight>
            </wp14:sizeRelV>
          </wp:anchor>
        </w:drawing>
      </w:r>
    </w:p>
    <w:p w14:paraId="3AEA7DA8" w14:textId="7F48C14F" w:rsidR="00662485" w:rsidRPr="008E4F36" w:rsidRDefault="00662485" w:rsidP="00662485">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r>
        <w:rPr>
          <w:rFonts w:ascii="Verdana" w:eastAsia="Calibri" w:hAnsi="Verdana" w:cs="Arial"/>
          <w:lang w:eastAsia="es-ES"/>
        </w:rPr>
        <w:t>a</w:t>
      </w:r>
      <w:r w:rsidR="00D47825">
        <w:rPr>
          <w:rFonts w:ascii="Verdana" w:eastAsia="Calibri" w:hAnsi="Verdana" w:cs="Arial"/>
          <w:lang w:eastAsia="es-ES"/>
        </w:rPr>
        <w:t xml:space="preserve"> </w:t>
      </w:r>
    </w:p>
    <w:p w14:paraId="50E37976" w14:textId="77777777" w:rsidR="00662485" w:rsidRPr="00A25C67" w:rsidRDefault="00662485" w:rsidP="00662485">
      <w:pPr>
        <w:spacing w:after="0" w:line="240" w:lineRule="auto"/>
        <w:jc w:val="both"/>
        <w:rPr>
          <w:rFonts w:ascii="Verdana" w:eastAsia="Calibri" w:hAnsi="Verdana" w:cs="Arial"/>
          <w:b/>
          <w:lang w:eastAsia="es-ES_tradnl"/>
        </w:rPr>
      </w:pPr>
      <w:r w:rsidRPr="00A25C67">
        <w:rPr>
          <w:rFonts w:ascii="Verdana" w:eastAsia="Calibri" w:hAnsi="Verdana" w:cs="Arial"/>
          <w:b/>
          <w:lang w:eastAsia="es-ES_tradnl"/>
        </w:rPr>
        <w:t>María Fernanda Malambo Tique</w:t>
      </w:r>
    </w:p>
    <w:p w14:paraId="41B77F21" w14:textId="77777777" w:rsidR="00662485" w:rsidRPr="00AF3764" w:rsidRDefault="00662485" w:rsidP="00662485">
      <w:pPr>
        <w:spacing w:after="0" w:line="240" w:lineRule="auto"/>
        <w:jc w:val="both"/>
        <w:rPr>
          <w:rFonts w:ascii="Verdana" w:hAnsi="Verdana"/>
        </w:rPr>
      </w:pPr>
      <w:hyperlink r:id="rId11" w:history="1">
        <w:r w:rsidRPr="00AF3764">
          <w:rPr>
            <w:rStyle w:val="Hipervnculo"/>
            <w:rFonts w:ascii="Verdana" w:hAnsi="Verdana"/>
          </w:rPr>
          <w:t>mafe8587@hotmail.com</w:t>
        </w:r>
      </w:hyperlink>
    </w:p>
    <w:p w14:paraId="3794F7F8" w14:textId="77777777" w:rsidR="00662485" w:rsidRPr="00624A4C" w:rsidRDefault="00662485" w:rsidP="00662485">
      <w:pPr>
        <w:spacing w:after="0" w:line="240" w:lineRule="auto"/>
        <w:jc w:val="both"/>
        <w:rPr>
          <w:rFonts w:ascii="Verdana" w:eastAsia="Calibri" w:hAnsi="Verdana" w:cs="Arial"/>
          <w:bCs/>
          <w:lang w:eastAsia="es-ES_tradnl"/>
        </w:rPr>
      </w:pPr>
      <w:r>
        <w:rPr>
          <w:rFonts w:ascii="Verdana" w:eastAsia="Calibri" w:hAnsi="Verdana" w:cs="Arial"/>
          <w:bCs/>
          <w:lang w:eastAsia="es-ES_tradnl"/>
        </w:rPr>
        <w:t xml:space="preserve">Ciudad </w:t>
      </w:r>
    </w:p>
    <w:p w14:paraId="68F9BCE8" w14:textId="77777777" w:rsidR="00662485" w:rsidRPr="005B4C57" w:rsidRDefault="00662485" w:rsidP="00662485">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62485" w:rsidRPr="002842E0" w14:paraId="5A74A1DB" w14:textId="77777777" w:rsidTr="0023368A">
        <w:trPr>
          <w:trHeight w:val="162"/>
        </w:trPr>
        <w:tc>
          <w:tcPr>
            <w:tcW w:w="3119" w:type="dxa"/>
          </w:tcPr>
          <w:p w14:paraId="4FD10BFD" w14:textId="77777777" w:rsidR="00662485" w:rsidRPr="005B4C57" w:rsidRDefault="00662485" w:rsidP="0023368A">
            <w:pPr>
              <w:jc w:val="both"/>
              <w:rPr>
                <w:rFonts w:ascii="Verdana" w:eastAsia="Calibri" w:hAnsi="Verdana" w:cs="Arial"/>
                <w:b/>
                <w:bCs/>
                <w:color w:val="7030A0"/>
                <w:lang w:val="it-CH" w:eastAsia="es-ES_tradnl"/>
              </w:rPr>
            </w:pPr>
          </w:p>
        </w:tc>
        <w:tc>
          <w:tcPr>
            <w:tcW w:w="5670" w:type="dxa"/>
          </w:tcPr>
          <w:p w14:paraId="21C5BE7B" w14:textId="6F890B35" w:rsidR="00662485" w:rsidRPr="00801462" w:rsidRDefault="00662485" w:rsidP="0023368A">
            <w:pPr>
              <w:jc w:val="both"/>
              <w:rPr>
                <w:rFonts w:ascii="Verdana" w:eastAsia="Calibri" w:hAnsi="Verdana" w:cs="Arial"/>
                <w:b/>
                <w:bCs/>
                <w:lang w:eastAsia="es-ES"/>
              </w:rPr>
            </w:pPr>
            <w:r w:rsidRPr="00801462">
              <w:rPr>
                <w:rFonts w:ascii="Verdana" w:eastAsia="Calibri" w:hAnsi="Verdana" w:cs="Arial"/>
                <w:b/>
                <w:bCs/>
                <w:lang w:eastAsia="es-ES"/>
              </w:rPr>
              <w:t xml:space="preserve">Concepto </w:t>
            </w:r>
            <w:r w:rsidRPr="00195E6C">
              <w:rPr>
                <w:rFonts w:ascii="Verdana" w:eastAsia="Calibri" w:hAnsi="Verdana" w:cs="Arial"/>
                <w:b/>
                <w:bCs/>
                <w:lang w:eastAsia="es-ES"/>
              </w:rPr>
              <w:t>C-1</w:t>
            </w:r>
            <w:r>
              <w:rPr>
                <w:rFonts w:ascii="Verdana" w:eastAsia="Calibri" w:hAnsi="Verdana" w:cs="Arial"/>
                <w:b/>
                <w:bCs/>
                <w:lang w:eastAsia="es-ES"/>
              </w:rPr>
              <w:t>1</w:t>
            </w:r>
            <w:r w:rsidR="0023368A">
              <w:rPr>
                <w:rFonts w:ascii="Verdana" w:eastAsia="Calibri" w:hAnsi="Verdana" w:cs="Arial"/>
                <w:b/>
                <w:bCs/>
                <w:lang w:eastAsia="es-ES"/>
              </w:rPr>
              <w:t>11</w:t>
            </w:r>
            <w:r>
              <w:rPr>
                <w:rFonts w:ascii="Verdana" w:eastAsia="Calibri" w:hAnsi="Verdana" w:cs="Arial"/>
                <w:b/>
                <w:bCs/>
                <w:lang w:eastAsia="es-ES"/>
              </w:rPr>
              <w:t xml:space="preserve"> </w:t>
            </w:r>
            <w:r w:rsidRPr="00801462">
              <w:rPr>
                <w:rFonts w:ascii="Verdana" w:eastAsia="Calibri" w:hAnsi="Verdana" w:cs="Arial"/>
                <w:b/>
                <w:bCs/>
                <w:lang w:eastAsia="es-ES"/>
              </w:rPr>
              <w:t>de 2025</w:t>
            </w:r>
          </w:p>
          <w:p w14:paraId="3A2938CB" w14:textId="77777777" w:rsidR="00662485" w:rsidRPr="00801462" w:rsidRDefault="00662485" w:rsidP="0023368A">
            <w:pPr>
              <w:jc w:val="both"/>
              <w:rPr>
                <w:rFonts w:ascii="Verdana" w:eastAsia="Calibri" w:hAnsi="Verdana" w:cs="Arial"/>
                <w:b/>
                <w:bCs/>
                <w:color w:val="7030A0"/>
                <w:lang w:eastAsia="es-ES"/>
              </w:rPr>
            </w:pPr>
          </w:p>
        </w:tc>
      </w:tr>
      <w:tr w:rsidR="00662485" w:rsidRPr="002842E0" w14:paraId="6C804431" w14:textId="77777777" w:rsidTr="0023368A">
        <w:trPr>
          <w:trHeight w:val="884"/>
        </w:trPr>
        <w:tc>
          <w:tcPr>
            <w:tcW w:w="3119" w:type="dxa"/>
          </w:tcPr>
          <w:p w14:paraId="47722DCB" w14:textId="77777777" w:rsidR="00662485" w:rsidRPr="00801462" w:rsidRDefault="00662485" w:rsidP="0023368A">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0253996B" w14:textId="0DA1F61A" w:rsidR="00662485" w:rsidRPr="0060163E" w:rsidRDefault="00662485" w:rsidP="0023368A">
            <w:pPr>
              <w:jc w:val="both"/>
              <w:rPr>
                <w:rFonts w:ascii="Verdana" w:hAnsi="Verdana" w:cs="Arial"/>
                <w:lang w:val="es-ES_tradnl"/>
              </w:rPr>
            </w:pPr>
            <w:r w:rsidRPr="0060163E">
              <w:rPr>
                <w:rFonts w:ascii="Verdana" w:hAnsi="Verdana" w:cs="Arial"/>
                <w:lang w:val="es-MX"/>
              </w:rPr>
              <w:t xml:space="preserve">INHABILIDADES ─ Definición ─ Finalidad ─ Limitación capacidad contractual </w:t>
            </w:r>
            <w:r w:rsidRPr="0060163E">
              <w:rPr>
                <w:rFonts w:ascii="Verdana" w:hAnsi="Verdana" w:cs="Arial"/>
                <w:lang w:val="es-ES_tradnl"/>
              </w:rPr>
              <w:t>/ INHABILIDADES – Taxatividad – Principio de legalidad – Interpretación restrictiva</w:t>
            </w:r>
            <w:r w:rsidRPr="0060163E" w:rsidDel="00A75E55">
              <w:rPr>
                <w:rFonts w:ascii="Verdana" w:hAnsi="Verdana" w:cs="Arial"/>
                <w:lang w:val="es-ES_tradnl"/>
              </w:rPr>
              <w:t xml:space="preserve"> </w:t>
            </w:r>
            <w:r w:rsidRPr="0060163E">
              <w:rPr>
                <w:rFonts w:ascii="Verdana" w:hAnsi="Verdana" w:cs="Arial"/>
                <w:lang w:val="es-ES_tradnl"/>
              </w:rPr>
              <w:t xml:space="preserve">/ INHABILIDADES E INCOMPATIBILIDADES – Ley 80 de 1993 – </w:t>
            </w:r>
            <w:r>
              <w:rPr>
                <w:rFonts w:ascii="Verdana" w:hAnsi="Verdana" w:cs="Arial"/>
                <w:lang w:val="es-ES_tradnl"/>
              </w:rPr>
              <w:t>PR</w:t>
            </w:r>
            <w:r w:rsidR="001F2580">
              <w:rPr>
                <w:rFonts w:ascii="Verdana" w:hAnsi="Verdana" w:cs="Arial"/>
                <w:lang w:val="es-ES_tradnl"/>
              </w:rPr>
              <w:t>O</w:t>
            </w:r>
            <w:r>
              <w:rPr>
                <w:rFonts w:ascii="Verdana" w:hAnsi="Verdana" w:cs="Arial"/>
                <w:lang w:val="es-ES_tradnl"/>
              </w:rPr>
              <w:t xml:space="preserve">HIBICIONES / </w:t>
            </w:r>
            <w:r w:rsidRPr="0060163E">
              <w:rPr>
                <w:rFonts w:ascii="Verdana" w:hAnsi="Verdana" w:cs="Arial"/>
                <w:lang w:val="es-ES_tradnl"/>
              </w:rPr>
              <w:t xml:space="preserve">Ley 617 de 2000 – Norma especial / LEY 617 DE 2000 – Contratación directa e indirecta – </w:t>
            </w:r>
            <w:r w:rsidR="00D47825">
              <w:rPr>
                <w:rFonts w:ascii="Verdana" w:hAnsi="Verdana" w:cs="Arial"/>
                <w:lang w:val="es-ES_tradnl"/>
              </w:rPr>
              <w:t>I</w:t>
            </w:r>
            <w:r w:rsidRPr="0060163E">
              <w:rPr>
                <w:rFonts w:ascii="Verdana" w:hAnsi="Verdana" w:cs="Arial"/>
                <w:lang w:val="es-ES_tradnl"/>
              </w:rPr>
              <w:t xml:space="preserve">nciso tercero del artículo 49 – Alcance </w:t>
            </w:r>
          </w:p>
          <w:p w14:paraId="5C315B16" w14:textId="77777777" w:rsidR="00662485" w:rsidRPr="004108F3" w:rsidRDefault="00662485" w:rsidP="0023368A">
            <w:pPr>
              <w:jc w:val="both"/>
              <w:rPr>
                <w:rFonts w:ascii="Verdana" w:eastAsia="Calibri" w:hAnsi="Verdana" w:cs="Arial"/>
                <w:b/>
                <w:lang w:val="es-ES_tradnl" w:eastAsia="es-ES"/>
              </w:rPr>
            </w:pPr>
          </w:p>
        </w:tc>
      </w:tr>
      <w:tr w:rsidR="00662485" w:rsidRPr="002842E0" w14:paraId="0816A182" w14:textId="77777777" w:rsidTr="0023368A">
        <w:tc>
          <w:tcPr>
            <w:tcW w:w="3119" w:type="dxa"/>
          </w:tcPr>
          <w:p w14:paraId="0FC4FD8C" w14:textId="77777777" w:rsidR="00662485" w:rsidRPr="00801462" w:rsidRDefault="00662485" w:rsidP="0023368A">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133F8D26" w14:textId="77777777" w:rsidR="00662485" w:rsidRPr="00801462" w:rsidRDefault="00662485" w:rsidP="0023368A">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AF3764">
              <w:rPr>
                <w:rFonts w:ascii="Verdana" w:eastAsia="Calibri" w:hAnsi="Verdana" w:cs="Arial"/>
                <w:lang w:eastAsia="es-ES_tradnl"/>
              </w:rPr>
              <w:t>1_2025_08_08_008291</w:t>
            </w:r>
          </w:p>
        </w:tc>
      </w:tr>
    </w:tbl>
    <w:p w14:paraId="673E9C44" w14:textId="77777777" w:rsidR="00662485" w:rsidRDefault="00662485" w:rsidP="00662485">
      <w:pPr>
        <w:spacing w:after="0" w:line="276" w:lineRule="auto"/>
        <w:jc w:val="both"/>
        <w:rPr>
          <w:rFonts w:ascii="Verdana" w:eastAsia="Calibri" w:hAnsi="Verdana" w:cs="Arial"/>
          <w:lang w:eastAsia="es-ES_tradnl"/>
        </w:rPr>
      </w:pPr>
    </w:p>
    <w:p w14:paraId="67FDC4B4" w14:textId="77777777" w:rsidR="00662485" w:rsidRPr="008E4F36" w:rsidRDefault="00662485" w:rsidP="00662485">
      <w:pPr>
        <w:spacing w:after="0" w:line="276" w:lineRule="auto"/>
        <w:jc w:val="both"/>
        <w:rPr>
          <w:rFonts w:ascii="Verdana" w:eastAsia="Calibri" w:hAnsi="Verdana" w:cs="Arial"/>
          <w:lang w:eastAsia="es-ES"/>
        </w:rPr>
      </w:pPr>
      <w:r w:rsidRPr="008E4F36">
        <w:rPr>
          <w:rFonts w:ascii="Verdana" w:eastAsia="Calibri" w:hAnsi="Verdana" w:cs="Arial"/>
          <w:lang w:eastAsia="es-ES"/>
        </w:rPr>
        <w:t>Estimad</w:t>
      </w:r>
      <w:r>
        <w:rPr>
          <w:rFonts w:ascii="Verdana" w:eastAsia="Calibri" w:hAnsi="Verdana" w:cs="Arial"/>
          <w:lang w:eastAsia="es-ES"/>
        </w:rPr>
        <w:t>a señora María Fernanda:</w:t>
      </w:r>
      <w:r w:rsidRPr="008E4F36">
        <w:rPr>
          <w:rFonts w:ascii="Verdana" w:eastAsia="Calibri" w:hAnsi="Verdana" w:cs="Arial"/>
          <w:lang w:eastAsia="es-ES"/>
        </w:rPr>
        <w:t xml:space="preserve"> </w:t>
      </w:r>
    </w:p>
    <w:p w14:paraId="0D700BBB" w14:textId="77777777" w:rsidR="00662485" w:rsidRDefault="00662485" w:rsidP="00662485">
      <w:pPr>
        <w:tabs>
          <w:tab w:val="left" w:pos="3768"/>
        </w:tabs>
        <w:spacing w:after="0" w:line="240" w:lineRule="auto"/>
        <w:jc w:val="both"/>
        <w:rPr>
          <w:rFonts w:ascii="Verdana" w:eastAsia="Calibri" w:hAnsi="Verdana" w:cs="Arial"/>
          <w:lang w:eastAsia="es-ES"/>
        </w:rPr>
      </w:pPr>
    </w:p>
    <w:p w14:paraId="1E7EAC59" w14:textId="77777777" w:rsidR="00662485" w:rsidRPr="00DE0B78" w:rsidRDefault="00662485" w:rsidP="00662485">
      <w:pPr>
        <w:tabs>
          <w:tab w:val="left" w:pos="3768"/>
        </w:tabs>
        <w:spacing w:after="0" w:line="276" w:lineRule="auto"/>
        <w:jc w:val="both"/>
        <w:rPr>
          <w:rFonts w:ascii="Verdana" w:eastAsia="Calibri" w:hAnsi="Verdana" w:cs="Arial"/>
          <w:lang w:eastAsia="es-ES"/>
        </w:rPr>
      </w:pPr>
      <w:r w:rsidRPr="00DE0B78">
        <w:rPr>
          <w:rFonts w:ascii="Verdana" w:eastAsia="Calibri" w:hAnsi="Verdana" w:cs="Arial"/>
          <w:lang w:eastAsia="es-ES"/>
        </w:rPr>
        <w:t>En ejercicio de la competencia otorgada por los artículos 3, numeral 5º, y 11, numeral 8º, del Decreto Ley 4170 de 2011,</w:t>
      </w:r>
      <w:r w:rsidRPr="00DE0B78">
        <w:rPr>
          <w:rFonts w:ascii="Verdana" w:eastAsia="Arial MT" w:hAnsi="Verdana" w:cs="Arial MT"/>
          <w:lang w:eastAsia="es-ES"/>
        </w:rPr>
        <w:t xml:space="preserve"> </w:t>
      </w:r>
      <w:r w:rsidRPr="00DE0B78">
        <w:rPr>
          <w:rFonts w:ascii="Verdana" w:hAnsi="Verdana" w:cs="Arial"/>
        </w:rPr>
        <w:t xml:space="preserve">así como lo establecido en el artículo 4 de la Resolución 1707 de 2018 expedida por esta Entidad, </w:t>
      </w:r>
      <w:r w:rsidRPr="00DE0B78">
        <w:rPr>
          <w:rFonts w:ascii="Verdana" w:eastAsia="Calibri" w:hAnsi="Verdana" w:cs="Arial"/>
          <w:lang w:eastAsia="es-ES"/>
        </w:rPr>
        <w:t>la Agencia Nacional de Contratació</w:t>
      </w:r>
      <w:r>
        <w:rPr>
          <w:rFonts w:ascii="Verdana" w:eastAsia="Calibri" w:hAnsi="Verdana" w:cs="Arial"/>
          <w:lang w:eastAsia="es-ES"/>
        </w:rPr>
        <w:t>n</w:t>
      </w:r>
      <w:r w:rsidRPr="00DE0B78">
        <w:rPr>
          <w:rFonts w:ascii="Verdana" w:eastAsia="Calibri" w:hAnsi="Verdana" w:cs="Arial"/>
          <w:lang w:eastAsia="es-ES"/>
        </w:rPr>
        <w:t xml:space="preserve"> Pública – Colombia Compra Eficiente– responde su solicitud de consulta de fecha </w:t>
      </w:r>
      <w:r>
        <w:rPr>
          <w:rFonts w:ascii="Verdana" w:eastAsia="Calibri" w:hAnsi="Verdana" w:cs="Arial"/>
          <w:lang w:eastAsia="es-ES"/>
        </w:rPr>
        <w:t>31 de julio</w:t>
      </w:r>
      <w:r w:rsidRPr="00DE0B78">
        <w:rPr>
          <w:rFonts w:ascii="Verdana" w:eastAsia="Calibri" w:hAnsi="Verdana" w:cs="Arial"/>
          <w:lang w:eastAsia="es-ES"/>
        </w:rPr>
        <w:t xml:space="preserve"> de 2025, </w:t>
      </w:r>
      <w:r>
        <w:rPr>
          <w:rFonts w:ascii="Verdana" w:eastAsia="Calibri" w:hAnsi="Verdana" w:cs="Arial"/>
          <w:lang w:eastAsia="es-ES"/>
        </w:rPr>
        <w:t xml:space="preserve">trasladada por parte del Departamento de la Función Pública el 5 de agosto de 2025 mediante radicado 20252040379391, </w:t>
      </w:r>
      <w:r w:rsidRPr="00DE0B78">
        <w:rPr>
          <w:rFonts w:ascii="Verdana" w:eastAsia="Calibri" w:hAnsi="Verdana" w:cs="Arial"/>
          <w:lang w:eastAsia="es-ES"/>
        </w:rPr>
        <w:t xml:space="preserve">en la cual manifiesta lo siguiente: </w:t>
      </w:r>
    </w:p>
    <w:p w14:paraId="7CA69AA2" w14:textId="77777777" w:rsidR="00662485" w:rsidRPr="00DE0B78" w:rsidRDefault="00662485" w:rsidP="00662485">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1E8743EC" w14:textId="77777777" w:rsidR="00662485" w:rsidRDefault="00662485" w:rsidP="00662485">
      <w:pPr>
        <w:spacing w:after="0" w:line="240" w:lineRule="auto"/>
        <w:ind w:left="709" w:right="709"/>
        <w:jc w:val="both"/>
        <w:rPr>
          <w:rFonts w:ascii="Verdana" w:hAnsi="Verdana"/>
          <w:sz w:val="20"/>
          <w:szCs w:val="20"/>
        </w:rPr>
      </w:pPr>
      <w:bookmarkStart w:id="8" w:name="_Hlk192699624"/>
      <w:bookmarkStart w:id="9" w:name="_Hlk199394899"/>
      <w:r>
        <w:rPr>
          <w:rFonts w:ascii="Verdana" w:eastAsia="Century Gothic" w:hAnsi="Verdana" w:cs="Century Gothic"/>
          <w:sz w:val="20"/>
          <w:szCs w:val="20"/>
        </w:rPr>
        <w:t xml:space="preserve">“(…) </w:t>
      </w:r>
      <w:bookmarkEnd w:id="8"/>
      <w:bookmarkEnd w:id="9"/>
      <w:r w:rsidRPr="00AF3764">
        <w:rPr>
          <w:rFonts w:ascii="Verdana" w:eastAsia="Century Gothic" w:hAnsi="Verdana" w:cs="Century Gothic"/>
          <w:sz w:val="20"/>
          <w:szCs w:val="20"/>
        </w:rPr>
        <w:t>buenas noches,</w:t>
      </w:r>
      <w:r>
        <w:rPr>
          <w:rFonts w:ascii="Verdana" w:eastAsia="Century Gothic" w:hAnsi="Verdana" w:cs="Century Gothic"/>
          <w:sz w:val="20"/>
          <w:szCs w:val="20"/>
        </w:rPr>
        <w:t xml:space="preserve"> </w:t>
      </w:r>
      <w:proofErr w:type="spellStart"/>
      <w:r w:rsidRPr="00AF3764">
        <w:rPr>
          <w:rFonts w:ascii="Verdana" w:eastAsia="Century Gothic" w:hAnsi="Verdana" w:cs="Century Gothic"/>
          <w:sz w:val="20"/>
          <w:szCs w:val="20"/>
        </w:rPr>
        <w:t>atraves</w:t>
      </w:r>
      <w:proofErr w:type="spellEnd"/>
      <w:r>
        <w:rPr>
          <w:rFonts w:ascii="Verdana" w:eastAsia="Century Gothic" w:hAnsi="Verdana" w:cs="Century Gothic"/>
          <w:sz w:val="20"/>
          <w:szCs w:val="20"/>
        </w:rPr>
        <w:t xml:space="preserve"> </w:t>
      </w:r>
      <w:r w:rsidRPr="00AF3764">
        <w:rPr>
          <w:rFonts w:ascii="Verdana" w:eastAsia="Century Gothic" w:hAnsi="Verdana" w:cs="Century Gothic"/>
          <w:sz w:val="20"/>
          <w:szCs w:val="20"/>
        </w:rPr>
        <w:t xml:space="preserve">(sic) de la presente solicito un concepto escrito donde </w:t>
      </w:r>
      <w:proofErr w:type="spellStart"/>
      <w:r w:rsidRPr="00AF3764">
        <w:rPr>
          <w:rFonts w:ascii="Verdana" w:eastAsia="Century Gothic" w:hAnsi="Verdana" w:cs="Century Gothic"/>
          <w:sz w:val="20"/>
          <w:szCs w:val="20"/>
        </w:rPr>
        <w:t>seme</w:t>
      </w:r>
      <w:proofErr w:type="spellEnd"/>
      <w:r w:rsidRPr="00AF3764">
        <w:rPr>
          <w:rFonts w:ascii="Verdana" w:eastAsia="Century Gothic" w:hAnsi="Verdana" w:cs="Century Gothic"/>
          <w:sz w:val="20"/>
          <w:szCs w:val="20"/>
        </w:rPr>
        <w:t xml:space="preserve"> (sic)</w:t>
      </w:r>
      <w:r>
        <w:rPr>
          <w:rFonts w:ascii="Verdana" w:eastAsia="Century Gothic" w:hAnsi="Verdana" w:cs="Century Gothic"/>
          <w:sz w:val="20"/>
          <w:szCs w:val="20"/>
        </w:rPr>
        <w:t xml:space="preserve"> </w:t>
      </w:r>
      <w:r w:rsidRPr="00AF3764">
        <w:rPr>
          <w:rFonts w:ascii="Verdana" w:eastAsia="Century Gothic" w:hAnsi="Verdana" w:cs="Century Gothic"/>
          <w:sz w:val="20"/>
          <w:szCs w:val="20"/>
        </w:rPr>
        <w:t>indique si pudo (sic)</w:t>
      </w:r>
      <w:r>
        <w:rPr>
          <w:rFonts w:ascii="Verdana" w:eastAsia="Century Gothic" w:hAnsi="Verdana" w:cs="Century Gothic"/>
          <w:sz w:val="20"/>
          <w:szCs w:val="20"/>
        </w:rPr>
        <w:t xml:space="preserve"> </w:t>
      </w:r>
      <w:r w:rsidRPr="00AF3764">
        <w:rPr>
          <w:rFonts w:ascii="Verdana" w:eastAsia="Century Gothic" w:hAnsi="Verdana" w:cs="Century Gothic"/>
          <w:sz w:val="20"/>
          <w:szCs w:val="20"/>
        </w:rPr>
        <w:t xml:space="preserve">tener un contrato de </w:t>
      </w:r>
      <w:r>
        <w:rPr>
          <w:rFonts w:ascii="Verdana" w:eastAsia="Century Gothic" w:hAnsi="Verdana" w:cs="Century Gothic"/>
          <w:sz w:val="20"/>
          <w:szCs w:val="20"/>
        </w:rPr>
        <w:t xml:space="preserve">prestación </w:t>
      </w:r>
      <w:r w:rsidRPr="00AF3764">
        <w:rPr>
          <w:rFonts w:ascii="Verdana" w:eastAsia="Century Gothic" w:hAnsi="Verdana" w:cs="Century Gothic"/>
          <w:sz w:val="20"/>
          <w:szCs w:val="20"/>
        </w:rPr>
        <w:t xml:space="preserve">(sic) de servicios de apoyo en la vigencia 2025 en la </w:t>
      </w:r>
      <w:proofErr w:type="spellStart"/>
      <w:r w:rsidRPr="00AF3764">
        <w:rPr>
          <w:rFonts w:ascii="Verdana" w:eastAsia="Century Gothic" w:hAnsi="Verdana" w:cs="Century Gothic"/>
          <w:sz w:val="20"/>
          <w:szCs w:val="20"/>
        </w:rPr>
        <w:t>alcaldia</w:t>
      </w:r>
      <w:proofErr w:type="spellEnd"/>
      <w:r w:rsidRPr="00AF3764">
        <w:rPr>
          <w:rFonts w:ascii="Verdana" w:eastAsia="Century Gothic" w:hAnsi="Verdana" w:cs="Century Gothic"/>
          <w:sz w:val="20"/>
          <w:szCs w:val="20"/>
        </w:rPr>
        <w:t xml:space="preserve"> (sic)</w:t>
      </w:r>
      <w:r>
        <w:rPr>
          <w:rFonts w:ascii="Verdana" w:eastAsia="Century Gothic" w:hAnsi="Verdana" w:cs="Century Gothic"/>
          <w:sz w:val="20"/>
          <w:szCs w:val="20"/>
        </w:rPr>
        <w:t xml:space="preserve"> </w:t>
      </w:r>
      <w:r w:rsidRPr="00AF3764">
        <w:rPr>
          <w:rFonts w:ascii="Verdana" w:eastAsia="Century Gothic" w:hAnsi="Verdana" w:cs="Century Gothic"/>
          <w:sz w:val="20"/>
          <w:szCs w:val="20"/>
        </w:rPr>
        <w:t xml:space="preserve">de </w:t>
      </w:r>
      <w:proofErr w:type="spellStart"/>
      <w:r w:rsidRPr="00AF3764">
        <w:rPr>
          <w:rFonts w:ascii="Verdana" w:eastAsia="Century Gothic" w:hAnsi="Verdana" w:cs="Century Gothic"/>
          <w:sz w:val="20"/>
          <w:szCs w:val="20"/>
        </w:rPr>
        <w:t>coyaima</w:t>
      </w:r>
      <w:proofErr w:type="spellEnd"/>
      <w:r>
        <w:rPr>
          <w:rFonts w:ascii="Verdana" w:eastAsia="Century Gothic" w:hAnsi="Verdana" w:cs="Century Gothic"/>
          <w:sz w:val="20"/>
          <w:szCs w:val="20"/>
        </w:rPr>
        <w:t xml:space="preserve"> </w:t>
      </w:r>
      <w:r w:rsidRPr="00AF3764">
        <w:rPr>
          <w:rFonts w:ascii="Verdana" w:eastAsia="Century Gothic" w:hAnsi="Verdana" w:cs="Century Gothic"/>
          <w:sz w:val="20"/>
          <w:szCs w:val="20"/>
        </w:rPr>
        <w:t xml:space="preserve">(sic) si soy sobrina de un concejal en un municipio de sexta </w:t>
      </w:r>
      <w:r>
        <w:rPr>
          <w:rFonts w:ascii="Verdana" w:eastAsia="Century Gothic" w:hAnsi="Verdana" w:cs="Century Gothic"/>
          <w:sz w:val="20"/>
          <w:szCs w:val="20"/>
        </w:rPr>
        <w:t>categoría</w:t>
      </w:r>
      <w:r w:rsidRPr="00AF3764">
        <w:rPr>
          <w:rFonts w:ascii="Verdana" w:eastAsia="Century Gothic" w:hAnsi="Verdana" w:cs="Century Gothic"/>
          <w:sz w:val="20"/>
          <w:szCs w:val="20"/>
        </w:rPr>
        <w:t xml:space="preserve"> es de aclarar que mi </w:t>
      </w:r>
      <w:proofErr w:type="spellStart"/>
      <w:r w:rsidRPr="00AF3764">
        <w:rPr>
          <w:rFonts w:ascii="Verdana" w:eastAsia="Century Gothic" w:hAnsi="Verdana" w:cs="Century Gothic"/>
          <w:sz w:val="20"/>
          <w:szCs w:val="20"/>
        </w:rPr>
        <w:t>tio</w:t>
      </w:r>
      <w:proofErr w:type="spellEnd"/>
      <w:r w:rsidRPr="00AF3764">
        <w:rPr>
          <w:rFonts w:ascii="Verdana" w:eastAsia="Century Gothic" w:hAnsi="Verdana" w:cs="Century Gothic"/>
          <w:sz w:val="20"/>
          <w:szCs w:val="20"/>
        </w:rPr>
        <w:t xml:space="preserve"> (sic)</w:t>
      </w:r>
      <w:r>
        <w:rPr>
          <w:rFonts w:ascii="Verdana" w:eastAsia="Century Gothic" w:hAnsi="Verdana" w:cs="Century Gothic"/>
          <w:sz w:val="20"/>
          <w:szCs w:val="20"/>
        </w:rPr>
        <w:t xml:space="preserve"> </w:t>
      </w:r>
      <w:r w:rsidRPr="00AF3764">
        <w:rPr>
          <w:rFonts w:ascii="Verdana" w:eastAsia="Century Gothic" w:hAnsi="Verdana" w:cs="Century Gothic"/>
          <w:sz w:val="20"/>
          <w:szCs w:val="20"/>
        </w:rPr>
        <w:t xml:space="preserve">no tiene </w:t>
      </w:r>
      <w:r>
        <w:rPr>
          <w:rFonts w:ascii="Verdana" w:eastAsia="Century Gothic" w:hAnsi="Verdana" w:cs="Century Gothic"/>
          <w:sz w:val="20"/>
          <w:szCs w:val="20"/>
        </w:rPr>
        <w:t xml:space="preserve">ningún </w:t>
      </w:r>
      <w:r w:rsidRPr="00AF3764">
        <w:rPr>
          <w:rFonts w:ascii="Verdana" w:eastAsia="Century Gothic" w:hAnsi="Verdana" w:cs="Century Gothic"/>
          <w:sz w:val="20"/>
          <w:szCs w:val="20"/>
        </w:rPr>
        <w:t xml:space="preserve">(sic) tipo de relación </w:t>
      </w:r>
      <w:proofErr w:type="spellStart"/>
      <w:r w:rsidRPr="00AF3764">
        <w:rPr>
          <w:rFonts w:ascii="Verdana" w:eastAsia="Century Gothic" w:hAnsi="Verdana" w:cs="Century Gothic"/>
          <w:sz w:val="20"/>
          <w:szCs w:val="20"/>
        </w:rPr>
        <w:t>cercania</w:t>
      </w:r>
      <w:proofErr w:type="spellEnd"/>
      <w:r w:rsidRPr="00AF3764">
        <w:rPr>
          <w:rFonts w:ascii="Verdana" w:eastAsia="Century Gothic" w:hAnsi="Verdana" w:cs="Century Gothic"/>
          <w:sz w:val="20"/>
          <w:szCs w:val="20"/>
        </w:rPr>
        <w:t xml:space="preserve"> (sic)</w:t>
      </w:r>
      <w:r>
        <w:rPr>
          <w:rFonts w:ascii="Verdana" w:eastAsia="Century Gothic" w:hAnsi="Verdana" w:cs="Century Gothic"/>
          <w:sz w:val="20"/>
          <w:szCs w:val="20"/>
        </w:rPr>
        <w:t xml:space="preserve"> </w:t>
      </w:r>
      <w:r w:rsidRPr="00AF3764">
        <w:rPr>
          <w:rFonts w:ascii="Verdana" w:eastAsia="Century Gothic" w:hAnsi="Verdana" w:cs="Century Gothic"/>
          <w:sz w:val="20"/>
          <w:szCs w:val="20"/>
        </w:rPr>
        <w:t xml:space="preserve">con el área de contratación y es de aclarar que vengo prestando este apoyo como contratista </w:t>
      </w:r>
      <w:r>
        <w:rPr>
          <w:rFonts w:ascii="Verdana" w:eastAsia="Century Gothic" w:hAnsi="Verdana" w:cs="Century Gothic"/>
          <w:sz w:val="20"/>
          <w:szCs w:val="20"/>
        </w:rPr>
        <w:t xml:space="preserve">desde </w:t>
      </w:r>
      <w:r w:rsidRPr="00AF3764">
        <w:rPr>
          <w:rFonts w:ascii="Verdana" w:eastAsia="Century Gothic" w:hAnsi="Verdana" w:cs="Century Gothic"/>
          <w:sz w:val="20"/>
          <w:szCs w:val="20"/>
        </w:rPr>
        <w:t>(sic) el año 2016 para lo cual tengo la idoneidad y experiencia. Atentamente</w:t>
      </w:r>
      <w:r>
        <w:rPr>
          <w:rFonts w:ascii="Verdana" w:eastAsia="Century Gothic" w:hAnsi="Verdana" w:cs="Century Gothic"/>
          <w:sz w:val="20"/>
          <w:szCs w:val="20"/>
        </w:rPr>
        <w:t xml:space="preserve"> </w:t>
      </w:r>
      <w:r>
        <w:rPr>
          <w:rFonts w:ascii="Verdana" w:hAnsi="Verdana"/>
          <w:sz w:val="20"/>
          <w:szCs w:val="20"/>
        </w:rPr>
        <w:t>(…)”</w:t>
      </w:r>
      <w:r w:rsidRPr="008A3F6C">
        <w:rPr>
          <w:rFonts w:ascii="Verdana" w:hAnsi="Verdana"/>
          <w:sz w:val="20"/>
          <w:szCs w:val="20"/>
        </w:rPr>
        <w:t>.</w:t>
      </w:r>
    </w:p>
    <w:p w14:paraId="46456D01" w14:textId="77777777" w:rsidR="00662485" w:rsidRPr="005675E1" w:rsidRDefault="00662485" w:rsidP="00662485">
      <w:pPr>
        <w:spacing w:after="0" w:line="240" w:lineRule="auto"/>
        <w:ind w:left="709" w:right="709"/>
        <w:jc w:val="both"/>
        <w:rPr>
          <w:rFonts w:ascii="Verdana" w:hAnsi="Verdana"/>
          <w:sz w:val="20"/>
          <w:szCs w:val="20"/>
        </w:rPr>
      </w:pPr>
    </w:p>
    <w:p w14:paraId="7073A902" w14:textId="77777777" w:rsidR="00662485" w:rsidRDefault="00662485" w:rsidP="00662485">
      <w:pPr>
        <w:spacing w:after="120"/>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027B647" w14:textId="77777777" w:rsidR="00662485" w:rsidRPr="00174E21" w:rsidRDefault="00662485" w:rsidP="00662485">
      <w:pPr>
        <w:spacing w:after="120"/>
        <w:ind w:firstLine="709"/>
        <w:jc w:val="both"/>
        <w:rPr>
          <w:rFonts w:ascii="Verdana" w:eastAsia="Calibri" w:hAnsi="Verdana" w:cs="Arial"/>
          <w:color w:val="000000"/>
          <w:lang w:eastAsia="es-ES"/>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Pr>
          <w:rFonts w:ascii="Verdana" w:eastAsia="Calibri" w:hAnsi="Verdana" w:cs="Arial"/>
          <w:color w:val="000000"/>
          <w:lang w:eastAsia="es-ES"/>
        </w:rPr>
        <w:t>con el problema jurídico de su consulta.</w:t>
      </w:r>
      <w:r w:rsidRPr="00174E21">
        <w:rPr>
          <w:rFonts w:ascii="Verdana" w:eastAsia="Calibri" w:hAnsi="Verdana" w:cs="Arial"/>
          <w:color w:val="000000"/>
          <w:lang w:eastAsia="es-ES"/>
        </w:rPr>
        <w:t xml:space="preserve">  </w:t>
      </w:r>
    </w:p>
    <w:p w14:paraId="2E8881B5" w14:textId="77777777" w:rsidR="00662485" w:rsidRPr="00174E21" w:rsidRDefault="00662485" w:rsidP="00662485">
      <w:pPr>
        <w:spacing w:after="0" w:line="240" w:lineRule="auto"/>
        <w:ind w:firstLine="709"/>
        <w:jc w:val="both"/>
        <w:rPr>
          <w:rFonts w:ascii="Verdana" w:eastAsia="Calibri" w:hAnsi="Verdana" w:cs="Arial"/>
          <w:color w:val="000000"/>
          <w:szCs w:val="24"/>
          <w:lang w:eastAsia="es-ES_tradnl"/>
        </w:rPr>
      </w:pPr>
    </w:p>
    <w:p w14:paraId="45E4D445" w14:textId="77777777" w:rsidR="00662485" w:rsidRPr="00174E21" w:rsidRDefault="00662485" w:rsidP="0066248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74E21">
        <w:rPr>
          <w:rFonts w:ascii="Verdana" w:eastAsia="Century Gothic" w:hAnsi="Verdana" w:cs="Century Gothic"/>
          <w:b/>
          <w:bCs/>
        </w:rPr>
        <w:t>Problema planteado:</w:t>
      </w:r>
    </w:p>
    <w:p w14:paraId="76B03AE6" w14:textId="77777777" w:rsidR="00662485" w:rsidRPr="00174E21" w:rsidRDefault="00662485" w:rsidP="00662485">
      <w:pPr>
        <w:spacing w:after="0" w:line="240" w:lineRule="auto"/>
        <w:jc w:val="both"/>
        <w:rPr>
          <w:rFonts w:ascii="Verdana" w:eastAsia="Calibri" w:hAnsi="Verdana" w:cs="Arial"/>
          <w:color w:val="000000"/>
          <w:lang w:eastAsia="es-ES"/>
        </w:rPr>
      </w:pPr>
    </w:p>
    <w:p w14:paraId="61D06F9B" w14:textId="3DCF03F2" w:rsidR="00662485" w:rsidRPr="00E236F0" w:rsidRDefault="00662485" w:rsidP="00662485">
      <w:pPr>
        <w:spacing w:after="120"/>
        <w:jc w:val="both"/>
        <w:rPr>
          <w:rFonts w:ascii="Verdana" w:eastAsia="Calibri" w:hAnsi="Verdana" w:cs="Arial"/>
          <w:color w:val="000000"/>
          <w:lang w:eastAsia="es-ES"/>
        </w:rPr>
      </w:pPr>
      <w:r w:rsidRPr="6894EB3A">
        <w:rPr>
          <w:rFonts w:ascii="Verdana" w:eastAsia="Calibri" w:hAnsi="Verdana" w:cs="Arial"/>
          <w:color w:val="000000" w:themeColor="text1"/>
          <w:lang w:eastAsia="es-ES"/>
        </w:rPr>
        <w:t>De acuerdo con el contenido de su solicitud, esta Agencia resolverá el siguiente problema jurídico ¿E</w:t>
      </w:r>
      <w:r w:rsidRPr="6894EB3A">
        <w:rPr>
          <w:rFonts w:ascii="Verdana" w:eastAsia="Century Gothic" w:hAnsi="Verdana" w:cs="Century Gothic"/>
        </w:rPr>
        <w:t xml:space="preserve">xiste alguna inhabilidad </w:t>
      </w:r>
      <w:r w:rsidR="12305421" w:rsidRPr="6894EB3A">
        <w:rPr>
          <w:rFonts w:ascii="Verdana" w:eastAsia="Century Gothic" w:hAnsi="Verdana" w:cs="Century Gothic"/>
        </w:rPr>
        <w:t xml:space="preserve">para que </w:t>
      </w:r>
      <w:r w:rsidRPr="6894EB3A">
        <w:rPr>
          <w:rFonts w:ascii="Verdana" w:eastAsia="Century Gothic" w:hAnsi="Verdana" w:cs="Century Gothic"/>
        </w:rPr>
        <w:t xml:space="preserve">una persona que tiene vínculo de parentesco dentro del </w:t>
      </w:r>
      <w:r w:rsidR="007775F0">
        <w:rPr>
          <w:rFonts w:ascii="Verdana" w:eastAsia="Century Gothic" w:hAnsi="Verdana" w:cs="Century Gothic"/>
        </w:rPr>
        <w:t>tercer</w:t>
      </w:r>
      <w:r w:rsidR="007775F0" w:rsidRPr="6894EB3A">
        <w:rPr>
          <w:rFonts w:ascii="Verdana" w:eastAsia="Century Gothic" w:hAnsi="Verdana" w:cs="Century Gothic"/>
        </w:rPr>
        <w:t xml:space="preserve"> </w:t>
      </w:r>
      <w:r w:rsidRPr="6894EB3A">
        <w:rPr>
          <w:rFonts w:ascii="Verdana" w:eastAsia="Century Gothic" w:hAnsi="Verdana" w:cs="Century Gothic"/>
        </w:rPr>
        <w:t xml:space="preserve">grado de consanguinidad con un concejal de un municipio de sexta </w:t>
      </w:r>
      <w:proofErr w:type="gramStart"/>
      <w:r w:rsidRPr="6894EB3A">
        <w:rPr>
          <w:rFonts w:ascii="Verdana" w:eastAsia="Century Gothic" w:hAnsi="Verdana" w:cs="Century Gothic"/>
        </w:rPr>
        <w:t>categoría</w:t>
      </w:r>
      <w:r w:rsidR="4414D198" w:rsidRPr="6894EB3A">
        <w:rPr>
          <w:rFonts w:ascii="Verdana" w:eastAsia="Century Gothic" w:hAnsi="Verdana" w:cs="Century Gothic"/>
        </w:rPr>
        <w:t>,</w:t>
      </w:r>
      <w:proofErr w:type="gramEnd"/>
      <w:r w:rsidRPr="6894EB3A">
        <w:rPr>
          <w:rFonts w:ascii="Verdana" w:eastAsia="Century Gothic" w:hAnsi="Verdana" w:cs="Century Gothic"/>
        </w:rPr>
        <w:t xml:space="preserve"> pueda suscribir un contrato de prestación de servicios </w:t>
      </w:r>
      <w:r w:rsidR="70AAECB4" w:rsidRPr="6894EB3A">
        <w:rPr>
          <w:rFonts w:ascii="Verdana" w:eastAsia="Century Gothic" w:hAnsi="Verdana" w:cs="Century Gothic"/>
        </w:rPr>
        <w:t>con el mismo municipio</w:t>
      </w:r>
      <w:r w:rsidRPr="6894EB3A">
        <w:rPr>
          <w:rFonts w:ascii="Verdana" w:eastAsia="Calibri" w:hAnsi="Verdana" w:cs="Arial"/>
          <w:color w:val="000000" w:themeColor="text1"/>
          <w:lang w:eastAsia="es-ES"/>
        </w:rPr>
        <w:t xml:space="preserve">?  </w:t>
      </w:r>
    </w:p>
    <w:p w14:paraId="14567670" w14:textId="77777777" w:rsidR="00662485" w:rsidRDefault="00662485" w:rsidP="00662485">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540A5418" w14:textId="77777777" w:rsidR="00662485" w:rsidRPr="008E4F36" w:rsidRDefault="00662485" w:rsidP="00662485">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662485" w:rsidRPr="008E4F36" w14:paraId="3DD63337" w14:textId="77777777" w:rsidTr="6894EB3A">
        <w:tc>
          <w:tcPr>
            <w:tcW w:w="8828" w:type="dxa"/>
          </w:tcPr>
          <w:p w14:paraId="2B48F968" w14:textId="77777777" w:rsidR="00662485" w:rsidRDefault="00662485" w:rsidP="0023368A">
            <w:pPr>
              <w:pStyle w:val="Textoindependiente"/>
              <w:spacing w:after="120" w:line="276" w:lineRule="auto"/>
              <w:ind w:firstLine="709"/>
              <w:jc w:val="both"/>
              <w:rPr>
                <w:rFonts w:ascii="Verdana" w:hAnsi="Verdana"/>
              </w:rPr>
            </w:pPr>
            <w:r w:rsidRPr="00A25C67">
              <w:rPr>
                <w:rFonts w:ascii="Verdana" w:hAnsi="Verdana"/>
              </w:rPr>
              <w:t>En relación con la inhabilidad para contratar por parentesco, la Ley 80 de 1993 en su artículo 8, establece en el literal b) del numeral 2°, que no podrán participar en procedimientos de selección ni celebrar contratos estatales con la entidad respectiva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2994D8B5" w14:textId="77777777" w:rsidR="00662485" w:rsidRPr="00A25C67" w:rsidRDefault="00662485" w:rsidP="0023368A">
            <w:pPr>
              <w:pStyle w:val="Textoindependiente"/>
              <w:spacing w:after="120" w:line="276" w:lineRule="auto"/>
              <w:ind w:firstLine="708"/>
              <w:jc w:val="both"/>
              <w:rPr>
                <w:rFonts w:ascii="Verdana" w:hAnsi="Verdana"/>
              </w:rPr>
            </w:pPr>
            <w:r w:rsidRPr="00A25C67">
              <w:rPr>
                <w:rFonts w:ascii="Verdana" w:hAnsi="Verdana"/>
                <w:lang w:val="es-ES_tradnl"/>
              </w:rPr>
              <w:t xml:space="preserve">Esta inhabilidad es </w:t>
            </w:r>
            <w:r>
              <w:rPr>
                <w:rFonts w:ascii="Verdana" w:hAnsi="Verdana"/>
                <w:lang w:val="es-ES_tradnl"/>
              </w:rPr>
              <w:t xml:space="preserve">la </w:t>
            </w:r>
            <w:r w:rsidRPr="00A25C67">
              <w:rPr>
                <w:rFonts w:ascii="Verdana" w:hAnsi="Verdana"/>
                <w:i/>
                <w:iCs/>
                <w:lang w:val="es-ES_tradnl"/>
              </w:rPr>
              <w:t>regla general</w:t>
            </w:r>
            <w:r w:rsidRPr="00A25C67">
              <w:rPr>
                <w:rFonts w:ascii="Verdana" w:hAnsi="Verdana"/>
                <w:lang w:val="es-ES_tradnl"/>
              </w:rPr>
              <w:t xml:space="preserve"> tanto para las entidades sometidas al EGCAP como a las del régimen exceptuado. No obstante, considerando que </w:t>
            </w:r>
            <w:r w:rsidRPr="00A25C67">
              <w:rPr>
                <w:rFonts w:ascii="Verdana" w:hAnsi="Verdana"/>
                <w:lang w:val="es-ES_tradnl"/>
              </w:rPr>
              <w:lastRenderedPageBreak/>
              <w:t xml:space="preserve">–conforme al artículo 8, literal a) del numeral 1, de la Ley 80 de 1993– las personas que se hallen inhabilitadas para contratar por la Constitución y las leyes no pueden participar en procedimientos de selección ni celebrar contratos, el inciso tercero del artículo 49 de la Ley 617 de 2000 –modificado por las Leyes 821 de 2003, 1148 de 2007 y 1296 de 2009– introduce una </w:t>
            </w:r>
            <w:r w:rsidRPr="00A25C67">
              <w:rPr>
                <w:rFonts w:ascii="Verdana" w:hAnsi="Verdana"/>
                <w:i/>
                <w:iCs/>
                <w:lang w:val="es-ES_tradnl"/>
              </w:rPr>
              <w:t>regla especial</w:t>
            </w:r>
            <w:r w:rsidRPr="00A25C67">
              <w:rPr>
                <w:rFonts w:ascii="Verdana" w:hAnsi="Verdana"/>
                <w:lang w:val="es-ES_tradnl"/>
              </w:rPr>
              <w:t xml:space="preserve"> que restringe la contratación de las gobernaciones, asambleas, alcaldías y concejos:</w:t>
            </w:r>
          </w:p>
          <w:p w14:paraId="4E4A6DFF" w14:textId="7B7CB8D1" w:rsidR="00662485" w:rsidRPr="00A25C67" w:rsidRDefault="00662485" w:rsidP="6894EB3A">
            <w:pPr>
              <w:pStyle w:val="Textoindependiente"/>
              <w:spacing w:after="120" w:line="276" w:lineRule="auto"/>
              <w:ind w:firstLine="708"/>
              <w:jc w:val="both"/>
              <w:rPr>
                <w:rFonts w:ascii="Verdana" w:hAnsi="Verdana"/>
              </w:rPr>
            </w:pPr>
            <w:r w:rsidRPr="6894EB3A">
              <w:rPr>
                <w:rFonts w:ascii="Verdana" w:hAnsi="Verdana"/>
              </w:rPr>
              <w:t xml:space="preserve">“(…) </w:t>
            </w:r>
            <w:r w:rsidRPr="6894EB3A">
              <w:rPr>
                <w:rFonts w:ascii="Verdana" w:hAnsi="Verdana"/>
                <w:lang w:val="es-CO"/>
              </w:rPr>
              <w:t>Los cónyuges o </w:t>
            </w:r>
            <w:r w:rsidRPr="6894EB3A">
              <w:rPr>
                <w:rFonts w:ascii="Verdana" w:hAnsi="Verdana"/>
                <w:u w:val="single"/>
                <w:lang w:val="es-CO"/>
              </w:rPr>
              <w:t>compañeros permanentes</w:t>
            </w:r>
            <w:r w:rsidRPr="6894EB3A">
              <w:rPr>
                <w:rFonts w:ascii="Verdana" w:hAnsi="Verdana"/>
                <w:lang w:val="es-CO"/>
              </w:rPr>
              <w:t> de los gobernadores, diputados, alcaldes municipales y distritales, concejales municipales y distritales y sus parientes </w:t>
            </w:r>
            <w:r w:rsidRPr="6894EB3A">
              <w:rPr>
                <w:rFonts w:ascii="Verdana" w:hAnsi="Verdana"/>
                <w:i/>
                <w:iCs/>
                <w:lang w:val="es-CO"/>
              </w:rPr>
              <w:t>dentro del cuarto grado de consanguinidad,</w:t>
            </w:r>
            <w:r w:rsidRPr="6894EB3A">
              <w:rPr>
                <w:rFonts w:ascii="Verdana" w:hAnsi="Verdana"/>
                <w:lang w:val="es-CO"/>
              </w:rPr>
              <w:t> segundo de afinidad, o primero civil </w:t>
            </w:r>
            <w:r w:rsidRPr="6894EB3A">
              <w:rPr>
                <w:rFonts w:ascii="Verdana" w:hAnsi="Verdana"/>
                <w:i/>
                <w:iCs/>
                <w:lang w:val="es-CO"/>
              </w:rPr>
              <w:t>no podrán ser contratistas</w:t>
            </w:r>
            <w:r w:rsidRPr="6894EB3A">
              <w:rPr>
                <w:rFonts w:ascii="Verdana" w:hAnsi="Verdana"/>
                <w:lang w:val="es-CO"/>
              </w:rPr>
              <w:t> del respectivo departamento, distrito o municipio, o de sus entidades descentralizadas, ni directa, ni indirectamente (…)”.</w:t>
            </w:r>
          </w:p>
          <w:p w14:paraId="186AAC1A" w14:textId="77777777" w:rsidR="00662485" w:rsidRDefault="00662485" w:rsidP="0023368A">
            <w:pPr>
              <w:widowControl w:val="0"/>
              <w:autoSpaceDE w:val="0"/>
              <w:autoSpaceDN w:val="0"/>
              <w:spacing w:after="120" w:line="276" w:lineRule="auto"/>
              <w:ind w:firstLine="709"/>
              <w:jc w:val="both"/>
              <w:rPr>
                <w:rFonts w:ascii="Verdana" w:hAnsi="Verdana" w:cs="Open Sans"/>
              </w:rPr>
            </w:pPr>
            <w:r w:rsidRPr="6894EB3A">
              <w:rPr>
                <w:rFonts w:ascii="Verdana" w:eastAsia="Calibri" w:hAnsi="Verdana" w:cs="Arial"/>
                <w:lang w:val="es-ES"/>
              </w:rPr>
              <w:t>Además, el parágrafo tercero del mismo artículo 49 de la Ley 617 de 2000 hace una distinción para los concejales municipios de cuarta, quinta y sexta categoría en tanto: “</w:t>
            </w:r>
            <w:r w:rsidRPr="6894EB3A">
              <w:rPr>
                <w:rFonts w:ascii="Verdana" w:hAnsi="Verdana" w:cs="Open Sans"/>
              </w:rPr>
              <w:t xml:space="preserve">Tratándose de concejales de municipios de cuarta, quinta y sexta categoría, las prohibiciones establecidas en el presente artículo se aplicarán únicamente para los cónyuges o compañeros permanentes y parientes hasta el </w:t>
            </w:r>
            <w:r w:rsidRPr="00FC2009">
              <w:rPr>
                <w:rFonts w:ascii="Verdana" w:hAnsi="Verdana" w:cs="Open Sans"/>
              </w:rPr>
              <w:t>segundo grado</w:t>
            </w:r>
            <w:r w:rsidRPr="6894EB3A">
              <w:rPr>
                <w:rFonts w:ascii="Verdana" w:hAnsi="Verdana" w:cs="Open Sans"/>
              </w:rPr>
              <w:t xml:space="preserve"> de consanguinidad, p</w:t>
            </w:r>
            <w:r w:rsidRPr="040D60E1">
              <w:rPr>
                <w:rFonts w:ascii="Verdana" w:hAnsi="Verdana" w:cs="Open Sans"/>
              </w:rPr>
              <w:t>rimero de afinidad o único civil</w:t>
            </w:r>
            <w:r w:rsidRPr="6894EB3A">
              <w:rPr>
                <w:rFonts w:ascii="Verdana" w:hAnsi="Verdana" w:cs="Open Sans"/>
              </w:rPr>
              <w:t>.”</w:t>
            </w:r>
          </w:p>
          <w:p w14:paraId="5B0DE8ED" w14:textId="77777777" w:rsidR="00DA3281" w:rsidRDefault="00662485" w:rsidP="6894EB3A">
            <w:pPr>
              <w:spacing w:after="120" w:line="276" w:lineRule="auto"/>
              <w:ind w:firstLine="709"/>
              <w:jc w:val="both"/>
              <w:rPr>
                <w:rFonts w:ascii="Verdana" w:eastAsia="Calibri" w:hAnsi="Verdana" w:cs="Arial"/>
                <w:color w:val="000000" w:themeColor="text1"/>
                <w:lang w:val="es-ES"/>
              </w:rPr>
            </w:pPr>
            <w:r w:rsidRPr="6894EB3A">
              <w:rPr>
                <w:rFonts w:ascii="Verdana" w:eastAsia="Calibri" w:hAnsi="Verdana" w:cs="Arial"/>
                <w:lang w:val="es-ES"/>
              </w:rPr>
              <w:t>Así, esta regla especial</w:t>
            </w:r>
            <w:r w:rsidR="00B745DD">
              <w:rPr>
                <w:rFonts w:ascii="Verdana" w:eastAsia="Calibri" w:hAnsi="Verdana" w:cs="Arial"/>
                <w:lang w:val="es-ES"/>
              </w:rPr>
              <w:t xml:space="preserve"> contenida en</w:t>
            </w:r>
            <w:r w:rsidR="00A4647D">
              <w:rPr>
                <w:rFonts w:ascii="Verdana" w:eastAsia="Calibri" w:hAnsi="Verdana" w:cs="Arial"/>
                <w:lang w:val="es-ES"/>
              </w:rPr>
              <w:t xml:space="preserve"> el artículo 49 de la Ley 617 de 2000</w:t>
            </w:r>
            <w:r w:rsidRPr="6894EB3A">
              <w:rPr>
                <w:rFonts w:ascii="Verdana" w:eastAsia="Calibri" w:hAnsi="Verdana" w:cs="Arial"/>
                <w:lang w:val="es-ES"/>
              </w:rPr>
              <w:t xml:space="preserve"> dispone </w:t>
            </w:r>
            <w:r w:rsidR="00A4647D">
              <w:rPr>
                <w:rFonts w:ascii="Verdana" w:eastAsia="Calibri" w:hAnsi="Verdana" w:cs="Arial"/>
                <w:lang w:val="es-ES"/>
              </w:rPr>
              <w:t xml:space="preserve">en primer lugar </w:t>
            </w:r>
            <w:r w:rsidRPr="6894EB3A">
              <w:rPr>
                <w:rFonts w:ascii="Verdana" w:eastAsia="Calibri" w:hAnsi="Verdana" w:cs="Arial"/>
                <w:lang w:val="es-ES"/>
              </w:rPr>
              <w:t xml:space="preserve">una prohibición que </w:t>
            </w:r>
            <w:r w:rsidRPr="6894EB3A">
              <w:rPr>
                <w:rFonts w:ascii="Verdana" w:eastAsia="Calibri" w:hAnsi="Verdana" w:cs="Arial"/>
                <w:color w:val="000000" w:themeColor="text1"/>
                <w:lang w:val="es-ES"/>
              </w:rPr>
              <w:t>aplica a los cónyuges o compañeros permanentes de los gobernadores, diputados, alcaldes o concejales, así como a sus parientes dentro del cuarto grado de consanguinidad, segundo de afinidad o primero civil, quienes no podrán celebrar contratos directa ni indirectamente con el departamento, distrito o municipio, o con sus entidades descentralizadas</w:t>
            </w:r>
            <w:r w:rsidR="009F57A5">
              <w:rPr>
                <w:rFonts w:ascii="Verdana" w:eastAsia="Calibri" w:hAnsi="Verdana" w:cs="Arial"/>
                <w:color w:val="000000" w:themeColor="text1"/>
                <w:lang w:val="es-ES"/>
              </w:rPr>
              <w:t>, tratándose de los municipios de primera, segunda y tercera categoría</w:t>
            </w:r>
            <w:r w:rsidRPr="6894EB3A">
              <w:rPr>
                <w:rFonts w:ascii="Verdana" w:eastAsia="Calibri" w:hAnsi="Verdana" w:cs="Arial"/>
                <w:color w:val="000000" w:themeColor="text1"/>
                <w:lang w:val="es-ES"/>
              </w:rPr>
              <w:t xml:space="preserve">. </w:t>
            </w:r>
          </w:p>
          <w:p w14:paraId="4F591A77" w14:textId="6E7FDAC3" w:rsidR="00662485" w:rsidRDefault="00E16161" w:rsidP="6894EB3A">
            <w:pPr>
              <w:spacing w:after="120" w:line="276" w:lineRule="auto"/>
              <w:ind w:firstLine="709"/>
              <w:jc w:val="both"/>
              <w:rPr>
                <w:rFonts w:ascii="Verdana" w:eastAsia="Calibri" w:hAnsi="Verdana" w:cs="Arial"/>
                <w:color w:val="000000"/>
                <w:lang w:val="es-ES"/>
              </w:rPr>
            </w:pPr>
            <w:r>
              <w:rPr>
                <w:rFonts w:ascii="Verdana" w:eastAsia="Calibri" w:hAnsi="Verdana" w:cs="Arial"/>
                <w:color w:val="000000" w:themeColor="text1"/>
                <w:lang w:val="es-ES"/>
              </w:rPr>
              <w:t>Por su parte, el parágrafo tercero del mencionado artículo</w:t>
            </w:r>
            <w:r w:rsidR="00DA3281">
              <w:rPr>
                <w:rFonts w:ascii="Verdana" w:eastAsia="Calibri" w:hAnsi="Verdana" w:cs="Arial"/>
                <w:color w:val="000000" w:themeColor="text1"/>
                <w:lang w:val="es-ES"/>
              </w:rPr>
              <w:t xml:space="preserve"> 49</w:t>
            </w:r>
            <w:r>
              <w:rPr>
                <w:rFonts w:ascii="Verdana" w:eastAsia="Calibri" w:hAnsi="Verdana" w:cs="Arial"/>
                <w:color w:val="000000" w:themeColor="text1"/>
                <w:lang w:val="es-ES"/>
              </w:rPr>
              <w:t xml:space="preserve"> determina que, </w:t>
            </w:r>
            <w:r w:rsidR="00662485" w:rsidRPr="6894EB3A">
              <w:rPr>
                <w:rFonts w:ascii="Verdana" w:eastAsia="Calibri" w:hAnsi="Verdana" w:cs="Arial"/>
                <w:color w:val="000000" w:themeColor="text1"/>
                <w:lang w:val="es-ES"/>
              </w:rPr>
              <w:t xml:space="preserve">la prohibición </w:t>
            </w:r>
            <w:r w:rsidR="00DA3281">
              <w:rPr>
                <w:rFonts w:ascii="Verdana" w:eastAsia="Calibri" w:hAnsi="Verdana" w:cs="Arial"/>
                <w:color w:val="000000" w:themeColor="text1"/>
                <w:lang w:val="es-ES"/>
              </w:rPr>
              <w:t>relativa</w:t>
            </w:r>
            <w:r w:rsidR="00545EA3">
              <w:rPr>
                <w:rFonts w:ascii="Verdana" w:eastAsia="Calibri" w:hAnsi="Verdana" w:cs="Arial"/>
                <w:color w:val="000000" w:themeColor="text1"/>
                <w:lang w:val="es-ES"/>
              </w:rPr>
              <w:t xml:space="preserve"> a la celebración de contratos </w:t>
            </w:r>
            <w:r w:rsidR="00662485" w:rsidRPr="6894EB3A">
              <w:rPr>
                <w:rFonts w:ascii="Verdana" w:eastAsia="Calibri" w:hAnsi="Verdana" w:cs="Arial"/>
                <w:color w:val="000000" w:themeColor="text1"/>
                <w:lang w:val="es-ES"/>
              </w:rPr>
              <w:t xml:space="preserve">se aplica únicamente </w:t>
            </w:r>
            <w:r w:rsidR="005A7806">
              <w:rPr>
                <w:rFonts w:ascii="Verdana" w:eastAsia="Calibri" w:hAnsi="Verdana" w:cs="Arial"/>
                <w:color w:val="000000" w:themeColor="text1"/>
                <w:lang w:val="es-ES"/>
              </w:rPr>
              <w:t xml:space="preserve">para los concejales </w:t>
            </w:r>
            <w:r w:rsidR="00545EA9">
              <w:rPr>
                <w:rFonts w:ascii="Verdana" w:eastAsia="Calibri" w:hAnsi="Verdana" w:cs="Arial"/>
                <w:color w:val="000000" w:themeColor="text1"/>
                <w:lang w:val="es-ES"/>
              </w:rPr>
              <w:t xml:space="preserve">de los municipios de cuarta, quinta y sexta categoría, </w:t>
            </w:r>
            <w:r w:rsidR="005A7806">
              <w:rPr>
                <w:rFonts w:ascii="Verdana" w:eastAsia="Calibri" w:hAnsi="Verdana" w:cs="Arial"/>
                <w:color w:val="000000" w:themeColor="text1"/>
                <w:lang w:val="es-ES"/>
              </w:rPr>
              <w:t xml:space="preserve">cuyos parientes sean </w:t>
            </w:r>
            <w:r w:rsidR="00745CE9">
              <w:rPr>
                <w:rFonts w:ascii="Verdana" w:eastAsia="Calibri" w:hAnsi="Verdana" w:cs="Arial"/>
                <w:color w:val="000000" w:themeColor="text1"/>
                <w:lang w:val="es-ES"/>
              </w:rPr>
              <w:t xml:space="preserve">los </w:t>
            </w:r>
            <w:r w:rsidR="00662485" w:rsidRPr="6894EB3A">
              <w:rPr>
                <w:rFonts w:ascii="Verdana" w:eastAsia="Calibri" w:hAnsi="Verdana" w:cs="Arial"/>
                <w:color w:val="000000" w:themeColor="text1"/>
                <w:lang w:val="es-ES"/>
              </w:rPr>
              <w:t xml:space="preserve">cónyuges o compañeros permanentes y parientes hasta el segundo grado de consanguinidad, primero de afinidad o único civil. En ese sentido, para los parientes </w:t>
            </w:r>
            <w:r w:rsidR="009D13E1">
              <w:rPr>
                <w:rFonts w:ascii="Verdana" w:eastAsia="Calibri" w:hAnsi="Verdana" w:cs="Arial"/>
                <w:color w:val="000000" w:themeColor="text1"/>
                <w:lang w:val="es-ES"/>
              </w:rPr>
              <w:t xml:space="preserve">que se encuentran </w:t>
            </w:r>
            <w:r w:rsidR="00662485" w:rsidRPr="6894EB3A">
              <w:rPr>
                <w:rFonts w:ascii="Verdana" w:eastAsia="Calibri" w:hAnsi="Verdana" w:cs="Arial"/>
                <w:color w:val="000000" w:themeColor="text1"/>
                <w:lang w:val="es-ES"/>
              </w:rPr>
              <w:t xml:space="preserve">dentro del </w:t>
            </w:r>
            <w:r w:rsidR="004B1ECA">
              <w:rPr>
                <w:rFonts w:ascii="Verdana" w:eastAsia="Calibri" w:hAnsi="Verdana" w:cs="Arial"/>
                <w:color w:val="000000" w:themeColor="text1"/>
                <w:lang w:val="es-ES"/>
              </w:rPr>
              <w:t>tercer</w:t>
            </w:r>
            <w:r w:rsidR="004B1ECA" w:rsidRPr="6894EB3A">
              <w:rPr>
                <w:rFonts w:ascii="Verdana" w:eastAsia="Calibri" w:hAnsi="Verdana" w:cs="Arial"/>
                <w:color w:val="000000" w:themeColor="text1"/>
                <w:lang w:val="es-ES"/>
              </w:rPr>
              <w:t xml:space="preserve"> </w:t>
            </w:r>
            <w:r w:rsidR="00662485" w:rsidRPr="6894EB3A">
              <w:rPr>
                <w:rFonts w:ascii="Verdana" w:eastAsia="Calibri" w:hAnsi="Verdana" w:cs="Arial"/>
                <w:color w:val="000000" w:themeColor="text1"/>
                <w:lang w:val="es-ES"/>
              </w:rPr>
              <w:t xml:space="preserve">grado de </w:t>
            </w:r>
            <w:r w:rsidR="00662485" w:rsidRPr="6894EB3A">
              <w:rPr>
                <w:rFonts w:ascii="Verdana" w:eastAsia="Calibri" w:hAnsi="Verdana" w:cs="Arial"/>
                <w:color w:val="000000" w:themeColor="text1"/>
                <w:lang w:val="es-ES"/>
              </w:rPr>
              <w:lastRenderedPageBreak/>
              <w:t xml:space="preserve">consanguinidad de un concejal de un municipio de cuarta, quinta o sexta categoría, no operaría la prohibición. </w:t>
            </w:r>
          </w:p>
          <w:p w14:paraId="285929D6" w14:textId="77777777" w:rsidR="00662485" w:rsidRPr="00427634" w:rsidRDefault="00662485" w:rsidP="0023368A">
            <w:pPr>
              <w:spacing w:after="120" w:line="276" w:lineRule="auto"/>
              <w:ind w:firstLine="709"/>
              <w:jc w:val="both"/>
              <w:rPr>
                <w:rFonts w:ascii="Verdana" w:eastAsia="Calibri" w:hAnsi="Verdana" w:cs="Arial"/>
                <w:color w:val="000000"/>
                <w:lang w:val="es-ES_tradnl"/>
              </w:rPr>
            </w:pPr>
            <w:r>
              <w:rPr>
                <w:rFonts w:ascii="Verdana" w:eastAsia="Calibri" w:hAnsi="Verdana" w:cs="Arial"/>
                <w:lang w:val="es-ES"/>
              </w:rPr>
              <w:t>Por lo tanto, en principio</w:t>
            </w:r>
            <w:r w:rsidRPr="0060163E">
              <w:rPr>
                <w:rFonts w:ascii="Verdana" w:eastAsia="Calibri" w:hAnsi="Verdana" w:cs="Arial"/>
                <w:color w:val="000000"/>
                <w:lang w:val="es-MX"/>
              </w:rPr>
              <w:t xml:space="preserve">, todas las entidades y funcionarios del artículo 2 de la Ley 80 de 1993 se rigen por las causales de inhabilidad del artículo 8 </w:t>
            </w:r>
            <w:r w:rsidRPr="0060163E">
              <w:rPr>
                <w:rFonts w:ascii="Verdana" w:eastAsia="Calibri" w:hAnsi="Verdana" w:cs="Arial"/>
                <w:i/>
                <w:iCs/>
                <w:color w:val="000000"/>
                <w:lang w:val="es-MX"/>
              </w:rPr>
              <w:t>ibidem</w:t>
            </w:r>
            <w:r w:rsidRPr="0060163E">
              <w:rPr>
                <w:rFonts w:ascii="Verdana" w:eastAsia="Calibri" w:hAnsi="Verdana" w:cs="Arial"/>
                <w:color w:val="000000"/>
                <w:lang w:val="es-MX"/>
              </w:rPr>
              <w:t xml:space="preserve">, incluyendo la del literal b) del numeral 2 explicada </w:t>
            </w:r>
            <w:r w:rsidRPr="0060163E">
              <w:rPr>
                <w:rFonts w:ascii="Verdana" w:eastAsia="Calibri" w:hAnsi="Verdana" w:cs="Arial"/>
                <w:i/>
                <w:iCs/>
                <w:color w:val="000000"/>
                <w:lang w:val="es-MX"/>
              </w:rPr>
              <w:t>ut supra</w:t>
            </w:r>
            <w:r>
              <w:rPr>
                <w:rFonts w:ascii="Verdana" w:eastAsia="Calibri" w:hAnsi="Verdana" w:cs="Arial"/>
                <w:color w:val="000000"/>
                <w:lang w:val="es-MX"/>
              </w:rPr>
              <w:t>, p</w:t>
            </w:r>
            <w:proofErr w:type="spellStart"/>
            <w:r w:rsidRPr="0060163E">
              <w:rPr>
                <w:rFonts w:ascii="Verdana" w:eastAsia="Calibri" w:hAnsi="Verdana" w:cs="Arial"/>
                <w:lang w:val="es-ES_tradnl"/>
              </w:rPr>
              <w:t>ues</w:t>
            </w:r>
            <w:proofErr w:type="spellEnd"/>
            <w:r w:rsidRPr="0060163E">
              <w:rPr>
                <w:rFonts w:ascii="Verdana" w:eastAsia="Calibri" w:hAnsi="Verdana" w:cs="Arial"/>
                <w:lang w:val="es-ES_tradnl"/>
              </w:rPr>
              <w:t xml:space="preserve"> es </w:t>
            </w:r>
            <w:r>
              <w:rPr>
                <w:rFonts w:ascii="Verdana" w:eastAsia="Calibri" w:hAnsi="Verdana" w:cs="Arial"/>
                <w:lang w:val="es-ES_tradnl"/>
              </w:rPr>
              <w:t xml:space="preserve">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en materia de inhabilidades e incompatibilidades para la contratación de las entidades sometidas a la Ley 80 de 1993. Sin embargo, el artículo 49 de la Ley 617</w:t>
            </w:r>
            <w:r>
              <w:rPr>
                <w:rFonts w:ascii="Verdana" w:eastAsia="Calibri" w:hAnsi="Verdana" w:cs="Arial"/>
                <w:lang w:val="es-ES_tradnl"/>
              </w:rPr>
              <w:t xml:space="preserve"> de 2000</w:t>
            </w:r>
            <w:r w:rsidRPr="0060163E">
              <w:rPr>
                <w:rFonts w:ascii="Verdana" w:eastAsia="Calibri" w:hAnsi="Verdana" w:cs="Arial"/>
                <w:lang w:val="es-ES_tradnl"/>
              </w:rPr>
              <w:t xml:space="preserve"> </w:t>
            </w:r>
            <w:r>
              <w:rPr>
                <w:rFonts w:ascii="Verdana" w:eastAsia="Calibri" w:hAnsi="Verdana" w:cs="Arial"/>
                <w:lang w:val="es-ES_tradnl"/>
              </w:rPr>
              <w:t>se trata de una</w:t>
            </w:r>
            <w:r w:rsidRPr="0060163E">
              <w:rPr>
                <w:rFonts w:ascii="Verdana" w:eastAsia="Calibri" w:hAnsi="Verdana" w:cs="Arial"/>
                <w:lang w:val="es-ES_tradnl"/>
              </w:rPr>
              <w:t xml:space="preserve"> </w:t>
            </w:r>
            <w:r w:rsidRPr="0060163E">
              <w:rPr>
                <w:rFonts w:ascii="Verdana" w:eastAsia="Calibri" w:hAnsi="Verdana" w:cs="Arial"/>
                <w:i/>
                <w:iCs/>
                <w:lang w:val="es-ES_tradnl"/>
              </w:rPr>
              <w:t>regla especial</w:t>
            </w:r>
            <w:r w:rsidRPr="0060163E">
              <w:rPr>
                <w:rFonts w:ascii="Verdana" w:eastAsia="Calibri" w:hAnsi="Verdana" w:cs="Arial"/>
                <w:lang w:val="es-ES_tradnl"/>
              </w:rPr>
              <w:t>, la cual se ratifica en las modificaciones posteriores del artículo 1º de las Leyes 821 de 2003, 1148 de 2007 y 1296 de 2009. Según esta regla,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w:t>
            </w:r>
            <w:r>
              <w:rPr>
                <w:rFonts w:ascii="Verdana" w:eastAsia="Calibri" w:hAnsi="Verdana" w:cs="Arial"/>
                <w:lang w:val="es-ES_tradnl"/>
              </w:rPr>
              <w:t xml:space="preserve"> </w:t>
            </w:r>
          </w:p>
          <w:p w14:paraId="7FA6D214" w14:textId="77777777" w:rsidR="00662485" w:rsidRPr="00327FFB" w:rsidRDefault="00662485" w:rsidP="0023368A">
            <w:pPr>
              <w:spacing w:after="120" w:line="276" w:lineRule="auto"/>
              <w:ind w:firstLine="709"/>
              <w:jc w:val="both"/>
              <w:rPr>
                <w:rFonts w:ascii="Verdana" w:eastAsia="Calibri" w:hAnsi="Verdana" w:cs="Arial"/>
                <w:lang w:val="es-ES"/>
              </w:rPr>
            </w:pPr>
            <w:r>
              <w:rPr>
                <w:rFonts w:ascii="Verdana" w:eastAsia="Calibri" w:hAnsi="Verdana" w:cs="Arial"/>
                <w:lang w:val="es-ES"/>
              </w:rPr>
              <w:t>Empero</w:t>
            </w:r>
            <w:r w:rsidRPr="4D14AFBD">
              <w:rPr>
                <w:rFonts w:ascii="Verdana" w:eastAsia="Calibri" w:hAnsi="Verdana" w:cs="Arial"/>
                <w:lang w:val="es-ES"/>
              </w:rPr>
              <w:t xml:space="preserve"> dado que la interpretación de este tipo de normativa debe ser restrictiva se encuentra que, </w:t>
            </w:r>
            <w:r>
              <w:rPr>
                <w:rFonts w:ascii="Verdana" w:eastAsia="Calibri" w:hAnsi="Verdana" w:cs="Arial"/>
                <w:lang w:val="es-ES"/>
              </w:rPr>
              <w:t xml:space="preserve">según lo dispuesto en el </w:t>
            </w:r>
            <w:r w:rsidRPr="4D14AFBD">
              <w:rPr>
                <w:rFonts w:ascii="Verdana" w:eastAsia="Calibri" w:hAnsi="Verdana" w:cs="Arial"/>
                <w:lang w:val="es-ES"/>
              </w:rPr>
              <w:t xml:space="preserve">parágrafo tercero del artículo 49 de la Ley 617 de 2000 </w:t>
            </w:r>
            <w:r>
              <w:rPr>
                <w:rFonts w:ascii="Verdana" w:eastAsia="Calibri" w:hAnsi="Verdana" w:cs="Arial"/>
                <w:lang w:val="es-ES"/>
              </w:rPr>
              <w:t>tratándose</w:t>
            </w:r>
            <w:r w:rsidRPr="4D14AFBD">
              <w:rPr>
                <w:rFonts w:ascii="Verdana" w:eastAsia="Calibri" w:hAnsi="Verdana" w:cs="Arial"/>
                <w:color w:val="000000" w:themeColor="text1"/>
                <w:lang w:val="es-ES"/>
              </w:rPr>
              <w:t xml:space="preserve"> de concejales de municipios de cuarta, quinta y sexta categoría, se aplica la prohibición únicamente a los cónyuges o compañeros permanentes y parientes hasta el segundo grado de consanguinidad, primero de afinidad o único civil.</w:t>
            </w:r>
          </w:p>
        </w:tc>
      </w:tr>
    </w:tbl>
    <w:p w14:paraId="5D7798D3" w14:textId="77777777" w:rsidR="00662485" w:rsidRDefault="00662485" w:rsidP="00662485">
      <w:pPr>
        <w:tabs>
          <w:tab w:val="left" w:pos="142"/>
          <w:tab w:val="left" w:pos="284"/>
        </w:tabs>
        <w:spacing w:after="0" w:line="276" w:lineRule="auto"/>
        <w:jc w:val="both"/>
        <w:rPr>
          <w:rFonts w:ascii="Verdana" w:eastAsia="Century Gothic" w:hAnsi="Verdana" w:cs="Century Gothic"/>
          <w:b/>
          <w:bCs/>
        </w:rPr>
      </w:pPr>
    </w:p>
    <w:p w14:paraId="502EBA4E" w14:textId="77777777" w:rsidR="00662485" w:rsidRPr="008E4F36" w:rsidRDefault="00662485" w:rsidP="00662485">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2BAE3281" w14:textId="77777777" w:rsidR="00662485" w:rsidRDefault="00662485" w:rsidP="00662485">
      <w:pPr>
        <w:pStyle w:val="Prrafodelista"/>
        <w:tabs>
          <w:tab w:val="left" w:pos="142"/>
          <w:tab w:val="left" w:pos="284"/>
        </w:tabs>
        <w:spacing w:after="0" w:line="276" w:lineRule="auto"/>
        <w:ind w:left="0"/>
        <w:contextualSpacing w:val="0"/>
        <w:jc w:val="both"/>
        <w:rPr>
          <w:rFonts w:ascii="Verdana" w:eastAsia="Calibri" w:hAnsi="Verdana" w:cs="Arial"/>
        </w:rPr>
      </w:pPr>
    </w:p>
    <w:p w14:paraId="54D4557B" w14:textId="77777777" w:rsidR="00662485" w:rsidRDefault="00662485" w:rsidP="00662485">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70E0289F" w14:textId="77777777" w:rsidR="00662485" w:rsidRDefault="00662485" w:rsidP="00662485">
      <w:pPr>
        <w:pStyle w:val="Prrafodelista"/>
        <w:tabs>
          <w:tab w:val="left" w:pos="142"/>
          <w:tab w:val="left" w:pos="284"/>
        </w:tabs>
        <w:spacing w:after="0" w:line="240" w:lineRule="auto"/>
        <w:ind w:left="0"/>
        <w:contextualSpacing w:val="0"/>
        <w:jc w:val="both"/>
        <w:rPr>
          <w:rFonts w:ascii="Verdana" w:eastAsia="Calibri" w:hAnsi="Verdana" w:cs="Arial"/>
        </w:rPr>
      </w:pPr>
    </w:p>
    <w:p w14:paraId="62834CE7" w14:textId="77777777" w:rsidR="00662485" w:rsidRPr="0060163E" w:rsidRDefault="00662485" w:rsidP="00662485">
      <w:pPr>
        <w:spacing w:after="120" w:line="276" w:lineRule="auto"/>
        <w:jc w:val="both"/>
        <w:rPr>
          <w:rFonts w:ascii="Verdana" w:eastAsia="Calibri" w:hAnsi="Verdana" w:cs="Arial"/>
          <w:lang w:val="es-MX"/>
        </w:rPr>
      </w:pPr>
      <w:r w:rsidRPr="0060163E">
        <w:rPr>
          <w:rFonts w:ascii="Verdana" w:eastAsia="Calibri" w:hAnsi="Verdana" w:cs="Arial"/>
          <w:lang w:val="es-MX"/>
        </w:rPr>
        <w:t xml:space="preserve">i) 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622A1E8B" w14:textId="77777777" w:rsidR="00662485" w:rsidRPr="0060163E" w:rsidRDefault="00662485" w:rsidP="00662485">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w:t>
      </w:r>
      <w:r w:rsidRPr="0060163E">
        <w:rPr>
          <w:rFonts w:ascii="Verdana" w:eastAsia="Calibri" w:hAnsi="Verdana" w:cs="Arial"/>
          <w:lang w:val="es-MX"/>
        </w:rPr>
        <w:lastRenderedPageBreak/>
        <w:t>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1"/>
      </w:r>
      <w:r>
        <w:rPr>
          <w:rFonts w:ascii="Verdana" w:eastAsia="Calibri" w:hAnsi="Verdana" w:cs="Arial"/>
          <w:lang w:val="es-MX"/>
        </w:rPr>
        <w:t>.</w:t>
      </w:r>
    </w:p>
    <w:p w14:paraId="04E2B888" w14:textId="77777777" w:rsidR="00662485" w:rsidRPr="0060163E" w:rsidRDefault="00662485" w:rsidP="00662485">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La regulación de las inhabilidades que implican limitaciones a la capacidad jurídica para contratar, que desarrolla los principios de la función administrativa consagrados en el artículo 209 de la Constitución Política, con especial énfasis el de moralidad. Así lo entiende el Consejo de Estado: </w:t>
      </w:r>
    </w:p>
    <w:p w14:paraId="08CDDA74" w14:textId="77777777" w:rsidR="00662485" w:rsidRPr="0060163E" w:rsidRDefault="00662485" w:rsidP="00662485">
      <w:pPr>
        <w:spacing w:after="0" w:line="240" w:lineRule="auto"/>
        <w:jc w:val="both"/>
        <w:rPr>
          <w:rFonts w:ascii="Verdana" w:eastAsia="Calibri" w:hAnsi="Verdana" w:cs="Arial"/>
          <w:lang w:val="es-MX"/>
        </w:rPr>
      </w:pPr>
    </w:p>
    <w:p w14:paraId="5C424B96" w14:textId="77777777" w:rsidR="00662485" w:rsidRPr="0060163E" w:rsidRDefault="00662485" w:rsidP="00662485">
      <w:pPr>
        <w:shd w:val="clear" w:color="auto" w:fill="FFFFFF"/>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765AA337" w14:textId="77777777" w:rsidR="00662485" w:rsidRPr="0060163E" w:rsidRDefault="00662485" w:rsidP="00662485">
      <w:pPr>
        <w:shd w:val="clear" w:color="auto" w:fill="FFFFFF"/>
        <w:spacing w:after="0" w:line="240" w:lineRule="auto"/>
        <w:ind w:left="709" w:right="709"/>
        <w:jc w:val="both"/>
        <w:rPr>
          <w:rFonts w:ascii="Verdana" w:eastAsia="Calibri" w:hAnsi="Verdana" w:cs="Arial"/>
          <w:sz w:val="20"/>
          <w:szCs w:val="20"/>
          <w:lang w:val="es-ES"/>
        </w:rPr>
      </w:pPr>
    </w:p>
    <w:p w14:paraId="0E345A23" w14:textId="77777777" w:rsidR="00662485" w:rsidRPr="0060163E" w:rsidRDefault="00662485" w:rsidP="00662485">
      <w:pPr>
        <w:shd w:val="clear" w:color="auto" w:fill="FFFFFF"/>
        <w:spacing w:after="0" w:line="240" w:lineRule="auto"/>
        <w:ind w:left="709" w:right="709"/>
        <w:jc w:val="both"/>
        <w:rPr>
          <w:rFonts w:ascii="Verdana" w:eastAsia="Calibri" w:hAnsi="Verdana" w:cs="Arial"/>
          <w:sz w:val="20"/>
          <w:szCs w:val="20"/>
          <w:lang w:val="es-ES"/>
        </w:rPr>
      </w:pPr>
      <w:r w:rsidRPr="0060163E">
        <w:rPr>
          <w:rFonts w:ascii="Verdana" w:eastAsia="Calibri"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0163E">
        <w:rPr>
          <w:rFonts w:ascii="Verdana" w:eastAsia="Calibri" w:hAnsi="Verdana" w:cs="Arial"/>
          <w:sz w:val="20"/>
          <w:szCs w:val="20"/>
          <w:vertAlign w:val="superscript"/>
          <w:lang w:val="es-ES"/>
        </w:rPr>
        <w:footnoteReference w:id="2"/>
      </w:r>
      <w:r>
        <w:rPr>
          <w:rFonts w:ascii="Verdana" w:eastAsia="Calibri" w:hAnsi="Verdana" w:cs="Arial"/>
          <w:sz w:val="20"/>
          <w:szCs w:val="20"/>
          <w:lang w:val="es-ES"/>
        </w:rPr>
        <w:t>.</w:t>
      </w:r>
    </w:p>
    <w:p w14:paraId="0972AC96" w14:textId="77777777" w:rsidR="00662485" w:rsidRPr="0060163E" w:rsidRDefault="00662485" w:rsidP="00662485">
      <w:pPr>
        <w:shd w:val="clear" w:color="auto" w:fill="FFFFFF"/>
        <w:spacing w:after="0" w:line="240" w:lineRule="auto"/>
        <w:ind w:left="709" w:right="709"/>
        <w:jc w:val="both"/>
        <w:rPr>
          <w:rFonts w:ascii="Verdana" w:eastAsia="Calibri" w:hAnsi="Verdana" w:cs="Arial"/>
          <w:lang w:val="es-ES"/>
        </w:rPr>
      </w:pPr>
    </w:p>
    <w:p w14:paraId="0F53AEFE" w14:textId="77777777" w:rsidR="00662485" w:rsidRPr="0060163E" w:rsidRDefault="00662485" w:rsidP="00662485">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w:t>
      </w:r>
      <w:r w:rsidRPr="0060163E">
        <w:rPr>
          <w:rFonts w:ascii="Verdana" w:eastAsia="Calibri" w:hAnsi="Verdana" w:cs="Arial"/>
          <w:lang w:val="es-MX"/>
        </w:rPr>
        <w:lastRenderedPageBreak/>
        <w:t xml:space="preserve">derecho a participar en procesos de selección y celebrar contratos con el Estado. La Corte Constitucional ha reconocido que estas limitaciones deben justificarse en la salvaguarda del interés general y que su interpretación es taxativa y restrictiva: </w:t>
      </w:r>
    </w:p>
    <w:p w14:paraId="186CF81A" w14:textId="77777777" w:rsidR="00662485" w:rsidRPr="0060163E" w:rsidRDefault="00662485" w:rsidP="00662485">
      <w:pPr>
        <w:spacing w:after="0" w:line="276" w:lineRule="auto"/>
        <w:rPr>
          <w:rFonts w:ascii="Verdana" w:eastAsia="Times New Roman" w:hAnsi="Verdana" w:cs="Arial"/>
          <w:shd w:val="clear" w:color="auto" w:fill="FFFFFF"/>
          <w:lang w:eastAsia="es-ES_tradnl"/>
        </w:rPr>
      </w:pPr>
    </w:p>
    <w:p w14:paraId="2776CF45" w14:textId="77777777" w:rsidR="00662485" w:rsidRPr="0060163E" w:rsidRDefault="00662485" w:rsidP="00662485">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60163E">
        <w:rPr>
          <w:rFonts w:ascii="Verdana" w:eastAsia="Calibri" w:hAnsi="Verdana" w:cs="Arial"/>
          <w:sz w:val="20"/>
          <w:szCs w:val="20"/>
          <w:lang w:val="es-MX"/>
        </w:rPr>
        <w:t>incompatibilidades,</w:t>
      </w:r>
      <w:proofErr w:type="gramEnd"/>
      <w:r w:rsidRPr="0060163E">
        <w:rPr>
          <w:rFonts w:ascii="Verdana" w:eastAsia="Calibri" w:hAnsi="Verdana" w:cs="Arial"/>
          <w:sz w:val="20"/>
          <w:szCs w:val="20"/>
          <w:lang w:val="es-MX"/>
        </w:rPr>
        <w:t xml:space="preserve"> se erige en causal de nulidad del contrato celebrado en esas condiciones (ley 80 de 1993, art. 44).</w:t>
      </w:r>
    </w:p>
    <w:p w14:paraId="13FA4B08" w14:textId="77777777" w:rsidR="00662485" w:rsidRPr="0060163E" w:rsidRDefault="00662485" w:rsidP="00662485">
      <w:pPr>
        <w:spacing w:after="0" w:line="240" w:lineRule="auto"/>
        <w:ind w:left="709" w:right="709"/>
        <w:jc w:val="both"/>
        <w:rPr>
          <w:rFonts w:ascii="Verdana" w:eastAsia="Calibri" w:hAnsi="Verdana" w:cs="Arial"/>
          <w:sz w:val="20"/>
          <w:szCs w:val="20"/>
          <w:lang w:val="es-MX"/>
        </w:rPr>
      </w:pPr>
    </w:p>
    <w:p w14:paraId="041D37E5" w14:textId="77777777" w:rsidR="00662485" w:rsidRPr="0060163E" w:rsidRDefault="00662485" w:rsidP="00662485">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0163E">
        <w:rPr>
          <w:rFonts w:ascii="Verdana" w:eastAsia="Calibri" w:hAnsi="Verdana" w:cs="Arial"/>
          <w:sz w:val="20"/>
          <w:szCs w:val="20"/>
          <w:vertAlign w:val="superscript"/>
          <w:lang w:val="es-MX"/>
        </w:rPr>
        <w:footnoteReference w:id="3"/>
      </w:r>
      <w:r w:rsidRPr="0060163E">
        <w:rPr>
          <w:rFonts w:ascii="Verdana" w:eastAsia="Calibri" w:hAnsi="Verdana" w:cs="Arial"/>
          <w:sz w:val="20"/>
          <w:szCs w:val="20"/>
          <w:lang w:val="es-MX"/>
        </w:rPr>
        <w:t xml:space="preserve">. </w:t>
      </w:r>
    </w:p>
    <w:p w14:paraId="6FF5F254" w14:textId="77777777" w:rsidR="00662485" w:rsidRPr="0060163E" w:rsidRDefault="00662485" w:rsidP="00662485">
      <w:pPr>
        <w:spacing w:after="0" w:line="276" w:lineRule="auto"/>
        <w:ind w:right="709"/>
        <w:jc w:val="both"/>
        <w:rPr>
          <w:rFonts w:ascii="Verdana" w:eastAsia="Calibri" w:hAnsi="Verdana" w:cs="Arial"/>
          <w:lang w:val="es-MX"/>
        </w:rPr>
      </w:pPr>
    </w:p>
    <w:p w14:paraId="495E6BD0" w14:textId="77777777" w:rsidR="00662485" w:rsidRPr="0060163E" w:rsidRDefault="00662485" w:rsidP="00662485">
      <w:pPr>
        <w:spacing w:after="0" w:line="276" w:lineRule="auto"/>
        <w:ind w:firstLine="709"/>
        <w:jc w:val="both"/>
        <w:rPr>
          <w:rFonts w:ascii="Verdana" w:eastAsia="Calibri" w:hAnsi="Verdana" w:cs="Arial"/>
          <w:lang w:val="es-MX"/>
        </w:rPr>
      </w:pPr>
      <w:r w:rsidRPr="0060163E">
        <w:rPr>
          <w:rFonts w:ascii="Verdana" w:eastAsia="Calibri" w:hAnsi="Verdana" w:cs="Arial"/>
          <w:lang w:val="es-MX"/>
        </w:rPr>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465AE899" w14:textId="77777777" w:rsidR="00662485" w:rsidRDefault="00662485" w:rsidP="00662485">
      <w:pPr>
        <w:spacing w:after="0" w:line="240" w:lineRule="auto"/>
        <w:ind w:left="709" w:right="709"/>
        <w:jc w:val="both"/>
        <w:rPr>
          <w:rFonts w:ascii="Verdana" w:eastAsia="Calibri" w:hAnsi="Verdana" w:cs="Arial"/>
          <w:sz w:val="20"/>
          <w:szCs w:val="20"/>
          <w:lang w:val="es-MX"/>
        </w:rPr>
      </w:pPr>
    </w:p>
    <w:p w14:paraId="289A0DD9" w14:textId="77777777" w:rsidR="00662485" w:rsidRPr="0060163E" w:rsidRDefault="00662485" w:rsidP="00662485">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w:t>
      </w:r>
      <w:proofErr w:type="spellStart"/>
      <w:r w:rsidRPr="0060163E">
        <w:rPr>
          <w:rFonts w:ascii="Verdana" w:eastAsia="Calibri" w:hAnsi="Verdana" w:cs="Arial"/>
          <w:sz w:val="20"/>
          <w:szCs w:val="20"/>
          <w:lang w:val="es-MX"/>
        </w:rPr>
        <w:lastRenderedPageBreak/>
        <w:t>libertate</w:t>
      </w:r>
      <w:proofErr w:type="spellEnd"/>
      <w:r w:rsidRPr="0060163E">
        <w:rPr>
          <w:rFonts w:ascii="Verdana" w:eastAsia="Calibri" w:hAnsi="Verdana" w:cs="Arial"/>
          <w:sz w:val="20"/>
          <w:szCs w:val="20"/>
          <w:lang w:val="es-MX"/>
        </w:rPr>
        <w:t xml:space="preserve">, sino el de legalidad, el que ordena que la función pública debe someterse estrictamente a lo que disponga la Constitución y la ley (CP art. 6). </w:t>
      </w:r>
    </w:p>
    <w:p w14:paraId="3912169F" w14:textId="77777777" w:rsidR="00662485" w:rsidRDefault="00662485" w:rsidP="00662485">
      <w:pPr>
        <w:spacing w:after="0" w:line="240" w:lineRule="auto"/>
        <w:ind w:left="709" w:right="709"/>
        <w:jc w:val="both"/>
        <w:rPr>
          <w:rFonts w:ascii="Verdana" w:eastAsia="Calibri" w:hAnsi="Verdana" w:cs="Arial"/>
          <w:sz w:val="20"/>
          <w:szCs w:val="20"/>
          <w:lang w:val="es-MX"/>
        </w:rPr>
      </w:pPr>
    </w:p>
    <w:p w14:paraId="05FAB4F8" w14:textId="77777777" w:rsidR="00662485" w:rsidRPr="0060163E" w:rsidRDefault="00662485" w:rsidP="00662485">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 </w:t>
      </w:r>
    </w:p>
    <w:p w14:paraId="7DFD5473" w14:textId="77777777" w:rsidR="00662485" w:rsidRDefault="00662485" w:rsidP="00662485">
      <w:pPr>
        <w:spacing w:after="0" w:line="240" w:lineRule="auto"/>
        <w:ind w:left="709" w:right="709"/>
        <w:jc w:val="both"/>
        <w:rPr>
          <w:rFonts w:ascii="Verdana" w:eastAsia="Calibri" w:hAnsi="Verdana" w:cs="Arial"/>
          <w:sz w:val="20"/>
          <w:szCs w:val="20"/>
          <w:lang w:val="es-MX"/>
        </w:rPr>
      </w:pPr>
    </w:p>
    <w:p w14:paraId="7A9DAF1E" w14:textId="77777777" w:rsidR="00662485" w:rsidRPr="0060163E" w:rsidRDefault="00662485" w:rsidP="00662485">
      <w:pPr>
        <w:spacing w:after="0" w:line="240" w:lineRule="auto"/>
        <w:ind w:left="709" w:right="709"/>
        <w:jc w:val="both"/>
        <w:rPr>
          <w:rFonts w:ascii="Verdana" w:eastAsia="Calibri" w:hAnsi="Verdana" w:cs="Arial"/>
          <w:sz w:val="20"/>
          <w:szCs w:val="20"/>
          <w:lang w:val="es-MX"/>
        </w:rPr>
      </w:pPr>
      <w:r w:rsidRPr="0060163E">
        <w:rPr>
          <w:rFonts w:ascii="Verdana" w:eastAsia="Calibri" w:hAnsi="Verdana" w:cs="Arial"/>
          <w:sz w:val="20"/>
          <w:szCs w:val="20"/>
          <w:lang w:val="es-MX"/>
        </w:rPr>
        <w:t xml:space="preserve">Se comprende con facilidad que el régimen de inhabilidades e </w:t>
      </w:r>
      <w:proofErr w:type="gramStart"/>
      <w:r w:rsidRPr="0060163E">
        <w:rPr>
          <w:rFonts w:ascii="Verdana" w:eastAsia="Calibri" w:hAnsi="Verdana" w:cs="Arial"/>
          <w:sz w:val="20"/>
          <w:szCs w:val="20"/>
          <w:lang w:val="es-MX"/>
        </w:rPr>
        <w:t>incompatibilidades,</w:t>
      </w:r>
      <w:proofErr w:type="gramEnd"/>
      <w:r w:rsidRPr="0060163E">
        <w:rPr>
          <w:rFonts w:ascii="Verdana" w:eastAsia="Calibri" w:hAnsi="Verdana" w:cs="Arial"/>
          <w:sz w:val="20"/>
          <w:szCs w:val="20"/>
          <w:lang w:val="es-MX"/>
        </w:rPr>
        <w:t xml:space="preserve"> corresponde a una materia de normal y obligada inclusión en un estatuto contractual. El legislador, a quien se ha confiado expedir el indicado estatuto, tiene, pues, competencia para establecerlo (CP art. 150)</w:t>
      </w:r>
      <w:r w:rsidRPr="0060163E">
        <w:rPr>
          <w:rFonts w:ascii="Verdana" w:eastAsia="Calibri" w:hAnsi="Verdana" w:cs="Arial"/>
          <w:sz w:val="20"/>
          <w:szCs w:val="20"/>
          <w:vertAlign w:val="superscript"/>
          <w:lang w:val="es-MX"/>
        </w:rPr>
        <w:footnoteReference w:id="4"/>
      </w:r>
      <w:r w:rsidRPr="0060163E">
        <w:rPr>
          <w:rFonts w:ascii="Verdana" w:eastAsia="Calibri" w:hAnsi="Verdana" w:cs="Arial"/>
          <w:sz w:val="20"/>
          <w:szCs w:val="20"/>
          <w:lang w:val="es-MX"/>
        </w:rPr>
        <w:t>.</w:t>
      </w:r>
    </w:p>
    <w:p w14:paraId="0E540F1B" w14:textId="77777777" w:rsidR="00662485" w:rsidRPr="0060163E" w:rsidRDefault="00662485" w:rsidP="00662485">
      <w:pPr>
        <w:spacing w:after="0" w:line="276" w:lineRule="auto"/>
        <w:ind w:left="709" w:right="709"/>
        <w:jc w:val="both"/>
        <w:rPr>
          <w:rFonts w:ascii="Verdana" w:eastAsia="Calibri" w:hAnsi="Verdana" w:cs="Arial"/>
          <w:lang w:val="es-MX"/>
        </w:rPr>
      </w:pPr>
    </w:p>
    <w:p w14:paraId="49D4465D" w14:textId="77777777" w:rsidR="00662485" w:rsidRPr="0060163E" w:rsidRDefault="00662485" w:rsidP="00662485">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Conviene también distinguir las fuentes de las inhabilidades, las cuales han sido clasificadas en dos (2) grupos: i) inhabilidades-sanción y </w:t>
      </w:r>
      <w:proofErr w:type="spellStart"/>
      <w:r w:rsidRPr="0060163E">
        <w:rPr>
          <w:rFonts w:ascii="Verdana" w:eastAsia="Calibri" w:hAnsi="Verdana" w:cs="Arial"/>
          <w:lang w:val="es-MX"/>
        </w:rPr>
        <w:t>ii</w:t>
      </w:r>
      <w:proofErr w:type="spellEnd"/>
      <w:r w:rsidRPr="0060163E">
        <w:rPr>
          <w:rFonts w:ascii="Verdana" w:eastAsia="Calibri" w:hAnsi="Verdana" w:cs="Arial"/>
          <w:lang w:val="es-MX"/>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5"/>
      </w:r>
      <w:r w:rsidRPr="0060163E">
        <w:rPr>
          <w:rFonts w:ascii="Verdana" w:eastAsia="Calibri" w:hAnsi="Verdana" w:cs="Arial"/>
          <w:lang w:val="es-MX"/>
        </w:rPr>
        <w:t>.</w:t>
      </w:r>
    </w:p>
    <w:p w14:paraId="6F9C4988" w14:textId="77777777" w:rsidR="00662485" w:rsidRPr="0060163E" w:rsidRDefault="00662485" w:rsidP="00662485">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6"/>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59BDC7E3" w14:textId="77777777" w:rsidR="00662485" w:rsidRPr="0060163E" w:rsidRDefault="00662485" w:rsidP="00662485">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60AA3571" w14:textId="77777777" w:rsidR="00662485" w:rsidRPr="0060163E" w:rsidRDefault="00662485" w:rsidP="00662485">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lastRenderedPageBreak/>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9D0DBE">
        <w:rPr>
          <w:rFonts w:ascii="Verdana" w:eastAsia="Calibri" w:hAnsi="Verdana" w:cs="Arial"/>
          <w:vertAlign w:val="superscript"/>
          <w:lang w:val="es-ES_tradnl"/>
        </w:rPr>
        <w:footnoteReference w:id="7"/>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7CD1120E" w14:textId="77777777" w:rsidR="00662485" w:rsidRPr="0060163E" w:rsidRDefault="00662485" w:rsidP="00662485">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En efecto, el máximo tribunal constitucional ha indicado, al tratar de precisar el sentido de este tipo de normas, que </w:t>
      </w:r>
      <w:r>
        <w:rPr>
          <w:rFonts w:ascii="Verdana" w:eastAsia="Calibri" w:hAnsi="Verdana" w:cs="Arial"/>
          <w:lang w:val="es-ES_tradnl"/>
        </w:rPr>
        <w:t>“(…)</w:t>
      </w:r>
      <w:r w:rsidRPr="0060163E">
        <w:rPr>
          <w:rFonts w:ascii="Verdana" w:eastAsia="Calibri" w:hAnsi="Verdana" w:cs="Arial"/>
          <w:lang w:val="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8"/>
      </w:r>
      <w:r w:rsidRPr="0060163E">
        <w:rPr>
          <w:rFonts w:ascii="Verdana" w:eastAsia="Calibri" w:hAnsi="Verdana" w:cs="Arial"/>
          <w:lang w:val="es-ES_tradnl"/>
        </w:rPr>
        <w:t xml:space="preserve">. </w:t>
      </w:r>
    </w:p>
    <w:p w14:paraId="7BAE9366" w14:textId="77777777" w:rsidR="00662485" w:rsidRPr="0060163E" w:rsidRDefault="00662485" w:rsidP="00662485">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En tal sentido, la Sección Tercera ha señalado que:</w:t>
      </w:r>
    </w:p>
    <w:p w14:paraId="7359BB0B" w14:textId="77777777" w:rsidR="00662485" w:rsidRPr="0060163E" w:rsidRDefault="00662485" w:rsidP="00662485">
      <w:pPr>
        <w:spacing w:after="0" w:line="276" w:lineRule="auto"/>
        <w:ind w:firstLine="709"/>
        <w:jc w:val="both"/>
        <w:rPr>
          <w:rFonts w:ascii="Verdana" w:eastAsia="Calibri" w:hAnsi="Verdana" w:cs="Arial"/>
          <w:lang w:val="es-ES_tradnl"/>
        </w:rPr>
      </w:pPr>
    </w:p>
    <w:p w14:paraId="54699319" w14:textId="77777777" w:rsidR="00662485" w:rsidRPr="0060163E" w:rsidRDefault="00662485" w:rsidP="00662485">
      <w:pPr>
        <w:spacing w:after="0" w:line="240" w:lineRule="auto"/>
        <w:ind w:left="709" w:right="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w:t>
      </w:r>
      <w:r w:rsidRPr="0060163E">
        <w:rPr>
          <w:rFonts w:ascii="Verdana" w:eastAsia="Calibri" w:hAnsi="Verdana" w:cs="Arial"/>
          <w:sz w:val="20"/>
          <w:szCs w:val="20"/>
          <w:lang w:val="es-ES_tradnl"/>
        </w:rPr>
        <w:lastRenderedPageBreak/>
        <w:t>restrictiva que no permite su extensión, por vía de la figura de la analogía, a supuestos no contemplados por el ordenamiento</w:t>
      </w:r>
      <w:r w:rsidRPr="0060163E">
        <w:rPr>
          <w:rFonts w:ascii="Verdana" w:eastAsia="Calibri" w:hAnsi="Verdana" w:cs="Arial"/>
          <w:sz w:val="20"/>
          <w:szCs w:val="20"/>
          <w:vertAlign w:val="superscript"/>
          <w:lang w:val="es-ES_tradnl"/>
        </w:rPr>
        <w:footnoteReference w:id="10"/>
      </w:r>
      <w:r w:rsidRPr="0060163E">
        <w:rPr>
          <w:rFonts w:ascii="Verdana" w:eastAsia="Calibri" w:hAnsi="Verdana" w:cs="Arial"/>
          <w:sz w:val="20"/>
          <w:szCs w:val="20"/>
          <w:lang w:val="es-ES_tradnl"/>
        </w:rPr>
        <w:t>.</w:t>
      </w:r>
    </w:p>
    <w:p w14:paraId="713D1AE4" w14:textId="77777777" w:rsidR="00662485" w:rsidRPr="0060163E" w:rsidRDefault="00662485" w:rsidP="00662485">
      <w:pPr>
        <w:spacing w:after="0" w:line="240" w:lineRule="auto"/>
        <w:ind w:firstLine="709"/>
        <w:jc w:val="both"/>
        <w:rPr>
          <w:rFonts w:ascii="Verdana" w:eastAsia="Calibri" w:hAnsi="Verdana" w:cs="Arial"/>
          <w:sz w:val="20"/>
          <w:szCs w:val="20"/>
          <w:lang w:val="es-ES_tradnl"/>
        </w:rPr>
      </w:pPr>
    </w:p>
    <w:p w14:paraId="503DA3D9" w14:textId="77777777" w:rsidR="00662485" w:rsidRPr="0060163E" w:rsidRDefault="00662485" w:rsidP="00662485">
      <w:pPr>
        <w:spacing w:after="0" w:line="240" w:lineRule="auto"/>
        <w:ind w:firstLine="709"/>
        <w:jc w:val="both"/>
        <w:rPr>
          <w:rFonts w:ascii="Verdana" w:eastAsia="Calibri" w:hAnsi="Verdana" w:cs="Arial"/>
          <w:sz w:val="20"/>
          <w:szCs w:val="20"/>
          <w:lang w:val="es-ES_tradnl"/>
        </w:rPr>
      </w:pPr>
      <w:r w:rsidRPr="0060163E">
        <w:rPr>
          <w:rFonts w:ascii="Verdana" w:eastAsia="Calibri" w:hAnsi="Verdana" w:cs="Arial"/>
          <w:sz w:val="20"/>
          <w:szCs w:val="20"/>
          <w:lang w:val="es-ES_tradnl"/>
        </w:rPr>
        <w:t>También ha dicho que:</w:t>
      </w:r>
    </w:p>
    <w:p w14:paraId="67C3A1F5" w14:textId="77777777" w:rsidR="00662485" w:rsidRPr="0060163E" w:rsidRDefault="00662485" w:rsidP="00662485">
      <w:pPr>
        <w:spacing w:after="0" w:line="240" w:lineRule="auto"/>
        <w:ind w:left="709" w:right="616"/>
        <w:jc w:val="both"/>
        <w:rPr>
          <w:rFonts w:ascii="Verdana" w:eastAsia="Calibri" w:hAnsi="Verdana" w:cs="Arial"/>
          <w:sz w:val="20"/>
          <w:szCs w:val="20"/>
          <w:lang w:val="es-ES"/>
        </w:rPr>
      </w:pPr>
      <w:r w:rsidRPr="0060163E">
        <w:rPr>
          <w:rFonts w:ascii="Verdana" w:eastAsia="Calibri" w:hAnsi="Verdana" w:cs="Arial"/>
          <w:sz w:val="20"/>
          <w:szCs w:val="20"/>
          <w:lang w:val="es-ES"/>
        </w:rPr>
        <w:t xml:space="preserve">[…] la aplicación de estos preceptos exige una interpretación restrictiva, dado que según el principio hermenéutico </w:t>
      </w:r>
      <w:r w:rsidRPr="0060163E">
        <w:rPr>
          <w:rFonts w:ascii="Verdana" w:eastAsia="Calibri" w:hAnsi="Verdana" w:cs="Arial"/>
          <w:i/>
          <w:iCs/>
          <w:sz w:val="20"/>
          <w:szCs w:val="20"/>
          <w:lang w:val="es-ES"/>
        </w:rPr>
        <w:t xml:space="preserve">pro </w:t>
      </w:r>
      <w:proofErr w:type="spellStart"/>
      <w:r w:rsidRPr="0060163E">
        <w:rPr>
          <w:rFonts w:ascii="Verdana" w:eastAsia="Calibri" w:hAnsi="Verdana" w:cs="Arial"/>
          <w:i/>
          <w:iCs/>
          <w:sz w:val="20"/>
          <w:szCs w:val="20"/>
          <w:lang w:val="es-ES"/>
        </w:rPr>
        <w:t>libertate</w:t>
      </w:r>
      <w:proofErr w:type="spellEnd"/>
      <w:r w:rsidRPr="0060163E">
        <w:rPr>
          <w:rFonts w:ascii="Verdana" w:eastAsia="Calibri" w:hAnsi="Verdana" w:cs="Arial"/>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Pr>
          <w:rFonts w:ascii="Verdana" w:eastAsia="Calibri" w:hAnsi="Verdana" w:cs="Arial"/>
          <w:sz w:val="20"/>
          <w:szCs w:val="20"/>
          <w:lang w:val="es-ES"/>
        </w:rPr>
        <w:t>(…)”</w:t>
      </w:r>
      <w:r w:rsidRPr="0060163E">
        <w:rPr>
          <w:rFonts w:ascii="Verdana" w:eastAsia="Calibri" w:hAnsi="Verdana" w:cs="Arial"/>
          <w:sz w:val="20"/>
          <w:szCs w:val="20"/>
          <w:vertAlign w:val="superscript"/>
          <w:lang w:val="es-ES"/>
        </w:rPr>
        <w:footnoteReference w:id="11"/>
      </w:r>
      <w:r w:rsidRPr="0060163E">
        <w:rPr>
          <w:rFonts w:ascii="Verdana" w:eastAsia="Calibri" w:hAnsi="Verdana" w:cs="Arial"/>
          <w:sz w:val="20"/>
          <w:szCs w:val="20"/>
          <w:lang w:val="es-ES"/>
        </w:rPr>
        <w:t>.</w:t>
      </w:r>
    </w:p>
    <w:p w14:paraId="572923F2" w14:textId="77777777" w:rsidR="00662485" w:rsidRPr="0060163E" w:rsidRDefault="00662485" w:rsidP="00662485">
      <w:pPr>
        <w:spacing w:after="0" w:line="276" w:lineRule="auto"/>
        <w:jc w:val="both"/>
        <w:rPr>
          <w:rFonts w:ascii="Verdana" w:eastAsia="Arial" w:hAnsi="Verdana" w:cs="Arial"/>
          <w:color w:val="000000"/>
          <w:lang w:val="es-ES_tradnl"/>
        </w:rPr>
      </w:pPr>
    </w:p>
    <w:p w14:paraId="6054E2FD" w14:textId="77777777" w:rsidR="00662485" w:rsidRPr="0060163E" w:rsidRDefault="00662485" w:rsidP="00662485">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 xml:space="preserve">pro </w:t>
      </w:r>
      <w:proofErr w:type="spellStart"/>
      <w:r w:rsidRPr="0060163E">
        <w:rPr>
          <w:rFonts w:ascii="Verdana" w:eastAsia="Arial" w:hAnsi="Verdana" w:cs="Arial"/>
          <w:i/>
          <w:iCs/>
          <w:color w:val="000000"/>
          <w:lang w:val="es-ES_tradnl"/>
        </w:rPr>
        <w:t>libertate</w:t>
      </w:r>
      <w:proofErr w:type="spellEnd"/>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2"/>
      </w:r>
    </w:p>
    <w:p w14:paraId="3394E937" w14:textId="77777777" w:rsidR="00662485" w:rsidRPr="0060163E" w:rsidRDefault="00662485" w:rsidP="00662485">
      <w:pPr>
        <w:spacing w:after="120" w:line="276" w:lineRule="auto"/>
        <w:ind w:firstLine="708"/>
        <w:jc w:val="both"/>
        <w:rPr>
          <w:rFonts w:ascii="Verdana" w:eastAsia="Calibri" w:hAnsi="Verdana" w:cs="Arial"/>
          <w:lang w:val="es-ES"/>
        </w:rPr>
      </w:pPr>
      <w:r>
        <w:rPr>
          <w:rFonts w:ascii="Verdana" w:eastAsia="Calibri" w:hAnsi="Verdana" w:cs="Arial"/>
          <w:lang w:val="es-ES"/>
        </w:rPr>
        <w:t xml:space="preserve">Ahora bien, en relación con la inhabilidad para contratar por parentesco, la Ley 80 de 1993 en su artículo 8, establece en el literal </w:t>
      </w:r>
      <w:r w:rsidRPr="0060163E">
        <w:rPr>
          <w:rFonts w:ascii="Verdana" w:eastAsia="Calibri" w:hAnsi="Verdana" w:cs="Arial"/>
          <w:lang w:val="es-ES"/>
        </w:rPr>
        <w:t xml:space="preserve">b) del numeral 2°, </w:t>
      </w:r>
      <w:r>
        <w:rPr>
          <w:rFonts w:ascii="Verdana" w:eastAsia="Calibri" w:hAnsi="Verdana" w:cs="Arial"/>
          <w:lang w:val="es-ES"/>
        </w:rPr>
        <w:t>que</w:t>
      </w:r>
      <w:r w:rsidRPr="0060163E">
        <w:rPr>
          <w:rFonts w:ascii="Verdana" w:eastAsia="Calibri" w:hAnsi="Verdana" w:cs="Arial"/>
          <w:lang w:val="es-ES"/>
        </w:rPr>
        <w:t xml:space="preserve"> no podrán participar en procedimientos de selección ni celebrar contratos estatales con la entidad respectiva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72C3ACA2" w14:textId="77777777" w:rsidR="00662485" w:rsidRPr="0060163E" w:rsidRDefault="00662485" w:rsidP="00662485">
      <w:pPr>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lastRenderedPageBreak/>
        <w:t>De acuerdo con lo explicado por la Corte Constitucional en la Sentencia C-429 de 1997, protege el principio de moralidad administrativa, ya que “[…]</w:t>
      </w:r>
      <w:r w:rsidRPr="0060163E">
        <w:rPr>
          <w:rFonts w:ascii="Verdana" w:eastAsia="Calibri" w:hAnsi="Verdana" w:cs="Times New Roman"/>
          <w:lang w:val="es-MX"/>
        </w:rPr>
        <w:t xml:space="preserve"> </w:t>
      </w:r>
      <w:r w:rsidRPr="0060163E">
        <w:rPr>
          <w:rFonts w:ascii="Verdana" w:eastAsia="Calibri" w:hAnsi="Verdana" w:cs="Arial"/>
          <w:lang w:val="es-ES_tradnl"/>
        </w:rPr>
        <w:t>se dirige a los familiares de aquellas personas que gozan del poder de decisión de adjudicar contratos, o pueden tener influencias que razonablemente puedan determinar la decisión, pues en tales casos esos vínculos colocan en peligro la transparencia y seriedad del proceso de contratación administrativa”.</w:t>
      </w:r>
    </w:p>
    <w:p w14:paraId="57C2B1E5" w14:textId="2C1E2BFF" w:rsidR="00662485" w:rsidRDefault="00662485" w:rsidP="00662485">
      <w:pPr>
        <w:widowControl w:val="0"/>
        <w:autoSpaceDE w:val="0"/>
        <w:autoSpaceDN w:val="0"/>
        <w:spacing w:after="120" w:line="276" w:lineRule="auto"/>
        <w:ind w:firstLine="708"/>
        <w:jc w:val="both"/>
        <w:rPr>
          <w:rFonts w:ascii="Verdana" w:eastAsia="Calibri" w:hAnsi="Verdana" w:cs="Arial"/>
          <w:lang w:val="es-ES_tradnl"/>
        </w:rPr>
      </w:pPr>
      <w:r w:rsidRPr="0060163E">
        <w:rPr>
          <w:rFonts w:ascii="Verdana" w:eastAsia="Calibri" w:hAnsi="Verdana" w:cs="Arial"/>
          <w:lang w:val="es-ES_tradnl"/>
        </w:rPr>
        <w:t xml:space="preserve">Esta inhabilidad es </w:t>
      </w:r>
      <w:r w:rsidR="00F90101">
        <w:rPr>
          <w:rFonts w:ascii="Verdana" w:eastAsia="Calibri" w:hAnsi="Verdana" w:cs="Arial"/>
          <w:lang w:val="es-ES_tradnl"/>
        </w:rPr>
        <w:t xml:space="preserve">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tanto para las entidades sometidas al EGCAP como a las del régimen exceptuado</w:t>
      </w:r>
      <w:r w:rsidRPr="0060163E">
        <w:rPr>
          <w:rFonts w:ascii="Verdana" w:eastAsia="Calibri" w:hAnsi="Verdana" w:cs="Arial"/>
          <w:vertAlign w:val="superscript"/>
          <w:lang w:val="es-ES_tradnl"/>
        </w:rPr>
        <w:footnoteReference w:id="13"/>
      </w:r>
      <w:r w:rsidRPr="0060163E">
        <w:rPr>
          <w:rFonts w:ascii="Verdana" w:eastAsia="Calibri" w:hAnsi="Verdana" w:cs="Arial"/>
          <w:lang w:val="es-ES_tradnl"/>
        </w:rPr>
        <w:t xml:space="preserve">. No obstante, considerando que –conforme al artículo 8, literal a) del numeral 1, de la Ley 80 de 1993– las personas que se hallen inhabilitadas para contratar por la Constitución y las leyes no pueden participar en procedimientos de selección ni celebrar contratos, el inciso tercero del artículo 49 de la Ley 617 de 2000 –modificado por las Leyes 821 de 2003, 1148 de 2007 y 1296 de 2009– introduce una </w:t>
      </w:r>
      <w:r w:rsidRPr="0060163E">
        <w:rPr>
          <w:rFonts w:ascii="Verdana" w:eastAsia="Calibri" w:hAnsi="Verdana" w:cs="Arial"/>
          <w:i/>
          <w:iCs/>
          <w:lang w:val="es-ES_tradnl"/>
        </w:rPr>
        <w:t>regla especial</w:t>
      </w:r>
      <w:r w:rsidRPr="0060163E">
        <w:rPr>
          <w:rFonts w:ascii="Verdana" w:eastAsia="Calibri" w:hAnsi="Verdana" w:cs="Arial"/>
          <w:lang w:val="es-ES_tradnl"/>
        </w:rPr>
        <w:t xml:space="preserve"> que restringe la contratación de las gobernaciones, asambleas, alcaldías y concejos</w:t>
      </w:r>
      <w:r>
        <w:rPr>
          <w:rFonts w:ascii="Verdana" w:eastAsia="Calibri" w:hAnsi="Verdana" w:cs="Arial"/>
          <w:lang w:val="es-ES_tradnl"/>
        </w:rPr>
        <w:t>:</w:t>
      </w:r>
    </w:p>
    <w:p w14:paraId="632F7F85" w14:textId="77777777" w:rsidR="00662485" w:rsidRDefault="00662485" w:rsidP="00662485">
      <w:pPr>
        <w:widowControl w:val="0"/>
        <w:autoSpaceDE w:val="0"/>
        <w:autoSpaceDN w:val="0"/>
        <w:spacing w:after="0" w:line="240" w:lineRule="auto"/>
        <w:ind w:left="709" w:right="760"/>
        <w:jc w:val="both"/>
        <w:rPr>
          <w:rFonts w:ascii="Verdana" w:eastAsia="Calibri" w:hAnsi="Verdana" w:cs="Arial"/>
          <w:sz w:val="20"/>
          <w:szCs w:val="20"/>
          <w:lang w:val="es-ES_tradnl"/>
        </w:rPr>
      </w:pPr>
      <w:r>
        <w:rPr>
          <w:rFonts w:ascii="Verdana" w:eastAsia="Calibri" w:hAnsi="Verdana" w:cs="Arial"/>
          <w:sz w:val="20"/>
          <w:szCs w:val="20"/>
          <w:lang w:val="es-ES_tradnl"/>
        </w:rPr>
        <w:t>“(…)</w:t>
      </w:r>
      <w:r w:rsidRPr="008420DA">
        <w:rPr>
          <w:rFonts w:ascii="Verdana" w:eastAsia="Calibri" w:hAnsi="Verdana" w:cs="Arial"/>
          <w:sz w:val="20"/>
          <w:szCs w:val="20"/>
          <w:lang w:val="es-ES_tradnl"/>
        </w:rPr>
        <w:t xml:space="preserve"> </w:t>
      </w:r>
      <w:r w:rsidRPr="008420DA">
        <w:rPr>
          <w:rFonts w:ascii="Verdana" w:hAnsi="Verdana" w:cs="Open Sans"/>
          <w:sz w:val="20"/>
          <w:szCs w:val="20"/>
        </w:rPr>
        <w:t>Los cónyuges o </w:t>
      </w:r>
      <w:r w:rsidRPr="008420DA">
        <w:rPr>
          <w:rFonts w:ascii="Verdana" w:hAnsi="Verdana" w:cs="Open Sans"/>
          <w:sz w:val="20"/>
          <w:szCs w:val="20"/>
          <w:u w:val="single"/>
        </w:rPr>
        <w:t>compañeros permanentes</w:t>
      </w:r>
      <w:r w:rsidRPr="008420DA">
        <w:rPr>
          <w:rFonts w:ascii="Verdana" w:hAnsi="Verdana" w:cs="Open Sans"/>
          <w:sz w:val="20"/>
          <w:szCs w:val="20"/>
        </w:rPr>
        <w:t> de los gobernadores, diputados, alcaldes municipales y distritales, concejales municipales y distritales y sus parientes </w:t>
      </w:r>
      <w:r w:rsidRPr="008420DA">
        <w:rPr>
          <w:rStyle w:val="iaj"/>
          <w:rFonts w:ascii="Verdana" w:hAnsi="Verdana" w:cs="Open Sans"/>
          <w:i/>
          <w:iCs/>
          <w:sz w:val="20"/>
          <w:szCs w:val="20"/>
        </w:rPr>
        <w:t>dentro del cuarto grado de consanguinidad,</w:t>
      </w:r>
      <w:r w:rsidRPr="008420DA">
        <w:rPr>
          <w:rFonts w:ascii="Verdana" w:hAnsi="Verdana" w:cs="Open Sans"/>
          <w:sz w:val="20"/>
          <w:szCs w:val="20"/>
        </w:rPr>
        <w:t> segundo de afinidad, o primero civil </w:t>
      </w:r>
      <w:r w:rsidRPr="008420DA">
        <w:rPr>
          <w:rStyle w:val="iaj"/>
          <w:rFonts w:ascii="Verdana" w:hAnsi="Verdana" w:cs="Open Sans"/>
          <w:i/>
          <w:iCs/>
          <w:sz w:val="20"/>
          <w:szCs w:val="20"/>
        </w:rPr>
        <w:t>no podrán ser contratistas</w:t>
      </w:r>
      <w:r w:rsidRPr="008420DA">
        <w:rPr>
          <w:rFonts w:ascii="Verdana" w:hAnsi="Verdana" w:cs="Open Sans"/>
          <w:sz w:val="20"/>
          <w:szCs w:val="20"/>
        </w:rPr>
        <w:t> del respectivo departamento, distrito o municipio, o de sus entidades descentralizadas, ni directa, ni indirectamente</w:t>
      </w:r>
      <w:r>
        <w:rPr>
          <w:rFonts w:ascii="Verdana" w:hAnsi="Verdana" w:cs="Open Sans"/>
          <w:sz w:val="20"/>
          <w:szCs w:val="20"/>
        </w:rPr>
        <w:t xml:space="preserve"> (</w:t>
      </w:r>
      <w:r w:rsidRPr="008420DA">
        <w:rPr>
          <w:rFonts w:ascii="Verdana" w:hAnsi="Verdana" w:cs="Open Sans"/>
          <w:sz w:val="20"/>
          <w:szCs w:val="20"/>
        </w:rPr>
        <w:t>…</w:t>
      </w:r>
      <w:r>
        <w:rPr>
          <w:rFonts w:ascii="Verdana" w:hAnsi="Verdana" w:cs="Open Sans"/>
          <w:sz w:val="20"/>
          <w:szCs w:val="20"/>
        </w:rPr>
        <w:t>)”.</w:t>
      </w:r>
    </w:p>
    <w:p w14:paraId="303C0FA6" w14:textId="77777777" w:rsidR="00662485" w:rsidRPr="00327FFB" w:rsidRDefault="00662485" w:rsidP="00662485">
      <w:pPr>
        <w:widowControl w:val="0"/>
        <w:autoSpaceDE w:val="0"/>
        <w:autoSpaceDN w:val="0"/>
        <w:spacing w:after="0" w:line="240" w:lineRule="auto"/>
        <w:ind w:left="709" w:right="760"/>
        <w:jc w:val="both"/>
        <w:rPr>
          <w:rFonts w:ascii="Verdana" w:eastAsia="Calibri" w:hAnsi="Verdana" w:cs="Arial"/>
          <w:sz w:val="20"/>
          <w:szCs w:val="20"/>
          <w:lang w:val="es-ES_tradnl"/>
        </w:rPr>
      </w:pPr>
    </w:p>
    <w:p w14:paraId="0B31103A" w14:textId="77777777" w:rsidR="00662485" w:rsidRPr="008420DA" w:rsidRDefault="00662485" w:rsidP="00662485">
      <w:pPr>
        <w:widowControl w:val="0"/>
        <w:autoSpaceDE w:val="0"/>
        <w:autoSpaceDN w:val="0"/>
        <w:spacing w:after="120" w:line="276" w:lineRule="auto"/>
        <w:ind w:firstLine="709"/>
        <w:jc w:val="both"/>
        <w:rPr>
          <w:rFonts w:ascii="Verdana" w:eastAsia="Calibri" w:hAnsi="Verdana" w:cs="Arial"/>
          <w:lang w:val="es-ES"/>
        </w:rPr>
      </w:pPr>
      <w:r>
        <w:rPr>
          <w:rFonts w:ascii="Verdana" w:eastAsia="Calibri" w:hAnsi="Verdana" w:cs="Arial"/>
          <w:lang w:val="es-ES"/>
        </w:rPr>
        <w:t xml:space="preserve">Además, el parágrafo tercero del mismo </w:t>
      </w:r>
      <w:r w:rsidRPr="0060163E">
        <w:rPr>
          <w:rFonts w:ascii="Verdana" w:eastAsia="Calibri" w:hAnsi="Verdana" w:cs="Arial"/>
          <w:lang w:val="es-ES_tradnl"/>
        </w:rPr>
        <w:t>artículo 49 de la Ley 617 de 2000</w:t>
      </w:r>
      <w:r>
        <w:rPr>
          <w:rFonts w:ascii="Verdana" w:eastAsia="Calibri" w:hAnsi="Verdana" w:cs="Arial"/>
          <w:lang w:val="es-ES_tradnl"/>
        </w:rPr>
        <w:t xml:space="preserve"> hace una distinción para los concejales municipios de cuarta, quinta y sexta categoría en tanto</w:t>
      </w:r>
      <w:r w:rsidRPr="008420DA">
        <w:rPr>
          <w:rFonts w:ascii="Verdana" w:eastAsia="Calibri" w:hAnsi="Verdana" w:cs="Arial"/>
          <w:lang w:val="es-ES_tradnl"/>
        </w:rPr>
        <w:t>: “</w:t>
      </w:r>
      <w:r w:rsidRPr="008420DA">
        <w:rPr>
          <w:rFonts w:ascii="Verdana" w:hAnsi="Verdana" w:cs="Open Sans"/>
        </w:rPr>
        <w:t>Tratándose de concejales de municipios de cuarta, quinta y sexta categoría, las prohibiciones establecidas en el presente artículo se aplicarán únicamente para los cónyuges o </w:t>
      </w:r>
      <w:r w:rsidRPr="008420DA">
        <w:rPr>
          <w:rFonts w:ascii="Verdana" w:hAnsi="Verdana" w:cs="Open Sans"/>
          <w:u w:val="single"/>
        </w:rPr>
        <w:t>compañeros permanentes</w:t>
      </w:r>
      <w:r w:rsidRPr="008420DA">
        <w:rPr>
          <w:rFonts w:ascii="Verdana" w:hAnsi="Verdana" w:cs="Open Sans"/>
        </w:rPr>
        <w:t> y parientes hasta el segundo grado de consanguinidad, primero de afinidad o único civil.”</w:t>
      </w:r>
    </w:p>
    <w:p w14:paraId="74482808" w14:textId="77777777" w:rsidR="00662485" w:rsidRDefault="00662485" w:rsidP="00662485">
      <w:pPr>
        <w:widowControl w:val="0"/>
        <w:autoSpaceDE w:val="0"/>
        <w:autoSpaceDN w:val="0"/>
        <w:spacing w:after="120" w:line="276" w:lineRule="auto"/>
        <w:ind w:firstLine="709"/>
        <w:jc w:val="both"/>
        <w:rPr>
          <w:rFonts w:ascii="Verdana" w:eastAsia="Calibri" w:hAnsi="Verdana" w:cs="Arial"/>
          <w:lang w:val="es-ES"/>
        </w:rPr>
      </w:pPr>
      <w:r w:rsidRPr="008420DA">
        <w:rPr>
          <w:rFonts w:ascii="Verdana" w:eastAsia="Calibri" w:hAnsi="Verdana" w:cs="Arial"/>
          <w:lang w:val="es-ES"/>
        </w:rPr>
        <w:t>Teniendo en cue</w:t>
      </w:r>
      <w:r>
        <w:rPr>
          <w:rFonts w:ascii="Verdana" w:eastAsia="Calibri" w:hAnsi="Verdana" w:cs="Arial"/>
          <w:lang w:val="es-ES"/>
        </w:rPr>
        <w:t>nta dicha distinción, se resalta que la expresión “dentro del cuarto grado de consanguinidad” del inciso tercero del artículo 49 de la Ley 617 de 2000 fue declarada exequible por la Corte Constitucional</w:t>
      </w:r>
      <w:r>
        <w:rPr>
          <w:rStyle w:val="Refdenotaalpie"/>
          <w:rFonts w:ascii="Verdana" w:eastAsia="Calibri" w:hAnsi="Verdana" w:cs="Arial"/>
          <w:lang w:val="es-ES"/>
        </w:rPr>
        <w:footnoteReference w:id="14"/>
      </w:r>
      <w:r>
        <w:rPr>
          <w:rFonts w:ascii="Verdana" w:eastAsia="Calibri" w:hAnsi="Verdana" w:cs="Arial"/>
          <w:lang w:val="es-ES"/>
        </w:rPr>
        <w:t xml:space="preserve">, ante la demanda de constitucionalidad que argumentaba una vulneración al derecho a la igualdad, dado que en otras disposiciones normativas sobre inhabilidades solo </w:t>
      </w:r>
      <w:r>
        <w:rPr>
          <w:rFonts w:ascii="Verdana" w:eastAsia="Calibri" w:hAnsi="Verdana" w:cs="Arial"/>
          <w:lang w:val="es-ES"/>
        </w:rPr>
        <w:lastRenderedPageBreak/>
        <w:t>se incluía hasta el segundo grado de consanguinidad, argumentando que:</w:t>
      </w:r>
    </w:p>
    <w:p w14:paraId="0F34A622" w14:textId="77777777" w:rsidR="00662485" w:rsidRDefault="00662485" w:rsidP="00662485">
      <w:pPr>
        <w:spacing w:after="0" w:line="240" w:lineRule="auto"/>
        <w:ind w:left="709" w:right="760"/>
        <w:jc w:val="both"/>
        <w:rPr>
          <w:rFonts w:ascii="Verdana" w:eastAsia="Times New Roman" w:hAnsi="Verdana" w:cs="Open Sans"/>
          <w:color w:val="000000"/>
          <w:sz w:val="20"/>
          <w:szCs w:val="20"/>
          <w:lang w:eastAsia="es-CO"/>
        </w:rPr>
      </w:pPr>
      <w:r>
        <w:rPr>
          <w:rFonts w:ascii="Open Sans" w:eastAsia="Times New Roman" w:hAnsi="Open Sans" w:cs="Open Sans"/>
          <w:b/>
          <w:bCs/>
          <w:color w:val="000000"/>
          <w:sz w:val="17"/>
          <w:szCs w:val="17"/>
          <w:lang w:eastAsia="es-CO"/>
        </w:rPr>
        <w:t xml:space="preserve"> </w:t>
      </w:r>
      <w:r>
        <w:rPr>
          <w:rFonts w:ascii="Verdana" w:eastAsia="Times New Roman" w:hAnsi="Verdana" w:cs="Open Sans"/>
          <w:color w:val="000000"/>
          <w:sz w:val="20"/>
          <w:szCs w:val="20"/>
          <w:lang w:eastAsia="es-CO"/>
        </w:rPr>
        <w:t xml:space="preserve">“(…) </w:t>
      </w:r>
      <w:r w:rsidRPr="00C83B98">
        <w:rPr>
          <w:rFonts w:ascii="Verdana" w:eastAsia="Times New Roman" w:hAnsi="Verdana" w:cs="Open Sans"/>
          <w:color w:val="000000"/>
          <w:sz w:val="20"/>
          <w:szCs w:val="20"/>
          <w:lang w:eastAsia="es-CO"/>
        </w:rPr>
        <w:t>Para la Sala, el trato diferenciado que contiene la disposición que se demanda es idóneo o adecuado para lograr la finalidad que persigue. En efecto, al hacer más estricto el régimen de inhabilidades de los parientes de los gobernadores, diputados, alcaldes y concejales para contratar con la respectiva entidad territorial, maximiza la realización de los principios constitucionales de prevalencia del interés general, moralidad e imparcialidad, que orientan la función administrativa. Esto es así, por cuanto, al impedir que en un mayor número de casos se presenten eventuales conflictos de interés en el ejercicio de la función administrativa por parte de estos servidores públicos, existe una mayor garantía en abstracto de que en los procesos de selección de contratistas del Estado no prevalezcan las relaciones de parentesco que puedan tener algunos de los oferentes con estos servidores públicos. De esta forma, es presumible inferir que la disposición logra una mayor realización de aquellos principios, que una norma que limite el régimen de inhabilidades sólo a los parientes de aquellos servidores únicamente hasta el segundo grado de consanguinidad.</w:t>
      </w:r>
    </w:p>
    <w:p w14:paraId="71D61721" w14:textId="77777777" w:rsidR="00662485" w:rsidRPr="00C83B98" w:rsidRDefault="00662485" w:rsidP="00662485">
      <w:pPr>
        <w:spacing w:after="0" w:line="240" w:lineRule="auto"/>
        <w:ind w:left="709" w:right="760"/>
        <w:jc w:val="both"/>
        <w:rPr>
          <w:rFonts w:ascii="Verdana" w:eastAsia="Times New Roman" w:hAnsi="Verdana" w:cs="Open Sans"/>
          <w:color w:val="4B4949"/>
          <w:sz w:val="20"/>
          <w:szCs w:val="20"/>
          <w:lang w:eastAsia="es-CO"/>
        </w:rPr>
      </w:pPr>
    </w:p>
    <w:p w14:paraId="3D423058" w14:textId="77777777" w:rsidR="00662485" w:rsidRPr="00C83B98" w:rsidRDefault="00662485" w:rsidP="00662485">
      <w:pPr>
        <w:spacing w:after="0" w:line="240" w:lineRule="auto"/>
        <w:ind w:left="709" w:right="760"/>
        <w:jc w:val="both"/>
        <w:rPr>
          <w:rFonts w:ascii="Verdana" w:eastAsia="Times New Roman" w:hAnsi="Verdana" w:cs="Open Sans"/>
          <w:color w:val="4B4949"/>
          <w:sz w:val="20"/>
          <w:szCs w:val="20"/>
          <w:lang w:eastAsia="es-CO"/>
        </w:rPr>
      </w:pPr>
      <w:r w:rsidRPr="00C83B98">
        <w:rPr>
          <w:rFonts w:ascii="Verdana" w:eastAsia="Times New Roman" w:hAnsi="Verdana" w:cs="Open Sans"/>
          <w:color w:val="000000"/>
          <w:sz w:val="20"/>
          <w:szCs w:val="20"/>
          <w:lang w:eastAsia="es-CO"/>
        </w:rPr>
        <w:t>En estos términos, la inhabilidad por parentesco para contratar que regula la disposición demandada evita que los servidores públicos otorguen un tratamiento preferente a favor de sus parientes hasta el cuarto grado de consanguinidad o que incidan en que este se conceda, en perjuicio de la imparcialidad y moralidad, y, por tanto, del interés general que debe guiar el ejercicio de la función administrativa de la contratación estatal. Sobre el particular, resulta razonable que, dentro de su amplio margen de configuración, el legislador imponga una restricción mayor a los parientes de los diputados, gobernadores, concejales y alcaldes, para ser contratistas de las entidades territoriales en las cuales fueron elegidos, por cuanto, precisamente, a las asambleas y a los concejos compete adoptar, a iniciativa de los respectivos gobernadores y alcaldes, los planes de inversión para el correspondiente período, y los presupuestos anuales de gastos en los que se apropian las partidas para la ejecución de los mencionados planes, así como a las asambleas y a los concejos les corresponde autorizar a gobernadores y alcaldes para celebrar los contratos de la administración, en los términos de los artículos 300, 305, 313 y 315 de la Constitución, de manera concordante con la forma en que el legislador precisó este deber en el Estatuto General de Contratación de la Administración Pública</w:t>
      </w:r>
      <w:r>
        <w:rPr>
          <w:rFonts w:ascii="Verdana" w:eastAsia="Times New Roman" w:hAnsi="Verdana" w:cs="Open Sans"/>
          <w:color w:val="000000"/>
          <w:sz w:val="20"/>
          <w:szCs w:val="20"/>
          <w:lang w:eastAsia="es-CO"/>
        </w:rPr>
        <w:t xml:space="preserve"> (…)”.</w:t>
      </w:r>
    </w:p>
    <w:p w14:paraId="2F45746A" w14:textId="77777777" w:rsidR="00662485" w:rsidRDefault="00662485" w:rsidP="00662485">
      <w:pPr>
        <w:spacing w:after="0" w:line="240" w:lineRule="auto"/>
        <w:ind w:firstLine="709"/>
        <w:jc w:val="both"/>
        <w:rPr>
          <w:rFonts w:ascii="Verdana" w:eastAsia="Calibri" w:hAnsi="Verdana" w:cs="Arial"/>
          <w:lang w:val="es-ES"/>
        </w:rPr>
      </w:pPr>
    </w:p>
    <w:p w14:paraId="6856963A" w14:textId="77777777" w:rsidR="00745CE9" w:rsidRDefault="00745CE9" w:rsidP="00745CE9">
      <w:pPr>
        <w:spacing w:after="120" w:line="276" w:lineRule="auto"/>
        <w:ind w:firstLine="709"/>
        <w:jc w:val="both"/>
        <w:rPr>
          <w:rFonts w:ascii="Verdana" w:eastAsia="Calibri" w:hAnsi="Verdana" w:cs="Arial"/>
          <w:color w:val="000000" w:themeColor="text1"/>
          <w:lang w:val="es-ES"/>
        </w:rPr>
      </w:pPr>
      <w:r w:rsidRPr="6894EB3A">
        <w:rPr>
          <w:rFonts w:ascii="Verdana" w:eastAsia="Calibri" w:hAnsi="Verdana" w:cs="Arial"/>
          <w:lang w:val="es-ES"/>
        </w:rPr>
        <w:t>Así, esta regla especial</w:t>
      </w:r>
      <w:r>
        <w:rPr>
          <w:rFonts w:ascii="Verdana" w:eastAsia="Calibri" w:hAnsi="Verdana" w:cs="Arial"/>
          <w:lang w:val="es-ES"/>
        </w:rPr>
        <w:t xml:space="preserve"> contenida en el artículo 49 de la Ley 617 de 2000</w:t>
      </w:r>
      <w:r w:rsidRPr="6894EB3A">
        <w:rPr>
          <w:rFonts w:ascii="Verdana" w:eastAsia="Calibri" w:hAnsi="Verdana" w:cs="Arial"/>
          <w:lang w:val="es-ES"/>
        </w:rPr>
        <w:t xml:space="preserve"> dispone </w:t>
      </w:r>
      <w:r>
        <w:rPr>
          <w:rFonts w:ascii="Verdana" w:eastAsia="Calibri" w:hAnsi="Verdana" w:cs="Arial"/>
          <w:lang w:val="es-ES"/>
        </w:rPr>
        <w:t xml:space="preserve">en primer lugar </w:t>
      </w:r>
      <w:r w:rsidRPr="6894EB3A">
        <w:rPr>
          <w:rFonts w:ascii="Verdana" w:eastAsia="Calibri" w:hAnsi="Verdana" w:cs="Arial"/>
          <w:lang w:val="es-ES"/>
        </w:rPr>
        <w:t xml:space="preserve">una prohibición que </w:t>
      </w:r>
      <w:r w:rsidRPr="6894EB3A">
        <w:rPr>
          <w:rFonts w:ascii="Verdana" w:eastAsia="Calibri" w:hAnsi="Verdana" w:cs="Arial"/>
          <w:color w:val="000000" w:themeColor="text1"/>
          <w:lang w:val="es-ES"/>
        </w:rPr>
        <w:t xml:space="preserve">aplica a los cónyuges o compañeros permanentes de los gobernadores, diputados, alcaldes o concejales, así como a sus parientes dentro del cuarto grado de consanguinidad, segundo de afinidad o primero civil, quienes no podrán celebrar contratos directa ni indirectamente con </w:t>
      </w:r>
      <w:r w:rsidRPr="6894EB3A">
        <w:rPr>
          <w:rFonts w:ascii="Verdana" w:eastAsia="Calibri" w:hAnsi="Verdana" w:cs="Arial"/>
          <w:color w:val="000000" w:themeColor="text1"/>
          <w:lang w:val="es-ES"/>
        </w:rPr>
        <w:lastRenderedPageBreak/>
        <w:t>el departamento, distrito o municipio, o con sus entidades descentralizadas</w:t>
      </w:r>
      <w:r>
        <w:rPr>
          <w:rFonts w:ascii="Verdana" w:eastAsia="Calibri" w:hAnsi="Verdana" w:cs="Arial"/>
          <w:color w:val="000000" w:themeColor="text1"/>
          <w:lang w:val="es-ES"/>
        </w:rPr>
        <w:t>, tratándose de los municipios de primera, segunda y tercera categoría</w:t>
      </w:r>
      <w:r w:rsidRPr="6894EB3A">
        <w:rPr>
          <w:rFonts w:ascii="Verdana" w:eastAsia="Calibri" w:hAnsi="Verdana" w:cs="Arial"/>
          <w:color w:val="000000" w:themeColor="text1"/>
          <w:lang w:val="es-ES"/>
        </w:rPr>
        <w:t xml:space="preserve">. </w:t>
      </w:r>
    </w:p>
    <w:p w14:paraId="0204D010" w14:textId="5C62236B" w:rsidR="002C413A" w:rsidRDefault="00745CE9" w:rsidP="00662485">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themeColor="text1"/>
          <w:lang w:val="es-ES"/>
        </w:rPr>
        <w:t xml:space="preserve">Por su parte, el parágrafo tercero del mencionado artículo 49 determina que, </w:t>
      </w:r>
      <w:r w:rsidRPr="6894EB3A">
        <w:rPr>
          <w:rFonts w:ascii="Verdana" w:eastAsia="Calibri" w:hAnsi="Verdana" w:cs="Arial"/>
          <w:color w:val="000000" w:themeColor="text1"/>
          <w:lang w:val="es-ES"/>
        </w:rPr>
        <w:t xml:space="preserve">la prohibición </w:t>
      </w:r>
      <w:r>
        <w:rPr>
          <w:rFonts w:ascii="Verdana" w:eastAsia="Calibri" w:hAnsi="Verdana" w:cs="Arial"/>
          <w:color w:val="000000" w:themeColor="text1"/>
          <w:lang w:val="es-ES"/>
        </w:rPr>
        <w:t xml:space="preserve">relativa a la celebración de contratos </w:t>
      </w:r>
      <w:r w:rsidRPr="6894EB3A">
        <w:rPr>
          <w:rFonts w:ascii="Verdana" w:eastAsia="Calibri" w:hAnsi="Verdana" w:cs="Arial"/>
          <w:color w:val="000000" w:themeColor="text1"/>
          <w:lang w:val="es-ES"/>
        </w:rPr>
        <w:t xml:space="preserve">se aplica únicamente </w:t>
      </w:r>
      <w:r>
        <w:rPr>
          <w:rFonts w:ascii="Verdana" w:eastAsia="Calibri" w:hAnsi="Verdana" w:cs="Arial"/>
          <w:color w:val="000000" w:themeColor="text1"/>
          <w:lang w:val="es-ES"/>
        </w:rPr>
        <w:t xml:space="preserve">para los concejales de los municipios de cuarta, quinta y sexta categoría, cuyos parientes sean </w:t>
      </w:r>
      <w:r w:rsidR="002C413A">
        <w:rPr>
          <w:rFonts w:ascii="Verdana" w:eastAsia="Calibri" w:hAnsi="Verdana" w:cs="Arial"/>
          <w:color w:val="000000" w:themeColor="text1"/>
          <w:lang w:val="es-ES"/>
        </w:rPr>
        <w:t xml:space="preserve">los </w:t>
      </w:r>
      <w:r w:rsidR="002C413A" w:rsidRPr="6894EB3A">
        <w:rPr>
          <w:rFonts w:ascii="Verdana" w:eastAsia="Calibri" w:hAnsi="Verdana" w:cs="Arial"/>
          <w:color w:val="000000" w:themeColor="text1"/>
          <w:lang w:val="es-ES"/>
        </w:rPr>
        <w:t>cónyuges</w:t>
      </w:r>
      <w:r w:rsidRPr="6894EB3A">
        <w:rPr>
          <w:rFonts w:ascii="Verdana" w:eastAsia="Calibri" w:hAnsi="Verdana" w:cs="Arial"/>
          <w:color w:val="000000" w:themeColor="text1"/>
          <w:lang w:val="es-ES"/>
        </w:rPr>
        <w:t xml:space="preserve"> o compañeros permanentes y parientes hasta el segundo grado de consanguinidad, primero de afinidad o único civil. En ese sentido, para los parientes </w:t>
      </w:r>
      <w:r>
        <w:rPr>
          <w:rFonts w:ascii="Verdana" w:eastAsia="Calibri" w:hAnsi="Verdana" w:cs="Arial"/>
          <w:color w:val="000000" w:themeColor="text1"/>
          <w:lang w:val="es-ES"/>
        </w:rPr>
        <w:t xml:space="preserve">que se encuentran </w:t>
      </w:r>
      <w:r w:rsidRPr="6894EB3A">
        <w:rPr>
          <w:rFonts w:ascii="Verdana" w:eastAsia="Calibri" w:hAnsi="Verdana" w:cs="Arial"/>
          <w:color w:val="000000" w:themeColor="text1"/>
          <w:lang w:val="es-ES"/>
        </w:rPr>
        <w:t xml:space="preserve">dentro del </w:t>
      </w:r>
      <w:r>
        <w:rPr>
          <w:rFonts w:ascii="Verdana" w:eastAsia="Calibri" w:hAnsi="Verdana" w:cs="Arial"/>
          <w:color w:val="000000" w:themeColor="text1"/>
          <w:lang w:val="es-ES"/>
        </w:rPr>
        <w:t>tercer</w:t>
      </w:r>
      <w:r w:rsidRPr="6894EB3A">
        <w:rPr>
          <w:rFonts w:ascii="Verdana" w:eastAsia="Calibri" w:hAnsi="Verdana" w:cs="Arial"/>
          <w:color w:val="000000" w:themeColor="text1"/>
          <w:lang w:val="es-ES"/>
        </w:rPr>
        <w:t xml:space="preserve"> grado de consanguinidad de un concejal de un municipio de cuarta, quinta o sexta categoría, no operaría la prohibición</w:t>
      </w:r>
      <w:r w:rsidR="002C413A">
        <w:rPr>
          <w:rFonts w:ascii="Verdana" w:eastAsia="Calibri" w:hAnsi="Verdana" w:cs="Arial"/>
          <w:color w:val="000000"/>
          <w:lang w:val="es-ES_tradnl"/>
        </w:rPr>
        <w:t>.</w:t>
      </w:r>
    </w:p>
    <w:p w14:paraId="26F23B46" w14:textId="5023A1D9" w:rsidR="00662485" w:rsidRPr="00427634" w:rsidRDefault="00662485" w:rsidP="00662485">
      <w:pPr>
        <w:spacing w:after="120" w:line="276" w:lineRule="auto"/>
        <w:ind w:firstLine="709"/>
        <w:jc w:val="both"/>
        <w:rPr>
          <w:rFonts w:ascii="Verdana" w:eastAsia="Calibri" w:hAnsi="Verdana" w:cs="Arial"/>
          <w:color w:val="000000"/>
          <w:lang w:val="es-ES_tradnl"/>
        </w:rPr>
      </w:pPr>
      <w:r>
        <w:rPr>
          <w:rFonts w:ascii="Verdana" w:eastAsia="Calibri" w:hAnsi="Verdana" w:cs="Arial"/>
          <w:lang w:val="es-ES"/>
        </w:rPr>
        <w:t>Por lo tanto, en principio</w:t>
      </w:r>
      <w:r w:rsidRPr="0060163E">
        <w:rPr>
          <w:rFonts w:ascii="Verdana" w:eastAsia="Calibri" w:hAnsi="Verdana" w:cs="Arial"/>
          <w:color w:val="000000"/>
          <w:lang w:val="es-MX"/>
        </w:rPr>
        <w:t xml:space="preserve">, todas las entidades y funcionarios del artículo 2 de la Ley 80 de 1993 se rigen por las causales de inhabilidad del artículo 8 </w:t>
      </w:r>
      <w:r w:rsidRPr="0060163E">
        <w:rPr>
          <w:rFonts w:ascii="Verdana" w:eastAsia="Calibri" w:hAnsi="Verdana" w:cs="Arial"/>
          <w:i/>
          <w:iCs/>
          <w:color w:val="000000"/>
          <w:lang w:val="es-MX"/>
        </w:rPr>
        <w:t>ibidem</w:t>
      </w:r>
      <w:r w:rsidRPr="0060163E">
        <w:rPr>
          <w:rFonts w:ascii="Verdana" w:eastAsia="Calibri" w:hAnsi="Verdana" w:cs="Arial"/>
          <w:color w:val="000000"/>
          <w:lang w:val="es-MX"/>
        </w:rPr>
        <w:t xml:space="preserve">, incluyendo la del literal b) del numeral 2 explicada </w:t>
      </w:r>
      <w:r w:rsidRPr="0060163E">
        <w:rPr>
          <w:rFonts w:ascii="Verdana" w:eastAsia="Calibri" w:hAnsi="Verdana" w:cs="Arial"/>
          <w:i/>
          <w:iCs/>
          <w:color w:val="000000"/>
          <w:lang w:val="es-MX"/>
        </w:rPr>
        <w:t>ut supra</w:t>
      </w:r>
      <w:r>
        <w:rPr>
          <w:rFonts w:ascii="Verdana" w:eastAsia="Calibri" w:hAnsi="Verdana" w:cs="Arial"/>
          <w:color w:val="000000"/>
          <w:lang w:val="es-MX"/>
        </w:rPr>
        <w:t>, p</w:t>
      </w:r>
      <w:proofErr w:type="spellStart"/>
      <w:r w:rsidRPr="0060163E">
        <w:rPr>
          <w:rFonts w:ascii="Verdana" w:eastAsia="Calibri" w:hAnsi="Verdana" w:cs="Arial"/>
          <w:lang w:val="es-ES_tradnl"/>
        </w:rPr>
        <w:t>ues</w:t>
      </w:r>
      <w:proofErr w:type="spellEnd"/>
      <w:r w:rsidRPr="0060163E">
        <w:rPr>
          <w:rFonts w:ascii="Verdana" w:eastAsia="Calibri" w:hAnsi="Verdana" w:cs="Arial"/>
          <w:lang w:val="es-ES_tradnl"/>
        </w:rPr>
        <w:t xml:space="preserve"> es </w:t>
      </w:r>
      <w:r>
        <w:rPr>
          <w:rFonts w:ascii="Verdana" w:eastAsia="Calibri" w:hAnsi="Verdana" w:cs="Arial"/>
          <w:lang w:val="es-ES_tradnl"/>
        </w:rPr>
        <w:t xml:space="preserve">la </w:t>
      </w:r>
      <w:r w:rsidRPr="0060163E">
        <w:rPr>
          <w:rFonts w:ascii="Verdana" w:eastAsia="Calibri" w:hAnsi="Verdana" w:cs="Arial"/>
          <w:i/>
          <w:iCs/>
          <w:lang w:val="es-ES_tradnl"/>
        </w:rPr>
        <w:t>regla general</w:t>
      </w:r>
      <w:r w:rsidRPr="0060163E">
        <w:rPr>
          <w:rFonts w:ascii="Verdana" w:eastAsia="Calibri" w:hAnsi="Verdana" w:cs="Arial"/>
          <w:lang w:val="es-ES_tradnl"/>
        </w:rPr>
        <w:t xml:space="preserve"> en materia de inhabilidades e incompatibilidades para la contratación de las entidades sometidas a la Ley 80 de 1993. Sin embargo, el artículo 49 de la Ley 617</w:t>
      </w:r>
      <w:r>
        <w:rPr>
          <w:rFonts w:ascii="Verdana" w:eastAsia="Calibri" w:hAnsi="Verdana" w:cs="Arial"/>
          <w:lang w:val="es-ES_tradnl"/>
        </w:rPr>
        <w:t xml:space="preserve"> de 2000</w:t>
      </w:r>
      <w:r w:rsidRPr="0060163E">
        <w:rPr>
          <w:rFonts w:ascii="Verdana" w:eastAsia="Calibri" w:hAnsi="Verdana" w:cs="Arial"/>
          <w:lang w:val="es-ES_tradnl"/>
        </w:rPr>
        <w:t xml:space="preserve"> </w:t>
      </w:r>
      <w:r>
        <w:rPr>
          <w:rFonts w:ascii="Verdana" w:eastAsia="Calibri" w:hAnsi="Verdana" w:cs="Arial"/>
          <w:lang w:val="es-ES_tradnl"/>
        </w:rPr>
        <w:t>se trata de una</w:t>
      </w:r>
      <w:r w:rsidRPr="0060163E">
        <w:rPr>
          <w:rFonts w:ascii="Verdana" w:eastAsia="Calibri" w:hAnsi="Verdana" w:cs="Arial"/>
          <w:lang w:val="es-ES_tradnl"/>
        </w:rPr>
        <w:t xml:space="preserve"> </w:t>
      </w:r>
      <w:r w:rsidRPr="0060163E">
        <w:rPr>
          <w:rFonts w:ascii="Verdana" w:eastAsia="Calibri" w:hAnsi="Verdana" w:cs="Arial"/>
          <w:i/>
          <w:iCs/>
          <w:lang w:val="es-ES_tradnl"/>
        </w:rPr>
        <w:t>regla especial</w:t>
      </w:r>
      <w:r w:rsidRPr="0060163E">
        <w:rPr>
          <w:rFonts w:ascii="Verdana" w:eastAsia="Calibri" w:hAnsi="Verdana" w:cs="Arial"/>
          <w:lang w:val="es-ES_tradnl"/>
        </w:rPr>
        <w:t>, la cual se ratifica en las modificaciones posteriores del artículo 1º de las Leyes 821 de 2003, 1148 de 2007 y 1296 de 2009. Según esta regla, los cónyuges o compañeros permanentes de los gobernadores, diputados, alcaldes o concejales, así como a sus parientes dentro del cuarto grado de consanguinidad, segundo de afinidad o primero civil, no pueden celebrar contratos directa ni indirectamente con el departamento, distrito o municipio, o con sus entidades descentralizadas</w:t>
      </w:r>
      <w:r w:rsidRPr="0060163E">
        <w:rPr>
          <w:rFonts w:ascii="Verdana" w:eastAsia="Calibri" w:hAnsi="Verdana" w:cs="Arial"/>
          <w:vertAlign w:val="superscript"/>
          <w:lang w:val="es-ES_tradnl"/>
        </w:rPr>
        <w:footnoteReference w:id="15"/>
      </w:r>
      <w:r w:rsidRPr="0060163E">
        <w:rPr>
          <w:rFonts w:ascii="Verdana" w:eastAsia="Calibri" w:hAnsi="Verdana" w:cs="Arial"/>
          <w:lang w:val="es-ES_tradnl"/>
        </w:rPr>
        <w:t>.</w:t>
      </w:r>
      <w:r>
        <w:rPr>
          <w:rFonts w:ascii="Verdana" w:eastAsia="Calibri" w:hAnsi="Verdana" w:cs="Arial"/>
          <w:lang w:val="es-ES_tradnl"/>
        </w:rPr>
        <w:t xml:space="preserve"> </w:t>
      </w:r>
    </w:p>
    <w:p w14:paraId="35D8C60B" w14:textId="77777777" w:rsidR="00662485" w:rsidRPr="00E84A27" w:rsidRDefault="00662485" w:rsidP="00662485">
      <w:pPr>
        <w:spacing w:after="120" w:line="276" w:lineRule="auto"/>
        <w:ind w:firstLine="709"/>
        <w:jc w:val="both"/>
        <w:rPr>
          <w:rFonts w:ascii="Verdana" w:eastAsia="Calibri" w:hAnsi="Verdana" w:cs="Arial"/>
          <w:lang w:val="es-ES"/>
        </w:rPr>
      </w:pPr>
      <w:r>
        <w:rPr>
          <w:rFonts w:ascii="Verdana" w:eastAsia="Calibri" w:hAnsi="Verdana" w:cs="Arial"/>
          <w:lang w:val="es-ES"/>
        </w:rPr>
        <w:t>Empero</w:t>
      </w:r>
      <w:r w:rsidRPr="4D14AFBD">
        <w:rPr>
          <w:rFonts w:ascii="Verdana" w:eastAsia="Calibri" w:hAnsi="Verdana" w:cs="Arial"/>
          <w:lang w:val="es-ES"/>
        </w:rPr>
        <w:t xml:space="preserve"> dado que la interpretación de este tipo de normativa debe ser restrictiva se encuentra que, </w:t>
      </w:r>
      <w:r>
        <w:rPr>
          <w:rFonts w:ascii="Verdana" w:eastAsia="Calibri" w:hAnsi="Verdana" w:cs="Arial"/>
          <w:lang w:val="es-ES"/>
        </w:rPr>
        <w:t xml:space="preserve">según lo dispuesto en el </w:t>
      </w:r>
      <w:r w:rsidRPr="4D14AFBD">
        <w:rPr>
          <w:rFonts w:ascii="Verdana" w:eastAsia="Calibri" w:hAnsi="Verdana" w:cs="Arial"/>
          <w:lang w:val="es-ES"/>
        </w:rPr>
        <w:t xml:space="preserve">parágrafo tercero del artículo 49 de la Ley 617 de 2000 </w:t>
      </w:r>
      <w:r>
        <w:rPr>
          <w:rFonts w:ascii="Verdana" w:eastAsia="Calibri" w:hAnsi="Verdana" w:cs="Arial"/>
          <w:lang w:val="es-ES"/>
        </w:rPr>
        <w:t>tratándose</w:t>
      </w:r>
      <w:r w:rsidRPr="4D14AFBD">
        <w:rPr>
          <w:rFonts w:ascii="Verdana" w:eastAsia="Calibri" w:hAnsi="Verdana" w:cs="Arial"/>
          <w:color w:val="000000" w:themeColor="text1"/>
          <w:lang w:val="es-ES"/>
        </w:rPr>
        <w:t xml:space="preserve"> de concejales de municipios de cuarta, quinta y sexta categoría, se aplica la prohibición únicamente a los cónyuges o compañeros permanentes y parientes hasta el segundo grado de consanguinidad, primero de afinidad o único civil.</w:t>
      </w:r>
    </w:p>
    <w:p w14:paraId="58327720" w14:textId="77777777" w:rsidR="00662485" w:rsidRPr="001F283D" w:rsidRDefault="00662485" w:rsidP="00662485">
      <w:pPr>
        <w:tabs>
          <w:tab w:val="left" w:pos="142"/>
          <w:tab w:val="left" w:pos="284"/>
        </w:tabs>
        <w:spacing w:after="0" w:line="240" w:lineRule="auto"/>
        <w:rPr>
          <w:rFonts w:ascii="Verdana" w:eastAsia="Century Gothic" w:hAnsi="Verdana" w:cs="Century Gothic"/>
          <w:b/>
          <w:bCs/>
        </w:rPr>
      </w:pPr>
      <w:bookmarkStart w:id="11"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11"/>
    <w:p w14:paraId="2310EC61" w14:textId="77777777" w:rsidR="00662485" w:rsidRPr="00593A5F" w:rsidRDefault="00662485" w:rsidP="0066248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2485" w:rsidRPr="002407CE" w14:paraId="78C2E00A" w14:textId="77777777" w:rsidTr="0023368A">
        <w:trPr>
          <w:trHeight w:val="870"/>
          <w:jc w:val="center"/>
        </w:trPr>
        <w:tc>
          <w:tcPr>
            <w:tcW w:w="8647" w:type="dxa"/>
          </w:tcPr>
          <w:p w14:paraId="5B491257" w14:textId="77777777" w:rsidR="00662485" w:rsidRPr="00A641BB"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Pr>
                <w:rFonts w:ascii="Verdana" w:hAnsi="Verdana"/>
                <w:sz w:val="22"/>
                <w:szCs w:val="22"/>
              </w:rPr>
              <w:t xml:space="preserve">Constitución Política. Artículo 209. </w:t>
            </w:r>
          </w:p>
          <w:p w14:paraId="1D5169ED" w14:textId="77777777" w:rsid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sz w:val="22"/>
                <w:szCs w:val="22"/>
              </w:rPr>
              <w:t>Ley 80 de 1993. Artículo 8.</w:t>
            </w:r>
          </w:p>
          <w:p w14:paraId="5759662A" w14:textId="77777777" w:rsid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Pr>
                <w:rFonts w:ascii="Verdana" w:hAnsi="Verdana" w:cs="Arial"/>
                <w:color w:val="000000" w:themeColor="text1"/>
                <w:sz w:val="22"/>
                <w:szCs w:val="22"/>
              </w:rPr>
              <w:lastRenderedPageBreak/>
              <w:t xml:space="preserve">Ley 617 de 2000. Artículo 49. </w:t>
            </w:r>
          </w:p>
          <w:p w14:paraId="1BB13486" w14:textId="77777777" w:rsidR="00662485" w:rsidRPr="00A25C67"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 xml:space="preserve">Consejo de Estado. Sala de lo Contencioso Administrativo. Sección Tercera. Subsección A. Sentencia del 13 de noviembre de 2013. Radicado: 25000-23-26-000-1999-02197-01 (25646). C.P. Mauricio Fajardo Gómez.  </w:t>
            </w:r>
          </w:p>
          <w:p w14:paraId="7838B54B" w14:textId="77777777" w:rsidR="00662485" w:rsidRPr="00A25C67" w:rsidRDefault="00662485" w:rsidP="0023368A">
            <w:pPr>
              <w:pStyle w:val="NormalWeb"/>
              <w:numPr>
                <w:ilvl w:val="0"/>
                <w:numId w:val="17"/>
              </w:numPr>
              <w:spacing w:before="120" w:beforeAutospacing="0" w:after="0" w:afterAutospacing="0"/>
              <w:ind w:left="714" w:hanging="357"/>
              <w:jc w:val="both"/>
              <w:rPr>
                <w:rFonts w:ascii="Verdana" w:hAnsi="Verdana"/>
                <w:sz w:val="22"/>
                <w:szCs w:val="22"/>
              </w:rPr>
            </w:pPr>
            <w:r w:rsidRPr="00A25C67">
              <w:rPr>
                <w:rFonts w:ascii="Verdana" w:hAnsi="Verdana"/>
                <w:sz w:val="22"/>
                <w:szCs w:val="22"/>
              </w:rPr>
              <w:t xml:space="preserve">Consejo de Estado. Sala de Consulta y Servicio Civil. Concepto del 30 de abril de 2015. Radicado: 11001-03-06-000-2015-00058-00 (2251). C.P: Álvaro </w:t>
            </w:r>
            <w:proofErr w:type="spellStart"/>
            <w:r w:rsidRPr="00A25C67">
              <w:rPr>
                <w:rFonts w:ascii="Verdana" w:hAnsi="Verdana"/>
                <w:sz w:val="22"/>
                <w:szCs w:val="22"/>
              </w:rPr>
              <w:t>Namén</w:t>
            </w:r>
            <w:proofErr w:type="spellEnd"/>
            <w:r w:rsidRPr="00A25C67">
              <w:rPr>
                <w:rFonts w:ascii="Verdana" w:hAnsi="Verdana"/>
                <w:sz w:val="22"/>
                <w:szCs w:val="22"/>
              </w:rPr>
              <w:t xml:space="preserve"> Vargas.</w:t>
            </w:r>
          </w:p>
          <w:p w14:paraId="328FFC6D" w14:textId="77777777" w:rsidR="00662485" w:rsidRPr="00A25C67" w:rsidRDefault="00662485" w:rsidP="0023368A">
            <w:pPr>
              <w:pStyle w:val="NormalWeb"/>
              <w:numPr>
                <w:ilvl w:val="0"/>
                <w:numId w:val="17"/>
              </w:numPr>
              <w:spacing w:before="120" w:beforeAutospacing="0" w:after="0" w:afterAutospacing="0"/>
              <w:ind w:left="714" w:hanging="357"/>
              <w:jc w:val="both"/>
              <w:rPr>
                <w:rFonts w:ascii="Verdana" w:hAnsi="Verdana"/>
                <w:sz w:val="22"/>
                <w:szCs w:val="22"/>
              </w:rPr>
            </w:pPr>
            <w:r w:rsidRPr="00A25C67">
              <w:rPr>
                <w:rFonts w:ascii="Verdana" w:hAnsi="Verdana"/>
                <w:sz w:val="22"/>
                <w:szCs w:val="22"/>
              </w:rPr>
              <w:t>Consejo de Estado. Sala de lo Contencioso Administrativo. Sección Tercera. Subsección A. Sentencia del 24 de junio de 2015. Radicado: 05001-23-31-000-1997-02636-01 (40.635). C.P: Hernán Andrade Rincón (E).</w:t>
            </w:r>
          </w:p>
          <w:p w14:paraId="58D3B6F1" w14:textId="77777777" w:rsidR="00662485" w:rsidRPr="00A25C67"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 xml:space="preserve">Consejo de Estado. Sala de lo Contencioso Administrativo. Sección Tercera. Subsección C. Sentencia del 22 de mayo de 2013. Radicado: 68001-23-15-000-1995-00152-01 (24.057). C.P: Olga Mélida Valle De </w:t>
            </w:r>
            <w:proofErr w:type="spellStart"/>
            <w:r w:rsidRPr="00A25C67">
              <w:rPr>
                <w:rFonts w:ascii="Verdana" w:hAnsi="Verdana" w:cs="Arial"/>
                <w:color w:val="000000" w:themeColor="text1"/>
                <w:sz w:val="22"/>
                <w:szCs w:val="22"/>
              </w:rPr>
              <w:t>De</w:t>
            </w:r>
            <w:proofErr w:type="spellEnd"/>
            <w:r w:rsidRPr="00A25C67">
              <w:rPr>
                <w:rFonts w:ascii="Verdana" w:hAnsi="Verdana" w:cs="Arial"/>
                <w:color w:val="000000" w:themeColor="text1"/>
                <w:sz w:val="22"/>
                <w:szCs w:val="22"/>
              </w:rPr>
              <w:t xml:space="preserve"> La Hoz.</w:t>
            </w:r>
          </w:p>
          <w:p w14:paraId="4D1E111E" w14:textId="77777777" w:rsid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641BB">
              <w:rPr>
                <w:rFonts w:ascii="Verdana" w:hAnsi="Verdana" w:cs="Arial"/>
                <w:color w:val="000000" w:themeColor="text1"/>
                <w:sz w:val="22"/>
                <w:szCs w:val="22"/>
              </w:rPr>
              <w:t>Corte Constitucional. Sentencia C-1016 de 2012. M.P. Jorge Iván Palacio.</w:t>
            </w:r>
          </w:p>
          <w:p w14:paraId="15839660" w14:textId="77777777" w:rsid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641BB">
              <w:rPr>
                <w:rFonts w:ascii="Verdana" w:hAnsi="Verdana" w:cs="Arial"/>
                <w:color w:val="000000" w:themeColor="text1"/>
                <w:sz w:val="22"/>
                <w:szCs w:val="22"/>
              </w:rPr>
              <w:t>Corte Constitucional. Sentencia C-415 de 1994. M.P. Eduardo Cifuentes Muñoz.</w:t>
            </w:r>
          </w:p>
          <w:p w14:paraId="742C989E" w14:textId="77777777" w:rsidR="00662485" w:rsidRP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lang w:val="it-CH"/>
              </w:rPr>
            </w:pPr>
            <w:r w:rsidRPr="00A25C67">
              <w:rPr>
                <w:rFonts w:ascii="Verdana" w:hAnsi="Verdana" w:cs="Arial"/>
                <w:color w:val="000000" w:themeColor="text1"/>
                <w:sz w:val="22"/>
                <w:szCs w:val="22"/>
              </w:rPr>
              <w:t xml:space="preserve">Corte Constitucional. Sentencia T-1039 de 2006. </w:t>
            </w:r>
            <w:r w:rsidRPr="00A25C67">
              <w:rPr>
                <w:rFonts w:ascii="Verdana" w:hAnsi="Verdana" w:cs="Arial"/>
                <w:color w:val="000000" w:themeColor="text1"/>
                <w:sz w:val="22"/>
                <w:szCs w:val="22"/>
                <w:lang w:val="it-CH"/>
              </w:rPr>
              <w:t xml:space="preserve">M.P. Humberto Sierra Porto. </w:t>
            </w:r>
          </w:p>
          <w:p w14:paraId="6DE7EAFE" w14:textId="77777777" w:rsid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Corte Constitucional. Sentencia C-903 de 2008. M.P. Jaime Araujo Rentería</w:t>
            </w:r>
            <w:r>
              <w:rPr>
                <w:rFonts w:ascii="Verdana" w:hAnsi="Verdana" w:cs="Arial"/>
                <w:color w:val="000000" w:themeColor="text1"/>
                <w:sz w:val="22"/>
                <w:szCs w:val="22"/>
              </w:rPr>
              <w:t>.</w:t>
            </w:r>
          </w:p>
          <w:p w14:paraId="752F0D61" w14:textId="77777777" w:rsidR="00662485"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Pr>
                <w:rFonts w:ascii="Verdana" w:hAnsi="Verdana" w:cs="Arial"/>
                <w:color w:val="000000" w:themeColor="text1"/>
                <w:sz w:val="22"/>
                <w:szCs w:val="22"/>
              </w:rPr>
              <w:t>Corte Constitucional. Sentencia C</w:t>
            </w:r>
            <w:r w:rsidRPr="00A25C67">
              <w:rPr>
                <w:rFonts w:ascii="Verdana" w:hAnsi="Verdana" w:cs="Arial"/>
                <w:color w:val="000000" w:themeColor="text1"/>
                <w:sz w:val="22"/>
                <w:szCs w:val="22"/>
              </w:rPr>
              <w:t>-101 de 2018. M.P. Gloria Stella Ortiz Delgado</w:t>
            </w:r>
            <w:r>
              <w:rPr>
                <w:rFonts w:ascii="Verdana" w:hAnsi="Verdana" w:cs="Arial"/>
                <w:color w:val="000000" w:themeColor="text1"/>
                <w:sz w:val="22"/>
                <w:szCs w:val="22"/>
              </w:rPr>
              <w:t>.</w:t>
            </w:r>
          </w:p>
          <w:p w14:paraId="29212CDD" w14:textId="77777777" w:rsidR="00662485" w:rsidRPr="00D22B74" w:rsidRDefault="00662485" w:rsidP="0023368A">
            <w:pPr>
              <w:pStyle w:val="NormalWeb"/>
              <w:numPr>
                <w:ilvl w:val="0"/>
                <w:numId w:val="17"/>
              </w:numPr>
              <w:spacing w:before="120" w:beforeAutospacing="0" w:after="0" w:afterAutospacing="0"/>
              <w:ind w:left="714" w:hanging="357"/>
              <w:jc w:val="both"/>
              <w:rPr>
                <w:rFonts w:ascii="Verdana" w:hAnsi="Verdana" w:cs="Arial"/>
                <w:color w:val="000000" w:themeColor="text1"/>
                <w:sz w:val="22"/>
                <w:szCs w:val="22"/>
              </w:rPr>
            </w:pPr>
            <w:r w:rsidRPr="00A25C67">
              <w:rPr>
                <w:rFonts w:ascii="Verdana" w:hAnsi="Verdana" w:cs="Arial"/>
                <w:color w:val="000000" w:themeColor="text1"/>
                <w:sz w:val="22"/>
                <w:szCs w:val="22"/>
              </w:rPr>
              <w:t>Corte Constitucional. Sentencia C-087 de 2024. M.P: Antonio José Lizarazo Ocampo</w:t>
            </w:r>
            <w:r>
              <w:rPr>
                <w:rFonts w:ascii="Verdana" w:hAnsi="Verdana" w:cs="Arial"/>
                <w:color w:val="000000" w:themeColor="text1"/>
                <w:sz w:val="22"/>
                <w:szCs w:val="22"/>
              </w:rPr>
              <w:t>.</w:t>
            </w:r>
          </w:p>
        </w:tc>
      </w:tr>
    </w:tbl>
    <w:p w14:paraId="6719E3F4" w14:textId="77777777" w:rsidR="00662485" w:rsidRPr="00277E26" w:rsidRDefault="00662485" w:rsidP="00662485">
      <w:pPr>
        <w:widowControl w:val="0"/>
        <w:autoSpaceDE w:val="0"/>
        <w:autoSpaceDN w:val="0"/>
        <w:spacing w:after="0" w:line="276" w:lineRule="auto"/>
        <w:jc w:val="both"/>
        <w:rPr>
          <w:rFonts w:ascii="Verdana" w:hAnsi="Verdana" w:cs="Arial"/>
        </w:rPr>
      </w:pPr>
    </w:p>
    <w:p w14:paraId="674AFF73" w14:textId="77777777" w:rsidR="00662485" w:rsidRPr="001F283D" w:rsidRDefault="00662485" w:rsidP="00662485">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4336C9A0" w14:textId="77777777" w:rsidR="00662485" w:rsidRPr="0021078E" w:rsidRDefault="00662485" w:rsidP="00662485">
      <w:pPr>
        <w:widowControl w:val="0"/>
        <w:autoSpaceDE w:val="0"/>
        <w:autoSpaceDN w:val="0"/>
        <w:spacing w:after="0" w:line="240" w:lineRule="auto"/>
        <w:jc w:val="both"/>
        <w:rPr>
          <w:rStyle w:val="normaltextrun"/>
          <w:rFonts w:ascii="Verdana" w:hAnsi="Verdana" w:cs="Arial"/>
          <w:shd w:val="clear" w:color="auto" w:fill="FFFFFF"/>
          <w:lang w:val="es-ES"/>
        </w:rPr>
      </w:pPr>
    </w:p>
    <w:p w14:paraId="27E1D9B7" w14:textId="77777777" w:rsidR="00662485" w:rsidRPr="00AB70DD" w:rsidRDefault="00662485" w:rsidP="00662485">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E84A27">
        <w:rPr>
          <w:rFonts w:ascii="Verdana" w:hAnsi="Verdana" w:cs="Arial"/>
          <w:shd w:val="clear" w:color="auto" w:fill="FFFFFF"/>
        </w:rPr>
        <w:t xml:space="preserve">La Agencia Nacional de Contratación Pública – Colombia Compra Eficiente se ha pronunciado sobre </w:t>
      </w:r>
      <w:r w:rsidRPr="00E84A27">
        <w:rPr>
          <w:rFonts w:ascii="Verdana" w:eastAsia="Calibri" w:hAnsi="Verdana" w:cs="Arial"/>
          <w:lang w:val="es-ES_tradnl" w:eastAsia="es-ES_tradnl"/>
        </w:rPr>
        <w:t>el régimen de inhabilidades e incompatibilidades en los</w:t>
      </w:r>
      <w:r w:rsidRPr="00E84A27">
        <w:rPr>
          <w:rFonts w:ascii="Verdana" w:eastAsia="Calibri" w:hAnsi="Verdana" w:cs="Arial"/>
          <w:lang w:val="es-MX"/>
        </w:rPr>
        <w:t xml:space="preserve"> conceptos C−410 del 7 de julio de 2021, C−491 del 14 de septiembre de 2021, C−522 del 1 de octubre de 2021, C−128 del 25 de marzo de 2022, C−252 del 3 de mayo de 2022, C−376 del 14 de junio de 2022, C−413 del 24 de junio de 2022, C−691 del 20 de octubre de 2022, C−731 del 10 de noviembre de 2022, </w:t>
      </w:r>
      <w:r w:rsidRPr="00E84A27">
        <w:rPr>
          <w:rFonts w:ascii="Verdana" w:eastAsia="Calibri" w:hAnsi="Verdana" w:cs="Arial"/>
          <w:lang w:val="es-MX"/>
        </w:rPr>
        <w:lastRenderedPageBreak/>
        <w:t xml:space="preserve">C−928 del 26 de enero de 2023, C−126 del 24 de abril de 2023, C−175 del 4 de mayo de 2023, C−234 del 5 de julio de 2023, C−010 del 31 de enero de 2024, la respuesta </w:t>
      </w:r>
      <w:r w:rsidRPr="00E84A27">
        <w:rPr>
          <w:rFonts w:ascii="Verdana" w:hAnsi="Verdana" w:cs="Arial"/>
        </w:rPr>
        <w:t xml:space="preserve">al radicado </w:t>
      </w:r>
      <w:r w:rsidRPr="00E84A27">
        <w:rPr>
          <w:rFonts w:ascii="Verdana" w:eastAsia="Aptos" w:hAnsi="Verdana" w:cs="Calibri"/>
        </w:rPr>
        <w:t>P20240308002646 del 24 de abril de 2024,</w:t>
      </w:r>
      <w:r w:rsidRPr="00E84A27">
        <w:rPr>
          <w:rFonts w:ascii="Verdana" w:eastAsia="Calibri" w:hAnsi="Verdana" w:cs="Arial"/>
          <w:lang w:val="es-MX"/>
        </w:rPr>
        <w:t xml:space="preserve"> el C-039 del 23 de abril de 2024, </w:t>
      </w:r>
      <w:r w:rsidRPr="00E84A27">
        <w:rPr>
          <w:rFonts w:ascii="Verdana" w:hAnsi="Verdana" w:cs="Arial"/>
        </w:rPr>
        <w:t xml:space="preserve">C-085 del 3 de marzo de 2025, </w:t>
      </w:r>
      <w:r w:rsidRPr="00E84A27">
        <w:rPr>
          <w:rFonts w:ascii="Verdana" w:eastAsia="Aptos" w:hAnsi="Verdana" w:cs="Calibri"/>
        </w:rPr>
        <w:t xml:space="preserve">C-170 del 19 de marzo de 2025 y </w:t>
      </w:r>
      <w:r w:rsidRPr="00E84A27">
        <w:rPr>
          <w:rFonts w:ascii="Verdana" w:hAnsi="Verdana" w:cs="Arial"/>
        </w:rPr>
        <w:t>C-201 de 26 de marzo de 2025</w:t>
      </w:r>
      <w:r w:rsidRPr="00E84A27">
        <w:rPr>
          <w:rFonts w:ascii="Verdana" w:hAnsi="Verdana" w:cs="Arial"/>
          <w:shd w:val="clear" w:color="auto" w:fill="FFFFFF"/>
        </w:rPr>
        <w:t xml:space="preserve">, entre </w:t>
      </w:r>
      <w:r w:rsidRPr="00E84A27">
        <w:rPr>
          <w:rFonts w:ascii="Verdana" w:hAnsi="Verdana" w:cs="Arial"/>
        </w:rPr>
        <w:t>otros</w:t>
      </w:r>
      <w:r w:rsidRPr="00E84A27">
        <w:rPr>
          <w:rFonts w:ascii="Verdana" w:eastAsia="Times New Roman" w:hAnsi="Verdana" w:cs="Arial"/>
          <w:color w:val="000000"/>
          <w:lang w:val="es-ES"/>
        </w:rPr>
        <w:t xml:space="preserve">. Sobre la prohibición contenida en el artículo 49 de la Ley </w:t>
      </w:r>
      <w:r w:rsidRPr="00E84A27">
        <w:rPr>
          <w:rFonts w:ascii="Verdana" w:hAnsi="Verdana" w:cs="Arial"/>
          <w:lang w:val="es-ES_tradnl"/>
        </w:rPr>
        <w:t>617 de 2000 y el régimen de inhabilidades en la Ley 80 de 1993, se ha pronunciado esta Subdirección</w:t>
      </w:r>
      <w:r>
        <w:rPr>
          <w:rFonts w:ascii="Verdana" w:hAnsi="Verdana" w:cs="Arial"/>
          <w:lang w:val="es-ES_tradnl"/>
        </w:rPr>
        <w:t xml:space="preserve"> en los conceptos C- 201 del 26 de marzo de 2025, C-281 del 10 de abril de 2025, entre otros. </w:t>
      </w:r>
      <w:r w:rsidRPr="00D22B74">
        <w:rPr>
          <w:rFonts w:ascii="Verdana" w:hAnsi="Verdana" w:cs="Arial"/>
          <w:lang w:val="es-ES"/>
        </w:rPr>
        <w:t xml:space="preserve">Estos y otros </w:t>
      </w:r>
      <w:r w:rsidRPr="00D22B74">
        <w:rPr>
          <w:rFonts w:ascii="Verdana" w:hAnsi="Verdana"/>
        </w:rPr>
        <w:t>conceptos se encuentran disponibles para consulta en el Sistema de relatoría de la Agencia, al cual se puede acceder a través del siguiente enlace:</w:t>
      </w:r>
      <w:r w:rsidRPr="00D22B74">
        <w:rPr>
          <w:rFonts w:ascii="Verdana" w:hAnsi="Verdana" w:cs="Arial"/>
          <w:shd w:val="clear" w:color="auto" w:fill="FFFFFF"/>
        </w:rPr>
        <w:t xml:space="preserve"> </w:t>
      </w:r>
      <w:hyperlink r:id="rId12" w:history="1">
        <w:r w:rsidRPr="00D22B74">
          <w:rPr>
            <w:rFonts w:ascii="Verdana" w:hAnsi="Verdana" w:cs="Arial"/>
            <w:color w:val="0563C1" w:themeColor="hyperlink"/>
            <w:u w:val="single"/>
            <w:shd w:val="clear" w:color="auto" w:fill="FFFFFF"/>
          </w:rPr>
          <w:t>https://relatoria.colombiacompra.gov.co/busqueda/conceptos</w:t>
        </w:r>
      </w:hyperlink>
      <w:r w:rsidRPr="00D22B74">
        <w:rPr>
          <w:rFonts w:ascii="Verdana" w:hAnsi="Verdana" w:cs="Arial"/>
          <w:shd w:val="clear" w:color="auto" w:fill="FFFFFF"/>
        </w:rPr>
        <w:t>.</w:t>
      </w:r>
      <w:r w:rsidRPr="00AB70DD">
        <w:rPr>
          <w:rFonts w:ascii="Verdana" w:hAnsi="Verdana" w:cs="Arial"/>
          <w:color w:val="FF0000"/>
          <w:shd w:val="clear" w:color="auto" w:fill="FFFFFF"/>
        </w:rPr>
        <w:t xml:space="preserve"> </w:t>
      </w:r>
      <w:r w:rsidRPr="00AB70DD">
        <w:rPr>
          <w:rFonts w:ascii="Verdana" w:hAnsi="Verdana" w:cs="Arial"/>
          <w:color w:val="000000" w:themeColor="text1"/>
          <w:shd w:val="clear" w:color="auto" w:fill="FFFFFF"/>
        </w:rPr>
        <w:t>  </w:t>
      </w:r>
    </w:p>
    <w:p w14:paraId="1E6A0C1D" w14:textId="77777777" w:rsidR="00662485" w:rsidRPr="00237766" w:rsidRDefault="00662485" w:rsidP="00662485">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55F64B6" w14:textId="77777777" w:rsidR="00662485" w:rsidRPr="008E4F36" w:rsidRDefault="00662485" w:rsidP="00662485">
      <w:pPr>
        <w:pStyle w:val="Prrafodelista"/>
        <w:numPr>
          <w:ilvl w:val="0"/>
          <w:numId w:val="15"/>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17A79274" w14:textId="77777777" w:rsidR="00662485" w:rsidRPr="008E4F36" w:rsidRDefault="00662485" w:rsidP="00662485">
      <w:pPr>
        <w:pStyle w:val="Prrafodelista"/>
        <w:numPr>
          <w:ilvl w:val="0"/>
          <w:numId w:val="15"/>
        </w:numPr>
        <w:spacing w:after="0" w:line="276" w:lineRule="auto"/>
        <w:contextualSpacing w:val="0"/>
        <w:jc w:val="both"/>
        <w:rPr>
          <w:rFonts w:ascii="Verdana" w:hAnsi="Verdana"/>
        </w:rPr>
      </w:pPr>
      <w:r w:rsidRPr="008E4F36">
        <w:rPr>
          <w:rFonts w:ascii="Verdana" w:hAnsi="Verdana"/>
        </w:rPr>
        <w:t>Línea en Bogotá (Mesa de servicio): +57 601 7456788</w:t>
      </w:r>
    </w:p>
    <w:p w14:paraId="12AA3B0B" w14:textId="77777777" w:rsidR="00662485" w:rsidRPr="008E4F36" w:rsidRDefault="00662485" w:rsidP="00662485">
      <w:pPr>
        <w:pStyle w:val="Prrafodelista"/>
        <w:numPr>
          <w:ilvl w:val="0"/>
          <w:numId w:val="15"/>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27A7D2BD" w14:textId="77777777" w:rsidR="00662485" w:rsidRPr="008E4F36" w:rsidRDefault="00662485" w:rsidP="00662485">
      <w:pPr>
        <w:pStyle w:val="Prrafodelista"/>
        <w:numPr>
          <w:ilvl w:val="0"/>
          <w:numId w:val="15"/>
        </w:numPr>
        <w:spacing w:after="0" w:line="276" w:lineRule="auto"/>
        <w:contextualSpacing w:val="0"/>
        <w:jc w:val="both"/>
        <w:rPr>
          <w:rFonts w:ascii="Verdana" w:hAnsi="Verdana"/>
        </w:rPr>
      </w:pPr>
      <w:r w:rsidRPr="008E4F36">
        <w:rPr>
          <w:rFonts w:ascii="Verdana" w:hAnsi="Verdana"/>
        </w:rPr>
        <w:t xml:space="preserve">Página web: </w:t>
      </w:r>
      <w:hyperlink r:id="rId13" w:history="1">
        <w:r w:rsidRPr="008E4F36">
          <w:rPr>
            <w:rStyle w:val="Hipervnculo"/>
            <w:rFonts w:ascii="Verdana" w:hAnsi="Verdana"/>
          </w:rPr>
          <w:t>www.colombiacompra.gov.co</w:t>
        </w:r>
      </w:hyperlink>
    </w:p>
    <w:p w14:paraId="6C4C69E9" w14:textId="77777777" w:rsidR="00662485" w:rsidRPr="008E4F36" w:rsidRDefault="00662485" w:rsidP="00662485">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4A87F3E6" w14:textId="77777777" w:rsidR="00662485" w:rsidRPr="008E4F36" w:rsidRDefault="00662485" w:rsidP="00662485">
      <w:pPr>
        <w:spacing w:after="0" w:line="276" w:lineRule="auto"/>
        <w:jc w:val="both"/>
        <w:rPr>
          <w:rFonts w:ascii="Verdana" w:hAnsi="Verdana"/>
        </w:rPr>
      </w:pPr>
    </w:p>
    <w:p w14:paraId="5CA499E4" w14:textId="77777777" w:rsidR="00662485" w:rsidRPr="008E4F36" w:rsidRDefault="00662485" w:rsidP="00662485">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31B0A9C7" w14:textId="77777777" w:rsidR="00662485" w:rsidRPr="008E4F36" w:rsidRDefault="00662485" w:rsidP="00662485">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16E0AFC" w14:textId="77777777" w:rsidR="00662485" w:rsidRPr="008E4F36" w:rsidRDefault="00662485" w:rsidP="00662485">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5A861A1" w14:textId="77777777" w:rsidR="00662485" w:rsidRDefault="00662485" w:rsidP="00662485">
      <w:pPr>
        <w:spacing w:before="120" w:after="0" w:line="276" w:lineRule="auto"/>
        <w:jc w:val="both"/>
        <w:rPr>
          <w:rFonts w:ascii="Verdana" w:hAnsi="Verdana"/>
        </w:rPr>
      </w:pPr>
    </w:p>
    <w:p w14:paraId="37B62F89" w14:textId="77777777" w:rsidR="00662485" w:rsidRPr="00FB6C33" w:rsidRDefault="00662485" w:rsidP="00662485">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34A70A3" w14:textId="77777777" w:rsidR="00662485" w:rsidRPr="008E4F36" w:rsidRDefault="00662485" w:rsidP="00662485">
      <w:pPr>
        <w:spacing w:after="0" w:line="276" w:lineRule="auto"/>
        <w:jc w:val="both"/>
        <w:rPr>
          <w:rFonts w:ascii="Verdana" w:eastAsia="Calibri" w:hAnsi="Verdana" w:cs="Times New Roman"/>
        </w:rPr>
      </w:pPr>
    </w:p>
    <w:p w14:paraId="39CFFD33" w14:textId="77777777" w:rsidR="00662485" w:rsidRPr="005675E1" w:rsidRDefault="00662485" w:rsidP="00662485">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7B315B26" w14:textId="3437D065" w:rsidR="00662485" w:rsidRPr="00A85059" w:rsidRDefault="00362FBF" w:rsidP="00662485">
      <w:pPr>
        <w:spacing w:after="0" w:line="256" w:lineRule="auto"/>
        <w:jc w:val="center"/>
        <w:rPr>
          <w:rFonts w:ascii="Verdana" w:eastAsia="Calibri" w:hAnsi="Verdana" w:cs="Times New Roman"/>
        </w:rPr>
      </w:pPr>
      <w:r w:rsidRPr="0065791A">
        <w:rPr>
          <w:rFonts w:ascii="Century Gothic" w:hAnsi="Century Gothic"/>
          <w:noProof/>
        </w:rPr>
        <w:lastRenderedPageBreak/>
        <w:drawing>
          <wp:inline distT="0" distB="0" distL="0" distR="0" wp14:anchorId="5C427959" wp14:editId="7D36302F">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4"/>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662485" w:rsidRPr="008E4F36" w14:paraId="34DDCD2F" w14:textId="77777777" w:rsidTr="0023368A">
        <w:trPr>
          <w:trHeight w:val="315"/>
        </w:trPr>
        <w:tc>
          <w:tcPr>
            <w:tcW w:w="893" w:type="dxa"/>
            <w:vAlign w:val="center"/>
            <w:hideMark/>
          </w:tcPr>
          <w:p w14:paraId="2F82C7E7" w14:textId="77777777" w:rsidR="00662485" w:rsidRPr="008E4F36" w:rsidRDefault="00662485" w:rsidP="0023368A">
            <w:pPr>
              <w:contextualSpacing/>
              <w:rPr>
                <w:rFonts w:ascii="Verdana" w:hAnsi="Verdana" w:cs="Arial"/>
                <w:sz w:val="16"/>
                <w:szCs w:val="16"/>
                <w:lang w:eastAsia="es-ES"/>
              </w:rPr>
            </w:pPr>
            <w:r w:rsidRPr="008E4F36">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473BAF93" w14:textId="77777777" w:rsidR="00662485" w:rsidRPr="008E4F36" w:rsidRDefault="00662485" w:rsidP="0023368A">
            <w:pPr>
              <w:contextualSpacing/>
              <w:rPr>
                <w:rStyle w:val="normaltextrun"/>
                <w:rFonts w:ascii="Verdana" w:hAnsi="Verdana"/>
                <w:sz w:val="16"/>
                <w:szCs w:val="16"/>
              </w:rPr>
            </w:pPr>
            <w:r w:rsidRPr="008E4F36">
              <w:rPr>
                <w:rStyle w:val="normaltextrun"/>
                <w:rFonts w:ascii="Verdana" w:hAnsi="Verdana"/>
                <w:sz w:val="16"/>
                <w:szCs w:val="16"/>
              </w:rPr>
              <w:t xml:space="preserve">Esperanza Contreras P </w:t>
            </w:r>
          </w:p>
          <w:p w14:paraId="57CB7F41" w14:textId="77777777" w:rsidR="00662485" w:rsidRPr="008E4F36" w:rsidRDefault="00662485" w:rsidP="0023368A">
            <w:pPr>
              <w:contextualSpacing/>
              <w:rPr>
                <w:rFonts w:ascii="Verdana" w:eastAsia="Arial" w:hAnsi="Verdana" w:cs="Arial"/>
                <w:sz w:val="16"/>
                <w:szCs w:val="16"/>
              </w:rPr>
            </w:pPr>
            <w:r w:rsidRPr="008E4F36">
              <w:rPr>
                <w:rStyle w:val="normaltextrun"/>
                <w:rFonts w:ascii="Verdana" w:hAnsi="Verdana" w:cs="Arial"/>
                <w:sz w:val="16"/>
                <w:szCs w:val="16"/>
              </w:rPr>
              <w:t>Contratista de la Subdirección de Gestión Contractual</w:t>
            </w:r>
            <w:r w:rsidRPr="008E4F36">
              <w:rPr>
                <w:rStyle w:val="eop"/>
                <w:rFonts w:ascii="Verdana" w:hAnsi="Verdana" w:cs="Arial"/>
                <w:sz w:val="16"/>
                <w:szCs w:val="16"/>
              </w:rPr>
              <w:t> </w:t>
            </w:r>
          </w:p>
        </w:tc>
      </w:tr>
      <w:tr w:rsidR="00662485" w:rsidRPr="008E4F36" w14:paraId="60F085A6" w14:textId="77777777" w:rsidTr="0023368A">
        <w:trPr>
          <w:trHeight w:val="330"/>
        </w:trPr>
        <w:tc>
          <w:tcPr>
            <w:tcW w:w="893" w:type="dxa"/>
            <w:vAlign w:val="center"/>
            <w:hideMark/>
          </w:tcPr>
          <w:p w14:paraId="3C15657B" w14:textId="77777777" w:rsidR="00662485" w:rsidRPr="008E4F36" w:rsidRDefault="00662485" w:rsidP="0023368A">
            <w:pPr>
              <w:contextualSpacing/>
              <w:rPr>
                <w:rFonts w:ascii="Verdana" w:hAnsi="Verdana" w:cs="Arial"/>
                <w:sz w:val="16"/>
                <w:szCs w:val="16"/>
                <w:lang w:eastAsia="es-ES"/>
              </w:rPr>
            </w:pPr>
            <w:r w:rsidRPr="008E4F36">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BE2FE9F" w14:textId="77777777" w:rsidR="00662485" w:rsidRPr="00287A1B" w:rsidRDefault="00662485" w:rsidP="0023368A">
            <w:pPr>
              <w:pStyle w:val="paragraph"/>
              <w:spacing w:before="0" w:beforeAutospacing="0" w:after="0" w:afterAutospacing="0"/>
              <w:contextualSpacing/>
              <w:textAlignment w:val="baseline"/>
              <w:rPr>
                <w:rStyle w:val="normaltextrun"/>
                <w:rFonts w:ascii="Verdana" w:hAnsi="Verdana"/>
                <w:sz w:val="16"/>
                <w:szCs w:val="16"/>
              </w:rPr>
            </w:pPr>
            <w:r w:rsidRPr="00287A1B">
              <w:rPr>
                <w:rStyle w:val="normaltextrun"/>
                <w:rFonts w:ascii="Verdana" w:hAnsi="Verdana"/>
                <w:sz w:val="16"/>
                <w:szCs w:val="16"/>
              </w:rPr>
              <w:t>Juan Carlos González Vásquez</w:t>
            </w:r>
          </w:p>
          <w:p w14:paraId="6E4ED28E" w14:textId="77777777" w:rsidR="00662485" w:rsidRPr="008E4F36" w:rsidRDefault="00662485" w:rsidP="0023368A">
            <w:pPr>
              <w:pStyle w:val="paragraph"/>
              <w:spacing w:before="0" w:beforeAutospacing="0" w:after="0" w:afterAutospacing="0"/>
              <w:contextualSpacing/>
              <w:textAlignment w:val="baseline"/>
              <w:rPr>
                <w:rFonts w:ascii="Verdana" w:hAnsi="Verdana" w:cs="Segoe UI"/>
                <w:sz w:val="16"/>
                <w:szCs w:val="16"/>
              </w:rPr>
            </w:pPr>
            <w:r w:rsidRPr="008E4F36">
              <w:rPr>
                <w:rStyle w:val="normaltextrun"/>
                <w:rFonts w:ascii="Verdana" w:hAnsi="Verdana" w:cs="Arial"/>
                <w:sz w:val="16"/>
                <w:szCs w:val="16"/>
              </w:rPr>
              <w:t>Contratista de la Subdirección de Gestión Contractual</w:t>
            </w:r>
            <w:r w:rsidRPr="008E4F36">
              <w:rPr>
                <w:rStyle w:val="eop"/>
                <w:rFonts w:ascii="Verdana" w:hAnsi="Verdana" w:cs="Arial"/>
                <w:sz w:val="16"/>
                <w:szCs w:val="16"/>
              </w:rPr>
              <w:t> </w:t>
            </w:r>
          </w:p>
        </w:tc>
      </w:tr>
      <w:tr w:rsidR="00662485" w:rsidRPr="008E4F36" w14:paraId="6F27A11C" w14:textId="77777777" w:rsidTr="0023368A">
        <w:trPr>
          <w:trHeight w:val="300"/>
        </w:trPr>
        <w:tc>
          <w:tcPr>
            <w:tcW w:w="893" w:type="dxa"/>
            <w:vAlign w:val="center"/>
          </w:tcPr>
          <w:p w14:paraId="06441916" w14:textId="77777777" w:rsidR="00662485" w:rsidRPr="008E4F36" w:rsidRDefault="00662485" w:rsidP="0023368A">
            <w:pPr>
              <w:contextualSpacing/>
              <w:rPr>
                <w:rFonts w:ascii="Verdana" w:hAnsi="Verdana" w:cs="Arial"/>
                <w:sz w:val="16"/>
                <w:szCs w:val="16"/>
                <w:lang w:eastAsia="es-ES"/>
              </w:rPr>
            </w:pPr>
            <w:r w:rsidRPr="008E4F36">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7D83040E" w14:textId="77777777" w:rsidR="00662485" w:rsidRPr="008E4F36" w:rsidRDefault="00662485" w:rsidP="0023368A">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263F8D97" w14:textId="77777777" w:rsidR="00662485" w:rsidRPr="008E4F36" w:rsidRDefault="00662485" w:rsidP="0023368A">
            <w:pPr>
              <w:contextualSpacing/>
              <w:rPr>
                <w:rFonts w:ascii="Verdana" w:eastAsia="Calibri" w:hAnsi="Verdana" w:cs="Arial"/>
                <w:sz w:val="16"/>
                <w:szCs w:val="16"/>
                <w:lang w:eastAsia="es-ES"/>
              </w:rPr>
            </w:pPr>
            <w:r w:rsidRPr="008E4F36">
              <w:rPr>
                <w:rFonts w:ascii="Verdana" w:eastAsia="Calibri" w:hAnsi="Verdana" w:cs="Arial"/>
                <w:sz w:val="16"/>
                <w:szCs w:val="16"/>
                <w:lang w:eastAsia="es-ES"/>
              </w:rPr>
              <w:t>Subdirectora de Gestión Contractual</w:t>
            </w:r>
            <w:r>
              <w:rPr>
                <w:rFonts w:ascii="Verdana" w:eastAsia="Calibri" w:hAnsi="Verdana" w:cs="Arial"/>
                <w:sz w:val="16"/>
                <w:szCs w:val="16"/>
                <w:lang w:eastAsia="es-ES"/>
              </w:rPr>
              <w:t xml:space="preserve"> </w:t>
            </w:r>
            <w:r w:rsidRPr="008E4F36">
              <w:rPr>
                <w:rFonts w:ascii="Verdana" w:eastAsia="Calibri" w:hAnsi="Verdana" w:cs="Arial"/>
                <w:sz w:val="16"/>
                <w:szCs w:val="16"/>
                <w:lang w:eastAsia="es-ES"/>
              </w:rPr>
              <w:t>ANCP – CCE</w:t>
            </w:r>
          </w:p>
        </w:tc>
      </w:tr>
      <w:bookmarkEnd w:id="0"/>
      <w:bookmarkEnd w:id="1"/>
      <w:bookmarkEnd w:id="2"/>
      <w:bookmarkEnd w:id="3"/>
      <w:bookmarkEnd w:id="4"/>
      <w:bookmarkEnd w:id="6"/>
      <w:bookmarkEnd w:id="7"/>
    </w:tbl>
    <w:p w14:paraId="13842371" w14:textId="6F7F374D" w:rsidR="00322A85" w:rsidRDefault="00322A85" w:rsidP="00322A85">
      <w:pPr>
        <w:spacing w:after="0" w:line="240" w:lineRule="auto"/>
        <w:textAlignment w:val="baseline"/>
        <w:rPr>
          <w:rFonts w:ascii="Verdana" w:eastAsia="Times New Roman" w:hAnsi="Verdana" w:cs="Segoe UI"/>
          <w:sz w:val="18"/>
          <w:szCs w:val="18"/>
          <w:lang w:eastAsia="es-CO"/>
        </w:rPr>
      </w:pPr>
    </w:p>
    <w:p w14:paraId="4B066DE8" w14:textId="77777777" w:rsidR="00F90101" w:rsidRPr="0044528D" w:rsidRDefault="00F90101" w:rsidP="00322A85">
      <w:pPr>
        <w:spacing w:after="0" w:line="240" w:lineRule="auto"/>
        <w:textAlignment w:val="baseline"/>
        <w:rPr>
          <w:rFonts w:ascii="Verdana" w:eastAsia="Times New Roman" w:hAnsi="Verdana" w:cs="Segoe UI"/>
          <w:sz w:val="18"/>
          <w:szCs w:val="18"/>
          <w:lang w:eastAsia="es-CO"/>
        </w:rPr>
      </w:pPr>
    </w:p>
    <w:p w14:paraId="43AEFC6C" w14:textId="77777777" w:rsidR="00322A85" w:rsidRPr="0044528D" w:rsidRDefault="00322A85" w:rsidP="00322A85">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2B16A3E9" w14:textId="77777777" w:rsidR="00322A85" w:rsidRPr="0044528D"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0F293BF4" w14:textId="79DE69A2" w:rsidR="00127233" w:rsidRPr="00046945" w:rsidRDefault="00322A85" w:rsidP="00046945">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bookmarkEnd w:id="5"/>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B6BC5" w14:textId="77777777" w:rsidR="00AD2338" w:rsidRDefault="00AD2338" w:rsidP="004A1847">
      <w:pPr>
        <w:spacing w:after="0" w:line="240" w:lineRule="auto"/>
      </w:pPr>
      <w:r>
        <w:separator/>
      </w:r>
    </w:p>
  </w:endnote>
  <w:endnote w:type="continuationSeparator" w:id="0">
    <w:p w14:paraId="334D9B9B" w14:textId="77777777" w:rsidR="00AD2338" w:rsidRDefault="00AD233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48DA2A" w14:textId="77777777" w:rsidR="00AD2338" w:rsidRDefault="00AD2338" w:rsidP="004A1847">
      <w:pPr>
        <w:spacing w:after="0" w:line="240" w:lineRule="auto"/>
      </w:pPr>
      <w:r>
        <w:separator/>
      </w:r>
    </w:p>
  </w:footnote>
  <w:footnote w:type="continuationSeparator" w:id="0">
    <w:p w14:paraId="54CD5E90" w14:textId="77777777" w:rsidR="00AD2338" w:rsidRDefault="00AD2338" w:rsidP="004A1847">
      <w:pPr>
        <w:spacing w:after="0" w:line="240" w:lineRule="auto"/>
      </w:pPr>
      <w:r>
        <w:continuationSeparator/>
      </w:r>
    </w:p>
  </w:footnote>
  <w:footnote w:id="1">
    <w:p w14:paraId="4906D14A" w14:textId="77777777" w:rsidR="00662485" w:rsidRDefault="00662485" w:rsidP="00662485">
      <w:pPr>
        <w:pStyle w:val="Textonotapie"/>
        <w:ind w:firstLine="708"/>
        <w:jc w:val="both"/>
        <w:rPr>
          <w:rFonts w:ascii="Verdana" w:hAnsi="Verdana"/>
          <w:sz w:val="14"/>
          <w:szCs w:val="14"/>
          <w:lang w:val="pt-BR"/>
        </w:rPr>
      </w:pPr>
      <w:r w:rsidRPr="00A028F3">
        <w:rPr>
          <w:rStyle w:val="Refdenotaalpie"/>
          <w:rFonts w:ascii="Verdana" w:hAnsi="Verdana"/>
          <w:sz w:val="14"/>
          <w:szCs w:val="14"/>
        </w:rPr>
        <w:footnoteRef/>
      </w:r>
      <w:r w:rsidRPr="00A028F3">
        <w:rPr>
          <w:rFonts w:ascii="Verdana" w:hAnsi="Verdana"/>
          <w:sz w:val="14"/>
          <w:szCs w:val="14"/>
          <w:lang w:val="pt-BR"/>
        </w:rPr>
        <w:t xml:space="preserve"> Corte Constitucional. Sentencia C-1016 de 2012. M.P. Jorge Iván Palacio.</w:t>
      </w:r>
    </w:p>
    <w:p w14:paraId="44007343" w14:textId="77777777" w:rsidR="0025041B" w:rsidRPr="00A028F3" w:rsidRDefault="0025041B" w:rsidP="00662485">
      <w:pPr>
        <w:pStyle w:val="Textonotapie"/>
        <w:ind w:firstLine="708"/>
        <w:jc w:val="both"/>
        <w:rPr>
          <w:rFonts w:ascii="Verdana" w:hAnsi="Verdana"/>
          <w:sz w:val="14"/>
          <w:szCs w:val="14"/>
          <w:lang w:val="pt-BR"/>
        </w:rPr>
      </w:pPr>
    </w:p>
  </w:footnote>
  <w:footnote w:id="2">
    <w:p w14:paraId="2597D867" w14:textId="77777777" w:rsidR="00662485" w:rsidRPr="00A028F3" w:rsidRDefault="00662485" w:rsidP="00662485">
      <w:pPr>
        <w:pStyle w:val="Textonotapie"/>
        <w:ind w:firstLine="708"/>
        <w:jc w:val="both"/>
        <w:rPr>
          <w:rFonts w:ascii="Verdana" w:hAnsi="Verdana"/>
          <w:sz w:val="14"/>
          <w:szCs w:val="14"/>
          <w:lang w:val="pt-BR"/>
        </w:rPr>
      </w:pPr>
      <w:r w:rsidRPr="00A028F3">
        <w:rPr>
          <w:rStyle w:val="Refdenotaalpie"/>
          <w:rFonts w:ascii="Verdana" w:hAnsi="Verdana"/>
          <w:sz w:val="14"/>
          <w:szCs w:val="14"/>
        </w:rPr>
        <w:footnoteRef/>
      </w:r>
      <w:r w:rsidRPr="00A028F3">
        <w:rPr>
          <w:rFonts w:ascii="Verdana" w:hAnsi="Verdana"/>
          <w:sz w:val="14"/>
          <w:szCs w:val="14"/>
        </w:rPr>
        <w:t xml:space="preserve"> C</w:t>
      </w:r>
      <w:r>
        <w:rPr>
          <w:rFonts w:ascii="Verdana" w:hAnsi="Verdana"/>
          <w:sz w:val="14"/>
          <w:szCs w:val="14"/>
        </w:rPr>
        <w:t xml:space="preserve">onsejo de Estado. Sala de lo Contencioso Administrativo. </w:t>
      </w:r>
      <w:r w:rsidRPr="00A028F3">
        <w:rPr>
          <w:rFonts w:ascii="Verdana" w:hAnsi="Verdana"/>
          <w:sz w:val="14"/>
          <w:szCs w:val="14"/>
        </w:rPr>
        <w:t xml:space="preserve">Sección Tercera. Subsección A. Sentencia del 13 de noviembre de 2013. </w:t>
      </w:r>
      <w:r w:rsidRPr="00A028F3">
        <w:rPr>
          <w:rFonts w:ascii="Verdana" w:hAnsi="Verdana"/>
          <w:sz w:val="14"/>
          <w:szCs w:val="14"/>
          <w:lang w:val="pt-BR"/>
        </w:rPr>
        <w:t>Rad</w:t>
      </w:r>
      <w:r>
        <w:rPr>
          <w:rFonts w:ascii="Verdana" w:hAnsi="Verdana"/>
          <w:sz w:val="14"/>
          <w:szCs w:val="14"/>
          <w:lang w:val="pt-BR"/>
        </w:rPr>
        <w:t xml:space="preserve">icado: </w:t>
      </w:r>
      <w:r w:rsidRPr="00A028F3">
        <w:rPr>
          <w:rFonts w:ascii="Verdana" w:hAnsi="Verdana"/>
          <w:sz w:val="14"/>
          <w:szCs w:val="14"/>
          <w:lang w:val="es-CO"/>
        </w:rPr>
        <w:t>25000-23-26-000-1999-02197-01</w:t>
      </w:r>
      <w:r w:rsidRPr="00A028F3">
        <w:rPr>
          <w:rFonts w:ascii="Verdana" w:hAnsi="Verdana"/>
          <w:sz w:val="14"/>
          <w:szCs w:val="14"/>
          <w:lang w:val="pt-BR"/>
        </w:rPr>
        <w:t xml:space="preserve"> </w:t>
      </w:r>
      <w:r>
        <w:rPr>
          <w:rFonts w:ascii="Verdana" w:hAnsi="Verdana"/>
          <w:sz w:val="14"/>
          <w:szCs w:val="14"/>
          <w:lang w:val="pt-BR"/>
        </w:rPr>
        <w:t>(</w:t>
      </w:r>
      <w:r w:rsidRPr="00A028F3">
        <w:rPr>
          <w:rFonts w:ascii="Verdana" w:hAnsi="Verdana"/>
          <w:sz w:val="14"/>
          <w:szCs w:val="14"/>
          <w:lang w:val="pt-BR"/>
        </w:rPr>
        <w:t>25646</w:t>
      </w:r>
      <w:r>
        <w:rPr>
          <w:rFonts w:ascii="Verdana" w:hAnsi="Verdana"/>
          <w:sz w:val="14"/>
          <w:szCs w:val="14"/>
          <w:lang w:val="pt-BR"/>
        </w:rPr>
        <w:t>)</w:t>
      </w:r>
      <w:r w:rsidRPr="00A028F3">
        <w:rPr>
          <w:rFonts w:ascii="Verdana" w:hAnsi="Verdana"/>
          <w:sz w:val="14"/>
          <w:szCs w:val="14"/>
          <w:lang w:val="pt-BR"/>
        </w:rPr>
        <w:t xml:space="preserve">. C.P. Mauricio Fajardo Gómez.  </w:t>
      </w:r>
    </w:p>
    <w:p w14:paraId="4D55BD0F" w14:textId="77777777" w:rsidR="00662485" w:rsidRPr="00A028F3" w:rsidRDefault="00662485" w:rsidP="00662485">
      <w:pPr>
        <w:pStyle w:val="Textonotapie"/>
        <w:jc w:val="both"/>
        <w:rPr>
          <w:rFonts w:ascii="Verdana" w:hAnsi="Verdana"/>
          <w:sz w:val="14"/>
          <w:szCs w:val="14"/>
          <w:lang w:val="pt-BR"/>
        </w:rPr>
      </w:pPr>
    </w:p>
  </w:footnote>
  <w:footnote w:id="3">
    <w:p w14:paraId="6D42D9E3" w14:textId="77777777" w:rsidR="00662485" w:rsidRPr="00A028F3" w:rsidRDefault="00662485" w:rsidP="00662485">
      <w:pPr>
        <w:pStyle w:val="Textonotapie"/>
        <w:ind w:firstLine="708"/>
        <w:jc w:val="both"/>
        <w:rPr>
          <w:rFonts w:ascii="Verdana" w:hAnsi="Verdana"/>
          <w:sz w:val="14"/>
          <w:szCs w:val="14"/>
          <w:lang w:val="pt-BR"/>
        </w:rPr>
      </w:pPr>
      <w:r w:rsidRPr="00A028F3">
        <w:rPr>
          <w:rStyle w:val="Refdenotaalpie"/>
          <w:rFonts w:ascii="Verdana" w:hAnsi="Verdana"/>
          <w:sz w:val="14"/>
          <w:szCs w:val="14"/>
        </w:rPr>
        <w:footnoteRef/>
      </w:r>
      <w:r w:rsidRPr="00A028F3">
        <w:rPr>
          <w:rFonts w:ascii="Verdana" w:hAnsi="Verdana"/>
          <w:sz w:val="14"/>
          <w:szCs w:val="14"/>
          <w:lang w:val="pt-BR"/>
        </w:rPr>
        <w:t xml:space="preserve"> Corte Constitucional. Sentencia C-415 de 1994. M.P. Eduardo </w:t>
      </w:r>
      <w:proofErr w:type="spellStart"/>
      <w:r w:rsidRPr="00A028F3">
        <w:rPr>
          <w:rFonts w:ascii="Verdana" w:hAnsi="Verdana"/>
          <w:sz w:val="14"/>
          <w:szCs w:val="14"/>
          <w:lang w:val="pt-BR"/>
        </w:rPr>
        <w:t>Cifuentes</w:t>
      </w:r>
      <w:proofErr w:type="spellEnd"/>
      <w:r w:rsidRPr="00A028F3">
        <w:rPr>
          <w:rFonts w:ascii="Verdana" w:hAnsi="Verdana"/>
          <w:sz w:val="14"/>
          <w:szCs w:val="14"/>
          <w:lang w:val="pt-BR"/>
        </w:rPr>
        <w:t xml:space="preserve"> </w:t>
      </w:r>
      <w:proofErr w:type="spellStart"/>
      <w:r w:rsidRPr="00A028F3">
        <w:rPr>
          <w:rFonts w:ascii="Verdana" w:hAnsi="Verdana"/>
          <w:sz w:val="14"/>
          <w:szCs w:val="14"/>
          <w:lang w:val="pt-BR"/>
        </w:rPr>
        <w:t>Muñoz</w:t>
      </w:r>
      <w:proofErr w:type="spellEnd"/>
      <w:r w:rsidRPr="00A028F3">
        <w:rPr>
          <w:rFonts w:ascii="Verdana" w:hAnsi="Verdana"/>
          <w:sz w:val="14"/>
          <w:szCs w:val="14"/>
          <w:lang w:val="pt-BR"/>
        </w:rPr>
        <w:t>.</w:t>
      </w:r>
    </w:p>
  </w:footnote>
  <w:footnote w:id="4">
    <w:p w14:paraId="38ADD9D1" w14:textId="77777777" w:rsidR="00662485" w:rsidRPr="00A028F3" w:rsidRDefault="00662485" w:rsidP="00662485">
      <w:pPr>
        <w:pStyle w:val="Textonotapie"/>
        <w:ind w:firstLine="708"/>
        <w:jc w:val="both"/>
        <w:rPr>
          <w:rFonts w:ascii="Verdana" w:hAnsi="Verdana"/>
          <w:sz w:val="14"/>
          <w:szCs w:val="14"/>
          <w:lang w:val="pt-BR"/>
        </w:rPr>
      </w:pPr>
      <w:r w:rsidRPr="00A028F3">
        <w:rPr>
          <w:rStyle w:val="Refdenotaalpie"/>
          <w:rFonts w:ascii="Verdana" w:hAnsi="Verdana"/>
          <w:sz w:val="14"/>
          <w:szCs w:val="14"/>
        </w:rPr>
        <w:footnoteRef/>
      </w:r>
      <w:r w:rsidRPr="00A028F3">
        <w:rPr>
          <w:rFonts w:ascii="Verdana" w:hAnsi="Verdana"/>
          <w:sz w:val="14"/>
          <w:szCs w:val="14"/>
          <w:lang w:val="pt-BR"/>
        </w:rPr>
        <w:t xml:space="preserve"> Ibidem.</w:t>
      </w:r>
    </w:p>
    <w:p w14:paraId="008A069D" w14:textId="77777777" w:rsidR="00662485" w:rsidRPr="00A028F3" w:rsidRDefault="00662485" w:rsidP="00662485">
      <w:pPr>
        <w:pStyle w:val="Textonotapie"/>
        <w:jc w:val="both"/>
        <w:rPr>
          <w:rFonts w:ascii="Verdana" w:hAnsi="Verdana"/>
          <w:sz w:val="14"/>
          <w:szCs w:val="14"/>
          <w:lang w:val="pt-BR"/>
        </w:rPr>
      </w:pPr>
    </w:p>
  </w:footnote>
  <w:footnote w:id="5">
    <w:p w14:paraId="4A2C66CA" w14:textId="77777777" w:rsidR="00662485" w:rsidRPr="00A028F3" w:rsidRDefault="00662485" w:rsidP="00662485">
      <w:pPr>
        <w:pStyle w:val="Textonotapie"/>
        <w:ind w:firstLine="708"/>
        <w:jc w:val="both"/>
        <w:rPr>
          <w:rFonts w:ascii="Verdana" w:hAnsi="Verdana"/>
          <w:sz w:val="14"/>
          <w:szCs w:val="14"/>
          <w:lang w:val="es-CO"/>
        </w:rPr>
      </w:pPr>
      <w:r w:rsidRPr="00A028F3">
        <w:rPr>
          <w:rStyle w:val="Refdenotaalpie"/>
          <w:rFonts w:ascii="Verdana" w:hAnsi="Verdana"/>
          <w:sz w:val="14"/>
          <w:szCs w:val="14"/>
        </w:rPr>
        <w:footnoteRef/>
      </w:r>
      <w:r w:rsidRPr="00A028F3">
        <w:rPr>
          <w:rFonts w:ascii="Verdana" w:hAnsi="Verdana"/>
          <w:sz w:val="14"/>
          <w:szCs w:val="14"/>
          <w:lang w:val="pt-BR"/>
        </w:rPr>
        <w:t xml:space="preserve"> Corte Constitucional. </w:t>
      </w:r>
      <w:r w:rsidRPr="00A028F3">
        <w:rPr>
          <w:rFonts w:ascii="Verdana" w:hAnsi="Verdana"/>
          <w:sz w:val="14"/>
          <w:szCs w:val="14"/>
        </w:rPr>
        <w:t xml:space="preserve">Sentencia C-780 de 2001. </w:t>
      </w:r>
      <w:r w:rsidRPr="00A028F3">
        <w:rPr>
          <w:rFonts w:ascii="Verdana" w:hAnsi="Verdana"/>
          <w:sz w:val="14"/>
          <w:szCs w:val="14"/>
          <w:lang w:val="es-CO"/>
        </w:rPr>
        <w:t xml:space="preserve">M.P. Jaime Córdoba Triviño. </w:t>
      </w:r>
    </w:p>
    <w:p w14:paraId="24701E3D" w14:textId="77777777" w:rsidR="00662485" w:rsidRPr="00A028F3" w:rsidRDefault="00662485" w:rsidP="00662485">
      <w:pPr>
        <w:pStyle w:val="Textonotapie"/>
        <w:jc w:val="both"/>
        <w:rPr>
          <w:rFonts w:ascii="Verdana" w:hAnsi="Verdana"/>
          <w:sz w:val="14"/>
          <w:szCs w:val="14"/>
          <w:lang w:val="es-CO"/>
        </w:rPr>
      </w:pPr>
    </w:p>
  </w:footnote>
  <w:footnote w:id="6">
    <w:p w14:paraId="7C44DAB4" w14:textId="77777777" w:rsidR="00662485" w:rsidRPr="00A028F3" w:rsidRDefault="00662485" w:rsidP="00662485">
      <w:pPr>
        <w:pStyle w:val="NormalWeb"/>
        <w:spacing w:before="0" w:beforeAutospacing="0" w:after="0" w:afterAutospacing="0"/>
        <w:ind w:firstLine="708"/>
        <w:jc w:val="both"/>
        <w:rPr>
          <w:rFonts w:ascii="Verdana" w:eastAsia="Calibri" w:hAnsi="Verdana" w:cs="Arial"/>
          <w:sz w:val="14"/>
          <w:szCs w:val="14"/>
          <w:lang w:val="es-ES" w:eastAsia="en-US"/>
        </w:rPr>
      </w:pPr>
      <w:r w:rsidRPr="00A028F3">
        <w:rPr>
          <w:rStyle w:val="Refdenotaalpie"/>
          <w:rFonts w:ascii="Verdana" w:hAnsi="Verdana"/>
          <w:sz w:val="14"/>
          <w:szCs w:val="14"/>
        </w:rPr>
        <w:footnoteRef/>
      </w:r>
      <w:r w:rsidRPr="00A028F3">
        <w:rPr>
          <w:rFonts w:ascii="Verdana" w:hAnsi="Verdana"/>
          <w:sz w:val="14"/>
          <w:szCs w:val="14"/>
        </w:rPr>
        <w:t xml:space="preserve"> </w:t>
      </w:r>
      <w:r w:rsidRPr="00A028F3">
        <w:rPr>
          <w:rFonts w:ascii="Verdana" w:eastAsia="Calibri" w:hAnsi="Verdana" w:cs="Arial"/>
          <w:sz w:val="14"/>
          <w:szCs w:val="14"/>
          <w:lang w:val="es-ES" w:eastAsia="en-US"/>
        </w:rPr>
        <w:t>Ley 80 de 1993: «Artículo 8: 1o. Son inhábiles para participar en licitaciones o concursos y para celebrar contratos con las entidades estatales: </w:t>
      </w:r>
    </w:p>
    <w:p w14:paraId="788735B5"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a) Las personas que se hallen inhabilitadas para contratar por la Constitución y las leyes. </w:t>
      </w:r>
    </w:p>
    <w:p w14:paraId="76244694"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b) Quienes participaron en las licitaciones o concursos o celebraron los contratos de que trata el literal anterior estando inhabilitados. </w:t>
      </w:r>
    </w:p>
    <w:p w14:paraId="68B49645"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c) Quienes dieron lugar a la declaratoria de caducidad. </w:t>
      </w:r>
    </w:p>
    <w:p w14:paraId="72F5D4AB"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d) Quienes en sentencia judicial hayan sido condenados a la pena accesoria de interdicción de derechos y funciones públicas y quienes hayan sido sancionados disciplinariamente con destitución. </w:t>
      </w:r>
    </w:p>
    <w:p w14:paraId="5BEC8AC6"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e) Quienes sin justa causa se abstengan de suscribir el contrato estatal adjudicado. </w:t>
      </w:r>
    </w:p>
    <w:p w14:paraId="1C94A214"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f) Los servidores públicos. </w:t>
      </w:r>
    </w:p>
    <w:p w14:paraId="0D1A8C12" w14:textId="77777777" w:rsidR="00662485" w:rsidRPr="00A028F3"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A028F3">
        <w:rPr>
          <w:rFonts w:ascii="Verdana" w:eastAsia="Calibri" w:hAnsi="Verdana" w:cs="Arial"/>
          <w:sz w:val="14"/>
          <w:szCs w:val="14"/>
          <w:lang w:val="es-ES" w:eastAsia="en-US"/>
        </w:rPr>
        <w:t>  </w:t>
      </w:r>
      <w:r w:rsidRPr="00A028F3">
        <w:rPr>
          <w:rFonts w:ascii="Verdana" w:eastAsia="Calibri" w:hAnsi="Verdana" w:cs="Arial"/>
          <w:sz w:val="14"/>
          <w:szCs w:val="14"/>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4E7C47DC" w14:textId="77777777" w:rsidR="00662485" w:rsidRPr="009D0DBE" w:rsidRDefault="00662485" w:rsidP="00662485">
      <w:pPr>
        <w:pStyle w:val="NormalWeb"/>
        <w:spacing w:before="0" w:beforeAutospacing="0" w:after="0" w:afterAutospacing="0"/>
        <w:ind w:firstLine="708"/>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10DD9B0A"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i) Los socios de sociedades de personas a las cuales se haya declarado la caducidad, así como las sociedades de personas de las que aquellos formen parte con posterioridad a dicha declaratoria. </w:t>
      </w:r>
    </w:p>
    <w:p w14:paraId="2091997D"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0CBA157F"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59D76EBE"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9D0DBE">
        <w:rPr>
          <w:rFonts w:ascii="Verdana" w:eastAsia="Calibri" w:hAnsi="Verdana" w:cs="Arial"/>
          <w:sz w:val="14"/>
          <w:szCs w:val="14"/>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9D0DBE">
        <w:rPr>
          <w:rFonts w:ascii="Verdana" w:eastAsia="Calibri" w:hAnsi="Verdana" w:cs="Arial"/>
          <w:sz w:val="14"/>
          <w:szCs w:val="14"/>
          <w:lang w:val="es-ES" w:eastAsia="en-US"/>
        </w:rPr>
        <w:softHyphen/>
        <w:t>cepción de las sociedades anónimas abiertas. También se considerarán inhabilitadas para contratar, las personas jurídicas sobre las cuales se haya ordenado la suspensión de la perso</w:t>
      </w:r>
      <w:r w:rsidRPr="009D0DBE">
        <w:rPr>
          <w:rFonts w:ascii="Verdana" w:eastAsia="Calibri" w:hAnsi="Verdana" w:cs="Arial"/>
          <w:sz w:val="14"/>
          <w:szCs w:val="14"/>
          <w:lang w:val="es-ES" w:eastAsia="en-US"/>
        </w:rPr>
        <w:softHyphen/>
        <w:t>nería jurídica en los términos de ley, o cuyos representantes legales, ad</w:t>
      </w:r>
      <w:r w:rsidRPr="009D0DBE">
        <w:rPr>
          <w:rFonts w:ascii="Verdana" w:eastAsia="Calibri" w:hAnsi="Verdana" w:cs="Arial"/>
          <w:sz w:val="14"/>
          <w:szCs w:val="14"/>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9D0DBE">
        <w:rPr>
          <w:rFonts w:ascii="Verdana" w:eastAsia="Calibri" w:hAnsi="Verdana" w:cs="Arial"/>
          <w:sz w:val="14"/>
          <w:szCs w:val="14"/>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38C06569"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w:t>
      </w:r>
    </w:p>
    <w:p w14:paraId="47FF46AF" w14:textId="77777777" w:rsidR="00662485" w:rsidRPr="009D0DBE" w:rsidRDefault="00662485" w:rsidP="00662485">
      <w:pPr>
        <w:pStyle w:val="NormalWeb"/>
        <w:spacing w:before="0" w:beforeAutospacing="0" w:after="0" w:afterAutospacing="0"/>
        <w:ind w:firstLine="708"/>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2o. Tampoco podrán participar en licitaciones o concursos ni celebrar contratos estatales con la entidad respectiva: </w:t>
      </w:r>
    </w:p>
    <w:p w14:paraId="274783BD"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7D95AD2B"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72213DB5"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004948F6"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1680B0C1" w14:textId="77777777" w:rsidR="00662485" w:rsidRPr="009D0DBE" w:rsidRDefault="00662485" w:rsidP="00662485">
      <w:pPr>
        <w:pStyle w:val="NormalWeb"/>
        <w:spacing w:before="0" w:beforeAutospacing="0" w:after="0" w:afterAutospacing="0"/>
        <w:jc w:val="both"/>
        <w:rPr>
          <w:rFonts w:ascii="Verdana" w:eastAsia="Calibri" w:hAnsi="Verdana" w:cs="Arial"/>
          <w:sz w:val="14"/>
          <w:szCs w:val="14"/>
          <w:lang w:val="es-ES" w:eastAsia="en-US"/>
        </w:rPr>
      </w:pPr>
      <w:r w:rsidRPr="009D0DBE">
        <w:rPr>
          <w:rFonts w:ascii="Verdana" w:eastAsia="Calibri" w:hAnsi="Verdana" w:cs="Arial"/>
          <w:sz w:val="14"/>
          <w:szCs w:val="14"/>
          <w:lang w:val="es-ES" w:eastAsia="en-US"/>
        </w:rPr>
        <w:t>  </w:t>
      </w:r>
      <w:r w:rsidRPr="009D0DBE">
        <w:rPr>
          <w:rFonts w:ascii="Verdana" w:eastAsia="Calibri" w:hAnsi="Verdana" w:cs="Arial"/>
          <w:sz w:val="14"/>
          <w:szCs w:val="14"/>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6209961C" w14:textId="77777777" w:rsidR="00662485" w:rsidRPr="009D0DBE" w:rsidRDefault="00662485" w:rsidP="00662485">
      <w:pPr>
        <w:pStyle w:val="NormalWeb"/>
        <w:spacing w:before="0" w:beforeAutospacing="0" w:after="0" w:afterAutospacing="0"/>
        <w:ind w:firstLine="708"/>
        <w:jc w:val="both"/>
        <w:rPr>
          <w:rFonts w:ascii="Verdana" w:eastAsia="Calibri" w:hAnsi="Verdana" w:cs="Arial"/>
          <w:sz w:val="14"/>
          <w:szCs w:val="14"/>
          <w:lang w:val="pt-BR" w:eastAsia="en-US"/>
        </w:rPr>
      </w:pPr>
      <w:r w:rsidRPr="009D0DBE">
        <w:rPr>
          <w:rFonts w:ascii="Verdana" w:eastAsia="Calibri" w:hAnsi="Verdana" w:cs="Arial"/>
          <w:sz w:val="14"/>
          <w:szCs w:val="14"/>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w:t>
      </w:r>
      <w:r w:rsidRPr="009D0DBE">
        <w:rPr>
          <w:rFonts w:ascii="Verdana" w:eastAsia="Calibri" w:hAnsi="Verdana" w:cs="Arial"/>
          <w:sz w:val="14"/>
          <w:szCs w:val="14"/>
          <w:lang w:val="pt-BR" w:eastAsia="en-US"/>
        </w:rPr>
        <w:t xml:space="preserve">(…). </w:t>
      </w:r>
    </w:p>
    <w:p w14:paraId="24D088A5" w14:textId="77777777" w:rsidR="00662485" w:rsidRPr="009D0DBE" w:rsidRDefault="00662485" w:rsidP="00662485">
      <w:pPr>
        <w:pStyle w:val="Textonotapie"/>
        <w:jc w:val="both"/>
        <w:rPr>
          <w:rFonts w:ascii="Verdana" w:hAnsi="Verdana"/>
          <w:sz w:val="14"/>
          <w:szCs w:val="14"/>
          <w:lang w:val="pt-BR"/>
        </w:rPr>
      </w:pPr>
    </w:p>
  </w:footnote>
  <w:footnote w:id="7">
    <w:p w14:paraId="6F16F123" w14:textId="77777777" w:rsidR="00662485" w:rsidRDefault="00662485" w:rsidP="00662485">
      <w:pPr>
        <w:pStyle w:val="Textonotapie"/>
        <w:ind w:firstLine="708"/>
        <w:jc w:val="both"/>
        <w:rPr>
          <w:rFonts w:ascii="Verdana" w:hAnsi="Verdana" w:cs="Arial"/>
          <w:sz w:val="14"/>
          <w:szCs w:val="14"/>
          <w:lang w:val="pt-BR"/>
        </w:rPr>
      </w:pPr>
      <w:r w:rsidRPr="009D0DBE">
        <w:rPr>
          <w:rStyle w:val="Refdenotaalpie"/>
          <w:rFonts w:ascii="Verdana" w:hAnsi="Verdana"/>
          <w:sz w:val="14"/>
          <w:szCs w:val="14"/>
        </w:rPr>
        <w:footnoteRef/>
      </w:r>
      <w:r w:rsidRPr="009D0DBE">
        <w:rPr>
          <w:rFonts w:ascii="Verdana" w:hAnsi="Verdana"/>
          <w:sz w:val="14"/>
          <w:szCs w:val="14"/>
          <w:lang w:val="pt-BR"/>
        </w:rPr>
        <w:t xml:space="preserve"> </w:t>
      </w:r>
      <w:proofErr w:type="spellStart"/>
      <w:r w:rsidRPr="009D0DBE">
        <w:rPr>
          <w:rFonts w:ascii="Verdana" w:hAnsi="Verdana" w:cs="Arial"/>
          <w:sz w:val="14"/>
          <w:szCs w:val="14"/>
          <w:lang w:val="pt-BR"/>
        </w:rPr>
        <w:t>Ibídem</w:t>
      </w:r>
      <w:proofErr w:type="spellEnd"/>
      <w:r w:rsidRPr="009D0DBE">
        <w:rPr>
          <w:rFonts w:ascii="Verdana" w:hAnsi="Verdana" w:cs="Arial"/>
          <w:sz w:val="14"/>
          <w:szCs w:val="14"/>
          <w:lang w:val="pt-BR"/>
        </w:rPr>
        <w:t>. p. 69.</w:t>
      </w:r>
    </w:p>
    <w:p w14:paraId="5E2DCBB1" w14:textId="77777777" w:rsidR="00662485" w:rsidRPr="009D0DBE" w:rsidRDefault="00662485" w:rsidP="00662485">
      <w:pPr>
        <w:pStyle w:val="Textonotapie"/>
        <w:ind w:firstLine="708"/>
        <w:jc w:val="both"/>
        <w:rPr>
          <w:rFonts w:ascii="Verdana" w:hAnsi="Verdana"/>
          <w:sz w:val="14"/>
          <w:szCs w:val="14"/>
          <w:lang w:val="pt-BR"/>
        </w:rPr>
      </w:pPr>
    </w:p>
  </w:footnote>
  <w:footnote w:id="8">
    <w:p w14:paraId="1DEC286F" w14:textId="77777777" w:rsidR="00662485" w:rsidRPr="009D0DBE" w:rsidRDefault="00662485" w:rsidP="00662485">
      <w:pPr>
        <w:pStyle w:val="Textonotapie"/>
        <w:ind w:firstLine="708"/>
        <w:jc w:val="both"/>
        <w:rPr>
          <w:rFonts w:ascii="Verdana" w:hAnsi="Verdana" w:cs="Arial"/>
          <w:sz w:val="14"/>
          <w:szCs w:val="14"/>
          <w:lang w:val="es-ES"/>
        </w:rPr>
      </w:pPr>
      <w:r w:rsidRPr="009D0DBE">
        <w:rPr>
          <w:rStyle w:val="Refdenotaalpie"/>
          <w:rFonts w:ascii="Verdana" w:hAnsi="Verdana"/>
          <w:sz w:val="14"/>
          <w:szCs w:val="14"/>
        </w:rPr>
        <w:footnoteRef/>
      </w:r>
      <w:r w:rsidRPr="009D0DBE">
        <w:rPr>
          <w:rFonts w:ascii="Verdana" w:hAnsi="Verdana"/>
          <w:sz w:val="14"/>
          <w:szCs w:val="14"/>
          <w:lang w:val="pt-BR"/>
        </w:rPr>
        <w:t xml:space="preserve"> </w:t>
      </w:r>
      <w:r w:rsidRPr="009D0DBE">
        <w:rPr>
          <w:rFonts w:ascii="Verdana" w:hAnsi="Verdana" w:cs="Arial"/>
          <w:sz w:val="14"/>
          <w:szCs w:val="14"/>
          <w:lang w:val="pt-BR"/>
        </w:rPr>
        <w:t xml:space="preserve">Corte Constitucional. Sentencia T-1039 de 2006. M.P. Humberto Sierra Porto. </w:t>
      </w:r>
      <w:r w:rsidRPr="009D0DBE">
        <w:rPr>
          <w:rFonts w:ascii="Verdana" w:hAnsi="Verdana" w:cs="Arial"/>
          <w:sz w:val="14"/>
          <w:szCs w:val="14"/>
          <w:lang w:val="es-ES"/>
        </w:rPr>
        <w:t xml:space="preserve">La Corte Constitucional ha mantenido este criterio en las sentencias: C-903 de 2008. M.P. Jaime Araujo Rentería; C-101 de 2018. M.P. Gloria Stella Ortiz Delgado; entre otras. </w:t>
      </w:r>
    </w:p>
    <w:p w14:paraId="07D7E9B8" w14:textId="77777777" w:rsidR="00662485" w:rsidRPr="009D0DBE" w:rsidRDefault="00662485" w:rsidP="00662485">
      <w:pPr>
        <w:pStyle w:val="Textonotapie"/>
        <w:jc w:val="both"/>
        <w:rPr>
          <w:rFonts w:ascii="Verdana" w:hAnsi="Verdana" w:cs="Arial"/>
          <w:sz w:val="14"/>
          <w:szCs w:val="14"/>
          <w:lang w:val="es-ES"/>
        </w:rPr>
      </w:pPr>
    </w:p>
  </w:footnote>
  <w:footnote w:id="9">
    <w:p w14:paraId="012DDE96" w14:textId="77777777" w:rsidR="00662485" w:rsidRPr="00A25D67" w:rsidRDefault="00662485" w:rsidP="00662485">
      <w:pPr>
        <w:pStyle w:val="Textonotapie"/>
        <w:ind w:firstLine="708"/>
        <w:jc w:val="both"/>
        <w:rPr>
          <w:rFonts w:ascii="Verdana" w:hAnsi="Verdana" w:cs="Arial"/>
          <w:sz w:val="14"/>
          <w:szCs w:val="14"/>
          <w:lang w:val="es-ES"/>
        </w:rPr>
      </w:pPr>
      <w:r w:rsidRPr="00A25D67">
        <w:rPr>
          <w:rStyle w:val="Refdenotaalpie"/>
          <w:rFonts w:ascii="Verdana" w:hAnsi="Verdana"/>
          <w:sz w:val="14"/>
          <w:szCs w:val="14"/>
        </w:rPr>
        <w:footnoteRef/>
      </w:r>
      <w:r w:rsidRPr="00A25D67">
        <w:rPr>
          <w:rFonts w:ascii="Verdana" w:hAnsi="Verdana"/>
          <w:sz w:val="14"/>
          <w:szCs w:val="14"/>
        </w:rPr>
        <w:t xml:space="preserve"> </w:t>
      </w:r>
      <w:r w:rsidRPr="00A25D67">
        <w:rPr>
          <w:rFonts w:ascii="Verdana" w:hAnsi="Verdana" w:cs="Arial"/>
          <w:sz w:val="14"/>
          <w:szCs w:val="14"/>
          <w:lang w:val="es-ES"/>
        </w:rPr>
        <w:t xml:space="preserve">Consejo de Estado. Sala de Consulta y Servicio Civil. Concepto del 30 de abril de 2015. </w:t>
      </w:r>
      <w:r>
        <w:rPr>
          <w:rFonts w:ascii="Verdana" w:hAnsi="Verdana" w:cs="Arial"/>
          <w:sz w:val="14"/>
          <w:szCs w:val="14"/>
          <w:lang w:val="es-ES"/>
        </w:rPr>
        <w:t xml:space="preserve">Radicado: </w:t>
      </w:r>
      <w:r w:rsidRPr="00A25D67">
        <w:rPr>
          <w:rFonts w:ascii="Verdana" w:hAnsi="Verdana" w:cs="Arial"/>
          <w:sz w:val="14"/>
          <w:szCs w:val="14"/>
          <w:lang w:val="es-CO"/>
        </w:rPr>
        <w:t>11001-03-06-000-2015-00058-00</w:t>
      </w:r>
      <w:r>
        <w:rPr>
          <w:rFonts w:ascii="Verdana" w:hAnsi="Verdana" w:cs="Arial"/>
          <w:sz w:val="14"/>
          <w:szCs w:val="14"/>
          <w:lang w:val="es-CO"/>
        </w:rPr>
        <w:t xml:space="preserve"> (</w:t>
      </w:r>
      <w:r w:rsidRPr="00A25D67">
        <w:rPr>
          <w:rFonts w:ascii="Verdana" w:hAnsi="Verdana" w:cs="Arial"/>
          <w:sz w:val="14"/>
          <w:szCs w:val="14"/>
          <w:lang w:val="es-ES"/>
        </w:rPr>
        <w:t>2251</w:t>
      </w:r>
      <w:r>
        <w:rPr>
          <w:rFonts w:ascii="Verdana" w:hAnsi="Verdana" w:cs="Arial"/>
          <w:sz w:val="14"/>
          <w:szCs w:val="14"/>
          <w:lang w:val="es-ES"/>
        </w:rPr>
        <w:t>)</w:t>
      </w:r>
      <w:r w:rsidRPr="00A25D67">
        <w:rPr>
          <w:rFonts w:ascii="Verdana" w:hAnsi="Verdana" w:cs="Arial"/>
          <w:sz w:val="14"/>
          <w:szCs w:val="14"/>
          <w:lang w:val="es-ES"/>
        </w:rPr>
        <w:t>. C.P</w:t>
      </w:r>
      <w:r>
        <w:rPr>
          <w:rFonts w:ascii="Verdana" w:hAnsi="Verdana" w:cs="Arial"/>
          <w:sz w:val="14"/>
          <w:szCs w:val="14"/>
          <w:lang w:val="es-ES"/>
        </w:rPr>
        <w:t>:</w:t>
      </w:r>
      <w:r w:rsidRPr="00A25D67">
        <w:rPr>
          <w:rFonts w:ascii="Verdana" w:hAnsi="Verdana" w:cs="Arial"/>
          <w:sz w:val="14"/>
          <w:szCs w:val="14"/>
          <w:lang w:val="es-ES"/>
        </w:rPr>
        <w:t xml:space="preserve"> Álvaro Namén Vargas.</w:t>
      </w:r>
    </w:p>
    <w:p w14:paraId="57C0D072" w14:textId="77777777" w:rsidR="00662485" w:rsidRPr="00A25D67" w:rsidRDefault="00662485" w:rsidP="00662485">
      <w:pPr>
        <w:pStyle w:val="Textonotapie"/>
        <w:jc w:val="both"/>
        <w:rPr>
          <w:rFonts w:ascii="Verdana" w:hAnsi="Verdana"/>
          <w:sz w:val="14"/>
          <w:szCs w:val="14"/>
          <w:lang w:val="es-ES_tradnl"/>
        </w:rPr>
      </w:pPr>
    </w:p>
  </w:footnote>
  <w:footnote w:id="10">
    <w:p w14:paraId="1B0988D9" w14:textId="77777777" w:rsidR="00662485" w:rsidRPr="00720F72" w:rsidRDefault="00662485" w:rsidP="00662485">
      <w:pPr>
        <w:pStyle w:val="Textonotapie"/>
        <w:ind w:firstLine="708"/>
        <w:jc w:val="both"/>
        <w:rPr>
          <w:rFonts w:ascii="Verdana" w:hAnsi="Verdana" w:cs="Arial"/>
          <w:sz w:val="14"/>
          <w:szCs w:val="14"/>
        </w:rPr>
      </w:pPr>
      <w:r w:rsidRPr="00720F72">
        <w:rPr>
          <w:rStyle w:val="Refdenotaalpie"/>
          <w:rFonts w:ascii="Verdana" w:hAnsi="Verdana"/>
          <w:sz w:val="14"/>
          <w:szCs w:val="14"/>
        </w:rPr>
        <w:footnoteRef/>
      </w:r>
      <w:r w:rsidRPr="00720F72">
        <w:rPr>
          <w:rFonts w:ascii="Verdana" w:hAnsi="Verdana"/>
          <w:sz w:val="14"/>
          <w:szCs w:val="14"/>
        </w:rPr>
        <w:t xml:space="preserve"> </w:t>
      </w:r>
      <w:r w:rsidRPr="00720F72">
        <w:rPr>
          <w:rFonts w:ascii="Verdana" w:hAnsi="Verdana" w:cs="Arial"/>
          <w:sz w:val="14"/>
          <w:szCs w:val="14"/>
        </w:rPr>
        <w:t xml:space="preserve">Consejo de Estado. Sala de lo Contencioso Administrativo. Sección Tercera. Subsección A. Sentencia del 24 de junio de 2015. Radicado: </w:t>
      </w:r>
      <w:r w:rsidRPr="00720F72">
        <w:rPr>
          <w:rFonts w:ascii="Verdana" w:hAnsi="Verdana" w:cs="Arial"/>
          <w:sz w:val="14"/>
          <w:szCs w:val="14"/>
          <w:lang w:val="es-CO"/>
        </w:rPr>
        <w:t>05001-23-31-000-1997-02636-01</w:t>
      </w:r>
      <w:r w:rsidRPr="00720F72">
        <w:rPr>
          <w:rFonts w:ascii="Verdana" w:hAnsi="Verdana" w:cs="Arial"/>
          <w:sz w:val="14"/>
          <w:szCs w:val="14"/>
        </w:rPr>
        <w:t xml:space="preserve"> (40.635). C.P: Hernán Andrade Rincón (E).</w:t>
      </w:r>
    </w:p>
    <w:p w14:paraId="57D3AD32" w14:textId="77777777" w:rsidR="00662485" w:rsidRPr="00720F72" w:rsidRDefault="00662485" w:rsidP="00662485">
      <w:pPr>
        <w:pStyle w:val="Textonotapie"/>
        <w:jc w:val="both"/>
        <w:rPr>
          <w:rFonts w:ascii="Verdana" w:hAnsi="Verdana"/>
          <w:sz w:val="14"/>
          <w:szCs w:val="14"/>
          <w:lang w:val="es-ES_tradnl"/>
        </w:rPr>
      </w:pPr>
    </w:p>
  </w:footnote>
  <w:footnote w:id="11">
    <w:p w14:paraId="6EA83220" w14:textId="77777777" w:rsidR="00662485" w:rsidRPr="00720F72" w:rsidRDefault="00662485" w:rsidP="00662485">
      <w:pPr>
        <w:pStyle w:val="Textonotapie"/>
        <w:ind w:firstLine="708"/>
        <w:jc w:val="both"/>
        <w:rPr>
          <w:rFonts w:ascii="Verdana" w:hAnsi="Verdana" w:cs="Arial"/>
          <w:sz w:val="14"/>
          <w:szCs w:val="14"/>
        </w:rPr>
      </w:pPr>
      <w:r w:rsidRPr="00720F72">
        <w:rPr>
          <w:rStyle w:val="Refdenotaalpie"/>
          <w:rFonts w:ascii="Verdana" w:hAnsi="Verdana"/>
          <w:sz w:val="14"/>
          <w:szCs w:val="14"/>
        </w:rPr>
        <w:footnoteRef/>
      </w:r>
      <w:r w:rsidRPr="00720F72">
        <w:rPr>
          <w:rFonts w:ascii="Verdana" w:hAnsi="Verdana"/>
          <w:sz w:val="14"/>
          <w:szCs w:val="14"/>
        </w:rPr>
        <w:t xml:space="preserve"> </w:t>
      </w:r>
      <w:r w:rsidRPr="00720F72">
        <w:rPr>
          <w:rFonts w:ascii="Verdana" w:hAnsi="Verdana" w:cs="Arial"/>
          <w:sz w:val="14"/>
          <w:szCs w:val="14"/>
        </w:rPr>
        <w:t xml:space="preserve">Consejo de Estado. Sala de lo Contencioso Administrativo. Sección Tercera. Subsección C. Sentencia del 22 de mayo de 2013. Radicado: </w:t>
      </w:r>
      <w:r w:rsidRPr="00720F72">
        <w:rPr>
          <w:rFonts w:ascii="Verdana" w:hAnsi="Verdana" w:cs="Arial"/>
          <w:sz w:val="14"/>
          <w:szCs w:val="14"/>
          <w:lang w:val="es-CO"/>
        </w:rPr>
        <w:t>68001-23-15-000-1995-00152-01</w:t>
      </w:r>
      <w:r w:rsidRPr="00720F72">
        <w:rPr>
          <w:rFonts w:ascii="Verdana" w:hAnsi="Verdana" w:cs="Arial"/>
          <w:sz w:val="14"/>
          <w:szCs w:val="14"/>
        </w:rPr>
        <w:t xml:space="preserve"> (24.057). C.P: Olga Mélida Valle De De La Hoz.</w:t>
      </w:r>
    </w:p>
    <w:p w14:paraId="4597E318" w14:textId="77777777" w:rsidR="00662485" w:rsidRPr="00720F72" w:rsidRDefault="00662485" w:rsidP="00662485">
      <w:pPr>
        <w:pStyle w:val="Textonotapie"/>
        <w:ind w:firstLine="708"/>
        <w:jc w:val="both"/>
        <w:rPr>
          <w:rFonts w:ascii="Verdana" w:hAnsi="Verdana"/>
          <w:sz w:val="14"/>
          <w:szCs w:val="14"/>
          <w:lang w:val="es-ES_tradnl"/>
        </w:rPr>
      </w:pPr>
    </w:p>
  </w:footnote>
  <w:footnote w:id="12">
    <w:p w14:paraId="6EEFF817" w14:textId="77777777" w:rsidR="00662485" w:rsidRPr="00720F72" w:rsidRDefault="00662485" w:rsidP="00662485">
      <w:pPr>
        <w:pStyle w:val="Textonotapie"/>
        <w:ind w:firstLine="708"/>
        <w:jc w:val="both"/>
        <w:rPr>
          <w:rFonts w:ascii="Verdana" w:hAnsi="Verdana" w:cs="Arial"/>
          <w:sz w:val="14"/>
          <w:szCs w:val="14"/>
          <w:lang w:val="pt-BR"/>
        </w:rPr>
      </w:pPr>
      <w:r w:rsidRPr="00720F72">
        <w:rPr>
          <w:rStyle w:val="Refdenotaalpie"/>
          <w:rFonts w:ascii="Verdana" w:hAnsi="Verdana"/>
          <w:sz w:val="14"/>
          <w:szCs w:val="14"/>
        </w:rPr>
        <w:footnoteRef/>
      </w:r>
      <w:r w:rsidRPr="00720F72">
        <w:rPr>
          <w:rFonts w:ascii="Verdana" w:hAnsi="Verdana"/>
          <w:sz w:val="14"/>
          <w:szCs w:val="14"/>
          <w:lang w:val="pt-BR"/>
        </w:rPr>
        <w:t xml:space="preserve"> </w:t>
      </w:r>
      <w:r w:rsidRPr="00720F72">
        <w:rPr>
          <w:rFonts w:ascii="Verdana" w:hAnsi="Verdana" w:cs="Arial"/>
          <w:sz w:val="14"/>
          <w:szCs w:val="14"/>
          <w:lang w:val="pt-BR"/>
        </w:rPr>
        <w:t>Corte Constitucional. Sentencia C-415 de 1994. M.P. Eduardo Cifuentes Muñoz.</w:t>
      </w:r>
    </w:p>
    <w:p w14:paraId="070D8B89" w14:textId="77777777" w:rsidR="00662485" w:rsidRPr="00720F72" w:rsidRDefault="00662485" w:rsidP="00662485">
      <w:pPr>
        <w:pStyle w:val="Textonotapie"/>
        <w:jc w:val="both"/>
        <w:rPr>
          <w:rFonts w:ascii="Verdana" w:hAnsi="Verdana"/>
          <w:sz w:val="14"/>
          <w:szCs w:val="14"/>
          <w:lang w:val="pt-BR"/>
        </w:rPr>
      </w:pPr>
    </w:p>
  </w:footnote>
  <w:footnote w:id="13">
    <w:p w14:paraId="2DAEBFF1" w14:textId="77777777" w:rsidR="00662485" w:rsidRPr="00B947C6" w:rsidRDefault="00662485" w:rsidP="00662485">
      <w:pPr>
        <w:pStyle w:val="Textonotapie"/>
        <w:ind w:firstLine="708"/>
        <w:jc w:val="both"/>
        <w:rPr>
          <w:rFonts w:ascii="Verdana" w:hAnsi="Verdana" w:cs="Arial"/>
          <w:sz w:val="14"/>
          <w:szCs w:val="14"/>
        </w:rPr>
      </w:pPr>
      <w:r w:rsidRPr="00B947C6">
        <w:rPr>
          <w:rStyle w:val="Refdenotaalpie"/>
          <w:rFonts w:ascii="Verdana" w:hAnsi="Verdana"/>
          <w:sz w:val="14"/>
          <w:szCs w:val="14"/>
        </w:rPr>
        <w:footnoteRef/>
      </w:r>
      <w:r w:rsidRPr="00B947C6">
        <w:rPr>
          <w:rFonts w:ascii="Verdana" w:hAnsi="Verdana"/>
          <w:sz w:val="14"/>
          <w:szCs w:val="14"/>
        </w:rPr>
        <w:t xml:space="preserve"> </w:t>
      </w:r>
      <w:r w:rsidRPr="00B947C6">
        <w:rPr>
          <w:rFonts w:ascii="Verdana" w:hAnsi="Verdana" w:cs="Arial"/>
          <w:sz w:val="14"/>
          <w:szCs w:val="14"/>
        </w:rPr>
        <w:t>El artículo 13 de la Ley 1150 de 2007 dispone que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4064ABB" w14:textId="77777777" w:rsidR="00662485" w:rsidRPr="00B947C6" w:rsidRDefault="00662485" w:rsidP="00662485">
      <w:pPr>
        <w:pStyle w:val="Textonotapie"/>
        <w:jc w:val="both"/>
        <w:rPr>
          <w:rFonts w:ascii="Verdana" w:hAnsi="Verdana"/>
          <w:sz w:val="14"/>
          <w:szCs w:val="14"/>
          <w:lang w:val="es-ES"/>
        </w:rPr>
      </w:pPr>
    </w:p>
  </w:footnote>
  <w:footnote w:id="14">
    <w:p w14:paraId="206DBB08" w14:textId="77777777" w:rsidR="00662485" w:rsidRPr="00427634" w:rsidRDefault="00662485" w:rsidP="00662485">
      <w:pPr>
        <w:pStyle w:val="Textonotapie"/>
        <w:ind w:firstLine="709"/>
        <w:jc w:val="both"/>
        <w:rPr>
          <w:rFonts w:ascii="Verdana" w:hAnsi="Verdana"/>
          <w:sz w:val="14"/>
          <w:szCs w:val="14"/>
          <w:lang w:val="es-ES"/>
        </w:rPr>
      </w:pPr>
      <w:r w:rsidRPr="00427634">
        <w:rPr>
          <w:rStyle w:val="Refdenotaalpie"/>
          <w:rFonts w:ascii="Verdana" w:hAnsi="Verdana"/>
          <w:sz w:val="14"/>
          <w:szCs w:val="14"/>
        </w:rPr>
        <w:footnoteRef/>
      </w:r>
      <w:r w:rsidRPr="00427634">
        <w:rPr>
          <w:rFonts w:ascii="Verdana" w:hAnsi="Verdana"/>
          <w:sz w:val="14"/>
          <w:szCs w:val="14"/>
        </w:rPr>
        <w:t xml:space="preserve"> </w:t>
      </w:r>
      <w:bookmarkStart w:id="10" w:name="_Hlk195172243"/>
      <w:r w:rsidRPr="00427634">
        <w:rPr>
          <w:rFonts w:ascii="Verdana" w:hAnsi="Verdana"/>
          <w:sz w:val="14"/>
          <w:szCs w:val="14"/>
          <w:lang w:val="es-ES"/>
        </w:rPr>
        <w:t>Corte Constitucional. Sentencia C-087 de 2024. M.P: Antonio José Lizarazo Ocampo</w:t>
      </w:r>
      <w:bookmarkEnd w:id="10"/>
      <w:r>
        <w:rPr>
          <w:rFonts w:ascii="Verdana" w:hAnsi="Verdana"/>
          <w:sz w:val="14"/>
          <w:szCs w:val="14"/>
          <w:lang w:val="es-ES"/>
        </w:rPr>
        <w:t>.</w:t>
      </w:r>
    </w:p>
  </w:footnote>
  <w:footnote w:id="15">
    <w:p w14:paraId="2CACE63E" w14:textId="77777777" w:rsidR="00662485" w:rsidRPr="000B5921" w:rsidRDefault="00662485" w:rsidP="00662485">
      <w:pPr>
        <w:pStyle w:val="Textonotapie"/>
        <w:ind w:firstLine="708"/>
        <w:jc w:val="both"/>
        <w:rPr>
          <w:rFonts w:ascii="Verdana" w:hAnsi="Verdana"/>
          <w:sz w:val="14"/>
          <w:szCs w:val="14"/>
          <w:lang w:val="es-ES_tradnl"/>
        </w:rPr>
      </w:pPr>
      <w:r w:rsidRPr="000B5921">
        <w:rPr>
          <w:rStyle w:val="Refdenotaalpie"/>
          <w:rFonts w:ascii="Verdana" w:hAnsi="Verdana"/>
          <w:sz w:val="14"/>
          <w:szCs w:val="14"/>
        </w:rPr>
        <w:footnoteRef/>
      </w:r>
      <w:r w:rsidRPr="000B5921">
        <w:rPr>
          <w:rFonts w:ascii="Verdana" w:hAnsi="Verdana"/>
          <w:sz w:val="14"/>
          <w:szCs w:val="14"/>
        </w:rPr>
        <w:t xml:space="preserve"> </w:t>
      </w:r>
      <w:r w:rsidRPr="000B5921">
        <w:rPr>
          <w:rFonts w:ascii="Verdana" w:hAnsi="Verdana" w:cs="Arial"/>
          <w:sz w:val="14"/>
          <w:szCs w:val="14"/>
        </w:rPr>
        <w:t>De esta manera, la doctrina anota que «[…] Los conceptos de “regla general” y “regla particular” son correlativas. Una regla es particular en relación con otra si hecho condicionante es un caso particular del hecho condicionante de la otra regla […]» (Cfr. ROSS, Alf. Sobre el derecho y la justicia. Quinta edición. Buenos Aires: EUDEBA, 1994. p. 125).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0BAE"/>
    <w:rsid w:val="000A683E"/>
    <w:rsid w:val="000B19B9"/>
    <w:rsid w:val="000D0334"/>
    <w:rsid w:val="000F6486"/>
    <w:rsid w:val="00125105"/>
    <w:rsid w:val="00127233"/>
    <w:rsid w:val="00134B86"/>
    <w:rsid w:val="001930EE"/>
    <w:rsid w:val="001E4177"/>
    <w:rsid w:val="001F2580"/>
    <w:rsid w:val="001F7DC6"/>
    <w:rsid w:val="0023368A"/>
    <w:rsid w:val="002421BB"/>
    <w:rsid w:val="0025041B"/>
    <w:rsid w:val="0025796E"/>
    <w:rsid w:val="002707A2"/>
    <w:rsid w:val="002951A0"/>
    <w:rsid w:val="002962BC"/>
    <w:rsid w:val="002A093D"/>
    <w:rsid w:val="002A0DD0"/>
    <w:rsid w:val="002A49AC"/>
    <w:rsid w:val="002A64FD"/>
    <w:rsid w:val="002C413A"/>
    <w:rsid w:val="002C7A84"/>
    <w:rsid w:val="002E4FD9"/>
    <w:rsid w:val="00322A85"/>
    <w:rsid w:val="00324168"/>
    <w:rsid w:val="003448F4"/>
    <w:rsid w:val="00362FBF"/>
    <w:rsid w:val="00374F5E"/>
    <w:rsid w:val="00377E3E"/>
    <w:rsid w:val="003A779E"/>
    <w:rsid w:val="003D0F4D"/>
    <w:rsid w:val="003D5B0D"/>
    <w:rsid w:val="003E0499"/>
    <w:rsid w:val="003F3941"/>
    <w:rsid w:val="00406575"/>
    <w:rsid w:val="00414C74"/>
    <w:rsid w:val="0042722E"/>
    <w:rsid w:val="0044528D"/>
    <w:rsid w:val="004A1847"/>
    <w:rsid w:val="004A305D"/>
    <w:rsid w:val="004B1ECA"/>
    <w:rsid w:val="004F21C4"/>
    <w:rsid w:val="004F685F"/>
    <w:rsid w:val="00545EA3"/>
    <w:rsid w:val="00545EA9"/>
    <w:rsid w:val="0055031B"/>
    <w:rsid w:val="005566E8"/>
    <w:rsid w:val="00574867"/>
    <w:rsid w:val="00591460"/>
    <w:rsid w:val="005A7806"/>
    <w:rsid w:val="005C3777"/>
    <w:rsid w:val="005C5CDC"/>
    <w:rsid w:val="005D476C"/>
    <w:rsid w:val="00607A2F"/>
    <w:rsid w:val="006219F8"/>
    <w:rsid w:val="006302F7"/>
    <w:rsid w:val="0063379E"/>
    <w:rsid w:val="00662485"/>
    <w:rsid w:val="00665D70"/>
    <w:rsid w:val="006739B0"/>
    <w:rsid w:val="006860F3"/>
    <w:rsid w:val="006900D9"/>
    <w:rsid w:val="006A760C"/>
    <w:rsid w:val="00706C16"/>
    <w:rsid w:val="00745CE9"/>
    <w:rsid w:val="00756841"/>
    <w:rsid w:val="007649AB"/>
    <w:rsid w:val="00771D0C"/>
    <w:rsid w:val="007775F0"/>
    <w:rsid w:val="007833AC"/>
    <w:rsid w:val="007A49AC"/>
    <w:rsid w:val="007B268C"/>
    <w:rsid w:val="007B7171"/>
    <w:rsid w:val="007C0C0F"/>
    <w:rsid w:val="007C3DC2"/>
    <w:rsid w:val="007E5497"/>
    <w:rsid w:val="00806F5F"/>
    <w:rsid w:val="00820278"/>
    <w:rsid w:val="0083718E"/>
    <w:rsid w:val="00867F95"/>
    <w:rsid w:val="008843B6"/>
    <w:rsid w:val="008863BC"/>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13E1"/>
    <w:rsid w:val="009D3058"/>
    <w:rsid w:val="009F3A13"/>
    <w:rsid w:val="009F57A5"/>
    <w:rsid w:val="00A122D3"/>
    <w:rsid w:val="00A17F13"/>
    <w:rsid w:val="00A20739"/>
    <w:rsid w:val="00A33C78"/>
    <w:rsid w:val="00A4647D"/>
    <w:rsid w:val="00AB0ADB"/>
    <w:rsid w:val="00AD2338"/>
    <w:rsid w:val="00B00C0E"/>
    <w:rsid w:val="00B01B1A"/>
    <w:rsid w:val="00B44A47"/>
    <w:rsid w:val="00B72CD3"/>
    <w:rsid w:val="00B72FFF"/>
    <w:rsid w:val="00B745DD"/>
    <w:rsid w:val="00BB664D"/>
    <w:rsid w:val="00BC3D36"/>
    <w:rsid w:val="00BD6812"/>
    <w:rsid w:val="00BD7F72"/>
    <w:rsid w:val="00C04FB3"/>
    <w:rsid w:val="00C27C1F"/>
    <w:rsid w:val="00C330EB"/>
    <w:rsid w:val="00C754BE"/>
    <w:rsid w:val="00C76B1C"/>
    <w:rsid w:val="00CB6357"/>
    <w:rsid w:val="00CC1B26"/>
    <w:rsid w:val="00D15D5E"/>
    <w:rsid w:val="00D423A2"/>
    <w:rsid w:val="00D47825"/>
    <w:rsid w:val="00D520D8"/>
    <w:rsid w:val="00D6036F"/>
    <w:rsid w:val="00D63AC2"/>
    <w:rsid w:val="00D7383B"/>
    <w:rsid w:val="00D80D3B"/>
    <w:rsid w:val="00DA231B"/>
    <w:rsid w:val="00DA3281"/>
    <w:rsid w:val="00DC39FC"/>
    <w:rsid w:val="00DF5254"/>
    <w:rsid w:val="00E05AA0"/>
    <w:rsid w:val="00E16161"/>
    <w:rsid w:val="00E16408"/>
    <w:rsid w:val="00E20894"/>
    <w:rsid w:val="00E245AB"/>
    <w:rsid w:val="00E2764C"/>
    <w:rsid w:val="00E27F2E"/>
    <w:rsid w:val="00E50AFE"/>
    <w:rsid w:val="00E574E3"/>
    <w:rsid w:val="00E75C92"/>
    <w:rsid w:val="00E771DC"/>
    <w:rsid w:val="00E8772A"/>
    <w:rsid w:val="00E90F6B"/>
    <w:rsid w:val="00E92C27"/>
    <w:rsid w:val="00E93CA8"/>
    <w:rsid w:val="00EA0E3D"/>
    <w:rsid w:val="00EC38A7"/>
    <w:rsid w:val="00EE1AA8"/>
    <w:rsid w:val="00F236DA"/>
    <w:rsid w:val="00F31EDC"/>
    <w:rsid w:val="00F462B3"/>
    <w:rsid w:val="00F5664F"/>
    <w:rsid w:val="00F62586"/>
    <w:rsid w:val="00F666C4"/>
    <w:rsid w:val="00F76AFC"/>
    <w:rsid w:val="00F90101"/>
    <w:rsid w:val="00FA47C0"/>
    <w:rsid w:val="00FB5DD1"/>
    <w:rsid w:val="00FC2009"/>
    <w:rsid w:val="00FC2B5D"/>
    <w:rsid w:val="00FF1449"/>
    <w:rsid w:val="040D60E1"/>
    <w:rsid w:val="0A58532A"/>
    <w:rsid w:val="105F9814"/>
    <w:rsid w:val="12305421"/>
    <w:rsid w:val="13CDBDFD"/>
    <w:rsid w:val="1D1B47A9"/>
    <w:rsid w:val="2C8BD020"/>
    <w:rsid w:val="4414D198"/>
    <w:rsid w:val="462C4C4D"/>
    <w:rsid w:val="6894EB3A"/>
    <w:rsid w:val="70AAECB4"/>
    <w:rsid w:val="714261A2"/>
    <w:rsid w:val="7634E3EE"/>
    <w:rsid w:val="7BEC91E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C59BFD2-29D3-4017-9EC9-06E83EBB7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6248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62485"/>
    <w:rPr>
      <w:rFonts w:ascii="Geomanist Light" w:hAnsi="Geomanist Light"/>
      <w:lang w:val="es-ES"/>
    </w:rPr>
  </w:style>
  <w:style w:type="character" w:customStyle="1" w:styleId="NormalWebCar">
    <w:name w:val="Normal (Web) Car"/>
    <w:link w:val="NormalWeb"/>
    <w:uiPriority w:val="99"/>
    <w:locked/>
    <w:rsid w:val="00662485"/>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662485"/>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662485"/>
    <w:rPr>
      <w:rFonts w:ascii="Arial" w:eastAsia="Arial" w:hAnsi="Arial" w:cs="Arial"/>
      <w:lang w:val="es-ES"/>
    </w:rPr>
  </w:style>
  <w:style w:type="character" w:customStyle="1" w:styleId="iaj">
    <w:name w:val="i_aj"/>
    <w:basedOn w:val="Fuentedeprrafopredeter"/>
    <w:rsid w:val="00662485"/>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7775F0"/>
    <w:rPr>
      <w:b/>
      <w:bCs/>
    </w:rPr>
  </w:style>
  <w:style w:type="character" w:customStyle="1" w:styleId="AsuntodelcomentarioCar">
    <w:name w:val="Asunto del comentario Car"/>
    <w:basedOn w:val="TextocomentarioCar"/>
    <w:link w:val="Asuntodelcomentario"/>
    <w:uiPriority w:val="99"/>
    <w:semiHidden/>
    <w:rsid w:val="007775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fe8587@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BAF4EBF-9A89-4811-B946-F986F526E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19</Pages>
  <Words>5937</Words>
  <Characters>32659</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2023-01-11T00:18:00Z</cp:lastPrinted>
  <dcterms:created xsi:type="dcterms:W3CDTF">2025-09-11T18:08:00Z</dcterms:created>
  <dcterms:modified xsi:type="dcterms:W3CDTF">2025-09-15T16:00:00Z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