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CD3A6A" w14:textId="77777777" w:rsidR="002B1FC8" w:rsidRPr="0048690C" w:rsidRDefault="002B1FC8" w:rsidP="002B1FC8">
      <w:pPr>
        <w:spacing w:after="0"/>
        <w:jc w:val="both"/>
        <w:rPr>
          <w:rFonts w:ascii="Verdana" w:eastAsia="Calibri" w:hAnsi="Verdana" w:cs="Arial"/>
          <w:b/>
          <w:bCs/>
          <w:color w:val="000000" w:themeColor="text1"/>
          <w:lang w:val="es-ES" w:eastAsia="es-ES"/>
        </w:rPr>
      </w:pPr>
      <w:r w:rsidRPr="00B01C98">
        <w:rPr>
          <w:rFonts w:ascii="Verdana" w:eastAsia="Calibri" w:hAnsi="Verdana" w:cs="Arial"/>
          <w:b/>
          <w:bCs/>
          <w:color w:val="000000" w:themeColor="text1"/>
          <w:lang w:val="es-ES" w:eastAsia="es-ES"/>
        </w:rPr>
        <w:t>CONSORCIOS Y UNIONES TEMPORALES – Constitución</w:t>
      </w:r>
    </w:p>
    <w:p w14:paraId="0846BE04" w14:textId="77777777" w:rsidR="002B1FC8" w:rsidRDefault="002B1FC8" w:rsidP="002B1FC8">
      <w:pPr>
        <w:spacing w:after="0" w:line="276" w:lineRule="auto"/>
        <w:contextualSpacing/>
        <w:jc w:val="both"/>
        <w:rPr>
          <w:rFonts w:ascii="Verdana" w:eastAsia="Calibri" w:hAnsi="Verdana" w:cs="Arial"/>
          <w:color w:val="000000" w:themeColor="text1"/>
          <w:lang w:val="es-ES" w:eastAsia="es-ES"/>
        </w:rPr>
      </w:pPr>
    </w:p>
    <w:p w14:paraId="1CF45A33" w14:textId="77777777" w:rsidR="002B1FC8" w:rsidRDefault="002B1FC8" w:rsidP="002B1FC8">
      <w:pPr>
        <w:spacing w:after="0" w:line="240" w:lineRule="auto"/>
        <w:contextualSpacing/>
        <w:jc w:val="both"/>
        <w:rPr>
          <w:rFonts w:ascii="Verdana" w:eastAsia="Calibri" w:hAnsi="Verdana" w:cs="Arial"/>
          <w:sz w:val="20"/>
          <w:szCs w:val="20"/>
        </w:rPr>
      </w:pPr>
      <w:r w:rsidRPr="00EF5AC8">
        <w:rPr>
          <w:rFonts w:ascii="Verdana" w:eastAsia="Calibri" w:hAnsi="Verdana" w:cs="Arial"/>
          <w:color w:val="000000" w:themeColor="text1"/>
          <w:sz w:val="20"/>
          <w:szCs w:val="20"/>
          <w:lang w:val="es-ES" w:eastAsia="es-ES"/>
        </w:rPr>
        <w:t xml:space="preserve">[…] </w:t>
      </w:r>
      <w:r w:rsidRPr="00EF5AC8">
        <w:rPr>
          <w:rFonts w:ascii="Verdana" w:eastAsia="Calibri" w:hAnsi="Verdana" w:cs="Arial"/>
          <w:sz w:val="20"/>
          <w:szCs w:val="20"/>
        </w:rPr>
        <w:t>Como se observa, el artículo citado señala que el consorcio o la unión temporal se da “[c]uando dos o más personas en forma conjunta presentan una misma propuesta para la adjudicación, celebración y ejecución de un contrato […]”. Desde esta perspectiva, su capacidad para participar en la adjudicación, celebración y ejecución de uno o varios contratos estatales dependerá de dos aspectos: (i) que los integrantes de la estructural plural adopten la decisión conjunta de presentar una misma propuesta al proceso de selección, y (ii) que el objeto del consorcio o unión temporal se encuentre alineado con las actividades a desarrollar en un determinado proceso, de manera que les permita ejecutar el respectivo contrato.</w:t>
      </w:r>
    </w:p>
    <w:p w14:paraId="65351996" w14:textId="77777777" w:rsidR="002B1FC8" w:rsidRPr="00EF5AC8" w:rsidRDefault="002B1FC8" w:rsidP="002B1FC8">
      <w:pPr>
        <w:spacing w:after="0" w:line="240" w:lineRule="auto"/>
        <w:contextualSpacing/>
        <w:jc w:val="both"/>
        <w:rPr>
          <w:rFonts w:ascii="Verdana" w:eastAsia="Calibri" w:hAnsi="Verdana" w:cs="Arial"/>
          <w:sz w:val="20"/>
          <w:szCs w:val="20"/>
        </w:rPr>
      </w:pPr>
    </w:p>
    <w:p w14:paraId="41237F23" w14:textId="77777777" w:rsidR="002B1FC8" w:rsidRPr="00EF5AC8" w:rsidRDefault="002B1FC8" w:rsidP="002B1FC8">
      <w:pPr>
        <w:spacing w:after="0" w:line="240" w:lineRule="auto"/>
        <w:jc w:val="both"/>
        <w:rPr>
          <w:rFonts w:ascii="Verdana" w:hAnsi="Verdana" w:cs="Arial"/>
          <w:color w:val="000000" w:themeColor="text1"/>
          <w:sz w:val="20"/>
          <w:szCs w:val="20"/>
        </w:rPr>
      </w:pPr>
      <w:r w:rsidRPr="00EF5AC8">
        <w:rPr>
          <w:rFonts w:ascii="Verdana" w:eastAsia="Calibri" w:hAnsi="Verdana" w:cs="Arial"/>
          <w:sz w:val="20"/>
          <w:szCs w:val="20"/>
        </w:rPr>
        <w:t xml:space="preserve">En este sentido, las estructuras plurales son convenios de asociación provenientes de la colaboración empresarial, mediante los cuales sus integrantes se unen y se organizan mancomunadamente para lograr con mayor eficacia un fin común de contenido patrimonial y lucrativo, como lo es la obtención del derecho a ser adjudicatarios de uno o varios contratos estatales, compartiendo recursos, de toda índole, para su ejecución, así como las utilidades y los riesgos. </w:t>
      </w:r>
      <w:r w:rsidRPr="00EF5AC8">
        <w:rPr>
          <w:rFonts w:ascii="Verdana" w:hAnsi="Verdana" w:cs="Arial"/>
          <w:color w:val="000000" w:themeColor="text1"/>
          <w:sz w:val="20"/>
          <w:szCs w:val="20"/>
        </w:rPr>
        <w:t>La diferencia radica en la responsabilidad frente a las eventuales sanciones por el incumplimiento de las obligaciones, toda vez que tratándose de una unión temporal, estas se individualizan según la participación de sus miembros, mientras que en el consorcio los miembros responden solidariamente, con independencia de este aspecto.</w:t>
      </w:r>
    </w:p>
    <w:p w14:paraId="09D12DEC" w14:textId="77777777" w:rsidR="002B1FC8" w:rsidRPr="00B01C98" w:rsidRDefault="002B1FC8" w:rsidP="002B1FC8">
      <w:pPr>
        <w:spacing w:after="0"/>
        <w:jc w:val="both"/>
        <w:rPr>
          <w:rFonts w:ascii="Verdana" w:eastAsia="Calibri" w:hAnsi="Verdana" w:cs="Arial"/>
          <w:b/>
          <w:bCs/>
          <w:color w:val="000000" w:themeColor="text1"/>
          <w:lang w:val="es-ES" w:eastAsia="es-ES"/>
        </w:rPr>
      </w:pPr>
    </w:p>
    <w:p w14:paraId="38DB5FCC" w14:textId="77777777" w:rsidR="002B1FC8" w:rsidRDefault="002B1FC8" w:rsidP="002B1FC8">
      <w:pPr>
        <w:spacing w:after="0"/>
        <w:jc w:val="both"/>
        <w:rPr>
          <w:rFonts w:ascii="Verdana" w:eastAsia="Calibri" w:hAnsi="Verdana" w:cs="Arial"/>
          <w:b/>
          <w:bCs/>
          <w:color w:val="000000" w:themeColor="text1"/>
          <w:lang w:val="es-ES" w:eastAsia="es-ES"/>
        </w:rPr>
      </w:pPr>
      <w:r w:rsidRPr="00B01C98">
        <w:rPr>
          <w:rFonts w:ascii="Verdana" w:eastAsia="Calibri" w:hAnsi="Verdana" w:cs="Arial"/>
          <w:b/>
          <w:bCs/>
          <w:color w:val="000000" w:themeColor="text1"/>
          <w:lang w:val="es-ES" w:eastAsia="es-ES"/>
        </w:rPr>
        <w:t>CONSORCIOS Y UNIONES TEMPORALES – Múltiples ofertas</w:t>
      </w:r>
    </w:p>
    <w:p w14:paraId="52F6DD44" w14:textId="77777777" w:rsidR="002B1FC8" w:rsidRDefault="002B1FC8" w:rsidP="002B1FC8">
      <w:pPr>
        <w:spacing w:after="0"/>
        <w:jc w:val="both"/>
        <w:rPr>
          <w:rFonts w:ascii="Verdana" w:eastAsia="Calibri" w:hAnsi="Verdana" w:cs="Arial"/>
          <w:b/>
          <w:bCs/>
          <w:color w:val="000000" w:themeColor="text1"/>
          <w:lang w:val="es-ES" w:eastAsia="es-ES"/>
        </w:rPr>
      </w:pPr>
    </w:p>
    <w:p w14:paraId="63935078" w14:textId="77777777" w:rsidR="002B1FC8" w:rsidRPr="00BD5141" w:rsidRDefault="002B1FC8" w:rsidP="002B1FC8">
      <w:pPr>
        <w:spacing w:after="0" w:line="240" w:lineRule="auto"/>
        <w:jc w:val="both"/>
        <w:rPr>
          <w:rFonts w:ascii="Verdana" w:eastAsia="Calibri" w:hAnsi="Verdana" w:cs="Arial"/>
          <w:sz w:val="20"/>
          <w:szCs w:val="20"/>
        </w:rPr>
      </w:pPr>
      <w:r w:rsidRPr="00BD5141">
        <w:rPr>
          <w:rFonts w:ascii="Verdana" w:eastAsia="Calibri" w:hAnsi="Verdana" w:cs="Arial"/>
          <w:sz w:val="20"/>
          <w:szCs w:val="20"/>
        </w:rPr>
        <w:t xml:space="preserve">Así, no existe impedimento o prohibición alguna que limite la actividad de los consorcios o uniones temporales a un solo contrato. En consecuencia, es jurídicamente viable que los proponentes plurales presenten propuestas para la adjudicación, celebración y ejecución de contratos con una o varias entidades estatales. En este orden, las ofertas serán analizadas de acuerdo con los criterios habilitantes y factores de evaluación del pliego de condiciones o documento equivalente, en el marco de las reglas previstas en el Estatuto General de Contratación de la Administración Pública, sus normas complementarias y los reglamentos respectivos. </w:t>
      </w:r>
    </w:p>
    <w:p w14:paraId="2582F279" w14:textId="77777777" w:rsidR="002B1FC8" w:rsidRPr="00B01C98" w:rsidRDefault="002B1FC8" w:rsidP="002B1FC8">
      <w:pPr>
        <w:spacing w:after="0"/>
        <w:jc w:val="both"/>
        <w:rPr>
          <w:rFonts w:ascii="Verdana" w:eastAsia="Calibri" w:hAnsi="Verdana" w:cs="Arial"/>
          <w:b/>
          <w:bCs/>
          <w:color w:val="000000" w:themeColor="text1"/>
          <w:lang w:val="es-ES" w:eastAsia="es-ES"/>
        </w:rPr>
      </w:pPr>
    </w:p>
    <w:p w14:paraId="2B9CCE7F" w14:textId="77777777" w:rsidR="002B1FC8" w:rsidRDefault="002B1FC8" w:rsidP="002B1FC8">
      <w:pPr>
        <w:spacing w:after="0"/>
        <w:jc w:val="both"/>
        <w:rPr>
          <w:rFonts w:ascii="Verdana" w:eastAsia="Calibri" w:hAnsi="Verdana" w:cs="Arial"/>
          <w:b/>
          <w:bCs/>
          <w:color w:val="000000" w:themeColor="text1"/>
          <w:lang w:val="es-ES" w:eastAsia="es-ES"/>
        </w:rPr>
      </w:pPr>
      <w:r w:rsidRPr="00B01C98">
        <w:rPr>
          <w:rFonts w:ascii="Verdana" w:eastAsia="Calibri" w:hAnsi="Verdana" w:cs="Arial"/>
          <w:b/>
          <w:bCs/>
          <w:color w:val="000000" w:themeColor="text1"/>
          <w:lang w:val="es-ES" w:eastAsia="es-ES"/>
        </w:rPr>
        <w:t xml:space="preserve">CONSORCIOS Y UNIONES TEMPORALES – Modificación de condiciones – Límites  </w:t>
      </w:r>
    </w:p>
    <w:p w14:paraId="39AA9D01" w14:textId="77777777" w:rsidR="002B1FC8" w:rsidRDefault="002B1FC8" w:rsidP="002B1FC8">
      <w:pPr>
        <w:spacing w:after="0"/>
        <w:jc w:val="both"/>
        <w:rPr>
          <w:rFonts w:ascii="Verdana" w:eastAsia="Calibri" w:hAnsi="Verdana" w:cs="Arial"/>
          <w:b/>
          <w:bCs/>
          <w:color w:val="000000" w:themeColor="text1"/>
          <w:lang w:val="es-ES" w:eastAsia="es-ES"/>
        </w:rPr>
      </w:pPr>
    </w:p>
    <w:p w14:paraId="6155F20C" w14:textId="77777777" w:rsidR="002B1FC8" w:rsidRPr="00BD5141" w:rsidRDefault="002B1FC8" w:rsidP="002B1FC8">
      <w:pPr>
        <w:spacing w:after="0" w:line="240" w:lineRule="auto"/>
        <w:jc w:val="both"/>
        <w:rPr>
          <w:rFonts w:ascii="Verdana" w:eastAsia="Calibri" w:hAnsi="Verdana" w:cs="Arial"/>
          <w:sz w:val="20"/>
          <w:szCs w:val="20"/>
        </w:rPr>
      </w:pPr>
      <w:r w:rsidRPr="00BD5141">
        <w:rPr>
          <w:rFonts w:ascii="Verdana" w:eastAsia="Calibri" w:hAnsi="Verdana" w:cs="Arial"/>
          <w:sz w:val="20"/>
          <w:szCs w:val="20"/>
        </w:rPr>
        <w:t>Con respecto al segundo problema jurídico planteado, los consorcios y las uniones temporales son una creación de carácter convencional que se logra mediante un acuerdo de carácter privado en la que concurre la voluntad de los miembros. En este sentido, es viable que sus miembros acuerden modificar el nombre, el porcentaje de participación y su composición para presentar propuesta en un proceso de contratación […]</w:t>
      </w:r>
    </w:p>
    <w:p w14:paraId="3933A986" w14:textId="77777777" w:rsidR="002B1FC8" w:rsidRPr="00BD5141" w:rsidRDefault="002B1FC8" w:rsidP="002B1FC8">
      <w:pPr>
        <w:spacing w:after="0" w:line="240" w:lineRule="auto"/>
        <w:jc w:val="both"/>
        <w:rPr>
          <w:rFonts w:ascii="Verdana" w:eastAsia="Calibri" w:hAnsi="Verdana" w:cs="Arial"/>
          <w:sz w:val="20"/>
          <w:szCs w:val="20"/>
        </w:rPr>
      </w:pPr>
    </w:p>
    <w:p w14:paraId="0DFB5A7E" w14:textId="77777777" w:rsidR="002B1FC8" w:rsidRPr="00BD5141" w:rsidRDefault="002B1FC8" w:rsidP="002B1FC8">
      <w:pPr>
        <w:spacing w:after="0" w:line="240" w:lineRule="auto"/>
        <w:jc w:val="both"/>
        <w:rPr>
          <w:rFonts w:ascii="Verdana" w:eastAsia="Calibri" w:hAnsi="Verdana" w:cs="Arial"/>
          <w:sz w:val="20"/>
          <w:szCs w:val="20"/>
        </w:rPr>
      </w:pPr>
      <w:r w:rsidRPr="00BD5141">
        <w:rPr>
          <w:rFonts w:ascii="Verdana" w:eastAsia="Calibri" w:hAnsi="Verdana" w:cs="Arial"/>
          <w:sz w:val="20"/>
          <w:szCs w:val="20"/>
        </w:rPr>
        <w:t xml:space="preserve">Es claro que la modificación del porcentaje de participación de los miembros de un consorcio o unión temporal, o de su conformación, no cabe en el ámbito de la </w:t>
      </w:r>
      <w:r w:rsidRPr="00BD5141">
        <w:rPr>
          <w:rFonts w:ascii="Verdana" w:eastAsia="Calibri" w:hAnsi="Verdana" w:cs="Arial"/>
          <w:sz w:val="20"/>
          <w:szCs w:val="20"/>
        </w:rPr>
        <w:lastRenderedPageBreak/>
        <w:t>subsanabilidad de la propuesta, sino en el de modificación de la misma. Variar este tipo de condiciones del proponente plural, con posterioridad al cierre del proceso, no es asunto subsanable, pues implica la modificación o mejoramiento de la oferta, circunstancia prohibida por el numeral 8 del artículo 30 de la Ley 80 de 1993 y por el artículo 5 de la Ley 1882 de 2018 […]</w:t>
      </w:r>
    </w:p>
    <w:p w14:paraId="7ECB3AF5" w14:textId="77777777" w:rsidR="002B1FC8" w:rsidRPr="00BD5141" w:rsidRDefault="002B1FC8" w:rsidP="002B1FC8">
      <w:pPr>
        <w:spacing w:after="0" w:line="240" w:lineRule="auto"/>
        <w:jc w:val="both"/>
        <w:rPr>
          <w:rFonts w:ascii="Verdana" w:eastAsia="Calibri" w:hAnsi="Verdana" w:cs="Arial"/>
          <w:sz w:val="20"/>
          <w:szCs w:val="20"/>
        </w:rPr>
      </w:pPr>
    </w:p>
    <w:p w14:paraId="55A1C921" w14:textId="77777777" w:rsidR="002B1FC8" w:rsidRPr="00BD5141" w:rsidRDefault="002B1FC8" w:rsidP="002B1FC8">
      <w:pPr>
        <w:spacing w:after="0" w:line="240" w:lineRule="auto"/>
        <w:jc w:val="both"/>
        <w:rPr>
          <w:rFonts w:ascii="Verdana" w:eastAsia="Calibri" w:hAnsi="Verdana" w:cs="Arial"/>
          <w:sz w:val="20"/>
          <w:szCs w:val="20"/>
        </w:rPr>
      </w:pPr>
      <w:r w:rsidRPr="00BD5141">
        <w:rPr>
          <w:rFonts w:ascii="Verdana" w:eastAsia="Calibri" w:hAnsi="Verdana" w:cs="Arial"/>
          <w:sz w:val="20"/>
          <w:szCs w:val="20"/>
        </w:rPr>
        <w:t>De esta manera, si el consorcio ha presentado una oferta en otro proceso que se encuentra en curso no podrá modificar las condiciones del proponente plural para presentarse a otro. Sin embargo, una vez finalizado el proceso, siempre que no resulte adjudicatario, el consorcio podrá modificar condiciones como el nombre, el porcentaje de participación o los integrantes para presentar oferta en un proceso de contratación distinto. De cualquier manera, es importante analizar las normas específicas de cada proceso de contratación y las restricciones que puedan aplicar en términos de integridad, conflicto de interés o competencia desleal. Estas disposiciones pueden variar según la entidad contratante y el tipo de proceso contractual al cual se presente propuesta como proponente plural.</w:t>
      </w:r>
    </w:p>
    <w:p w14:paraId="3AADE835" w14:textId="77777777" w:rsidR="002B1FC8" w:rsidRPr="00BD5141" w:rsidRDefault="002B1FC8" w:rsidP="002B1FC8">
      <w:pPr>
        <w:spacing w:after="0" w:line="240" w:lineRule="auto"/>
        <w:jc w:val="both"/>
        <w:rPr>
          <w:rFonts w:ascii="Verdana" w:eastAsia="Calibri" w:hAnsi="Verdana" w:cs="Arial"/>
          <w:sz w:val="20"/>
          <w:szCs w:val="20"/>
        </w:rPr>
      </w:pPr>
    </w:p>
    <w:p w14:paraId="3CB1FE57" w14:textId="77777777" w:rsidR="002B1FC8" w:rsidRDefault="002B1FC8" w:rsidP="002B1FC8">
      <w:pPr>
        <w:spacing w:after="0"/>
        <w:rPr>
          <w:rFonts w:ascii="Verdana" w:hAnsi="Verdana"/>
        </w:rPr>
      </w:pPr>
    </w:p>
    <w:p w14:paraId="13771538" w14:textId="77777777" w:rsidR="002B1FC8" w:rsidRDefault="002B1FC8" w:rsidP="002B1FC8">
      <w:pPr>
        <w:spacing w:after="0"/>
        <w:rPr>
          <w:rFonts w:ascii="Verdana" w:hAnsi="Verdana"/>
        </w:rPr>
      </w:pPr>
    </w:p>
    <w:p w14:paraId="5A75AF01" w14:textId="77777777" w:rsidR="002B1FC8" w:rsidRDefault="002B1FC8" w:rsidP="002B1FC8">
      <w:pPr>
        <w:spacing w:after="0"/>
        <w:rPr>
          <w:rFonts w:ascii="Verdana" w:hAnsi="Verdana"/>
        </w:rPr>
      </w:pPr>
    </w:p>
    <w:p w14:paraId="6FC792E6" w14:textId="77777777" w:rsidR="002B1FC8" w:rsidRDefault="002B1FC8" w:rsidP="002B1FC8">
      <w:pPr>
        <w:spacing w:after="0"/>
        <w:rPr>
          <w:rFonts w:ascii="Verdana" w:hAnsi="Verdana"/>
        </w:rPr>
      </w:pPr>
    </w:p>
    <w:p w14:paraId="565B8414" w14:textId="77777777" w:rsidR="002B1FC8" w:rsidRDefault="002B1FC8" w:rsidP="002B1FC8">
      <w:pPr>
        <w:spacing w:after="0"/>
        <w:rPr>
          <w:rFonts w:ascii="Verdana" w:hAnsi="Verdana"/>
        </w:rPr>
      </w:pPr>
    </w:p>
    <w:p w14:paraId="0FE6DD4B" w14:textId="77777777" w:rsidR="002B1FC8" w:rsidRDefault="002B1FC8" w:rsidP="002B1FC8">
      <w:pPr>
        <w:spacing w:after="0"/>
        <w:rPr>
          <w:rFonts w:ascii="Verdana" w:hAnsi="Verdana"/>
        </w:rPr>
      </w:pPr>
    </w:p>
    <w:p w14:paraId="26C43A8C" w14:textId="77777777" w:rsidR="002B1FC8" w:rsidRDefault="002B1FC8" w:rsidP="002B1FC8">
      <w:pPr>
        <w:spacing w:after="0"/>
        <w:rPr>
          <w:rFonts w:ascii="Verdana" w:hAnsi="Verdana"/>
        </w:rPr>
      </w:pPr>
    </w:p>
    <w:p w14:paraId="5106DE75" w14:textId="77777777" w:rsidR="002B1FC8" w:rsidRDefault="002B1FC8" w:rsidP="002B1FC8">
      <w:pPr>
        <w:spacing w:after="0"/>
        <w:rPr>
          <w:rFonts w:ascii="Verdana" w:hAnsi="Verdana"/>
        </w:rPr>
      </w:pPr>
    </w:p>
    <w:p w14:paraId="0F9100EE" w14:textId="77777777" w:rsidR="002B1FC8" w:rsidRDefault="002B1FC8" w:rsidP="002B1FC8">
      <w:pPr>
        <w:spacing w:after="0"/>
        <w:rPr>
          <w:rFonts w:ascii="Verdana" w:hAnsi="Verdana"/>
        </w:rPr>
      </w:pPr>
    </w:p>
    <w:p w14:paraId="48DD5672" w14:textId="77777777" w:rsidR="002B1FC8" w:rsidRDefault="002B1FC8" w:rsidP="002B1FC8">
      <w:pPr>
        <w:spacing w:after="0"/>
        <w:rPr>
          <w:rFonts w:ascii="Verdana" w:hAnsi="Verdana"/>
        </w:rPr>
      </w:pPr>
    </w:p>
    <w:p w14:paraId="6E4A1ECA" w14:textId="77777777" w:rsidR="002B1FC8" w:rsidRDefault="002B1FC8" w:rsidP="002B1FC8">
      <w:pPr>
        <w:spacing w:after="0"/>
        <w:rPr>
          <w:rFonts w:ascii="Verdana" w:hAnsi="Verdana"/>
        </w:rPr>
      </w:pPr>
    </w:p>
    <w:p w14:paraId="2C8C213F" w14:textId="77777777" w:rsidR="002B1FC8" w:rsidRDefault="002B1FC8" w:rsidP="002B1FC8">
      <w:pPr>
        <w:spacing w:after="0"/>
        <w:rPr>
          <w:rFonts w:ascii="Verdana" w:hAnsi="Verdana"/>
        </w:rPr>
      </w:pPr>
    </w:p>
    <w:p w14:paraId="16E43D17" w14:textId="77777777" w:rsidR="002B1FC8" w:rsidRDefault="002B1FC8" w:rsidP="002B1FC8">
      <w:pPr>
        <w:spacing w:after="0"/>
        <w:rPr>
          <w:rFonts w:ascii="Verdana" w:hAnsi="Verdana"/>
        </w:rPr>
      </w:pPr>
    </w:p>
    <w:p w14:paraId="4D084E9B" w14:textId="77777777" w:rsidR="002B1FC8" w:rsidRDefault="002B1FC8" w:rsidP="002B1FC8">
      <w:pPr>
        <w:spacing w:after="0"/>
        <w:rPr>
          <w:rFonts w:ascii="Verdana" w:hAnsi="Verdana"/>
        </w:rPr>
      </w:pPr>
    </w:p>
    <w:p w14:paraId="52BC7370" w14:textId="77777777" w:rsidR="002B1FC8" w:rsidRDefault="002B1FC8" w:rsidP="002B1FC8">
      <w:pPr>
        <w:spacing w:after="0"/>
        <w:rPr>
          <w:rFonts w:ascii="Verdana" w:hAnsi="Verdana"/>
        </w:rPr>
      </w:pPr>
    </w:p>
    <w:p w14:paraId="22A57571" w14:textId="77777777" w:rsidR="002B1FC8" w:rsidRDefault="002B1FC8" w:rsidP="002B1FC8">
      <w:pPr>
        <w:spacing w:after="0"/>
        <w:rPr>
          <w:rFonts w:ascii="Verdana" w:hAnsi="Verdana"/>
        </w:rPr>
      </w:pPr>
    </w:p>
    <w:p w14:paraId="40973D27" w14:textId="77777777" w:rsidR="002B1FC8" w:rsidRDefault="002B1FC8" w:rsidP="002B1FC8">
      <w:pPr>
        <w:spacing w:after="0"/>
        <w:rPr>
          <w:rFonts w:ascii="Verdana" w:hAnsi="Verdana"/>
        </w:rPr>
      </w:pPr>
    </w:p>
    <w:p w14:paraId="0511D77D" w14:textId="77777777" w:rsidR="002B1FC8" w:rsidRDefault="002B1FC8" w:rsidP="002B1FC8">
      <w:pPr>
        <w:spacing w:after="0"/>
        <w:rPr>
          <w:rFonts w:ascii="Verdana" w:hAnsi="Verdana"/>
        </w:rPr>
      </w:pPr>
    </w:p>
    <w:p w14:paraId="1884937B" w14:textId="77777777" w:rsidR="002B1FC8" w:rsidRDefault="002B1FC8" w:rsidP="002B1FC8">
      <w:pPr>
        <w:spacing w:after="0"/>
        <w:rPr>
          <w:rFonts w:ascii="Verdana" w:hAnsi="Verdana"/>
        </w:rPr>
      </w:pPr>
    </w:p>
    <w:p w14:paraId="311A8A96" w14:textId="77777777" w:rsidR="002B1FC8" w:rsidRDefault="002B1FC8" w:rsidP="002B1FC8">
      <w:pPr>
        <w:spacing w:after="0"/>
        <w:rPr>
          <w:rFonts w:ascii="Verdana" w:hAnsi="Verdana"/>
        </w:rPr>
      </w:pPr>
    </w:p>
    <w:p w14:paraId="6243591B" w14:textId="77777777" w:rsidR="002B1FC8" w:rsidRDefault="002B1FC8" w:rsidP="002B1FC8">
      <w:pPr>
        <w:spacing w:after="0"/>
        <w:rPr>
          <w:rFonts w:ascii="Verdana" w:hAnsi="Verdana"/>
        </w:rPr>
      </w:pPr>
    </w:p>
    <w:p w14:paraId="4CBE5EFD" w14:textId="77777777" w:rsidR="002B1FC8" w:rsidRDefault="002B1FC8" w:rsidP="002B1FC8">
      <w:pPr>
        <w:spacing w:after="0"/>
        <w:rPr>
          <w:rFonts w:ascii="Verdana" w:hAnsi="Verdana"/>
        </w:rPr>
      </w:pPr>
    </w:p>
    <w:p w14:paraId="3E4EE541" w14:textId="77777777" w:rsidR="002B1FC8" w:rsidRDefault="002B1FC8" w:rsidP="002B1FC8">
      <w:pPr>
        <w:spacing w:after="0"/>
        <w:rPr>
          <w:rFonts w:ascii="Verdana" w:hAnsi="Verdana"/>
        </w:rPr>
      </w:pPr>
    </w:p>
    <w:p w14:paraId="73BDC42E" w14:textId="77777777" w:rsidR="002B1FC8" w:rsidRDefault="002B1FC8" w:rsidP="002B1FC8">
      <w:pPr>
        <w:spacing w:after="0"/>
        <w:rPr>
          <w:rFonts w:ascii="Verdana" w:hAnsi="Verdana"/>
        </w:rPr>
      </w:pPr>
    </w:p>
    <w:p w14:paraId="521C032F" w14:textId="77777777" w:rsidR="002B1FC8" w:rsidRDefault="002B1FC8" w:rsidP="002B1FC8">
      <w:pPr>
        <w:spacing w:after="0"/>
        <w:rPr>
          <w:rFonts w:ascii="Verdana" w:hAnsi="Verdana"/>
        </w:rPr>
      </w:pPr>
    </w:p>
    <w:p w14:paraId="17B30043" w14:textId="6BD5C4D1" w:rsidR="002B1FC8" w:rsidRPr="0044528D" w:rsidRDefault="002B1FC8" w:rsidP="002B1FC8">
      <w:pPr>
        <w:spacing w:after="0"/>
        <w:rPr>
          <w:rFonts w:ascii="Verdana" w:hAnsi="Verdana"/>
        </w:rPr>
      </w:pPr>
      <w:r w:rsidRPr="0044528D">
        <w:rPr>
          <w:rFonts w:ascii="Verdana" w:hAnsi="Verdana"/>
        </w:rPr>
        <w:lastRenderedPageBreak/>
        <w:t xml:space="preserve">Bogotá D.C., </w:t>
      </w:r>
      <w:r w:rsidR="00DC10BE">
        <w:rPr>
          <w:rFonts w:ascii="Verdana" w:hAnsi="Verdana"/>
        </w:rPr>
        <w:t>16 de septiembre de 2025</w:t>
      </w:r>
      <w:r w:rsidRPr="0044528D">
        <w:rPr>
          <w:rFonts w:ascii="Verdana" w:hAnsi="Verdana"/>
        </w:rPr>
        <w:tab/>
      </w:r>
    </w:p>
    <w:p w14:paraId="491DCA2E" w14:textId="77777777" w:rsidR="002B1FC8" w:rsidRDefault="002B1FC8" w:rsidP="002B1FC8">
      <w:pPr>
        <w:spacing w:after="0"/>
        <w:rPr>
          <w:rFonts w:ascii="Verdana" w:hAnsi="Verdana"/>
        </w:rPr>
      </w:pPr>
    </w:p>
    <w:p w14:paraId="16E21743" w14:textId="0B4B4835" w:rsidR="002B1FC8" w:rsidRDefault="00DC10BE" w:rsidP="00DC10BE">
      <w:pPr>
        <w:spacing w:after="0" w:line="240" w:lineRule="auto"/>
        <w:jc w:val="right"/>
        <w:rPr>
          <w:rFonts w:ascii="Verdana" w:eastAsia="Calibri" w:hAnsi="Verdana" w:cs="Arial"/>
          <w:color w:val="000000" w:themeColor="text1"/>
          <w:lang w:eastAsia="es-ES"/>
        </w:rPr>
      </w:pPr>
      <w:r w:rsidRPr="00DC10BE">
        <w:rPr>
          <w:rFonts w:ascii="Verdana" w:eastAsia="Calibri" w:hAnsi="Verdana" w:cs="Arial"/>
          <w:color w:val="000000" w:themeColor="text1"/>
          <w:lang w:eastAsia="es-ES"/>
        </w:rPr>
        <w:drawing>
          <wp:inline distT="0" distB="0" distL="0" distR="0" wp14:anchorId="621DD9C4" wp14:editId="6E9E7674">
            <wp:extent cx="3668180" cy="1003167"/>
            <wp:effectExtent l="0" t="0" r="0" b="6985"/>
            <wp:docPr id="26935530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355309" name="Imagen 1" descr="Texto&#10;&#10;El contenido generado por IA puede ser incorrecto."/>
                    <pic:cNvPicPr/>
                  </pic:nvPicPr>
                  <pic:blipFill>
                    <a:blip r:embed="rId7"/>
                    <a:stretch>
                      <a:fillRect/>
                    </a:stretch>
                  </pic:blipFill>
                  <pic:spPr>
                    <a:xfrm>
                      <a:off x="0" y="0"/>
                      <a:ext cx="3678109" cy="1005882"/>
                    </a:xfrm>
                    <a:prstGeom prst="rect">
                      <a:avLst/>
                    </a:prstGeom>
                  </pic:spPr>
                </pic:pic>
              </a:graphicData>
            </a:graphic>
          </wp:inline>
        </w:drawing>
      </w:r>
    </w:p>
    <w:p w14:paraId="7AA322ED" w14:textId="77777777" w:rsidR="002B1FC8" w:rsidRPr="00E3256A" w:rsidRDefault="002B1FC8" w:rsidP="002B1FC8">
      <w:pPr>
        <w:spacing w:after="0" w:line="240" w:lineRule="auto"/>
        <w:jc w:val="both"/>
        <w:rPr>
          <w:rFonts w:ascii="Verdana" w:eastAsia="Calibri" w:hAnsi="Verdana" w:cs="Arial"/>
          <w:color w:val="000000" w:themeColor="text1"/>
          <w:lang w:eastAsia="es-ES"/>
        </w:rPr>
      </w:pPr>
    </w:p>
    <w:p w14:paraId="5F7FEA23" w14:textId="77777777" w:rsidR="002B1FC8" w:rsidRPr="00FE5A24" w:rsidRDefault="002B1FC8" w:rsidP="002B1FC8">
      <w:pPr>
        <w:spacing w:after="0" w:line="240"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Señor</w:t>
      </w:r>
    </w:p>
    <w:p w14:paraId="49462D49" w14:textId="77777777" w:rsidR="002B1FC8" w:rsidRDefault="002B1FC8" w:rsidP="002B1FC8">
      <w:pPr>
        <w:spacing w:after="0" w:line="240" w:lineRule="auto"/>
        <w:rPr>
          <w:rFonts w:ascii="Verdana" w:eastAsia="Calibri" w:hAnsi="Verdana" w:cs="Arial"/>
          <w:b/>
          <w:color w:val="000000" w:themeColor="text1"/>
          <w:lang w:eastAsia="es-ES_tradnl"/>
        </w:rPr>
      </w:pPr>
      <w:r w:rsidRPr="00220556">
        <w:rPr>
          <w:rFonts w:ascii="Verdana" w:eastAsia="Calibri" w:hAnsi="Verdana" w:cs="Arial"/>
          <w:b/>
          <w:color w:val="000000" w:themeColor="text1"/>
          <w:lang w:eastAsia="es-ES_tradnl"/>
        </w:rPr>
        <w:t>Iván Edna</w:t>
      </w:r>
      <w:r>
        <w:rPr>
          <w:rFonts w:ascii="Verdana" w:eastAsia="Calibri" w:hAnsi="Verdana" w:cs="Arial"/>
          <w:b/>
          <w:color w:val="000000" w:themeColor="text1"/>
          <w:lang w:eastAsia="es-ES_tradnl"/>
        </w:rPr>
        <w:t xml:space="preserve"> </w:t>
      </w:r>
      <w:r w:rsidRPr="00C37A2F">
        <w:rPr>
          <w:rFonts w:ascii="Verdana" w:eastAsia="Calibri" w:hAnsi="Verdana" w:cs="Arial"/>
          <w:b/>
          <w:color w:val="000000" w:themeColor="text1"/>
          <w:lang w:eastAsia="es-ES_tradnl"/>
        </w:rPr>
        <w:t>Pardo Sandoval</w:t>
      </w:r>
    </w:p>
    <w:p w14:paraId="24442AEE" w14:textId="77777777" w:rsidR="002B1FC8" w:rsidRPr="002B1FC8" w:rsidRDefault="002B1FC8" w:rsidP="002B1FC8">
      <w:pPr>
        <w:spacing w:after="0" w:line="240" w:lineRule="auto"/>
        <w:rPr>
          <w:rFonts w:ascii="Verdana" w:eastAsia="Calibri" w:hAnsi="Verdana" w:cs="Arial"/>
          <w:color w:val="000000" w:themeColor="text1"/>
          <w:lang w:eastAsia="es-ES_tradnl"/>
        </w:rPr>
      </w:pPr>
      <w:hyperlink r:id="rId8" w:history="1">
        <w:r w:rsidRPr="002B1FC8">
          <w:rPr>
            <w:rStyle w:val="Hipervnculo"/>
            <w:rFonts w:ascii="Verdana" w:eastAsia="Calibri" w:hAnsi="Verdana" w:cs="Arial"/>
            <w:lang w:eastAsia="es-ES_tradnl"/>
          </w:rPr>
          <w:t>licitaciones@eeisas.com</w:t>
        </w:r>
      </w:hyperlink>
      <w:r w:rsidRPr="002B1FC8">
        <w:rPr>
          <w:rFonts w:ascii="Verdana" w:eastAsia="Calibri" w:hAnsi="Verdana" w:cs="Arial"/>
          <w:color w:val="000000" w:themeColor="text1"/>
          <w:lang w:eastAsia="es-ES_tradnl"/>
        </w:rPr>
        <w:t xml:space="preserve"> </w:t>
      </w:r>
      <w:hyperlink r:id="rId9" w:history="1"/>
    </w:p>
    <w:p w14:paraId="662FA508" w14:textId="77777777" w:rsidR="002B1FC8" w:rsidRPr="00A272A5" w:rsidRDefault="002B1FC8" w:rsidP="002B1FC8">
      <w:pPr>
        <w:spacing w:after="0" w:line="240" w:lineRule="auto"/>
        <w:rPr>
          <w:rFonts w:ascii="Verdana" w:eastAsia="Calibri" w:hAnsi="Verdana" w:cs="Arial"/>
          <w:color w:val="000000" w:themeColor="text1"/>
          <w:lang w:eastAsia="es-ES_tradnl"/>
        </w:rPr>
      </w:pPr>
      <w:r w:rsidRPr="00DC10BE">
        <w:rPr>
          <w:rFonts w:ascii="Verdana" w:eastAsia="Calibri" w:hAnsi="Verdana" w:cs="Arial"/>
          <w:color w:val="000000" w:themeColor="text1"/>
          <w:lang w:eastAsia="es-ES_tradnl"/>
        </w:rPr>
        <w:t>Bogotá, D.C.</w:t>
      </w:r>
    </w:p>
    <w:p w14:paraId="4CDB0311" w14:textId="77777777" w:rsidR="002B1FC8" w:rsidRPr="00DC10BE" w:rsidRDefault="002B1FC8" w:rsidP="002B1FC8">
      <w:pPr>
        <w:spacing w:after="0" w:line="240" w:lineRule="auto"/>
        <w:rPr>
          <w:rFonts w:ascii="Verdana" w:eastAsia="Calibri" w:hAnsi="Verdana" w:cs="Arial"/>
          <w:b/>
          <w:bCs/>
          <w:color w:val="000000" w:themeColor="text1"/>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B1FC8" w:rsidRPr="00FE5A24" w14:paraId="6F48A6B9" w14:textId="77777777" w:rsidTr="00CB5A3E">
        <w:trPr>
          <w:trHeight w:val="884"/>
        </w:trPr>
        <w:tc>
          <w:tcPr>
            <w:tcW w:w="2689" w:type="dxa"/>
          </w:tcPr>
          <w:p w14:paraId="091170E1" w14:textId="77777777" w:rsidR="002B1FC8" w:rsidRPr="00DC10BE" w:rsidRDefault="002B1FC8" w:rsidP="00CB5A3E">
            <w:pPr>
              <w:jc w:val="both"/>
              <w:rPr>
                <w:rFonts w:ascii="Verdana" w:eastAsia="Calibri" w:hAnsi="Verdana" w:cs="Arial"/>
                <w:b/>
                <w:bCs/>
                <w:color w:val="000000" w:themeColor="text1"/>
                <w:lang w:eastAsia="es-ES_tradnl"/>
              </w:rPr>
            </w:pPr>
          </w:p>
        </w:tc>
        <w:tc>
          <w:tcPr>
            <w:tcW w:w="6100" w:type="dxa"/>
          </w:tcPr>
          <w:p w14:paraId="7D242913" w14:textId="77777777" w:rsidR="002B1FC8" w:rsidRPr="00FE5A24" w:rsidRDefault="002B1FC8" w:rsidP="00CB5A3E">
            <w:pPr>
              <w:jc w:val="both"/>
              <w:rPr>
                <w:rFonts w:ascii="Verdana" w:eastAsia="Calibri" w:hAnsi="Verdana" w:cs="Arial"/>
                <w:b/>
                <w:bCs/>
                <w:color w:val="000000" w:themeColor="text1"/>
                <w:lang w:val="es-ES" w:eastAsia="es-ES"/>
              </w:rPr>
            </w:pPr>
            <w:r w:rsidRPr="00FE5A24">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1116</w:t>
            </w:r>
            <w:r w:rsidRPr="00FE5A24">
              <w:rPr>
                <w:rFonts w:ascii="Verdana" w:eastAsia="Calibri" w:hAnsi="Verdana" w:cs="Arial"/>
                <w:b/>
                <w:bCs/>
                <w:color w:val="000000" w:themeColor="text1"/>
                <w:lang w:val="es-ES" w:eastAsia="es-ES"/>
              </w:rPr>
              <w:t xml:space="preserve"> de 2025</w:t>
            </w:r>
          </w:p>
        </w:tc>
      </w:tr>
      <w:tr w:rsidR="002B1FC8" w:rsidRPr="00FE5A24" w14:paraId="75A09EB4" w14:textId="77777777" w:rsidTr="00CB5A3E">
        <w:trPr>
          <w:trHeight w:val="884"/>
        </w:trPr>
        <w:tc>
          <w:tcPr>
            <w:tcW w:w="2689" w:type="dxa"/>
          </w:tcPr>
          <w:p w14:paraId="51310BE8" w14:textId="77777777" w:rsidR="002B1FC8" w:rsidRPr="00FE5A24" w:rsidRDefault="002B1FC8" w:rsidP="00CB5A3E">
            <w:pPr>
              <w:jc w:val="both"/>
              <w:rPr>
                <w:rFonts w:ascii="Verdana" w:eastAsia="Calibri" w:hAnsi="Verdana" w:cs="Arial"/>
                <w:color w:val="000000" w:themeColor="text1"/>
                <w:lang w:val="es-ES_tradnl" w:eastAsia="es-ES_tradnl"/>
              </w:rPr>
            </w:pPr>
            <w:r w:rsidRPr="00FE5A24">
              <w:rPr>
                <w:rFonts w:ascii="Verdana" w:eastAsia="Calibri" w:hAnsi="Verdana" w:cs="Arial"/>
                <w:b/>
                <w:color w:val="000000" w:themeColor="text1"/>
                <w:lang w:val="es-ES_tradnl" w:eastAsia="es-ES_tradnl"/>
              </w:rPr>
              <w:t>Temas:</w:t>
            </w:r>
            <w:r w:rsidRPr="00FE5A24">
              <w:rPr>
                <w:rFonts w:ascii="Verdana" w:eastAsia="Calibri" w:hAnsi="Verdana" w:cs="Arial"/>
                <w:color w:val="000000" w:themeColor="text1"/>
                <w:lang w:val="es-ES_tradnl" w:eastAsia="es-ES_tradnl"/>
              </w:rPr>
              <w:t xml:space="preserve">                   </w:t>
            </w:r>
          </w:p>
        </w:tc>
        <w:tc>
          <w:tcPr>
            <w:tcW w:w="6100" w:type="dxa"/>
          </w:tcPr>
          <w:p w14:paraId="61A29121" w14:textId="77777777" w:rsidR="002B1FC8" w:rsidRPr="00B1528C" w:rsidRDefault="002B1FC8" w:rsidP="00CB5A3E">
            <w:pPr>
              <w:spacing w:after="120"/>
              <w:jc w:val="both"/>
              <w:rPr>
                <w:rFonts w:ascii="Verdana" w:eastAsia="Calibri" w:hAnsi="Verdana" w:cs="Arial"/>
                <w:color w:val="000000" w:themeColor="text1"/>
                <w:lang w:val="es-ES" w:eastAsia="es-ES"/>
              </w:rPr>
            </w:pPr>
            <w:r w:rsidRPr="08569FC0">
              <w:rPr>
                <w:rFonts w:ascii="Verdana" w:eastAsia="Calibri" w:hAnsi="Verdana" w:cs="Arial"/>
                <w:color w:val="000000" w:themeColor="text1"/>
                <w:lang w:val="es-ES" w:eastAsia="es-ES"/>
              </w:rPr>
              <w:t>CONSORCIOS Y UNIONES TEMPORALES – Constitución / CONSORCIOS Y UNIONES TEMPORALES – Múltiples ofertas / CONSORCIOS Y UNIONES TEMPORALES – Modificación de condiciones – Límites</w:t>
            </w:r>
          </w:p>
          <w:p w14:paraId="34A694A0" w14:textId="77777777" w:rsidR="002B1FC8" w:rsidRPr="00B1528C" w:rsidRDefault="002B1FC8" w:rsidP="00CB5A3E">
            <w:pPr>
              <w:jc w:val="both"/>
              <w:rPr>
                <w:rFonts w:ascii="Verdana" w:eastAsia="Calibri" w:hAnsi="Verdana" w:cs="Arial"/>
                <w:color w:val="000000" w:themeColor="text1"/>
                <w:lang w:val="es-ES_tradnl" w:eastAsia="es-ES_tradnl"/>
              </w:rPr>
            </w:pPr>
          </w:p>
        </w:tc>
      </w:tr>
      <w:tr w:rsidR="002B1FC8" w:rsidRPr="00744CC5" w14:paraId="16725DAD" w14:textId="77777777" w:rsidTr="00CB5A3E">
        <w:tc>
          <w:tcPr>
            <w:tcW w:w="2689" w:type="dxa"/>
          </w:tcPr>
          <w:p w14:paraId="2DF564C4" w14:textId="77777777" w:rsidR="002B1FC8" w:rsidRPr="00FE5A24" w:rsidRDefault="002B1FC8" w:rsidP="00CB5A3E">
            <w:pPr>
              <w:jc w:val="both"/>
              <w:rPr>
                <w:rFonts w:ascii="Verdana" w:eastAsia="Calibri" w:hAnsi="Verdana" w:cs="Arial"/>
                <w:b/>
                <w:color w:val="000000" w:themeColor="text1"/>
                <w:lang w:val="es-ES_tradnl" w:eastAsia="es-ES_tradnl"/>
              </w:rPr>
            </w:pPr>
            <w:r w:rsidRPr="00FE5A24">
              <w:rPr>
                <w:rFonts w:ascii="Verdana" w:eastAsia="Calibri" w:hAnsi="Verdana" w:cs="Arial"/>
                <w:b/>
                <w:color w:val="000000" w:themeColor="text1"/>
                <w:lang w:val="es-ES_tradnl" w:eastAsia="es-ES_tradnl"/>
              </w:rPr>
              <w:t>Radicación:</w:t>
            </w:r>
            <w:r w:rsidRPr="00FE5A24">
              <w:rPr>
                <w:rFonts w:ascii="Verdana" w:eastAsia="Calibri" w:hAnsi="Verdana" w:cs="Arial"/>
                <w:color w:val="000000" w:themeColor="text1"/>
                <w:lang w:val="es-ES_tradnl" w:eastAsia="es-ES_tradnl"/>
              </w:rPr>
              <w:t xml:space="preserve">               </w:t>
            </w:r>
          </w:p>
        </w:tc>
        <w:tc>
          <w:tcPr>
            <w:tcW w:w="6100" w:type="dxa"/>
          </w:tcPr>
          <w:p w14:paraId="3A2772F8" w14:textId="77777777" w:rsidR="002B1FC8" w:rsidRPr="00FE5A24" w:rsidRDefault="002B1FC8" w:rsidP="00CB5A3E">
            <w:pPr>
              <w:jc w:val="both"/>
              <w:rPr>
                <w:rFonts w:ascii="Verdana" w:eastAsia="Calibri" w:hAnsi="Verdana" w:cs="Arial"/>
                <w:color w:val="000000" w:themeColor="text1"/>
                <w:lang w:val="es-ES_tradnl" w:eastAsia="es-ES_tradnl"/>
              </w:rPr>
            </w:pPr>
            <w:r w:rsidRPr="00FE5A24">
              <w:rPr>
                <w:rFonts w:ascii="Verdana" w:eastAsia="Calibri" w:hAnsi="Verdana" w:cs="Arial"/>
                <w:color w:val="000000" w:themeColor="text1"/>
                <w:lang w:val="es-ES_tradnl" w:eastAsia="es-ES_tradnl"/>
              </w:rPr>
              <w:t>Respuesta a consulta con radicado No.</w:t>
            </w:r>
            <w:r>
              <w:rPr>
                <w:rFonts w:ascii="Verdana" w:eastAsia="Calibri" w:hAnsi="Verdana" w:cs="Arial"/>
                <w:color w:val="000000" w:themeColor="text1"/>
                <w:lang w:val="es-ES_tradnl" w:eastAsia="es-ES_tradnl"/>
              </w:rPr>
              <w:t xml:space="preserve"> </w:t>
            </w:r>
            <w:r w:rsidRPr="00FE5A24">
              <w:rPr>
                <w:rFonts w:ascii="Verdana" w:eastAsia="Calibri" w:hAnsi="Verdana" w:cs="Arial"/>
                <w:color w:val="000000" w:themeColor="text1"/>
                <w:lang w:val="es-ES_tradnl" w:eastAsia="es-ES_tradnl"/>
              </w:rPr>
              <w:t>1</w:t>
            </w:r>
            <w:r w:rsidRPr="006E25D4">
              <w:rPr>
                <w:rFonts w:ascii="Verdana" w:eastAsia="Calibri" w:hAnsi="Verdana" w:cs="Arial"/>
                <w:color w:val="000000" w:themeColor="text1"/>
                <w:lang w:val="es-ES_tradnl" w:eastAsia="es-ES_tradnl"/>
              </w:rPr>
              <w:t>_2025_08_08_008325</w:t>
            </w:r>
          </w:p>
        </w:tc>
      </w:tr>
    </w:tbl>
    <w:p w14:paraId="3C80778F" w14:textId="77777777" w:rsidR="002B1FC8" w:rsidRPr="00FE5A24" w:rsidRDefault="002B1FC8" w:rsidP="002B1FC8">
      <w:pPr>
        <w:spacing w:after="0" w:line="240" w:lineRule="auto"/>
        <w:jc w:val="both"/>
        <w:rPr>
          <w:rFonts w:ascii="Verdana" w:eastAsia="Calibri" w:hAnsi="Verdana" w:cs="Arial"/>
          <w:color w:val="000000" w:themeColor="text1"/>
          <w:lang w:val="es-ES_tradnl" w:eastAsia="es-ES_tradnl"/>
        </w:rPr>
      </w:pPr>
    </w:p>
    <w:p w14:paraId="27778E41" w14:textId="77777777" w:rsidR="002B1FC8" w:rsidRPr="00FE5A24" w:rsidRDefault="002B1FC8" w:rsidP="002B1FC8">
      <w:pPr>
        <w:spacing w:after="0" w:line="240" w:lineRule="auto"/>
        <w:jc w:val="both"/>
        <w:rPr>
          <w:rFonts w:ascii="Verdana" w:eastAsia="Calibri" w:hAnsi="Verdana" w:cs="Arial"/>
          <w:color w:val="000000" w:themeColor="text1"/>
          <w:lang w:val="es-ES_tradnl" w:eastAsia="es-ES_tradnl"/>
        </w:rPr>
      </w:pPr>
    </w:p>
    <w:p w14:paraId="30991D45" w14:textId="77777777" w:rsidR="002B1FC8" w:rsidRPr="00FE5A24" w:rsidRDefault="002B1FC8" w:rsidP="002B1FC8">
      <w:pPr>
        <w:spacing w:after="0" w:line="276"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 xml:space="preserve">Estimado señor </w:t>
      </w:r>
      <w:r>
        <w:rPr>
          <w:rFonts w:ascii="Verdana" w:eastAsia="Calibri" w:hAnsi="Verdana" w:cs="Arial"/>
          <w:color w:val="000000" w:themeColor="text1"/>
          <w:lang w:val="es-ES" w:eastAsia="es-ES"/>
        </w:rPr>
        <w:t>Pardo Sandoval:</w:t>
      </w:r>
      <w:r w:rsidRPr="00FE5A24">
        <w:rPr>
          <w:rFonts w:ascii="Verdana" w:eastAsia="Calibri" w:hAnsi="Verdana" w:cs="Arial"/>
          <w:color w:val="000000" w:themeColor="text1"/>
          <w:lang w:val="es-ES" w:eastAsia="es-ES"/>
        </w:rPr>
        <w:t xml:space="preserve"> </w:t>
      </w:r>
    </w:p>
    <w:p w14:paraId="7D04A8BE" w14:textId="77777777" w:rsidR="002B1FC8" w:rsidRPr="00FE5A24" w:rsidRDefault="002B1FC8" w:rsidP="002B1FC8">
      <w:pPr>
        <w:tabs>
          <w:tab w:val="left" w:pos="3768"/>
        </w:tabs>
        <w:spacing w:after="0" w:line="276"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ab/>
      </w:r>
    </w:p>
    <w:p w14:paraId="36CA8892" w14:textId="77777777" w:rsidR="002B1FC8" w:rsidRDefault="002B1FC8" w:rsidP="002B1FC8">
      <w:pPr>
        <w:spacing w:after="0" w:line="276"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En ejercicio de la competencia otorgada por los artículos 3, numeral 5º, y 11, numeral 8º, del Decreto Ley 4170 de 2011,</w:t>
      </w:r>
      <w:r w:rsidRPr="00FE5A24">
        <w:rPr>
          <w:rFonts w:ascii="Verdana" w:eastAsia="Arial MT" w:hAnsi="Verdana" w:cs="Arial MT"/>
          <w:color w:val="000000" w:themeColor="text1"/>
          <w:lang w:val="es-ES" w:eastAsia="es-ES"/>
        </w:rPr>
        <w:t xml:space="preserve"> </w:t>
      </w:r>
      <w:r w:rsidRPr="00FE5A24">
        <w:rPr>
          <w:rFonts w:ascii="Verdana" w:hAnsi="Verdana" w:cs="Arial"/>
          <w:color w:val="000000" w:themeColor="text1"/>
        </w:rPr>
        <w:t xml:space="preserve">así como lo establecido en el artículo 4 de la Resolución 1707 de 2018 expedida por esta Entidad, la Agencia Nacional de Contratación Pública – Colombia Compra Eficiente– responde su solicitud </w:t>
      </w:r>
      <w:r w:rsidRPr="00593A5F">
        <w:rPr>
          <w:rFonts w:ascii="Verdana" w:eastAsia="Calibri" w:hAnsi="Verdana" w:cs="Arial"/>
          <w:color w:val="000000" w:themeColor="text1"/>
          <w:lang w:val="es-ES" w:eastAsia="es-ES"/>
        </w:rPr>
        <w:t>de</w:t>
      </w:r>
      <w:r>
        <w:rPr>
          <w:rFonts w:ascii="Verdana" w:eastAsia="Calibri" w:hAnsi="Verdana" w:cs="Arial"/>
          <w:color w:val="000000" w:themeColor="text1"/>
          <w:lang w:val="es-ES" w:eastAsia="es-ES"/>
        </w:rPr>
        <w:t xml:space="preserve"> consulta de fecha</w:t>
      </w:r>
      <w:r w:rsidRPr="00593A5F">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08</w:t>
      </w:r>
      <w:r w:rsidRPr="00014EDD">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agosto</w:t>
      </w:r>
      <w:r w:rsidRPr="00014EDD">
        <w:rPr>
          <w:rFonts w:ascii="Verdana" w:eastAsia="Calibri" w:hAnsi="Verdana" w:cs="Arial"/>
          <w:color w:val="000000" w:themeColor="text1"/>
          <w:lang w:val="es-ES" w:eastAsia="es-ES"/>
        </w:rPr>
        <w:t xml:space="preserve"> de 2025</w:t>
      </w:r>
      <w:r w:rsidRPr="00FE5A24">
        <w:rPr>
          <w:rFonts w:ascii="Verdana" w:hAnsi="Verdana" w:cs="Arial"/>
          <w:color w:val="000000" w:themeColor="text1"/>
        </w:rPr>
        <w:t>, en la cual manifiesta lo siguiente:</w:t>
      </w:r>
      <w:r w:rsidRPr="00FE5A24">
        <w:rPr>
          <w:rFonts w:ascii="Verdana" w:eastAsia="Calibri" w:hAnsi="Verdana" w:cs="Arial"/>
          <w:color w:val="000000" w:themeColor="text1"/>
          <w:lang w:val="es-ES" w:eastAsia="es-ES"/>
        </w:rPr>
        <w:t xml:space="preserve"> </w:t>
      </w:r>
    </w:p>
    <w:p w14:paraId="12E61325" w14:textId="77777777" w:rsidR="002B1FC8" w:rsidRPr="00FE5A24" w:rsidRDefault="002B1FC8" w:rsidP="002B1FC8">
      <w:pPr>
        <w:spacing w:after="0" w:line="276" w:lineRule="auto"/>
        <w:jc w:val="both"/>
        <w:rPr>
          <w:rFonts w:ascii="Verdana" w:eastAsia="Calibri" w:hAnsi="Verdana" w:cs="Arial"/>
          <w:color w:val="000000" w:themeColor="text1"/>
          <w:lang w:val="es-ES" w:eastAsia="es-ES"/>
        </w:rPr>
      </w:pPr>
    </w:p>
    <w:p w14:paraId="1F793E92" w14:textId="77777777" w:rsidR="002B1FC8" w:rsidRDefault="002B1FC8" w:rsidP="002B1FC8">
      <w:pPr>
        <w:spacing w:after="0" w:line="240" w:lineRule="auto"/>
        <w:ind w:left="709" w:right="709"/>
        <w:jc w:val="both"/>
        <w:rPr>
          <w:rFonts w:ascii="Verdana" w:eastAsia="Century Gothic" w:hAnsi="Verdana" w:cs="Century Gothic"/>
          <w:color w:val="000000" w:themeColor="text1"/>
          <w:sz w:val="21"/>
          <w:szCs w:val="21"/>
        </w:rPr>
      </w:pPr>
      <w:bookmarkStart w:id="0" w:name="_Hlk95313578"/>
      <w:r w:rsidRPr="00C86A50">
        <w:rPr>
          <w:rFonts w:ascii="Verdana" w:eastAsia="Century Gothic" w:hAnsi="Verdana" w:cs="Century Gothic"/>
          <w:color w:val="000000" w:themeColor="text1"/>
          <w:sz w:val="21"/>
          <w:szCs w:val="21"/>
          <w:lang w:val="es-ES"/>
        </w:rPr>
        <w:t>“</w:t>
      </w:r>
      <w:r>
        <w:rPr>
          <w:rFonts w:ascii="Verdana" w:eastAsia="Century Gothic" w:hAnsi="Verdana" w:cs="Century Gothic"/>
          <w:color w:val="000000" w:themeColor="text1"/>
          <w:sz w:val="21"/>
          <w:szCs w:val="21"/>
        </w:rPr>
        <w:t xml:space="preserve">[…] </w:t>
      </w:r>
      <w:r w:rsidRPr="004B5C0D">
        <w:rPr>
          <w:rFonts w:ascii="Verdana" w:eastAsia="Century Gothic" w:hAnsi="Verdana" w:cs="Century Gothic"/>
          <w:color w:val="000000" w:themeColor="text1"/>
          <w:sz w:val="21"/>
          <w:szCs w:val="21"/>
        </w:rPr>
        <w:t>solicito amablemente a la entidad nos puedan emitir un concepto referente a si es viable cambiar los porcentajes de participación de los miembros de un consorcio, conservando los mismos integrantes</w:t>
      </w:r>
      <w:r w:rsidRPr="00C86A50">
        <w:rPr>
          <w:rFonts w:ascii="Verdana" w:eastAsia="Century Gothic" w:hAnsi="Verdana" w:cs="Century Gothic"/>
          <w:color w:val="000000" w:themeColor="text1"/>
          <w:sz w:val="21"/>
          <w:szCs w:val="21"/>
        </w:rPr>
        <w:t>”</w:t>
      </w:r>
      <w:bookmarkEnd w:id="0"/>
    </w:p>
    <w:p w14:paraId="09622F80" w14:textId="77777777" w:rsidR="002B1FC8" w:rsidRPr="00C86A50" w:rsidRDefault="002B1FC8" w:rsidP="002B1FC8">
      <w:pPr>
        <w:spacing w:after="0" w:line="240" w:lineRule="auto"/>
        <w:ind w:left="709" w:right="709"/>
        <w:jc w:val="both"/>
        <w:rPr>
          <w:rFonts w:ascii="Verdana" w:eastAsia="Century Gothic" w:hAnsi="Verdana" w:cs="Century Gothic"/>
          <w:color w:val="000000" w:themeColor="text1"/>
          <w:sz w:val="21"/>
          <w:szCs w:val="21"/>
        </w:rPr>
      </w:pPr>
    </w:p>
    <w:p w14:paraId="16C4E76B" w14:textId="77777777" w:rsidR="002B1FC8" w:rsidRPr="00FE5A24" w:rsidRDefault="002B1FC8" w:rsidP="002B1FC8">
      <w:pPr>
        <w:spacing w:after="120" w:line="276" w:lineRule="auto"/>
        <w:ind w:firstLine="709"/>
        <w:jc w:val="both"/>
        <w:rPr>
          <w:rFonts w:ascii="Verdana" w:eastAsia="Calibri" w:hAnsi="Verdana" w:cs="Arial"/>
          <w:color w:val="000000" w:themeColor="text1"/>
          <w:szCs w:val="24"/>
          <w:lang w:val="es-ES_tradnl" w:eastAsia="es-ES_tradnl"/>
        </w:rPr>
      </w:pPr>
      <w:r w:rsidRPr="00FE5A2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w:t>
      </w:r>
      <w:r w:rsidRPr="00FE5A24">
        <w:rPr>
          <w:rFonts w:ascii="Verdana" w:eastAsia="Calibri" w:hAnsi="Verdana" w:cs="Arial"/>
          <w:color w:val="000000" w:themeColor="text1"/>
          <w:lang w:val="es-ES"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E5A24">
        <w:rPr>
          <w:rFonts w:ascii="Verdana" w:eastAsia="Calibri" w:hAnsi="Verdana" w:cs="Arial"/>
          <w:color w:val="000000" w:themeColor="text1"/>
          <w:szCs w:val="24"/>
          <w:lang w:val="es-ES_tradnl" w:eastAsia="es-ES_tradnl"/>
        </w:rPr>
        <w:tab/>
      </w:r>
    </w:p>
    <w:p w14:paraId="1AEEA3E7" w14:textId="77777777" w:rsidR="002B1FC8" w:rsidRDefault="002B1FC8" w:rsidP="002B1FC8">
      <w:pPr>
        <w:spacing w:after="0" w:line="276" w:lineRule="auto"/>
        <w:ind w:firstLine="709"/>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501298F4" w14:textId="77777777" w:rsidR="002B1FC8" w:rsidRPr="00FE5A24" w:rsidRDefault="002B1FC8" w:rsidP="002B1FC8">
      <w:pPr>
        <w:spacing w:after="0" w:line="276" w:lineRule="auto"/>
        <w:ind w:firstLine="709"/>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 </w:t>
      </w:r>
    </w:p>
    <w:p w14:paraId="74829FC8" w14:textId="77777777" w:rsidR="002B1FC8" w:rsidRPr="00FE5A24" w:rsidRDefault="002B1FC8" w:rsidP="002B1FC8">
      <w:pPr>
        <w:pStyle w:val="Prrafodelista"/>
        <w:numPr>
          <w:ilvl w:val="0"/>
          <w:numId w:val="1"/>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Problema planteado:</w:t>
      </w:r>
    </w:p>
    <w:p w14:paraId="52389F03" w14:textId="77777777" w:rsidR="002B1FC8" w:rsidRPr="00FE5A24" w:rsidRDefault="002B1FC8" w:rsidP="002B1FC8">
      <w:pPr>
        <w:tabs>
          <w:tab w:val="left" w:pos="426"/>
        </w:tabs>
        <w:spacing w:after="0" w:line="276" w:lineRule="auto"/>
        <w:jc w:val="both"/>
        <w:rPr>
          <w:rFonts w:ascii="Verdana" w:eastAsia="Century Gothic" w:hAnsi="Verdana" w:cs="Century Gothic"/>
          <w:color w:val="000000" w:themeColor="text1"/>
          <w:lang w:val="es-ES"/>
        </w:rPr>
      </w:pPr>
    </w:p>
    <w:p w14:paraId="61390A88" w14:textId="77777777" w:rsidR="002B1FC8" w:rsidRPr="00FE5A24" w:rsidRDefault="002B1FC8" w:rsidP="002B1FC8">
      <w:pPr>
        <w:spacing w:after="0" w:line="276" w:lineRule="auto"/>
        <w:ind w:right="49"/>
        <w:jc w:val="both"/>
        <w:rPr>
          <w:rFonts w:ascii="Verdana" w:eastAsia="Century Gothic" w:hAnsi="Verdana" w:cs="Century Gothic"/>
          <w:color w:val="000000" w:themeColor="text1"/>
        </w:rPr>
      </w:pPr>
      <w:r w:rsidRPr="00FE5A24">
        <w:rPr>
          <w:rFonts w:ascii="Verdana" w:eastAsia="Century Gothic" w:hAnsi="Verdana" w:cs="Century Gothic"/>
          <w:color w:val="000000" w:themeColor="text1"/>
        </w:rPr>
        <w:t>De acuerdo con el contenido de su solicitud, esta Agencia resolverá</w:t>
      </w:r>
      <w:r>
        <w:rPr>
          <w:rFonts w:ascii="Verdana" w:eastAsia="Century Gothic" w:hAnsi="Verdana" w:cs="Century Gothic"/>
          <w:color w:val="000000" w:themeColor="text1"/>
        </w:rPr>
        <w:t xml:space="preserve"> el</w:t>
      </w:r>
      <w:r w:rsidRPr="00FE5A24">
        <w:rPr>
          <w:rFonts w:ascii="Verdana" w:eastAsia="Century Gothic" w:hAnsi="Verdana" w:cs="Century Gothic"/>
          <w:color w:val="000000" w:themeColor="text1"/>
        </w:rPr>
        <w:t xml:space="preserve"> siguiente problema jurídico:</w:t>
      </w:r>
      <w:r>
        <w:rPr>
          <w:rFonts w:ascii="Verdana" w:eastAsia="Century Gothic" w:hAnsi="Verdana" w:cs="Century Gothic"/>
          <w:color w:val="000000" w:themeColor="text1"/>
        </w:rPr>
        <w:t xml:space="preserve"> </w:t>
      </w:r>
      <w:r w:rsidRPr="00F55AA3">
        <w:rPr>
          <w:rFonts w:ascii="Verdana" w:eastAsia="Century Gothic" w:hAnsi="Verdana" w:cs="Century Gothic"/>
          <w:color w:val="000000" w:themeColor="text1"/>
        </w:rPr>
        <w:t>¿</w:t>
      </w:r>
      <w:r>
        <w:rPr>
          <w:rFonts w:ascii="Verdana" w:eastAsia="Century Gothic" w:hAnsi="Verdana" w:cs="Century Gothic"/>
          <w:color w:val="000000" w:themeColor="text1"/>
        </w:rPr>
        <w:t>e</w:t>
      </w:r>
      <w:r w:rsidRPr="00F55AA3">
        <w:rPr>
          <w:rFonts w:ascii="Verdana" w:eastAsia="Century Gothic" w:hAnsi="Verdana" w:cs="Century Gothic"/>
          <w:color w:val="000000" w:themeColor="text1"/>
        </w:rPr>
        <w:t xml:space="preserve">s posible modificar </w:t>
      </w:r>
      <w:r>
        <w:rPr>
          <w:rFonts w:ascii="Verdana" w:eastAsia="Century Gothic" w:hAnsi="Verdana" w:cs="Century Gothic"/>
          <w:color w:val="000000" w:themeColor="text1"/>
        </w:rPr>
        <w:t>el</w:t>
      </w:r>
      <w:r w:rsidRPr="00F55AA3">
        <w:rPr>
          <w:rFonts w:ascii="Verdana" w:eastAsia="Century Gothic" w:hAnsi="Verdana" w:cs="Century Gothic"/>
          <w:color w:val="000000" w:themeColor="text1"/>
        </w:rPr>
        <w:t xml:space="preserve"> </w:t>
      </w:r>
      <w:r>
        <w:rPr>
          <w:rFonts w:ascii="Verdana" w:eastAsia="Century Gothic" w:hAnsi="Verdana" w:cs="Century Gothic"/>
          <w:color w:val="000000" w:themeColor="text1"/>
        </w:rPr>
        <w:t>porcentaje</w:t>
      </w:r>
      <w:r w:rsidRPr="00F55AA3">
        <w:rPr>
          <w:rFonts w:ascii="Verdana" w:eastAsia="Century Gothic" w:hAnsi="Verdana" w:cs="Century Gothic"/>
          <w:color w:val="000000" w:themeColor="text1"/>
        </w:rPr>
        <w:t xml:space="preserve"> de participación</w:t>
      </w:r>
      <w:r>
        <w:rPr>
          <w:rFonts w:ascii="Verdana" w:eastAsia="Century Gothic" w:hAnsi="Verdana" w:cs="Century Gothic"/>
          <w:color w:val="000000" w:themeColor="text1"/>
        </w:rPr>
        <w:t xml:space="preserve"> de un consorcio conservando los mismos integrantes</w:t>
      </w:r>
      <w:r w:rsidRPr="00F55AA3">
        <w:rPr>
          <w:rFonts w:ascii="Verdana" w:eastAsia="Century Gothic" w:hAnsi="Verdana" w:cs="Century Gothic"/>
          <w:color w:val="000000" w:themeColor="text1"/>
        </w:rPr>
        <w:t>?</w:t>
      </w:r>
    </w:p>
    <w:p w14:paraId="6455F871" w14:textId="77777777" w:rsidR="002B1FC8" w:rsidRPr="00FE5A24" w:rsidRDefault="002B1FC8" w:rsidP="002B1FC8">
      <w:pPr>
        <w:spacing w:after="0" w:line="276" w:lineRule="auto"/>
        <w:jc w:val="both"/>
        <w:rPr>
          <w:rFonts w:ascii="Verdana" w:eastAsia="Calibri" w:hAnsi="Verdana" w:cs="Arial"/>
          <w:color w:val="000000" w:themeColor="text1"/>
          <w:lang w:val="es-ES"/>
        </w:rPr>
      </w:pPr>
    </w:p>
    <w:p w14:paraId="5128FC9D" w14:textId="77777777" w:rsidR="002B1FC8" w:rsidRPr="00FE5A24" w:rsidRDefault="002B1FC8" w:rsidP="002B1FC8">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Respuesta:</w:t>
      </w:r>
    </w:p>
    <w:p w14:paraId="2C6FECA7" w14:textId="77777777" w:rsidR="002B1FC8" w:rsidRPr="00FE5A24" w:rsidRDefault="002B1FC8" w:rsidP="002B1FC8">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B1FC8" w:rsidRPr="00FE5A24" w14:paraId="68204B77" w14:textId="77777777" w:rsidTr="00CB5A3E">
        <w:tc>
          <w:tcPr>
            <w:tcW w:w="9067" w:type="dxa"/>
          </w:tcPr>
          <w:p w14:paraId="5CD67F6F" w14:textId="77777777" w:rsidR="002B1FC8" w:rsidRDefault="002B1FC8" w:rsidP="00CB5A3E">
            <w:pPr>
              <w:spacing w:after="120" w:line="276" w:lineRule="auto"/>
              <w:jc w:val="both"/>
              <w:rPr>
                <w:rFonts w:ascii="Verdana" w:eastAsia="Calibri" w:hAnsi="Verdana" w:cs="Arial"/>
                <w:lang w:val="es-ES" w:eastAsia="es-ES"/>
              </w:rPr>
            </w:pPr>
            <w:r>
              <w:rPr>
                <w:rFonts w:ascii="Verdana" w:eastAsia="Calibri" w:hAnsi="Verdana" w:cs="Arial"/>
                <w:lang w:val="es-ES"/>
              </w:rPr>
              <w:t xml:space="preserve">(i) </w:t>
            </w:r>
            <w:r w:rsidRPr="00A44D4F">
              <w:rPr>
                <w:rFonts w:ascii="Verdana" w:eastAsia="Calibri" w:hAnsi="Verdana" w:cs="Arial"/>
                <w:lang w:val="es-ES"/>
              </w:rPr>
              <w:t xml:space="preserve">De acuerdo con lo señalo en los numerales 6 y 7 del artículo 7 de la Ley 80 de 1993, el consorcio o la unión temporal se da “[c]uando dos o más personas en forma conjunta presentan una misma propuesta para la adjudicación, celebración y ejecución de un contrato […]”. Desde esta perspectiva, su capacidad para participar en la adjudicación, celebración y ejecución de uno o varios contratos estatales dependerá de dos aspectos: </w:t>
            </w:r>
            <w:r>
              <w:rPr>
                <w:rFonts w:ascii="Verdana" w:eastAsia="Calibri" w:hAnsi="Verdana" w:cs="Arial"/>
                <w:lang w:val="es-ES"/>
              </w:rPr>
              <w:t>(</w:t>
            </w:r>
            <w:r w:rsidRPr="00A44D4F">
              <w:rPr>
                <w:rFonts w:ascii="Verdana" w:eastAsia="Calibri" w:hAnsi="Verdana" w:cs="Arial"/>
                <w:lang w:val="es-ES"/>
              </w:rPr>
              <w:t xml:space="preserve">i) que los integrantes de la estructural plural adopten la decisión conjunta de presentar una misma propuesta al proceso de selección; y </w:t>
            </w:r>
            <w:r>
              <w:rPr>
                <w:rFonts w:ascii="Verdana" w:eastAsia="Calibri" w:hAnsi="Verdana" w:cs="Arial"/>
                <w:lang w:val="es-ES"/>
              </w:rPr>
              <w:t>(</w:t>
            </w:r>
            <w:r w:rsidRPr="00A44D4F">
              <w:rPr>
                <w:rFonts w:ascii="Verdana" w:eastAsia="Calibri" w:hAnsi="Verdana" w:cs="Arial"/>
                <w:lang w:val="es-ES"/>
              </w:rPr>
              <w:t>ii) que el objeto del consorcio o unión temporal se encuentre alineado con las actividades a desarrollar en un determinado proceso.</w:t>
            </w:r>
          </w:p>
          <w:p w14:paraId="2BE3AB14" w14:textId="77777777" w:rsidR="002B1FC8" w:rsidRDefault="002B1FC8" w:rsidP="00CB5A3E">
            <w:pPr>
              <w:spacing w:after="120" w:line="276" w:lineRule="auto"/>
              <w:ind w:right="49" w:firstLine="708"/>
              <w:jc w:val="both"/>
              <w:rPr>
                <w:rFonts w:ascii="Verdana" w:eastAsia="Calibri" w:hAnsi="Verdana" w:cs="Arial"/>
              </w:rPr>
            </w:pPr>
            <w:r>
              <w:rPr>
                <w:rFonts w:ascii="Verdana" w:eastAsia="Calibri" w:hAnsi="Verdana" w:cs="Arial"/>
                <w:lang w:val="es-ES"/>
              </w:rPr>
              <w:lastRenderedPageBreak/>
              <w:t xml:space="preserve">En ese marco, los consorcios y uniones temporales son figuras </w:t>
            </w:r>
            <w:r w:rsidRPr="008C48E3">
              <w:rPr>
                <w:rFonts w:ascii="Verdana" w:eastAsia="Verdana" w:hAnsi="Verdana" w:cs="Verdana"/>
              </w:rPr>
              <w:t xml:space="preserve">asociativas cuya creación </w:t>
            </w:r>
            <w:r>
              <w:rPr>
                <w:rFonts w:ascii="Verdana" w:eastAsia="Verdana" w:hAnsi="Verdana" w:cs="Verdana"/>
              </w:rPr>
              <w:t xml:space="preserve">y características </w:t>
            </w:r>
            <w:r w:rsidRPr="008C48E3">
              <w:rPr>
                <w:rFonts w:ascii="Verdana" w:eastAsia="Verdana" w:hAnsi="Verdana" w:cs="Verdana"/>
              </w:rPr>
              <w:t>depende de un acuerdo en el que concurre la voluntad de sus integrantes para regular</w:t>
            </w:r>
            <w:r>
              <w:rPr>
                <w:rFonts w:ascii="Verdana" w:eastAsia="Verdana" w:hAnsi="Verdana" w:cs="Verdana"/>
              </w:rPr>
              <w:t xml:space="preserve"> sus características y composición, con el objetivo de </w:t>
            </w:r>
            <w:r w:rsidRPr="008C48E3">
              <w:rPr>
                <w:rFonts w:ascii="Verdana" w:eastAsia="Verdana" w:hAnsi="Verdana" w:cs="Verdana"/>
              </w:rPr>
              <w:t>facilitar la organización de diversos miembros a efectos de presentar propuesta</w:t>
            </w:r>
            <w:r>
              <w:rPr>
                <w:rFonts w:ascii="Verdana" w:eastAsia="Verdana" w:hAnsi="Verdana" w:cs="Verdana"/>
              </w:rPr>
              <w:t xml:space="preserve"> en procesos de contratación, así como para </w:t>
            </w:r>
            <w:r w:rsidRPr="008C48E3">
              <w:rPr>
                <w:rFonts w:ascii="Verdana" w:eastAsia="Verdana" w:hAnsi="Verdana" w:cs="Verdana"/>
              </w:rPr>
              <w:t xml:space="preserve">celebrar y ejecutar </w:t>
            </w:r>
            <w:r>
              <w:rPr>
                <w:rFonts w:ascii="Verdana" w:eastAsia="Verdana" w:hAnsi="Verdana" w:cs="Verdana"/>
              </w:rPr>
              <w:t xml:space="preserve">contratos estatales. </w:t>
            </w:r>
            <w:r>
              <w:rPr>
                <w:rFonts w:ascii="Verdana" w:eastAsia="Calibri" w:hAnsi="Verdana" w:cs="Arial"/>
              </w:rPr>
              <w:t xml:space="preserve">En consecuencia, es viable jurídicamente que sus miembros acuerden modificar el nombre, el porcentaje de participación y su composición para presentar propuesta en un proceso de contratación. </w:t>
            </w:r>
          </w:p>
          <w:p w14:paraId="5826EB5E" w14:textId="77777777" w:rsidR="002B1FC8" w:rsidRPr="003751B6" w:rsidRDefault="002B1FC8" w:rsidP="00CB5A3E">
            <w:pPr>
              <w:spacing w:after="120" w:line="276" w:lineRule="auto"/>
              <w:ind w:right="49" w:firstLine="708"/>
              <w:jc w:val="both"/>
              <w:rPr>
                <w:rFonts w:ascii="Verdana" w:eastAsia="Calibri" w:hAnsi="Verdana" w:cs="Arial"/>
              </w:rPr>
            </w:pPr>
            <w:r>
              <w:rPr>
                <w:rFonts w:ascii="Verdana" w:eastAsia="Verdana" w:hAnsi="Verdana" w:cs="Verdana"/>
              </w:rPr>
              <w:t xml:space="preserve">No obstante, </w:t>
            </w:r>
            <w:r w:rsidRPr="00984F15">
              <w:rPr>
                <w:rFonts w:ascii="Verdana" w:eastAsia="Verdana" w:hAnsi="Verdana" w:cs="Verdana"/>
              </w:rPr>
              <w:t>si el consorcio ha presentado una oferta en otro proceso</w:t>
            </w:r>
            <w:r>
              <w:rPr>
                <w:rFonts w:ascii="Verdana" w:eastAsia="Verdana" w:hAnsi="Verdana" w:cs="Verdana"/>
              </w:rPr>
              <w:t xml:space="preserve"> que se encuentra en curso, </w:t>
            </w:r>
            <w:r w:rsidRPr="00984F15">
              <w:rPr>
                <w:rFonts w:ascii="Verdana" w:eastAsia="Verdana" w:hAnsi="Verdana" w:cs="Verdana"/>
              </w:rPr>
              <w:t xml:space="preserve">no podrá </w:t>
            </w:r>
            <w:r>
              <w:rPr>
                <w:rFonts w:ascii="Verdana" w:eastAsia="Verdana" w:hAnsi="Verdana" w:cs="Verdana"/>
              </w:rPr>
              <w:t xml:space="preserve">modificar las condiciones del proponente plural para </w:t>
            </w:r>
            <w:r w:rsidRPr="00984F15">
              <w:rPr>
                <w:rFonts w:ascii="Verdana" w:eastAsia="Verdana" w:hAnsi="Verdana" w:cs="Verdana"/>
              </w:rPr>
              <w:t>presentarse a otro</w:t>
            </w:r>
            <w:r>
              <w:rPr>
                <w:rFonts w:ascii="Verdana" w:eastAsia="Verdana" w:hAnsi="Verdana" w:cs="Verdana"/>
              </w:rPr>
              <w:t xml:space="preserve"> proceso</w:t>
            </w:r>
            <w:r w:rsidRPr="00984F15">
              <w:rPr>
                <w:rFonts w:ascii="Verdana" w:eastAsia="Verdana" w:hAnsi="Verdana" w:cs="Verdana"/>
              </w:rPr>
              <w:t>.</w:t>
            </w:r>
            <w:r w:rsidRPr="008359E0">
              <w:rPr>
                <w:rFonts w:ascii="Verdana" w:eastAsia="Verdana" w:hAnsi="Verdana" w:cs="Verdana"/>
              </w:rPr>
              <w:t xml:space="preserve"> Variar </w:t>
            </w:r>
            <w:r>
              <w:rPr>
                <w:rFonts w:ascii="Verdana" w:eastAsia="Verdana" w:hAnsi="Verdana" w:cs="Verdana"/>
              </w:rPr>
              <w:t>las condiciones de</w:t>
            </w:r>
            <w:r w:rsidRPr="00C93DEA">
              <w:rPr>
                <w:rFonts w:ascii="Verdana" w:eastAsia="Verdana" w:hAnsi="Verdana" w:cs="Verdana"/>
              </w:rPr>
              <w:t>l proponente plural</w:t>
            </w:r>
            <w:r w:rsidRPr="008359E0">
              <w:rPr>
                <w:rFonts w:ascii="Verdana" w:eastAsia="Verdana" w:hAnsi="Verdana" w:cs="Verdana"/>
              </w:rPr>
              <w:t>,</w:t>
            </w:r>
            <w:r>
              <w:rPr>
                <w:rFonts w:ascii="Verdana" w:eastAsia="Verdana" w:hAnsi="Verdana" w:cs="Verdana"/>
              </w:rPr>
              <w:t xml:space="preserve"> como el porcentaje de participación o los integrantes, </w:t>
            </w:r>
            <w:r w:rsidRPr="008359E0">
              <w:rPr>
                <w:rFonts w:ascii="Verdana" w:eastAsia="Verdana" w:hAnsi="Verdana" w:cs="Verdana"/>
              </w:rPr>
              <w:t>con posterioridad al cierre del proceso</w:t>
            </w:r>
            <w:r>
              <w:rPr>
                <w:rFonts w:ascii="Verdana" w:eastAsia="Verdana" w:hAnsi="Verdana" w:cs="Verdana"/>
              </w:rPr>
              <w:t xml:space="preserve"> </w:t>
            </w:r>
            <w:r w:rsidRPr="00C93DEA">
              <w:rPr>
                <w:rFonts w:ascii="Verdana" w:eastAsia="Verdana" w:hAnsi="Verdana" w:cs="Verdana"/>
              </w:rPr>
              <w:t xml:space="preserve">no </w:t>
            </w:r>
            <w:r w:rsidRPr="008359E0">
              <w:rPr>
                <w:rFonts w:ascii="Verdana" w:eastAsia="Verdana" w:hAnsi="Verdana" w:cs="Verdana"/>
              </w:rPr>
              <w:t xml:space="preserve">es </w:t>
            </w:r>
            <w:r>
              <w:rPr>
                <w:rFonts w:ascii="Verdana" w:eastAsia="Verdana" w:hAnsi="Verdana" w:cs="Verdana"/>
              </w:rPr>
              <w:t xml:space="preserve">un </w:t>
            </w:r>
            <w:r w:rsidRPr="008359E0">
              <w:rPr>
                <w:rFonts w:ascii="Verdana" w:eastAsia="Verdana" w:hAnsi="Verdana" w:cs="Verdana"/>
              </w:rPr>
              <w:t>asunto subsanable, pues implica la modificación o mejoramiento de la oferta, circunstancia prohibida por el numeral 8 del artículo 30 de la Ley 80 de 1993 y por el artículo 5 de la Ley 1882 de 2018</w:t>
            </w:r>
            <w:r>
              <w:rPr>
                <w:rFonts w:ascii="Verdana" w:eastAsia="Verdana" w:hAnsi="Verdana" w:cs="Verdana"/>
              </w:rPr>
              <w:t>.</w:t>
            </w:r>
          </w:p>
        </w:tc>
      </w:tr>
    </w:tbl>
    <w:p w14:paraId="39FBF7A9" w14:textId="77777777" w:rsidR="002B1FC8" w:rsidRPr="00FE5A24" w:rsidRDefault="002B1FC8" w:rsidP="002B1FC8">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1258E9A9" w14:textId="77777777" w:rsidR="002B1FC8" w:rsidRPr="00D55655" w:rsidRDefault="002B1FC8" w:rsidP="002B1FC8">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Razones de la respuesta:</w:t>
      </w:r>
    </w:p>
    <w:p w14:paraId="7808B502" w14:textId="77777777" w:rsidR="002B1FC8" w:rsidRPr="00FE5A24" w:rsidRDefault="002B1FC8" w:rsidP="002B1FC8">
      <w:pPr>
        <w:spacing w:before="120" w:after="120" w:line="276" w:lineRule="auto"/>
        <w:jc w:val="both"/>
        <w:rPr>
          <w:rFonts w:ascii="Verdana" w:eastAsia="Calibri" w:hAnsi="Verdana" w:cs="Arial"/>
          <w:color w:val="000000" w:themeColor="text1"/>
          <w:lang w:val="es-ES"/>
        </w:rPr>
      </w:pPr>
      <w:r w:rsidRPr="00FE5A24">
        <w:rPr>
          <w:rFonts w:ascii="Verdana" w:eastAsia="Calibri" w:hAnsi="Verdana" w:cs="Arial"/>
          <w:color w:val="000000" w:themeColor="text1"/>
          <w:lang w:val="es-ES"/>
        </w:rPr>
        <w:t xml:space="preserve">Lo anterior se sustenta en las siguientes consideraciones: </w:t>
      </w:r>
    </w:p>
    <w:p w14:paraId="01150BE9" w14:textId="77777777" w:rsidR="002B1FC8" w:rsidRPr="00255A37" w:rsidRDefault="002B1FC8" w:rsidP="002B1FC8">
      <w:pPr>
        <w:spacing w:before="120" w:after="120" w:line="276" w:lineRule="auto"/>
        <w:jc w:val="both"/>
        <w:rPr>
          <w:rFonts w:ascii="Verdana" w:eastAsia="Calibri" w:hAnsi="Verdana" w:cs="Arial"/>
        </w:rPr>
      </w:pPr>
      <w:r w:rsidRPr="007D6693">
        <w:rPr>
          <w:rFonts w:ascii="Verdana" w:eastAsia="Calibri" w:hAnsi="Verdana" w:cs="Arial"/>
          <w:shd w:val="clear" w:color="auto" w:fill="FFFFFF"/>
        </w:rPr>
        <w:t xml:space="preserve">(i) </w:t>
      </w:r>
      <w:r>
        <w:rPr>
          <w:rFonts w:ascii="Verdana" w:eastAsia="Calibri" w:hAnsi="Verdana" w:cs="Arial"/>
        </w:rPr>
        <w:t xml:space="preserve">El artículo 6 de la Ley 80 de 1993 señala que pueden celebrar contratos con las Entidades Estatales las personas naturales, las personas jurídicas </w:t>
      </w:r>
      <w:r w:rsidRPr="00BF1559">
        <w:rPr>
          <w:rFonts w:ascii="Verdana" w:eastAsia="Calibri" w:hAnsi="Verdana" w:cs="Arial"/>
        </w:rPr>
        <w:t>que tengan dentro de su objeto social actividades relacionadas con el objeto a contratar y, por virtud de la ley, los consorcios y uniones temporales.</w:t>
      </w:r>
      <w:r>
        <w:rPr>
          <w:rFonts w:ascii="Verdana" w:eastAsia="Calibri" w:hAnsi="Verdana" w:cs="Arial"/>
        </w:rPr>
        <w:t xml:space="preserve"> </w:t>
      </w:r>
    </w:p>
    <w:p w14:paraId="1F7698A0" w14:textId="77777777" w:rsidR="002B1FC8" w:rsidRDefault="002B1FC8" w:rsidP="002B1FC8">
      <w:pPr>
        <w:spacing w:before="120" w:after="0" w:line="276" w:lineRule="auto"/>
        <w:ind w:firstLine="708"/>
        <w:jc w:val="both"/>
        <w:rPr>
          <w:rFonts w:ascii="Verdana" w:eastAsia="Calibri" w:hAnsi="Verdana" w:cs="Arial"/>
          <w:lang w:val="es-MX"/>
        </w:rPr>
      </w:pPr>
      <w:r w:rsidRPr="007D6693">
        <w:rPr>
          <w:rFonts w:ascii="Verdana" w:eastAsia="Calibri" w:hAnsi="Verdana" w:cs="Arial"/>
          <w:lang w:val="es-MX"/>
        </w:rPr>
        <w:t>La capacidad para contratar</w:t>
      </w:r>
      <w:r>
        <w:rPr>
          <w:rFonts w:ascii="Verdana" w:eastAsia="Calibri" w:hAnsi="Verdana" w:cs="Arial"/>
          <w:lang w:val="es-MX"/>
        </w:rPr>
        <w:t xml:space="preserve"> y de </w:t>
      </w:r>
      <w:r w:rsidRPr="007D6693">
        <w:rPr>
          <w:rFonts w:ascii="Verdana" w:eastAsia="Calibri" w:hAnsi="Verdana" w:cs="Arial"/>
          <w:lang w:val="es-MX"/>
        </w:rPr>
        <w:t>realizar actos jurídicamente vinculantes</w:t>
      </w:r>
      <w:r>
        <w:rPr>
          <w:rFonts w:ascii="Verdana" w:eastAsia="Calibri" w:hAnsi="Verdana" w:cs="Arial"/>
          <w:lang w:val="es-MX"/>
        </w:rPr>
        <w:t xml:space="preserve">, </w:t>
      </w:r>
      <w:r w:rsidRPr="007D6693">
        <w:rPr>
          <w:rFonts w:ascii="Verdana" w:eastAsia="Calibri" w:hAnsi="Verdana" w:cs="Arial"/>
          <w:lang w:val="es-MX"/>
        </w:rPr>
        <w:t>como la presentación de una oferta en un procedimiento de selección de contratistas, se consideró por mucho tiempo uno de los atributos de la personalidad reservado</w:t>
      </w:r>
      <w:r>
        <w:rPr>
          <w:rFonts w:ascii="Verdana" w:eastAsia="Calibri" w:hAnsi="Verdana" w:cs="Arial"/>
          <w:lang w:val="es-MX"/>
        </w:rPr>
        <w:t xml:space="preserve"> </w:t>
      </w:r>
      <w:r w:rsidRPr="007D6693">
        <w:rPr>
          <w:rFonts w:ascii="Verdana" w:eastAsia="Calibri" w:hAnsi="Verdana" w:cs="Arial"/>
          <w:lang w:val="es-MX"/>
        </w:rPr>
        <w:t>a las personas jurídicas y naturales. No obstante, el progreso en las formas negociales y asociativas hizo necesario reconocer nuevas estructuras plurales y otorgarles atributos que tradicionalmente habían estado reservados a las personas jurídicas. En este sentido, la Corte Constitucional ha sostenido</w:t>
      </w:r>
      <w:r>
        <w:rPr>
          <w:rFonts w:ascii="Verdana" w:eastAsia="Calibri" w:hAnsi="Verdana" w:cs="Arial"/>
          <w:lang w:val="es-MX"/>
        </w:rPr>
        <w:t xml:space="preserve"> sobre la capacidad para contratar otorgada a los consorcios y uniones temporales</w:t>
      </w:r>
      <w:r w:rsidRPr="007D6693">
        <w:rPr>
          <w:rFonts w:ascii="Verdana" w:eastAsia="Calibri" w:hAnsi="Verdana" w:cs="Arial"/>
          <w:lang w:val="es-MX"/>
        </w:rPr>
        <w:t>:</w:t>
      </w:r>
    </w:p>
    <w:p w14:paraId="23CA07B2" w14:textId="77777777" w:rsidR="002B1FC8" w:rsidRPr="008368C0" w:rsidRDefault="002B1FC8" w:rsidP="002B1FC8">
      <w:pPr>
        <w:spacing w:after="0" w:line="276" w:lineRule="auto"/>
        <w:ind w:firstLine="708"/>
        <w:jc w:val="both"/>
        <w:rPr>
          <w:rFonts w:ascii="Verdana" w:eastAsia="Calibri" w:hAnsi="Verdana" w:cs="Arial"/>
          <w:lang w:val="es-MX"/>
        </w:rPr>
      </w:pPr>
    </w:p>
    <w:p w14:paraId="18960747" w14:textId="77777777" w:rsidR="002B1FC8" w:rsidRPr="00EB0795" w:rsidRDefault="002B1FC8" w:rsidP="002B1FC8">
      <w:pPr>
        <w:spacing w:after="120" w:line="240" w:lineRule="auto"/>
        <w:ind w:left="709" w:right="709"/>
        <w:jc w:val="both"/>
        <w:rPr>
          <w:rFonts w:ascii="Verdana" w:eastAsia="Calibri" w:hAnsi="Verdana" w:cs="Arial"/>
          <w:sz w:val="21"/>
          <w:szCs w:val="21"/>
        </w:rPr>
      </w:pPr>
      <w:r w:rsidRPr="008368C0">
        <w:rPr>
          <w:rFonts w:ascii="Verdana" w:eastAsia="Calibri" w:hAnsi="Verdana" w:cs="Arial"/>
          <w:sz w:val="20"/>
          <w:szCs w:val="20"/>
        </w:rPr>
        <w:t>“</w:t>
      </w:r>
      <w:r w:rsidRPr="00EB0795">
        <w:rPr>
          <w:rFonts w:ascii="Verdana" w:eastAsia="Calibri" w:hAnsi="Verdana" w:cs="Arial"/>
          <w:sz w:val="21"/>
          <w:szCs w:val="21"/>
        </w:rPr>
        <w:t xml:space="preserve">Respecto de la capacidad legal para contratar y la personalidad jurídica señala, que la Ley 80 de 1993 al crear las figuras de los consorcios y uniones temporales, y construirlas como sujetos de la </w:t>
      </w:r>
      <w:r w:rsidRPr="00EB0795">
        <w:rPr>
          <w:rFonts w:ascii="Verdana" w:eastAsia="Calibri" w:hAnsi="Verdana" w:cs="Arial"/>
          <w:sz w:val="21"/>
          <w:szCs w:val="21"/>
        </w:rPr>
        <w:lastRenderedPageBreak/>
        <w:t>contratación administrativa, reconoce una realidad del mundo negocial: la necesidad de los contratos de colaboración económica para la efectiva realización de proyectos de contratación pública, altamente especializados e intensivos en capital y, así mismo, indispensables para que el Estado Social de Derecho, cumpla los cometidos para los cuales fue instituido- Preámbulo, artículos 1 y 2 de la Carta Política.</w:t>
      </w:r>
    </w:p>
    <w:p w14:paraId="4EA1F530" w14:textId="77777777" w:rsidR="002B1FC8" w:rsidRPr="00EB0795" w:rsidRDefault="002B1FC8" w:rsidP="002B1FC8">
      <w:pPr>
        <w:spacing w:before="120" w:after="120" w:line="240" w:lineRule="auto"/>
        <w:ind w:left="709" w:right="709"/>
        <w:jc w:val="both"/>
        <w:rPr>
          <w:rFonts w:ascii="Verdana" w:eastAsia="Calibri" w:hAnsi="Verdana" w:cs="Arial"/>
          <w:sz w:val="21"/>
          <w:szCs w:val="21"/>
        </w:rPr>
      </w:pPr>
      <w:r w:rsidRPr="00EB0795">
        <w:rPr>
          <w:rFonts w:ascii="Verdana" w:eastAsia="Calibri" w:hAnsi="Verdana" w:cs="Arial"/>
          <w:sz w:val="21"/>
          <w:szCs w:val="21"/>
        </w:rPr>
        <w:t>[…]</w:t>
      </w:r>
    </w:p>
    <w:p w14:paraId="36481216" w14:textId="77777777" w:rsidR="002B1FC8" w:rsidRDefault="002B1FC8" w:rsidP="002B1FC8">
      <w:pPr>
        <w:spacing w:before="120" w:after="0" w:line="240" w:lineRule="auto"/>
        <w:ind w:left="709" w:right="709"/>
        <w:jc w:val="both"/>
        <w:rPr>
          <w:rFonts w:ascii="Verdana" w:eastAsia="Calibri" w:hAnsi="Verdana" w:cs="Arial"/>
          <w:sz w:val="21"/>
          <w:szCs w:val="21"/>
        </w:rPr>
      </w:pPr>
      <w:r w:rsidRPr="00EB0795">
        <w:rPr>
          <w:rFonts w:ascii="Verdana" w:eastAsia="Calibri" w:hAnsi="Verdana" w:cs="Arial"/>
          <w:sz w:val="21"/>
          <w:szCs w:val="21"/>
        </w:rPr>
        <w:t>En torno a la capacidad contractual de los consorcios y uniones temporales la jurisprudencia constitucional ha expresado que el Estatuto de contratación les reconoce este atributo sin exigirles como condición de su ejercicio la de ser personas morales. También ha dicho que el consorcio es un convenio de asociación, o mejor, un sistema de mediación que permite a sus miembros organizarse mancomunadamente para la celebración y ejecución de un contrato con el Estado, sin que por ello pierdan su individualidad jurídica, pero asumiendo un grado de responsabilidad solidaria en el cumplimiento de las obligaciones contractuales”</w:t>
      </w:r>
      <w:r w:rsidRPr="00EB0795">
        <w:rPr>
          <w:rStyle w:val="Refdenotaalpie"/>
          <w:rFonts w:eastAsia="Calibri" w:cs="Arial"/>
          <w:sz w:val="21"/>
          <w:szCs w:val="21"/>
        </w:rPr>
        <w:footnoteReference w:id="1"/>
      </w:r>
      <w:r w:rsidRPr="00EB0795">
        <w:rPr>
          <w:rFonts w:ascii="Verdana" w:eastAsia="Calibri" w:hAnsi="Verdana" w:cs="Arial"/>
          <w:sz w:val="21"/>
          <w:szCs w:val="21"/>
        </w:rPr>
        <w:t>.</w:t>
      </w:r>
    </w:p>
    <w:p w14:paraId="05EA977C" w14:textId="77777777" w:rsidR="002B1FC8" w:rsidRPr="00EB0795" w:rsidRDefault="002B1FC8" w:rsidP="002B1FC8">
      <w:pPr>
        <w:spacing w:after="0" w:line="240" w:lineRule="auto"/>
        <w:ind w:left="709" w:right="709"/>
        <w:jc w:val="both"/>
        <w:rPr>
          <w:rFonts w:ascii="Verdana" w:eastAsia="Calibri" w:hAnsi="Verdana" w:cs="Arial"/>
          <w:sz w:val="21"/>
          <w:szCs w:val="21"/>
        </w:rPr>
      </w:pPr>
    </w:p>
    <w:p w14:paraId="13C21A16" w14:textId="77777777" w:rsidR="002B1FC8" w:rsidRPr="009A0F01" w:rsidRDefault="002B1FC8" w:rsidP="002B1FC8">
      <w:pPr>
        <w:spacing w:after="120" w:line="276" w:lineRule="auto"/>
        <w:ind w:firstLine="708"/>
        <w:jc w:val="both"/>
        <w:rPr>
          <w:rFonts w:ascii="Verdana" w:eastAsia="Calibri" w:hAnsi="Verdana"/>
        </w:rPr>
      </w:pPr>
      <w:r w:rsidRPr="009A0F01">
        <w:rPr>
          <w:rFonts w:ascii="Verdana" w:eastAsia="Calibri" w:hAnsi="Verdana"/>
        </w:rPr>
        <w:t>De un lado, la Corte Constitucional destaca que las estructuras plurales son el reconocimiento de una realidad negocial en materia de contratación estatal, de otro, resalta que esta colaboración económica entre sujetos de derecho permite la materialización de los fines del estado, al facilitar la efectiva ejecución de los contratos. Adicionalmente, puntualiza que la capacidad contractual de los consorcios y uniones temporales se reconoce sin necesidad de exigirles como condición de su ejercicio que sean personas morales.</w:t>
      </w:r>
    </w:p>
    <w:p w14:paraId="186F6DA6" w14:textId="77777777" w:rsidR="002B1FC8" w:rsidRDefault="002B1FC8" w:rsidP="002B1FC8">
      <w:pPr>
        <w:spacing w:before="120" w:after="0" w:line="276" w:lineRule="auto"/>
        <w:ind w:firstLine="708"/>
        <w:jc w:val="both"/>
        <w:rPr>
          <w:rFonts w:ascii="Verdana" w:eastAsia="Calibri" w:hAnsi="Verdana" w:cs="Arial"/>
        </w:rPr>
      </w:pPr>
      <w:r>
        <w:rPr>
          <w:rFonts w:ascii="Verdana" w:eastAsia="Calibri" w:hAnsi="Verdana" w:cs="Arial"/>
        </w:rPr>
        <w:t xml:space="preserve">En línea con lo anterior, los consorcios y las uniones temporales </w:t>
      </w:r>
      <w:r w:rsidRPr="00255A37">
        <w:rPr>
          <w:rFonts w:ascii="Verdana" w:eastAsia="Calibri" w:hAnsi="Verdana" w:cs="Arial"/>
        </w:rPr>
        <w:t>no son personas jurídicas</w:t>
      </w:r>
      <w:r>
        <w:rPr>
          <w:rFonts w:ascii="Verdana" w:eastAsia="Calibri" w:hAnsi="Verdana" w:cs="Arial"/>
        </w:rPr>
        <w:t xml:space="preserve">, pero </w:t>
      </w:r>
      <w:r w:rsidRPr="00255A37">
        <w:rPr>
          <w:rFonts w:ascii="Verdana" w:eastAsia="Calibri" w:hAnsi="Verdana" w:cs="Arial"/>
        </w:rPr>
        <w:t xml:space="preserve">su creación depende de un acuerdo en el que concurre la voluntad de sus integrantes para </w:t>
      </w:r>
      <w:r>
        <w:rPr>
          <w:rFonts w:ascii="Verdana" w:eastAsia="Calibri" w:hAnsi="Verdana" w:cs="Arial"/>
        </w:rPr>
        <w:t xml:space="preserve">determinar </w:t>
      </w:r>
      <w:r w:rsidRPr="00255A37">
        <w:rPr>
          <w:rFonts w:ascii="Verdana" w:eastAsia="Calibri" w:hAnsi="Verdana" w:cs="Arial"/>
        </w:rPr>
        <w:t>su objeto, la participación de los miembros, las obligaciones frente al proyecto, su responsabilidad, la forma en que regirán sus relaciones internas y el relacionamiento con la entidad contratante, mediante la designación de un representante</w:t>
      </w:r>
      <w:r>
        <w:rPr>
          <w:rFonts w:ascii="Verdana" w:eastAsia="Calibri" w:hAnsi="Verdana" w:cs="Arial"/>
        </w:rPr>
        <w:t>.</w:t>
      </w:r>
      <w:r w:rsidRPr="00255A37">
        <w:rPr>
          <w:rFonts w:ascii="Verdana" w:eastAsia="Calibri" w:hAnsi="Verdana" w:cs="Arial"/>
        </w:rPr>
        <w:t xml:space="preserve"> </w:t>
      </w:r>
      <w:r>
        <w:rPr>
          <w:rFonts w:ascii="Verdana" w:eastAsia="Calibri" w:hAnsi="Verdana" w:cs="Arial"/>
        </w:rPr>
        <w:t xml:space="preserve">Al respecto, </w:t>
      </w:r>
      <w:r w:rsidRPr="00255A37">
        <w:rPr>
          <w:rFonts w:ascii="Verdana" w:eastAsia="Calibri" w:hAnsi="Verdana" w:cs="Arial"/>
        </w:rPr>
        <w:t>el parágrafo 1 del artículo 7 de la Ley 80 de 1993 dispone que:</w:t>
      </w:r>
    </w:p>
    <w:p w14:paraId="05CE40DD" w14:textId="77777777" w:rsidR="002B1FC8" w:rsidRPr="002743B8" w:rsidRDefault="002B1FC8" w:rsidP="002B1FC8">
      <w:pPr>
        <w:spacing w:after="0" w:line="276" w:lineRule="auto"/>
        <w:ind w:firstLine="708"/>
        <w:jc w:val="both"/>
        <w:rPr>
          <w:rFonts w:ascii="Verdana" w:eastAsia="Calibri" w:hAnsi="Verdana" w:cs="Arial"/>
          <w:sz w:val="20"/>
          <w:szCs w:val="20"/>
        </w:rPr>
      </w:pPr>
    </w:p>
    <w:p w14:paraId="549B23AB" w14:textId="77777777" w:rsidR="002B1FC8" w:rsidRDefault="002B1FC8" w:rsidP="002B1FC8">
      <w:pPr>
        <w:pStyle w:val="Prrafodelista"/>
        <w:spacing w:after="0" w:line="240" w:lineRule="auto"/>
        <w:ind w:left="709" w:right="616"/>
        <w:jc w:val="both"/>
        <w:rPr>
          <w:rFonts w:ascii="Verdana" w:eastAsia="Calibri" w:hAnsi="Verdana" w:cs="Arial"/>
          <w:sz w:val="21"/>
          <w:szCs w:val="21"/>
        </w:rPr>
      </w:pPr>
      <w:r w:rsidRPr="006D6082">
        <w:rPr>
          <w:rFonts w:ascii="Verdana" w:eastAsia="Calibri" w:hAnsi="Verdana" w:cs="Arial"/>
          <w:bCs/>
          <w:color w:val="000000" w:themeColor="text1"/>
          <w:sz w:val="21"/>
          <w:szCs w:val="21"/>
        </w:rPr>
        <w:t>“</w:t>
      </w:r>
      <w:r w:rsidRPr="006D6082">
        <w:rPr>
          <w:rFonts w:ascii="Verdana" w:eastAsia="Calibri" w:hAnsi="Verdana" w:cs="Arial"/>
          <w:sz w:val="21"/>
          <w:szCs w:val="21"/>
        </w:rPr>
        <w:t>Para los efectos de esta Ley se entiende por:</w:t>
      </w:r>
    </w:p>
    <w:p w14:paraId="5EB4389A" w14:textId="77777777" w:rsidR="002B1FC8" w:rsidRPr="006D6082" w:rsidRDefault="002B1FC8" w:rsidP="002B1FC8">
      <w:pPr>
        <w:pStyle w:val="Prrafodelista"/>
        <w:spacing w:after="0" w:line="240" w:lineRule="auto"/>
        <w:ind w:left="709" w:right="616"/>
        <w:jc w:val="both"/>
        <w:rPr>
          <w:rFonts w:ascii="Verdana" w:eastAsia="Calibri" w:hAnsi="Verdana" w:cs="Arial"/>
          <w:sz w:val="21"/>
          <w:szCs w:val="21"/>
        </w:rPr>
      </w:pPr>
      <w:r w:rsidRPr="006D6082">
        <w:rPr>
          <w:rFonts w:ascii="Verdana" w:eastAsia="Calibri" w:hAnsi="Verdana" w:cs="Arial"/>
          <w:sz w:val="21"/>
          <w:szCs w:val="21"/>
        </w:rPr>
        <w:t>[…]</w:t>
      </w:r>
    </w:p>
    <w:p w14:paraId="42EC51D9" w14:textId="77777777" w:rsidR="002B1FC8" w:rsidRPr="006D6082" w:rsidRDefault="002B1FC8" w:rsidP="002B1FC8">
      <w:pPr>
        <w:pStyle w:val="Prrafodelista"/>
        <w:spacing w:after="120" w:line="240" w:lineRule="auto"/>
        <w:ind w:left="709" w:right="616"/>
        <w:jc w:val="both"/>
        <w:rPr>
          <w:rFonts w:ascii="Verdana" w:eastAsia="Calibri" w:hAnsi="Verdana" w:cs="Arial"/>
          <w:sz w:val="21"/>
          <w:szCs w:val="21"/>
        </w:rPr>
      </w:pPr>
      <w:r w:rsidRPr="006D6082">
        <w:rPr>
          <w:rFonts w:ascii="Verdana" w:eastAsia="Calibri" w:hAnsi="Verdana" w:cs="Arial"/>
          <w:sz w:val="21"/>
          <w:szCs w:val="21"/>
        </w:rPr>
        <w:t xml:space="preserve">6. Consorcio: Cuando dos o más personas en forma conjunta presentan una misma propuesta para la adjudicación, celebración y ejecución de un contrato, respondiendo solidariamente de todas y cada una de las </w:t>
      </w:r>
      <w:r w:rsidRPr="006D6082">
        <w:rPr>
          <w:rFonts w:ascii="Verdana" w:eastAsia="Calibri" w:hAnsi="Verdana" w:cs="Arial"/>
          <w:sz w:val="21"/>
          <w:szCs w:val="21"/>
        </w:rPr>
        <w:lastRenderedPageBreak/>
        <w:t>obligaciones derivadas de la propuesta y del contrato. En consecuencia, las actuaciones, hechos y omisiones que se presenten en desarrollo de la propuesta y del contrato, afectarán a todos los miembros que lo conforman.</w:t>
      </w:r>
    </w:p>
    <w:p w14:paraId="7F0CCCDE" w14:textId="77777777" w:rsidR="002B1FC8" w:rsidRPr="006D6082" w:rsidRDefault="002B1FC8" w:rsidP="002B1FC8">
      <w:pPr>
        <w:pStyle w:val="Prrafodelista"/>
        <w:spacing w:after="0" w:line="240" w:lineRule="auto"/>
        <w:ind w:left="709" w:right="616"/>
        <w:jc w:val="both"/>
        <w:rPr>
          <w:rFonts w:ascii="Verdana" w:eastAsia="Calibri" w:hAnsi="Verdana" w:cs="Arial"/>
          <w:sz w:val="21"/>
          <w:szCs w:val="21"/>
        </w:rPr>
      </w:pPr>
      <w:r w:rsidRPr="006D6082">
        <w:rPr>
          <w:rFonts w:ascii="Verdana" w:eastAsia="Calibri" w:hAnsi="Verdana" w:cs="Arial"/>
          <w:sz w:val="21"/>
          <w:szCs w:val="21"/>
        </w:rPr>
        <w:t>7. Unión Temporal: Cuando dos o más personas en forma conjunta presentan una misma propuesta para la adjudicación, celebración y ejecución de un contrato, respondiendo solidariamente por el cumplimiento total de la propuesta y del objeto contratado, pero las sanciones por el incumplimiento de las obligaciones derivadas de la propuesta y del contrato se impondrán de acuerdo con la participación en la ejecución de cada uno de los miembros de la unión temporal. </w:t>
      </w:r>
    </w:p>
    <w:p w14:paraId="291C5517" w14:textId="77777777" w:rsidR="002B1FC8" w:rsidRPr="006D6082" w:rsidRDefault="002B1FC8" w:rsidP="002B1FC8">
      <w:pPr>
        <w:pStyle w:val="Prrafodelista"/>
        <w:spacing w:after="0" w:line="240" w:lineRule="auto"/>
        <w:ind w:left="709" w:right="616"/>
        <w:jc w:val="both"/>
        <w:rPr>
          <w:rFonts w:ascii="Verdana" w:eastAsia="Calibri" w:hAnsi="Verdana" w:cs="Arial"/>
          <w:bCs/>
          <w:color w:val="000000" w:themeColor="text1"/>
          <w:sz w:val="21"/>
          <w:szCs w:val="21"/>
        </w:rPr>
      </w:pPr>
      <w:r w:rsidRPr="006D6082">
        <w:rPr>
          <w:rFonts w:ascii="Verdana" w:eastAsia="Calibri" w:hAnsi="Verdana" w:cs="Arial"/>
          <w:bCs/>
          <w:color w:val="000000" w:themeColor="text1"/>
          <w:sz w:val="21"/>
          <w:szCs w:val="21"/>
        </w:rPr>
        <w:t>[…]</w:t>
      </w:r>
    </w:p>
    <w:p w14:paraId="3EF91152" w14:textId="77777777" w:rsidR="002B1FC8" w:rsidRPr="006D6082" w:rsidRDefault="002B1FC8" w:rsidP="002B1FC8">
      <w:pPr>
        <w:pStyle w:val="Prrafodelista"/>
        <w:spacing w:after="0" w:line="240" w:lineRule="auto"/>
        <w:ind w:left="709" w:right="616"/>
        <w:jc w:val="both"/>
        <w:rPr>
          <w:rFonts w:ascii="Verdana" w:eastAsia="Calibri" w:hAnsi="Verdana" w:cs="Arial"/>
          <w:bCs/>
          <w:color w:val="000000" w:themeColor="text1"/>
          <w:sz w:val="21"/>
          <w:szCs w:val="21"/>
        </w:rPr>
      </w:pPr>
      <w:r w:rsidRPr="006D6082">
        <w:rPr>
          <w:rFonts w:ascii="Verdana" w:eastAsia="Calibri" w:hAnsi="Verdana" w:cs="Arial"/>
          <w:bCs/>
          <w:color w:val="000000" w:themeColor="text1"/>
          <w:sz w:val="21"/>
          <w:szCs w:val="21"/>
        </w:rPr>
        <w:t>Parágrafo 1º.- Los proponentes indicarán si su participación es a título de consorcio o unión temporal y, en este último caso, señalarán los términos y extensión de la participación en la propuesta y en su ejecución, los cuales no podrán ser modificados sin el consentimiento previo de la entidad estatal contratante.</w:t>
      </w:r>
    </w:p>
    <w:p w14:paraId="741A58F1" w14:textId="77777777" w:rsidR="002B1FC8" w:rsidRPr="006D6082" w:rsidRDefault="002B1FC8" w:rsidP="002B1FC8">
      <w:pPr>
        <w:pStyle w:val="Prrafodelista"/>
        <w:spacing w:after="0" w:line="240" w:lineRule="auto"/>
        <w:ind w:left="709" w:right="616"/>
        <w:jc w:val="both"/>
        <w:rPr>
          <w:rFonts w:ascii="Verdana" w:eastAsia="Calibri" w:hAnsi="Verdana" w:cs="Arial"/>
          <w:bCs/>
          <w:color w:val="000000" w:themeColor="text1"/>
          <w:sz w:val="21"/>
          <w:szCs w:val="21"/>
        </w:rPr>
      </w:pPr>
      <w:r w:rsidRPr="006D6082">
        <w:rPr>
          <w:rFonts w:ascii="Verdana" w:eastAsia="Calibri" w:hAnsi="Verdana" w:cs="Arial"/>
          <w:bCs/>
          <w:color w:val="000000" w:themeColor="text1"/>
          <w:sz w:val="21"/>
          <w:szCs w:val="21"/>
        </w:rPr>
        <w:t>Los miembros del consorcio y de la unión temporal deberán designar la persona que, para todos los efectos, representará al consorcio o unión temporal y señalarán las reglas básicas que regulen las relaciones entre ellos y su responsabilidad.</w:t>
      </w:r>
    </w:p>
    <w:p w14:paraId="31D313CE" w14:textId="77777777" w:rsidR="002B1FC8" w:rsidRPr="006D6082" w:rsidRDefault="002B1FC8" w:rsidP="002B1FC8">
      <w:pPr>
        <w:pStyle w:val="Prrafodelista"/>
        <w:spacing w:after="0" w:line="240" w:lineRule="auto"/>
        <w:ind w:left="709" w:right="616"/>
        <w:jc w:val="both"/>
        <w:rPr>
          <w:rFonts w:ascii="Verdana" w:eastAsia="Calibri" w:hAnsi="Verdana" w:cs="Arial"/>
          <w:sz w:val="21"/>
          <w:szCs w:val="21"/>
        </w:rPr>
      </w:pPr>
      <w:r w:rsidRPr="006D6082">
        <w:rPr>
          <w:rFonts w:ascii="Verdana" w:eastAsia="Calibri" w:hAnsi="Verdana" w:cs="Arial"/>
          <w:bCs/>
          <w:color w:val="000000" w:themeColor="text1"/>
          <w:sz w:val="21"/>
          <w:szCs w:val="21"/>
        </w:rPr>
        <w:t>[…]”.</w:t>
      </w:r>
    </w:p>
    <w:p w14:paraId="09ABA23A" w14:textId="77777777" w:rsidR="002B1FC8" w:rsidRPr="00B85F0E" w:rsidRDefault="002B1FC8" w:rsidP="002B1FC8">
      <w:pPr>
        <w:spacing w:before="120" w:after="120" w:line="276" w:lineRule="auto"/>
        <w:ind w:firstLine="709"/>
        <w:jc w:val="both"/>
        <w:rPr>
          <w:rFonts w:ascii="Verdana" w:eastAsia="Calibri" w:hAnsi="Verdana" w:cs="Arial"/>
        </w:rPr>
      </w:pPr>
      <w:r w:rsidRPr="00162725">
        <w:rPr>
          <w:rFonts w:ascii="Verdana" w:eastAsia="Calibri" w:hAnsi="Verdana" w:cs="Arial"/>
        </w:rPr>
        <w:t xml:space="preserve">Como se observa, el artículo citado señala que el consorcio o la unión temporal se da “[c]uando dos o más personas en forma conjunta presentan una misma propuesta para la adjudicación, celebración y ejecución de un contrato […]”. Desde esta perspectiva, su capacidad para participar en la adjudicación, celebración y ejecución de uno o varios contratos estatales dependerá de dos aspectos: </w:t>
      </w:r>
      <w:r>
        <w:rPr>
          <w:rFonts w:ascii="Verdana" w:eastAsia="Calibri" w:hAnsi="Verdana" w:cs="Arial"/>
        </w:rPr>
        <w:t>(</w:t>
      </w:r>
      <w:r w:rsidRPr="00162725">
        <w:rPr>
          <w:rFonts w:ascii="Verdana" w:eastAsia="Calibri" w:hAnsi="Verdana" w:cs="Arial"/>
        </w:rPr>
        <w:t>i) que los integrantes de la estructural plural adopten la decisión conjunta de presentar una misma propuesta al proceso de selección</w:t>
      </w:r>
      <w:r>
        <w:rPr>
          <w:rFonts w:ascii="Verdana" w:eastAsia="Calibri" w:hAnsi="Verdana" w:cs="Arial"/>
        </w:rPr>
        <w:t>,</w:t>
      </w:r>
      <w:r w:rsidRPr="00162725">
        <w:rPr>
          <w:rFonts w:ascii="Verdana" w:eastAsia="Calibri" w:hAnsi="Verdana" w:cs="Arial"/>
        </w:rPr>
        <w:t xml:space="preserve"> y </w:t>
      </w:r>
      <w:r>
        <w:rPr>
          <w:rFonts w:ascii="Verdana" w:eastAsia="Calibri" w:hAnsi="Verdana" w:cs="Arial"/>
        </w:rPr>
        <w:t>(</w:t>
      </w:r>
      <w:r w:rsidRPr="00162725">
        <w:rPr>
          <w:rFonts w:ascii="Verdana" w:eastAsia="Calibri" w:hAnsi="Verdana" w:cs="Arial"/>
        </w:rPr>
        <w:t>ii) que el objeto del consorcio o unión temporal se encuentre alineado con las actividades a desarrollar en un determinado proceso</w:t>
      </w:r>
      <w:r>
        <w:rPr>
          <w:rFonts w:ascii="Verdana" w:eastAsia="Calibri" w:hAnsi="Verdana" w:cs="Arial"/>
        </w:rPr>
        <w:t>, de manera que les permita ejecutar el respectivo contrato</w:t>
      </w:r>
      <w:r w:rsidRPr="00162725">
        <w:rPr>
          <w:rFonts w:ascii="Verdana" w:eastAsia="Calibri" w:hAnsi="Verdana" w:cs="Arial"/>
        </w:rPr>
        <w:t>.</w:t>
      </w:r>
    </w:p>
    <w:p w14:paraId="187B3D20" w14:textId="77777777" w:rsidR="002B1FC8" w:rsidRPr="00AE129A" w:rsidRDefault="002B1FC8" w:rsidP="002B1FC8">
      <w:pPr>
        <w:spacing w:after="120" w:line="276" w:lineRule="auto"/>
        <w:ind w:firstLine="708"/>
        <w:jc w:val="both"/>
        <w:rPr>
          <w:rFonts w:ascii="Verdana" w:hAnsi="Verdana" w:cs="Arial"/>
          <w:color w:val="000000" w:themeColor="text1"/>
        </w:rPr>
      </w:pPr>
      <w:r>
        <w:rPr>
          <w:rFonts w:ascii="Verdana" w:eastAsia="Calibri" w:hAnsi="Verdana" w:cs="Arial"/>
        </w:rPr>
        <w:t>En este sentido, las estructuras plurales</w:t>
      </w:r>
      <w:r w:rsidRPr="003734FE">
        <w:rPr>
          <w:rFonts w:ascii="Verdana" w:eastAsia="Calibri" w:hAnsi="Verdana" w:cs="Arial"/>
        </w:rPr>
        <w:t xml:space="preserve"> son convenios de asociación provenientes de la colaboración empresarial, mediante los cuales sus integrantes se unen y se organizan mancomunadamente para lograr con mayor eficacia un fin común de contenido patrimonial y lucrativo, como lo es la obtención del derecho a ser adjudicatarios de un</w:t>
      </w:r>
      <w:r>
        <w:rPr>
          <w:rFonts w:ascii="Verdana" w:eastAsia="Calibri" w:hAnsi="Verdana" w:cs="Arial"/>
        </w:rPr>
        <w:t>o</w:t>
      </w:r>
      <w:r w:rsidRPr="003734FE">
        <w:rPr>
          <w:rFonts w:ascii="Verdana" w:eastAsia="Calibri" w:hAnsi="Verdana" w:cs="Arial"/>
        </w:rPr>
        <w:t xml:space="preserve"> o varios contratos estatales, compartiendo recursos, de toda índole, para su ejecución, así como las utilidades y los riesgos.</w:t>
      </w:r>
      <w:r>
        <w:rPr>
          <w:rFonts w:ascii="Verdana" w:eastAsia="Calibri" w:hAnsi="Verdana" w:cs="Arial"/>
        </w:rPr>
        <w:t xml:space="preserve"> </w:t>
      </w:r>
      <w:r w:rsidRPr="007D6693">
        <w:rPr>
          <w:rFonts w:ascii="Verdana" w:hAnsi="Verdana" w:cs="Arial"/>
          <w:color w:val="000000" w:themeColor="text1"/>
        </w:rPr>
        <w:t xml:space="preserve">La diferencia radica en la responsabilidad frente a las eventuales sanciones por el incumplimiento de las obligaciones, toda vez que tratándose de una unión </w:t>
      </w:r>
      <w:r w:rsidRPr="007D6693">
        <w:rPr>
          <w:rFonts w:ascii="Verdana" w:hAnsi="Verdana" w:cs="Arial"/>
          <w:color w:val="000000" w:themeColor="text1"/>
        </w:rPr>
        <w:lastRenderedPageBreak/>
        <w:t xml:space="preserve">temporal, estas se individualizan según la participación de sus miembros, mientras que en el consorcio los miembros responden solidariamente, con independencia de este aspecto.   </w:t>
      </w:r>
    </w:p>
    <w:p w14:paraId="4AE4B4FD" w14:textId="77777777" w:rsidR="002B1FC8" w:rsidRDefault="002B1FC8" w:rsidP="002B1FC8">
      <w:pPr>
        <w:spacing w:after="120" w:line="276" w:lineRule="auto"/>
        <w:ind w:right="49" w:firstLine="708"/>
        <w:jc w:val="both"/>
        <w:rPr>
          <w:rFonts w:ascii="Verdana" w:hAnsi="Verdana" w:cs="Arial"/>
          <w:color w:val="000000" w:themeColor="text1"/>
        </w:rPr>
      </w:pPr>
      <w:r>
        <w:rPr>
          <w:rFonts w:ascii="Verdana" w:eastAsia="Calibri" w:hAnsi="Verdana" w:cs="Arial"/>
        </w:rPr>
        <w:t xml:space="preserve">Así, </w:t>
      </w:r>
      <w:r w:rsidRPr="003734FE">
        <w:rPr>
          <w:rFonts w:ascii="Verdana" w:eastAsia="Calibri" w:hAnsi="Verdana" w:cs="Arial"/>
        </w:rPr>
        <w:t xml:space="preserve">no existe impedimento o prohibición alguna que limite </w:t>
      </w:r>
      <w:r>
        <w:rPr>
          <w:rFonts w:ascii="Verdana" w:eastAsia="Calibri" w:hAnsi="Verdana" w:cs="Arial"/>
        </w:rPr>
        <w:t>la</w:t>
      </w:r>
      <w:r w:rsidRPr="003734FE">
        <w:rPr>
          <w:rFonts w:ascii="Verdana" w:eastAsia="Calibri" w:hAnsi="Verdana" w:cs="Arial"/>
        </w:rPr>
        <w:t xml:space="preserve"> actividad </w:t>
      </w:r>
      <w:r>
        <w:rPr>
          <w:rFonts w:ascii="Verdana" w:eastAsia="Calibri" w:hAnsi="Verdana" w:cs="Arial"/>
        </w:rPr>
        <w:t xml:space="preserve">de los consorcios o uniones temporales </w:t>
      </w:r>
      <w:r w:rsidRPr="003734FE">
        <w:rPr>
          <w:rFonts w:ascii="Verdana" w:eastAsia="Calibri" w:hAnsi="Verdana" w:cs="Arial"/>
        </w:rPr>
        <w:t>a un solo contrato</w:t>
      </w:r>
      <w:r>
        <w:rPr>
          <w:rFonts w:ascii="Verdana" w:eastAsia="Calibri" w:hAnsi="Verdana" w:cs="Arial"/>
        </w:rPr>
        <w:t xml:space="preserve">. En consecuencia, es jurídicamente viable que </w:t>
      </w:r>
      <w:r>
        <w:rPr>
          <w:rFonts w:ascii="Verdana" w:eastAsia="Calibri" w:hAnsi="Verdana" w:cs="Arial"/>
          <w:lang w:val="es-ES" w:eastAsia="es-ES"/>
        </w:rPr>
        <w:t xml:space="preserve">los </w:t>
      </w:r>
      <w:r>
        <w:rPr>
          <w:rFonts w:ascii="Verdana" w:hAnsi="Verdana" w:cs="Arial"/>
          <w:color w:val="000000" w:themeColor="text1"/>
        </w:rPr>
        <w:t xml:space="preserve">proponentes plurales presenten </w:t>
      </w:r>
      <w:r w:rsidRPr="00B33BA7">
        <w:rPr>
          <w:rFonts w:ascii="Verdana" w:hAnsi="Verdana" w:cs="Arial"/>
          <w:color w:val="000000" w:themeColor="text1"/>
        </w:rPr>
        <w:t>propuesta</w:t>
      </w:r>
      <w:r>
        <w:rPr>
          <w:rFonts w:ascii="Verdana" w:hAnsi="Verdana" w:cs="Arial"/>
          <w:color w:val="000000" w:themeColor="text1"/>
        </w:rPr>
        <w:t>s</w:t>
      </w:r>
      <w:r w:rsidRPr="00B33BA7">
        <w:rPr>
          <w:rFonts w:ascii="Verdana" w:hAnsi="Verdana" w:cs="Arial"/>
          <w:color w:val="000000" w:themeColor="text1"/>
        </w:rPr>
        <w:t xml:space="preserve"> para la adjudicación, celebración y ejecución d</w:t>
      </w:r>
      <w:r>
        <w:rPr>
          <w:rFonts w:ascii="Verdana" w:hAnsi="Verdana" w:cs="Arial"/>
          <w:color w:val="000000" w:themeColor="text1"/>
        </w:rPr>
        <w:t xml:space="preserve">e contratos con </w:t>
      </w:r>
      <w:r w:rsidRPr="008706A7">
        <w:rPr>
          <w:rFonts w:ascii="Verdana" w:hAnsi="Verdana" w:cs="Arial"/>
          <w:i/>
          <w:iCs/>
          <w:color w:val="000000" w:themeColor="text1"/>
        </w:rPr>
        <w:t>una o varias</w:t>
      </w:r>
      <w:r>
        <w:rPr>
          <w:rFonts w:ascii="Verdana" w:hAnsi="Verdana" w:cs="Arial"/>
          <w:color w:val="000000" w:themeColor="text1"/>
        </w:rPr>
        <w:t xml:space="preserve"> entidades estatales. En este orden, las ofertas serán analizadas de acuerdo con los criterios habilitantes y factores de evaluación del pliego de condiciones o documento equivalente, en el marco de las reglas previstas en el Estatuto General de Contratación de la Administración Pública, sus normas complementarias y los reglamentos respectivos. </w:t>
      </w:r>
    </w:p>
    <w:p w14:paraId="430028E0" w14:textId="77777777" w:rsidR="002B1FC8" w:rsidRPr="00F238FB" w:rsidRDefault="002B1FC8" w:rsidP="002B1FC8">
      <w:pPr>
        <w:spacing w:after="120" w:line="276" w:lineRule="auto"/>
        <w:ind w:firstLine="708"/>
        <w:jc w:val="both"/>
        <w:rPr>
          <w:rFonts w:ascii="Verdana" w:hAnsi="Verdana" w:cs="Arial"/>
          <w:color w:val="000000" w:themeColor="text1"/>
        </w:rPr>
      </w:pPr>
      <w:r>
        <w:rPr>
          <w:rFonts w:ascii="Verdana" w:hAnsi="Verdana" w:cs="Arial"/>
          <w:color w:val="000000" w:themeColor="text1"/>
        </w:rPr>
        <w:t xml:space="preserve">Ahora bien, no será viable que los integrantes del proponente plural presenten ofertas de manera individual en la misma entidad o entidades donde ya han presentado oferta a través de un proponente plural, puesto que al momento de evaluación de ofertas, se evalúan los requisitos habilitantes de oferentes, y para el caso, se evalúan los aportes de manera individual de los integrantes del proponente plural, los cuales serán evaluados doblemente en caso que se presenten la situación, rompiendo con los principios de la contratación. </w:t>
      </w:r>
    </w:p>
    <w:p w14:paraId="782CE07B" w14:textId="77777777" w:rsidR="002B1FC8" w:rsidRPr="00EB0795" w:rsidRDefault="002B1FC8" w:rsidP="002B1FC8">
      <w:pPr>
        <w:spacing w:after="120" w:line="276" w:lineRule="auto"/>
        <w:ind w:right="49" w:firstLine="708"/>
        <w:jc w:val="both"/>
        <w:rPr>
          <w:rFonts w:ascii="Verdana" w:eastAsia="Calibri" w:hAnsi="Verdana" w:cs="Arial"/>
        </w:rPr>
      </w:pPr>
      <w:r w:rsidRPr="00BC6EBA">
        <w:rPr>
          <w:rFonts w:ascii="Verdana" w:hAnsi="Verdana" w:cs="Arial"/>
          <w:color w:val="000000" w:themeColor="text1"/>
        </w:rPr>
        <w:t>En todo caso, r</w:t>
      </w:r>
      <w:r w:rsidRPr="008368C0">
        <w:rPr>
          <w:rFonts w:ascii="Verdana" w:hAnsi="Verdana" w:cs="Arial"/>
          <w:color w:val="000000" w:themeColor="text1"/>
        </w:rPr>
        <w:t>esulta necesario indicar que el proponente plural deberá estar debidamente constituido dentro de cada uno de los procesos en que desee participar, es decir, es deber de los proponentes realizar la respectiva inscripción del proponente plural de manera individual a cada proceso en el que pretende postularse de acuerdo con las condiciones de uso del SECOP II.</w:t>
      </w:r>
      <w:r w:rsidRPr="00EB0795">
        <w:rPr>
          <w:rFonts w:ascii="Verdana" w:hAnsi="Verdana" w:cs="Arial"/>
          <w:color w:val="000000" w:themeColor="text1"/>
        </w:rPr>
        <w:t xml:space="preserve"> Considerando lo anterior, si un proponente plural desea participar nuevamente en un proceso de contratación desde la plataforma del SECOP II, tendrá que crear una nueva cuenta en la que cumpla los requisitos para su creación. Por consiguiente, deberá crear una nueva cuenta por cada proceso de contratación en el que participe, pues el sistema no permite que presentar ofertas en más de un proceso de contratación desde una misma cuenta</w:t>
      </w:r>
      <w:r>
        <w:rPr>
          <w:rFonts w:ascii="Verdana" w:hAnsi="Verdana" w:cs="Arial"/>
          <w:color w:val="000000" w:themeColor="text1"/>
        </w:rPr>
        <w:t>.</w:t>
      </w:r>
    </w:p>
    <w:p w14:paraId="6CACB6FB" w14:textId="77777777" w:rsidR="002B1FC8" w:rsidRDefault="002B1FC8" w:rsidP="002B1FC8">
      <w:pPr>
        <w:spacing w:after="120" w:line="276" w:lineRule="auto"/>
        <w:ind w:right="49" w:firstLine="708"/>
        <w:jc w:val="both"/>
        <w:rPr>
          <w:rFonts w:ascii="Verdana" w:eastAsia="Calibri" w:hAnsi="Verdana" w:cs="Arial"/>
        </w:rPr>
      </w:pPr>
      <w:r>
        <w:rPr>
          <w:rFonts w:ascii="Verdana" w:eastAsia="Calibri" w:hAnsi="Verdana" w:cs="Arial"/>
        </w:rPr>
        <w:t>En ese contexto, abordando el objeto de la consulta,</w:t>
      </w:r>
      <w:r w:rsidRPr="00BC6EBA">
        <w:rPr>
          <w:rFonts w:ascii="Verdana" w:eastAsia="Calibri" w:hAnsi="Verdana" w:cs="Arial"/>
        </w:rPr>
        <w:t xml:space="preserve"> </w:t>
      </w:r>
      <w:r w:rsidRPr="00EB0795">
        <w:rPr>
          <w:rFonts w:ascii="Verdana" w:eastAsia="Calibri" w:hAnsi="Verdana" w:cs="Arial"/>
        </w:rPr>
        <w:t xml:space="preserve">los consorcios y las uniones temporales </w:t>
      </w:r>
      <w:r>
        <w:rPr>
          <w:rFonts w:ascii="Verdana" w:eastAsia="Calibri" w:hAnsi="Verdana" w:cs="Arial"/>
        </w:rPr>
        <w:t xml:space="preserve">son </w:t>
      </w:r>
      <w:r w:rsidRPr="00EB0795">
        <w:rPr>
          <w:rFonts w:ascii="Verdana" w:eastAsia="Calibri" w:hAnsi="Verdana" w:cs="Arial"/>
        </w:rPr>
        <w:t xml:space="preserve">una creación de carácter convencional que se logra mediante un acuerdo de carácter privado en la que concurre la voluntad de los miembros. </w:t>
      </w:r>
      <w:r>
        <w:rPr>
          <w:rFonts w:ascii="Verdana" w:eastAsia="Calibri" w:hAnsi="Verdana" w:cs="Arial"/>
        </w:rPr>
        <w:t xml:space="preserve">En este sentido, es viable que sus miembros acuerden modificar el porcentaje de participación y su composición para presentar propuesta en un </w:t>
      </w:r>
      <w:r>
        <w:rPr>
          <w:rFonts w:ascii="Verdana" w:eastAsia="Calibri" w:hAnsi="Verdana" w:cs="Arial"/>
        </w:rPr>
        <w:lastRenderedPageBreak/>
        <w:t xml:space="preserve">proceso de contratación. Como se señaló antes, </w:t>
      </w:r>
      <w:r>
        <w:rPr>
          <w:rFonts w:ascii="Verdana" w:eastAsia="Verdana" w:hAnsi="Verdana" w:cs="Verdana"/>
        </w:rPr>
        <w:t xml:space="preserve">se trata de </w:t>
      </w:r>
      <w:r w:rsidRPr="008C48E3">
        <w:rPr>
          <w:rFonts w:ascii="Verdana" w:eastAsia="Verdana" w:hAnsi="Verdana" w:cs="Verdana"/>
        </w:rPr>
        <w:t xml:space="preserve">figuras asociativas cuya creación </w:t>
      </w:r>
      <w:r>
        <w:rPr>
          <w:rFonts w:ascii="Verdana" w:eastAsia="Verdana" w:hAnsi="Verdana" w:cs="Verdana"/>
        </w:rPr>
        <w:t xml:space="preserve">y características </w:t>
      </w:r>
      <w:r w:rsidRPr="008C48E3">
        <w:rPr>
          <w:rFonts w:ascii="Verdana" w:eastAsia="Verdana" w:hAnsi="Verdana" w:cs="Verdana"/>
        </w:rPr>
        <w:t>depende</w:t>
      </w:r>
      <w:r>
        <w:rPr>
          <w:rFonts w:ascii="Verdana" w:eastAsia="Verdana" w:hAnsi="Verdana" w:cs="Verdana"/>
        </w:rPr>
        <w:t>n</w:t>
      </w:r>
      <w:r w:rsidRPr="008C48E3">
        <w:rPr>
          <w:rFonts w:ascii="Verdana" w:eastAsia="Verdana" w:hAnsi="Verdana" w:cs="Verdana"/>
        </w:rPr>
        <w:t xml:space="preserve"> de un acuerdo en el que concurre la voluntad de sus integrantes para regular</w:t>
      </w:r>
      <w:r>
        <w:rPr>
          <w:rFonts w:ascii="Verdana" w:eastAsia="Verdana" w:hAnsi="Verdana" w:cs="Verdana"/>
        </w:rPr>
        <w:t xml:space="preserve"> sus características y composición, con el objetivo de </w:t>
      </w:r>
      <w:r w:rsidRPr="008C48E3">
        <w:rPr>
          <w:rFonts w:ascii="Verdana" w:eastAsia="Verdana" w:hAnsi="Verdana" w:cs="Verdana"/>
        </w:rPr>
        <w:t>facilitar la organización de diversos miembros a efectos de presentar propuesta</w:t>
      </w:r>
      <w:r>
        <w:rPr>
          <w:rFonts w:ascii="Verdana" w:eastAsia="Verdana" w:hAnsi="Verdana" w:cs="Verdana"/>
        </w:rPr>
        <w:t xml:space="preserve"> en procesos de contratación, así como para </w:t>
      </w:r>
      <w:r w:rsidRPr="008C48E3">
        <w:rPr>
          <w:rFonts w:ascii="Verdana" w:eastAsia="Verdana" w:hAnsi="Verdana" w:cs="Verdana"/>
        </w:rPr>
        <w:t xml:space="preserve">celebrar y ejecutar </w:t>
      </w:r>
      <w:r>
        <w:rPr>
          <w:rFonts w:ascii="Verdana" w:eastAsia="Verdana" w:hAnsi="Verdana" w:cs="Verdana"/>
        </w:rPr>
        <w:t>contratos estatales. En consecuencia, el acuerdo de voluntades será suficiente para modificar sus condiciones y presentar propuesta en un proceso de contratación.</w:t>
      </w:r>
    </w:p>
    <w:p w14:paraId="38F4B564" w14:textId="77777777" w:rsidR="002B1FC8" w:rsidRPr="003C2B43" w:rsidRDefault="002B1FC8" w:rsidP="002B1FC8">
      <w:pPr>
        <w:pStyle w:val="Textoindependiente"/>
        <w:spacing w:before="1" w:line="276" w:lineRule="auto"/>
        <w:ind w:left="100" w:right="111" w:firstLine="608"/>
        <w:jc w:val="both"/>
        <w:rPr>
          <w:color w:val="000000" w:themeColor="text1"/>
        </w:rPr>
      </w:pPr>
      <w:r>
        <w:t>Sin embargo, es importante tener en cuenta el momento en el cual se pretenda modificar las condiciones del consorcio. Si el proponente plural se presentó a un proceso de contratación que aún se encuentra en curso, existen ciertos límites, pues el proponente no podrá</w:t>
      </w:r>
      <w:r w:rsidRPr="00984F15">
        <w:t xml:space="preserve">, de conformidad con el artículo 5 de la Ley 1882 de 2018, y en general del Estatuto General de Contratación </w:t>
      </w:r>
      <w:r>
        <w:t xml:space="preserve">de la Administración </w:t>
      </w:r>
      <w:r w:rsidRPr="00984F15">
        <w:t>Pública, modificar el porcentaje de participación o los miembros de un consorcio o una unión temporal</w:t>
      </w:r>
      <w:r>
        <w:t xml:space="preserve"> con posterioridad al cierre del proceso en curso. </w:t>
      </w:r>
      <w:r>
        <w:rPr>
          <w:color w:val="000000" w:themeColor="text1"/>
        </w:rPr>
        <w:t>P</w:t>
      </w:r>
      <w:r w:rsidRPr="003C2B43">
        <w:rPr>
          <w:color w:val="000000" w:themeColor="text1"/>
        </w:rPr>
        <w:t>or cierre del proceso debe entenderse el vencimiento del plazo para la presentación de las ofertas</w:t>
      </w:r>
      <w:r>
        <w:rPr>
          <w:rStyle w:val="Refdenotaalpie"/>
          <w:color w:val="000000" w:themeColor="text1"/>
        </w:rPr>
        <w:footnoteReference w:id="2"/>
      </w:r>
      <w:r>
        <w:rPr>
          <w:color w:val="000000" w:themeColor="text1"/>
        </w:rPr>
        <w:t>.</w:t>
      </w:r>
    </w:p>
    <w:p w14:paraId="1EDFA10F" w14:textId="77777777" w:rsidR="002B1FC8" w:rsidRPr="00B37E1A" w:rsidRDefault="002B1FC8" w:rsidP="002B1FC8">
      <w:pPr>
        <w:pStyle w:val="Textoindependiente"/>
        <w:spacing w:before="120" w:after="120" w:line="276" w:lineRule="auto"/>
        <w:ind w:left="102" w:right="113" w:firstLine="607"/>
        <w:jc w:val="both"/>
        <w:rPr>
          <w:color w:val="000000" w:themeColor="text1"/>
        </w:rPr>
      </w:pPr>
      <w:r>
        <w:t>E</w:t>
      </w:r>
      <w:r w:rsidRPr="00477160">
        <w:t>s claro que la modificación del porcentaje de participación de los miembros de un consorcio o unión temporal, o de su conformación, no cabe en el ámbito de la subsanabilidad de la propuesta, sino en el de modificación de la misma.</w:t>
      </w:r>
      <w:r w:rsidRPr="00B37E1A">
        <w:rPr>
          <w:color w:val="000000" w:themeColor="text1"/>
        </w:rPr>
        <w:t xml:space="preserve"> </w:t>
      </w:r>
      <w:r w:rsidRPr="008359E0">
        <w:t xml:space="preserve">Variar </w:t>
      </w:r>
      <w:r>
        <w:t>este tipo de condiciones del proponente plural</w:t>
      </w:r>
      <w:r w:rsidRPr="008359E0">
        <w:t xml:space="preserve">, con posterioridad al cierre del proceso, </w:t>
      </w:r>
      <w:r>
        <w:t xml:space="preserve">no </w:t>
      </w:r>
      <w:r w:rsidRPr="008359E0">
        <w:t>es asunto subsanable, pues implica la modificación o mejoramiento de la oferta, circunstancia prohibida por el numeral 8 del artículo 30 de la Ley 80 de 1993 y por el artículo 5 de la Ley 1882 de 2018</w:t>
      </w:r>
      <w:r>
        <w:rPr>
          <w:rStyle w:val="Refdenotaalpie"/>
        </w:rPr>
        <w:footnoteReference w:id="3"/>
      </w:r>
      <w:r w:rsidRPr="008359E0">
        <w:t>.</w:t>
      </w:r>
      <w:r>
        <w:t xml:space="preserve"> Además, </w:t>
      </w:r>
      <w:r w:rsidRPr="003C2B43">
        <w:rPr>
          <w:color w:val="000000" w:themeColor="text1"/>
        </w:rPr>
        <w:t xml:space="preserve">en virtud del carácter serio e irrevocable de la oferta, </w:t>
      </w:r>
      <w:r>
        <w:rPr>
          <w:color w:val="000000" w:themeColor="text1"/>
        </w:rPr>
        <w:t xml:space="preserve">no es posible </w:t>
      </w:r>
      <w:r w:rsidRPr="003C2B43">
        <w:rPr>
          <w:color w:val="000000" w:themeColor="text1"/>
        </w:rPr>
        <w:t>que</w:t>
      </w:r>
      <w:r>
        <w:rPr>
          <w:color w:val="000000" w:themeColor="text1"/>
        </w:rPr>
        <w:t>,</w:t>
      </w:r>
      <w:r w:rsidRPr="003C2B43">
        <w:rPr>
          <w:color w:val="000000" w:themeColor="text1"/>
        </w:rPr>
        <w:t xml:space="preserve"> una vez propuestos los porcentajes de participación del consorcio o la unión temporal, el oferente pretenda modificarlos después del </w:t>
      </w:r>
      <w:r w:rsidRPr="003C2B43">
        <w:rPr>
          <w:color w:val="000000" w:themeColor="text1"/>
        </w:rPr>
        <w:lastRenderedPageBreak/>
        <w:t>vencimiento del término para la presentación de</w:t>
      </w:r>
      <w:r w:rsidRPr="003C2B43">
        <w:rPr>
          <w:color w:val="000000" w:themeColor="text1"/>
          <w:spacing w:val="-4"/>
        </w:rPr>
        <w:t xml:space="preserve"> </w:t>
      </w:r>
      <w:r w:rsidRPr="003C2B43">
        <w:rPr>
          <w:color w:val="000000" w:themeColor="text1"/>
        </w:rPr>
        <w:t>ofertas,</w:t>
      </w:r>
      <w:r w:rsidRPr="003C2B43">
        <w:rPr>
          <w:color w:val="000000" w:themeColor="text1"/>
          <w:spacing w:val="-3"/>
        </w:rPr>
        <w:t xml:space="preserve"> </w:t>
      </w:r>
      <w:r w:rsidRPr="003C2B43">
        <w:rPr>
          <w:color w:val="000000" w:themeColor="text1"/>
        </w:rPr>
        <w:t>después</w:t>
      </w:r>
      <w:r w:rsidRPr="003C2B43">
        <w:rPr>
          <w:color w:val="000000" w:themeColor="text1"/>
          <w:spacing w:val="-3"/>
        </w:rPr>
        <w:t xml:space="preserve"> </w:t>
      </w:r>
      <w:r w:rsidRPr="003C2B43">
        <w:rPr>
          <w:color w:val="000000" w:themeColor="text1"/>
        </w:rPr>
        <w:t>de</w:t>
      </w:r>
      <w:r w:rsidRPr="003C2B43">
        <w:rPr>
          <w:color w:val="000000" w:themeColor="text1"/>
          <w:spacing w:val="-2"/>
        </w:rPr>
        <w:t xml:space="preserve"> </w:t>
      </w:r>
      <w:r w:rsidRPr="003C2B43">
        <w:rPr>
          <w:color w:val="000000" w:themeColor="text1"/>
        </w:rPr>
        <w:t>conocer</w:t>
      </w:r>
      <w:r w:rsidRPr="003C2B43">
        <w:rPr>
          <w:color w:val="000000" w:themeColor="text1"/>
          <w:spacing w:val="-5"/>
        </w:rPr>
        <w:t xml:space="preserve"> </w:t>
      </w:r>
      <w:r w:rsidRPr="003C2B43">
        <w:rPr>
          <w:color w:val="000000" w:themeColor="text1"/>
        </w:rPr>
        <w:t>las</w:t>
      </w:r>
      <w:r w:rsidRPr="003C2B43">
        <w:rPr>
          <w:color w:val="000000" w:themeColor="text1"/>
          <w:spacing w:val="-4"/>
        </w:rPr>
        <w:t xml:space="preserve"> </w:t>
      </w:r>
      <w:r w:rsidRPr="003C2B43">
        <w:rPr>
          <w:color w:val="000000" w:themeColor="text1"/>
        </w:rPr>
        <w:t>de</w:t>
      </w:r>
      <w:r w:rsidRPr="003C2B43">
        <w:rPr>
          <w:color w:val="000000" w:themeColor="text1"/>
          <w:spacing w:val="-4"/>
        </w:rPr>
        <w:t xml:space="preserve"> </w:t>
      </w:r>
      <w:r w:rsidRPr="003C2B43">
        <w:rPr>
          <w:color w:val="000000" w:themeColor="text1"/>
        </w:rPr>
        <w:t>los</w:t>
      </w:r>
      <w:r w:rsidRPr="003C2B43">
        <w:rPr>
          <w:color w:val="000000" w:themeColor="text1"/>
          <w:spacing w:val="-3"/>
        </w:rPr>
        <w:t xml:space="preserve"> </w:t>
      </w:r>
      <w:r w:rsidRPr="003C2B43">
        <w:rPr>
          <w:color w:val="000000" w:themeColor="text1"/>
        </w:rPr>
        <w:t>demás</w:t>
      </w:r>
      <w:r w:rsidRPr="003C2B43">
        <w:rPr>
          <w:color w:val="000000" w:themeColor="text1"/>
          <w:spacing w:val="-4"/>
        </w:rPr>
        <w:t xml:space="preserve"> </w:t>
      </w:r>
      <w:r w:rsidRPr="003C2B43">
        <w:rPr>
          <w:color w:val="000000" w:themeColor="text1"/>
        </w:rPr>
        <w:t>proponentes</w:t>
      </w:r>
      <w:r w:rsidRPr="003C2B43">
        <w:rPr>
          <w:color w:val="000000" w:themeColor="text1"/>
          <w:spacing w:val="-3"/>
        </w:rPr>
        <w:t xml:space="preserve"> </w:t>
      </w:r>
      <w:r>
        <w:rPr>
          <w:color w:val="000000" w:themeColor="text1"/>
        </w:rPr>
        <w:t>o</w:t>
      </w:r>
      <w:r w:rsidRPr="003C2B43">
        <w:rPr>
          <w:color w:val="000000" w:themeColor="text1"/>
          <w:spacing w:val="-6"/>
        </w:rPr>
        <w:t xml:space="preserve"> </w:t>
      </w:r>
      <w:r w:rsidRPr="003C2B43">
        <w:rPr>
          <w:color w:val="000000" w:themeColor="text1"/>
        </w:rPr>
        <w:t>el</w:t>
      </w:r>
      <w:r w:rsidRPr="003C2B43">
        <w:rPr>
          <w:color w:val="000000" w:themeColor="text1"/>
          <w:spacing w:val="-3"/>
        </w:rPr>
        <w:t xml:space="preserve"> </w:t>
      </w:r>
      <w:r w:rsidRPr="003C2B43">
        <w:rPr>
          <w:color w:val="000000" w:themeColor="text1"/>
        </w:rPr>
        <w:t>informe</w:t>
      </w:r>
      <w:r w:rsidRPr="003C2B43">
        <w:rPr>
          <w:color w:val="000000" w:themeColor="text1"/>
          <w:spacing w:val="-4"/>
        </w:rPr>
        <w:t xml:space="preserve"> </w:t>
      </w:r>
      <w:r w:rsidRPr="003C2B43">
        <w:rPr>
          <w:color w:val="000000" w:themeColor="text1"/>
        </w:rPr>
        <w:t>de</w:t>
      </w:r>
      <w:r w:rsidRPr="003C2B43">
        <w:rPr>
          <w:color w:val="000000" w:themeColor="text1"/>
          <w:spacing w:val="-4"/>
        </w:rPr>
        <w:t xml:space="preserve"> </w:t>
      </w:r>
      <w:r w:rsidRPr="003C2B43">
        <w:rPr>
          <w:color w:val="000000" w:themeColor="text1"/>
        </w:rPr>
        <w:t>evaluación.</w:t>
      </w:r>
    </w:p>
    <w:p w14:paraId="04328D3A" w14:textId="77777777" w:rsidR="002B1FC8" w:rsidRDefault="002B1FC8" w:rsidP="002B1FC8">
      <w:pPr>
        <w:spacing w:after="0" w:line="276" w:lineRule="auto"/>
        <w:ind w:firstLine="708"/>
        <w:jc w:val="both"/>
        <w:rPr>
          <w:rFonts w:ascii="Verdana" w:hAnsi="Verdana" w:cs="Arial"/>
          <w:color w:val="000000" w:themeColor="text1"/>
        </w:rPr>
      </w:pPr>
      <w:r>
        <w:rPr>
          <w:rFonts w:ascii="Verdana" w:eastAsia="Calibri" w:hAnsi="Verdana" w:cs="Arial"/>
          <w:lang w:val="es-ES"/>
        </w:rPr>
        <w:t>En conclusión</w:t>
      </w:r>
      <w:r w:rsidRPr="006B4D4E">
        <w:rPr>
          <w:rFonts w:ascii="Verdana" w:hAnsi="Verdana" w:cs="Arial"/>
          <w:color w:val="000000" w:themeColor="text1"/>
        </w:rPr>
        <w:t>, es posible</w:t>
      </w:r>
      <w:r>
        <w:rPr>
          <w:rFonts w:ascii="Verdana" w:hAnsi="Verdana" w:cs="Arial"/>
          <w:color w:val="000000" w:themeColor="text1"/>
        </w:rPr>
        <w:t xml:space="preserve"> que</w:t>
      </w:r>
      <w:r w:rsidRPr="006B4D4E">
        <w:rPr>
          <w:rFonts w:ascii="Verdana" w:hAnsi="Verdana" w:cs="Arial"/>
          <w:color w:val="000000" w:themeColor="text1"/>
        </w:rPr>
        <w:t xml:space="preserve"> </w:t>
      </w:r>
      <w:r>
        <w:rPr>
          <w:rFonts w:ascii="Verdana" w:hAnsi="Verdana" w:cs="Arial"/>
          <w:color w:val="000000" w:themeColor="text1"/>
        </w:rPr>
        <w:t xml:space="preserve">los </w:t>
      </w:r>
      <w:r w:rsidRPr="006B4D4E">
        <w:rPr>
          <w:rFonts w:ascii="Verdana" w:hAnsi="Verdana" w:cs="Arial"/>
          <w:color w:val="000000" w:themeColor="text1"/>
        </w:rPr>
        <w:t>consorcios</w:t>
      </w:r>
      <w:r>
        <w:rPr>
          <w:rFonts w:ascii="Verdana" w:hAnsi="Verdana" w:cs="Arial"/>
          <w:color w:val="000000" w:themeColor="text1"/>
        </w:rPr>
        <w:t xml:space="preserve"> y/o uniones temporales</w:t>
      </w:r>
      <w:r w:rsidRPr="006B4D4E">
        <w:rPr>
          <w:rFonts w:ascii="Verdana" w:hAnsi="Verdana" w:cs="Arial"/>
          <w:color w:val="000000" w:themeColor="text1"/>
        </w:rPr>
        <w:t xml:space="preserve"> </w:t>
      </w:r>
      <w:r>
        <w:rPr>
          <w:rFonts w:ascii="Verdana" w:hAnsi="Verdana" w:cs="Arial"/>
          <w:color w:val="000000" w:themeColor="text1"/>
        </w:rPr>
        <w:t xml:space="preserve">participen en uno o en varios procesos de contratación estatal. Además, </w:t>
      </w:r>
      <w:r w:rsidRPr="008E73D3">
        <w:rPr>
          <w:rFonts w:ascii="Verdana" w:eastAsia="Calibri" w:hAnsi="Verdana" w:cs="Arial"/>
          <w:lang w:val="es-ES"/>
        </w:rPr>
        <w:t>al ser una creación de carácter convencional que se logra mediante un acuerdo de carácter privado en la que concurre la voluntad de los miembros, es jurídicamente viable modificar</w:t>
      </w:r>
      <w:r>
        <w:rPr>
          <w:rFonts w:ascii="Verdana" w:eastAsia="Calibri" w:hAnsi="Verdana" w:cs="Arial"/>
          <w:lang w:val="es-ES"/>
        </w:rPr>
        <w:t xml:space="preserve"> las condiciones del consorcio</w:t>
      </w:r>
      <w:r w:rsidRPr="008E73D3">
        <w:rPr>
          <w:rFonts w:ascii="Verdana" w:eastAsia="Calibri" w:hAnsi="Verdana" w:cs="Arial"/>
          <w:lang w:val="es-ES"/>
        </w:rPr>
        <w:t xml:space="preserve">, </w:t>
      </w:r>
      <w:r w:rsidRPr="1901AB3C">
        <w:rPr>
          <w:rFonts w:ascii="Verdana" w:eastAsia="Calibri" w:hAnsi="Verdana" w:cs="Arial"/>
          <w:lang w:val="es-ES"/>
        </w:rPr>
        <w:t>en el momento y bajo la</w:t>
      </w:r>
      <w:r>
        <w:rPr>
          <w:rFonts w:ascii="Verdana" w:eastAsia="Calibri" w:hAnsi="Verdana" w:cs="Arial"/>
          <w:lang w:val="es-ES"/>
        </w:rPr>
        <w:t>s</w:t>
      </w:r>
      <w:r w:rsidRPr="1901AB3C">
        <w:rPr>
          <w:rFonts w:ascii="Verdana" w:eastAsia="Calibri" w:hAnsi="Verdana" w:cs="Arial"/>
          <w:lang w:val="es-ES"/>
        </w:rPr>
        <w:t xml:space="preserve"> hipótesis presentada</w:t>
      </w:r>
      <w:r>
        <w:rPr>
          <w:rFonts w:ascii="Verdana" w:eastAsia="Calibri" w:hAnsi="Verdana" w:cs="Arial"/>
          <w:lang w:val="es-ES"/>
        </w:rPr>
        <w:t>s en este concepto. N</w:t>
      </w:r>
      <w:r w:rsidRPr="008E73D3">
        <w:rPr>
          <w:rFonts w:ascii="Verdana" w:eastAsia="Calibri" w:hAnsi="Verdana" w:cs="Arial"/>
          <w:lang w:val="es-ES"/>
        </w:rPr>
        <w:t>o obstante, al realizar</w:t>
      </w:r>
      <w:r>
        <w:rPr>
          <w:rFonts w:ascii="Verdana" w:eastAsia="Calibri" w:hAnsi="Verdana" w:cs="Arial"/>
          <w:lang w:val="es-ES"/>
        </w:rPr>
        <w:t xml:space="preserve"> las modificaciones,</w:t>
      </w:r>
      <w:r w:rsidRPr="008E73D3">
        <w:rPr>
          <w:rFonts w:ascii="Verdana" w:eastAsia="Calibri" w:hAnsi="Verdana" w:cs="Arial"/>
          <w:lang w:val="es-ES"/>
        </w:rPr>
        <w:t xml:space="preserve"> </w:t>
      </w:r>
      <w:r w:rsidRPr="1901AB3C">
        <w:rPr>
          <w:rFonts w:ascii="Verdana" w:hAnsi="Verdana" w:cs="Arial"/>
          <w:color w:val="000000" w:themeColor="text1"/>
        </w:rPr>
        <w:t>deberán tener</w:t>
      </w:r>
      <w:r w:rsidRPr="008E73D3">
        <w:rPr>
          <w:rFonts w:ascii="Verdana" w:hAnsi="Verdana" w:cs="Arial"/>
          <w:color w:val="000000" w:themeColor="text1"/>
        </w:rPr>
        <w:t xml:space="preserve"> presente los documentos que pueden llegar a verse eventualmente afectados por este cambio y que </w:t>
      </w:r>
      <w:r w:rsidRPr="1901AB3C">
        <w:rPr>
          <w:rFonts w:ascii="Verdana" w:hAnsi="Verdana" w:cs="Arial"/>
          <w:color w:val="000000" w:themeColor="text1"/>
        </w:rPr>
        <w:t>tienen</w:t>
      </w:r>
      <w:r w:rsidRPr="008E73D3">
        <w:rPr>
          <w:rFonts w:ascii="Verdana" w:hAnsi="Verdana" w:cs="Arial"/>
          <w:color w:val="000000" w:themeColor="text1"/>
        </w:rPr>
        <w:t xml:space="preserve"> incidencia directa en la oferta</w:t>
      </w:r>
      <w:r>
        <w:rPr>
          <w:rFonts w:ascii="Verdana" w:hAnsi="Verdana" w:cs="Arial"/>
          <w:color w:val="000000" w:themeColor="text1"/>
        </w:rPr>
        <w:t xml:space="preserve">. De cualquier modo, los proponentes </w:t>
      </w:r>
      <w:r w:rsidRPr="008E73D3">
        <w:rPr>
          <w:rFonts w:ascii="Verdana" w:hAnsi="Verdana" w:cs="Arial"/>
          <w:color w:val="000000" w:themeColor="text1"/>
        </w:rPr>
        <w:t xml:space="preserve">no </w:t>
      </w:r>
      <w:r>
        <w:rPr>
          <w:rFonts w:ascii="Verdana" w:hAnsi="Verdana" w:cs="Arial"/>
          <w:color w:val="000000" w:themeColor="text1"/>
        </w:rPr>
        <w:t xml:space="preserve">podrán acreditar hechos </w:t>
      </w:r>
      <w:r w:rsidRPr="008E73D3">
        <w:rPr>
          <w:rFonts w:ascii="Verdana" w:hAnsi="Verdana" w:cs="Arial"/>
          <w:color w:val="000000" w:themeColor="text1"/>
        </w:rPr>
        <w:t xml:space="preserve">que </w:t>
      </w:r>
      <w:r>
        <w:rPr>
          <w:rFonts w:ascii="Verdana" w:hAnsi="Verdana" w:cs="Arial"/>
          <w:color w:val="000000" w:themeColor="text1"/>
        </w:rPr>
        <w:t>ocurran d</w:t>
      </w:r>
      <w:r w:rsidRPr="008E73D3">
        <w:rPr>
          <w:rFonts w:ascii="Verdana" w:hAnsi="Verdana" w:cs="Arial"/>
          <w:color w:val="000000" w:themeColor="text1"/>
        </w:rPr>
        <w:t>espués del cierre del proceso.</w:t>
      </w:r>
    </w:p>
    <w:p w14:paraId="22609635" w14:textId="77777777" w:rsidR="002B1FC8" w:rsidRDefault="002B1FC8" w:rsidP="002B1FC8">
      <w:pPr>
        <w:spacing w:after="0" w:line="276" w:lineRule="auto"/>
        <w:ind w:firstLine="708"/>
        <w:jc w:val="both"/>
        <w:rPr>
          <w:rFonts w:ascii="Verdana" w:hAnsi="Verdana" w:cs="Arial"/>
          <w:color w:val="000000" w:themeColor="text1"/>
        </w:rPr>
      </w:pPr>
      <w:r>
        <w:rPr>
          <w:rFonts w:ascii="Verdana" w:hAnsi="Verdana" w:cs="Arial"/>
          <w:color w:val="000000" w:themeColor="text1"/>
        </w:rPr>
        <w:t xml:space="preserve"> </w:t>
      </w:r>
    </w:p>
    <w:p w14:paraId="6E6F2234" w14:textId="77777777" w:rsidR="002B1FC8" w:rsidRPr="00FE5A24" w:rsidRDefault="002B1FC8" w:rsidP="002B1FC8">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Referencias normativas, jurisprudenciales y otras fuentes:</w:t>
      </w:r>
    </w:p>
    <w:p w14:paraId="38801283" w14:textId="77777777" w:rsidR="002B1FC8" w:rsidRPr="00FE5A24" w:rsidRDefault="002B1FC8" w:rsidP="002B1FC8">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B1FC8" w:rsidRPr="00FE5A24" w14:paraId="145D2753" w14:textId="77777777" w:rsidTr="00CB5A3E">
        <w:trPr>
          <w:trHeight w:val="870"/>
        </w:trPr>
        <w:tc>
          <w:tcPr>
            <w:tcW w:w="8647" w:type="dxa"/>
          </w:tcPr>
          <w:p w14:paraId="2452FB8A" w14:textId="77777777" w:rsidR="002B1FC8" w:rsidRPr="00E708A8" w:rsidRDefault="002B1FC8" w:rsidP="002B1FC8">
            <w:pPr>
              <w:pStyle w:val="Prrafodelista"/>
              <w:widowControl w:val="0"/>
              <w:numPr>
                <w:ilvl w:val="0"/>
                <w:numId w:val="2"/>
              </w:numPr>
              <w:autoSpaceDE w:val="0"/>
              <w:autoSpaceDN w:val="0"/>
              <w:spacing w:after="120" w:line="276" w:lineRule="auto"/>
              <w:jc w:val="both"/>
              <w:rPr>
                <w:rFonts w:ascii="Verdana" w:hAnsi="Verdana" w:cs="Arial"/>
              </w:rPr>
            </w:pPr>
            <w:r w:rsidRPr="00E708A8">
              <w:rPr>
                <w:rFonts w:ascii="Verdana" w:hAnsi="Verdana" w:cs="Arial"/>
              </w:rPr>
              <w:t xml:space="preserve">Código Civil, artículos 1502, 1503 y 1504. </w:t>
            </w:r>
          </w:p>
          <w:p w14:paraId="1E88AFB5" w14:textId="77777777" w:rsidR="002B1FC8" w:rsidRPr="00E708A8" w:rsidRDefault="002B1FC8" w:rsidP="00CB5A3E">
            <w:pPr>
              <w:pStyle w:val="Prrafodelista"/>
              <w:widowControl w:val="0"/>
              <w:autoSpaceDE w:val="0"/>
              <w:autoSpaceDN w:val="0"/>
              <w:spacing w:after="120" w:line="276" w:lineRule="auto"/>
              <w:jc w:val="both"/>
              <w:rPr>
                <w:rFonts w:ascii="Verdana" w:hAnsi="Verdana" w:cs="Arial"/>
                <w:sz w:val="12"/>
                <w:szCs w:val="12"/>
              </w:rPr>
            </w:pPr>
          </w:p>
          <w:p w14:paraId="7CC96CAC" w14:textId="77777777" w:rsidR="002B1FC8" w:rsidRPr="00E708A8" w:rsidRDefault="002B1FC8" w:rsidP="002B1FC8">
            <w:pPr>
              <w:pStyle w:val="Prrafodelista"/>
              <w:widowControl w:val="0"/>
              <w:numPr>
                <w:ilvl w:val="0"/>
                <w:numId w:val="2"/>
              </w:numPr>
              <w:autoSpaceDE w:val="0"/>
              <w:autoSpaceDN w:val="0"/>
              <w:spacing w:after="120" w:line="276" w:lineRule="auto"/>
              <w:contextualSpacing w:val="0"/>
              <w:jc w:val="both"/>
              <w:rPr>
                <w:rFonts w:ascii="Verdana" w:hAnsi="Verdana" w:cs="Arial"/>
              </w:rPr>
            </w:pPr>
            <w:r w:rsidRPr="00E708A8">
              <w:rPr>
                <w:rFonts w:ascii="Verdana" w:hAnsi="Verdana" w:cs="Arial"/>
              </w:rPr>
              <w:t>Código de Comercio, artículo 99.</w:t>
            </w:r>
          </w:p>
          <w:p w14:paraId="565AEBFB" w14:textId="77777777" w:rsidR="002B1FC8" w:rsidRDefault="002B1FC8" w:rsidP="002B1FC8">
            <w:pPr>
              <w:pStyle w:val="Prrafodelista"/>
              <w:widowControl w:val="0"/>
              <w:numPr>
                <w:ilvl w:val="0"/>
                <w:numId w:val="2"/>
              </w:numPr>
              <w:autoSpaceDE w:val="0"/>
              <w:autoSpaceDN w:val="0"/>
              <w:spacing w:after="120" w:line="276" w:lineRule="auto"/>
              <w:contextualSpacing w:val="0"/>
              <w:jc w:val="both"/>
              <w:rPr>
                <w:rFonts w:ascii="Verdana" w:hAnsi="Verdana" w:cs="Arial"/>
              </w:rPr>
            </w:pPr>
            <w:r w:rsidRPr="00E708A8">
              <w:rPr>
                <w:rFonts w:ascii="Verdana" w:hAnsi="Verdana" w:cs="Arial"/>
              </w:rPr>
              <w:t>Ley 80 de 1993, artículos 2, 6 y 7.</w:t>
            </w:r>
          </w:p>
          <w:p w14:paraId="791BF2CB" w14:textId="77777777" w:rsidR="002B1FC8" w:rsidRDefault="002B1FC8" w:rsidP="002B1FC8">
            <w:pPr>
              <w:pStyle w:val="Prrafodelista"/>
              <w:widowControl w:val="0"/>
              <w:numPr>
                <w:ilvl w:val="0"/>
                <w:numId w:val="2"/>
              </w:numPr>
              <w:autoSpaceDE w:val="0"/>
              <w:autoSpaceDN w:val="0"/>
              <w:spacing w:after="120" w:line="276" w:lineRule="auto"/>
              <w:contextualSpacing w:val="0"/>
              <w:jc w:val="both"/>
              <w:rPr>
                <w:rFonts w:ascii="Verdana" w:hAnsi="Verdana" w:cs="Arial"/>
              </w:rPr>
            </w:pPr>
            <w:r>
              <w:rPr>
                <w:rFonts w:ascii="Verdana" w:hAnsi="Verdana" w:cs="Arial"/>
              </w:rPr>
              <w:t>Ley 1150 de 2007, artículo 5º, modificado por la Ley 1474 de 2011 y la Ley 1882 de 2018.</w:t>
            </w:r>
          </w:p>
          <w:p w14:paraId="403E4431" w14:textId="77777777" w:rsidR="002B1FC8" w:rsidRPr="00E708A8" w:rsidRDefault="002B1FC8" w:rsidP="002B1FC8">
            <w:pPr>
              <w:pStyle w:val="Prrafodelista"/>
              <w:widowControl w:val="0"/>
              <w:numPr>
                <w:ilvl w:val="0"/>
                <w:numId w:val="2"/>
              </w:numPr>
              <w:autoSpaceDE w:val="0"/>
              <w:autoSpaceDN w:val="0"/>
              <w:spacing w:after="120" w:line="276" w:lineRule="auto"/>
              <w:contextualSpacing w:val="0"/>
              <w:jc w:val="both"/>
              <w:rPr>
                <w:rFonts w:ascii="Verdana" w:hAnsi="Verdana" w:cs="Arial"/>
              </w:rPr>
            </w:pPr>
            <w:r w:rsidRPr="002407CE">
              <w:rPr>
                <w:rFonts w:ascii="Verdana" w:hAnsi="Verdana" w:cs="Arial"/>
              </w:rPr>
              <w:t xml:space="preserve">Jurisprudencia de la Corte Constitucional. Disponible en:  </w:t>
            </w:r>
            <w:hyperlink r:id="rId10" w:history="1">
              <w:r w:rsidRPr="00DE449B">
                <w:rPr>
                  <w:rFonts w:ascii="Verdana" w:eastAsia="Verdana" w:hAnsi="Verdana" w:cs="Verdana"/>
                  <w:color w:val="0000FF"/>
                  <w:u w:color="0000FF"/>
                </w:rPr>
                <w:t>https://www.corteconstitucional.gov./relatoria/</w:t>
              </w:r>
            </w:hyperlink>
            <w:r w:rsidRPr="002407CE">
              <w:rPr>
                <w:rFonts w:ascii="Verdana" w:hAnsi="Verdana" w:cs="Arial"/>
              </w:rPr>
              <w:t xml:space="preserve"> </w:t>
            </w:r>
          </w:p>
          <w:p w14:paraId="2FCADBC0" w14:textId="77777777" w:rsidR="002B1FC8" w:rsidRPr="00DE449B" w:rsidRDefault="002B1FC8" w:rsidP="002B1FC8">
            <w:pPr>
              <w:pStyle w:val="Textoindependiente"/>
              <w:numPr>
                <w:ilvl w:val="0"/>
                <w:numId w:val="2"/>
              </w:numPr>
              <w:tabs>
                <w:tab w:val="left" w:pos="817"/>
              </w:tabs>
              <w:spacing w:before="120" w:line="237" w:lineRule="auto"/>
              <w:ind w:right="107"/>
              <w:rPr>
                <w:rFonts w:ascii="Symbol" w:hAnsi="Symbol"/>
              </w:rPr>
            </w:pPr>
            <w:r>
              <w:t>Jurisprudencia del Consejo de Estado. Disponible en:</w:t>
            </w:r>
            <w:r>
              <w:rPr>
                <w:color w:val="0000FF"/>
              </w:rPr>
              <w:t xml:space="preserve"> </w:t>
            </w:r>
            <w:hyperlink r:id="rId11">
              <w:r>
                <w:rPr>
                  <w:color w:val="0000FF"/>
                  <w:u w:val="single" w:color="0000FF"/>
                </w:rPr>
                <w:t>https://relatoria.c</w:t>
              </w:r>
            </w:hyperlink>
            <w:r>
              <w:rPr>
                <w:color w:val="0000FF"/>
                <w:spacing w:val="-75"/>
              </w:rPr>
              <w:t xml:space="preserve"> </w:t>
            </w:r>
            <w:hyperlink r:id="rId12">
              <w:r>
                <w:rPr>
                  <w:color w:val="0000FF"/>
                  <w:u w:val="single" w:color="0000FF"/>
                </w:rPr>
                <w:t>olombiacompra.gov.co/providencias-consejo-de-estado/</w:t>
              </w:r>
            </w:hyperlink>
          </w:p>
        </w:tc>
      </w:tr>
    </w:tbl>
    <w:p w14:paraId="54BA5512" w14:textId="77777777" w:rsidR="002B1FC8" w:rsidRPr="00FE5A24" w:rsidRDefault="002B1FC8" w:rsidP="002B1FC8">
      <w:pPr>
        <w:widowControl w:val="0"/>
        <w:autoSpaceDE w:val="0"/>
        <w:autoSpaceDN w:val="0"/>
        <w:spacing w:after="0" w:line="276" w:lineRule="auto"/>
        <w:jc w:val="both"/>
        <w:rPr>
          <w:rFonts w:ascii="Verdana" w:hAnsi="Verdana" w:cs="Arial"/>
          <w:color w:val="000000" w:themeColor="text1"/>
        </w:rPr>
      </w:pPr>
    </w:p>
    <w:p w14:paraId="0B5E7D0B" w14:textId="77777777" w:rsidR="002B1FC8" w:rsidRPr="00FE5A24" w:rsidRDefault="002B1FC8" w:rsidP="002B1FC8">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Doctrina de la Agencia Nacional de Contratación Pública:</w:t>
      </w:r>
    </w:p>
    <w:p w14:paraId="42EFB8E2" w14:textId="77777777" w:rsidR="002B1FC8" w:rsidRPr="00FE5A24" w:rsidRDefault="002B1FC8" w:rsidP="002B1FC8">
      <w:pPr>
        <w:widowControl w:val="0"/>
        <w:autoSpaceDE w:val="0"/>
        <w:autoSpaceDN w:val="0"/>
        <w:spacing w:after="0" w:line="276" w:lineRule="auto"/>
        <w:jc w:val="both"/>
        <w:rPr>
          <w:rFonts w:ascii="Verdana" w:hAnsi="Verdana" w:cs="Arial"/>
          <w:color w:val="000000" w:themeColor="text1"/>
        </w:rPr>
      </w:pPr>
    </w:p>
    <w:p w14:paraId="01947E30" w14:textId="77777777" w:rsidR="002B1FC8" w:rsidRDefault="002B1FC8" w:rsidP="002B1FC8">
      <w:pPr>
        <w:widowControl w:val="0"/>
        <w:autoSpaceDE w:val="0"/>
        <w:autoSpaceDN w:val="0"/>
        <w:spacing w:after="0" w:line="276" w:lineRule="auto"/>
        <w:jc w:val="both"/>
        <w:rPr>
          <w:rStyle w:val="normaltextrun"/>
          <w:rFonts w:ascii="Verdana" w:hAnsi="Verdana" w:cs="Arial"/>
          <w:color w:val="000000" w:themeColor="text1"/>
          <w:shd w:val="clear" w:color="auto" w:fill="FFFFFF"/>
        </w:rPr>
      </w:pPr>
      <w:r>
        <w:rPr>
          <w:rStyle w:val="normaltextrun"/>
          <w:rFonts w:ascii="Verdana" w:hAnsi="Verdana" w:cs="Arial"/>
          <w:shd w:val="clear" w:color="auto" w:fill="FFFFFF"/>
          <w:lang w:val="es-ES"/>
        </w:rPr>
        <w:t>E</w:t>
      </w:r>
      <w:r w:rsidRPr="00EA761C">
        <w:rPr>
          <w:rStyle w:val="normaltextrun"/>
          <w:rFonts w:ascii="Verdana" w:hAnsi="Verdana" w:cs="Arial"/>
          <w:shd w:val="clear" w:color="auto" w:fill="FFFFFF"/>
          <w:lang w:val="es-ES"/>
        </w:rPr>
        <w:t>sta Subdirección </w:t>
      </w:r>
      <w:r>
        <w:rPr>
          <w:rStyle w:val="normaltextrun"/>
          <w:rFonts w:ascii="Verdana" w:hAnsi="Verdana" w:cs="Arial"/>
          <w:shd w:val="clear" w:color="auto" w:fill="FFFFFF"/>
          <w:lang w:val="es-ES"/>
        </w:rPr>
        <w:t>se ha pronunciado s</w:t>
      </w:r>
      <w:r w:rsidRPr="00EA761C">
        <w:rPr>
          <w:rStyle w:val="normaltextrun"/>
          <w:rFonts w:ascii="Verdana" w:hAnsi="Verdana" w:cs="Arial"/>
          <w:shd w:val="clear" w:color="auto" w:fill="FFFFFF"/>
          <w:lang w:val="es-ES"/>
        </w:rPr>
        <w:t>obre los consorcios y las uniones temporales en los Conceptos</w:t>
      </w:r>
      <w:r w:rsidRPr="00EA761C">
        <w:rPr>
          <w:rStyle w:val="normaltextrun"/>
          <w:rFonts w:ascii="Verdana" w:hAnsi="Verdana" w:cs="Calibri"/>
          <w:shd w:val="clear" w:color="auto" w:fill="FFFFFF"/>
        </w:rPr>
        <w:t xml:space="preserve"> </w:t>
      </w:r>
      <w:r w:rsidRPr="00167520">
        <w:rPr>
          <w:rStyle w:val="normaltextrun"/>
          <w:rFonts w:ascii="Verdana" w:hAnsi="Verdana" w:cs="Calibri"/>
          <w:shd w:val="clear" w:color="auto" w:fill="FFFFFF"/>
        </w:rPr>
        <w:t>4201912000006909</w:t>
      </w:r>
      <w:r>
        <w:rPr>
          <w:rStyle w:val="normaltextrun"/>
          <w:rFonts w:ascii="Verdana" w:hAnsi="Verdana" w:cs="Calibri"/>
          <w:shd w:val="clear" w:color="auto" w:fill="FFFFFF"/>
        </w:rPr>
        <w:t xml:space="preserve"> del 28 de octubre de 2029, </w:t>
      </w:r>
      <w:r w:rsidRPr="00EA761C">
        <w:rPr>
          <w:rStyle w:val="normaltextrun"/>
          <w:rFonts w:ascii="Verdana" w:hAnsi="Verdana" w:cs="Arial"/>
          <w:shd w:val="clear" w:color="auto" w:fill="FFFFFF"/>
          <w:lang w:val="es-ES"/>
        </w:rPr>
        <w:t xml:space="preserve">4201913000007643 del 26 de diciembre de 2019, C-343 del 17 de junio de 2020, C-518 del 9 de septiembre de 2020, C-614 del 5 de octubre de 2022, C-882 del 21 de diciembre </w:t>
      </w:r>
      <w:r w:rsidRPr="00167520">
        <w:rPr>
          <w:rStyle w:val="normaltextrun"/>
          <w:rFonts w:ascii="Verdana" w:hAnsi="Verdana" w:cs="Arial"/>
          <w:shd w:val="clear" w:color="auto" w:fill="FFFFFF"/>
          <w:lang w:val="es-ES"/>
        </w:rPr>
        <w:t>de 2022, C-172 del 6 de junio de 2023, C-032 del 16 de abril de 2024, C-050 del 18 de julio de 2024,</w:t>
      </w:r>
      <w:r w:rsidRPr="00167520">
        <w:rPr>
          <w:rStyle w:val="normaltextrun"/>
          <w:rFonts w:ascii="Verdana" w:hAnsi="Verdana" w:cs="Arial"/>
          <w:color w:val="000000" w:themeColor="text1"/>
          <w:shd w:val="clear" w:color="auto" w:fill="FFFFFF"/>
          <w:lang w:val="es-ES"/>
        </w:rPr>
        <w:t xml:space="preserve"> C-100 del 12 de junio de 2024, 727 del 28 de octubre de 2024, Concepto C-894 del 11 de diciembre de 2024, </w:t>
      </w:r>
      <w:r w:rsidRPr="00167520">
        <w:rPr>
          <w:rStyle w:val="normaltextrun"/>
          <w:rFonts w:ascii="Verdana" w:hAnsi="Verdana"/>
          <w:color w:val="000000" w:themeColor="text1"/>
          <w:shd w:val="clear" w:color="auto" w:fill="FFFFFF"/>
          <w:lang w:val="es-ES"/>
        </w:rPr>
        <w:lastRenderedPageBreak/>
        <w:t xml:space="preserve">C-936 </w:t>
      </w:r>
      <w:r w:rsidRPr="00167520">
        <w:rPr>
          <w:rStyle w:val="normaltextrun"/>
          <w:rFonts w:ascii="Verdana" w:hAnsi="Verdana"/>
          <w:color w:val="000000" w:themeColor="text1"/>
          <w:shd w:val="clear" w:color="auto" w:fill="FFFFFF"/>
        </w:rPr>
        <w:t>del 18 de diciembre de 2024, Concepto C-016 del 11 de febrero de 2025,</w:t>
      </w:r>
      <w:r>
        <w:rPr>
          <w:rStyle w:val="normaltextrun"/>
          <w:rFonts w:ascii="Verdana" w:hAnsi="Verdana"/>
          <w:color w:val="000000" w:themeColor="text1"/>
          <w:shd w:val="clear" w:color="auto" w:fill="FFFFFF"/>
        </w:rPr>
        <w:t xml:space="preserve"> C-480 del 21 de mayo de 2025,</w:t>
      </w:r>
      <w:r w:rsidRPr="00167520">
        <w:rPr>
          <w:rStyle w:val="normaltextrun"/>
          <w:rFonts w:ascii="Verdana" w:hAnsi="Verdana"/>
          <w:color w:val="000000" w:themeColor="text1"/>
          <w:shd w:val="clear" w:color="auto" w:fill="FFFFFF"/>
        </w:rPr>
        <w:t xml:space="preserve"> </w:t>
      </w:r>
      <w:r w:rsidRPr="00167520">
        <w:rPr>
          <w:rStyle w:val="normaltextrun"/>
          <w:rFonts w:ascii="Verdana" w:hAnsi="Verdana" w:cs="Arial"/>
          <w:color w:val="000000" w:themeColor="text1"/>
          <w:shd w:val="clear" w:color="auto" w:fill="FFFFFF"/>
          <w:lang w:val="es-ES"/>
        </w:rPr>
        <w:t>entre otros</w:t>
      </w:r>
      <w:r w:rsidRPr="00167520">
        <w:rPr>
          <w:rFonts w:ascii="Verdana" w:hAnsi="Verdana"/>
          <w:color w:val="000000" w:themeColor="text1"/>
        </w:rPr>
        <w:t>.</w:t>
      </w:r>
      <w:r w:rsidRPr="00167520">
        <w:rPr>
          <w:rFonts w:ascii="Verdana" w:hAnsi="Verdana" w:cs="Arial"/>
          <w:color w:val="000000" w:themeColor="text1"/>
          <w:shd w:val="clear" w:color="auto" w:fill="FFFFFF"/>
        </w:rPr>
        <w:t xml:space="preserve"> </w:t>
      </w:r>
      <w:r w:rsidRPr="00FE5A24">
        <w:rPr>
          <w:rFonts w:ascii="Verdana" w:hAnsi="Verdana" w:cs="Arial"/>
          <w:color w:val="000000" w:themeColor="text1"/>
          <w:shd w:val="clear" w:color="auto" w:fill="FFFFFF"/>
        </w:rPr>
        <w:t xml:space="preserve">Estos </w:t>
      </w:r>
      <w:r w:rsidRPr="00FE5A24">
        <w:rPr>
          <w:rStyle w:val="normaltextrun"/>
          <w:rFonts w:ascii="Verdana" w:hAnsi="Verdana" w:cs="Arial"/>
          <w:color w:val="000000" w:themeColor="text1"/>
          <w:shd w:val="clear" w:color="auto" w:fill="FFFFFF"/>
        </w:rPr>
        <w:t>se encuentran disponibles para consulta en el Sistema de relatoría de la Agencia, al cual puede accederse a través del siguiente enlace:</w:t>
      </w:r>
    </w:p>
    <w:p w14:paraId="38B9A0E0" w14:textId="77777777" w:rsidR="002B1FC8" w:rsidRDefault="002B1FC8" w:rsidP="002B1FC8">
      <w:pPr>
        <w:widowControl w:val="0"/>
        <w:autoSpaceDE w:val="0"/>
        <w:autoSpaceDN w:val="0"/>
        <w:spacing w:after="0" w:line="276" w:lineRule="auto"/>
        <w:jc w:val="both"/>
        <w:rPr>
          <w:rStyle w:val="normaltextrun"/>
          <w:rFonts w:ascii="Verdana" w:hAnsi="Verdana" w:cs="Arial"/>
          <w:color w:val="000000" w:themeColor="text1"/>
          <w:shd w:val="clear" w:color="auto" w:fill="FFFFFF"/>
        </w:rPr>
      </w:pPr>
    </w:p>
    <w:p w14:paraId="445D7603" w14:textId="77777777" w:rsidR="002B1FC8" w:rsidRPr="00824BAD" w:rsidRDefault="002B1FC8" w:rsidP="002B1FC8">
      <w:pPr>
        <w:widowControl w:val="0"/>
        <w:autoSpaceDE w:val="0"/>
        <w:autoSpaceDN w:val="0"/>
        <w:spacing w:after="0" w:line="276" w:lineRule="auto"/>
        <w:jc w:val="both"/>
        <w:rPr>
          <w:rStyle w:val="normaltextrun"/>
          <w:rFonts w:ascii="Verdana" w:eastAsia="Times New Roman" w:hAnsi="Verdana" w:cs="Arial"/>
          <w:shd w:val="clear" w:color="auto" w:fill="FFFFFF"/>
          <w:lang w:val="es-ES"/>
        </w:rPr>
      </w:pPr>
      <w:hyperlink r:id="rId13" w:history="1">
        <w:r w:rsidRPr="00401F64">
          <w:rPr>
            <w:rStyle w:val="Hipervnculo"/>
            <w:rFonts w:ascii="Verdana" w:hAnsi="Verdana" w:cs="Arial"/>
            <w:shd w:val="clear" w:color="auto" w:fill="FFFFFF"/>
          </w:rPr>
          <w:t>https://relatoria.colombiacompra.gov.co/busqueda/conceptos</w:t>
        </w:r>
      </w:hyperlink>
      <w:r w:rsidRPr="00401F64">
        <w:rPr>
          <w:rStyle w:val="Hipervnculo"/>
        </w:rPr>
        <w:t>.</w:t>
      </w:r>
      <w:r w:rsidRPr="00FE5A24">
        <w:rPr>
          <w:rStyle w:val="normaltextrun"/>
          <w:rFonts w:ascii="Verdana" w:hAnsi="Verdana" w:cs="Arial"/>
          <w:color w:val="000000" w:themeColor="text1"/>
          <w:shd w:val="clear" w:color="auto" w:fill="FFFFFF"/>
        </w:rPr>
        <w:t xml:space="preserve"> </w:t>
      </w:r>
      <w:r w:rsidRPr="00FE5A24">
        <w:rPr>
          <w:rStyle w:val="normaltextrun"/>
          <w:rFonts w:ascii="Verdana" w:hAnsi="Verdana" w:cs="Arial"/>
          <w:color w:val="000000" w:themeColor="text1"/>
          <w:shd w:val="clear" w:color="auto" w:fill="FFFFFF"/>
          <w:lang w:val="es-ES"/>
        </w:rPr>
        <w:t xml:space="preserve"> </w:t>
      </w:r>
    </w:p>
    <w:p w14:paraId="50851EB7" w14:textId="77777777" w:rsidR="002B1FC8" w:rsidRPr="00FE5A24" w:rsidRDefault="002B1FC8" w:rsidP="002B1FC8">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p>
    <w:p w14:paraId="1DF83337" w14:textId="77777777" w:rsidR="002B1FC8" w:rsidRPr="00067BB4" w:rsidRDefault="002B1FC8" w:rsidP="002B1FC8">
      <w:pPr>
        <w:spacing w:after="0" w:line="276" w:lineRule="auto"/>
        <w:jc w:val="both"/>
        <w:rPr>
          <w:rFonts w:ascii="Verdana" w:hAnsi="Verdana"/>
        </w:rPr>
      </w:pPr>
      <w:r>
        <w:rPr>
          <w:rFonts w:ascii="Verdana" w:hAnsi="Verdana"/>
        </w:rPr>
        <w:t>L</w:t>
      </w:r>
      <w:r w:rsidRPr="00067BB4">
        <w:rPr>
          <w:rFonts w:ascii="Verdana" w:hAnsi="Verdana"/>
        </w:rPr>
        <w:t>e contamos que ya se encuentra disponible la </w:t>
      </w:r>
      <w:r w:rsidRPr="00067BB4">
        <w:rPr>
          <w:rFonts w:ascii="Verdana" w:hAnsi="Verdana"/>
          <w:b/>
          <w:bCs/>
        </w:rPr>
        <w:t>Guía de lineamientos de transparencia y selección objetiva para el departamento de La Guajira – Objetivo sexto constitucional de la Sentencia T-302 del 2017. </w:t>
      </w:r>
      <w:r w:rsidRPr="00067BB4">
        <w:rPr>
          <w:rFonts w:ascii="Verdana" w:hAnsi="Verdana"/>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067BB4">
          <w:rPr>
            <w:rStyle w:val="Hipervnculo"/>
            <w:rFonts w:ascii="Verdana" w:hAnsi="Verdana"/>
          </w:rPr>
          <w:t>Guía de lineamientos de transparencia y selección objetiva para el departamento de La Guajira – Objetivo sexto constitucional de la Sentencia T-302 del 2017</w:t>
        </w:r>
      </w:hyperlink>
    </w:p>
    <w:p w14:paraId="55D18B90" w14:textId="77777777" w:rsidR="002B1FC8" w:rsidRPr="00611EE4" w:rsidRDefault="002B1FC8" w:rsidP="002B1FC8">
      <w:pPr>
        <w:widowControl w:val="0"/>
        <w:autoSpaceDE w:val="0"/>
        <w:autoSpaceDN w:val="0"/>
        <w:spacing w:after="0" w:line="276" w:lineRule="auto"/>
        <w:jc w:val="both"/>
        <w:rPr>
          <w:rStyle w:val="normaltextrun"/>
          <w:rFonts w:ascii="Verdana" w:hAnsi="Verdana" w:cs="Arial"/>
          <w:color w:val="FF0000"/>
          <w:shd w:val="clear" w:color="auto" w:fill="FFFFFF"/>
        </w:rPr>
      </w:pPr>
    </w:p>
    <w:p w14:paraId="62E3F132" w14:textId="77777777" w:rsidR="002B1FC8" w:rsidRPr="003E2460" w:rsidRDefault="002B1FC8" w:rsidP="002B1FC8">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5DA8FBDB" w14:textId="77777777" w:rsidR="002B1FC8" w:rsidRPr="003E2460" w:rsidRDefault="002B1FC8" w:rsidP="002B1FC8">
      <w:pPr>
        <w:spacing w:after="0" w:line="240" w:lineRule="auto"/>
        <w:jc w:val="both"/>
        <w:rPr>
          <w:rFonts w:ascii="Verdana" w:hAnsi="Verdana"/>
        </w:rPr>
      </w:pPr>
    </w:p>
    <w:p w14:paraId="36D2E197" w14:textId="77777777" w:rsidR="002B1FC8" w:rsidRPr="003E2460" w:rsidRDefault="002B1FC8" w:rsidP="002B1FC8">
      <w:pPr>
        <w:spacing w:after="0" w:line="240" w:lineRule="auto"/>
        <w:jc w:val="both"/>
        <w:rPr>
          <w:rFonts w:ascii="Verdana" w:hAnsi="Verdana"/>
        </w:rPr>
      </w:pPr>
      <w:r w:rsidRPr="003E2460">
        <w:rPr>
          <w:rFonts w:ascii="Verdana" w:hAnsi="Verdana"/>
        </w:rPr>
        <w:t xml:space="preserve">Twitter: </w:t>
      </w:r>
      <w:r w:rsidRPr="00386BAA">
        <w:rPr>
          <w:rStyle w:val="Hipervnculo"/>
          <w:rFonts w:ascii="Verdana" w:hAnsi="Verdana" w:cs="Arial"/>
          <w:shd w:val="clear" w:color="auto" w:fill="FFFFFF"/>
        </w:rPr>
        <w:t>@colombiacompra</w:t>
      </w:r>
      <w:r w:rsidRPr="003E2460">
        <w:rPr>
          <w:rFonts w:ascii="Verdana" w:hAnsi="Verdana"/>
          <w:color w:val="4472C4" w:themeColor="accent1"/>
        </w:rPr>
        <w:t xml:space="preserve"> </w:t>
      </w:r>
    </w:p>
    <w:p w14:paraId="5325404F" w14:textId="77777777" w:rsidR="002B1FC8" w:rsidRPr="003E2460" w:rsidRDefault="002B1FC8" w:rsidP="002B1FC8">
      <w:pPr>
        <w:spacing w:after="0" w:line="240" w:lineRule="auto"/>
        <w:jc w:val="both"/>
        <w:rPr>
          <w:rFonts w:ascii="Verdana" w:hAnsi="Verdana"/>
        </w:rPr>
      </w:pPr>
      <w:r w:rsidRPr="003E2460">
        <w:rPr>
          <w:rFonts w:ascii="Verdana" w:hAnsi="Verdana"/>
        </w:rPr>
        <w:t xml:space="preserve">Facebook: </w:t>
      </w:r>
      <w:r w:rsidRPr="00386BAA">
        <w:rPr>
          <w:rStyle w:val="Hipervnculo"/>
          <w:rFonts w:ascii="Verdana" w:hAnsi="Verdana" w:cs="Arial"/>
          <w:shd w:val="clear" w:color="auto" w:fill="FFFFFF"/>
        </w:rPr>
        <w:t>ColombiaCompraEficiente</w:t>
      </w:r>
    </w:p>
    <w:p w14:paraId="57210A76" w14:textId="77777777" w:rsidR="002B1FC8" w:rsidRPr="003E2460" w:rsidRDefault="002B1FC8" w:rsidP="002B1FC8">
      <w:pPr>
        <w:spacing w:after="0" w:line="240" w:lineRule="auto"/>
        <w:jc w:val="both"/>
        <w:rPr>
          <w:rFonts w:ascii="Verdana" w:hAnsi="Verdana"/>
        </w:rPr>
      </w:pPr>
      <w:r w:rsidRPr="003E2460">
        <w:rPr>
          <w:rFonts w:ascii="Verdana" w:hAnsi="Verdana"/>
        </w:rPr>
        <w:t xml:space="preserve">LinkedIn: </w:t>
      </w:r>
      <w:r w:rsidRPr="00386BAA">
        <w:rPr>
          <w:rStyle w:val="Hipervnculo"/>
          <w:rFonts w:ascii="Verdana" w:hAnsi="Verdana" w:cs="Arial"/>
          <w:shd w:val="clear" w:color="auto" w:fill="FFFFFF"/>
        </w:rPr>
        <w:t>Agencia Nacional de Contratación Pública - Colombia Compra Eficiente</w:t>
      </w:r>
      <w:r w:rsidRPr="00386BAA">
        <w:rPr>
          <w:rStyle w:val="Hipervnculo"/>
          <w:rFonts w:cs="Arial"/>
          <w:shd w:val="clear" w:color="auto" w:fill="FFFFFF"/>
        </w:rPr>
        <w:t xml:space="preserve"> </w:t>
      </w:r>
      <w:r w:rsidRPr="003E2460">
        <w:rPr>
          <w:rFonts w:ascii="Verdana" w:hAnsi="Verdana"/>
        </w:rPr>
        <w:t xml:space="preserve">Instagram: </w:t>
      </w:r>
      <w:r w:rsidRPr="00386BAA">
        <w:rPr>
          <w:rStyle w:val="Hipervnculo"/>
          <w:rFonts w:ascii="Verdana" w:hAnsi="Verdana" w:cs="Arial"/>
          <w:shd w:val="clear" w:color="auto" w:fill="FFFFFF"/>
        </w:rPr>
        <w:t>@colombiacompraeficiente_cce</w:t>
      </w:r>
    </w:p>
    <w:p w14:paraId="299B430F" w14:textId="77777777" w:rsidR="002B1FC8" w:rsidRPr="00FE5A24" w:rsidRDefault="002B1FC8" w:rsidP="002B1FC8">
      <w:pPr>
        <w:widowControl w:val="0"/>
        <w:autoSpaceDE w:val="0"/>
        <w:autoSpaceDN w:val="0"/>
        <w:spacing w:after="0" w:line="276" w:lineRule="auto"/>
        <w:jc w:val="both"/>
        <w:rPr>
          <w:rFonts w:ascii="Verdana" w:hAnsi="Verdana" w:cs="Arial"/>
          <w:color w:val="000000" w:themeColor="text1"/>
        </w:rPr>
      </w:pPr>
    </w:p>
    <w:p w14:paraId="44686965" w14:textId="77777777" w:rsidR="002B1FC8" w:rsidRPr="00FE5A24" w:rsidRDefault="002B1FC8" w:rsidP="002B1FC8">
      <w:pPr>
        <w:widowControl w:val="0"/>
        <w:autoSpaceDE w:val="0"/>
        <w:autoSpaceDN w:val="0"/>
        <w:spacing w:after="0" w:line="276" w:lineRule="auto"/>
        <w:jc w:val="both"/>
        <w:rPr>
          <w:rFonts w:ascii="Verdana" w:hAnsi="Verdana" w:cs="Arial"/>
          <w:color w:val="000000" w:themeColor="text1"/>
          <w:lang w:val="es-ES_tradnl"/>
        </w:rPr>
      </w:pPr>
      <w:r w:rsidRPr="00FE5A24">
        <w:rPr>
          <w:rFonts w:ascii="Verdana" w:hAnsi="Verdana" w:cs="Arial"/>
          <w:color w:val="000000" w:themeColor="text1"/>
        </w:rPr>
        <w:t xml:space="preserve">Este concepto tiene el alcance previsto en el artículo 28 del Código de Procedimiento Administrativo y de lo Contencioso Administrativo </w:t>
      </w:r>
      <w:r w:rsidRPr="00FE5A24">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74A02473" w14:textId="77777777" w:rsidR="002B1FC8" w:rsidRPr="00FE5A24" w:rsidRDefault="002B1FC8" w:rsidP="002B1FC8">
      <w:pPr>
        <w:widowControl w:val="0"/>
        <w:autoSpaceDE w:val="0"/>
        <w:autoSpaceDN w:val="0"/>
        <w:spacing w:after="0" w:line="276" w:lineRule="auto"/>
        <w:jc w:val="both"/>
        <w:rPr>
          <w:rFonts w:ascii="Verdana" w:hAnsi="Verdana" w:cs="Arial"/>
          <w:color w:val="000000" w:themeColor="text1"/>
        </w:rPr>
      </w:pPr>
    </w:p>
    <w:p w14:paraId="3EA34B09" w14:textId="77777777" w:rsidR="002B1FC8" w:rsidRPr="00FE5A24" w:rsidRDefault="002B1FC8" w:rsidP="002B1FC8">
      <w:pPr>
        <w:spacing w:after="0" w:line="240" w:lineRule="auto"/>
        <w:rPr>
          <w:rFonts w:ascii="Verdana" w:hAnsi="Verdana" w:cs="Arial"/>
          <w:color w:val="000000" w:themeColor="text1"/>
          <w:lang w:eastAsia="es-CO"/>
        </w:rPr>
      </w:pPr>
      <w:r w:rsidRPr="00FE5A24">
        <w:rPr>
          <w:rFonts w:ascii="Verdana" w:eastAsia="Times New Roman" w:hAnsi="Verdana" w:cs="Arial"/>
          <w:color w:val="000000" w:themeColor="text1"/>
          <w:lang w:eastAsia="es-CO"/>
        </w:rPr>
        <w:t>Atentamente,</w:t>
      </w:r>
      <w:r w:rsidRPr="00FE5A24">
        <w:rPr>
          <w:rFonts w:ascii="Verdana" w:hAnsi="Verdana" w:cs="Arial"/>
          <w:color w:val="000000" w:themeColor="text1"/>
          <w:lang w:eastAsia="es-CO"/>
        </w:rPr>
        <w:t xml:space="preserve"> </w:t>
      </w:r>
    </w:p>
    <w:p w14:paraId="19826A78" w14:textId="6150DE94" w:rsidR="002B1FC8" w:rsidRPr="00FE5A24" w:rsidRDefault="00D5083F" w:rsidP="002B1FC8">
      <w:pPr>
        <w:spacing w:line="276" w:lineRule="auto"/>
        <w:jc w:val="center"/>
        <w:rPr>
          <w:rFonts w:ascii="Verdana" w:hAnsi="Verdana" w:cs="Arial"/>
          <w:color w:val="000000" w:themeColor="text1"/>
          <w:lang w:val="es-ES_tradnl" w:eastAsia="es-CO"/>
        </w:rPr>
      </w:pPr>
      <w:r w:rsidRPr="004D5C25">
        <w:rPr>
          <w:rFonts w:ascii="Century Gothic" w:hAnsi="Century Gothic"/>
          <w:noProof/>
        </w:rPr>
        <w:lastRenderedPageBreak/>
        <w:drawing>
          <wp:inline distT="0" distB="0" distL="0" distR="0" wp14:anchorId="7677CECB" wp14:editId="6D454BB0">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5"/>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B1FC8" w:rsidRPr="003751C7" w14:paraId="3D26EBEC" w14:textId="77777777" w:rsidTr="00CB5A3E">
        <w:trPr>
          <w:trHeight w:val="315"/>
        </w:trPr>
        <w:tc>
          <w:tcPr>
            <w:tcW w:w="893" w:type="dxa"/>
            <w:vAlign w:val="center"/>
            <w:hideMark/>
          </w:tcPr>
          <w:p w14:paraId="3B3B3B09" w14:textId="77777777" w:rsidR="002B1FC8" w:rsidRPr="003751C7" w:rsidRDefault="002B1FC8" w:rsidP="00CB5A3E">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A54A002" w14:textId="77777777" w:rsidR="002B1FC8" w:rsidRPr="00FF1EF8" w:rsidRDefault="002B1FC8" w:rsidP="00CB5A3E">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Sergio Enrique Caballero Lesmes</w:t>
            </w:r>
          </w:p>
          <w:p w14:paraId="4B8B6177" w14:textId="77777777" w:rsidR="002B1FC8" w:rsidRPr="003751C7" w:rsidRDefault="002B1FC8" w:rsidP="00CB5A3E">
            <w:pPr>
              <w:contextualSpacing/>
              <w:rPr>
                <w:rFonts w:ascii="Verdana" w:eastAsia="Arial" w:hAnsi="Verdana" w:cs="Arial"/>
                <w:sz w:val="16"/>
                <w:szCs w:val="16"/>
              </w:rPr>
            </w:pPr>
            <w:r w:rsidRPr="00EF5AC8">
              <w:rPr>
                <w:rFonts w:ascii="Verdana" w:eastAsia="Arial" w:hAnsi="Verdana" w:cs="Arial"/>
                <w:color w:val="000000" w:themeColor="text1"/>
                <w:sz w:val="16"/>
                <w:szCs w:val="16"/>
              </w:rPr>
              <w:t>Analista T1 -02 de</w:t>
            </w:r>
            <w:r w:rsidRPr="00EF5AC8">
              <w:t xml:space="preserve"> </w:t>
            </w:r>
            <w:r w:rsidRPr="00EF5AC8">
              <w:rPr>
                <w:rFonts w:ascii="Verdana" w:eastAsia="Arial" w:hAnsi="Verdana" w:cs="Arial"/>
                <w:color w:val="000000" w:themeColor="text1"/>
                <w:sz w:val="16"/>
                <w:szCs w:val="16"/>
              </w:rPr>
              <w:t>la Subdirección de</w:t>
            </w:r>
            <w:r w:rsidRPr="003751C7">
              <w:rPr>
                <w:rStyle w:val="normaltextrun"/>
                <w:rFonts w:ascii="Verdana" w:eastAsia="Arial" w:hAnsi="Verdana" w:cs="Arial"/>
                <w:sz w:val="16"/>
                <w:szCs w:val="16"/>
              </w:rPr>
              <w:t xml:space="preserve"> Gestión Contractual</w:t>
            </w:r>
          </w:p>
        </w:tc>
      </w:tr>
      <w:tr w:rsidR="002B1FC8" w:rsidRPr="003751C7" w14:paraId="641498A7" w14:textId="77777777" w:rsidTr="00CB5A3E">
        <w:trPr>
          <w:trHeight w:val="330"/>
        </w:trPr>
        <w:tc>
          <w:tcPr>
            <w:tcW w:w="893" w:type="dxa"/>
            <w:vAlign w:val="center"/>
            <w:hideMark/>
          </w:tcPr>
          <w:p w14:paraId="19358079" w14:textId="77777777" w:rsidR="002B1FC8" w:rsidRPr="003751C7" w:rsidRDefault="002B1FC8" w:rsidP="00CB5A3E">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48E5D3A" w14:textId="77777777" w:rsidR="002B1FC8" w:rsidRPr="00B6469F" w:rsidRDefault="002B1FC8" w:rsidP="00CB5A3E">
            <w:pPr>
              <w:contextualSpacing/>
              <w:textAlignment w:val="baseline"/>
              <w:rPr>
                <w:rFonts w:ascii="Verdana" w:eastAsia="Times New Roman" w:hAnsi="Verdana" w:cs="Arial"/>
                <w:sz w:val="16"/>
                <w:szCs w:val="16"/>
                <w:lang w:val="es-ES" w:eastAsia="es-ES_tradnl"/>
              </w:rPr>
            </w:pPr>
            <w:r>
              <w:rPr>
                <w:rFonts w:ascii="Verdana" w:eastAsia="Times New Roman" w:hAnsi="Verdana" w:cs="Arial"/>
                <w:sz w:val="16"/>
                <w:szCs w:val="16"/>
                <w:lang w:val="es-ES" w:eastAsia="es-ES_tradnl"/>
              </w:rPr>
              <w:t>Diana Lucía Saavedra Castañeda</w:t>
            </w:r>
          </w:p>
          <w:p w14:paraId="549B478C" w14:textId="77777777" w:rsidR="002B1FC8" w:rsidRPr="003751C7" w:rsidRDefault="002B1FC8" w:rsidP="00CB5A3E">
            <w:pPr>
              <w:pStyle w:val="paragraph"/>
              <w:spacing w:before="0" w:beforeAutospacing="0" w:after="0" w:afterAutospacing="0"/>
              <w:contextualSpacing/>
              <w:textAlignment w:val="baseline"/>
              <w:rPr>
                <w:rFonts w:ascii="Verdana" w:hAnsi="Verdana" w:cs="Segoe UI"/>
                <w:sz w:val="16"/>
                <w:szCs w:val="16"/>
              </w:rPr>
            </w:pPr>
            <w:r w:rsidRPr="00904175">
              <w:rPr>
                <w:rStyle w:val="normaltextrun"/>
                <w:rFonts w:ascii="Verdana" w:hAnsi="Verdana" w:cs="Arial"/>
                <w:sz w:val="16"/>
                <w:szCs w:val="16"/>
                <w:lang w:val="es-ES"/>
              </w:rPr>
              <w:t xml:space="preserve">Contratista </w:t>
            </w:r>
            <w:r w:rsidRPr="003751C7">
              <w:rPr>
                <w:rStyle w:val="normaltextrun"/>
                <w:rFonts w:ascii="Verdana" w:hAnsi="Verdana" w:cs="Arial"/>
                <w:sz w:val="16"/>
                <w:szCs w:val="16"/>
                <w:lang w:val="es-ES"/>
              </w:rPr>
              <w:t>de la Subdirección de Gestión Contractual</w:t>
            </w:r>
            <w:r w:rsidRPr="003751C7">
              <w:rPr>
                <w:rStyle w:val="eop"/>
                <w:rFonts w:ascii="Verdana" w:hAnsi="Verdana" w:cs="Arial"/>
                <w:sz w:val="16"/>
                <w:szCs w:val="16"/>
              </w:rPr>
              <w:t> </w:t>
            </w:r>
          </w:p>
        </w:tc>
      </w:tr>
      <w:tr w:rsidR="002B1FC8" w:rsidRPr="003751C7" w14:paraId="4A3CA026" w14:textId="77777777" w:rsidTr="00CB5A3E">
        <w:trPr>
          <w:trHeight w:val="300"/>
        </w:trPr>
        <w:tc>
          <w:tcPr>
            <w:tcW w:w="893" w:type="dxa"/>
            <w:vAlign w:val="center"/>
          </w:tcPr>
          <w:p w14:paraId="053133DC" w14:textId="77777777" w:rsidR="002B1FC8" w:rsidRPr="003751C7" w:rsidRDefault="002B1FC8" w:rsidP="00CB5A3E">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B9F35B2" w14:textId="77777777" w:rsidR="002B1FC8" w:rsidRPr="003751C7" w:rsidRDefault="002B1FC8" w:rsidP="00CB5A3E">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Carolina Quintero Gacharná</w:t>
            </w:r>
          </w:p>
          <w:p w14:paraId="35DBBF0A" w14:textId="77777777" w:rsidR="002B1FC8" w:rsidRPr="003751C7" w:rsidRDefault="002B1FC8" w:rsidP="00CB5A3E">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Contractual ANCP – CCE</w:t>
            </w:r>
          </w:p>
        </w:tc>
      </w:tr>
    </w:tbl>
    <w:p w14:paraId="12D8B084" w14:textId="77777777" w:rsidR="002B1FC8" w:rsidRPr="0044528D" w:rsidRDefault="002B1FC8" w:rsidP="002B1FC8">
      <w:pPr>
        <w:spacing w:after="0"/>
        <w:rPr>
          <w:rFonts w:ascii="Verdana" w:hAnsi="Verdana"/>
        </w:rPr>
      </w:pPr>
    </w:p>
    <w:p w14:paraId="1DF88236" w14:textId="77777777" w:rsidR="002B1FC8" w:rsidRDefault="002B1FC8" w:rsidP="002B1FC8"/>
    <w:p w14:paraId="61A80551" w14:textId="77777777" w:rsidR="002B1FC8" w:rsidRPr="00046945" w:rsidRDefault="002B1FC8" w:rsidP="002B1FC8">
      <w:pPr>
        <w:spacing w:after="0"/>
        <w:rPr>
          <w:rFonts w:ascii="Verdana" w:eastAsia="Times New Roman" w:hAnsi="Verdana" w:cs="Segoe UI"/>
          <w:sz w:val="18"/>
          <w:szCs w:val="18"/>
          <w:lang w:eastAsia="es-CO"/>
        </w:rPr>
      </w:pPr>
    </w:p>
    <w:p w14:paraId="0D3084EC" w14:textId="77777777" w:rsidR="00274079" w:rsidRDefault="00274079"/>
    <w:sectPr w:rsidR="00274079" w:rsidSect="002B1FC8">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459DDE" w14:textId="77777777" w:rsidR="002B1FC8" w:rsidRDefault="002B1FC8" w:rsidP="002B1FC8">
      <w:pPr>
        <w:spacing w:after="0" w:line="240" w:lineRule="auto"/>
      </w:pPr>
      <w:r>
        <w:separator/>
      </w:r>
    </w:p>
  </w:endnote>
  <w:endnote w:type="continuationSeparator" w:id="0">
    <w:p w14:paraId="31096E21" w14:textId="77777777" w:rsidR="002B1FC8" w:rsidRDefault="002B1FC8" w:rsidP="002B1F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C2FB3A" w14:textId="77777777" w:rsidR="002B1FC8" w:rsidRDefault="002B1FC8">
    <w:pPr>
      <w:pStyle w:val="Piedepgina"/>
    </w:pPr>
  </w:p>
  <w:p w14:paraId="052CD94F" w14:textId="77777777" w:rsidR="002B1FC8" w:rsidRPr="00174B77" w:rsidRDefault="002B1FC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4995B21" w14:textId="77777777" w:rsidR="002B1FC8" w:rsidRDefault="002B1FC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2A49DA01" w14:textId="77777777" w:rsidR="002B1FC8" w:rsidRPr="00E41027" w:rsidRDefault="002B1FC8" w:rsidP="00D520D8">
    <w:pPr>
      <w:spacing w:after="0"/>
      <w:jc w:val="both"/>
      <w:rPr>
        <w:rFonts w:ascii="Verdana" w:hAnsi="Verdana"/>
        <w:sz w:val="18"/>
        <w:szCs w:val="18"/>
      </w:rPr>
    </w:pPr>
    <w:r w:rsidRPr="00E41027">
      <w:rPr>
        <w:rFonts w:ascii="Verdana" w:hAnsi="Verdana"/>
        <w:sz w:val="18"/>
        <w:szCs w:val="18"/>
      </w:rPr>
      <w:t>Mesa de servicio: (+57) 601 7456788</w:t>
    </w:r>
  </w:p>
  <w:p w14:paraId="6E3D2A1C" w14:textId="77777777" w:rsidR="002B1FC8" w:rsidRDefault="002B1FC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75F482" w14:textId="77777777" w:rsidR="002B1FC8" w:rsidRDefault="002B1FC8" w:rsidP="002B1FC8">
      <w:pPr>
        <w:spacing w:after="0" w:line="240" w:lineRule="auto"/>
      </w:pPr>
      <w:r>
        <w:separator/>
      </w:r>
    </w:p>
  </w:footnote>
  <w:footnote w:type="continuationSeparator" w:id="0">
    <w:p w14:paraId="15B0971C" w14:textId="77777777" w:rsidR="002B1FC8" w:rsidRDefault="002B1FC8" w:rsidP="002B1FC8">
      <w:pPr>
        <w:spacing w:after="0" w:line="240" w:lineRule="auto"/>
      </w:pPr>
      <w:r>
        <w:continuationSeparator/>
      </w:r>
    </w:p>
  </w:footnote>
  <w:footnote w:id="1">
    <w:p w14:paraId="5F1D05AD" w14:textId="77777777" w:rsidR="002B1FC8" w:rsidRPr="0008723A" w:rsidRDefault="002B1FC8" w:rsidP="002B1FC8">
      <w:pPr>
        <w:pStyle w:val="Textonotapie"/>
        <w:ind w:firstLine="708"/>
        <w:jc w:val="both"/>
        <w:rPr>
          <w:rFonts w:ascii="Verdana" w:hAnsi="Verdana"/>
          <w:sz w:val="16"/>
          <w:szCs w:val="16"/>
          <w:lang w:val="es-ES"/>
        </w:rPr>
      </w:pPr>
      <w:r w:rsidRPr="0008723A">
        <w:rPr>
          <w:rStyle w:val="Refdenotaalpie"/>
          <w:sz w:val="16"/>
          <w:szCs w:val="16"/>
        </w:rPr>
        <w:footnoteRef/>
      </w:r>
      <w:r w:rsidRPr="0008723A">
        <w:rPr>
          <w:rFonts w:ascii="Verdana" w:hAnsi="Verdana"/>
          <w:sz w:val="16"/>
          <w:szCs w:val="16"/>
        </w:rPr>
        <w:t xml:space="preserve"> CORTE CONSTITUCIONAL. Sentencia C-949 del 5 de septiembre de 2001. M.P. Clara Inés Vargas Hernández.  </w:t>
      </w:r>
    </w:p>
  </w:footnote>
  <w:footnote w:id="2">
    <w:p w14:paraId="776FA565" w14:textId="77777777" w:rsidR="002B1FC8" w:rsidRPr="0008723A" w:rsidRDefault="002B1FC8" w:rsidP="002B1FC8">
      <w:pPr>
        <w:pStyle w:val="Textonotapie"/>
        <w:ind w:firstLine="708"/>
        <w:rPr>
          <w:rFonts w:ascii="Verdana" w:hAnsi="Verdana"/>
          <w:sz w:val="16"/>
          <w:szCs w:val="16"/>
          <w:lang w:val="es-ES"/>
        </w:rPr>
      </w:pPr>
      <w:r w:rsidRPr="0008723A">
        <w:rPr>
          <w:rStyle w:val="Refdenotaalpie"/>
          <w:sz w:val="16"/>
          <w:szCs w:val="16"/>
        </w:rPr>
        <w:footnoteRef/>
      </w:r>
      <w:r w:rsidRPr="0008723A">
        <w:rPr>
          <w:rFonts w:ascii="Verdana" w:hAnsi="Verdana"/>
          <w:sz w:val="16"/>
          <w:szCs w:val="16"/>
        </w:rPr>
        <w:t xml:space="preserve"> </w:t>
      </w:r>
      <w:r w:rsidRPr="0008723A">
        <w:rPr>
          <w:rFonts w:ascii="Verdana" w:hAnsi="Verdana"/>
          <w:color w:val="000000" w:themeColor="text1"/>
          <w:sz w:val="16"/>
          <w:szCs w:val="16"/>
        </w:rPr>
        <w:t>Consejo de Estado, Sala de Consulta y Servicio Civil, concepto del 6 de noviembre de 2008. C.P. William Zambrano Cetina. Rad. 2008-00079-00(1927).</w:t>
      </w:r>
    </w:p>
  </w:footnote>
  <w:footnote w:id="3">
    <w:p w14:paraId="112914F2" w14:textId="77777777" w:rsidR="002B1FC8" w:rsidRPr="0008723A" w:rsidRDefault="002B1FC8" w:rsidP="002B1FC8">
      <w:pPr>
        <w:pStyle w:val="Textoindependiente"/>
        <w:ind w:left="100" w:right="111" w:firstLine="608"/>
        <w:jc w:val="both"/>
        <w:rPr>
          <w:color w:val="000000" w:themeColor="text1"/>
          <w:sz w:val="16"/>
          <w:szCs w:val="16"/>
        </w:rPr>
      </w:pPr>
      <w:r w:rsidRPr="0008723A">
        <w:rPr>
          <w:rStyle w:val="Refdenotaalpie"/>
          <w:sz w:val="16"/>
          <w:szCs w:val="16"/>
        </w:rPr>
        <w:footnoteRef/>
      </w:r>
      <w:r w:rsidRPr="0008723A">
        <w:rPr>
          <w:sz w:val="16"/>
          <w:szCs w:val="16"/>
        </w:rPr>
        <w:t xml:space="preserve"> Parágrafo 1º del </w:t>
      </w:r>
      <w:r w:rsidRPr="0008723A">
        <w:rPr>
          <w:color w:val="000000" w:themeColor="text1"/>
          <w:sz w:val="16"/>
          <w:szCs w:val="16"/>
        </w:rPr>
        <w:t>Artículo 5 de la Ley 1882 de 2018, que modificó el parágrafo 1º del artículo 5 de la Ley 1150 de</w:t>
      </w:r>
      <w:r w:rsidRPr="0008723A">
        <w:rPr>
          <w:color w:val="000000" w:themeColor="text1"/>
          <w:spacing w:val="-11"/>
          <w:sz w:val="16"/>
          <w:szCs w:val="16"/>
        </w:rPr>
        <w:t xml:space="preserve"> </w:t>
      </w:r>
      <w:r w:rsidRPr="0008723A">
        <w:rPr>
          <w:color w:val="000000" w:themeColor="text1"/>
          <w:sz w:val="16"/>
          <w:szCs w:val="16"/>
        </w:rPr>
        <w:t>2007: “[…] Parágrafo 1º.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 Durante el término otorgado para subsanar las ofertas, los proponentes no podrán acreditar circunstancias ocurridas con posterioridad al cierre del proceso”.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154820" w14:textId="77777777" w:rsidR="002B1FC8" w:rsidRDefault="002B1FC8">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0508AFAA" wp14:editId="3947C076">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10AF2F15" wp14:editId="2BAE05A8">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7B7CE703" w14:textId="77777777" w:rsidR="002B1FC8" w:rsidRDefault="002B1FC8">
    <w:pPr>
      <w:pStyle w:val="Encabezado"/>
    </w:pPr>
  </w:p>
  <w:p w14:paraId="01B753CE" w14:textId="77777777" w:rsidR="002B1FC8" w:rsidRDefault="002B1FC8" w:rsidP="004A305D">
    <w:pPr>
      <w:spacing w:after="0"/>
      <w:rPr>
        <w:rFonts w:ascii="Verdana" w:hAnsi="Verdana"/>
        <w:b/>
        <w:bCs/>
      </w:rPr>
    </w:pPr>
  </w:p>
  <w:p w14:paraId="7116C719" w14:textId="77777777" w:rsidR="002B1FC8" w:rsidRPr="00DC39FC" w:rsidRDefault="002B1FC8" w:rsidP="004A305D">
    <w:pPr>
      <w:spacing w:after="0"/>
      <w:rPr>
        <w:rFonts w:ascii="Verdana" w:hAnsi="Verdana"/>
        <w:b/>
        <w:bCs/>
      </w:rPr>
    </w:pPr>
    <w:r w:rsidRPr="00DC39FC">
      <w:rPr>
        <w:rFonts w:ascii="Verdana" w:hAnsi="Verdana"/>
        <w:b/>
        <w:bCs/>
      </w:rPr>
      <w:t>FORMATO PQRSD</w:t>
    </w:r>
  </w:p>
  <w:p w14:paraId="11E0EBF2" w14:textId="77777777" w:rsidR="002B1FC8" w:rsidRPr="004A305D" w:rsidRDefault="002B1FC8" w:rsidP="00B01B1A">
    <w:pPr>
      <w:spacing w:after="0" w:line="120" w:lineRule="auto"/>
      <w:rPr>
        <w:rFonts w:ascii="Century Gothic" w:eastAsia="Geo" w:hAnsi="Century Gothic" w:cs="Geo"/>
        <w:sz w:val="16"/>
        <w:szCs w:val="16"/>
        <w:lang w:eastAsia="es-CO"/>
      </w:rPr>
    </w:pPr>
  </w:p>
  <w:p w14:paraId="7CC84FA5" w14:textId="77777777" w:rsidR="002B1FC8" w:rsidRDefault="002B1FC8"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341274352">
    <w:abstractNumId w:val="0"/>
  </w:num>
  <w:num w:numId="2" w16cid:durableId="6790895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9"/>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FC8"/>
    <w:rsid w:val="0001699C"/>
    <w:rsid w:val="00274079"/>
    <w:rsid w:val="002B1FC8"/>
    <w:rsid w:val="006A60E7"/>
    <w:rsid w:val="00D5083F"/>
    <w:rsid w:val="00DC10B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3AA7AA"/>
  <w15:chartTrackingRefBased/>
  <w15:docId w15:val="{AD34F4BB-E4DD-4725-BD15-0CC89CC48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FC8"/>
    <w:rPr>
      <w:kern w:val="0"/>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B1FC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B1FC8"/>
    <w:rPr>
      <w:kern w:val="0"/>
      <w14:ligatures w14:val="none"/>
    </w:rPr>
  </w:style>
  <w:style w:type="paragraph" w:styleId="Piedepgina">
    <w:name w:val="footer"/>
    <w:basedOn w:val="Normal"/>
    <w:link w:val="PiedepginaCar"/>
    <w:uiPriority w:val="99"/>
    <w:unhideWhenUsed/>
    <w:rsid w:val="002B1FC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B1FC8"/>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2B1FC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2B1FC8"/>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2B1FC8"/>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2B1FC8"/>
    <w:rPr>
      <w:vertAlign w:val="superscript"/>
    </w:rPr>
  </w:style>
  <w:style w:type="character" w:customStyle="1" w:styleId="normaltextrun">
    <w:name w:val="normaltextrun"/>
    <w:basedOn w:val="Fuentedeprrafopredeter"/>
    <w:rsid w:val="002B1FC8"/>
  </w:style>
  <w:style w:type="table" w:styleId="Tablaconcuadrcula">
    <w:name w:val="Table Grid"/>
    <w:basedOn w:val="Tablanormal"/>
    <w:uiPriority w:val="39"/>
    <w:qFormat/>
    <w:rsid w:val="002B1FC8"/>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2B1FC8"/>
    <w:pPr>
      <w:ind w:left="720"/>
      <w:contextualSpacing/>
    </w:pPr>
    <w:rPr>
      <w:rFonts w:ascii="Geomanist Light" w:hAnsi="Geomanist Light"/>
      <w:lang w:val="es-ES"/>
    </w:rPr>
  </w:style>
  <w:style w:type="character" w:styleId="Hipervnculo">
    <w:name w:val="Hyperlink"/>
    <w:basedOn w:val="Fuentedeprrafopredeter"/>
    <w:uiPriority w:val="99"/>
    <w:unhideWhenUsed/>
    <w:rsid w:val="002B1FC8"/>
    <w:rPr>
      <w:color w:val="0000FF"/>
      <w:u w:val="single"/>
    </w:rPr>
  </w:style>
  <w:style w:type="paragraph" w:customStyle="1" w:styleId="paragraph">
    <w:name w:val="paragraph"/>
    <w:basedOn w:val="Normal"/>
    <w:rsid w:val="002B1FC8"/>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eop">
    <w:name w:val="eop"/>
    <w:basedOn w:val="Fuentedeprrafopredeter"/>
    <w:rsid w:val="002B1FC8"/>
  </w:style>
  <w:style w:type="paragraph" w:customStyle="1" w:styleId="Appelnotedebasde">
    <w:name w:val="Appel note de bas de..."/>
    <w:basedOn w:val="Normal"/>
    <w:link w:val="Refdenotaalpie"/>
    <w:uiPriority w:val="99"/>
    <w:rsid w:val="002B1FC8"/>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B1FC8"/>
    <w:rPr>
      <w:rFonts w:ascii="Geomanist Light" w:hAnsi="Geomanist Light"/>
      <w:kern w:val="0"/>
      <w:lang w:val="es-ES"/>
      <w14:ligatures w14:val="none"/>
    </w:rPr>
  </w:style>
  <w:style w:type="paragraph" w:styleId="Textoindependiente">
    <w:name w:val="Body Text"/>
    <w:basedOn w:val="Normal"/>
    <w:link w:val="TextoindependienteCar"/>
    <w:uiPriority w:val="1"/>
    <w:qFormat/>
    <w:rsid w:val="002B1FC8"/>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2B1FC8"/>
    <w:rPr>
      <w:rFonts w:ascii="Verdana" w:eastAsia="Verdana" w:hAnsi="Verdana" w:cs="Verdana"/>
      <w:kern w:val="0"/>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citaciones@eeisas.com" TargetMode="Externa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customXml" Target="../customXml/item2.xml"/><Relationship Id="rId7" Type="http://schemas.openxmlformats.org/officeDocument/2006/relationships/image" Target="media/image1.png"/><Relationship Id="rId12" Type="http://schemas.openxmlformats.org/officeDocument/2006/relationships/hyperlink" Target="https://relatoria.colombiacompra.gov.co/providencias-consejo-de-estado/"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relatoria.colombiacompra.gov.co/providencias-consejo-de-estado/" TargetMode="External"/><Relationship Id="rId5" Type="http://schemas.openxmlformats.org/officeDocument/2006/relationships/footnotes" Target="footnotes.xml"/><Relationship Id="rId15" Type="http://schemas.openxmlformats.org/officeDocument/2006/relationships/image" Target="media/image2.png"/><Relationship Id="rId10" Type="http://schemas.openxmlformats.org/officeDocument/2006/relationships/hyperlink" Target="https://www.corteconstitucional.gov./relatoria/"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brasco.licitaciones2020@gmail.com" TargetMode="External"/><Relationship Id="rId14"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22" Type="http://schemas.openxmlformats.org/officeDocument/2006/relationships/customXml" Target="../customXml/item3.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F4B048D-782F-4ED3-889E-0E5A6D637D2D}"/>
</file>

<file path=customXml/itemProps2.xml><?xml version="1.0" encoding="utf-8"?>
<ds:datastoreItem xmlns:ds="http://schemas.openxmlformats.org/officeDocument/2006/customXml" ds:itemID="{80D00543-CE87-4218-9556-19A1967C3235}"/>
</file>

<file path=customXml/itemProps3.xml><?xml version="1.0" encoding="utf-8"?>
<ds:datastoreItem xmlns:ds="http://schemas.openxmlformats.org/officeDocument/2006/customXml" ds:itemID="{1A2C3E54-3283-483C-8CF5-C0A6894BE95D}"/>
</file>

<file path=docProps/app.xml><?xml version="1.0" encoding="utf-8"?>
<Properties xmlns="http://schemas.openxmlformats.org/officeDocument/2006/extended-properties" xmlns:vt="http://schemas.openxmlformats.org/officeDocument/2006/docPropsVTypes">
  <Template>Normal</Template>
  <TotalTime>1</TotalTime>
  <Pages>12</Pages>
  <Words>3749</Words>
  <Characters>20620</Characters>
  <Application>Microsoft Office Word</Application>
  <DocSecurity>0</DocSecurity>
  <Lines>171</Lines>
  <Paragraphs>48</Paragraphs>
  <ScaleCrop>false</ScaleCrop>
  <Company/>
  <LinksUpToDate>false</LinksUpToDate>
  <CharactersWithSpaces>24321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Sergio Enrique Caballero Lesmes</cp:lastModifiedBy>
  <cp:revision>4</cp:revision>
  <dcterms:created xsi:type="dcterms:W3CDTF">2025-09-16T15:48:00Z</dcterms:created>
  <dcterms:modified xsi:type="dcterms:W3CDTF">2025-09-23T14:46:00Z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