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E20BD" w14:textId="77777777" w:rsidR="00416E49" w:rsidRPr="00416E49" w:rsidRDefault="00416E49" w:rsidP="00EF38AE">
      <w:pPr>
        <w:spacing w:after="0" w:line="240" w:lineRule="auto"/>
        <w:jc w:val="both"/>
        <w:rPr>
          <w:rFonts w:ascii="Verdana" w:hAnsi="Verdana"/>
          <w:b/>
          <w:lang w:val="es-ES_tradnl"/>
        </w:rPr>
      </w:pPr>
      <w:bookmarkStart w:id="0" w:name="_Hlk143780582"/>
      <w:r w:rsidRPr="00416E49">
        <w:rPr>
          <w:rFonts w:ascii="Verdana" w:hAnsi="Verdana"/>
          <w:b/>
          <w:lang w:val="es-ES_tradnl"/>
        </w:rPr>
        <w:t>DEBIDO PROCESO ADMINISTRATIVO – Potestad Sancionatoria del Estado – Actuaciones Contractuales</w:t>
      </w:r>
    </w:p>
    <w:p w14:paraId="4064719B" w14:textId="5B0ACBE6" w:rsidR="00416E49" w:rsidRPr="00EF38AE" w:rsidRDefault="00416E49" w:rsidP="00EF38AE">
      <w:pPr>
        <w:spacing w:after="0" w:line="240" w:lineRule="auto"/>
        <w:jc w:val="both"/>
        <w:rPr>
          <w:rFonts w:ascii="Verdana" w:hAnsi="Verdana"/>
          <w:lang w:val="es-ES_tradnl"/>
        </w:rPr>
      </w:pPr>
    </w:p>
    <w:p w14:paraId="0AAB915C" w14:textId="3A706915" w:rsidR="00EF38AE" w:rsidRPr="00EF38AE" w:rsidRDefault="00EF38AE" w:rsidP="00EF38AE">
      <w:pPr>
        <w:spacing w:after="0" w:line="240" w:lineRule="auto"/>
        <w:jc w:val="both"/>
        <w:rPr>
          <w:rFonts w:ascii="Verdana" w:hAnsi="Verdana"/>
          <w:bCs/>
          <w:lang w:val="es-ES_tradnl"/>
        </w:rPr>
      </w:pPr>
      <w:r w:rsidRPr="00EF38AE">
        <w:rPr>
          <w:rFonts w:ascii="Verdana" w:hAnsi="Verdana"/>
          <w:bCs/>
          <w:lang w:val="es-ES_tradnl"/>
        </w:rPr>
        <w:t>En ese orden de ideas, tanto en materia sancionatoria como no sancionatoria, las garantías del debido proceso aplican por expreso mandato constitucional a toda actuación administrativa. Sin embargo, estas deben interpretarse atendiendo a los principios que caracterizan cada escenario, teniendo en cuenta las diferencias entre los procesos judiciales y los procedimientos administrativos. De acuerdo con estas consideraciones la Corte resalta la importancia de aplicar en todos los casos los principios y garantías derivados del debido proceso, pero armonizando los mandatos del artículo 29 superior con los principios del artículo 209 constitucional, de manera que no se pierda de vista que “mediante el procedimiento administrativo se logra el cumplimiento de la función administrativa […]”.</w:t>
      </w:r>
    </w:p>
    <w:p w14:paraId="06E0BFFA" w14:textId="77777777" w:rsidR="00EF38AE" w:rsidRPr="00EF38AE" w:rsidRDefault="00EF38AE" w:rsidP="00EF38AE">
      <w:pPr>
        <w:spacing w:after="0" w:line="240" w:lineRule="auto"/>
        <w:jc w:val="both"/>
        <w:rPr>
          <w:rFonts w:ascii="Verdana" w:hAnsi="Verdana"/>
          <w:bCs/>
          <w:lang w:val="es-ES_tradnl"/>
        </w:rPr>
      </w:pPr>
    </w:p>
    <w:p w14:paraId="483D0ED2" w14:textId="13AE7FE0" w:rsidR="00EF38AE" w:rsidRPr="00EF38AE" w:rsidRDefault="00EF38AE" w:rsidP="00EF38AE">
      <w:pPr>
        <w:spacing w:after="0" w:line="240" w:lineRule="auto"/>
        <w:jc w:val="both"/>
        <w:rPr>
          <w:rFonts w:ascii="Verdana" w:hAnsi="Verdana"/>
          <w:bCs/>
          <w:lang w:val="es-ES_tradnl"/>
        </w:rPr>
      </w:pPr>
      <w:r w:rsidRPr="00EF38AE">
        <w:rPr>
          <w:rFonts w:ascii="Verdana" w:hAnsi="Verdana"/>
          <w:bCs/>
          <w:lang w:val="es-ES_tradnl"/>
        </w:rPr>
        <w:t>El artículo 17 de la Ley 1150 de 2007 es relevante respecto al desarrollo legislativo del debido proceso en la contratación estatal. El mencionado artículo prescribe que este derecho fundamental será un principio rector en materia sancionatoria de las actuaciones contractuales.</w:t>
      </w:r>
    </w:p>
    <w:p w14:paraId="286C6874" w14:textId="77777777" w:rsidR="00EF38AE" w:rsidRPr="00416E49" w:rsidRDefault="00EF38AE" w:rsidP="00EF38AE">
      <w:pPr>
        <w:spacing w:after="0" w:line="240" w:lineRule="auto"/>
        <w:jc w:val="both"/>
        <w:rPr>
          <w:rFonts w:ascii="Verdana" w:hAnsi="Verdana"/>
          <w:b/>
          <w:lang w:val="es-ES_tradnl"/>
        </w:rPr>
      </w:pPr>
    </w:p>
    <w:p w14:paraId="64DB00D9" w14:textId="77777777" w:rsidR="00416E49" w:rsidRPr="00416E49" w:rsidRDefault="00416E49" w:rsidP="00EF38AE">
      <w:pPr>
        <w:spacing w:after="0" w:line="240" w:lineRule="auto"/>
        <w:jc w:val="both"/>
        <w:rPr>
          <w:rFonts w:ascii="Verdana" w:hAnsi="Verdana"/>
          <w:b/>
          <w:lang w:val="es-ES_tradnl"/>
        </w:rPr>
      </w:pPr>
      <w:r w:rsidRPr="00416E49">
        <w:rPr>
          <w:rFonts w:ascii="Verdana" w:hAnsi="Verdana"/>
          <w:b/>
          <w:lang w:val="es-ES_tradnl"/>
        </w:rPr>
        <w:t xml:space="preserve">PROCEDIMIENTO SANCIONATORIO CONTRACTUAL – Citación a audiencia – Contenido – Ley 1474 de 2011 – Artículo 86 </w:t>
      </w:r>
    </w:p>
    <w:p w14:paraId="14CBBE7A" w14:textId="52B2009B" w:rsidR="00416E49" w:rsidRDefault="00416E49" w:rsidP="00EF38AE">
      <w:pPr>
        <w:spacing w:after="0" w:line="240" w:lineRule="auto"/>
        <w:jc w:val="both"/>
        <w:rPr>
          <w:rFonts w:ascii="Verdana" w:hAnsi="Verdana"/>
          <w:b/>
          <w:lang w:val="es-ES_tradnl"/>
        </w:rPr>
      </w:pPr>
    </w:p>
    <w:p w14:paraId="35ACE929" w14:textId="77777777" w:rsidR="00EF38AE" w:rsidRPr="00EF38AE" w:rsidRDefault="00EF38AE" w:rsidP="00EF38AE">
      <w:pPr>
        <w:spacing w:after="0" w:line="240" w:lineRule="auto"/>
        <w:jc w:val="both"/>
        <w:rPr>
          <w:rFonts w:ascii="Verdana" w:hAnsi="Verdana"/>
          <w:lang w:val="es-ES"/>
        </w:rPr>
      </w:pPr>
      <w:r w:rsidRPr="00EF38AE">
        <w:rPr>
          <w:rFonts w:ascii="Verdana" w:hAnsi="Verdana"/>
          <w:iCs/>
          <w:lang w:val="es-ES_tradnl"/>
        </w:rPr>
        <w:t xml:space="preserve">De conformidad con lo anterior, el artículo 86 de la Ley 1474 de 2011 establece las etapas del procedimiento que se deben seguir, las cuales se sintetizan, de forma esquemática, así: </w:t>
      </w:r>
      <w:r w:rsidRPr="00EF38AE">
        <w:rPr>
          <w:rFonts w:ascii="Verdana" w:hAnsi="Verdana"/>
          <w:lang w:val="es-ES"/>
        </w:rPr>
        <w:t xml:space="preserve">a) </w:t>
      </w:r>
      <w:r w:rsidRPr="00EF38AE">
        <w:rPr>
          <w:rFonts w:ascii="Verdana" w:hAnsi="Verdana"/>
          <w:i/>
          <w:lang w:val="es-ES"/>
        </w:rPr>
        <w:t>Citación a audiencia</w:t>
      </w:r>
      <w:r w:rsidRPr="00EF38AE">
        <w:rPr>
          <w:rFonts w:ascii="Verdana" w:hAnsi="Verdana"/>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00EF38AE">
        <w:rPr>
          <w:rFonts w:ascii="Verdana" w:hAnsi="Verdana"/>
          <w:i/>
          <w:lang w:val="es-ES"/>
        </w:rPr>
        <w:t>Audiencia</w:t>
      </w:r>
      <w:r w:rsidRPr="00EF38AE">
        <w:rPr>
          <w:rFonts w:ascii="Verdana" w:hAnsi="Verdana"/>
          <w:lang w:val="es-ES"/>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c) </w:t>
      </w:r>
      <w:r w:rsidRPr="00EF38AE">
        <w:rPr>
          <w:rFonts w:ascii="Verdana" w:hAnsi="Verdana"/>
          <w:i/>
          <w:lang w:val="es-ES"/>
        </w:rPr>
        <w:t>Decisión</w:t>
      </w:r>
      <w:r w:rsidRPr="00EF38AE">
        <w:rPr>
          <w:rFonts w:ascii="Verdana" w:hAnsi="Verdana"/>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47BF1891" w14:textId="77777777" w:rsidR="00EF38AE" w:rsidRDefault="00EF38AE" w:rsidP="00EF38AE">
      <w:pPr>
        <w:spacing w:after="0" w:line="240" w:lineRule="auto"/>
        <w:jc w:val="both"/>
        <w:rPr>
          <w:rFonts w:ascii="Verdana" w:hAnsi="Verdana"/>
          <w:lang w:val="es-ES"/>
        </w:rPr>
      </w:pPr>
    </w:p>
    <w:p w14:paraId="11CE1400" w14:textId="75DA0357" w:rsidR="00EF38AE" w:rsidRPr="00EF38AE" w:rsidRDefault="00EF38AE" w:rsidP="00EF38AE">
      <w:pPr>
        <w:spacing w:after="0" w:line="240" w:lineRule="auto"/>
        <w:jc w:val="both"/>
        <w:rPr>
          <w:rFonts w:ascii="Verdana" w:hAnsi="Verdana"/>
          <w:lang w:val="es-ES"/>
        </w:rPr>
      </w:pPr>
      <w:r w:rsidRPr="00EF38AE">
        <w:rPr>
          <w:rFonts w:ascii="Verdana" w:hAnsi="Verdana"/>
          <w:lang w:val="es-ES"/>
        </w:rPr>
        <w:lastRenderedPageBreak/>
        <w:t xml:space="preserve">Concretamente, el procedimiento descrito en el párrafo precedente es una manifestación de la </w:t>
      </w:r>
      <w:r w:rsidRPr="00EF38AE">
        <w:rPr>
          <w:rFonts w:ascii="Verdana" w:hAnsi="Verdana"/>
          <w:i/>
          <w:lang w:val="es-ES"/>
        </w:rPr>
        <w:t>legalidad de las formas de cada juicio</w:t>
      </w:r>
      <w:r w:rsidRPr="00EF38AE">
        <w:rPr>
          <w:rFonts w:ascii="Verdana" w:hAnsi="Verdana"/>
          <w:lang w:val="es-ES"/>
        </w:rPr>
        <w:t xml:space="preserve"> en la contratación estatal, la cual no solo se aplica en virtud del artículo 29 de la Constitución Política sino también con fundamento en el artículo 3.1, inciso primero, de la Ley 1437 de 2011. Esto último en la medida que “En virtud del principio del debido proceso, las actuaciones administrativas se adelantarán de conformidad con las normas de procedimiento y competencia establecidas en la Constitución y la ley, con plena garantía de los derechos de representación, defensa y contradicción”.</w:t>
      </w:r>
    </w:p>
    <w:p w14:paraId="1D8E9848" w14:textId="77777777" w:rsidR="00EF38AE" w:rsidRPr="00416E49" w:rsidRDefault="00EF38AE" w:rsidP="00EF38AE">
      <w:pPr>
        <w:spacing w:after="0" w:line="240" w:lineRule="auto"/>
        <w:jc w:val="both"/>
        <w:rPr>
          <w:rFonts w:ascii="Verdana" w:hAnsi="Verdana"/>
          <w:b/>
          <w:lang w:val="es-ES_tradnl"/>
        </w:rPr>
      </w:pPr>
    </w:p>
    <w:p w14:paraId="5413B609" w14:textId="77777777" w:rsidR="00416E49" w:rsidRPr="00416E49" w:rsidRDefault="00416E49" w:rsidP="00EF38AE">
      <w:pPr>
        <w:spacing w:after="0" w:line="240" w:lineRule="auto"/>
        <w:jc w:val="both"/>
        <w:rPr>
          <w:rFonts w:ascii="Verdana" w:hAnsi="Verdana"/>
          <w:b/>
          <w:lang w:val="es-ES_tradnl"/>
        </w:rPr>
      </w:pPr>
      <w:r w:rsidRPr="00416E49">
        <w:rPr>
          <w:rFonts w:ascii="Verdana" w:hAnsi="Verdana"/>
          <w:b/>
          <w:lang w:val="es-ES_tradnl"/>
        </w:rPr>
        <w:t xml:space="preserve">ACTUACIONES PREVIAS – Procedimiento Administrativo Sancionatorio Contractual – Requerimiento de Presunto Incumplimiento </w:t>
      </w:r>
    </w:p>
    <w:p w14:paraId="5343332A" w14:textId="176250EE" w:rsidR="00416E49" w:rsidRDefault="00416E49" w:rsidP="00EF38AE">
      <w:pPr>
        <w:spacing w:after="0" w:line="240" w:lineRule="auto"/>
        <w:jc w:val="both"/>
        <w:rPr>
          <w:rFonts w:ascii="Verdana" w:hAnsi="Verdana"/>
          <w:b/>
          <w:lang w:val="es-ES_tradnl"/>
        </w:rPr>
      </w:pPr>
    </w:p>
    <w:p w14:paraId="30A0CF87" w14:textId="6E7D6E5B" w:rsidR="00EF38AE" w:rsidRDefault="00EF38AE" w:rsidP="00EF38AE">
      <w:pPr>
        <w:spacing w:after="0" w:line="240" w:lineRule="auto"/>
        <w:jc w:val="both"/>
        <w:rPr>
          <w:rFonts w:ascii="Verdana" w:hAnsi="Verdana"/>
          <w:iCs/>
          <w:sz w:val="20"/>
          <w:lang w:val="es-ES_tradnl"/>
        </w:rPr>
      </w:pPr>
      <w:r w:rsidRPr="00EF38AE">
        <w:rPr>
          <w:rFonts w:ascii="Verdana" w:hAnsi="Verdana"/>
          <w:iCs/>
          <w:sz w:val="20"/>
          <w:lang w:val="es-ES"/>
        </w:rPr>
        <w:t>P</w:t>
      </w:r>
      <w:proofErr w:type="spellStart"/>
      <w:r w:rsidRPr="00EF38AE">
        <w:rPr>
          <w:rFonts w:ascii="Verdana" w:hAnsi="Verdana"/>
          <w:iCs/>
          <w:sz w:val="20"/>
          <w:lang w:val="es-ES_tradnl"/>
        </w:rPr>
        <w:t>revio</w:t>
      </w:r>
      <w:proofErr w:type="spellEnd"/>
      <w:r w:rsidRPr="00EF38AE">
        <w:rPr>
          <w:rFonts w:ascii="Verdana" w:hAnsi="Verdana"/>
          <w:iCs/>
          <w:sz w:val="20"/>
          <w:lang w:val="es-ES_tradnl"/>
        </w:rPr>
        <w:t xml:space="preserve"> al inicio del procedimiento administrativo sancionatorio regulado en el artículo 86 de la Ley 1474 de 2011, los supervisores pueden requerir previamente al contratista, con el fin de determinar si se están presentando presuntos incumplimientos en las obligaciones del contrato estatal. Para ello, el requerimiento de presunto incumplimiento no puede catalogarse como un acto administrativo que lo declara, pues no se está aún en el procedimiento administrativo sancionatorio del artículo 86 de la Ley 1474 de 2011, ni mucho menos adquiere tal naturaleza.</w:t>
      </w:r>
    </w:p>
    <w:p w14:paraId="5CFF8F38" w14:textId="77777777" w:rsidR="00EF38AE" w:rsidRPr="00EF38AE" w:rsidRDefault="00EF38AE" w:rsidP="00EF38AE">
      <w:pPr>
        <w:spacing w:after="0" w:line="240" w:lineRule="auto"/>
        <w:jc w:val="both"/>
        <w:rPr>
          <w:rFonts w:ascii="Verdana" w:hAnsi="Verdana"/>
          <w:sz w:val="20"/>
          <w:lang w:val="es-ES"/>
        </w:rPr>
      </w:pPr>
    </w:p>
    <w:p w14:paraId="2446420A" w14:textId="45CCBF8F" w:rsidR="00EF38AE" w:rsidRDefault="00EF38AE" w:rsidP="00EF38AE">
      <w:pPr>
        <w:spacing w:after="0" w:line="240" w:lineRule="auto"/>
        <w:jc w:val="both"/>
        <w:rPr>
          <w:rFonts w:ascii="Verdana" w:hAnsi="Verdana"/>
          <w:iCs/>
          <w:sz w:val="20"/>
          <w:lang w:val="es-ES_tradnl"/>
        </w:rPr>
      </w:pPr>
      <w:r w:rsidRPr="00EF38AE">
        <w:rPr>
          <w:rFonts w:ascii="Verdana" w:hAnsi="Verdana"/>
          <w:iCs/>
          <w:sz w:val="20"/>
          <w:lang w:val="es-ES_tradnl"/>
        </w:rPr>
        <w:t xml:space="preserve">Los actos de requerimiento de presunto incumplimiento son actos de la administración, en los que se solicita el supervisor o interventor para que se corrija una situación dentro de la ejecución del contrato, o se cumpla con una obligación. Para ello, puede requerir información o subsanar inconsistencias errores y fallas dentro de la ejecución contractual, garantizando la posibilidad de que el contratista aclare o resuelva las inquietudes de la supervisión o de la interventoría. </w:t>
      </w:r>
    </w:p>
    <w:p w14:paraId="5ADDA039" w14:textId="77777777" w:rsidR="00EF38AE" w:rsidRPr="00EF38AE" w:rsidRDefault="00EF38AE" w:rsidP="00EF38AE">
      <w:pPr>
        <w:spacing w:after="0" w:line="240" w:lineRule="auto"/>
        <w:jc w:val="both"/>
        <w:rPr>
          <w:rFonts w:ascii="Verdana" w:hAnsi="Verdana"/>
          <w:iCs/>
          <w:sz w:val="20"/>
          <w:lang w:val="es-ES_tradnl"/>
        </w:rPr>
      </w:pPr>
    </w:p>
    <w:p w14:paraId="31C7798D" w14:textId="5087B0D7" w:rsidR="00EF38AE" w:rsidRPr="00EF38AE" w:rsidRDefault="00EF38AE" w:rsidP="00EF38AE">
      <w:pPr>
        <w:spacing w:after="0" w:line="240" w:lineRule="auto"/>
        <w:jc w:val="both"/>
        <w:rPr>
          <w:rFonts w:ascii="Verdana" w:hAnsi="Verdana"/>
          <w:sz w:val="20"/>
          <w:lang w:val="es-ES"/>
        </w:rPr>
      </w:pPr>
      <w:r w:rsidRPr="00EF38AE">
        <w:rPr>
          <w:rFonts w:ascii="Verdana" w:hAnsi="Verdana"/>
          <w:iCs/>
          <w:sz w:val="20"/>
          <w:lang w:val="es-ES_tradnl"/>
        </w:rPr>
        <w:t xml:space="preserve">Ahora bien, frente a la garantía del debido proceso por los requerimientos por presunto incumplimiento contractual por parte de la supervisión, </w:t>
      </w:r>
      <w:r w:rsidRPr="00EF38AE">
        <w:rPr>
          <w:rFonts w:ascii="Verdana" w:hAnsi="Verdana"/>
          <w:sz w:val="20"/>
          <w:lang w:val="es-ES"/>
        </w:rPr>
        <w:t xml:space="preserve">se precisa que la entidad tiene la potestad de designar el supervisor o los supervisores en los diferentes contratos, y que de acuerdo con la “Guía para el ejercicio de las funciones de supervisión e interventoría de los contratos del Estado” recomienda que esta se haga a través de un funcionario, que tenga asignadas funciones relacionadas con el objeto contractual. En dicha Guía se señala que la designación debe estar antecedida por un análisis de la carga operativa del funcionario al que se le asigna la supervisión, para evitar que el supervisor no pueda desempeñar la tarea de manera adecuada. Además, al supervisor designado debe informársele de la labor encomendada y las obligaciones del contrato para desempeñar su función de manera idónea. </w:t>
      </w:r>
    </w:p>
    <w:p w14:paraId="218C3995" w14:textId="77777777" w:rsidR="00EF38AE" w:rsidRPr="00416E49" w:rsidRDefault="00EF38AE" w:rsidP="00EF38AE">
      <w:pPr>
        <w:spacing w:after="0" w:line="240" w:lineRule="auto"/>
        <w:jc w:val="both"/>
        <w:rPr>
          <w:rFonts w:ascii="Verdana" w:hAnsi="Verdana"/>
          <w:b/>
          <w:lang w:val="es-ES_tradnl"/>
        </w:rPr>
      </w:pPr>
    </w:p>
    <w:p w14:paraId="67ED1D6D" w14:textId="77777777" w:rsidR="00416E49" w:rsidRPr="00416E49" w:rsidRDefault="00416E49" w:rsidP="00EF38AE">
      <w:pPr>
        <w:spacing w:after="0" w:line="240" w:lineRule="auto"/>
        <w:jc w:val="both"/>
        <w:rPr>
          <w:rFonts w:ascii="Verdana" w:hAnsi="Verdana"/>
          <w:b/>
          <w:lang w:val="es-ES_tradnl"/>
        </w:rPr>
      </w:pPr>
      <w:r w:rsidRPr="00416E49">
        <w:rPr>
          <w:rFonts w:ascii="Verdana" w:hAnsi="Verdana"/>
          <w:b/>
          <w:lang w:val="es-ES_tradnl"/>
        </w:rPr>
        <w:t xml:space="preserve">CONTROL Y EJECUCIÓN – Supervisión – Conflictos de interés </w:t>
      </w:r>
    </w:p>
    <w:p w14:paraId="5441EB8B" w14:textId="2BF0DF1B" w:rsidR="00416E49" w:rsidRDefault="00416E49" w:rsidP="00EF38AE">
      <w:pPr>
        <w:spacing w:after="0" w:line="240" w:lineRule="auto"/>
        <w:jc w:val="both"/>
        <w:rPr>
          <w:rFonts w:ascii="Verdana" w:hAnsi="Verdana"/>
          <w:b/>
          <w:lang w:val="es-ES_tradnl"/>
        </w:rPr>
      </w:pPr>
    </w:p>
    <w:p w14:paraId="3072950E" w14:textId="0C9272EF" w:rsidR="00EF38AE" w:rsidRDefault="00EF38AE" w:rsidP="00EF38AE">
      <w:pPr>
        <w:spacing w:after="0" w:line="240" w:lineRule="auto"/>
        <w:jc w:val="both"/>
        <w:rPr>
          <w:rFonts w:ascii="Verdana" w:hAnsi="Verdana"/>
          <w:sz w:val="20"/>
          <w:lang w:val="es-ES_tradnl"/>
        </w:rPr>
      </w:pPr>
      <w:r w:rsidRPr="00EF38AE">
        <w:rPr>
          <w:rFonts w:ascii="Verdana" w:hAnsi="Verdana"/>
          <w:sz w:val="20"/>
          <w:lang w:val="es-ES_tradnl"/>
        </w:rPr>
        <w:t xml:space="preserve">En tal sentido, los supervisores ejercen el control y seguimiento del contrato estatal en sus diferentes etapas luego de su celebración, desde la ejecución e incluso en la liquidación del contrato, sin perjuicio que por parte del contratante se designe posteriormente otro supervisor por razones de índole administrativo y/o novedades en el funcionamiento de la entidad, en el evento de presentarse circunstancias que obliguen a que no pueda por alguna circunstancia fáctica o jurídica, como estar in curso en una </w:t>
      </w:r>
      <w:r w:rsidRPr="00EF38AE">
        <w:rPr>
          <w:rFonts w:ascii="Verdana" w:hAnsi="Verdana"/>
          <w:sz w:val="20"/>
          <w:lang w:val="es-ES_tradnl"/>
        </w:rPr>
        <w:lastRenderedPageBreak/>
        <w:t xml:space="preserve">conflicto de interés, derivado de una causal de impedimento o de recusación regulada en el artículo 11 de la Ley 1437 de 2011, al igual que el trámite de los impedimentos y recusaciones, esto es, lo dispuesto en el artículo 12 de la Ley ya precitada. </w:t>
      </w:r>
    </w:p>
    <w:p w14:paraId="694FFE7B" w14:textId="77777777" w:rsidR="00EF38AE" w:rsidRPr="00EF38AE" w:rsidRDefault="00EF38AE" w:rsidP="00EF38AE">
      <w:pPr>
        <w:spacing w:after="0" w:line="240" w:lineRule="auto"/>
        <w:jc w:val="both"/>
        <w:rPr>
          <w:rFonts w:ascii="Verdana" w:hAnsi="Verdana"/>
          <w:sz w:val="20"/>
          <w:lang w:val="es-ES_tradnl"/>
        </w:rPr>
      </w:pPr>
    </w:p>
    <w:p w14:paraId="52ABE905" w14:textId="7B1A0318" w:rsidR="00EF38AE" w:rsidRPr="00EF38AE" w:rsidRDefault="00EF38AE" w:rsidP="00EF38AE">
      <w:pPr>
        <w:spacing w:after="0" w:line="240" w:lineRule="auto"/>
        <w:jc w:val="both"/>
        <w:rPr>
          <w:rFonts w:ascii="Verdana" w:hAnsi="Verdana"/>
          <w:sz w:val="20"/>
          <w:lang w:val="es-ES_tradnl"/>
        </w:rPr>
      </w:pPr>
      <w:r w:rsidRPr="00EF38AE">
        <w:rPr>
          <w:rFonts w:ascii="Verdana" w:hAnsi="Verdana"/>
          <w:sz w:val="20"/>
          <w:lang w:val="es-ES_tradnl"/>
        </w:rPr>
        <w:t>Al respecto,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conflictos de interés tiene como objetivo la prevalencia del bien común sobre el particular, razón por la cual se configuran cuando actúan influenciados por consideraciones personales que colisionan con el beber de preservar su independencia e imparcialidad. En este sentido, se definen como la concurrencia de intereses antagónicos que afectan la transparencia de las decisiones, al implicar –en detrimento del interés general– el aprovechamiento personal, familiar o particular.</w:t>
      </w:r>
    </w:p>
    <w:p w14:paraId="2FF5A98E" w14:textId="77777777" w:rsidR="00EF38AE" w:rsidRPr="00416E49" w:rsidRDefault="00EF38AE" w:rsidP="00EF38AE">
      <w:pPr>
        <w:spacing w:after="0" w:line="240" w:lineRule="auto"/>
        <w:jc w:val="both"/>
        <w:rPr>
          <w:rFonts w:ascii="Verdana" w:hAnsi="Verdana"/>
          <w:b/>
          <w:lang w:val="es-ES_tradnl"/>
        </w:rPr>
      </w:pPr>
    </w:p>
    <w:p w14:paraId="5F071A0E" w14:textId="193D0051" w:rsidR="00416E49" w:rsidRPr="00416E49" w:rsidRDefault="00416E49" w:rsidP="00EF38AE">
      <w:pPr>
        <w:spacing w:after="0" w:line="240" w:lineRule="auto"/>
        <w:jc w:val="both"/>
        <w:rPr>
          <w:rFonts w:ascii="Verdana" w:hAnsi="Verdana"/>
          <w:b/>
        </w:rPr>
      </w:pPr>
      <w:r w:rsidRPr="00416E49">
        <w:rPr>
          <w:rFonts w:ascii="Verdana" w:hAnsi="Verdana"/>
          <w:b/>
          <w:lang w:val="es-ES_tradnl"/>
        </w:rPr>
        <w:t>CONTROL Y VIGILANCIA – Deber – Entidad Estatal.</w:t>
      </w:r>
    </w:p>
    <w:p w14:paraId="1AB1E9BC" w14:textId="77777777" w:rsidR="00416E49" w:rsidRDefault="00416E49" w:rsidP="00EF38AE">
      <w:pPr>
        <w:spacing w:after="0" w:line="240" w:lineRule="auto"/>
        <w:rPr>
          <w:rFonts w:ascii="Verdana" w:hAnsi="Verdana"/>
        </w:rPr>
      </w:pPr>
    </w:p>
    <w:p w14:paraId="3B88A202" w14:textId="77777777" w:rsidR="00EF38AE" w:rsidRPr="00EF38AE" w:rsidRDefault="00EF38AE" w:rsidP="00EF38AE">
      <w:pPr>
        <w:spacing w:after="0" w:line="240" w:lineRule="auto"/>
        <w:jc w:val="both"/>
        <w:rPr>
          <w:rFonts w:ascii="Verdana" w:hAnsi="Verdana"/>
          <w:lang w:val="es-ES"/>
        </w:rPr>
      </w:pPr>
      <w:r w:rsidRPr="00EF38AE">
        <w:rPr>
          <w:rFonts w:ascii="Verdana" w:hAnsi="Verdana"/>
          <w:lang w:val="es-ES"/>
        </w:rPr>
        <w:t xml:space="preserve">Ante este posible escenario, hay que recordar que 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 como designar un nuevo supervisor dentro del contrato si se está ante un conflicto de interés. </w:t>
      </w:r>
    </w:p>
    <w:p w14:paraId="6005179A" w14:textId="24F5D93E" w:rsidR="00416E49" w:rsidRDefault="00416E49" w:rsidP="004063A4">
      <w:pPr>
        <w:spacing w:after="0"/>
        <w:rPr>
          <w:rFonts w:ascii="Verdana" w:hAnsi="Verdana"/>
          <w:lang w:val="es-ES"/>
        </w:rPr>
      </w:pPr>
    </w:p>
    <w:p w14:paraId="069BF851" w14:textId="3277A179" w:rsidR="00EF38AE" w:rsidRDefault="00EF38AE" w:rsidP="004063A4">
      <w:pPr>
        <w:spacing w:after="0"/>
        <w:rPr>
          <w:rFonts w:ascii="Verdana" w:hAnsi="Verdana"/>
          <w:lang w:val="es-ES"/>
        </w:rPr>
      </w:pPr>
    </w:p>
    <w:p w14:paraId="327A7653" w14:textId="3D8BF30F" w:rsidR="00EF38AE" w:rsidRDefault="00EF38AE" w:rsidP="004063A4">
      <w:pPr>
        <w:spacing w:after="0"/>
        <w:rPr>
          <w:rFonts w:ascii="Verdana" w:hAnsi="Verdana"/>
          <w:lang w:val="es-ES"/>
        </w:rPr>
      </w:pPr>
    </w:p>
    <w:p w14:paraId="3CF84A8F" w14:textId="27ED3733" w:rsidR="00EF38AE" w:rsidRDefault="00EF38AE" w:rsidP="004063A4">
      <w:pPr>
        <w:spacing w:after="0"/>
        <w:rPr>
          <w:rFonts w:ascii="Verdana" w:hAnsi="Verdana"/>
          <w:lang w:val="es-ES"/>
        </w:rPr>
      </w:pPr>
    </w:p>
    <w:p w14:paraId="526B7266" w14:textId="61591F5C" w:rsidR="00EF38AE" w:rsidRDefault="00EF38AE" w:rsidP="004063A4">
      <w:pPr>
        <w:spacing w:after="0"/>
        <w:rPr>
          <w:rFonts w:ascii="Verdana" w:hAnsi="Verdana"/>
          <w:lang w:val="es-ES"/>
        </w:rPr>
      </w:pPr>
    </w:p>
    <w:p w14:paraId="3314F6D2" w14:textId="7EEB1074" w:rsidR="00EF38AE" w:rsidRDefault="00EF38AE" w:rsidP="004063A4">
      <w:pPr>
        <w:spacing w:after="0"/>
        <w:rPr>
          <w:rFonts w:ascii="Verdana" w:hAnsi="Verdana"/>
          <w:lang w:val="es-ES"/>
        </w:rPr>
      </w:pPr>
    </w:p>
    <w:p w14:paraId="1AE32BAD" w14:textId="096AA38F" w:rsidR="00EF38AE" w:rsidRDefault="00EF38AE" w:rsidP="004063A4">
      <w:pPr>
        <w:spacing w:after="0"/>
        <w:rPr>
          <w:rFonts w:ascii="Verdana" w:hAnsi="Verdana"/>
          <w:lang w:val="es-ES"/>
        </w:rPr>
      </w:pPr>
    </w:p>
    <w:p w14:paraId="75233995" w14:textId="57086067" w:rsidR="00EF38AE" w:rsidRPr="00EF38AE" w:rsidRDefault="00EF38AE" w:rsidP="004063A4">
      <w:pPr>
        <w:spacing w:after="0"/>
        <w:rPr>
          <w:rFonts w:ascii="Verdana" w:hAnsi="Verdana"/>
          <w:lang w:val="es-ES"/>
        </w:rPr>
      </w:pPr>
    </w:p>
    <w:p w14:paraId="56C107BD" w14:textId="697F9F09" w:rsidR="004063A4" w:rsidRPr="0044528D" w:rsidRDefault="00416E49" w:rsidP="004063A4">
      <w:pPr>
        <w:spacing w:after="0"/>
        <w:rPr>
          <w:rFonts w:ascii="Verdana" w:hAnsi="Verdana"/>
        </w:rPr>
      </w:pPr>
      <w:r>
        <w:rPr>
          <w:rFonts w:ascii="Verdana" w:hAnsi="Verdana"/>
        </w:rPr>
        <w:lastRenderedPageBreak/>
        <w:t>Bogotá D.C., 22 de septiembre de 2025</w:t>
      </w:r>
      <w:r w:rsidR="004063A4" w:rsidRPr="0044528D">
        <w:rPr>
          <w:rFonts w:ascii="Verdana" w:hAnsi="Verdana"/>
        </w:rPr>
        <w:tab/>
      </w:r>
    </w:p>
    <w:p w14:paraId="4652C7D6" w14:textId="65C50816" w:rsidR="004063A4" w:rsidRDefault="00001882" w:rsidP="004063A4">
      <w:pPr>
        <w:spacing w:after="0"/>
        <w:rPr>
          <w:rFonts w:ascii="Verdana" w:hAnsi="Verdana"/>
        </w:rPr>
      </w:pPr>
      <w:r w:rsidRPr="00416E49">
        <w:rPr>
          <w:rFonts w:ascii="Verdana" w:hAnsi="Verdana"/>
          <w:noProof/>
          <w:lang w:val="en-US"/>
        </w:rPr>
        <w:drawing>
          <wp:anchor distT="0" distB="0" distL="114300" distR="114300" simplePos="0" relativeHeight="251658240" behindDoc="0" locked="0" layoutInCell="1" allowOverlap="1" wp14:anchorId="0B07B5FA" wp14:editId="2381AC7C">
            <wp:simplePos x="0" y="0"/>
            <wp:positionH relativeFrom="margin">
              <wp:align>right</wp:align>
            </wp:positionH>
            <wp:positionV relativeFrom="paragraph">
              <wp:posOffset>13854</wp:posOffset>
            </wp:positionV>
            <wp:extent cx="2783205" cy="7683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3205" cy="768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C935FB" w14:textId="048E64FE" w:rsidR="004063A4" w:rsidRPr="00B64355" w:rsidRDefault="004063A4" w:rsidP="004063A4">
      <w:pPr>
        <w:spacing w:after="0"/>
        <w:rPr>
          <w:rFonts w:ascii="Verdana" w:hAnsi="Verdana"/>
        </w:rPr>
      </w:pPr>
    </w:p>
    <w:p w14:paraId="7228C4D5" w14:textId="77777777" w:rsidR="004063A4" w:rsidRPr="00B64355" w:rsidRDefault="004063A4" w:rsidP="004063A4">
      <w:pPr>
        <w:spacing w:after="0" w:line="240" w:lineRule="auto"/>
        <w:rPr>
          <w:rFonts w:ascii="Verdana" w:eastAsia="Calibri" w:hAnsi="Verdana" w:cs="Times New Roman"/>
          <w:lang w:val="es-MX"/>
        </w:rPr>
      </w:pPr>
      <w:r>
        <w:rPr>
          <w:rFonts w:ascii="Verdana" w:eastAsia="Calibri" w:hAnsi="Verdana" w:cs="Times New Roman"/>
          <w:lang w:val="es-MX"/>
        </w:rPr>
        <w:t>Señora</w:t>
      </w:r>
    </w:p>
    <w:p w14:paraId="211419E4" w14:textId="77777777" w:rsidR="004063A4" w:rsidRPr="008F0774" w:rsidRDefault="004063A4" w:rsidP="004063A4">
      <w:pPr>
        <w:spacing w:after="0" w:line="240" w:lineRule="auto"/>
        <w:rPr>
          <w:rFonts w:ascii="Verdana" w:eastAsia="Calibri" w:hAnsi="Verdana" w:cs="Times New Roman"/>
          <w:b/>
        </w:rPr>
      </w:pPr>
      <w:proofErr w:type="spellStart"/>
      <w:r w:rsidRPr="008F0774">
        <w:rPr>
          <w:rFonts w:ascii="Verdana" w:eastAsia="Calibri" w:hAnsi="Verdana" w:cs="Times New Roman"/>
          <w:b/>
        </w:rPr>
        <w:t>Bianny</w:t>
      </w:r>
      <w:proofErr w:type="spellEnd"/>
      <w:r w:rsidRPr="008F0774">
        <w:rPr>
          <w:rFonts w:ascii="Verdana" w:eastAsia="Calibri" w:hAnsi="Verdana" w:cs="Times New Roman"/>
          <w:b/>
        </w:rPr>
        <w:t xml:space="preserve"> Cuadrado</w:t>
      </w:r>
    </w:p>
    <w:p w14:paraId="1B31F2B5" w14:textId="77777777" w:rsidR="004063A4" w:rsidRPr="008F0774" w:rsidRDefault="004063A4" w:rsidP="004063A4">
      <w:pPr>
        <w:spacing w:after="0" w:line="256" w:lineRule="auto"/>
        <w:rPr>
          <w:rFonts w:ascii="Verdana" w:eastAsia="Calibri" w:hAnsi="Verdana" w:cs="Times New Roman"/>
        </w:rPr>
      </w:pPr>
      <w:hyperlink r:id="rId12" w:history="1">
        <w:r w:rsidRPr="008F0774">
          <w:rPr>
            <w:rStyle w:val="Hipervnculo"/>
            <w:rFonts w:ascii="Verdana" w:eastAsia="Calibri" w:hAnsi="Verdana" w:cs="Times New Roman"/>
          </w:rPr>
          <w:t>beco.cuadrado@gmail.com</w:t>
        </w:r>
      </w:hyperlink>
    </w:p>
    <w:p w14:paraId="6638CA0A" w14:textId="77777777" w:rsidR="004063A4" w:rsidRPr="008F0774" w:rsidRDefault="004063A4" w:rsidP="004063A4">
      <w:pPr>
        <w:spacing w:after="0" w:line="256" w:lineRule="auto"/>
        <w:rPr>
          <w:rFonts w:ascii="Verdana" w:eastAsia="Calibri" w:hAnsi="Verdana" w:cs="Times New Roman"/>
        </w:rPr>
      </w:pPr>
      <w:r w:rsidRPr="008F0774">
        <w:rPr>
          <w:rFonts w:ascii="Verdana" w:eastAsia="Calibri" w:hAnsi="Verdana" w:cs="Times New Roman"/>
        </w:rPr>
        <w:t xml:space="preserve">Bogotá D.C. </w:t>
      </w:r>
    </w:p>
    <w:p w14:paraId="2BABDBFE" w14:textId="77777777" w:rsidR="004063A4" w:rsidRPr="008F0774" w:rsidRDefault="004063A4" w:rsidP="004063A4">
      <w:pPr>
        <w:spacing w:after="0" w:line="256" w:lineRule="auto"/>
        <w:rPr>
          <w:rFonts w:ascii="Verdana" w:eastAsia="Calibri" w:hAnsi="Verdana" w:cs="Times New Roman"/>
        </w:rPr>
      </w:pPr>
    </w:p>
    <w:p w14:paraId="7B236A80" w14:textId="77777777" w:rsidR="004063A4" w:rsidRPr="008F0774" w:rsidRDefault="004063A4" w:rsidP="004063A4">
      <w:pPr>
        <w:spacing w:after="0" w:line="256" w:lineRule="auto"/>
        <w:rPr>
          <w:rFonts w:ascii="Verdana" w:eastAsia="Calibri" w:hAnsi="Verdana" w:cs="Times New Roman"/>
        </w:rPr>
      </w:pPr>
    </w:p>
    <w:p w14:paraId="18B9986E" w14:textId="77777777" w:rsidR="004063A4" w:rsidRPr="00A12CB6" w:rsidRDefault="004063A4" w:rsidP="004063A4">
      <w:pPr>
        <w:spacing w:after="0" w:line="256" w:lineRule="auto"/>
        <w:rPr>
          <w:rFonts w:ascii="Verdana" w:eastAsia="Calibri" w:hAnsi="Verdana" w:cs="Times New Roman"/>
          <w:b/>
          <w:bCs/>
          <w:lang w:val="es-ES"/>
        </w:rPr>
      </w:pPr>
      <w:r w:rsidRPr="008F0774">
        <w:rPr>
          <w:rFonts w:ascii="Verdana" w:eastAsia="Calibri" w:hAnsi="Verdana" w:cs="Times New Roman"/>
          <w:b/>
          <w:bCs/>
        </w:rPr>
        <w:t xml:space="preserve">                                    </w:t>
      </w:r>
      <w:r>
        <w:rPr>
          <w:rFonts w:ascii="Verdana" w:eastAsia="Calibri" w:hAnsi="Verdana" w:cs="Times New Roman"/>
          <w:b/>
          <w:bCs/>
          <w:lang w:val="es-ES"/>
        </w:rPr>
        <w:t>Concepto C–1117 de 2025</w:t>
      </w:r>
    </w:p>
    <w:p w14:paraId="2319650B" w14:textId="77777777" w:rsidR="004063A4" w:rsidRPr="00A12CB6" w:rsidRDefault="004063A4" w:rsidP="004063A4">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063A4" w:rsidRPr="00A12CB6" w14:paraId="5294E554" w14:textId="77777777" w:rsidTr="00C24266">
        <w:trPr>
          <w:trHeight w:val="645"/>
        </w:trPr>
        <w:tc>
          <w:tcPr>
            <w:tcW w:w="2685" w:type="dxa"/>
            <w:hideMark/>
          </w:tcPr>
          <w:p w14:paraId="20460980" w14:textId="77777777" w:rsidR="004063A4" w:rsidRPr="00A12CB6" w:rsidRDefault="004063A4" w:rsidP="00C24266">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39E73750" w14:textId="77777777" w:rsidR="004063A4" w:rsidRPr="008F0774" w:rsidRDefault="004063A4" w:rsidP="00C24266">
            <w:pPr>
              <w:spacing w:line="276" w:lineRule="auto"/>
              <w:jc w:val="both"/>
              <w:rPr>
                <w:rFonts w:ascii="Verdana" w:hAnsi="Verdana" w:cs="Arial"/>
                <w:lang w:val="es-ES" w:eastAsia="es-ES"/>
              </w:rPr>
            </w:pPr>
            <w:r>
              <w:rPr>
                <w:rFonts w:ascii="Verdana" w:hAnsi="Verdana" w:cs="Arial"/>
                <w:color w:val="000000"/>
                <w:szCs w:val="24"/>
                <w:lang w:val="es-ES_tradnl" w:eastAsia="es-ES_tradnl"/>
              </w:rPr>
              <w:t>DEBIDO PROCESO ADMINISTRATIVO</w:t>
            </w:r>
            <w:r w:rsidRPr="008F0774">
              <w:rPr>
                <w:rFonts w:ascii="Verdana" w:hAnsi="Verdana" w:cs="Arial"/>
                <w:color w:val="000000"/>
                <w:szCs w:val="24"/>
                <w:lang w:val="es-ES_tradnl" w:eastAsia="es-ES_tradnl"/>
              </w:rPr>
              <w:t xml:space="preserve"> –</w:t>
            </w:r>
            <w:r>
              <w:rPr>
                <w:rFonts w:ascii="Verdana" w:hAnsi="Verdana" w:cs="Arial"/>
                <w:color w:val="000000"/>
                <w:szCs w:val="24"/>
                <w:lang w:val="es-ES_tradnl" w:eastAsia="es-ES_tradnl"/>
              </w:rPr>
              <w:t xml:space="preserve"> Potestad Sancionatoria del Estado – Actuaciones Contractuales </w:t>
            </w:r>
            <w:r w:rsidRPr="008F0774">
              <w:rPr>
                <w:rFonts w:ascii="Verdana" w:hAnsi="Verdana" w:cs="Arial"/>
                <w:color w:val="000000"/>
                <w:szCs w:val="24"/>
                <w:lang w:val="es-ES_tradnl" w:eastAsia="es-ES_tradnl"/>
              </w:rPr>
              <w:t xml:space="preserve">/ PROCEDIMIENTO SANCIONATORIO CONTRACTUAL – Citación a audiencia – Contenido – Ley 1474 de 2011 – Artículo 86 / </w:t>
            </w:r>
            <w:r>
              <w:rPr>
                <w:rFonts w:ascii="Verdana" w:hAnsi="Verdana" w:cs="Arial"/>
                <w:color w:val="000000"/>
                <w:szCs w:val="24"/>
                <w:lang w:val="es-ES_tradnl" w:eastAsia="es-ES_tradnl"/>
              </w:rPr>
              <w:t xml:space="preserve">ACTUACIONES PREVIAS – Procedimiento Administrativo Sancionatorio Contractual – Requerimiento de Presunto Incumplimiento / CONTROL Y EJECUCIÓN – Supervisión – Conflictos de interés / CONTROL Y VIGILANCIA – Deber – Entidad Estatal. </w:t>
            </w:r>
          </w:p>
        </w:tc>
        <w:tc>
          <w:tcPr>
            <w:tcW w:w="6237" w:type="dxa"/>
          </w:tcPr>
          <w:p w14:paraId="7641BA4C" w14:textId="77777777" w:rsidR="004063A4" w:rsidRPr="00757EE9" w:rsidRDefault="004063A4" w:rsidP="00C24266">
            <w:pPr>
              <w:spacing w:line="256" w:lineRule="auto"/>
              <w:rPr>
                <w:rFonts w:ascii="Verdana" w:hAnsi="Verdana"/>
                <w:lang w:val="es-ES"/>
              </w:rPr>
            </w:pPr>
          </w:p>
        </w:tc>
      </w:tr>
      <w:tr w:rsidR="004063A4" w:rsidRPr="00A12CB6" w14:paraId="3EECB3A5" w14:textId="77777777" w:rsidTr="00C24266">
        <w:tc>
          <w:tcPr>
            <w:tcW w:w="2685" w:type="dxa"/>
          </w:tcPr>
          <w:p w14:paraId="352E9AC3" w14:textId="77777777" w:rsidR="004063A4" w:rsidRDefault="004063A4" w:rsidP="00C24266">
            <w:pPr>
              <w:spacing w:line="256" w:lineRule="auto"/>
              <w:rPr>
                <w:rFonts w:ascii="Verdana" w:hAnsi="Verdana"/>
                <w:lang w:val="es-ES_tradnl"/>
              </w:rPr>
            </w:pPr>
          </w:p>
          <w:p w14:paraId="57F3FD1C" w14:textId="77777777" w:rsidR="004063A4" w:rsidRPr="00A12CB6" w:rsidRDefault="004063A4" w:rsidP="00C24266">
            <w:pPr>
              <w:spacing w:line="256" w:lineRule="auto"/>
              <w:rPr>
                <w:rFonts w:ascii="Verdana" w:hAnsi="Verdana"/>
                <w:lang w:val="es-ES_tradnl"/>
              </w:rPr>
            </w:pPr>
          </w:p>
          <w:p w14:paraId="464205F2" w14:textId="77777777" w:rsidR="004063A4" w:rsidRPr="00A12CB6" w:rsidRDefault="004063A4" w:rsidP="00C24266">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6DEAE888" w14:textId="77777777" w:rsidR="004063A4" w:rsidRDefault="004063A4" w:rsidP="00C24266">
            <w:pPr>
              <w:spacing w:line="257" w:lineRule="auto"/>
              <w:rPr>
                <w:rFonts w:ascii="Verdana" w:hAnsi="Verdana"/>
                <w:lang w:val="es-ES_tradnl"/>
              </w:rPr>
            </w:pPr>
          </w:p>
          <w:p w14:paraId="67E79E84" w14:textId="77777777" w:rsidR="004063A4" w:rsidRPr="00A12CB6" w:rsidRDefault="004063A4" w:rsidP="00C24266">
            <w:pPr>
              <w:spacing w:line="257" w:lineRule="auto"/>
              <w:rPr>
                <w:rFonts w:ascii="Verdana" w:hAnsi="Verdana"/>
                <w:lang w:val="es-ES_tradnl"/>
              </w:rPr>
            </w:pPr>
          </w:p>
          <w:p w14:paraId="3BB92A8F" w14:textId="77777777" w:rsidR="004063A4" w:rsidRPr="00630891" w:rsidRDefault="004063A4" w:rsidP="00C24266">
            <w:pPr>
              <w:spacing w:line="257" w:lineRule="auto"/>
              <w:jc w:val="both"/>
              <w:rPr>
                <w:rFonts w:ascii="Verdana" w:hAnsi="Verdana"/>
              </w:rPr>
            </w:pPr>
            <w:r w:rsidRPr="00A12CB6">
              <w:rPr>
                <w:rFonts w:ascii="Verdana" w:hAnsi="Verdana"/>
                <w:lang w:val="es-ES_tradnl"/>
              </w:rPr>
              <w:t xml:space="preserve">Respuesta a consulta con radicado No. </w:t>
            </w:r>
            <w:r w:rsidRPr="000352BA">
              <w:rPr>
                <w:rFonts w:ascii="Verdana" w:hAnsi="Verdana"/>
              </w:rPr>
              <w:t>1_2025_08_11_008338</w:t>
            </w:r>
            <w:r>
              <w:rPr>
                <w:rFonts w:ascii="Verdana" w:hAnsi="Verdana"/>
              </w:rPr>
              <w:t xml:space="preserve"> </w:t>
            </w:r>
          </w:p>
          <w:p w14:paraId="49A28C69" w14:textId="77777777" w:rsidR="004063A4" w:rsidRPr="00630891" w:rsidRDefault="004063A4" w:rsidP="00C24266">
            <w:pPr>
              <w:spacing w:line="257" w:lineRule="auto"/>
              <w:jc w:val="both"/>
              <w:rPr>
                <w:rFonts w:ascii="Verdana" w:hAnsi="Verdana"/>
              </w:rPr>
            </w:pPr>
          </w:p>
          <w:p w14:paraId="7BF17786" w14:textId="77777777" w:rsidR="004063A4" w:rsidRPr="00A12CB6" w:rsidRDefault="004063A4" w:rsidP="00C24266">
            <w:pPr>
              <w:spacing w:line="257" w:lineRule="auto"/>
              <w:jc w:val="both"/>
              <w:rPr>
                <w:rFonts w:ascii="Verdana" w:hAnsi="Verdana"/>
              </w:rPr>
            </w:pPr>
          </w:p>
        </w:tc>
        <w:tc>
          <w:tcPr>
            <w:tcW w:w="6237" w:type="dxa"/>
          </w:tcPr>
          <w:p w14:paraId="798358A5" w14:textId="77777777" w:rsidR="004063A4" w:rsidRPr="00A12CB6" w:rsidRDefault="004063A4" w:rsidP="00C24266">
            <w:pPr>
              <w:spacing w:line="256" w:lineRule="auto"/>
              <w:rPr>
                <w:rFonts w:ascii="Verdana" w:hAnsi="Verdana"/>
                <w:lang w:val="es-ES_tradnl"/>
              </w:rPr>
            </w:pPr>
          </w:p>
        </w:tc>
      </w:tr>
    </w:tbl>
    <w:p w14:paraId="19B4849B" w14:textId="77777777" w:rsidR="004063A4" w:rsidRPr="00A12CB6" w:rsidRDefault="004063A4" w:rsidP="004063A4">
      <w:pPr>
        <w:spacing w:after="0" w:line="256" w:lineRule="auto"/>
        <w:rPr>
          <w:rFonts w:ascii="Verdana" w:eastAsia="Calibri" w:hAnsi="Verdana" w:cs="Times New Roman"/>
          <w:lang w:val="es-ES"/>
        </w:rPr>
      </w:pPr>
      <w:r>
        <w:rPr>
          <w:rFonts w:ascii="Verdana" w:eastAsia="Calibri" w:hAnsi="Verdana" w:cs="Times New Roman"/>
          <w:lang w:val="es-ES"/>
        </w:rPr>
        <w:t xml:space="preserve">Estimada Señora </w:t>
      </w:r>
      <w:proofErr w:type="spellStart"/>
      <w:r>
        <w:rPr>
          <w:rFonts w:ascii="Verdana" w:eastAsia="Calibri" w:hAnsi="Verdana" w:cs="Times New Roman"/>
          <w:lang w:val="es-ES"/>
        </w:rPr>
        <w:t>Bianny</w:t>
      </w:r>
      <w:proofErr w:type="spellEnd"/>
      <w:r w:rsidRPr="003469FD">
        <w:rPr>
          <w:rFonts w:ascii="Verdana" w:eastAsia="Calibri" w:hAnsi="Verdana" w:cs="Times New Roman"/>
          <w:lang w:val="es-ES"/>
        </w:rPr>
        <w:t>:</w:t>
      </w:r>
      <w:r w:rsidRPr="00A12CB6">
        <w:rPr>
          <w:rFonts w:ascii="Verdana" w:eastAsia="Calibri" w:hAnsi="Verdana" w:cs="Times New Roman"/>
          <w:lang w:val="es-ES"/>
        </w:rPr>
        <w:t xml:space="preserve"> </w:t>
      </w:r>
    </w:p>
    <w:p w14:paraId="3D4FE29C" w14:textId="77777777" w:rsidR="004063A4" w:rsidRPr="00A12CB6" w:rsidRDefault="004063A4" w:rsidP="004063A4">
      <w:pPr>
        <w:spacing w:after="0" w:line="256" w:lineRule="auto"/>
        <w:rPr>
          <w:rFonts w:ascii="Verdana" w:eastAsia="Calibri" w:hAnsi="Verdana" w:cs="Times New Roman"/>
          <w:lang w:val="es-ES"/>
        </w:rPr>
      </w:pPr>
    </w:p>
    <w:p w14:paraId="3CB54C45" w14:textId="77777777" w:rsidR="004063A4" w:rsidRDefault="004063A4" w:rsidP="004063A4">
      <w:pPr>
        <w:spacing w:after="0" w:line="276" w:lineRule="auto"/>
        <w:jc w:val="both"/>
        <w:rPr>
          <w:rFonts w:ascii="Verdana" w:eastAsia="Calibri" w:hAnsi="Verdana" w:cs="Times New Roman"/>
          <w:lang w:val="es-ES"/>
        </w:rPr>
      </w:pPr>
      <w:r w:rsidRPr="0097090E">
        <w:rPr>
          <w:rFonts w:ascii="Verdana" w:eastAsia="Calibri" w:hAnsi="Verdana" w:cs="Times New Roman"/>
          <w:lang w:val="es-ES"/>
        </w:rPr>
        <w:t xml:space="preserve">En ejercicio de la competencia otorgada por los artículos 3, numeral 5º, y 11, numeral 8º, del Decreto Ley 4170 de 2011, la Agencia Nacional de Contratación Pública – Colombia Compra Eficiente– responde la solicitud de consulta presentada el </w:t>
      </w:r>
      <w:r>
        <w:rPr>
          <w:rFonts w:ascii="Verdana" w:eastAsia="Calibri" w:hAnsi="Verdana" w:cs="Times New Roman"/>
          <w:lang w:val="es-ES"/>
        </w:rPr>
        <w:t xml:space="preserve">11 de agosto </w:t>
      </w:r>
      <w:r w:rsidRPr="0097090E">
        <w:rPr>
          <w:rFonts w:ascii="Verdana" w:eastAsia="Calibri" w:hAnsi="Verdana" w:cs="Times New Roman"/>
          <w:lang w:val="es-ES"/>
        </w:rPr>
        <w:t>de 2025. En dicha solicitud, usted pl</w:t>
      </w:r>
      <w:r>
        <w:rPr>
          <w:rFonts w:ascii="Verdana" w:eastAsia="Calibri" w:hAnsi="Verdana" w:cs="Times New Roman"/>
          <w:lang w:val="es-ES"/>
        </w:rPr>
        <w:t>antea una situación particular</w:t>
      </w:r>
      <w:r w:rsidRPr="0097090E">
        <w:rPr>
          <w:rFonts w:ascii="Verdana" w:eastAsia="Calibri" w:hAnsi="Verdana" w:cs="Times New Roman"/>
          <w:lang w:val="es-ES"/>
        </w:rPr>
        <w:t>, de lo cual se derivan los siguientes interrogantes:</w:t>
      </w:r>
    </w:p>
    <w:p w14:paraId="123BC57E" w14:textId="77777777" w:rsidR="004063A4" w:rsidRPr="000D1AED" w:rsidRDefault="004063A4" w:rsidP="004063A4">
      <w:pPr>
        <w:spacing w:after="120"/>
        <w:ind w:right="709"/>
        <w:jc w:val="both"/>
        <w:rPr>
          <w:rFonts w:ascii="Verdana" w:eastAsia="Calibri" w:hAnsi="Verdana" w:cs="Times New Roman"/>
          <w:sz w:val="21"/>
          <w:szCs w:val="21"/>
        </w:rPr>
      </w:pPr>
    </w:p>
    <w:p w14:paraId="1A141EC2" w14:textId="77777777" w:rsidR="004063A4" w:rsidRPr="00957945" w:rsidRDefault="004063A4" w:rsidP="004063A4">
      <w:pPr>
        <w:pStyle w:val="Prrafodelista"/>
        <w:spacing w:after="120"/>
        <w:ind w:left="709" w:right="709"/>
        <w:jc w:val="both"/>
        <w:rPr>
          <w:rFonts w:ascii="Verdana" w:eastAsia="Calibri" w:hAnsi="Verdana" w:cs="Times New Roman"/>
          <w:sz w:val="21"/>
          <w:szCs w:val="21"/>
          <w:lang w:val="es-CO"/>
        </w:rPr>
      </w:pPr>
      <w:r>
        <w:rPr>
          <w:rFonts w:ascii="Verdana" w:eastAsia="Calibri" w:hAnsi="Verdana" w:cs="Times New Roman"/>
          <w:sz w:val="21"/>
          <w:szCs w:val="21"/>
          <w:lang w:val="es-CO"/>
        </w:rPr>
        <w:t xml:space="preserve">“[…] </w:t>
      </w:r>
      <w:r w:rsidRPr="00957945">
        <w:rPr>
          <w:rFonts w:ascii="Verdana" w:eastAsia="Calibri" w:hAnsi="Verdana" w:cs="Times New Roman"/>
          <w:sz w:val="21"/>
          <w:szCs w:val="21"/>
          <w:lang w:val="es-CO"/>
        </w:rPr>
        <w:t xml:space="preserve">solicito muy respetuosamente se me indique si resulta adecuado y conforme a los principios del debido proceso que quien fungía como mi supervisora directa y además ostenta el cargo de jefe del área jurídica de la entidad haya sido la encargada de revisar y responder a las actuaciones presentadas por esta suscrita, a pesar de ser parte </w:t>
      </w:r>
      <w:r w:rsidRPr="00957945">
        <w:rPr>
          <w:rFonts w:ascii="Verdana" w:eastAsia="Calibri" w:hAnsi="Verdana" w:cs="Times New Roman"/>
          <w:sz w:val="21"/>
          <w:szCs w:val="21"/>
          <w:lang w:val="es-CO"/>
        </w:rPr>
        <w:lastRenderedPageBreak/>
        <w:t xml:space="preserve">directa en el conflicto que originó el requerimiento por posible incumplimiento y otras observaciones en la cuenta de cobro. </w:t>
      </w:r>
    </w:p>
    <w:p w14:paraId="10ECC3DC" w14:textId="77777777" w:rsidR="004063A4" w:rsidRDefault="004063A4" w:rsidP="004063A4">
      <w:pPr>
        <w:pStyle w:val="Prrafodelista"/>
        <w:spacing w:after="120"/>
        <w:ind w:left="709" w:right="709"/>
        <w:jc w:val="both"/>
        <w:rPr>
          <w:rFonts w:ascii="Verdana" w:eastAsia="Calibri" w:hAnsi="Verdana" w:cs="Times New Roman"/>
          <w:sz w:val="21"/>
          <w:szCs w:val="21"/>
          <w:lang w:val="es-CO"/>
        </w:rPr>
      </w:pPr>
      <w:r>
        <w:rPr>
          <w:rFonts w:ascii="Verdana" w:eastAsia="Calibri" w:hAnsi="Verdana" w:cs="Times New Roman"/>
          <w:sz w:val="21"/>
          <w:szCs w:val="21"/>
          <w:lang w:val="es-CO"/>
        </w:rPr>
        <w:t>[…]</w:t>
      </w:r>
    </w:p>
    <w:p w14:paraId="6622780E" w14:textId="77777777" w:rsidR="004063A4" w:rsidRPr="00957945" w:rsidRDefault="004063A4" w:rsidP="004063A4">
      <w:pPr>
        <w:pStyle w:val="Prrafodelista"/>
        <w:spacing w:after="120"/>
        <w:ind w:left="709" w:right="709"/>
        <w:jc w:val="both"/>
        <w:rPr>
          <w:rFonts w:ascii="Verdana" w:eastAsia="Calibri" w:hAnsi="Verdana" w:cs="Times New Roman"/>
          <w:sz w:val="21"/>
          <w:szCs w:val="21"/>
          <w:lang w:val="es-CO"/>
        </w:rPr>
      </w:pPr>
      <w:r w:rsidRPr="00957945">
        <w:rPr>
          <w:rFonts w:ascii="Verdana" w:eastAsia="Calibri" w:hAnsi="Verdana" w:cs="Times New Roman"/>
          <w:sz w:val="21"/>
          <w:szCs w:val="21"/>
          <w:lang w:val="es-CO"/>
        </w:rPr>
        <w:t xml:space="preserve">Por lo anterior, solicito por favor se me indique si, en aras de garantizar transparencia, objetividad e imparcialidad, era procedente que dicha funcionaria se apartara desde el inicio del caso, y si, en su lugar, debió intervenir un tercero neutral dentro de la misma estructura institucional o, en su defecto, si corresponde escalar la situación ante la entidad rectora o de control competente, para evitar un posible conflicto de interés y proteger mis derechos como contratista del Estado. </w:t>
      </w:r>
      <w:r>
        <w:rPr>
          <w:rFonts w:ascii="Verdana" w:eastAsia="Calibri" w:hAnsi="Verdana" w:cs="Times New Roman"/>
          <w:sz w:val="21"/>
          <w:szCs w:val="21"/>
          <w:lang w:val="es-CO"/>
        </w:rPr>
        <w:t xml:space="preserve"> </w:t>
      </w:r>
    </w:p>
    <w:p w14:paraId="5364A693" w14:textId="77777777" w:rsidR="004063A4" w:rsidRDefault="004063A4" w:rsidP="004063A4">
      <w:pPr>
        <w:pStyle w:val="Prrafodelista"/>
        <w:spacing w:after="120" w:line="240" w:lineRule="auto"/>
        <w:ind w:left="709" w:right="709"/>
        <w:jc w:val="both"/>
        <w:rPr>
          <w:rFonts w:ascii="Verdana" w:eastAsia="Calibri" w:hAnsi="Verdana" w:cs="Times New Roman"/>
          <w:sz w:val="21"/>
          <w:szCs w:val="21"/>
          <w:lang w:val="es-CO"/>
        </w:rPr>
      </w:pPr>
      <w:r w:rsidRPr="007C03D2">
        <w:rPr>
          <w:rFonts w:ascii="Verdana" w:eastAsia="Calibri" w:hAnsi="Verdana" w:cs="Times New Roman"/>
          <w:sz w:val="21"/>
          <w:szCs w:val="21"/>
          <w:lang w:val="es-CO"/>
        </w:rPr>
        <w:t>4. Siguiendo con el hilo de lo expuesto, solicito se me indique por favor de manera clara qué tipo de documento o acto administrativo constituye un requerimiento por posible incumplimiento contractual como el que fue emitido en mi contra. En ese mismo sentido, y teniendo en cuenta lo expresado en el cuerpo de este escrito,</w:t>
      </w:r>
      <w:r>
        <w:rPr>
          <w:rFonts w:ascii="Verdana" w:eastAsia="Calibri" w:hAnsi="Verdana" w:cs="Times New Roman"/>
          <w:sz w:val="21"/>
          <w:szCs w:val="21"/>
          <w:lang w:val="es-CO"/>
        </w:rPr>
        <w:t xml:space="preserve"> </w:t>
      </w:r>
      <w:r w:rsidRPr="007C03D2">
        <w:rPr>
          <w:rFonts w:ascii="Verdana" w:eastAsia="Calibri" w:hAnsi="Verdana" w:cs="Times New Roman"/>
          <w:sz w:val="21"/>
          <w:szCs w:val="21"/>
          <w:lang w:val="es-CO"/>
        </w:rPr>
        <w:t xml:space="preserve">su naturaleza y efectos, solicito se me indique si frente a dicho requerimiento procedía o no el recurso de reposición en subsidio del de apelación, de conformidad con lo previsto en el Código de Procedimiento Administrativo y de lo Contencioso Administrativo (CPACA) y demás normas aplicables, ya que el requerimiento afectó directamente mis derechos contractuales, mi reputación profesional dentro de la institución y la posibilidad de continuidad en futuras contrataciones con la entidad, así mismo solicito que de ser o no procedentes dichos recursos se me indique las normas a fin de ampliar el conocimiento respecto del asunto. </w:t>
      </w:r>
    </w:p>
    <w:p w14:paraId="5757280C" w14:textId="77777777" w:rsidR="004063A4" w:rsidRDefault="004063A4" w:rsidP="004063A4">
      <w:pPr>
        <w:pStyle w:val="Prrafodelista"/>
        <w:spacing w:after="120" w:line="240" w:lineRule="auto"/>
        <w:ind w:left="709" w:right="709"/>
        <w:jc w:val="both"/>
        <w:rPr>
          <w:rFonts w:ascii="Verdana" w:eastAsia="Calibri" w:hAnsi="Verdana" w:cs="Times New Roman"/>
          <w:sz w:val="21"/>
          <w:szCs w:val="21"/>
          <w:lang w:val="es-CO"/>
        </w:rPr>
      </w:pPr>
      <w:r>
        <w:rPr>
          <w:rFonts w:ascii="Verdana" w:eastAsia="Calibri" w:hAnsi="Verdana" w:cs="Times New Roman"/>
          <w:sz w:val="21"/>
          <w:szCs w:val="21"/>
          <w:lang w:val="es-CO"/>
        </w:rPr>
        <w:t>[…]</w:t>
      </w:r>
    </w:p>
    <w:p w14:paraId="45A83B9C" w14:textId="77777777" w:rsidR="004063A4" w:rsidRPr="00C1348F" w:rsidRDefault="004063A4" w:rsidP="004063A4">
      <w:pPr>
        <w:pStyle w:val="Prrafodelista"/>
        <w:spacing w:after="120" w:line="240" w:lineRule="auto"/>
        <w:ind w:left="709" w:right="709"/>
        <w:jc w:val="both"/>
        <w:rPr>
          <w:rFonts w:ascii="Verdana" w:eastAsia="Calibri" w:hAnsi="Verdana" w:cs="Times New Roman"/>
          <w:sz w:val="21"/>
          <w:szCs w:val="21"/>
        </w:rPr>
      </w:pPr>
      <w:r w:rsidRPr="00C1348F">
        <w:rPr>
          <w:rFonts w:ascii="Verdana" w:eastAsia="Calibri" w:hAnsi="Verdana" w:cs="Times New Roman"/>
          <w:sz w:val="21"/>
          <w:szCs w:val="21"/>
        </w:rPr>
        <w:t xml:space="preserve">1. ¿Qué se entiende formalmente por un requerimiento por posible incumplimiento dentro de un contrato estatal? </w:t>
      </w:r>
    </w:p>
    <w:p w14:paraId="6203B50C" w14:textId="77777777" w:rsidR="004063A4" w:rsidRPr="00C1348F" w:rsidRDefault="004063A4" w:rsidP="004063A4">
      <w:pPr>
        <w:pStyle w:val="Prrafodelista"/>
        <w:spacing w:after="120" w:line="240" w:lineRule="auto"/>
        <w:ind w:left="709" w:right="709"/>
        <w:jc w:val="both"/>
        <w:rPr>
          <w:rFonts w:ascii="Verdana" w:eastAsia="Calibri" w:hAnsi="Verdana" w:cs="Times New Roman"/>
          <w:sz w:val="21"/>
          <w:szCs w:val="21"/>
        </w:rPr>
      </w:pPr>
      <w:r w:rsidRPr="00C1348F">
        <w:rPr>
          <w:rFonts w:ascii="Verdana" w:eastAsia="Calibri" w:hAnsi="Verdana" w:cs="Times New Roman"/>
          <w:sz w:val="21"/>
          <w:szCs w:val="21"/>
        </w:rPr>
        <w:t>2. ¿Cuál es la forma objetiva, idónea y procedimentalmente correcta para emitir un requerimiento de esta naturaleza por parte de la entidad contratante?</w:t>
      </w:r>
    </w:p>
    <w:p w14:paraId="43458458" w14:textId="77777777" w:rsidR="004063A4" w:rsidRPr="00C1348F" w:rsidRDefault="004063A4" w:rsidP="004063A4">
      <w:pPr>
        <w:pStyle w:val="Prrafodelista"/>
        <w:spacing w:after="120" w:line="240" w:lineRule="auto"/>
        <w:ind w:left="709" w:right="709"/>
        <w:jc w:val="both"/>
        <w:rPr>
          <w:rFonts w:ascii="Verdana" w:eastAsia="Calibri" w:hAnsi="Verdana" w:cs="Times New Roman"/>
          <w:sz w:val="21"/>
          <w:szCs w:val="21"/>
          <w:lang w:val="es-CO"/>
        </w:rPr>
      </w:pPr>
      <w:r w:rsidRPr="00C1348F">
        <w:rPr>
          <w:rFonts w:ascii="Verdana" w:eastAsia="Calibri" w:hAnsi="Verdana" w:cs="Times New Roman"/>
          <w:sz w:val="21"/>
          <w:szCs w:val="21"/>
        </w:rPr>
        <w:t xml:space="preserve">3. </w:t>
      </w:r>
      <w:r w:rsidRPr="00C1348F">
        <w:rPr>
          <w:rFonts w:ascii="Verdana" w:eastAsia="Calibri" w:hAnsi="Verdana" w:cs="Times New Roman"/>
          <w:sz w:val="21"/>
          <w:szCs w:val="21"/>
          <w:lang w:val="es-CO"/>
        </w:rPr>
        <w:t xml:space="preserve">¿Cuál es la finalidad jurídica de dicho documento dentro del marco de ejecución, seguimiento y/o terminación contractual? </w:t>
      </w:r>
    </w:p>
    <w:p w14:paraId="5CF30EE4" w14:textId="77777777" w:rsidR="004063A4" w:rsidRPr="00C1348F" w:rsidRDefault="004063A4" w:rsidP="004063A4">
      <w:pPr>
        <w:pStyle w:val="Prrafodelista"/>
        <w:spacing w:after="120" w:line="240" w:lineRule="auto"/>
        <w:ind w:left="709" w:right="709"/>
        <w:jc w:val="both"/>
        <w:rPr>
          <w:rFonts w:ascii="Verdana" w:eastAsia="Calibri" w:hAnsi="Verdana" w:cs="Times New Roman"/>
          <w:sz w:val="21"/>
          <w:szCs w:val="21"/>
        </w:rPr>
      </w:pPr>
      <w:r w:rsidRPr="00C1348F">
        <w:rPr>
          <w:rFonts w:ascii="Verdana" w:eastAsia="Calibri" w:hAnsi="Verdana" w:cs="Times New Roman"/>
          <w:sz w:val="21"/>
          <w:szCs w:val="21"/>
          <w:lang w:val="es-CO"/>
        </w:rPr>
        <w:t xml:space="preserve">4. ¿es procedente y ajustado a derecho que este tipo de requerimientos se realicen y respalden con base en la jerarquía del superior inmediato del contratista, sin que exista una evaluación neutral, técnica y objetiva, o sin ofrecer al contratista la posibilidad real y efectiva de ejercer su derecho de defensa y contradicción? </w:t>
      </w:r>
    </w:p>
    <w:p w14:paraId="738F2262" w14:textId="77777777" w:rsidR="004063A4" w:rsidRPr="00C1348F" w:rsidRDefault="004063A4" w:rsidP="004063A4">
      <w:pPr>
        <w:pStyle w:val="Prrafodelista"/>
        <w:spacing w:after="120" w:line="240" w:lineRule="auto"/>
        <w:ind w:left="709" w:right="709"/>
        <w:jc w:val="both"/>
        <w:rPr>
          <w:rFonts w:ascii="Verdana" w:eastAsia="Calibri" w:hAnsi="Verdana" w:cs="Times New Roman"/>
          <w:sz w:val="21"/>
          <w:szCs w:val="21"/>
          <w:lang w:val="es-CO"/>
        </w:rPr>
      </w:pPr>
      <w:r w:rsidRPr="00C1348F">
        <w:rPr>
          <w:rFonts w:ascii="Verdana" w:eastAsia="Calibri" w:hAnsi="Verdana" w:cs="Times New Roman"/>
          <w:sz w:val="21"/>
          <w:szCs w:val="21"/>
          <w:lang w:val="es-CO"/>
        </w:rPr>
        <w:t xml:space="preserve">Finalmente, y en el marco de la normatividad aplicable a la contratación pública, solicitó de manera respetuosa se me indique por favor si resulta ajustado al principio de legalidad y a los deberes funcionales de los servidores públicos que, al elevar una solicitud respetuosa al superior jerárquico de un supervisor con el fin de que analice una situación concreta de posible subjetividad o conflicto en el </w:t>
      </w:r>
      <w:r w:rsidRPr="00C1348F">
        <w:rPr>
          <w:rFonts w:ascii="Verdana" w:eastAsia="Calibri" w:hAnsi="Verdana" w:cs="Times New Roman"/>
          <w:sz w:val="21"/>
          <w:szCs w:val="21"/>
          <w:lang w:val="es-CO"/>
        </w:rPr>
        <w:lastRenderedPageBreak/>
        <w:t xml:space="preserve">ejercicio de la supervisión contractual, se responda que dicha petición constituye una "falta de respeto" por implicar la revisión de un informe de supervisión. </w:t>
      </w:r>
    </w:p>
    <w:p w14:paraId="5526F679" w14:textId="77777777" w:rsidR="004063A4" w:rsidRPr="00C1348F" w:rsidRDefault="004063A4" w:rsidP="004063A4">
      <w:pPr>
        <w:pStyle w:val="Prrafodelista"/>
        <w:spacing w:after="120" w:line="240" w:lineRule="auto"/>
        <w:ind w:left="709" w:right="709"/>
        <w:jc w:val="both"/>
        <w:rPr>
          <w:rFonts w:ascii="Verdana" w:eastAsia="Calibri" w:hAnsi="Verdana" w:cs="Times New Roman"/>
          <w:sz w:val="21"/>
          <w:szCs w:val="21"/>
          <w:lang w:val="es-CO"/>
        </w:rPr>
      </w:pPr>
      <w:r w:rsidRPr="00C1348F">
        <w:rPr>
          <w:rFonts w:ascii="Verdana" w:eastAsia="Calibri" w:hAnsi="Verdana" w:cs="Times New Roman"/>
          <w:sz w:val="21"/>
          <w:szCs w:val="21"/>
          <w:lang w:val="es-CO"/>
        </w:rPr>
        <w:t>A partir de lo anterior, de manera amable solicito se me aclare quién es el encargado de ejercer control, vigilancia o evaluación sobre las actuaciones de los supervisores de contrato dentro de una entidad estatal, especialmente cuando existen cuestionamientos fundados sobre posibles actuaciones arbitrarias, uso indebido del poder o afectaciones a derechos del contratista</w:t>
      </w:r>
      <w:r>
        <w:rPr>
          <w:rFonts w:ascii="Verdana" w:eastAsia="Calibri" w:hAnsi="Verdana" w:cs="Times New Roman"/>
          <w:sz w:val="21"/>
          <w:szCs w:val="21"/>
          <w:lang w:val="es-CO"/>
        </w:rPr>
        <w:t>”.</w:t>
      </w:r>
      <w:r w:rsidRPr="00C1348F">
        <w:rPr>
          <w:rFonts w:ascii="Verdana" w:eastAsia="Calibri" w:hAnsi="Verdana" w:cs="Times New Roman"/>
          <w:sz w:val="21"/>
          <w:szCs w:val="21"/>
          <w:lang w:val="es-CO"/>
        </w:rPr>
        <w:t xml:space="preserve"> </w:t>
      </w:r>
    </w:p>
    <w:p w14:paraId="52CA56F3" w14:textId="77777777" w:rsidR="004063A4" w:rsidRPr="00C1348F" w:rsidRDefault="004063A4" w:rsidP="004063A4">
      <w:pPr>
        <w:pStyle w:val="Prrafodelista"/>
        <w:spacing w:after="120" w:line="240" w:lineRule="auto"/>
        <w:ind w:left="709" w:right="709"/>
        <w:jc w:val="both"/>
        <w:rPr>
          <w:rFonts w:ascii="Verdana" w:eastAsia="Calibri" w:hAnsi="Verdana" w:cs="Times New Roman"/>
          <w:sz w:val="21"/>
          <w:szCs w:val="21"/>
          <w:lang w:val="es-CO"/>
        </w:rPr>
      </w:pPr>
    </w:p>
    <w:p w14:paraId="37767DB2" w14:textId="77777777" w:rsidR="004063A4" w:rsidRPr="00A12CB6" w:rsidRDefault="004063A4" w:rsidP="004063A4">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7C0F233" w14:textId="77777777" w:rsidR="004063A4" w:rsidRPr="00A12CB6" w:rsidRDefault="004063A4" w:rsidP="004063A4">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los problemas jurídicos de su consulta. </w:t>
      </w:r>
    </w:p>
    <w:p w14:paraId="201874E2" w14:textId="77777777" w:rsidR="004063A4" w:rsidRPr="00A12CB6" w:rsidRDefault="004063A4" w:rsidP="004063A4">
      <w:pPr>
        <w:spacing w:after="0" w:line="256" w:lineRule="auto"/>
        <w:rPr>
          <w:rFonts w:ascii="Verdana" w:eastAsia="Calibri" w:hAnsi="Verdana" w:cs="Times New Roman"/>
          <w:lang w:val="es-ES"/>
        </w:rPr>
      </w:pPr>
    </w:p>
    <w:p w14:paraId="6548BA39" w14:textId="77777777" w:rsidR="004063A4" w:rsidRPr="00A12CB6" w:rsidRDefault="004063A4" w:rsidP="004063A4">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321CF86C" w14:textId="77777777" w:rsidR="004063A4" w:rsidRPr="00A12CB6" w:rsidRDefault="004063A4" w:rsidP="004063A4">
      <w:pPr>
        <w:spacing w:after="0" w:line="256" w:lineRule="auto"/>
        <w:jc w:val="both"/>
        <w:rPr>
          <w:rFonts w:ascii="Verdana" w:eastAsia="Calibri" w:hAnsi="Verdana" w:cs="Times New Roman"/>
        </w:rPr>
      </w:pPr>
    </w:p>
    <w:p w14:paraId="1C73074D" w14:textId="77777777" w:rsidR="004063A4" w:rsidRPr="00F40085" w:rsidRDefault="004063A4" w:rsidP="004063A4">
      <w:pPr>
        <w:spacing w:after="0" w:line="276" w:lineRule="auto"/>
        <w:jc w:val="both"/>
        <w:rPr>
          <w:rFonts w:ascii="Verdana" w:eastAsia="Calibri" w:hAnsi="Verdana" w:cs="Times New Roman"/>
          <w:iCs/>
        </w:rPr>
      </w:pPr>
      <w:r w:rsidRPr="00774F09">
        <w:rPr>
          <w:rFonts w:ascii="Verdana" w:eastAsia="Calibri" w:hAnsi="Verdana" w:cs="Times New Roman"/>
        </w:rPr>
        <w:t>De acuerdo con el contenido</w:t>
      </w:r>
      <w:r>
        <w:rPr>
          <w:rFonts w:ascii="Verdana" w:eastAsia="Calibri" w:hAnsi="Verdana" w:cs="Times New Roman"/>
        </w:rPr>
        <w:t xml:space="preserve"> de sus solicitudes</w:t>
      </w:r>
      <w:r w:rsidRPr="00774F09">
        <w:rPr>
          <w:rFonts w:ascii="Verdana" w:eastAsia="Calibri" w:hAnsi="Verdana" w:cs="Times New Roman"/>
        </w:rPr>
        <w:t>, est</w:t>
      </w:r>
      <w:r>
        <w:rPr>
          <w:rFonts w:ascii="Verdana" w:eastAsia="Calibri" w:hAnsi="Verdana" w:cs="Times New Roman"/>
        </w:rPr>
        <w:t xml:space="preserve">a Agencia procede a resolver los siguientes problemas jurídicos: i) </w:t>
      </w:r>
      <w:r w:rsidRPr="00774F09">
        <w:rPr>
          <w:rFonts w:ascii="Verdana" w:eastAsia="Calibri" w:hAnsi="Verdana" w:cs="Times New Roman"/>
          <w:iCs/>
        </w:rPr>
        <w:t xml:space="preserve">¿cuál es la naturaleza y función </w:t>
      </w:r>
      <w:r w:rsidRPr="00774F09">
        <w:rPr>
          <w:rFonts w:ascii="Verdana" w:eastAsia="Calibri" w:hAnsi="Verdana" w:cs="Times New Roman"/>
          <w:iCs/>
          <w:lang w:val="es-ES"/>
        </w:rPr>
        <w:t xml:space="preserve">de un requerimiento por </w:t>
      </w:r>
      <w:r>
        <w:rPr>
          <w:rFonts w:ascii="Verdana" w:eastAsia="Calibri" w:hAnsi="Verdana" w:cs="Times New Roman"/>
          <w:iCs/>
          <w:lang w:val="es-ES"/>
        </w:rPr>
        <w:t xml:space="preserve">un presunto </w:t>
      </w:r>
      <w:r w:rsidRPr="00774F09">
        <w:rPr>
          <w:rFonts w:ascii="Verdana" w:eastAsia="Calibri" w:hAnsi="Verdana" w:cs="Times New Roman"/>
          <w:iCs/>
          <w:lang w:val="es-ES"/>
        </w:rPr>
        <w:t>incumplimiento dentro de un contrato estatal?</w:t>
      </w:r>
      <w:r>
        <w:rPr>
          <w:rFonts w:ascii="Verdana" w:eastAsia="Calibri" w:hAnsi="Verdana" w:cs="Times New Roman"/>
          <w:iCs/>
          <w:lang w:val="es-ES"/>
        </w:rPr>
        <w:t>; ii) ¿Cuáles deben ser las garantías que debe tenerse en cuenta en el momento de un requerimiento por un presunto incumplimiento contractual? iii) ¿</w:t>
      </w:r>
      <w:r w:rsidRPr="00D647CF">
        <w:rPr>
          <w:rFonts w:ascii="Verdana" w:eastAsia="Calibri" w:hAnsi="Verdana" w:cs="Times New Roman"/>
          <w:iCs/>
        </w:rPr>
        <w:t xml:space="preserve">quién </w:t>
      </w:r>
      <w:r>
        <w:rPr>
          <w:rFonts w:ascii="Verdana" w:eastAsia="Calibri" w:hAnsi="Verdana" w:cs="Times New Roman"/>
          <w:iCs/>
        </w:rPr>
        <w:t xml:space="preserve">debe ejercer el </w:t>
      </w:r>
      <w:r w:rsidRPr="00D647CF">
        <w:rPr>
          <w:rFonts w:ascii="Verdana" w:eastAsia="Calibri" w:hAnsi="Verdana" w:cs="Times New Roman"/>
          <w:iCs/>
        </w:rPr>
        <w:t xml:space="preserve">ejercer control, vigilancia o evaluación sobre las actuaciones de </w:t>
      </w:r>
      <w:r w:rsidRPr="00D647CF">
        <w:rPr>
          <w:rFonts w:ascii="Verdana" w:eastAsia="Calibri" w:hAnsi="Verdana" w:cs="Times New Roman"/>
          <w:iCs/>
        </w:rPr>
        <w:lastRenderedPageBreak/>
        <w:t>los supervisores de</w:t>
      </w:r>
      <w:r>
        <w:rPr>
          <w:rFonts w:ascii="Verdana" w:eastAsia="Calibri" w:hAnsi="Verdana" w:cs="Times New Roman"/>
          <w:iCs/>
        </w:rPr>
        <w:t>l</w:t>
      </w:r>
      <w:r w:rsidRPr="00D647CF">
        <w:rPr>
          <w:rFonts w:ascii="Verdana" w:eastAsia="Calibri" w:hAnsi="Verdana" w:cs="Times New Roman"/>
          <w:iCs/>
        </w:rPr>
        <w:t xml:space="preserve"> contrato</w:t>
      </w:r>
      <w:r>
        <w:rPr>
          <w:rFonts w:ascii="Verdana" w:eastAsia="Calibri" w:hAnsi="Verdana" w:cs="Times New Roman"/>
          <w:iCs/>
        </w:rPr>
        <w:t xml:space="preserve"> en el marco del seguimiento a la ejecución contractual?</w:t>
      </w:r>
    </w:p>
    <w:p w14:paraId="03EBD411" w14:textId="77777777" w:rsidR="004063A4" w:rsidRPr="002A1D6D" w:rsidRDefault="004063A4" w:rsidP="004063A4">
      <w:pPr>
        <w:spacing w:after="0" w:line="276" w:lineRule="auto"/>
        <w:jc w:val="both"/>
        <w:rPr>
          <w:rFonts w:ascii="Verdana" w:eastAsia="Calibri" w:hAnsi="Verdana" w:cs="Times New Roman"/>
          <w:i/>
          <w:iCs/>
        </w:rPr>
      </w:pPr>
    </w:p>
    <w:p w14:paraId="09334168" w14:textId="77777777" w:rsidR="004063A4" w:rsidRDefault="004063A4" w:rsidP="004063A4">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0E60F339" w14:textId="77777777" w:rsidR="004063A4" w:rsidRPr="00A12CB6" w:rsidRDefault="004063A4" w:rsidP="004063A4">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063A4" w:rsidRPr="001205D1" w14:paraId="2B42F8D9" w14:textId="77777777" w:rsidTr="00C24266">
        <w:trPr>
          <w:trHeight w:val="345"/>
          <w:jc w:val="center"/>
        </w:trPr>
        <w:tc>
          <w:tcPr>
            <w:tcW w:w="8784" w:type="dxa"/>
            <w:tcBorders>
              <w:bottom w:val="single" w:sz="4" w:space="0" w:color="auto"/>
            </w:tcBorders>
          </w:tcPr>
          <w:p w14:paraId="385F8D47" w14:textId="77777777" w:rsidR="004063A4" w:rsidRDefault="004063A4" w:rsidP="00C24266">
            <w:pPr>
              <w:tabs>
                <w:tab w:val="left" w:pos="709"/>
              </w:tabs>
              <w:spacing w:before="120" w:after="120" w:line="276" w:lineRule="auto"/>
              <w:jc w:val="both"/>
              <w:rPr>
                <w:rFonts w:ascii="Verdana" w:eastAsia="Times New Roman" w:hAnsi="Verdana" w:cs="Arial"/>
                <w:color w:val="000000"/>
                <w:bdr w:val="none" w:sz="0" w:space="0" w:color="auto" w:frame="1"/>
                <w:shd w:val="clear" w:color="auto" w:fill="FFFFFF"/>
                <w:lang w:eastAsia="es-ES"/>
              </w:rPr>
            </w:pPr>
            <w:r w:rsidRPr="4929CF82">
              <w:rPr>
                <w:rFonts w:ascii="Verdana" w:eastAsia="Times New Roman" w:hAnsi="Verdana" w:cs="Arial"/>
                <w:color w:val="000000"/>
                <w:bdr w:val="none" w:sz="0" w:space="0" w:color="auto" w:frame="1"/>
                <w:shd w:val="clear" w:color="auto" w:fill="FFFFFF"/>
                <w:lang w:eastAsia="es-ES"/>
              </w:rPr>
              <w:t>De acuerdo con los problemas jurídico, objeto de consulta, se expresa:</w:t>
            </w:r>
          </w:p>
          <w:p w14:paraId="44BB9FC7" w14:textId="77777777" w:rsidR="004063A4" w:rsidRPr="00C21751" w:rsidRDefault="004063A4" w:rsidP="00C24266">
            <w:pPr>
              <w:spacing w:after="120" w:line="276" w:lineRule="auto"/>
              <w:jc w:val="both"/>
              <w:rPr>
                <w:rFonts w:ascii="Verdana" w:hAnsi="Verdana" w:cs="Arial"/>
                <w:color w:val="000000" w:themeColor="text1"/>
                <w:lang w:val="es-ES"/>
              </w:rPr>
            </w:pPr>
            <w:r>
              <w:rPr>
                <w:rFonts w:ascii="Verdana" w:eastAsia="Times New Roman" w:hAnsi="Verdana" w:cs="Arial"/>
                <w:color w:val="000000"/>
                <w:bdr w:val="none" w:sz="0" w:space="0" w:color="auto" w:frame="1"/>
                <w:shd w:val="clear" w:color="auto" w:fill="FFFFFF"/>
                <w:lang w:eastAsia="es-ES_tradnl"/>
              </w:rPr>
              <w:t xml:space="preserve">i. </w:t>
            </w:r>
            <w:r>
              <w:rPr>
                <w:rFonts w:ascii="Verdana" w:eastAsia="Times New Roman" w:hAnsi="Verdana" w:cs="Arial"/>
                <w:iCs/>
                <w:color w:val="000000"/>
                <w:szCs w:val="24"/>
                <w:lang w:val="es-ES" w:eastAsia="es-ES_tradnl"/>
              </w:rPr>
              <w:t xml:space="preserve">Previo </w:t>
            </w:r>
            <w:r>
              <w:rPr>
                <w:rFonts w:ascii="Verdana" w:eastAsia="Times New Roman" w:hAnsi="Verdana" w:cs="Arial"/>
                <w:iCs/>
                <w:color w:val="000000"/>
                <w:szCs w:val="24"/>
                <w:lang w:val="es-ES_tradnl" w:eastAsia="es-ES_tradnl"/>
              </w:rPr>
              <w:t>al inicio del procedimiento administrativo sancionatorio regulado en el artículo 86 de la Ley 1474 de 2011, los supervisores pueden requerir previamente al contratista, con el fin de determinar si se están presentando presuntos incumplimientos en las obligaciones del contrato estatal. Para ello, el requerimiento de presunto incumplimiento no puede catalogarse como un acto administrativo que lo declara, pues no se está aún en el procedimiento administrativo sancionatorio del artículo 86 de la Ley 1474 de 2011, ni mucho menos adquiere tal naturaleza.</w:t>
            </w:r>
          </w:p>
          <w:p w14:paraId="6CED7DF7" w14:textId="77777777" w:rsidR="004063A4" w:rsidRDefault="004063A4" w:rsidP="00C24266">
            <w:pPr>
              <w:spacing w:after="120" w:line="276" w:lineRule="auto"/>
              <w:ind w:firstLine="709"/>
              <w:jc w:val="both"/>
              <w:rPr>
                <w:rFonts w:ascii="Verdana" w:eastAsia="Times New Roman" w:hAnsi="Verdana" w:cs="Arial"/>
                <w:iCs/>
                <w:color w:val="000000"/>
                <w:szCs w:val="24"/>
                <w:lang w:val="es-ES_tradnl" w:eastAsia="es-ES_tradnl"/>
              </w:rPr>
            </w:pPr>
            <w:r>
              <w:rPr>
                <w:rFonts w:ascii="Verdana" w:eastAsia="Times New Roman" w:hAnsi="Verdana" w:cs="Arial"/>
                <w:iCs/>
                <w:color w:val="000000"/>
                <w:szCs w:val="24"/>
                <w:lang w:val="es-ES_tradnl" w:eastAsia="es-ES_tradnl"/>
              </w:rPr>
              <w:t xml:space="preserve">Los actos de requerimiento de presunto incumplimiento son actos de la administración, en los que se solicita el supervisor o interventor para que se corrija una situación dentro de la ejecución del contrato, o se cumpla con una obligación. Para ello, puede requerir información o subsanar inconsistencias errores y fallas dentro de la ejecución contractual, garantizando la posibilidad de que el contratista aclare o resuelva las inquietudes de la supervisión o de la interventoría. </w:t>
            </w:r>
          </w:p>
          <w:p w14:paraId="6E06636A" w14:textId="77777777" w:rsidR="004063A4" w:rsidRPr="00F85615" w:rsidRDefault="004063A4" w:rsidP="00C24266">
            <w:pPr>
              <w:spacing w:after="120" w:line="276" w:lineRule="auto"/>
              <w:jc w:val="both"/>
              <w:rPr>
                <w:rFonts w:ascii="Verdana" w:eastAsia="Times New Roman" w:hAnsi="Verdana" w:cs="Arial"/>
                <w:iCs/>
                <w:color w:val="000000"/>
                <w:szCs w:val="24"/>
                <w:lang w:val="es-ES_tradnl" w:eastAsia="es-ES_tradnl"/>
              </w:rPr>
            </w:pPr>
            <w:r>
              <w:rPr>
                <w:rFonts w:ascii="Verdana" w:eastAsia="Times New Roman" w:hAnsi="Verdana" w:cs="Arial"/>
                <w:color w:val="000000"/>
                <w:lang w:val="es-ES_tradnl" w:eastAsia="es-ES"/>
              </w:rPr>
              <w:t xml:space="preserve">ii. </w:t>
            </w:r>
            <w:r>
              <w:rPr>
                <w:rFonts w:ascii="Verdana" w:eastAsia="Times New Roman" w:hAnsi="Verdana" w:cs="Arial"/>
                <w:iCs/>
                <w:color w:val="000000"/>
                <w:szCs w:val="24"/>
                <w:lang w:val="es-ES_tradnl" w:eastAsia="es-ES_tradnl"/>
              </w:rPr>
              <w:t xml:space="preserve">Ahora bien, frente a la garantía del debido proceso por los requerimientos por presunto incumplimiento contractual por parte de la supervisión, </w:t>
            </w:r>
            <w:r w:rsidRPr="003F63CC">
              <w:rPr>
                <w:rFonts w:ascii="Verdana" w:eastAsia="Arial MT" w:hAnsi="Verdana" w:cs="Arial MT"/>
                <w:lang w:val="es-ES"/>
              </w:rPr>
              <w:t>se precisa que la entidad tiene la potestad de designar el supervisor o los supervisores en los diferentes contratos, y que de acuerdo con la “Guía para el ejercicio de las funciones de supervisión e interventoría de los contratos del Estado” recomienda que esta se haga a través de un funcionario, que tenga asignadas funciones relacionadas con el objeto contractual. En dicha Guía se señala que la designación debe estar antecedida por un análisis de la carga operativa del funcionario al que se le asigna la supervisión, para evitar que el supervisor no pueda desempeñar la tarea de manera adecuada. Además, al supervisor designado debe informársele de la labor encomendada y las obligaciones del contrato para desempeñar su función de manera idónea.</w:t>
            </w:r>
          </w:p>
          <w:p w14:paraId="0620CEED" w14:textId="77777777" w:rsidR="004063A4" w:rsidRPr="00C7728C" w:rsidRDefault="004063A4" w:rsidP="00C24266">
            <w:pPr>
              <w:spacing w:before="120" w:after="120" w:line="276" w:lineRule="auto"/>
              <w:ind w:firstLine="709"/>
              <w:jc w:val="both"/>
              <w:rPr>
                <w:rFonts w:ascii="Verdana" w:eastAsia="Calibri" w:hAnsi="Verdana" w:cs="Arial"/>
                <w:color w:val="000000"/>
                <w:lang w:val="es-ES_tradnl"/>
              </w:rPr>
            </w:pPr>
            <w:r>
              <w:rPr>
                <w:rFonts w:ascii="Verdana" w:eastAsia="Arial MT" w:hAnsi="Verdana" w:cs="Arial MT"/>
                <w:lang w:val="es-ES_tradnl"/>
              </w:rPr>
              <w:t xml:space="preserve">En tal sentido, los </w:t>
            </w:r>
            <w:r w:rsidRPr="003F63CC">
              <w:rPr>
                <w:rFonts w:ascii="Verdana" w:eastAsia="Arial MT" w:hAnsi="Verdana" w:cs="Arial MT"/>
                <w:lang w:val="es-ES"/>
              </w:rPr>
              <w:t xml:space="preserve">supervisores ejercen el control y seguimiento del contrato estatal en sus diferentes etapas luego de su celebración, desde la ejecución e incluso en la liquidación del contrato, sin perjuicio que por parte </w:t>
            </w:r>
            <w:r w:rsidRPr="003F63CC">
              <w:rPr>
                <w:rFonts w:ascii="Verdana" w:eastAsia="Arial MT" w:hAnsi="Verdana" w:cs="Arial MT"/>
                <w:lang w:val="es-ES"/>
              </w:rPr>
              <w:lastRenderedPageBreak/>
              <w:t xml:space="preserve">del contratante se designe posteriormente otro supervisor por razones de índole administrativo y/o novedades en el funcionamiento de la entidad, en el evento de presentarse circunstancias que obliguen a </w:t>
            </w:r>
            <w:r>
              <w:rPr>
                <w:rFonts w:ascii="Verdana" w:eastAsia="Arial MT" w:hAnsi="Verdana" w:cs="Arial MT"/>
                <w:lang w:val="es-ES"/>
              </w:rPr>
              <w:t xml:space="preserve">que no pueda por alguna circunstancia fáctica o jurídica, como estar in curso en una conflicto de interés, derivado de una causal de impedimento o de recusación regulada en el artículo 11 de la Ley 1437 de 2011, </w:t>
            </w:r>
            <w:r w:rsidRPr="00C21751">
              <w:rPr>
                <w:rFonts w:ascii="Verdana" w:eastAsia="Arial MT" w:hAnsi="Verdana" w:cs="Arial MT"/>
                <w:lang w:val="es-ES"/>
              </w:rPr>
              <w:t xml:space="preserve">al igual que el trámite de los impedimentos y recusaciones, esto es, </w:t>
            </w:r>
            <w:r>
              <w:rPr>
                <w:rFonts w:ascii="Verdana" w:eastAsia="Arial MT" w:hAnsi="Verdana" w:cs="Arial MT"/>
                <w:lang w:val="es-ES"/>
              </w:rPr>
              <w:t>lo dispuesto en el artículo 12 de la Ley ya precitada</w:t>
            </w:r>
            <w:r w:rsidRPr="00C21751">
              <w:rPr>
                <w:rFonts w:ascii="Verdana" w:eastAsia="Arial MT" w:hAnsi="Verdana" w:cs="Arial MT"/>
                <w:lang w:val="es-ES"/>
              </w:rPr>
              <w:t>.</w:t>
            </w:r>
            <w:r>
              <w:rPr>
                <w:rFonts w:ascii="Verdana" w:eastAsia="Arial MT" w:hAnsi="Verdana" w:cs="Arial MT"/>
                <w:lang w:val="es-ES"/>
              </w:rPr>
              <w:t xml:space="preserve"> En esta línea, si hay un conflicto de interés y se acepta derivado del procedimiento del impedimento o de la recusación determinará a quién corresponde el conocimiento del asunto, pudiendo si es del caso, designar un funcionario </w:t>
            </w:r>
            <w:r w:rsidRPr="005B136D">
              <w:rPr>
                <w:rFonts w:ascii="Verdana" w:eastAsia="Arial MT" w:hAnsi="Verdana" w:cs="Arial MT"/>
                <w:i/>
                <w:iCs/>
                <w:lang w:val="es-ES"/>
              </w:rPr>
              <w:t>ad hoc.</w:t>
            </w:r>
            <w:r>
              <w:rPr>
                <w:rFonts w:ascii="Verdana" w:eastAsia="Arial MT" w:hAnsi="Verdana" w:cs="Arial MT"/>
                <w:lang w:val="es-ES"/>
              </w:rPr>
              <w:t xml:space="preserve"> </w:t>
            </w:r>
          </w:p>
          <w:p w14:paraId="33AEFF7D" w14:textId="77777777" w:rsidR="004063A4" w:rsidRDefault="004063A4" w:rsidP="00C24266">
            <w:pPr>
              <w:spacing w:before="120" w:after="120" w:line="276" w:lineRule="auto"/>
              <w:jc w:val="both"/>
              <w:rPr>
                <w:rFonts w:ascii="Verdana" w:eastAsia="Calibri" w:hAnsi="Verdana" w:cs="Arial"/>
                <w:color w:val="000000" w:themeColor="text1"/>
                <w:lang w:val="es-ES"/>
              </w:rPr>
            </w:pPr>
            <w:r>
              <w:rPr>
                <w:rFonts w:ascii="Verdana" w:eastAsia="Times New Roman" w:hAnsi="Verdana" w:cs="Arial"/>
                <w:color w:val="000000"/>
                <w:lang w:val="es-ES" w:eastAsia="es-ES"/>
              </w:rPr>
              <w:t xml:space="preserve">iii. </w:t>
            </w:r>
            <w:r>
              <w:rPr>
                <w:rFonts w:ascii="Verdana" w:eastAsia="Calibri" w:hAnsi="Verdana" w:cs="Arial"/>
                <w:color w:val="000000" w:themeColor="text1"/>
                <w:lang w:val="es-ES"/>
              </w:rPr>
              <w:t>Ante este posible escenario, hay que recordar que e</w:t>
            </w:r>
            <w:r w:rsidRPr="0092717A">
              <w:rPr>
                <w:rFonts w:ascii="Verdana" w:eastAsia="Calibri" w:hAnsi="Verdana" w:cs="Arial"/>
                <w:color w:val="000000" w:themeColor="text1"/>
                <w:lang w:val="es-ES"/>
              </w:rPr>
              <w:t xml:space="preserv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w:t>
            </w:r>
            <w:r>
              <w:rPr>
                <w:rFonts w:ascii="Verdana" w:eastAsia="Calibri" w:hAnsi="Verdana" w:cs="Arial"/>
                <w:color w:val="000000" w:themeColor="text1"/>
                <w:lang w:val="es-ES"/>
              </w:rPr>
              <w:t>exigir el adecuado cumplimiento, como designar un nuevo supervisor dentro del contrato si se está ante un conflicto de interés.</w:t>
            </w:r>
          </w:p>
          <w:p w14:paraId="5B8C2A63" w14:textId="77777777" w:rsidR="004063A4" w:rsidRPr="00DA7C87" w:rsidRDefault="004063A4" w:rsidP="00C24266">
            <w:pPr>
              <w:spacing w:after="120" w:line="276" w:lineRule="auto"/>
              <w:jc w:val="both"/>
              <w:rPr>
                <w:rFonts w:ascii="Verdana" w:hAnsi="Verdana" w:cs="Arial"/>
                <w:lang w:val="es-ES" w:eastAsia="es-ES"/>
              </w:rPr>
            </w:pPr>
            <w:r>
              <w:rPr>
                <w:rFonts w:ascii="Verdana" w:hAnsi="Verdana" w:cs="Arial"/>
                <w:lang w:val="es-ES" w:eastAsia="es-ES"/>
              </w:rPr>
              <w:t>iv. En todo caso</w:t>
            </w:r>
            <w:r w:rsidRPr="00FD30C6">
              <w:rPr>
                <w:rFonts w:ascii="Verdana" w:hAnsi="Verdana" w:cs="Arial"/>
                <w:lang w:val="es-ES" w:eastAsia="es-ES"/>
              </w:rPr>
              <w:t xml:space="preserve">,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w:t>
            </w:r>
            <w:r w:rsidRPr="00FD30C6">
              <w:rPr>
                <w:rFonts w:ascii="Verdana" w:hAnsi="Verdana" w:cs="Arial"/>
                <w:lang w:val="es-ES" w:eastAsia="es-ES"/>
              </w:rPr>
              <w:lastRenderedPageBreak/>
              <w:t>su gestión contractual, sin que sea atribución de Colombia Compra Eficiente validar sus actuaciones.</w:t>
            </w:r>
          </w:p>
        </w:tc>
      </w:tr>
    </w:tbl>
    <w:p w14:paraId="4351715A" w14:textId="77777777" w:rsidR="004063A4" w:rsidRPr="00A12CB6" w:rsidRDefault="004063A4" w:rsidP="004063A4">
      <w:pPr>
        <w:spacing w:after="0" w:line="276" w:lineRule="auto"/>
        <w:jc w:val="both"/>
        <w:rPr>
          <w:rFonts w:ascii="Verdana" w:eastAsia="Calibri" w:hAnsi="Verdana" w:cs="Arial"/>
          <w:bCs/>
          <w:color w:val="000000" w:themeColor="text1"/>
        </w:rPr>
      </w:pPr>
    </w:p>
    <w:p w14:paraId="26765F57" w14:textId="77777777" w:rsidR="004063A4" w:rsidRPr="0093558D" w:rsidRDefault="004063A4" w:rsidP="004063A4">
      <w:pPr>
        <w:numPr>
          <w:ilvl w:val="0"/>
          <w:numId w:val="19"/>
        </w:numPr>
        <w:tabs>
          <w:tab w:val="left" w:pos="2268"/>
        </w:tabs>
        <w:spacing w:after="0" w:line="25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263457AF" w14:textId="77777777" w:rsidR="004063A4" w:rsidRPr="00A12CB6" w:rsidRDefault="004063A4" w:rsidP="004063A4">
      <w:pPr>
        <w:spacing w:after="0" w:line="256" w:lineRule="auto"/>
        <w:rPr>
          <w:rFonts w:ascii="Verdana" w:eastAsia="Calibri" w:hAnsi="Verdana" w:cs="Times New Roman"/>
          <w:b/>
          <w:bCs/>
          <w:lang w:val="es-ES"/>
        </w:rPr>
      </w:pPr>
    </w:p>
    <w:p w14:paraId="4114AE90" w14:textId="77777777" w:rsidR="004063A4" w:rsidRDefault="004063A4" w:rsidP="004063A4">
      <w:pPr>
        <w:spacing w:after="0" w:line="276" w:lineRule="auto"/>
        <w:jc w:val="both"/>
        <w:rPr>
          <w:rFonts w:ascii="Verdana" w:eastAsia="Calibri" w:hAnsi="Verdana" w:cs="Arial"/>
          <w:lang w:val="es-ES"/>
        </w:rPr>
      </w:pPr>
      <w:r w:rsidRPr="00A12CB6">
        <w:rPr>
          <w:rFonts w:ascii="Verdana" w:eastAsia="Calibri" w:hAnsi="Verdana" w:cs="Arial"/>
          <w:lang w:val="es-ES"/>
        </w:rPr>
        <w:t>Lo anterior se sustenta en las siguientes consideraciones:</w:t>
      </w:r>
    </w:p>
    <w:p w14:paraId="5179A9EC" w14:textId="77777777" w:rsidR="004063A4" w:rsidRPr="004F246A" w:rsidRDefault="004063A4" w:rsidP="004063A4">
      <w:pPr>
        <w:spacing w:after="0" w:line="276" w:lineRule="auto"/>
        <w:jc w:val="both"/>
        <w:rPr>
          <w:rFonts w:ascii="Verdana" w:eastAsia="Calibri" w:hAnsi="Verdana" w:cs="Arial"/>
          <w:lang w:val="es-ES"/>
        </w:rPr>
      </w:pPr>
      <w:r w:rsidRPr="00A12CB6">
        <w:rPr>
          <w:rFonts w:ascii="Verdana" w:eastAsia="Calibri" w:hAnsi="Verdana" w:cs="Arial"/>
          <w:lang w:val="es-ES"/>
        </w:rPr>
        <w:t xml:space="preserve"> </w:t>
      </w:r>
      <w:bookmarkStart w:id="1" w:name="_Hlk78820161"/>
    </w:p>
    <w:p w14:paraId="437893E2" w14:textId="77777777" w:rsidR="004063A4" w:rsidRPr="004A73EC" w:rsidRDefault="004063A4" w:rsidP="004063A4">
      <w:pPr>
        <w:tabs>
          <w:tab w:val="left" w:pos="426"/>
        </w:tabs>
        <w:spacing w:after="0" w:line="276" w:lineRule="auto"/>
        <w:jc w:val="both"/>
        <w:rPr>
          <w:rFonts w:ascii="Verdana" w:eastAsia="Calibri" w:hAnsi="Verdana" w:cs="Arial"/>
          <w:bCs/>
          <w:color w:val="000000" w:themeColor="text1"/>
          <w:lang w:val="es-ES_tradnl"/>
        </w:rPr>
      </w:pPr>
      <w:r>
        <w:rPr>
          <w:rFonts w:ascii="Verdana" w:eastAsia="Times New Roman" w:hAnsi="Verdana" w:cs="Arial"/>
          <w:iCs/>
          <w:color w:val="000000"/>
          <w:szCs w:val="24"/>
          <w:lang w:val="es-ES_tradnl" w:eastAsia="es-ES_tradnl"/>
        </w:rPr>
        <w:t xml:space="preserve">i. </w:t>
      </w:r>
      <w:r w:rsidRPr="004A73EC">
        <w:rPr>
          <w:rFonts w:ascii="Verdana" w:eastAsia="Calibri" w:hAnsi="Verdana" w:cs="Arial"/>
          <w:bCs/>
          <w:color w:val="000000" w:themeColor="text1"/>
          <w:lang w:val="es-ES_tradnl"/>
        </w:rPr>
        <w:t>La Constitución Política de 1991 contempla el debido proceso como derecho fundamental, y sobre su ámbito de aplicación dispone que se aplicará a toda clase de actuaciones judiciales y administrativas. La claridad de esta norma no deja dudas sobre la extensión de las garantías del debido proceso, lo que llevó a la Corte Constitucional a afirmar que “Una de las notas más destacadas de la Constitución Política de 1991 es la extensión de las garantías propias del debido proceso a las actuaciones administrativas”</w:t>
      </w:r>
      <w:r w:rsidRPr="004A73EC">
        <w:rPr>
          <w:rStyle w:val="Refdenotaalpie"/>
          <w:rFonts w:ascii="Verdana" w:eastAsia="Calibri" w:hAnsi="Verdana" w:cs="Arial"/>
          <w:bCs/>
          <w:color w:val="000000" w:themeColor="text1"/>
          <w:lang w:val="es-ES_tradnl"/>
        </w:rPr>
        <w:footnoteReference w:id="2"/>
      </w:r>
      <w:r w:rsidRPr="004A73EC">
        <w:rPr>
          <w:rFonts w:ascii="Verdana" w:eastAsia="Calibri" w:hAnsi="Verdana" w:cs="Arial"/>
          <w:bCs/>
          <w:color w:val="000000" w:themeColor="text1"/>
          <w:lang w:val="es-ES_tradnl"/>
        </w:rPr>
        <w:t xml:space="preserve">. Sin embargo, esta extensión tiene algunas particularidades que también explica la Corte Constitucional en los siguientes términos: </w:t>
      </w:r>
    </w:p>
    <w:p w14:paraId="03CE1414" w14:textId="77777777" w:rsidR="004063A4" w:rsidRPr="004A73EC" w:rsidRDefault="004063A4" w:rsidP="004063A4">
      <w:pPr>
        <w:tabs>
          <w:tab w:val="left" w:pos="426"/>
        </w:tabs>
        <w:spacing w:after="0"/>
        <w:jc w:val="both"/>
        <w:rPr>
          <w:rFonts w:ascii="Verdana" w:eastAsia="Calibri" w:hAnsi="Verdana" w:cs="Arial"/>
          <w:bCs/>
          <w:color w:val="000000" w:themeColor="text1"/>
          <w:lang w:val="es-ES_tradnl"/>
        </w:rPr>
      </w:pPr>
    </w:p>
    <w:p w14:paraId="13E507FA" w14:textId="77777777" w:rsidR="004063A4" w:rsidRPr="004A73EC" w:rsidRDefault="004063A4" w:rsidP="004063A4">
      <w:pPr>
        <w:tabs>
          <w:tab w:val="left" w:pos="426"/>
        </w:tabs>
        <w:spacing w:after="0" w:line="240" w:lineRule="auto"/>
        <w:ind w:left="709" w:right="709"/>
        <w:jc w:val="both"/>
        <w:rPr>
          <w:rFonts w:ascii="Verdana" w:eastAsia="Calibri" w:hAnsi="Verdana" w:cs="Arial"/>
          <w:bCs/>
          <w:color w:val="000000" w:themeColor="text1"/>
          <w:sz w:val="21"/>
          <w:szCs w:val="21"/>
          <w:lang w:val="es-ES_tradnl"/>
        </w:rPr>
      </w:pPr>
      <w:r w:rsidRPr="004A73EC">
        <w:rPr>
          <w:rFonts w:ascii="Verdana" w:eastAsia="Calibri" w:hAnsi="Verdana" w:cs="Arial"/>
          <w:bCs/>
          <w:color w:val="000000" w:themeColor="text1"/>
          <w:sz w:val="21"/>
          <w:szCs w:val="21"/>
          <w:lang w:val="es-ES_tradnl"/>
        </w:rPr>
        <w:t>“La extensión de las garantías del debido proceso al ámbito administrativo no implica, sin embargo, que su alcance sea idéntico en la administración de justicia y en el ejercicio de la función pública. A pesar de la importancia que tiene para el orden constitucional la vigencia del debido proceso en todos los escenarios en los que el ciudadano puede ver afectados sus derechos por actuaciones públicas (sin importar de qué rama provienen), es necesario que la interpretación de las garantías que lo componen tome en consideración los principios que caracterizan cada escenario, así como las diferencias que existen entre ellos”</w:t>
      </w:r>
      <w:r w:rsidRPr="004A73EC">
        <w:rPr>
          <w:rStyle w:val="Refdenotaalpie"/>
          <w:rFonts w:ascii="Verdana" w:eastAsia="Calibri" w:hAnsi="Verdana" w:cs="Arial"/>
          <w:bCs/>
          <w:color w:val="000000" w:themeColor="text1"/>
          <w:sz w:val="21"/>
          <w:szCs w:val="21"/>
          <w:lang w:val="es-ES_tradnl"/>
        </w:rPr>
        <w:footnoteReference w:id="3"/>
      </w:r>
      <w:r w:rsidRPr="004A73EC">
        <w:rPr>
          <w:rFonts w:ascii="Verdana" w:eastAsia="Calibri" w:hAnsi="Verdana" w:cs="Arial"/>
          <w:bCs/>
          <w:color w:val="000000" w:themeColor="text1"/>
          <w:sz w:val="21"/>
          <w:szCs w:val="21"/>
          <w:lang w:val="es-ES_tradnl"/>
        </w:rPr>
        <w:t>.</w:t>
      </w:r>
    </w:p>
    <w:p w14:paraId="546FCAF3" w14:textId="77777777" w:rsidR="004063A4" w:rsidRPr="004A73EC" w:rsidRDefault="004063A4" w:rsidP="004063A4">
      <w:pPr>
        <w:tabs>
          <w:tab w:val="left" w:pos="426"/>
        </w:tabs>
        <w:spacing w:after="0" w:line="276" w:lineRule="auto"/>
        <w:jc w:val="both"/>
        <w:rPr>
          <w:rFonts w:ascii="Verdana" w:eastAsia="Calibri" w:hAnsi="Verdana" w:cs="Arial"/>
          <w:b/>
          <w:color w:val="000000" w:themeColor="text1"/>
          <w:lang w:val="es-ES_tradnl"/>
        </w:rPr>
      </w:pPr>
    </w:p>
    <w:p w14:paraId="5FC9B0E8" w14:textId="77777777" w:rsidR="004063A4" w:rsidRPr="004A73EC" w:rsidRDefault="004063A4" w:rsidP="004063A4">
      <w:pPr>
        <w:tabs>
          <w:tab w:val="left" w:pos="426"/>
        </w:tabs>
        <w:spacing w:line="276" w:lineRule="auto"/>
        <w:ind w:firstLine="709"/>
        <w:jc w:val="both"/>
        <w:rPr>
          <w:rFonts w:ascii="Verdana" w:eastAsia="Calibri" w:hAnsi="Verdana" w:cs="Arial"/>
          <w:bCs/>
          <w:color w:val="000000" w:themeColor="text1"/>
          <w:lang w:val="es-ES_tradnl"/>
        </w:rPr>
      </w:pPr>
      <w:r w:rsidRPr="004A73EC">
        <w:rPr>
          <w:rFonts w:ascii="Verdana" w:eastAsia="Calibri" w:hAnsi="Verdana" w:cs="Arial"/>
          <w:bCs/>
          <w:color w:val="000000" w:themeColor="text1"/>
          <w:lang w:val="es-ES_tradnl"/>
        </w:rPr>
        <w:t xml:space="preserve">En ese orden de ideas, </w:t>
      </w:r>
      <w:bookmarkStart w:id="2" w:name="_Hlk55296245"/>
      <w:r w:rsidRPr="004A73EC">
        <w:rPr>
          <w:rFonts w:ascii="Verdana" w:eastAsia="Calibri" w:hAnsi="Verdana" w:cs="Arial"/>
          <w:bCs/>
          <w:color w:val="000000" w:themeColor="text1"/>
          <w:lang w:val="es-ES_tradnl"/>
        </w:rPr>
        <w:t xml:space="preserve">tanto en materia sancionatoria como no sancionatoria, las garantías del debido proceso aplican por expreso mandato constitucional a toda actuación administrativa. Sin embargo, estas deben interpretarse atendiendo a los principios que caracterizan cada escenario, teniendo en cuenta las diferencias entre los procesos judiciales y los procedimientos administrativos. De acuerdo con estas consideraciones la Corte resalta la importancia de aplicar en todos los casos los principios y garantías derivados del debido proceso, pero armonizando los mandatos del artículo 29 superior con los principios del artículo 209 constitucional, de manera que no se </w:t>
      </w:r>
      <w:r w:rsidRPr="004A73EC">
        <w:rPr>
          <w:rFonts w:ascii="Verdana" w:eastAsia="Calibri" w:hAnsi="Verdana" w:cs="Arial"/>
          <w:bCs/>
          <w:color w:val="000000" w:themeColor="text1"/>
          <w:lang w:val="es-ES_tradnl"/>
        </w:rPr>
        <w:lastRenderedPageBreak/>
        <w:t>pierda de vista que “mediante el procedimiento administrativo se logra el cumplimiento de la función administrativa […]”</w:t>
      </w:r>
      <w:bookmarkEnd w:id="2"/>
      <w:r w:rsidRPr="004A73EC">
        <w:rPr>
          <w:rStyle w:val="Refdenotaalpie"/>
          <w:rFonts w:ascii="Verdana" w:eastAsia="Calibri" w:hAnsi="Verdana" w:cs="Arial"/>
          <w:bCs/>
          <w:color w:val="000000" w:themeColor="text1"/>
          <w:lang w:val="es-ES_tradnl"/>
        </w:rPr>
        <w:footnoteReference w:id="4"/>
      </w:r>
      <w:r w:rsidRPr="004A73EC">
        <w:rPr>
          <w:rFonts w:ascii="Verdana" w:eastAsia="Calibri" w:hAnsi="Verdana" w:cs="Arial"/>
          <w:bCs/>
          <w:color w:val="000000" w:themeColor="text1"/>
          <w:lang w:val="es-ES_tradnl"/>
        </w:rPr>
        <w:t>.</w:t>
      </w:r>
    </w:p>
    <w:p w14:paraId="57948BF2" w14:textId="77777777" w:rsidR="004063A4" w:rsidRPr="004A73EC" w:rsidRDefault="004063A4" w:rsidP="004063A4">
      <w:pPr>
        <w:tabs>
          <w:tab w:val="left" w:pos="426"/>
        </w:tabs>
        <w:spacing w:after="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r>
      <w:r>
        <w:rPr>
          <w:rFonts w:ascii="Verdana" w:eastAsia="Calibri" w:hAnsi="Verdana" w:cs="Arial"/>
          <w:bCs/>
          <w:color w:val="000000" w:themeColor="text1"/>
          <w:lang w:val="es-ES_tradnl"/>
        </w:rPr>
        <w:tab/>
      </w:r>
      <w:r w:rsidRPr="004A73EC">
        <w:rPr>
          <w:rFonts w:ascii="Verdana" w:eastAsia="Calibri" w:hAnsi="Verdana" w:cs="Arial"/>
          <w:bCs/>
          <w:color w:val="000000" w:themeColor="text1"/>
          <w:lang w:val="es-ES_tradnl"/>
        </w:rPr>
        <w:t>El artículo 17 de la Ley 1150 de 2007 es relevante respecto al desarrollo legislativo del debido proceso en la contratación estatal. El mencionado artículo prescribe que este derecho fundamental será un principio rector en materia sancionatoria de las actuaciones contractuales</w:t>
      </w:r>
      <w:r w:rsidRPr="004A73EC">
        <w:rPr>
          <w:rStyle w:val="Refdenotaalpie"/>
          <w:rFonts w:ascii="Verdana" w:eastAsia="Calibri" w:hAnsi="Verdana" w:cs="Arial"/>
          <w:bCs/>
          <w:color w:val="000000" w:themeColor="text1"/>
          <w:lang w:val="es-ES_tradnl"/>
        </w:rPr>
        <w:footnoteReference w:id="5"/>
      </w:r>
      <w:r w:rsidRPr="004A73EC">
        <w:rPr>
          <w:rFonts w:ascii="Verdana" w:eastAsia="Calibri" w:hAnsi="Verdana" w:cs="Arial"/>
          <w:bCs/>
          <w:color w:val="000000" w:themeColor="text1"/>
          <w:lang w:val="es-ES_tradnl"/>
        </w:rPr>
        <w:t xml:space="preserve">. Apoyándose en esta norma, así como de las garantías derivadas directamente de la Constitución y otras normas procedimentales, el Consejo de Estado ha sostenido que: </w:t>
      </w:r>
    </w:p>
    <w:p w14:paraId="78C9B0AE" w14:textId="77777777" w:rsidR="004063A4" w:rsidRPr="004A73EC" w:rsidRDefault="004063A4" w:rsidP="004063A4">
      <w:pPr>
        <w:spacing w:after="0" w:line="276" w:lineRule="auto"/>
        <w:jc w:val="both"/>
        <w:rPr>
          <w:rFonts w:ascii="Verdana" w:hAnsi="Verdana" w:cs="Arial"/>
          <w:lang w:val="es-ES_tradnl"/>
        </w:rPr>
      </w:pPr>
    </w:p>
    <w:p w14:paraId="6C8C0762" w14:textId="77777777" w:rsidR="004063A4" w:rsidRPr="004A73EC" w:rsidRDefault="004063A4" w:rsidP="004063A4">
      <w:pPr>
        <w:pStyle w:val="Textoindependiente21"/>
        <w:spacing w:line="240" w:lineRule="auto"/>
        <w:ind w:left="708" w:right="758" w:firstLine="0"/>
        <w:rPr>
          <w:rFonts w:ascii="Verdana" w:hAnsi="Verdana" w:cs="Arial"/>
          <w:bCs/>
          <w:sz w:val="21"/>
          <w:szCs w:val="21"/>
          <w:lang w:val="es-ES_tradnl"/>
        </w:rPr>
      </w:pPr>
      <w:r w:rsidRPr="004A73EC">
        <w:rPr>
          <w:rFonts w:ascii="Verdana" w:hAnsi="Verdana" w:cs="Arial"/>
          <w:color w:val="000000"/>
          <w:sz w:val="21"/>
          <w:szCs w:val="21"/>
          <w:lang w:val="es-ES_tradnl"/>
        </w:rPr>
        <w:t xml:space="preserve">“Al respecto, </w:t>
      </w:r>
      <w:r w:rsidRPr="004A73EC">
        <w:rPr>
          <w:rFonts w:ascii="Verdana" w:hAnsi="Verdana" w:cs="Arial"/>
          <w:bCs/>
          <w:sz w:val="21"/>
          <w:szCs w:val="21"/>
          <w:lang w:val="es-ES_tradnl"/>
        </w:rPr>
        <w:t>la jurisprudencia de la Corporación ha sido categórica en afirmar que en materia contractual también se debe respetar este derecho fundamental al debido proceso, siempre que la administración en su papel de parte contratante dentro de un negocio jurídico, pretenda ejercer su poder de autotutela declarativa mediante la expedición de actos administrativos de carácter particular y concreto, en tal forma que se garantice el pleno conocimiento del contratista sobre la actuación adelantada por la administración y su posibilidad de ejercer en debida forma el derecho de audiencia y de defensa”</w:t>
      </w:r>
      <w:r w:rsidRPr="004A73EC">
        <w:rPr>
          <w:rStyle w:val="Refdenotaalpie"/>
          <w:rFonts w:ascii="Verdana" w:hAnsi="Verdana" w:cs="Arial"/>
          <w:bCs/>
          <w:sz w:val="21"/>
          <w:szCs w:val="21"/>
          <w:lang w:val="es-ES_tradnl"/>
        </w:rPr>
        <w:footnoteReference w:id="6"/>
      </w:r>
      <w:r w:rsidRPr="004A73EC">
        <w:rPr>
          <w:rFonts w:ascii="Verdana" w:hAnsi="Verdana" w:cs="Arial"/>
          <w:bCs/>
          <w:sz w:val="21"/>
          <w:szCs w:val="21"/>
          <w:lang w:val="es-ES_tradnl"/>
        </w:rPr>
        <w:t>.</w:t>
      </w:r>
    </w:p>
    <w:p w14:paraId="53042453" w14:textId="77777777" w:rsidR="004063A4" w:rsidRPr="004A73EC" w:rsidRDefault="004063A4" w:rsidP="004063A4">
      <w:pPr>
        <w:pStyle w:val="Textoindependiente21"/>
        <w:spacing w:line="276" w:lineRule="auto"/>
        <w:ind w:right="758" w:firstLine="0"/>
        <w:rPr>
          <w:rFonts w:ascii="Verdana" w:hAnsi="Verdana" w:cs="Arial"/>
          <w:bCs/>
          <w:sz w:val="22"/>
          <w:szCs w:val="22"/>
          <w:lang w:val="es-ES_tradnl"/>
        </w:rPr>
      </w:pPr>
    </w:p>
    <w:p w14:paraId="60F26961" w14:textId="77777777" w:rsidR="004063A4" w:rsidRPr="00FD30C6" w:rsidRDefault="004063A4" w:rsidP="004063A4">
      <w:pPr>
        <w:tabs>
          <w:tab w:val="left" w:pos="426"/>
        </w:tabs>
        <w:spacing w:after="120" w:line="276" w:lineRule="auto"/>
        <w:jc w:val="both"/>
        <w:rPr>
          <w:rFonts w:ascii="Verdana" w:eastAsia="Calibri" w:hAnsi="Verdana" w:cs="Arial"/>
          <w:bCs/>
          <w:color w:val="000000" w:themeColor="text1"/>
          <w:lang w:val="es-ES_tradnl"/>
        </w:rPr>
      </w:pPr>
      <w:r w:rsidRPr="004A73EC">
        <w:rPr>
          <w:rFonts w:ascii="Verdana" w:eastAsia="Calibri" w:hAnsi="Verdana" w:cs="Arial"/>
          <w:bCs/>
          <w:color w:val="000000" w:themeColor="text1"/>
          <w:lang w:val="es-ES_tradnl"/>
        </w:rPr>
        <w:tab/>
      </w:r>
      <w:r w:rsidRPr="004A73EC">
        <w:rPr>
          <w:rFonts w:ascii="Verdana" w:eastAsia="Calibri" w:hAnsi="Verdana" w:cs="Arial"/>
          <w:bCs/>
          <w:color w:val="000000" w:themeColor="text1"/>
          <w:lang w:val="es-ES_tradnl"/>
        </w:rPr>
        <w:tab/>
        <w:t>Con fundamento en estas consideraciones, la máxima corporación de lo contencioso administrativo concluyó que “no cabe duda alguna en relación con la aplicación del debido proceso en materia contractual y especialmente cuando se trate de decisiones sancionatorias”</w:t>
      </w:r>
      <w:r w:rsidRPr="004A73EC">
        <w:rPr>
          <w:rStyle w:val="Refdenotaalpie"/>
          <w:rFonts w:ascii="Verdana" w:eastAsia="Calibri" w:hAnsi="Verdana" w:cs="Arial"/>
          <w:bCs/>
          <w:color w:val="000000" w:themeColor="text1"/>
          <w:lang w:val="es-ES_tradnl"/>
        </w:rPr>
        <w:footnoteReference w:id="7"/>
      </w:r>
      <w:r w:rsidRPr="004A73EC">
        <w:rPr>
          <w:rFonts w:ascii="Verdana" w:eastAsia="Calibri" w:hAnsi="Verdana" w:cs="Arial"/>
          <w:bCs/>
          <w:color w:val="000000" w:themeColor="text1"/>
          <w:lang w:val="es-ES_tradnl"/>
        </w:rPr>
        <w:t>. Estas ideas son fundamentales, pues permiten afirmar que la Administración se encuentra obligada a respetar las garantías del debido proceso en materia contractual sin importar la declaratoria a realizar o el asunto a decidir.</w:t>
      </w:r>
    </w:p>
    <w:p w14:paraId="4EC1974A" w14:textId="77777777" w:rsidR="004063A4" w:rsidRPr="004F246A" w:rsidRDefault="004063A4" w:rsidP="004063A4">
      <w:pPr>
        <w:spacing w:after="0" w:line="276" w:lineRule="auto"/>
        <w:jc w:val="both"/>
        <w:rPr>
          <w:rFonts w:ascii="Verdana" w:eastAsia="Times New Roman" w:hAnsi="Verdana" w:cs="Arial"/>
          <w:b/>
          <w:bCs/>
          <w:iCs/>
          <w:color w:val="000000"/>
          <w:szCs w:val="24"/>
          <w:lang w:val="es-ES_tradnl" w:eastAsia="es-ES_tradnl"/>
        </w:rPr>
      </w:pPr>
    </w:p>
    <w:p w14:paraId="73D5BEAE" w14:textId="77777777" w:rsidR="004063A4" w:rsidRPr="001A5BC1" w:rsidRDefault="004063A4" w:rsidP="004063A4">
      <w:pPr>
        <w:spacing w:after="120" w:line="276" w:lineRule="auto"/>
        <w:jc w:val="both"/>
        <w:rPr>
          <w:rFonts w:ascii="Verdana" w:eastAsia="Times New Roman" w:hAnsi="Verdana" w:cs="Arial"/>
          <w:color w:val="000000"/>
          <w:lang w:val="es-ES" w:eastAsia="es-ES"/>
        </w:rPr>
      </w:pPr>
      <w:r w:rsidRPr="4929CF82">
        <w:rPr>
          <w:rFonts w:ascii="Verdana" w:eastAsia="Times New Roman" w:hAnsi="Verdana" w:cs="Arial"/>
          <w:color w:val="000000" w:themeColor="text1"/>
          <w:lang w:val="es-ES" w:eastAsia="es-ES"/>
        </w:rPr>
        <w:t xml:space="preserve">ii. </w:t>
      </w:r>
      <w:r w:rsidRPr="4929CF82">
        <w:rPr>
          <w:rFonts w:ascii="Verdana" w:eastAsia="Calibri" w:hAnsi="Verdana" w:cs="Arial"/>
          <w:color w:val="000000" w:themeColor="text1"/>
          <w:lang w:val="es-ES"/>
        </w:rPr>
        <w:t xml:space="preserve">Para las entidades sometidas al Estatuto General de Contratación de la Administración Pública, el artículo 86 de la Ley 1474 de 2011 –en concordancia </w:t>
      </w:r>
      <w:r w:rsidRPr="4929CF82">
        <w:rPr>
          <w:rFonts w:ascii="Verdana" w:eastAsia="Calibri" w:hAnsi="Verdana" w:cs="Arial"/>
          <w:color w:val="000000" w:themeColor="text1"/>
          <w:lang w:val="es-ES"/>
        </w:rPr>
        <w:lastRenderedPageBreak/>
        <w:t xml:space="preserve">con el artículo 17 de la Ley 1150 de 2007– regula el procedimiento sancionatorio contractual, prescribiendo que “Las entidades sometidas al Estatuto General de Contratación de la Administración Pública podrán declarar el incumplimiento, cuantificando los perjuicios del mismo, imponer las multas y sanciones pactadas en el contrato, y hacer efectiva la cláusula penal […]”. Dicho artículo </w:t>
      </w:r>
      <w:r w:rsidRPr="4929CF82">
        <w:rPr>
          <w:rFonts w:ascii="Verdana" w:eastAsia="Times New Roman" w:hAnsi="Verdana" w:cs="Arial"/>
          <w:color w:val="000000" w:themeColor="text1"/>
          <w:lang w:val="es-ES" w:eastAsia="es-ES"/>
        </w:rPr>
        <w:t xml:space="preserve">establece las reglas de procedimiento, mediante las cuales se materializan los derechos y garantías derivadas del debido proceso, para su aplicación concreta en materia sancionatoria contractual. </w:t>
      </w:r>
    </w:p>
    <w:p w14:paraId="6A012061" w14:textId="77777777" w:rsidR="004063A4" w:rsidRPr="004F246A" w:rsidRDefault="004063A4" w:rsidP="004063A4">
      <w:pPr>
        <w:spacing w:after="120" w:line="276" w:lineRule="auto"/>
        <w:ind w:firstLine="709"/>
        <w:jc w:val="both"/>
        <w:rPr>
          <w:rFonts w:ascii="Verdana" w:eastAsia="Times New Roman" w:hAnsi="Verdana" w:cs="Arial"/>
          <w:iCs/>
          <w:color w:val="000000"/>
          <w:szCs w:val="24"/>
          <w:lang w:val="es-ES_tradnl" w:eastAsia="es-ES_tradnl"/>
        </w:rPr>
      </w:pPr>
      <w:r w:rsidRPr="004F246A">
        <w:rPr>
          <w:rFonts w:ascii="Verdana" w:eastAsia="Times New Roman" w:hAnsi="Verdana" w:cs="Arial"/>
          <w:iCs/>
          <w:color w:val="000000"/>
          <w:szCs w:val="24"/>
          <w:lang w:val="es-ES_tradnl" w:eastAsia="es-ES_tradnl"/>
        </w:rPr>
        <w:t>Cabe destacar que esta norma no cualifica o se circunscribe a ciertos tipos de incumplimiento. En consecuencia, la declaratoria de cualquier incumplimiento, sea total o parcial, o independiente de su gravedad, debe realizarse con plena observancia de las reglas procedimentales del artículo 86 de la Ley 1474 de 2011. Est</w:t>
      </w:r>
      <w:r>
        <w:rPr>
          <w:rFonts w:ascii="Verdana" w:eastAsia="Times New Roman" w:hAnsi="Verdana" w:cs="Arial"/>
          <w:iCs/>
          <w:color w:val="000000"/>
          <w:szCs w:val="24"/>
          <w:lang w:val="es-ES_tradnl" w:eastAsia="es-ES_tradnl"/>
        </w:rPr>
        <w:t>o es así como consecuencia del “</w:t>
      </w:r>
      <w:r w:rsidRPr="004F246A">
        <w:rPr>
          <w:rFonts w:ascii="Verdana" w:eastAsia="Times New Roman" w:hAnsi="Verdana" w:cs="Arial"/>
          <w:iCs/>
          <w:color w:val="000000"/>
          <w:szCs w:val="24"/>
          <w:lang w:val="es-ES_tradnl" w:eastAsia="es-ES_tradnl"/>
        </w:rPr>
        <w:t>principio general de interpretación jurídica según el cual donde la norma no distingue, no le corresponde dist</w:t>
      </w:r>
      <w:r>
        <w:rPr>
          <w:rFonts w:ascii="Verdana" w:eastAsia="Times New Roman" w:hAnsi="Verdana" w:cs="Arial"/>
          <w:iCs/>
          <w:color w:val="000000"/>
          <w:szCs w:val="24"/>
          <w:lang w:val="es-ES_tradnl" w:eastAsia="es-ES_tradnl"/>
        </w:rPr>
        <w:t>inguir al intérprete”</w:t>
      </w:r>
      <w:r w:rsidRPr="004F246A">
        <w:rPr>
          <w:rFonts w:ascii="Verdana" w:eastAsia="Times New Roman" w:hAnsi="Verdana" w:cs="Arial"/>
          <w:color w:val="000000"/>
          <w:sz w:val="24"/>
          <w:szCs w:val="24"/>
          <w:vertAlign w:val="superscript"/>
          <w:lang w:eastAsia="es-ES_tradnl"/>
        </w:rPr>
        <w:footnoteReference w:id="8"/>
      </w:r>
      <w:r w:rsidRPr="004F246A">
        <w:rPr>
          <w:rFonts w:ascii="Verdana" w:eastAsia="Times New Roman" w:hAnsi="Verdana" w:cs="Arial"/>
          <w:iCs/>
          <w:color w:val="000000"/>
          <w:szCs w:val="24"/>
          <w:lang w:val="es-ES_tradnl" w:eastAsia="es-ES_tradnl"/>
        </w:rPr>
        <w:t>. A la misma conclusión se llega si se tiene en consideración la necesidad de</w:t>
      </w:r>
      <w:r>
        <w:rPr>
          <w:rFonts w:ascii="Verdana" w:eastAsia="Times New Roman" w:hAnsi="Verdana" w:cs="Arial"/>
          <w:iCs/>
          <w:color w:val="000000"/>
          <w:szCs w:val="24"/>
          <w:lang w:val="es-ES_tradnl" w:eastAsia="es-ES_tradnl"/>
        </w:rPr>
        <w:t xml:space="preserve"> respetar el debido proceso en “</w:t>
      </w:r>
      <w:r w:rsidRPr="004F246A">
        <w:rPr>
          <w:rFonts w:ascii="Verdana" w:eastAsia="Times New Roman" w:hAnsi="Verdana" w:cs="Arial"/>
          <w:iCs/>
          <w:color w:val="000000"/>
          <w:szCs w:val="24"/>
          <w:lang w:val="es-ES_tradnl" w:eastAsia="es-ES_tradnl"/>
        </w:rPr>
        <w:t xml:space="preserve">todas </w:t>
      </w:r>
      <w:r>
        <w:rPr>
          <w:rFonts w:ascii="Verdana" w:eastAsia="Times New Roman" w:hAnsi="Verdana" w:cs="Arial"/>
          <w:iCs/>
          <w:color w:val="000000"/>
          <w:szCs w:val="24"/>
          <w:lang w:val="es-ES_tradnl" w:eastAsia="es-ES_tradnl"/>
        </w:rPr>
        <w:t>las actuaciones administrativas”</w:t>
      </w:r>
      <w:r w:rsidRPr="004F246A">
        <w:rPr>
          <w:rFonts w:ascii="Verdana" w:eastAsia="Times New Roman" w:hAnsi="Verdana" w:cs="Arial"/>
          <w:iCs/>
          <w:color w:val="000000"/>
          <w:szCs w:val="24"/>
          <w:lang w:val="es-ES_tradnl" w:eastAsia="es-ES_tradnl"/>
        </w:rPr>
        <w:t xml:space="preserve"> como lo </w:t>
      </w:r>
      <w:r>
        <w:rPr>
          <w:rFonts w:ascii="Verdana" w:eastAsia="Times New Roman" w:hAnsi="Verdana" w:cs="Arial"/>
          <w:iCs/>
          <w:color w:val="000000"/>
          <w:szCs w:val="24"/>
          <w:lang w:val="es-ES_tradnl" w:eastAsia="es-ES_tradnl"/>
        </w:rPr>
        <w:t>dispone el artículo 29 de la Constitución Política.</w:t>
      </w:r>
    </w:p>
    <w:p w14:paraId="48441D27" w14:textId="77777777" w:rsidR="004063A4" w:rsidRPr="004A73EC" w:rsidRDefault="004063A4" w:rsidP="004063A4">
      <w:pPr>
        <w:spacing w:after="120" w:line="276" w:lineRule="auto"/>
        <w:ind w:firstLine="708"/>
        <w:jc w:val="both"/>
        <w:rPr>
          <w:rFonts w:ascii="Verdana" w:hAnsi="Verdana" w:cs="Arial"/>
          <w:color w:val="000000" w:themeColor="text1"/>
          <w:lang w:val="es-ES"/>
        </w:rPr>
      </w:pPr>
      <w:r w:rsidRPr="004F246A">
        <w:rPr>
          <w:rFonts w:ascii="Verdana" w:eastAsia="Times New Roman" w:hAnsi="Verdana" w:cs="Arial"/>
          <w:iCs/>
          <w:color w:val="000000"/>
          <w:szCs w:val="24"/>
          <w:lang w:val="es-ES_tradnl" w:eastAsia="es-ES_tradnl"/>
        </w:rPr>
        <w:t xml:space="preserve">De conformidad con lo anterior, el artículo 86 de la Ley 1474 de 2011 establece las etapas del procedimiento que se deben seguir, las cuales se sintetizan, de forma esquemática, así: </w:t>
      </w:r>
      <w:r w:rsidRPr="14DBD07D">
        <w:rPr>
          <w:rFonts w:ascii="Verdana" w:hAnsi="Verdana" w:cs="Arial"/>
          <w:color w:val="000000" w:themeColor="text1"/>
          <w:lang w:val="es-ES"/>
        </w:rPr>
        <w:t xml:space="preserve">a) </w:t>
      </w:r>
      <w:r w:rsidRPr="14DBD07D">
        <w:rPr>
          <w:rFonts w:ascii="Verdana" w:hAnsi="Verdana" w:cs="Arial"/>
          <w:i/>
          <w:color w:val="000000" w:themeColor="text1"/>
          <w:lang w:val="es-ES"/>
        </w:rPr>
        <w:t>Citación a audiencia</w:t>
      </w:r>
      <w:r w:rsidRPr="14DBD07D">
        <w:rPr>
          <w:rFonts w:ascii="Verdana" w:hAnsi="Verdana" w:cs="Arial"/>
          <w:color w:val="000000" w:themeColor="text1"/>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b) </w:t>
      </w:r>
      <w:r w:rsidRPr="14DBD07D">
        <w:rPr>
          <w:rFonts w:ascii="Verdana" w:hAnsi="Verdana" w:cs="Arial"/>
          <w:i/>
          <w:color w:val="000000" w:themeColor="text1"/>
          <w:lang w:val="es-ES"/>
        </w:rPr>
        <w:t>Audiencia</w:t>
      </w:r>
      <w:r w:rsidRPr="14DBD07D">
        <w:rPr>
          <w:rFonts w:ascii="Verdana" w:hAnsi="Verdana" w:cs="Arial"/>
          <w:color w:val="000000" w:themeColor="text1"/>
          <w:lang w:val="es-ES"/>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w:t>
      </w:r>
      <w:r>
        <w:rPr>
          <w:rFonts w:ascii="Verdana" w:hAnsi="Verdana" w:cs="Arial"/>
          <w:color w:val="000000" w:themeColor="text1"/>
          <w:lang w:val="es-ES"/>
        </w:rPr>
        <w:t>an las explicaciones del caso; y</w:t>
      </w:r>
      <w:r w:rsidRPr="14DBD07D">
        <w:rPr>
          <w:rFonts w:ascii="Verdana" w:hAnsi="Verdana" w:cs="Arial"/>
          <w:color w:val="000000" w:themeColor="text1"/>
          <w:lang w:val="es-ES"/>
        </w:rPr>
        <w:t xml:space="preserve"> c) </w:t>
      </w:r>
      <w:r w:rsidRPr="14DBD07D">
        <w:rPr>
          <w:rFonts w:ascii="Verdana" w:hAnsi="Verdana" w:cs="Arial"/>
          <w:i/>
          <w:color w:val="000000" w:themeColor="text1"/>
          <w:lang w:val="es-ES"/>
        </w:rPr>
        <w:t>Decisión</w:t>
      </w:r>
      <w:r w:rsidRPr="14DBD07D">
        <w:rPr>
          <w:rFonts w:ascii="Verdana" w:hAnsi="Verdana" w:cs="Arial"/>
          <w:color w:val="000000" w:themeColor="text1"/>
          <w:lang w:val="es-ES"/>
        </w:rPr>
        <w:t xml:space="preserve">.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w:t>
      </w:r>
      <w:r w:rsidRPr="14DBD07D">
        <w:rPr>
          <w:rFonts w:ascii="Verdana" w:hAnsi="Verdana" w:cs="Arial"/>
          <w:color w:val="000000" w:themeColor="text1"/>
          <w:lang w:val="es-ES"/>
        </w:rPr>
        <w:lastRenderedPageBreak/>
        <w:t>entenderán notificadas en audiencia. Lo anterior, por supuesto, sin perjuicio del control judicial que podría llegar a efectuarse.</w:t>
      </w:r>
    </w:p>
    <w:p w14:paraId="781F3AEE" w14:textId="77777777" w:rsidR="004063A4" w:rsidRDefault="004063A4" w:rsidP="004063A4">
      <w:pPr>
        <w:spacing w:after="120" w:line="276" w:lineRule="auto"/>
        <w:ind w:firstLine="708"/>
        <w:jc w:val="both"/>
        <w:rPr>
          <w:rFonts w:ascii="Verdana" w:hAnsi="Verdana" w:cs="Arial"/>
          <w:color w:val="000000" w:themeColor="text1"/>
          <w:lang w:val="es-ES"/>
        </w:rPr>
      </w:pPr>
      <w:r w:rsidRPr="14DBD07D">
        <w:rPr>
          <w:rFonts w:ascii="Verdana" w:hAnsi="Verdana" w:cs="Arial"/>
          <w:color w:val="000000" w:themeColor="text1"/>
          <w:lang w:val="es-ES"/>
        </w:rPr>
        <w:t xml:space="preserve">Concretamente, el procedimiento descrito en el párrafo precedente es una manifestación de la </w:t>
      </w:r>
      <w:r w:rsidRPr="14DBD07D">
        <w:rPr>
          <w:rFonts w:ascii="Verdana" w:hAnsi="Verdana" w:cs="Arial"/>
          <w:i/>
          <w:color w:val="000000" w:themeColor="text1"/>
          <w:lang w:val="es-ES"/>
        </w:rPr>
        <w:t>legalidad de las formas de cada juicio</w:t>
      </w:r>
      <w:r w:rsidRPr="14DBD07D">
        <w:rPr>
          <w:rFonts w:ascii="Verdana" w:hAnsi="Verdana" w:cs="Arial"/>
          <w:color w:val="000000" w:themeColor="text1"/>
          <w:lang w:val="es-ES"/>
        </w:rPr>
        <w:t xml:space="preserve"> en la contratación estatal, la cual no solo se aplica en virtud del artículo 29 de la Constitución Política sino también con fundamento en el artículo 3.1, inciso primero, de la Ley 1437 de 2011. Esto último en la medida que “En virtud del principio del debido proceso, las actuaciones administrativas se adelantarán de conformidad con las normas de procedimiento y competencia establecidas en la Constitución y la ley, con plena garantía de los derechos de representación, defensa y contradicción”. </w:t>
      </w:r>
    </w:p>
    <w:p w14:paraId="6124AD87" w14:textId="77777777" w:rsidR="004063A4" w:rsidRDefault="004063A4" w:rsidP="004063A4">
      <w:pPr>
        <w:spacing w:after="120" w:line="276" w:lineRule="auto"/>
        <w:ind w:firstLine="708"/>
        <w:jc w:val="both"/>
        <w:rPr>
          <w:rFonts w:ascii="Verdana" w:hAnsi="Verdana" w:cs="Arial"/>
          <w:color w:val="000000" w:themeColor="text1"/>
          <w:lang w:val="es-ES"/>
        </w:rPr>
      </w:pPr>
      <w:r w:rsidRPr="14DBD07D">
        <w:rPr>
          <w:rFonts w:ascii="Verdana" w:hAnsi="Verdana" w:cs="Arial"/>
          <w:color w:val="000000" w:themeColor="text1"/>
          <w:lang w:val="es-ES"/>
        </w:rPr>
        <w:t xml:space="preserve"> </w:t>
      </w:r>
    </w:p>
    <w:p w14:paraId="5721F1A1" w14:textId="77777777" w:rsidR="004063A4" w:rsidRPr="00C21751" w:rsidRDefault="004063A4" w:rsidP="004063A4">
      <w:pPr>
        <w:spacing w:after="120" w:line="276" w:lineRule="auto"/>
        <w:jc w:val="both"/>
        <w:rPr>
          <w:rFonts w:ascii="Verdana" w:hAnsi="Verdana" w:cs="Arial"/>
          <w:color w:val="000000" w:themeColor="text1"/>
          <w:lang w:val="es-ES"/>
        </w:rPr>
      </w:pPr>
      <w:r>
        <w:rPr>
          <w:rFonts w:ascii="Verdana" w:eastAsia="Times New Roman" w:hAnsi="Verdana" w:cs="Arial"/>
          <w:iCs/>
          <w:color w:val="000000"/>
          <w:szCs w:val="24"/>
          <w:lang w:val="es-ES" w:eastAsia="es-ES_tradnl"/>
        </w:rPr>
        <w:t>iii. P</w:t>
      </w:r>
      <w:proofErr w:type="spellStart"/>
      <w:r>
        <w:rPr>
          <w:rFonts w:ascii="Verdana" w:eastAsia="Times New Roman" w:hAnsi="Verdana" w:cs="Arial"/>
          <w:iCs/>
          <w:color w:val="000000"/>
          <w:szCs w:val="24"/>
          <w:lang w:val="es-ES_tradnl" w:eastAsia="es-ES_tradnl"/>
        </w:rPr>
        <w:t>revio</w:t>
      </w:r>
      <w:proofErr w:type="spellEnd"/>
      <w:r>
        <w:rPr>
          <w:rFonts w:ascii="Verdana" w:eastAsia="Times New Roman" w:hAnsi="Verdana" w:cs="Arial"/>
          <w:iCs/>
          <w:color w:val="000000"/>
          <w:szCs w:val="24"/>
          <w:lang w:val="es-ES_tradnl" w:eastAsia="es-ES_tradnl"/>
        </w:rPr>
        <w:t xml:space="preserve"> al inicio del procedimiento administrativo sancionatorio regulado en el artículo 86 de la Ley 1474 de 2011, los supervisores pueden requerir previamente al contratista, con el fin de determinar si se están presentando presuntos incumplimientos en las obligaciones del contrato estatal. Para ello, el requerimiento de presunto incumplimiento no puede catalogarse como un acto administrativo que lo declara, pues no se está aún en el procedimiento administrativo sancionatorio del artículo 86 de la Ley 1474 de 2011, ni mucho menos adquiere tal naturaleza.</w:t>
      </w:r>
    </w:p>
    <w:p w14:paraId="4C3F824F" w14:textId="77777777" w:rsidR="004063A4" w:rsidRDefault="004063A4" w:rsidP="004063A4">
      <w:pPr>
        <w:spacing w:after="120" w:line="276" w:lineRule="auto"/>
        <w:ind w:firstLine="709"/>
        <w:jc w:val="both"/>
        <w:rPr>
          <w:rFonts w:ascii="Verdana" w:eastAsia="Times New Roman" w:hAnsi="Verdana" w:cs="Arial"/>
          <w:iCs/>
          <w:color w:val="000000"/>
          <w:szCs w:val="24"/>
          <w:lang w:val="es-ES_tradnl" w:eastAsia="es-ES_tradnl"/>
        </w:rPr>
      </w:pPr>
      <w:r>
        <w:rPr>
          <w:rFonts w:ascii="Verdana" w:eastAsia="Times New Roman" w:hAnsi="Verdana" w:cs="Arial"/>
          <w:iCs/>
          <w:color w:val="000000"/>
          <w:szCs w:val="24"/>
          <w:lang w:val="es-ES_tradnl" w:eastAsia="es-ES_tradnl"/>
        </w:rPr>
        <w:t xml:space="preserve">Los actos de requerimiento de presunto incumplimiento son actos de la administración, en los que se solicita el supervisor o interventor para que se corrija una situación dentro de la ejecución del contrato, o se cumpla con una obligación. Para ello, puede requerir información o subsanar inconsistencias errores y fallas dentro de la ejecución contractual, garantizando la posibilidad de que el contratista aclare o resuelva las inquietudes de la supervisión o de la interventoría. </w:t>
      </w:r>
    </w:p>
    <w:p w14:paraId="3B76DBDA" w14:textId="77777777" w:rsidR="004063A4" w:rsidRPr="00F85615" w:rsidRDefault="004063A4" w:rsidP="004063A4">
      <w:pPr>
        <w:spacing w:after="120" w:line="276" w:lineRule="auto"/>
        <w:ind w:firstLine="709"/>
        <w:jc w:val="both"/>
        <w:rPr>
          <w:rFonts w:ascii="Verdana" w:eastAsia="Times New Roman" w:hAnsi="Verdana" w:cs="Arial"/>
          <w:iCs/>
          <w:color w:val="000000"/>
          <w:szCs w:val="24"/>
          <w:lang w:val="es-ES_tradnl" w:eastAsia="es-ES_tradnl"/>
        </w:rPr>
      </w:pPr>
      <w:r>
        <w:rPr>
          <w:rFonts w:ascii="Verdana" w:eastAsia="Times New Roman" w:hAnsi="Verdana" w:cs="Arial"/>
          <w:iCs/>
          <w:color w:val="000000"/>
          <w:szCs w:val="24"/>
          <w:lang w:val="es-ES_tradnl" w:eastAsia="es-ES_tradnl"/>
        </w:rPr>
        <w:t xml:space="preserve">Ahora bien, frente a la garantía del debido proceso por los requerimientos por presunto incumplimiento contractual por parte de la supervisión, </w:t>
      </w:r>
      <w:r w:rsidRPr="003F63CC">
        <w:rPr>
          <w:rFonts w:ascii="Verdana" w:eastAsia="Arial MT" w:hAnsi="Verdana" w:cs="Arial MT"/>
          <w:lang w:val="es-ES"/>
        </w:rPr>
        <w:t>se precisa que la entidad tiene la potestad de designar el supervisor o los supervisores en los diferentes contratos, y que de acuerdo con la “Guía para el ejercicio de las funciones de supervisión e interventoría de los contratos del Estado” recomienda que esta se haga a través de un funcionario, que tenga asignadas funciones relacionadas con el objeto contractual</w:t>
      </w:r>
      <w:r>
        <w:rPr>
          <w:rStyle w:val="Refdenotaalpie"/>
          <w:rFonts w:ascii="Verdana" w:eastAsia="Arial MT" w:hAnsi="Verdana" w:cs="Arial MT"/>
          <w:lang w:val="es-ES"/>
        </w:rPr>
        <w:footnoteReference w:id="9"/>
      </w:r>
      <w:r w:rsidRPr="003F63CC">
        <w:rPr>
          <w:rFonts w:ascii="Verdana" w:eastAsia="Arial MT" w:hAnsi="Verdana" w:cs="Arial MT"/>
          <w:lang w:val="es-ES"/>
        </w:rPr>
        <w:t xml:space="preserve">. En dicha Guía se señala que la </w:t>
      </w:r>
      <w:r w:rsidRPr="003F63CC">
        <w:rPr>
          <w:rFonts w:ascii="Verdana" w:eastAsia="Arial MT" w:hAnsi="Verdana" w:cs="Arial MT"/>
          <w:lang w:val="es-ES"/>
        </w:rPr>
        <w:lastRenderedPageBreak/>
        <w:t>designación debe estar antecedida por un análisis de la carga operativa del funcionario al que se le asigna la supervisión, para evitar que el supervisor no pueda desempeñar la tarea de manera adecuada</w:t>
      </w:r>
      <w:r>
        <w:rPr>
          <w:rStyle w:val="Refdenotaalpie"/>
          <w:rFonts w:ascii="Verdana" w:eastAsia="Arial MT" w:hAnsi="Verdana" w:cs="Arial MT"/>
          <w:lang w:val="es-ES"/>
        </w:rPr>
        <w:footnoteReference w:id="10"/>
      </w:r>
      <w:r w:rsidRPr="003F63CC">
        <w:rPr>
          <w:rFonts w:ascii="Verdana" w:eastAsia="Arial MT" w:hAnsi="Verdana" w:cs="Arial MT"/>
          <w:lang w:val="es-ES"/>
        </w:rPr>
        <w:t>. Además, al supervisor designado debe informársele de la labor encomendada y las obligaciones del contrato para desempeñar su función de manera idónea.</w:t>
      </w:r>
    </w:p>
    <w:p w14:paraId="59DD1B27" w14:textId="77777777" w:rsidR="004063A4" w:rsidRPr="00C7728C" w:rsidRDefault="004063A4" w:rsidP="004063A4">
      <w:pPr>
        <w:spacing w:before="120" w:after="120" w:line="276" w:lineRule="auto"/>
        <w:ind w:firstLine="709"/>
        <w:jc w:val="both"/>
        <w:rPr>
          <w:rFonts w:ascii="Verdana" w:eastAsia="Calibri" w:hAnsi="Verdana" w:cs="Arial"/>
          <w:color w:val="000000"/>
          <w:lang w:val="es-ES_tradnl"/>
        </w:rPr>
      </w:pPr>
      <w:r>
        <w:rPr>
          <w:rFonts w:ascii="Verdana" w:eastAsia="Arial MT" w:hAnsi="Verdana" w:cs="Arial MT"/>
          <w:lang w:val="es-ES_tradnl"/>
        </w:rPr>
        <w:t xml:space="preserve">En tal sentido, los </w:t>
      </w:r>
      <w:r w:rsidRPr="003F63CC">
        <w:rPr>
          <w:rFonts w:ascii="Verdana" w:eastAsia="Arial MT" w:hAnsi="Verdana" w:cs="Arial MT"/>
          <w:lang w:val="es-ES"/>
        </w:rPr>
        <w:t xml:space="preserve">supervisores ejercen el control y seguimiento del contrato estatal en sus diferentes etapas luego de su celebración, desde la ejecución e incluso en la liquidación del contrato, sin perjuicio que por parte del contratante se designe posteriormente otro supervisor por razones de índole administrativo y/o novedades en el funcionamiento de la entidad, en el evento de presentarse circunstancias que obliguen a </w:t>
      </w:r>
      <w:r>
        <w:rPr>
          <w:rFonts w:ascii="Verdana" w:eastAsia="Arial MT" w:hAnsi="Verdana" w:cs="Arial MT"/>
          <w:lang w:val="es-ES"/>
        </w:rPr>
        <w:t xml:space="preserve">que no pueda por alguna circunstancia fáctica o jurídica, como estar in curso en una conflicto de interés, derivado de una causal de impedimento o de recusación regulada en el artículo 11 de la Ley 1437 de 2011, </w:t>
      </w:r>
      <w:r w:rsidRPr="00C21751">
        <w:rPr>
          <w:rFonts w:ascii="Verdana" w:eastAsia="Arial MT" w:hAnsi="Verdana" w:cs="Arial MT"/>
          <w:lang w:val="es-ES"/>
        </w:rPr>
        <w:t xml:space="preserve">al igual que el trámite de los impedimentos y recusaciones, esto es, </w:t>
      </w:r>
      <w:r>
        <w:rPr>
          <w:rFonts w:ascii="Verdana" w:eastAsia="Arial MT" w:hAnsi="Verdana" w:cs="Arial MT"/>
          <w:lang w:val="es-ES"/>
        </w:rPr>
        <w:t>lo dispuesto en el artículo 12 de la Ley ya precitada</w:t>
      </w:r>
      <w:r w:rsidRPr="00C21751">
        <w:rPr>
          <w:rFonts w:ascii="Verdana" w:eastAsia="Arial MT" w:hAnsi="Verdana" w:cs="Arial MT"/>
          <w:lang w:val="es-ES"/>
        </w:rPr>
        <w:t>.</w:t>
      </w:r>
      <w:r>
        <w:rPr>
          <w:rFonts w:ascii="Verdana" w:eastAsia="Arial MT" w:hAnsi="Verdana" w:cs="Arial MT"/>
          <w:lang w:val="es-ES"/>
        </w:rPr>
        <w:t xml:space="preserve"> </w:t>
      </w:r>
    </w:p>
    <w:p w14:paraId="126782A9" w14:textId="77777777" w:rsidR="004063A4" w:rsidRDefault="004063A4" w:rsidP="004063A4">
      <w:pPr>
        <w:spacing w:before="120" w:after="120" w:line="276" w:lineRule="auto"/>
        <w:ind w:firstLine="709"/>
        <w:jc w:val="both"/>
        <w:rPr>
          <w:rFonts w:ascii="Verdana" w:eastAsia="Calibri" w:hAnsi="Verdana" w:cs="Arial"/>
          <w:color w:val="000000"/>
          <w:lang w:val="es-ES"/>
        </w:rPr>
      </w:pPr>
      <w:r>
        <w:rPr>
          <w:rFonts w:ascii="Verdana" w:eastAsia="Calibri" w:hAnsi="Verdana" w:cs="Arial"/>
          <w:color w:val="000000"/>
          <w:lang w:val="es-ES"/>
        </w:rPr>
        <w:t xml:space="preserve">Al respecto, </w:t>
      </w:r>
      <w:r w:rsidRPr="4C0F902E">
        <w:rPr>
          <w:rFonts w:ascii="Verdana" w:eastAsia="Calibri" w:hAnsi="Verdana" w:cs="Arial"/>
          <w:color w:val="000000"/>
          <w:lang w:val="es-ES"/>
        </w:rPr>
        <w:t xml:space="preserve">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3" w:name="_Hlk36672204"/>
      <w:r w:rsidRPr="4C0F902E">
        <w:rPr>
          <w:rFonts w:ascii="Verdana" w:eastAsia="Calibri" w:hAnsi="Verdana" w:cs="Arial"/>
          <w:color w:val="000000"/>
          <w:lang w:val="es-ES"/>
        </w:rPr>
        <w:t xml:space="preserve">el régimen de los </w:t>
      </w:r>
      <w:r w:rsidRPr="4C0F902E">
        <w:rPr>
          <w:rFonts w:ascii="Verdana" w:eastAsia="Calibri" w:hAnsi="Verdana" w:cs="Arial"/>
          <w:i/>
          <w:iCs/>
          <w:color w:val="000000"/>
          <w:lang w:val="es-ES"/>
        </w:rPr>
        <w:t>conflictos de interés</w:t>
      </w:r>
      <w:r w:rsidRPr="4C0F902E">
        <w:rPr>
          <w:rFonts w:ascii="Verdana" w:eastAsia="Calibri" w:hAnsi="Verdana" w:cs="Arial"/>
          <w:color w:val="000000"/>
          <w:lang w:val="es-ES"/>
        </w:rPr>
        <w:t xml:space="preserve"> tiene como objetivo la prevalencia del bien común sobre el particular, razón por la cual se configuran cuando actúan influenciados por consideraciones personales que colisionan con el beber de preservar su independencia e imparcialidad. En este sentido, se definen como la </w:t>
      </w:r>
      <w:bookmarkStart w:id="4" w:name="_Hlk36668905"/>
      <w:r w:rsidRPr="4C0F902E">
        <w:rPr>
          <w:rFonts w:ascii="Verdana" w:eastAsia="Calibri" w:hAnsi="Verdana" w:cs="Arial"/>
          <w:color w:val="000000"/>
          <w:lang w:val="es-ES"/>
        </w:rPr>
        <w:t>concurrencia de intereses antagónicos que afectan la transparencia de las decisiones, al implicar –en detrimento del interés general– el aprovechamiento personal, familiar o particular</w:t>
      </w:r>
      <w:bookmarkEnd w:id="3"/>
      <w:bookmarkEnd w:id="4"/>
      <w:r w:rsidRPr="4C0F902E">
        <w:rPr>
          <w:rFonts w:ascii="Verdana" w:eastAsia="Calibri" w:hAnsi="Verdana" w:cs="Arial"/>
          <w:color w:val="000000"/>
          <w:vertAlign w:val="superscript"/>
          <w:lang w:val="es-ES"/>
        </w:rPr>
        <w:footnoteReference w:id="11"/>
      </w:r>
      <w:r w:rsidRPr="4C0F902E">
        <w:rPr>
          <w:rFonts w:ascii="Verdana" w:eastAsia="Calibri" w:hAnsi="Verdana" w:cs="Arial"/>
          <w:color w:val="000000"/>
          <w:lang w:val="es-ES"/>
        </w:rPr>
        <w:t>.</w:t>
      </w:r>
      <w:r>
        <w:rPr>
          <w:rFonts w:ascii="Verdana" w:eastAsia="Calibri" w:hAnsi="Verdana" w:cs="Arial"/>
          <w:color w:val="000000"/>
          <w:lang w:val="es-ES"/>
        </w:rPr>
        <w:t xml:space="preserve"> </w:t>
      </w:r>
    </w:p>
    <w:p w14:paraId="280C388E" w14:textId="77777777" w:rsidR="004063A4" w:rsidRDefault="004063A4" w:rsidP="004063A4">
      <w:pPr>
        <w:spacing w:before="120" w:after="120" w:line="276" w:lineRule="auto"/>
        <w:ind w:firstLine="709"/>
        <w:jc w:val="both"/>
        <w:rPr>
          <w:rFonts w:ascii="Verdana" w:eastAsia="Calibri" w:hAnsi="Verdana" w:cs="Arial"/>
          <w:color w:val="000000" w:themeColor="text1"/>
          <w:lang w:val="es-ES"/>
        </w:rPr>
      </w:pPr>
      <w:r w:rsidRPr="0049722A">
        <w:rPr>
          <w:rFonts w:ascii="Verdana" w:eastAsia="Calibri" w:hAnsi="Verdana" w:cs="Arial"/>
          <w:color w:val="000000"/>
          <w:lang w:val="es-ES_tradnl"/>
        </w:rPr>
        <w:t>La institución de los conflictos de interés no está definida con carácter general en las normas que regulan la contratación es</w:t>
      </w:r>
      <w:r>
        <w:rPr>
          <w:rFonts w:ascii="Verdana" w:eastAsia="Calibri" w:hAnsi="Verdana" w:cs="Arial"/>
          <w:color w:val="000000"/>
          <w:lang w:val="es-ES_tradnl"/>
        </w:rPr>
        <w:t>tatal, por lo que es un asunto no regulado</w:t>
      </w:r>
      <w:r w:rsidRPr="0049722A">
        <w:rPr>
          <w:rFonts w:ascii="Verdana" w:eastAsia="Calibri" w:hAnsi="Verdana" w:cs="Arial"/>
          <w:color w:val="000000"/>
          <w:lang w:val="es-ES_tradnl"/>
        </w:rPr>
        <w:t xml:space="preserve"> en el Estatuto General de Contratación de la Administración Pública –en adelante EGCAP–. Sin embargo, el artículo 77 de la Ley 80</w:t>
      </w:r>
      <w:r>
        <w:rPr>
          <w:rFonts w:ascii="Verdana" w:eastAsia="Calibri" w:hAnsi="Verdana" w:cs="Arial"/>
          <w:color w:val="000000"/>
          <w:lang w:val="es-ES_tradnl"/>
        </w:rPr>
        <w:t xml:space="preserve"> ha señalado que “</w:t>
      </w:r>
      <w:r w:rsidRPr="0049722A">
        <w:rPr>
          <w:rFonts w:ascii="Verdana" w:eastAsia="Calibri" w:hAnsi="Verdana" w:cs="Arial"/>
          <w:color w:val="000000"/>
          <w:lang w:val="es-ES_tradnl"/>
        </w:rPr>
        <w:t xml:space="preserve">en cuanto sean compatibles con la finalidad y los principios de esta ley, las normas que rigen los procedimientos y actuaciones en la función </w:t>
      </w:r>
      <w:r w:rsidRPr="0049722A">
        <w:rPr>
          <w:rFonts w:ascii="Verdana" w:eastAsia="Calibri" w:hAnsi="Verdana" w:cs="Arial"/>
          <w:color w:val="000000"/>
          <w:lang w:val="es-ES_tradnl"/>
        </w:rPr>
        <w:lastRenderedPageBreak/>
        <w:t>administrativa serán aplicables en las actuaciones contractuales</w:t>
      </w:r>
      <w:r>
        <w:rPr>
          <w:rFonts w:ascii="Verdana" w:eastAsia="Calibri" w:hAnsi="Verdana" w:cs="Arial"/>
          <w:color w:val="000000"/>
          <w:lang w:val="es-ES_tradnl"/>
        </w:rPr>
        <w:t>”</w:t>
      </w:r>
      <w:r w:rsidRPr="0049722A">
        <w:rPr>
          <w:rFonts w:ascii="Verdana" w:eastAsia="Calibri" w:hAnsi="Verdana" w:cs="Arial"/>
          <w:color w:val="000000"/>
          <w:lang w:val="es-ES_tradnl"/>
        </w:rPr>
        <w:t>. Esta disposición es armónica, además, con lo establecido en el artículo 2 de la Ley 1437 de 2011, Código de procedimiento Administrativo y de lo Contencioso Administrativo –CPACA–, que en su artículo segundo establece que las disposiciones de dicho código se aplicarán de forma supletiva en los aspectos no regulados en procedimientos administrativos especiales, como sería en</w:t>
      </w:r>
      <w:r>
        <w:rPr>
          <w:rFonts w:ascii="Verdana" w:eastAsia="Calibri" w:hAnsi="Verdana" w:cs="Arial"/>
          <w:color w:val="000000"/>
          <w:lang w:val="es-ES_tradnl"/>
        </w:rPr>
        <w:t xml:space="preserve"> la ejecución del contrato.</w:t>
      </w:r>
      <w:r>
        <w:rPr>
          <w:rFonts w:ascii="Verdana" w:eastAsia="Calibri" w:hAnsi="Verdana" w:cs="Arial"/>
          <w:color w:val="000000" w:themeColor="text1"/>
          <w:lang w:val="es-ES"/>
        </w:rPr>
        <w:t xml:space="preserve"> </w:t>
      </w:r>
    </w:p>
    <w:p w14:paraId="77E26B09" w14:textId="77777777" w:rsidR="004063A4" w:rsidRPr="001B25AB" w:rsidRDefault="004063A4" w:rsidP="004063A4">
      <w:pPr>
        <w:spacing w:before="120" w:after="120" w:line="276" w:lineRule="auto"/>
        <w:ind w:firstLine="709"/>
        <w:jc w:val="both"/>
        <w:rPr>
          <w:rFonts w:ascii="Verdana" w:eastAsia="Calibri" w:hAnsi="Verdana" w:cs="Arial"/>
          <w:color w:val="000000"/>
          <w:lang w:val="es-ES"/>
        </w:rPr>
      </w:pPr>
      <w:r>
        <w:rPr>
          <w:rFonts w:ascii="Verdana" w:eastAsia="Calibri" w:hAnsi="Verdana" w:cs="Arial"/>
          <w:color w:val="000000" w:themeColor="text1"/>
          <w:lang w:val="es-ES"/>
        </w:rPr>
        <w:t xml:space="preserve">Por tanto, en el marco de las actuaciones administrativas propias de la ejecución contractual, se presenta un potencial conflicto de interés del supervisor o interventor deberá declararse impedido o debe ser recusado por el contratista, teniendo en cuenta </w:t>
      </w:r>
      <w:r w:rsidRPr="4C0F902E">
        <w:rPr>
          <w:rFonts w:ascii="Verdana" w:eastAsia="Calibri" w:hAnsi="Verdana" w:cs="Arial"/>
          <w:color w:val="000000" w:themeColor="text1"/>
          <w:lang w:val="es-ES"/>
        </w:rPr>
        <w:t>las causales de impedimento y recusación, al igual que el trámite de los impedimentos y recusaciones, esto es, los artículos 11 y 12 de la Ley 1437 de 2011.</w:t>
      </w:r>
      <w:r>
        <w:rPr>
          <w:rFonts w:ascii="Verdana" w:eastAsia="Calibri" w:hAnsi="Verdana" w:cs="Arial"/>
          <w:color w:val="000000" w:themeColor="text1"/>
          <w:lang w:val="es-ES"/>
        </w:rPr>
        <w:t xml:space="preserve"> </w:t>
      </w:r>
      <w:r>
        <w:rPr>
          <w:rFonts w:ascii="Verdana" w:eastAsia="Arial MT" w:hAnsi="Verdana" w:cs="Arial MT"/>
          <w:lang w:val="es-ES"/>
        </w:rPr>
        <w:t xml:space="preserve">En esta línea, si hay un conflicto de interés y se acepta derivado del procedimiento del impedimento o de la recusación determinará a quién corresponde el conocimiento del asunto, pudiendo si es del caso, designar un funcionario ad hoc. </w:t>
      </w:r>
    </w:p>
    <w:p w14:paraId="4431351A" w14:textId="77777777" w:rsidR="004063A4" w:rsidRDefault="004063A4" w:rsidP="004063A4">
      <w:pPr>
        <w:spacing w:before="120" w:after="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Ante este posible escenario, hay que recordar que e</w:t>
      </w:r>
      <w:r w:rsidRPr="0092717A">
        <w:rPr>
          <w:rFonts w:ascii="Verdana" w:eastAsia="Calibri" w:hAnsi="Verdana" w:cs="Arial"/>
          <w:color w:val="000000" w:themeColor="text1"/>
          <w:lang w:val="es-ES"/>
        </w:rPr>
        <w:t xml:space="preserv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w:t>
      </w:r>
      <w:r>
        <w:rPr>
          <w:rFonts w:ascii="Verdana" w:eastAsia="Calibri" w:hAnsi="Verdana" w:cs="Arial"/>
          <w:color w:val="000000" w:themeColor="text1"/>
          <w:lang w:val="es-ES"/>
        </w:rPr>
        <w:t xml:space="preserve">exigir el adecuado cumplimiento, como designar un nuevo supervisor dentro del contrato si se está ante un conflicto de interés. </w:t>
      </w:r>
    </w:p>
    <w:p w14:paraId="2ECEF19A" w14:textId="77777777" w:rsidR="004063A4" w:rsidRDefault="004063A4" w:rsidP="004063A4">
      <w:pPr>
        <w:spacing w:before="120" w:after="0" w:line="276" w:lineRule="auto"/>
        <w:ind w:firstLine="709"/>
        <w:jc w:val="both"/>
        <w:rPr>
          <w:rFonts w:ascii="Verdana" w:eastAsia="Calibri" w:hAnsi="Verdana" w:cs="Arial"/>
          <w:color w:val="000000" w:themeColor="text1"/>
          <w:lang w:val="es-ES"/>
        </w:rPr>
      </w:pPr>
    </w:p>
    <w:p w14:paraId="54175B8A" w14:textId="77777777" w:rsidR="004063A4" w:rsidRPr="00FD30C6" w:rsidRDefault="004063A4" w:rsidP="004063A4">
      <w:pPr>
        <w:spacing w:after="120" w:line="276" w:lineRule="auto"/>
        <w:jc w:val="both"/>
        <w:rPr>
          <w:rFonts w:ascii="Verdana" w:eastAsia="Times New Roman" w:hAnsi="Verdana" w:cs="Arial"/>
          <w:iCs/>
          <w:color w:val="000000"/>
          <w:szCs w:val="24"/>
          <w:lang w:eastAsia="es-ES_tradnl"/>
        </w:rPr>
      </w:pPr>
      <w:r>
        <w:rPr>
          <w:rFonts w:ascii="Verdana" w:eastAsia="Calibri" w:hAnsi="Verdana" w:cs="Arial"/>
          <w:color w:val="000000" w:themeColor="text1"/>
          <w:lang w:val="es-ES"/>
        </w:rPr>
        <w:lastRenderedPageBreak/>
        <w:t xml:space="preserve">iv. </w:t>
      </w:r>
      <w:r w:rsidRPr="00FD30C6">
        <w:rPr>
          <w:rFonts w:ascii="Verdana" w:hAnsi="Verdana" w:cs="Arial"/>
          <w:lang w:val="es-ES_tradnl" w:eastAsia="es-ES"/>
        </w:rPr>
        <w:t xml:space="preserve">Al margen de la explicación precedente debe advertirse que el análisis requerido para resolver problemas específicos en torno </w:t>
      </w:r>
      <w:r>
        <w:rPr>
          <w:rFonts w:ascii="Verdana" w:hAnsi="Verdana" w:cs="Arial"/>
          <w:lang w:val="es-ES_tradnl" w:eastAsia="es-ES"/>
        </w:rPr>
        <w:t xml:space="preserve">a la ejecución del contrato </w:t>
      </w:r>
      <w:r w:rsidRPr="00FD30C6">
        <w:rPr>
          <w:rFonts w:ascii="Verdana" w:hAnsi="Verdana" w:cs="Arial"/>
          <w:lang w:val="es-ES_tradnl" w:eastAsia="es-ES"/>
        </w:rPr>
        <w:t xml:space="preserve">debe </w:t>
      </w:r>
      <w:r>
        <w:rPr>
          <w:rFonts w:ascii="Verdana" w:hAnsi="Verdana" w:cs="Arial"/>
          <w:lang w:val="es-ES_tradnl" w:eastAsia="es-ES"/>
        </w:rPr>
        <w:t xml:space="preserve">realizarse </w:t>
      </w:r>
      <w:r w:rsidRPr="00FD30C6">
        <w:rPr>
          <w:rFonts w:ascii="Verdana" w:hAnsi="Verdana" w:cs="Arial"/>
          <w:lang w:val="es-ES_tradnl" w:eastAsia="es-ES"/>
        </w:rPr>
        <w:t>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F1F989F" w14:textId="77777777" w:rsidR="004063A4" w:rsidRDefault="004063A4" w:rsidP="004063A4">
      <w:pPr>
        <w:spacing w:after="0" w:line="276" w:lineRule="auto"/>
        <w:ind w:firstLine="709"/>
        <w:jc w:val="both"/>
        <w:rPr>
          <w:rFonts w:ascii="Verdana" w:hAnsi="Verdana" w:cs="Arial"/>
          <w:lang w:val="es-ES" w:eastAsia="es-ES"/>
        </w:rPr>
      </w:pPr>
      <w:r w:rsidRPr="00FD30C6">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F815577" w14:textId="23317400" w:rsidR="004063A4" w:rsidRPr="008B2A63" w:rsidRDefault="004063A4" w:rsidP="004063A4">
      <w:pPr>
        <w:spacing w:after="0" w:line="276" w:lineRule="auto"/>
        <w:jc w:val="both"/>
        <w:rPr>
          <w:rFonts w:ascii="Verdana" w:hAnsi="Verdana" w:cs="Arial"/>
          <w:lang w:val="es-ES" w:eastAsia="es-ES"/>
        </w:rPr>
      </w:pPr>
    </w:p>
    <w:bookmarkEnd w:id="1"/>
    <w:p w14:paraId="4FB899F6" w14:textId="77777777" w:rsidR="004063A4" w:rsidRPr="008853C1" w:rsidRDefault="004063A4" w:rsidP="004063A4">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8853C1">
        <w:rPr>
          <w:rFonts w:ascii="Verdana" w:eastAsia="Century Gothic" w:hAnsi="Verdana" w:cs="Century Gothic"/>
          <w:b/>
          <w:bCs/>
        </w:rPr>
        <w:t xml:space="preserve"> </w:t>
      </w:r>
    </w:p>
    <w:p w14:paraId="77F74336" w14:textId="77777777" w:rsidR="004063A4" w:rsidRPr="00E2397D" w:rsidRDefault="004063A4" w:rsidP="004063A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063A4" w:rsidRPr="00E2397D" w14:paraId="344491F6" w14:textId="77777777" w:rsidTr="00C24266">
        <w:trPr>
          <w:trHeight w:val="856"/>
          <w:jc w:val="center"/>
        </w:trPr>
        <w:tc>
          <w:tcPr>
            <w:tcW w:w="8647" w:type="dxa"/>
          </w:tcPr>
          <w:p w14:paraId="63DA6E71"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DA7C87">
              <w:rPr>
                <w:rFonts w:ascii="Verdana" w:eastAsia="Arial MT" w:hAnsi="Verdana" w:cs="Arial"/>
                <w:lang w:val="es-ES" w:eastAsia="es-ES" w:bidi="es-ES"/>
              </w:rPr>
              <w:t>Constitución Política de Colombia, artículos 29 y 209.</w:t>
            </w:r>
          </w:p>
          <w:p w14:paraId="4DCBE0C2"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80 de 1993, artículos </w:t>
            </w:r>
            <w:r w:rsidRPr="00DA7C87">
              <w:rPr>
                <w:rFonts w:ascii="Verdana" w:eastAsia="Arial MT" w:hAnsi="Verdana" w:cs="Arial"/>
                <w:lang w:val="es-ES" w:eastAsia="es-ES" w:bidi="es-ES"/>
              </w:rPr>
              <w:t>4, 5, 12, 14 y 26</w:t>
            </w:r>
            <w:r>
              <w:rPr>
                <w:rFonts w:ascii="Verdana" w:eastAsia="Arial MT" w:hAnsi="Verdana" w:cs="Arial"/>
                <w:lang w:val="es-ES" w:eastAsia="es-ES" w:bidi="es-ES"/>
              </w:rPr>
              <w:t xml:space="preserve">. </w:t>
            </w:r>
          </w:p>
          <w:p w14:paraId="217A480C"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artículos 3 </w:t>
            </w:r>
            <w:r w:rsidRPr="00DA7C87">
              <w:rPr>
                <w:rFonts w:ascii="Verdana" w:eastAsia="Arial MT" w:hAnsi="Verdana" w:cs="Arial"/>
                <w:lang w:val="es-ES" w:eastAsia="es-ES" w:bidi="es-ES"/>
              </w:rPr>
              <w:t>y 17.</w:t>
            </w:r>
          </w:p>
          <w:p w14:paraId="6B2AB878"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1437 de 2011, artículos 3, 11 y 12. </w:t>
            </w:r>
          </w:p>
          <w:p w14:paraId="60F3B1B4" w14:textId="77777777" w:rsidR="004063A4" w:rsidRPr="00DA7C87" w:rsidRDefault="004063A4" w:rsidP="004063A4">
            <w:pPr>
              <w:widowControl w:val="0"/>
              <w:numPr>
                <w:ilvl w:val="0"/>
                <w:numId w:val="20"/>
              </w:numPr>
              <w:autoSpaceDE w:val="0"/>
              <w:autoSpaceDN w:val="0"/>
              <w:spacing w:before="120" w:after="120" w:line="276" w:lineRule="auto"/>
              <w:jc w:val="both"/>
              <w:rPr>
                <w:rFonts w:ascii="Verdana" w:eastAsia="Arial MT" w:hAnsi="Verdana" w:cs="Arial"/>
                <w:lang w:val="es-ES" w:eastAsia="es-ES" w:bidi="es-ES"/>
              </w:rPr>
            </w:pPr>
            <w:r w:rsidRPr="00DA7C87">
              <w:rPr>
                <w:rFonts w:ascii="Verdana" w:eastAsia="Arial MT" w:hAnsi="Verdana" w:cs="Arial"/>
                <w:lang w:val="es-ES" w:eastAsia="es-ES" w:bidi="es-ES"/>
              </w:rPr>
              <w:t>Ley 1474 de 2011, artículo 86.</w:t>
            </w:r>
          </w:p>
          <w:p w14:paraId="7FF5259F" w14:textId="77777777" w:rsidR="004063A4" w:rsidRPr="001138FC"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C7728C">
              <w:rPr>
                <w:rFonts w:ascii="Verdana" w:eastAsia="Arial MT" w:hAnsi="Verdana" w:cs="Arial"/>
                <w:lang w:val="es-ES" w:eastAsia="es-ES" w:bidi="es-ES"/>
              </w:rPr>
              <w:t xml:space="preserve"> </w:t>
            </w:r>
            <w:r w:rsidRPr="001138FC">
              <w:rPr>
                <w:rFonts w:ascii="Verdana" w:eastAsia="Arial MT" w:hAnsi="Verdana" w:cs="Arial"/>
                <w:lang w:val="es-MX" w:eastAsia="es-ES" w:bidi="es-ES"/>
              </w:rPr>
              <w:t>CONSEJO DE ESTADO. Sala de Consulta y de Servicio Civil. Concepto del 23 de marzo de 2011. Rad. 2.045. C.P. Enrique José Arboleda Perdomo.</w:t>
            </w:r>
          </w:p>
          <w:p w14:paraId="7AB13FCA" w14:textId="77777777" w:rsidR="004063A4" w:rsidRPr="001B25AB"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vertAlign w:val="superscript"/>
                <w:lang w:val="es-MX" w:eastAsia="es-ES" w:bidi="es-ES"/>
              </w:rPr>
            </w:pPr>
            <w:r w:rsidRPr="001B25AB">
              <w:rPr>
                <w:rFonts w:ascii="Verdana" w:eastAsia="Arial MT" w:hAnsi="Verdana" w:cs="Arial"/>
                <w:lang w:val="es-MX" w:eastAsia="es-ES" w:bidi="es-ES"/>
              </w:rPr>
              <w:t xml:space="preserve">CONSEJO DE ESTADO. Sección Tercera. Subsección B. Sentencia de 30 de enero de 2013. </w:t>
            </w:r>
            <w:proofErr w:type="spellStart"/>
            <w:r w:rsidRPr="001B25AB">
              <w:rPr>
                <w:rFonts w:ascii="Verdana" w:eastAsia="Arial MT" w:hAnsi="Verdana" w:cs="Arial"/>
                <w:lang w:val="es-MX" w:eastAsia="es-ES" w:bidi="es-ES"/>
              </w:rPr>
              <w:t>Exp</w:t>
            </w:r>
            <w:proofErr w:type="spellEnd"/>
            <w:r w:rsidRPr="001B25AB">
              <w:rPr>
                <w:rFonts w:ascii="Verdana" w:eastAsia="Arial MT" w:hAnsi="Verdana" w:cs="Arial"/>
                <w:lang w:val="es-MX" w:eastAsia="es-ES" w:bidi="es-ES"/>
              </w:rPr>
              <w:t xml:space="preserve">. 24.743. C.P. Danilo Rojas </w:t>
            </w:r>
            <w:proofErr w:type="spellStart"/>
            <w:r w:rsidRPr="001B25AB">
              <w:rPr>
                <w:rFonts w:ascii="Verdana" w:eastAsia="Arial MT" w:hAnsi="Verdana" w:cs="Arial"/>
                <w:lang w:val="es-MX" w:eastAsia="es-ES" w:bidi="es-ES"/>
              </w:rPr>
              <w:t>Betancourth</w:t>
            </w:r>
            <w:proofErr w:type="spellEnd"/>
            <w:r w:rsidRPr="001B25AB">
              <w:rPr>
                <w:rFonts w:ascii="Verdana" w:eastAsia="Arial MT" w:hAnsi="Verdana" w:cs="Arial"/>
                <w:lang w:val="es-MX" w:eastAsia="es-ES" w:bidi="es-ES"/>
              </w:rPr>
              <w:t xml:space="preserve">. </w:t>
            </w:r>
          </w:p>
          <w:p w14:paraId="7CE93279" w14:textId="77777777" w:rsidR="004063A4" w:rsidRPr="001B25AB"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BE61A1">
              <w:rPr>
                <w:rFonts w:ascii="Verdana" w:eastAsia="Arial MT" w:hAnsi="Verdana" w:cs="Arial"/>
                <w:lang w:val="pt-BR" w:eastAsia="es-ES" w:bidi="es-ES"/>
              </w:rPr>
              <w:t xml:space="preserve">CORTE CONSTITUCIONAL. Sentencia C-640 de 2002. </w:t>
            </w:r>
            <w:r w:rsidRPr="001B25AB">
              <w:rPr>
                <w:rFonts w:ascii="Verdana" w:eastAsia="Arial MT" w:hAnsi="Verdana" w:cs="Arial"/>
                <w:lang w:val="es-MX" w:eastAsia="es-ES" w:bidi="es-ES"/>
              </w:rPr>
              <w:t>M.P. Marco Gerardo Monroy Cabra.</w:t>
            </w:r>
          </w:p>
          <w:p w14:paraId="1942432C" w14:textId="77777777" w:rsidR="004063A4" w:rsidRPr="001B25AB"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BE61A1">
              <w:rPr>
                <w:rFonts w:ascii="Verdana" w:eastAsia="Arial MT" w:hAnsi="Verdana" w:cs="Arial"/>
                <w:lang w:val="pt-BR" w:eastAsia="es-ES" w:bidi="es-ES"/>
              </w:rPr>
              <w:lastRenderedPageBreak/>
              <w:t xml:space="preserve">CORTE CONSTITUCIONAL. Sentencia C-317 de 2012. </w:t>
            </w:r>
            <w:r w:rsidRPr="001B25AB">
              <w:rPr>
                <w:rFonts w:ascii="Verdana" w:eastAsia="Arial MT" w:hAnsi="Verdana" w:cs="Arial"/>
                <w:lang w:val="es-MX" w:eastAsia="es-ES" w:bidi="es-ES"/>
              </w:rPr>
              <w:t xml:space="preserve">M.P. María Victoria Calle Correa. </w:t>
            </w:r>
          </w:p>
          <w:p w14:paraId="1E17A22A" w14:textId="77777777" w:rsidR="004063A4" w:rsidRPr="001B25AB"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BE61A1">
              <w:rPr>
                <w:rFonts w:ascii="Verdana" w:eastAsia="Arial MT" w:hAnsi="Verdana" w:cs="Arial"/>
                <w:lang w:val="pt-BR" w:eastAsia="es-ES" w:bidi="es-ES"/>
              </w:rPr>
              <w:t xml:space="preserve">CORTE CONSTITUCIONAL. Sentencia C-034 de 2014. </w:t>
            </w:r>
            <w:r w:rsidRPr="001B25AB">
              <w:rPr>
                <w:rFonts w:ascii="Verdana" w:eastAsia="Arial MT" w:hAnsi="Verdana" w:cs="Arial"/>
                <w:lang w:val="es-MX" w:eastAsia="es-ES" w:bidi="es-ES"/>
              </w:rPr>
              <w:t xml:space="preserve">M.P. María Victoria Calle Correa. </w:t>
            </w:r>
          </w:p>
          <w:p w14:paraId="0BB4DB0F" w14:textId="77777777" w:rsidR="004063A4" w:rsidRPr="001138FC" w:rsidRDefault="004063A4" w:rsidP="004063A4">
            <w:pPr>
              <w:widowControl w:val="0"/>
              <w:numPr>
                <w:ilvl w:val="0"/>
                <w:numId w:val="20"/>
              </w:numPr>
              <w:autoSpaceDE w:val="0"/>
              <w:autoSpaceDN w:val="0"/>
              <w:spacing w:before="120" w:after="120" w:line="276" w:lineRule="auto"/>
              <w:ind w:left="714" w:hanging="357"/>
              <w:jc w:val="both"/>
              <w:rPr>
                <w:rFonts w:ascii="Verdana" w:eastAsia="Arial MT" w:hAnsi="Verdana" w:cs="Arial"/>
                <w:lang w:val="es-MX" w:eastAsia="es-ES" w:bidi="es-ES"/>
              </w:rPr>
            </w:pPr>
            <w:r w:rsidRPr="001B25AB">
              <w:rPr>
                <w:rFonts w:ascii="Verdana" w:hAnsi="Verdana"/>
              </w:rPr>
              <w:t xml:space="preserve">AGENCIA NACIONAL DE CONTRATACIÓN PÚBLICA –COLOMBIA COMPRA EFICIENTE. Guía para el ejercicio de las funciones de supervisión e interventoría de los contratos suscritos por las entidades estatales. Disponible en línea: </w:t>
            </w:r>
            <w:hyperlink r:id="rId13" w:history="1">
              <w:r w:rsidRPr="001B25AB">
                <w:rPr>
                  <w:rStyle w:val="Hipervnculo"/>
                  <w:rFonts w:ascii="Verdana" w:hAnsi="Verdana"/>
                </w:rPr>
                <w:t>https://www.colombiacompra.gov.co/archivos/manual/guia-para-el-ejercicio-de-las-funciones-de-supervision-e-interventoria-de-los-contratos-suscritos-por-las-entidades-estatales</w:t>
              </w:r>
            </w:hyperlink>
            <w:r w:rsidRPr="001B25AB">
              <w:rPr>
                <w:rFonts w:ascii="Verdana" w:hAnsi="Verdana"/>
              </w:rPr>
              <w:t>.</w:t>
            </w:r>
          </w:p>
        </w:tc>
      </w:tr>
    </w:tbl>
    <w:p w14:paraId="333A0D8F" w14:textId="052D495F" w:rsidR="004063A4" w:rsidRPr="00E2397D" w:rsidRDefault="004063A4" w:rsidP="004063A4">
      <w:pPr>
        <w:widowControl w:val="0"/>
        <w:autoSpaceDE w:val="0"/>
        <w:autoSpaceDN w:val="0"/>
        <w:spacing w:after="0" w:line="276" w:lineRule="auto"/>
        <w:jc w:val="both"/>
        <w:rPr>
          <w:rFonts w:ascii="Verdana" w:hAnsi="Verdana" w:cs="Arial"/>
        </w:rPr>
      </w:pPr>
    </w:p>
    <w:p w14:paraId="5526F89F" w14:textId="77777777" w:rsidR="004063A4" w:rsidRPr="00C11604" w:rsidRDefault="004063A4" w:rsidP="004063A4">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C11604">
        <w:rPr>
          <w:rFonts w:ascii="Verdana" w:eastAsia="Century Gothic" w:hAnsi="Verdana" w:cs="Century Gothic"/>
          <w:b/>
          <w:bCs/>
        </w:rPr>
        <w:t>Doctrina de la Agencia Nacional de Contratación Pública:</w:t>
      </w:r>
    </w:p>
    <w:p w14:paraId="531CC526" w14:textId="77777777" w:rsidR="004063A4" w:rsidRPr="00E2397D" w:rsidRDefault="004063A4" w:rsidP="004063A4">
      <w:pPr>
        <w:widowControl w:val="0"/>
        <w:autoSpaceDE w:val="0"/>
        <w:autoSpaceDN w:val="0"/>
        <w:spacing w:after="0" w:line="276" w:lineRule="auto"/>
        <w:jc w:val="both"/>
        <w:rPr>
          <w:rFonts w:ascii="Verdana" w:hAnsi="Verdana" w:cs="Arial"/>
        </w:rPr>
      </w:pPr>
    </w:p>
    <w:p w14:paraId="11C43765" w14:textId="77777777" w:rsidR="004063A4" w:rsidRPr="00C7728C" w:rsidRDefault="004063A4" w:rsidP="004063A4">
      <w:pPr>
        <w:widowControl w:val="0"/>
        <w:autoSpaceDE w:val="0"/>
        <w:autoSpaceDN w:val="0"/>
        <w:spacing w:after="0" w:line="276" w:lineRule="auto"/>
        <w:jc w:val="both"/>
        <w:rPr>
          <w:rFonts w:ascii="Verdana" w:hAnsi="Verdana" w:cs="Arial"/>
          <w:shd w:val="clear" w:color="auto" w:fill="FFFFFF"/>
        </w:rPr>
      </w:pPr>
      <w:r w:rsidRPr="0062005D">
        <w:rPr>
          <w:rFonts w:ascii="Verdana" w:hAnsi="Verdana" w:cs="Arial"/>
          <w:shd w:val="clear" w:color="auto" w:fill="FFFFFF"/>
        </w:rPr>
        <w:t>Esta Subdirec</w:t>
      </w:r>
      <w:r>
        <w:rPr>
          <w:rFonts w:ascii="Verdana" w:hAnsi="Verdana" w:cs="Arial"/>
          <w:shd w:val="clear" w:color="auto" w:fill="FFFFFF"/>
        </w:rPr>
        <w:t xml:space="preserve">ción se ha pronunciado sobre </w:t>
      </w:r>
      <w:r w:rsidRPr="00C7728C">
        <w:rPr>
          <w:rFonts w:ascii="Verdana" w:hAnsi="Verdana" w:cs="Arial"/>
          <w:shd w:val="clear" w:color="auto" w:fill="FFFFFF"/>
          <w:lang w:val="es-ES"/>
        </w:rPr>
        <w:t xml:space="preserve">la facultad sancionatoria y el deber de vigilancia de los contratos estales, en los Conceptos </w:t>
      </w:r>
      <w:r>
        <w:rPr>
          <w:rFonts w:ascii="Verdana" w:hAnsi="Verdana" w:cs="Arial"/>
          <w:shd w:val="clear" w:color="auto" w:fill="FFFFFF"/>
          <w:lang w:val="es-ES"/>
        </w:rPr>
        <w:t xml:space="preserve">C-963 del 28 de julio de 2025, -238 del 28 de marzo de 2025, </w:t>
      </w:r>
      <w:r w:rsidRPr="00C7728C">
        <w:rPr>
          <w:rFonts w:ascii="Verdana" w:hAnsi="Verdana" w:cs="Arial"/>
          <w:shd w:val="clear" w:color="auto" w:fill="FFFFFF"/>
          <w:lang w:val="es-ES"/>
        </w:rPr>
        <w:t>C-189 del 21 de marzo de 2025, C-1016 del 31 de diciembre de 2024, C-974 del 12 de diciembre de 2024</w:t>
      </w:r>
      <w:r w:rsidRPr="00C7728C">
        <w:rPr>
          <w:rFonts w:ascii="Verdana" w:hAnsi="Verdana" w:cs="Arial"/>
          <w:shd w:val="clear" w:color="auto" w:fill="FFFFFF"/>
        </w:rPr>
        <w:t xml:space="preserve">, C-769 del 9 de diciembre de 2024, C-713 del 7 de noviembre de 2024, C-631 de 2 de septiembre de 2024, C-047 del 25 de abril de 2024, </w:t>
      </w:r>
      <w:r w:rsidRPr="00C7728C">
        <w:rPr>
          <w:rFonts w:ascii="Verdana" w:hAnsi="Verdana" w:cs="Arial"/>
          <w:shd w:val="clear" w:color="auto" w:fill="FFFFFF"/>
          <w:lang w:val="es-ES"/>
        </w:rPr>
        <w:t xml:space="preserve">C-227 del 07 de julio del 2023, </w:t>
      </w:r>
      <w:r w:rsidRPr="00C7728C">
        <w:rPr>
          <w:rFonts w:ascii="Verdana" w:hAnsi="Verdana" w:cs="Arial"/>
          <w:shd w:val="clear" w:color="auto" w:fill="FFFFFF"/>
        </w:rPr>
        <w:t xml:space="preserve">C-140 del 13 de junio de 2023, </w:t>
      </w:r>
      <w:r w:rsidRPr="00C7728C">
        <w:rPr>
          <w:rFonts w:ascii="Verdana" w:hAnsi="Verdana" w:cs="Arial"/>
          <w:shd w:val="clear" w:color="auto" w:fill="FFFFFF"/>
          <w:lang w:val="es-ES"/>
        </w:rPr>
        <w:t>C- 720 del 25 de enero de 2022, C-528 del 5 de abril de 2021,</w:t>
      </w:r>
      <w:r w:rsidRPr="00C7728C">
        <w:rPr>
          <w:rFonts w:ascii="Verdana" w:hAnsi="Verdana" w:cs="Arial"/>
          <w:shd w:val="clear" w:color="auto" w:fill="FFFFFF"/>
        </w:rPr>
        <w:t xml:space="preserve"> entre otros</w:t>
      </w:r>
      <w:r w:rsidRPr="00C7728C">
        <w:rPr>
          <w:rFonts w:ascii="Verdana" w:hAnsi="Verdana" w:cs="Arial"/>
          <w:shd w:val="clear" w:color="auto" w:fill="FFFFFF"/>
          <w:lang w:val="es-ES"/>
        </w:rPr>
        <w:t>.</w:t>
      </w:r>
      <w:r>
        <w:rPr>
          <w:rFonts w:ascii="Verdana" w:hAnsi="Verdana" w:cs="Arial"/>
          <w:shd w:val="clear" w:color="auto" w:fill="FFFFFF"/>
        </w:rPr>
        <w:t xml:space="preserve"> E</w:t>
      </w:r>
      <w:proofErr w:type="spellStart"/>
      <w:r w:rsidRPr="00E2397D">
        <w:rPr>
          <w:rFonts w:ascii="Verdana" w:hAnsi="Verdana" w:cs="Arial"/>
          <w:shd w:val="clear" w:color="auto" w:fill="FFFFFF"/>
          <w:lang w:val="es-ES"/>
        </w:rPr>
        <w:t>stos</w:t>
      </w:r>
      <w:proofErr w:type="spellEnd"/>
      <w:r w:rsidRPr="00E2397D">
        <w:rPr>
          <w:rFonts w:ascii="Verdana" w:hAnsi="Verdana" w:cs="Arial"/>
          <w:shd w:val="clear" w:color="auto" w:fill="FFFFFF"/>
          <w:lang w:val="es-ES"/>
        </w:rPr>
        <w:t xml:space="preserve"> y otros </w:t>
      </w:r>
      <w:r w:rsidRPr="00E2397D">
        <w:rPr>
          <w:rFonts w:ascii="Verdana" w:hAnsi="Verdana"/>
        </w:rPr>
        <w:t>conceptos se encuentran disponibles para consulta en el Sistema de relatoría de la Agencia, al cual se puede acceder a través del siguiente enlace:</w:t>
      </w:r>
      <w:r w:rsidRPr="00E2397D">
        <w:rPr>
          <w:rFonts w:ascii="Verdana" w:hAnsi="Verdana" w:cs="Arial"/>
          <w:shd w:val="clear" w:color="auto" w:fill="FFFFFF"/>
        </w:rPr>
        <w:t xml:space="preserve"> </w:t>
      </w:r>
      <w:hyperlink r:id="rId14" w:history="1">
        <w:r w:rsidRPr="00E2397D">
          <w:rPr>
            <w:rFonts w:ascii="Verdana" w:hAnsi="Verdana" w:cs="Arial"/>
            <w:color w:val="0563C1" w:themeColor="hyperlink"/>
            <w:u w:val="single"/>
            <w:shd w:val="clear" w:color="auto" w:fill="FFFFFF"/>
          </w:rPr>
          <w:t>https://relatoria.colombiacompra.gov.co/busqueda/conceptos</w:t>
        </w:r>
      </w:hyperlink>
      <w:r w:rsidRPr="00E2397D">
        <w:rPr>
          <w:rFonts w:ascii="Verdana" w:hAnsi="Verdana" w:cs="Arial"/>
          <w:shd w:val="clear" w:color="auto" w:fill="FFFFFF"/>
        </w:rPr>
        <w:t>.</w:t>
      </w:r>
      <w:r w:rsidRPr="00E2397D">
        <w:rPr>
          <w:rFonts w:ascii="Verdana" w:hAnsi="Verdana" w:cs="Arial"/>
          <w:color w:val="FF0000"/>
          <w:shd w:val="clear" w:color="auto" w:fill="FFFFFF"/>
        </w:rPr>
        <w:t xml:space="preserve"> </w:t>
      </w:r>
      <w:r w:rsidRPr="00E2397D">
        <w:rPr>
          <w:rFonts w:ascii="Verdana" w:hAnsi="Verdana" w:cs="Arial"/>
          <w:color w:val="000000" w:themeColor="text1"/>
          <w:shd w:val="clear" w:color="auto" w:fill="FFFFFF"/>
        </w:rPr>
        <w:t>  </w:t>
      </w:r>
    </w:p>
    <w:p w14:paraId="2F8DE972" w14:textId="77777777" w:rsidR="004063A4" w:rsidRDefault="004063A4" w:rsidP="004063A4">
      <w:pPr>
        <w:spacing w:after="0"/>
        <w:jc w:val="both"/>
        <w:rPr>
          <w:rFonts w:ascii="Verdana" w:hAnsi="Verdana"/>
        </w:rPr>
      </w:pPr>
    </w:p>
    <w:p w14:paraId="72418663" w14:textId="77777777" w:rsidR="004063A4" w:rsidRPr="00EC0E3F" w:rsidRDefault="004063A4" w:rsidP="004063A4">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6CD8B36" w14:textId="77777777" w:rsidR="004063A4" w:rsidRPr="00F36DF8" w:rsidRDefault="004063A4" w:rsidP="004063A4">
      <w:pPr>
        <w:spacing w:after="0"/>
        <w:jc w:val="both"/>
        <w:rPr>
          <w:rFonts w:ascii="Verdana" w:hAnsi="Verdana"/>
        </w:rPr>
      </w:pPr>
    </w:p>
    <w:p w14:paraId="26626B37" w14:textId="77777777" w:rsidR="004063A4" w:rsidRPr="0044528D" w:rsidRDefault="004063A4" w:rsidP="004063A4">
      <w:pPr>
        <w:spacing w:after="0"/>
        <w:jc w:val="both"/>
        <w:rPr>
          <w:rFonts w:ascii="Verdana" w:hAnsi="Verdana"/>
        </w:rPr>
      </w:pPr>
      <w:r w:rsidRPr="0044528D">
        <w:rPr>
          <w:rFonts w:ascii="Verdana" w:hAnsi="Verdana"/>
        </w:rPr>
        <w:lastRenderedPageBreak/>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8B7D33B" w14:textId="77777777" w:rsidR="004063A4" w:rsidRPr="0044528D" w:rsidRDefault="004063A4" w:rsidP="004063A4">
      <w:pPr>
        <w:spacing w:after="0" w:line="240" w:lineRule="auto"/>
        <w:jc w:val="both"/>
        <w:rPr>
          <w:rFonts w:ascii="Verdana" w:hAnsi="Verdana"/>
        </w:rPr>
      </w:pPr>
    </w:p>
    <w:p w14:paraId="2F2F4564" w14:textId="77777777" w:rsidR="004063A4" w:rsidRPr="0044528D" w:rsidRDefault="004063A4" w:rsidP="004063A4">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4385E7B1" w14:textId="77777777" w:rsidR="004063A4" w:rsidRPr="0044528D" w:rsidRDefault="004063A4" w:rsidP="004063A4">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03164D64" w14:textId="77777777" w:rsidR="004063A4" w:rsidRPr="0044528D" w:rsidRDefault="004063A4" w:rsidP="004063A4">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09A3B1E0" w14:textId="77777777" w:rsidR="004063A4" w:rsidRPr="0044528D" w:rsidRDefault="004063A4" w:rsidP="004063A4">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5" w:history="1">
        <w:r w:rsidRPr="0044528D">
          <w:rPr>
            <w:rStyle w:val="Hipervnculo"/>
            <w:rFonts w:ascii="Verdana" w:hAnsi="Verdana"/>
          </w:rPr>
          <w:t>www.colombiacompra.gov.co</w:t>
        </w:r>
      </w:hyperlink>
    </w:p>
    <w:p w14:paraId="67EB88DC" w14:textId="77777777" w:rsidR="004063A4" w:rsidRPr="0044528D" w:rsidRDefault="004063A4" w:rsidP="004063A4">
      <w:pPr>
        <w:pStyle w:val="Prrafodelista"/>
        <w:spacing w:after="0" w:line="240" w:lineRule="auto"/>
        <w:ind w:left="785"/>
        <w:jc w:val="both"/>
        <w:rPr>
          <w:rFonts w:ascii="Verdana" w:hAnsi="Verdana"/>
        </w:rPr>
      </w:pPr>
    </w:p>
    <w:p w14:paraId="51EE5061" w14:textId="77777777" w:rsidR="004063A4" w:rsidRPr="0044528D" w:rsidRDefault="004063A4" w:rsidP="004063A4">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3E8E7C72" w14:textId="77777777" w:rsidR="004063A4" w:rsidRPr="0044528D" w:rsidRDefault="004063A4" w:rsidP="004063A4">
      <w:pPr>
        <w:spacing w:after="0" w:line="240" w:lineRule="auto"/>
        <w:jc w:val="both"/>
        <w:rPr>
          <w:rFonts w:ascii="Verdana" w:hAnsi="Verdana"/>
        </w:rPr>
      </w:pPr>
    </w:p>
    <w:p w14:paraId="7B48E7C5" w14:textId="77777777" w:rsidR="004063A4" w:rsidRPr="0044528D" w:rsidRDefault="004063A4" w:rsidP="004063A4">
      <w:pPr>
        <w:spacing w:after="0" w:line="240" w:lineRule="auto"/>
        <w:jc w:val="both"/>
        <w:rPr>
          <w:rFonts w:ascii="Verdana" w:hAnsi="Verdana"/>
        </w:rPr>
      </w:pPr>
      <w:r w:rsidRPr="0044528D">
        <w:rPr>
          <w:rFonts w:ascii="Verdana" w:hAnsi="Verdana"/>
        </w:rPr>
        <w:t xml:space="preserve">Twitter: </w:t>
      </w:r>
      <w:r w:rsidRPr="0044528D">
        <w:rPr>
          <w:rStyle w:val="Hipervnculo"/>
          <w:rFonts w:ascii="Verdana" w:hAnsi="Verdana"/>
        </w:rPr>
        <w:t>@colombiacompra</w:t>
      </w:r>
      <w:r w:rsidRPr="0044528D">
        <w:rPr>
          <w:rFonts w:ascii="Verdana" w:hAnsi="Verdana"/>
        </w:rPr>
        <w:t xml:space="preserve"> </w:t>
      </w:r>
    </w:p>
    <w:p w14:paraId="36F05FE9" w14:textId="77777777" w:rsidR="004063A4" w:rsidRPr="0044528D" w:rsidRDefault="004063A4" w:rsidP="004063A4">
      <w:pPr>
        <w:spacing w:after="0" w:line="240" w:lineRule="auto"/>
        <w:jc w:val="both"/>
        <w:rPr>
          <w:rFonts w:ascii="Verdana" w:hAnsi="Verdana"/>
        </w:rPr>
      </w:pPr>
      <w:r w:rsidRPr="0044528D">
        <w:rPr>
          <w:rFonts w:ascii="Verdana" w:hAnsi="Verdana"/>
        </w:rPr>
        <w:t xml:space="preserve">Facebook: </w:t>
      </w:r>
      <w:proofErr w:type="spellStart"/>
      <w:r w:rsidRPr="0044528D">
        <w:rPr>
          <w:rStyle w:val="Hipervnculo"/>
          <w:rFonts w:ascii="Verdana" w:hAnsi="Verdana"/>
        </w:rPr>
        <w:t>ColombiaCompraEficiente</w:t>
      </w:r>
      <w:proofErr w:type="spellEnd"/>
    </w:p>
    <w:p w14:paraId="3E9C447D" w14:textId="77777777" w:rsidR="004063A4" w:rsidRPr="0044528D" w:rsidRDefault="004063A4" w:rsidP="004063A4">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0BFC36E5" w14:textId="77777777" w:rsidR="004063A4" w:rsidRPr="0044528D" w:rsidRDefault="004063A4" w:rsidP="004063A4">
      <w:pPr>
        <w:spacing w:after="0" w:line="240" w:lineRule="auto"/>
        <w:jc w:val="both"/>
        <w:rPr>
          <w:rFonts w:ascii="Verdana" w:hAnsi="Verdana"/>
        </w:rPr>
      </w:pPr>
    </w:p>
    <w:p w14:paraId="65D2AD9B" w14:textId="77777777" w:rsidR="004063A4" w:rsidRPr="00185EE9" w:rsidRDefault="004063A4" w:rsidP="004063A4">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E5AF8E9" w14:textId="77777777" w:rsidR="004063A4" w:rsidRPr="00185EE9" w:rsidRDefault="004063A4" w:rsidP="004063A4">
      <w:pPr>
        <w:spacing w:after="0" w:line="256" w:lineRule="auto"/>
        <w:jc w:val="both"/>
        <w:rPr>
          <w:rFonts w:ascii="Verdana" w:eastAsia="Calibri" w:hAnsi="Verdana" w:cs="Times New Roman"/>
        </w:rPr>
      </w:pPr>
    </w:p>
    <w:p w14:paraId="5AD6BE8B" w14:textId="1B394753" w:rsidR="004063A4" w:rsidRPr="001B25AB" w:rsidRDefault="004063A4" w:rsidP="004063A4">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7B58BD2C" w14:textId="60E1C8F7" w:rsidR="004063A4" w:rsidRPr="00DA7C87" w:rsidRDefault="00EF38AE" w:rsidP="004063A4">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50E7953B" wp14:editId="5F54C8AE">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165E49A8" w14:textId="77777777" w:rsidR="004063A4" w:rsidRPr="00DA7C87" w:rsidRDefault="004063A4" w:rsidP="004063A4">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063A4" w:rsidRPr="00DA7C87" w14:paraId="7A80E794" w14:textId="77777777" w:rsidTr="00C24266">
        <w:trPr>
          <w:trHeight w:val="409"/>
        </w:trPr>
        <w:tc>
          <w:tcPr>
            <w:tcW w:w="817" w:type="dxa"/>
            <w:tcBorders>
              <w:top w:val="nil"/>
              <w:left w:val="nil"/>
              <w:bottom w:val="nil"/>
              <w:right w:val="nil"/>
            </w:tcBorders>
            <w:vAlign w:val="center"/>
            <w:hideMark/>
          </w:tcPr>
          <w:p w14:paraId="3A3C717F"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BDAE935"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José Luis Sánchez Cardona</w:t>
            </w:r>
          </w:p>
          <w:p w14:paraId="58316873"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Contratista de la Subdirección de Gestión Contractual</w:t>
            </w:r>
          </w:p>
        </w:tc>
      </w:tr>
      <w:tr w:rsidR="004063A4" w:rsidRPr="00DA7C87" w14:paraId="2F4A1CA9" w14:textId="77777777" w:rsidTr="00C24266">
        <w:trPr>
          <w:trHeight w:val="409"/>
        </w:trPr>
        <w:tc>
          <w:tcPr>
            <w:tcW w:w="817" w:type="dxa"/>
            <w:tcBorders>
              <w:top w:val="nil"/>
              <w:left w:val="nil"/>
              <w:bottom w:val="nil"/>
              <w:right w:val="nil"/>
            </w:tcBorders>
            <w:vAlign w:val="center"/>
            <w:hideMark/>
          </w:tcPr>
          <w:p w14:paraId="3E4116DF"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2173776"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Alejandro Sarmiento Cantillo</w:t>
            </w:r>
          </w:p>
          <w:p w14:paraId="2FB78A87"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Gestor T1-15 de la Subdirección de Gestión Contractual </w:t>
            </w:r>
          </w:p>
        </w:tc>
      </w:tr>
      <w:tr w:rsidR="004063A4" w:rsidRPr="00DA7C87" w14:paraId="05599810" w14:textId="77777777" w:rsidTr="00C24266">
        <w:trPr>
          <w:trHeight w:val="389"/>
        </w:trPr>
        <w:tc>
          <w:tcPr>
            <w:tcW w:w="817" w:type="dxa"/>
            <w:tcBorders>
              <w:top w:val="nil"/>
              <w:left w:val="nil"/>
              <w:bottom w:val="nil"/>
              <w:right w:val="nil"/>
            </w:tcBorders>
            <w:vAlign w:val="center"/>
            <w:hideMark/>
          </w:tcPr>
          <w:p w14:paraId="493A3B0A"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9F7B896"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 xml:space="preserve">Carolina Quintero </w:t>
            </w:r>
            <w:proofErr w:type="spellStart"/>
            <w:r w:rsidRPr="00DA7C87">
              <w:rPr>
                <w:rFonts w:ascii="Verdana" w:eastAsia="Calibri" w:hAnsi="Verdana" w:cs="Times New Roman"/>
                <w:sz w:val="16"/>
                <w:szCs w:val="16"/>
              </w:rPr>
              <w:t>Gacharná</w:t>
            </w:r>
            <w:proofErr w:type="spellEnd"/>
          </w:p>
          <w:p w14:paraId="0F71370D" w14:textId="77777777" w:rsidR="004063A4" w:rsidRPr="00DA7C87" w:rsidRDefault="004063A4" w:rsidP="00C24266">
            <w:pPr>
              <w:spacing w:after="0" w:line="256" w:lineRule="auto"/>
              <w:rPr>
                <w:rFonts w:ascii="Verdana" w:eastAsia="Calibri" w:hAnsi="Verdana" w:cs="Times New Roman"/>
                <w:sz w:val="16"/>
                <w:szCs w:val="16"/>
              </w:rPr>
            </w:pPr>
            <w:r w:rsidRPr="00DA7C87">
              <w:rPr>
                <w:rFonts w:ascii="Verdana" w:eastAsia="Calibri" w:hAnsi="Verdana" w:cs="Times New Roman"/>
                <w:sz w:val="16"/>
                <w:szCs w:val="16"/>
              </w:rPr>
              <w:t>Subdirectora de Gestión Contractual ANCP – CCE</w:t>
            </w:r>
          </w:p>
        </w:tc>
      </w:tr>
      <w:bookmarkEnd w:id="0"/>
    </w:tbl>
    <w:p w14:paraId="7FC84BA9" w14:textId="7E8BA6D5" w:rsidR="00F00796" w:rsidRPr="004063A4" w:rsidRDefault="00F00796" w:rsidP="00EF38AE">
      <w:pPr>
        <w:rPr>
          <w:lang w:val="es-ES"/>
        </w:rPr>
      </w:pPr>
    </w:p>
    <w:sectPr w:rsidR="00F00796" w:rsidRPr="004063A4"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C9590" w14:textId="77777777" w:rsidR="00DE7892" w:rsidRDefault="00DE7892" w:rsidP="004A1847">
      <w:pPr>
        <w:spacing w:after="0" w:line="240" w:lineRule="auto"/>
      </w:pPr>
      <w:r>
        <w:separator/>
      </w:r>
    </w:p>
  </w:endnote>
  <w:endnote w:type="continuationSeparator" w:id="0">
    <w:p w14:paraId="03ED2798" w14:textId="77777777" w:rsidR="00DE7892" w:rsidRDefault="00DE7892" w:rsidP="004A1847">
      <w:pPr>
        <w:spacing w:after="0" w:line="240" w:lineRule="auto"/>
      </w:pPr>
      <w:r>
        <w:continuationSeparator/>
      </w:r>
    </w:p>
  </w:endnote>
  <w:endnote w:type="continuationNotice" w:id="1">
    <w:p w14:paraId="7F986A29" w14:textId="77777777" w:rsidR="00DE7892" w:rsidRDefault="00DE78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291E5A" w:rsidRDefault="00291E5A">
    <w:pPr>
      <w:pStyle w:val="Piedepgina"/>
    </w:pPr>
  </w:p>
  <w:p w14:paraId="594D6D9F" w14:textId="732A59CD" w:rsidR="00291E5A" w:rsidRPr="00174B77" w:rsidRDefault="00291E5A"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001882" w:rsidRPr="00001882">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291E5A" w:rsidRDefault="00291E5A"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291E5A" w:rsidRPr="00E41027" w:rsidRDefault="00291E5A"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291E5A" w:rsidRDefault="00291E5A"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DDD2E" w14:textId="77777777" w:rsidR="00DE7892" w:rsidRDefault="00DE7892" w:rsidP="004A1847">
      <w:pPr>
        <w:spacing w:after="0" w:line="240" w:lineRule="auto"/>
      </w:pPr>
      <w:r>
        <w:separator/>
      </w:r>
    </w:p>
  </w:footnote>
  <w:footnote w:type="continuationSeparator" w:id="0">
    <w:p w14:paraId="12A1717B" w14:textId="77777777" w:rsidR="00DE7892" w:rsidRDefault="00DE7892" w:rsidP="004A1847">
      <w:pPr>
        <w:spacing w:after="0" w:line="240" w:lineRule="auto"/>
      </w:pPr>
      <w:r>
        <w:continuationSeparator/>
      </w:r>
    </w:p>
  </w:footnote>
  <w:footnote w:type="continuationNotice" w:id="1">
    <w:p w14:paraId="387F9CD2" w14:textId="77777777" w:rsidR="00DE7892" w:rsidRDefault="00DE7892">
      <w:pPr>
        <w:spacing w:after="0" w:line="240" w:lineRule="auto"/>
      </w:pPr>
    </w:p>
  </w:footnote>
  <w:footnote w:id="2">
    <w:p w14:paraId="26AB8260" w14:textId="77777777" w:rsidR="004063A4" w:rsidRPr="00E560BD" w:rsidRDefault="004063A4" w:rsidP="004063A4">
      <w:pPr>
        <w:pStyle w:val="Textonotapie"/>
        <w:ind w:firstLine="708"/>
        <w:jc w:val="both"/>
        <w:rPr>
          <w:rFonts w:ascii="Verdana" w:hAnsi="Verdana" w:cs="Arial"/>
          <w:sz w:val="16"/>
          <w:szCs w:val="16"/>
        </w:rPr>
      </w:pPr>
      <w:r w:rsidRPr="00E560BD">
        <w:rPr>
          <w:rStyle w:val="Refdenotaalpie"/>
          <w:rFonts w:ascii="Verdana" w:hAnsi="Verdana" w:cs="Arial"/>
          <w:sz w:val="16"/>
          <w:szCs w:val="16"/>
        </w:rPr>
        <w:footnoteRef/>
      </w:r>
      <w:r w:rsidRPr="00BE61A1">
        <w:rPr>
          <w:rFonts w:ascii="Verdana" w:hAnsi="Verdana" w:cs="Arial"/>
          <w:sz w:val="16"/>
          <w:szCs w:val="16"/>
          <w:lang w:val="pt-BR"/>
        </w:rPr>
        <w:t xml:space="preserve"> CORTE CONSTITUCIONAL. Sentencia C-034 de 2014. </w:t>
      </w:r>
      <w:r w:rsidRPr="00E560BD">
        <w:rPr>
          <w:rFonts w:ascii="Verdana" w:hAnsi="Verdana" w:cs="Arial"/>
          <w:sz w:val="16"/>
          <w:szCs w:val="16"/>
        </w:rPr>
        <w:t xml:space="preserve">M.P. María Victoria Calle Correa. </w:t>
      </w:r>
    </w:p>
  </w:footnote>
  <w:footnote w:id="3">
    <w:p w14:paraId="1CB57751" w14:textId="77777777" w:rsidR="004063A4" w:rsidRPr="00BE61A1" w:rsidRDefault="004063A4" w:rsidP="004063A4">
      <w:pPr>
        <w:pStyle w:val="Textonotapie"/>
        <w:ind w:firstLine="708"/>
        <w:jc w:val="both"/>
        <w:rPr>
          <w:rFonts w:ascii="Verdana" w:hAnsi="Verdana" w:cs="Arial"/>
          <w:sz w:val="16"/>
          <w:szCs w:val="16"/>
          <w:lang w:val="pt-BR"/>
        </w:rPr>
      </w:pPr>
      <w:r w:rsidRPr="00E560BD">
        <w:rPr>
          <w:rStyle w:val="Refdenotaalpie"/>
          <w:rFonts w:ascii="Verdana" w:hAnsi="Verdana" w:cs="Arial"/>
          <w:sz w:val="16"/>
          <w:szCs w:val="16"/>
        </w:rPr>
        <w:footnoteRef/>
      </w:r>
      <w:r w:rsidRPr="00BE61A1">
        <w:rPr>
          <w:rFonts w:ascii="Verdana" w:hAnsi="Verdana" w:cs="Arial"/>
          <w:sz w:val="16"/>
          <w:szCs w:val="16"/>
          <w:lang w:val="pt-BR"/>
        </w:rPr>
        <w:t xml:space="preserve">  </w:t>
      </w:r>
      <w:r w:rsidRPr="00BE61A1">
        <w:rPr>
          <w:rFonts w:ascii="Verdana" w:hAnsi="Verdana" w:cs="Arial"/>
          <w:i/>
          <w:iCs/>
          <w:sz w:val="16"/>
          <w:szCs w:val="16"/>
          <w:lang w:val="pt-BR"/>
        </w:rPr>
        <w:t>Ibídem</w:t>
      </w:r>
      <w:r w:rsidRPr="00BE61A1">
        <w:rPr>
          <w:rFonts w:ascii="Verdana" w:hAnsi="Verdana" w:cs="Arial"/>
          <w:sz w:val="16"/>
          <w:szCs w:val="16"/>
          <w:lang w:val="pt-BR"/>
        </w:rPr>
        <w:t xml:space="preserve">. </w:t>
      </w:r>
    </w:p>
  </w:footnote>
  <w:footnote w:id="4">
    <w:p w14:paraId="70B02CAE" w14:textId="4CF82272" w:rsidR="004063A4" w:rsidRPr="001B25AB" w:rsidRDefault="004063A4" w:rsidP="004063A4">
      <w:pPr>
        <w:pStyle w:val="Textonotapie"/>
        <w:ind w:firstLine="708"/>
        <w:jc w:val="both"/>
        <w:rPr>
          <w:rFonts w:ascii="Verdana" w:hAnsi="Verdana" w:cs="Arial"/>
          <w:sz w:val="16"/>
          <w:szCs w:val="16"/>
        </w:rPr>
      </w:pPr>
      <w:r w:rsidRPr="001B25AB">
        <w:rPr>
          <w:rStyle w:val="Refdenotaalpie"/>
          <w:rFonts w:ascii="Verdana" w:hAnsi="Verdana" w:cs="Arial"/>
          <w:sz w:val="16"/>
          <w:szCs w:val="16"/>
        </w:rPr>
        <w:footnoteRef/>
      </w:r>
      <w:r w:rsidRPr="00BE61A1">
        <w:rPr>
          <w:rFonts w:ascii="Verdana" w:hAnsi="Verdana" w:cs="Arial"/>
          <w:sz w:val="16"/>
          <w:szCs w:val="16"/>
          <w:lang w:val="pt-BR"/>
        </w:rPr>
        <w:t xml:space="preserve"> CORTE CONSTITUCIONAL. Sentencia C-640 de 2002. </w:t>
      </w:r>
      <w:r w:rsidRPr="001B25AB">
        <w:rPr>
          <w:rFonts w:ascii="Verdana" w:hAnsi="Verdana" w:cs="Arial"/>
          <w:sz w:val="16"/>
          <w:szCs w:val="16"/>
        </w:rPr>
        <w:t>M.P. Marco Gerardo Monroy Cabra.</w:t>
      </w:r>
    </w:p>
  </w:footnote>
  <w:footnote w:id="5">
    <w:p w14:paraId="22A77600" w14:textId="60D76692" w:rsidR="004063A4" w:rsidRPr="001B25AB" w:rsidRDefault="004063A4" w:rsidP="004063A4">
      <w:pPr>
        <w:pStyle w:val="Textonotapie"/>
        <w:ind w:firstLine="708"/>
        <w:jc w:val="both"/>
        <w:rPr>
          <w:rFonts w:ascii="Verdana" w:hAnsi="Verdana" w:cs="Arial"/>
          <w:sz w:val="16"/>
          <w:szCs w:val="16"/>
        </w:rPr>
      </w:pPr>
      <w:r w:rsidRPr="001B25AB">
        <w:rPr>
          <w:rStyle w:val="Refdenotaalpie"/>
          <w:rFonts w:ascii="Verdana" w:hAnsi="Verdana" w:cs="Arial"/>
          <w:sz w:val="16"/>
          <w:szCs w:val="16"/>
        </w:rPr>
        <w:footnoteRef/>
      </w:r>
      <w:r w:rsidRPr="001B25AB">
        <w:rPr>
          <w:rFonts w:ascii="Verdana" w:hAnsi="Verdana" w:cs="Arial"/>
          <w:sz w:val="16"/>
          <w:szCs w:val="16"/>
        </w:rPr>
        <w:t xml:space="preserve"> El artículo 17, inciso primero, de la Ley 1150 de 2007 dispone lo siguiente: “El debido proceso será un principio rector en materia sancionatoria de las actuaciones contractuales. En desarrollo de lo anterior y del deber de control y vigilancia sobre los contratos que corresponde a las entidades sometidas al Estatuto General de Contratación de la Administración Pública, tendrán la facultad de imponer las multas que hayan sido pactadas con el objeto de conminar al contratista a cumplir con sus obligaciones. Esta decisión deberá estar 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incluida en el contrato”.</w:t>
      </w:r>
    </w:p>
  </w:footnote>
  <w:footnote w:id="6">
    <w:p w14:paraId="354C0B72" w14:textId="4AD98ACA" w:rsidR="004063A4" w:rsidRPr="004063A4" w:rsidRDefault="004063A4" w:rsidP="004063A4">
      <w:pPr>
        <w:pStyle w:val="Textonotapie"/>
        <w:ind w:firstLine="708"/>
        <w:jc w:val="both"/>
        <w:rPr>
          <w:rStyle w:val="Refdenotaalpie"/>
          <w:rFonts w:ascii="Verdana" w:hAnsi="Verdana" w:cs="Arial"/>
          <w:sz w:val="16"/>
          <w:szCs w:val="16"/>
          <w:vertAlign w:val="baseline"/>
          <w:lang w:val="pt-BR"/>
        </w:rPr>
      </w:pPr>
      <w:r w:rsidRPr="001B25AB">
        <w:rPr>
          <w:rStyle w:val="Refdenotaalpie"/>
          <w:rFonts w:ascii="Verdana" w:hAnsi="Verdana" w:cs="Arial"/>
          <w:sz w:val="16"/>
          <w:szCs w:val="16"/>
        </w:rPr>
        <w:footnoteRef/>
      </w:r>
      <w:r w:rsidRPr="001B25AB">
        <w:rPr>
          <w:rStyle w:val="Refdenotaalpie"/>
          <w:rFonts w:ascii="Verdana" w:hAnsi="Verdana" w:cs="Arial"/>
          <w:sz w:val="16"/>
          <w:szCs w:val="16"/>
        </w:rPr>
        <w:t xml:space="preserve">  </w:t>
      </w:r>
      <w:r w:rsidRPr="001B25AB">
        <w:rPr>
          <w:rFonts w:ascii="Verdana" w:hAnsi="Verdana" w:cs="Arial"/>
          <w:sz w:val="16"/>
          <w:szCs w:val="16"/>
        </w:rPr>
        <w:t xml:space="preserve">CONSEJO DE ESTADO. Sección Tercera. Subsección B. Sentencia de 30 de enero de 2013. </w:t>
      </w:r>
      <w:r w:rsidRPr="00BE61A1">
        <w:rPr>
          <w:rFonts w:ascii="Verdana" w:hAnsi="Verdana" w:cs="Arial"/>
          <w:sz w:val="16"/>
          <w:szCs w:val="16"/>
          <w:lang w:val="pt-BR"/>
        </w:rPr>
        <w:t xml:space="preserve">Exp. 24.743. C.P. Danilo Rojas </w:t>
      </w:r>
      <w:r w:rsidRPr="00BE61A1">
        <w:rPr>
          <w:rFonts w:ascii="Verdana" w:hAnsi="Verdana" w:cs="Arial"/>
          <w:sz w:val="16"/>
          <w:szCs w:val="16"/>
          <w:lang w:val="pt-BR"/>
        </w:rPr>
        <w:t xml:space="preserve">Betancourth. </w:t>
      </w:r>
    </w:p>
  </w:footnote>
  <w:footnote w:id="7">
    <w:p w14:paraId="415FF260" w14:textId="77777777" w:rsidR="004063A4" w:rsidRDefault="004063A4" w:rsidP="004063A4">
      <w:pPr>
        <w:pStyle w:val="Textonotapie"/>
        <w:ind w:firstLine="708"/>
        <w:jc w:val="both"/>
        <w:rPr>
          <w:rFonts w:ascii="Verdana" w:hAnsi="Verdana" w:cs="Arial"/>
          <w:sz w:val="16"/>
          <w:szCs w:val="16"/>
          <w:lang w:val="pt-BR"/>
        </w:rPr>
      </w:pPr>
      <w:r w:rsidRPr="001B25AB">
        <w:rPr>
          <w:rStyle w:val="Refdenotaalpie"/>
          <w:rFonts w:ascii="Verdana" w:hAnsi="Verdana" w:cs="Arial"/>
          <w:sz w:val="16"/>
          <w:szCs w:val="16"/>
        </w:rPr>
        <w:footnoteRef/>
      </w:r>
      <w:r w:rsidRPr="00BE61A1">
        <w:rPr>
          <w:rFonts w:ascii="Verdana" w:hAnsi="Verdana" w:cs="Arial"/>
          <w:sz w:val="16"/>
          <w:szCs w:val="16"/>
          <w:lang w:val="pt-BR"/>
        </w:rPr>
        <w:t xml:space="preserve"> </w:t>
      </w:r>
      <w:r w:rsidRPr="00BE61A1">
        <w:rPr>
          <w:rFonts w:ascii="Verdana" w:hAnsi="Verdana" w:cs="Arial"/>
          <w:i/>
          <w:iCs/>
          <w:sz w:val="16"/>
          <w:szCs w:val="16"/>
          <w:lang w:val="pt-BR"/>
        </w:rPr>
        <w:t>Ibídem</w:t>
      </w:r>
      <w:r w:rsidRPr="00BE61A1">
        <w:rPr>
          <w:rFonts w:ascii="Verdana" w:hAnsi="Verdana" w:cs="Arial"/>
          <w:sz w:val="16"/>
          <w:szCs w:val="16"/>
          <w:lang w:val="pt-BR"/>
        </w:rPr>
        <w:t>.</w:t>
      </w:r>
    </w:p>
    <w:p w14:paraId="18E21E2D" w14:textId="77777777" w:rsidR="004063A4" w:rsidRPr="00BE61A1" w:rsidRDefault="004063A4" w:rsidP="004063A4">
      <w:pPr>
        <w:pStyle w:val="Textonotapie"/>
        <w:ind w:firstLine="708"/>
        <w:jc w:val="both"/>
        <w:rPr>
          <w:rFonts w:ascii="Verdana" w:hAnsi="Verdana" w:cs="Arial"/>
          <w:sz w:val="16"/>
          <w:szCs w:val="16"/>
          <w:lang w:val="pt-BR"/>
        </w:rPr>
      </w:pPr>
      <w:r w:rsidRPr="00BE61A1">
        <w:rPr>
          <w:rFonts w:ascii="Verdana" w:hAnsi="Verdana" w:cs="Arial"/>
          <w:sz w:val="16"/>
          <w:szCs w:val="16"/>
          <w:lang w:val="pt-BR"/>
        </w:rPr>
        <w:t xml:space="preserve">  </w:t>
      </w:r>
    </w:p>
  </w:footnote>
  <w:footnote w:id="8">
    <w:p w14:paraId="35AC5AE5" w14:textId="77777777" w:rsidR="004063A4" w:rsidRPr="001B25AB" w:rsidRDefault="004063A4" w:rsidP="004063A4">
      <w:pPr>
        <w:pStyle w:val="Textonotapie"/>
        <w:ind w:firstLine="709"/>
        <w:jc w:val="both"/>
        <w:rPr>
          <w:rFonts w:ascii="Verdana" w:hAnsi="Verdana" w:cs="Arial"/>
          <w:color w:val="000000"/>
          <w:sz w:val="16"/>
          <w:szCs w:val="16"/>
        </w:rPr>
      </w:pPr>
      <w:r w:rsidRPr="001B25AB">
        <w:rPr>
          <w:rStyle w:val="Refdenotaalpie"/>
          <w:rFonts w:ascii="Verdana" w:hAnsi="Verdana" w:cs="Arial"/>
          <w:color w:val="000000"/>
          <w:sz w:val="16"/>
          <w:szCs w:val="16"/>
        </w:rPr>
        <w:footnoteRef/>
      </w:r>
      <w:r w:rsidRPr="00BE61A1">
        <w:rPr>
          <w:rFonts w:ascii="Verdana" w:hAnsi="Verdana" w:cs="Arial"/>
          <w:color w:val="000000"/>
          <w:sz w:val="16"/>
          <w:szCs w:val="16"/>
          <w:lang w:val="pt-BR"/>
        </w:rPr>
        <w:t xml:space="preserve"> CORTE CONSTITUCIONAL. Sentencia C-317 de 2012. </w:t>
      </w:r>
      <w:r w:rsidRPr="001B25AB">
        <w:rPr>
          <w:rFonts w:ascii="Verdana" w:hAnsi="Verdana" w:cs="Arial"/>
          <w:color w:val="000000"/>
          <w:sz w:val="16"/>
          <w:szCs w:val="16"/>
        </w:rPr>
        <w:t xml:space="preserve">M.P. María Victoria Calle Correa. </w:t>
      </w:r>
    </w:p>
  </w:footnote>
  <w:footnote w:id="9">
    <w:p w14:paraId="05B03E10" w14:textId="06354156" w:rsidR="004063A4" w:rsidRPr="004063A4" w:rsidRDefault="004063A4" w:rsidP="004063A4">
      <w:pPr>
        <w:pStyle w:val="Textonotapie"/>
        <w:ind w:firstLine="708"/>
        <w:jc w:val="both"/>
        <w:rPr>
          <w:rFonts w:ascii="Verdana" w:hAnsi="Verdana"/>
          <w:sz w:val="16"/>
          <w:szCs w:val="16"/>
        </w:rPr>
      </w:pPr>
      <w:r w:rsidRPr="001B25AB">
        <w:rPr>
          <w:rStyle w:val="Refdenotaalpie"/>
          <w:rFonts w:ascii="Verdana" w:hAnsi="Verdana"/>
          <w:sz w:val="16"/>
          <w:szCs w:val="16"/>
        </w:rPr>
        <w:footnoteRef/>
      </w:r>
      <w:r w:rsidRPr="001B25AB">
        <w:rPr>
          <w:rFonts w:ascii="Verdana" w:hAnsi="Verdana"/>
          <w:sz w:val="16"/>
          <w:szCs w:val="16"/>
        </w:rPr>
        <w:t xml:space="preserve"> AGENCIA NACIONAL DE CONTRATACIÓN PÚBLICA –COLOMBIA COMPRA EFICIENTE. Guía para el ejercicio de las funciones de supervisión e interventoría de los contratos suscritos por las entidades estatales. Disponible en línea: </w:t>
      </w:r>
      <w:hyperlink r:id="rId1" w:history="1">
        <w:r w:rsidRPr="0029105F">
          <w:rPr>
            <w:rStyle w:val="Hipervnculo"/>
            <w:rFonts w:ascii="Verdana" w:hAnsi="Verdana"/>
            <w:sz w:val="16"/>
            <w:szCs w:val="16"/>
          </w:rPr>
          <w:t>https://www.colombiacompra.gov.co/archivos/manual/guia-para-el-ejercicio-de-las-funciones-de-supervision-e-interventoria-de-los-contratos-suscritos-por-las-entidades-estatales. p. 6</w:t>
        </w:r>
      </w:hyperlink>
      <w:r w:rsidRPr="001B25AB">
        <w:rPr>
          <w:rFonts w:ascii="Verdana" w:hAnsi="Verdana"/>
          <w:sz w:val="16"/>
          <w:szCs w:val="16"/>
        </w:rPr>
        <w:t xml:space="preserve">. </w:t>
      </w:r>
    </w:p>
  </w:footnote>
  <w:footnote w:id="10">
    <w:p w14:paraId="5549A309" w14:textId="77777777" w:rsidR="004063A4" w:rsidRPr="001B25AB" w:rsidRDefault="004063A4" w:rsidP="004063A4">
      <w:pPr>
        <w:pStyle w:val="Textonotapie"/>
        <w:ind w:firstLine="708"/>
        <w:rPr>
          <w:rFonts w:ascii="Verdana" w:hAnsi="Verdana"/>
          <w:sz w:val="16"/>
          <w:szCs w:val="16"/>
          <w:lang w:val="es-ES"/>
        </w:rPr>
      </w:pPr>
      <w:r w:rsidRPr="001B25AB">
        <w:rPr>
          <w:rStyle w:val="Refdenotaalpie"/>
          <w:rFonts w:ascii="Verdana" w:hAnsi="Verdana"/>
          <w:sz w:val="16"/>
          <w:szCs w:val="16"/>
        </w:rPr>
        <w:footnoteRef/>
      </w:r>
      <w:r w:rsidRPr="001B25AB">
        <w:rPr>
          <w:rFonts w:ascii="Verdana" w:hAnsi="Verdana"/>
          <w:sz w:val="16"/>
          <w:szCs w:val="16"/>
        </w:rPr>
        <w:t xml:space="preserve"> </w:t>
      </w:r>
      <w:r w:rsidRPr="001B25AB">
        <w:rPr>
          <w:rFonts w:ascii="Verdana" w:hAnsi="Verdana"/>
          <w:sz w:val="16"/>
          <w:szCs w:val="16"/>
          <w:lang w:val="es-ES"/>
        </w:rPr>
        <w:t xml:space="preserve">Ibídem., p. 6. </w:t>
      </w:r>
    </w:p>
  </w:footnote>
  <w:footnote w:id="11">
    <w:p w14:paraId="7B32EE81" w14:textId="5CBE84C8" w:rsidR="004063A4" w:rsidRPr="001B25AB" w:rsidRDefault="004063A4" w:rsidP="004063A4">
      <w:pPr>
        <w:pStyle w:val="Textonotapie"/>
        <w:ind w:firstLine="708"/>
        <w:jc w:val="both"/>
        <w:rPr>
          <w:rFonts w:ascii="Verdana" w:hAnsi="Verdana" w:cs="Arial"/>
          <w:color w:val="000000"/>
          <w:sz w:val="16"/>
          <w:szCs w:val="16"/>
        </w:rPr>
      </w:pPr>
      <w:r w:rsidRPr="001B25AB">
        <w:rPr>
          <w:rStyle w:val="Refdenotaalpie"/>
          <w:rFonts w:ascii="Verdana" w:hAnsi="Verdana" w:cs="Arial"/>
          <w:color w:val="000000"/>
          <w:sz w:val="16"/>
          <w:szCs w:val="16"/>
        </w:rPr>
        <w:footnoteRef/>
      </w:r>
      <w:r w:rsidRPr="001B25AB">
        <w:rPr>
          <w:rFonts w:ascii="Verdana" w:hAnsi="Verdana" w:cs="Arial"/>
          <w:color w:val="000000"/>
          <w:sz w:val="16"/>
          <w:szCs w:val="16"/>
        </w:rPr>
        <w:t xml:space="preserve"> CONSEJO DE ESTADO. Sala de Consulta y de Servicio Civil. Concepto del 23 de marzo de 2011. Rad. 2.045. C.P.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291E5A" w:rsidRDefault="00291E5A">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291E5A" w:rsidRDefault="00291E5A">
    <w:pPr>
      <w:pStyle w:val="Encabezado"/>
    </w:pPr>
  </w:p>
  <w:p w14:paraId="3079FC11" w14:textId="77777777" w:rsidR="00291E5A" w:rsidRDefault="00291E5A" w:rsidP="004A305D">
    <w:pPr>
      <w:spacing w:after="0"/>
      <w:rPr>
        <w:rFonts w:ascii="Verdana" w:hAnsi="Verdana"/>
        <w:b/>
        <w:bCs/>
      </w:rPr>
    </w:pPr>
  </w:p>
  <w:p w14:paraId="5E18350A" w14:textId="705F7B76" w:rsidR="00291E5A" w:rsidRPr="004A305D" w:rsidRDefault="00291E5A" w:rsidP="00B01B1A">
    <w:pPr>
      <w:spacing w:after="0" w:line="120" w:lineRule="auto"/>
      <w:rPr>
        <w:rFonts w:ascii="Century Gothic" w:eastAsia="Geo" w:hAnsi="Century Gothic" w:cs="Geo"/>
        <w:sz w:val="16"/>
        <w:szCs w:val="16"/>
        <w:lang w:eastAsia="es-CO"/>
      </w:rPr>
    </w:pPr>
  </w:p>
  <w:p w14:paraId="1FD1C243" w14:textId="6D74A3CF" w:rsidR="00291E5A" w:rsidRDefault="00291E5A"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3pt;height:11.3pt" o:bullet="t">
        <v:imagedata r:id="rId1" o:title="mso1B13"/>
      </v:shape>
    </w:pict>
  </w:numPicBullet>
  <w:abstractNum w:abstractNumId="0" w15:restartNumberingAfterBreak="0">
    <w:nsid w:val="C106FD55"/>
    <w:multiLevelType w:val="hybridMultilevel"/>
    <w:tmpl w:val="8994ABC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EB70DFB"/>
    <w:multiLevelType w:val="hybridMultilevel"/>
    <w:tmpl w:val="0EAD77C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3"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0B64EC"/>
    <w:multiLevelType w:val="hybridMultilevel"/>
    <w:tmpl w:val="DC66CC38"/>
    <w:lvl w:ilvl="0" w:tplc="63D44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70783B2"/>
    <w:multiLevelType w:val="hybridMultilevel"/>
    <w:tmpl w:val="949ED62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6" w15:restartNumberingAfterBreak="0">
    <w:nsid w:val="59305EB6"/>
    <w:multiLevelType w:val="hybridMultilevel"/>
    <w:tmpl w:val="DBE44984"/>
    <w:lvl w:ilvl="0" w:tplc="BF8E533E">
      <w:start w:val="1"/>
      <w:numFmt w:val="decimal"/>
      <w:lvlText w:val="%1."/>
      <w:lvlJc w:val="left"/>
      <w:pPr>
        <w:ind w:left="1084" w:hanging="375"/>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7" w15:restartNumberingAfterBreak="0">
    <w:nsid w:val="59642751"/>
    <w:multiLevelType w:val="multilevel"/>
    <w:tmpl w:val="2C12214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AB17DA7"/>
    <w:multiLevelType w:val="hybridMultilevel"/>
    <w:tmpl w:val="920C6EDC"/>
    <w:lvl w:ilvl="0" w:tplc="A6C42E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5F5829CA"/>
    <w:multiLevelType w:val="hybridMultilevel"/>
    <w:tmpl w:val="1EA9E0D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61954A89"/>
    <w:multiLevelType w:val="multilevel"/>
    <w:tmpl w:val="53427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57555444">
    <w:abstractNumId w:val="16"/>
  </w:num>
  <w:num w:numId="2" w16cid:durableId="424107970">
    <w:abstractNumId w:val="5"/>
  </w:num>
  <w:num w:numId="3" w16cid:durableId="1172912920">
    <w:abstractNumId w:val="14"/>
  </w:num>
  <w:num w:numId="4" w16cid:durableId="15510654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66786151">
    <w:abstractNumId w:val="5"/>
  </w:num>
  <w:num w:numId="6" w16cid:durableId="399404703">
    <w:abstractNumId w:val="35"/>
  </w:num>
  <w:num w:numId="7" w16cid:durableId="1674452060">
    <w:abstractNumId w:val="15"/>
  </w:num>
  <w:num w:numId="8" w16cid:durableId="1589727145">
    <w:abstractNumId w:val="34"/>
  </w:num>
  <w:num w:numId="9" w16cid:durableId="486825276">
    <w:abstractNumId w:val="17"/>
  </w:num>
  <w:num w:numId="10" w16cid:durableId="447165751">
    <w:abstractNumId w:val="33"/>
  </w:num>
  <w:num w:numId="11" w16cid:durableId="871765448">
    <w:abstractNumId w:val="18"/>
  </w:num>
  <w:num w:numId="12" w16cid:durableId="382488413">
    <w:abstractNumId w:val="3"/>
  </w:num>
  <w:num w:numId="13" w16cid:durableId="954404514">
    <w:abstractNumId w:val="10"/>
  </w:num>
  <w:num w:numId="14" w16cid:durableId="2061511869">
    <w:abstractNumId w:val="36"/>
  </w:num>
  <w:num w:numId="15" w16cid:durableId="1012073882">
    <w:abstractNumId w:val="32"/>
  </w:num>
  <w:num w:numId="16" w16cid:durableId="1479684047">
    <w:abstractNumId w:val="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80021775">
    <w:abstractNumId w:val="6"/>
  </w:num>
  <w:num w:numId="18" w16cid:durableId="1214269472">
    <w:abstractNumId w:val="29"/>
  </w:num>
  <w:num w:numId="19" w16cid:durableId="1396926303">
    <w:abstractNumId w:val="13"/>
  </w:num>
  <w:num w:numId="20" w16cid:durableId="1849252859">
    <w:abstractNumId w:val="19"/>
  </w:num>
  <w:num w:numId="21" w16cid:durableId="1227690045">
    <w:abstractNumId w:val="38"/>
  </w:num>
  <w:num w:numId="22" w16cid:durableId="256986745">
    <w:abstractNumId w:val="22"/>
  </w:num>
  <w:num w:numId="23" w16cid:durableId="801270468">
    <w:abstractNumId w:val="9"/>
  </w:num>
  <w:num w:numId="24" w16cid:durableId="1418017080">
    <w:abstractNumId w:val="20"/>
  </w:num>
  <w:num w:numId="25" w16cid:durableId="1193836360">
    <w:abstractNumId w:val="4"/>
  </w:num>
  <w:num w:numId="26" w16cid:durableId="1461875101">
    <w:abstractNumId w:val="7"/>
  </w:num>
  <w:num w:numId="27" w16cid:durableId="945842749">
    <w:abstractNumId w:val="24"/>
  </w:num>
  <w:num w:numId="28" w16cid:durableId="93980802">
    <w:abstractNumId w:val="8"/>
  </w:num>
  <w:num w:numId="29" w16cid:durableId="442069651">
    <w:abstractNumId w:val="12"/>
  </w:num>
  <w:num w:numId="30" w16cid:durableId="1634670953">
    <w:abstractNumId w:val="2"/>
  </w:num>
  <w:num w:numId="31" w16cid:durableId="10300155">
    <w:abstractNumId w:val="21"/>
  </w:num>
  <w:num w:numId="32" w16cid:durableId="1141070906">
    <w:abstractNumId w:val="25"/>
  </w:num>
  <w:num w:numId="33" w16cid:durableId="1396051282">
    <w:abstractNumId w:val="28"/>
  </w:num>
  <w:num w:numId="34" w16cid:durableId="487554099">
    <w:abstractNumId w:val="11"/>
  </w:num>
  <w:num w:numId="35" w16cid:durableId="383531717">
    <w:abstractNumId w:val="27"/>
  </w:num>
  <w:num w:numId="36" w16cid:durableId="1784156148">
    <w:abstractNumId w:val="0"/>
  </w:num>
  <w:num w:numId="37" w16cid:durableId="842205923">
    <w:abstractNumId w:val="23"/>
  </w:num>
  <w:num w:numId="38" w16cid:durableId="1792822459">
    <w:abstractNumId w:val="1"/>
  </w:num>
  <w:num w:numId="39" w16cid:durableId="473985746">
    <w:abstractNumId w:val="30"/>
  </w:num>
  <w:num w:numId="40" w16cid:durableId="1097403467">
    <w:abstractNumId w:val="37"/>
  </w:num>
  <w:num w:numId="41" w16cid:durableId="1638098465">
    <w:abstractNumId w:val="26"/>
  </w:num>
  <w:num w:numId="42" w16cid:durableId="100054387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1882"/>
    <w:rsid w:val="000039A2"/>
    <w:rsid w:val="000062F3"/>
    <w:rsid w:val="0000797D"/>
    <w:rsid w:val="00007D41"/>
    <w:rsid w:val="0001328B"/>
    <w:rsid w:val="000224F2"/>
    <w:rsid w:val="00023C3E"/>
    <w:rsid w:val="0002653B"/>
    <w:rsid w:val="00034682"/>
    <w:rsid w:val="000352BA"/>
    <w:rsid w:val="00035E21"/>
    <w:rsid w:val="00042856"/>
    <w:rsid w:val="0004434A"/>
    <w:rsid w:val="0005281E"/>
    <w:rsid w:val="00055421"/>
    <w:rsid w:val="000560C1"/>
    <w:rsid w:val="0005682C"/>
    <w:rsid w:val="00056D71"/>
    <w:rsid w:val="00061B2A"/>
    <w:rsid w:val="00062BAF"/>
    <w:rsid w:val="000630B9"/>
    <w:rsid w:val="000643B2"/>
    <w:rsid w:val="00065E80"/>
    <w:rsid w:val="00066BB4"/>
    <w:rsid w:val="00070125"/>
    <w:rsid w:val="0007022C"/>
    <w:rsid w:val="00071437"/>
    <w:rsid w:val="00071DE6"/>
    <w:rsid w:val="000754B0"/>
    <w:rsid w:val="00077439"/>
    <w:rsid w:val="000774B8"/>
    <w:rsid w:val="00082362"/>
    <w:rsid w:val="0008328D"/>
    <w:rsid w:val="00084D78"/>
    <w:rsid w:val="0009387A"/>
    <w:rsid w:val="0009387B"/>
    <w:rsid w:val="000963C6"/>
    <w:rsid w:val="000974AC"/>
    <w:rsid w:val="0009762F"/>
    <w:rsid w:val="000A31B9"/>
    <w:rsid w:val="000A3330"/>
    <w:rsid w:val="000A36D8"/>
    <w:rsid w:val="000A3D63"/>
    <w:rsid w:val="000A683A"/>
    <w:rsid w:val="000A683E"/>
    <w:rsid w:val="000B19B9"/>
    <w:rsid w:val="000B2908"/>
    <w:rsid w:val="000B3001"/>
    <w:rsid w:val="000B6F36"/>
    <w:rsid w:val="000B7176"/>
    <w:rsid w:val="000C09A7"/>
    <w:rsid w:val="000C2889"/>
    <w:rsid w:val="000C3673"/>
    <w:rsid w:val="000C538B"/>
    <w:rsid w:val="000D0152"/>
    <w:rsid w:val="000D0334"/>
    <w:rsid w:val="000D0B4D"/>
    <w:rsid w:val="000D10DC"/>
    <w:rsid w:val="000D1AED"/>
    <w:rsid w:val="000D3477"/>
    <w:rsid w:val="000D3B29"/>
    <w:rsid w:val="000D4347"/>
    <w:rsid w:val="000D5184"/>
    <w:rsid w:val="000D74FA"/>
    <w:rsid w:val="000E06F4"/>
    <w:rsid w:val="000E1AC7"/>
    <w:rsid w:val="000E471A"/>
    <w:rsid w:val="000E4CE4"/>
    <w:rsid w:val="000E7B67"/>
    <w:rsid w:val="000F0C44"/>
    <w:rsid w:val="000F6486"/>
    <w:rsid w:val="000F669F"/>
    <w:rsid w:val="001063B3"/>
    <w:rsid w:val="00107ACA"/>
    <w:rsid w:val="001114A9"/>
    <w:rsid w:val="00111979"/>
    <w:rsid w:val="001138FC"/>
    <w:rsid w:val="00116537"/>
    <w:rsid w:val="00120766"/>
    <w:rsid w:val="00121359"/>
    <w:rsid w:val="00122FA6"/>
    <w:rsid w:val="001240BD"/>
    <w:rsid w:val="00125105"/>
    <w:rsid w:val="001268F7"/>
    <w:rsid w:val="00126B2B"/>
    <w:rsid w:val="00127233"/>
    <w:rsid w:val="001372FC"/>
    <w:rsid w:val="00142F84"/>
    <w:rsid w:val="00143E81"/>
    <w:rsid w:val="00143FD9"/>
    <w:rsid w:val="00145047"/>
    <w:rsid w:val="00146C57"/>
    <w:rsid w:val="00150ADA"/>
    <w:rsid w:val="001569A8"/>
    <w:rsid w:val="0016332F"/>
    <w:rsid w:val="0016642E"/>
    <w:rsid w:val="001717E9"/>
    <w:rsid w:val="0017238A"/>
    <w:rsid w:val="001800BA"/>
    <w:rsid w:val="00180A30"/>
    <w:rsid w:val="00185772"/>
    <w:rsid w:val="00185EE9"/>
    <w:rsid w:val="00187F79"/>
    <w:rsid w:val="0019204C"/>
    <w:rsid w:val="00196F32"/>
    <w:rsid w:val="00197274"/>
    <w:rsid w:val="001A0B04"/>
    <w:rsid w:val="001A237A"/>
    <w:rsid w:val="001A26CF"/>
    <w:rsid w:val="001A2919"/>
    <w:rsid w:val="001A5BC1"/>
    <w:rsid w:val="001B04F1"/>
    <w:rsid w:val="001B22E2"/>
    <w:rsid w:val="001B25AB"/>
    <w:rsid w:val="001B2CFE"/>
    <w:rsid w:val="001B4F98"/>
    <w:rsid w:val="001C13BD"/>
    <w:rsid w:val="001C222E"/>
    <w:rsid w:val="001C22F9"/>
    <w:rsid w:val="001C4F29"/>
    <w:rsid w:val="001D1C29"/>
    <w:rsid w:val="001D2CCC"/>
    <w:rsid w:val="001E3C06"/>
    <w:rsid w:val="001E4177"/>
    <w:rsid w:val="001F0A0F"/>
    <w:rsid w:val="001F114C"/>
    <w:rsid w:val="001F218E"/>
    <w:rsid w:val="001F4EFD"/>
    <w:rsid w:val="001F5606"/>
    <w:rsid w:val="001F5E13"/>
    <w:rsid w:val="001F684E"/>
    <w:rsid w:val="001F6D11"/>
    <w:rsid w:val="001F7DC6"/>
    <w:rsid w:val="00202886"/>
    <w:rsid w:val="00205784"/>
    <w:rsid w:val="00206823"/>
    <w:rsid w:val="00210946"/>
    <w:rsid w:val="00213510"/>
    <w:rsid w:val="0021372A"/>
    <w:rsid w:val="00215CEF"/>
    <w:rsid w:val="00217A08"/>
    <w:rsid w:val="00220B77"/>
    <w:rsid w:val="00221D27"/>
    <w:rsid w:val="00222906"/>
    <w:rsid w:val="002249C4"/>
    <w:rsid w:val="00226742"/>
    <w:rsid w:val="00233830"/>
    <w:rsid w:val="002352F2"/>
    <w:rsid w:val="00237233"/>
    <w:rsid w:val="002414D6"/>
    <w:rsid w:val="002421BB"/>
    <w:rsid w:val="00245707"/>
    <w:rsid w:val="00246A81"/>
    <w:rsid w:val="00251A5F"/>
    <w:rsid w:val="00252B30"/>
    <w:rsid w:val="002571BD"/>
    <w:rsid w:val="0025796E"/>
    <w:rsid w:val="002603E5"/>
    <w:rsid w:val="002638B2"/>
    <w:rsid w:val="002660F2"/>
    <w:rsid w:val="002664BB"/>
    <w:rsid w:val="002707A2"/>
    <w:rsid w:val="002733CA"/>
    <w:rsid w:val="00277150"/>
    <w:rsid w:val="00281DD5"/>
    <w:rsid w:val="002826F0"/>
    <w:rsid w:val="002835A6"/>
    <w:rsid w:val="002844ED"/>
    <w:rsid w:val="00286FAD"/>
    <w:rsid w:val="00291E5A"/>
    <w:rsid w:val="002923AA"/>
    <w:rsid w:val="002951A0"/>
    <w:rsid w:val="002962BC"/>
    <w:rsid w:val="002A093D"/>
    <w:rsid w:val="002A0DD0"/>
    <w:rsid w:val="002A1D2F"/>
    <w:rsid w:val="002A1D6D"/>
    <w:rsid w:val="002A49AC"/>
    <w:rsid w:val="002A64FD"/>
    <w:rsid w:val="002A6BBF"/>
    <w:rsid w:val="002B1E57"/>
    <w:rsid w:val="002B1F7F"/>
    <w:rsid w:val="002B290B"/>
    <w:rsid w:val="002B33B8"/>
    <w:rsid w:val="002B61F2"/>
    <w:rsid w:val="002B7AD9"/>
    <w:rsid w:val="002C110E"/>
    <w:rsid w:val="002C379A"/>
    <w:rsid w:val="002C765E"/>
    <w:rsid w:val="002C7A84"/>
    <w:rsid w:val="002D13A1"/>
    <w:rsid w:val="002D3F0D"/>
    <w:rsid w:val="002E1D98"/>
    <w:rsid w:val="002E2C3F"/>
    <w:rsid w:val="002E4FD9"/>
    <w:rsid w:val="002E6F15"/>
    <w:rsid w:val="002F13FD"/>
    <w:rsid w:val="002F53FB"/>
    <w:rsid w:val="00303544"/>
    <w:rsid w:val="00303985"/>
    <w:rsid w:val="003039C1"/>
    <w:rsid w:val="00310DBE"/>
    <w:rsid w:val="00310E5C"/>
    <w:rsid w:val="003119D8"/>
    <w:rsid w:val="0031430F"/>
    <w:rsid w:val="00320BBD"/>
    <w:rsid w:val="003226F7"/>
    <w:rsid w:val="00322A85"/>
    <w:rsid w:val="00324168"/>
    <w:rsid w:val="00325755"/>
    <w:rsid w:val="0033032A"/>
    <w:rsid w:val="00330C97"/>
    <w:rsid w:val="00334C6A"/>
    <w:rsid w:val="00336C05"/>
    <w:rsid w:val="003409C8"/>
    <w:rsid w:val="00342675"/>
    <w:rsid w:val="00343512"/>
    <w:rsid w:val="003448F4"/>
    <w:rsid w:val="00345330"/>
    <w:rsid w:val="00347E58"/>
    <w:rsid w:val="00350480"/>
    <w:rsid w:val="003522B9"/>
    <w:rsid w:val="003528DF"/>
    <w:rsid w:val="00352C12"/>
    <w:rsid w:val="00354BCA"/>
    <w:rsid w:val="00354FEA"/>
    <w:rsid w:val="00361BA8"/>
    <w:rsid w:val="00362DEE"/>
    <w:rsid w:val="0036594E"/>
    <w:rsid w:val="003665EE"/>
    <w:rsid w:val="0037010E"/>
    <w:rsid w:val="003734F4"/>
    <w:rsid w:val="00374F5E"/>
    <w:rsid w:val="0037527B"/>
    <w:rsid w:val="003773A1"/>
    <w:rsid w:val="00377E3E"/>
    <w:rsid w:val="003815B3"/>
    <w:rsid w:val="003815E8"/>
    <w:rsid w:val="00382181"/>
    <w:rsid w:val="00386CD9"/>
    <w:rsid w:val="00386D13"/>
    <w:rsid w:val="00391392"/>
    <w:rsid w:val="00392A49"/>
    <w:rsid w:val="00393812"/>
    <w:rsid w:val="0039606A"/>
    <w:rsid w:val="003A26D1"/>
    <w:rsid w:val="003A3B30"/>
    <w:rsid w:val="003A40E2"/>
    <w:rsid w:val="003A477B"/>
    <w:rsid w:val="003A779E"/>
    <w:rsid w:val="003B005A"/>
    <w:rsid w:val="003B0636"/>
    <w:rsid w:val="003B6385"/>
    <w:rsid w:val="003B78C4"/>
    <w:rsid w:val="003B7D19"/>
    <w:rsid w:val="003C0EC6"/>
    <w:rsid w:val="003C3FA5"/>
    <w:rsid w:val="003D0F4D"/>
    <w:rsid w:val="003D1B5E"/>
    <w:rsid w:val="003D5B0D"/>
    <w:rsid w:val="003E0499"/>
    <w:rsid w:val="003E40F2"/>
    <w:rsid w:val="003E7EAA"/>
    <w:rsid w:val="003F08A7"/>
    <w:rsid w:val="003F1B32"/>
    <w:rsid w:val="003F3941"/>
    <w:rsid w:val="00400676"/>
    <w:rsid w:val="004008A9"/>
    <w:rsid w:val="00402643"/>
    <w:rsid w:val="0040480E"/>
    <w:rsid w:val="004063A4"/>
    <w:rsid w:val="00406575"/>
    <w:rsid w:val="004069AB"/>
    <w:rsid w:val="00410906"/>
    <w:rsid w:val="0041655A"/>
    <w:rsid w:val="00416E49"/>
    <w:rsid w:val="00426FD7"/>
    <w:rsid w:val="0042722E"/>
    <w:rsid w:val="00427DA0"/>
    <w:rsid w:val="00436F71"/>
    <w:rsid w:val="00440391"/>
    <w:rsid w:val="004405A4"/>
    <w:rsid w:val="004426AD"/>
    <w:rsid w:val="00442C7F"/>
    <w:rsid w:val="0044528D"/>
    <w:rsid w:val="0044798F"/>
    <w:rsid w:val="00450920"/>
    <w:rsid w:val="004530EA"/>
    <w:rsid w:val="00454D48"/>
    <w:rsid w:val="004550FC"/>
    <w:rsid w:val="004554F9"/>
    <w:rsid w:val="0046004D"/>
    <w:rsid w:val="00461A6A"/>
    <w:rsid w:val="004633DE"/>
    <w:rsid w:val="00465E71"/>
    <w:rsid w:val="00466040"/>
    <w:rsid w:val="00471654"/>
    <w:rsid w:val="004734BD"/>
    <w:rsid w:val="00475854"/>
    <w:rsid w:val="004774DD"/>
    <w:rsid w:val="00480BAF"/>
    <w:rsid w:val="00482608"/>
    <w:rsid w:val="00483749"/>
    <w:rsid w:val="00484809"/>
    <w:rsid w:val="00484BB1"/>
    <w:rsid w:val="004A0980"/>
    <w:rsid w:val="004A0B8B"/>
    <w:rsid w:val="004A1847"/>
    <w:rsid w:val="004A305D"/>
    <w:rsid w:val="004A3312"/>
    <w:rsid w:val="004A66E3"/>
    <w:rsid w:val="004B01B2"/>
    <w:rsid w:val="004B5C11"/>
    <w:rsid w:val="004B740F"/>
    <w:rsid w:val="004C28C6"/>
    <w:rsid w:val="004C4B37"/>
    <w:rsid w:val="004D026D"/>
    <w:rsid w:val="004D0BED"/>
    <w:rsid w:val="004D23A7"/>
    <w:rsid w:val="004E221E"/>
    <w:rsid w:val="004E2892"/>
    <w:rsid w:val="004E343A"/>
    <w:rsid w:val="004E4C0B"/>
    <w:rsid w:val="004E505B"/>
    <w:rsid w:val="004E7CE7"/>
    <w:rsid w:val="004F21C4"/>
    <w:rsid w:val="004F246A"/>
    <w:rsid w:val="004F3012"/>
    <w:rsid w:val="004F3B9E"/>
    <w:rsid w:val="004F5559"/>
    <w:rsid w:val="004F685F"/>
    <w:rsid w:val="004F7EC9"/>
    <w:rsid w:val="00503719"/>
    <w:rsid w:val="00504CBE"/>
    <w:rsid w:val="005053D6"/>
    <w:rsid w:val="00505795"/>
    <w:rsid w:val="00514598"/>
    <w:rsid w:val="005163B5"/>
    <w:rsid w:val="0052543A"/>
    <w:rsid w:val="00525FDB"/>
    <w:rsid w:val="0052785C"/>
    <w:rsid w:val="00533E1B"/>
    <w:rsid w:val="00540C2D"/>
    <w:rsid w:val="0054111E"/>
    <w:rsid w:val="0054335F"/>
    <w:rsid w:val="00552502"/>
    <w:rsid w:val="00554BD4"/>
    <w:rsid w:val="005556B3"/>
    <w:rsid w:val="005566E8"/>
    <w:rsid w:val="00560CB5"/>
    <w:rsid w:val="00564F8B"/>
    <w:rsid w:val="00565128"/>
    <w:rsid w:val="00570339"/>
    <w:rsid w:val="00574122"/>
    <w:rsid w:val="00574867"/>
    <w:rsid w:val="00577986"/>
    <w:rsid w:val="00577D09"/>
    <w:rsid w:val="0058087F"/>
    <w:rsid w:val="0058337B"/>
    <w:rsid w:val="00591460"/>
    <w:rsid w:val="00592628"/>
    <w:rsid w:val="00597C75"/>
    <w:rsid w:val="005A0868"/>
    <w:rsid w:val="005A0CFB"/>
    <w:rsid w:val="005A282F"/>
    <w:rsid w:val="005A2AC9"/>
    <w:rsid w:val="005A6C21"/>
    <w:rsid w:val="005B2CCE"/>
    <w:rsid w:val="005B4055"/>
    <w:rsid w:val="005B58C1"/>
    <w:rsid w:val="005B6033"/>
    <w:rsid w:val="005C3777"/>
    <w:rsid w:val="005C5CDC"/>
    <w:rsid w:val="005D17C8"/>
    <w:rsid w:val="005D2B2B"/>
    <w:rsid w:val="005D476C"/>
    <w:rsid w:val="005D51C3"/>
    <w:rsid w:val="005D5F91"/>
    <w:rsid w:val="005D7B25"/>
    <w:rsid w:val="005E4601"/>
    <w:rsid w:val="005E6B74"/>
    <w:rsid w:val="005F3CE0"/>
    <w:rsid w:val="005F7C43"/>
    <w:rsid w:val="00601DFC"/>
    <w:rsid w:val="00605A00"/>
    <w:rsid w:val="00610812"/>
    <w:rsid w:val="00612CE7"/>
    <w:rsid w:val="00615F46"/>
    <w:rsid w:val="0062005D"/>
    <w:rsid w:val="006219F8"/>
    <w:rsid w:val="0063165E"/>
    <w:rsid w:val="00632C08"/>
    <w:rsid w:val="00644F63"/>
    <w:rsid w:val="00650FF7"/>
    <w:rsid w:val="00656421"/>
    <w:rsid w:val="00660F6A"/>
    <w:rsid w:val="00663B19"/>
    <w:rsid w:val="00665032"/>
    <w:rsid w:val="00665D70"/>
    <w:rsid w:val="00671DAC"/>
    <w:rsid w:val="006747C7"/>
    <w:rsid w:val="006827AC"/>
    <w:rsid w:val="006859A3"/>
    <w:rsid w:val="006900D9"/>
    <w:rsid w:val="006920AE"/>
    <w:rsid w:val="00697B17"/>
    <w:rsid w:val="006A0008"/>
    <w:rsid w:val="006A10DF"/>
    <w:rsid w:val="006A1871"/>
    <w:rsid w:val="006A2BDE"/>
    <w:rsid w:val="006A3147"/>
    <w:rsid w:val="006B14B5"/>
    <w:rsid w:val="006B25DE"/>
    <w:rsid w:val="006B4CA3"/>
    <w:rsid w:val="006C0240"/>
    <w:rsid w:val="006C238E"/>
    <w:rsid w:val="006C5595"/>
    <w:rsid w:val="006D12F8"/>
    <w:rsid w:val="006D2F4E"/>
    <w:rsid w:val="006D4E33"/>
    <w:rsid w:val="006E1658"/>
    <w:rsid w:val="006E41C6"/>
    <w:rsid w:val="006F0D40"/>
    <w:rsid w:val="006F13EA"/>
    <w:rsid w:val="006F2501"/>
    <w:rsid w:val="006F49C9"/>
    <w:rsid w:val="00700975"/>
    <w:rsid w:val="00704D9B"/>
    <w:rsid w:val="00705E5F"/>
    <w:rsid w:val="00706C16"/>
    <w:rsid w:val="00711C85"/>
    <w:rsid w:val="0071458F"/>
    <w:rsid w:val="00714A71"/>
    <w:rsid w:val="0071627C"/>
    <w:rsid w:val="00723A7F"/>
    <w:rsid w:val="00723F2B"/>
    <w:rsid w:val="007312C3"/>
    <w:rsid w:val="007374E9"/>
    <w:rsid w:val="00737C53"/>
    <w:rsid w:val="00737DFA"/>
    <w:rsid w:val="007534CA"/>
    <w:rsid w:val="00756841"/>
    <w:rsid w:val="00757EE9"/>
    <w:rsid w:val="0076066F"/>
    <w:rsid w:val="00762AA9"/>
    <w:rsid w:val="007649AB"/>
    <w:rsid w:val="007670E3"/>
    <w:rsid w:val="00771D0C"/>
    <w:rsid w:val="00771FD2"/>
    <w:rsid w:val="00774F09"/>
    <w:rsid w:val="0078274D"/>
    <w:rsid w:val="007833AC"/>
    <w:rsid w:val="00784D58"/>
    <w:rsid w:val="00786FBF"/>
    <w:rsid w:val="00790AB7"/>
    <w:rsid w:val="007913EA"/>
    <w:rsid w:val="00791769"/>
    <w:rsid w:val="0079234D"/>
    <w:rsid w:val="00796340"/>
    <w:rsid w:val="007A23EA"/>
    <w:rsid w:val="007A5189"/>
    <w:rsid w:val="007A7C52"/>
    <w:rsid w:val="007B0D88"/>
    <w:rsid w:val="007B268C"/>
    <w:rsid w:val="007B7171"/>
    <w:rsid w:val="007B7D02"/>
    <w:rsid w:val="007C03D2"/>
    <w:rsid w:val="007C0C0F"/>
    <w:rsid w:val="007C2E67"/>
    <w:rsid w:val="007C3DC2"/>
    <w:rsid w:val="007C4E2B"/>
    <w:rsid w:val="007D0457"/>
    <w:rsid w:val="007D124A"/>
    <w:rsid w:val="007D43C9"/>
    <w:rsid w:val="007E1247"/>
    <w:rsid w:val="007E5497"/>
    <w:rsid w:val="007F28CA"/>
    <w:rsid w:val="007F52A4"/>
    <w:rsid w:val="007F60FB"/>
    <w:rsid w:val="007F7B94"/>
    <w:rsid w:val="00800789"/>
    <w:rsid w:val="00804981"/>
    <w:rsid w:val="00806CD3"/>
    <w:rsid w:val="00806F5F"/>
    <w:rsid w:val="00811270"/>
    <w:rsid w:val="00811E4F"/>
    <w:rsid w:val="008163D7"/>
    <w:rsid w:val="00820278"/>
    <w:rsid w:val="00826415"/>
    <w:rsid w:val="00834554"/>
    <w:rsid w:val="00834B31"/>
    <w:rsid w:val="00840ADC"/>
    <w:rsid w:val="00841A23"/>
    <w:rsid w:val="00843902"/>
    <w:rsid w:val="00843928"/>
    <w:rsid w:val="00843BF7"/>
    <w:rsid w:val="008449B3"/>
    <w:rsid w:val="0084615E"/>
    <w:rsid w:val="00846276"/>
    <w:rsid w:val="00850E23"/>
    <w:rsid w:val="00851137"/>
    <w:rsid w:val="00853978"/>
    <w:rsid w:val="0085432F"/>
    <w:rsid w:val="00856C43"/>
    <w:rsid w:val="00864209"/>
    <w:rsid w:val="00865414"/>
    <w:rsid w:val="00873217"/>
    <w:rsid w:val="0087325B"/>
    <w:rsid w:val="00877EBA"/>
    <w:rsid w:val="0088002A"/>
    <w:rsid w:val="00881ABA"/>
    <w:rsid w:val="008841E9"/>
    <w:rsid w:val="008843B6"/>
    <w:rsid w:val="008853C1"/>
    <w:rsid w:val="00886C89"/>
    <w:rsid w:val="00887569"/>
    <w:rsid w:val="00891928"/>
    <w:rsid w:val="00894B8B"/>
    <w:rsid w:val="008961BA"/>
    <w:rsid w:val="008A00A4"/>
    <w:rsid w:val="008A446D"/>
    <w:rsid w:val="008A5BD9"/>
    <w:rsid w:val="008A6432"/>
    <w:rsid w:val="008A7A64"/>
    <w:rsid w:val="008A7F08"/>
    <w:rsid w:val="008B2F0E"/>
    <w:rsid w:val="008B5A2E"/>
    <w:rsid w:val="008D180B"/>
    <w:rsid w:val="008D1BDB"/>
    <w:rsid w:val="008D5ACA"/>
    <w:rsid w:val="008D6CDA"/>
    <w:rsid w:val="008D7227"/>
    <w:rsid w:val="008E1F92"/>
    <w:rsid w:val="008E7333"/>
    <w:rsid w:val="008E7B09"/>
    <w:rsid w:val="008E7D4C"/>
    <w:rsid w:val="008F0774"/>
    <w:rsid w:val="008F0EA7"/>
    <w:rsid w:val="008F1CA9"/>
    <w:rsid w:val="008F5BEE"/>
    <w:rsid w:val="008F7BB9"/>
    <w:rsid w:val="00904692"/>
    <w:rsid w:val="00910097"/>
    <w:rsid w:val="00911C7C"/>
    <w:rsid w:val="0091561E"/>
    <w:rsid w:val="00920849"/>
    <w:rsid w:val="00922F57"/>
    <w:rsid w:val="00923EEF"/>
    <w:rsid w:val="00924B61"/>
    <w:rsid w:val="0092717A"/>
    <w:rsid w:val="009325CC"/>
    <w:rsid w:val="0093558D"/>
    <w:rsid w:val="009411F5"/>
    <w:rsid w:val="009419F9"/>
    <w:rsid w:val="0094476F"/>
    <w:rsid w:val="00945B9F"/>
    <w:rsid w:val="00950BE2"/>
    <w:rsid w:val="0095126A"/>
    <w:rsid w:val="00953AA4"/>
    <w:rsid w:val="00955305"/>
    <w:rsid w:val="00956010"/>
    <w:rsid w:val="0095685E"/>
    <w:rsid w:val="00957293"/>
    <w:rsid w:val="009572D9"/>
    <w:rsid w:val="00957945"/>
    <w:rsid w:val="009600D2"/>
    <w:rsid w:val="00961409"/>
    <w:rsid w:val="00961B09"/>
    <w:rsid w:val="00962300"/>
    <w:rsid w:val="00965334"/>
    <w:rsid w:val="0097090E"/>
    <w:rsid w:val="0097093E"/>
    <w:rsid w:val="00970E10"/>
    <w:rsid w:val="009725F1"/>
    <w:rsid w:val="00976025"/>
    <w:rsid w:val="00976F04"/>
    <w:rsid w:val="009800BE"/>
    <w:rsid w:val="00982E41"/>
    <w:rsid w:val="00983B79"/>
    <w:rsid w:val="00983EEA"/>
    <w:rsid w:val="00984649"/>
    <w:rsid w:val="009858BE"/>
    <w:rsid w:val="00993A7C"/>
    <w:rsid w:val="009A0DFA"/>
    <w:rsid w:val="009A2290"/>
    <w:rsid w:val="009A3C2C"/>
    <w:rsid w:val="009A4A40"/>
    <w:rsid w:val="009B2D26"/>
    <w:rsid w:val="009B3595"/>
    <w:rsid w:val="009B5228"/>
    <w:rsid w:val="009B6C8C"/>
    <w:rsid w:val="009B780F"/>
    <w:rsid w:val="009C2DD0"/>
    <w:rsid w:val="009C3AC7"/>
    <w:rsid w:val="009C5D8C"/>
    <w:rsid w:val="009C71FA"/>
    <w:rsid w:val="009C72E7"/>
    <w:rsid w:val="009D0555"/>
    <w:rsid w:val="009D1086"/>
    <w:rsid w:val="009D3058"/>
    <w:rsid w:val="009D3A11"/>
    <w:rsid w:val="009D44C4"/>
    <w:rsid w:val="009D6427"/>
    <w:rsid w:val="009D67FD"/>
    <w:rsid w:val="009E2BCC"/>
    <w:rsid w:val="009E4636"/>
    <w:rsid w:val="009E5A30"/>
    <w:rsid w:val="009E7C05"/>
    <w:rsid w:val="009F3831"/>
    <w:rsid w:val="009F3832"/>
    <w:rsid w:val="009F3A13"/>
    <w:rsid w:val="009F4AB2"/>
    <w:rsid w:val="009F73F7"/>
    <w:rsid w:val="00A02465"/>
    <w:rsid w:val="00A03415"/>
    <w:rsid w:val="00A04A81"/>
    <w:rsid w:val="00A122D3"/>
    <w:rsid w:val="00A1409A"/>
    <w:rsid w:val="00A14D3D"/>
    <w:rsid w:val="00A17F13"/>
    <w:rsid w:val="00A20739"/>
    <w:rsid w:val="00A211D0"/>
    <w:rsid w:val="00A23361"/>
    <w:rsid w:val="00A24433"/>
    <w:rsid w:val="00A2443A"/>
    <w:rsid w:val="00A25580"/>
    <w:rsid w:val="00A33283"/>
    <w:rsid w:val="00A332DD"/>
    <w:rsid w:val="00A339A9"/>
    <w:rsid w:val="00A33C78"/>
    <w:rsid w:val="00A34B38"/>
    <w:rsid w:val="00A34D87"/>
    <w:rsid w:val="00A35538"/>
    <w:rsid w:val="00A3685A"/>
    <w:rsid w:val="00A3783B"/>
    <w:rsid w:val="00A37BC4"/>
    <w:rsid w:val="00A42050"/>
    <w:rsid w:val="00A43292"/>
    <w:rsid w:val="00A445C0"/>
    <w:rsid w:val="00A44D1C"/>
    <w:rsid w:val="00A52D82"/>
    <w:rsid w:val="00A53F57"/>
    <w:rsid w:val="00A56959"/>
    <w:rsid w:val="00A56FCA"/>
    <w:rsid w:val="00A57BE7"/>
    <w:rsid w:val="00A6004A"/>
    <w:rsid w:val="00A613C2"/>
    <w:rsid w:val="00A64336"/>
    <w:rsid w:val="00A65E99"/>
    <w:rsid w:val="00A7332E"/>
    <w:rsid w:val="00A745FA"/>
    <w:rsid w:val="00A74DE6"/>
    <w:rsid w:val="00A75866"/>
    <w:rsid w:val="00A75875"/>
    <w:rsid w:val="00A8086A"/>
    <w:rsid w:val="00A80F32"/>
    <w:rsid w:val="00A828F1"/>
    <w:rsid w:val="00A830AD"/>
    <w:rsid w:val="00A87F7D"/>
    <w:rsid w:val="00A9244C"/>
    <w:rsid w:val="00A94D14"/>
    <w:rsid w:val="00A95106"/>
    <w:rsid w:val="00A956B2"/>
    <w:rsid w:val="00A95A1A"/>
    <w:rsid w:val="00AA1328"/>
    <w:rsid w:val="00AA23BB"/>
    <w:rsid w:val="00AB0ADB"/>
    <w:rsid w:val="00AB3FD1"/>
    <w:rsid w:val="00AC0DF9"/>
    <w:rsid w:val="00AC0EAB"/>
    <w:rsid w:val="00AC4701"/>
    <w:rsid w:val="00AC49A2"/>
    <w:rsid w:val="00AD73E2"/>
    <w:rsid w:val="00AE2631"/>
    <w:rsid w:val="00AE3D6C"/>
    <w:rsid w:val="00AF1BEC"/>
    <w:rsid w:val="00AF2C90"/>
    <w:rsid w:val="00AF54CA"/>
    <w:rsid w:val="00AF7F25"/>
    <w:rsid w:val="00B009B8"/>
    <w:rsid w:val="00B01B1A"/>
    <w:rsid w:val="00B0268A"/>
    <w:rsid w:val="00B0410F"/>
    <w:rsid w:val="00B07DDD"/>
    <w:rsid w:val="00B137B3"/>
    <w:rsid w:val="00B14E03"/>
    <w:rsid w:val="00B16798"/>
    <w:rsid w:val="00B26B98"/>
    <w:rsid w:val="00B35201"/>
    <w:rsid w:val="00B35ADC"/>
    <w:rsid w:val="00B37C24"/>
    <w:rsid w:val="00B40FBC"/>
    <w:rsid w:val="00B427E2"/>
    <w:rsid w:val="00B46F27"/>
    <w:rsid w:val="00B47FD7"/>
    <w:rsid w:val="00B51F75"/>
    <w:rsid w:val="00B52169"/>
    <w:rsid w:val="00B53E27"/>
    <w:rsid w:val="00B558AF"/>
    <w:rsid w:val="00B5691C"/>
    <w:rsid w:val="00B615BA"/>
    <w:rsid w:val="00B62D8B"/>
    <w:rsid w:val="00B64355"/>
    <w:rsid w:val="00B72CD3"/>
    <w:rsid w:val="00B72FFF"/>
    <w:rsid w:val="00B76CEB"/>
    <w:rsid w:val="00B80CC6"/>
    <w:rsid w:val="00B8257D"/>
    <w:rsid w:val="00B82B8B"/>
    <w:rsid w:val="00B86FE2"/>
    <w:rsid w:val="00B91186"/>
    <w:rsid w:val="00B93423"/>
    <w:rsid w:val="00B93E58"/>
    <w:rsid w:val="00B948E8"/>
    <w:rsid w:val="00BA0A22"/>
    <w:rsid w:val="00BA1D33"/>
    <w:rsid w:val="00BA2EF4"/>
    <w:rsid w:val="00BA6BE0"/>
    <w:rsid w:val="00BB22DA"/>
    <w:rsid w:val="00BB2C9D"/>
    <w:rsid w:val="00BC0036"/>
    <w:rsid w:val="00BC05A6"/>
    <w:rsid w:val="00BC24FA"/>
    <w:rsid w:val="00BC27B5"/>
    <w:rsid w:val="00BC3D36"/>
    <w:rsid w:val="00BC4B34"/>
    <w:rsid w:val="00BC7498"/>
    <w:rsid w:val="00BD3434"/>
    <w:rsid w:val="00BD424C"/>
    <w:rsid w:val="00BD4BCA"/>
    <w:rsid w:val="00BD7CC5"/>
    <w:rsid w:val="00BD7F72"/>
    <w:rsid w:val="00BE03BC"/>
    <w:rsid w:val="00BE0A18"/>
    <w:rsid w:val="00BF0D99"/>
    <w:rsid w:val="00BF1049"/>
    <w:rsid w:val="00BF1201"/>
    <w:rsid w:val="00BF1D4A"/>
    <w:rsid w:val="00BF230F"/>
    <w:rsid w:val="00BF26BA"/>
    <w:rsid w:val="00C002E3"/>
    <w:rsid w:val="00C012CC"/>
    <w:rsid w:val="00C04FB3"/>
    <w:rsid w:val="00C050BC"/>
    <w:rsid w:val="00C06C4F"/>
    <w:rsid w:val="00C11604"/>
    <w:rsid w:val="00C1348F"/>
    <w:rsid w:val="00C147D0"/>
    <w:rsid w:val="00C159C1"/>
    <w:rsid w:val="00C16346"/>
    <w:rsid w:val="00C17497"/>
    <w:rsid w:val="00C21751"/>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7281"/>
    <w:rsid w:val="00C577E7"/>
    <w:rsid w:val="00C57E63"/>
    <w:rsid w:val="00C65D65"/>
    <w:rsid w:val="00C66D80"/>
    <w:rsid w:val="00C67703"/>
    <w:rsid w:val="00C7173F"/>
    <w:rsid w:val="00C730B6"/>
    <w:rsid w:val="00C7352F"/>
    <w:rsid w:val="00C7482D"/>
    <w:rsid w:val="00C754BE"/>
    <w:rsid w:val="00C76466"/>
    <w:rsid w:val="00C76B1C"/>
    <w:rsid w:val="00C7728C"/>
    <w:rsid w:val="00C775E0"/>
    <w:rsid w:val="00C82239"/>
    <w:rsid w:val="00C829ED"/>
    <w:rsid w:val="00C90209"/>
    <w:rsid w:val="00C915DD"/>
    <w:rsid w:val="00C91B94"/>
    <w:rsid w:val="00C92665"/>
    <w:rsid w:val="00C95BAE"/>
    <w:rsid w:val="00CA4272"/>
    <w:rsid w:val="00CA6A9D"/>
    <w:rsid w:val="00CA7F6B"/>
    <w:rsid w:val="00CB2F3F"/>
    <w:rsid w:val="00CB6357"/>
    <w:rsid w:val="00CB704C"/>
    <w:rsid w:val="00CC0FA3"/>
    <w:rsid w:val="00CC1428"/>
    <w:rsid w:val="00CC1B26"/>
    <w:rsid w:val="00CC49F7"/>
    <w:rsid w:val="00CC54DB"/>
    <w:rsid w:val="00CC7787"/>
    <w:rsid w:val="00CD087D"/>
    <w:rsid w:val="00CD1E7E"/>
    <w:rsid w:val="00CD41CB"/>
    <w:rsid w:val="00CD5EE0"/>
    <w:rsid w:val="00CE02A2"/>
    <w:rsid w:val="00CE04FF"/>
    <w:rsid w:val="00CE3273"/>
    <w:rsid w:val="00CE509A"/>
    <w:rsid w:val="00CE5414"/>
    <w:rsid w:val="00CF241F"/>
    <w:rsid w:val="00CF7826"/>
    <w:rsid w:val="00D0157A"/>
    <w:rsid w:val="00D036D8"/>
    <w:rsid w:val="00D038ED"/>
    <w:rsid w:val="00D0554F"/>
    <w:rsid w:val="00D06D26"/>
    <w:rsid w:val="00D10B75"/>
    <w:rsid w:val="00D10D2D"/>
    <w:rsid w:val="00D11FF0"/>
    <w:rsid w:val="00D13351"/>
    <w:rsid w:val="00D15E25"/>
    <w:rsid w:val="00D17A40"/>
    <w:rsid w:val="00D20368"/>
    <w:rsid w:val="00D22361"/>
    <w:rsid w:val="00D22598"/>
    <w:rsid w:val="00D26924"/>
    <w:rsid w:val="00D35468"/>
    <w:rsid w:val="00D413F6"/>
    <w:rsid w:val="00D4231B"/>
    <w:rsid w:val="00D423A2"/>
    <w:rsid w:val="00D45E4A"/>
    <w:rsid w:val="00D520D8"/>
    <w:rsid w:val="00D52961"/>
    <w:rsid w:val="00D52E96"/>
    <w:rsid w:val="00D55048"/>
    <w:rsid w:val="00D56C6D"/>
    <w:rsid w:val="00D57FA4"/>
    <w:rsid w:val="00D62DE7"/>
    <w:rsid w:val="00D63AC2"/>
    <w:rsid w:val="00D647CF"/>
    <w:rsid w:val="00D665B4"/>
    <w:rsid w:val="00D673D0"/>
    <w:rsid w:val="00D7080D"/>
    <w:rsid w:val="00D7156A"/>
    <w:rsid w:val="00D7383B"/>
    <w:rsid w:val="00D7609E"/>
    <w:rsid w:val="00D81A63"/>
    <w:rsid w:val="00D81D25"/>
    <w:rsid w:val="00D85C60"/>
    <w:rsid w:val="00D86C54"/>
    <w:rsid w:val="00D86E8B"/>
    <w:rsid w:val="00D91F8B"/>
    <w:rsid w:val="00D9383B"/>
    <w:rsid w:val="00D93B61"/>
    <w:rsid w:val="00D94C40"/>
    <w:rsid w:val="00D954A1"/>
    <w:rsid w:val="00DA231B"/>
    <w:rsid w:val="00DA23A0"/>
    <w:rsid w:val="00DA7C87"/>
    <w:rsid w:val="00DA7F66"/>
    <w:rsid w:val="00DB186F"/>
    <w:rsid w:val="00DB6C5A"/>
    <w:rsid w:val="00DB77B8"/>
    <w:rsid w:val="00DC0BDA"/>
    <w:rsid w:val="00DC39FC"/>
    <w:rsid w:val="00DC4385"/>
    <w:rsid w:val="00DC484F"/>
    <w:rsid w:val="00DC4C27"/>
    <w:rsid w:val="00DC51BC"/>
    <w:rsid w:val="00DC6805"/>
    <w:rsid w:val="00DC78A7"/>
    <w:rsid w:val="00DC793F"/>
    <w:rsid w:val="00DD7E47"/>
    <w:rsid w:val="00DE3067"/>
    <w:rsid w:val="00DE3BDD"/>
    <w:rsid w:val="00DE3D93"/>
    <w:rsid w:val="00DE4629"/>
    <w:rsid w:val="00DE58C9"/>
    <w:rsid w:val="00DE6EAA"/>
    <w:rsid w:val="00DE7892"/>
    <w:rsid w:val="00DF11FD"/>
    <w:rsid w:val="00DF5254"/>
    <w:rsid w:val="00E052F2"/>
    <w:rsid w:val="00E12426"/>
    <w:rsid w:val="00E13584"/>
    <w:rsid w:val="00E14EB2"/>
    <w:rsid w:val="00E16408"/>
    <w:rsid w:val="00E20894"/>
    <w:rsid w:val="00E2397D"/>
    <w:rsid w:val="00E23B70"/>
    <w:rsid w:val="00E245AB"/>
    <w:rsid w:val="00E26239"/>
    <w:rsid w:val="00E2701B"/>
    <w:rsid w:val="00E2764C"/>
    <w:rsid w:val="00E27F2E"/>
    <w:rsid w:val="00E308A4"/>
    <w:rsid w:val="00E35539"/>
    <w:rsid w:val="00E413EA"/>
    <w:rsid w:val="00E41687"/>
    <w:rsid w:val="00E47F28"/>
    <w:rsid w:val="00E50AFE"/>
    <w:rsid w:val="00E51636"/>
    <w:rsid w:val="00E52E49"/>
    <w:rsid w:val="00E577AC"/>
    <w:rsid w:val="00E578B6"/>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A7"/>
    <w:rsid w:val="00EC5E01"/>
    <w:rsid w:val="00ED042A"/>
    <w:rsid w:val="00ED0D4A"/>
    <w:rsid w:val="00ED1ACA"/>
    <w:rsid w:val="00ED4E37"/>
    <w:rsid w:val="00EE1AA8"/>
    <w:rsid w:val="00EE6DCD"/>
    <w:rsid w:val="00EF26C3"/>
    <w:rsid w:val="00EF38AE"/>
    <w:rsid w:val="00EF419E"/>
    <w:rsid w:val="00EF4469"/>
    <w:rsid w:val="00EF489F"/>
    <w:rsid w:val="00F00796"/>
    <w:rsid w:val="00F11213"/>
    <w:rsid w:val="00F11600"/>
    <w:rsid w:val="00F11BAA"/>
    <w:rsid w:val="00F177C1"/>
    <w:rsid w:val="00F17EB6"/>
    <w:rsid w:val="00F238F2"/>
    <w:rsid w:val="00F24580"/>
    <w:rsid w:val="00F248A2"/>
    <w:rsid w:val="00F260AA"/>
    <w:rsid w:val="00F27B26"/>
    <w:rsid w:val="00F308B8"/>
    <w:rsid w:val="00F30B1C"/>
    <w:rsid w:val="00F31EDC"/>
    <w:rsid w:val="00F34D02"/>
    <w:rsid w:val="00F34E84"/>
    <w:rsid w:val="00F36DF8"/>
    <w:rsid w:val="00F36EE8"/>
    <w:rsid w:val="00F40085"/>
    <w:rsid w:val="00F40BAD"/>
    <w:rsid w:val="00F462B3"/>
    <w:rsid w:val="00F50DC9"/>
    <w:rsid w:val="00F5184B"/>
    <w:rsid w:val="00F5491E"/>
    <w:rsid w:val="00F55081"/>
    <w:rsid w:val="00F55168"/>
    <w:rsid w:val="00F5644F"/>
    <w:rsid w:val="00F5664F"/>
    <w:rsid w:val="00F61ABB"/>
    <w:rsid w:val="00F626C4"/>
    <w:rsid w:val="00F63482"/>
    <w:rsid w:val="00F64D9E"/>
    <w:rsid w:val="00F664EC"/>
    <w:rsid w:val="00F666C4"/>
    <w:rsid w:val="00F7684C"/>
    <w:rsid w:val="00F76AFC"/>
    <w:rsid w:val="00F80CBE"/>
    <w:rsid w:val="00F85198"/>
    <w:rsid w:val="00F85237"/>
    <w:rsid w:val="00F85615"/>
    <w:rsid w:val="00F939CB"/>
    <w:rsid w:val="00F9479C"/>
    <w:rsid w:val="00F965EE"/>
    <w:rsid w:val="00F97949"/>
    <w:rsid w:val="00FA1110"/>
    <w:rsid w:val="00FA1361"/>
    <w:rsid w:val="00FA34EC"/>
    <w:rsid w:val="00FA358D"/>
    <w:rsid w:val="00FA47C0"/>
    <w:rsid w:val="00FA623D"/>
    <w:rsid w:val="00FB4425"/>
    <w:rsid w:val="00FB5615"/>
    <w:rsid w:val="00FB5DD1"/>
    <w:rsid w:val="00FB5F87"/>
    <w:rsid w:val="00FC07B5"/>
    <w:rsid w:val="00FC2B5D"/>
    <w:rsid w:val="00FC6192"/>
    <w:rsid w:val="00FD00BB"/>
    <w:rsid w:val="00FD00E9"/>
    <w:rsid w:val="00FD03E3"/>
    <w:rsid w:val="00FD108E"/>
    <w:rsid w:val="00FD30C6"/>
    <w:rsid w:val="00FD653F"/>
    <w:rsid w:val="00FE122A"/>
    <w:rsid w:val="00FE1913"/>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3A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customStyle="1" w:styleId="apple-converted-space">
    <w:name w:val="apple-converted-space"/>
    <w:basedOn w:val="Fuentedeprrafopredeter"/>
    <w:rsid w:val="006F49C9"/>
  </w:style>
  <w:style w:type="paragraph" w:customStyle="1" w:styleId="Textoindependiente21">
    <w:name w:val="Texto independiente 21"/>
    <w:basedOn w:val="Normal"/>
    <w:rsid w:val="00A65E99"/>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541480687">
      <w:bodyDiv w:val="1"/>
      <w:marLeft w:val="0"/>
      <w:marRight w:val="0"/>
      <w:marTop w:val="0"/>
      <w:marBottom w:val="0"/>
      <w:divBdr>
        <w:top w:val="none" w:sz="0" w:space="0" w:color="auto"/>
        <w:left w:val="none" w:sz="0" w:space="0" w:color="auto"/>
        <w:bottom w:val="none" w:sz="0" w:space="0" w:color="auto"/>
        <w:right w:val="none" w:sz="0" w:space="0" w:color="auto"/>
      </w:divBdr>
      <w:divsChild>
        <w:div w:id="502400213">
          <w:marLeft w:val="0"/>
          <w:marRight w:val="0"/>
          <w:marTop w:val="0"/>
          <w:marBottom w:val="0"/>
          <w:divBdr>
            <w:top w:val="none" w:sz="0" w:space="0" w:color="auto"/>
            <w:left w:val="none" w:sz="0" w:space="0" w:color="auto"/>
            <w:bottom w:val="none" w:sz="0" w:space="0" w:color="auto"/>
            <w:right w:val="none" w:sz="0" w:space="0" w:color="auto"/>
          </w:divBdr>
          <w:divsChild>
            <w:div w:id="320083904">
              <w:marLeft w:val="0"/>
              <w:marRight w:val="0"/>
              <w:marTop w:val="0"/>
              <w:marBottom w:val="0"/>
              <w:divBdr>
                <w:top w:val="none" w:sz="0" w:space="0" w:color="auto"/>
                <w:left w:val="none" w:sz="0" w:space="0" w:color="auto"/>
                <w:bottom w:val="none" w:sz="0" w:space="0" w:color="auto"/>
                <w:right w:val="none" w:sz="0" w:space="0" w:color="auto"/>
              </w:divBdr>
              <w:divsChild>
                <w:div w:id="12458420">
                  <w:marLeft w:val="0"/>
                  <w:marRight w:val="0"/>
                  <w:marTop w:val="0"/>
                  <w:marBottom w:val="0"/>
                  <w:divBdr>
                    <w:top w:val="none" w:sz="0" w:space="0" w:color="auto"/>
                    <w:left w:val="none" w:sz="0" w:space="0" w:color="auto"/>
                    <w:bottom w:val="none" w:sz="0" w:space="0" w:color="auto"/>
                    <w:right w:val="none" w:sz="0" w:space="0" w:color="auto"/>
                  </w:divBdr>
                  <w:divsChild>
                    <w:div w:id="138621221">
                      <w:marLeft w:val="0"/>
                      <w:marRight w:val="0"/>
                      <w:marTop w:val="0"/>
                      <w:marBottom w:val="0"/>
                      <w:divBdr>
                        <w:top w:val="none" w:sz="0" w:space="0" w:color="auto"/>
                        <w:left w:val="none" w:sz="0" w:space="0" w:color="auto"/>
                        <w:bottom w:val="none" w:sz="0" w:space="0" w:color="auto"/>
                        <w:right w:val="none" w:sz="0" w:space="0" w:color="auto"/>
                      </w:divBdr>
                    </w:div>
                    <w:div w:id="209820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289991">
          <w:marLeft w:val="0"/>
          <w:marRight w:val="0"/>
          <w:marTop w:val="0"/>
          <w:marBottom w:val="0"/>
          <w:divBdr>
            <w:top w:val="none" w:sz="0" w:space="0" w:color="auto"/>
            <w:left w:val="none" w:sz="0" w:space="0" w:color="auto"/>
            <w:bottom w:val="none" w:sz="0" w:space="0" w:color="auto"/>
            <w:right w:val="none" w:sz="0" w:space="0" w:color="auto"/>
          </w:divBdr>
          <w:divsChild>
            <w:div w:id="1712344777">
              <w:marLeft w:val="0"/>
              <w:marRight w:val="0"/>
              <w:marTop w:val="0"/>
              <w:marBottom w:val="0"/>
              <w:divBdr>
                <w:top w:val="none" w:sz="0" w:space="0" w:color="auto"/>
                <w:left w:val="none" w:sz="0" w:space="0" w:color="auto"/>
                <w:bottom w:val="none" w:sz="0" w:space="0" w:color="auto"/>
                <w:right w:val="none" w:sz="0" w:space="0" w:color="auto"/>
              </w:divBdr>
              <w:divsChild>
                <w:div w:id="750587891">
                  <w:marLeft w:val="0"/>
                  <w:marRight w:val="0"/>
                  <w:marTop w:val="0"/>
                  <w:marBottom w:val="0"/>
                  <w:divBdr>
                    <w:top w:val="none" w:sz="0" w:space="0" w:color="auto"/>
                    <w:left w:val="none" w:sz="0" w:space="0" w:color="auto"/>
                    <w:bottom w:val="none" w:sz="0" w:space="0" w:color="auto"/>
                    <w:right w:val="none" w:sz="0" w:space="0" w:color="auto"/>
                  </w:divBdr>
                  <w:divsChild>
                    <w:div w:id="1512646534">
                      <w:marLeft w:val="0"/>
                      <w:marRight w:val="0"/>
                      <w:marTop w:val="0"/>
                      <w:marBottom w:val="0"/>
                      <w:divBdr>
                        <w:top w:val="none" w:sz="0" w:space="0" w:color="auto"/>
                        <w:left w:val="none" w:sz="0" w:space="0" w:color="auto"/>
                        <w:bottom w:val="none" w:sz="0" w:space="0" w:color="auto"/>
                        <w:right w:val="none" w:sz="0" w:space="0" w:color="auto"/>
                      </w:divBdr>
                    </w:div>
                    <w:div w:id="149777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233408">
          <w:marLeft w:val="0"/>
          <w:marRight w:val="0"/>
          <w:marTop w:val="0"/>
          <w:marBottom w:val="0"/>
          <w:divBdr>
            <w:top w:val="none" w:sz="0" w:space="0" w:color="auto"/>
            <w:left w:val="none" w:sz="0" w:space="0" w:color="auto"/>
            <w:bottom w:val="none" w:sz="0" w:space="0" w:color="auto"/>
            <w:right w:val="none" w:sz="0" w:space="0" w:color="auto"/>
          </w:divBdr>
          <w:divsChild>
            <w:div w:id="343173335">
              <w:marLeft w:val="0"/>
              <w:marRight w:val="0"/>
              <w:marTop w:val="0"/>
              <w:marBottom w:val="0"/>
              <w:divBdr>
                <w:top w:val="none" w:sz="0" w:space="0" w:color="auto"/>
                <w:left w:val="none" w:sz="0" w:space="0" w:color="auto"/>
                <w:bottom w:val="none" w:sz="0" w:space="0" w:color="auto"/>
                <w:right w:val="none" w:sz="0" w:space="0" w:color="auto"/>
              </w:divBdr>
              <w:divsChild>
                <w:div w:id="508908991">
                  <w:marLeft w:val="0"/>
                  <w:marRight w:val="0"/>
                  <w:marTop w:val="0"/>
                  <w:marBottom w:val="0"/>
                  <w:divBdr>
                    <w:top w:val="none" w:sz="0" w:space="0" w:color="auto"/>
                    <w:left w:val="none" w:sz="0" w:space="0" w:color="auto"/>
                    <w:bottom w:val="none" w:sz="0" w:space="0" w:color="auto"/>
                    <w:right w:val="none" w:sz="0" w:space="0" w:color="auto"/>
                  </w:divBdr>
                  <w:divsChild>
                    <w:div w:id="1720207045">
                      <w:marLeft w:val="0"/>
                      <w:marRight w:val="0"/>
                      <w:marTop w:val="0"/>
                      <w:marBottom w:val="0"/>
                      <w:divBdr>
                        <w:top w:val="none" w:sz="0" w:space="0" w:color="auto"/>
                        <w:left w:val="none" w:sz="0" w:space="0" w:color="auto"/>
                        <w:bottom w:val="none" w:sz="0" w:space="0" w:color="auto"/>
                        <w:right w:val="none" w:sz="0" w:space="0" w:color="auto"/>
                      </w:divBdr>
                    </w:div>
                    <w:div w:id="47376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el-ejercicio-de-las-funciones-de-supervision-e-interventoria-de-los-contratos-suscritos-por-las-entidades-estatale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eco.cuadrado@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el-ejercicio-de-las-funciones-de-supervision-e-interventoria-de-los-contratos-suscritos-por-las-entidades-estatales.%20p.%206"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openxmlformats.org/package/2006/metadata/core-properties"/>
    <ds:schemaRef ds:uri="http://schemas.microsoft.com/office/infopath/2007/PartnerControls"/>
    <ds:schemaRef ds:uri="9d85dbaf-23eb-4e57-a637-93dcacc8b1a1"/>
    <ds:schemaRef ds:uri="http://schemas.microsoft.com/office/2006/metadata/properties"/>
    <ds:schemaRef ds:uri="http://purl.org/dc/elements/1.1/"/>
    <ds:schemaRef ds:uri="a6cb9e4b-f1d1-4245-83ec-6cad768d538a"/>
    <ds:schemaRef ds:uri="http://purl.org/dc/terms/"/>
    <ds:schemaRef ds:uri="http://schemas.microsoft.com/office/2006/documentManagement/types"/>
    <ds:schemaRef ds:uri="http://www.w3.org/XML/1998/namespace"/>
    <ds:schemaRef ds:uri="http://purl.org/dc/dcmitype/"/>
  </ds:schemaRefs>
</ds:datastoreItem>
</file>

<file path=customXml/itemProps3.xml><?xml version="1.0" encoding="utf-8"?>
<ds:datastoreItem xmlns:ds="http://schemas.openxmlformats.org/officeDocument/2006/customXml" ds:itemID="{7EF82FEA-C1DC-4E4B-BA3D-BAAA50B8F003}">
  <ds:schemaRefs>
    <ds:schemaRef ds:uri="http://schemas.openxmlformats.org/officeDocument/2006/bibliography"/>
  </ds:schemaRefs>
</ds:datastoreItem>
</file>

<file path=customXml/itemProps4.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17</Pages>
  <Words>6239</Words>
  <Characters>34315</Characters>
  <Application>Microsoft Office Word</Application>
  <DocSecurity>0</DocSecurity>
  <Lines>285</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2025-09-23T18:12:00Z</dcterms:created>
  <dcterms:modified xsi:type="dcterms:W3CDTF">2025-09-23T18:12:00Z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