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EB6E0" w14:textId="77777777" w:rsidR="00912F90" w:rsidRDefault="00912F90" w:rsidP="00912F90">
      <w:pPr>
        <w:contextualSpacing/>
        <w:jc w:val="both"/>
        <w:rPr>
          <w:rFonts w:ascii="Verdana" w:eastAsia="Calibri" w:hAnsi="Verdana" w:cs="Arial"/>
          <w:b/>
          <w:lang w:eastAsia="es-ES_tradnl"/>
        </w:rPr>
      </w:pPr>
      <w:r w:rsidRPr="00912F90">
        <w:rPr>
          <w:rFonts w:ascii="Verdana" w:eastAsia="Calibri" w:hAnsi="Verdana" w:cs="Arial"/>
          <w:b/>
          <w:lang w:eastAsia="es-ES_tradnl"/>
        </w:rPr>
        <w:t>CONVOCATORIAS LIMITADAS A MIPYMES – Generalidades – Requisitos- Cuantía del proceso</w:t>
      </w:r>
    </w:p>
    <w:p w14:paraId="69C7828D" w14:textId="77777777" w:rsidR="00912F90" w:rsidRDefault="00912F90" w:rsidP="00912F90">
      <w:pPr>
        <w:contextualSpacing/>
        <w:jc w:val="both"/>
        <w:rPr>
          <w:rFonts w:ascii="Verdana" w:eastAsia="Calibri" w:hAnsi="Verdana" w:cs="Arial"/>
          <w:b/>
          <w:lang w:eastAsia="es-ES_tradnl"/>
        </w:rPr>
      </w:pPr>
    </w:p>
    <w:p w14:paraId="72561FEC" w14:textId="77777777" w:rsidR="00912F90" w:rsidRPr="006A263E" w:rsidRDefault="00912F90" w:rsidP="00912F90">
      <w:pPr>
        <w:spacing w:after="120" w:line="276" w:lineRule="auto"/>
        <w:jc w:val="both"/>
        <w:rPr>
          <w:rFonts w:ascii="Verdana" w:eastAsia="Arial" w:hAnsi="Verdana" w:cs="Arial"/>
        </w:rPr>
      </w:pPr>
      <w:r w:rsidRPr="006A263E">
        <w:rPr>
          <w:rFonts w:ascii="Verdana" w:eastAsia="Arial" w:hAnsi="Verdana" w:cs="Arial"/>
        </w:rPr>
        <w:t>En los casos de los procesos cuya cuantía es indeterminada y se fije para efectos fiscales, le corresponderá a la entidad contratante determinar si se ajusta a estos presupuestos normativos previamente señalado en el artículo 2.2.1.2.4.2.2 y para lo cual deberán motivar su decisión, atendiendo a los principios de la contratación estatal, función administrativa y dando aplicación al artículo 44 de la ley 1437 de 2011.</w:t>
      </w:r>
    </w:p>
    <w:p w14:paraId="5D787CBC" w14:textId="6D138297" w:rsidR="00912F90" w:rsidRPr="00912F90" w:rsidRDefault="00912F90" w:rsidP="00912F90">
      <w:pPr>
        <w:contextualSpacing/>
        <w:jc w:val="both"/>
        <w:rPr>
          <w:rFonts w:ascii="Verdana" w:eastAsia="Calibri" w:hAnsi="Verdana" w:cs="Arial"/>
          <w:b/>
          <w:lang w:eastAsia="es-ES_tradnl"/>
        </w:rPr>
      </w:pPr>
      <w:r w:rsidRPr="006A263E">
        <w:rPr>
          <w:rFonts w:ascii="Verdana" w:eastAsia="Arial" w:hAnsi="Verdana" w:cs="Arial"/>
        </w:rPr>
        <w:t>Ahora bien, aunque hay contratos de cuantía indeterminada debido a la complejidad de la prestación a través de los años y modalidad, no quiere decir dicha prestación no tengan un valor económico</w:t>
      </w:r>
      <w:r>
        <w:rPr>
          <w:rFonts w:ascii="Verdana" w:eastAsia="Arial" w:hAnsi="Verdana" w:cs="Arial"/>
        </w:rPr>
        <w:t>.</w:t>
      </w:r>
      <w:r w:rsidRPr="006A263E">
        <w:rPr>
          <w:rFonts w:ascii="Verdana" w:eastAsia="Arial" w:hAnsi="Verdana" w:cs="Arial"/>
        </w:rPr>
        <w:t xml:space="preserve"> </w:t>
      </w:r>
      <w:r>
        <w:rPr>
          <w:rFonts w:ascii="Verdana" w:eastAsia="Arial" w:hAnsi="Verdana" w:cs="Arial"/>
        </w:rPr>
        <w:t>E</w:t>
      </w:r>
      <w:r w:rsidRPr="006A263E">
        <w:rPr>
          <w:rFonts w:ascii="Verdana" w:eastAsia="Arial" w:hAnsi="Verdana" w:cs="Arial"/>
        </w:rPr>
        <w:t>n ese caso, la Entidad Estatal realiza un análisis financiero prospectivo o proyectado a los años del plazo para establecer el valor proyectado, por lo que no será un proceso sin cuantía. Contrario sensu, existen otros procedimientos contractuales que son sin compromiso presupuestal por lo que no tienen disponibilidad ni registro, no es de su naturaleza disponer de dichos recursos o aportes para su trámite o perfeccionamiento, como es el caso de los memorandos de entendimientos o los convenios marcos cuyo objeto es aunar esfuerzos conjuntos misionales a temas varios, los cuales pueden ser sujetos de contratos derivados y específicos y en estos si va inmersa los aportes o disponibilidades presupuestales, y serán estos los que si tengan cuantía.</w:t>
      </w:r>
    </w:p>
    <w:p w14:paraId="5457CD0B" w14:textId="77777777" w:rsidR="007E6140" w:rsidRDefault="007E6140" w:rsidP="00437FA7">
      <w:pPr>
        <w:spacing w:after="0" w:line="240" w:lineRule="auto"/>
        <w:contextualSpacing/>
        <w:rPr>
          <w:rFonts w:ascii="Verdana" w:eastAsia="Geomanist Light" w:hAnsi="Verdana" w:cs="Arial"/>
          <w:color w:val="000000" w:themeColor="text1"/>
          <w:lang w:val="es-MX"/>
        </w:rPr>
      </w:pPr>
    </w:p>
    <w:p w14:paraId="67A17CD7"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4B407B77"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79FA7A8F"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4A960AA3"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4AAFB721"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7C7DBD2F"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7FDF6993"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54EAA9AE"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41F727CD"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4A9FF832"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2FEACB45"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4E173E6C"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7DEF2978"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1702CC23"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70955C7F"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0257FF3A"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2B591738" w14:textId="77777777" w:rsidR="00912F90" w:rsidRDefault="00912F90" w:rsidP="00437FA7">
      <w:pPr>
        <w:spacing w:after="0" w:line="240" w:lineRule="auto"/>
        <w:contextualSpacing/>
        <w:rPr>
          <w:rFonts w:ascii="Verdana" w:eastAsia="Geomanist Light" w:hAnsi="Verdana" w:cs="Arial"/>
          <w:color w:val="000000" w:themeColor="text1"/>
          <w:lang w:val="es-MX"/>
        </w:rPr>
      </w:pPr>
    </w:p>
    <w:p w14:paraId="233B8B17" w14:textId="7EF2F1F3" w:rsidR="008C5875" w:rsidRPr="00AA1286" w:rsidRDefault="008C5875" w:rsidP="00437FA7">
      <w:pPr>
        <w:spacing w:after="0" w:line="240" w:lineRule="auto"/>
        <w:contextualSpacing/>
        <w:rPr>
          <w:rFonts w:ascii="Verdana" w:eastAsia="Geomanist Light" w:hAnsi="Verdana" w:cs="Arial"/>
          <w:color w:val="000000" w:themeColor="text1"/>
          <w:lang w:val="es-MX"/>
        </w:rPr>
      </w:pPr>
      <w:r>
        <w:rPr>
          <w:rFonts w:ascii="Verdana" w:eastAsia="Geomanist Light" w:hAnsi="Verdana" w:cs="Arial"/>
          <w:color w:val="000000" w:themeColor="text1"/>
          <w:lang w:val="es-MX"/>
        </w:rPr>
        <w:lastRenderedPageBreak/>
        <w:t>B</w:t>
      </w:r>
      <w:r w:rsidRPr="00593A5F">
        <w:rPr>
          <w:rFonts w:ascii="Verdana" w:eastAsia="Geomanist Light" w:hAnsi="Verdana" w:cs="Arial"/>
          <w:color w:val="000000" w:themeColor="text1"/>
          <w:lang w:val="es-MX"/>
        </w:rPr>
        <w:t>ogotá D.C., </w:t>
      </w:r>
      <w:r w:rsidR="00A11815">
        <w:rPr>
          <w:rFonts w:ascii="Verdana" w:eastAsia="Geomanist Light" w:hAnsi="Verdana" w:cs="Arial"/>
          <w:color w:val="201F1E"/>
          <w:lang w:val="es-MX"/>
        </w:rPr>
        <w:t>22</w:t>
      </w:r>
      <w:r w:rsidRPr="00593A5F">
        <w:rPr>
          <w:rFonts w:ascii="Verdana" w:eastAsia="Geomanist Light" w:hAnsi="Verdana" w:cs="Arial"/>
          <w:color w:val="201F1E"/>
          <w:lang w:val="es-MX"/>
        </w:rPr>
        <w:t xml:space="preserve"> de</w:t>
      </w:r>
      <w:r w:rsidR="00A11815">
        <w:rPr>
          <w:rFonts w:ascii="Verdana" w:eastAsia="Geomanist Light" w:hAnsi="Verdana" w:cs="Arial"/>
          <w:color w:val="201F1E"/>
          <w:lang w:val="es-MX"/>
        </w:rPr>
        <w:t xml:space="preserve"> septiembre</w:t>
      </w:r>
      <w:r w:rsidRPr="00593A5F">
        <w:rPr>
          <w:rFonts w:ascii="Verdana" w:eastAsia="Geomanist Light" w:hAnsi="Verdana" w:cs="Arial"/>
          <w:color w:val="201F1E"/>
          <w:lang w:val="es-MX"/>
        </w:rPr>
        <w:t xml:space="preserve"> de </w:t>
      </w:r>
      <w:r w:rsidR="00A11815">
        <w:rPr>
          <w:rFonts w:ascii="Verdana" w:eastAsia="Geomanist Light" w:hAnsi="Verdana" w:cs="Arial"/>
          <w:color w:val="201F1E"/>
          <w:lang w:val="es-MX"/>
        </w:rPr>
        <w:t>2025</w:t>
      </w:r>
    </w:p>
    <w:p w14:paraId="3E53ACA0" w14:textId="77777777" w:rsidR="008C5875" w:rsidRPr="00593A5F" w:rsidRDefault="008C5875" w:rsidP="00437FA7">
      <w:pPr>
        <w:spacing w:after="0" w:line="240" w:lineRule="auto"/>
        <w:contextualSpacing/>
        <w:jc w:val="both"/>
        <w:rPr>
          <w:rFonts w:ascii="Verdana" w:eastAsia="Calibri" w:hAnsi="Verdana" w:cs="Arial"/>
          <w:color w:val="000000"/>
          <w:lang w:val="es-ES"/>
        </w:rPr>
      </w:pPr>
    </w:p>
    <w:p w14:paraId="3D4FDD8B" w14:textId="474CAF20" w:rsidR="00373AE8" w:rsidRDefault="00373AE8" w:rsidP="00373AE8">
      <w:pPr>
        <w:spacing w:after="0" w:line="240" w:lineRule="auto"/>
        <w:ind w:left="4956"/>
        <w:contextualSpacing/>
        <w:jc w:val="both"/>
        <w:rPr>
          <w:rFonts w:ascii="Verdana" w:eastAsia="Calibri" w:hAnsi="Verdana" w:cs="Arial"/>
          <w:lang w:val="es-ES" w:eastAsia="es-ES"/>
        </w:rPr>
      </w:pPr>
      <w:r w:rsidRPr="00373AE8">
        <w:rPr>
          <w:rFonts w:ascii="Verdana" w:eastAsia="Calibri" w:hAnsi="Verdana" w:cs="Arial"/>
          <w:noProof/>
          <w:lang w:val="es-ES" w:eastAsia="es-ES"/>
        </w:rPr>
        <w:drawing>
          <wp:inline distT="0" distB="0" distL="0" distR="0" wp14:anchorId="63E740A1" wp14:editId="39A750CE">
            <wp:extent cx="2476846" cy="762106"/>
            <wp:effectExtent l="0" t="0" r="0" b="0"/>
            <wp:docPr id="19351662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166243" name=""/>
                    <pic:cNvPicPr/>
                  </pic:nvPicPr>
                  <pic:blipFill>
                    <a:blip r:embed="rId11"/>
                    <a:stretch>
                      <a:fillRect/>
                    </a:stretch>
                  </pic:blipFill>
                  <pic:spPr>
                    <a:xfrm>
                      <a:off x="0" y="0"/>
                      <a:ext cx="2476846" cy="762106"/>
                    </a:xfrm>
                    <a:prstGeom prst="rect">
                      <a:avLst/>
                    </a:prstGeom>
                  </pic:spPr>
                </pic:pic>
              </a:graphicData>
            </a:graphic>
          </wp:inline>
        </w:drawing>
      </w:r>
    </w:p>
    <w:p w14:paraId="2B12439A" w14:textId="0F18966F" w:rsidR="008C5875" w:rsidRPr="00B96799" w:rsidRDefault="008C5875" w:rsidP="00437FA7">
      <w:pPr>
        <w:spacing w:after="0" w:line="240" w:lineRule="auto"/>
        <w:contextualSpacing/>
        <w:jc w:val="both"/>
        <w:rPr>
          <w:rFonts w:ascii="Verdana" w:eastAsia="Calibri" w:hAnsi="Verdana" w:cs="Arial"/>
          <w:lang w:val="es-ES" w:eastAsia="es-ES"/>
        </w:rPr>
      </w:pPr>
      <w:r w:rsidRPr="00B96799">
        <w:rPr>
          <w:rFonts w:ascii="Verdana" w:eastAsia="Calibri" w:hAnsi="Verdana" w:cs="Arial"/>
          <w:lang w:val="es-ES" w:eastAsia="es-ES"/>
        </w:rPr>
        <w:t>Señor</w:t>
      </w:r>
    </w:p>
    <w:p w14:paraId="76B83DBD" w14:textId="77777777" w:rsidR="008C5875" w:rsidRDefault="008C5875" w:rsidP="00437FA7">
      <w:pPr>
        <w:spacing w:after="0" w:line="240" w:lineRule="auto"/>
        <w:contextualSpacing/>
        <w:rPr>
          <w:rFonts w:ascii="Verdana" w:eastAsia="Calibri" w:hAnsi="Verdana" w:cs="Arial"/>
          <w:b/>
          <w:bCs/>
          <w:lang w:eastAsia="es-ES_tradnl"/>
        </w:rPr>
      </w:pPr>
      <w:r>
        <w:rPr>
          <w:rFonts w:ascii="Verdana" w:eastAsia="Calibri" w:hAnsi="Verdana" w:cs="Arial"/>
          <w:b/>
          <w:bCs/>
          <w:lang w:eastAsia="es-ES_tradnl"/>
        </w:rPr>
        <w:t>Cesar Mauricio Martínez Delgado</w:t>
      </w:r>
    </w:p>
    <w:p w14:paraId="152570DA" w14:textId="77777777" w:rsidR="008C5875" w:rsidRPr="009C5D27" w:rsidRDefault="008C5875" w:rsidP="00437FA7">
      <w:pPr>
        <w:spacing w:after="0" w:line="240" w:lineRule="auto"/>
        <w:contextualSpacing/>
        <w:rPr>
          <w:rFonts w:ascii="Verdana" w:hAnsi="Verdana" w:cs="Arial"/>
        </w:rPr>
      </w:pPr>
      <w:hyperlink r:id="rId12" w:history="1">
        <w:r w:rsidRPr="009C5D27">
          <w:rPr>
            <w:rStyle w:val="Hipervnculo"/>
            <w:rFonts w:ascii="Verdana" w:hAnsi="Verdana" w:cs="Arial"/>
          </w:rPr>
          <w:t>mork_gan@hotmail.com</w:t>
        </w:r>
      </w:hyperlink>
      <w:r w:rsidRPr="009C5D27">
        <w:rPr>
          <w:rFonts w:ascii="Verdana" w:hAnsi="Verdana" w:cs="Arial"/>
        </w:rPr>
        <w:t xml:space="preserve">; </w:t>
      </w:r>
    </w:p>
    <w:p w14:paraId="586711F7" w14:textId="77777777" w:rsidR="008C5875" w:rsidRPr="00593A5F" w:rsidRDefault="008C5875" w:rsidP="00437FA7">
      <w:pPr>
        <w:spacing w:after="0" w:line="240" w:lineRule="auto"/>
        <w:contextualSpacing/>
        <w:rPr>
          <w:rFonts w:ascii="Verdana" w:eastAsia="Calibri" w:hAnsi="Verdana" w:cs="Arial"/>
          <w:b/>
          <w:bCs/>
          <w:color w:val="000000"/>
          <w:lang w:val="es-ES_tradnl" w:eastAsia="es-ES_tradnl"/>
        </w:rPr>
      </w:pPr>
      <w:r>
        <w:rPr>
          <w:rFonts w:ascii="Verdana" w:eastAsia="Calibri" w:hAnsi="Verdana" w:cs="Arial"/>
          <w:lang w:val="es-ES" w:eastAsia="es-ES"/>
        </w:rPr>
        <w:t>Ciudad</w:t>
      </w:r>
    </w:p>
    <w:p w14:paraId="05292878" w14:textId="77777777" w:rsidR="008C5875" w:rsidRPr="00593A5F" w:rsidRDefault="008C5875" w:rsidP="00437FA7">
      <w:pPr>
        <w:spacing w:after="0" w:line="240" w:lineRule="auto"/>
        <w:contextualSpacing/>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C5875" w:rsidRPr="00593A5F" w14:paraId="3283815B" w14:textId="77777777" w:rsidTr="00437FA7">
        <w:trPr>
          <w:trHeight w:val="176"/>
        </w:trPr>
        <w:tc>
          <w:tcPr>
            <w:tcW w:w="2689" w:type="dxa"/>
          </w:tcPr>
          <w:p w14:paraId="1702411D" w14:textId="77777777" w:rsidR="008C5875" w:rsidRPr="00D46ED3" w:rsidRDefault="008C5875" w:rsidP="00437FA7">
            <w:pPr>
              <w:contextualSpacing/>
              <w:jc w:val="both"/>
              <w:rPr>
                <w:rFonts w:ascii="Verdana" w:eastAsia="Calibri" w:hAnsi="Verdana" w:cs="Arial"/>
                <w:b/>
                <w:bCs/>
                <w:color w:val="7030A0"/>
                <w:lang w:val="es-ES_tradnl" w:eastAsia="es-ES_tradnl"/>
              </w:rPr>
            </w:pPr>
          </w:p>
        </w:tc>
        <w:tc>
          <w:tcPr>
            <w:tcW w:w="6100" w:type="dxa"/>
          </w:tcPr>
          <w:p w14:paraId="15F0F1ED" w14:textId="77777777" w:rsidR="008C5875" w:rsidRPr="009C5D27" w:rsidRDefault="008C5875" w:rsidP="00437FA7">
            <w:pPr>
              <w:contextualSpacing/>
              <w:jc w:val="both"/>
              <w:rPr>
                <w:rFonts w:ascii="Verdana" w:eastAsia="Calibri" w:hAnsi="Verdana" w:cs="Arial"/>
                <w:b/>
                <w:bCs/>
                <w:lang w:val="es-ES" w:eastAsia="es-ES"/>
              </w:rPr>
            </w:pPr>
            <w:r w:rsidRPr="00117A84">
              <w:rPr>
                <w:rFonts w:ascii="Verdana" w:eastAsia="Calibri" w:hAnsi="Verdana" w:cs="Arial"/>
                <w:b/>
                <w:bCs/>
                <w:lang w:val="es-ES" w:eastAsia="es-ES"/>
              </w:rPr>
              <w:t>Concepto C-1120</w:t>
            </w:r>
            <w:r w:rsidR="0054094B">
              <w:rPr>
                <w:rFonts w:ascii="Verdana" w:eastAsia="Calibri" w:hAnsi="Verdana" w:cs="Arial"/>
                <w:b/>
                <w:bCs/>
                <w:lang w:val="es-ES" w:eastAsia="es-ES"/>
              </w:rPr>
              <w:t xml:space="preserve"> </w:t>
            </w:r>
            <w:r w:rsidRPr="00117A84">
              <w:rPr>
                <w:rFonts w:ascii="Verdana" w:eastAsia="Calibri" w:hAnsi="Verdana" w:cs="Arial"/>
                <w:b/>
                <w:bCs/>
                <w:lang w:val="es-ES" w:eastAsia="es-ES"/>
              </w:rPr>
              <w:t>de 2025</w:t>
            </w:r>
          </w:p>
          <w:p w14:paraId="4C88ADE1" w14:textId="732B8E26" w:rsidR="008C5875" w:rsidRPr="00A149FC" w:rsidRDefault="008C5875" w:rsidP="00437FA7">
            <w:pPr>
              <w:contextualSpacing/>
              <w:jc w:val="both"/>
              <w:rPr>
                <w:rFonts w:ascii="Verdana" w:eastAsia="Calibri" w:hAnsi="Verdana" w:cs="Arial"/>
                <w:b/>
                <w:bCs/>
                <w:color w:val="7030A0"/>
                <w:highlight w:val="yellow"/>
                <w:lang w:val="es-ES" w:eastAsia="es-ES"/>
              </w:rPr>
            </w:pPr>
          </w:p>
        </w:tc>
      </w:tr>
      <w:tr w:rsidR="008C5875" w:rsidRPr="001C58F6" w14:paraId="19027D93" w14:textId="77777777" w:rsidTr="008C5875">
        <w:trPr>
          <w:trHeight w:val="884"/>
        </w:trPr>
        <w:tc>
          <w:tcPr>
            <w:tcW w:w="2689" w:type="dxa"/>
          </w:tcPr>
          <w:p w14:paraId="7A065A1F" w14:textId="77777777" w:rsidR="008C5875" w:rsidRPr="007B10DC" w:rsidRDefault="008C5875" w:rsidP="00437FA7">
            <w:pPr>
              <w:contextualSpacing/>
              <w:jc w:val="both"/>
              <w:rPr>
                <w:rFonts w:ascii="Verdana" w:eastAsia="Calibri" w:hAnsi="Verdana" w:cs="Arial"/>
                <w:color w:val="000000"/>
                <w:highlight w:val="yellow"/>
                <w:lang w:val="es-ES_tradnl" w:eastAsia="es-ES_tradnl"/>
              </w:rPr>
            </w:pPr>
            <w:r w:rsidRPr="007B10DC">
              <w:rPr>
                <w:rFonts w:ascii="Verdana" w:eastAsia="Calibri" w:hAnsi="Verdana" w:cs="Arial"/>
                <w:b/>
                <w:color w:val="000000"/>
                <w:lang w:val="es-ES_tradnl" w:eastAsia="es-ES_tradnl"/>
              </w:rPr>
              <w:t>Temas:</w:t>
            </w:r>
            <w:r w:rsidRPr="007B10DC">
              <w:rPr>
                <w:rFonts w:ascii="Verdana" w:eastAsia="Calibri" w:hAnsi="Verdana" w:cs="Arial"/>
                <w:color w:val="000000"/>
                <w:lang w:val="es-ES_tradnl" w:eastAsia="es-ES_tradnl"/>
              </w:rPr>
              <w:t xml:space="preserve">                   </w:t>
            </w:r>
          </w:p>
        </w:tc>
        <w:tc>
          <w:tcPr>
            <w:tcW w:w="6100" w:type="dxa"/>
          </w:tcPr>
          <w:p w14:paraId="60BC3DD6" w14:textId="77777777" w:rsidR="008C5875" w:rsidRPr="00117A84" w:rsidRDefault="008C5875" w:rsidP="00437FA7">
            <w:pPr>
              <w:contextualSpacing/>
              <w:jc w:val="both"/>
              <w:rPr>
                <w:rFonts w:ascii="Verdana" w:eastAsia="Calibri" w:hAnsi="Verdana" w:cs="Arial"/>
                <w:bCs/>
                <w:lang w:eastAsia="es-ES_tradnl"/>
              </w:rPr>
            </w:pPr>
            <w:r w:rsidRPr="00117A84">
              <w:rPr>
                <w:rFonts w:ascii="Verdana" w:eastAsia="Calibri" w:hAnsi="Verdana" w:cs="Arial"/>
                <w:bCs/>
                <w:lang w:eastAsia="es-ES_tradnl"/>
              </w:rPr>
              <w:t>CONVOCATORIAS LIMITADAS A MIPYMES – Generalidades – Requisitos- Cuantía del proceso</w:t>
            </w:r>
          </w:p>
          <w:p w14:paraId="309D2E35" w14:textId="77777777" w:rsidR="008C5875" w:rsidRPr="00A149FC" w:rsidRDefault="008C5875" w:rsidP="00437FA7">
            <w:pPr>
              <w:contextualSpacing/>
              <w:jc w:val="both"/>
              <w:rPr>
                <w:rFonts w:ascii="Verdana" w:eastAsia="Calibri" w:hAnsi="Verdana" w:cs="Arial"/>
                <w:highlight w:val="yellow"/>
                <w:lang w:val="es-ES_tradnl" w:eastAsia="es-ES"/>
              </w:rPr>
            </w:pPr>
          </w:p>
        </w:tc>
      </w:tr>
      <w:tr w:rsidR="008C5875" w:rsidRPr="00593A5F" w14:paraId="33D9C78A" w14:textId="77777777" w:rsidTr="008C5875">
        <w:tc>
          <w:tcPr>
            <w:tcW w:w="2689" w:type="dxa"/>
          </w:tcPr>
          <w:p w14:paraId="0F982D79" w14:textId="77777777" w:rsidR="008C5875" w:rsidRPr="00FB2E89" w:rsidRDefault="008C5875" w:rsidP="00437FA7">
            <w:pPr>
              <w:contextualSpacing/>
              <w:jc w:val="both"/>
              <w:rPr>
                <w:rFonts w:ascii="Verdana" w:eastAsia="Calibri" w:hAnsi="Verdana" w:cs="Arial"/>
                <w:b/>
                <w:lang w:val="es-ES_tradnl" w:eastAsia="es-ES_tradnl"/>
              </w:rPr>
            </w:pPr>
            <w:r w:rsidRPr="00FB2E89">
              <w:rPr>
                <w:rFonts w:ascii="Verdana" w:eastAsia="Calibri" w:hAnsi="Verdana" w:cs="Arial"/>
                <w:b/>
                <w:lang w:val="es-ES_tradnl" w:eastAsia="es-ES_tradnl"/>
              </w:rPr>
              <w:t xml:space="preserve"> Radicación:</w:t>
            </w:r>
            <w:r w:rsidRPr="00FB2E89">
              <w:rPr>
                <w:rFonts w:ascii="Verdana" w:eastAsia="Calibri" w:hAnsi="Verdana" w:cs="Arial"/>
                <w:lang w:val="es-ES_tradnl" w:eastAsia="es-ES_tradnl"/>
              </w:rPr>
              <w:t xml:space="preserve">               </w:t>
            </w:r>
          </w:p>
        </w:tc>
        <w:tc>
          <w:tcPr>
            <w:tcW w:w="6100" w:type="dxa"/>
          </w:tcPr>
          <w:p w14:paraId="5C152FDB" w14:textId="77777777" w:rsidR="008C5875" w:rsidRPr="00825AF7" w:rsidRDefault="008C5875" w:rsidP="00437FA7">
            <w:pPr>
              <w:contextualSpacing/>
              <w:jc w:val="both"/>
              <w:rPr>
                <w:rFonts w:ascii="Verdana" w:eastAsia="Calibri" w:hAnsi="Verdana" w:cs="Arial"/>
                <w:lang w:val="es-ES_tradnl" w:eastAsia="es-ES_tradnl"/>
              </w:rPr>
            </w:pPr>
            <w:r w:rsidRPr="00825AF7">
              <w:rPr>
                <w:rFonts w:ascii="Verdana" w:eastAsia="Calibri" w:hAnsi="Verdana" w:cs="Arial"/>
                <w:lang w:val="es-ES_tradnl" w:eastAsia="es-ES_tradnl"/>
              </w:rPr>
              <w:t xml:space="preserve">Respuesta a consulta con radicado No. </w:t>
            </w:r>
            <w:r w:rsidRPr="002F445B">
              <w:rPr>
                <w:rFonts w:ascii="Verdana" w:eastAsia="Calibri" w:hAnsi="Verdana" w:cs="Arial"/>
                <w:lang w:val="es-ES_tradnl" w:eastAsia="es-ES_tradnl"/>
              </w:rPr>
              <w:t>1_2025_08_11_008361</w:t>
            </w:r>
          </w:p>
        </w:tc>
      </w:tr>
    </w:tbl>
    <w:p w14:paraId="44C8D0F3" w14:textId="77777777" w:rsidR="008C5875" w:rsidRPr="00593A5F" w:rsidRDefault="008C5875" w:rsidP="003B7253">
      <w:pPr>
        <w:spacing w:after="0" w:line="276" w:lineRule="auto"/>
        <w:jc w:val="both"/>
        <w:rPr>
          <w:rFonts w:ascii="Verdana" w:eastAsia="Calibri" w:hAnsi="Verdana" w:cs="Arial"/>
          <w:color w:val="000000"/>
          <w:lang w:val="es-ES_tradnl" w:eastAsia="es-ES_tradnl"/>
        </w:rPr>
      </w:pPr>
    </w:p>
    <w:p w14:paraId="6704CF9E" w14:textId="77777777" w:rsidR="008C5875" w:rsidRDefault="008C5875" w:rsidP="003B7253">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o señor </w:t>
      </w:r>
      <w:r>
        <w:rPr>
          <w:rFonts w:ascii="Verdana" w:eastAsia="Calibri" w:hAnsi="Verdana" w:cs="Arial"/>
          <w:lang w:val="es-ES" w:eastAsia="es-ES"/>
        </w:rPr>
        <w:t>Martínez</w:t>
      </w:r>
      <w:r w:rsidRPr="009A14E8">
        <w:rPr>
          <w:rFonts w:ascii="Verdana" w:eastAsia="Calibri" w:hAnsi="Verdana" w:cs="Arial"/>
          <w:lang w:val="es-ES" w:eastAsia="es-ES"/>
        </w:rPr>
        <w:t xml:space="preserve">: </w:t>
      </w:r>
    </w:p>
    <w:p w14:paraId="3E9DDC55" w14:textId="77777777" w:rsidR="008C5875" w:rsidRDefault="008C5875" w:rsidP="003B725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91A6CFD" w14:textId="77777777" w:rsidR="008C5875" w:rsidRDefault="008C5875" w:rsidP="003B7253">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D46ED3">
        <w:rPr>
          <w:rFonts w:ascii="Verdana" w:eastAsia="Calibri" w:hAnsi="Verdana" w:cs="Arial"/>
          <w:color w:val="000000" w:themeColor="text1"/>
          <w:lang w:val="es-ES" w:eastAsia="es-ES"/>
        </w:rPr>
        <w:t xml:space="preserve">consulta de </w:t>
      </w:r>
      <w:r w:rsidRPr="00D46ED3">
        <w:rPr>
          <w:rFonts w:ascii="Verdana" w:eastAsia="Calibri" w:hAnsi="Verdana" w:cs="Arial"/>
          <w:lang w:val="es-ES" w:eastAsia="es-ES"/>
        </w:rPr>
        <w:t xml:space="preserve">fecha </w:t>
      </w:r>
      <w:r>
        <w:rPr>
          <w:rFonts w:ascii="Verdana" w:eastAsia="Calibri" w:hAnsi="Verdana" w:cs="Arial"/>
          <w:lang w:val="es-ES" w:eastAsia="es-ES"/>
        </w:rPr>
        <w:t xml:space="preserve">11 </w:t>
      </w:r>
      <w:r w:rsidRPr="00D46ED3">
        <w:rPr>
          <w:rFonts w:ascii="Verdana" w:eastAsia="Calibri" w:hAnsi="Verdana" w:cs="Arial"/>
          <w:lang w:val="es-ES" w:eastAsia="es-ES"/>
        </w:rPr>
        <w:t xml:space="preserve">de </w:t>
      </w:r>
      <w:r>
        <w:rPr>
          <w:rFonts w:ascii="Verdana" w:eastAsia="Calibri" w:hAnsi="Verdana" w:cs="Arial"/>
          <w:lang w:val="es-ES" w:eastAsia="es-ES"/>
        </w:rPr>
        <w:t>agosto</w:t>
      </w:r>
      <w:r w:rsidRPr="00D46ED3">
        <w:rPr>
          <w:rFonts w:ascii="Verdana" w:eastAsia="Calibri" w:hAnsi="Verdana" w:cs="Arial"/>
          <w:lang w:val="es-ES" w:eastAsia="es-ES"/>
        </w:rPr>
        <w:t xml:space="preserve"> de 202</w:t>
      </w:r>
      <w:r>
        <w:rPr>
          <w:rFonts w:ascii="Verdana" w:eastAsia="Calibri" w:hAnsi="Verdana" w:cs="Arial"/>
          <w:lang w:val="es-ES" w:eastAsia="es-ES"/>
        </w:rPr>
        <w:t>5</w:t>
      </w:r>
      <w:r w:rsidRPr="00D46ED3">
        <w:rPr>
          <w:rFonts w:ascii="Verdana" w:eastAsia="Calibri" w:hAnsi="Verdana" w:cs="Arial"/>
          <w:lang w:val="es-ES" w:eastAsia="es-ES"/>
        </w:rPr>
        <w:t>, en</w:t>
      </w:r>
      <w:r w:rsidRPr="00AA1286">
        <w:rPr>
          <w:rFonts w:ascii="Verdana" w:eastAsia="Calibri" w:hAnsi="Verdana" w:cs="Arial"/>
          <w:lang w:val="es-ES" w:eastAsia="es-ES"/>
        </w:rPr>
        <w:t xml:space="preserve"> la cual manifiesta lo siguiente:</w:t>
      </w:r>
    </w:p>
    <w:p w14:paraId="15D40406" w14:textId="77777777" w:rsidR="008C5875" w:rsidRDefault="008C5875" w:rsidP="003B7253">
      <w:pPr>
        <w:spacing w:after="0" w:line="276" w:lineRule="auto"/>
        <w:jc w:val="both"/>
        <w:rPr>
          <w:rFonts w:ascii="Verdana" w:eastAsia="Calibri" w:hAnsi="Verdana" w:cs="Arial"/>
          <w:lang w:val="es-ES" w:eastAsia="es-ES"/>
        </w:rPr>
      </w:pPr>
    </w:p>
    <w:p w14:paraId="01AB130E" w14:textId="1C5E31F7" w:rsidR="008C5875" w:rsidRDefault="008C5875" w:rsidP="00437FA7">
      <w:pPr>
        <w:spacing w:after="0" w:line="276" w:lineRule="auto"/>
        <w:ind w:left="709" w:right="709"/>
        <w:jc w:val="both"/>
        <w:rPr>
          <w:rFonts w:ascii="Verdana" w:hAnsi="Verdana" w:cs="ArialMT"/>
          <w:sz w:val="20"/>
          <w:szCs w:val="20"/>
        </w:rPr>
      </w:pPr>
      <w:r w:rsidRPr="00437FA7">
        <w:rPr>
          <w:rFonts w:ascii="Verdana" w:eastAsia="Calibri" w:hAnsi="Verdana" w:cs="Arial"/>
          <w:sz w:val="20"/>
          <w:szCs w:val="20"/>
          <w:lang w:val="es-ES" w:eastAsia="es-ES"/>
        </w:rPr>
        <w:t xml:space="preserve"> </w:t>
      </w:r>
      <w:r w:rsidRPr="00437FA7">
        <w:rPr>
          <w:rFonts w:ascii="Verdana" w:hAnsi="Verdana" w:cs="ArialMT"/>
          <w:sz w:val="20"/>
          <w:szCs w:val="20"/>
        </w:rPr>
        <w:t>“[…]1. ¿Es obligatorio limitar la convocatoria a MiPymes conforme las disposiciones del artículo 2?2.1.2.4.2.2 del Decreto Nacional 1082 de 2015?</w:t>
      </w:r>
    </w:p>
    <w:p w14:paraId="378D68A7" w14:textId="77777777" w:rsidR="00F705BD" w:rsidRPr="00437FA7" w:rsidRDefault="00F705BD" w:rsidP="00437FA7">
      <w:pPr>
        <w:spacing w:after="0" w:line="276" w:lineRule="auto"/>
        <w:ind w:left="709" w:right="709"/>
        <w:jc w:val="both"/>
        <w:rPr>
          <w:rFonts w:ascii="Verdana" w:hAnsi="Verdana" w:cs="ArialMT"/>
          <w:sz w:val="20"/>
          <w:szCs w:val="20"/>
        </w:rPr>
      </w:pPr>
    </w:p>
    <w:p w14:paraId="1B06AE65" w14:textId="77777777" w:rsidR="008C5875" w:rsidRDefault="008C5875" w:rsidP="00437FA7">
      <w:pPr>
        <w:spacing w:after="0" w:line="276" w:lineRule="auto"/>
        <w:ind w:left="709" w:right="709"/>
        <w:jc w:val="both"/>
        <w:rPr>
          <w:rFonts w:ascii="Verdana" w:hAnsi="Verdana" w:cs="ArialMT"/>
          <w:sz w:val="20"/>
          <w:szCs w:val="20"/>
        </w:rPr>
      </w:pPr>
      <w:r w:rsidRPr="00437FA7">
        <w:rPr>
          <w:rFonts w:ascii="Verdana" w:hAnsi="Verdana" w:cs="ArialMT"/>
          <w:sz w:val="20"/>
          <w:szCs w:val="20"/>
        </w:rPr>
        <w:t>2. Si el (los) contrato(s) que se van a intermediar, superan los 125.000 USD, aun así, ¿debe limitarse la convocatoria a MiPymes?</w:t>
      </w:r>
    </w:p>
    <w:p w14:paraId="71290BAD" w14:textId="77777777" w:rsidR="00F705BD" w:rsidRPr="00437FA7" w:rsidRDefault="00F705BD" w:rsidP="00437FA7">
      <w:pPr>
        <w:spacing w:after="0" w:line="276" w:lineRule="auto"/>
        <w:ind w:left="709" w:right="709"/>
        <w:jc w:val="both"/>
        <w:rPr>
          <w:rFonts w:ascii="Verdana" w:hAnsi="Verdana" w:cs="ArialMT"/>
          <w:sz w:val="20"/>
          <w:szCs w:val="20"/>
        </w:rPr>
      </w:pPr>
    </w:p>
    <w:p w14:paraId="6A5D15E8" w14:textId="77777777" w:rsidR="008C5875" w:rsidRPr="00437FA7" w:rsidRDefault="008C5875" w:rsidP="00437FA7">
      <w:pPr>
        <w:spacing w:after="0" w:line="276" w:lineRule="auto"/>
        <w:ind w:left="709" w:right="709"/>
        <w:jc w:val="both"/>
        <w:rPr>
          <w:rFonts w:ascii="Verdana" w:hAnsi="Verdana" w:cs="ArialMT"/>
          <w:sz w:val="20"/>
          <w:szCs w:val="20"/>
        </w:rPr>
      </w:pPr>
      <w:r w:rsidRPr="00437FA7">
        <w:rPr>
          <w:rFonts w:ascii="Verdana" w:hAnsi="Verdana" w:cs="ArialMT"/>
          <w:sz w:val="20"/>
          <w:szCs w:val="20"/>
        </w:rPr>
        <w:t>3. ¿Existe vulneración de la ley, en caso de que no se limite un concurso de méritos con erogación presupuestal de cero (0.00) a MiPymes, con ocasión de que los contratos a intermediar superen los 125.000 USD? […]”</w:t>
      </w:r>
    </w:p>
    <w:p w14:paraId="101E657D" w14:textId="77777777" w:rsidR="008C5875" w:rsidRPr="004A0DB3" w:rsidRDefault="008C5875" w:rsidP="003B7253">
      <w:pPr>
        <w:spacing w:after="0" w:line="276" w:lineRule="auto"/>
        <w:jc w:val="both"/>
        <w:rPr>
          <w:rFonts w:ascii="Verdana" w:eastAsia="Calibri" w:hAnsi="Verdana" w:cs="Arial"/>
          <w:lang w:val="es-ES" w:eastAsia="es-ES"/>
        </w:rPr>
      </w:pPr>
    </w:p>
    <w:p w14:paraId="792817B7" w14:textId="229E1F58" w:rsidR="008C5875" w:rsidRDefault="008C5875" w:rsidP="003B725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w:t>
      </w:r>
      <w:r w:rsidR="00165BDE">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222C73D" w14:textId="63FE5545" w:rsidR="008C5875" w:rsidRDefault="008C5875" w:rsidP="003B725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165BDE">
        <w:rPr>
          <w:rFonts w:ascii="Verdana" w:eastAsia="Calibri" w:hAnsi="Verdana" w:cs="Arial"/>
          <w:color w:val="000000"/>
          <w:lang w:val="es-ES" w:eastAsia="es-ES"/>
        </w:rPr>
        <w:t>señalando</w:t>
      </w:r>
      <w:r w:rsidR="00165BDE" w:rsidRPr="00593A5F">
        <w:rPr>
          <w:rFonts w:ascii="Verdana" w:eastAsia="Calibri" w:hAnsi="Verdana" w:cs="Arial"/>
          <w:color w:val="000000"/>
          <w:lang w:val="es-ES" w:eastAsia="es-ES"/>
        </w:rPr>
        <w:t xml:space="preserve"> </w:t>
      </w:r>
      <w:r w:rsidR="00165BDE">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l</w:t>
      </w:r>
      <w:r w:rsidR="00165BDE">
        <w:rPr>
          <w:rFonts w:ascii="Verdana" w:eastAsia="Calibri" w:hAnsi="Verdana" w:cs="Arial"/>
          <w:color w:val="000000"/>
          <w:lang w:val="es-ES" w:eastAsia="es-ES"/>
        </w:rPr>
        <w:t>os</w:t>
      </w:r>
      <w:r>
        <w:rPr>
          <w:rFonts w:ascii="Verdana" w:eastAsia="Calibri" w:hAnsi="Verdana" w:cs="Arial"/>
          <w:color w:val="000000"/>
          <w:lang w:val="es-ES" w:eastAsia="es-ES"/>
        </w:rPr>
        <w:t xml:space="preserve"> problema</w:t>
      </w:r>
      <w:r w:rsidR="00165BDE">
        <w:rPr>
          <w:rFonts w:ascii="Verdana" w:eastAsia="Calibri" w:hAnsi="Verdana" w:cs="Arial"/>
          <w:color w:val="000000"/>
          <w:lang w:val="es-ES" w:eastAsia="es-ES"/>
        </w:rPr>
        <w:t>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00165BDE">
        <w:rPr>
          <w:rFonts w:ascii="Verdana" w:eastAsia="Calibri" w:hAnsi="Verdana" w:cs="Arial"/>
          <w:color w:val="000000"/>
          <w:lang w:val="es-ES" w:eastAsia="es-ES"/>
        </w:rPr>
        <w:t>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5B421718" w14:textId="77777777" w:rsidR="008C5875" w:rsidRPr="00593A5F" w:rsidRDefault="008C5875" w:rsidP="003B7253">
      <w:pPr>
        <w:spacing w:after="0" w:line="276" w:lineRule="auto"/>
        <w:ind w:firstLine="709"/>
        <w:jc w:val="both"/>
        <w:rPr>
          <w:rFonts w:ascii="Verdana" w:eastAsia="Calibri" w:hAnsi="Verdana" w:cs="Arial"/>
          <w:color w:val="000000"/>
          <w:lang w:val="es-ES" w:eastAsia="es-ES"/>
        </w:rPr>
      </w:pPr>
    </w:p>
    <w:p w14:paraId="117CECCE" w14:textId="77777777" w:rsidR="008C5875" w:rsidRPr="00593A5F" w:rsidRDefault="008C5875" w:rsidP="00437FA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009562B2" w14:textId="77777777" w:rsidR="008C5875" w:rsidRPr="00064EE2" w:rsidRDefault="008C5875" w:rsidP="003B7253">
      <w:pPr>
        <w:tabs>
          <w:tab w:val="left" w:pos="426"/>
        </w:tabs>
        <w:spacing w:after="0" w:line="276" w:lineRule="auto"/>
        <w:jc w:val="both"/>
        <w:rPr>
          <w:rFonts w:ascii="Verdana" w:eastAsia="Century Gothic" w:hAnsi="Verdana" w:cs="Century Gothic"/>
        </w:rPr>
      </w:pPr>
    </w:p>
    <w:p w14:paraId="7DF8018E" w14:textId="5BCE0341" w:rsidR="008C5875" w:rsidRPr="00064EE2" w:rsidRDefault="008C5875" w:rsidP="00437FA7">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los siguiente</w:t>
      </w:r>
      <w:r w:rsidR="007763F3">
        <w:rPr>
          <w:rFonts w:ascii="Verdana" w:eastAsia="Century Gothic" w:hAnsi="Verdana" w:cs="Century Gothic"/>
        </w:rPr>
        <w:t>s</w:t>
      </w:r>
      <w:r w:rsidRPr="00593A5F">
        <w:rPr>
          <w:rFonts w:ascii="Verdana" w:eastAsia="Century Gothic" w:hAnsi="Verdana" w:cs="Century Gothic"/>
        </w:rPr>
        <w:t xml:space="preserve"> problemas jurídicos</w:t>
      </w:r>
      <w:r w:rsidRPr="005651D3">
        <w:rPr>
          <w:rFonts w:ascii="Verdana" w:eastAsia="Century Gothic" w:hAnsi="Verdana" w:cs="Century Gothic"/>
        </w:rPr>
        <w:t>:</w:t>
      </w:r>
      <w:r w:rsidR="004714FD" w:rsidRPr="004714FD">
        <w:rPr>
          <w:rFonts w:ascii="Verdana" w:eastAsia="Century Gothic" w:hAnsi="Verdana" w:cs="Century Gothic"/>
        </w:rPr>
        <w:t xml:space="preserve"> </w:t>
      </w:r>
      <w:r w:rsidR="0022165B">
        <w:rPr>
          <w:rFonts w:ascii="Verdana" w:eastAsia="Century Gothic" w:hAnsi="Verdana" w:cs="Century Gothic"/>
        </w:rPr>
        <w:t xml:space="preserve">i) </w:t>
      </w:r>
      <w:r w:rsidR="004714FD">
        <w:rPr>
          <w:rFonts w:ascii="Verdana" w:eastAsia="Century Gothic" w:hAnsi="Verdana" w:cs="Century Gothic"/>
        </w:rPr>
        <w:t>¿</w:t>
      </w:r>
      <w:r w:rsidR="004714FD" w:rsidRPr="00EF4EAB">
        <w:rPr>
          <w:rFonts w:ascii="Verdana" w:eastAsia="Century Gothic" w:hAnsi="Verdana" w:cs="Century Gothic"/>
        </w:rPr>
        <w:t xml:space="preserve">Es obligatorio aplicar la limitación </w:t>
      </w:r>
      <w:r w:rsidR="004714FD">
        <w:rPr>
          <w:rFonts w:ascii="Verdana" w:eastAsia="Century Gothic" w:hAnsi="Verdana" w:cs="Century Gothic"/>
        </w:rPr>
        <w:t>a</w:t>
      </w:r>
      <w:r w:rsidR="004714FD" w:rsidRPr="00EF4EAB">
        <w:rPr>
          <w:rFonts w:ascii="Verdana" w:eastAsia="Century Gothic" w:hAnsi="Verdana" w:cs="Century Gothic"/>
        </w:rPr>
        <w:t xml:space="preserve"> las </w:t>
      </w:r>
      <w:proofErr w:type="spellStart"/>
      <w:r w:rsidR="00165BDE" w:rsidRPr="00EF4EAB">
        <w:rPr>
          <w:rFonts w:ascii="Verdana" w:eastAsia="Century Gothic" w:hAnsi="Verdana" w:cs="Century Gothic"/>
        </w:rPr>
        <w:t>Mipymes</w:t>
      </w:r>
      <w:proofErr w:type="spellEnd"/>
      <w:r w:rsidR="004714FD" w:rsidRPr="00EF4EAB">
        <w:rPr>
          <w:rFonts w:ascii="Verdana" w:eastAsia="Century Gothic" w:hAnsi="Verdana" w:cs="Century Gothic"/>
        </w:rPr>
        <w:t xml:space="preserve"> siempre que se cumplan los requisitos establecidos en el artículo</w:t>
      </w:r>
      <w:r w:rsidR="004714FD">
        <w:rPr>
          <w:rFonts w:ascii="Verdana" w:eastAsia="Century Gothic" w:hAnsi="Verdana" w:cs="Century Gothic"/>
        </w:rPr>
        <w:t xml:space="preserve"> 2.2.1.2.4.2.1 del Decreto 1082 de 2015</w:t>
      </w:r>
      <w:r w:rsidR="004714FD" w:rsidRPr="00EF4EAB">
        <w:rPr>
          <w:rFonts w:ascii="Verdana" w:eastAsia="Century Gothic" w:hAnsi="Verdana" w:cs="Century Gothic"/>
        </w:rPr>
        <w:t>, o existe discrecionalidad por parte de la administración para decidir su procedencia?</w:t>
      </w:r>
      <w:r w:rsidR="004714FD">
        <w:rPr>
          <w:rFonts w:ascii="Verdana" w:eastAsia="Century Gothic" w:hAnsi="Verdana" w:cs="Century Gothic"/>
        </w:rPr>
        <w:t xml:space="preserve"> y</w:t>
      </w:r>
      <w:r w:rsidRPr="005651D3">
        <w:rPr>
          <w:rFonts w:ascii="Verdana" w:eastAsia="Century Gothic" w:hAnsi="Verdana" w:cs="Century Gothic"/>
        </w:rPr>
        <w:t xml:space="preserve"> </w:t>
      </w:r>
      <w:proofErr w:type="spellStart"/>
      <w:r w:rsidR="0022165B">
        <w:rPr>
          <w:rFonts w:ascii="Verdana" w:eastAsia="Century Gothic" w:hAnsi="Verdana" w:cs="Century Gothic"/>
        </w:rPr>
        <w:t>ii</w:t>
      </w:r>
      <w:proofErr w:type="spellEnd"/>
      <w:r w:rsidR="0022165B">
        <w:rPr>
          <w:rFonts w:ascii="Verdana" w:eastAsia="Century Gothic" w:hAnsi="Verdana" w:cs="Century Gothic"/>
        </w:rPr>
        <w:t>)</w:t>
      </w:r>
      <w:r w:rsidR="004714FD">
        <w:rPr>
          <w:rFonts w:ascii="Verdana" w:eastAsia="Century Gothic" w:hAnsi="Verdana" w:cs="Century Gothic"/>
        </w:rPr>
        <w:t xml:space="preserve"> </w:t>
      </w:r>
      <w:r>
        <w:rPr>
          <w:rFonts w:ascii="Verdana" w:eastAsia="Century Gothic" w:hAnsi="Verdana" w:cs="Century Gothic"/>
        </w:rPr>
        <w:t>¿</w:t>
      </w:r>
      <w:r w:rsidRPr="00064EE2">
        <w:rPr>
          <w:rFonts w:ascii="Verdana" w:eastAsia="Century Gothic" w:hAnsi="Verdana" w:cs="Century Gothic"/>
        </w:rPr>
        <w:t>Es posible limitar un Proceso de Contratación cuando la cuantía de este corresponde a Cero (0) pesos?</w:t>
      </w:r>
    </w:p>
    <w:p w14:paraId="2E609BF3" w14:textId="77777777" w:rsidR="008C5875" w:rsidRPr="00593A5F" w:rsidRDefault="008C5875" w:rsidP="003B7253">
      <w:pPr>
        <w:spacing w:after="0" w:line="276" w:lineRule="auto"/>
        <w:jc w:val="both"/>
        <w:rPr>
          <w:rFonts w:ascii="Verdana" w:eastAsia="Calibri" w:hAnsi="Verdana" w:cs="Arial"/>
          <w:color w:val="7030A0"/>
          <w:lang w:val="es-ES"/>
        </w:rPr>
      </w:pPr>
    </w:p>
    <w:p w14:paraId="4B4B85EE" w14:textId="77777777" w:rsidR="008C5875" w:rsidRPr="00593A5F" w:rsidRDefault="008C5875" w:rsidP="003B72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B5DCE55" w14:textId="77777777" w:rsidR="008C5875" w:rsidRPr="00593A5F" w:rsidRDefault="008C5875" w:rsidP="003B725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5875" w:rsidRPr="00593A5F" w14:paraId="13C79585" w14:textId="77777777" w:rsidTr="008C5875">
        <w:tc>
          <w:tcPr>
            <w:tcW w:w="8828" w:type="dxa"/>
          </w:tcPr>
          <w:p w14:paraId="2AD93C36" w14:textId="78C658D0" w:rsidR="00BD7409" w:rsidRDefault="00BD7409" w:rsidP="00437FA7">
            <w:pPr>
              <w:pStyle w:val="Prrafodelista"/>
              <w:numPr>
                <w:ilvl w:val="0"/>
                <w:numId w:val="21"/>
              </w:numPr>
              <w:spacing w:after="120" w:line="276" w:lineRule="auto"/>
              <w:ind w:left="0" w:firstLine="0"/>
              <w:jc w:val="both"/>
              <w:rPr>
                <w:rFonts w:ascii="Verdana" w:eastAsia="Century Gothic" w:hAnsi="Verdana" w:cs="Century Gothic"/>
              </w:rPr>
            </w:pPr>
            <w:r w:rsidRPr="00BD7409">
              <w:rPr>
                <w:rFonts w:ascii="Verdana" w:eastAsia="Century Gothic" w:hAnsi="Verdana" w:cs="Century Gothic"/>
              </w:rPr>
              <w:t xml:space="preserve">De acuerdo con el artículo 2.2.1.2.4.2.1 del Decreto 1082 de 2015, las </w:t>
            </w:r>
            <w:r w:rsidR="00DE6520" w:rsidRPr="00BD7409">
              <w:rPr>
                <w:rFonts w:ascii="Verdana" w:eastAsia="Century Gothic" w:hAnsi="Verdana" w:cs="Century Gothic"/>
              </w:rPr>
              <w:t>Entidades Estatales</w:t>
            </w:r>
            <w:r w:rsidRPr="00BD7409">
              <w:rPr>
                <w:rFonts w:ascii="Verdana" w:eastAsia="Century Gothic" w:hAnsi="Verdana" w:cs="Century Gothic"/>
              </w:rPr>
              <w:t xml:space="preserve"> están obligadas a limitar sus procesos de contratación a </w:t>
            </w:r>
            <w:proofErr w:type="spellStart"/>
            <w:r w:rsidR="00DE6520" w:rsidRPr="00BD7409">
              <w:rPr>
                <w:rFonts w:ascii="Verdana" w:eastAsia="Century Gothic" w:hAnsi="Verdana" w:cs="Century Gothic"/>
              </w:rPr>
              <w:t>Mipymes</w:t>
            </w:r>
            <w:proofErr w:type="spellEnd"/>
            <w:r w:rsidRPr="00BD7409">
              <w:rPr>
                <w:rFonts w:ascii="Verdana" w:eastAsia="Century Gothic" w:hAnsi="Verdana" w:cs="Century Gothic"/>
              </w:rPr>
              <w:t xml:space="preserve"> cuando se cumplan los requisitos establecidos en dicha norma, sin que exista, en principio, margen de discrecionalidad para su aplicación. En consecuencia, la Entidad Pública no puede omitir dicha limitación por razones de conveniencia o criterio propio, ya que se trata de un mandato legal imperativo.</w:t>
            </w:r>
          </w:p>
          <w:p w14:paraId="7A992731" w14:textId="53B61F18" w:rsidR="00562872" w:rsidRPr="003B7253" w:rsidRDefault="001C0BF5" w:rsidP="00DE6520">
            <w:pPr>
              <w:spacing w:after="120" w:line="276" w:lineRule="auto"/>
              <w:ind w:firstLine="709"/>
              <w:jc w:val="both"/>
              <w:rPr>
                <w:rFonts w:ascii="Verdana" w:eastAsia="Century Gothic" w:hAnsi="Verdana" w:cs="Century Gothic"/>
              </w:rPr>
            </w:pPr>
            <w:r w:rsidRPr="001C0BF5">
              <w:rPr>
                <w:rFonts w:ascii="Verdana" w:eastAsia="Century Gothic" w:hAnsi="Verdana" w:cs="Century Gothic"/>
              </w:rPr>
              <w:lastRenderedPageBreak/>
              <w:t xml:space="preserve">Por otro lado, el artículo 2.2.1.2.4.2.3 del mismo decreto contempla la posibilidad de imponer limitaciones territoriales dentro de los procesos dirigidos a </w:t>
            </w:r>
            <w:proofErr w:type="spellStart"/>
            <w:r w:rsidR="00DE6520" w:rsidRPr="001C0BF5">
              <w:rPr>
                <w:rFonts w:ascii="Verdana" w:eastAsia="Century Gothic" w:hAnsi="Verdana" w:cs="Century Gothic"/>
              </w:rPr>
              <w:t>Mipymes</w:t>
            </w:r>
            <w:proofErr w:type="spellEnd"/>
            <w:r w:rsidRPr="001C0BF5">
              <w:rPr>
                <w:rFonts w:ascii="Verdana" w:eastAsia="Century Gothic" w:hAnsi="Verdana" w:cs="Century Gothic"/>
              </w:rPr>
              <w:t xml:space="preserve">, permitiendo que las convocatorias se restrinjan a aquellas con domicilio en el lugar de ejecución del contrato, siempre que se acredite debidamente. Esta limitación, a diferencia de la anterior, es facultativa y depende del criterio de la entidad conforme a las condiciones </w:t>
            </w:r>
            <w:r w:rsidR="007E54B8">
              <w:rPr>
                <w:rFonts w:ascii="Verdana" w:eastAsia="Century Gothic" w:hAnsi="Verdana" w:cs="Century Gothic"/>
              </w:rPr>
              <w:t xml:space="preserve">del proceso de </w:t>
            </w:r>
            <w:r w:rsidR="003B7253">
              <w:rPr>
                <w:rFonts w:ascii="Verdana" w:eastAsia="Century Gothic" w:hAnsi="Verdana" w:cs="Century Gothic"/>
              </w:rPr>
              <w:t>contratación</w:t>
            </w:r>
            <w:r w:rsidR="00207A46">
              <w:rPr>
                <w:rFonts w:ascii="Verdana" w:eastAsia="Century Gothic" w:hAnsi="Verdana" w:cs="Century Gothic"/>
              </w:rPr>
              <w:t>.</w:t>
            </w:r>
          </w:p>
          <w:p w14:paraId="397D7669" w14:textId="77777777" w:rsidR="00FE508D" w:rsidRPr="00515ACC" w:rsidRDefault="00FE508D" w:rsidP="00437FA7">
            <w:pPr>
              <w:spacing w:line="276" w:lineRule="auto"/>
              <w:ind w:firstLine="708"/>
              <w:jc w:val="both"/>
              <w:rPr>
                <w:rFonts w:ascii="Verdana" w:eastAsia="Calibri" w:hAnsi="Verdana" w:cs="Arial"/>
                <w:lang w:val="es-ES"/>
              </w:rPr>
            </w:pPr>
            <w:r>
              <w:rPr>
                <w:rFonts w:ascii="Verdana" w:hAnsi="Verdana" w:cs="Arial"/>
                <w:color w:val="000000" w:themeColor="text1"/>
              </w:rPr>
              <w:t>En conclusión</w:t>
            </w:r>
            <w:r w:rsidRPr="00515ACC">
              <w:rPr>
                <w:rFonts w:ascii="Verdana" w:hAnsi="Verdana" w:cs="Arial"/>
                <w:color w:val="000000" w:themeColor="text1"/>
              </w:rPr>
              <w:t xml:space="preserve">, </w:t>
            </w:r>
            <w:r w:rsidRPr="00515ACC">
              <w:rPr>
                <w:rFonts w:ascii="Verdana" w:eastAsia="Calibri" w:hAnsi="Verdana" w:cs="Arial"/>
                <w:color w:val="000000" w:themeColor="text1"/>
              </w:rPr>
              <w:t>lo que debe adoptarse obligatoriamente es la</w:t>
            </w:r>
            <w:r w:rsidRPr="00515ACC">
              <w:rPr>
                <w:rFonts w:ascii="Verdana" w:hAnsi="Verdana" w:cs="Arial"/>
                <w:color w:val="000000" w:themeColor="text1"/>
              </w:rPr>
              <w:t xml:space="preserve"> limitación a </w:t>
            </w:r>
            <w:proofErr w:type="spellStart"/>
            <w:r w:rsidRPr="00515ACC">
              <w:rPr>
                <w:rFonts w:ascii="Verdana" w:hAnsi="Verdana" w:cs="Arial"/>
                <w:color w:val="000000" w:themeColor="text1"/>
              </w:rPr>
              <w:t>Mipymes</w:t>
            </w:r>
            <w:proofErr w:type="spellEnd"/>
            <w:r w:rsidRPr="00515ACC">
              <w:rPr>
                <w:rFonts w:ascii="Verdana" w:hAnsi="Verdana" w:cs="Arial"/>
                <w:color w:val="000000" w:themeColor="text1"/>
              </w:rPr>
              <w:t xml:space="preserve"> colombianas</w:t>
            </w:r>
            <w:r w:rsidRPr="00515ACC">
              <w:rPr>
                <w:rFonts w:ascii="Verdana" w:eastAsia="Calibri" w:hAnsi="Verdana" w:cs="Arial"/>
                <w:color w:val="000000" w:themeColor="text1"/>
              </w:rPr>
              <w:t xml:space="preserve"> siempre que se cumplan las condiciones del artículo 2.2.1.2.4.2.2 del Decreto 1082 de 2015, </w:t>
            </w:r>
            <w:r w:rsidRPr="00515ACC">
              <w:rPr>
                <w:rFonts w:ascii="Verdana" w:eastAsia="Calibri" w:hAnsi="Verdana" w:cs="Arial"/>
                <w:lang w:val="es-ES"/>
              </w:rPr>
              <w:t xml:space="preserve">pero no la “limitación territorial” referida en el artículo 2.2.1.2.4.2.3 ibidem, pues esta, es facultativa para la entidad. Las únicas exigencias son que la convocatoria esté limitada a las </w:t>
            </w:r>
            <w:proofErr w:type="spellStart"/>
            <w:r w:rsidRPr="00515ACC">
              <w:rPr>
                <w:rFonts w:ascii="Verdana" w:eastAsia="Calibri" w:hAnsi="Verdana" w:cs="Arial"/>
                <w:lang w:val="es-ES"/>
              </w:rPr>
              <w:t>Mipyme</w:t>
            </w:r>
            <w:proofErr w:type="spellEnd"/>
            <w:r w:rsidRPr="00515ACC">
              <w:rPr>
                <w:rFonts w:ascii="Verdana" w:eastAsia="Calibri" w:hAnsi="Verdana" w:cs="Arial"/>
                <w:lang w:val="es-ES"/>
              </w:rPr>
              <w:t xml:space="preserve"> nacionales “domiciliadas en los departamentos o municipios en donde se va a ejecutar el contrato” y que la entidad justifique su decisión en los “estudios del sector”. </w:t>
            </w:r>
          </w:p>
          <w:p w14:paraId="4968A915" w14:textId="77777777" w:rsidR="00FE508D" w:rsidRPr="00437FA7" w:rsidRDefault="00FE508D" w:rsidP="00437FA7">
            <w:pPr>
              <w:spacing w:line="276" w:lineRule="auto"/>
              <w:ind w:firstLine="709"/>
              <w:jc w:val="both"/>
              <w:rPr>
                <w:rFonts w:ascii="Verdana" w:eastAsia="Century Gothic" w:hAnsi="Verdana" w:cs="Century Gothic"/>
                <w:lang w:val="es-ES"/>
              </w:rPr>
            </w:pPr>
          </w:p>
          <w:p w14:paraId="35646B3F" w14:textId="23F87DAE" w:rsidR="008C5875" w:rsidRPr="006A263E" w:rsidRDefault="006E6674" w:rsidP="00D36059">
            <w:pPr>
              <w:pStyle w:val="Prrafodelista"/>
              <w:numPr>
                <w:ilvl w:val="0"/>
                <w:numId w:val="21"/>
              </w:numPr>
              <w:spacing w:line="276" w:lineRule="auto"/>
              <w:ind w:left="0" w:firstLine="0"/>
              <w:jc w:val="both"/>
              <w:rPr>
                <w:rFonts w:ascii="Verdana" w:eastAsia="Arial" w:hAnsi="Verdana" w:cs="Arial"/>
              </w:rPr>
            </w:pPr>
            <w:r>
              <w:rPr>
                <w:rFonts w:ascii="Verdana" w:eastAsia="Arial" w:hAnsi="Verdana" w:cs="Arial"/>
              </w:rPr>
              <w:t>E</w:t>
            </w:r>
            <w:r w:rsidR="008C5875" w:rsidRPr="00BD7409">
              <w:rPr>
                <w:rFonts w:ascii="Verdana" w:eastAsia="Arial" w:hAnsi="Verdana" w:cs="Arial"/>
              </w:rPr>
              <w:t xml:space="preserve">l artículo 2.2.1.2.4.2.1 del Decreto 1082 de 2015 estableció que </w:t>
            </w:r>
            <w:r w:rsidR="008C5875" w:rsidRPr="006A263E">
              <w:rPr>
                <w:rFonts w:ascii="Verdana" w:eastAsia="Arial" w:hAnsi="Verdana" w:cs="Arial"/>
              </w:rPr>
              <w:t xml:space="preserve">será procedente la limitación a favor de las </w:t>
            </w:r>
            <w:proofErr w:type="spellStart"/>
            <w:r w:rsidR="008C5875" w:rsidRPr="006A263E">
              <w:rPr>
                <w:rFonts w:ascii="Verdana" w:eastAsia="Arial" w:hAnsi="Verdana" w:cs="Arial"/>
              </w:rPr>
              <w:t>Mipymes</w:t>
            </w:r>
            <w:proofErr w:type="spellEnd"/>
            <w:r w:rsidR="008C5875" w:rsidRPr="006A263E">
              <w:rPr>
                <w:rFonts w:ascii="Verdana" w:eastAsia="Arial" w:hAnsi="Verdana" w:cs="Arial"/>
              </w:rPr>
              <w:t xml:space="preserve"> colombianas con un año de constitución cuando concurran los siguientes requisitos:</w:t>
            </w:r>
          </w:p>
          <w:p w14:paraId="7759AECB" w14:textId="77777777" w:rsidR="00D36059" w:rsidRPr="006A263E" w:rsidRDefault="00D36059" w:rsidP="00437FA7">
            <w:pPr>
              <w:pStyle w:val="Prrafodelista"/>
              <w:spacing w:line="276" w:lineRule="auto"/>
              <w:ind w:left="0"/>
              <w:jc w:val="both"/>
              <w:rPr>
                <w:rFonts w:ascii="Verdana" w:eastAsia="Arial" w:hAnsi="Verdana" w:cs="Arial"/>
              </w:rPr>
            </w:pPr>
          </w:p>
          <w:p w14:paraId="1E044DA5" w14:textId="77777777" w:rsidR="004714FD" w:rsidRPr="00D36059" w:rsidRDefault="008C5875" w:rsidP="00D36059">
            <w:pPr>
              <w:ind w:left="709" w:right="709"/>
              <w:jc w:val="both"/>
              <w:rPr>
                <w:rFonts w:ascii="Verdana" w:eastAsia="Arial" w:hAnsi="Verdana" w:cs="Arial"/>
                <w:sz w:val="20"/>
                <w:szCs w:val="20"/>
              </w:rPr>
            </w:pPr>
            <w:r w:rsidRPr="00437FA7">
              <w:rPr>
                <w:rFonts w:ascii="Verdana" w:eastAsia="Arial" w:hAnsi="Verdana" w:cs="Arial"/>
                <w:sz w:val="20"/>
                <w:szCs w:val="20"/>
              </w:rPr>
              <w:t>“(…) 1. El valor del Proceso de Contratación sea menor a ciento veinticinco mil dólares de los Estados Unidos de América (US$125.000), liquidados con la tasa de cambio que para el efecto determina cada dos años el Ministerio de Comercio, Industria y Turismo.</w:t>
            </w:r>
            <w:bookmarkStart w:id="0" w:name="2.2.1.2.4.2.2.2"/>
            <w:bookmarkEnd w:id="0"/>
          </w:p>
          <w:p w14:paraId="3A4D8163" w14:textId="77777777" w:rsidR="00D36059" w:rsidRPr="00437FA7" w:rsidRDefault="00D36059" w:rsidP="00437FA7">
            <w:pPr>
              <w:ind w:left="709" w:right="709"/>
              <w:jc w:val="both"/>
              <w:rPr>
                <w:rFonts w:ascii="Verdana" w:eastAsia="Arial" w:hAnsi="Verdana" w:cs="Arial"/>
                <w:sz w:val="20"/>
                <w:szCs w:val="20"/>
              </w:rPr>
            </w:pPr>
          </w:p>
          <w:p w14:paraId="14439DE0" w14:textId="66672506" w:rsidR="008C5875" w:rsidRDefault="008C5875" w:rsidP="00D36059">
            <w:pPr>
              <w:ind w:left="709" w:right="709"/>
              <w:jc w:val="both"/>
              <w:rPr>
                <w:rFonts w:ascii="Verdana" w:eastAsia="Arial" w:hAnsi="Verdana" w:cs="Arial"/>
                <w:sz w:val="20"/>
                <w:szCs w:val="20"/>
              </w:rPr>
            </w:pPr>
            <w:r w:rsidRPr="00437FA7">
              <w:rPr>
                <w:rFonts w:ascii="Verdana" w:eastAsia="Arial" w:hAnsi="Verdana" w:cs="Arial"/>
                <w:sz w:val="20"/>
                <w:szCs w:val="20"/>
              </w:rPr>
              <w:t xml:space="preserve">2. Se hayan recibido solicitudes de por lo menos dos (2) </w:t>
            </w:r>
            <w:proofErr w:type="spellStart"/>
            <w:r w:rsidRPr="00437FA7">
              <w:rPr>
                <w:rFonts w:ascii="Verdana" w:eastAsia="Arial" w:hAnsi="Verdana" w:cs="Arial"/>
                <w:sz w:val="20"/>
                <w:szCs w:val="20"/>
              </w:rPr>
              <w:t>Mipyme</w:t>
            </w:r>
            <w:proofErr w:type="spellEnd"/>
            <w:r w:rsidRPr="00437FA7">
              <w:rPr>
                <w:rFonts w:ascii="Verdana" w:eastAsia="Arial" w:hAnsi="Verdana" w:cs="Arial"/>
                <w:sz w:val="20"/>
                <w:szCs w:val="20"/>
              </w:rPr>
              <w:t xml:space="preserve"> colombianas para limitar la convocatoria a </w:t>
            </w:r>
            <w:proofErr w:type="spellStart"/>
            <w:r w:rsidRPr="00437FA7">
              <w:rPr>
                <w:rFonts w:ascii="Verdana" w:eastAsia="Arial" w:hAnsi="Verdana" w:cs="Arial"/>
                <w:sz w:val="20"/>
                <w:szCs w:val="20"/>
              </w:rPr>
              <w:t>Mipyme</w:t>
            </w:r>
            <w:proofErr w:type="spellEnd"/>
            <w:r w:rsidRPr="00437FA7">
              <w:rPr>
                <w:rFonts w:ascii="Verdana" w:eastAsia="Arial" w:hAnsi="Verdana" w:cs="Arial"/>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2F028FD" w14:textId="77777777" w:rsidR="00D36059" w:rsidRPr="00437FA7" w:rsidRDefault="00D36059" w:rsidP="00437FA7">
            <w:pPr>
              <w:ind w:left="709" w:right="709"/>
              <w:jc w:val="both"/>
              <w:rPr>
                <w:rFonts w:ascii="Verdana" w:eastAsia="Arial" w:hAnsi="Verdana" w:cs="Arial"/>
                <w:sz w:val="20"/>
                <w:szCs w:val="20"/>
              </w:rPr>
            </w:pPr>
          </w:p>
          <w:p w14:paraId="53CAEB0F" w14:textId="3216CE36" w:rsidR="008C5875" w:rsidRPr="00D36059" w:rsidRDefault="008C5875" w:rsidP="00D36059">
            <w:pPr>
              <w:ind w:left="709" w:right="709"/>
              <w:jc w:val="both"/>
              <w:rPr>
                <w:rFonts w:ascii="Verdana" w:eastAsia="Arial" w:hAnsi="Verdana" w:cs="Arial"/>
                <w:sz w:val="20"/>
                <w:szCs w:val="20"/>
              </w:rPr>
            </w:pPr>
            <w:r w:rsidRPr="00437FA7">
              <w:rPr>
                <w:rFonts w:ascii="Verdana" w:eastAsia="Arial" w:hAnsi="Verdana" w:cs="Arial"/>
                <w:sz w:val="20"/>
                <w:szCs w:val="20"/>
              </w:rPr>
              <w:t xml:space="preserve">Tratándose de personas jurídicas, las solicitudes solo las podrán realizar </w:t>
            </w:r>
            <w:proofErr w:type="spellStart"/>
            <w:r w:rsidRPr="00437FA7">
              <w:rPr>
                <w:rFonts w:ascii="Verdana" w:eastAsia="Arial" w:hAnsi="Verdana" w:cs="Arial"/>
                <w:sz w:val="20"/>
                <w:szCs w:val="20"/>
              </w:rPr>
              <w:t>Mipyme</w:t>
            </w:r>
            <w:proofErr w:type="spellEnd"/>
            <w:r w:rsidRPr="00437FA7">
              <w:rPr>
                <w:rFonts w:ascii="Verdana" w:eastAsia="Arial" w:hAnsi="Verdana" w:cs="Arial"/>
                <w:sz w:val="20"/>
                <w:szCs w:val="20"/>
              </w:rPr>
              <w:t>, cuyo objeto social les permita ejecutar el contrato relacionado con el proceso contractual. (…)”</w:t>
            </w:r>
          </w:p>
          <w:p w14:paraId="552088CA" w14:textId="77777777" w:rsidR="00D36059" w:rsidRPr="00D36059" w:rsidRDefault="00D36059" w:rsidP="00437FA7">
            <w:pPr>
              <w:ind w:left="709" w:right="709"/>
              <w:jc w:val="both"/>
              <w:rPr>
                <w:rFonts w:ascii="Verdana" w:eastAsia="Arial" w:hAnsi="Verdana" w:cs="Arial"/>
              </w:rPr>
            </w:pPr>
          </w:p>
          <w:p w14:paraId="1E96CF71" w14:textId="260F3BF5" w:rsidR="008C5875" w:rsidRPr="006A263E" w:rsidRDefault="008C5875" w:rsidP="00437FA7">
            <w:pPr>
              <w:spacing w:after="120" w:line="276" w:lineRule="auto"/>
              <w:ind w:firstLine="709"/>
              <w:jc w:val="both"/>
              <w:rPr>
                <w:rFonts w:ascii="Verdana" w:eastAsia="Arial" w:hAnsi="Verdana" w:cs="Arial"/>
              </w:rPr>
            </w:pPr>
            <w:r w:rsidRPr="006A263E">
              <w:rPr>
                <w:rFonts w:ascii="Verdana" w:eastAsia="Arial" w:hAnsi="Verdana" w:cs="Arial"/>
              </w:rPr>
              <w:t xml:space="preserve">De tal manera que, le corresponderá a la Entidad contratante evaluar el cumplimiento de los requisitos señalados </w:t>
            </w:r>
            <w:r w:rsidR="006E22FA">
              <w:rPr>
                <w:rFonts w:ascii="Verdana" w:eastAsia="Arial" w:hAnsi="Verdana" w:cs="Arial"/>
              </w:rPr>
              <w:t xml:space="preserve">para realizar </w:t>
            </w:r>
            <w:r w:rsidRPr="006A263E">
              <w:rPr>
                <w:rFonts w:ascii="Verdana" w:eastAsia="Arial" w:hAnsi="Verdana" w:cs="Arial"/>
              </w:rPr>
              <w:t xml:space="preserve">las convocatorias </w:t>
            </w:r>
            <w:r w:rsidR="006E22FA">
              <w:rPr>
                <w:rFonts w:ascii="Verdana" w:eastAsia="Arial" w:hAnsi="Verdana" w:cs="Arial"/>
              </w:rPr>
              <w:lastRenderedPageBreak/>
              <w:t>limitadas</w:t>
            </w:r>
            <w:r w:rsidRPr="006A263E">
              <w:rPr>
                <w:rFonts w:ascii="Verdana" w:eastAsia="Arial" w:hAnsi="Verdana" w:cs="Arial"/>
              </w:rPr>
              <w:t xml:space="preserve"> a </w:t>
            </w:r>
            <w:proofErr w:type="spellStart"/>
            <w:r w:rsidRPr="006A263E">
              <w:rPr>
                <w:rFonts w:ascii="Verdana" w:eastAsia="Arial" w:hAnsi="Verdana" w:cs="Arial"/>
              </w:rPr>
              <w:t>Mipymes</w:t>
            </w:r>
            <w:proofErr w:type="spellEnd"/>
            <w:r w:rsidRPr="006A263E">
              <w:rPr>
                <w:rFonts w:ascii="Verdana" w:eastAsia="Arial" w:hAnsi="Verdana" w:cs="Arial"/>
              </w:rPr>
              <w:t xml:space="preserve"> en los Procesos de Contratación que adelante la </w:t>
            </w:r>
            <w:r w:rsidR="00D36059" w:rsidRPr="006A263E">
              <w:rPr>
                <w:rFonts w:ascii="Verdana" w:eastAsia="Arial" w:hAnsi="Verdana" w:cs="Arial"/>
              </w:rPr>
              <w:t>Entidad Estatal</w:t>
            </w:r>
            <w:r w:rsidRPr="006A263E">
              <w:rPr>
                <w:rFonts w:ascii="Verdana" w:eastAsia="Arial" w:hAnsi="Verdana" w:cs="Arial"/>
              </w:rPr>
              <w:t>, en especial</w:t>
            </w:r>
            <w:r w:rsidR="006E22FA">
              <w:rPr>
                <w:rFonts w:ascii="Verdana" w:eastAsia="Arial" w:hAnsi="Verdana" w:cs="Arial"/>
              </w:rPr>
              <w:t>, se deberá verificar</w:t>
            </w:r>
            <w:r w:rsidRPr="006A263E">
              <w:rPr>
                <w:rFonts w:ascii="Verdana" w:eastAsia="Arial" w:hAnsi="Verdana" w:cs="Arial"/>
              </w:rPr>
              <w:t xml:space="preserve"> si el valor del Proceso de Contratación es menor a ciento veinticinco mil dólares de los Estados Unidos de América (US$125.000</w:t>
            </w:r>
            <w:r w:rsidR="00B33FD3">
              <w:rPr>
                <w:rFonts w:ascii="Verdana" w:eastAsia="Arial" w:hAnsi="Verdana" w:cs="Arial"/>
              </w:rPr>
              <w:t>).</w:t>
            </w:r>
          </w:p>
          <w:p w14:paraId="2765EB21" w14:textId="77777777" w:rsidR="008C5875" w:rsidRPr="006A263E" w:rsidRDefault="008C5875" w:rsidP="00437FA7">
            <w:pPr>
              <w:spacing w:after="120" w:line="276" w:lineRule="auto"/>
              <w:ind w:firstLine="709"/>
              <w:jc w:val="both"/>
              <w:rPr>
                <w:rFonts w:ascii="Verdana" w:eastAsia="Arial" w:hAnsi="Verdana" w:cs="Arial"/>
              </w:rPr>
            </w:pPr>
            <w:r w:rsidRPr="006A263E">
              <w:rPr>
                <w:rFonts w:ascii="Verdana" w:eastAsia="Arial" w:hAnsi="Verdana" w:cs="Arial"/>
              </w:rPr>
              <w:t>En los casos de los procesos cuya cuantía es indeterminada y se fije para efectos fiscales, le corresponderá a la entidad contratante determinar si se ajusta a estos presupuestos normativos previamente señalado en el artículo 2.2.1.2.4.2.2 y para lo cual deberán motivar su decisión, atendiendo a los principios de la contratación estatal, función administrativa y dando aplicación al artículo 44 de la ley 1437 de 2011.</w:t>
            </w:r>
          </w:p>
          <w:p w14:paraId="31D0011D" w14:textId="0BFFC332" w:rsidR="008C5875" w:rsidRPr="004A0DB3" w:rsidRDefault="008C5875" w:rsidP="00437FA7">
            <w:pPr>
              <w:spacing w:after="120" w:line="276" w:lineRule="auto"/>
              <w:ind w:firstLine="709"/>
              <w:jc w:val="both"/>
              <w:rPr>
                <w:rFonts w:ascii="Verdana" w:eastAsia="Calibri" w:hAnsi="Verdana" w:cs="Arial"/>
                <w:sz w:val="21"/>
                <w:szCs w:val="21"/>
              </w:rPr>
            </w:pPr>
            <w:r w:rsidRPr="006A263E">
              <w:rPr>
                <w:rFonts w:ascii="Verdana" w:eastAsia="Arial" w:hAnsi="Verdana" w:cs="Arial"/>
              </w:rPr>
              <w:t>Ahora bien, aunque hay contratos de cuantía indeterminada debido a la complejidad de la prestación a través de los años y modalidad, no quiere decir dicha prestación no tengan un valor económico</w:t>
            </w:r>
            <w:r w:rsidR="00BB78B5">
              <w:rPr>
                <w:rFonts w:ascii="Verdana" w:eastAsia="Arial" w:hAnsi="Verdana" w:cs="Arial"/>
              </w:rPr>
              <w:t>.</w:t>
            </w:r>
            <w:r w:rsidRPr="006A263E">
              <w:rPr>
                <w:rFonts w:ascii="Verdana" w:eastAsia="Arial" w:hAnsi="Verdana" w:cs="Arial"/>
              </w:rPr>
              <w:t xml:space="preserve"> </w:t>
            </w:r>
            <w:r w:rsidR="00BB78B5">
              <w:rPr>
                <w:rFonts w:ascii="Verdana" w:eastAsia="Arial" w:hAnsi="Verdana" w:cs="Arial"/>
              </w:rPr>
              <w:t>E</w:t>
            </w:r>
            <w:r w:rsidRPr="006A263E">
              <w:rPr>
                <w:rFonts w:ascii="Verdana" w:eastAsia="Arial" w:hAnsi="Verdana" w:cs="Arial"/>
              </w:rPr>
              <w:t xml:space="preserve">n ese caso, la </w:t>
            </w:r>
            <w:r w:rsidR="00BB78B5" w:rsidRPr="006A263E">
              <w:rPr>
                <w:rFonts w:ascii="Verdana" w:eastAsia="Arial" w:hAnsi="Verdana" w:cs="Arial"/>
              </w:rPr>
              <w:t>Entidad Estatal</w:t>
            </w:r>
            <w:r w:rsidRPr="006A263E">
              <w:rPr>
                <w:rFonts w:ascii="Verdana" w:eastAsia="Arial" w:hAnsi="Verdana" w:cs="Arial"/>
              </w:rPr>
              <w:t xml:space="preserve"> realiza un análisis financiero prospectivo o proyectado a los años del plazo para establecer el valor proyectado, por lo que no será un proceso sin cuantía. Contrario sensu, existen otros procedimientos contractuales que son sin compromiso presupuestal por lo que no tienen disponibilidad ni registro, no es de su naturaleza disponer de dichos recursos o aportes para su trámite o perfeccionamiento, como es el caso de los memorandos de entendimientos o los convenios marcos cuyo objeto es aunar esfuerzos conjuntos misionales a temas varios, los cuales pueden ser sujetos de contratos derivados y específicos y en estos si va inmersa los aportes o disponibilidades presupuestales, y serán estos los que si tengan cuantía.</w:t>
            </w:r>
          </w:p>
        </w:tc>
      </w:tr>
    </w:tbl>
    <w:p w14:paraId="6ABFDCF1" w14:textId="77777777" w:rsidR="008C5875" w:rsidRPr="00593A5F" w:rsidRDefault="008C5875" w:rsidP="003B7253">
      <w:pPr>
        <w:tabs>
          <w:tab w:val="left" w:pos="142"/>
          <w:tab w:val="left" w:pos="284"/>
        </w:tabs>
        <w:spacing w:after="0" w:line="276" w:lineRule="auto"/>
        <w:jc w:val="both"/>
        <w:rPr>
          <w:rFonts w:ascii="Verdana" w:eastAsia="Century Gothic" w:hAnsi="Verdana" w:cs="Century Gothic"/>
          <w:b/>
          <w:bCs/>
          <w:lang w:val="es-ES"/>
        </w:rPr>
      </w:pPr>
    </w:p>
    <w:p w14:paraId="5D8BEA48" w14:textId="77777777" w:rsidR="008C5875" w:rsidRPr="00593A5F" w:rsidRDefault="008C5875" w:rsidP="003B72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BA7B91A" w14:textId="77777777" w:rsidR="008C5875" w:rsidRPr="00593A5F" w:rsidRDefault="008C5875" w:rsidP="003B7253">
      <w:pPr>
        <w:spacing w:after="0" w:line="276" w:lineRule="auto"/>
        <w:jc w:val="both"/>
        <w:rPr>
          <w:rFonts w:ascii="Verdana" w:eastAsia="Calibri" w:hAnsi="Verdana" w:cs="Arial"/>
          <w:color w:val="7030A0"/>
          <w:lang w:val="es-ES"/>
        </w:rPr>
      </w:pPr>
    </w:p>
    <w:p w14:paraId="4C74F854" w14:textId="77777777" w:rsidR="008C5875" w:rsidRDefault="008C5875" w:rsidP="003B725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E679F35" w14:textId="77777777" w:rsidR="008C5875" w:rsidRDefault="008C5875" w:rsidP="003B7253">
      <w:pPr>
        <w:spacing w:after="0" w:line="276" w:lineRule="auto"/>
        <w:jc w:val="both"/>
        <w:rPr>
          <w:rFonts w:ascii="Verdana" w:eastAsia="Calibri" w:hAnsi="Verdana" w:cs="Arial"/>
          <w:lang w:val="es-ES"/>
        </w:rPr>
      </w:pPr>
    </w:p>
    <w:p w14:paraId="65A437DE" w14:textId="2053B3A2" w:rsidR="00ED7ECD" w:rsidRDefault="008C5875" w:rsidP="00437FA7">
      <w:pPr>
        <w:spacing w:after="120" w:line="276" w:lineRule="auto"/>
        <w:jc w:val="both"/>
        <w:rPr>
          <w:rFonts w:ascii="Verdana" w:hAnsi="Verdana" w:cs="Arial"/>
          <w:bCs/>
        </w:rPr>
      </w:pPr>
      <w:r w:rsidRPr="00B35173">
        <w:rPr>
          <w:rFonts w:ascii="Verdana" w:hAnsi="Verdana" w:cs="Arial"/>
          <w:bCs/>
        </w:rPr>
        <w:t xml:space="preserve">La Ley 2069 de 2020 </w:t>
      </w:r>
      <w:r w:rsidR="000074EE">
        <w:rPr>
          <w:rFonts w:ascii="Verdana" w:hAnsi="Verdana" w:cs="Arial"/>
          <w:bCs/>
        </w:rPr>
        <w:t>tiene como</w:t>
      </w:r>
      <w:r w:rsidRPr="00B35173">
        <w:rPr>
          <w:rFonts w:ascii="Verdana" w:hAnsi="Verdana" w:cs="Arial"/>
          <w:bCs/>
        </w:rPr>
        <w:t xml:space="preserve"> finalidad principal generar la reactivación de la economía y fomentar la actividad emprendedora</w:t>
      </w:r>
      <w:r w:rsidR="003765EE">
        <w:rPr>
          <w:rFonts w:ascii="Verdana" w:hAnsi="Verdana" w:cs="Arial"/>
          <w:bCs/>
        </w:rPr>
        <w:t xml:space="preserve">. </w:t>
      </w:r>
      <w:r w:rsidR="003765EE" w:rsidRPr="00B35173">
        <w:rPr>
          <w:rFonts w:ascii="Verdana" w:hAnsi="Verdana" w:cs="Arial"/>
          <w:bCs/>
        </w:rPr>
        <w:t>Por</w:t>
      </w:r>
      <w:r w:rsidRPr="00B35173">
        <w:rPr>
          <w:rFonts w:ascii="Verdana" w:hAnsi="Verdana" w:cs="Arial"/>
          <w:bCs/>
        </w:rPr>
        <w:t xml:space="preserve">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w:t>
      </w:r>
      <w:r w:rsidR="004B6D1F" w:rsidRPr="00B35173">
        <w:rPr>
          <w:rFonts w:ascii="Verdana" w:hAnsi="Verdana" w:cs="Arial"/>
          <w:bCs/>
        </w:rPr>
        <w:t>Ley</w:t>
      </w:r>
      <w:r w:rsidRPr="00B35173">
        <w:rPr>
          <w:rFonts w:ascii="Verdana" w:hAnsi="Verdana" w:cs="Arial"/>
          <w:bCs/>
        </w:rPr>
        <w:t xml:space="preserve"> en comento también concreta la </w:t>
      </w:r>
      <w:r w:rsidR="00186267" w:rsidRPr="00B35173">
        <w:rPr>
          <w:rFonts w:ascii="Verdana" w:hAnsi="Verdana" w:cs="Arial"/>
          <w:bCs/>
        </w:rPr>
        <w:t>“Política</w:t>
      </w:r>
      <w:r w:rsidRPr="00B35173">
        <w:rPr>
          <w:rFonts w:ascii="Verdana" w:hAnsi="Verdana" w:cs="Arial"/>
          <w:bCs/>
        </w:rPr>
        <w:t xml:space="preserve"> de </w:t>
      </w:r>
      <w:r w:rsidRPr="00B35173">
        <w:rPr>
          <w:rFonts w:ascii="Verdana" w:hAnsi="Verdana" w:cs="Arial"/>
          <w:bCs/>
        </w:rPr>
        <w:lastRenderedPageBreak/>
        <w:t>formalización empresarial” del Documento CONPES 3956 del 8 de enero de 2019</w:t>
      </w:r>
      <w:r w:rsidRPr="00B35173">
        <w:rPr>
          <w:rStyle w:val="Refdenotaalpie"/>
          <w:rFonts w:ascii="Verdana" w:hAnsi="Verdana" w:cs="Arial"/>
          <w:bCs/>
        </w:rPr>
        <w:footnoteReference w:id="1"/>
      </w:r>
      <w:r w:rsidRPr="00B35173">
        <w:rPr>
          <w:rFonts w:ascii="Verdana" w:hAnsi="Verdana" w:cs="Arial"/>
          <w:bCs/>
        </w:rPr>
        <w:t>.</w:t>
      </w:r>
    </w:p>
    <w:p w14:paraId="2992F3FA" w14:textId="69C69FEB" w:rsidR="008C5875" w:rsidRDefault="008C5875" w:rsidP="00ED7ECD">
      <w:pPr>
        <w:spacing w:after="120" w:line="276" w:lineRule="auto"/>
        <w:ind w:firstLine="708"/>
        <w:jc w:val="both"/>
        <w:rPr>
          <w:rFonts w:ascii="Verdana" w:hAnsi="Verdana" w:cs="Arial"/>
          <w:bCs/>
        </w:rPr>
      </w:pPr>
      <w:r>
        <w:rPr>
          <w:rFonts w:ascii="Verdana" w:hAnsi="Verdana" w:cs="Arial"/>
          <w:bCs/>
        </w:rPr>
        <w:t xml:space="preserve">En ese sentido, la </w:t>
      </w:r>
      <w:r w:rsidRPr="00AD446C">
        <w:rPr>
          <w:rFonts w:ascii="Verdana" w:hAnsi="Verdana" w:cs="Arial"/>
          <w:bCs/>
        </w:rPr>
        <w:t xml:space="preserve">Ley 2069 </w:t>
      </w:r>
      <w:r>
        <w:rPr>
          <w:rFonts w:ascii="Verdana" w:hAnsi="Verdana" w:cs="Arial"/>
          <w:bCs/>
        </w:rPr>
        <w:t xml:space="preserve">de 2020 </w:t>
      </w:r>
      <w:r w:rsidRPr="00AD446C">
        <w:rPr>
          <w:rFonts w:ascii="Verdana" w:hAnsi="Verdana" w:cs="Arial"/>
          <w:bCs/>
        </w:rPr>
        <w:t xml:space="preserve">contiene normas que modifican algunos aspectos de la contratación estatal para promover el emprendimiento. Concretamente, aquellas se encuentran en el Capítulo III – artículos 30 al 36 –. En su orden, tales artículos consagran: i) reglas sobre la participación de las </w:t>
      </w:r>
      <w:proofErr w:type="spellStart"/>
      <w:r w:rsidR="008E4D59" w:rsidRPr="00AD446C">
        <w:rPr>
          <w:rFonts w:ascii="Verdana" w:hAnsi="Verdana" w:cs="Arial"/>
          <w:bCs/>
        </w:rPr>
        <w:t>Mipymes</w:t>
      </w:r>
      <w:proofErr w:type="spellEnd"/>
      <w:r w:rsidRPr="00AD446C">
        <w:rPr>
          <w:rFonts w:ascii="Verdana" w:hAnsi="Verdana" w:cs="Arial"/>
          <w:bCs/>
        </w:rPr>
        <w:t xml:space="preserve"> en el procedimiento de mínima cuantía, </w:t>
      </w:r>
      <w:proofErr w:type="spellStart"/>
      <w:r w:rsidRPr="00AD446C">
        <w:rPr>
          <w:rFonts w:ascii="Verdana" w:hAnsi="Verdana" w:cs="Arial"/>
          <w:bCs/>
        </w:rPr>
        <w:t>ii</w:t>
      </w:r>
      <w:proofErr w:type="spellEnd"/>
      <w:r w:rsidRPr="00AD446C">
        <w:rPr>
          <w:rFonts w:ascii="Verdana" w:hAnsi="Verdana" w:cs="Arial"/>
          <w:bCs/>
        </w:rPr>
        <w:t xml:space="preserve">) criterios diferenciales para </w:t>
      </w:r>
      <w:proofErr w:type="spellStart"/>
      <w:r w:rsidR="00452976" w:rsidRPr="00AD446C">
        <w:rPr>
          <w:rFonts w:ascii="Verdana" w:hAnsi="Verdana" w:cs="Arial"/>
          <w:bCs/>
        </w:rPr>
        <w:t>Mipymes</w:t>
      </w:r>
      <w:proofErr w:type="spellEnd"/>
      <w:r w:rsidRPr="00AD446C">
        <w:rPr>
          <w:rFonts w:ascii="Verdana" w:hAnsi="Verdana" w:cs="Arial"/>
          <w:bCs/>
        </w:rPr>
        <w:t xml:space="preserve"> en el sistema de compras públicas, </w:t>
      </w:r>
      <w:proofErr w:type="spellStart"/>
      <w:r w:rsidRPr="00AD446C">
        <w:rPr>
          <w:rFonts w:ascii="Verdana" w:hAnsi="Verdana" w:cs="Arial"/>
          <w:bCs/>
        </w:rPr>
        <w:t>iii</w:t>
      </w:r>
      <w:proofErr w:type="spellEnd"/>
      <w:r w:rsidRPr="00AD446C">
        <w:rPr>
          <w:rFonts w:ascii="Verdana" w:hAnsi="Verdana" w:cs="Arial"/>
          <w:bCs/>
        </w:rPr>
        <w:t xml:space="preserve">) criterios diferenciales para emprendimientos y empresas de mujeres en el sistema de compras públicas, </w:t>
      </w:r>
      <w:proofErr w:type="spellStart"/>
      <w:r w:rsidRPr="00AD446C">
        <w:rPr>
          <w:rFonts w:ascii="Verdana" w:hAnsi="Verdana" w:cs="Arial"/>
          <w:bCs/>
        </w:rPr>
        <w:t>iv</w:t>
      </w:r>
      <w:proofErr w:type="spellEnd"/>
      <w:r w:rsidRPr="00AD446C">
        <w:rPr>
          <w:rFonts w:ascii="Verdana" w:hAnsi="Verdana" w:cs="Arial"/>
          <w:bCs/>
        </w:rPr>
        <w:t xml:space="preserve">) promoción del acceso de las </w:t>
      </w:r>
      <w:proofErr w:type="spellStart"/>
      <w:r w:rsidR="00452976" w:rsidRPr="00AD446C">
        <w:rPr>
          <w:rFonts w:ascii="Verdana" w:hAnsi="Verdana" w:cs="Arial"/>
          <w:bCs/>
        </w:rPr>
        <w:t>Mipymes</w:t>
      </w:r>
      <w:proofErr w:type="spellEnd"/>
      <w:r w:rsidRPr="00AD446C">
        <w:rPr>
          <w:rFonts w:ascii="Verdana" w:hAnsi="Verdana" w:cs="Arial"/>
          <w:bCs/>
        </w:rPr>
        <w:t xml:space="preserve"> al mercado de compras públicas, v) promoción del desarrollo en la contratación pública, vi) un nuevo régimen de factores de desempate y vi) un llamado a las </w:t>
      </w:r>
      <w:r w:rsidR="005001D3" w:rsidRPr="00AD446C">
        <w:rPr>
          <w:rFonts w:ascii="Verdana" w:hAnsi="Verdana" w:cs="Arial"/>
          <w:bCs/>
        </w:rPr>
        <w:t>Entidades Estatales</w:t>
      </w:r>
      <w:r w:rsidRPr="00AD446C">
        <w:rPr>
          <w:rFonts w:ascii="Verdana" w:hAnsi="Verdana" w:cs="Arial"/>
          <w:bCs/>
        </w:rPr>
        <w:t xml:space="preserve"> para que promuevan compras públicas en el marco de la tecnología y la innovación.</w:t>
      </w:r>
    </w:p>
    <w:p w14:paraId="01DA8C71" w14:textId="52920497" w:rsidR="00ED7ECD" w:rsidRDefault="00186267" w:rsidP="00437FA7">
      <w:pPr>
        <w:spacing w:after="120" w:line="276" w:lineRule="auto"/>
        <w:ind w:firstLine="360"/>
        <w:jc w:val="both"/>
        <w:rPr>
          <w:rFonts w:ascii="Verdana" w:hAnsi="Verdana"/>
        </w:rPr>
      </w:pPr>
      <w:r>
        <w:rPr>
          <w:rFonts w:ascii="Verdana" w:hAnsi="Verdana" w:cs="Arial"/>
          <w:bCs/>
        </w:rPr>
        <w:tab/>
      </w:r>
      <w:r w:rsidR="008C5875" w:rsidRPr="00AB1A95">
        <w:rPr>
          <w:rFonts w:ascii="Verdana" w:hAnsi="Verdana"/>
        </w:rPr>
        <w:t xml:space="preserve">En ese orden, se puede afirmar que las mismas buscan fomentar la actividad de las empresas que, por su tamaño o capacidad económica, no podrían competir en condiciones de igualdad con aquellas que cuentan con grandes capitales y plantas de personal. De esta manera, no solo estas pequeñas unidades de explotación económica se hacen visibles dentro del mercado de bienes y servicios requeridos por las </w:t>
      </w:r>
      <w:r w:rsidR="00DC309C" w:rsidRPr="00AB1A95">
        <w:rPr>
          <w:rFonts w:ascii="Verdana" w:hAnsi="Verdana"/>
        </w:rPr>
        <w:t>Entidades Públicas</w:t>
      </w:r>
      <w:r w:rsidR="008C5875" w:rsidRPr="00AB1A95">
        <w:rPr>
          <w:rFonts w:ascii="Verdana" w:hAnsi="Verdana"/>
        </w:rPr>
        <w:t>, sino que se promueve de manera directa el crecimiento de las regiones en las que se desarrolla tal actividad económica.</w:t>
      </w:r>
    </w:p>
    <w:p w14:paraId="04B3E959" w14:textId="0CA878D1" w:rsidR="00ED7ECD" w:rsidRDefault="00FA746C" w:rsidP="00437FA7">
      <w:pPr>
        <w:spacing w:after="120" w:line="276" w:lineRule="auto"/>
        <w:ind w:firstLine="708"/>
        <w:jc w:val="both"/>
        <w:rPr>
          <w:rFonts w:ascii="Verdana" w:hAnsi="Verdana" w:cs="Arial"/>
          <w:bCs/>
        </w:rPr>
      </w:pPr>
      <w:r w:rsidRPr="00ED7ECD">
        <w:rPr>
          <w:rFonts w:ascii="Verdana" w:hAnsi="Verdana" w:cs="Arial"/>
          <w:bCs/>
        </w:rPr>
        <w:t xml:space="preserve">El artículo 34 de la Ley 2069 de 2020, el cual modificó el artículo 12 de la Ley 1150 de 2007, regula la promoción del desarrollo en la contratación pública, cambiando los requisitos esenciales para que procedan las convocatorias limitadas a </w:t>
      </w:r>
      <w:proofErr w:type="spellStart"/>
      <w:r w:rsidRPr="00ED7ECD">
        <w:rPr>
          <w:rFonts w:ascii="Verdana" w:hAnsi="Verdana" w:cs="Arial"/>
          <w:bCs/>
        </w:rPr>
        <w:t>Mipymes</w:t>
      </w:r>
      <w:proofErr w:type="spellEnd"/>
      <w:r w:rsidRPr="00ED7ECD">
        <w:rPr>
          <w:rFonts w:ascii="Verdana" w:hAnsi="Verdana" w:cs="Arial"/>
          <w:bCs/>
        </w:rPr>
        <w:t xml:space="preserve">, de la siguiente forma: i) estableció que estas deben desarrollarse independientemente del régimen de contratación de la Entidad Estatal –es decir, también deben efectuarlas las Entidades Estatales exceptuadas </w:t>
      </w:r>
      <w:r w:rsidRPr="00ED7ECD">
        <w:rPr>
          <w:rFonts w:ascii="Verdana" w:hAnsi="Verdana" w:cs="Arial"/>
          <w:bCs/>
        </w:rPr>
        <w:lastRenderedPageBreak/>
        <w:t xml:space="preserve">del EGCAP o que se rigen por derecho privado–; </w:t>
      </w:r>
      <w:proofErr w:type="spellStart"/>
      <w:r w:rsidRPr="00ED7ECD">
        <w:rPr>
          <w:rFonts w:ascii="Verdana" w:hAnsi="Verdana" w:cs="Arial"/>
          <w:bCs/>
        </w:rPr>
        <w:t>ii</w:t>
      </w:r>
      <w:proofErr w:type="spellEnd"/>
      <w:r w:rsidRPr="00ED7ECD">
        <w:rPr>
          <w:rFonts w:ascii="Verdana" w:hAnsi="Verdana" w:cs="Arial"/>
          <w:bCs/>
        </w:rPr>
        <w:t xml:space="preserve">) señaló que los patrimonios autónomos constituidos por Entidades Estatales y los particulares que ejecuten recursos públicos también son destinatarios de esta exigencia; y,  </w:t>
      </w:r>
      <w:proofErr w:type="spellStart"/>
      <w:r w:rsidRPr="00ED7ECD">
        <w:rPr>
          <w:rFonts w:ascii="Verdana" w:hAnsi="Verdana" w:cs="Arial"/>
          <w:bCs/>
        </w:rPr>
        <w:t>iii</w:t>
      </w:r>
      <w:proofErr w:type="spellEnd"/>
      <w:r w:rsidRPr="00ED7ECD">
        <w:rPr>
          <w:rFonts w:ascii="Verdana" w:hAnsi="Verdana" w:cs="Arial"/>
          <w:bCs/>
        </w:rPr>
        <w:t xml:space="preserve">) indicó que para que pueda haber convocatorias limitadas a </w:t>
      </w:r>
      <w:proofErr w:type="spellStart"/>
      <w:r w:rsidRPr="00ED7ECD">
        <w:rPr>
          <w:rFonts w:ascii="Verdana" w:hAnsi="Verdana" w:cs="Arial"/>
          <w:bCs/>
        </w:rPr>
        <w:t>Mipymes</w:t>
      </w:r>
      <w:proofErr w:type="spellEnd"/>
      <w:r w:rsidRPr="00ED7ECD">
        <w:rPr>
          <w:rFonts w:ascii="Verdana" w:hAnsi="Verdana" w:cs="Arial"/>
          <w:bCs/>
        </w:rPr>
        <w:t xml:space="preserve">, dos (2) de ellas deben manifestar su interés. </w:t>
      </w:r>
    </w:p>
    <w:p w14:paraId="3D31774D" w14:textId="77777777" w:rsidR="00FA746C" w:rsidRPr="00ED7ECD" w:rsidRDefault="00FA746C" w:rsidP="00437FA7">
      <w:pPr>
        <w:spacing w:after="0" w:line="276" w:lineRule="auto"/>
        <w:ind w:firstLine="708"/>
        <w:jc w:val="both"/>
        <w:rPr>
          <w:rFonts w:ascii="Verdana" w:hAnsi="Verdana" w:cs="Arial"/>
          <w:bCs/>
        </w:rPr>
      </w:pPr>
      <w:r w:rsidRPr="00ED7ECD">
        <w:rPr>
          <w:rFonts w:ascii="Verdana" w:hAnsi="Verdana" w:cs="Arial"/>
          <w:bCs/>
        </w:rPr>
        <w:t xml:space="preserve">En desarrollo de la anterior disposición, el artículo 2.2.1.2.4.2.2. del Decreto 1082 de 2015 -modificado por el Decreto 1860 de 2021- establece los requisitos que se deben acreditar en las “convocatorias limitadas a </w:t>
      </w:r>
      <w:proofErr w:type="spellStart"/>
      <w:r w:rsidRPr="00ED7ECD">
        <w:rPr>
          <w:rFonts w:ascii="Verdana" w:hAnsi="Verdana" w:cs="Arial"/>
          <w:bCs/>
        </w:rPr>
        <w:t>Mipymes</w:t>
      </w:r>
      <w:proofErr w:type="spellEnd"/>
      <w:r w:rsidRPr="00ED7ECD">
        <w:rPr>
          <w:rFonts w:ascii="Verdana" w:hAnsi="Verdana" w:cs="Arial"/>
          <w:bCs/>
        </w:rPr>
        <w:t>”. Al respecto indica lo siguiente:</w:t>
      </w:r>
    </w:p>
    <w:p w14:paraId="2DBA94B3" w14:textId="77777777" w:rsidR="00FA746C" w:rsidRDefault="00FA746C" w:rsidP="00FA746C">
      <w:pPr>
        <w:widowControl w:val="0"/>
        <w:tabs>
          <w:tab w:val="left" w:pos="382"/>
        </w:tabs>
        <w:autoSpaceDE w:val="0"/>
        <w:autoSpaceDN w:val="0"/>
        <w:spacing w:after="0" w:line="276" w:lineRule="auto"/>
        <w:jc w:val="both"/>
        <w:outlineLvl w:val="0"/>
        <w:rPr>
          <w:rFonts w:ascii="Verdana" w:eastAsia="Verdana" w:hAnsi="Verdana" w:cs="Verdana"/>
          <w:b/>
          <w:bCs/>
          <w:lang w:val="es-ES"/>
        </w:rPr>
      </w:pPr>
    </w:p>
    <w:p w14:paraId="69E754B1" w14:textId="77777777"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“Artículo 2.2.1.2.4.2.2. Convocatorias Imitadas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Las Entidades Estatales independientemente de su régimen de contratación, los patrimonios autónomos constituidos por Entidades Estatales y los particulares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5"/>
          <w:sz w:val="20"/>
          <w:szCs w:val="20"/>
          <w:lang w:val="es-ES"/>
        </w:rPr>
        <w:t xml:space="preserve"> </w:t>
      </w:r>
      <w:r w:rsidRPr="00437FA7">
        <w:rPr>
          <w:rFonts w:ascii="Verdana" w:eastAsia="Verdana" w:hAnsi="Verdana" w:cs="Verdana"/>
          <w:i/>
          <w:sz w:val="20"/>
          <w:szCs w:val="20"/>
          <w:lang w:val="es-ES"/>
        </w:rPr>
        <w:t>deben</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limitar</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convocatoria 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pluralidad</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oferentes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4"/>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con mínimo un (1) año de existencia, cuando concurran los siguientes requisitos:</w:t>
      </w:r>
    </w:p>
    <w:p w14:paraId="6AA8F6F2" w14:textId="77777777"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6F168A49" w14:textId="77777777"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594E5E">
        <w:rPr>
          <w:rFonts w:ascii="Verdana" w:eastAsia="Verdana" w:hAnsi="Verdana" w:cs="Verdana"/>
          <w:sz w:val="20"/>
          <w:szCs w:val="20"/>
          <w:lang w:val="es-ES"/>
        </w:rPr>
        <w:t>1. 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valor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sea</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menor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ciento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veinticinco</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mil dólares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Estados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Unidos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América</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(US$125.000),</w:t>
      </w:r>
      <w:r w:rsidRPr="00594E5E">
        <w:rPr>
          <w:rFonts w:ascii="Verdana" w:eastAsia="Verdana" w:hAnsi="Verdana" w:cs="Verdana"/>
          <w:spacing w:val="-11"/>
          <w:sz w:val="20"/>
          <w:szCs w:val="20"/>
          <w:lang w:val="es-ES"/>
        </w:rPr>
        <w:t xml:space="preserve"> </w:t>
      </w:r>
      <w:r w:rsidRPr="00594E5E">
        <w:rPr>
          <w:rFonts w:ascii="Verdana" w:eastAsia="Verdana" w:hAnsi="Verdana" w:cs="Verdana"/>
          <w:sz w:val="20"/>
          <w:szCs w:val="20"/>
          <w:lang w:val="es-ES"/>
        </w:rPr>
        <w:t>liquidados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la tasa de cambio que para el efecto determina cada dos años el Ministerio de Comercio, Industria y Turismo.</w:t>
      </w:r>
    </w:p>
    <w:p w14:paraId="4EC413B2" w14:textId="77777777"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53347332" w14:textId="77777777"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2. Se hayan recibido solicitudes de por lo menos dos (2)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para limitar la convocatoria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Las Entidades Estatales independientemente de su régimen de contratación, los patrimonios autónomos constituidos por Entidades Estatales y los particulares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recibir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estas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solicitudes por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menos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un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(1)</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día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hábil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antes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expedición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acto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administrativo 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apertura,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haga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sus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veces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acuerdo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normativa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aplicable a cada Proceso de Contratación. Tratándose de personas jurídicas, las solicitudes</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solo</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realizar</w:t>
      </w:r>
      <w:r w:rsidRPr="00594E5E">
        <w:rPr>
          <w:rFonts w:ascii="Verdana" w:eastAsia="Verdana" w:hAnsi="Verdana" w:cs="Verdana"/>
          <w:spacing w:val="-6"/>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9"/>
          <w:sz w:val="20"/>
          <w:szCs w:val="20"/>
          <w:lang w:val="es-ES"/>
        </w:rPr>
        <w:t xml:space="preserve"> </w:t>
      </w:r>
      <w:r w:rsidRPr="00594E5E">
        <w:rPr>
          <w:rFonts w:ascii="Verdana" w:eastAsia="Verdana" w:hAnsi="Verdana" w:cs="Verdana"/>
          <w:sz w:val="20"/>
          <w:szCs w:val="20"/>
          <w:lang w:val="es-ES"/>
        </w:rPr>
        <w:t>cuyo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objeto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social</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les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permita ejecutar el contrato relacionado con el proceso contractual.</w:t>
      </w:r>
    </w:p>
    <w:p w14:paraId="1E3435B5" w14:textId="77777777"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53FD33D9" w14:textId="3D1CA0A2" w:rsidR="00FA746C" w:rsidRPr="00594E5E" w:rsidRDefault="00FA746C" w:rsidP="00FA746C">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594E5E">
        <w:rPr>
          <w:rFonts w:ascii="Verdana" w:eastAsia="Verdana" w:hAnsi="Verdana" w:cs="Verdana"/>
          <w:sz w:val="20"/>
          <w:szCs w:val="20"/>
          <w:lang w:val="es-ES"/>
        </w:rPr>
        <w:t>Parágrafo. Las cooperativas y demás entidades de economía solidaria, siempre</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tengan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calidad</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5"/>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solicitar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y</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participar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en las convocatorias limitadas en las mismas condiciones dispuestas en el presente artículo”.</w:t>
      </w:r>
      <w:r w:rsidR="00356099">
        <w:rPr>
          <w:rFonts w:ascii="Verdana" w:eastAsia="Verdana" w:hAnsi="Verdana" w:cs="Verdana"/>
          <w:sz w:val="20"/>
          <w:szCs w:val="20"/>
          <w:lang w:val="es-ES"/>
        </w:rPr>
        <w:t xml:space="preserve"> [Énfasis fuera </w:t>
      </w:r>
      <w:r w:rsidR="00483E47">
        <w:rPr>
          <w:rFonts w:ascii="Verdana" w:eastAsia="Verdana" w:hAnsi="Verdana" w:cs="Verdana"/>
          <w:sz w:val="20"/>
          <w:szCs w:val="20"/>
          <w:lang w:val="es-ES"/>
        </w:rPr>
        <w:t>del texto original</w:t>
      </w:r>
      <w:r w:rsidR="00356099">
        <w:rPr>
          <w:rFonts w:ascii="Verdana" w:eastAsia="Verdana" w:hAnsi="Verdana" w:cs="Verdana"/>
          <w:sz w:val="20"/>
          <w:szCs w:val="20"/>
          <w:lang w:val="es-ES"/>
        </w:rPr>
        <w:t>]</w:t>
      </w:r>
    </w:p>
    <w:p w14:paraId="33BAF688" w14:textId="77777777" w:rsidR="00FA746C" w:rsidRDefault="00FA746C" w:rsidP="00437FA7">
      <w:pPr>
        <w:spacing w:after="0" w:line="276" w:lineRule="auto"/>
        <w:ind w:firstLine="709"/>
        <w:jc w:val="both"/>
        <w:rPr>
          <w:rFonts w:ascii="Verdana" w:hAnsi="Verdana"/>
          <w:lang w:val="es-ES"/>
        </w:rPr>
      </w:pPr>
    </w:p>
    <w:p w14:paraId="26908C0F" w14:textId="090253CB" w:rsidR="00FA746C" w:rsidRPr="0022587E" w:rsidRDefault="00FA746C" w:rsidP="00FA746C">
      <w:pPr>
        <w:spacing w:after="120" w:line="276" w:lineRule="auto"/>
        <w:ind w:firstLine="708"/>
        <w:jc w:val="both"/>
        <w:rPr>
          <w:rFonts w:ascii="Verdana" w:hAnsi="Verdana"/>
          <w:lang w:val="es-ES"/>
        </w:rPr>
      </w:pPr>
      <w:r w:rsidRPr="0022587E">
        <w:rPr>
          <w:rFonts w:ascii="Verdana" w:hAnsi="Verdana"/>
          <w:lang w:val="es-ES"/>
        </w:rPr>
        <w:t xml:space="preserve">Según se evidencia, el numeral primero del </w:t>
      </w:r>
      <w:r w:rsidRPr="0022587E">
        <w:rPr>
          <w:rFonts w:ascii="Verdana" w:hAnsi="Verdana"/>
          <w:lang w:val="es-ES_tradnl"/>
        </w:rPr>
        <w:t xml:space="preserve">artículo 2.2.1.2.4.2.2 del Decreto 1082 de 2015 </w:t>
      </w:r>
      <w:r w:rsidRPr="0022587E">
        <w:rPr>
          <w:rFonts w:ascii="Verdana" w:hAnsi="Verdana"/>
          <w:lang w:val="es-ES"/>
        </w:rPr>
        <w:t xml:space="preserve">limita cuantitativamente los </w:t>
      </w:r>
      <w:r w:rsidR="00F20AE2" w:rsidRPr="0022587E">
        <w:rPr>
          <w:rFonts w:ascii="Verdana" w:hAnsi="Verdana"/>
          <w:lang w:val="es-ES"/>
        </w:rPr>
        <w:t>Procesos Contractuales</w:t>
      </w:r>
      <w:r w:rsidRPr="0022587E">
        <w:rPr>
          <w:rFonts w:ascii="Verdana" w:hAnsi="Verdana"/>
          <w:lang w:val="es-ES"/>
        </w:rPr>
        <w:t xml:space="preserve"> para las convocatorias limitadas a </w:t>
      </w:r>
      <w:proofErr w:type="spellStart"/>
      <w:r w:rsidRPr="0022587E">
        <w:rPr>
          <w:rFonts w:ascii="Verdana" w:hAnsi="Verdana"/>
          <w:lang w:val="es-ES"/>
        </w:rPr>
        <w:t>Mipyme</w:t>
      </w:r>
      <w:proofErr w:type="spellEnd"/>
      <w:r w:rsidRPr="0022587E">
        <w:rPr>
          <w:rFonts w:ascii="Verdana" w:hAnsi="Verdana"/>
          <w:lang w:val="es-ES"/>
        </w:rPr>
        <w:t xml:space="preserve">, puesto que el valor del proceso de contratación debe ser “menor a ciento veinticinco mil dólares de los Estados </w:t>
      </w:r>
      <w:r w:rsidRPr="0022587E">
        <w:rPr>
          <w:rFonts w:ascii="Verdana" w:hAnsi="Verdana"/>
          <w:lang w:val="es-ES"/>
        </w:rPr>
        <w:lastRenderedPageBreak/>
        <w:t>Unidos de América”. Esto de acuerdo con la tasa que determine cada dos</w:t>
      </w:r>
      <w:r>
        <w:rPr>
          <w:rFonts w:ascii="Verdana" w:hAnsi="Verdana"/>
          <w:lang w:val="es-ES"/>
        </w:rPr>
        <w:t xml:space="preserve"> (2)</w:t>
      </w:r>
      <w:r w:rsidRPr="0022587E">
        <w:rPr>
          <w:rFonts w:ascii="Verdana" w:hAnsi="Verdana"/>
          <w:lang w:val="es-ES"/>
        </w:rPr>
        <w:t xml:space="preserve"> años el Ministerio de Comercio, Industria y Turismo. </w:t>
      </w:r>
      <w:r>
        <w:rPr>
          <w:rFonts w:ascii="Verdana" w:hAnsi="Verdana"/>
          <w:lang w:val="es-ES"/>
        </w:rPr>
        <w:t>E</w:t>
      </w:r>
      <w:r w:rsidRPr="0022587E">
        <w:rPr>
          <w:rFonts w:ascii="Verdana" w:hAnsi="Verdana"/>
          <w:lang w:val="es-ES"/>
        </w:rPr>
        <w:t>l numeral segundo establece</w:t>
      </w:r>
      <w:r>
        <w:rPr>
          <w:rFonts w:ascii="Verdana" w:hAnsi="Verdana"/>
          <w:lang w:val="es-ES"/>
        </w:rPr>
        <w:t>, por un lado,</w:t>
      </w:r>
      <w:r w:rsidRPr="0022587E">
        <w:rPr>
          <w:rFonts w:ascii="Verdana" w:hAnsi="Verdana"/>
          <w:lang w:val="es-ES"/>
        </w:rPr>
        <w:t xml:space="preserve"> que al menos dos (2)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1259EE53" w14:textId="3DAB792E" w:rsidR="00FA746C" w:rsidRPr="0022587E" w:rsidRDefault="00FA746C" w:rsidP="00FA746C">
      <w:pPr>
        <w:spacing w:after="120" w:line="276" w:lineRule="auto"/>
        <w:ind w:firstLine="708"/>
        <w:jc w:val="both"/>
        <w:rPr>
          <w:rFonts w:ascii="Verdana" w:eastAsia="Calibri" w:hAnsi="Verdana" w:cs="Arial"/>
          <w:color w:val="000000" w:themeColor="text1"/>
        </w:rPr>
      </w:pPr>
      <w:r w:rsidRPr="0022587E">
        <w:rPr>
          <w:rFonts w:ascii="Verdana" w:hAnsi="Verdana"/>
          <w:lang w:val="es-ES"/>
        </w:rPr>
        <w:t>Asimism</w:t>
      </w:r>
      <w:r>
        <w:rPr>
          <w:rFonts w:ascii="Verdana" w:hAnsi="Verdana"/>
          <w:lang w:val="es-ES"/>
        </w:rPr>
        <w:t>o, la norma dispone</w:t>
      </w:r>
      <w:r w:rsidRPr="0022587E">
        <w:rPr>
          <w:rFonts w:ascii="Verdana" w:hAnsi="Verdana"/>
          <w:lang w:val="es-ES"/>
        </w:rPr>
        <w:t xml:space="preserve"> que, tratándose de personas jurídicas, las solicitudes solo las podrán realizar la</w:t>
      </w:r>
      <w:r>
        <w:rPr>
          <w:rFonts w:ascii="Verdana" w:hAnsi="Verdana"/>
          <w:lang w:val="es-ES"/>
        </w:rPr>
        <w:t>s</w:t>
      </w:r>
      <w:r w:rsidRPr="0022587E">
        <w:rPr>
          <w:rFonts w:ascii="Verdana" w:hAnsi="Verdana"/>
          <w:lang w:val="es-ES"/>
        </w:rPr>
        <w:t xml:space="preserve"> </w:t>
      </w:r>
      <w:proofErr w:type="spellStart"/>
      <w:r w:rsidRPr="0022587E">
        <w:rPr>
          <w:rFonts w:ascii="Verdana" w:hAnsi="Verdana"/>
          <w:lang w:val="es-ES"/>
        </w:rPr>
        <w:t>Mipyme</w:t>
      </w:r>
      <w:proofErr w:type="spellEnd"/>
      <w:r>
        <w:rPr>
          <w:rFonts w:ascii="Verdana" w:hAnsi="Verdana"/>
          <w:lang w:val="es-ES"/>
        </w:rPr>
        <w:t xml:space="preserve"> </w:t>
      </w:r>
      <w:r w:rsidRPr="0022587E">
        <w:rPr>
          <w:rFonts w:ascii="Verdana" w:hAnsi="Verdana"/>
          <w:lang w:val="es-ES"/>
        </w:rPr>
        <w:t xml:space="preserve">cuyo objeto social les permita ejecutar el contrato relacionado con el proceso contractual. </w:t>
      </w:r>
      <w:r w:rsidRPr="0022587E">
        <w:rPr>
          <w:rFonts w:ascii="Verdana" w:eastAsia="Calibri" w:hAnsi="Verdana" w:cs="Arial"/>
          <w:color w:val="000000" w:themeColor="text1"/>
        </w:rPr>
        <w:t xml:space="preserve">En relación con la posibilidad que una sociedad por acciones simplificada pueda solicitar la limitación de la convocatoria a </w:t>
      </w:r>
      <w:proofErr w:type="spellStart"/>
      <w:r w:rsidRPr="0022587E">
        <w:rPr>
          <w:rFonts w:ascii="Verdana" w:eastAsia="Calibri" w:hAnsi="Verdana" w:cs="Arial"/>
          <w:color w:val="000000" w:themeColor="text1"/>
        </w:rPr>
        <w:t>Mipyme</w:t>
      </w:r>
      <w:proofErr w:type="spellEnd"/>
      <w:r w:rsidR="00203176">
        <w:rPr>
          <w:rFonts w:ascii="Verdana" w:eastAsia="Calibri" w:hAnsi="Verdana" w:cs="Arial"/>
          <w:color w:val="000000" w:themeColor="text1"/>
        </w:rPr>
        <w:t>,</w:t>
      </w:r>
      <w:r w:rsidRPr="0022587E">
        <w:rPr>
          <w:rFonts w:ascii="Verdana" w:eastAsia="Calibri" w:hAnsi="Verdana" w:cs="Arial"/>
          <w:color w:val="000000" w:themeColor="text1"/>
        </w:rPr>
        <w:t xml:space="preserve"> debido a la necesidad de que el objeto social </w:t>
      </w:r>
      <w:r w:rsidRPr="0022587E">
        <w:rPr>
          <w:rFonts w:ascii="Verdana" w:hAnsi="Verdana"/>
          <w:lang w:val="es-ES"/>
        </w:rPr>
        <w:t xml:space="preserve">les permita ejecutar el contrato relacionado con el proceso contractual debe señalarse que, </w:t>
      </w:r>
      <w:r w:rsidRPr="0022587E">
        <w:rPr>
          <w:rFonts w:ascii="Verdana" w:eastAsia="Calibri" w:hAnsi="Verdana" w:cs="Arial"/>
          <w:color w:val="000000" w:themeColor="text1"/>
        </w:rPr>
        <w:t xml:space="preserve">la capacidad </w:t>
      </w:r>
      <w:proofErr w:type="spellStart"/>
      <w:r w:rsidRPr="0022587E">
        <w:rPr>
          <w:rFonts w:ascii="Verdana" w:eastAsia="Calibri" w:hAnsi="Verdana" w:cs="Arial"/>
          <w:color w:val="000000" w:themeColor="text1"/>
        </w:rPr>
        <w:t>juridica</w:t>
      </w:r>
      <w:proofErr w:type="spellEnd"/>
      <w:r w:rsidRPr="0022587E">
        <w:rPr>
          <w:rFonts w:ascii="Verdana" w:eastAsia="Calibri" w:hAnsi="Verdana" w:cs="Arial"/>
          <w:color w:val="000000" w:themeColor="text1"/>
        </w:rPr>
        <w:t xml:space="preserve"> de las </w:t>
      </w:r>
      <w:r w:rsidRPr="0022587E">
        <w:rPr>
          <w:rFonts w:ascii="Verdana" w:eastAsia="Calibri" w:hAnsi="Verdana" w:cs="Arial"/>
          <w:i/>
          <w:iCs/>
          <w:color w:val="000000" w:themeColor="text1"/>
        </w:rPr>
        <w:t>personas jurídicas</w:t>
      </w:r>
      <w:r w:rsidRPr="0022587E">
        <w:rPr>
          <w:rFonts w:ascii="Verdana" w:eastAsia="Calibri" w:hAnsi="Verdana" w:cs="Arial"/>
          <w:color w:val="000000" w:themeColor="text1"/>
        </w:rPr>
        <w:t xml:space="preserve"> se circunscribe a las actividades principales y conexas del objeto social. </w:t>
      </w:r>
    </w:p>
    <w:p w14:paraId="1F189596" w14:textId="77777777" w:rsidR="00FA746C" w:rsidRPr="0022587E" w:rsidRDefault="00FA746C" w:rsidP="00FA746C">
      <w:pPr>
        <w:spacing w:after="120" w:line="276" w:lineRule="auto"/>
        <w:ind w:firstLine="708"/>
        <w:jc w:val="both"/>
        <w:rPr>
          <w:rFonts w:ascii="Verdana" w:hAnsi="Verdana"/>
          <w:lang w:val="es-ES"/>
        </w:rPr>
      </w:pPr>
      <w:r w:rsidRPr="0022587E">
        <w:rPr>
          <w:rFonts w:ascii="Verdana" w:eastAsia="Calibri" w:hAnsi="Verdana" w:cs="Arial"/>
          <w:color w:val="000000" w:themeColor="text1"/>
        </w:rPr>
        <w:t>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fines principales de la empresa, así como los necesarios para el ejercicio de los derechos de la sociedad o para cumplir obligaciones derivadas de su existencia o actividad</w:t>
      </w:r>
      <w:r w:rsidRPr="0022587E">
        <w:rPr>
          <w:rStyle w:val="Refdenotaalpie"/>
          <w:rFonts w:ascii="Verdana" w:eastAsia="Calibri" w:hAnsi="Verdana" w:cs="Arial"/>
          <w:color w:val="000000" w:themeColor="text1"/>
        </w:rPr>
        <w:footnoteReference w:id="2"/>
      </w:r>
      <w:r w:rsidRPr="0022587E">
        <w:rPr>
          <w:rFonts w:ascii="Verdana" w:eastAsia="Calibri" w:hAnsi="Verdana" w:cs="Arial"/>
          <w:color w:val="000000" w:themeColor="text1"/>
        </w:rPr>
        <w:t xml:space="preserve">. Estas limitaciones a la capacidad se justifican en la medida que "[…] </w:t>
      </w:r>
      <w:r w:rsidRPr="0022587E">
        <w:rPr>
          <w:rFonts w:ascii="Verdana" w:eastAsia="Calibri" w:hAnsi="Verdana" w:cs="Arial"/>
          <w:color w:val="000000" w:themeColor="text1"/>
        </w:rPr>
        <w:lastRenderedPageBreak/>
        <w:t>los aportes al fondo social se hacen precisamente para los negocios sociales y, por eso, no pueden ser distraídos en actividades distintas, para no desvirtuar y dejar de cumplir el contrato social”</w:t>
      </w:r>
      <w:r w:rsidRPr="0022587E">
        <w:rPr>
          <w:rStyle w:val="Refdenotaalpie"/>
          <w:rFonts w:ascii="Verdana" w:eastAsia="Calibri" w:hAnsi="Verdana" w:cs="Arial"/>
          <w:color w:val="000000" w:themeColor="text1"/>
        </w:rPr>
        <w:footnoteReference w:id="3"/>
      </w:r>
      <w:r w:rsidRPr="0022587E">
        <w:rPr>
          <w:rFonts w:ascii="Verdana" w:eastAsia="Calibri" w:hAnsi="Verdana" w:cs="Arial"/>
          <w:color w:val="000000" w:themeColor="text1"/>
        </w:rPr>
        <w:t>.</w:t>
      </w:r>
    </w:p>
    <w:p w14:paraId="0D2F4E26" w14:textId="77777777" w:rsidR="00FA746C" w:rsidRPr="0022587E" w:rsidRDefault="00FA746C" w:rsidP="00FA746C">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2587E">
        <w:rPr>
          <w:rFonts w:ascii="Verdana" w:eastAsia="Calibri" w:hAnsi="Verdana"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acciones simplificadas, 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sidRPr="0022587E">
        <w:rPr>
          <w:rStyle w:val="Refdenotaalpie"/>
          <w:rFonts w:ascii="Verdana" w:eastAsia="Calibri" w:hAnsi="Verdana" w:cs="Arial"/>
          <w:color w:val="000000" w:themeColor="text1"/>
        </w:rPr>
        <w:footnoteReference w:id="4"/>
      </w:r>
      <w:r w:rsidRPr="0022587E">
        <w:rPr>
          <w:rFonts w:ascii="Verdana" w:eastAsia="Calibri" w:hAnsi="Verdana" w:cs="Arial"/>
          <w:color w:val="000000" w:themeColor="text1"/>
        </w:rPr>
        <w:t>. En ese sen</w:t>
      </w:r>
      <w:r>
        <w:rPr>
          <w:rFonts w:ascii="Verdana" w:eastAsia="Calibri" w:hAnsi="Verdana" w:cs="Arial"/>
          <w:color w:val="000000" w:themeColor="text1"/>
        </w:rPr>
        <w:t xml:space="preserve">tido, </w:t>
      </w:r>
      <w:r w:rsidRPr="0022587E">
        <w:rPr>
          <w:rFonts w:ascii="Verdana" w:eastAsia="Calibri" w:hAnsi="Verdana" w:cs="Arial"/>
          <w:color w:val="000000" w:themeColor="text1"/>
        </w:rPr>
        <w:t xml:space="preserve">debe señalarse que, las sociedades con objeto indeterminado –como las sociedades por acciones simplificadas– pueden solicitar la limitación de la convocatoria a </w:t>
      </w:r>
      <w:proofErr w:type="spellStart"/>
      <w:r w:rsidRPr="0022587E">
        <w:rPr>
          <w:rFonts w:ascii="Verdana" w:eastAsia="Calibri" w:hAnsi="Verdana" w:cs="Arial"/>
          <w:color w:val="000000" w:themeColor="text1"/>
        </w:rPr>
        <w:t>Mipymes</w:t>
      </w:r>
      <w:proofErr w:type="spellEnd"/>
      <w:r w:rsidRPr="0022587E">
        <w:rPr>
          <w:rFonts w:ascii="Verdana" w:eastAsia="Calibri" w:hAnsi="Verdana" w:cs="Arial"/>
          <w:color w:val="000000" w:themeColor="text1"/>
        </w:rPr>
        <w:t>,</w:t>
      </w:r>
      <w:r w:rsidRPr="0022587E">
        <w:rPr>
          <w:rFonts w:ascii="Verdana" w:eastAsia="Times New Roman" w:hAnsi="Verdana" w:cs="Arial"/>
          <w:color w:val="000000" w:themeColor="text1"/>
          <w:lang w:val="es-ES_tradnl" w:eastAsia="es-ES_tradnl"/>
        </w:rPr>
        <w:t xml:space="preserve"> ya que –en las condiciones del</w:t>
      </w:r>
      <w:r w:rsidRPr="0022587E">
        <w:rPr>
          <w:rFonts w:ascii="Verdana" w:eastAsia="Calibri" w:hAnsi="Verdana" w:cs="Arial"/>
          <w:color w:val="000000" w:themeColor="text1"/>
        </w:rPr>
        <w:t xml:space="preserve"> artículo 5.4 de la Ley 1258 de 2008– </w:t>
      </w:r>
      <w:r w:rsidRPr="0022587E">
        <w:rPr>
          <w:rFonts w:ascii="Verdana" w:eastAsia="Times New Roman" w:hAnsi="Verdana" w:cs="Arial"/>
          <w:color w:val="000000" w:themeColor="text1"/>
          <w:lang w:val="es-ES_tradnl" w:eastAsia="es-ES_tradnl"/>
        </w:rPr>
        <w:t>pueden ejecutar cualquier actividad lícita.</w:t>
      </w:r>
      <w:r w:rsidRPr="0022587E">
        <w:rPr>
          <w:rFonts w:ascii="Verdana" w:eastAsia="Calibri" w:hAnsi="Verdana" w:cs="Arial"/>
          <w:color w:val="000000" w:themeColor="text1"/>
        </w:rPr>
        <w:t xml:space="preserve"> </w:t>
      </w:r>
    </w:p>
    <w:p w14:paraId="6AD5B330" w14:textId="2069101B" w:rsidR="00FA746C" w:rsidRPr="0022587E" w:rsidRDefault="00FA746C" w:rsidP="00FA746C">
      <w:pPr>
        <w:spacing w:after="120" w:line="276" w:lineRule="auto"/>
        <w:ind w:firstLine="708"/>
        <w:jc w:val="both"/>
        <w:rPr>
          <w:rFonts w:ascii="Verdana" w:hAnsi="Verdana"/>
          <w:lang w:val="es-ES"/>
        </w:rPr>
      </w:pPr>
      <w:r w:rsidRPr="0022587E">
        <w:rPr>
          <w:rFonts w:ascii="Verdana" w:hAnsi="Verdana"/>
          <w:lang w:val="es-ES"/>
        </w:rPr>
        <w:t xml:space="preserve">Por lo demás, el artículo </w:t>
      </w:r>
      <w:r w:rsidR="00E2176B">
        <w:rPr>
          <w:rFonts w:ascii="Verdana" w:hAnsi="Verdana"/>
          <w:lang w:val="es-ES"/>
        </w:rPr>
        <w:t>2</w:t>
      </w:r>
      <w:r w:rsidRPr="0022587E">
        <w:rPr>
          <w:rFonts w:ascii="Verdana" w:hAnsi="Verdana"/>
          <w:lang w:val="es-ES_tradnl"/>
        </w:rPr>
        <w:t xml:space="preserve">.2.1.2.4.2.2 del Decreto 1082 de 2015 </w:t>
      </w:r>
      <w:r w:rsidRPr="0022587E">
        <w:rPr>
          <w:rFonts w:ascii="Verdana" w:hAnsi="Verdana"/>
          <w:lang w:val="es-ES"/>
        </w:rPr>
        <w:t xml:space="preserve">incluye a las cooperativas y demás entidades de economía solidaria dentro de los sujetos que pueden solicitar y participar en las convocatorias limitadas a </w:t>
      </w:r>
      <w:proofErr w:type="spellStart"/>
      <w:r w:rsidRPr="0022587E">
        <w:rPr>
          <w:rFonts w:ascii="Verdana" w:hAnsi="Verdana"/>
          <w:lang w:val="es-ES"/>
        </w:rPr>
        <w:t>Mipyme</w:t>
      </w:r>
      <w:proofErr w:type="spellEnd"/>
      <w:r w:rsidRPr="0022587E">
        <w:rPr>
          <w:rFonts w:ascii="Verdana" w:hAnsi="Verdana"/>
          <w:lang w:val="es-ES"/>
        </w:rPr>
        <w:t>, siempre que estas cumplan con las condiciones señaladas en el artículo.</w:t>
      </w:r>
    </w:p>
    <w:p w14:paraId="234818CC" w14:textId="77777777" w:rsidR="00FA746C" w:rsidRPr="0022587E" w:rsidRDefault="00FA746C" w:rsidP="00FA746C">
      <w:pPr>
        <w:spacing w:after="120" w:line="276" w:lineRule="auto"/>
        <w:ind w:firstLine="708"/>
        <w:jc w:val="both"/>
        <w:rPr>
          <w:rFonts w:ascii="Verdana" w:hAnsi="Verdana"/>
          <w:lang w:val="es-ES"/>
        </w:rPr>
      </w:pPr>
      <w:r w:rsidRPr="0022587E">
        <w:rPr>
          <w:rFonts w:ascii="Verdana" w:hAnsi="Verdana"/>
          <w:lang w:val="es-ES"/>
        </w:rPr>
        <w:lastRenderedPageBreak/>
        <w:t xml:space="preserve">Ahora bien, </w:t>
      </w:r>
      <w:r w:rsidRPr="0022587E">
        <w:rPr>
          <w:rFonts w:ascii="Verdana" w:hAnsi="Verdana"/>
          <w:lang w:val="es-ES_tradnl"/>
        </w:rPr>
        <w:t xml:space="preserve">de la redacción del parágrafo 1 del artículo 34 de la Ley 2069 de 2020, según el cual, “En los procesos de selección que se desarrollen con base en el primer inciso, las entidades </w:t>
      </w:r>
      <w:r w:rsidRPr="00437FA7">
        <w:rPr>
          <w:rFonts w:ascii="Verdana" w:hAnsi="Verdana"/>
          <w:i/>
          <w:lang w:val="es-ES_tradnl"/>
        </w:rPr>
        <w:t>podrán</w:t>
      </w:r>
      <w:r w:rsidRPr="0022587E">
        <w:rPr>
          <w:rFonts w:ascii="Verdana" w:hAnsi="Verdana"/>
          <w:lang w:val="es-ES_tradnl"/>
        </w:rPr>
        <w:t xml:space="preserve"> realizar las convocatorias limitadas que beneficien a las MiPymes del ámbito </w:t>
      </w:r>
      <w:r w:rsidRPr="00437FA7">
        <w:rPr>
          <w:rFonts w:ascii="Verdana" w:hAnsi="Verdana"/>
          <w:lang w:val="es-ES_tradnl"/>
        </w:rPr>
        <w:t>municipal o departamental</w:t>
      </w:r>
      <w:r w:rsidRPr="0022587E">
        <w:rPr>
          <w:rFonts w:ascii="Verdana" w:hAnsi="Verdana"/>
          <w:lang w:val="es-ES_tradnl"/>
        </w:rPr>
        <w:t xml:space="preserve"> correspondiente al de la ejecución del contrato” [Én</w:t>
      </w:r>
      <w:r>
        <w:rPr>
          <w:rFonts w:ascii="Verdana" w:hAnsi="Verdana"/>
          <w:lang w:val="es-ES_tradnl"/>
        </w:rPr>
        <w:t>fasis fuera del texto], se infiere</w:t>
      </w:r>
      <w:r w:rsidRPr="0022587E">
        <w:rPr>
          <w:rFonts w:ascii="Verdana" w:hAnsi="Verdana"/>
          <w:lang w:val="es-ES_tradnl"/>
        </w:rPr>
        <w:t xml:space="preserve"> que en tales términos, la norma citada solo contempla la posibilidad de limitar convocatorias a </w:t>
      </w:r>
      <w:proofErr w:type="spellStart"/>
      <w:r w:rsidRPr="0022587E">
        <w:rPr>
          <w:rFonts w:ascii="Verdana" w:hAnsi="Verdana"/>
          <w:lang w:val="es-ES_tradnl"/>
        </w:rPr>
        <w:t>Mipymes</w:t>
      </w:r>
      <w:proofErr w:type="spellEnd"/>
      <w:r w:rsidRPr="0022587E">
        <w:rPr>
          <w:rFonts w:ascii="Verdana" w:hAnsi="Verdana"/>
          <w:lang w:val="es-ES_tradnl"/>
        </w:rPr>
        <w:t xml:space="preserve"> con domicilio en esos dos tipos de entidades territoriales.</w:t>
      </w:r>
      <w:r>
        <w:rPr>
          <w:rFonts w:ascii="Verdana" w:hAnsi="Verdana"/>
          <w:lang w:val="es-ES_tradnl"/>
        </w:rPr>
        <w:t xml:space="preserve"> </w:t>
      </w:r>
      <w:r w:rsidRPr="0022587E">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22587E">
        <w:rPr>
          <w:rFonts w:ascii="Verdana" w:hAnsi="Verdana"/>
          <w:lang w:val="es-ES"/>
        </w:rPr>
        <w:t>Mipyme</w:t>
      </w:r>
      <w:proofErr w:type="spellEnd"/>
      <w:r w:rsidRPr="0022587E">
        <w:rPr>
          <w:rFonts w:ascii="Verdana" w:hAnsi="Verdana"/>
          <w:lang w:val="es-ES"/>
        </w:rPr>
        <w:t xml:space="preserve"> nacional. Además, las normas de contratación permiten que las </w:t>
      </w:r>
      <w:proofErr w:type="spellStart"/>
      <w:r w:rsidRPr="0022587E">
        <w:rPr>
          <w:rFonts w:ascii="Verdana" w:hAnsi="Verdana"/>
          <w:lang w:val="es-ES"/>
        </w:rPr>
        <w:t>Mipyme</w:t>
      </w:r>
      <w:proofErr w:type="spellEnd"/>
      <w:r w:rsidRPr="0022587E">
        <w:rPr>
          <w:rFonts w:ascii="Verdana" w:hAnsi="Verdana"/>
          <w:lang w:val="es-ES"/>
        </w:rPr>
        <w:t xml:space="preserve"> nacionales puedan beneficiarse de la ejecución de un contrato dentro de la entidad territorial en la que tienen su “domicilio”. </w:t>
      </w:r>
    </w:p>
    <w:p w14:paraId="58EDC144" w14:textId="0EF1E535" w:rsidR="004A09D6" w:rsidRPr="00515ACC" w:rsidRDefault="004A09D6" w:rsidP="004A09D6">
      <w:pPr>
        <w:spacing w:after="120" w:line="276" w:lineRule="auto"/>
        <w:ind w:firstLine="708"/>
        <w:jc w:val="both"/>
        <w:rPr>
          <w:rFonts w:ascii="Verdana" w:eastAsia="Calibri" w:hAnsi="Verdana" w:cs="Arial"/>
        </w:rPr>
      </w:pPr>
      <w:r w:rsidRPr="00B46F7E">
        <w:rPr>
          <w:rFonts w:ascii="Verdana" w:eastAsia="Arial" w:hAnsi="Verdana" w:cs="Arial"/>
          <w:color w:val="000000"/>
        </w:rPr>
        <w:t xml:space="preserve">Frente </w:t>
      </w:r>
      <w:r w:rsidRPr="00177B54">
        <w:rPr>
          <w:rFonts w:ascii="Verdana" w:eastAsia="Arial" w:hAnsi="Verdana" w:cs="Arial"/>
          <w:color w:val="000000"/>
        </w:rPr>
        <w:t>a</w:t>
      </w:r>
      <w:r w:rsidRPr="00515ACC">
        <w:rPr>
          <w:rFonts w:ascii="Verdana" w:eastAsia="Arial" w:hAnsi="Verdana" w:cs="Arial"/>
          <w:color w:val="000000"/>
        </w:rPr>
        <w:t>l</w:t>
      </w:r>
      <w:r>
        <w:rPr>
          <w:rFonts w:ascii="Verdana" w:eastAsia="Arial" w:hAnsi="Verdana" w:cs="Arial"/>
          <w:color w:val="000000"/>
        </w:rPr>
        <w:t xml:space="preserve"> primer problema jurídico</w:t>
      </w:r>
      <w:r w:rsidRPr="00177B54">
        <w:rPr>
          <w:rFonts w:ascii="Verdana" w:eastAsia="Arial" w:hAnsi="Verdana" w:cs="Arial"/>
          <w:color w:val="000000"/>
        </w:rPr>
        <w:t xml:space="preserve">, es preciso indicar que el artículo 2.2.1.2.4.2.2 del Decreto 1082 de 2015 —modificado por el artículo 5 del Decreto 1860 de 2021— </w:t>
      </w:r>
      <w:r w:rsidRPr="00B46F7E">
        <w:rPr>
          <w:rFonts w:ascii="Verdana" w:eastAsia="Arial" w:hAnsi="Verdana" w:cs="Arial"/>
          <w:color w:val="000000"/>
        </w:rPr>
        <w:t xml:space="preserve">señala que </w:t>
      </w:r>
      <w:r w:rsidRPr="00CB53DA">
        <w:rPr>
          <w:rFonts w:ascii="Verdana" w:eastAsia="Arial" w:hAnsi="Verdana" w:cs="Arial"/>
          <w:i/>
          <w:iCs/>
          <w:color w:val="000000"/>
        </w:rPr>
        <w:t>“</w:t>
      </w:r>
      <w:r w:rsidRPr="00CB53DA">
        <w:rPr>
          <w:rFonts w:ascii="Verdana" w:eastAsia="Calibri" w:hAnsi="Verdana" w:cs="Arial"/>
          <w:i/>
          <w:iCs/>
          <w:color w:val="000000"/>
          <w:lang w:val="es-ES" w:eastAsia="es-ES"/>
        </w:rPr>
        <w:t xml:space="preserve">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B53DA">
        <w:rPr>
          <w:rFonts w:ascii="Verdana" w:eastAsia="Calibri" w:hAnsi="Verdana" w:cs="Arial"/>
          <w:i/>
          <w:iCs/>
          <w:color w:val="000000"/>
          <w:lang w:val="es-ES" w:eastAsia="es-ES"/>
        </w:rPr>
        <w:t>Mipyme</w:t>
      </w:r>
      <w:proofErr w:type="spellEnd"/>
      <w:r w:rsidRPr="00CB53DA">
        <w:rPr>
          <w:rFonts w:ascii="Verdana" w:eastAsia="Calibri" w:hAnsi="Verdana" w:cs="Arial"/>
          <w:i/>
          <w:iCs/>
          <w:color w:val="000000"/>
          <w:lang w:val="es-ES" w:eastAsia="es-ES"/>
        </w:rPr>
        <w:t xml:space="preserve"> colombianas con mínimo un (1) año de existencia”,</w:t>
      </w:r>
      <w:r w:rsidRPr="00177B54">
        <w:rPr>
          <w:rFonts w:ascii="Verdana" w:eastAsia="Calibri" w:hAnsi="Verdana" w:cs="Arial"/>
        </w:rPr>
        <w:t xml:space="preserve"> siempre que se cumplan los requisitos </w:t>
      </w:r>
      <w:r w:rsidR="00652128">
        <w:rPr>
          <w:rFonts w:ascii="Verdana" w:eastAsia="Calibri" w:hAnsi="Verdana" w:cs="Arial"/>
        </w:rPr>
        <w:t xml:space="preserve">antes señalados. </w:t>
      </w:r>
      <w:r w:rsidR="002E59B3">
        <w:rPr>
          <w:rFonts w:ascii="Verdana" w:eastAsia="Calibri" w:hAnsi="Verdana" w:cs="Arial"/>
        </w:rPr>
        <w:t xml:space="preserve">Por otro lado, </w:t>
      </w:r>
      <w:r w:rsidRPr="00515ACC">
        <w:rPr>
          <w:rFonts w:ascii="Verdana" w:eastAsia="Calibri" w:hAnsi="Verdana" w:cs="Arial"/>
          <w:lang w:val="es-ES_tradnl"/>
        </w:rPr>
        <w:t xml:space="preserve">el parágrafo 1 del artículo 34 de la Ley 2069 de 2020 contempla la posibilidad de limitar convocatorias a MiPymes con domicilio en dos tipos de entidades territoriales. </w:t>
      </w:r>
    </w:p>
    <w:p w14:paraId="3A409D5F" w14:textId="5702ED11" w:rsidR="004A09D6" w:rsidRPr="00515ACC" w:rsidRDefault="004A09D6" w:rsidP="004A09D6">
      <w:pPr>
        <w:spacing w:after="120" w:line="276" w:lineRule="auto"/>
        <w:ind w:firstLine="708"/>
        <w:jc w:val="both"/>
        <w:rPr>
          <w:rFonts w:ascii="Verdana" w:eastAsia="Calibri" w:hAnsi="Verdana" w:cs="Arial"/>
          <w:lang w:val="es-ES"/>
        </w:rPr>
      </w:pPr>
      <w:r>
        <w:rPr>
          <w:rFonts w:ascii="Verdana" w:hAnsi="Verdana" w:cs="Arial"/>
          <w:color w:val="000000" w:themeColor="text1"/>
        </w:rPr>
        <w:t>En conclusión</w:t>
      </w:r>
      <w:r w:rsidRPr="00515ACC">
        <w:rPr>
          <w:rFonts w:ascii="Verdana" w:hAnsi="Verdana" w:cs="Arial"/>
          <w:color w:val="000000" w:themeColor="text1"/>
        </w:rPr>
        <w:t xml:space="preserve">, </w:t>
      </w:r>
      <w:r w:rsidRPr="00515ACC">
        <w:rPr>
          <w:rFonts w:ascii="Verdana" w:eastAsia="Calibri" w:hAnsi="Verdana" w:cs="Arial"/>
          <w:color w:val="000000" w:themeColor="text1"/>
        </w:rPr>
        <w:t>lo que debe adoptarse obligatoriamente es la</w:t>
      </w:r>
      <w:r w:rsidRPr="00515ACC">
        <w:rPr>
          <w:rFonts w:ascii="Verdana" w:hAnsi="Verdana" w:cs="Arial"/>
          <w:color w:val="000000" w:themeColor="text1"/>
        </w:rPr>
        <w:t xml:space="preserve"> limitación a </w:t>
      </w:r>
      <w:proofErr w:type="spellStart"/>
      <w:r w:rsidRPr="00515ACC">
        <w:rPr>
          <w:rFonts w:ascii="Verdana" w:hAnsi="Verdana" w:cs="Arial"/>
          <w:color w:val="000000" w:themeColor="text1"/>
        </w:rPr>
        <w:t>Mipymes</w:t>
      </w:r>
      <w:proofErr w:type="spellEnd"/>
      <w:r w:rsidRPr="00515ACC">
        <w:rPr>
          <w:rFonts w:ascii="Verdana" w:hAnsi="Verdana" w:cs="Arial"/>
          <w:color w:val="000000" w:themeColor="text1"/>
        </w:rPr>
        <w:t xml:space="preserve"> colombianas</w:t>
      </w:r>
      <w:r w:rsidRPr="00515ACC">
        <w:rPr>
          <w:rFonts w:ascii="Verdana" w:eastAsia="Calibri" w:hAnsi="Verdana" w:cs="Arial"/>
          <w:color w:val="000000" w:themeColor="text1"/>
        </w:rPr>
        <w:t xml:space="preserve"> siempre que se cumplan las condiciones del artículo 2.2.1.2.4.2.2 del Decreto 1082 de 2015, </w:t>
      </w:r>
      <w:r w:rsidRPr="00515ACC">
        <w:rPr>
          <w:rFonts w:ascii="Verdana" w:eastAsia="Calibri" w:hAnsi="Verdana" w:cs="Arial"/>
          <w:lang w:val="es-ES"/>
        </w:rPr>
        <w:t xml:space="preserve">pero no la “limitación territorial” referida en el artículo 2.2.1.2.4.2.3 ibidem, pues esta, es facultativa para la entidad. Las únicas exigencias son que la convocatoria esté limitada a las </w:t>
      </w:r>
      <w:proofErr w:type="spellStart"/>
      <w:r w:rsidRPr="00515ACC">
        <w:rPr>
          <w:rFonts w:ascii="Verdana" w:eastAsia="Calibri" w:hAnsi="Verdana" w:cs="Arial"/>
          <w:lang w:val="es-ES"/>
        </w:rPr>
        <w:t>Mipyme</w:t>
      </w:r>
      <w:proofErr w:type="spellEnd"/>
      <w:r w:rsidRPr="00515ACC">
        <w:rPr>
          <w:rFonts w:ascii="Verdana" w:eastAsia="Calibri" w:hAnsi="Verdana" w:cs="Arial"/>
          <w:lang w:val="es-ES"/>
        </w:rPr>
        <w:t xml:space="preserve"> nacionales “domiciliadas en los departamentos o municipios en donde se va a ejecutar el contrato” y que la entidad justifique su decisión en los “estudios del sector”. </w:t>
      </w:r>
    </w:p>
    <w:p w14:paraId="467BDA86" w14:textId="38B26A59" w:rsidR="00580200" w:rsidRDefault="0013676F" w:rsidP="0029281E">
      <w:pPr>
        <w:spacing w:after="120" w:line="276" w:lineRule="auto"/>
        <w:ind w:firstLine="708"/>
        <w:jc w:val="both"/>
        <w:rPr>
          <w:rFonts w:ascii="Verdana" w:hAnsi="Verdana"/>
          <w:lang w:val="es-ES"/>
        </w:rPr>
      </w:pPr>
      <w:r>
        <w:rPr>
          <w:rFonts w:ascii="Verdana" w:eastAsia="Calibri" w:hAnsi="Verdana" w:cs="Arial"/>
          <w:lang w:val="es-ES"/>
        </w:rPr>
        <w:t xml:space="preserve">Así las cosas, </w:t>
      </w:r>
      <w:r w:rsidRPr="00515ACC">
        <w:rPr>
          <w:rFonts w:ascii="Verdana" w:eastAsia="Calibri" w:hAnsi="Verdana" w:cs="Arial"/>
          <w:lang w:val="es-ES"/>
        </w:rPr>
        <w:t>la entidad</w:t>
      </w:r>
      <w:r w:rsidRPr="00515ACC">
        <w:rPr>
          <w:rFonts w:ascii="Verdana" w:eastAsia="Calibri" w:hAnsi="Verdana" w:cs="Arial"/>
        </w:rPr>
        <w:t xml:space="preserve"> puede ─no tiene que─ decidir si limita la convocatoria a las </w:t>
      </w:r>
      <w:proofErr w:type="spellStart"/>
      <w:r w:rsidRPr="00515ACC">
        <w:rPr>
          <w:rFonts w:ascii="Verdana" w:eastAsia="Calibri" w:hAnsi="Verdana" w:cs="Arial"/>
        </w:rPr>
        <w:t>Mipymes</w:t>
      </w:r>
      <w:proofErr w:type="spellEnd"/>
      <w:r w:rsidRPr="00515ACC">
        <w:rPr>
          <w:rFonts w:ascii="Verdana" w:eastAsia="Calibri" w:hAnsi="Verdana" w:cs="Arial"/>
        </w:rPr>
        <w:t xml:space="preserve"> nacionales domiciliadas en el municipio o departamento en el que se ejecutará el contrato. Esto de acuerdo con lo </w:t>
      </w:r>
      <w:r w:rsidRPr="00515ACC">
        <w:rPr>
          <w:rFonts w:ascii="Verdana" w:eastAsia="Calibri" w:hAnsi="Verdana" w:cs="Arial"/>
        </w:rPr>
        <w:lastRenderedPageBreak/>
        <w:t>establecido en artículo 2.2.1.2.4.2.3. del Decreto 1082 de 2015, norma que se refiere a la facultad de la administración con el verbo infinitivo “poder”, no “deber”.</w:t>
      </w:r>
      <w:r w:rsidR="00580200">
        <w:rPr>
          <w:rFonts w:ascii="Verdana" w:eastAsia="Calibri" w:hAnsi="Verdana" w:cs="Arial"/>
        </w:rPr>
        <w:t xml:space="preserve"> </w:t>
      </w:r>
      <w:r w:rsidR="00FA746C">
        <w:rPr>
          <w:rFonts w:ascii="Verdana" w:hAnsi="Verdana"/>
          <w:lang w:val="es-ES"/>
        </w:rPr>
        <w:t>N</w:t>
      </w:r>
      <w:r w:rsidR="00FA746C" w:rsidRPr="0022587E">
        <w:rPr>
          <w:rFonts w:ascii="Verdana" w:hAnsi="Verdana"/>
          <w:lang w:val="es-ES"/>
        </w:rPr>
        <w:t xml:space="preserve">o puede perderse de vista que la decisión de limitar “a </w:t>
      </w:r>
      <w:proofErr w:type="spellStart"/>
      <w:r w:rsidR="00FA746C" w:rsidRPr="0022587E">
        <w:rPr>
          <w:rFonts w:ascii="Verdana" w:hAnsi="Verdana"/>
          <w:lang w:val="es-ES"/>
        </w:rPr>
        <w:t>Mipyme</w:t>
      </w:r>
      <w:proofErr w:type="spellEnd"/>
      <w:r w:rsidR="00FA746C" w:rsidRPr="0022587E">
        <w:rPr>
          <w:rFonts w:ascii="Verdana" w:hAnsi="Verdana"/>
          <w:lang w:val="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w:t>
      </w:r>
      <w:r w:rsidR="00FA746C">
        <w:rPr>
          <w:rFonts w:ascii="Verdana" w:hAnsi="Verdana"/>
          <w:lang w:val="es-ES"/>
        </w:rPr>
        <w:t xml:space="preserve"> </w:t>
      </w:r>
    </w:p>
    <w:p w14:paraId="048E8EAA" w14:textId="2919310F" w:rsidR="008C39A8" w:rsidRDefault="00FA746C" w:rsidP="00437FA7">
      <w:pPr>
        <w:spacing w:after="120" w:line="276" w:lineRule="auto"/>
        <w:ind w:firstLine="708"/>
        <w:jc w:val="both"/>
        <w:rPr>
          <w:rFonts w:ascii="Verdana" w:hAnsi="Verdana"/>
        </w:rPr>
      </w:pPr>
      <w:r>
        <w:rPr>
          <w:rFonts w:ascii="Verdana" w:hAnsi="Verdana"/>
          <w:lang w:val="es-ES"/>
        </w:rPr>
        <w:t xml:space="preserve">Es decir, deben cumplirse las dos condiciones: i) </w:t>
      </w:r>
      <w:r w:rsidRPr="00560DD2">
        <w:rPr>
          <w:rFonts w:ascii="Verdana" w:hAnsi="Verdana"/>
        </w:rPr>
        <w:t>El valor del Proceso de Contratación sea menor a ciento veinticinco mil dólares de los Estados Unidos de América (US$125.000), liquidados con la tasa de cambio que para el efecto determina cada dos años el Mini</w:t>
      </w:r>
      <w:r>
        <w:rPr>
          <w:rFonts w:ascii="Verdana" w:hAnsi="Verdana"/>
        </w:rPr>
        <w:t xml:space="preserve">sterio de Comercio, Industria y Turismo; y </w:t>
      </w:r>
      <w:proofErr w:type="spellStart"/>
      <w:r>
        <w:rPr>
          <w:rFonts w:ascii="Verdana" w:hAnsi="Verdana"/>
        </w:rPr>
        <w:t>ii</w:t>
      </w:r>
      <w:proofErr w:type="spellEnd"/>
      <w:r>
        <w:rPr>
          <w:rFonts w:ascii="Verdana" w:hAnsi="Verdana"/>
        </w:rPr>
        <w:t xml:space="preserve">) </w:t>
      </w:r>
      <w:r w:rsidRPr="00560DD2">
        <w:rPr>
          <w:rFonts w:ascii="Verdana" w:hAnsi="Verdana"/>
        </w:rPr>
        <w:t xml:space="preserve">Se hayan recibido solicitudes de por lo menos dos (2) </w:t>
      </w:r>
      <w:proofErr w:type="spellStart"/>
      <w:r w:rsidRPr="00560DD2">
        <w:rPr>
          <w:rFonts w:ascii="Verdana" w:hAnsi="Verdana"/>
        </w:rPr>
        <w:t>Mipyme</w:t>
      </w:r>
      <w:proofErr w:type="spellEnd"/>
      <w:r w:rsidRPr="00560DD2">
        <w:rPr>
          <w:rFonts w:ascii="Verdana" w:hAnsi="Verdana"/>
        </w:rPr>
        <w:t xml:space="preserve"> colombianas para limitar la convocatoria a </w:t>
      </w:r>
      <w:proofErr w:type="spellStart"/>
      <w:r w:rsidRPr="00560DD2">
        <w:rPr>
          <w:rFonts w:ascii="Verdana" w:hAnsi="Verdana"/>
        </w:rPr>
        <w:t>Mipyme</w:t>
      </w:r>
      <w:proofErr w:type="spellEnd"/>
      <w:r w:rsidRPr="00560DD2">
        <w:rPr>
          <w:rFonts w:ascii="Verdana" w:hAnsi="Verdana"/>
        </w:rPr>
        <w:t xml:space="preserve"> colombianas. Las Entidades Estatales independientemente de su régimen de contratación, los patrimonios autónomos constituidos por Entidades Estatales y los particulares</w:t>
      </w:r>
      <w:r>
        <w:rPr>
          <w:rFonts w:ascii="Verdana" w:hAnsi="Verdana"/>
        </w:rPr>
        <w:t xml:space="preserve"> que ejecuten recursos públicos;</w:t>
      </w:r>
      <w:r w:rsidRPr="00560DD2">
        <w:rPr>
          <w:rFonts w:ascii="Verdana" w:hAnsi="Verdana"/>
        </w:rPr>
        <w:t xml:space="preserve"> </w:t>
      </w:r>
      <w:r>
        <w:rPr>
          <w:rFonts w:ascii="Verdana" w:hAnsi="Verdana"/>
        </w:rPr>
        <w:t xml:space="preserve">y </w:t>
      </w:r>
      <w:proofErr w:type="spellStart"/>
      <w:r>
        <w:rPr>
          <w:rFonts w:ascii="Verdana" w:hAnsi="Verdana"/>
        </w:rPr>
        <w:t>iii</w:t>
      </w:r>
      <w:proofErr w:type="spellEnd"/>
      <w:r>
        <w:rPr>
          <w:rFonts w:ascii="Verdana" w:hAnsi="Verdana"/>
        </w:rPr>
        <w:t xml:space="preserve">) </w:t>
      </w:r>
      <w:r w:rsidRPr="00560DD2">
        <w:rPr>
          <w:rFonts w:ascii="Verdana" w:hAnsi="Verdana"/>
        </w:rPr>
        <w:t>deben recibir estas solicitudes por lo menos un (1) día hábil antes de la expedición del acto administrativo de apertura, o el que haga sus veces de acuerdo con la normativa aplicable a cada Proceso de Contratación</w:t>
      </w:r>
    </w:p>
    <w:p w14:paraId="0ED863CF" w14:textId="6BF5BB2E" w:rsidR="00A05EE8" w:rsidRDefault="0057252D" w:rsidP="00437FA7">
      <w:pPr>
        <w:pStyle w:val="Textoindependiente"/>
        <w:spacing w:after="120" w:line="276" w:lineRule="auto"/>
        <w:ind w:firstLine="710"/>
        <w:jc w:val="both"/>
      </w:pPr>
      <w:bookmarkStart w:id="1" w:name="_bookmark0"/>
      <w:bookmarkEnd w:id="1"/>
      <w:r>
        <w:t>Con todo, debe advertirse que el hecho de la limitación territorial opere de</w:t>
      </w:r>
      <w:r w:rsidRPr="00A05EE8">
        <w:t xml:space="preserve"> </w:t>
      </w:r>
      <w:r>
        <w:t>manera</w:t>
      </w:r>
      <w:r w:rsidRPr="00A05EE8">
        <w:t xml:space="preserve"> </w:t>
      </w:r>
      <w:r>
        <w:t>discrecional</w:t>
      </w:r>
      <w:r w:rsidRPr="00A05EE8">
        <w:t xml:space="preserve"> </w:t>
      </w:r>
      <w:r>
        <w:t>implica</w:t>
      </w:r>
      <w:r w:rsidRPr="00A05EE8">
        <w:t xml:space="preserve"> </w:t>
      </w:r>
      <w:r>
        <w:t>que</w:t>
      </w:r>
      <w:r w:rsidRPr="00A05EE8">
        <w:t xml:space="preserve"> </w:t>
      </w:r>
      <w:r>
        <w:t>la</w:t>
      </w:r>
      <w:r w:rsidRPr="00A05EE8">
        <w:t xml:space="preserve"> </w:t>
      </w:r>
      <w:r>
        <w:t>misma</w:t>
      </w:r>
      <w:r w:rsidRPr="00A05EE8">
        <w:t xml:space="preserve"> </w:t>
      </w:r>
      <w:r>
        <w:t>no</w:t>
      </w:r>
      <w:r w:rsidRPr="00A05EE8">
        <w:t xml:space="preserve"> </w:t>
      </w:r>
      <w:r>
        <w:t>debe</w:t>
      </w:r>
      <w:r w:rsidRPr="00A05EE8">
        <w:t xml:space="preserve"> </w:t>
      </w:r>
      <w:r>
        <w:t>ser</w:t>
      </w:r>
      <w:r w:rsidRPr="00A05EE8">
        <w:t xml:space="preserve"> </w:t>
      </w:r>
      <w:r>
        <w:t>de</w:t>
      </w:r>
      <w:r w:rsidRPr="00A05EE8">
        <w:t xml:space="preserve"> </w:t>
      </w:r>
      <w:r>
        <w:t>forma</w:t>
      </w:r>
      <w:r w:rsidRPr="00A05EE8">
        <w:t xml:space="preserve"> </w:t>
      </w:r>
      <w:r>
        <w:t>caprichosa</w:t>
      </w:r>
      <w:r w:rsidRPr="00A05EE8">
        <w:t xml:space="preserve"> </w:t>
      </w:r>
      <w:r>
        <w:t xml:space="preserve">o </w:t>
      </w:r>
      <w:r w:rsidRPr="00A05EE8">
        <w:t xml:space="preserve">arbitraría o de manera que desconozca los fines de la norma. Así el ordenamiento </w:t>
      </w:r>
      <w:r>
        <w:t>legal impone una carga de motivación en el ejercicio de facultades discrecionales,</w:t>
      </w:r>
      <w:r w:rsidRPr="00A05EE8">
        <w:t xml:space="preserve"> </w:t>
      </w:r>
      <w:r>
        <w:t>pues</w:t>
      </w:r>
      <w:r w:rsidRPr="00A05EE8">
        <w:t xml:space="preserve"> </w:t>
      </w:r>
      <w:r>
        <w:t>–teniendo</w:t>
      </w:r>
      <w:r w:rsidRPr="00A05EE8">
        <w:t xml:space="preserve"> </w:t>
      </w:r>
      <w:r>
        <w:t>en</w:t>
      </w:r>
      <w:r w:rsidRPr="00A05EE8">
        <w:t xml:space="preserve"> </w:t>
      </w:r>
      <w:r>
        <w:t>cuenta</w:t>
      </w:r>
      <w:r w:rsidRPr="00A05EE8">
        <w:t xml:space="preserve"> </w:t>
      </w:r>
      <w:r>
        <w:t>la</w:t>
      </w:r>
      <w:r w:rsidRPr="00A05EE8">
        <w:t xml:space="preserve"> </w:t>
      </w:r>
      <w:r>
        <w:t>remisión</w:t>
      </w:r>
      <w:r w:rsidRPr="00A05EE8">
        <w:t xml:space="preserve"> </w:t>
      </w:r>
      <w:r>
        <w:t>del</w:t>
      </w:r>
      <w:r w:rsidRPr="00A05EE8">
        <w:t xml:space="preserve"> </w:t>
      </w:r>
      <w:r>
        <w:t>artículo</w:t>
      </w:r>
      <w:r w:rsidRPr="00A05EE8">
        <w:t xml:space="preserve"> </w:t>
      </w:r>
      <w:r>
        <w:t>77</w:t>
      </w:r>
      <w:r w:rsidRPr="00A05EE8">
        <w:t xml:space="preserve"> </w:t>
      </w:r>
      <w:r>
        <w:t>de</w:t>
      </w:r>
      <w:r w:rsidRPr="00A05EE8">
        <w:t xml:space="preserve"> </w:t>
      </w:r>
      <w:r>
        <w:t>la</w:t>
      </w:r>
      <w:r w:rsidRPr="00A05EE8">
        <w:t xml:space="preserve"> </w:t>
      </w:r>
      <w:r>
        <w:t>Ley</w:t>
      </w:r>
      <w:r w:rsidRPr="00A05EE8">
        <w:t xml:space="preserve"> </w:t>
      </w:r>
      <w:r>
        <w:t>80 de 1993 a las normas que rigen los procedimientos y actuaciones en la función administrativa–</w:t>
      </w:r>
      <w:r w:rsidRPr="00A05EE8">
        <w:t xml:space="preserve"> </w:t>
      </w:r>
      <w:r>
        <w:t>el</w:t>
      </w:r>
      <w:r w:rsidRPr="00A05EE8">
        <w:t xml:space="preserve"> </w:t>
      </w:r>
      <w:r>
        <w:t>artículo</w:t>
      </w:r>
      <w:r w:rsidRPr="00A05EE8">
        <w:t xml:space="preserve"> </w:t>
      </w:r>
      <w:r>
        <w:t>44</w:t>
      </w:r>
      <w:r w:rsidRPr="00A05EE8">
        <w:t xml:space="preserve"> </w:t>
      </w:r>
      <w:r>
        <w:t>de</w:t>
      </w:r>
      <w:r w:rsidRPr="00A05EE8">
        <w:t xml:space="preserve"> </w:t>
      </w:r>
      <w:r>
        <w:t>la</w:t>
      </w:r>
      <w:r w:rsidRPr="00A05EE8">
        <w:t xml:space="preserve"> </w:t>
      </w:r>
      <w:r>
        <w:t>Ley</w:t>
      </w:r>
      <w:r w:rsidRPr="00A05EE8">
        <w:t xml:space="preserve"> </w:t>
      </w:r>
      <w:r>
        <w:t>1437</w:t>
      </w:r>
      <w:r w:rsidRPr="00A05EE8">
        <w:t xml:space="preserve"> </w:t>
      </w:r>
      <w:r>
        <w:t>de</w:t>
      </w:r>
      <w:r w:rsidRPr="00A05EE8">
        <w:t xml:space="preserve"> </w:t>
      </w:r>
      <w:r>
        <w:t>2011</w:t>
      </w:r>
      <w:r w:rsidRPr="00A05EE8">
        <w:t xml:space="preserve"> </w:t>
      </w:r>
      <w:r>
        <w:t>dispone</w:t>
      </w:r>
      <w:r w:rsidRPr="00A05EE8">
        <w:t xml:space="preserve"> </w:t>
      </w:r>
      <w:r>
        <w:t>que</w:t>
      </w:r>
      <w:r w:rsidRPr="00A05EE8">
        <w:t xml:space="preserve"> </w:t>
      </w:r>
      <w:r>
        <w:t>“En</w:t>
      </w:r>
      <w:r w:rsidRPr="00A05EE8">
        <w:t xml:space="preserve"> </w:t>
      </w:r>
      <w:r>
        <w:t>la</w:t>
      </w:r>
      <w:r w:rsidRPr="00A05EE8">
        <w:t xml:space="preserve"> </w:t>
      </w:r>
      <w:r>
        <w:t>medida en que el contenido de una decisión de carácter general o particular sea discrecional, debe ser adecuada a los fines de la norma que la autoriza, y proporcional a los hechos que le sirven de causa”.</w:t>
      </w:r>
    </w:p>
    <w:p w14:paraId="5662A4FB" w14:textId="77F28588" w:rsidR="00A05EE8" w:rsidRDefault="0057252D" w:rsidP="00437FA7">
      <w:pPr>
        <w:pStyle w:val="Textoindependiente"/>
        <w:spacing w:after="120" w:line="276" w:lineRule="auto"/>
        <w:ind w:firstLine="710"/>
        <w:jc w:val="both"/>
      </w:pPr>
      <w:r>
        <w:t xml:space="preserve">Conforme a esto, el debido ejercicio de la referida potestad discrecional exige que converjan unos mínimos presupuestos de adecuación, para que resulte adecuada la decisión de limitar una convocatoria a la participación exclusiva de </w:t>
      </w:r>
      <w:proofErr w:type="spellStart"/>
      <w:r w:rsidR="00580200">
        <w:t>Mipymes</w:t>
      </w:r>
      <w:proofErr w:type="spellEnd"/>
      <w:r>
        <w:t xml:space="preserve">. Por lo que, la decisión de limitar territorialmente una convocatoria resulta razonable si la información recolectada en el marco del análisis del sector indica que en el lugar de ejecución del contrato existe un número significativo de MiPymes allí domiciliadas, cuyo objeto social les </w:t>
      </w:r>
      <w:r>
        <w:lastRenderedPageBreak/>
        <w:t>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w:t>
      </w:r>
      <w:r w:rsidRPr="00A05EE8">
        <w:t xml:space="preserve"> </w:t>
      </w:r>
      <w:r>
        <w:t>e</w:t>
      </w:r>
      <w:r w:rsidRPr="00A05EE8">
        <w:t xml:space="preserve"> </w:t>
      </w:r>
      <w:r>
        <w:t>idoneidad</w:t>
      </w:r>
      <w:r w:rsidRPr="00A05EE8">
        <w:t xml:space="preserve"> </w:t>
      </w:r>
      <w:r>
        <w:t>requerida.</w:t>
      </w:r>
      <w:r w:rsidRPr="00A05EE8">
        <w:t xml:space="preserve"> </w:t>
      </w:r>
      <w:r>
        <w:t>De</w:t>
      </w:r>
      <w:r w:rsidRPr="00A05EE8">
        <w:t xml:space="preserve"> </w:t>
      </w:r>
      <w:r>
        <w:t>acuerdo</w:t>
      </w:r>
      <w:r w:rsidRPr="00A05EE8">
        <w:t xml:space="preserve"> </w:t>
      </w:r>
      <w:r>
        <w:t>con</w:t>
      </w:r>
      <w:r w:rsidRPr="00A05EE8">
        <w:t xml:space="preserve"> </w:t>
      </w:r>
      <w:r>
        <w:t>lo</w:t>
      </w:r>
      <w:r w:rsidRPr="00A05EE8">
        <w:t xml:space="preserve"> </w:t>
      </w:r>
      <w:r>
        <w:t>anterior,</w:t>
      </w:r>
      <w:r w:rsidRPr="00A05EE8">
        <w:t xml:space="preserve"> </w:t>
      </w:r>
      <w:r>
        <w:t>difícilmente</w:t>
      </w:r>
      <w:r w:rsidRPr="00A05EE8">
        <w:t xml:space="preserve"> </w:t>
      </w:r>
      <w:r>
        <w:t>podría entenderse adecuada la decisión de limitar una convocatoria por el referido factor</w:t>
      </w:r>
      <w:r w:rsidRPr="00A05EE8">
        <w:t xml:space="preserve"> </w:t>
      </w:r>
      <w:r>
        <w:t>territorial,</w:t>
      </w:r>
      <w:r w:rsidRPr="00A05EE8">
        <w:t xml:space="preserve"> </w:t>
      </w:r>
      <w:r>
        <w:t>si</w:t>
      </w:r>
      <w:r w:rsidRPr="00A05EE8">
        <w:t xml:space="preserve"> </w:t>
      </w:r>
      <w:r>
        <w:t>dentro</w:t>
      </w:r>
      <w:r w:rsidRPr="00A05EE8">
        <w:t xml:space="preserve"> </w:t>
      </w:r>
      <w:r>
        <w:t>del</w:t>
      </w:r>
      <w:r w:rsidRPr="00A05EE8">
        <w:t xml:space="preserve"> </w:t>
      </w:r>
      <w:r>
        <w:t>estudio</w:t>
      </w:r>
      <w:r w:rsidRPr="00A05EE8">
        <w:t xml:space="preserve"> </w:t>
      </w:r>
      <w:r>
        <w:t>del</w:t>
      </w:r>
      <w:r w:rsidRPr="00A05EE8">
        <w:t xml:space="preserve"> </w:t>
      </w:r>
      <w:r>
        <w:t>sector</w:t>
      </w:r>
      <w:r w:rsidRPr="00A05EE8">
        <w:t xml:space="preserve"> </w:t>
      </w:r>
      <w:r>
        <w:t>no</w:t>
      </w:r>
      <w:r w:rsidRPr="00A05EE8">
        <w:t xml:space="preserve"> </w:t>
      </w:r>
      <w:r>
        <w:t>se</w:t>
      </w:r>
      <w:r w:rsidRPr="00A05EE8">
        <w:t xml:space="preserve"> </w:t>
      </w:r>
      <w:r>
        <w:t>identifican</w:t>
      </w:r>
      <w:r w:rsidRPr="00A05EE8">
        <w:t xml:space="preserve"> </w:t>
      </w:r>
      <w:r>
        <w:t>una</w:t>
      </w:r>
      <w:r w:rsidRPr="00A05EE8">
        <w:t xml:space="preserve"> </w:t>
      </w:r>
      <w:r>
        <w:t xml:space="preserve">pluralidad de </w:t>
      </w:r>
      <w:proofErr w:type="spellStart"/>
      <w:r w:rsidR="002B54F8">
        <w:t>Mipymes</w:t>
      </w:r>
      <w:proofErr w:type="spellEnd"/>
      <w:r>
        <w:t xml:space="preserve"> que estén en posición de participar en el respectivo proceso.</w:t>
      </w:r>
    </w:p>
    <w:p w14:paraId="0DD29777" w14:textId="3CEE8FBA" w:rsidR="00BB16D9" w:rsidRPr="00BB16D9" w:rsidRDefault="00BB16D9" w:rsidP="00BB16D9">
      <w:pPr>
        <w:spacing w:after="120" w:line="276" w:lineRule="auto"/>
        <w:ind w:firstLine="709"/>
        <w:jc w:val="both"/>
        <w:rPr>
          <w:rFonts w:ascii="Verdana" w:eastAsia="Arial" w:hAnsi="Verdana" w:cs="Arial"/>
        </w:rPr>
      </w:pPr>
      <w:r w:rsidRPr="00437FA7">
        <w:rPr>
          <w:rFonts w:ascii="Verdana" w:hAnsi="Verdana"/>
        </w:rPr>
        <w:t xml:space="preserve">En </w:t>
      </w:r>
      <w:r w:rsidR="005B6D72" w:rsidRPr="005B6D72">
        <w:rPr>
          <w:rFonts w:ascii="Verdana" w:hAnsi="Verdana"/>
        </w:rPr>
        <w:t>relación</w:t>
      </w:r>
      <w:r w:rsidRPr="00437FA7">
        <w:rPr>
          <w:rFonts w:ascii="Verdana" w:hAnsi="Verdana"/>
        </w:rPr>
        <w:t xml:space="preserve"> con el segundo problema jurídico, </w:t>
      </w:r>
      <w:r w:rsidRPr="00BB16D9">
        <w:rPr>
          <w:rFonts w:ascii="Verdana" w:eastAsia="Arial" w:hAnsi="Verdana" w:cs="Arial"/>
        </w:rPr>
        <w:t xml:space="preserve">le corresponderá a la Entidad contratante evaluar el cumplimiento de los requisitos señalados para realizar las convocatorias limitadas a </w:t>
      </w:r>
      <w:proofErr w:type="spellStart"/>
      <w:r w:rsidRPr="00BB16D9">
        <w:rPr>
          <w:rFonts w:ascii="Verdana" w:eastAsia="Arial" w:hAnsi="Verdana" w:cs="Arial"/>
        </w:rPr>
        <w:t>Mipymes</w:t>
      </w:r>
      <w:proofErr w:type="spellEnd"/>
      <w:r w:rsidRPr="00BB16D9">
        <w:rPr>
          <w:rFonts w:ascii="Verdana" w:eastAsia="Arial" w:hAnsi="Verdana" w:cs="Arial"/>
        </w:rPr>
        <w:t xml:space="preserve"> en los Procesos de Contratación que adelante la Entidad Estatal, en especial, se deberá verificar si el valor del Proceso de Contratación es menor a ciento veinticinco mil dólares de los Estados Unidos de América (US$125.000).</w:t>
      </w:r>
    </w:p>
    <w:p w14:paraId="630963B4" w14:textId="77777777" w:rsidR="00BB16D9" w:rsidRPr="006A263E" w:rsidRDefault="00BB16D9" w:rsidP="00BB16D9">
      <w:pPr>
        <w:spacing w:after="120" w:line="276" w:lineRule="auto"/>
        <w:ind w:firstLine="709"/>
        <w:jc w:val="both"/>
        <w:rPr>
          <w:rFonts w:ascii="Verdana" w:eastAsia="Arial" w:hAnsi="Verdana" w:cs="Arial"/>
        </w:rPr>
      </w:pPr>
      <w:r w:rsidRPr="006A263E">
        <w:rPr>
          <w:rFonts w:ascii="Verdana" w:eastAsia="Arial" w:hAnsi="Verdana" w:cs="Arial"/>
        </w:rPr>
        <w:t>En los casos de los procesos cuya cuantía es indeterminada y se fije para efectos fiscales, le corresponderá a la entidad contratante determinar si se ajusta a estos presupuestos normativos previamente señalado en el artículo 2.2.1.2.4.2.2 y para lo cual deberán motivar su decisión, atendiendo a los principios de la contratación estatal, función administrativa y dando aplicación al artículo 44 de la ley 1437 de 2011.</w:t>
      </w:r>
    </w:p>
    <w:p w14:paraId="7590D2C4" w14:textId="7A42E86C" w:rsidR="00152D6A" w:rsidRDefault="00BB16D9" w:rsidP="00437FA7">
      <w:pPr>
        <w:pStyle w:val="Textoindependiente"/>
        <w:spacing w:line="276" w:lineRule="auto"/>
        <w:ind w:firstLine="710"/>
        <w:jc w:val="both"/>
      </w:pPr>
      <w:r w:rsidRPr="006A263E">
        <w:rPr>
          <w:rFonts w:eastAsia="Arial" w:cs="Arial"/>
        </w:rPr>
        <w:t>Ahora bien, aunque hay contratos de cuantía indeterminada debido a la complejidad de la prestación a través de los años y modalidad, no quiere decir dicha prestación no tengan un valor económico</w:t>
      </w:r>
      <w:r>
        <w:rPr>
          <w:rFonts w:eastAsia="Arial" w:cs="Arial"/>
        </w:rPr>
        <w:t>.</w:t>
      </w:r>
      <w:r w:rsidRPr="006A263E">
        <w:rPr>
          <w:rFonts w:eastAsia="Arial" w:cs="Arial"/>
        </w:rPr>
        <w:t xml:space="preserve"> </w:t>
      </w:r>
      <w:r>
        <w:rPr>
          <w:rFonts w:eastAsia="Arial" w:cs="Arial"/>
        </w:rPr>
        <w:t>E</w:t>
      </w:r>
      <w:r w:rsidRPr="006A263E">
        <w:rPr>
          <w:rFonts w:eastAsia="Arial" w:cs="Arial"/>
        </w:rPr>
        <w:t>n ese caso, la Entidad Estatal realiza un análisis financiero prospectivo o proyectado a los años del plazo para establecer el valor proyectado, por lo que no será un proceso sin cuantía. Contrario sensu, existen otros procedimientos contractuales que son sin compromiso presupuestal por lo que no tienen disponibilidad ni registro, no es de su naturaleza disponer de dichos recursos o aportes para su trámite o perfeccionamiento, como es el caso de los memorandos de entendimientos o los convenios marcos cuyo objeto es aunar esfuerzos conjuntos misionales a temas varios, los cuales pueden ser sujetos de contratos derivados y específicos y en estos si va inmersa los aportes o disponibilidades presupuestales, y serán estos los que si tengan cuantía.</w:t>
      </w:r>
    </w:p>
    <w:p w14:paraId="57EE01FB" w14:textId="77777777" w:rsidR="008C5875" w:rsidRPr="00AE19B2" w:rsidRDefault="008C5875" w:rsidP="00437FA7">
      <w:pPr>
        <w:pStyle w:val="Prrafodelista"/>
        <w:spacing w:after="0" w:line="276" w:lineRule="auto"/>
        <w:jc w:val="both"/>
        <w:rPr>
          <w:rFonts w:ascii="Verdana" w:eastAsia="Calibri" w:hAnsi="Verdana"/>
          <w:color w:val="7030A0"/>
        </w:rPr>
      </w:pPr>
    </w:p>
    <w:p w14:paraId="60CECC87" w14:textId="77777777" w:rsidR="008C5875" w:rsidRPr="00593A5F" w:rsidRDefault="008C5875" w:rsidP="003B72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788948C8" w14:textId="77777777" w:rsidR="008C5875" w:rsidRPr="00593A5F" w:rsidRDefault="008C5875" w:rsidP="003B725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C5875" w:rsidRPr="00593A5F" w14:paraId="0735AB53" w14:textId="77777777" w:rsidTr="008C5875">
        <w:trPr>
          <w:trHeight w:val="870"/>
        </w:trPr>
        <w:tc>
          <w:tcPr>
            <w:tcW w:w="8647" w:type="dxa"/>
          </w:tcPr>
          <w:p w14:paraId="1CE8D737" w14:textId="77777777" w:rsidR="001D4897" w:rsidRPr="00610872" w:rsidRDefault="001D4897" w:rsidP="001D4897">
            <w:pPr>
              <w:pStyle w:val="Prrafodelista"/>
              <w:numPr>
                <w:ilvl w:val="0"/>
                <w:numId w:val="17"/>
              </w:numPr>
              <w:spacing w:before="120" w:after="160" w:line="259" w:lineRule="auto"/>
              <w:rPr>
                <w:rFonts w:ascii="Verdana" w:hAnsi="Verdana" w:cs="Arial"/>
                <w:bCs/>
                <w:lang w:val="es-ES_tradnl" w:eastAsia="es-ES"/>
              </w:rPr>
            </w:pPr>
            <w:r w:rsidRPr="00610872">
              <w:rPr>
                <w:rFonts w:ascii="Verdana" w:hAnsi="Verdana" w:cs="Arial"/>
                <w:bCs/>
                <w:lang w:val="es-ES_tradnl" w:eastAsia="es-ES"/>
              </w:rPr>
              <w:lastRenderedPageBreak/>
              <w:t xml:space="preserve">Código de Comercio. Artículos 25, 110, 111. </w:t>
            </w:r>
          </w:p>
          <w:p w14:paraId="2B9510E1" w14:textId="77777777" w:rsidR="001D4897" w:rsidRPr="00610872" w:rsidRDefault="001D4897" w:rsidP="001D4897">
            <w:pPr>
              <w:numPr>
                <w:ilvl w:val="0"/>
                <w:numId w:val="17"/>
              </w:numPr>
              <w:spacing w:before="120" w:after="120" w:line="276" w:lineRule="auto"/>
              <w:ind w:left="714" w:hanging="357"/>
              <w:jc w:val="both"/>
              <w:rPr>
                <w:rFonts w:ascii="Verdana" w:hAnsi="Verdana"/>
                <w:lang w:val="es-ES"/>
              </w:rPr>
            </w:pPr>
            <w:r>
              <w:rPr>
                <w:rFonts w:ascii="Verdana" w:hAnsi="Verdana"/>
                <w:lang w:val="es-ES_tradnl"/>
              </w:rPr>
              <w:t xml:space="preserve">Ley 80 de 1993, artículo 77. </w:t>
            </w:r>
          </w:p>
          <w:p w14:paraId="10B54E8C" w14:textId="77777777" w:rsidR="001D4897" w:rsidRPr="00610872" w:rsidRDefault="001D4897" w:rsidP="001D4897">
            <w:pPr>
              <w:numPr>
                <w:ilvl w:val="0"/>
                <w:numId w:val="17"/>
              </w:numPr>
              <w:spacing w:before="120" w:after="120" w:line="276" w:lineRule="auto"/>
              <w:ind w:left="714" w:hanging="357"/>
              <w:jc w:val="both"/>
              <w:rPr>
                <w:rFonts w:ascii="Verdana" w:hAnsi="Verdana"/>
                <w:lang w:val="es-ES"/>
              </w:rPr>
            </w:pPr>
            <w:r w:rsidRPr="00610872">
              <w:rPr>
                <w:rFonts w:ascii="Verdana" w:hAnsi="Verdana"/>
                <w:lang w:val="es-ES_tradnl"/>
              </w:rPr>
              <w:t>Ley 1150 de 2007 parágrafo 1, Artículo 5 y 12.</w:t>
            </w:r>
          </w:p>
          <w:p w14:paraId="16931D4A" w14:textId="77777777" w:rsidR="001D4897" w:rsidRPr="00610872" w:rsidRDefault="001D4897" w:rsidP="001D4897">
            <w:pPr>
              <w:numPr>
                <w:ilvl w:val="0"/>
                <w:numId w:val="17"/>
              </w:numPr>
              <w:spacing w:before="120" w:after="120" w:line="276" w:lineRule="auto"/>
              <w:ind w:left="714" w:hanging="357"/>
              <w:jc w:val="both"/>
              <w:rPr>
                <w:rFonts w:ascii="Verdana" w:hAnsi="Verdana"/>
                <w:lang w:val="es-ES"/>
              </w:rPr>
            </w:pPr>
            <w:r>
              <w:rPr>
                <w:rFonts w:ascii="Verdana" w:hAnsi="Verdana"/>
                <w:lang w:val="es-ES_tradnl"/>
              </w:rPr>
              <w:t xml:space="preserve">Ley 1258 de 2008, artículo 5. </w:t>
            </w:r>
          </w:p>
          <w:p w14:paraId="24D75DDA" w14:textId="77777777" w:rsidR="001D4897" w:rsidRPr="00610872" w:rsidRDefault="001D4897" w:rsidP="001D4897">
            <w:pPr>
              <w:numPr>
                <w:ilvl w:val="0"/>
                <w:numId w:val="17"/>
              </w:numPr>
              <w:spacing w:before="120" w:after="120" w:line="276" w:lineRule="auto"/>
              <w:ind w:left="714" w:hanging="357"/>
              <w:jc w:val="both"/>
              <w:rPr>
                <w:rFonts w:ascii="Verdana" w:hAnsi="Verdana"/>
                <w:lang w:val="es-ES"/>
              </w:rPr>
            </w:pPr>
            <w:r w:rsidRPr="00610872">
              <w:rPr>
                <w:rFonts w:ascii="Verdana" w:hAnsi="Verdana"/>
                <w:lang w:val="es-ES"/>
              </w:rPr>
              <w:t>Ley 2069 de 2020. Artículos 30 y 34.</w:t>
            </w:r>
          </w:p>
          <w:p w14:paraId="75382FFC" w14:textId="77777777" w:rsidR="001D4897" w:rsidRPr="00610872" w:rsidRDefault="001D4897" w:rsidP="001D4897">
            <w:pPr>
              <w:numPr>
                <w:ilvl w:val="0"/>
                <w:numId w:val="17"/>
              </w:numPr>
              <w:spacing w:before="120" w:after="120" w:line="276" w:lineRule="auto"/>
              <w:ind w:left="714" w:hanging="357"/>
              <w:jc w:val="both"/>
              <w:rPr>
                <w:rFonts w:ascii="Verdana" w:hAnsi="Verdana"/>
                <w:lang w:val="es-ES"/>
              </w:rPr>
            </w:pPr>
            <w:r w:rsidRPr="00610872">
              <w:rPr>
                <w:rFonts w:ascii="Verdana" w:hAnsi="Verdana"/>
                <w:lang w:val="es-ES"/>
              </w:rPr>
              <w:t xml:space="preserve">Decreto 1082 de 2015. Artículos </w:t>
            </w:r>
            <w:r w:rsidRPr="00610872">
              <w:rPr>
                <w:rFonts w:ascii="Verdana" w:hAnsi="Verdana"/>
                <w:bCs/>
                <w:lang w:val="es-ES"/>
              </w:rPr>
              <w:t>2.2.1.2.4.2.2., 2.2.1.2.4.2.3., 2.2.1.2.4.2.4.</w:t>
            </w:r>
          </w:p>
          <w:p w14:paraId="0795D4CE" w14:textId="77777777" w:rsidR="001D4897" w:rsidRPr="00126826" w:rsidRDefault="001D4897" w:rsidP="001D4897">
            <w:pPr>
              <w:pStyle w:val="Prrafodelista"/>
              <w:numPr>
                <w:ilvl w:val="0"/>
                <w:numId w:val="17"/>
              </w:numPr>
              <w:spacing w:before="120" w:after="120" w:line="276" w:lineRule="auto"/>
              <w:ind w:left="714" w:hanging="357"/>
              <w:contextualSpacing w:val="0"/>
              <w:jc w:val="both"/>
              <w:rPr>
                <w:rFonts w:ascii="Verdana" w:hAnsi="Verdana"/>
              </w:rPr>
            </w:pPr>
            <w:r w:rsidRPr="00126826">
              <w:rPr>
                <w:rFonts w:ascii="Verdana" w:eastAsia="Calibri" w:hAnsi="Verdana" w:cs="Arial"/>
                <w:lang w:val="es-ES_tradnl"/>
              </w:rPr>
              <w:t>Decreto 957 de 2019</w:t>
            </w:r>
            <w:r>
              <w:rPr>
                <w:rFonts w:ascii="Verdana" w:eastAsia="Calibri" w:hAnsi="Verdana" w:cs="Arial"/>
                <w:lang w:val="es-ES_tradnl"/>
              </w:rPr>
              <w:t>.</w:t>
            </w:r>
          </w:p>
          <w:p w14:paraId="1A1198DD" w14:textId="77777777" w:rsidR="001D4897" w:rsidRPr="00610872" w:rsidRDefault="001D4897" w:rsidP="001D4897">
            <w:pPr>
              <w:numPr>
                <w:ilvl w:val="0"/>
                <w:numId w:val="17"/>
              </w:numPr>
              <w:spacing w:before="120" w:after="120" w:line="276" w:lineRule="auto"/>
              <w:ind w:left="714" w:hanging="357"/>
              <w:jc w:val="both"/>
              <w:rPr>
                <w:rFonts w:ascii="Verdana" w:hAnsi="Verdana"/>
                <w:lang w:val="es-ES"/>
              </w:rPr>
            </w:pPr>
            <w:r w:rsidRPr="00126826">
              <w:rPr>
                <w:rFonts w:ascii="Verdana" w:hAnsi="Verdana"/>
              </w:rPr>
              <w:t>Decreto 1860 de 2021. Artículos 2, 5 y 8</w:t>
            </w:r>
            <w:r>
              <w:rPr>
                <w:rFonts w:ascii="Verdana" w:hAnsi="Verdana"/>
              </w:rPr>
              <w:t>.</w:t>
            </w:r>
          </w:p>
          <w:p w14:paraId="0A99DD98" w14:textId="5FF1FDA5" w:rsidR="008C5875" w:rsidRPr="00340039" w:rsidRDefault="008C5875" w:rsidP="003B7253">
            <w:pPr>
              <w:pStyle w:val="Prrafodelista"/>
              <w:widowControl w:val="0"/>
              <w:numPr>
                <w:ilvl w:val="0"/>
                <w:numId w:val="17"/>
              </w:numPr>
              <w:autoSpaceDE w:val="0"/>
              <w:autoSpaceDN w:val="0"/>
              <w:spacing w:line="276" w:lineRule="auto"/>
              <w:contextualSpacing w:val="0"/>
              <w:jc w:val="both"/>
              <w:rPr>
                <w:rFonts w:ascii="Verdana" w:hAnsi="Verdana" w:cs="Arial"/>
              </w:rPr>
            </w:pPr>
            <w:r w:rsidRPr="004B2B8D">
              <w:rPr>
                <w:rFonts w:ascii="Verdana" w:hAnsi="Verdana" w:cs="Arial"/>
              </w:rPr>
              <w:t xml:space="preserve">Jurisprudencia del Consejo de Estado. Disponible en: </w:t>
            </w:r>
            <w:hyperlink r:id="rId13" w:history="1">
              <w:r w:rsidR="00C04015" w:rsidRPr="00406C30">
                <w:rPr>
                  <w:rStyle w:val="Hipervnculo"/>
                  <w:rFonts w:ascii="Verdana" w:hAnsi="Verdana" w:cs="Arial"/>
                </w:rPr>
                <w:t>https://relatoria.colombiacompra.gov.co/providencias-consejo-de-estado/</w:t>
              </w:r>
            </w:hyperlink>
            <w:r>
              <w:rPr>
                <w:rFonts w:ascii="Verdana" w:hAnsi="Verdana" w:cs="Arial"/>
              </w:rPr>
              <w:t xml:space="preserve"> </w:t>
            </w:r>
          </w:p>
          <w:p w14:paraId="4BD6B6F5" w14:textId="77777777" w:rsidR="008C5875" w:rsidRPr="00027814" w:rsidRDefault="008C5875" w:rsidP="003B7253">
            <w:pPr>
              <w:pStyle w:val="Prrafodelista"/>
              <w:widowControl w:val="0"/>
              <w:numPr>
                <w:ilvl w:val="0"/>
                <w:numId w:val="17"/>
              </w:numPr>
              <w:autoSpaceDE w:val="0"/>
              <w:autoSpaceDN w:val="0"/>
              <w:spacing w:line="276" w:lineRule="auto"/>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4"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tc>
      </w:tr>
    </w:tbl>
    <w:p w14:paraId="30FA4C38" w14:textId="77777777" w:rsidR="008C5875" w:rsidRPr="00593A5F" w:rsidRDefault="008C5875" w:rsidP="003B7253">
      <w:pPr>
        <w:widowControl w:val="0"/>
        <w:autoSpaceDE w:val="0"/>
        <w:autoSpaceDN w:val="0"/>
        <w:spacing w:after="0" w:line="276" w:lineRule="auto"/>
        <w:jc w:val="both"/>
        <w:rPr>
          <w:rFonts w:ascii="Verdana" w:hAnsi="Verdana" w:cs="Arial"/>
        </w:rPr>
      </w:pPr>
    </w:p>
    <w:p w14:paraId="0D4ADB9C" w14:textId="77777777" w:rsidR="008C5875" w:rsidRPr="00593A5F" w:rsidRDefault="008C5875" w:rsidP="003B72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BD7AC4B" w14:textId="77777777" w:rsidR="008C5875" w:rsidRPr="00593A5F" w:rsidRDefault="008C5875" w:rsidP="003B7253">
      <w:pPr>
        <w:widowControl w:val="0"/>
        <w:autoSpaceDE w:val="0"/>
        <w:autoSpaceDN w:val="0"/>
        <w:spacing w:after="0" w:line="276" w:lineRule="auto"/>
        <w:jc w:val="both"/>
        <w:rPr>
          <w:rFonts w:ascii="Verdana" w:hAnsi="Verdana" w:cs="Arial"/>
        </w:rPr>
      </w:pPr>
    </w:p>
    <w:p w14:paraId="6BF96AB2" w14:textId="053BA756" w:rsidR="008C5875" w:rsidRDefault="008C5875" w:rsidP="003B7253">
      <w:pPr>
        <w:widowControl w:val="0"/>
        <w:autoSpaceDE w:val="0"/>
        <w:autoSpaceDN w:val="0"/>
        <w:spacing w:after="0" w:line="276" w:lineRule="auto"/>
        <w:jc w:val="both"/>
        <w:rPr>
          <w:rStyle w:val="normaltextrun"/>
          <w:rFonts w:ascii="Verdana" w:hAnsi="Verdana" w:cs="Arial"/>
          <w:shd w:val="clear" w:color="auto" w:fill="FFFFFF"/>
          <w:lang w:val="es-ES"/>
        </w:rPr>
      </w:pPr>
      <w:r w:rsidRPr="00FB2E89">
        <w:rPr>
          <w:rFonts w:ascii="Verdana" w:eastAsia="Calibri" w:hAnsi="Verdana" w:cs="Arial"/>
          <w:color w:val="000000"/>
        </w:rPr>
        <w:t>L</w:t>
      </w:r>
      <w:r w:rsidRPr="00FB2E89">
        <w:rPr>
          <w:rFonts w:ascii="Verdana" w:eastAsia="Calibri" w:hAnsi="Verdana" w:cs="Arial"/>
          <w:color w:val="000000"/>
          <w:lang w:val="es-ES"/>
        </w:rPr>
        <w:t>a Agencia Nacional de Contratación Pública – Colombia Compra Eficiente, en los Conceptos número Conceptos</w:t>
      </w:r>
      <w:r w:rsidRPr="00FB2E89">
        <w:rPr>
          <w:rFonts w:ascii="Verdana" w:hAnsi="Verdana"/>
        </w:rPr>
        <w:t xml:space="preserve"> </w:t>
      </w:r>
      <w:r w:rsidRPr="00FB2E89">
        <w:rPr>
          <w:rFonts w:ascii="Verdana" w:eastAsia="Calibri" w:hAnsi="Verdana" w:cs="Arial"/>
          <w:color w:val="000000"/>
        </w:rPr>
        <w:t>C-705 de 7 de diciembre de 2020, C-438 de 27 de septiembre de 2021, C-041 de 2 de marzo de 2022, C-361 de 20 de mayo de 2021, C-473 de 25 de julio de 2022, C-539 de 29 de agosto de 2022, C-585 del 19 de septiembre de 2022, C-587 del 21 de septiembre de 2022, C-597 del 9 de septiembre de 2022, C-627 del 12 de septiembre de 2022, C-643 del 10 de octubre de 2022 y C-662 del 13 de octubre de 2022</w:t>
      </w:r>
      <w:r w:rsidRPr="00FB2E89">
        <w:rPr>
          <w:rFonts w:ascii="Verdana" w:eastAsia="Calibri" w:hAnsi="Verdana" w:cs="Arial"/>
          <w:color w:val="000000"/>
          <w:lang w:val="es-ES"/>
        </w:rPr>
        <w:t xml:space="preserve">, </w:t>
      </w:r>
      <w:r w:rsidRPr="00C90B03">
        <w:rPr>
          <w:rFonts w:ascii="Century Gothic" w:eastAsia="Calibri" w:hAnsi="Century Gothic" w:cs="Arial"/>
          <w:bCs/>
          <w:color w:val="000000" w:themeColor="text1"/>
          <w:lang w:val="es-ES_tradnl"/>
        </w:rPr>
        <w:t xml:space="preserve"> </w:t>
      </w:r>
      <w:r w:rsidRPr="00C90B03">
        <w:rPr>
          <w:rFonts w:ascii="Verdana" w:eastAsia="Calibri" w:hAnsi="Verdana" w:cs="Arial"/>
          <w:bCs/>
          <w:color w:val="000000" w:themeColor="text1"/>
          <w:lang w:val="es-ES_tradnl"/>
        </w:rPr>
        <w:t>C-113 del 12 de mayo de 2023, C-194 del 18 de mayo de 2023 y C-064 del 5 de junio de 2023</w:t>
      </w:r>
      <w:r w:rsidRPr="00C90B03">
        <w:rPr>
          <w:rFonts w:ascii="Verdana" w:eastAsia="Calibri" w:hAnsi="Verdana" w:cs="Arial"/>
          <w:color w:val="000000"/>
          <w:lang w:val="es-ES"/>
        </w:rPr>
        <w:t>,C-338 del 14 de agosto de 2024 – C-253 C -338 de 2024, entre otros establ</w:t>
      </w:r>
      <w:r>
        <w:rPr>
          <w:rFonts w:ascii="Verdana" w:eastAsia="Calibri" w:hAnsi="Verdana" w:cs="Arial"/>
          <w:color w:val="000000"/>
          <w:lang w:val="es-ES"/>
        </w:rPr>
        <w:t xml:space="preserve">eció lineamientos sobre la Limitación a </w:t>
      </w:r>
      <w:proofErr w:type="spellStart"/>
      <w:r>
        <w:rPr>
          <w:rFonts w:ascii="Verdana" w:eastAsia="Calibri" w:hAnsi="Verdana" w:cs="Arial"/>
          <w:color w:val="000000"/>
          <w:lang w:val="es-ES"/>
        </w:rPr>
        <w:t>Mipymes</w:t>
      </w:r>
      <w:proofErr w:type="spellEnd"/>
      <w:r w:rsidRPr="00FB2E89">
        <w:rPr>
          <w:rFonts w:ascii="Verdana" w:eastAsia="Calibri" w:hAnsi="Verdana" w:cs="Arial"/>
          <w:color w:val="000000"/>
          <w:lang w:val="es-ES"/>
        </w:rPr>
        <w:t xml:space="preserve">. </w:t>
      </w:r>
      <w:r w:rsidRPr="00FB2E89">
        <w:rPr>
          <w:rStyle w:val="normaltextrun"/>
          <w:rFonts w:ascii="Verdana" w:hAnsi="Verdana" w:cs="Arial"/>
          <w:shd w:val="clear" w:color="auto" w:fill="FFFFFF"/>
          <w:lang w:val="es-ES"/>
        </w:rPr>
        <w:t>Es</w:t>
      </w:r>
      <w:r w:rsidRPr="00FB2E89">
        <w:rPr>
          <w:rFonts w:ascii="Verdana" w:hAnsi="Verdana"/>
        </w:rPr>
        <w:t>tos y otros conceptos se encuentran disponibles para consulta en el Sistema de relatoría de la Agencia, al cual se puede acceder a través del siguiente</w:t>
      </w:r>
      <w:r>
        <w:rPr>
          <w:rFonts w:ascii="Verdana" w:hAnsi="Verdana"/>
        </w:rPr>
        <w:t xml:space="preserve"> </w:t>
      </w:r>
      <w:r w:rsidRPr="00FB2E89">
        <w:rPr>
          <w:rFonts w:ascii="Verdana" w:hAnsi="Verdana"/>
        </w:rPr>
        <w:t>enlace:</w:t>
      </w:r>
      <w:r w:rsidRPr="00FB2E89">
        <w:rPr>
          <w:rStyle w:val="normaltextrun"/>
          <w:rFonts w:ascii="Verdana" w:hAnsi="Verdana" w:cs="Arial"/>
          <w:shd w:val="clear" w:color="auto" w:fill="FFFFFF"/>
          <w:lang w:val="es-ES"/>
        </w:rPr>
        <w:t xml:space="preserve"> </w:t>
      </w:r>
      <w:hyperlink r:id="rId15" w:history="1">
        <w:r w:rsidRPr="00FB2E89">
          <w:rPr>
            <w:rStyle w:val="Hipervnculo"/>
            <w:rFonts w:ascii="Verdana" w:hAnsi="Verdana" w:cs="Arial"/>
            <w:shd w:val="clear" w:color="auto" w:fill="FFFFFF"/>
            <w:lang w:val="es-ES"/>
          </w:rPr>
          <w:t>https://relatoria.colombiacompra.gov.co/busqueda/conceptos</w:t>
        </w:r>
      </w:hyperlink>
      <w:r w:rsidRPr="0079283E">
        <w:rPr>
          <w:rFonts w:ascii="Verdana" w:eastAsia="Calibri" w:hAnsi="Verdana" w:cs="Arial"/>
          <w:bCs/>
          <w:color w:val="000000"/>
          <w:lang w:eastAsia="es-ES_tradnl"/>
        </w:rPr>
        <w:t>.</w:t>
      </w:r>
      <w:r>
        <w:rPr>
          <w:rFonts w:ascii="Verdana" w:eastAsia="Calibri" w:hAnsi="Verdana" w:cs="Arial"/>
          <w:bCs/>
          <w:color w:val="000000"/>
          <w:lang w:eastAsia="es-ES_tradnl"/>
        </w:rPr>
        <w:t xml:space="preserve"> </w:t>
      </w:r>
    </w:p>
    <w:p w14:paraId="5A7F2A5F" w14:textId="77777777" w:rsidR="008C5875" w:rsidRPr="00FB2E89" w:rsidRDefault="008C5875" w:rsidP="003B7253">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B895427" w14:textId="77777777" w:rsidR="008C5875" w:rsidRPr="003E2460" w:rsidRDefault="008C5875" w:rsidP="003B7253">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3E6E4D9C" w14:textId="77777777" w:rsidR="008C5875" w:rsidRPr="003E2460" w:rsidRDefault="008C5875" w:rsidP="003B7253">
      <w:pPr>
        <w:spacing w:after="0" w:line="276" w:lineRule="auto"/>
        <w:jc w:val="both"/>
        <w:rPr>
          <w:rFonts w:ascii="Verdana" w:hAnsi="Verdana"/>
        </w:rPr>
      </w:pPr>
    </w:p>
    <w:p w14:paraId="28A433AA" w14:textId="77777777" w:rsidR="008C5875" w:rsidRPr="003E2460" w:rsidRDefault="008C5875" w:rsidP="003B7253">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3E5EBA01" w14:textId="77777777" w:rsidR="008C5875" w:rsidRPr="003E2460" w:rsidRDefault="008C5875" w:rsidP="003B7253">
      <w:pPr>
        <w:spacing w:after="0" w:line="276"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53128983" w14:textId="77777777" w:rsidR="008C5875" w:rsidRPr="003E2460" w:rsidRDefault="008C5875" w:rsidP="003B7253">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9323591" w14:textId="77777777" w:rsidR="008C5875" w:rsidRPr="00593A5F" w:rsidRDefault="008C5875" w:rsidP="003B7253">
      <w:pPr>
        <w:widowControl w:val="0"/>
        <w:autoSpaceDE w:val="0"/>
        <w:autoSpaceDN w:val="0"/>
        <w:spacing w:after="0" w:line="276" w:lineRule="auto"/>
        <w:jc w:val="both"/>
        <w:rPr>
          <w:rFonts w:ascii="Verdana" w:hAnsi="Verdana" w:cs="Arial"/>
        </w:rPr>
      </w:pPr>
    </w:p>
    <w:p w14:paraId="663DC062" w14:textId="77777777" w:rsidR="008C5875" w:rsidRPr="00593A5F" w:rsidRDefault="008C5875" w:rsidP="003B725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A0A5F18" w14:textId="77777777" w:rsidR="008C5875" w:rsidRPr="00593A5F" w:rsidRDefault="008C5875" w:rsidP="003B7253">
      <w:pPr>
        <w:widowControl w:val="0"/>
        <w:autoSpaceDE w:val="0"/>
        <w:autoSpaceDN w:val="0"/>
        <w:spacing w:after="0" w:line="276" w:lineRule="auto"/>
        <w:jc w:val="both"/>
        <w:rPr>
          <w:rFonts w:ascii="Verdana" w:hAnsi="Verdana" w:cs="Arial"/>
        </w:rPr>
      </w:pPr>
    </w:p>
    <w:p w14:paraId="2AEF0059" w14:textId="77777777" w:rsidR="008C5875" w:rsidRPr="00593A5F" w:rsidRDefault="008C5875" w:rsidP="003B7253">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DED2E00" w14:textId="37C793E9" w:rsidR="008C5875" w:rsidRPr="00593A5F" w:rsidRDefault="00DE4ED1" w:rsidP="003B7253">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7E8224A9" wp14:editId="61C5717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C5875" w:rsidRPr="004B2B8D" w14:paraId="08A1F0EC" w14:textId="77777777" w:rsidTr="008C5875">
        <w:trPr>
          <w:trHeight w:val="315"/>
        </w:trPr>
        <w:tc>
          <w:tcPr>
            <w:tcW w:w="893" w:type="dxa"/>
            <w:vAlign w:val="center"/>
            <w:hideMark/>
          </w:tcPr>
          <w:p w14:paraId="7F0A7D67" w14:textId="77777777" w:rsidR="008C5875" w:rsidRPr="004B2B8D" w:rsidRDefault="008C5875" w:rsidP="003B7253">
            <w:pPr>
              <w:spacing w:line="276" w:lineRule="auto"/>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079DC97" w14:textId="77777777" w:rsidR="008C5875" w:rsidRPr="004B2B8D" w:rsidRDefault="008C5875" w:rsidP="003B7253">
            <w:pPr>
              <w:spacing w:line="276" w:lineRule="auto"/>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6E107694" w14:textId="77777777" w:rsidR="008C5875" w:rsidRPr="004B2B8D" w:rsidRDefault="008C5875" w:rsidP="003B7253">
            <w:pPr>
              <w:spacing w:line="276" w:lineRule="auto"/>
              <w:contextualSpacing/>
              <w:rPr>
                <w:rFonts w:ascii="Verdana" w:eastAsia="Arial" w:hAnsi="Verdana" w:cs="Arial"/>
                <w:sz w:val="16"/>
                <w:szCs w:val="16"/>
              </w:rPr>
            </w:pPr>
            <w:r w:rsidRPr="004B2B8D">
              <w:rPr>
                <w:rStyle w:val="normaltextrun"/>
                <w:rFonts w:ascii="Verdana" w:eastAsia="Arial" w:hAnsi="Verdana" w:cs="Arial"/>
                <w:sz w:val="16"/>
                <w:szCs w:val="16"/>
              </w:rPr>
              <w:t>Contratista de la Subdirección de Gestión Contractual</w:t>
            </w:r>
          </w:p>
        </w:tc>
      </w:tr>
      <w:tr w:rsidR="008C5875" w:rsidRPr="004B2B8D" w14:paraId="4839C85D" w14:textId="77777777" w:rsidTr="008C5875">
        <w:trPr>
          <w:trHeight w:val="330"/>
        </w:trPr>
        <w:tc>
          <w:tcPr>
            <w:tcW w:w="893" w:type="dxa"/>
            <w:vAlign w:val="center"/>
            <w:hideMark/>
          </w:tcPr>
          <w:p w14:paraId="47A4499A" w14:textId="77777777" w:rsidR="008C5875" w:rsidRPr="004B2B8D" w:rsidRDefault="008C5875" w:rsidP="003B7253">
            <w:pPr>
              <w:spacing w:line="276" w:lineRule="auto"/>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A877CF" w14:textId="77777777" w:rsidR="008C5875" w:rsidRPr="0079283E" w:rsidRDefault="008C5875" w:rsidP="003B7253">
            <w:pPr>
              <w:pStyle w:val="paragraph"/>
              <w:spacing w:before="0" w:beforeAutospacing="0" w:after="0" w:afterAutospacing="0" w:line="276" w:lineRule="auto"/>
              <w:contextualSpacing/>
              <w:textAlignment w:val="baseline"/>
              <w:rPr>
                <w:rFonts w:ascii="Verdana" w:hAnsi="Verdana" w:cs="Segoe UI"/>
                <w:sz w:val="16"/>
                <w:szCs w:val="16"/>
              </w:rPr>
            </w:pPr>
            <w:r>
              <w:rPr>
                <w:rFonts w:ascii="Verdana" w:hAnsi="Verdana" w:cs="Segoe UI"/>
                <w:sz w:val="16"/>
                <w:szCs w:val="16"/>
              </w:rPr>
              <w:t>Diana Lucia Saavedra Castañeda</w:t>
            </w:r>
          </w:p>
          <w:p w14:paraId="4E08F207" w14:textId="77777777" w:rsidR="008C5875" w:rsidRPr="004B2B8D" w:rsidRDefault="008C5875" w:rsidP="003B7253">
            <w:pPr>
              <w:pStyle w:val="paragraph"/>
              <w:spacing w:before="0" w:beforeAutospacing="0" w:after="0" w:afterAutospacing="0" w:line="276" w:lineRule="auto"/>
              <w:contextualSpacing/>
              <w:textAlignment w:val="baseline"/>
              <w:rPr>
                <w:rFonts w:ascii="Verdana" w:hAnsi="Verdana" w:cs="Segoe UI"/>
                <w:sz w:val="16"/>
                <w:szCs w:val="16"/>
              </w:rPr>
            </w:pPr>
            <w:r>
              <w:rPr>
                <w:rStyle w:val="normaltextrun"/>
                <w:rFonts w:ascii="Verdana" w:hAnsi="Verdana" w:cs="Arial"/>
                <w:sz w:val="16"/>
                <w:szCs w:val="16"/>
                <w:lang w:val="es-ES"/>
              </w:rPr>
              <w:t xml:space="preserve">Contratista </w:t>
            </w:r>
            <w:r w:rsidRPr="004B2B8D">
              <w:rPr>
                <w:rStyle w:val="normaltextrun"/>
                <w:rFonts w:ascii="Verdana" w:hAnsi="Verdana" w:cs="Arial"/>
                <w:sz w:val="16"/>
                <w:szCs w:val="16"/>
                <w:lang w:val="es-ES"/>
              </w:rPr>
              <w:t>de la Subdirección de Gestión Contractual</w:t>
            </w:r>
            <w:r w:rsidRPr="004B2B8D">
              <w:rPr>
                <w:rStyle w:val="eop"/>
                <w:rFonts w:ascii="Verdana" w:hAnsi="Verdana" w:cs="Arial"/>
                <w:sz w:val="16"/>
                <w:szCs w:val="16"/>
              </w:rPr>
              <w:t> </w:t>
            </w:r>
          </w:p>
        </w:tc>
      </w:tr>
      <w:tr w:rsidR="008C5875" w:rsidRPr="004B2B8D" w14:paraId="026A97F8" w14:textId="77777777" w:rsidTr="008C5875">
        <w:trPr>
          <w:trHeight w:val="300"/>
        </w:trPr>
        <w:tc>
          <w:tcPr>
            <w:tcW w:w="893" w:type="dxa"/>
            <w:vAlign w:val="center"/>
          </w:tcPr>
          <w:p w14:paraId="6BC87F1C" w14:textId="77777777" w:rsidR="008C5875" w:rsidRPr="004B2B8D" w:rsidRDefault="008C5875" w:rsidP="003B7253">
            <w:pPr>
              <w:spacing w:line="276" w:lineRule="auto"/>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5C14186" w14:textId="77777777" w:rsidR="008C5875" w:rsidRPr="004B2B8D" w:rsidRDefault="008C5875" w:rsidP="003B7253">
            <w:pPr>
              <w:spacing w:line="276" w:lineRule="auto"/>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 xml:space="preserve">Carolina Quintero </w:t>
            </w:r>
            <w:proofErr w:type="spellStart"/>
            <w:r w:rsidRPr="004B2B8D">
              <w:rPr>
                <w:rFonts w:ascii="Verdana" w:eastAsia="Calibri" w:hAnsi="Verdana" w:cs="Arial"/>
                <w:sz w:val="16"/>
                <w:szCs w:val="16"/>
                <w:lang w:val="pt-BR" w:eastAsia="es-ES"/>
              </w:rPr>
              <w:t>Gacharná</w:t>
            </w:r>
            <w:proofErr w:type="spellEnd"/>
          </w:p>
          <w:p w14:paraId="61FB57F7" w14:textId="77777777" w:rsidR="008C5875" w:rsidRPr="004B2B8D" w:rsidRDefault="008C5875" w:rsidP="003B7253">
            <w:pPr>
              <w:spacing w:line="276" w:lineRule="auto"/>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Contratual ANCP – CCE</w:t>
            </w:r>
          </w:p>
        </w:tc>
      </w:tr>
    </w:tbl>
    <w:p w14:paraId="4E54B486" w14:textId="77777777" w:rsidR="008C5875" w:rsidRPr="00593A5F" w:rsidRDefault="008C5875" w:rsidP="003B7253">
      <w:pPr>
        <w:spacing w:after="0" w:line="276" w:lineRule="auto"/>
        <w:rPr>
          <w:rFonts w:ascii="Verdana" w:eastAsia="Times New Roman" w:hAnsi="Verdana" w:cs="Arial"/>
          <w:sz w:val="24"/>
          <w:szCs w:val="24"/>
          <w:lang w:eastAsia="es-ES"/>
        </w:rPr>
      </w:pPr>
    </w:p>
    <w:p w14:paraId="229E51B3" w14:textId="77777777" w:rsidR="008C5875" w:rsidRPr="00564CAF" w:rsidRDefault="008C5875" w:rsidP="003B7253">
      <w:pPr>
        <w:spacing w:line="276" w:lineRule="auto"/>
      </w:pPr>
    </w:p>
    <w:p w14:paraId="2EB1026A" w14:textId="77777777" w:rsidR="008C5875" w:rsidRPr="00A67491" w:rsidRDefault="008C5875" w:rsidP="003B7253">
      <w:pPr>
        <w:spacing w:line="276" w:lineRule="auto"/>
      </w:pPr>
    </w:p>
    <w:p w14:paraId="0F293BF4" w14:textId="04A5036B" w:rsidR="00127233" w:rsidRPr="00B40242" w:rsidRDefault="00127233" w:rsidP="003B7253">
      <w:pPr>
        <w:spacing w:line="276" w:lineRule="auto"/>
      </w:pPr>
    </w:p>
    <w:sectPr w:rsidR="00127233" w:rsidRPr="00B40242"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184E8" w14:textId="77777777" w:rsidR="0083009A" w:rsidRDefault="0083009A" w:rsidP="004A1847">
      <w:pPr>
        <w:spacing w:after="0" w:line="240" w:lineRule="auto"/>
      </w:pPr>
      <w:r>
        <w:separator/>
      </w:r>
    </w:p>
  </w:endnote>
  <w:endnote w:type="continuationSeparator" w:id="0">
    <w:p w14:paraId="49BBFE89" w14:textId="77777777" w:rsidR="0083009A" w:rsidRDefault="008300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B9F08" w14:textId="77777777" w:rsidR="0083009A" w:rsidRDefault="0083009A" w:rsidP="004A1847">
      <w:pPr>
        <w:spacing w:after="0" w:line="240" w:lineRule="auto"/>
      </w:pPr>
      <w:r>
        <w:separator/>
      </w:r>
    </w:p>
  </w:footnote>
  <w:footnote w:type="continuationSeparator" w:id="0">
    <w:p w14:paraId="4C6149C4" w14:textId="77777777" w:rsidR="0083009A" w:rsidRDefault="0083009A" w:rsidP="004A1847">
      <w:pPr>
        <w:spacing w:after="0" w:line="240" w:lineRule="auto"/>
      </w:pPr>
      <w:r>
        <w:continuationSeparator/>
      </w:r>
    </w:p>
  </w:footnote>
  <w:footnote w:id="1">
    <w:p w14:paraId="4FD86265" w14:textId="07A9D964" w:rsidR="008C5875" w:rsidRPr="00437FA7" w:rsidRDefault="008C5875" w:rsidP="00437FA7">
      <w:pPr>
        <w:pStyle w:val="Textonotapie"/>
        <w:ind w:firstLine="709"/>
        <w:jc w:val="both"/>
        <w:rPr>
          <w:rFonts w:ascii="Verdana" w:hAnsi="Verdana"/>
          <w:sz w:val="16"/>
          <w:szCs w:val="16"/>
          <w:lang w:val="es-ES"/>
        </w:rPr>
      </w:pPr>
      <w:r w:rsidRPr="00437FA7">
        <w:rPr>
          <w:rStyle w:val="Refdenotaalpie"/>
          <w:rFonts w:ascii="Verdana" w:hAnsi="Verdana"/>
          <w:sz w:val="16"/>
          <w:szCs w:val="16"/>
        </w:rPr>
        <w:footnoteRef/>
      </w:r>
      <w:r w:rsidRPr="00437FA7">
        <w:rPr>
          <w:rFonts w:ascii="Verdana" w:hAnsi="Verdana"/>
          <w:sz w:val="16"/>
          <w:szCs w:val="16"/>
        </w:rPr>
        <w:t xml:space="preserve"> </w:t>
      </w:r>
      <w:r w:rsidRPr="00437FA7">
        <w:rPr>
          <w:rFonts w:ascii="Verdana" w:hAnsi="Verdana"/>
          <w:sz w:val="16"/>
          <w:szCs w:val="16"/>
          <w:lang w:val="es-CO"/>
        </w:rPr>
        <w:t>Esta política se justifica en la medida que: “Cuando una empresa decide ser formal se generan beneficios para la sociedad más allá de los que la empresa recibe (externalidades positivas). Estos beneficios [ …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 ” (Cfr. CONSEJO NACIONAL DE POLÍTICA ECONÓMICA Y SOCIAL. Documento 3956 del 8 de enero de 2019: “ Política de formalización empresarial ” . Archivo consultado el 8 de febrero de 2021 en la página web https://colaboracion.dnp.gov.co/CDT/Conpes/Econ%C3%B3micos/3956.pdf).</w:t>
      </w:r>
    </w:p>
  </w:footnote>
  <w:footnote w:id="2">
    <w:p w14:paraId="3ED60DD9" w14:textId="77777777" w:rsidR="00FA746C" w:rsidRPr="00F22A64" w:rsidRDefault="00FA746C" w:rsidP="00FA746C">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34DE2469" w14:textId="77777777" w:rsidR="00FA746C" w:rsidRPr="00F22A64" w:rsidRDefault="00FA746C" w:rsidP="00FA746C">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que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3">
    <w:p w14:paraId="49279D2C" w14:textId="77777777" w:rsidR="00FA746C" w:rsidRPr="00F22A64" w:rsidRDefault="00FA746C" w:rsidP="00FA746C">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4">
    <w:p w14:paraId="0FC57056" w14:textId="77777777" w:rsidR="00FA746C" w:rsidRPr="00F22A64" w:rsidRDefault="00FA746C" w:rsidP="00FA746C">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d 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14:paraId="2473546F" w14:textId="77777777" w:rsidR="00FA746C" w:rsidRPr="00F22A64" w:rsidRDefault="00FA746C" w:rsidP="00FA746C">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777ADAD9" w14:textId="77777777" w:rsidR="00FA746C" w:rsidRPr="00F22A64" w:rsidRDefault="00FA746C" w:rsidP="00FA746C">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3F2A9D56" w14:textId="77777777" w:rsidR="00FA746C" w:rsidRPr="00F22A64" w:rsidRDefault="00FA746C" w:rsidP="00FA746C">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75014F"/>
    <w:multiLevelType w:val="hybridMultilevel"/>
    <w:tmpl w:val="BEBCB3CC"/>
    <w:lvl w:ilvl="0" w:tplc="14D6D95C">
      <w:start w:val="1"/>
      <w:numFmt w:val="decimal"/>
      <w:lvlText w:val="%1."/>
      <w:lvlJc w:val="left"/>
      <w:pPr>
        <w:ind w:left="546" w:hanging="286"/>
        <w:jc w:val="right"/>
      </w:pPr>
      <w:rPr>
        <w:rFonts w:ascii="Verdana" w:eastAsia="Verdana" w:hAnsi="Verdana" w:cs="Verdana" w:hint="default"/>
        <w:b/>
        <w:bCs/>
        <w:i w:val="0"/>
        <w:iCs w:val="0"/>
        <w:spacing w:val="-2"/>
        <w:w w:val="99"/>
        <w:sz w:val="22"/>
        <w:szCs w:val="22"/>
        <w:lang w:val="es-ES" w:eastAsia="en-US" w:bidi="ar-SA"/>
      </w:rPr>
    </w:lvl>
    <w:lvl w:ilvl="1" w:tplc="5E84620C">
      <w:start w:val="1"/>
      <w:numFmt w:val="decimal"/>
      <w:lvlText w:val="%2."/>
      <w:lvlJc w:val="left"/>
      <w:pPr>
        <w:ind w:left="971" w:hanging="279"/>
      </w:pPr>
      <w:rPr>
        <w:rFonts w:ascii="Verdana" w:eastAsia="Verdana" w:hAnsi="Verdana" w:cs="Verdana" w:hint="default"/>
        <w:b w:val="0"/>
        <w:bCs w:val="0"/>
        <w:i w:val="0"/>
        <w:iCs w:val="0"/>
        <w:spacing w:val="-3"/>
        <w:w w:val="100"/>
        <w:sz w:val="20"/>
        <w:szCs w:val="20"/>
        <w:lang w:val="es-ES" w:eastAsia="en-US" w:bidi="ar-SA"/>
      </w:rPr>
    </w:lvl>
    <w:lvl w:ilvl="2" w:tplc="D32E03B8">
      <w:numFmt w:val="bullet"/>
      <w:lvlText w:val="•"/>
      <w:lvlJc w:val="left"/>
      <w:pPr>
        <w:ind w:left="1911" w:hanging="279"/>
      </w:pPr>
      <w:rPr>
        <w:rFonts w:hint="default"/>
        <w:lang w:val="es-ES" w:eastAsia="en-US" w:bidi="ar-SA"/>
      </w:rPr>
    </w:lvl>
    <w:lvl w:ilvl="3" w:tplc="EA382D12">
      <w:numFmt w:val="bullet"/>
      <w:lvlText w:val="•"/>
      <w:lvlJc w:val="left"/>
      <w:pPr>
        <w:ind w:left="2842" w:hanging="279"/>
      </w:pPr>
      <w:rPr>
        <w:rFonts w:hint="default"/>
        <w:lang w:val="es-ES" w:eastAsia="en-US" w:bidi="ar-SA"/>
      </w:rPr>
    </w:lvl>
    <w:lvl w:ilvl="4" w:tplc="58B23F2A">
      <w:numFmt w:val="bullet"/>
      <w:lvlText w:val="•"/>
      <w:lvlJc w:val="left"/>
      <w:pPr>
        <w:ind w:left="3773" w:hanging="279"/>
      </w:pPr>
      <w:rPr>
        <w:rFonts w:hint="default"/>
        <w:lang w:val="es-ES" w:eastAsia="en-US" w:bidi="ar-SA"/>
      </w:rPr>
    </w:lvl>
    <w:lvl w:ilvl="5" w:tplc="ACA239DE">
      <w:numFmt w:val="bullet"/>
      <w:lvlText w:val="•"/>
      <w:lvlJc w:val="left"/>
      <w:pPr>
        <w:ind w:left="4704" w:hanging="279"/>
      </w:pPr>
      <w:rPr>
        <w:rFonts w:hint="default"/>
        <w:lang w:val="es-ES" w:eastAsia="en-US" w:bidi="ar-SA"/>
      </w:rPr>
    </w:lvl>
    <w:lvl w:ilvl="6" w:tplc="66FADD78">
      <w:numFmt w:val="bullet"/>
      <w:lvlText w:val="•"/>
      <w:lvlJc w:val="left"/>
      <w:pPr>
        <w:ind w:left="5635" w:hanging="279"/>
      </w:pPr>
      <w:rPr>
        <w:rFonts w:hint="default"/>
        <w:lang w:val="es-ES" w:eastAsia="en-US" w:bidi="ar-SA"/>
      </w:rPr>
    </w:lvl>
    <w:lvl w:ilvl="7" w:tplc="DC7C1230">
      <w:numFmt w:val="bullet"/>
      <w:lvlText w:val="•"/>
      <w:lvlJc w:val="left"/>
      <w:pPr>
        <w:ind w:left="6566" w:hanging="279"/>
      </w:pPr>
      <w:rPr>
        <w:rFonts w:hint="default"/>
        <w:lang w:val="es-ES" w:eastAsia="en-US" w:bidi="ar-SA"/>
      </w:rPr>
    </w:lvl>
    <w:lvl w:ilvl="8" w:tplc="1A56ABB6">
      <w:numFmt w:val="bullet"/>
      <w:lvlText w:val="•"/>
      <w:lvlJc w:val="left"/>
      <w:pPr>
        <w:ind w:left="7497" w:hanging="279"/>
      </w:pPr>
      <w:rPr>
        <w:rFonts w:hint="default"/>
        <w:lang w:val="es-ES" w:eastAsia="en-US" w:bidi="ar-SA"/>
      </w:rPr>
    </w:lvl>
  </w:abstractNum>
  <w:abstractNum w:abstractNumId="4" w15:restartNumberingAfterBreak="0">
    <w:nsid w:val="0BA579B6"/>
    <w:multiLevelType w:val="multilevel"/>
    <w:tmpl w:val="1486CC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CC5A23"/>
    <w:multiLevelType w:val="hybridMultilevel"/>
    <w:tmpl w:val="405EE626"/>
    <w:lvl w:ilvl="0" w:tplc="2FFE9A9E">
      <w:start w:val="1"/>
      <w:numFmt w:val="lowerRoman"/>
      <w:lvlText w:val="%1)"/>
      <w:lvlJc w:val="left"/>
      <w:pPr>
        <w:ind w:left="1080" w:hanging="720"/>
      </w:pPr>
      <w:rPr>
        <w:rFonts w:eastAsia="Century Gothic" w:cs="Century Gothic"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D76396"/>
    <w:multiLevelType w:val="hybridMultilevel"/>
    <w:tmpl w:val="A3C4307C"/>
    <w:lvl w:ilvl="0" w:tplc="D344898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E054CA3"/>
    <w:multiLevelType w:val="hybridMultilevel"/>
    <w:tmpl w:val="76CE264A"/>
    <w:lvl w:ilvl="0" w:tplc="38B4B5AC">
      <w:start w:val="1"/>
      <w:numFmt w:val="decimal"/>
      <w:lvlText w:val="%1."/>
      <w:lvlJc w:val="left"/>
      <w:pPr>
        <w:ind w:left="971" w:hanging="294"/>
      </w:pPr>
      <w:rPr>
        <w:rFonts w:ascii="Verdana" w:eastAsia="Verdana" w:hAnsi="Verdana" w:cs="Verdana" w:hint="default"/>
        <w:b w:val="0"/>
        <w:bCs w:val="0"/>
        <w:i w:val="0"/>
        <w:iCs w:val="0"/>
        <w:spacing w:val="-3"/>
        <w:w w:val="100"/>
        <w:sz w:val="20"/>
        <w:szCs w:val="20"/>
        <w:lang w:val="es-ES" w:eastAsia="en-US" w:bidi="ar-SA"/>
      </w:rPr>
    </w:lvl>
    <w:lvl w:ilvl="1" w:tplc="3B3A93C8">
      <w:numFmt w:val="bullet"/>
      <w:lvlText w:val="•"/>
      <w:lvlJc w:val="left"/>
      <w:pPr>
        <w:ind w:left="1818" w:hanging="294"/>
      </w:pPr>
      <w:rPr>
        <w:rFonts w:hint="default"/>
        <w:lang w:val="es-ES" w:eastAsia="en-US" w:bidi="ar-SA"/>
      </w:rPr>
    </w:lvl>
    <w:lvl w:ilvl="2" w:tplc="F732D696">
      <w:numFmt w:val="bullet"/>
      <w:lvlText w:val="•"/>
      <w:lvlJc w:val="left"/>
      <w:pPr>
        <w:ind w:left="2656" w:hanging="294"/>
      </w:pPr>
      <w:rPr>
        <w:rFonts w:hint="default"/>
        <w:lang w:val="es-ES" w:eastAsia="en-US" w:bidi="ar-SA"/>
      </w:rPr>
    </w:lvl>
    <w:lvl w:ilvl="3" w:tplc="B58C6CFA">
      <w:numFmt w:val="bullet"/>
      <w:lvlText w:val="•"/>
      <w:lvlJc w:val="left"/>
      <w:pPr>
        <w:ind w:left="3494" w:hanging="294"/>
      </w:pPr>
      <w:rPr>
        <w:rFonts w:hint="default"/>
        <w:lang w:val="es-ES" w:eastAsia="en-US" w:bidi="ar-SA"/>
      </w:rPr>
    </w:lvl>
    <w:lvl w:ilvl="4" w:tplc="50F8D014">
      <w:numFmt w:val="bullet"/>
      <w:lvlText w:val="•"/>
      <w:lvlJc w:val="left"/>
      <w:pPr>
        <w:ind w:left="4332" w:hanging="294"/>
      </w:pPr>
      <w:rPr>
        <w:rFonts w:hint="default"/>
        <w:lang w:val="es-ES" w:eastAsia="en-US" w:bidi="ar-SA"/>
      </w:rPr>
    </w:lvl>
    <w:lvl w:ilvl="5" w:tplc="4D8EA938">
      <w:numFmt w:val="bullet"/>
      <w:lvlText w:val="•"/>
      <w:lvlJc w:val="left"/>
      <w:pPr>
        <w:ind w:left="5170" w:hanging="294"/>
      </w:pPr>
      <w:rPr>
        <w:rFonts w:hint="default"/>
        <w:lang w:val="es-ES" w:eastAsia="en-US" w:bidi="ar-SA"/>
      </w:rPr>
    </w:lvl>
    <w:lvl w:ilvl="6" w:tplc="3CE0B950">
      <w:numFmt w:val="bullet"/>
      <w:lvlText w:val="•"/>
      <w:lvlJc w:val="left"/>
      <w:pPr>
        <w:ind w:left="6008" w:hanging="294"/>
      </w:pPr>
      <w:rPr>
        <w:rFonts w:hint="default"/>
        <w:lang w:val="es-ES" w:eastAsia="en-US" w:bidi="ar-SA"/>
      </w:rPr>
    </w:lvl>
    <w:lvl w:ilvl="7" w:tplc="AC188B36">
      <w:numFmt w:val="bullet"/>
      <w:lvlText w:val="•"/>
      <w:lvlJc w:val="left"/>
      <w:pPr>
        <w:ind w:left="6846" w:hanging="294"/>
      </w:pPr>
      <w:rPr>
        <w:rFonts w:hint="default"/>
        <w:lang w:val="es-ES" w:eastAsia="en-US" w:bidi="ar-SA"/>
      </w:rPr>
    </w:lvl>
    <w:lvl w:ilvl="8" w:tplc="1A34A9F2">
      <w:numFmt w:val="bullet"/>
      <w:lvlText w:val="•"/>
      <w:lvlJc w:val="left"/>
      <w:pPr>
        <w:ind w:left="7684" w:hanging="294"/>
      </w:pPr>
      <w:rPr>
        <w:rFonts w:hint="default"/>
        <w:lang w:val="es-ES" w:eastAsia="en-US" w:bidi="ar-SA"/>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8"/>
  </w:num>
  <w:num w:numId="8" w16cid:durableId="152644682">
    <w:abstractNumId w:val="16"/>
  </w:num>
  <w:num w:numId="9" w16cid:durableId="1317221377">
    <w:abstractNumId w:val="10"/>
  </w:num>
  <w:num w:numId="10" w16cid:durableId="1471245386">
    <w:abstractNumId w:val="15"/>
  </w:num>
  <w:num w:numId="11" w16cid:durableId="289172385">
    <w:abstractNumId w:val="11"/>
  </w:num>
  <w:num w:numId="12" w16cid:durableId="1470781324">
    <w:abstractNumId w:val="1"/>
  </w:num>
  <w:num w:numId="13" w16cid:durableId="1512908409">
    <w:abstractNumId w:val="5"/>
  </w:num>
  <w:num w:numId="14" w16cid:durableId="895897244">
    <w:abstractNumId w:val="18"/>
  </w:num>
  <w:num w:numId="15" w16cid:durableId="390349800">
    <w:abstractNumId w:val="14"/>
  </w:num>
  <w:num w:numId="16" w16cid:durableId="341274352">
    <w:abstractNumId w:val="0"/>
  </w:num>
  <w:num w:numId="17" w16cid:durableId="679089576">
    <w:abstractNumId w:val="12"/>
  </w:num>
  <w:num w:numId="18" w16cid:durableId="1300452660">
    <w:abstractNumId w:val="13"/>
  </w:num>
  <w:num w:numId="19" w16cid:durableId="1733624344">
    <w:abstractNumId w:val="4"/>
  </w:num>
  <w:num w:numId="20" w16cid:durableId="280768104">
    <w:abstractNumId w:val="6"/>
  </w:num>
  <w:num w:numId="21" w16cid:durableId="1933318778">
    <w:abstractNumId w:val="19"/>
  </w:num>
  <w:num w:numId="22" w16cid:durableId="614409140">
    <w:abstractNumId w:val="20"/>
  </w:num>
  <w:num w:numId="23" w16cid:durableId="17578953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65F"/>
    <w:rsid w:val="000074EE"/>
    <w:rsid w:val="00016F78"/>
    <w:rsid w:val="00046945"/>
    <w:rsid w:val="00052ACC"/>
    <w:rsid w:val="00061B2A"/>
    <w:rsid w:val="00062E9C"/>
    <w:rsid w:val="000717C2"/>
    <w:rsid w:val="00082362"/>
    <w:rsid w:val="00082AB1"/>
    <w:rsid w:val="000A683E"/>
    <w:rsid w:val="000B19B9"/>
    <w:rsid w:val="000C0860"/>
    <w:rsid w:val="000D0334"/>
    <w:rsid w:val="000F6486"/>
    <w:rsid w:val="00125105"/>
    <w:rsid w:val="00127233"/>
    <w:rsid w:val="0013676F"/>
    <w:rsid w:val="00145F6B"/>
    <w:rsid w:val="00152D6A"/>
    <w:rsid w:val="00164D6E"/>
    <w:rsid w:val="00165BDE"/>
    <w:rsid w:val="00186267"/>
    <w:rsid w:val="001C0BF5"/>
    <w:rsid w:val="001D4897"/>
    <w:rsid w:val="001E4177"/>
    <w:rsid w:val="001F7DC6"/>
    <w:rsid w:val="0020173D"/>
    <w:rsid w:val="00203176"/>
    <w:rsid w:val="00207A46"/>
    <w:rsid w:val="0022165B"/>
    <w:rsid w:val="002421BB"/>
    <w:rsid w:val="0025796E"/>
    <w:rsid w:val="002707A2"/>
    <w:rsid w:val="0029281E"/>
    <w:rsid w:val="002951A0"/>
    <w:rsid w:val="002962BC"/>
    <w:rsid w:val="00297336"/>
    <w:rsid w:val="002A093D"/>
    <w:rsid w:val="002A0DD0"/>
    <w:rsid w:val="002A49AC"/>
    <w:rsid w:val="002A64FD"/>
    <w:rsid w:val="002B54F8"/>
    <w:rsid w:val="002C7A84"/>
    <w:rsid w:val="002D69B1"/>
    <w:rsid w:val="002E4FD9"/>
    <w:rsid w:val="002E59B3"/>
    <w:rsid w:val="003043B9"/>
    <w:rsid w:val="00322A85"/>
    <w:rsid w:val="00324168"/>
    <w:rsid w:val="00325799"/>
    <w:rsid w:val="00326493"/>
    <w:rsid w:val="00336D0C"/>
    <w:rsid w:val="003448F4"/>
    <w:rsid w:val="00351D8F"/>
    <w:rsid w:val="00356099"/>
    <w:rsid w:val="003617C8"/>
    <w:rsid w:val="00373AE8"/>
    <w:rsid w:val="00374F5E"/>
    <w:rsid w:val="003765EE"/>
    <w:rsid w:val="003769F9"/>
    <w:rsid w:val="00377E3E"/>
    <w:rsid w:val="003A779E"/>
    <w:rsid w:val="003B7253"/>
    <w:rsid w:val="003D0F4D"/>
    <w:rsid w:val="003D5B0D"/>
    <w:rsid w:val="003E0499"/>
    <w:rsid w:val="003F3941"/>
    <w:rsid w:val="00406575"/>
    <w:rsid w:val="00414C74"/>
    <w:rsid w:val="00416A5B"/>
    <w:rsid w:val="004233AD"/>
    <w:rsid w:val="0042722E"/>
    <w:rsid w:val="00437FA7"/>
    <w:rsid w:val="0044528D"/>
    <w:rsid w:val="00452976"/>
    <w:rsid w:val="00460FEE"/>
    <w:rsid w:val="004714FD"/>
    <w:rsid w:val="00476846"/>
    <w:rsid w:val="00483E47"/>
    <w:rsid w:val="004A09D6"/>
    <w:rsid w:val="004A1847"/>
    <w:rsid w:val="004A305D"/>
    <w:rsid w:val="004B6D1F"/>
    <w:rsid w:val="004F21C4"/>
    <w:rsid w:val="004F685F"/>
    <w:rsid w:val="005001D3"/>
    <w:rsid w:val="0054094B"/>
    <w:rsid w:val="005441C1"/>
    <w:rsid w:val="0054728F"/>
    <w:rsid w:val="005566E8"/>
    <w:rsid w:val="00562872"/>
    <w:rsid w:val="00571A0E"/>
    <w:rsid w:val="0057252D"/>
    <w:rsid w:val="00574867"/>
    <w:rsid w:val="00580200"/>
    <w:rsid w:val="00591460"/>
    <w:rsid w:val="005B6D72"/>
    <w:rsid w:val="005C3777"/>
    <w:rsid w:val="005C5CDC"/>
    <w:rsid w:val="005D476C"/>
    <w:rsid w:val="005F240C"/>
    <w:rsid w:val="006219F8"/>
    <w:rsid w:val="00623F78"/>
    <w:rsid w:val="006302F7"/>
    <w:rsid w:val="00652128"/>
    <w:rsid w:val="00665D70"/>
    <w:rsid w:val="00681A50"/>
    <w:rsid w:val="006900D9"/>
    <w:rsid w:val="00691DBC"/>
    <w:rsid w:val="00697A70"/>
    <w:rsid w:val="006A263E"/>
    <w:rsid w:val="006A760C"/>
    <w:rsid w:val="006E22FA"/>
    <w:rsid w:val="006E6674"/>
    <w:rsid w:val="00706C16"/>
    <w:rsid w:val="007157E2"/>
    <w:rsid w:val="00751B33"/>
    <w:rsid w:val="00756841"/>
    <w:rsid w:val="007649AB"/>
    <w:rsid w:val="00771D0C"/>
    <w:rsid w:val="00775CBE"/>
    <w:rsid w:val="007763F3"/>
    <w:rsid w:val="00782B75"/>
    <w:rsid w:val="007833AC"/>
    <w:rsid w:val="007B225D"/>
    <w:rsid w:val="007B268C"/>
    <w:rsid w:val="007B7171"/>
    <w:rsid w:val="007C0C0F"/>
    <w:rsid w:val="007C3DC2"/>
    <w:rsid w:val="007E5497"/>
    <w:rsid w:val="007E54B8"/>
    <w:rsid w:val="007E6140"/>
    <w:rsid w:val="007F77DA"/>
    <w:rsid w:val="00806F5F"/>
    <w:rsid w:val="00820278"/>
    <w:rsid w:val="0083009A"/>
    <w:rsid w:val="00850222"/>
    <w:rsid w:val="008508D4"/>
    <w:rsid w:val="008626F4"/>
    <w:rsid w:val="00867F95"/>
    <w:rsid w:val="008843B6"/>
    <w:rsid w:val="00887F4A"/>
    <w:rsid w:val="00891928"/>
    <w:rsid w:val="00895C45"/>
    <w:rsid w:val="00897A3A"/>
    <w:rsid w:val="008A446D"/>
    <w:rsid w:val="008C39A8"/>
    <w:rsid w:val="008C5875"/>
    <w:rsid w:val="008D180B"/>
    <w:rsid w:val="008E4D59"/>
    <w:rsid w:val="008F0EA7"/>
    <w:rsid w:val="00901BBE"/>
    <w:rsid w:val="00912F90"/>
    <w:rsid w:val="00916558"/>
    <w:rsid w:val="00920B38"/>
    <w:rsid w:val="00923EEF"/>
    <w:rsid w:val="0094065A"/>
    <w:rsid w:val="009419F9"/>
    <w:rsid w:val="0095685E"/>
    <w:rsid w:val="00961B09"/>
    <w:rsid w:val="00965334"/>
    <w:rsid w:val="009663E9"/>
    <w:rsid w:val="0097093E"/>
    <w:rsid w:val="009A0DFA"/>
    <w:rsid w:val="009B25A8"/>
    <w:rsid w:val="009B2D26"/>
    <w:rsid w:val="009C5D27"/>
    <w:rsid w:val="009C64B9"/>
    <w:rsid w:val="009C71FA"/>
    <w:rsid w:val="009C72E7"/>
    <w:rsid w:val="009D3058"/>
    <w:rsid w:val="009F1B7D"/>
    <w:rsid w:val="009F3A13"/>
    <w:rsid w:val="00A02580"/>
    <w:rsid w:val="00A05EE8"/>
    <w:rsid w:val="00A11815"/>
    <w:rsid w:val="00A122D3"/>
    <w:rsid w:val="00A1565B"/>
    <w:rsid w:val="00A15C05"/>
    <w:rsid w:val="00A17F13"/>
    <w:rsid w:val="00A20739"/>
    <w:rsid w:val="00A33C78"/>
    <w:rsid w:val="00A61010"/>
    <w:rsid w:val="00A86495"/>
    <w:rsid w:val="00AB0ADB"/>
    <w:rsid w:val="00B00C0E"/>
    <w:rsid w:val="00B01B1A"/>
    <w:rsid w:val="00B33FD3"/>
    <w:rsid w:val="00B40242"/>
    <w:rsid w:val="00B44A47"/>
    <w:rsid w:val="00B72CD3"/>
    <w:rsid w:val="00B72FFF"/>
    <w:rsid w:val="00BB16D9"/>
    <w:rsid w:val="00BB78B5"/>
    <w:rsid w:val="00BC3D36"/>
    <w:rsid w:val="00BD7409"/>
    <w:rsid w:val="00BD7F72"/>
    <w:rsid w:val="00BE214F"/>
    <w:rsid w:val="00C04015"/>
    <w:rsid w:val="00C04FB3"/>
    <w:rsid w:val="00C10C83"/>
    <w:rsid w:val="00C32948"/>
    <w:rsid w:val="00C330EB"/>
    <w:rsid w:val="00C754BE"/>
    <w:rsid w:val="00C759AF"/>
    <w:rsid w:val="00C76B1C"/>
    <w:rsid w:val="00C80F79"/>
    <w:rsid w:val="00CB6357"/>
    <w:rsid w:val="00CC1B26"/>
    <w:rsid w:val="00D36059"/>
    <w:rsid w:val="00D423A2"/>
    <w:rsid w:val="00D520D8"/>
    <w:rsid w:val="00D63AC2"/>
    <w:rsid w:val="00D7383B"/>
    <w:rsid w:val="00DA231B"/>
    <w:rsid w:val="00DC309C"/>
    <w:rsid w:val="00DC39FC"/>
    <w:rsid w:val="00DE4ED1"/>
    <w:rsid w:val="00DE6520"/>
    <w:rsid w:val="00DF5254"/>
    <w:rsid w:val="00E16408"/>
    <w:rsid w:val="00E20894"/>
    <w:rsid w:val="00E2176B"/>
    <w:rsid w:val="00E245AB"/>
    <w:rsid w:val="00E24DA6"/>
    <w:rsid w:val="00E2764C"/>
    <w:rsid w:val="00E27F2E"/>
    <w:rsid w:val="00E35438"/>
    <w:rsid w:val="00E50AFE"/>
    <w:rsid w:val="00E57A0B"/>
    <w:rsid w:val="00E6676D"/>
    <w:rsid w:val="00E75C92"/>
    <w:rsid w:val="00E771DC"/>
    <w:rsid w:val="00E83FDD"/>
    <w:rsid w:val="00E8772A"/>
    <w:rsid w:val="00E90F6B"/>
    <w:rsid w:val="00E92C27"/>
    <w:rsid w:val="00EA0E3D"/>
    <w:rsid w:val="00EA568D"/>
    <w:rsid w:val="00EC38A7"/>
    <w:rsid w:val="00ED7ECD"/>
    <w:rsid w:val="00EE1AA8"/>
    <w:rsid w:val="00EE588E"/>
    <w:rsid w:val="00EF4EAB"/>
    <w:rsid w:val="00F20AE2"/>
    <w:rsid w:val="00F212F2"/>
    <w:rsid w:val="00F31EDC"/>
    <w:rsid w:val="00F34002"/>
    <w:rsid w:val="00F462B3"/>
    <w:rsid w:val="00F5664F"/>
    <w:rsid w:val="00F666C4"/>
    <w:rsid w:val="00F705BD"/>
    <w:rsid w:val="00F76AFC"/>
    <w:rsid w:val="00F93C10"/>
    <w:rsid w:val="00FA47C0"/>
    <w:rsid w:val="00FA746C"/>
    <w:rsid w:val="00FB5DD1"/>
    <w:rsid w:val="00FC2B5D"/>
    <w:rsid w:val="00FD36C9"/>
    <w:rsid w:val="00FE508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91FECC1C-85F3-4B3C-A996-EE094ECCF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3FDD"/>
    <w:rPr>
      <w:rFonts w:ascii="Geomanist Light" w:hAnsi="Geomanist Light"/>
      <w:lang w:val="es-ES"/>
    </w:rPr>
  </w:style>
  <w:style w:type="character" w:styleId="Refdecomentario">
    <w:name w:val="annotation reference"/>
    <w:basedOn w:val="Fuentedeprrafopredeter"/>
    <w:uiPriority w:val="99"/>
    <w:semiHidden/>
    <w:unhideWhenUsed/>
    <w:rsid w:val="00E83FDD"/>
    <w:rPr>
      <w:sz w:val="16"/>
      <w:szCs w:val="16"/>
    </w:rPr>
  </w:style>
  <w:style w:type="paragraph" w:styleId="Textocomentario">
    <w:name w:val="annotation text"/>
    <w:basedOn w:val="Normal"/>
    <w:link w:val="TextocomentarioCar"/>
    <w:uiPriority w:val="99"/>
    <w:unhideWhenUsed/>
    <w:rsid w:val="00E83FDD"/>
    <w:pPr>
      <w:spacing w:line="240" w:lineRule="auto"/>
    </w:pPr>
    <w:rPr>
      <w:sz w:val="20"/>
      <w:szCs w:val="20"/>
    </w:rPr>
  </w:style>
  <w:style w:type="character" w:customStyle="1" w:styleId="TextocomentarioCar">
    <w:name w:val="Texto comentario Car"/>
    <w:basedOn w:val="Fuentedeprrafopredeter"/>
    <w:link w:val="Textocomentario"/>
    <w:uiPriority w:val="99"/>
    <w:rsid w:val="00E83FDD"/>
    <w:rPr>
      <w:sz w:val="20"/>
      <w:szCs w:val="20"/>
    </w:rPr>
  </w:style>
  <w:style w:type="paragraph" w:customStyle="1" w:styleId="Appelnotedebasde">
    <w:name w:val="Appel note de bas de..."/>
    <w:basedOn w:val="Normal"/>
    <w:link w:val="Refdenotaalpie"/>
    <w:uiPriority w:val="99"/>
    <w:rsid w:val="00E83FDD"/>
    <w:pPr>
      <w:spacing w:line="240" w:lineRule="exact"/>
    </w:pPr>
    <w:rPr>
      <w:vertAlign w:val="superscript"/>
    </w:rPr>
  </w:style>
  <w:style w:type="paragraph" w:styleId="Asuntodelcomentario">
    <w:name w:val="annotation subject"/>
    <w:basedOn w:val="Textocomentario"/>
    <w:next w:val="Textocomentario"/>
    <w:link w:val="AsuntodelcomentarioCar"/>
    <w:uiPriority w:val="99"/>
    <w:semiHidden/>
    <w:unhideWhenUsed/>
    <w:rsid w:val="00062E9C"/>
    <w:rPr>
      <w:b/>
      <w:bCs/>
    </w:rPr>
  </w:style>
  <w:style w:type="character" w:customStyle="1" w:styleId="AsuntodelcomentarioCar">
    <w:name w:val="Asunto del comentario Car"/>
    <w:basedOn w:val="TextocomentarioCar"/>
    <w:link w:val="Asuntodelcomentario"/>
    <w:uiPriority w:val="99"/>
    <w:semiHidden/>
    <w:rsid w:val="00062E9C"/>
    <w:rPr>
      <w:b/>
      <w:bCs/>
      <w:sz w:val="20"/>
      <w:szCs w:val="20"/>
    </w:rPr>
  </w:style>
  <w:style w:type="paragraph" w:styleId="Textoindependiente">
    <w:name w:val="Body Text"/>
    <w:basedOn w:val="Normal"/>
    <w:link w:val="TextoindependienteCar"/>
    <w:uiPriority w:val="1"/>
    <w:qFormat/>
    <w:rsid w:val="0057252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7252D"/>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ork_gan@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6902F-64F0-46BB-8C63-BFAAEAEDA6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a6cb9e4b-f1d1-4245-83ec-6cad768d538a"/>
    <ds:schemaRef ds:uri="9d85dbaf-23eb-4e57-a637-93dcacc8b1a1"/>
    <ds:schemaRef ds:uri="http://schemas.microsoft.com/office/2006/documentManagement/types"/>
    <ds:schemaRef ds:uri="http://purl.org/dc/term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04D701C-8A08-4339-AFEE-0BF14F625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4282</Words>
  <Characters>23552</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2025-09-29T16:16:00Z</dcterms:created>
  <dcterms:modified xsi:type="dcterms:W3CDTF">2025-09-29T16:16:00Z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