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66479" w14:textId="1428DC57" w:rsidR="00CC45AD" w:rsidRPr="00CC45AD" w:rsidRDefault="00CC45AD" w:rsidP="00CC45AD">
      <w:pPr>
        <w:spacing w:after="0"/>
        <w:jc w:val="both"/>
        <w:rPr>
          <w:rFonts w:ascii="Verdana" w:hAnsi="Verdana"/>
        </w:rPr>
      </w:pPr>
      <w:bookmarkStart w:id="0" w:name="_Hlk143780582"/>
      <w:r w:rsidRPr="00D72D95">
        <w:rPr>
          <w:rFonts w:ascii="Verdana" w:eastAsia="Calibri" w:hAnsi="Verdana" w:cs="Arial"/>
          <w:b/>
          <w:bCs/>
          <w:lang w:val="es-ES" w:eastAsia="es-ES"/>
        </w:rPr>
        <w:t>SUBSANABILIDAD – Aplicación – R</w:t>
      </w:r>
      <w:r w:rsidRPr="00D72D95">
        <w:rPr>
          <w:rFonts w:ascii="Verdana" w:eastAsia="Calibri" w:hAnsi="Verdana"/>
          <w:b/>
          <w:bCs/>
          <w:lang w:val="es-ES" w:eastAsia="es-ES"/>
        </w:rPr>
        <w:t>egla general</w:t>
      </w:r>
      <w:r w:rsidRPr="00D72D95">
        <w:rPr>
          <w:rFonts w:ascii="Verdana" w:eastAsia="Calibri" w:hAnsi="Verdana" w:cs="Arial"/>
          <w:b/>
          <w:bCs/>
          <w:lang w:val="es-ES" w:eastAsia="es-ES"/>
        </w:rPr>
        <w:t xml:space="preserve"> – Excepciones </w:t>
      </w:r>
    </w:p>
    <w:p w14:paraId="5FD97928" w14:textId="77777777" w:rsidR="00CC45AD" w:rsidRPr="00D72D95" w:rsidRDefault="00CC45AD" w:rsidP="00CC45AD">
      <w:pPr>
        <w:tabs>
          <w:tab w:val="left" w:pos="426"/>
        </w:tabs>
        <w:spacing w:after="0" w:line="240" w:lineRule="auto"/>
        <w:jc w:val="both"/>
        <w:rPr>
          <w:rFonts w:ascii="Verdana" w:hAnsi="Verdana" w:cs="Arial"/>
          <w:b/>
          <w:sz w:val="20"/>
          <w:szCs w:val="20"/>
          <w:lang w:eastAsia="es-CO"/>
        </w:rPr>
      </w:pPr>
    </w:p>
    <w:p w14:paraId="3509CF78" w14:textId="4A641153" w:rsidR="00CC45AD" w:rsidRDefault="00703DEE" w:rsidP="00CC45AD">
      <w:pPr>
        <w:spacing w:after="0" w:line="240" w:lineRule="auto"/>
        <w:jc w:val="both"/>
        <w:rPr>
          <w:rFonts w:ascii="Verdana" w:hAnsi="Verdana" w:cs="Arial"/>
          <w:bCs/>
          <w:sz w:val="20"/>
          <w:szCs w:val="20"/>
          <w:lang w:eastAsia="es-CO"/>
        </w:rPr>
      </w:pPr>
      <w:r w:rsidRPr="00703DEE">
        <w:rPr>
          <w:rFonts w:ascii="Verdana" w:hAnsi="Verdana" w:cs="Arial"/>
          <w:bCs/>
          <w:sz w:val="20"/>
          <w:szCs w:val="20"/>
          <w:lang w:eastAsia="es-CO"/>
        </w:rPr>
        <w:t xml:space="preserve">La regla de la </w:t>
      </w:r>
      <w:proofErr w:type="spellStart"/>
      <w:r w:rsidRPr="00703DEE">
        <w:rPr>
          <w:rFonts w:ascii="Verdana" w:hAnsi="Verdana" w:cs="Arial"/>
          <w:bCs/>
          <w:sz w:val="20"/>
          <w:szCs w:val="20"/>
          <w:lang w:eastAsia="es-CO"/>
        </w:rPr>
        <w:t>subsanabilidad</w:t>
      </w:r>
      <w:proofErr w:type="spellEnd"/>
      <w:r w:rsidRPr="00703DEE">
        <w:rPr>
          <w:rFonts w:ascii="Verdana"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54690390" w14:textId="77777777" w:rsidR="00CC45AD" w:rsidRPr="002E5295" w:rsidRDefault="00CC45AD" w:rsidP="00CC45AD">
      <w:pPr>
        <w:spacing w:after="0" w:line="240" w:lineRule="auto"/>
        <w:jc w:val="both"/>
        <w:rPr>
          <w:rFonts w:ascii="Verdana" w:hAnsi="Verdana" w:cs="Arial"/>
          <w:bCs/>
          <w:sz w:val="20"/>
          <w:szCs w:val="20"/>
          <w:lang w:val="es-ES_tradnl" w:eastAsia="es-CO"/>
        </w:rPr>
      </w:pPr>
    </w:p>
    <w:p w14:paraId="5BBA8467" w14:textId="77777777" w:rsidR="00CC45AD" w:rsidRPr="00914070" w:rsidRDefault="00CC45AD" w:rsidP="00CC45AD">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SUBSANABILIDAD – Ley 1882 de 2018</w:t>
      </w:r>
    </w:p>
    <w:p w14:paraId="1D763C23" w14:textId="77777777" w:rsidR="00CC45AD" w:rsidRDefault="00CC45AD" w:rsidP="00CC45AD">
      <w:pPr>
        <w:spacing w:after="0" w:line="240" w:lineRule="auto"/>
        <w:jc w:val="both"/>
        <w:rPr>
          <w:rFonts w:ascii="Verdana" w:eastAsia="Times New Roman" w:hAnsi="Verdana" w:cs="Arial"/>
          <w:lang w:val="es-ES" w:eastAsia="es-ES_tradnl"/>
        </w:rPr>
      </w:pPr>
    </w:p>
    <w:p w14:paraId="5BEDC096" w14:textId="722F7C25" w:rsidR="00CC45AD" w:rsidRPr="00703DEE" w:rsidRDefault="00CC45AD" w:rsidP="00703DEE">
      <w:pPr>
        <w:spacing w:after="0" w:line="240" w:lineRule="auto"/>
        <w:jc w:val="both"/>
        <w:rPr>
          <w:rFonts w:ascii="Verdana" w:hAnsi="Verdana" w:cs="Arial"/>
          <w:bCs/>
          <w:sz w:val="20"/>
          <w:szCs w:val="20"/>
          <w:lang w:eastAsia="es-CO"/>
        </w:rPr>
      </w:pPr>
      <w:r w:rsidRPr="00703DEE">
        <w:rPr>
          <w:rFonts w:ascii="Verdana" w:hAnsi="Verdana" w:cs="Arial"/>
          <w:bCs/>
          <w:sz w:val="20"/>
          <w:szCs w:val="20"/>
          <w:lang w:eastAsia="es-CO"/>
        </w:rPr>
        <w:t xml:space="preserve">[…] </w:t>
      </w:r>
      <w:r w:rsidR="00703DEE" w:rsidRPr="00703DEE">
        <w:rPr>
          <w:rFonts w:ascii="Verdana" w:eastAsia="Times New Roman" w:hAnsi="Verdana" w:cs="Arial"/>
          <w:sz w:val="20"/>
          <w:szCs w:val="20"/>
          <w:lang w:val="es-ES" w:eastAsia="es-ES"/>
        </w:rPr>
        <w:t xml:space="preserve">la Ley 1882 de 2018: i) mantiene el criterio de la Ley 80 de 1993, relativo a que todo lo que no sea necesario para la comparación de propuestas no es título suficiente para su rechazo; </w:t>
      </w:r>
      <w:proofErr w:type="spellStart"/>
      <w:r w:rsidR="00703DEE" w:rsidRPr="00703DEE">
        <w:rPr>
          <w:rFonts w:ascii="Verdana" w:eastAsia="Times New Roman" w:hAnsi="Verdana" w:cs="Arial"/>
          <w:sz w:val="20"/>
          <w:szCs w:val="20"/>
          <w:lang w:val="es-ES" w:eastAsia="es-ES"/>
        </w:rPr>
        <w:t>ii</w:t>
      </w:r>
      <w:proofErr w:type="spellEnd"/>
      <w:r w:rsidR="00703DEE" w:rsidRPr="00703DEE">
        <w:rPr>
          <w:rFonts w:ascii="Verdana" w:eastAsia="Times New Roman" w:hAnsi="Verdana" w:cs="Arial"/>
          <w:sz w:val="20"/>
          <w:szCs w:val="20"/>
          <w:lang w:val="es-ES" w:eastAsia="es-ES"/>
        </w:rPr>
        <w:t xml:space="preserve">) mantiene el criterio aclaratorio de la Ley 1150 de 2007, según el cual todo lo que no afecte la asignación de puntaje puede subsanarse; y, </w:t>
      </w:r>
      <w:proofErr w:type="spellStart"/>
      <w:r w:rsidR="00703DEE" w:rsidRPr="00703DEE">
        <w:rPr>
          <w:rFonts w:ascii="Verdana" w:eastAsia="Times New Roman" w:hAnsi="Verdana" w:cs="Arial"/>
          <w:sz w:val="20"/>
          <w:szCs w:val="20"/>
          <w:lang w:val="es-ES" w:eastAsia="es-ES"/>
        </w:rPr>
        <w:t>iii</w:t>
      </w:r>
      <w:proofErr w:type="spellEnd"/>
      <w:r w:rsidR="00703DEE" w:rsidRPr="00703DEE">
        <w:rPr>
          <w:rFonts w:ascii="Verdana" w:eastAsia="Times New Roman" w:hAnsi="Verdana" w:cs="Arial"/>
          <w:sz w:val="20"/>
          <w:szCs w:val="20"/>
          <w:lang w:val="es-ES" w:eastAsia="es-ES"/>
        </w:rPr>
        <w:t>) introduce modificaciones en relación con algunos aspectos que se analizarán a continuación.</w:t>
      </w:r>
    </w:p>
    <w:p w14:paraId="4B022B55" w14:textId="77777777" w:rsidR="00CC45AD" w:rsidRPr="008D5D4A" w:rsidRDefault="00CC45AD" w:rsidP="00CC45AD">
      <w:pPr>
        <w:spacing w:after="0" w:line="240" w:lineRule="auto"/>
        <w:jc w:val="both"/>
        <w:rPr>
          <w:rFonts w:ascii="Verdana" w:eastAsia="Calibri" w:hAnsi="Verdana" w:cs="Arial"/>
          <w:b/>
          <w:bCs/>
          <w:lang w:eastAsia="es-ES"/>
        </w:rPr>
      </w:pPr>
    </w:p>
    <w:p w14:paraId="2D454AD9" w14:textId="77777777" w:rsidR="00CC45AD" w:rsidRDefault="00CC45AD" w:rsidP="00CC45AD">
      <w:pPr>
        <w:spacing w:after="0" w:line="276" w:lineRule="auto"/>
        <w:jc w:val="both"/>
        <w:rPr>
          <w:rFonts w:ascii="Verdana" w:eastAsia="Calibri" w:hAnsi="Verdana" w:cs="Arial"/>
          <w:b/>
          <w:bCs/>
          <w:color w:val="000000" w:themeColor="text1"/>
        </w:rPr>
      </w:pPr>
      <w:r w:rsidRPr="00AD0922">
        <w:rPr>
          <w:rFonts w:ascii="Verdana" w:eastAsia="Calibri" w:hAnsi="Verdana" w:cs="Arial"/>
          <w:b/>
          <w:bCs/>
          <w:color w:val="000000" w:themeColor="text1"/>
        </w:rPr>
        <w:t xml:space="preserve">SUBSANABILIDAD – </w:t>
      </w:r>
      <w:r>
        <w:rPr>
          <w:rFonts w:ascii="Verdana" w:eastAsia="Calibri" w:hAnsi="Verdana" w:cs="Arial"/>
          <w:b/>
          <w:bCs/>
          <w:color w:val="000000" w:themeColor="text1"/>
        </w:rPr>
        <w:t xml:space="preserve">Circunstancias posteriores – Cierre del proceso – </w:t>
      </w:r>
      <w:r w:rsidRPr="00AD0922">
        <w:rPr>
          <w:rFonts w:ascii="Verdana" w:eastAsia="Calibri" w:hAnsi="Verdana" w:cs="Arial"/>
          <w:b/>
          <w:bCs/>
          <w:color w:val="000000" w:themeColor="text1"/>
        </w:rPr>
        <w:t xml:space="preserve">Prueba – Oportunidad – Autorizaciones </w:t>
      </w:r>
    </w:p>
    <w:p w14:paraId="5655410B" w14:textId="77777777" w:rsidR="00CC45AD" w:rsidRPr="00AD0922" w:rsidRDefault="00CC45AD" w:rsidP="00CC45AD">
      <w:pPr>
        <w:spacing w:after="0" w:line="276" w:lineRule="auto"/>
        <w:jc w:val="both"/>
        <w:rPr>
          <w:rFonts w:ascii="Verdana" w:hAnsi="Verdana"/>
          <w:color w:val="000000" w:themeColor="text1"/>
          <w:lang w:val="es-ES_tradnl"/>
        </w:rPr>
      </w:pPr>
    </w:p>
    <w:p w14:paraId="1FAD3783" w14:textId="22A930A1" w:rsidR="00CC45AD" w:rsidRPr="00AD0922" w:rsidRDefault="00703DEE" w:rsidP="00CC45AD">
      <w:pPr>
        <w:spacing w:after="0" w:line="240" w:lineRule="auto"/>
        <w:jc w:val="both"/>
        <w:rPr>
          <w:rFonts w:ascii="Verdana" w:hAnsi="Verdana"/>
          <w:color w:val="000000" w:themeColor="text1"/>
          <w:sz w:val="20"/>
          <w:szCs w:val="20"/>
          <w:lang w:val="es-ES"/>
        </w:rPr>
      </w:pPr>
      <w:r>
        <w:rPr>
          <w:rFonts w:ascii="Verdana" w:hAnsi="Verdana"/>
          <w:color w:val="000000" w:themeColor="text1"/>
          <w:sz w:val="20"/>
          <w:szCs w:val="20"/>
          <w:lang w:val="es-ES"/>
        </w:rPr>
        <w:t xml:space="preserve">[…] </w:t>
      </w:r>
      <w:r w:rsidRPr="00703DEE">
        <w:rPr>
          <w:rFonts w:ascii="Verdana" w:hAnsi="Verdana"/>
          <w:color w:val="000000" w:themeColor="text1"/>
          <w:sz w:val="20"/>
          <w:szCs w:val="20"/>
          <w:lang w:val="es-ES"/>
        </w:rPr>
        <w:t xml:space="preserve">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703DEE">
        <w:rPr>
          <w:rFonts w:ascii="Verdana" w:hAnsi="Verdana"/>
          <w:color w:val="000000" w:themeColor="text1"/>
          <w:sz w:val="20"/>
          <w:szCs w:val="20"/>
          <w:lang w:val="es-ES"/>
        </w:rPr>
        <w:t>que</w:t>
      </w:r>
      <w:proofErr w:type="gramEnd"/>
      <w:r w:rsidRPr="00703DEE">
        <w:rPr>
          <w:rFonts w:ascii="Verdana" w:hAnsi="Verdana"/>
          <w:color w:val="000000" w:themeColor="text1"/>
          <w:sz w:val="20"/>
          <w:szCs w:val="20"/>
          <w:lang w:val="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53376160" w14:textId="77777777" w:rsidR="00CC45AD" w:rsidRPr="00AD0922" w:rsidRDefault="00CC45AD" w:rsidP="00CC45AD">
      <w:pPr>
        <w:spacing w:after="0" w:line="240" w:lineRule="auto"/>
        <w:jc w:val="both"/>
        <w:rPr>
          <w:rFonts w:ascii="Verdana" w:hAnsi="Verdana"/>
          <w:color w:val="000000" w:themeColor="text1"/>
          <w:sz w:val="20"/>
          <w:szCs w:val="20"/>
          <w:lang w:val="es-ES_tradnl"/>
        </w:rPr>
      </w:pPr>
      <w:r w:rsidRPr="00AD0922">
        <w:rPr>
          <w:rFonts w:ascii="Verdana" w:hAnsi="Verdana"/>
          <w:color w:val="000000" w:themeColor="text1"/>
          <w:sz w:val="20"/>
          <w:szCs w:val="20"/>
          <w:lang w:val="es-ES_tradnl"/>
        </w:rPr>
        <w:t>[…]</w:t>
      </w:r>
    </w:p>
    <w:p w14:paraId="0E9F6FFA" w14:textId="1944CD7E" w:rsidR="00CC45AD" w:rsidRPr="00AD0922" w:rsidRDefault="00703DEE" w:rsidP="00CC45AD">
      <w:pPr>
        <w:spacing w:after="0" w:line="240" w:lineRule="auto"/>
        <w:jc w:val="both"/>
        <w:rPr>
          <w:rFonts w:ascii="Verdana" w:hAnsi="Verdana"/>
          <w:color w:val="000000" w:themeColor="text1"/>
          <w:sz w:val="20"/>
          <w:szCs w:val="20"/>
          <w:lang w:val="es-ES"/>
        </w:rPr>
      </w:pPr>
      <w:r w:rsidRPr="00703DEE">
        <w:rPr>
          <w:rFonts w:ascii="Verdana" w:hAnsi="Verdana"/>
          <w:color w:val="000000" w:themeColor="text1"/>
          <w:sz w:val="20"/>
          <w:szCs w:val="20"/>
          <w:lang w:val="es-ES"/>
        </w:rPr>
        <w:t xml:space="preserve">Por lo tanto,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 Sobre el particular, corresponderá a la entidad estatal adoptar las actuaciones necesarias, una vez subsanado el respectivo documento, para que este sea tenido en cuenta dentro del proceso de contratación en la forma en que corresponda.  </w:t>
      </w:r>
    </w:p>
    <w:p w14:paraId="70AE72C5" w14:textId="77777777" w:rsidR="00CC45AD" w:rsidRDefault="00CC45AD" w:rsidP="00CC45AD">
      <w:pPr>
        <w:spacing w:after="0"/>
        <w:rPr>
          <w:rFonts w:ascii="Verdana" w:hAnsi="Verdana"/>
        </w:rPr>
      </w:pPr>
    </w:p>
    <w:p w14:paraId="713D59D1" w14:textId="77777777" w:rsidR="00703DEE" w:rsidRDefault="00703DEE" w:rsidP="00CC45AD">
      <w:pPr>
        <w:spacing w:after="0"/>
        <w:rPr>
          <w:rFonts w:ascii="Verdana" w:hAnsi="Verdana"/>
        </w:rPr>
      </w:pPr>
    </w:p>
    <w:p w14:paraId="6F75D9D0" w14:textId="77777777" w:rsidR="00CC45AD" w:rsidRDefault="00CC45AD" w:rsidP="00CC45AD">
      <w:pPr>
        <w:spacing w:after="0"/>
        <w:rPr>
          <w:rFonts w:ascii="Verdana" w:hAnsi="Verdana"/>
        </w:rPr>
      </w:pPr>
    </w:p>
    <w:p w14:paraId="1731F049" w14:textId="77777777" w:rsidR="00CC45AD" w:rsidRDefault="00CC45AD" w:rsidP="00CC45AD">
      <w:pPr>
        <w:spacing w:after="0"/>
        <w:rPr>
          <w:rFonts w:ascii="Verdana" w:hAnsi="Verdana"/>
        </w:rPr>
      </w:pPr>
    </w:p>
    <w:p w14:paraId="24B73632" w14:textId="77777777" w:rsidR="00CC45AD" w:rsidRDefault="00CC45AD" w:rsidP="00CC45AD">
      <w:pPr>
        <w:spacing w:after="0"/>
        <w:rPr>
          <w:rFonts w:ascii="Verdana" w:hAnsi="Verdana"/>
        </w:rPr>
      </w:pPr>
    </w:p>
    <w:p w14:paraId="55750A57" w14:textId="77777777" w:rsidR="00CC45AD" w:rsidRDefault="00CC45AD" w:rsidP="00CC45AD">
      <w:pPr>
        <w:spacing w:after="0"/>
        <w:rPr>
          <w:rFonts w:ascii="Verdana" w:hAnsi="Verdana"/>
        </w:rPr>
      </w:pPr>
    </w:p>
    <w:p w14:paraId="1863BAB1" w14:textId="1EF30960" w:rsidR="00CC45AD" w:rsidRDefault="00CC45AD" w:rsidP="00CC45AD">
      <w:pPr>
        <w:spacing w:after="0"/>
        <w:rPr>
          <w:rFonts w:ascii="Verdana" w:hAnsi="Verdana"/>
        </w:rPr>
      </w:pPr>
      <w:r w:rsidRPr="0044528D">
        <w:rPr>
          <w:rFonts w:ascii="Verdana" w:hAnsi="Verdana"/>
        </w:rPr>
        <w:lastRenderedPageBreak/>
        <w:t xml:space="preserve">Bogotá D.C., </w:t>
      </w:r>
      <w:r w:rsidR="00622C86">
        <w:rPr>
          <w:rFonts w:ascii="Verdana" w:hAnsi="Verdana"/>
        </w:rPr>
        <w:t>19 Septiembre 2025</w:t>
      </w:r>
    </w:p>
    <w:p w14:paraId="44FDDCDC" w14:textId="77777777" w:rsidR="00CC45AD" w:rsidRDefault="00CC45AD" w:rsidP="00CC45AD">
      <w:pPr>
        <w:spacing w:after="0"/>
        <w:rPr>
          <w:rFonts w:ascii="Verdana" w:hAnsi="Verdana"/>
        </w:rPr>
      </w:pPr>
    </w:p>
    <w:p w14:paraId="41A6A1C9" w14:textId="53750A4E" w:rsidR="00CC45AD" w:rsidRDefault="00011448" w:rsidP="00011448">
      <w:pPr>
        <w:spacing w:after="0"/>
        <w:jc w:val="right"/>
        <w:rPr>
          <w:rFonts w:ascii="Verdana" w:hAnsi="Verdana"/>
        </w:rPr>
      </w:pPr>
      <w:r>
        <w:rPr>
          <w:rFonts w:ascii="Verdana" w:hAnsi="Verdana"/>
          <w:noProof/>
        </w:rPr>
        <w:drawing>
          <wp:inline distT="0" distB="0" distL="0" distR="0" wp14:anchorId="4C193ED5" wp14:editId="13A19250">
            <wp:extent cx="2558107" cy="714765"/>
            <wp:effectExtent l="0" t="0" r="0" b="0"/>
            <wp:docPr id="11809316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931642" name="Imagen 1180931642"/>
                    <pic:cNvPicPr/>
                  </pic:nvPicPr>
                  <pic:blipFill>
                    <a:blip r:embed="rId10">
                      <a:extLst>
                        <a:ext uri="{28A0092B-C50C-407E-A947-70E740481C1C}">
                          <a14:useLocalDpi xmlns:a14="http://schemas.microsoft.com/office/drawing/2010/main" val="0"/>
                        </a:ext>
                      </a:extLst>
                    </a:blip>
                    <a:stretch>
                      <a:fillRect/>
                    </a:stretch>
                  </pic:blipFill>
                  <pic:spPr>
                    <a:xfrm>
                      <a:off x="0" y="0"/>
                      <a:ext cx="2576652" cy="719947"/>
                    </a:xfrm>
                    <a:prstGeom prst="rect">
                      <a:avLst/>
                    </a:prstGeom>
                  </pic:spPr>
                </pic:pic>
              </a:graphicData>
            </a:graphic>
          </wp:inline>
        </w:drawing>
      </w:r>
    </w:p>
    <w:p w14:paraId="5A0EC57A" w14:textId="77777777" w:rsidR="00CC45AD" w:rsidRDefault="00CC45AD" w:rsidP="00CC45AD">
      <w:pPr>
        <w:spacing w:after="0" w:line="240" w:lineRule="auto"/>
        <w:jc w:val="both"/>
        <w:rPr>
          <w:rFonts w:ascii="Verdana" w:eastAsia="Calibri" w:hAnsi="Verdana" w:cs="Arial"/>
          <w:lang w:val="es-ES" w:eastAsia="es-ES"/>
        </w:rPr>
      </w:pPr>
      <w:r w:rsidRPr="0063746A">
        <w:rPr>
          <w:rFonts w:ascii="Verdana" w:eastAsia="Calibri" w:hAnsi="Verdana" w:cs="Arial"/>
          <w:lang w:val="es-ES" w:eastAsia="es-ES"/>
        </w:rPr>
        <w:t>Señor</w:t>
      </w:r>
    </w:p>
    <w:p w14:paraId="03BAC632" w14:textId="77777777" w:rsidR="00CC45AD" w:rsidRPr="00893811" w:rsidRDefault="00CC45AD" w:rsidP="00CC45AD">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Daniel Esteban Benítez Guerrero</w:t>
      </w:r>
    </w:p>
    <w:p w14:paraId="2F521CB8" w14:textId="77777777" w:rsidR="00CC45AD" w:rsidRPr="0063746A" w:rsidRDefault="00CC45AD" w:rsidP="00CC45AD">
      <w:pPr>
        <w:spacing w:after="0" w:line="240" w:lineRule="auto"/>
        <w:rPr>
          <w:rFonts w:ascii="Verdana" w:eastAsia="Calibri" w:hAnsi="Verdana" w:cs="Arial"/>
          <w:b/>
          <w:bCs/>
          <w:lang w:val="es-ES" w:eastAsia="es-ES"/>
        </w:rPr>
      </w:pPr>
      <w:r>
        <w:rPr>
          <w:rFonts w:ascii="Verdana" w:eastAsia="Calibri" w:hAnsi="Verdana" w:cs="Arial"/>
          <w:lang w:val="es-ES" w:eastAsia="es-ES"/>
        </w:rPr>
        <w:t>Tunja, Boyacá</w:t>
      </w:r>
    </w:p>
    <w:p w14:paraId="7C248D4A" w14:textId="77777777" w:rsidR="00CC45AD" w:rsidRPr="0063746A" w:rsidRDefault="00CC45AD" w:rsidP="00CC45AD">
      <w:pPr>
        <w:spacing w:after="0" w:line="240" w:lineRule="auto"/>
        <w:rPr>
          <w:rFonts w:ascii="Verdana" w:eastAsia="Calibri" w:hAnsi="Verdana" w:cs="Arial"/>
          <w:b/>
          <w:bCs/>
          <w:lang w:val="es-ES_tradnl" w:eastAsia="es-ES_tradnl"/>
        </w:rPr>
      </w:pPr>
    </w:p>
    <w:p w14:paraId="214D56E8" w14:textId="77777777" w:rsidR="00CC45AD" w:rsidRPr="0063746A" w:rsidRDefault="00CC45AD" w:rsidP="00CC45AD">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521"/>
      </w:tblGrid>
      <w:tr w:rsidR="00CC45AD" w:rsidRPr="0063746A" w14:paraId="4751988B" w14:textId="77777777" w:rsidTr="00E13130">
        <w:trPr>
          <w:trHeight w:val="243"/>
        </w:trPr>
        <w:tc>
          <w:tcPr>
            <w:tcW w:w="2268" w:type="dxa"/>
          </w:tcPr>
          <w:p w14:paraId="2F0BC20C" w14:textId="77777777" w:rsidR="00CC45AD" w:rsidRPr="0063746A" w:rsidRDefault="00CC45AD" w:rsidP="00E13130">
            <w:pPr>
              <w:jc w:val="both"/>
              <w:rPr>
                <w:rFonts w:ascii="Verdana" w:eastAsia="Calibri" w:hAnsi="Verdana" w:cs="Arial"/>
                <w:b/>
                <w:bCs/>
                <w:lang w:val="es-ES_tradnl" w:eastAsia="es-ES_tradnl"/>
              </w:rPr>
            </w:pPr>
          </w:p>
        </w:tc>
        <w:tc>
          <w:tcPr>
            <w:tcW w:w="6521" w:type="dxa"/>
          </w:tcPr>
          <w:p w14:paraId="71200FF0" w14:textId="77777777" w:rsidR="00CC45AD" w:rsidRPr="0063746A" w:rsidRDefault="00CC45AD" w:rsidP="00E13130">
            <w:pPr>
              <w:jc w:val="both"/>
              <w:rPr>
                <w:rFonts w:ascii="Verdana" w:eastAsia="Calibri" w:hAnsi="Verdana" w:cs="Arial"/>
                <w:b/>
                <w:bCs/>
                <w:lang w:val="es-ES" w:eastAsia="es-ES"/>
              </w:rPr>
            </w:pPr>
            <w:r w:rsidRPr="0063746A">
              <w:rPr>
                <w:rFonts w:ascii="Verdana" w:eastAsia="Calibri" w:hAnsi="Verdana" w:cs="Arial"/>
                <w:b/>
                <w:bCs/>
                <w:lang w:val="es-ES" w:eastAsia="es-ES"/>
              </w:rPr>
              <w:t>Concepto C</w:t>
            </w:r>
            <w:r>
              <w:rPr>
                <w:rFonts w:ascii="Verdana" w:eastAsia="Calibri" w:hAnsi="Verdana" w:cs="Arial"/>
                <w:b/>
                <w:bCs/>
                <w:lang w:val="es-ES" w:eastAsia="es-ES"/>
              </w:rPr>
              <w:t xml:space="preserve"> –</w:t>
            </w:r>
            <w:r w:rsidRPr="0063746A">
              <w:rPr>
                <w:rFonts w:ascii="Verdana" w:eastAsia="Calibri" w:hAnsi="Verdana" w:cs="Arial"/>
                <w:b/>
                <w:bCs/>
                <w:lang w:val="es-ES" w:eastAsia="es-ES"/>
              </w:rPr>
              <w:t xml:space="preserve"> </w:t>
            </w:r>
            <w:r>
              <w:rPr>
                <w:rFonts w:ascii="Verdana" w:eastAsia="Calibri" w:hAnsi="Verdana" w:cs="Arial"/>
                <w:b/>
                <w:bCs/>
                <w:lang w:val="es-ES" w:eastAsia="es-ES"/>
              </w:rPr>
              <w:t>1123</w:t>
            </w:r>
            <w:r w:rsidRPr="0063746A">
              <w:rPr>
                <w:rFonts w:ascii="Verdana" w:eastAsia="Calibri" w:hAnsi="Verdana" w:cs="Arial"/>
                <w:b/>
                <w:bCs/>
                <w:lang w:val="es-ES" w:eastAsia="es-ES"/>
              </w:rPr>
              <w:t xml:space="preserve"> de 202</w:t>
            </w:r>
            <w:r>
              <w:rPr>
                <w:rFonts w:ascii="Verdana" w:eastAsia="Calibri" w:hAnsi="Verdana" w:cs="Arial"/>
                <w:b/>
                <w:bCs/>
                <w:lang w:val="es-ES" w:eastAsia="es-ES"/>
              </w:rPr>
              <w:t>5</w:t>
            </w:r>
          </w:p>
          <w:p w14:paraId="76105243" w14:textId="77777777" w:rsidR="00CC45AD" w:rsidRDefault="00CC45AD" w:rsidP="00E13130">
            <w:pPr>
              <w:jc w:val="both"/>
              <w:rPr>
                <w:rFonts w:ascii="Verdana" w:eastAsia="Calibri" w:hAnsi="Verdana" w:cs="Arial"/>
                <w:b/>
                <w:bCs/>
                <w:lang w:val="es-ES" w:eastAsia="es-ES"/>
              </w:rPr>
            </w:pPr>
          </w:p>
          <w:p w14:paraId="6B30B9B7" w14:textId="77777777" w:rsidR="00CC45AD" w:rsidRPr="0063746A" w:rsidRDefault="00CC45AD" w:rsidP="00E13130">
            <w:pPr>
              <w:jc w:val="both"/>
              <w:rPr>
                <w:rFonts w:ascii="Verdana" w:eastAsia="Calibri" w:hAnsi="Verdana" w:cs="Arial"/>
                <w:b/>
                <w:bCs/>
                <w:lang w:val="es-ES" w:eastAsia="es-ES"/>
              </w:rPr>
            </w:pPr>
          </w:p>
        </w:tc>
      </w:tr>
      <w:tr w:rsidR="00CC45AD" w:rsidRPr="0063746A" w14:paraId="020C64C2" w14:textId="77777777" w:rsidTr="00E13130">
        <w:trPr>
          <w:trHeight w:val="884"/>
        </w:trPr>
        <w:tc>
          <w:tcPr>
            <w:tcW w:w="2268" w:type="dxa"/>
          </w:tcPr>
          <w:p w14:paraId="2055D81A" w14:textId="77777777" w:rsidR="00CC45AD" w:rsidRPr="0063746A" w:rsidRDefault="00CC45AD" w:rsidP="00E13130">
            <w:pPr>
              <w:jc w:val="both"/>
              <w:rPr>
                <w:rFonts w:ascii="Verdana" w:eastAsia="Calibri" w:hAnsi="Verdana" w:cs="Arial"/>
                <w:lang w:val="es-ES_tradnl" w:eastAsia="es-ES_tradnl"/>
              </w:rPr>
            </w:pPr>
            <w:r w:rsidRPr="0063746A">
              <w:rPr>
                <w:rFonts w:ascii="Verdana" w:eastAsia="Calibri" w:hAnsi="Verdana" w:cs="Arial"/>
                <w:b/>
                <w:lang w:val="es-ES_tradnl" w:eastAsia="es-ES_tradnl"/>
              </w:rPr>
              <w:t>Temas:</w:t>
            </w:r>
            <w:r w:rsidRPr="0063746A">
              <w:rPr>
                <w:rFonts w:ascii="Verdana" w:eastAsia="Calibri" w:hAnsi="Verdana" w:cs="Arial"/>
                <w:lang w:val="es-ES_tradnl" w:eastAsia="es-ES_tradnl"/>
              </w:rPr>
              <w:t xml:space="preserve">                   </w:t>
            </w:r>
          </w:p>
        </w:tc>
        <w:tc>
          <w:tcPr>
            <w:tcW w:w="6521" w:type="dxa"/>
          </w:tcPr>
          <w:p w14:paraId="18501B7D" w14:textId="77777777" w:rsidR="00CC45AD" w:rsidRPr="00781D19" w:rsidRDefault="00CC45AD" w:rsidP="00E13130">
            <w:pPr>
              <w:spacing w:line="276" w:lineRule="auto"/>
              <w:jc w:val="both"/>
              <w:rPr>
                <w:rFonts w:ascii="Verdana" w:eastAsia="Calibri" w:hAnsi="Verdana" w:cs="Arial"/>
                <w:color w:val="000000" w:themeColor="text1"/>
              </w:rPr>
            </w:pPr>
            <w:r w:rsidRPr="00781D19">
              <w:rPr>
                <w:rFonts w:ascii="Verdana" w:eastAsia="Calibri" w:hAnsi="Verdana" w:cs="Arial"/>
                <w:lang w:val="es-ES" w:eastAsia="es-ES"/>
              </w:rPr>
              <w:t xml:space="preserve">SUBSANABILIDAD – Aplicación – Regla general – Excepciones / SUBSANABILIDAD – Ley 1882 de 2018 / </w:t>
            </w:r>
            <w:r w:rsidRPr="00781D19">
              <w:rPr>
                <w:rFonts w:ascii="Verdana" w:eastAsia="Calibri" w:hAnsi="Verdana" w:cs="Arial"/>
                <w:color w:val="000000" w:themeColor="text1"/>
              </w:rPr>
              <w:t xml:space="preserve">SUBSANABILIDAD – Circunstancias posteriores – Cierre del proceso – Prueba – Oportunidad – Autorizaciones </w:t>
            </w:r>
          </w:p>
          <w:p w14:paraId="543B4D2C" w14:textId="77777777" w:rsidR="00CC45AD" w:rsidRPr="00781D19" w:rsidRDefault="00CC45AD" w:rsidP="00E13130">
            <w:pPr>
              <w:jc w:val="both"/>
              <w:rPr>
                <w:rFonts w:ascii="Verdana" w:eastAsia="Calibri" w:hAnsi="Verdana" w:cs="Arial"/>
                <w:lang w:val="es-ES" w:eastAsia="es-ES"/>
              </w:rPr>
            </w:pPr>
          </w:p>
        </w:tc>
      </w:tr>
      <w:tr w:rsidR="00CC45AD" w:rsidRPr="0063746A" w14:paraId="78A3E04C" w14:textId="77777777" w:rsidTr="00E13130">
        <w:trPr>
          <w:trHeight w:val="377"/>
        </w:trPr>
        <w:tc>
          <w:tcPr>
            <w:tcW w:w="2268" w:type="dxa"/>
          </w:tcPr>
          <w:p w14:paraId="30821CCD" w14:textId="77777777" w:rsidR="00CC45AD" w:rsidRPr="0063746A" w:rsidRDefault="00CC45AD" w:rsidP="00E13130">
            <w:pPr>
              <w:jc w:val="both"/>
              <w:rPr>
                <w:rFonts w:ascii="Verdana" w:eastAsia="Calibri" w:hAnsi="Verdana" w:cs="Arial"/>
                <w:b/>
                <w:lang w:val="es-ES_tradnl" w:eastAsia="es-ES_tradnl"/>
              </w:rPr>
            </w:pPr>
            <w:r w:rsidRPr="0063746A">
              <w:rPr>
                <w:rFonts w:ascii="Verdana" w:eastAsia="Calibri" w:hAnsi="Verdana" w:cs="Arial"/>
                <w:b/>
                <w:lang w:val="es-ES_tradnl" w:eastAsia="es-ES_tradnl"/>
              </w:rPr>
              <w:t>Radicación:</w:t>
            </w:r>
            <w:r w:rsidRPr="0063746A">
              <w:rPr>
                <w:rFonts w:ascii="Verdana" w:eastAsia="Calibri" w:hAnsi="Verdana" w:cs="Arial"/>
                <w:lang w:val="es-ES_tradnl" w:eastAsia="es-ES_tradnl"/>
              </w:rPr>
              <w:t xml:space="preserve">               </w:t>
            </w:r>
          </w:p>
        </w:tc>
        <w:tc>
          <w:tcPr>
            <w:tcW w:w="6521" w:type="dxa"/>
          </w:tcPr>
          <w:p w14:paraId="0A97B267" w14:textId="77777777" w:rsidR="00CC45AD" w:rsidRPr="0063746A" w:rsidRDefault="00CC45AD" w:rsidP="00E13130">
            <w:pPr>
              <w:jc w:val="both"/>
              <w:rPr>
                <w:rFonts w:ascii="Verdana" w:hAnsi="Verdana" w:cs="Calibri"/>
              </w:rPr>
            </w:pPr>
            <w:r w:rsidRPr="0063746A">
              <w:rPr>
                <w:rFonts w:ascii="Verdana" w:eastAsia="Calibri" w:hAnsi="Verdana" w:cs="Arial"/>
                <w:lang w:val="es-ES_tradnl" w:eastAsia="es-ES_tradnl"/>
              </w:rPr>
              <w:t xml:space="preserve">Respuesta a consulta con radicado No. </w:t>
            </w:r>
            <w:r w:rsidRPr="004753A5">
              <w:rPr>
                <w:rFonts w:ascii="Verdana" w:eastAsia="Calibri" w:hAnsi="Verdana" w:cs="Arial"/>
                <w:lang w:val="es-ES_tradnl" w:eastAsia="es-ES_tradnl"/>
              </w:rPr>
              <w:t>1_2025_08_11_008368</w:t>
            </w:r>
          </w:p>
        </w:tc>
      </w:tr>
    </w:tbl>
    <w:p w14:paraId="41E0BD5E" w14:textId="77777777" w:rsidR="00CC45AD" w:rsidRDefault="00CC45AD" w:rsidP="00CC45AD">
      <w:pPr>
        <w:spacing w:after="0" w:line="276" w:lineRule="auto"/>
        <w:jc w:val="both"/>
        <w:rPr>
          <w:rFonts w:ascii="Verdana" w:eastAsia="Calibri" w:hAnsi="Verdana" w:cs="Arial"/>
          <w:lang w:val="es-ES_tradnl" w:eastAsia="es-ES_tradnl"/>
        </w:rPr>
      </w:pPr>
    </w:p>
    <w:p w14:paraId="65CD9F6E" w14:textId="77777777" w:rsidR="00CC45AD" w:rsidRPr="0063746A" w:rsidRDefault="00CC45AD" w:rsidP="00CC45AD">
      <w:pPr>
        <w:spacing w:after="0" w:line="276" w:lineRule="auto"/>
        <w:jc w:val="both"/>
        <w:rPr>
          <w:rFonts w:ascii="Verdana" w:eastAsia="Calibri" w:hAnsi="Verdana" w:cs="Arial"/>
          <w:lang w:val="es-ES_tradnl" w:eastAsia="es-ES_tradnl"/>
        </w:rPr>
      </w:pPr>
    </w:p>
    <w:p w14:paraId="1C6A2876" w14:textId="77777777" w:rsidR="00CC45AD" w:rsidRPr="0063746A" w:rsidRDefault="00CC45AD" w:rsidP="00CC45AD">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 xml:space="preserve">Estimado señor </w:t>
      </w:r>
      <w:r>
        <w:rPr>
          <w:rFonts w:ascii="Verdana" w:eastAsia="Calibri" w:hAnsi="Verdana" w:cs="Arial"/>
          <w:lang w:val="es-ES_tradnl" w:eastAsia="es-ES_tradnl"/>
        </w:rPr>
        <w:t>Benítez Guerrero</w:t>
      </w:r>
      <w:r w:rsidRPr="0063746A">
        <w:rPr>
          <w:rFonts w:ascii="Verdana" w:eastAsia="Calibri" w:hAnsi="Verdana" w:cs="Arial"/>
          <w:lang w:val="es-ES" w:eastAsia="es-ES"/>
        </w:rPr>
        <w:t xml:space="preserve">: </w:t>
      </w:r>
    </w:p>
    <w:p w14:paraId="2F9F071E" w14:textId="77777777" w:rsidR="00CC45AD" w:rsidRPr="0063746A" w:rsidRDefault="00CC45AD" w:rsidP="00CC45AD">
      <w:pPr>
        <w:tabs>
          <w:tab w:val="left" w:pos="3768"/>
        </w:tabs>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ab/>
      </w:r>
    </w:p>
    <w:p w14:paraId="02E0D1FC" w14:textId="77777777" w:rsidR="00CC45AD" w:rsidRPr="0063746A" w:rsidRDefault="00CC45AD" w:rsidP="00CC45AD">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En ejercicio de la competencia otorgada por los artículos 3, numeral 5º, y 11, numeral 8º, del Decreto Ley 4170 de 2011,</w:t>
      </w:r>
      <w:r w:rsidRPr="0063746A">
        <w:rPr>
          <w:rFonts w:ascii="Verdana" w:eastAsia="Arial MT" w:hAnsi="Verdana" w:cs="Arial MT"/>
          <w:lang w:val="es-ES" w:eastAsia="es-ES"/>
        </w:rPr>
        <w:t xml:space="preserve"> </w:t>
      </w:r>
      <w:r w:rsidRPr="0063746A">
        <w:rPr>
          <w:rFonts w:ascii="Verdana" w:hAnsi="Verdana" w:cs="Arial"/>
        </w:rPr>
        <w:t xml:space="preserve">así como lo establecido en el artículo 4 de la Resolución 1707 de 2018 expedida por esta Entidad, </w:t>
      </w:r>
      <w:r w:rsidRPr="0063746A">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 xml:space="preserve">11 </w:t>
      </w:r>
      <w:r w:rsidRPr="0063746A">
        <w:rPr>
          <w:rFonts w:ascii="Verdana" w:eastAsia="Calibri" w:hAnsi="Verdana" w:cs="Arial"/>
          <w:lang w:val="es-ES" w:eastAsia="es-ES"/>
        </w:rPr>
        <w:t xml:space="preserve">de </w:t>
      </w:r>
      <w:r>
        <w:rPr>
          <w:rFonts w:ascii="Verdana" w:eastAsia="Calibri" w:hAnsi="Verdana" w:cs="Arial"/>
          <w:lang w:val="es-ES" w:eastAsia="es-ES"/>
        </w:rPr>
        <w:t>agosto</w:t>
      </w:r>
      <w:r w:rsidRPr="0063746A">
        <w:rPr>
          <w:rFonts w:ascii="Verdana" w:eastAsia="Calibri" w:hAnsi="Verdana" w:cs="Arial"/>
          <w:lang w:val="es-ES" w:eastAsia="es-ES"/>
        </w:rPr>
        <w:t xml:space="preserve"> de 202</w:t>
      </w:r>
      <w:r>
        <w:rPr>
          <w:rFonts w:ascii="Verdana" w:eastAsia="Calibri" w:hAnsi="Verdana" w:cs="Arial"/>
          <w:lang w:val="es-ES" w:eastAsia="es-ES"/>
        </w:rPr>
        <w:t>5</w:t>
      </w:r>
      <w:r w:rsidRPr="0063746A">
        <w:rPr>
          <w:rFonts w:ascii="Verdana" w:eastAsia="Calibri" w:hAnsi="Verdana" w:cs="Arial"/>
          <w:lang w:val="es-ES" w:eastAsia="es-ES"/>
        </w:rPr>
        <w:t xml:space="preserve">, en la cual manifiesta lo siguiente: </w:t>
      </w:r>
    </w:p>
    <w:p w14:paraId="05E459FC" w14:textId="77777777" w:rsidR="00CC45AD" w:rsidRDefault="00CC45AD" w:rsidP="00CC45A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45CDD2F" w14:textId="77777777" w:rsidR="00CC45AD" w:rsidRPr="004753A5" w:rsidRDefault="00CC45AD" w:rsidP="00CC45AD">
      <w:pPr>
        <w:spacing w:after="0" w:line="240" w:lineRule="auto"/>
        <w:ind w:left="709" w:right="709"/>
        <w:jc w:val="both"/>
        <w:rPr>
          <w:rFonts w:ascii="Verdana" w:hAnsi="Verdana"/>
          <w:sz w:val="21"/>
          <w:szCs w:val="21"/>
        </w:rPr>
      </w:pPr>
      <w:r w:rsidRPr="004753A5">
        <w:rPr>
          <w:rFonts w:ascii="Verdana" w:hAnsi="Verdana"/>
          <w:sz w:val="21"/>
          <w:szCs w:val="21"/>
        </w:rPr>
        <w:t xml:space="preserve">“En pliegos tipo, si un proponente debió subsanar la </w:t>
      </w:r>
      <w:proofErr w:type="spellStart"/>
      <w:r w:rsidRPr="004753A5">
        <w:rPr>
          <w:rFonts w:ascii="Verdana" w:hAnsi="Verdana"/>
          <w:sz w:val="21"/>
          <w:szCs w:val="21"/>
        </w:rPr>
        <w:t>autorizacion</w:t>
      </w:r>
      <w:proofErr w:type="spellEnd"/>
      <w:r w:rsidRPr="004753A5">
        <w:rPr>
          <w:rFonts w:ascii="Verdana" w:hAnsi="Verdana"/>
          <w:sz w:val="21"/>
          <w:szCs w:val="21"/>
        </w:rPr>
        <w:t xml:space="preserve"> de la junta de socios de un integrante, que es persona </w:t>
      </w:r>
      <w:proofErr w:type="spellStart"/>
      <w:r w:rsidRPr="004753A5">
        <w:rPr>
          <w:rFonts w:ascii="Verdana" w:hAnsi="Verdana"/>
          <w:sz w:val="21"/>
          <w:szCs w:val="21"/>
        </w:rPr>
        <w:t>juridica</w:t>
      </w:r>
      <w:proofErr w:type="spellEnd"/>
      <w:r w:rsidRPr="004753A5">
        <w:rPr>
          <w:rFonts w:ascii="Verdana" w:hAnsi="Verdana"/>
          <w:sz w:val="21"/>
          <w:szCs w:val="21"/>
        </w:rPr>
        <w:t xml:space="preserve">, debido a que en el certificado de existencia y </w:t>
      </w:r>
      <w:proofErr w:type="spellStart"/>
      <w:r w:rsidRPr="004753A5">
        <w:rPr>
          <w:rFonts w:ascii="Verdana" w:hAnsi="Verdana"/>
          <w:sz w:val="21"/>
          <w:szCs w:val="21"/>
        </w:rPr>
        <w:t>representacion</w:t>
      </w:r>
      <w:proofErr w:type="spellEnd"/>
      <w:r w:rsidRPr="004753A5">
        <w:rPr>
          <w:rFonts w:ascii="Verdana" w:hAnsi="Verdana"/>
          <w:sz w:val="21"/>
          <w:szCs w:val="21"/>
        </w:rPr>
        <w:t xml:space="preserve"> legal, no </w:t>
      </w:r>
      <w:proofErr w:type="spellStart"/>
      <w:r w:rsidRPr="004753A5">
        <w:rPr>
          <w:rFonts w:ascii="Verdana" w:hAnsi="Verdana"/>
          <w:sz w:val="21"/>
          <w:szCs w:val="21"/>
        </w:rPr>
        <w:t>esta</w:t>
      </w:r>
      <w:proofErr w:type="spellEnd"/>
      <w:r w:rsidRPr="004753A5">
        <w:rPr>
          <w:rFonts w:ascii="Verdana" w:hAnsi="Verdana"/>
          <w:sz w:val="21"/>
          <w:szCs w:val="21"/>
        </w:rPr>
        <w:t xml:space="preserve"> expresamente la facultad del representante legal para contratar sin </w:t>
      </w:r>
      <w:proofErr w:type="spellStart"/>
      <w:r w:rsidRPr="004753A5">
        <w:rPr>
          <w:rFonts w:ascii="Verdana" w:hAnsi="Verdana"/>
          <w:sz w:val="21"/>
          <w:szCs w:val="21"/>
        </w:rPr>
        <w:t>autorizacion</w:t>
      </w:r>
      <w:proofErr w:type="spellEnd"/>
      <w:r w:rsidRPr="004753A5">
        <w:rPr>
          <w:rFonts w:ascii="Verdana" w:hAnsi="Verdana"/>
          <w:sz w:val="21"/>
          <w:szCs w:val="21"/>
        </w:rPr>
        <w:t xml:space="preserve">, y presenta una autorización expedida después de la fecha del cierre del proceso ¿es válido?, ejemplo, la fecha de cierre del proceso se estableció para el día 24 de mayo de 2025, el proponente debió subsanar la </w:t>
      </w:r>
      <w:proofErr w:type="spellStart"/>
      <w:r w:rsidRPr="004753A5">
        <w:rPr>
          <w:rFonts w:ascii="Verdana" w:hAnsi="Verdana"/>
          <w:sz w:val="21"/>
          <w:szCs w:val="21"/>
        </w:rPr>
        <w:t>autorizacion</w:t>
      </w:r>
      <w:proofErr w:type="spellEnd"/>
      <w:r w:rsidRPr="004753A5">
        <w:rPr>
          <w:rFonts w:ascii="Verdana" w:hAnsi="Verdana"/>
          <w:sz w:val="21"/>
          <w:szCs w:val="21"/>
        </w:rPr>
        <w:t xml:space="preserve"> del </w:t>
      </w:r>
      <w:proofErr w:type="spellStart"/>
      <w:r w:rsidRPr="004753A5">
        <w:rPr>
          <w:rFonts w:ascii="Verdana" w:hAnsi="Verdana"/>
          <w:sz w:val="21"/>
          <w:szCs w:val="21"/>
        </w:rPr>
        <w:t>organo</w:t>
      </w:r>
      <w:proofErr w:type="spellEnd"/>
      <w:r w:rsidRPr="004753A5">
        <w:rPr>
          <w:rFonts w:ascii="Verdana" w:hAnsi="Verdana"/>
          <w:sz w:val="21"/>
          <w:szCs w:val="21"/>
        </w:rPr>
        <w:t xml:space="preserve"> social competente y presenta una </w:t>
      </w:r>
      <w:proofErr w:type="spellStart"/>
      <w:r w:rsidRPr="004753A5">
        <w:rPr>
          <w:rFonts w:ascii="Verdana" w:hAnsi="Verdana"/>
          <w:sz w:val="21"/>
          <w:szCs w:val="21"/>
        </w:rPr>
        <w:t>autorizacion</w:t>
      </w:r>
      <w:proofErr w:type="spellEnd"/>
      <w:r w:rsidRPr="004753A5">
        <w:rPr>
          <w:rFonts w:ascii="Verdana" w:hAnsi="Verdana"/>
          <w:sz w:val="21"/>
          <w:szCs w:val="21"/>
        </w:rPr>
        <w:t xml:space="preserve"> expedida el </w:t>
      </w:r>
      <w:r w:rsidRPr="004753A5">
        <w:rPr>
          <w:rFonts w:ascii="Verdana" w:hAnsi="Verdana"/>
        </w:rPr>
        <w:t>día</w:t>
      </w:r>
      <w:r w:rsidRPr="004753A5">
        <w:rPr>
          <w:rFonts w:ascii="Verdana" w:hAnsi="Verdana"/>
          <w:sz w:val="21"/>
          <w:szCs w:val="21"/>
        </w:rPr>
        <w:t xml:space="preserve"> 25 mayo de 2025, en estas circunstancias 1. ¿la subsanación es válida?, 2. ¿por qué si, o por qué </w:t>
      </w:r>
      <w:r w:rsidRPr="004753A5">
        <w:rPr>
          <w:rFonts w:ascii="Verdana" w:hAnsi="Verdana"/>
          <w:sz w:val="21"/>
          <w:szCs w:val="21"/>
        </w:rPr>
        <w:lastRenderedPageBreak/>
        <w:t xml:space="preserve">no? 3. ¿La </w:t>
      </w:r>
      <w:proofErr w:type="spellStart"/>
      <w:r w:rsidRPr="004753A5">
        <w:rPr>
          <w:rFonts w:ascii="Verdana" w:hAnsi="Verdana"/>
          <w:sz w:val="21"/>
          <w:szCs w:val="21"/>
        </w:rPr>
        <w:t>subsanacion</w:t>
      </w:r>
      <w:proofErr w:type="spellEnd"/>
      <w:r w:rsidRPr="004753A5">
        <w:rPr>
          <w:rFonts w:ascii="Verdana" w:hAnsi="Verdana"/>
          <w:sz w:val="21"/>
          <w:szCs w:val="21"/>
        </w:rPr>
        <w:t xml:space="preserve"> afecta el puntaje de APOYO A LA INDUSTRIA NACIONAL, debido a que no cumplía con el certificado de existencia y representación legal, en primera instancia?”</w:t>
      </w:r>
      <w:r>
        <w:rPr>
          <w:rFonts w:ascii="Verdana" w:hAnsi="Verdana"/>
          <w:sz w:val="21"/>
          <w:szCs w:val="21"/>
        </w:rPr>
        <w:t xml:space="preserve"> [SIC]</w:t>
      </w:r>
    </w:p>
    <w:p w14:paraId="199E2D3B" w14:textId="77777777" w:rsidR="00CC45AD" w:rsidRPr="004753A5" w:rsidRDefault="00CC45AD" w:rsidP="00CC45AD">
      <w:pPr>
        <w:pStyle w:val="NormalWeb"/>
        <w:spacing w:before="12" w:beforeAutospacing="0" w:after="12" w:afterAutospacing="0"/>
        <w:ind w:left="709" w:right="709"/>
        <w:jc w:val="both"/>
        <w:rPr>
          <w:rFonts w:ascii="Verdana" w:hAnsi="Verdana"/>
          <w:sz w:val="22"/>
          <w:szCs w:val="22"/>
        </w:rPr>
      </w:pPr>
    </w:p>
    <w:p w14:paraId="643A00DE" w14:textId="77777777" w:rsidR="00CC45AD" w:rsidRPr="00CA2545" w:rsidRDefault="00CC45AD" w:rsidP="00CC45AD">
      <w:pPr>
        <w:spacing w:after="120" w:line="276" w:lineRule="auto"/>
        <w:ind w:firstLine="708"/>
        <w:jc w:val="both"/>
        <w:rPr>
          <w:rFonts w:ascii="Verdana" w:eastAsia="Calibri" w:hAnsi="Verdana" w:cs="Arial"/>
          <w:color w:val="000000"/>
          <w:lang w:val="es-ES_tradnl" w:eastAsia="es-ES_tradnl"/>
        </w:rPr>
      </w:pPr>
      <w:r w:rsidRPr="00CA254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2545">
        <w:rPr>
          <w:rFonts w:ascii="Verdana" w:eastAsia="Calibri" w:hAnsi="Verdana" w:cs="Arial"/>
          <w:color w:val="000000"/>
          <w:lang w:val="es-ES_tradnl" w:eastAsia="es-ES_tradnl"/>
        </w:rPr>
        <w:tab/>
      </w:r>
    </w:p>
    <w:p w14:paraId="20403156" w14:textId="77777777" w:rsidR="00CC45AD" w:rsidRPr="00CA2545" w:rsidRDefault="00CC45AD" w:rsidP="00CC45AD">
      <w:pPr>
        <w:spacing w:after="0" w:line="276" w:lineRule="auto"/>
        <w:ind w:firstLine="709"/>
        <w:jc w:val="both"/>
        <w:rPr>
          <w:rFonts w:ascii="Verdana" w:eastAsia="Calibri" w:hAnsi="Verdana" w:cs="Arial"/>
          <w:color w:val="000000"/>
          <w:lang w:val="es-ES" w:eastAsia="es-ES"/>
        </w:rPr>
      </w:pPr>
      <w:r w:rsidRPr="00CA254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e</w:t>
      </w:r>
      <w:r w:rsidRPr="00893811">
        <w:rPr>
          <w:rFonts w:ascii="Verdana" w:eastAsia="Calibri" w:hAnsi="Verdana" w:cs="Arial"/>
          <w:color w:val="000000"/>
          <w:lang w:val="es-ES" w:eastAsia="es-ES"/>
        </w:rPr>
        <w:t xml:space="preserve">l </w:t>
      </w:r>
      <w:r w:rsidRPr="00CA2545">
        <w:rPr>
          <w:rFonts w:ascii="Verdana" w:eastAsia="Calibri" w:hAnsi="Verdana" w:cs="Arial"/>
          <w:color w:val="000000"/>
          <w:lang w:val="es-ES" w:eastAsia="es-ES"/>
        </w:rPr>
        <w:t>problema</w:t>
      </w:r>
      <w:r w:rsidRPr="00893811">
        <w:rPr>
          <w:rFonts w:ascii="Verdana" w:eastAsia="Calibri" w:hAnsi="Verdana" w:cs="Arial"/>
          <w:color w:val="000000"/>
          <w:lang w:val="es-ES" w:eastAsia="es-ES"/>
        </w:rPr>
        <w:t xml:space="preserve"> </w:t>
      </w:r>
      <w:r w:rsidRPr="00CA2545">
        <w:rPr>
          <w:rFonts w:ascii="Verdana" w:eastAsia="Calibri" w:hAnsi="Verdana" w:cs="Arial"/>
          <w:color w:val="000000"/>
          <w:lang w:val="es-ES" w:eastAsia="es-ES"/>
        </w:rPr>
        <w:t>jurídico</w:t>
      </w:r>
      <w:r w:rsidRPr="00893811">
        <w:rPr>
          <w:rFonts w:ascii="Verdana" w:eastAsia="Calibri" w:hAnsi="Verdana" w:cs="Arial"/>
          <w:color w:val="000000"/>
          <w:lang w:val="es-ES" w:eastAsia="es-ES"/>
        </w:rPr>
        <w:t xml:space="preserve"> </w:t>
      </w:r>
      <w:r w:rsidRPr="00CA2545">
        <w:rPr>
          <w:rFonts w:ascii="Verdana" w:eastAsia="Calibri" w:hAnsi="Verdana" w:cs="Arial"/>
          <w:color w:val="000000"/>
          <w:lang w:val="es-ES" w:eastAsia="es-ES"/>
        </w:rPr>
        <w:t xml:space="preserve">de su consulta. </w:t>
      </w:r>
    </w:p>
    <w:p w14:paraId="59B16298" w14:textId="77777777" w:rsidR="00CC45AD" w:rsidRPr="00CA2545" w:rsidRDefault="00CC45AD" w:rsidP="00CC45AD">
      <w:pPr>
        <w:spacing w:after="0" w:line="276" w:lineRule="auto"/>
        <w:jc w:val="both"/>
        <w:rPr>
          <w:rFonts w:ascii="Verdana" w:eastAsia="Calibri" w:hAnsi="Verdana" w:cs="Arial"/>
          <w:color w:val="000000"/>
          <w:lang w:val="es-ES" w:eastAsia="es-ES"/>
        </w:rPr>
      </w:pPr>
    </w:p>
    <w:p w14:paraId="05203D76" w14:textId="77777777" w:rsidR="00CC45AD" w:rsidRPr="00C75C5C" w:rsidRDefault="00CC45AD" w:rsidP="00CC45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75C5C">
        <w:rPr>
          <w:rFonts w:ascii="Verdana" w:eastAsia="Century Gothic" w:hAnsi="Verdana" w:cs="Century Gothic"/>
          <w:b/>
          <w:bCs/>
        </w:rPr>
        <w:t>Problema planteado:</w:t>
      </w:r>
    </w:p>
    <w:p w14:paraId="40E27BFC" w14:textId="77777777" w:rsidR="00CC45AD" w:rsidRPr="00C75C5C" w:rsidRDefault="00CC45AD" w:rsidP="00CC45AD">
      <w:pPr>
        <w:tabs>
          <w:tab w:val="left" w:pos="426"/>
        </w:tabs>
        <w:spacing w:after="0" w:line="276" w:lineRule="auto"/>
        <w:jc w:val="both"/>
        <w:rPr>
          <w:rFonts w:ascii="Verdana" w:eastAsia="Century Gothic" w:hAnsi="Verdana" w:cs="Century Gothic"/>
          <w:lang w:val="es-ES"/>
        </w:rPr>
      </w:pPr>
    </w:p>
    <w:p w14:paraId="4BBB3B27" w14:textId="6374C2DB" w:rsidR="00CC45AD" w:rsidRDefault="00CC45AD" w:rsidP="00CC45AD">
      <w:pPr>
        <w:spacing w:after="0" w:line="276" w:lineRule="auto"/>
        <w:jc w:val="both"/>
        <w:rPr>
          <w:rFonts w:ascii="Verdana" w:eastAsia="Century Gothic" w:hAnsi="Verdana" w:cs="Century Gothic"/>
        </w:rPr>
      </w:pPr>
      <w:r w:rsidRPr="008D5D4A">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703DEE">
        <w:rPr>
          <w:rFonts w:ascii="Verdana" w:eastAsia="Century Gothic" w:hAnsi="Verdana" w:cs="Century Gothic"/>
        </w:rPr>
        <w:t>C</w:t>
      </w:r>
      <w:r>
        <w:rPr>
          <w:rFonts w:ascii="Verdana" w:eastAsia="Century Gothic" w:hAnsi="Verdana" w:cs="Century Gothic"/>
        </w:rPr>
        <w:t xml:space="preserve">uál es el alcance de la regla de </w:t>
      </w:r>
      <w:proofErr w:type="spellStart"/>
      <w:r>
        <w:rPr>
          <w:rFonts w:ascii="Verdana" w:eastAsia="Century Gothic" w:hAnsi="Verdana" w:cs="Century Gothic"/>
        </w:rPr>
        <w:t>subsanabilidad</w:t>
      </w:r>
      <w:proofErr w:type="spellEnd"/>
      <w:r>
        <w:rPr>
          <w:rFonts w:ascii="Verdana" w:eastAsia="Century Gothic" w:hAnsi="Verdana" w:cs="Century Gothic"/>
        </w:rPr>
        <w:t xml:space="preserve">, particularmente, tratándose de autorizaciones de juntas de socios? </w:t>
      </w:r>
    </w:p>
    <w:p w14:paraId="68D92161" w14:textId="77777777" w:rsidR="00CC45AD" w:rsidRPr="00384705" w:rsidRDefault="00CC45AD" w:rsidP="00CC45AD">
      <w:pPr>
        <w:spacing w:after="0" w:line="276" w:lineRule="auto"/>
        <w:jc w:val="both"/>
        <w:rPr>
          <w:rFonts w:ascii="Verdana" w:eastAsia="Calibri" w:hAnsi="Verdana" w:cs="Arial"/>
          <w:color w:val="7030A0"/>
        </w:rPr>
      </w:pPr>
    </w:p>
    <w:p w14:paraId="6CE27AC0" w14:textId="77777777" w:rsidR="00CC45AD" w:rsidRPr="00B74530" w:rsidRDefault="00CC45AD" w:rsidP="00CC45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4530">
        <w:rPr>
          <w:rFonts w:ascii="Verdana" w:eastAsia="Century Gothic" w:hAnsi="Verdana" w:cs="Century Gothic"/>
          <w:b/>
          <w:bCs/>
        </w:rPr>
        <w:t>Respuesta:</w:t>
      </w:r>
    </w:p>
    <w:p w14:paraId="478C02E6" w14:textId="77777777" w:rsidR="00CC45AD" w:rsidRPr="00DE4E8C" w:rsidRDefault="00CC45AD" w:rsidP="00CC45AD">
      <w:pPr>
        <w:tabs>
          <w:tab w:val="left" w:pos="142"/>
          <w:tab w:val="left" w:pos="284"/>
        </w:tabs>
        <w:spacing w:after="0" w:line="276" w:lineRule="auto"/>
        <w:jc w:val="both"/>
        <w:rPr>
          <w:rFonts w:ascii="Verdana" w:eastAsia="Century Gothic" w:hAnsi="Verdana" w:cs="Century Gothic"/>
          <w:b/>
          <w:bCs/>
          <w:highlight w:val="yellow"/>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45AD" w:rsidRPr="00593A5F" w14:paraId="54C1398F" w14:textId="77777777" w:rsidTr="00E13130">
        <w:tc>
          <w:tcPr>
            <w:tcW w:w="8828" w:type="dxa"/>
          </w:tcPr>
          <w:p w14:paraId="615801CD" w14:textId="77777777" w:rsidR="00CC45AD" w:rsidRPr="008D5D4A" w:rsidRDefault="00CC45AD" w:rsidP="00E13130">
            <w:pPr>
              <w:spacing w:after="120" w:line="276" w:lineRule="auto"/>
              <w:jc w:val="both"/>
              <w:rPr>
                <w:rFonts w:ascii="Verdana" w:eastAsia="Calibri" w:hAnsi="Verdana" w:cs="Arial"/>
              </w:rPr>
            </w:pPr>
            <w:r w:rsidRPr="008D5D4A">
              <w:rPr>
                <w:rFonts w:ascii="Verdana" w:eastAsia="Calibri" w:hAnsi="Verdana" w:cs="Arial"/>
              </w:rPr>
              <w:t xml:space="preserve">La regla de </w:t>
            </w:r>
            <w:proofErr w:type="spellStart"/>
            <w:r w:rsidRPr="008D5D4A">
              <w:rPr>
                <w:rFonts w:ascii="Verdana" w:eastAsia="Calibri" w:hAnsi="Verdana" w:cs="Arial"/>
              </w:rPr>
              <w:t>subsanabilidad</w:t>
            </w:r>
            <w:proofErr w:type="spellEnd"/>
            <w:r w:rsidRPr="008D5D4A">
              <w:rPr>
                <w:rFonts w:ascii="Verdana" w:eastAsia="Calibri" w:hAnsi="Verdana" w:cs="Arial"/>
              </w:rPr>
              <w:t xml:space="preserve">, dispuesta en el artículo 5 de la Ley 1150 de 2007, es un mecanismo previsto en los procesos de contratación estatal que se regulan por el EGCAP, según la cual los proponentes pueden enmendar, corregir o modificar los errores en los que se incurre en los documentos contentivos de la oferta. </w:t>
            </w:r>
          </w:p>
          <w:p w14:paraId="084A03EC" w14:textId="77777777" w:rsidR="00CC45AD" w:rsidRPr="008D5D4A" w:rsidRDefault="00CC45AD" w:rsidP="00E13130">
            <w:pPr>
              <w:spacing w:after="120" w:line="276" w:lineRule="auto"/>
              <w:ind w:firstLine="708"/>
              <w:jc w:val="both"/>
              <w:rPr>
                <w:rFonts w:ascii="Verdana" w:eastAsia="Times New Roman" w:hAnsi="Verdana" w:cs="Arial"/>
                <w:i/>
                <w:lang w:val="es-ES" w:eastAsia="es-ES"/>
              </w:rPr>
            </w:pPr>
            <w:r w:rsidRPr="008D5D4A">
              <w:rPr>
                <w:rFonts w:ascii="Verdana" w:hAnsi="Verdana" w:cs="Arial"/>
                <w:noProof/>
                <w:lang w:val="es-ES_tradnl"/>
              </w:rPr>
              <w:t xml:space="preserve">Conforme a las reglas de subsanabilidad, los requisitos o documentos que no sean necesarios para la comparación de las ofertas pueden subsanarse </w:t>
            </w:r>
            <w:r w:rsidRPr="008D5D4A">
              <w:rPr>
                <w:rFonts w:ascii="Verdana" w:hAnsi="Verdana" w:cs="Arial"/>
                <w:noProof/>
                <w:lang w:val="es-ES_tradnl"/>
              </w:rPr>
              <w:lastRenderedPageBreak/>
              <w:t xml:space="preserve">y todo lo que no sea necesario para la comparación de propuestas no es título suficiente para su rechazo. </w:t>
            </w:r>
          </w:p>
          <w:p w14:paraId="1A851E2C" w14:textId="77777777" w:rsidR="00CC45AD" w:rsidRPr="008D5D4A" w:rsidRDefault="00CC45AD" w:rsidP="00E13130">
            <w:pPr>
              <w:spacing w:after="120" w:line="276" w:lineRule="auto"/>
              <w:ind w:firstLine="709"/>
              <w:jc w:val="both"/>
              <w:rPr>
                <w:rFonts w:ascii="Verdana" w:eastAsia="Times New Roman" w:hAnsi="Verdana" w:cs="Arial"/>
                <w:lang w:val="es-ES_tradnl" w:eastAsia="es-ES_tradnl"/>
              </w:rPr>
            </w:pPr>
            <w:r w:rsidRPr="008D5D4A">
              <w:rPr>
                <w:rFonts w:ascii="Verdana" w:eastAsia="Times New Roman" w:hAnsi="Verdana" w:cs="Arial"/>
                <w:lang w:val="es-ES_tradnl" w:eastAsia="es-ES_tradnl"/>
              </w:rPr>
              <w:t xml:space="preserve">De </w:t>
            </w:r>
            <w:r>
              <w:rPr>
                <w:rFonts w:ascii="Verdana" w:eastAsia="Times New Roman" w:hAnsi="Verdana" w:cs="Arial"/>
                <w:lang w:val="es-ES_tradnl" w:eastAsia="es-ES_tradnl"/>
              </w:rPr>
              <w:t>acuerdo</w:t>
            </w:r>
            <w:r w:rsidRPr="008D5D4A">
              <w:rPr>
                <w:rFonts w:ascii="Verdana" w:eastAsia="Times New Roman" w:hAnsi="Verdana" w:cs="Arial"/>
                <w:lang w:val="es-ES_tradnl" w:eastAsia="es-ES_tradnl"/>
              </w:rPr>
              <w:t xml:space="preserve">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FE3429D" w14:textId="77777777" w:rsidR="00CC45AD" w:rsidRDefault="00CC45AD" w:rsidP="00E13130">
            <w:pPr>
              <w:spacing w:after="120" w:line="276" w:lineRule="auto"/>
              <w:ind w:firstLine="708"/>
              <w:jc w:val="both"/>
              <w:rPr>
                <w:rStyle w:val="eop"/>
                <w:rFonts w:ascii="Verdana" w:hAnsi="Verdana" w:cs="Arial"/>
                <w:color w:val="000000"/>
              </w:rPr>
            </w:pPr>
            <w:r>
              <w:rPr>
                <w:rStyle w:val="eop"/>
                <w:rFonts w:ascii="Verdana" w:hAnsi="Verdana" w:cs="Arial"/>
                <w:color w:val="000000"/>
              </w:rPr>
              <w:t xml:space="preserve">Las anteriores consideraciones son, claramente, aplicables a los documentos tipo expedidos por esta Agencia. Por lo tanto, resulta válido para los proponentes aportar una prueba de una circunstancia incluso con fecha posterior al cierre del proceso, siempre y cuando el hecho que se pretenda acreditar con dicha prueba se encuentre configurado con anterioridad al cierre. </w:t>
            </w:r>
          </w:p>
          <w:p w14:paraId="4C7F8FEC" w14:textId="77777777" w:rsidR="00CC45AD" w:rsidRPr="002F386A" w:rsidRDefault="00CC45AD" w:rsidP="00E13130">
            <w:pPr>
              <w:spacing w:line="276" w:lineRule="auto"/>
              <w:ind w:firstLine="709"/>
              <w:jc w:val="both"/>
              <w:rPr>
                <w:rFonts w:ascii="Verdana" w:eastAsia="Times New Roman" w:hAnsi="Verdana" w:cs="Arial"/>
                <w:lang w:val="es-ES" w:eastAsia="es-ES"/>
              </w:rPr>
            </w:pPr>
            <w:r>
              <w:rPr>
                <w:rStyle w:val="eop"/>
                <w:rFonts w:ascii="Verdana" w:hAnsi="Verdana" w:cs="Arial"/>
                <w:color w:val="000000"/>
              </w:rPr>
              <w:t xml:space="preserve">Por lo tanto, </w:t>
            </w:r>
            <w:proofErr w:type="spellStart"/>
            <w:r w:rsidRPr="00D16A5E">
              <w:rPr>
                <w:rFonts w:ascii="Verdana" w:eastAsia="Times New Roman" w:hAnsi="Verdana" w:cs="Arial"/>
                <w:lang w:val="es-ES" w:eastAsia="es-ES"/>
              </w:rPr>
              <w:t>si</w:t>
            </w:r>
            <w:proofErr w:type="spellEnd"/>
            <w:r w:rsidRPr="00D16A5E">
              <w:rPr>
                <w:rFonts w:ascii="Verdana" w:eastAsia="Times New Roman" w:hAnsi="Verdana" w:cs="Arial"/>
                <w:lang w:val="es-ES" w:eastAsia="es-ES"/>
              </w:rPr>
              <w:t xml:space="preserve">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Pr>
                <w:rFonts w:ascii="Verdana" w:eastAsia="Times New Roman" w:hAnsi="Verdana" w:cs="Arial"/>
                <w:lang w:val="es-ES" w:eastAsia="es-ES"/>
              </w:rPr>
              <w:t xml:space="preserve">. Sobre el particular, corresponderá a la entidad estatal adoptar las actuaciones necesarias, una vez subsanado el respectivo documento, para que este sea tenido en cuenta dentro del proceso de contratación en la forma en que corresponda.  </w:t>
            </w:r>
          </w:p>
        </w:tc>
      </w:tr>
    </w:tbl>
    <w:p w14:paraId="13CA0136" w14:textId="77777777" w:rsidR="00CC45AD" w:rsidRPr="00593A5F" w:rsidRDefault="00CC45AD" w:rsidP="00CC45AD">
      <w:pPr>
        <w:tabs>
          <w:tab w:val="left" w:pos="142"/>
          <w:tab w:val="left" w:pos="284"/>
        </w:tabs>
        <w:spacing w:after="0" w:line="276" w:lineRule="auto"/>
        <w:jc w:val="both"/>
        <w:rPr>
          <w:rFonts w:ascii="Verdana" w:eastAsia="Century Gothic" w:hAnsi="Verdana" w:cs="Century Gothic"/>
          <w:b/>
          <w:bCs/>
          <w:lang w:val="es-ES"/>
        </w:rPr>
      </w:pPr>
    </w:p>
    <w:p w14:paraId="479D3B6D" w14:textId="77777777" w:rsidR="00CC45AD" w:rsidRPr="008D5D4A" w:rsidRDefault="00CC45AD" w:rsidP="00CC45AD">
      <w:pPr>
        <w:pStyle w:val="Prrafodelista"/>
        <w:numPr>
          <w:ilvl w:val="0"/>
          <w:numId w:val="16"/>
        </w:numPr>
        <w:tabs>
          <w:tab w:val="left" w:pos="142"/>
          <w:tab w:val="left" w:pos="284"/>
        </w:tabs>
        <w:spacing w:after="0" w:line="276" w:lineRule="auto"/>
        <w:ind w:left="0" w:firstLine="0"/>
        <w:contextualSpacing w:val="0"/>
        <w:jc w:val="both"/>
        <w:rPr>
          <w:rFonts w:ascii="Verdana" w:eastAsia="Calibri" w:hAnsi="Verdana" w:cs="Arial"/>
          <w:color w:val="7030A0"/>
        </w:rPr>
      </w:pPr>
      <w:r w:rsidRPr="00593A5F">
        <w:rPr>
          <w:rFonts w:ascii="Verdana" w:eastAsia="Century Gothic" w:hAnsi="Verdana" w:cs="Century Gothic"/>
          <w:b/>
          <w:bCs/>
        </w:rPr>
        <w:t>Razones de la respuesta:</w:t>
      </w:r>
    </w:p>
    <w:p w14:paraId="75FD9106" w14:textId="77777777" w:rsidR="00CC45AD" w:rsidRDefault="00CC45AD" w:rsidP="00CC45AD">
      <w:pPr>
        <w:spacing w:after="0" w:line="276" w:lineRule="auto"/>
        <w:jc w:val="both"/>
        <w:rPr>
          <w:rFonts w:ascii="Verdana" w:eastAsia="Calibri" w:hAnsi="Verdana" w:cs="Arial"/>
          <w:lang w:val="es-ES" w:eastAsia="es-ES"/>
        </w:rPr>
      </w:pPr>
    </w:p>
    <w:p w14:paraId="1BB17783" w14:textId="77777777" w:rsidR="00CC45AD" w:rsidRPr="005B7C42" w:rsidRDefault="00CC45AD" w:rsidP="00CC45AD">
      <w:pPr>
        <w:spacing w:after="0" w:line="276" w:lineRule="auto"/>
        <w:jc w:val="both"/>
        <w:rPr>
          <w:rFonts w:ascii="Verdana" w:eastAsia="Calibri" w:hAnsi="Verdana" w:cs="Arial"/>
        </w:rPr>
      </w:pPr>
      <w:r>
        <w:rPr>
          <w:rFonts w:ascii="Verdana" w:eastAsia="Calibri" w:hAnsi="Verdana" w:cs="Arial"/>
        </w:rPr>
        <w:t>L</w:t>
      </w:r>
      <w:r w:rsidRPr="005B7C42">
        <w:rPr>
          <w:rFonts w:ascii="Verdana" w:eastAsia="Calibri" w:hAnsi="Verdana" w:cs="Arial"/>
        </w:rPr>
        <w:t xml:space="preserve">o anterior se sustenta en las siguientes consideraciones: </w:t>
      </w:r>
    </w:p>
    <w:p w14:paraId="02429876" w14:textId="77777777" w:rsidR="00CC45AD" w:rsidRPr="00B36F85" w:rsidRDefault="00CC45AD" w:rsidP="00CC45AD">
      <w:pPr>
        <w:spacing w:after="0" w:line="276" w:lineRule="auto"/>
        <w:jc w:val="both"/>
        <w:rPr>
          <w:rFonts w:ascii="Verdana" w:eastAsia="Calibri" w:hAnsi="Verdana" w:cs="Arial"/>
        </w:rPr>
      </w:pPr>
    </w:p>
    <w:p w14:paraId="4FDF9F5D" w14:textId="77777777" w:rsidR="00CC45AD" w:rsidRDefault="00CC45AD" w:rsidP="00CC45AD">
      <w:pPr>
        <w:spacing w:after="120" w:line="276" w:lineRule="auto"/>
        <w:jc w:val="both"/>
        <w:rPr>
          <w:rFonts w:ascii="Verdana" w:eastAsia="Times New Roman" w:hAnsi="Verdana" w:cs="Arial"/>
          <w:lang w:val="es-ES_tradnl" w:eastAsia="es-ES_tradnl"/>
        </w:rPr>
      </w:pPr>
      <w:r w:rsidRPr="00D16A5E">
        <w:rPr>
          <w:rFonts w:ascii="Verdana" w:hAnsi="Verdana" w:cs="Arial"/>
          <w:noProof/>
          <w:lang w:val="es-ES_tradnl"/>
        </w:rPr>
        <w:t>L</w:t>
      </w:r>
      <w:r w:rsidRPr="00D16A5E">
        <w:rPr>
          <w:rFonts w:ascii="Verdana" w:eastAsia="Times New Roman" w:hAnsi="Verdana" w:cs="Arial"/>
        </w:rPr>
        <w:t xml:space="preserve">a regla de la </w:t>
      </w:r>
      <w:proofErr w:type="spellStart"/>
      <w:r w:rsidRPr="00D16A5E">
        <w:rPr>
          <w:rFonts w:ascii="Verdana" w:eastAsia="Times New Roman" w:hAnsi="Verdana" w:cs="Arial"/>
        </w:rPr>
        <w:t>subsanabilidad</w:t>
      </w:r>
      <w:proofErr w:type="spellEnd"/>
      <w:r w:rsidRPr="00D16A5E">
        <w:rPr>
          <w:rFonts w:ascii="Verdana" w:eastAsia="Times New Roman" w:hAnsi="Verdana" w:cs="Arial"/>
        </w:rPr>
        <w:t xml:space="preserve"> de las ofertas en los procedimientos de selección</w:t>
      </w:r>
      <w:r w:rsidRPr="00D16A5E">
        <w:rPr>
          <w:rFonts w:ascii="Verdana" w:eastAsia="Times New Roman" w:hAnsi="Verdana" w:cs="Arial"/>
          <w:b/>
          <w:bCs/>
        </w:rPr>
        <w:t xml:space="preserve"> </w:t>
      </w:r>
      <w:r w:rsidRPr="00D16A5E">
        <w:rPr>
          <w:rFonts w:ascii="Verdana" w:eastAsia="Times New Roman" w:hAnsi="Verdana" w:cs="Arial"/>
          <w:lang w:val="es-ES_tradnl" w:eastAsia="es-ES_tradnl"/>
        </w:rPr>
        <w:t>indica que, por regla general, la falta de entrega y los defectos en la acreditación de los requisitos habilitantes son aspectos subsanables. La excepción</w:t>
      </w:r>
      <w:r>
        <w:rPr>
          <w:rFonts w:ascii="Verdana" w:eastAsia="Times New Roman" w:hAnsi="Verdana" w:cs="Arial"/>
          <w:lang w:val="es-ES_tradnl" w:eastAsia="es-ES_tradnl"/>
        </w:rPr>
        <w:t xml:space="preserve"> a esta regla </w:t>
      </w:r>
      <w:r w:rsidRPr="00D16A5E">
        <w:rPr>
          <w:rFonts w:ascii="Verdana" w:eastAsia="Times New Roman" w:hAnsi="Verdana" w:cs="Arial"/>
          <w:lang w:val="es-ES_tradnl" w:eastAsia="es-ES_tradnl"/>
        </w:rPr>
        <w:t xml:space="preserve">se encuentra en la prohibición de permitir </w:t>
      </w:r>
      <w:r>
        <w:rPr>
          <w:rFonts w:ascii="Verdana" w:eastAsia="Times New Roman" w:hAnsi="Verdana" w:cs="Arial"/>
          <w:lang w:val="es-ES_tradnl" w:eastAsia="es-ES_tradnl"/>
        </w:rPr>
        <w:t xml:space="preserve">que se subsanen aspectos que otorgan puntaje, </w:t>
      </w:r>
      <w:r w:rsidRPr="00D16A5E">
        <w:rPr>
          <w:rFonts w:ascii="Verdana" w:eastAsia="Times New Roman" w:hAnsi="Verdana" w:cs="Arial"/>
          <w:lang w:val="es-ES_tradnl" w:eastAsia="es-ES_tradnl"/>
        </w:rPr>
        <w:t>la acreditación de circunstancias ocurridas con posterioridad al cierre del proceso</w:t>
      </w:r>
      <w:r>
        <w:rPr>
          <w:rFonts w:ascii="Verdana" w:eastAsia="Times New Roman" w:hAnsi="Verdana" w:cs="Arial"/>
          <w:lang w:val="es-ES_tradnl" w:eastAsia="es-ES_tradnl"/>
        </w:rPr>
        <w:t xml:space="preserve"> y de permitir </w:t>
      </w:r>
      <w:r w:rsidRPr="00D16A5E">
        <w:rPr>
          <w:rFonts w:ascii="Verdana" w:eastAsia="Times New Roman" w:hAnsi="Verdana" w:cs="Arial"/>
          <w:lang w:val="es-ES_tradnl" w:eastAsia="es-ES_tradnl"/>
        </w:rPr>
        <w:t>la entrega de la garantía de seriedad de la oferta que no fue aportada con la propuesta</w:t>
      </w:r>
      <w:r>
        <w:rPr>
          <w:rFonts w:ascii="Verdana" w:eastAsia="Times New Roman" w:hAnsi="Verdana" w:cs="Arial"/>
          <w:lang w:val="es-ES_tradnl" w:eastAsia="es-ES_tradnl"/>
        </w:rPr>
        <w:t>.</w:t>
      </w:r>
    </w:p>
    <w:p w14:paraId="50F18AFA" w14:textId="77777777" w:rsidR="00CC45AD" w:rsidRDefault="00CC45AD" w:rsidP="00CC45AD">
      <w:pPr>
        <w:spacing w:after="120" w:line="276" w:lineRule="auto"/>
        <w:ind w:firstLine="708"/>
        <w:jc w:val="both"/>
        <w:rPr>
          <w:rFonts w:ascii="Verdana" w:eastAsia="Times New Roman" w:hAnsi="Verdana" w:cs="Arial"/>
          <w:lang w:val="es-ES" w:eastAsia="es-ES"/>
        </w:rPr>
      </w:pPr>
      <w:r>
        <w:rPr>
          <w:rFonts w:ascii="Verdana" w:eastAsia="Times New Roman" w:hAnsi="Verdana" w:cs="Arial"/>
          <w:lang w:val="es-ES_tradnl" w:eastAsia="es-ES_tradnl"/>
        </w:rPr>
        <w:lastRenderedPageBreak/>
        <w:t>L</w:t>
      </w:r>
      <w:r w:rsidRPr="00D16A5E">
        <w:rPr>
          <w:rFonts w:ascii="Verdana" w:eastAsia="Times New Roman" w:hAnsi="Verdana" w:cs="Arial"/>
          <w:lang w:val="es-ES_tradnl" w:eastAsia="es-ES_tradnl"/>
        </w:rPr>
        <w:t>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_tradnl" w:eastAsia="es-ES_tradnl"/>
        </w:rPr>
        <w:t>, momentos que se han expuesto de manera detallada en conceptos como el C-285 del 20 de mayo de 2022</w:t>
      </w:r>
      <w:r>
        <w:rPr>
          <w:rStyle w:val="Refdenotaalpie"/>
          <w:rFonts w:ascii="Verdana" w:eastAsia="Times New Roman" w:hAnsi="Verdana" w:cs="Arial"/>
          <w:lang w:val="es-ES_tradnl" w:eastAsia="es-ES_tradnl"/>
        </w:rPr>
        <w:footnoteReference w:id="2"/>
      </w:r>
      <w:r>
        <w:rPr>
          <w:rFonts w:ascii="Verdana" w:eastAsia="Times New Roman" w:hAnsi="Verdana" w:cs="Arial"/>
          <w:lang w:val="es-ES_tradnl" w:eastAsia="es-ES_tradnl"/>
        </w:rPr>
        <w:t xml:space="preserve"> o el C-447 del 19 de septiembre de 2024</w:t>
      </w:r>
      <w:r>
        <w:rPr>
          <w:rStyle w:val="Refdenotaalpie"/>
          <w:rFonts w:ascii="Verdana" w:eastAsia="Times New Roman" w:hAnsi="Verdana" w:cs="Arial"/>
          <w:lang w:val="es-ES_tradnl" w:eastAsia="es-ES_tradnl"/>
        </w:rPr>
        <w:footnoteReference w:id="3"/>
      </w:r>
      <w:r>
        <w:rPr>
          <w:rFonts w:ascii="Verdana" w:eastAsia="Times New Roman" w:hAnsi="Verdana" w:cs="Arial"/>
          <w:lang w:val="es-ES_tradnl" w:eastAsia="es-ES_tradnl"/>
        </w:rPr>
        <w:t>, los cuales, en el evento en que tenga interés, podrá consultar en los enlaces de la nota al pie</w:t>
      </w:r>
      <w:r w:rsidRPr="00D16A5E">
        <w:rPr>
          <w:rFonts w:ascii="Verdana" w:eastAsia="Times New Roman" w:hAnsi="Verdana" w:cs="Arial"/>
          <w:lang w:val="es-ES_tradnl" w:eastAsia="es-ES_tradnl"/>
        </w:rPr>
        <w:t>.</w:t>
      </w:r>
      <w:r>
        <w:rPr>
          <w:rFonts w:ascii="Verdana" w:eastAsia="Times New Roman" w:hAnsi="Verdana" w:cs="Arial"/>
          <w:lang w:val="es-ES_tradnl" w:eastAsia="es-ES_tradnl"/>
        </w:rPr>
        <w:t xml:space="preserve"> Sin embargo</w:t>
      </w:r>
      <w:r w:rsidRPr="00D16A5E">
        <w:rPr>
          <w:rFonts w:ascii="Verdana" w:eastAsia="Times New Roman" w:hAnsi="Verdana" w:cs="Arial"/>
          <w:lang w:val="es-ES" w:eastAsia="es-ES"/>
        </w:rPr>
        <w:t xml:space="preserve">, a continuación, se hará referencia </w:t>
      </w:r>
      <w:r>
        <w:rPr>
          <w:rFonts w:ascii="Verdana" w:eastAsia="Times New Roman" w:hAnsi="Verdana" w:cs="Arial"/>
          <w:lang w:val="es-ES" w:eastAsia="es-ES"/>
        </w:rPr>
        <w:t>particularmente al último momento, que refleja la postura vigente</w:t>
      </w:r>
      <w:r w:rsidRPr="00D16A5E">
        <w:rPr>
          <w:rFonts w:ascii="Verdana" w:eastAsia="Times New Roman" w:hAnsi="Verdana" w:cs="Arial"/>
          <w:lang w:val="es-ES" w:eastAsia="es-ES"/>
        </w:rPr>
        <w:t xml:space="preserve"> en torno a la </w:t>
      </w:r>
      <w:proofErr w:type="spellStart"/>
      <w:r w:rsidRPr="00D16A5E">
        <w:rPr>
          <w:rFonts w:ascii="Verdana" w:eastAsia="Times New Roman" w:hAnsi="Verdana" w:cs="Arial"/>
          <w:lang w:val="es-ES" w:eastAsia="es-ES"/>
        </w:rPr>
        <w:t>subsanabilidad</w:t>
      </w:r>
      <w:proofErr w:type="spellEnd"/>
      <w:r>
        <w:rPr>
          <w:rFonts w:ascii="Verdana" w:eastAsia="Times New Roman" w:hAnsi="Verdana" w:cs="Arial"/>
          <w:lang w:val="es-ES" w:eastAsia="es-ES"/>
        </w:rPr>
        <w:t>.</w:t>
      </w:r>
    </w:p>
    <w:p w14:paraId="5D6D81A5" w14:textId="77777777" w:rsidR="00CC45AD" w:rsidRPr="00D16A5E" w:rsidRDefault="00CC45AD" w:rsidP="00CC45AD">
      <w:pPr>
        <w:tabs>
          <w:tab w:val="left" w:pos="284"/>
        </w:tabs>
        <w:spacing w:after="0" w:line="276" w:lineRule="auto"/>
        <w:ind w:firstLine="709"/>
        <w:jc w:val="both"/>
        <w:rPr>
          <w:rFonts w:ascii="Verdana" w:eastAsia="Times New Roman" w:hAnsi="Verdana" w:cs="Arial"/>
          <w:lang w:val="es-ES_tradnl" w:eastAsia="es-CO"/>
        </w:rPr>
      </w:pPr>
      <w:r>
        <w:rPr>
          <w:rFonts w:ascii="Verdana" w:eastAsia="Times New Roman" w:hAnsi="Verdana" w:cs="Arial"/>
          <w:lang w:val="es-ES_tradnl" w:eastAsia="es-ES_tradnl"/>
        </w:rPr>
        <w:t xml:space="preserve">La expedición de la Ley </w:t>
      </w:r>
      <w:r w:rsidRPr="00D16A5E">
        <w:rPr>
          <w:rFonts w:ascii="Verdana" w:eastAsia="Times New Roman" w:hAnsi="Verdana" w:cs="Arial"/>
          <w:lang w:val="es-ES_tradnl" w:eastAsia="es-CO"/>
        </w:rPr>
        <w:t>1882 de 2018</w:t>
      </w:r>
      <w:r>
        <w:rPr>
          <w:rFonts w:ascii="Verdana" w:eastAsia="Times New Roman" w:hAnsi="Verdana" w:cs="Arial"/>
          <w:lang w:val="es-ES_tradnl" w:eastAsia="es-CO"/>
        </w:rPr>
        <w:t xml:space="preserve"> tuvo por finalidad la de </w:t>
      </w:r>
      <w:r w:rsidRPr="00D16A5E">
        <w:rPr>
          <w:rFonts w:ascii="Verdana" w:eastAsia="Times New Roman" w:hAnsi="Verdana" w:cs="Arial"/>
          <w:lang w:val="es-ES_tradnl" w:eastAsia="es-CO"/>
        </w:rPr>
        <w:t>introducir cambios y ajustes para fortalecer la contratación pública</w:t>
      </w:r>
      <w:r>
        <w:rPr>
          <w:rFonts w:ascii="Verdana" w:eastAsia="Times New Roman" w:hAnsi="Verdana" w:cs="Arial"/>
          <w:lang w:val="es-ES_tradnl" w:eastAsia="es-CO"/>
        </w:rPr>
        <w:t xml:space="preserve">. En ese orden, mediante su </w:t>
      </w:r>
      <w:r w:rsidRPr="00D16A5E">
        <w:rPr>
          <w:rFonts w:ascii="Verdana" w:eastAsia="Times New Roman" w:hAnsi="Verdana" w:cs="Arial"/>
          <w:lang w:val="es-ES_tradnl" w:eastAsia="es-CO"/>
        </w:rPr>
        <w:t xml:space="preserve">artículo 5 modificó el parágrafo 1º y adicionó algunos otros, entre ellos el </w:t>
      </w:r>
      <w:r>
        <w:rPr>
          <w:rFonts w:ascii="Verdana" w:eastAsia="Times New Roman" w:hAnsi="Verdana" w:cs="Arial"/>
          <w:lang w:val="es-ES_tradnl" w:eastAsia="es-CO"/>
        </w:rPr>
        <w:t>3</w:t>
      </w:r>
      <w:r w:rsidRPr="00D16A5E">
        <w:rPr>
          <w:rFonts w:ascii="Verdana" w:eastAsia="Times New Roman" w:hAnsi="Verdana" w:cs="Arial"/>
          <w:lang w:val="es-ES_tradnl" w:eastAsia="es-CO"/>
        </w:rPr>
        <w:t>°</w:t>
      </w:r>
      <w:r>
        <w:rPr>
          <w:rFonts w:ascii="Verdana" w:eastAsia="Times New Roman" w:hAnsi="Verdana" w:cs="Arial"/>
          <w:lang w:val="es-ES_tradnl" w:eastAsia="es-CO"/>
        </w:rPr>
        <w:t xml:space="preserve"> y </w:t>
      </w:r>
      <w:r w:rsidRPr="00D16A5E">
        <w:rPr>
          <w:rFonts w:ascii="Verdana" w:eastAsia="Times New Roman" w:hAnsi="Verdana" w:cs="Arial"/>
          <w:lang w:val="es-ES_tradnl" w:eastAsia="es-CO"/>
        </w:rPr>
        <w:t>4° del artículo 5 de la Ley 1150 de 2007</w:t>
      </w:r>
      <w:r>
        <w:rPr>
          <w:rFonts w:ascii="Verdana" w:eastAsia="Times New Roman" w:hAnsi="Verdana" w:cs="Arial"/>
          <w:lang w:val="es-ES_tradnl" w:eastAsia="es-CO"/>
        </w:rPr>
        <w:t>, en los siguientes términos</w:t>
      </w:r>
      <w:r w:rsidRPr="00D16A5E">
        <w:rPr>
          <w:rFonts w:ascii="Verdana" w:eastAsia="Times New Roman" w:hAnsi="Verdana" w:cs="Arial"/>
          <w:lang w:val="es-ES_tradnl" w:eastAsia="es-CO"/>
        </w:rPr>
        <w:t xml:space="preserve">: </w:t>
      </w:r>
    </w:p>
    <w:p w14:paraId="4D137533" w14:textId="77777777" w:rsidR="00CC45AD" w:rsidRPr="000D2E9F" w:rsidRDefault="00CC45AD" w:rsidP="00CC45AD">
      <w:pPr>
        <w:spacing w:after="0" w:line="276" w:lineRule="auto"/>
        <w:ind w:left="709" w:right="709"/>
        <w:jc w:val="both"/>
        <w:rPr>
          <w:rFonts w:ascii="Verdana" w:eastAsia="Times New Roman" w:hAnsi="Verdana" w:cs="Arial"/>
          <w:lang w:val="es-ES_tradnl" w:eastAsia="es-CO"/>
        </w:rPr>
      </w:pPr>
    </w:p>
    <w:p w14:paraId="7E8412B2" w14:textId="77777777" w:rsidR="00CC45AD" w:rsidRPr="003C01BA" w:rsidRDefault="00CC45AD" w:rsidP="00CC45AD">
      <w:pPr>
        <w:spacing w:after="0" w:line="240" w:lineRule="auto"/>
        <w:ind w:left="709" w:right="709"/>
        <w:jc w:val="both"/>
        <w:rPr>
          <w:rFonts w:ascii="Verdana" w:eastAsia="Times New Roman" w:hAnsi="Verdana" w:cs="Arial"/>
          <w:sz w:val="21"/>
          <w:szCs w:val="21"/>
          <w:lang w:val="es-ES_tradnl" w:eastAsia="es-CO"/>
        </w:rPr>
      </w:pPr>
      <w:r w:rsidRPr="003C01BA">
        <w:rPr>
          <w:rFonts w:ascii="Verdana" w:eastAsia="Times New Roman" w:hAnsi="Verdana" w:cs="Arial"/>
          <w:sz w:val="21"/>
          <w:szCs w:val="21"/>
          <w:lang w:val="es-ES_tradnl" w:eastAsia="es-CO"/>
        </w:rPr>
        <w:t xml:space="preserve">“Artículo 5°. De la selección objetiva. </w:t>
      </w:r>
    </w:p>
    <w:p w14:paraId="2BCE2975" w14:textId="77777777" w:rsidR="00CC45AD" w:rsidRPr="003C01BA" w:rsidRDefault="00CC45AD" w:rsidP="00CC45AD">
      <w:pPr>
        <w:pStyle w:val="paragraph"/>
        <w:spacing w:before="0" w:beforeAutospacing="0" w:after="0" w:afterAutospacing="0"/>
        <w:ind w:left="709" w:right="709"/>
        <w:jc w:val="both"/>
        <w:textAlignment w:val="baseline"/>
        <w:rPr>
          <w:rStyle w:val="normaltextrun"/>
          <w:rFonts w:ascii="Verdana" w:eastAsiaTheme="majorEastAsia" w:hAnsi="Verdana" w:cs="Arial"/>
          <w:color w:val="000000"/>
          <w:sz w:val="21"/>
          <w:szCs w:val="21"/>
          <w:lang w:val="es-ES"/>
        </w:rPr>
      </w:pPr>
    </w:p>
    <w:p w14:paraId="1F192B79"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3C01BA">
        <w:rPr>
          <w:rStyle w:val="normaltextrun"/>
          <w:rFonts w:ascii="Verdana" w:eastAsiaTheme="majorEastAsia" w:hAnsi="Verdana" w:cs="Arial"/>
          <w:color w:val="000000"/>
          <w:sz w:val="21"/>
          <w:szCs w:val="21"/>
          <w:lang w:val="es-ES"/>
        </w:rPr>
        <w:t>equivalentes,</w:t>
      </w:r>
      <w:proofErr w:type="gramEnd"/>
      <w:r w:rsidRPr="003C01BA">
        <w:rPr>
          <w:rStyle w:val="normaltextrun"/>
          <w:rFonts w:ascii="Verdana" w:eastAsiaTheme="majorEastAsia" w:hAnsi="Verdana" w:cs="Arial"/>
          <w:color w:val="000000"/>
          <w:sz w:val="21"/>
          <w:szCs w:val="21"/>
          <w:lang w:val="es-ES"/>
        </w:rPr>
        <w:t xml:space="preserve"> tendrán en cuenta los siguientes criterios:</w:t>
      </w:r>
      <w:r w:rsidRPr="003C01BA">
        <w:rPr>
          <w:rStyle w:val="eop"/>
          <w:rFonts w:ascii="Verdana" w:hAnsi="Verdana" w:cs="Arial"/>
          <w:color w:val="000000"/>
          <w:sz w:val="21"/>
          <w:szCs w:val="21"/>
        </w:rPr>
        <w:t> </w:t>
      </w:r>
    </w:p>
    <w:p w14:paraId="23A57CC0"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1EAFA9A5"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3C01BA">
        <w:rPr>
          <w:rStyle w:val="eop"/>
          <w:rFonts w:ascii="Verdana" w:hAnsi="Verdana" w:cs="Arial"/>
          <w:color w:val="000000"/>
          <w:sz w:val="21"/>
          <w:szCs w:val="21"/>
        </w:rPr>
        <w:t> </w:t>
      </w:r>
    </w:p>
    <w:p w14:paraId="540BD4E4"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lastRenderedPageBreak/>
        <w:t> </w:t>
      </w:r>
    </w:p>
    <w:p w14:paraId="64F30046"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3C01BA">
        <w:rPr>
          <w:rStyle w:val="eop"/>
          <w:rFonts w:ascii="Verdana" w:hAnsi="Verdana" w:cs="Arial"/>
          <w:color w:val="000000"/>
          <w:sz w:val="21"/>
          <w:szCs w:val="21"/>
        </w:rPr>
        <w:t> </w:t>
      </w:r>
    </w:p>
    <w:p w14:paraId="595E6847"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p>
    <w:p w14:paraId="15D34662"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En los procesos de selección en los que se tenga en cuenta los factores técnicos y económicos, la oferta más ventajosa será la que resulte de aplicar alguna de las siguientes alternativas:</w:t>
      </w:r>
      <w:r w:rsidRPr="003C01BA">
        <w:rPr>
          <w:rStyle w:val="eop"/>
          <w:rFonts w:ascii="Verdana" w:hAnsi="Verdana" w:cs="Arial"/>
          <w:color w:val="000000"/>
          <w:sz w:val="21"/>
          <w:szCs w:val="21"/>
        </w:rPr>
        <w:t> </w:t>
      </w:r>
    </w:p>
    <w:p w14:paraId="653FE83A"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p>
    <w:p w14:paraId="5FBCF5F9"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a) La ponderación de los elementos de calidad y precio soportados en puntajes o fórmulas señaladas en el pliego de condiciones; o</w:t>
      </w:r>
    </w:p>
    <w:p w14:paraId="6F3549CA"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p>
    <w:p w14:paraId="6A5CBFA5"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b) La ponderación de los elementos de calidad y precio que representen la mejor relación de costo-beneficio para la entidad.</w:t>
      </w:r>
      <w:r w:rsidRPr="003C01BA">
        <w:rPr>
          <w:rStyle w:val="eop"/>
          <w:rFonts w:ascii="Verdana" w:hAnsi="Verdana" w:cs="Arial"/>
          <w:color w:val="000000"/>
          <w:sz w:val="21"/>
          <w:szCs w:val="21"/>
        </w:rPr>
        <w:t> </w:t>
      </w:r>
    </w:p>
    <w:p w14:paraId="03310120"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p>
    <w:p w14:paraId="0A04D67C"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3C01BA">
        <w:rPr>
          <w:rStyle w:val="eop"/>
          <w:rFonts w:ascii="Verdana" w:hAnsi="Verdana" w:cs="Arial"/>
          <w:color w:val="000000"/>
          <w:sz w:val="21"/>
          <w:szCs w:val="21"/>
        </w:rPr>
        <w:t> </w:t>
      </w:r>
    </w:p>
    <w:p w14:paraId="76A50CD1"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34E9A07C"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3C01BA">
        <w:rPr>
          <w:rStyle w:val="eop"/>
          <w:rFonts w:ascii="Verdana" w:hAnsi="Verdana" w:cs="Arial"/>
          <w:color w:val="000000"/>
          <w:sz w:val="21"/>
          <w:szCs w:val="21"/>
        </w:rPr>
        <w:t> </w:t>
      </w:r>
    </w:p>
    <w:p w14:paraId="01BE7544"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02A5585F"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En ningún caso se podrá incluir el precio, como factor de escogencia para la selección de consultores.</w:t>
      </w:r>
      <w:r w:rsidRPr="003C01BA">
        <w:rPr>
          <w:rStyle w:val="eop"/>
          <w:rFonts w:ascii="Verdana" w:hAnsi="Verdana" w:cs="Arial"/>
          <w:color w:val="000000"/>
          <w:sz w:val="21"/>
          <w:szCs w:val="21"/>
        </w:rPr>
        <w:t> </w:t>
      </w:r>
    </w:p>
    <w:p w14:paraId="1C3BDD81"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3FAD4FB0"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u w:val="single"/>
          <w:lang w:val="es-ES"/>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w:t>
      </w:r>
      <w:r w:rsidRPr="003C01BA">
        <w:rPr>
          <w:rStyle w:val="normaltextrun"/>
          <w:rFonts w:ascii="Verdana" w:eastAsiaTheme="majorEastAsia" w:hAnsi="Verdana" w:cs="Arial"/>
          <w:color w:val="000000"/>
          <w:sz w:val="21"/>
          <w:szCs w:val="21"/>
          <w:u w:val="single"/>
          <w:lang w:val="es-ES"/>
        </w:rPr>
        <w:lastRenderedPageBreak/>
        <w:t xml:space="preserve">no afecten la asignación de </w:t>
      </w:r>
      <w:proofErr w:type="gramStart"/>
      <w:r w:rsidRPr="003C01BA">
        <w:rPr>
          <w:rStyle w:val="normaltextrun"/>
          <w:rFonts w:ascii="Verdana" w:eastAsiaTheme="majorEastAsia" w:hAnsi="Verdana" w:cs="Arial"/>
          <w:color w:val="000000"/>
          <w:sz w:val="21"/>
          <w:szCs w:val="21"/>
          <w:u w:val="single"/>
          <w:lang w:val="es-ES"/>
        </w:rPr>
        <w:t>puntaje,</w:t>
      </w:r>
      <w:proofErr w:type="gramEnd"/>
      <w:r w:rsidRPr="003C01BA">
        <w:rPr>
          <w:rStyle w:val="normaltextrun"/>
          <w:rFonts w:ascii="Verdana" w:eastAsiaTheme="majorEastAsia" w:hAnsi="Verdana" w:cs="Arial"/>
          <w:color w:val="000000"/>
          <w:sz w:val="21"/>
          <w:szCs w:val="21"/>
          <w:u w:val="single"/>
          <w:lang w:val="es-ES"/>
        </w:rPr>
        <w:t xml:space="preserve"> deberán ser solicitados por las entidades estatales y deberán ser entregados por los proponentes hasta el término de traslado del informe de evaluación que corresponda a cada modalidad de selección</w:t>
      </w:r>
      <w:r w:rsidRPr="003C01BA">
        <w:rPr>
          <w:rStyle w:val="normaltextrun"/>
          <w:rFonts w:ascii="Verdana" w:eastAsiaTheme="majorEastAsia" w:hAnsi="Verdana" w:cs="Arial"/>
          <w:color w:val="000000"/>
          <w:sz w:val="21"/>
          <w:szCs w:val="21"/>
          <w:lang w:val="es-ES"/>
        </w:rPr>
        <w:t xml:space="preserve">, salvo lo dispuesto para el proceso de Mínima cuantía y para el proceso de selección a través del sistema de subasta. </w:t>
      </w:r>
      <w:r w:rsidRPr="003C01BA">
        <w:rPr>
          <w:rStyle w:val="normaltextrun"/>
          <w:rFonts w:ascii="Verdana" w:eastAsiaTheme="majorEastAsia" w:hAnsi="Verdana" w:cs="Arial"/>
          <w:color w:val="000000"/>
          <w:sz w:val="21"/>
          <w:szCs w:val="21"/>
          <w:u w:val="single"/>
          <w:lang w:val="es-ES"/>
        </w:rPr>
        <w:t>Serán rechazadas las ofertas de aquellos proponentes que no suministren la información y la documentación solicitada por la entidad estatal hasta el plazo anteriormente señalado.</w:t>
      </w:r>
      <w:r w:rsidRPr="003C01BA">
        <w:rPr>
          <w:rStyle w:val="eop"/>
          <w:rFonts w:ascii="Verdana" w:hAnsi="Verdana" w:cs="Arial"/>
          <w:color w:val="000000"/>
          <w:sz w:val="21"/>
          <w:szCs w:val="21"/>
          <w:u w:val="single"/>
        </w:rPr>
        <w:t> </w:t>
      </w:r>
    </w:p>
    <w:p w14:paraId="76D6DD1D"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2BED9AFF"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u w:val="single"/>
          <w:lang w:val="es-ES"/>
        </w:rPr>
        <w:t>Durante el término otorgado para subsanar las ofertas, los proponentes no podrán acreditar circunstancias ocurridas con posterioridad al cierre del proceso.</w:t>
      </w:r>
      <w:r w:rsidRPr="003C01BA">
        <w:rPr>
          <w:rStyle w:val="eop"/>
          <w:rFonts w:ascii="Verdana" w:hAnsi="Verdana" w:cs="Arial"/>
          <w:color w:val="000000"/>
          <w:sz w:val="21"/>
          <w:szCs w:val="21"/>
        </w:rPr>
        <w:t> </w:t>
      </w:r>
    </w:p>
    <w:p w14:paraId="555FED0C"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5C15B8FA"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PARÁGRAFO 2o. Las certificaciones de sistemas de gestión de calidad no serán objeto de calificación, ni podrán establecerse como documento habilitante para participar en licitaciones o concursos.</w:t>
      </w:r>
      <w:r w:rsidRPr="003C01BA">
        <w:rPr>
          <w:rStyle w:val="eop"/>
          <w:rFonts w:ascii="Verdana" w:hAnsi="Verdana" w:cs="Arial"/>
          <w:color w:val="000000"/>
          <w:sz w:val="21"/>
          <w:szCs w:val="21"/>
        </w:rPr>
        <w:t> </w:t>
      </w:r>
    </w:p>
    <w:p w14:paraId="486643EF"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1648FDFF"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u w:val="single"/>
        </w:rPr>
      </w:pPr>
      <w:r w:rsidRPr="003C01BA">
        <w:rPr>
          <w:rStyle w:val="normaltextrun"/>
          <w:rFonts w:ascii="Verdana" w:eastAsiaTheme="majorEastAsia" w:hAnsi="Verdana" w:cs="Arial"/>
          <w:color w:val="000000"/>
          <w:sz w:val="21"/>
          <w:szCs w:val="21"/>
          <w:u w:val="single"/>
          <w:lang w:val="es-ES"/>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3C01BA">
        <w:rPr>
          <w:rStyle w:val="normaltextrun"/>
          <w:rFonts w:ascii="Verdana" w:eastAsiaTheme="majorEastAsia" w:hAnsi="Verdana" w:cs="Arial"/>
          <w:color w:val="000000"/>
          <w:sz w:val="21"/>
          <w:szCs w:val="21"/>
          <w:u w:val="single"/>
          <w:lang w:val="es-ES"/>
        </w:rPr>
        <w:t>la misma</w:t>
      </w:r>
      <w:proofErr w:type="gramEnd"/>
      <w:r w:rsidRPr="003C01BA">
        <w:rPr>
          <w:rStyle w:val="normaltextrun"/>
          <w:rFonts w:ascii="Verdana" w:eastAsiaTheme="majorEastAsia" w:hAnsi="Verdana" w:cs="Arial"/>
          <w:color w:val="000000"/>
          <w:sz w:val="21"/>
          <w:szCs w:val="21"/>
          <w:u w:val="single"/>
          <w:lang w:val="es-ES"/>
        </w:rPr>
        <w:t>.</w:t>
      </w:r>
      <w:r w:rsidRPr="003C01BA">
        <w:rPr>
          <w:rStyle w:val="eop"/>
          <w:rFonts w:ascii="Verdana" w:hAnsi="Verdana" w:cs="Arial"/>
          <w:color w:val="000000"/>
          <w:sz w:val="21"/>
          <w:szCs w:val="21"/>
          <w:u w:val="single"/>
        </w:rPr>
        <w:t> </w:t>
      </w:r>
    </w:p>
    <w:p w14:paraId="0944CEC5"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2FBD18B6"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3C01BA">
        <w:rPr>
          <w:rStyle w:val="eop"/>
          <w:rFonts w:ascii="Verdana" w:hAnsi="Verdana" w:cs="Arial"/>
          <w:color w:val="000000"/>
          <w:sz w:val="21"/>
          <w:szCs w:val="21"/>
        </w:rPr>
        <w:t> </w:t>
      </w:r>
    </w:p>
    <w:p w14:paraId="0469B9FD"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eop"/>
          <w:rFonts w:ascii="Verdana" w:hAnsi="Verdana" w:cs="Arial"/>
          <w:color w:val="000000"/>
          <w:sz w:val="21"/>
          <w:szCs w:val="21"/>
        </w:rPr>
        <w:t> </w:t>
      </w:r>
    </w:p>
    <w:p w14:paraId="6710D767" w14:textId="77777777" w:rsidR="00CC45AD" w:rsidRPr="003C01BA" w:rsidRDefault="00CC45AD" w:rsidP="00CC45AD">
      <w:pPr>
        <w:pStyle w:val="paragraph"/>
        <w:spacing w:before="0" w:beforeAutospacing="0" w:after="0" w:afterAutospacing="0"/>
        <w:ind w:left="709" w:right="709"/>
        <w:jc w:val="both"/>
        <w:textAlignment w:val="baseline"/>
        <w:rPr>
          <w:rFonts w:ascii="Verdana" w:hAnsi="Verdana" w:cs="Segoe UI"/>
          <w:sz w:val="21"/>
          <w:szCs w:val="21"/>
        </w:rPr>
      </w:pPr>
      <w:r w:rsidRPr="003C01BA">
        <w:rPr>
          <w:rStyle w:val="normaltextrun"/>
          <w:rFonts w:ascii="Verdana" w:eastAsiaTheme="majorEastAsia" w:hAnsi="Verdana" w:cs="Arial"/>
          <w:color w:val="000000"/>
          <w:sz w:val="21"/>
          <w:szCs w:val="21"/>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0C2488FA" w14:textId="77777777" w:rsidR="00CC45AD" w:rsidRPr="00556BC7" w:rsidRDefault="00CC45AD" w:rsidP="00CC45AD">
      <w:pPr>
        <w:spacing w:after="0" w:line="276" w:lineRule="auto"/>
        <w:ind w:left="709" w:right="709"/>
        <w:jc w:val="both"/>
        <w:rPr>
          <w:rFonts w:ascii="Verdana" w:eastAsia="Times New Roman" w:hAnsi="Verdana" w:cs="Arial"/>
          <w:lang w:eastAsia="es-CO"/>
        </w:rPr>
      </w:pPr>
    </w:p>
    <w:p w14:paraId="70A78A47"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mantiene el criterio aclaratorio de la Ley 1150 de 2007, según el cual todo lo que no afecte la asignación de puntaje puede subsanarse</w:t>
      </w:r>
      <w:r w:rsidRPr="00C234B0">
        <w:rPr>
          <w:rFonts w:ascii="Verdana" w:eastAsia="Times New Roman" w:hAnsi="Verdana" w:cs="Arial"/>
          <w:lang w:val="es-ES" w:eastAsia="es-ES"/>
        </w:rPr>
        <w:t xml:space="preserve">; y, </w:t>
      </w:r>
      <w:proofErr w:type="spellStart"/>
      <w:r w:rsidRPr="00C234B0">
        <w:rPr>
          <w:rFonts w:ascii="Verdana" w:eastAsia="Times New Roman" w:hAnsi="Verdana" w:cs="Arial"/>
          <w:lang w:val="es-ES" w:eastAsia="es-ES"/>
        </w:rPr>
        <w:t>iii</w:t>
      </w:r>
      <w:proofErr w:type="spellEnd"/>
      <w:r w:rsidRPr="00C234B0">
        <w:rPr>
          <w:rFonts w:ascii="Verdana" w:eastAsia="Times New Roman" w:hAnsi="Verdana" w:cs="Arial"/>
          <w:lang w:val="es-ES" w:eastAsia="es-ES"/>
        </w:rPr>
        <w:t>) introduce</w:t>
      </w:r>
      <w:r w:rsidRPr="00D16A5E">
        <w:rPr>
          <w:rFonts w:ascii="Verdana" w:eastAsia="Times New Roman" w:hAnsi="Verdana" w:cs="Arial"/>
          <w:lang w:val="es-ES" w:eastAsia="es-ES"/>
        </w:rPr>
        <w:t xml:space="preserve"> modificaciones en relación con algunos aspectos que se analizarán a continuación. </w:t>
      </w:r>
    </w:p>
    <w:p w14:paraId="6670AD1E" w14:textId="77777777" w:rsidR="00CC45AD" w:rsidRPr="00D16A5E" w:rsidRDefault="00CC45AD" w:rsidP="00CC45AD">
      <w:pPr>
        <w:spacing w:after="120" w:line="276" w:lineRule="auto"/>
        <w:ind w:right="51" w:firstLine="709"/>
        <w:jc w:val="both"/>
        <w:rPr>
          <w:rFonts w:ascii="Verdana" w:eastAsia="Times New Roman" w:hAnsi="Verdana" w:cs="Arial"/>
          <w:lang w:val="es-ES_tradnl" w:eastAsia="es-ES_tradnl"/>
        </w:rPr>
      </w:pPr>
      <w:r>
        <w:rPr>
          <w:rFonts w:ascii="Verdana" w:eastAsia="Times New Roman" w:hAnsi="Verdana" w:cs="Arial"/>
          <w:i/>
          <w:iCs/>
          <w:lang w:val="es-ES_tradnl" w:eastAsia="es-ES_tradnl"/>
        </w:rPr>
        <w:t>La</w:t>
      </w:r>
      <w:r w:rsidRPr="00D16A5E">
        <w:rPr>
          <w:rFonts w:ascii="Verdana" w:eastAsia="Times New Roman" w:hAnsi="Verdana" w:cs="Arial"/>
          <w:i/>
          <w:iCs/>
          <w:lang w:val="es-ES_tradnl" w:eastAsia="es-ES_tradnl"/>
        </w:rPr>
        <w:t xml:space="preserve"> primer</w:t>
      </w:r>
      <w:r>
        <w:rPr>
          <w:rFonts w:ascii="Verdana" w:eastAsia="Times New Roman" w:hAnsi="Verdana" w:cs="Arial"/>
          <w:i/>
          <w:iCs/>
          <w:lang w:val="es-ES_tradnl" w:eastAsia="es-ES_tradnl"/>
        </w:rPr>
        <w:t xml:space="preserve">a modificación </w:t>
      </w:r>
      <w:r>
        <w:rPr>
          <w:rFonts w:ascii="Verdana" w:eastAsia="Times New Roman" w:hAnsi="Verdana" w:cs="Arial"/>
          <w:lang w:val="es-ES_tradnl" w:eastAsia="es-ES_tradnl"/>
        </w:rPr>
        <w:t xml:space="preserve">está relacionada con </w:t>
      </w:r>
      <w:r w:rsidRPr="00D16A5E">
        <w:rPr>
          <w:rFonts w:ascii="Verdana" w:eastAsia="Times New Roman" w:hAnsi="Verdana" w:cs="Arial"/>
          <w:lang w:val="es-ES_tradnl" w:eastAsia="es-ES_tradnl"/>
        </w:rPr>
        <w:t xml:space="preserve">el ámbito temporal para ejercer la facultad de subsanar la oferta, pues la Ley 1882 de 2018 fijó una regla </w:t>
      </w:r>
      <w:r w:rsidRPr="00D16A5E">
        <w:rPr>
          <w:rFonts w:ascii="Verdana" w:eastAsia="Times New Roman" w:hAnsi="Verdana" w:cs="Arial"/>
          <w:lang w:val="es-ES_tradnl" w:eastAsia="es-ES_tradnl"/>
        </w:rPr>
        <w:lastRenderedPageBreak/>
        <w:t>general y una excepción. La regla general es que</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16A5E">
        <w:rPr>
          <w:rFonts w:ascii="Verdana" w:eastAsia="Times New Roman" w:hAnsi="Verdana" w:cs="Arial"/>
          <w:vertAlign w:val="superscript"/>
          <w:lang w:val="es-ES_tradnl" w:eastAsia="es-ES_tradnl"/>
        </w:rPr>
        <w:footnoteReference w:id="4"/>
      </w:r>
      <w:r>
        <w:rPr>
          <w:rFonts w:ascii="Verdana" w:eastAsia="Times New Roman" w:hAnsi="Verdana" w:cs="Arial"/>
          <w:lang w:val="es-ES_tradnl" w:eastAsia="es-ES_tradnl"/>
        </w:rPr>
        <w:t>.</w:t>
      </w:r>
    </w:p>
    <w:p w14:paraId="0BAE4453"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sidRPr="2C80D0D5">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2C80D0D5">
        <w:rPr>
          <w:rFonts w:ascii="Verdana" w:eastAsia="Times New Roman" w:hAnsi="Verdana" w:cs="Arial"/>
          <w:lang w:val="es-ES" w:eastAsia="es-ES"/>
        </w:rPr>
        <w:t>obstante</w:t>
      </w:r>
      <w:proofErr w:type="gramEnd"/>
      <w:r w:rsidRPr="2C80D0D5">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2C80D0D5">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2C80D0D5">
        <w:rPr>
          <w:rFonts w:ascii="Verdana" w:eastAsia="Times New Roman" w:hAnsi="Verdana" w:cs="Arial"/>
          <w:lang w:val="es-ES" w:eastAsia="es-ES"/>
        </w:rPr>
        <w:t xml:space="preserve"> </w:t>
      </w:r>
    </w:p>
    <w:p w14:paraId="377FD143"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Sin perjuicio de lo expuesto</w:t>
      </w:r>
      <w:r w:rsidRPr="00D16A5E">
        <w:rPr>
          <w:rFonts w:ascii="Verdana" w:eastAsia="Times New Roman" w:hAnsi="Verdana" w:cs="Arial"/>
          <w:lang w:val="es-ES" w:eastAsia="es-ES"/>
        </w:rPr>
        <w:t xml:space="preserve">, de la lectura de este aparte podrían, en la práctica, darse dos interpretaciones que dan lugar a dos formas de proceder en los procesos de selección, en lo que a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se refiere. </w:t>
      </w:r>
      <w:r w:rsidRPr="005D2410">
        <w:rPr>
          <w:rFonts w:ascii="Verdana" w:eastAsia="Times New Roman" w:hAnsi="Verdana" w:cs="Arial"/>
          <w:i/>
          <w:iCs/>
          <w:lang w:val="es-ES" w:eastAsia="es-ES"/>
        </w:rPr>
        <w:t>Primera</w:t>
      </w:r>
      <w:r w:rsidRPr="00D16A5E">
        <w:rPr>
          <w:rFonts w:ascii="Verdana" w:eastAsia="Times New Roman" w:hAnsi="Verdana" w:cs="Arial"/>
          <w:lang w:val="es-ES" w:eastAsia="es-ES"/>
        </w:rPr>
        <w:t>, que la posibilidad para subsanar de los oferentes es el término de traslado del informe de evaluación, ya que es en este documento donde la Administración consigna los requisitos o documentos omitidos que los oferentes deben subsanar, so pena de rechazo</w:t>
      </w:r>
      <w:r>
        <w:rPr>
          <w:rFonts w:ascii="Verdana" w:eastAsia="Times New Roman" w:hAnsi="Verdana" w:cs="Arial"/>
          <w:lang w:val="es-ES" w:eastAsia="es-ES"/>
        </w:rPr>
        <w:t xml:space="preserve">. </w:t>
      </w:r>
      <w:r w:rsidRPr="005D2410">
        <w:rPr>
          <w:rFonts w:ascii="Verdana" w:eastAsia="Times New Roman" w:hAnsi="Verdana" w:cs="Arial"/>
          <w:i/>
          <w:iCs/>
          <w:lang w:val="es-ES" w:eastAsia="es-ES"/>
        </w:rPr>
        <w:t>Segunda</w:t>
      </w:r>
      <w:r w:rsidRPr="00D16A5E">
        <w:rPr>
          <w:rFonts w:ascii="Verdana" w:eastAsia="Times New Roman" w:hAnsi="Verdana" w:cs="Arial"/>
          <w:lang w:val="es-ES" w:eastAsia="es-ES"/>
        </w:rPr>
        <w:t xml:space="preserve">, que el término del traslado del informe de evaluación es el </w:t>
      </w:r>
      <w:r w:rsidRPr="00D16A5E">
        <w:rPr>
          <w:rFonts w:ascii="Verdana" w:eastAsia="Times New Roman" w:hAnsi="Verdana" w:cs="Arial"/>
          <w:i/>
          <w:lang w:val="es-ES" w:eastAsia="es-ES"/>
        </w:rPr>
        <w:t>límite</w:t>
      </w:r>
      <w:r w:rsidRPr="00D16A5E">
        <w:rPr>
          <w:rFonts w:ascii="Verdana" w:eastAsia="Times New Roman" w:hAnsi="Verdana" w:cs="Arial"/>
          <w:lang w:val="es-ES" w:eastAsia="es-ES"/>
        </w:rPr>
        <w:t xml:space="preserve"> para la subsanación de ofertas, pero no el único momento para hacerlo. </w:t>
      </w:r>
    </w:p>
    <w:p w14:paraId="3D8BB827" w14:textId="77777777" w:rsidR="00CC45AD" w:rsidRPr="00D16A5E" w:rsidRDefault="00CC45AD" w:rsidP="00CC45AD">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De acuerdo con la primera interpretación, el informe de evaluación se convierte en la oportunidad que adopta la Administración para decirles a los oferentes qué documentos o requisitos omitieron y deben subsanar</w:t>
      </w:r>
      <w:r>
        <w:rPr>
          <w:rFonts w:ascii="Verdana" w:eastAsia="Times New Roman" w:hAnsi="Verdana" w:cs="Arial"/>
          <w:lang w:val="es-ES_tradnl" w:eastAsia="es-ES_tradnl"/>
        </w:rPr>
        <w:t>. C</w:t>
      </w:r>
      <w:r w:rsidRPr="00D16A5E">
        <w:rPr>
          <w:rFonts w:ascii="Verdana" w:eastAsia="Times New Roman" w:hAnsi="Verdana" w:cs="Arial"/>
          <w:lang w:val="es-ES_tradnl" w:eastAsia="es-ES_tradnl"/>
        </w:rPr>
        <w:t xml:space="preserve">onsecuentemente, el término del traslado es la oportunidad del proponente para cumplir con lo solicitado.  </w:t>
      </w:r>
    </w:p>
    <w:p w14:paraId="34248E94" w14:textId="77777777" w:rsidR="00CC45AD" w:rsidRPr="00D16A5E" w:rsidRDefault="00CC45AD" w:rsidP="00CC45AD">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La segunda interpretación permitiría que la Administración requiera al oferente durante el proceso de evaluación de las propuestas, tan pronto advierta </w:t>
      </w:r>
      <w:r w:rsidRPr="00D16A5E">
        <w:rPr>
          <w:rFonts w:ascii="Verdana" w:eastAsia="Times New Roman" w:hAnsi="Verdana" w:cs="Arial"/>
          <w:lang w:val="es-ES_tradnl" w:eastAsia="es-ES_tradnl"/>
        </w:rPr>
        <w:lastRenderedPageBreak/>
        <w:t>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797E9882"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w:t>
      </w:r>
      <w:r>
        <w:rPr>
          <w:rFonts w:ascii="Verdana" w:eastAsia="Times New Roman" w:hAnsi="Verdana" w:cs="Arial"/>
          <w:lang w:val="es-ES" w:eastAsia="es-ES"/>
        </w:rPr>
        <w:t>. I</w:t>
      </w:r>
      <w:r w:rsidRPr="00D16A5E">
        <w:rPr>
          <w:rFonts w:ascii="Verdana" w:eastAsia="Times New Roman" w:hAnsi="Verdana" w:cs="Arial"/>
          <w:lang w:val="es-ES" w:eastAsia="es-ES"/>
        </w:rPr>
        <w:t>nclusive, es más adecuado y conveniente que la subsanación de las ofertas se intente con anterioridad, de forma que, una vez la Administración advierta el defecto</w:t>
      </w:r>
      <w:r>
        <w:rPr>
          <w:rFonts w:ascii="Verdana" w:eastAsia="Times New Roman" w:hAnsi="Verdana" w:cs="Arial"/>
          <w:lang w:val="es-ES" w:eastAsia="es-ES"/>
        </w:rPr>
        <w:t>,</w:t>
      </w:r>
      <w:r w:rsidRPr="00D16A5E">
        <w:rPr>
          <w:rFonts w:ascii="Verdana" w:eastAsia="Times New Roman" w:hAnsi="Verdana" w:cs="Arial"/>
          <w:lang w:val="es-ES" w:eastAsia="es-ES"/>
        </w:rPr>
        <w:t xml:space="preserve">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08AD9DC7" w14:textId="77777777" w:rsidR="00CC45AD" w:rsidRPr="00D16A5E" w:rsidRDefault="00CC45AD" w:rsidP="00CC45AD">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w:t>
      </w:r>
      <w:r w:rsidRPr="003049F6">
        <w:rPr>
          <w:rFonts w:ascii="Verdana" w:eastAsia="Times New Roman" w:hAnsi="Verdana" w:cs="Arial"/>
          <w:i/>
          <w:iCs/>
          <w:lang w:val="es-ES_tradnl" w:eastAsia="es-ES_tradnl"/>
        </w:rPr>
        <w:t>segundo cambio</w:t>
      </w:r>
      <w:r w:rsidRPr="00D16A5E">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16A5E">
        <w:rPr>
          <w:rFonts w:ascii="Verdana" w:eastAsia="Times New Roman" w:hAnsi="Verdana" w:cs="Arial"/>
          <w:i/>
          <w:iCs/>
          <w:lang w:val="es-ES_tradnl" w:eastAsia="es-ES_tradnl"/>
        </w:rPr>
        <w:t>“los proponentes no podrán acreditar circunstancias ocurridas con posterioridad al cierre del proceso”.</w:t>
      </w:r>
      <w:r w:rsidRPr="00D16A5E">
        <w:rPr>
          <w:rFonts w:ascii="Verdana" w:eastAsia="Times New Roman" w:hAnsi="Verdana" w:cs="Arial"/>
          <w:lang w:val="es-ES_tradnl" w:eastAsia="es-ES_tradnl"/>
        </w:rPr>
        <w:t xml:space="preserve"> Lo anterior ofrece dos aspectos que merecen clarificación</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primero, qué debe entenderse por circunstancias ocurridas con posterioridad</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y segundo, qué es el cierre del proceso. </w:t>
      </w:r>
    </w:p>
    <w:p w14:paraId="078A9A29"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5"/>
      </w:r>
      <w:r w:rsidRPr="00D16A5E">
        <w:rPr>
          <w:rFonts w:ascii="Verdana" w:eastAsia="Times New Roman" w:hAnsi="Verdana" w:cs="Arial"/>
          <w:lang w:val="es-ES" w:eastAsia="es-ES"/>
        </w:rPr>
        <w:t>.</w:t>
      </w:r>
    </w:p>
    <w:p w14:paraId="6B48D994" w14:textId="77777777" w:rsidR="00CC45AD" w:rsidRDefault="00CC45AD" w:rsidP="00CC45AD">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lastRenderedPageBreak/>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64CFF5EE"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Un mejor entendimiento del significado de la expresión </w:t>
      </w:r>
      <w:r w:rsidRPr="00D16A5E">
        <w:rPr>
          <w:rFonts w:ascii="Verdana" w:eastAsia="Times New Roman" w:hAnsi="Verdana" w:cs="Arial"/>
          <w:i/>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6"/>
      </w:r>
      <w:r w:rsidRPr="00D16A5E">
        <w:rPr>
          <w:rFonts w:ascii="Verdana" w:eastAsia="Times New Roman" w:hAnsi="Verdana" w:cs="Arial"/>
          <w:lang w:val="es-ES" w:eastAsia="es-ES"/>
        </w:rPr>
        <w:t xml:space="preserve">. </w:t>
      </w:r>
    </w:p>
    <w:p w14:paraId="191A8C59" w14:textId="77777777" w:rsidR="00CC45AD" w:rsidRPr="00D16A5E" w:rsidRDefault="00CC45AD" w:rsidP="00CC45AD">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D16A5E">
        <w:rPr>
          <w:rFonts w:ascii="Verdana" w:eastAsia="Times New Roman" w:hAnsi="Verdana" w:cs="Arial"/>
          <w:lang w:val="es-ES" w:eastAsia="es-ES"/>
        </w:rPr>
        <w:t>est</w:t>
      </w:r>
      <w:r>
        <w:rPr>
          <w:rFonts w:ascii="Verdana" w:eastAsia="Times New Roman" w:hAnsi="Verdana" w:cs="Arial"/>
          <w:lang w:val="es-ES" w:eastAsia="es-ES"/>
        </w:rPr>
        <w:t>a</w:t>
      </w:r>
      <w:proofErr w:type="spellEnd"/>
      <w:r w:rsidRPr="00D16A5E">
        <w:rPr>
          <w:rFonts w:ascii="Verdana" w:eastAsia="Times New Roman" w:hAnsi="Verdana" w:cs="Arial"/>
          <w:lang w:val="es-ES" w:eastAsia="es-ES"/>
        </w:rPr>
        <w:t xml:space="preserve"> en firme para dicho momento;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D16A5E">
        <w:rPr>
          <w:rFonts w:ascii="Verdana" w:eastAsia="Times New Roman" w:hAnsi="Verdana" w:cs="Arial"/>
          <w:vertAlign w:val="superscript"/>
          <w:lang w:val="es-ES" w:eastAsia="es-ES"/>
        </w:rPr>
        <w:footnoteReference w:id="7"/>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si un oferente no anexó el </w:t>
      </w:r>
      <w:r>
        <w:rPr>
          <w:rFonts w:ascii="Verdana" w:eastAsia="Times New Roman" w:hAnsi="Verdana" w:cs="Arial"/>
          <w:lang w:val="es-ES" w:eastAsia="es-ES"/>
        </w:rPr>
        <w:t>c</w:t>
      </w:r>
      <w:r w:rsidRPr="00D16A5E">
        <w:rPr>
          <w:rFonts w:ascii="Verdana" w:eastAsia="Times New Roman" w:hAnsi="Verdana" w:cs="Arial"/>
          <w:lang w:val="es-ES" w:eastAsia="es-ES"/>
        </w:rPr>
        <w:t>ertificado de existencia y representación legal, el documento aportado con posterioridad debe dar cuenta de que la sociedad existía antes del cierre del proceso</w:t>
      </w:r>
      <w:r w:rsidRPr="00D16A5E">
        <w:rPr>
          <w:rFonts w:ascii="Verdana" w:eastAsia="Times New Roman" w:hAnsi="Verdana" w:cs="Arial"/>
          <w:vertAlign w:val="superscript"/>
          <w:lang w:val="es-ES" w:eastAsia="es-ES"/>
        </w:rPr>
        <w:footnoteReference w:id="8"/>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iv</w:t>
      </w:r>
      <w:proofErr w:type="spellEnd"/>
      <w:r w:rsidRPr="00D16A5E">
        <w:rPr>
          <w:rFonts w:ascii="Verdana" w:eastAsia="Times New Roman" w:hAnsi="Verdana" w:cs="Arial"/>
          <w:lang w:val="es-ES" w:eastAsia="es-ES"/>
        </w:rPr>
        <w:t>)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w:t>
      </w:r>
      <w:r>
        <w:rPr>
          <w:rFonts w:ascii="Verdana" w:eastAsia="Times New Roman" w:hAnsi="Verdana" w:cs="Arial"/>
          <w:lang w:val="es-ES" w:eastAsia="es-ES"/>
        </w:rPr>
        <w:t>,</w:t>
      </w:r>
      <w:r w:rsidRPr="00D16A5E">
        <w:rPr>
          <w:rFonts w:ascii="Verdana" w:eastAsia="Times New Roman" w:hAnsi="Verdana" w:cs="Arial"/>
          <w:lang w:val="es-ES" w:eastAsia="es-ES"/>
        </w:rPr>
        <w:t xml:space="preserve"> y vi) si el oferente olvidó firmar la propuesta o presentar una copia de ella, puede subsanar sin que con ello se entienda que acreditó una circunstancia ocurrida con posterioridad al cierre del proceso. </w:t>
      </w:r>
    </w:p>
    <w:p w14:paraId="2A86E07D" w14:textId="77777777" w:rsidR="00CC45AD" w:rsidRDefault="00CC45AD" w:rsidP="00CC45AD">
      <w:pPr>
        <w:spacing w:after="120" w:line="276" w:lineRule="auto"/>
        <w:ind w:firstLine="709"/>
        <w:jc w:val="both"/>
        <w:rPr>
          <w:rFonts w:ascii="Verdana" w:eastAsia="Times New Roman" w:hAnsi="Verdana" w:cs="Arial"/>
          <w:i/>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Pr>
          <w:rFonts w:ascii="Verdana" w:eastAsia="Times New Roman" w:hAnsi="Verdana" w:cs="Arial"/>
          <w:lang w:val="es-ES" w:eastAsia="es-ES"/>
        </w:rPr>
        <w:t>. E</w:t>
      </w:r>
      <w:r w:rsidRPr="00D16A5E">
        <w:rPr>
          <w:rFonts w:ascii="Verdana" w:eastAsia="Times New Roman" w:hAnsi="Verdana" w:cs="Arial"/>
          <w:lang w:val="es-ES" w:eastAsia="es-ES"/>
        </w:rPr>
        <w:t xml:space="preserve">s </w:t>
      </w:r>
      <w:r w:rsidRPr="00D16A5E">
        <w:rPr>
          <w:rFonts w:ascii="Verdana" w:eastAsia="Times New Roman" w:hAnsi="Verdana" w:cs="Arial"/>
          <w:lang w:val="es-ES" w:eastAsia="es-ES"/>
        </w:rPr>
        <w:lastRenderedPageBreak/>
        <w:t xml:space="preserve">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D16A5E">
        <w:rPr>
          <w:rFonts w:ascii="Verdana" w:eastAsia="Times New Roman" w:hAnsi="Verdana" w:cs="Arial"/>
          <w:lang w:val="es-ES" w:eastAsia="es-ES"/>
        </w:rPr>
        <w:t>que</w:t>
      </w:r>
      <w:proofErr w:type="gramEnd"/>
      <w:r w:rsidRPr="00D16A5E">
        <w:rPr>
          <w:rFonts w:ascii="Verdana" w:eastAsia="Times New Roman" w:hAnsi="Verdana" w:cs="Arial"/>
          <w:lang w:val="es-ES" w:eastAsia="es-ES"/>
        </w:rPr>
        <w:t xml:space="preserve"> el Consejo de Estado sostiene que </w:t>
      </w:r>
      <w:r>
        <w:rPr>
          <w:rFonts w:ascii="Verdana" w:eastAsia="Times New Roman" w:hAnsi="Verdana" w:cs="Arial"/>
          <w:lang w:val="es-ES" w:eastAsia="es-ES"/>
        </w:rPr>
        <w:t>“</w:t>
      </w:r>
      <w:r w:rsidRPr="00D16A5E">
        <w:rPr>
          <w:rFonts w:ascii="Verdana" w:eastAsia="Times New Roman" w:hAnsi="Verdana" w:cs="Arial"/>
          <w:lang w:val="es-ES" w:eastAsia="es-ES"/>
        </w:rPr>
        <w:t>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D16A5E">
        <w:rPr>
          <w:rFonts w:ascii="Verdana" w:eastAsia="Times New Roman" w:hAnsi="Verdana" w:cs="Arial"/>
          <w:vertAlign w:val="superscript"/>
          <w:lang w:val="es-ES" w:eastAsia="es-ES"/>
        </w:rPr>
        <w:footnoteReference w:id="9"/>
      </w:r>
      <w:r w:rsidRPr="00D16A5E">
        <w:rPr>
          <w:rFonts w:ascii="Verdana" w:eastAsia="Times New Roman" w:hAnsi="Verdana" w:cs="Arial"/>
          <w:lang w:val="es-ES" w:eastAsia="es-ES"/>
        </w:rPr>
        <w:t>.</w:t>
      </w:r>
    </w:p>
    <w:p w14:paraId="135EF10E" w14:textId="77777777" w:rsidR="00CC45AD" w:rsidRDefault="00CC45AD" w:rsidP="00CC45AD">
      <w:pPr>
        <w:spacing w:after="120" w:line="276" w:lineRule="auto"/>
        <w:ind w:firstLine="708"/>
        <w:jc w:val="both"/>
        <w:rPr>
          <w:rStyle w:val="eop"/>
          <w:rFonts w:ascii="Verdana" w:hAnsi="Verdana" w:cs="Arial"/>
          <w:color w:val="000000"/>
        </w:rPr>
      </w:pPr>
      <w:r w:rsidRPr="00246D72">
        <w:rPr>
          <w:rFonts w:ascii="Verdana" w:eastAsia="Times New Roman" w:hAnsi="Verdana" w:cs="Arial"/>
          <w:iCs/>
          <w:lang w:val="es-ES" w:eastAsia="es-ES"/>
        </w:rPr>
        <w:t>Ahora bien</w:t>
      </w:r>
      <w:r w:rsidRPr="00224D9C">
        <w:rPr>
          <w:rFonts w:ascii="Verdana" w:eastAsia="Times New Roman" w:hAnsi="Verdana" w:cs="Arial"/>
          <w:iCs/>
          <w:lang w:val="es-ES" w:eastAsia="es-ES"/>
        </w:rPr>
        <w:t>, e</w:t>
      </w:r>
      <w:r w:rsidRPr="00224D9C">
        <w:rPr>
          <w:rStyle w:val="normaltextrun"/>
          <w:rFonts w:ascii="Verdana" w:hAnsi="Verdana" w:cs="Arial"/>
          <w:iCs/>
          <w:color w:val="000000"/>
          <w:lang w:val="es-ES"/>
        </w:rPr>
        <w:t>l</w:t>
      </w:r>
      <w:r w:rsidRPr="009F4606">
        <w:rPr>
          <w:rStyle w:val="normaltextrun"/>
          <w:rFonts w:ascii="Verdana" w:hAnsi="Verdana" w:cs="Arial"/>
          <w:color w:val="000000"/>
          <w:lang w:val="es-ES"/>
        </w:rPr>
        <w:t xml:space="preserve">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 xml:space="preserve">la no entrega de la garantía de seriedad junto con la propuesta no será subsanable y será causal de rechazo de </w:t>
      </w:r>
      <w:proofErr w:type="gramStart"/>
      <w:r w:rsidRPr="009F4606">
        <w:rPr>
          <w:rStyle w:val="normaltextrun"/>
          <w:rFonts w:ascii="Verdana" w:hAnsi="Verdana" w:cs="Arial"/>
          <w:color w:val="000000"/>
          <w:lang w:val="es-ES"/>
        </w:rPr>
        <w:t>la misma</w:t>
      </w:r>
      <w:proofErr w:type="gramEnd"/>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14:paraId="3C52712A" w14:textId="77777777" w:rsidR="00CC45AD" w:rsidRDefault="00CC45AD" w:rsidP="00CC45AD">
      <w:pPr>
        <w:spacing w:after="120" w:line="276" w:lineRule="auto"/>
        <w:ind w:firstLine="708"/>
        <w:jc w:val="both"/>
        <w:rPr>
          <w:rStyle w:val="eop"/>
          <w:rFonts w:ascii="Verdana" w:hAnsi="Verdana" w:cs="Arial"/>
          <w:color w:val="000000"/>
        </w:rPr>
      </w:pPr>
      <w:r>
        <w:rPr>
          <w:rStyle w:val="eop"/>
          <w:rFonts w:ascii="Verdana" w:hAnsi="Verdana" w:cs="Arial"/>
          <w:color w:val="000000"/>
        </w:rPr>
        <w:t xml:space="preserve">Las anteriores consideraciones son, claramente, aplicables a los documentos tipo expedidos por esta Agencia. Por lo tanto, resulta válido para los proponentes aportar una prueba de una circunstancia incluso con fecha posterior al cierre del proceso, siempre y cuando el hecho que se pretenda acreditar con dicha prueba se encuentre configurado con anterioridad al cierre. </w:t>
      </w:r>
    </w:p>
    <w:p w14:paraId="41CC323F" w14:textId="77777777" w:rsidR="00CC45AD" w:rsidRDefault="00CC45AD" w:rsidP="00CC45AD">
      <w:pPr>
        <w:spacing w:after="0" w:line="276" w:lineRule="auto"/>
        <w:ind w:firstLine="709"/>
        <w:jc w:val="both"/>
        <w:rPr>
          <w:rFonts w:ascii="Verdana" w:eastAsia="Times New Roman" w:hAnsi="Verdana" w:cs="Arial"/>
          <w:lang w:val="es-ES" w:eastAsia="es-ES"/>
        </w:rPr>
      </w:pPr>
      <w:r>
        <w:rPr>
          <w:rStyle w:val="eop"/>
          <w:rFonts w:ascii="Verdana" w:hAnsi="Verdana" w:cs="Arial"/>
          <w:color w:val="000000"/>
        </w:rPr>
        <w:t xml:space="preserve">Por lo tanto, </w:t>
      </w:r>
      <w:proofErr w:type="spellStart"/>
      <w:r w:rsidRPr="00D16A5E">
        <w:rPr>
          <w:rFonts w:ascii="Verdana" w:eastAsia="Times New Roman" w:hAnsi="Verdana" w:cs="Arial"/>
          <w:lang w:val="es-ES" w:eastAsia="es-ES"/>
        </w:rPr>
        <w:t>si</w:t>
      </w:r>
      <w:proofErr w:type="spellEnd"/>
      <w:r w:rsidRPr="00D16A5E">
        <w:rPr>
          <w:rFonts w:ascii="Verdana" w:eastAsia="Times New Roman" w:hAnsi="Verdana" w:cs="Arial"/>
          <w:lang w:val="es-ES" w:eastAsia="es-ES"/>
        </w:rPr>
        <w:t xml:space="preserve">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Pr>
          <w:rFonts w:ascii="Verdana" w:eastAsia="Times New Roman" w:hAnsi="Verdana" w:cs="Arial"/>
          <w:lang w:val="es-ES" w:eastAsia="es-ES"/>
        </w:rPr>
        <w:t xml:space="preserve">. Sobre el particular, corresponderá a la entidad estatal adoptar las actuaciones necesarias, una vez subsanado el respectivo documento, para que este sea tenido en cuenta dentro del proceso de contratación en la forma en que corresponda.  </w:t>
      </w:r>
    </w:p>
    <w:p w14:paraId="4E03CC4D" w14:textId="77777777" w:rsidR="00CC45AD" w:rsidRDefault="00CC45AD" w:rsidP="00CC45AD">
      <w:pPr>
        <w:widowControl w:val="0"/>
        <w:autoSpaceDE w:val="0"/>
        <w:autoSpaceDN w:val="0"/>
        <w:spacing w:after="0" w:line="276" w:lineRule="auto"/>
        <w:jc w:val="both"/>
        <w:rPr>
          <w:rFonts w:ascii="Verdana" w:hAnsi="Verdana" w:cs="Arial"/>
        </w:rPr>
      </w:pPr>
    </w:p>
    <w:p w14:paraId="26325130" w14:textId="77777777" w:rsidR="00CC45AD" w:rsidRDefault="00CC45AD" w:rsidP="00CC45AD">
      <w:pPr>
        <w:widowControl w:val="0"/>
        <w:autoSpaceDE w:val="0"/>
        <w:autoSpaceDN w:val="0"/>
        <w:spacing w:after="0" w:line="276" w:lineRule="auto"/>
        <w:jc w:val="both"/>
        <w:rPr>
          <w:rFonts w:ascii="Verdana" w:hAnsi="Verdana" w:cs="Arial"/>
        </w:rPr>
      </w:pPr>
    </w:p>
    <w:p w14:paraId="7BA0E0DC" w14:textId="77777777" w:rsidR="00CC45AD" w:rsidRDefault="00CC45AD" w:rsidP="00CC45AD">
      <w:pPr>
        <w:widowControl w:val="0"/>
        <w:autoSpaceDE w:val="0"/>
        <w:autoSpaceDN w:val="0"/>
        <w:spacing w:after="0" w:line="276" w:lineRule="auto"/>
        <w:jc w:val="both"/>
        <w:rPr>
          <w:rFonts w:ascii="Verdana" w:hAnsi="Verdana" w:cs="Arial"/>
        </w:rPr>
      </w:pPr>
    </w:p>
    <w:p w14:paraId="44DA0EA6" w14:textId="77777777" w:rsidR="00CC45AD" w:rsidRDefault="00CC45AD" w:rsidP="00CC45AD">
      <w:pPr>
        <w:widowControl w:val="0"/>
        <w:autoSpaceDE w:val="0"/>
        <w:autoSpaceDN w:val="0"/>
        <w:spacing w:after="0" w:line="276" w:lineRule="auto"/>
        <w:jc w:val="both"/>
        <w:rPr>
          <w:rFonts w:ascii="Verdana" w:hAnsi="Verdana" w:cs="Arial"/>
        </w:rPr>
      </w:pPr>
    </w:p>
    <w:p w14:paraId="0C89A8AA" w14:textId="77777777" w:rsidR="00CC45AD" w:rsidRDefault="00CC45AD" w:rsidP="00CC45AD">
      <w:pPr>
        <w:widowControl w:val="0"/>
        <w:autoSpaceDE w:val="0"/>
        <w:autoSpaceDN w:val="0"/>
        <w:spacing w:after="0" w:line="276" w:lineRule="auto"/>
        <w:jc w:val="both"/>
        <w:rPr>
          <w:rFonts w:ascii="Verdana" w:hAnsi="Verdana" w:cs="Arial"/>
        </w:rPr>
      </w:pPr>
    </w:p>
    <w:p w14:paraId="73015900" w14:textId="77777777" w:rsidR="00CC45AD" w:rsidRDefault="00CC45AD" w:rsidP="00CC45AD">
      <w:pPr>
        <w:widowControl w:val="0"/>
        <w:autoSpaceDE w:val="0"/>
        <w:autoSpaceDN w:val="0"/>
        <w:spacing w:after="0" w:line="276" w:lineRule="auto"/>
        <w:jc w:val="both"/>
        <w:rPr>
          <w:rFonts w:ascii="Verdana" w:hAnsi="Verdana" w:cs="Arial"/>
        </w:rPr>
      </w:pPr>
    </w:p>
    <w:p w14:paraId="0F047878" w14:textId="77777777" w:rsidR="00CC45AD" w:rsidRDefault="00CC45AD" w:rsidP="00CC45AD">
      <w:pPr>
        <w:widowControl w:val="0"/>
        <w:autoSpaceDE w:val="0"/>
        <w:autoSpaceDN w:val="0"/>
        <w:spacing w:after="0" w:line="276" w:lineRule="auto"/>
        <w:jc w:val="both"/>
        <w:rPr>
          <w:rFonts w:ascii="Verdana" w:hAnsi="Verdana" w:cs="Arial"/>
        </w:rPr>
      </w:pPr>
    </w:p>
    <w:p w14:paraId="218E779F" w14:textId="77777777" w:rsidR="00CC45AD" w:rsidRDefault="00CC45AD" w:rsidP="00CC45AD">
      <w:pPr>
        <w:widowControl w:val="0"/>
        <w:autoSpaceDE w:val="0"/>
        <w:autoSpaceDN w:val="0"/>
        <w:spacing w:after="0" w:line="276" w:lineRule="auto"/>
        <w:jc w:val="both"/>
        <w:rPr>
          <w:rFonts w:ascii="Verdana" w:hAnsi="Verdana" w:cs="Arial"/>
        </w:rPr>
      </w:pPr>
    </w:p>
    <w:p w14:paraId="32F051C6" w14:textId="77777777" w:rsidR="00CC45AD" w:rsidRDefault="00CC45AD" w:rsidP="00CC45AD">
      <w:pPr>
        <w:widowControl w:val="0"/>
        <w:autoSpaceDE w:val="0"/>
        <w:autoSpaceDN w:val="0"/>
        <w:spacing w:after="0" w:line="276" w:lineRule="auto"/>
        <w:jc w:val="both"/>
        <w:rPr>
          <w:rFonts w:ascii="Verdana" w:hAnsi="Verdana" w:cs="Arial"/>
        </w:rPr>
      </w:pPr>
    </w:p>
    <w:p w14:paraId="208CDB9F" w14:textId="77777777" w:rsidR="00CC45AD" w:rsidRPr="00593A5F" w:rsidRDefault="00CC45AD" w:rsidP="00CC45AD">
      <w:pPr>
        <w:widowControl w:val="0"/>
        <w:autoSpaceDE w:val="0"/>
        <w:autoSpaceDN w:val="0"/>
        <w:spacing w:after="0" w:line="276" w:lineRule="auto"/>
        <w:jc w:val="both"/>
        <w:rPr>
          <w:rFonts w:ascii="Verdana" w:hAnsi="Verdana" w:cs="Arial"/>
        </w:rPr>
      </w:pPr>
    </w:p>
    <w:p w14:paraId="7A582B48" w14:textId="77777777" w:rsidR="00CC45AD" w:rsidRDefault="00CC45AD" w:rsidP="00CC45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23815E7F" w14:textId="77777777" w:rsidR="00CC45AD" w:rsidRPr="00B41AE2" w:rsidRDefault="00CC45AD" w:rsidP="00CC45A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C45AD" w:rsidRPr="00593A5F" w14:paraId="2FE8C1B9" w14:textId="77777777" w:rsidTr="00E13130">
        <w:trPr>
          <w:trHeight w:val="4102"/>
        </w:trPr>
        <w:tc>
          <w:tcPr>
            <w:tcW w:w="8647" w:type="dxa"/>
          </w:tcPr>
          <w:p w14:paraId="3512F2FF" w14:textId="77777777" w:rsidR="00CC45AD" w:rsidRPr="00D16A5E" w:rsidRDefault="00CC45AD" w:rsidP="00E13130">
            <w:pPr>
              <w:pStyle w:val="Prrafodelista"/>
              <w:numPr>
                <w:ilvl w:val="0"/>
                <w:numId w:val="17"/>
              </w:numPr>
              <w:snapToGrid w:val="0"/>
              <w:spacing w:after="120" w:line="276" w:lineRule="auto"/>
              <w:ind w:left="714" w:hanging="357"/>
              <w:contextualSpacing w:val="0"/>
              <w:jc w:val="both"/>
              <w:rPr>
                <w:rFonts w:ascii="Verdana" w:hAnsi="Verdana" w:cs="Arial"/>
                <w:noProof/>
                <w:lang w:val="es-ES_tradnl"/>
              </w:rPr>
            </w:pPr>
            <w:r w:rsidRPr="009F4606">
              <w:rPr>
                <w:rFonts w:ascii="Verdana" w:hAnsi="Verdana" w:cs="Arial"/>
                <w:noProof/>
                <w:lang w:val="es-ES_tradnl"/>
              </w:rPr>
              <w:t xml:space="preserve">Ley 1150 de 2007, </w:t>
            </w:r>
            <w:r>
              <w:rPr>
                <w:rFonts w:ascii="Verdana" w:hAnsi="Verdana" w:cs="Arial"/>
                <w:noProof/>
                <w:lang w:val="es-ES_tradnl"/>
              </w:rPr>
              <w:t>artículo 5. M</w:t>
            </w:r>
            <w:r w:rsidRPr="009F4606">
              <w:rPr>
                <w:rFonts w:ascii="Verdana" w:hAnsi="Verdana" w:cs="Arial"/>
                <w:noProof/>
                <w:lang w:val="es-ES_tradnl"/>
              </w:rPr>
              <w:t>odificado por la Ley 1882 de 2018, parágrafos 1, 3 y 4.</w:t>
            </w:r>
            <w:r>
              <w:rPr>
                <w:rFonts w:ascii="Verdana" w:hAnsi="Verdana" w:cs="Arial"/>
                <w:noProof/>
                <w:lang w:val="es-ES_tradnl"/>
              </w:rPr>
              <w:t xml:space="preserve"> </w:t>
            </w:r>
          </w:p>
          <w:p w14:paraId="3300F7B4" w14:textId="77777777" w:rsidR="00CC45AD" w:rsidRDefault="00CC45AD" w:rsidP="00E13130">
            <w:pPr>
              <w:pStyle w:val="Prrafodelista"/>
              <w:numPr>
                <w:ilvl w:val="0"/>
                <w:numId w:val="17"/>
              </w:numPr>
              <w:snapToGrid w:val="0"/>
              <w:spacing w:after="120" w:line="276" w:lineRule="auto"/>
              <w:ind w:left="714" w:hanging="357"/>
              <w:contextualSpacing w:val="0"/>
              <w:jc w:val="both"/>
              <w:rPr>
                <w:rFonts w:ascii="Verdana" w:hAnsi="Verdana" w:cs="Arial"/>
                <w:noProof/>
                <w:lang w:val="es-ES_tradnl"/>
              </w:rPr>
            </w:pPr>
            <w:r w:rsidRPr="009F4606">
              <w:rPr>
                <w:rFonts w:ascii="Verdana" w:hAnsi="Verdana" w:cs="Arial"/>
                <w:noProof/>
                <w:lang w:val="es-ES_tradnl"/>
              </w:rPr>
              <w:t>Consejo de Estado. Sala de Consulta y Servicio Civil. Concepto del 20 de mayo de 2010. Exp. 1.992. C.P. Enrique José Arboleda Perdomo.</w:t>
            </w:r>
          </w:p>
          <w:p w14:paraId="472B90C7" w14:textId="77777777" w:rsidR="00CC45AD" w:rsidRDefault="00CC45AD" w:rsidP="00E13130">
            <w:pPr>
              <w:pStyle w:val="Prrafodelista"/>
              <w:numPr>
                <w:ilvl w:val="0"/>
                <w:numId w:val="17"/>
              </w:numPr>
              <w:snapToGrid w:val="0"/>
              <w:spacing w:after="120" w:line="276" w:lineRule="auto"/>
              <w:ind w:left="714" w:hanging="357"/>
              <w:contextualSpacing w:val="0"/>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2014. Expediente: 25.804. Consejero Ponente: Enrique Gil Botero</w:t>
            </w:r>
            <w:r>
              <w:rPr>
                <w:rFonts w:ascii="Verdana" w:hAnsi="Verdana" w:cs="Arial"/>
                <w:noProof/>
                <w:lang w:val="es-ES_tradnl"/>
              </w:rPr>
              <w:t>.</w:t>
            </w:r>
          </w:p>
          <w:p w14:paraId="6D5DFAB5" w14:textId="77777777" w:rsidR="00CC45AD" w:rsidRDefault="00CC45AD" w:rsidP="00E13130">
            <w:pPr>
              <w:pStyle w:val="Prrafodelista"/>
              <w:numPr>
                <w:ilvl w:val="0"/>
                <w:numId w:val="17"/>
              </w:numPr>
              <w:snapToGrid w:val="0"/>
              <w:spacing w:after="120" w:line="276" w:lineRule="auto"/>
              <w:ind w:left="714" w:hanging="357"/>
              <w:contextualSpacing w:val="0"/>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2011. C.P. Jaime Orlando Santofimio. Rad. 36.408.</w:t>
            </w:r>
          </w:p>
          <w:p w14:paraId="4967D87B" w14:textId="77777777" w:rsidR="00CC45AD" w:rsidRPr="00C83A51" w:rsidRDefault="00CC45AD" w:rsidP="00E13130">
            <w:pPr>
              <w:pStyle w:val="Prrafodelista"/>
              <w:numPr>
                <w:ilvl w:val="0"/>
                <w:numId w:val="17"/>
              </w:numPr>
              <w:snapToGrid w:val="0"/>
              <w:spacing w:after="120" w:line="276" w:lineRule="auto"/>
              <w:ind w:left="714" w:hanging="357"/>
              <w:contextualSpacing w:val="0"/>
              <w:jc w:val="both"/>
              <w:rPr>
                <w:rFonts w:ascii="Verdana" w:hAnsi="Verdana" w:cs="Arial"/>
                <w:noProof/>
                <w:lang w:val="es-ES_tradnl"/>
              </w:rPr>
            </w:pPr>
            <w:r>
              <w:rPr>
                <w:rFonts w:ascii="Verdana" w:eastAsia="Calibri" w:hAnsi="Verdana" w:cs="Arial"/>
                <w:shd w:val="clear" w:color="auto" w:fill="FFFFFF"/>
              </w:rPr>
              <w:t xml:space="preserve">Documentos tipo expedidos por la Agencia Nacional de Contratación Pública – Colombia Compra Eficiente. Disponibles en: </w:t>
            </w:r>
            <w:hyperlink r:id="rId11" w:history="1">
              <w:r w:rsidRPr="00B05C3A">
                <w:rPr>
                  <w:rStyle w:val="Hipervnculo"/>
                  <w:rFonts w:ascii="Verdana" w:eastAsia="Calibri" w:hAnsi="Verdana" w:cs="Arial"/>
                  <w:shd w:val="clear" w:color="auto" w:fill="FFFFFF"/>
                </w:rPr>
                <w:t>https://www.colombiacompra.gov.co/normativa-y-relatoria/documentos-tipo</w:t>
              </w:r>
            </w:hyperlink>
            <w:r>
              <w:rPr>
                <w:rFonts w:ascii="Verdana" w:eastAsia="Calibri" w:hAnsi="Verdana" w:cs="Arial"/>
                <w:shd w:val="clear" w:color="auto" w:fill="FFFFFF"/>
              </w:rPr>
              <w:t xml:space="preserve">. </w:t>
            </w:r>
            <w:r w:rsidRPr="008D5D4A">
              <w:rPr>
                <w:rFonts w:ascii="Verdana" w:hAnsi="Verdana" w:cs="Arial"/>
                <w:noProof/>
                <w:lang w:val="es-ES_tradnl"/>
              </w:rPr>
              <w:t xml:space="preserve"> </w:t>
            </w:r>
          </w:p>
        </w:tc>
      </w:tr>
    </w:tbl>
    <w:p w14:paraId="0F5CA449" w14:textId="77777777" w:rsidR="00CC45AD" w:rsidRPr="00593A5F" w:rsidRDefault="00CC45AD" w:rsidP="00CC45AD">
      <w:pPr>
        <w:widowControl w:val="0"/>
        <w:autoSpaceDE w:val="0"/>
        <w:autoSpaceDN w:val="0"/>
        <w:spacing w:after="0" w:line="276" w:lineRule="auto"/>
        <w:jc w:val="both"/>
        <w:rPr>
          <w:rFonts w:ascii="Verdana" w:hAnsi="Verdana" w:cs="Arial"/>
        </w:rPr>
      </w:pPr>
    </w:p>
    <w:p w14:paraId="70174255" w14:textId="77777777" w:rsidR="00CC45AD" w:rsidRPr="00593A5F" w:rsidRDefault="00CC45AD" w:rsidP="00CC45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758B176" w14:textId="77777777" w:rsidR="00CC45AD" w:rsidRPr="00593A5F" w:rsidRDefault="00CC45AD" w:rsidP="00CC45AD">
      <w:pPr>
        <w:widowControl w:val="0"/>
        <w:autoSpaceDE w:val="0"/>
        <w:autoSpaceDN w:val="0"/>
        <w:spacing w:after="0" w:line="276" w:lineRule="auto"/>
        <w:jc w:val="both"/>
        <w:rPr>
          <w:rFonts w:ascii="Verdana" w:hAnsi="Verdana" w:cs="Arial"/>
        </w:rPr>
      </w:pPr>
    </w:p>
    <w:p w14:paraId="309CDC00" w14:textId="77777777" w:rsidR="00CC45AD" w:rsidRPr="009B5491" w:rsidRDefault="00CC45AD" w:rsidP="00CC45AD">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9B5491">
        <w:rPr>
          <w:rFonts w:ascii="Verdana" w:eastAsia="Calibri" w:hAnsi="Verdana" w:cs="Arial"/>
          <w:lang w:val="es-ES" w:eastAsia="es-ES"/>
        </w:rPr>
        <w:t xml:space="preserve">Sobre la </w:t>
      </w:r>
      <w:r w:rsidRPr="009B5491">
        <w:rPr>
          <w:rFonts w:ascii="Verdana" w:eastAsia="Calibri" w:hAnsi="Verdana" w:cs="Arial"/>
          <w:lang w:val="es-ES"/>
        </w:rPr>
        <w:t xml:space="preserve">regla de </w:t>
      </w:r>
      <w:proofErr w:type="spellStart"/>
      <w:r w:rsidRPr="009B5491">
        <w:rPr>
          <w:rFonts w:ascii="Verdana" w:eastAsia="Calibri" w:hAnsi="Verdana" w:cs="Arial"/>
          <w:lang w:val="es-ES"/>
        </w:rPr>
        <w:t>subsanabilidad</w:t>
      </w:r>
      <w:proofErr w:type="spellEnd"/>
      <w:r w:rsidRPr="009B5491">
        <w:rPr>
          <w:rFonts w:ascii="Verdana" w:eastAsia="Calibri" w:hAnsi="Verdana" w:cs="Arial"/>
          <w:lang w:val="es-ES"/>
        </w:rPr>
        <w:t xml:space="preserve"> en los procesos de selección,</w:t>
      </w:r>
      <w:r w:rsidRPr="009B5491">
        <w:rPr>
          <w:rStyle w:val="superscript"/>
          <w:rFonts w:ascii="Verdana" w:hAnsi="Verdana" w:cs="Arial"/>
          <w:shd w:val="clear" w:color="auto" w:fill="FFFFFF"/>
          <w:lang w:val="es-ES"/>
        </w:rPr>
        <w:t xml:space="preserve"> </w:t>
      </w:r>
      <w:r w:rsidRPr="009B5491">
        <w:rPr>
          <w:rStyle w:val="normaltextrun"/>
          <w:rFonts w:ascii="Verdana" w:hAnsi="Verdana" w:cs="Arial"/>
          <w:shd w:val="clear" w:color="auto" w:fill="FFFFFF"/>
          <w:lang w:val="es-ES"/>
        </w:rPr>
        <w:t xml:space="preserve">se pronunció esta Subdirección </w:t>
      </w:r>
      <w:r w:rsidRPr="009B5491">
        <w:rPr>
          <w:rFonts w:ascii="Verdana" w:eastAsia="Calibri" w:hAnsi="Verdana" w:cs="Arial"/>
          <w:lang w:val="es-ES"/>
        </w:rPr>
        <w:t xml:space="preserve">en los conceptos 4201913000007643 del 26 de diciembre de 2019, C-343 del 17 de junio de 2020, C-518 del 9 de septiembre de 2020, C-614 del 5 de octubre de 2022, C-882 del 21 de diciembre de 2022, C-172 del 6 de junio de 2023 y C-120 del 7 de marzo de 2025. </w:t>
      </w:r>
      <w:r w:rsidRPr="009B5491">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9B5491">
          <w:rPr>
            <w:rFonts w:ascii="Verdana" w:eastAsia="Times New Roman" w:hAnsi="Verdana" w:cs="Arial"/>
            <w:kern w:val="2"/>
            <w:shd w:val="clear" w:color="auto" w:fill="FFFFFF"/>
            <w:lang w:val="es-ES"/>
            <w14:ligatures w14:val="standardContextual"/>
          </w:rPr>
          <w:t>https://relatoria.colombiacompra.gov.co/</w:t>
        </w:r>
      </w:hyperlink>
      <w:r w:rsidRPr="009B5491">
        <w:rPr>
          <w:rFonts w:ascii="Verdana" w:eastAsia="Times New Roman" w:hAnsi="Verdana" w:cs="Arial"/>
          <w:kern w:val="2"/>
          <w:shd w:val="clear" w:color="auto" w:fill="FFFFFF"/>
          <w:lang w:val="es-ES"/>
          <w14:ligatures w14:val="standardContextual"/>
        </w:rPr>
        <w:t>.</w:t>
      </w:r>
    </w:p>
    <w:p w14:paraId="0CB0C791" w14:textId="77777777" w:rsidR="00CC45AD" w:rsidRPr="009B5491" w:rsidRDefault="00CC45AD" w:rsidP="00CC45AD">
      <w:pPr>
        <w:spacing w:after="0" w:line="276" w:lineRule="auto"/>
        <w:jc w:val="both"/>
        <w:rPr>
          <w:rFonts w:ascii="Verdana" w:eastAsia="Calibri" w:hAnsi="Verdana" w:cs="Arial"/>
          <w:color w:val="000000"/>
          <w:kern w:val="2"/>
          <w:shd w:val="clear" w:color="auto" w:fill="FFFFFF"/>
          <w:lang w:val="es-ES_tradnl"/>
          <w14:ligatures w14:val="standardContextual"/>
        </w:rPr>
      </w:pPr>
    </w:p>
    <w:p w14:paraId="74E4B7CD" w14:textId="77777777" w:rsidR="00CC45AD" w:rsidRPr="009B5491" w:rsidRDefault="00CC45AD" w:rsidP="00CC45A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9B5491">
        <w:rPr>
          <w:rFonts w:ascii="Verdana" w:eastAsia="Calibri" w:hAnsi="Verdana" w:cs="Arial"/>
          <w:kern w:val="2"/>
          <w:shd w:val="clear" w:color="auto" w:fill="FFFFFF"/>
          <w:lang w:val="es-ES_tradnl"/>
          <w14:ligatures w14:val="standardContextual"/>
        </w:rPr>
        <w:t>La</w:t>
      </w:r>
      <w:r w:rsidRPr="009B5491">
        <w:rPr>
          <w:rFonts w:ascii="Verdana" w:eastAsia="Calibri" w:hAnsi="Verdana" w:cs="Arial"/>
          <w:b/>
          <w:bCs/>
          <w:kern w:val="2"/>
          <w:shd w:val="clear" w:color="auto" w:fill="FFFFFF"/>
          <w:lang w:val="es-ES_tradnl"/>
          <w14:ligatures w14:val="standardContextual"/>
        </w:rPr>
        <w:t xml:space="preserve"> Agencia Nacional de Contratación Pública - Colombia Compra </w:t>
      </w:r>
      <w:r w:rsidRPr="009B5491">
        <w:rPr>
          <w:rFonts w:ascii="Verdana" w:eastAsia="Calibri" w:hAnsi="Verdana" w:cs="Arial"/>
          <w:b/>
          <w:bCs/>
          <w:kern w:val="2"/>
          <w:shd w:val="clear" w:color="auto" w:fill="FFFFFF"/>
          <w:lang w:val="es-ES_tradnl"/>
          <w14:ligatures w14:val="standardContextual"/>
        </w:rPr>
        <w:lastRenderedPageBreak/>
        <w:t>Eficiente</w:t>
      </w:r>
      <w:r w:rsidRPr="009B5491">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9B5491">
        <w:rPr>
          <w:rFonts w:ascii="Verdana" w:eastAsia="Calibri" w:hAnsi="Verdana" w:cs="Arial"/>
          <w:b/>
          <w:bCs/>
          <w:kern w:val="2"/>
          <w:shd w:val="clear" w:color="auto" w:fill="FFFFFF"/>
          <w:lang w:val="es-ES_tradnl"/>
          <w14:ligatures w14:val="standardContextual"/>
        </w:rPr>
        <w:t>Documentos Tipo</w:t>
      </w:r>
      <w:r w:rsidRPr="009B5491">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9B5491">
        <w:rPr>
          <w:rFonts w:ascii="Verdana" w:eastAsia="Calibri" w:hAnsi="Verdana" w:cs="Arial"/>
          <w:b/>
          <w:bCs/>
          <w:kern w:val="2"/>
          <w:shd w:val="clear" w:color="auto" w:fill="FFFFFF"/>
          <w:lang w:val="es-ES_tradnl"/>
          <w14:ligatures w14:val="standardContextual"/>
        </w:rPr>
        <w:t>transparencia</w:t>
      </w:r>
      <w:r w:rsidRPr="009B5491">
        <w:rPr>
          <w:rFonts w:ascii="Verdana" w:eastAsia="Calibri" w:hAnsi="Verdana" w:cs="Arial"/>
          <w:kern w:val="2"/>
          <w:shd w:val="clear" w:color="auto" w:fill="FFFFFF"/>
          <w:lang w:val="es-ES_tradnl"/>
          <w14:ligatures w14:val="standardContextual"/>
        </w:rPr>
        <w:t> y promover un proceso de </w:t>
      </w:r>
      <w:r w:rsidRPr="009B5491">
        <w:rPr>
          <w:rFonts w:ascii="Verdana" w:eastAsia="Calibri" w:hAnsi="Verdana" w:cs="Arial"/>
          <w:b/>
          <w:bCs/>
          <w:kern w:val="2"/>
          <w:shd w:val="clear" w:color="auto" w:fill="FFFFFF"/>
          <w:lang w:val="es-ES_tradnl"/>
          <w14:ligatures w14:val="standardContextual"/>
        </w:rPr>
        <w:t>selección objetiva</w:t>
      </w:r>
      <w:r w:rsidRPr="009B5491">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56C212C" w14:textId="77777777" w:rsidR="00CC45AD" w:rsidRPr="009B5491" w:rsidRDefault="00CC45AD" w:rsidP="00CC45A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0414577" w14:textId="77777777" w:rsidR="00CC45AD" w:rsidRPr="009B5491" w:rsidRDefault="00CC45AD" w:rsidP="00CC45AD">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9B5491">
        <w:rPr>
          <w:rFonts w:ascii="Verdana" w:eastAsia="Calibri" w:hAnsi="Verdana" w:cs="Arial"/>
          <w:kern w:val="2"/>
          <w:shd w:val="clear" w:color="auto" w:fill="FFFFFF"/>
          <w:lang w:val="es-ES"/>
          <w14:ligatures w14:val="standardContextual"/>
        </w:rPr>
        <w:t>También, le contamos que ya se encuentra disponible la </w:t>
      </w:r>
      <w:r w:rsidRPr="009B5491">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9B5491">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B5491">
        <w:rPr>
          <w:rFonts w:ascii="Verdana" w:eastAsia="Calibri" w:hAnsi="Verdana" w:cs="Arial"/>
          <w:kern w:val="2"/>
          <w:shd w:val="clear" w:color="auto" w:fill="FFFFFF"/>
          <w:lang w:val="es-ES"/>
          <w14:ligatures w14:val="standardContextual"/>
        </w:rPr>
        <w:t>Wayúu</w:t>
      </w:r>
      <w:proofErr w:type="spellEnd"/>
      <w:r w:rsidRPr="009B5491">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9B5491">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9B5491">
        <w:rPr>
          <w:rFonts w:ascii="Verdana" w:eastAsia="Calibri" w:hAnsi="Verdana" w:cs="Arial"/>
          <w:kern w:val="2"/>
          <w:u w:val="single"/>
          <w:shd w:val="clear" w:color="auto" w:fill="FFFFFF"/>
          <w:lang w:val="es-ES"/>
          <w14:ligatures w14:val="standardContextual"/>
        </w:rPr>
        <w:t>.</w:t>
      </w:r>
    </w:p>
    <w:p w14:paraId="0312ADB7" w14:textId="77777777" w:rsidR="00CC45AD" w:rsidRPr="009B5491" w:rsidRDefault="00CC45AD" w:rsidP="00CC45A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E9F03E4" w14:textId="77777777" w:rsidR="00CC45AD" w:rsidRPr="009B5491" w:rsidRDefault="00CC45AD" w:rsidP="00CC45AD">
      <w:pPr>
        <w:spacing w:after="0" w:line="276" w:lineRule="auto"/>
        <w:jc w:val="both"/>
        <w:rPr>
          <w:rFonts w:ascii="Verdana" w:eastAsia="Calibri" w:hAnsi="Verdana" w:cs="Times New Roman"/>
          <w:kern w:val="2"/>
          <w:lang w:val="es-ES_tradnl"/>
          <w14:ligatures w14:val="standardContextual"/>
        </w:rPr>
      </w:pPr>
      <w:r w:rsidRPr="009B5491">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35654DCC" w14:textId="77777777" w:rsidR="00CC45AD" w:rsidRPr="009B5491" w:rsidRDefault="00CC45AD" w:rsidP="00CC45AD">
      <w:pPr>
        <w:spacing w:after="0" w:line="276" w:lineRule="auto"/>
        <w:jc w:val="both"/>
        <w:rPr>
          <w:rFonts w:ascii="Verdana" w:eastAsia="Calibri" w:hAnsi="Verdana" w:cs="Times New Roman"/>
          <w:kern w:val="2"/>
          <w:lang w:val="es-ES_tradnl"/>
          <w14:ligatures w14:val="standardContextual"/>
        </w:rPr>
      </w:pPr>
    </w:p>
    <w:p w14:paraId="0A66615B" w14:textId="77777777" w:rsidR="00CC45AD" w:rsidRPr="009B5491" w:rsidRDefault="00CC45AD" w:rsidP="00CC45AD">
      <w:pPr>
        <w:spacing w:after="0" w:line="276" w:lineRule="auto"/>
        <w:jc w:val="both"/>
        <w:rPr>
          <w:rFonts w:ascii="Verdana" w:eastAsia="Calibri" w:hAnsi="Verdana" w:cs="Times New Roman"/>
          <w:kern w:val="2"/>
          <w:lang w:val="es-ES_tradnl"/>
          <w14:ligatures w14:val="standardContextual"/>
        </w:rPr>
      </w:pPr>
      <w:r w:rsidRPr="009B5491">
        <w:rPr>
          <w:rFonts w:ascii="Verdana" w:eastAsia="Calibri" w:hAnsi="Verdana" w:cs="Times New Roman"/>
          <w:kern w:val="2"/>
          <w:lang w:val="es-ES_tradnl"/>
          <w14:ligatures w14:val="standardContextual"/>
        </w:rPr>
        <w:t xml:space="preserve">X: </w:t>
      </w:r>
      <w:r w:rsidRPr="009B5491">
        <w:rPr>
          <w:rFonts w:ascii="Verdana" w:eastAsia="Calibri" w:hAnsi="Verdana" w:cs="Times New Roman"/>
          <w:kern w:val="2"/>
          <w:u w:val="single"/>
          <w:lang w:val="es-ES_tradnl"/>
          <w14:ligatures w14:val="standardContextual"/>
        </w:rPr>
        <w:t>@colombiacompra</w:t>
      </w:r>
      <w:r w:rsidRPr="009B5491">
        <w:rPr>
          <w:rFonts w:ascii="Verdana" w:eastAsia="Calibri" w:hAnsi="Verdana" w:cs="Times New Roman"/>
          <w:kern w:val="2"/>
          <w:lang w:val="es-ES_tradnl"/>
          <w14:ligatures w14:val="standardContextual"/>
        </w:rPr>
        <w:t xml:space="preserve"> </w:t>
      </w:r>
    </w:p>
    <w:p w14:paraId="14B19629" w14:textId="77777777" w:rsidR="00CC45AD" w:rsidRPr="009B5491" w:rsidRDefault="00CC45AD" w:rsidP="00CC45AD">
      <w:pPr>
        <w:spacing w:after="0" w:line="276" w:lineRule="auto"/>
        <w:jc w:val="both"/>
        <w:rPr>
          <w:rFonts w:ascii="Verdana" w:eastAsia="Calibri" w:hAnsi="Verdana" w:cs="Times New Roman"/>
          <w:kern w:val="2"/>
          <w:lang w:val="es-ES"/>
          <w14:ligatures w14:val="standardContextual"/>
        </w:rPr>
      </w:pPr>
      <w:r w:rsidRPr="009B5491">
        <w:rPr>
          <w:rFonts w:ascii="Verdana" w:eastAsia="Calibri" w:hAnsi="Verdana" w:cs="Times New Roman"/>
          <w:kern w:val="2"/>
          <w:lang w:val="es-ES"/>
          <w14:ligatures w14:val="standardContextual"/>
        </w:rPr>
        <w:t xml:space="preserve">Facebook: </w:t>
      </w:r>
      <w:proofErr w:type="spellStart"/>
      <w:r w:rsidRPr="009B5491">
        <w:rPr>
          <w:rFonts w:ascii="Verdana" w:eastAsia="Calibri" w:hAnsi="Verdana" w:cs="Times New Roman"/>
          <w:kern w:val="2"/>
          <w:u w:val="single"/>
          <w:lang w:val="es-ES"/>
          <w14:ligatures w14:val="standardContextual"/>
        </w:rPr>
        <w:t>ColombiaCompraEficiente</w:t>
      </w:r>
      <w:proofErr w:type="spellEnd"/>
    </w:p>
    <w:p w14:paraId="7BDA5BE9" w14:textId="77777777" w:rsidR="00CC45AD" w:rsidRPr="009B5491" w:rsidRDefault="00CC45AD" w:rsidP="00CC45AD">
      <w:pPr>
        <w:spacing w:after="0" w:line="276" w:lineRule="auto"/>
        <w:jc w:val="both"/>
        <w:rPr>
          <w:rFonts w:ascii="Verdana" w:eastAsia="Calibri" w:hAnsi="Verdana" w:cs="Times New Roman"/>
          <w:kern w:val="2"/>
          <w:lang w:val="es-ES_tradnl"/>
          <w14:ligatures w14:val="standardContextual"/>
        </w:rPr>
      </w:pPr>
      <w:r w:rsidRPr="009B5491">
        <w:rPr>
          <w:rFonts w:ascii="Verdana" w:eastAsia="Calibri" w:hAnsi="Verdana" w:cs="Times New Roman"/>
          <w:kern w:val="2"/>
          <w:lang w:val="es-ES_tradnl"/>
          <w14:ligatures w14:val="standardContextual"/>
        </w:rPr>
        <w:t xml:space="preserve">LinkedIn: </w:t>
      </w:r>
      <w:r w:rsidRPr="009B5491">
        <w:rPr>
          <w:rFonts w:ascii="Verdana" w:eastAsia="Calibri" w:hAnsi="Verdana" w:cs="Times New Roman"/>
          <w:kern w:val="2"/>
          <w:u w:val="single"/>
          <w:lang w:val="es-ES_tradnl"/>
          <w14:ligatures w14:val="standardContextual"/>
        </w:rPr>
        <w:t>Agencia Nacional de Contratación Pública - Colombia Compra Eficiente</w:t>
      </w:r>
      <w:r w:rsidRPr="009B5491">
        <w:rPr>
          <w:rFonts w:ascii="Verdana" w:eastAsia="Calibri" w:hAnsi="Verdana" w:cs="Times New Roman"/>
          <w:kern w:val="2"/>
          <w:lang w:val="es-ES_tradnl"/>
          <w14:ligatures w14:val="standardContextual"/>
        </w:rPr>
        <w:t xml:space="preserve"> Instagram: </w:t>
      </w:r>
      <w:r w:rsidRPr="009B5491">
        <w:rPr>
          <w:rFonts w:ascii="Verdana" w:eastAsia="Calibri" w:hAnsi="Verdana" w:cs="Times New Roman"/>
          <w:kern w:val="2"/>
          <w:u w:val="single"/>
          <w:lang w:val="es-ES_tradnl"/>
          <w14:ligatures w14:val="standardContextual"/>
        </w:rPr>
        <w:t>@colombiacompraeficiente_cce</w:t>
      </w:r>
    </w:p>
    <w:p w14:paraId="0305029E" w14:textId="77777777" w:rsidR="00CC45AD" w:rsidRPr="009B5491" w:rsidRDefault="00CC45AD" w:rsidP="00CC45AD">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2421C5F" w14:textId="77777777" w:rsidR="00CC45AD" w:rsidRPr="009B5491" w:rsidRDefault="00CC45AD" w:rsidP="00CC45AD">
      <w:pPr>
        <w:widowControl w:val="0"/>
        <w:autoSpaceDE w:val="0"/>
        <w:autoSpaceDN w:val="0"/>
        <w:spacing w:after="0" w:line="276" w:lineRule="auto"/>
        <w:jc w:val="both"/>
        <w:rPr>
          <w:rFonts w:ascii="Verdana" w:eastAsia="Calibri" w:hAnsi="Verdana" w:cs="Arial"/>
          <w:kern w:val="2"/>
          <w:lang w:val="es-ES_tradnl"/>
          <w14:ligatures w14:val="standardContextual"/>
        </w:rPr>
      </w:pPr>
      <w:r w:rsidRPr="009B5491">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D475276" w14:textId="77777777" w:rsidR="00CC45AD" w:rsidRPr="00593A5F" w:rsidRDefault="00CC45AD" w:rsidP="00CC45AD">
      <w:pPr>
        <w:widowControl w:val="0"/>
        <w:autoSpaceDE w:val="0"/>
        <w:autoSpaceDN w:val="0"/>
        <w:spacing w:after="0" w:line="276" w:lineRule="auto"/>
        <w:jc w:val="both"/>
        <w:rPr>
          <w:rFonts w:ascii="Verdana" w:hAnsi="Verdana" w:cs="Arial"/>
        </w:rPr>
      </w:pPr>
    </w:p>
    <w:p w14:paraId="643363A3" w14:textId="77777777" w:rsidR="00CC45AD" w:rsidRPr="00593A5F" w:rsidRDefault="00CC45AD" w:rsidP="00CC45A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2825E46" w14:textId="77777777" w:rsidR="00CC45AD" w:rsidRDefault="00CC45AD" w:rsidP="00CC45AD">
      <w:pPr>
        <w:tabs>
          <w:tab w:val="left" w:pos="1320"/>
        </w:tabs>
        <w:rPr>
          <w:rFonts w:ascii="Century Gothic" w:hAnsi="Century Gothic"/>
        </w:rPr>
      </w:pPr>
    </w:p>
    <w:p w14:paraId="7E677925" w14:textId="50485201" w:rsidR="00CC45AD" w:rsidRDefault="006051BA" w:rsidP="00CC45AD">
      <w:pPr>
        <w:tabs>
          <w:tab w:val="left" w:pos="1320"/>
        </w:tabs>
        <w:jc w:val="center"/>
        <w:rPr>
          <w:rFonts w:ascii="Century Gothic" w:hAnsi="Century Gothic"/>
        </w:rPr>
      </w:pPr>
      <w:r w:rsidRPr="002C3AD6">
        <w:rPr>
          <w:rFonts w:ascii="Century Gothic" w:hAnsi="Century Gothic"/>
          <w:noProof/>
        </w:rPr>
        <w:lastRenderedPageBreak/>
        <w:drawing>
          <wp:inline distT="0" distB="0" distL="0" distR="0" wp14:anchorId="017EC3B0" wp14:editId="7725E9D0">
            <wp:extent cx="3071594" cy="1140212"/>
            <wp:effectExtent l="0" t="0" r="1905" b="317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110768" cy="115475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45AD" w:rsidRPr="00454626" w14:paraId="02638A50" w14:textId="77777777" w:rsidTr="00E13130">
        <w:trPr>
          <w:trHeight w:val="315"/>
        </w:trPr>
        <w:tc>
          <w:tcPr>
            <w:tcW w:w="893" w:type="dxa"/>
            <w:vAlign w:val="center"/>
            <w:hideMark/>
          </w:tcPr>
          <w:p w14:paraId="629F78D9" w14:textId="77777777" w:rsidR="00CC45AD" w:rsidRPr="00454626" w:rsidRDefault="00CC45AD" w:rsidP="00E13130">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1AEC1924" w14:textId="77777777" w:rsidR="00CC45AD" w:rsidRPr="00454626" w:rsidRDefault="00CC45AD" w:rsidP="00E13130">
            <w:pPr>
              <w:rPr>
                <w:rFonts w:ascii="Verdana" w:eastAsia="Arial" w:hAnsi="Verdana" w:cs="Arial"/>
                <w:sz w:val="16"/>
                <w:szCs w:val="16"/>
                <w:lang w:val="es-ES"/>
              </w:rPr>
            </w:pPr>
            <w:r>
              <w:rPr>
                <w:rFonts w:ascii="Verdana" w:eastAsia="Arial" w:hAnsi="Verdana" w:cs="Arial"/>
                <w:sz w:val="16"/>
                <w:szCs w:val="16"/>
                <w:lang w:val="es-ES"/>
              </w:rPr>
              <w:t>Kevin Arlid Herrera Santa</w:t>
            </w:r>
          </w:p>
          <w:p w14:paraId="6E8D3AAA" w14:textId="77777777" w:rsidR="00CC45AD" w:rsidRPr="00454626" w:rsidRDefault="00CC45AD" w:rsidP="00E13130">
            <w:pPr>
              <w:rPr>
                <w:rFonts w:ascii="Verdana" w:eastAsia="Arial" w:hAnsi="Verdana" w:cs="Arial"/>
                <w:sz w:val="16"/>
                <w:szCs w:val="16"/>
                <w:lang w:val="es-ES_tradnl"/>
              </w:rPr>
            </w:pPr>
            <w:r w:rsidRPr="00454626">
              <w:rPr>
                <w:rFonts w:ascii="Verdana" w:eastAsia="Arial" w:hAnsi="Verdana" w:cs="Arial"/>
                <w:sz w:val="16"/>
                <w:szCs w:val="16"/>
                <w:lang w:val="es-ES_tradnl"/>
              </w:rPr>
              <w:t>Contratista de la Subdirección de Gestión Contractual</w:t>
            </w:r>
          </w:p>
          <w:p w14:paraId="3B107BA0" w14:textId="77777777" w:rsidR="00CC45AD" w:rsidRPr="00454626" w:rsidRDefault="00CC45AD" w:rsidP="00E13130">
            <w:pPr>
              <w:rPr>
                <w:rFonts w:ascii="Verdana" w:eastAsia="Arial" w:hAnsi="Verdana" w:cs="Arial"/>
                <w:sz w:val="16"/>
                <w:szCs w:val="16"/>
                <w:lang w:val="es-ES_tradnl"/>
              </w:rPr>
            </w:pPr>
          </w:p>
        </w:tc>
      </w:tr>
      <w:tr w:rsidR="00CC45AD" w:rsidRPr="00454626" w14:paraId="2CA885E3" w14:textId="77777777" w:rsidTr="00E13130">
        <w:trPr>
          <w:trHeight w:val="330"/>
        </w:trPr>
        <w:tc>
          <w:tcPr>
            <w:tcW w:w="893" w:type="dxa"/>
            <w:vAlign w:val="center"/>
            <w:hideMark/>
          </w:tcPr>
          <w:p w14:paraId="3FBDC2BB" w14:textId="77777777" w:rsidR="00CC45AD" w:rsidRPr="00454626" w:rsidRDefault="00CC45AD" w:rsidP="00E13130">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6DE44518" w14:textId="77777777" w:rsidR="00CC45AD" w:rsidRDefault="00CC45AD" w:rsidP="00E13130">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 xml:space="preserve">Adriana </w:t>
            </w:r>
            <w:proofErr w:type="spellStart"/>
            <w:r>
              <w:rPr>
                <w:rFonts w:ascii="Verdana" w:eastAsia="Times New Roman" w:hAnsi="Verdana" w:cs="Segoe UI"/>
                <w:sz w:val="16"/>
                <w:szCs w:val="16"/>
                <w:lang w:val="es-ES_tradnl" w:eastAsia="es-ES_tradnl"/>
              </w:rPr>
              <w:t>Katerine</w:t>
            </w:r>
            <w:proofErr w:type="spellEnd"/>
            <w:r>
              <w:rPr>
                <w:rFonts w:ascii="Verdana" w:eastAsia="Times New Roman" w:hAnsi="Verdana" w:cs="Segoe UI"/>
                <w:sz w:val="16"/>
                <w:szCs w:val="16"/>
                <w:lang w:val="es-ES_tradnl" w:eastAsia="es-ES_tradnl"/>
              </w:rPr>
              <w:t xml:space="preserve"> López Rodríguez </w:t>
            </w:r>
          </w:p>
          <w:p w14:paraId="693B8D4C" w14:textId="77777777" w:rsidR="00CC45AD" w:rsidRPr="00454626" w:rsidRDefault="00CC45AD" w:rsidP="00E13130">
            <w:pPr>
              <w:textAlignment w:val="baseline"/>
              <w:rPr>
                <w:rFonts w:ascii="Verdana" w:eastAsia="Times New Roman" w:hAnsi="Verdana" w:cs="Segoe UI"/>
                <w:sz w:val="16"/>
                <w:szCs w:val="16"/>
                <w:lang w:val="es-ES_tradnl" w:eastAsia="es-ES_tradnl"/>
              </w:rPr>
            </w:pPr>
            <w:r w:rsidRPr="00454626">
              <w:rPr>
                <w:rFonts w:ascii="Verdana" w:eastAsia="Times New Roman" w:hAnsi="Verdana" w:cs="Arial"/>
                <w:sz w:val="16"/>
                <w:szCs w:val="16"/>
                <w:lang w:val="es-ES_tradnl" w:eastAsia="es-ES_tradnl"/>
              </w:rPr>
              <w:t>Contratista de la Subdirección de Gestión Contractual </w:t>
            </w:r>
          </w:p>
        </w:tc>
      </w:tr>
      <w:tr w:rsidR="00CC45AD" w:rsidRPr="00454626" w14:paraId="02D2959A" w14:textId="77777777" w:rsidTr="00E13130">
        <w:trPr>
          <w:trHeight w:val="300"/>
        </w:trPr>
        <w:tc>
          <w:tcPr>
            <w:tcW w:w="893" w:type="dxa"/>
            <w:vAlign w:val="center"/>
          </w:tcPr>
          <w:p w14:paraId="582510CF" w14:textId="77777777" w:rsidR="00CC45AD" w:rsidRPr="00454626" w:rsidRDefault="00CC45AD" w:rsidP="00E13130">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2102A9A5" w14:textId="77777777" w:rsidR="00CC45AD" w:rsidRPr="00454626" w:rsidRDefault="00CC45AD" w:rsidP="00E13130">
            <w:pPr>
              <w:rPr>
                <w:rFonts w:ascii="Verdana" w:eastAsia="Calibri" w:hAnsi="Verdana" w:cs="Arial"/>
                <w:sz w:val="16"/>
                <w:szCs w:val="16"/>
                <w:lang w:val="es-ES" w:eastAsia="es-ES"/>
              </w:rPr>
            </w:pPr>
            <w:r w:rsidRPr="00454626">
              <w:rPr>
                <w:rFonts w:ascii="Verdana" w:eastAsia="Calibri" w:hAnsi="Verdana" w:cs="Arial"/>
                <w:sz w:val="16"/>
                <w:szCs w:val="16"/>
                <w:lang w:val="es-ES" w:eastAsia="es-ES"/>
              </w:rPr>
              <w:t xml:space="preserve">Carolina Quintero </w:t>
            </w:r>
            <w:proofErr w:type="spellStart"/>
            <w:r w:rsidRPr="00454626">
              <w:rPr>
                <w:rFonts w:ascii="Verdana" w:eastAsia="Calibri" w:hAnsi="Verdana" w:cs="Arial"/>
                <w:sz w:val="16"/>
                <w:szCs w:val="16"/>
                <w:lang w:val="es-ES" w:eastAsia="es-ES"/>
              </w:rPr>
              <w:t>Gacharná</w:t>
            </w:r>
            <w:proofErr w:type="spellEnd"/>
          </w:p>
          <w:p w14:paraId="7E32ED9D" w14:textId="77777777" w:rsidR="00CC45AD" w:rsidRPr="00454626" w:rsidRDefault="00CC45AD" w:rsidP="00E13130">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Subdirectora de Gestión Contractual ANCP – CCE</w:t>
            </w:r>
          </w:p>
        </w:tc>
      </w:tr>
    </w:tbl>
    <w:p w14:paraId="63C1E845" w14:textId="77777777" w:rsidR="00CC45AD" w:rsidRPr="007F4029" w:rsidRDefault="00CC45AD" w:rsidP="00CC45AD">
      <w:pPr>
        <w:spacing w:line="276" w:lineRule="auto"/>
        <w:rPr>
          <w:rFonts w:ascii="Verdana" w:hAnsi="Verdana"/>
          <w:lang w:val="es-ES"/>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99D31" w14:textId="77777777" w:rsidR="00CA6157" w:rsidRDefault="00CA6157" w:rsidP="004A1847">
      <w:pPr>
        <w:spacing w:after="0" w:line="240" w:lineRule="auto"/>
      </w:pPr>
      <w:r>
        <w:separator/>
      </w:r>
    </w:p>
  </w:endnote>
  <w:endnote w:type="continuationSeparator" w:id="0">
    <w:p w14:paraId="687013DE" w14:textId="77777777" w:rsidR="00CA6157" w:rsidRDefault="00CA6157" w:rsidP="004A1847">
      <w:pPr>
        <w:spacing w:after="0" w:line="240" w:lineRule="auto"/>
      </w:pPr>
      <w:r>
        <w:continuationSeparator/>
      </w:r>
    </w:p>
  </w:endnote>
  <w:endnote w:type="continuationNotice" w:id="1">
    <w:p w14:paraId="4439BA72" w14:textId="77777777" w:rsidR="00CA6157" w:rsidRDefault="00CA61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8A330D" w14:textId="77777777" w:rsidR="00CA6157" w:rsidRDefault="00CA6157" w:rsidP="004A1847">
      <w:pPr>
        <w:spacing w:after="0" w:line="240" w:lineRule="auto"/>
      </w:pPr>
      <w:r>
        <w:separator/>
      </w:r>
    </w:p>
  </w:footnote>
  <w:footnote w:type="continuationSeparator" w:id="0">
    <w:p w14:paraId="7A759534" w14:textId="77777777" w:rsidR="00CA6157" w:rsidRDefault="00CA6157" w:rsidP="004A1847">
      <w:pPr>
        <w:spacing w:after="0" w:line="240" w:lineRule="auto"/>
      </w:pPr>
      <w:r>
        <w:continuationSeparator/>
      </w:r>
    </w:p>
  </w:footnote>
  <w:footnote w:type="continuationNotice" w:id="1">
    <w:p w14:paraId="249AEE81" w14:textId="77777777" w:rsidR="00CA6157" w:rsidRDefault="00CA6157">
      <w:pPr>
        <w:spacing w:after="0" w:line="240" w:lineRule="auto"/>
      </w:pPr>
    </w:p>
  </w:footnote>
  <w:footnote w:id="2">
    <w:p w14:paraId="6468FD99" w14:textId="77777777" w:rsidR="00CC45AD" w:rsidRPr="002A4297" w:rsidRDefault="00CC45AD" w:rsidP="00CC45AD">
      <w:pPr>
        <w:pStyle w:val="Textonotapie"/>
        <w:ind w:firstLine="708"/>
        <w:jc w:val="both"/>
        <w:rPr>
          <w:rFonts w:ascii="Verdana" w:hAnsi="Verdana"/>
          <w:sz w:val="18"/>
          <w:szCs w:val="18"/>
        </w:rPr>
      </w:pPr>
      <w:r w:rsidRPr="002A4297">
        <w:rPr>
          <w:rStyle w:val="Refdenotaalpie"/>
          <w:rFonts w:ascii="Verdana" w:hAnsi="Verdana"/>
          <w:sz w:val="18"/>
          <w:szCs w:val="18"/>
        </w:rPr>
        <w:footnoteRef/>
      </w:r>
      <w:r w:rsidRPr="002A4297">
        <w:rPr>
          <w:rFonts w:ascii="Verdana" w:hAnsi="Verdana"/>
          <w:sz w:val="18"/>
          <w:szCs w:val="18"/>
        </w:rPr>
        <w:t xml:space="preserve"> Agencia Nacional de Contratación Pública – Colombia Compra Eficiente. Concepto C-285 del 20 de mayo de 2022. Consultar en: </w:t>
      </w:r>
      <w:hyperlink r:id="rId1" w:history="1">
        <w:r w:rsidRPr="002A4297">
          <w:rPr>
            <w:rStyle w:val="Hipervnculo"/>
            <w:rFonts w:ascii="Verdana" w:hAnsi="Verdana"/>
            <w:sz w:val="18"/>
            <w:szCs w:val="18"/>
          </w:rPr>
          <w:t>https://relatoria.colombiacompra.gov.co/conceptos/c-285-de-2022/</w:t>
        </w:r>
      </w:hyperlink>
    </w:p>
    <w:p w14:paraId="2AD5D0A4" w14:textId="77777777" w:rsidR="00CC45AD" w:rsidRPr="002A4297" w:rsidRDefault="00CC45AD" w:rsidP="00CC45AD">
      <w:pPr>
        <w:pStyle w:val="Textonotapie"/>
        <w:ind w:firstLine="708"/>
        <w:jc w:val="both"/>
        <w:rPr>
          <w:rFonts w:ascii="Verdana" w:hAnsi="Verdana"/>
          <w:sz w:val="18"/>
          <w:szCs w:val="18"/>
          <w:lang w:val="es-CO"/>
        </w:rPr>
      </w:pPr>
      <w:r w:rsidRPr="002A4297">
        <w:rPr>
          <w:rFonts w:ascii="Verdana" w:hAnsi="Verdana"/>
          <w:sz w:val="18"/>
          <w:szCs w:val="18"/>
        </w:rPr>
        <w:t xml:space="preserve"> </w:t>
      </w:r>
    </w:p>
  </w:footnote>
  <w:footnote w:id="3">
    <w:p w14:paraId="67B1F94B" w14:textId="77777777" w:rsidR="00CC45AD" w:rsidRPr="002A4297" w:rsidRDefault="00CC45AD" w:rsidP="00CC45AD">
      <w:pPr>
        <w:pStyle w:val="Textonotapie"/>
        <w:ind w:firstLine="708"/>
        <w:jc w:val="both"/>
        <w:rPr>
          <w:rFonts w:ascii="Verdana" w:hAnsi="Verdana"/>
          <w:sz w:val="18"/>
          <w:szCs w:val="18"/>
        </w:rPr>
      </w:pPr>
      <w:r w:rsidRPr="002A4297">
        <w:rPr>
          <w:rStyle w:val="Refdenotaalpie"/>
          <w:rFonts w:ascii="Verdana" w:hAnsi="Verdana"/>
          <w:sz w:val="18"/>
          <w:szCs w:val="18"/>
        </w:rPr>
        <w:footnoteRef/>
      </w:r>
      <w:r w:rsidRPr="002A4297">
        <w:rPr>
          <w:rFonts w:ascii="Verdana" w:hAnsi="Verdana"/>
          <w:sz w:val="18"/>
          <w:szCs w:val="18"/>
        </w:rPr>
        <w:t xml:space="preserve"> Agencia Nacional de Contratación Pública – Colombia Compra Eficiente. Concepto C-447 del 19 de septiembre de 2024. Consultar en: </w:t>
      </w:r>
      <w:hyperlink r:id="rId2" w:history="1">
        <w:r w:rsidRPr="002A4297">
          <w:rPr>
            <w:rStyle w:val="Hipervnculo"/>
            <w:rFonts w:ascii="Verdana" w:hAnsi="Verdana"/>
            <w:sz w:val="18"/>
            <w:szCs w:val="18"/>
          </w:rPr>
          <w:t>https://relatoria.colombiacompra.gov.co/conceptos/c-447-de-2024/</w:t>
        </w:r>
      </w:hyperlink>
      <w:r w:rsidRPr="002A4297">
        <w:rPr>
          <w:rFonts w:ascii="Verdana" w:hAnsi="Verdana"/>
          <w:sz w:val="18"/>
          <w:szCs w:val="18"/>
        </w:rPr>
        <w:t xml:space="preserve"> </w:t>
      </w:r>
    </w:p>
    <w:p w14:paraId="31B5AAA8" w14:textId="77777777" w:rsidR="00CC45AD" w:rsidRPr="002A4297" w:rsidRDefault="00CC45AD" w:rsidP="00CC45AD">
      <w:pPr>
        <w:pStyle w:val="Textonotapie"/>
        <w:jc w:val="both"/>
        <w:rPr>
          <w:rFonts w:ascii="Verdana" w:hAnsi="Verdana"/>
          <w:sz w:val="18"/>
          <w:szCs w:val="18"/>
        </w:rPr>
      </w:pPr>
    </w:p>
  </w:footnote>
  <w:footnote w:id="4">
    <w:p w14:paraId="2160C4E7" w14:textId="77777777" w:rsidR="00CC45AD" w:rsidRPr="002A4297" w:rsidRDefault="00CC45AD" w:rsidP="00CC45AD">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Style w:val="Refdenotaalpie"/>
          <w:rFonts w:ascii="Verdana" w:hAnsi="Verdana" w:cs="Arial"/>
          <w:color w:val="000000"/>
          <w:sz w:val="18"/>
          <w:szCs w:val="18"/>
        </w:rPr>
        <w:t xml:space="preserve"> </w:t>
      </w:r>
      <w:r w:rsidRPr="002A4297">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186E8B8A" w14:textId="77777777" w:rsidR="00CC45AD" w:rsidRPr="002A4297" w:rsidRDefault="00CC45AD" w:rsidP="00CC45AD">
      <w:pPr>
        <w:pStyle w:val="Textonotapie"/>
        <w:ind w:firstLine="709"/>
        <w:jc w:val="both"/>
        <w:rPr>
          <w:rFonts w:ascii="Verdana" w:hAnsi="Verdana" w:cs="Arial"/>
          <w:color w:val="000000"/>
          <w:sz w:val="18"/>
          <w:szCs w:val="18"/>
        </w:rPr>
      </w:pPr>
    </w:p>
  </w:footnote>
  <w:footnote w:id="5">
    <w:p w14:paraId="63EBFAC2" w14:textId="77777777" w:rsidR="00CC45AD" w:rsidRPr="002A4297" w:rsidRDefault="00CC45AD" w:rsidP="00CC45AD">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6EFFC535" w14:textId="77777777" w:rsidR="00CC45AD" w:rsidRPr="002A4297" w:rsidRDefault="00CC45AD" w:rsidP="00CC45AD">
      <w:pPr>
        <w:pStyle w:val="Textonotapie"/>
        <w:ind w:firstLine="709"/>
        <w:jc w:val="both"/>
        <w:rPr>
          <w:rFonts w:ascii="Verdana" w:hAnsi="Verdana" w:cs="Arial"/>
          <w:color w:val="000000"/>
          <w:sz w:val="18"/>
          <w:szCs w:val="18"/>
        </w:rPr>
      </w:pPr>
      <w:r w:rsidRPr="002A4297">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653D6F33" w14:textId="77777777" w:rsidR="00CC45AD" w:rsidRPr="002A4297" w:rsidRDefault="00CC45AD" w:rsidP="00CC45AD">
      <w:pPr>
        <w:pStyle w:val="Textonotapie"/>
        <w:ind w:firstLine="709"/>
        <w:jc w:val="both"/>
        <w:rPr>
          <w:rFonts w:ascii="Verdana" w:hAnsi="Verdana" w:cs="Arial"/>
          <w:color w:val="000000"/>
          <w:sz w:val="18"/>
          <w:szCs w:val="18"/>
        </w:rPr>
      </w:pPr>
    </w:p>
  </w:footnote>
  <w:footnote w:id="6">
    <w:p w14:paraId="00DFD591" w14:textId="77777777" w:rsidR="00CC45AD" w:rsidRPr="002A4297" w:rsidRDefault="00CC45AD" w:rsidP="00CC45AD">
      <w:pPr>
        <w:pStyle w:val="Textonotapie"/>
        <w:ind w:firstLine="709"/>
        <w:jc w:val="both"/>
        <w:rPr>
          <w:rFonts w:ascii="Verdana" w:hAnsi="Verdana" w:cs="Arial"/>
          <w:color w:val="000000"/>
          <w:sz w:val="18"/>
          <w:szCs w:val="18"/>
        </w:rPr>
      </w:pPr>
      <w:r w:rsidRPr="002A4297">
        <w:rPr>
          <w:rStyle w:val="Refdenotaalpie"/>
          <w:rFonts w:ascii="Verdana" w:hAnsi="Verdana" w:cs="Arial"/>
          <w:sz w:val="18"/>
          <w:szCs w:val="18"/>
        </w:rPr>
        <w:footnoteRef/>
      </w:r>
      <w:r w:rsidRPr="002A4297">
        <w:rPr>
          <w:rFonts w:ascii="Verdana" w:hAnsi="Verdana" w:cs="Arial"/>
          <w:sz w:val="18"/>
          <w:szCs w:val="18"/>
        </w:rPr>
        <w:t xml:space="preserve"> </w:t>
      </w:r>
      <w:r w:rsidRPr="002A4297">
        <w:rPr>
          <w:rFonts w:ascii="Verdana" w:hAnsi="Verdana" w:cs="Arial"/>
          <w:color w:val="000000"/>
          <w:sz w:val="18"/>
          <w:szCs w:val="18"/>
        </w:rPr>
        <w:t>En armonía con lo anterior, actualmente la Circular Única</w:t>
      </w:r>
      <w:r>
        <w:rPr>
          <w:rFonts w:ascii="Verdana" w:hAnsi="Verdana" w:cs="Arial"/>
          <w:color w:val="000000"/>
          <w:sz w:val="18"/>
          <w:szCs w:val="18"/>
        </w:rPr>
        <w:t xml:space="preserve"> Externa</w:t>
      </w:r>
      <w:r w:rsidRPr="002A4297">
        <w:rPr>
          <w:rFonts w:ascii="Verdana" w:hAnsi="Verdana" w:cs="Arial"/>
          <w:color w:val="000000"/>
          <w:sz w:val="18"/>
          <w:szCs w:val="18"/>
        </w:rPr>
        <w:t xml:space="preserve">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2610CD94" w14:textId="77777777" w:rsidR="00CC45AD" w:rsidRPr="002A4297" w:rsidRDefault="00CC45AD" w:rsidP="00CC45AD">
      <w:pPr>
        <w:pStyle w:val="Textonotapie"/>
        <w:ind w:firstLine="709"/>
        <w:jc w:val="both"/>
        <w:rPr>
          <w:rFonts w:ascii="Verdana" w:hAnsi="Verdana" w:cs="Arial"/>
          <w:color w:val="000000"/>
          <w:sz w:val="18"/>
          <w:szCs w:val="18"/>
        </w:rPr>
      </w:pPr>
      <w:r w:rsidRPr="002A4297">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sidRPr="002A4297">
          <w:rPr>
            <w:rStyle w:val="Hipervnculo"/>
            <w:rFonts w:ascii="Verdana" w:hAnsi="Verdana" w:cs="Arial"/>
            <w:sz w:val="18"/>
            <w:szCs w:val="18"/>
          </w:rPr>
          <w:t>https://www.colombiacompra.gov.co/circulares?page=2</w:t>
        </w:r>
      </w:hyperlink>
      <w:r w:rsidRPr="002A4297">
        <w:rPr>
          <w:rStyle w:val="Hipervnculo"/>
          <w:rFonts w:ascii="Verdana" w:hAnsi="Verdana" w:cs="Arial"/>
          <w:color w:val="000000"/>
          <w:sz w:val="18"/>
          <w:szCs w:val="18"/>
        </w:rPr>
        <w:t xml:space="preserve"> </w:t>
      </w:r>
    </w:p>
    <w:p w14:paraId="6DAB7F8E" w14:textId="77777777" w:rsidR="00CC45AD" w:rsidRPr="002A4297" w:rsidRDefault="00CC45AD" w:rsidP="00CC45AD">
      <w:pPr>
        <w:pStyle w:val="Textonotapie"/>
        <w:ind w:firstLine="709"/>
        <w:jc w:val="both"/>
        <w:rPr>
          <w:rFonts w:ascii="Verdana" w:hAnsi="Verdana" w:cs="Arial"/>
          <w:color w:val="000000"/>
          <w:sz w:val="18"/>
          <w:szCs w:val="18"/>
        </w:rPr>
      </w:pPr>
    </w:p>
  </w:footnote>
  <w:footnote w:id="7">
    <w:p w14:paraId="6749594A" w14:textId="77777777" w:rsidR="00CC45AD" w:rsidRPr="002A4297" w:rsidRDefault="00CC45AD" w:rsidP="00CC45AD">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Ver CONSEJO DE ESTADO, Sección Tercera, Subsección C. Sentencia del 26 de febrero de 2011. C.P. Jaime Orlando Santofimio. Rad. 36.408. </w:t>
      </w:r>
    </w:p>
  </w:footnote>
  <w:footnote w:id="8">
    <w:p w14:paraId="03F3674B" w14:textId="77777777" w:rsidR="00CC45AD" w:rsidRPr="002A4297" w:rsidRDefault="00CC45AD" w:rsidP="00CC45AD">
      <w:pPr>
        <w:pStyle w:val="Textonotapie"/>
        <w:ind w:firstLine="709"/>
        <w:jc w:val="both"/>
        <w:rPr>
          <w:rFonts w:ascii="Verdana" w:hAnsi="Verdana" w:cs="Arial"/>
          <w:color w:val="000000"/>
          <w:sz w:val="18"/>
          <w:szCs w:val="18"/>
        </w:rPr>
      </w:pPr>
    </w:p>
    <w:p w14:paraId="2BCE61F1" w14:textId="77777777" w:rsidR="00CC45AD" w:rsidRPr="002A4297" w:rsidRDefault="00CC45AD" w:rsidP="00CC45AD">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Ver CONSEJO DE ESTADO, Sección Tercera, Subsección C. Sentencia del 26 de febrero de 2014. C.P. Enrique Gil Botero. Rad. 25.804. </w:t>
      </w:r>
    </w:p>
    <w:p w14:paraId="27902F26" w14:textId="77777777" w:rsidR="00CC45AD" w:rsidRPr="002A4297" w:rsidRDefault="00CC45AD" w:rsidP="00CC45AD">
      <w:pPr>
        <w:pStyle w:val="Textonotapie"/>
        <w:ind w:firstLine="709"/>
        <w:jc w:val="both"/>
        <w:rPr>
          <w:rFonts w:ascii="Verdana" w:hAnsi="Verdana" w:cs="Arial"/>
          <w:color w:val="000000"/>
          <w:sz w:val="18"/>
          <w:szCs w:val="18"/>
        </w:rPr>
      </w:pPr>
    </w:p>
  </w:footnote>
  <w:footnote w:id="9">
    <w:p w14:paraId="616D7B0D" w14:textId="77777777" w:rsidR="00CC45AD" w:rsidRPr="002A4297" w:rsidRDefault="00CC45AD" w:rsidP="00CC45AD">
      <w:pPr>
        <w:pStyle w:val="Textonotapie"/>
        <w:ind w:firstLine="708"/>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CONSEJO DE ESTADO. Sala de Consulta y Servicio Civil. Concepto del 20 de mayo de 2010. Expediente: 1992. Consejero Ponente: Enrique José Arboleda Perdomo.</w:t>
      </w:r>
    </w:p>
    <w:p w14:paraId="40168F0B" w14:textId="77777777" w:rsidR="00CC45AD" w:rsidRPr="002A4297" w:rsidRDefault="00CC45AD" w:rsidP="00CC45AD">
      <w:pPr>
        <w:pStyle w:val="Textonotapie"/>
        <w:ind w:firstLine="708"/>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1.4pt" o:bullet="t">
        <v:imagedata r:id="rId1" o:title="mso1B13"/>
      </v:shape>
    </w:pict>
  </w:numPicBullet>
  <w:abstractNum w:abstractNumId="0" w15:restartNumberingAfterBreak="0">
    <w:nsid w:val="01C06310"/>
    <w:multiLevelType w:val="multilevel"/>
    <w:tmpl w:val="1562CEC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1330140246">
    <w:abstractNumId w:val="0"/>
  </w:num>
  <w:num w:numId="17" w16cid:durableId="7840391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448"/>
    <w:rsid w:val="00016F78"/>
    <w:rsid w:val="00046945"/>
    <w:rsid w:val="00061B2A"/>
    <w:rsid w:val="00082362"/>
    <w:rsid w:val="000A683E"/>
    <w:rsid w:val="000B19B9"/>
    <w:rsid w:val="000D0334"/>
    <w:rsid w:val="000F0AB1"/>
    <w:rsid w:val="000F6486"/>
    <w:rsid w:val="00125105"/>
    <w:rsid w:val="00127233"/>
    <w:rsid w:val="00185F01"/>
    <w:rsid w:val="001E4177"/>
    <w:rsid w:val="001F7DC6"/>
    <w:rsid w:val="00226F10"/>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56E61"/>
    <w:rsid w:val="00574867"/>
    <w:rsid w:val="00591460"/>
    <w:rsid w:val="005A6ED4"/>
    <w:rsid w:val="005C3777"/>
    <w:rsid w:val="005C5CDC"/>
    <w:rsid w:val="005D476C"/>
    <w:rsid w:val="006051BA"/>
    <w:rsid w:val="006219F8"/>
    <w:rsid w:val="00622C86"/>
    <w:rsid w:val="006302F7"/>
    <w:rsid w:val="00665D70"/>
    <w:rsid w:val="006900D9"/>
    <w:rsid w:val="006A760C"/>
    <w:rsid w:val="00703DEE"/>
    <w:rsid w:val="00706C16"/>
    <w:rsid w:val="00756841"/>
    <w:rsid w:val="007649AB"/>
    <w:rsid w:val="00771D0C"/>
    <w:rsid w:val="007833AC"/>
    <w:rsid w:val="007B268C"/>
    <w:rsid w:val="007B7171"/>
    <w:rsid w:val="007C0C0F"/>
    <w:rsid w:val="007C3DC2"/>
    <w:rsid w:val="007E5497"/>
    <w:rsid w:val="00802ABE"/>
    <w:rsid w:val="00806F5F"/>
    <w:rsid w:val="00820278"/>
    <w:rsid w:val="008450C0"/>
    <w:rsid w:val="00867F95"/>
    <w:rsid w:val="008843B6"/>
    <w:rsid w:val="00891928"/>
    <w:rsid w:val="00895164"/>
    <w:rsid w:val="00897A3A"/>
    <w:rsid w:val="008A446D"/>
    <w:rsid w:val="008D180B"/>
    <w:rsid w:val="008E5A8D"/>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645EB"/>
    <w:rsid w:val="00A77E91"/>
    <w:rsid w:val="00AB0ADB"/>
    <w:rsid w:val="00AE2C5A"/>
    <w:rsid w:val="00B00C0E"/>
    <w:rsid w:val="00B01B1A"/>
    <w:rsid w:val="00B44A47"/>
    <w:rsid w:val="00B72CD3"/>
    <w:rsid w:val="00B72FFF"/>
    <w:rsid w:val="00BB5ACE"/>
    <w:rsid w:val="00BC3D36"/>
    <w:rsid w:val="00BD7F72"/>
    <w:rsid w:val="00C04FB3"/>
    <w:rsid w:val="00C330EB"/>
    <w:rsid w:val="00C754BE"/>
    <w:rsid w:val="00C76B1C"/>
    <w:rsid w:val="00CA6157"/>
    <w:rsid w:val="00CB6357"/>
    <w:rsid w:val="00CC1B26"/>
    <w:rsid w:val="00CC45AD"/>
    <w:rsid w:val="00D423A2"/>
    <w:rsid w:val="00D520D8"/>
    <w:rsid w:val="00D63AC2"/>
    <w:rsid w:val="00D7383B"/>
    <w:rsid w:val="00DA231B"/>
    <w:rsid w:val="00DB2CCA"/>
    <w:rsid w:val="00DC39FC"/>
    <w:rsid w:val="00DF5254"/>
    <w:rsid w:val="00E16408"/>
    <w:rsid w:val="00E20894"/>
    <w:rsid w:val="00E245AB"/>
    <w:rsid w:val="00E2764C"/>
    <w:rsid w:val="00E27F2E"/>
    <w:rsid w:val="00E50AFE"/>
    <w:rsid w:val="00E62648"/>
    <w:rsid w:val="00E75C92"/>
    <w:rsid w:val="00E76848"/>
    <w:rsid w:val="00E771DC"/>
    <w:rsid w:val="00E8772A"/>
    <w:rsid w:val="00E90F6B"/>
    <w:rsid w:val="00E92C27"/>
    <w:rsid w:val="00EA0E3D"/>
    <w:rsid w:val="00EC38A7"/>
    <w:rsid w:val="00EE1AA8"/>
    <w:rsid w:val="00F31EDC"/>
    <w:rsid w:val="00F462B3"/>
    <w:rsid w:val="00F5664F"/>
    <w:rsid w:val="00F666C4"/>
    <w:rsid w:val="00F70ABF"/>
    <w:rsid w:val="00F76AFC"/>
    <w:rsid w:val="00FA47C0"/>
    <w:rsid w:val="00FB5DD1"/>
    <w:rsid w:val="00FC2B5D"/>
    <w:rsid w:val="00FF1449"/>
    <w:rsid w:val="6CB5D8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C45A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C45AD"/>
    <w:rPr>
      <w:rFonts w:ascii="Geomanist Light" w:hAnsi="Geomanist Light"/>
      <w:lang w:val="es-ES"/>
    </w:rPr>
  </w:style>
  <w:style w:type="character" w:customStyle="1" w:styleId="superscript">
    <w:name w:val="superscript"/>
    <w:basedOn w:val="Fuentedeprrafopredeter"/>
    <w:rsid w:val="00CC4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42B477-F918-4CD7-855A-39277D401891}"/>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4671</Words>
  <Characters>25692</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2025-09-19T17:20:00Z</dcterms:created>
  <dcterms:modified xsi:type="dcterms:W3CDTF">2025-09-20T00:37:00Z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