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3E65D" w14:textId="0A251E09" w:rsidR="00D76360" w:rsidRPr="00D76360" w:rsidRDefault="00D76360" w:rsidP="00265B99">
      <w:pPr>
        <w:spacing w:after="0" w:line="240" w:lineRule="auto"/>
        <w:jc w:val="both"/>
        <w:rPr>
          <w:rFonts w:ascii="Verdana" w:eastAsia="Calibri" w:hAnsi="Verdana" w:cs="Arial"/>
          <w:b/>
          <w:bCs/>
          <w:lang w:val="es-ES" w:eastAsia="es-ES"/>
        </w:rPr>
      </w:pPr>
      <w:bookmarkStart w:id="0" w:name="_Hlk209416569"/>
      <w:bookmarkStart w:id="1" w:name="_Hlk143780582"/>
      <w:bookmarkStart w:id="2" w:name="_Hlk202875225"/>
      <w:bookmarkStart w:id="3" w:name="_Hlk203032812"/>
      <w:bookmarkStart w:id="4" w:name="_Hlk204367265"/>
      <w:bookmarkStart w:id="5" w:name="_Hlk206116713"/>
      <w:r w:rsidRPr="00D76360">
        <w:rPr>
          <w:rFonts w:ascii="Verdana" w:eastAsia="Calibri" w:hAnsi="Verdana" w:cs="Arial"/>
          <w:b/>
          <w:bCs/>
          <w:lang w:val="es-ES" w:eastAsia="es-ES"/>
        </w:rPr>
        <w:t xml:space="preserve">LEY DE GARANTÍAS ELECTORALES – Finalidad </w:t>
      </w:r>
    </w:p>
    <w:bookmarkEnd w:id="0"/>
    <w:p w14:paraId="762988B7" w14:textId="77777777" w:rsidR="00D76360" w:rsidRDefault="00D76360" w:rsidP="00265B99">
      <w:pPr>
        <w:spacing w:after="0" w:line="240" w:lineRule="auto"/>
        <w:jc w:val="both"/>
        <w:rPr>
          <w:rFonts w:ascii="Verdana" w:eastAsia="Calibri" w:hAnsi="Verdana" w:cs="Arial"/>
          <w:b/>
          <w:bCs/>
          <w:lang w:val="es-ES" w:eastAsia="es-ES"/>
        </w:rPr>
      </w:pPr>
    </w:p>
    <w:p w14:paraId="45AF770D" w14:textId="57FF6C51" w:rsidR="00D76360" w:rsidRDefault="00D76360" w:rsidP="00265B99">
      <w:pPr>
        <w:spacing w:after="0" w:line="240" w:lineRule="auto"/>
        <w:jc w:val="both"/>
        <w:rPr>
          <w:rFonts w:ascii="Verdana" w:eastAsia="Times New Roman" w:hAnsi="Verdana" w:cs="Arial"/>
          <w:sz w:val="20"/>
          <w:szCs w:val="20"/>
          <w:lang w:eastAsia="es-CO"/>
        </w:rPr>
      </w:pPr>
      <w:r w:rsidRPr="00D76360">
        <w:rPr>
          <w:rFonts w:ascii="Verdana" w:eastAsia="Times New Roman" w:hAnsi="Verdana" w:cs="Arial"/>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AA171B1" w14:textId="77777777" w:rsidR="00D76360" w:rsidRDefault="00D76360" w:rsidP="00265B99">
      <w:pPr>
        <w:spacing w:after="0" w:line="240" w:lineRule="auto"/>
        <w:jc w:val="both"/>
        <w:rPr>
          <w:rFonts w:ascii="Verdana" w:eastAsia="Calibri" w:hAnsi="Verdana" w:cs="Arial"/>
          <w:lang w:val="es-ES" w:eastAsia="es-ES"/>
        </w:rPr>
      </w:pPr>
    </w:p>
    <w:p w14:paraId="259925CB" w14:textId="5C7DA14A" w:rsidR="00D76360" w:rsidRDefault="00D76360" w:rsidP="00265B99">
      <w:pPr>
        <w:spacing w:after="0" w:line="240" w:lineRule="auto"/>
        <w:jc w:val="both"/>
        <w:rPr>
          <w:rFonts w:ascii="Verdana" w:eastAsia="Calibri" w:hAnsi="Verdana" w:cs="Arial"/>
          <w:b/>
          <w:bCs/>
          <w:lang w:val="es-ES" w:eastAsia="es-ES"/>
        </w:rPr>
      </w:pPr>
      <w:r w:rsidRPr="00D76360">
        <w:rPr>
          <w:rFonts w:ascii="Verdana" w:eastAsia="Calibri" w:hAnsi="Verdana" w:cs="Arial"/>
          <w:b/>
          <w:bCs/>
          <w:lang w:val="es-ES" w:eastAsia="es-ES"/>
        </w:rPr>
        <w:t>LEY DE GARANTÍAS ELECTORALES ‒ Restricciones ‒ Contratación ‒ Tipos de elección</w:t>
      </w:r>
    </w:p>
    <w:p w14:paraId="7B303454" w14:textId="77777777" w:rsidR="00D76360" w:rsidRDefault="00D76360" w:rsidP="00265B99">
      <w:pPr>
        <w:spacing w:after="0" w:line="240" w:lineRule="auto"/>
        <w:jc w:val="both"/>
        <w:rPr>
          <w:rFonts w:ascii="Verdana" w:eastAsia="Calibri" w:hAnsi="Verdana" w:cs="Arial"/>
          <w:b/>
          <w:bCs/>
          <w:lang w:val="es-ES" w:eastAsia="es-ES"/>
        </w:rPr>
      </w:pPr>
    </w:p>
    <w:p w14:paraId="5C36A81B" w14:textId="35C988BF" w:rsidR="00D76360" w:rsidRPr="00D76360" w:rsidRDefault="00D76360" w:rsidP="00265B99">
      <w:pPr>
        <w:spacing w:after="0" w:line="240" w:lineRule="auto"/>
        <w:jc w:val="both"/>
        <w:rPr>
          <w:rFonts w:ascii="Verdana" w:eastAsia="Times New Roman" w:hAnsi="Verdana" w:cs="Arial"/>
          <w:sz w:val="20"/>
          <w:szCs w:val="20"/>
          <w:lang w:eastAsia="es-CO"/>
        </w:rPr>
      </w:pPr>
      <w:r w:rsidRPr="00D76360">
        <w:rPr>
          <w:rFonts w:ascii="Verdana" w:eastAsia="Times New Roman" w:hAnsi="Verdana" w:cs="Arial"/>
          <w:sz w:val="20"/>
          <w:szCs w:val="20"/>
          <w:lang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w:t>
      </w:r>
    </w:p>
    <w:p w14:paraId="2C88D4D3" w14:textId="77777777" w:rsidR="00D76360" w:rsidRPr="00D76360" w:rsidRDefault="00D76360" w:rsidP="00265B99">
      <w:pPr>
        <w:spacing w:after="0" w:line="240" w:lineRule="auto"/>
        <w:jc w:val="both"/>
        <w:rPr>
          <w:rFonts w:ascii="Verdana" w:eastAsia="Times New Roman" w:hAnsi="Verdana" w:cs="Arial"/>
          <w:sz w:val="20"/>
          <w:szCs w:val="20"/>
          <w:lang w:eastAsia="es-CO"/>
        </w:rPr>
      </w:pPr>
    </w:p>
    <w:p w14:paraId="075AF003" w14:textId="77777777" w:rsidR="00D76360" w:rsidRPr="00D76360" w:rsidRDefault="00D76360" w:rsidP="00D76360">
      <w:pPr>
        <w:spacing w:after="0" w:line="240" w:lineRule="auto"/>
        <w:jc w:val="both"/>
        <w:rPr>
          <w:rFonts w:ascii="Verdana" w:eastAsia="Arial" w:hAnsi="Verdana" w:cs="Arial"/>
          <w:sz w:val="20"/>
          <w:szCs w:val="20"/>
          <w:lang w:eastAsia="es-ES" w:bidi="es-ES"/>
        </w:rPr>
      </w:pPr>
      <w:r w:rsidRPr="00D76360">
        <w:rPr>
          <w:rFonts w:ascii="Verdana" w:eastAsia="Times New Roman" w:hAnsi="Verdana" w:cs="Arial"/>
          <w:sz w:val="20"/>
          <w:szCs w:val="20"/>
          <w:lang w:eastAsia="es-CO"/>
        </w:rPr>
        <w:t xml:space="preserve">[…] </w:t>
      </w:r>
      <w:r w:rsidRPr="00D76360">
        <w:rPr>
          <w:rFonts w:ascii="Verdana" w:eastAsia="Arial" w:hAnsi="Verdana" w:cs="Arial"/>
          <w:sz w:val="20"/>
          <w:szCs w:val="20"/>
          <w:lang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6B64A21" w14:textId="4912539F" w:rsidR="00D76360" w:rsidRDefault="00D76360" w:rsidP="00D76360">
      <w:pPr>
        <w:spacing w:after="0" w:line="240" w:lineRule="auto"/>
        <w:jc w:val="both"/>
        <w:rPr>
          <w:rFonts w:ascii="Verdana" w:eastAsia="Calibri" w:hAnsi="Verdana" w:cs="Arial"/>
          <w:sz w:val="20"/>
          <w:szCs w:val="20"/>
        </w:rPr>
      </w:pPr>
      <w:r w:rsidRPr="00D76360">
        <w:rPr>
          <w:rFonts w:ascii="Verdana" w:eastAsia="Calibri" w:hAnsi="Verdana" w:cs="Arial"/>
          <w:sz w:val="20"/>
          <w:szCs w:val="20"/>
        </w:rPr>
        <w:t xml:space="preserve">Por un lado, el </w:t>
      </w:r>
      <w:r w:rsidRPr="00D76360">
        <w:rPr>
          <w:rFonts w:ascii="Verdana" w:eastAsia="Calibri" w:hAnsi="Verdana" w:cs="Arial"/>
          <w:i/>
          <w:iCs/>
          <w:sz w:val="20"/>
          <w:szCs w:val="20"/>
        </w:rPr>
        <w:t xml:space="preserve">artículo 33 </w:t>
      </w:r>
      <w:r w:rsidRPr="00D76360">
        <w:rPr>
          <w:rFonts w:ascii="Verdana" w:eastAsia="Calibri" w:hAnsi="Verdana" w:cs="Arial"/>
          <w:sz w:val="20"/>
          <w:szCs w:val="20"/>
        </w:rPr>
        <w:t xml:space="preserve">de la Ley 996 de 2005 prohíbe “(…) la contratación directa por parte de </w:t>
      </w:r>
      <w:r w:rsidRPr="00D76360">
        <w:rPr>
          <w:rFonts w:ascii="Verdana" w:eastAsia="Calibri" w:hAnsi="Verdana" w:cs="Arial"/>
          <w:i/>
          <w:iCs/>
          <w:sz w:val="20"/>
          <w:szCs w:val="20"/>
        </w:rPr>
        <w:t>todos los entes del Estado</w:t>
      </w:r>
      <w:r w:rsidRPr="00D76360">
        <w:rPr>
          <w:rFonts w:ascii="Verdana" w:eastAsia="Calibri" w:hAnsi="Verdana" w:cs="Arial"/>
          <w:sz w:val="20"/>
          <w:szCs w:val="20"/>
        </w:rPr>
        <w:t xml:space="preserve">” durante los cuatro (4) meses anteriores a las </w:t>
      </w:r>
      <w:r w:rsidRPr="00D76360">
        <w:rPr>
          <w:rFonts w:ascii="Verdana" w:eastAsia="Calibri" w:hAnsi="Verdana" w:cs="Arial"/>
          <w:i/>
          <w:iCs/>
          <w:sz w:val="20"/>
          <w:szCs w:val="20"/>
        </w:rPr>
        <w:t>elecciones presidenciales</w:t>
      </w:r>
      <w:r w:rsidRPr="00D76360">
        <w:rPr>
          <w:rFonts w:ascii="Verdana" w:eastAsia="Calibri" w:hAnsi="Verdana" w:cs="Arial"/>
          <w:sz w:val="20"/>
          <w:szCs w:val="20"/>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F167A2" w14:textId="77777777" w:rsidR="00D76360" w:rsidRPr="00D76360" w:rsidRDefault="00D76360" w:rsidP="00D76360">
      <w:pPr>
        <w:spacing w:after="0" w:line="240" w:lineRule="auto"/>
        <w:jc w:val="both"/>
        <w:rPr>
          <w:rFonts w:ascii="Verdana" w:eastAsia="Calibri" w:hAnsi="Verdana" w:cs="Arial"/>
          <w:sz w:val="20"/>
          <w:szCs w:val="20"/>
        </w:rPr>
      </w:pPr>
    </w:p>
    <w:p w14:paraId="3ABC4E73" w14:textId="1C967906" w:rsidR="00D76360" w:rsidRDefault="00D76360" w:rsidP="00D76360">
      <w:pPr>
        <w:spacing w:after="0" w:line="240" w:lineRule="auto"/>
        <w:jc w:val="both"/>
        <w:rPr>
          <w:rFonts w:ascii="Verdana" w:eastAsia="Calibri" w:hAnsi="Verdana" w:cs="Arial"/>
          <w:sz w:val="20"/>
          <w:szCs w:val="20"/>
        </w:rPr>
      </w:pPr>
      <w:r w:rsidRPr="00D76360">
        <w:rPr>
          <w:rFonts w:ascii="Verdana" w:eastAsia="Calibri" w:hAnsi="Verdana" w:cs="Arial"/>
          <w:sz w:val="20"/>
          <w:szCs w:val="20"/>
        </w:rPr>
        <w:t xml:space="preserve">Por otro lado, </w:t>
      </w:r>
      <w:r w:rsidRPr="00D76360">
        <w:rPr>
          <w:rFonts w:ascii="Verdana" w:eastAsia="Calibri" w:hAnsi="Verdana" w:cs="Arial"/>
          <w:i/>
          <w:iCs/>
          <w:sz w:val="20"/>
          <w:szCs w:val="20"/>
        </w:rPr>
        <w:t xml:space="preserve">el parágrafo del artículo 38 </w:t>
      </w:r>
      <w:r w:rsidRPr="00D76360">
        <w:rPr>
          <w:rFonts w:ascii="Verdana" w:eastAsia="Calibri" w:hAnsi="Verdana" w:cs="Arial"/>
          <w:sz w:val="20"/>
          <w:szCs w:val="20"/>
        </w:rPr>
        <w:t xml:space="preserve">de la Ley 996 de 2005 prevé una restricción, aplicable respecto de </w:t>
      </w:r>
      <w:r w:rsidRPr="00D76360">
        <w:rPr>
          <w:rFonts w:ascii="Verdana" w:eastAsia="Calibri" w:hAnsi="Verdana" w:cs="Arial"/>
          <w:i/>
          <w:iCs/>
          <w:sz w:val="20"/>
          <w:szCs w:val="20"/>
        </w:rPr>
        <w:t>cualquier tipo de contienda electoral</w:t>
      </w:r>
      <w:r w:rsidRPr="00D76360">
        <w:rPr>
          <w:rFonts w:ascii="Verdana" w:eastAsia="Calibri" w:hAnsi="Verdana" w:cs="Arial"/>
          <w:sz w:val="20"/>
          <w:szCs w:val="20"/>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sz w:val="20"/>
          <w:szCs w:val="20"/>
        </w:rPr>
        <w:t>.</w:t>
      </w:r>
    </w:p>
    <w:p w14:paraId="45B0C468" w14:textId="77777777" w:rsidR="00D76360" w:rsidRDefault="00D76360" w:rsidP="00D76360">
      <w:pPr>
        <w:spacing w:after="0" w:line="240" w:lineRule="auto"/>
        <w:jc w:val="both"/>
        <w:rPr>
          <w:rFonts w:ascii="Verdana" w:eastAsia="Calibri" w:hAnsi="Verdana" w:cs="Arial"/>
          <w:sz w:val="20"/>
          <w:szCs w:val="20"/>
        </w:rPr>
      </w:pPr>
    </w:p>
    <w:p w14:paraId="14A1E315" w14:textId="77777777" w:rsidR="00B4359B" w:rsidRPr="00B4359B" w:rsidRDefault="00B4359B" w:rsidP="00D76360">
      <w:pPr>
        <w:spacing w:after="0" w:line="240" w:lineRule="auto"/>
        <w:jc w:val="both"/>
        <w:rPr>
          <w:rFonts w:ascii="Verdana" w:eastAsia="Arial" w:hAnsi="Verdana" w:cs="Arial"/>
          <w:iCs/>
          <w:sz w:val="20"/>
          <w:szCs w:val="20"/>
          <w:lang w:eastAsia="es-ES" w:bidi="es-ES"/>
        </w:rPr>
      </w:pPr>
      <w:r w:rsidRPr="00B4359B">
        <w:rPr>
          <w:rFonts w:ascii="Verdana" w:eastAsia="Arial" w:hAnsi="Verdana" w:cs="Arial"/>
          <w:iCs/>
          <w:sz w:val="20"/>
          <w:szCs w:val="20"/>
          <w:lang w:eastAsia="es-ES" w:bidi="es-ES"/>
        </w:rPr>
        <w:t xml:space="preserve">De conformidad con lo anterior, la Ley 996 de 2005 establece dos (2) tipos de restricciones en materia de contratación, las cuales coinciden parcialmente. </w:t>
      </w:r>
    </w:p>
    <w:p w14:paraId="624D045A" w14:textId="77777777" w:rsidR="00B4359B" w:rsidRDefault="00B4359B" w:rsidP="00D76360">
      <w:pPr>
        <w:spacing w:after="0" w:line="240" w:lineRule="auto"/>
        <w:jc w:val="both"/>
        <w:rPr>
          <w:rFonts w:ascii="Verdana" w:eastAsia="Arial" w:hAnsi="Verdana" w:cs="Arial"/>
          <w:i/>
          <w:sz w:val="20"/>
          <w:szCs w:val="20"/>
          <w:lang w:eastAsia="es-ES" w:bidi="es-ES"/>
        </w:rPr>
      </w:pPr>
    </w:p>
    <w:p w14:paraId="71955E58" w14:textId="219167EF" w:rsidR="00D76360" w:rsidRPr="00D76360" w:rsidRDefault="00D76360" w:rsidP="00D76360">
      <w:pPr>
        <w:spacing w:after="0" w:line="240" w:lineRule="auto"/>
        <w:jc w:val="both"/>
        <w:rPr>
          <w:rFonts w:ascii="Verdana" w:eastAsia="Arial" w:hAnsi="Verdana" w:cs="Arial"/>
          <w:sz w:val="20"/>
          <w:szCs w:val="20"/>
          <w:lang w:eastAsia="es-ES" w:bidi="es-ES"/>
        </w:rPr>
      </w:pPr>
      <w:r w:rsidRPr="00D76360">
        <w:rPr>
          <w:rFonts w:ascii="Verdana" w:eastAsia="Arial" w:hAnsi="Verdana" w:cs="Arial"/>
          <w:i/>
          <w:sz w:val="20"/>
          <w:szCs w:val="20"/>
          <w:lang w:eastAsia="es-ES" w:bidi="es-ES"/>
        </w:rPr>
        <w:t>En primer lugar</w:t>
      </w:r>
      <w:r w:rsidRPr="00D76360">
        <w:rPr>
          <w:rFonts w:ascii="Verdana" w:eastAsia="Arial" w:hAnsi="Verdana" w:cs="Arial"/>
          <w:sz w:val="20"/>
          <w:szCs w:val="20"/>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w:t>
      </w:r>
      <w:r w:rsidRPr="00D76360">
        <w:rPr>
          <w:rFonts w:ascii="Verdana" w:eastAsia="Arial" w:hAnsi="Verdana" w:cs="Arial"/>
          <w:sz w:val="20"/>
          <w:szCs w:val="20"/>
          <w:lang w:eastAsia="es-ES" w:bidi="es-ES"/>
        </w:rPr>
        <w:lastRenderedPageBreak/>
        <w:t xml:space="preserve">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66A5C562" w14:textId="77777777" w:rsidR="00D76360" w:rsidRDefault="00D76360" w:rsidP="00D76360">
      <w:pPr>
        <w:spacing w:after="0" w:line="240" w:lineRule="auto"/>
        <w:jc w:val="both"/>
        <w:rPr>
          <w:rFonts w:ascii="Verdana" w:eastAsia="Arial" w:hAnsi="Verdana" w:cs="Arial"/>
          <w:i/>
          <w:sz w:val="20"/>
          <w:szCs w:val="20"/>
          <w:lang w:eastAsia="es-ES" w:bidi="es-ES"/>
        </w:rPr>
      </w:pPr>
    </w:p>
    <w:p w14:paraId="0A5154C0" w14:textId="5A8976F7" w:rsidR="00D76360" w:rsidRPr="00D76360" w:rsidRDefault="00D76360" w:rsidP="00D76360">
      <w:pPr>
        <w:spacing w:after="0" w:line="240" w:lineRule="auto"/>
        <w:jc w:val="both"/>
        <w:rPr>
          <w:rFonts w:ascii="Verdana" w:eastAsia="Arial" w:hAnsi="Verdana" w:cs="Arial"/>
          <w:sz w:val="20"/>
          <w:szCs w:val="20"/>
          <w:lang w:eastAsia="es-ES" w:bidi="es-ES"/>
        </w:rPr>
      </w:pPr>
      <w:r w:rsidRPr="00D76360">
        <w:rPr>
          <w:rFonts w:ascii="Verdana" w:eastAsia="Arial" w:hAnsi="Verdana" w:cs="Arial"/>
          <w:i/>
          <w:sz w:val="20"/>
          <w:szCs w:val="20"/>
          <w:lang w:eastAsia="es-ES" w:bidi="es-ES"/>
        </w:rPr>
        <w:t>En segundo lugar</w:t>
      </w:r>
      <w:r w:rsidRPr="00D76360">
        <w:rPr>
          <w:rFonts w:ascii="Verdana" w:eastAsia="Arial" w:hAnsi="Verdana" w:cs="Arial"/>
          <w:sz w:val="20"/>
          <w:szCs w:val="20"/>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365CC30" w14:textId="77777777" w:rsidR="00D76360" w:rsidRDefault="00D76360" w:rsidP="00D76360">
      <w:pPr>
        <w:spacing w:after="0" w:line="240" w:lineRule="auto"/>
        <w:jc w:val="both"/>
        <w:rPr>
          <w:rFonts w:ascii="Verdana" w:eastAsia="Arial" w:hAnsi="Verdana" w:cs="Arial"/>
          <w:sz w:val="20"/>
          <w:szCs w:val="20"/>
          <w:lang w:eastAsia="es-ES" w:bidi="es-ES"/>
        </w:rPr>
      </w:pPr>
    </w:p>
    <w:p w14:paraId="6D2D0A1C" w14:textId="009230C6" w:rsidR="00D76360" w:rsidRDefault="00D76360" w:rsidP="00D76360">
      <w:pPr>
        <w:spacing w:after="0" w:line="240" w:lineRule="auto"/>
        <w:jc w:val="both"/>
        <w:rPr>
          <w:rFonts w:ascii="Verdana" w:eastAsia="Arial" w:hAnsi="Verdana" w:cs="Arial"/>
          <w:sz w:val="20"/>
          <w:szCs w:val="20"/>
          <w:lang w:eastAsia="es-ES" w:bidi="es-ES"/>
        </w:rPr>
      </w:pPr>
      <w:r w:rsidRPr="00D76360">
        <w:rPr>
          <w:rFonts w:ascii="Verdana" w:eastAsia="Arial" w:hAnsi="Verdana" w:cs="Arial"/>
          <w:sz w:val="20"/>
          <w:szCs w:val="20"/>
          <w:lang w:eastAsia="es-ES" w:bidi="es-ES"/>
        </w:rPr>
        <w:t xml:space="preserve">Ambas restricciones no son excluyentes, lo que permite concluir que, en el período preelectoral para elección de </w:t>
      </w:r>
      <w:proofErr w:type="gramStart"/>
      <w:r w:rsidRPr="00D76360">
        <w:rPr>
          <w:rFonts w:ascii="Verdana" w:eastAsia="Arial" w:hAnsi="Verdana" w:cs="Arial"/>
          <w:sz w:val="20"/>
          <w:szCs w:val="20"/>
          <w:lang w:eastAsia="es-ES" w:bidi="es-ES"/>
        </w:rPr>
        <w:t>Presidente</w:t>
      </w:r>
      <w:proofErr w:type="gramEnd"/>
      <w:r w:rsidRPr="00D76360">
        <w:rPr>
          <w:rFonts w:ascii="Verdana" w:eastAsia="Arial" w:hAnsi="Verdana" w:cs="Arial"/>
          <w:sz w:val="20"/>
          <w:szCs w:val="20"/>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D76360">
        <w:rPr>
          <w:rFonts w:ascii="Verdana" w:eastAsia="Arial" w:hAnsi="Verdana" w:cs="Arial"/>
          <w:sz w:val="20"/>
          <w:szCs w:val="20"/>
          <w:lang w:eastAsia="es-ES" w:bidi="es-ES"/>
        </w:rPr>
        <w:t>Presidente</w:t>
      </w:r>
      <w:proofErr w:type="gramEnd"/>
      <w:r w:rsidRPr="00D76360">
        <w:rPr>
          <w:rFonts w:ascii="Verdana" w:eastAsia="Arial" w:hAnsi="Verdana" w:cs="Arial"/>
          <w:sz w:val="20"/>
          <w:szCs w:val="20"/>
          <w:lang w:eastAsia="es-ES" w:bidi="es-ES"/>
        </w:rPr>
        <w:t xml:space="preserve"> de la República, las autoridades allí mencionadas sólo deben aplicar las restricciones contenidas en el parágrafo del artículo 38.</w:t>
      </w:r>
    </w:p>
    <w:p w14:paraId="6BA86FBA" w14:textId="77777777" w:rsidR="00D76360" w:rsidRDefault="00D76360" w:rsidP="00D76360">
      <w:pPr>
        <w:spacing w:after="0" w:line="240" w:lineRule="auto"/>
        <w:jc w:val="both"/>
        <w:rPr>
          <w:rFonts w:ascii="Verdana" w:eastAsia="Arial" w:hAnsi="Verdana" w:cs="Arial"/>
          <w:sz w:val="20"/>
          <w:szCs w:val="20"/>
          <w:lang w:eastAsia="es-ES" w:bidi="es-ES"/>
        </w:rPr>
      </w:pPr>
    </w:p>
    <w:p w14:paraId="39364B5F" w14:textId="64180E3F" w:rsidR="00D76360" w:rsidRPr="00B4359B" w:rsidRDefault="00B4359B" w:rsidP="00D76360">
      <w:pPr>
        <w:spacing w:after="0" w:line="240" w:lineRule="auto"/>
        <w:jc w:val="both"/>
        <w:rPr>
          <w:rFonts w:ascii="Verdana" w:eastAsia="Arial" w:hAnsi="Verdana" w:cs="Arial"/>
          <w:b/>
          <w:bCs/>
          <w:sz w:val="20"/>
          <w:szCs w:val="20"/>
          <w:lang w:eastAsia="es-ES" w:bidi="es-ES"/>
        </w:rPr>
      </w:pPr>
      <w:r w:rsidRPr="00B4359B">
        <w:rPr>
          <w:rFonts w:ascii="Verdana" w:eastAsia="Calibri" w:hAnsi="Verdana" w:cs="Arial"/>
          <w:b/>
          <w:bCs/>
          <w:lang w:val="es-ES" w:eastAsia="es-ES"/>
        </w:rPr>
        <w:t>LEY DE GARANTÍAS ELECTORALES ‒ Artículo 33 ‒ Ámbito material</w:t>
      </w:r>
    </w:p>
    <w:p w14:paraId="240BBE6F" w14:textId="77777777" w:rsidR="00D76360" w:rsidRDefault="00D76360" w:rsidP="00D76360">
      <w:pPr>
        <w:spacing w:after="0" w:line="240" w:lineRule="auto"/>
        <w:jc w:val="both"/>
        <w:rPr>
          <w:rFonts w:ascii="Verdana" w:eastAsia="Calibri" w:hAnsi="Verdana" w:cs="Arial"/>
          <w:sz w:val="20"/>
          <w:szCs w:val="20"/>
          <w:lang w:eastAsia="es-ES"/>
        </w:rPr>
      </w:pPr>
    </w:p>
    <w:p w14:paraId="7A259350" w14:textId="55201E3B" w:rsidR="00B4359B" w:rsidRDefault="00263348" w:rsidP="00D76360">
      <w:pPr>
        <w:spacing w:after="0" w:line="240" w:lineRule="auto"/>
        <w:jc w:val="both"/>
        <w:rPr>
          <w:rFonts w:ascii="Verdana" w:eastAsia="Calibri" w:hAnsi="Verdana" w:cs="Arial"/>
          <w:sz w:val="20"/>
          <w:szCs w:val="20"/>
        </w:rPr>
      </w:pPr>
      <w:r w:rsidRPr="00263348">
        <w:rPr>
          <w:rFonts w:ascii="Verdana" w:eastAsia="Arial" w:hAnsi="Verdana" w:cs="Arial"/>
          <w:sz w:val="20"/>
          <w:szCs w:val="20"/>
          <w:lang w:eastAsia="es-ES" w:bidi="es-ES"/>
        </w:rPr>
        <w:t xml:space="preserve">Ahora bien, </w:t>
      </w:r>
      <w:r w:rsidRPr="00263348">
        <w:rPr>
          <w:rFonts w:ascii="Verdana" w:eastAsia="Calibri" w:hAnsi="Verdana" w:cs="Arial"/>
          <w:sz w:val="20"/>
          <w:szCs w:val="20"/>
          <w:lang w:eastAsia="es-ES" w:bidi="es-ES"/>
        </w:rPr>
        <w:t xml:space="preserve">es necesario precisar el alcance de la prohibición </w:t>
      </w:r>
      <w:r w:rsidRPr="00263348">
        <w:rPr>
          <w:rFonts w:ascii="Verdana" w:eastAsia="Arial" w:hAnsi="Verdana" w:cs="Arial"/>
          <w:sz w:val="20"/>
          <w:szCs w:val="20"/>
          <w:lang w:eastAsia="es-ES" w:bidi="es-ES"/>
        </w:rPr>
        <w:t>establecida en e</w:t>
      </w:r>
      <w:r w:rsidRPr="00263348">
        <w:rPr>
          <w:rFonts w:ascii="Verdana" w:eastAsia="Calibri" w:hAnsi="Verdana" w:cs="Arial"/>
          <w:sz w:val="20"/>
          <w:szCs w:val="20"/>
        </w:rPr>
        <w:t xml:space="preserve">l </w:t>
      </w:r>
      <w:r w:rsidRPr="00263348">
        <w:rPr>
          <w:rFonts w:ascii="Verdana" w:eastAsia="Times New Roman" w:hAnsi="Verdana" w:cs="Arial"/>
          <w:sz w:val="20"/>
          <w:szCs w:val="20"/>
        </w:rPr>
        <w:t xml:space="preserve">artículo 33 de la Ley 996 de 2005. El ámbito material de esta prohibición está delimitado por la expresión </w:t>
      </w:r>
      <w:r w:rsidRPr="00263348">
        <w:rPr>
          <w:rFonts w:ascii="Verdana" w:eastAsia="Calibri" w:hAnsi="Verdana" w:cs="Arial"/>
          <w:bCs/>
          <w:sz w:val="20"/>
          <w:szCs w:val="20"/>
        </w:rPr>
        <w:t>“</w:t>
      </w:r>
      <w:r w:rsidRPr="00263348">
        <w:rPr>
          <w:rFonts w:ascii="Verdana" w:eastAsia="Times New Roman" w:hAnsi="Verdana" w:cs="Arial"/>
          <w:sz w:val="20"/>
          <w:szCs w:val="20"/>
        </w:rPr>
        <w:t>queda prohibida la contratación directa</w:t>
      </w:r>
      <w:r w:rsidRPr="00263348">
        <w:rPr>
          <w:rFonts w:ascii="Verdana" w:eastAsia="Calibri" w:hAnsi="Verdana" w:cs="Arial"/>
          <w:sz w:val="20"/>
          <w:szCs w:val="20"/>
        </w:rPr>
        <w:t>”</w:t>
      </w:r>
      <w:r>
        <w:rPr>
          <w:rFonts w:ascii="Verdana" w:eastAsia="Calibri" w:hAnsi="Verdana" w:cs="Arial"/>
          <w:sz w:val="20"/>
          <w:szCs w:val="20"/>
        </w:rPr>
        <w:t>.</w:t>
      </w:r>
    </w:p>
    <w:p w14:paraId="18BEA88D" w14:textId="77777777" w:rsidR="00263348" w:rsidRDefault="00263348" w:rsidP="00D76360">
      <w:pPr>
        <w:spacing w:after="0" w:line="240" w:lineRule="auto"/>
        <w:jc w:val="both"/>
        <w:rPr>
          <w:rFonts w:ascii="Verdana" w:eastAsia="Calibri" w:hAnsi="Verdana" w:cs="Arial"/>
          <w:sz w:val="20"/>
          <w:szCs w:val="20"/>
        </w:rPr>
      </w:pPr>
    </w:p>
    <w:p w14:paraId="07A8A267" w14:textId="347E3370" w:rsidR="00263348" w:rsidRPr="00263348" w:rsidRDefault="00263348" w:rsidP="00D76360">
      <w:pPr>
        <w:spacing w:after="0" w:line="240" w:lineRule="auto"/>
        <w:jc w:val="both"/>
        <w:rPr>
          <w:rFonts w:ascii="Verdana" w:eastAsia="Calibri" w:hAnsi="Verdana" w:cs="Arial"/>
          <w:sz w:val="20"/>
          <w:szCs w:val="20"/>
          <w:lang w:eastAsia="es-ES"/>
        </w:rPr>
      </w:pPr>
      <w:r w:rsidRPr="00263348">
        <w:rPr>
          <w:rFonts w:ascii="Verdana" w:eastAsia="Times New Roman" w:hAnsi="Verdana" w:cs="Arial"/>
          <w:sz w:val="20"/>
          <w:szCs w:val="20"/>
          <w:lang w:eastAsia="x-none"/>
        </w:rPr>
        <w:t xml:space="preserve">[…] De acuerdo con este concepto, la prohibición del artículo 33 de la Ley de Garantías Electorales se refiere a </w:t>
      </w:r>
      <w:r w:rsidRPr="00263348">
        <w:rPr>
          <w:rFonts w:ascii="Verdana" w:eastAsia="Times New Roman" w:hAnsi="Verdana" w:cs="Arial"/>
          <w:sz w:val="20"/>
          <w:szCs w:val="20"/>
          <w:lang w:eastAsia="en-GB"/>
        </w:rPr>
        <w:t>“</w:t>
      </w:r>
      <w:r w:rsidRPr="00263348">
        <w:rPr>
          <w:rFonts w:ascii="Verdana" w:eastAsia="Times New Roman" w:hAnsi="Verdana" w:cs="Arial"/>
          <w:sz w:val="20"/>
          <w:szCs w:val="20"/>
          <w:lang w:eastAsia="x-none"/>
        </w:rPr>
        <w:t>cualquier sistema que no implique convocatoria pública y posibilidad de pluralidad de oferentes</w:t>
      </w:r>
      <w:r w:rsidRPr="00263348">
        <w:rPr>
          <w:rFonts w:ascii="Verdana" w:eastAsia="Times New Roman" w:hAnsi="Verdana" w:cs="Arial"/>
          <w:sz w:val="20"/>
          <w:szCs w:val="20"/>
          <w:lang w:eastAsia="en-GB"/>
        </w:rPr>
        <w:t>”</w:t>
      </w:r>
      <w:r w:rsidRPr="00263348">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263348">
        <w:rPr>
          <w:rFonts w:ascii="Verdana" w:eastAsia="Times New Roman" w:hAnsi="Verdana" w:cs="Arial"/>
          <w:sz w:val="20"/>
          <w:szCs w:val="20"/>
        </w:rPr>
        <w:t>y la mínima cuantía</w:t>
      </w:r>
      <w:r w:rsidRPr="00263348" w:rsidDel="00A85D9F">
        <w:rPr>
          <w:rFonts w:ascii="Verdana" w:eastAsia="Times New Roman" w:hAnsi="Verdana" w:cs="Arial"/>
          <w:sz w:val="20"/>
          <w:szCs w:val="20"/>
          <w:lang w:eastAsia="x-none"/>
        </w:rPr>
        <w:t xml:space="preserve"> </w:t>
      </w:r>
      <w:r w:rsidRPr="00263348">
        <w:rPr>
          <w:rFonts w:ascii="Verdana" w:eastAsia="Times New Roman" w:hAnsi="Verdana" w:cs="Arial"/>
          <w:sz w:val="20"/>
          <w:szCs w:val="20"/>
        </w:rPr>
        <w:t>u otros previstos en normas especiales.</w:t>
      </w:r>
    </w:p>
    <w:p w14:paraId="62BEA82B" w14:textId="77777777" w:rsidR="00D76360" w:rsidRDefault="00D76360" w:rsidP="00265B99">
      <w:pPr>
        <w:spacing w:after="0" w:line="240" w:lineRule="auto"/>
        <w:jc w:val="both"/>
        <w:rPr>
          <w:rFonts w:ascii="Verdana" w:eastAsia="Calibri" w:hAnsi="Verdana" w:cs="Arial"/>
          <w:b/>
          <w:bCs/>
          <w:sz w:val="20"/>
          <w:szCs w:val="20"/>
          <w:lang w:val="es-ES" w:eastAsia="es-ES"/>
        </w:rPr>
      </w:pPr>
    </w:p>
    <w:p w14:paraId="23973973" w14:textId="5ECB012C" w:rsidR="00263348" w:rsidRPr="00263348" w:rsidRDefault="00263348" w:rsidP="00265B99">
      <w:pPr>
        <w:spacing w:after="0" w:line="240" w:lineRule="auto"/>
        <w:jc w:val="both"/>
        <w:rPr>
          <w:rFonts w:ascii="Verdana" w:eastAsia="Calibri" w:hAnsi="Verdana" w:cs="Arial"/>
          <w:sz w:val="20"/>
          <w:szCs w:val="20"/>
          <w:lang w:val="es-ES" w:eastAsia="es-ES"/>
        </w:rPr>
      </w:pPr>
      <w:r w:rsidRPr="00263348">
        <w:rPr>
          <w:rFonts w:ascii="Verdana" w:eastAsia="Calibri" w:hAnsi="Verdana" w:cs="Arial"/>
          <w:sz w:val="20"/>
          <w:szCs w:val="20"/>
          <w:lang w:val="es-ES" w:eastAsia="es-ES"/>
        </w:rPr>
        <w:t xml:space="preserve">[…] </w:t>
      </w:r>
      <w:r w:rsidRPr="00263348">
        <w:rPr>
          <w:rFonts w:ascii="Verdana" w:eastAsia="Times New Roman" w:hAnsi="Verdana" w:cs="Arial"/>
          <w:sz w:val="20"/>
          <w:szCs w:val="20"/>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263348">
        <w:rPr>
          <w:rFonts w:ascii="Verdana" w:eastAsia="Times New Roman" w:hAnsi="Verdana" w:cs="Arial"/>
          <w:i/>
          <w:iCs/>
          <w:sz w:val="20"/>
          <w:szCs w:val="20"/>
          <w:lang w:eastAsia="es-CO"/>
        </w:rPr>
        <w:t>, sino también frente a las entidades que tengan un régimen especial de contratación</w:t>
      </w:r>
      <w:r w:rsidRPr="00263348">
        <w:rPr>
          <w:rFonts w:ascii="Verdana" w:eastAsia="Times New Roman" w:hAnsi="Verdana" w:cs="Arial"/>
          <w:sz w:val="20"/>
          <w:szCs w:val="20"/>
          <w:lang w:eastAsia="es-CO"/>
        </w:rPr>
        <w:t>.</w:t>
      </w:r>
    </w:p>
    <w:p w14:paraId="74D0AFED" w14:textId="77777777" w:rsidR="00D76360" w:rsidRPr="00263348" w:rsidRDefault="00D76360" w:rsidP="00265B99">
      <w:pPr>
        <w:spacing w:after="0" w:line="240" w:lineRule="auto"/>
        <w:jc w:val="both"/>
        <w:rPr>
          <w:rFonts w:ascii="Verdana" w:eastAsia="Calibri" w:hAnsi="Verdana" w:cs="Arial"/>
          <w:sz w:val="20"/>
          <w:szCs w:val="20"/>
          <w:lang w:val="es-ES" w:eastAsia="es-ES"/>
        </w:rPr>
      </w:pPr>
    </w:p>
    <w:p w14:paraId="6E368CC5" w14:textId="0E7D16E2" w:rsidR="00263348" w:rsidRDefault="00263348" w:rsidP="00265B99">
      <w:pPr>
        <w:spacing w:after="0" w:line="240" w:lineRule="auto"/>
        <w:jc w:val="both"/>
        <w:rPr>
          <w:rFonts w:ascii="Verdana" w:eastAsia="Calibri" w:hAnsi="Verdana" w:cs="Arial"/>
          <w:sz w:val="20"/>
          <w:szCs w:val="20"/>
          <w:lang w:val="es-ES" w:eastAsia="es-ES"/>
        </w:rPr>
      </w:pPr>
      <w:r w:rsidRPr="00263348">
        <w:rPr>
          <w:rFonts w:ascii="Verdana" w:eastAsia="Calibri" w:hAnsi="Verdana" w:cs="Arial"/>
          <w:sz w:val="20"/>
          <w:szCs w:val="20"/>
          <w:lang w:val="es-ES" w:eastAsia="es-ES"/>
        </w:rPr>
        <w:t>[…]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9135D6B" w14:textId="77777777" w:rsidR="00263348" w:rsidRDefault="00263348" w:rsidP="00265B99">
      <w:pPr>
        <w:spacing w:after="0" w:line="240" w:lineRule="auto"/>
        <w:jc w:val="both"/>
        <w:rPr>
          <w:rFonts w:ascii="Verdana" w:eastAsia="Calibri" w:hAnsi="Verdana" w:cs="Arial"/>
          <w:sz w:val="20"/>
          <w:szCs w:val="20"/>
          <w:lang w:val="es-ES" w:eastAsia="es-ES"/>
        </w:rPr>
      </w:pPr>
    </w:p>
    <w:p w14:paraId="05F68887" w14:textId="1C060715" w:rsidR="00263348" w:rsidRPr="00BB5A14" w:rsidRDefault="00263348" w:rsidP="00265B99">
      <w:pPr>
        <w:spacing w:after="0" w:line="240" w:lineRule="auto"/>
        <w:jc w:val="both"/>
        <w:rPr>
          <w:rFonts w:ascii="Verdana" w:hAnsi="Verdana" w:cs="Arial"/>
          <w:b/>
          <w:bCs/>
          <w:color w:val="000000" w:themeColor="text1"/>
        </w:rPr>
      </w:pPr>
      <w:r w:rsidRPr="00BB5A14">
        <w:rPr>
          <w:rFonts w:ascii="Verdana" w:eastAsia="Calibri" w:hAnsi="Verdana" w:cs="Arial"/>
          <w:b/>
          <w:bCs/>
          <w:lang w:val="es-ES" w:eastAsia="es-ES"/>
        </w:rPr>
        <w:t xml:space="preserve">LEY DE GARANTÍAS – Excepción - </w:t>
      </w:r>
      <w:r w:rsidRPr="00BB5A14">
        <w:rPr>
          <w:rFonts w:ascii="Verdana" w:hAnsi="Verdana" w:cs="Arial"/>
          <w:b/>
          <w:bCs/>
          <w:color w:val="000000" w:themeColor="text1"/>
        </w:rPr>
        <w:t>contratación por parte de entidades sanitarias y hospitalarias</w:t>
      </w:r>
    </w:p>
    <w:p w14:paraId="0907F3BF" w14:textId="77777777" w:rsidR="00263348" w:rsidRDefault="00263348" w:rsidP="00265B99">
      <w:pPr>
        <w:spacing w:after="0" w:line="240" w:lineRule="auto"/>
        <w:jc w:val="both"/>
        <w:rPr>
          <w:rFonts w:ascii="Verdana" w:hAnsi="Verdana" w:cs="Arial"/>
          <w:bCs/>
          <w:color w:val="000000" w:themeColor="text1"/>
        </w:rPr>
      </w:pPr>
    </w:p>
    <w:p w14:paraId="61C323D0" w14:textId="77777777" w:rsidR="00263348" w:rsidRPr="00263348" w:rsidRDefault="00263348" w:rsidP="00263348">
      <w:pPr>
        <w:spacing w:after="0" w:line="240" w:lineRule="auto"/>
        <w:jc w:val="both"/>
        <w:rPr>
          <w:rFonts w:ascii="Verdana" w:hAnsi="Verdana" w:cs="Arial"/>
          <w:bCs/>
          <w:color w:val="000000" w:themeColor="text1"/>
          <w:sz w:val="20"/>
          <w:szCs w:val="20"/>
        </w:rPr>
      </w:pPr>
      <w:r w:rsidRPr="00263348">
        <w:rPr>
          <w:rFonts w:ascii="Verdana" w:eastAsia="Arial" w:hAnsi="Verdana" w:cs="Arial"/>
          <w:bCs/>
          <w:color w:val="000000" w:themeColor="text1"/>
          <w:sz w:val="20"/>
          <w:szCs w:val="20"/>
        </w:rPr>
        <w:lastRenderedPageBreak/>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263348">
        <w:rPr>
          <w:rFonts w:ascii="Verdana" w:hAnsi="Verdana" w:cs="Arial"/>
          <w:bCs/>
          <w:color w:val="000000" w:themeColor="text1"/>
          <w:sz w:val="20"/>
          <w:szCs w:val="20"/>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1641D249" w14:textId="77777777" w:rsidR="00263348" w:rsidRPr="00263348" w:rsidRDefault="00263348" w:rsidP="00263348">
      <w:pPr>
        <w:tabs>
          <w:tab w:val="left" w:pos="709"/>
        </w:tabs>
        <w:spacing w:after="0" w:line="240" w:lineRule="auto"/>
        <w:jc w:val="both"/>
        <w:rPr>
          <w:rFonts w:ascii="Verdana" w:hAnsi="Verdana" w:cs="Arial"/>
          <w:bCs/>
          <w:color w:val="000000" w:themeColor="text1"/>
          <w:sz w:val="20"/>
          <w:szCs w:val="20"/>
        </w:rPr>
      </w:pPr>
      <w:r w:rsidRPr="00263348">
        <w:rPr>
          <w:rFonts w:ascii="Verdana" w:hAnsi="Verdana" w:cs="Arial"/>
          <w:bCs/>
          <w:color w:val="000000" w:themeColor="text1"/>
          <w:sz w:val="20"/>
          <w:szCs w:val="20"/>
        </w:rPr>
        <w:tab/>
        <w:t>i) La contratación referente a la defensa y seguridad del Estado;</w:t>
      </w:r>
    </w:p>
    <w:p w14:paraId="762CE753" w14:textId="77777777" w:rsidR="00263348" w:rsidRPr="00263348" w:rsidRDefault="00263348" w:rsidP="00263348">
      <w:pPr>
        <w:tabs>
          <w:tab w:val="left" w:pos="709"/>
        </w:tabs>
        <w:spacing w:after="0" w:line="240" w:lineRule="auto"/>
        <w:jc w:val="both"/>
        <w:rPr>
          <w:rFonts w:ascii="Verdana" w:hAnsi="Verdana" w:cs="Arial"/>
          <w:bCs/>
          <w:color w:val="000000" w:themeColor="text1"/>
          <w:sz w:val="20"/>
          <w:szCs w:val="20"/>
        </w:rPr>
      </w:pPr>
      <w:r w:rsidRPr="00263348">
        <w:rPr>
          <w:rFonts w:ascii="Verdana" w:hAnsi="Verdana" w:cs="Arial"/>
          <w:bCs/>
          <w:color w:val="000000" w:themeColor="text1"/>
          <w:sz w:val="20"/>
          <w:szCs w:val="20"/>
        </w:rPr>
        <w:tab/>
      </w:r>
      <w:proofErr w:type="spellStart"/>
      <w:r w:rsidRPr="00263348">
        <w:rPr>
          <w:rFonts w:ascii="Verdana" w:hAnsi="Verdana" w:cs="Arial"/>
          <w:bCs/>
          <w:color w:val="000000" w:themeColor="text1"/>
          <w:sz w:val="20"/>
          <w:szCs w:val="20"/>
        </w:rPr>
        <w:t>ii</w:t>
      </w:r>
      <w:proofErr w:type="spellEnd"/>
      <w:r w:rsidRPr="00263348">
        <w:rPr>
          <w:rFonts w:ascii="Verdana" w:hAnsi="Verdana" w:cs="Arial"/>
          <w:bCs/>
          <w:color w:val="000000" w:themeColor="text1"/>
          <w:sz w:val="20"/>
          <w:szCs w:val="20"/>
        </w:rPr>
        <w:t>) Los contratos de crédito público;</w:t>
      </w:r>
    </w:p>
    <w:p w14:paraId="33B34CD2" w14:textId="77777777" w:rsidR="00263348" w:rsidRPr="00263348" w:rsidRDefault="00263348" w:rsidP="00263348">
      <w:pPr>
        <w:tabs>
          <w:tab w:val="left" w:pos="709"/>
        </w:tabs>
        <w:spacing w:after="0" w:line="240" w:lineRule="auto"/>
        <w:jc w:val="both"/>
        <w:rPr>
          <w:rFonts w:ascii="Verdana" w:hAnsi="Verdana" w:cs="Arial"/>
          <w:bCs/>
          <w:color w:val="000000" w:themeColor="text1"/>
          <w:sz w:val="20"/>
          <w:szCs w:val="20"/>
        </w:rPr>
      </w:pPr>
      <w:r w:rsidRPr="00263348">
        <w:rPr>
          <w:rFonts w:ascii="Verdana" w:hAnsi="Verdana" w:cs="Arial"/>
          <w:bCs/>
          <w:color w:val="000000" w:themeColor="text1"/>
          <w:sz w:val="20"/>
          <w:szCs w:val="20"/>
        </w:rPr>
        <w:tab/>
      </w:r>
      <w:proofErr w:type="spellStart"/>
      <w:r w:rsidRPr="00263348">
        <w:rPr>
          <w:rFonts w:ascii="Verdana" w:hAnsi="Verdana" w:cs="Arial"/>
          <w:bCs/>
          <w:color w:val="000000" w:themeColor="text1"/>
          <w:sz w:val="20"/>
          <w:szCs w:val="20"/>
        </w:rPr>
        <w:t>iii</w:t>
      </w:r>
      <w:proofErr w:type="spellEnd"/>
      <w:r w:rsidRPr="00263348">
        <w:rPr>
          <w:rFonts w:ascii="Verdana" w:hAnsi="Verdana" w:cs="Arial"/>
          <w:bCs/>
          <w:color w:val="000000" w:themeColor="text1"/>
          <w:sz w:val="20"/>
          <w:szCs w:val="20"/>
        </w:rPr>
        <w:t xml:space="preserve">) Los contratos requeridos para cubrir las emergencias educativas, sanitarias y desastres; </w:t>
      </w:r>
    </w:p>
    <w:p w14:paraId="0096DCE6" w14:textId="77777777" w:rsidR="00263348" w:rsidRPr="00263348" w:rsidRDefault="00263348" w:rsidP="00263348">
      <w:pPr>
        <w:tabs>
          <w:tab w:val="left" w:pos="709"/>
        </w:tabs>
        <w:spacing w:after="0" w:line="240" w:lineRule="auto"/>
        <w:jc w:val="both"/>
        <w:rPr>
          <w:rFonts w:ascii="Verdana" w:hAnsi="Verdana" w:cs="Arial"/>
          <w:bCs/>
          <w:color w:val="000000" w:themeColor="text1"/>
          <w:sz w:val="20"/>
          <w:szCs w:val="20"/>
        </w:rPr>
      </w:pPr>
      <w:r w:rsidRPr="00263348">
        <w:rPr>
          <w:rFonts w:ascii="Verdana" w:hAnsi="Verdana" w:cs="Arial"/>
          <w:bCs/>
          <w:color w:val="000000" w:themeColor="text1"/>
          <w:sz w:val="20"/>
          <w:szCs w:val="20"/>
        </w:rPr>
        <w:tab/>
      </w:r>
      <w:proofErr w:type="spellStart"/>
      <w:r w:rsidRPr="00263348">
        <w:rPr>
          <w:rFonts w:ascii="Verdana" w:hAnsi="Verdana" w:cs="Arial"/>
          <w:bCs/>
          <w:color w:val="000000" w:themeColor="text1"/>
          <w:sz w:val="20"/>
          <w:szCs w:val="20"/>
        </w:rPr>
        <w:t>iv</w:t>
      </w:r>
      <w:proofErr w:type="spellEnd"/>
      <w:r w:rsidRPr="00263348">
        <w:rPr>
          <w:rFonts w:ascii="Verdana" w:hAnsi="Verdana" w:cs="Arial"/>
          <w:bCs/>
          <w:color w:val="000000" w:themeColor="text1"/>
          <w:sz w:val="20"/>
          <w:szCs w:val="20"/>
        </w:rPr>
        <w:t>) La contratación para la reconstrucción de vías, puentes, carreteras, infraestructura energética y de comunicaciones, en caso de que hayan sido objeto de atentados, acciones terroristas, desastres naturales o casos de fuerza mayor y;</w:t>
      </w:r>
    </w:p>
    <w:p w14:paraId="36A51768" w14:textId="77777777" w:rsidR="00263348" w:rsidRPr="00263348" w:rsidRDefault="00263348" w:rsidP="00263348">
      <w:pPr>
        <w:tabs>
          <w:tab w:val="left" w:pos="709"/>
        </w:tabs>
        <w:spacing w:after="0" w:line="240" w:lineRule="auto"/>
        <w:jc w:val="both"/>
        <w:rPr>
          <w:rFonts w:ascii="Verdana" w:hAnsi="Verdana" w:cs="Arial"/>
          <w:bCs/>
          <w:color w:val="000000" w:themeColor="text1"/>
          <w:sz w:val="20"/>
          <w:szCs w:val="20"/>
        </w:rPr>
      </w:pPr>
      <w:r w:rsidRPr="00263348">
        <w:rPr>
          <w:rFonts w:ascii="Verdana" w:hAnsi="Verdana" w:cs="Arial"/>
          <w:bCs/>
          <w:color w:val="000000" w:themeColor="text1"/>
          <w:sz w:val="20"/>
          <w:szCs w:val="20"/>
        </w:rPr>
        <w:tab/>
        <w:t xml:space="preserve">v) La contratación que deban realizar las entidades sanitarias y hospitalarias. </w:t>
      </w:r>
    </w:p>
    <w:p w14:paraId="5DDC26A3" w14:textId="77777777" w:rsidR="00263348" w:rsidRPr="00263348" w:rsidRDefault="00263348" w:rsidP="00265B99">
      <w:pPr>
        <w:spacing w:after="0" w:line="240" w:lineRule="auto"/>
        <w:jc w:val="both"/>
        <w:rPr>
          <w:rFonts w:ascii="Verdana" w:eastAsia="Calibri" w:hAnsi="Verdana" w:cs="Arial"/>
          <w:sz w:val="20"/>
          <w:szCs w:val="20"/>
          <w:lang w:eastAsia="es-ES"/>
        </w:rPr>
      </w:pPr>
    </w:p>
    <w:p w14:paraId="0FB5E4E3" w14:textId="77777777" w:rsidR="00263348" w:rsidRPr="00263348" w:rsidRDefault="00263348" w:rsidP="00263348">
      <w:pPr>
        <w:tabs>
          <w:tab w:val="left" w:pos="426"/>
        </w:tabs>
        <w:spacing w:after="0" w:line="240" w:lineRule="auto"/>
        <w:jc w:val="both"/>
        <w:rPr>
          <w:rFonts w:ascii="Verdana" w:hAnsi="Verdana" w:cs="Arial"/>
          <w:bCs/>
          <w:color w:val="000000" w:themeColor="text1"/>
          <w:sz w:val="20"/>
          <w:szCs w:val="20"/>
        </w:rPr>
      </w:pPr>
      <w:r w:rsidRPr="00263348">
        <w:rPr>
          <w:rFonts w:ascii="Verdana" w:hAnsi="Verdana"/>
          <w:sz w:val="20"/>
          <w:szCs w:val="20"/>
        </w:rPr>
        <w:t xml:space="preserve">[…] </w:t>
      </w:r>
      <w:r w:rsidRPr="00263348">
        <w:rPr>
          <w:rFonts w:ascii="Verdana" w:hAnsi="Verdana" w:cs="Arial"/>
          <w:bCs/>
          <w:color w:val="000000" w:themeColor="text1"/>
          <w:sz w:val="20"/>
          <w:szCs w:val="20"/>
        </w:rPr>
        <w:t>Lo anterior implica que las excepciones al artículo 33 en comento deben interpretarse y aplicarse de manera estricta. En otras palabras, no es factible hacer interpretaciones extensivas</w:t>
      </w:r>
      <w:r w:rsidRPr="00263348">
        <w:rPr>
          <w:rFonts w:ascii="Verdana" w:hAnsi="Verdana" w:cs="Arial"/>
          <w:bCs/>
          <w:i/>
          <w:iCs/>
          <w:color w:val="000000" w:themeColor="text1"/>
          <w:sz w:val="20"/>
          <w:szCs w:val="20"/>
        </w:rPr>
        <w:t xml:space="preserve"> </w:t>
      </w:r>
      <w:r w:rsidRPr="00263348">
        <w:rPr>
          <w:rFonts w:ascii="Verdana" w:hAnsi="Verdana" w:cs="Arial"/>
          <w:bCs/>
          <w:color w:val="000000" w:themeColor="text1"/>
          <w:sz w:val="20"/>
          <w:szCs w:val="20"/>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0831C42C" w14:textId="501A9010" w:rsidR="00D76360" w:rsidRDefault="00D76360" w:rsidP="00265B99">
      <w:pPr>
        <w:spacing w:after="0" w:line="240" w:lineRule="auto"/>
        <w:jc w:val="both"/>
        <w:rPr>
          <w:rFonts w:ascii="Verdana" w:hAnsi="Verdana"/>
        </w:rPr>
      </w:pPr>
    </w:p>
    <w:p w14:paraId="10C080FD" w14:textId="39DE3434" w:rsidR="00263348" w:rsidRDefault="00041E99" w:rsidP="00265B99">
      <w:pPr>
        <w:spacing w:after="0" w:line="240" w:lineRule="auto"/>
        <w:jc w:val="both"/>
        <w:rPr>
          <w:rFonts w:ascii="Verdana" w:eastAsia="Calibri" w:hAnsi="Verdana" w:cs="Arial"/>
          <w:b/>
          <w:bCs/>
          <w:lang w:val="es-ES" w:eastAsia="es-ES"/>
        </w:rPr>
      </w:pPr>
      <w:r w:rsidRPr="00041E99">
        <w:rPr>
          <w:rFonts w:ascii="Verdana" w:eastAsia="Calibri" w:hAnsi="Verdana" w:cs="Arial"/>
          <w:b/>
          <w:bCs/>
          <w:lang w:val="es-ES" w:eastAsia="es-ES"/>
        </w:rPr>
        <w:t>LEY DE GARANTÍAS ELECTORALES – Artículo 38</w:t>
      </w:r>
    </w:p>
    <w:p w14:paraId="7383F0C9" w14:textId="77777777" w:rsidR="00BB5A14" w:rsidRDefault="00BB5A14" w:rsidP="00BB5A14">
      <w:pPr>
        <w:spacing w:after="0" w:line="240" w:lineRule="auto"/>
        <w:jc w:val="both"/>
        <w:rPr>
          <w:rFonts w:ascii="Verdana" w:eastAsia="Arial" w:hAnsi="Verdana" w:cs="Arial"/>
          <w:bCs/>
          <w:color w:val="000000" w:themeColor="text1"/>
          <w:sz w:val="20"/>
          <w:szCs w:val="20"/>
        </w:rPr>
      </w:pPr>
    </w:p>
    <w:p w14:paraId="4D52498B" w14:textId="271F36BE" w:rsidR="00BB5A14" w:rsidRPr="00BB5A14" w:rsidRDefault="00BB5A14" w:rsidP="00BB5A14">
      <w:pPr>
        <w:spacing w:after="0" w:line="240" w:lineRule="auto"/>
        <w:jc w:val="both"/>
        <w:rPr>
          <w:rFonts w:ascii="Verdana" w:eastAsia="Arial" w:hAnsi="Verdana" w:cs="Arial"/>
          <w:bCs/>
          <w:color w:val="000000" w:themeColor="text1"/>
          <w:sz w:val="20"/>
          <w:szCs w:val="20"/>
          <w:highlight w:val="yellow"/>
        </w:rPr>
      </w:pPr>
      <w:r w:rsidRPr="00BB5A14">
        <w:rPr>
          <w:rFonts w:ascii="Verdana" w:eastAsia="Arial" w:hAnsi="Verdana" w:cs="Arial"/>
          <w:bCs/>
          <w:color w:val="000000" w:themeColor="text1"/>
          <w:sz w:val="20"/>
          <w:szCs w:val="20"/>
        </w:rPr>
        <w:t xml:space="preserve">Por otro lado, la prohibición establecida en el </w:t>
      </w:r>
      <w:r w:rsidRPr="00BB5A14">
        <w:rPr>
          <w:rFonts w:ascii="Verdana" w:eastAsia="Arial" w:hAnsi="Verdana" w:cs="Arial"/>
          <w:bCs/>
          <w:i/>
          <w:iCs/>
          <w:color w:val="000000" w:themeColor="text1"/>
          <w:sz w:val="20"/>
          <w:szCs w:val="20"/>
        </w:rPr>
        <w:t xml:space="preserve">parágrafo del artículo 38 </w:t>
      </w:r>
      <w:r w:rsidRPr="00BB5A14">
        <w:rPr>
          <w:rFonts w:ascii="Verdana" w:eastAsia="Calibri" w:hAnsi="Verdana" w:cs="Arial"/>
          <w:bCs/>
          <w:sz w:val="20"/>
          <w:szCs w:val="20"/>
        </w:rPr>
        <w:t xml:space="preserve">de la Ley 996 de 2005 dispone que “los Gobernadores, </w:t>
      </w:r>
      <w:proofErr w:type="gramStart"/>
      <w:r w:rsidRPr="00BB5A14">
        <w:rPr>
          <w:rFonts w:ascii="Verdana" w:eastAsia="Calibri" w:hAnsi="Verdana" w:cs="Arial"/>
          <w:bCs/>
          <w:sz w:val="20"/>
          <w:szCs w:val="20"/>
        </w:rPr>
        <w:t>Alcaldes</w:t>
      </w:r>
      <w:proofErr w:type="gramEnd"/>
      <w:r w:rsidRPr="00BB5A14">
        <w:rPr>
          <w:rFonts w:ascii="Verdana" w:eastAsia="Calibri" w:hAnsi="Verdana" w:cs="Arial"/>
          <w:bCs/>
          <w:sz w:val="20"/>
          <w:szCs w:val="20"/>
        </w:rPr>
        <w:t xml:space="preserve"> Municipales y/o Distritales, </w:t>
      </w:r>
      <w:proofErr w:type="gramStart"/>
      <w:r w:rsidRPr="00BB5A14">
        <w:rPr>
          <w:rFonts w:ascii="Verdana" w:eastAsia="Calibri" w:hAnsi="Verdana" w:cs="Arial"/>
          <w:bCs/>
          <w:sz w:val="20"/>
          <w:szCs w:val="20"/>
        </w:rPr>
        <w:t>Secretarios</w:t>
      </w:r>
      <w:proofErr w:type="gramEnd"/>
      <w:r w:rsidRPr="00BB5A14">
        <w:rPr>
          <w:rFonts w:ascii="Verdana" w:eastAsia="Calibri" w:hAnsi="Verdana" w:cs="Arial"/>
          <w:bCs/>
          <w:sz w:val="20"/>
          <w:szCs w:val="20"/>
        </w:rPr>
        <w:t>, Gerentes y directores de Entidades Descentralizadas del orden Municipal, Departamental o Distrital, dentro de los cuatro (4) meses anteriores a las elecciones, no podrán celebrar convenios interadministrativos para la ejecución de recursos públicos”.</w:t>
      </w:r>
      <w:r w:rsidRPr="00BB5A14">
        <w:rPr>
          <w:rFonts w:ascii="Verdana" w:hAnsi="Verdana" w:cs="Arial"/>
          <w:bCs/>
          <w:iCs/>
          <w:sz w:val="20"/>
          <w:szCs w:val="20"/>
          <w:lang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BB5A14">
        <w:rPr>
          <w:rFonts w:ascii="Verdana" w:hAnsi="Verdana" w:cs="Arial"/>
          <w:sz w:val="20"/>
          <w:szCs w:val="20"/>
        </w:rPr>
        <w:t xml:space="preserve"> </w:t>
      </w:r>
    </w:p>
    <w:p w14:paraId="497EF8E5" w14:textId="77777777" w:rsidR="00BB5A14" w:rsidRDefault="00BB5A14" w:rsidP="00BB5A14">
      <w:pPr>
        <w:spacing w:after="0" w:line="240" w:lineRule="auto"/>
        <w:jc w:val="both"/>
        <w:rPr>
          <w:rFonts w:ascii="Verdana" w:hAnsi="Verdana" w:cs="Arial"/>
          <w:sz w:val="20"/>
          <w:szCs w:val="20"/>
        </w:rPr>
      </w:pPr>
    </w:p>
    <w:p w14:paraId="68DC47CA" w14:textId="78FE292F" w:rsidR="00BB5A14" w:rsidRPr="00BB5A14" w:rsidRDefault="00BB5A14" w:rsidP="00BB5A14">
      <w:pPr>
        <w:spacing w:after="0" w:line="240" w:lineRule="auto"/>
        <w:jc w:val="both"/>
        <w:rPr>
          <w:rFonts w:ascii="Verdana" w:hAnsi="Verdana" w:cs="Arial"/>
          <w:sz w:val="20"/>
          <w:szCs w:val="20"/>
        </w:rPr>
      </w:pPr>
      <w:r w:rsidRPr="00BB5A14">
        <w:rPr>
          <w:rFonts w:ascii="Verdana" w:hAnsi="Verdana" w:cs="Arial"/>
          <w:sz w:val="20"/>
          <w:szCs w:val="20"/>
        </w:rPr>
        <w:t xml:space="preserve">Aunque la ley no definió ni desarrolló </w:t>
      </w:r>
      <w:r w:rsidRPr="00BB5A14">
        <w:rPr>
          <w:rFonts w:ascii="Verdana" w:eastAsia="Calibri" w:hAnsi="Verdana" w:cs="Arial"/>
          <w:bCs/>
          <w:sz w:val="20"/>
          <w:szCs w:val="20"/>
        </w:rPr>
        <w:t>la tipología de convenios o contratos interadministrativos</w:t>
      </w:r>
      <w:r w:rsidRPr="00BB5A14">
        <w:rPr>
          <w:rFonts w:ascii="Verdana" w:hAnsi="Verdana" w:cs="Arial"/>
          <w:sz w:val="20"/>
          <w:szCs w:val="20"/>
        </w:rPr>
        <w:t>,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BB5A14">
        <w:rPr>
          <w:rFonts w:ascii="Verdana" w:hAnsi="Verdana" w:cs="Arial"/>
          <w:spacing w:val="-6"/>
          <w:sz w:val="20"/>
          <w:szCs w:val="20"/>
        </w:rPr>
        <w:t xml:space="preserve"> </w:t>
      </w:r>
      <w:r w:rsidRPr="00BB5A14">
        <w:rPr>
          <w:rFonts w:ascii="Verdana" w:hAnsi="Verdana" w:cs="Arial"/>
          <w:sz w:val="20"/>
          <w:szCs w:val="20"/>
        </w:rPr>
        <w:t>Estatales.</w:t>
      </w:r>
    </w:p>
    <w:p w14:paraId="165C9649" w14:textId="77777777" w:rsidR="00BB5A14" w:rsidRDefault="00BB5A14" w:rsidP="00BB5A14">
      <w:pPr>
        <w:spacing w:after="0" w:line="240" w:lineRule="auto"/>
        <w:jc w:val="both"/>
        <w:rPr>
          <w:rFonts w:ascii="Verdana" w:hAnsi="Verdana" w:cs="Arial"/>
          <w:sz w:val="20"/>
          <w:szCs w:val="20"/>
        </w:rPr>
      </w:pPr>
    </w:p>
    <w:p w14:paraId="65BAF89B" w14:textId="43E3D484" w:rsidR="00BB5A14" w:rsidRPr="00BB5A14" w:rsidRDefault="00BB5A14" w:rsidP="00BB5A14">
      <w:pPr>
        <w:spacing w:after="0" w:line="240" w:lineRule="auto"/>
        <w:jc w:val="both"/>
        <w:rPr>
          <w:rFonts w:ascii="Verdana" w:hAnsi="Verdana" w:cs="Arial"/>
          <w:sz w:val="20"/>
          <w:szCs w:val="20"/>
        </w:rPr>
      </w:pPr>
      <w:r w:rsidRPr="00BB5A14">
        <w:rPr>
          <w:rFonts w:ascii="Verdana" w:hAnsi="Verdana" w:cs="Arial"/>
          <w:sz w:val="20"/>
          <w:szCs w:val="20"/>
        </w:rPr>
        <w:t xml:space="preserve">Si bien los contratos o convenios interadministrativos están previstos en la Ley 80 de 1993, en la Ley 1150 de 2007 y en el Decreto en el 1082 de 2015, no quiere decir que solo puedan celebrarse entre Entidades Estatales que apliquen el régimen de </w:t>
      </w:r>
      <w:r w:rsidRPr="00BB5A14">
        <w:rPr>
          <w:rFonts w:ascii="Verdana" w:hAnsi="Verdana" w:cs="Arial"/>
          <w:sz w:val="20"/>
          <w:szCs w:val="20"/>
        </w:rPr>
        <w:lastRenderedPageBreak/>
        <w:t>contratación allí previsto, pues una Entidad Estatal sometida a la Ley 80 de 1993 puede celebrar esta clase de convenios con una de régimen especial y no por ello dejará de ser un contrato o convenio interadministrativo.</w:t>
      </w:r>
    </w:p>
    <w:p w14:paraId="08DC6995" w14:textId="77777777" w:rsidR="00BB5A14" w:rsidRDefault="00BB5A14" w:rsidP="00BB5A14">
      <w:pPr>
        <w:spacing w:after="0" w:line="240" w:lineRule="auto"/>
        <w:jc w:val="both"/>
        <w:rPr>
          <w:rFonts w:ascii="Verdana" w:hAnsi="Verdana" w:cs="Arial"/>
          <w:sz w:val="20"/>
          <w:szCs w:val="20"/>
        </w:rPr>
      </w:pPr>
    </w:p>
    <w:p w14:paraId="50E0458C" w14:textId="27B94017" w:rsidR="00BB5A14" w:rsidRDefault="00BB5A14" w:rsidP="00BB5A14">
      <w:pPr>
        <w:spacing w:after="0" w:line="240" w:lineRule="auto"/>
        <w:jc w:val="both"/>
        <w:rPr>
          <w:rFonts w:ascii="Verdana" w:hAnsi="Verdana" w:cs="Arial"/>
          <w:sz w:val="20"/>
          <w:szCs w:val="20"/>
        </w:rPr>
      </w:pPr>
      <w:r w:rsidRPr="00BB5A14">
        <w:rPr>
          <w:rFonts w:ascii="Verdana" w:hAnsi="Verdana" w:cs="Arial"/>
          <w:sz w:val="20"/>
          <w:szCs w:val="20"/>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 Nótese que, en este caso, lo que cambia es la modalidad de selección y no la naturaleza de contrato</w:t>
      </w:r>
      <w:r w:rsidRPr="00BB5A14">
        <w:rPr>
          <w:rFonts w:ascii="Verdana" w:hAnsi="Verdana" w:cs="Arial"/>
          <w:spacing w:val="-18"/>
          <w:sz w:val="20"/>
          <w:szCs w:val="20"/>
        </w:rPr>
        <w:t xml:space="preserve"> </w:t>
      </w:r>
      <w:r w:rsidRPr="00BB5A14">
        <w:rPr>
          <w:rFonts w:ascii="Verdana" w:hAnsi="Verdana" w:cs="Arial"/>
          <w:sz w:val="20"/>
          <w:szCs w:val="20"/>
        </w:rPr>
        <w:t>interadministrativo.</w:t>
      </w:r>
    </w:p>
    <w:p w14:paraId="1F240516" w14:textId="77777777" w:rsidR="00BB5A14" w:rsidRPr="00BB5A14" w:rsidRDefault="00BB5A14" w:rsidP="00BB5A14">
      <w:pPr>
        <w:spacing w:after="0" w:line="240" w:lineRule="auto"/>
        <w:jc w:val="both"/>
        <w:rPr>
          <w:rFonts w:ascii="Verdana" w:hAnsi="Verdana" w:cs="Arial"/>
          <w:sz w:val="20"/>
          <w:szCs w:val="20"/>
        </w:rPr>
      </w:pPr>
    </w:p>
    <w:p w14:paraId="46D8F3A3" w14:textId="77777777" w:rsidR="00BB5A14" w:rsidRPr="00BB5A14" w:rsidRDefault="00BB5A14" w:rsidP="00BB5A14">
      <w:pPr>
        <w:spacing w:after="0" w:line="240" w:lineRule="auto"/>
        <w:jc w:val="both"/>
        <w:rPr>
          <w:rFonts w:ascii="Verdana" w:eastAsia="Calibri" w:hAnsi="Verdana" w:cs="Arial"/>
          <w:bCs/>
          <w:sz w:val="20"/>
          <w:szCs w:val="20"/>
        </w:rPr>
      </w:pPr>
      <w:r w:rsidRPr="00BB5A14">
        <w:rPr>
          <w:rFonts w:ascii="Verdana" w:hAnsi="Verdana" w:cs="Arial"/>
          <w:sz w:val="20"/>
          <w:szCs w:val="20"/>
        </w:rPr>
        <w:t>Teniendo en cuenta lo anterior, se reitera la conclusión de que los contratos o convenios interadministrativos están definidos por la naturaleza de las partes, de manera que se identifican por un criterio orgánico y serán aquellos celebrados entre entidades estatales. Además, no existe una definición legal que diferencie los conceptos de contrato y convenio, por lo que esta Agencia ha considerado que se asimilan para la aplicación de la Ley de Garantías. En tal sentido, las referencias realizadas por el legislador a estos términos deben asimilarse, salvo que de su contenido se logre inferir que se le quiere otorgar un contenido en particular, pues el legislador utiliza estos conceptos de forma indistinta.</w:t>
      </w:r>
    </w:p>
    <w:p w14:paraId="31D8AC2B" w14:textId="77777777" w:rsidR="00BB5A14" w:rsidRDefault="00BB5A14" w:rsidP="00BB5A14">
      <w:pPr>
        <w:spacing w:after="0" w:line="240" w:lineRule="auto"/>
        <w:jc w:val="both"/>
        <w:rPr>
          <w:rFonts w:ascii="Verdana" w:eastAsia="Calibri" w:hAnsi="Verdana" w:cs="Arial"/>
          <w:b/>
          <w:bCs/>
          <w:lang w:val="es-ES" w:eastAsia="es-ES"/>
        </w:rPr>
      </w:pPr>
    </w:p>
    <w:p w14:paraId="0C077DA6" w14:textId="68C39283" w:rsidR="00BB5A14" w:rsidRPr="00BB5A14" w:rsidRDefault="00BB5A14" w:rsidP="00BB5A14">
      <w:pPr>
        <w:spacing w:after="0" w:line="240" w:lineRule="auto"/>
        <w:jc w:val="both"/>
        <w:rPr>
          <w:rFonts w:ascii="Verdana" w:hAnsi="Verdana" w:cs="Arial"/>
          <w:b/>
          <w:bCs/>
          <w:sz w:val="20"/>
          <w:szCs w:val="20"/>
          <w:lang w:eastAsia="es-CO"/>
        </w:rPr>
      </w:pPr>
      <w:r w:rsidRPr="00BB5A14">
        <w:rPr>
          <w:rFonts w:ascii="Verdana" w:eastAsia="Calibri" w:hAnsi="Verdana" w:cs="Arial"/>
          <w:b/>
          <w:bCs/>
          <w:lang w:val="es-ES" w:eastAsia="es-ES"/>
        </w:rPr>
        <w:t>LEY DE GARANT</w:t>
      </w:r>
      <w:r>
        <w:rPr>
          <w:rFonts w:ascii="Verdana" w:eastAsia="Calibri" w:hAnsi="Verdana" w:cs="Arial"/>
          <w:b/>
          <w:bCs/>
          <w:lang w:val="es-ES" w:eastAsia="es-ES"/>
        </w:rPr>
        <w:t>ÍA</w:t>
      </w:r>
      <w:r w:rsidRPr="00BB5A14">
        <w:rPr>
          <w:rFonts w:ascii="Verdana" w:eastAsia="Calibri" w:hAnsi="Verdana" w:cs="Arial"/>
          <w:b/>
          <w:bCs/>
          <w:lang w:val="es-ES" w:eastAsia="es-ES"/>
        </w:rPr>
        <w:t xml:space="preserve">S ELECTORALES - Contratación </w:t>
      </w:r>
      <w:r w:rsidRPr="00BB5A14">
        <w:rPr>
          <w:rFonts w:ascii="Verdana" w:eastAsia="Arial" w:hAnsi="Verdana" w:cs="Arial"/>
          <w:b/>
          <w:bCs/>
          <w:color w:val="000000" w:themeColor="text1"/>
        </w:rPr>
        <w:t>Plan de Salud Pública de Intervenciones Colectivas</w:t>
      </w:r>
      <w:r w:rsidRPr="00BB5A14">
        <w:rPr>
          <w:rFonts w:ascii="Verdana" w:eastAsia="Calibri" w:hAnsi="Verdana" w:cs="Arial"/>
          <w:b/>
          <w:bCs/>
          <w:lang w:val="es-ES" w:eastAsia="es-ES"/>
        </w:rPr>
        <w:t xml:space="preserve"> -PIC-</w:t>
      </w:r>
    </w:p>
    <w:p w14:paraId="166BFD15" w14:textId="77777777" w:rsidR="00BB5A14" w:rsidRPr="00BB5A14" w:rsidRDefault="00BB5A14" w:rsidP="00BB5A14">
      <w:pPr>
        <w:spacing w:after="0" w:line="240" w:lineRule="auto"/>
        <w:ind w:firstLine="709"/>
        <w:jc w:val="both"/>
        <w:rPr>
          <w:rFonts w:ascii="Verdana" w:eastAsia="Calibri" w:hAnsi="Verdana" w:cs="Arial"/>
          <w:bCs/>
          <w:sz w:val="20"/>
          <w:szCs w:val="20"/>
        </w:rPr>
      </w:pPr>
    </w:p>
    <w:p w14:paraId="47D8D5D0" w14:textId="444ABD0E" w:rsidR="00BB5A14" w:rsidRPr="00BB5A14" w:rsidRDefault="00BB5A14" w:rsidP="00BB5A14">
      <w:pPr>
        <w:spacing w:after="0" w:line="240" w:lineRule="auto"/>
        <w:jc w:val="both"/>
        <w:rPr>
          <w:rFonts w:ascii="Verdana" w:eastAsia="Arial" w:hAnsi="Verdana" w:cs="Arial"/>
          <w:bCs/>
          <w:color w:val="000000" w:themeColor="text1"/>
          <w:sz w:val="20"/>
          <w:szCs w:val="20"/>
        </w:rPr>
      </w:pPr>
      <w:r w:rsidRPr="00BB5A14">
        <w:rPr>
          <w:rFonts w:ascii="Verdana" w:eastAsia="Arial" w:hAnsi="Verdana" w:cs="Arial"/>
          <w:bCs/>
          <w:color w:val="000000" w:themeColor="text1"/>
          <w:sz w:val="20"/>
          <w:szCs w:val="20"/>
        </w:rPr>
        <w:t xml:space="preserve">[…] las entidades que requieran adelantar procesos de contratación directa durante el periodo de garantías electorales deberán analizar, primero, si se configuran los supuestos establecidos en </w:t>
      </w:r>
      <w:r w:rsidRPr="00BB5A14">
        <w:rPr>
          <w:rFonts w:ascii="Verdana" w:eastAsia="Arial" w:hAnsi="Verdana" w:cs="Arial"/>
          <w:bCs/>
          <w:i/>
          <w:iCs/>
          <w:color w:val="000000" w:themeColor="text1"/>
          <w:sz w:val="20"/>
          <w:szCs w:val="20"/>
        </w:rPr>
        <w:t>el artículo 33</w:t>
      </w:r>
      <w:r w:rsidRPr="00BB5A14">
        <w:rPr>
          <w:rFonts w:ascii="Verdana" w:eastAsia="Arial" w:hAnsi="Verdana" w:cs="Arial"/>
          <w:bCs/>
          <w:color w:val="000000" w:themeColor="text1"/>
          <w:sz w:val="20"/>
          <w:szCs w:val="20"/>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56C3722A" w14:textId="77777777" w:rsidR="00BB5A14" w:rsidRDefault="00BB5A14" w:rsidP="00BB5A14">
      <w:pPr>
        <w:spacing w:after="0" w:line="240" w:lineRule="auto"/>
        <w:jc w:val="both"/>
        <w:rPr>
          <w:rFonts w:ascii="Verdana" w:eastAsia="Arial" w:hAnsi="Verdana" w:cs="Arial"/>
          <w:bCs/>
          <w:color w:val="000000" w:themeColor="text1"/>
          <w:sz w:val="20"/>
          <w:szCs w:val="20"/>
        </w:rPr>
      </w:pPr>
    </w:p>
    <w:p w14:paraId="648F5577" w14:textId="1C507C76" w:rsidR="00BB5A14" w:rsidRPr="00BB5A14" w:rsidRDefault="00BB5A14" w:rsidP="00BB5A14">
      <w:pPr>
        <w:spacing w:after="0" w:line="240" w:lineRule="auto"/>
        <w:jc w:val="both"/>
        <w:rPr>
          <w:rFonts w:ascii="Verdana" w:eastAsia="Arial" w:hAnsi="Verdana" w:cs="Arial"/>
          <w:bCs/>
          <w:color w:val="000000" w:themeColor="text1"/>
          <w:sz w:val="20"/>
          <w:szCs w:val="20"/>
        </w:rPr>
      </w:pPr>
      <w:r w:rsidRPr="00BB5A14">
        <w:rPr>
          <w:rFonts w:ascii="Verdana" w:eastAsia="Arial" w:hAnsi="Verdana" w:cs="Arial"/>
          <w:bCs/>
          <w:color w:val="000000" w:themeColor="text1"/>
          <w:sz w:val="20"/>
          <w:szCs w:val="20"/>
        </w:rPr>
        <w:t xml:space="preserve">Con respecto a la prohibición del </w:t>
      </w:r>
      <w:r w:rsidRPr="00BB5A14">
        <w:rPr>
          <w:rFonts w:ascii="Verdana" w:eastAsia="Arial" w:hAnsi="Verdana" w:cs="Arial"/>
          <w:bCs/>
          <w:i/>
          <w:iCs/>
          <w:color w:val="000000" w:themeColor="text1"/>
          <w:sz w:val="20"/>
          <w:szCs w:val="20"/>
        </w:rPr>
        <w:t>parágrafo del artículo 38</w:t>
      </w:r>
      <w:r w:rsidRPr="00BB5A14">
        <w:rPr>
          <w:rFonts w:ascii="Verdana" w:eastAsia="Arial" w:hAnsi="Verdana" w:cs="Arial"/>
          <w:bCs/>
          <w:color w:val="000000" w:themeColor="text1"/>
          <w:sz w:val="20"/>
          <w:szCs w:val="20"/>
        </w:rPr>
        <w:t>, es necesario verificar si la contratación del PIC es llevada a cabo por “</w:t>
      </w:r>
      <w:proofErr w:type="gramStart"/>
      <w:r w:rsidRPr="00BB5A14">
        <w:rPr>
          <w:rFonts w:ascii="Verdana" w:eastAsia="Arial" w:hAnsi="Verdana" w:cs="Arial"/>
          <w:bCs/>
          <w:color w:val="000000" w:themeColor="text1"/>
          <w:sz w:val="20"/>
          <w:szCs w:val="20"/>
        </w:rPr>
        <w:t>Alcaldes</w:t>
      </w:r>
      <w:proofErr w:type="gramEnd"/>
      <w:r w:rsidRPr="00BB5A14">
        <w:rPr>
          <w:rFonts w:ascii="Verdana" w:eastAsia="Arial" w:hAnsi="Verdana" w:cs="Arial"/>
          <w:bCs/>
          <w:color w:val="000000" w:themeColor="text1"/>
          <w:sz w:val="20"/>
          <w:szCs w:val="20"/>
        </w:rPr>
        <w:t xml:space="preserve">, Gobernadores, </w:t>
      </w:r>
      <w:proofErr w:type="gramStart"/>
      <w:r w:rsidRPr="00BB5A14">
        <w:rPr>
          <w:rFonts w:ascii="Verdana" w:eastAsia="Arial" w:hAnsi="Verdana" w:cs="Arial"/>
          <w:bCs/>
          <w:color w:val="000000" w:themeColor="text1"/>
          <w:sz w:val="20"/>
          <w:szCs w:val="20"/>
        </w:rPr>
        <w:t>Secretarios</w:t>
      </w:r>
      <w:proofErr w:type="gramEnd"/>
      <w:r w:rsidRPr="00BB5A14">
        <w:rPr>
          <w:rFonts w:ascii="Verdana" w:eastAsia="Arial" w:hAnsi="Verdana" w:cs="Arial"/>
          <w:bCs/>
          <w:color w:val="000000" w:themeColor="text1"/>
          <w:sz w:val="20"/>
          <w:szCs w:val="20"/>
        </w:rPr>
        <w:t xml:space="preserve">, Gerentes y </w:t>
      </w:r>
      <w:proofErr w:type="gramStart"/>
      <w:r w:rsidRPr="00BB5A14">
        <w:rPr>
          <w:rFonts w:ascii="Verdana" w:eastAsia="Arial" w:hAnsi="Verdana" w:cs="Arial"/>
          <w:bCs/>
          <w:color w:val="000000" w:themeColor="text1"/>
          <w:sz w:val="20"/>
          <w:szCs w:val="20"/>
        </w:rPr>
        <w:t>Directores</w:t>
      </w:r>
      <w:proofErr w:type="gramEnd"/>
      <w:r w:rsidRPr="00BB5A14">
        <w:rPr>
          <w:rFonts w:ascii="Verdana" w:eastAsia="Arial" w:hAnsi="Verdana" w:cs="Arial"/>
          <w:bCs/>
          <w:color w:val="000000" w:themeColor="text1"/>
          <w:sz w:val="20"/>
          <w:szCs w:val="20"/>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de convenios en los cuatro meses anteriores a cualquier contienda electoral. Es importante resaltar que para esta prohibición la norma no contempló ninguna excepción, de modo que </w:t>
      </w:r>
      <w:proofErr w:type="gramStart"/>
      <w:r w:rsidRPr="00BB5A14">
        <w:rPr>
          <w:rFonts w:ascii="Verdana" w:eastAsia="Arial" w:hAnsi="Verdana" w:cs="Arial"/>
          <w:bCs/>
          <w:color w:val="000000" w:themeColor="text1"/>
          <w:sz w:val="20"/>
          <w:szCs w:val="20"/>
        </w:rPr>
        <w:t>aplicará</w:t>
      </w:r>
      <w:proofErr w:type="gramEnd"/>
      <w:r w:rsidRPr="00BB5A14">
        <w:rPr>
          <w:rFonts w:ascii="Verdana" w:eastAsia="Arial" w:hAnsi="Verdana" w:cs="Arial"/>
          <w:bCs/>
          <w:color w:val="000000" w:themeColor="text1"/>
          <w:sz w:val="20"/>
          <w:szCs w:val="20"/>
        </w:rPr>
        <w:t xml:space="preserve"> aunque se trate de entidades sanitarias u hospitalarias. </w:t>
      </w:r>
    </w:p>
    <w:p w14:paraId="69CEAC51" w14:textId="77777777" w:rsidR="00BB5A14" w:rsidRPr="00BB5A14" w:rsidRDefault="00BB5A14" w:rsidP="00BB5A14">
      <w:pPr>
        <w:spacing w:after="0" w:line="240" w:lineRule="auto"/>
        <w:jc w:val="both"/>
        <w:rPr>
          <w:rFonts w:ascii="Verdana" w:eastAsia="Arial" w:hAnsi="Verdana" w:cs="Arial"/>
          <w:bCs/>
          <w:color w:val="000000" w:themeColor="text1"/>
          <w:sz w:val="20"/>
          <w:szCs w:val="20"/>
        </w:rPr>
      </w:pPr>
      <w:r w:rsidRPr="00BB5A14">
        <w:rPr>
          <w:rFonts w:ascii="Verdana" w:eastAsia="Arial" w:hAnsi="Verdana" w:cs="Arial"/>
          <w:bCs/>
          <w:color w:val="000000" w:themeColor="text1"/>
          <w:sz w:val="20"/>
          <w:szCs w:val="20"/>
        </w:rPr>
        <w:lastRenderedPageBreak/>
        <w:t xml:space="preserve">Sobre el tema de su consulta, mediante la Resolución 04 del 12 de enero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trámites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BB5A14">
        <w:rPr>
          <w:rFonts w:ascii="Verdana" w:eastAsia="Arial" w:hAnsi="Verdana" w:cs="Arial"/>
          <w:bCs/>
          <w:color w:val="000000" w:themeColor="text1"/>
          <w:sz w:val="20"/>
          <w:szCs w:val="20"/>
        </w:rPr>
        <w:t>ii</w:t>
      </w:r>
      <w:proofErr w:type="spellEnd"/>
      <w:r w:rsidRPr="00BB5A14">
        <w:rPr>
          <w:rFonts w:ascii="Verdana" w:eastAsia="Arial" w:hAnsi="Verdana" w:cs="Arial"/>
          <w:bCs/>
          <w:color w:val="000000" w:themeColor="text1"/>
          <w:sz w:val="20"/>
          <w:szCs w:val="20"/>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416C4064" w14:textId="77777777" w:rsidR="00BB5A14" w:rsidRDefault="00BB5A14" w:rsidP="00BB5A14">
      <w:pPr>
        <w:spacing w:after="0" w:line="240" w:lineRule="auto"/>
        <w:jc w:val="both"/>
        <w:rPr>
          <w:rFonts w:ascii="Verdana" w:eastAsia="Times New Roman" w:hAnsi="Verdana" w:cs="Arial"/>
          <w:bCs/>
          <w:sz w:val="20"/>
          <w:szCs w:val="20"/>
          <w:lang w:eastAsia="es-CO"/>
        </w:rPr>
      </w:pPr>
    </w:p>
    <w:p w14:paraId="2680E5CA" w14:textId="22FF910C" w:rsidR="00BB5A14" w:rsidRPr="00BB5A14" w:rsidRDefault="00BB5A14" w:rsidP="00BB5A14">
      <w:pPr>
        <w:spacing w:after="0" w:line="240" w:lineRule="auto"/>
        <w:jc w:val="both"/>
        <w:rPr>
          <w:rFonts w:ascii="Verdana" w:eastAsia="Arial" w:hAnsi="Verdana" w:cs="Arial"/>
          <w:bCs/>
          <w:color w:val="000000" w:themeColor="text1"/>
          <w:sz w:val="20"/>
          <w:szCs w:val="20"/>
        </w:rPr>
      </w:pPr>
      <w:r w:rsidRPr="00BB5A14">
        <w:rPr>
          <w:rFonts w:ascii="Verdana" w:eastAsia="Times New Roman" w:hAnsi="Verdana" w:cs="Arial"/>
          <w:bCs/>
          <w:sz w:val="20"/>
          <w:szCs w:val="20"/>
          <w:lang w:eastAsia="es-CO"/>
        </w:rPr>
        <w:t xml:space="preserve">[…] Con respecto a la prohibición del parágrafo del artículo 38, es importante resaltar que el Ministerio de Salud y Protección Social </w:t>
      </w:r>
      <w:r w:rsidRPr="00BB5A14">
        <w:rPr>
          <w:rFonts w:ascii="Verdana" w:eastAsia="Arial" w:hAnsi="Verdana" w:cs="Arial"/>
          <w:bCs/>
          <w:color w:val="000000" w:themeColor="text1"/>
          <w:sz w:val="20"/>
          <w:szCs w:val="20"/>
        </w:rPr>
        <w:t xml:space="preserve">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 Lo anterior, considerando que esta prohibición no fijó excepción alguna para su aplicación. </w:t>
      </w:r>
    </w:p>
    <w:p w14:paraId="2051B45D" w14:textId="77777777" w:rsidR="00BB5A14" w:rsidRDefault="00BB5A14" w:rsidP="00BB5A14">
      <w:pPr>
        <w:spacing w:after="0" w:line="240" w:lineRule="auto"/>
        <w:jc w:val="both"/>
        <w:rPr>
          <w:rFonts w:ascii="Verdana" w:eastAsia="Calibri" w:hAnsi="Verdana" w:cs="Arial"/>
          <w:sz w:val="20"/>
          <w:szCs w:val="20"/>
        </w:rPr>
      </w:pPr>
    </w:p>
    <w:p w14:paraId="39FC3865" w14:textId="70EF1DA8" w:rsidR="00BB5A14" w:rsidRPr="00BB5A14" w:rsidRDefault="00BB5A14" w:rsidP="00BB5A14">
      <w:pPr>
        <w:spacing w:after="0" w:line="240" w:lineRule="auto"/>
        <w:jc w:val="both"/>
        <w:rPr>
          <w:rFonts w:ascii="Verdana" w:eastAsia="Arial" w:hAnsi="Verdana" w:cs="Arial"/>
          <w:bCs/>
          <w:color w:val="000000" w:themeColor="text1"/>
          <w:sz w:val="20"/>
          <w:szCs w:val="20"/>
        </w:rPr>
      </w:pPr>
      <w:r w:rsidRPr="00BB5A14">
        <w:rPr>
          <w:rFonts w:ascii="Verdana" w:eastAsia="Calibri" w:hAnsi="Verdana" w:cs="Arial"/>
          <w:sz w:val="20"/>
          <w:szCs w:val="20"/>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67705675" w14:textId="77777777" w:rsidR="00BB5A14" w:rsidRDefault="00BB5A14" w:rsidP="00BB5A14">
      <w:pPr>
        <w:spacing w:after="0" w:line="240" w:lineRule="auto"/>
        <w:jc w:val="both"/>
        <w:rPr>
          <w:rFonts w:ascii="Verdana" w:eastAsia="Calibri" w:hAnsi="Verdana" w:cs="Arial"/>
          <w:sz w:val="20"/>
          <w:szCs w:val="20"/>
        </w:rPr>
      </w:pPr>
    </w:p>
    <w:p w14:paraId="1C0C5582" w14:textId="798110D9" w:rsidR="00BB5A14" w:rsidRPr="00BB5A14" w:rsidRDefault="00BB5A14" w:rsidP="00BB5A14">
      <w:pPr>
        <w:spacing w:after="0" w:line="240" w:lineRule="auto"/>
        <w:jc w:val="both"/>
        <w:rPr>
          <w:rFonts w:ascii="Verdana" w:eastAsia="Arial" w:hAnsi="Verdana" w:cs="Arial"/>
          <w:bCs/>
          <w:color w:val="000000" w:themeColor="text1"/>
          <w:sz w:val="20"/>
          <w:szCs w:val="20"/>
        </w:rPr>
      </w:pPr>
      <w:r w:rsidRPr="00BB5A14">
        <w:rPr>
          <w:rFonts w:ascii="Verdana" w:eastAsia="Calibri" w:hAnsi="Verdana" w:cs="Arial"/>
          <w:sz w:val="20"/>
          <w:szCs w:val="20"/>
        </w:rPr>
        <w:t>En particular,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BB5A14">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48F6B43C" w14:textId="77777777" w:rsidR="00BB5A14" w:rsidRDefault="00BB5A14" w:rsidP="00BB5A14"/>
    <w:p w14:paraId="0FABCFDF" w14:textId="77777777" w:rsidR="00BB5A14" w:rsidRPr="00BB5A14" w:rsidRDefault="00BB5A14" w:rsidP="00BB5A14">
      <w:pPr>
        <w:spacing w:after="0" w:line="240" w:lineRule="auto"/>
        <w:jc w:val="both"/>
        <w:rPr>
          <w:rFonts w:ascii="Verdana" w:eastAsia="Arial" w:hAnsi="Verdana" w:cs="Arial"/>
          <w:bCs/>
          <w:color w:val="000000" w:themeColor="text1"/>
          <w:sz w:val="20"/>
          <w:szCs w:val="20"/>
        </w:rPr>
      </w:pPr>
    </w:p>
    <w:p w14:paraId="0AE83973" w14:textId="651C700F" w:rsidR="00265B99" w:rsidRDefault="00265B99" w:rsidP="00265B99">
      <w:pPr>
        <w:spacing w:after="0" w:line="240" w:lineRule="auto"/>
        <w:jc w:val="both"/>
        <w:rPr>
          <w:rFonts w:ascii="Verdana" w:hAnsi="Verdana"/>
        </w:rPr>
      </w:pPr>
      <w:r w:rsidRPr="00FF007A">
        <w:rPr>
          <w:rFonts w:ascii="Verdana" w:hAnsi="Verdana"/>
        </w:rPr>
        <w:lastRenderedPageBreak/>
        <w:t xml:space="preserve">Bogotá D.C., </w:t>
      </w:r>
      <w:r w:rsidR="00D76360">
        <w:rPr>
          <w:rFonts w:ascii="Verdana" w:hAnsi="Verdana"/>
        </w:rPr>
        <w:t xml:space="preserve">18 de septiembre de 2025 </w:t>
      </w:r>
    </w:p>
    <w:p w14:paraId="769AC5C5" w14:textId="77777777" w:rsidR="00D76360" w:rsidRDefault="00D76360" w:rsidP="00265B99">
      <w:pPr>
        <w:spacing w:after="0" w:line="240" w:lineRule="auto"/>
        <w:jc w:val="both"/>
        <w:rPr>
          <w:rFonts w:ascii="Verdana" w:hAnsi="Verdana"/>
        </w:rPr>
      </w:pPr>
    </w:p>
    <w:p w14:paraId="6B00B1AC" w14:textId="7189F417" w:rsidR="00D76360" w:rsidRPr="00FF007A" w:rsidRDefault="00D76360" w:rsidP="00D76360">
      <w:pPr>
        <w:spacing w:after="0" w:line="240" w:lineRule="auto"/>
        <w:jc w:val="right"/>
        <w:rPr>
          <w:rFonts w:ascii="Verdana" w:hAnsi="Verdana"/>
        </w:rPr>
      </w:pPr>
      <w:r w:rsidRPr="00D76360">
        <w:rPr>
          <w:rFonts w:ascii="Verdana" w:hAnsi="Verdana"/>
          <w:noProof/>
        </w:rPr>
        <w:drawing>
          <wp:inline distT="0" distB="0" distL="0" distR="0" wp14:anchorId="546614FC" wp14:editId="10DB8470">
            <wp:extent cx="2719346" cy="779863"/>
            <wp:effectExtent l="0" t="0" r="5080" b="1270"/>
            <wp:docPr id="211452491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524913" name="Imagen 1" descr="Texto&#10;&#10;El contenido generado por IA puede ser incorrecto."/>
                    <pic:cNvPicPr/>
                  </pic:nvPicPr>
                  <pic:blipFill>
                    <a:blip r:embed="rId11"/>
                    <a:stretch>
                      <a:fillRect/>
                    </a:stretch>
                  </pic:blipFill>
                  <pic:spPr>
                    <a:xfrm>
                      <a:off x="0" y="0"/>
                      <a:ext cx="2732922" cy="783756"/>
                    </a:xfrm>
                    <a:prstGeom prst="rect">
                      <a:avLst/>
                    </a:prstGeom>
                  </pic:spPr>
                </pic:pic>
              </a:graphicData>
            </a:graphic>
          </wp:inline>
        </w:drawing>
      </w:r>
    </w:p>
    <w:p w14:paraId="6FBD6493" w14:textId="77777777" w:rsidR="00265B99" w:rsidRPr="00FF007A" w:rsidRDefault="00265B99" w:rsidP="00265B99">
      <w:pPr>
        <w:spacing w:after="0" w:line="240" w:lineRule="auto"/>
        <w:jc w:val="both"/>
        <w:rPr>
          <w:rFonts w:ascii="Verdana" w:eastAsia="Calibri" w:hAnsi="Verdana" w:cs="Arial"/>
          <w:lang w:eastAsia="es-ES"/>
        </w:rPr>
      </w:pPr>
      <w:bookmarkStart w:id="6" w:name="_Hlk197462763"/>
      <w:bookmarkStart w:id="7" w:name="_Hlk197529996"/>
      <w:r w:rsidRPr="00FF007A">
        <w:rPr>
          <w:rFonts w:ascii="Verdana" w:eastAsia="Calibri" w:hAnsi="Verdana" w:cs="Arial"/>
          <w:lang w:eastAsia="es-ES"/>
        </w:rPr>
        <w:t>Señora</w:t>
      </w:r>
    </w:p>
    <w:p w14:paraId="4FC85E00" w14:textId="77777777" w:rsidR="00265B99" w:rsidRPr="00FF007A" w:rsidRDefault="00265B99" w:rsidP="00265B99">
      <w:pPr>
        <w:spacing w:after="0" w:line="240" w:lineRule="auto"/>
        <w:jc w:val="both"/>
        <w:rPr>
          <w:rFonts w:ascii="Verdana" w:eastAsia="Calibri" w:hAnsi="Verdana" w:cs="Arial"/>
          <w:b/>
          <w:lang w:eastAsia="es-ES_tradnl"/>
        </w:rPr>
      </w:pPr>
      <w:r w:rsidRPr="00FF007A">
        <w:rPr>
          <w:rFonts w:ascii="Verdana" w:eastAsia="Calibri" w:hAnsi="Verdana" w:cs="Arial"/>
          <w:b/>
          <w:lang w:eastAsia="es-ES_tradnl"/>
        </w:rPr>
        <w:t xml:space="preserve">Yesica </w:t>
      </w:r>
      <w:proofErr w:type="spellStart"/>
      <w:r w:rsidRPr="00FF007A">
        <w:rPr>
          <w:rFonts w:ascii="Verdana" w:eastAsia="Calibri" w:hAnsi="Verdana" w:cs="Arial"/>
          <w:b/>
          <w:lang w:eastAsia="es-ES_tradnl"/>
        </w:rPr>
        <w:t>Libed</w:t>
      </w:r>
      <w:proofErr w:type="spellEnd"/>
      <w:r w:rsidRPr="00FF007A">
        <w:rPr>
          <w:rFonts w:ascii="Verdana" w:eastAsia="Calibri" w:hAnsi="Verdana" w:cs="Arial"/>
          <w:b/>
          <w:lang w:eastAsia="es-ES_tradnl"/>
        </w:rPr>
        <w:t xml:space="preserve"> Montoya Buitrago </w:t>
      </w:r>
    </w:p>
    <w:p w14:paraId="54CB16EA" w14:textId="77777777" w:rsidR="00265B99" w:rsidRPr="00FF007A" w:rsidRDefault="00265B99" w:rsidP="00265B99">
      <w:pPr>
        <w:spacing w:after="0" w:line="240" w:lineRule="auto"/>
        <w:jc w:val="both"/>
        <w:rPr>
          <w:rFonts w:ascii="Verdana" w:hAnsi="Verdana"/>
        </w:rPr>
      </w:pPr>
      <w:r w:rsidRPr="00FF007A">
        <w:rPr>
          <w:rFonts w:ascii="Verdana" w:hAnsi="Verdana"/>
        </w:rPr>
        <w:t>Subsecretaria de Salud de la Alcaldía de la Unión</w:t>
      </w:r>
    </w:p>
    <w:p w14:paraId="0E3B04F3" w14:textId="77777777" w:rsidR="00265B99" w:rsidRPr="00FF007A" w:rsidRDefault="00265B99" w:rsidP="00265B99">
      <w:pPr>
        <w:spacing w:after="0" w:line="240" w:lineRule="auto"/>
        <w:jc w:val="both"/>
        <w:rPr>
          <w:rFonts w:ascii="Verdana" w:hAnsi="Verdana"/>
        </w:rPr>
      </w:pPr>
      <w:hyperlink r:id="rId12" w:history="1">
        <w:r w:rsidRPr="00FF007A">
          <w:rPr>
            <w:rStyle w:val="Hipervnculo"/>
            <w:rFonts w:ascii="Verdana" w:hAnsi="Verdana"/>
          </w:rPr>
          <w:t>regimensubsidiado@launion-valle.gov.co</w:t>
        </w:r>
      </w:hyperlink>
    </w:p>
    <w:p w14:paraId="09398E03" w14:textId="77777777" w:rsidR="00265B99" w:rsidRPr="00FF007A" w:rsidRDefault="00265B99" w:rsidP="00265B99">
      <w:pPr>
        <w:spacing w:after="0" w:line="240" w:lineRule="auto"/>
        <w:jc w:val="both"/>
        <w:rPr>
          <w:rFonts w:ascii="Verdana" w:eastAsia="Calibri" w:hAnsi="Verdana" w:cs="Arial"/>
          <w:bCs/>
          <w:lang w:eastAsia="es-ES_tradnl"/>
        </w:rPr>
      </w:pPr>
      <w:r w:rsidRPr="00FF007A">
        <w:rPr>
          <w:rFonts w:ascii="Verdana" w:eastAsia="Calibri" w:hAnsi="Verdana" w:cs="Arial"/>
          <w:bCs/>
          <w:lang w:eastAsia="es-ES_tradnl"/>
        </w:rPr>
        <w:t>La unión – Valle del C</w:t>
      </w:r>
      <w:r>
        <w:rPr>
          <w:rFonts w:ascii="Verdana" w:eastAsia="Calibri" w:hAnsi="Verdana" w:cs="Arial"/>
          <w:bCs/>
          <w:lang w:eastAsia="es-ES_tradnl"/>
        </w:rPr>
        <w:t>a</w:t>
      </w:r>
      <w:r w:rsidRPr="00FF007A">
        <w:rPr>
          <w:rFonts w:ascii="Verdana" w:eastAsia="Calibri" w:hAnsi="Verdana" w:cs="Arial"/>
          <w:bCs/>
          <w:lang w:eastAsia="es-ES_tradnl"/>
        </w:rPr>
        <w:t xml:space="preserve">uca </w:t>
      </w:r>
    </w:p>
    <w:p w14:paraId="0009B141" w14:textId="77777777" w:rsidR="00265B99" w:rsidRPr="00FF007A" w:rsidRDefault="00265B99" w:rsidP="00265B99">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65B99" w:rsidRPr="00FF007A" w14:paraId="1EF26FCB" w14:textId="77777777" w:rsidTr="00FB0F27">
        <w:trPr>
          <w:trHeight w:val="162"/>
        </w:trPr>
        <w:tc>
          <w:tcPr>
            <w:tcW w:w="3119" w:type="dxa"/>
          </w:tcPr>
          <w:p w14:paraId="0EE1CBE1" w14:textId="77777777" w:rsidR="00265B99" w:rsidRPr="00FF007A" w:rsidRDefault="00265B99" w:rsidP="00FB0F27">
            <w:pPr>
              <w:jc w:val="both"/>
              <w:rPr>
                <w:rFonts w:ascii="Verdana" w:eastAsia="Calibri" w:hAnsi="Verdana" w:cs="Arial"/>
                <w:b/>
                <w:bCs/>
                <w:color w:val="7030A0"/>
                <w:lang w:eastAsia="es-ES_tradnl"/>
              </w:rPr>
            </w:pPr>
          </w:p>
        </w:tc>
        <w:tc>
          <w:tcPr>
            <w:tcW w:w="5670" w:type="dxa"/>
          </w:tcPr>
          <w:p w14:paraId="0757323D" w14:textId="77777777" w:rsidR="00265B99" w:rsidRPr="00FF007A" w:rsidRDefault="00265B99" w:rsidP="00FB0F27">
            <w:pPr>
              <w:jc w:val="both"/>
              <w:rPr>
                <w:rFonts w:ascii="Verdana" w:eastAsia="Calibri" w:hAnsi="Verdana" w:cs="Arial"/>
                <w:b/>
                <w:bCs/>
                <w:lang w:eastAsia="es-ES"/>
              </w:rPr>
            </w:pPr>
            <w:r w:rsidRPr="00FF007A">
              <w:rPr>
                <w:rFonts w:ascii="Verdana" w:eastAsia="Calibri" w:hAnsi="Verdana" w:cs="Arial"/>
                <w:b/>
                <w:bCs/>
                <w:lang w:eastAsia="es-ES"/>
              </w:rPr>
              <w:t>Concepto C-1124 de 2025</w:t>
            </w:r>
          </w:p>
          <w:p w14:paraId="372EF179" w14:textId="77777777" w:rsidR="00265B99" w:rsidRPr="00FF007A" w:rsidRDefault="00265B99" w:rsidP="00FB0F27">
            <w:pPr>
              <w:jc w:val="both"/>
              <w:rPr>
                <w:rFonts w:ascii="Verdana" w:eastAsia="Calibri" w:hAnsi="Verdana" w:cs="Arial"/>
                <w:b/>
                <w:bCs/>
                <w:color w:val="7030A0"/>
                <w:lang w:eastAsia="es-ES"/>
              </w:rPr>
            </w:pPr>
          </w:p>
        </w:tc>
      </w:tr>
      <w:tr w:rsidR="00265B99" w:rsidRPr="00FF007A" w14:paraId="739E1D70" w14:textId="77777777" w:rsidTr="00FB0F27">
        <w:trPr>
          <w:trHeight w:val="884"/>
        </w:trPr>
        <w:tc>
          <w:tcPr>
            <w:tcW w:w="3119" w:type="dxa"/>
          </w:tcPr>
          <w:p w14:paraId="55B76EED" w14:textId="77777777" w:rsidR="00265B99" w:rsidRPr="00FF007A" w:rsidRDefault="00265B99" w:rsidP="00FB0F27">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79274C11" w14:textId="21B8E27F" w:rsidR="00265B99" w:rsidRPr="00AA15A4" w:rsidRDefault="00265B99" w:rsidP="00FB0F27">
            <w:pPr>
              <w:spacing w:line="276" w:lineRule="auto"/>
              <w:jc w:val="both"/>
              <w:rPr>
                <w:rFonts w:ascii="Verdana" w:hAnsi="Verdana" w:cs="Arial"/>
                <w:color w:val="000000" w:themeColor="text1"/>
                <w:lang w:val="es-ES"/>
              </w:rPr>
            </w:pPr>
            <w:r w:rsidRPr="00D437AC">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Ámbito material / </w:t>
            </w:r>
            <w:r>
              <w:rPr>
                <w:rFonts w:ascii="Verdana" w:eastAsia="Calibri" w:hAnsi="Verdana" w:cs="Arial"/>
                <w:lang w:val="es-ES" w:eastAsia="es-ES"/>
              </w:rPr>
              <w:t xml:space="preserve">LEY DE GARANTÍAS – Excepción - </w:t>
            </w:r>
            <w:r w:rsidR="00803930">
              <w:rPr>
                <w:rFonts w:ascii="Verdana" w:eastAsia="Calibri" w:hAnsi="Verdana" w:cs="Arial"/>
                <w:lang w:val="es-ES" w:eastAsia="es-ES"/>
              </w:rPr>
              <w:t>C</w:t>
            </w:r>
            <w:proofErr w:type="spellStart"/>
            <w:r w:rsidRPr="00FF007A">
              <w:rPr>
                <w:rFonts w:ascii="Verdana" w:hAnsi="Verdana" w:cs="Arial"/>
                <w:bCs/>
                <w:color w:val="000000" w:themeColor="text1"/>
              </w:rPr>
              <w:t>ontratación</w:t>
            </w:r>
            <w:proofErr w:type="spellEnd"/>
            <w:r w:rsidRPr="00FF007A">
              <w:rPr>
                <w:rFonts w:ascii="Verdana" w:hAnsi="Verdana" w:cs="Arial"/>
                <w:bCs/>
                <w:color w:val="000000" w:themeColor="text1"/>
              </w:rPr>
              <w:t xml:space="preserve"> por parte de entidades sanitarias y hospitalarias</w:t>
            </w:r>
            <w:r>
              <w:rPr>
                <w:rFonts w:ascii="Verdana" w:hAnsi="Verdana" w:cs="Arial"/>
                <w:bCs/>
                <w:color w:val="000000" w:themeColor="text1"/>
              </w:rPr>
              <w:t xml:space="preserve"> /</w:t>
            </w:r>
            <w:r>
              <w:rPr>
                <w:rFonts w:ascii="Verdana" w:eastAsia="Calibri" w:hAnsi="Verdana" w:cs="Arial"/>
                <w:lang w:val="es-ES" w:eastAsia="es-ES"/>
              </w:rPr>
              <w:t xml:space="preserve"> </w:t>
            </w:r>
            <w:r w:rsidRPr="00D437AC">
              <w:rPr>
                <w:rFonts w:ascii="Verdana" w:eastAsia="Calibri" w:hAnsi="Verdana" w:cs="Arial"/>
                <w:lang w:val="es-ES" w:eastAsia="es-ES"/>
              </w:rPr>
              <w:t>LEY DE GARANTÍAS ELECTORALES –</w:t>
            </w:r>
            <w:r>
              <w:rPr>
                <w:rFonts w:ascii="Verdana" w:eastAsia="Calibri" w:hAnsi="Verdana" w:cs="Arial"/>
                <w:lang w:val="es-ES" w:eastAsia="es-ES"/>
              </w:rPr>
              <w:t xml:space="preserve"> Artículo 38 / LEY DE GARANT</w:t>
            </w:r>
            <w:r w:rsidR="00BB5A14">
              <w:rPr>
                <w:rFonts w:ascii="Verdana" w:eastAsia="Calibri" w:hAnsi="Verdana" w:cs="Arial"/>
                <w:lang w:val="es-ES" w:eastAsia="es-ES"/>
              </w:rPr>
              <w:t>ÍAS</w:t>
            </w:r>
            <w:r>
              <w:rPr>
                <w:rFonts w:ascii="Verdana" w:eastAsia="Calibri" w:hAnsi="Verdana" w:cs="Arial"/>
                <w:lang w:val="es-ES" w:eastAsia="es-ES"/>
              </w:rPr>
              <w:t xml:space="preserve"> ELECTORALES - </w:t>
            </w:r>
            <w:r w:rsidRPr="00D437AC">
              <w:rPr>
                <w:rFonts w:ascii="Verdana" w:eastAsia="Calibri" w:hAnsi="Verdana" w:cs="Arial"/>
                <w:lang w:val="es-ES" w:eastAsia="es-ES"/>
              </w:rPr>
              <w:t xml:space="preserve">Contratación </w:t>
            </w:r>
            <w:r>
              <w:rPr>
                <w:rFonts w:ascii="Verdana" w:eastAsia="Arial" w:hAnsi="Verdana" w:cs="Arial"/>
                <w:bCs/>
                <w:color w:val="000000" w:themeColor="text1"/>
              </w:rPr>
              <w:t>Plan de Salud Pública de Intervenciones Colectivas</w:t>
            </w:r>
            <w:r w:rsidRPr="00D437AC">
              <w:rPr>
                <w:rFonts w:ascii="Verdana" w:eastAsia="Calibri" w:hAnsi="Verdana" w:cs="Arial"/>
                <w:lang w:val="es-ES" w:eastAsia="es-ES"/>
              </w:rPr>
              <w:t xml:space="preserve"> </w:t>
            </w:r>
            <w:r>
              <w:rPr>
                <w:rFonts w:ascii="Verdana" w:eastAsia="Calibri" w:hAnsi="Verdana" w:cs="Arial"/>
                <w:lang w:val="es-ES" w:eastAsia="es-ES"/>
              </w:rPr>
              <w:t>-</w:t>
            </w:r>
            <w:r w:rsidRPr="00D437AC">
              <w:rPr>
                <w:rFonts w:ascii="Verdana" w:eastAsia="Calibri" w:hAnsi="Verdana" w:cs="Arial"/>
                <w:lang w:val="es-ES" w:eastAsia="es-ES"/>
              </w:rPr>
              <w:t>PIC</w:t>
            </w:r>
            <w:r>
              <w:rPr>
                <w:rFonts w:ascii="Verdana" w:eastAsia="Calibri" w:hAnsi="Verdana" w:cs="Arial"/>
                <w:lang w:val="es-ES" w:eastAsia="es-ES"/>
              </w:rPr>
              <w:t>-</w:t>
            </w:r>
            <w:r w:rsidRPr="00686D64">
              <w:rPr>
                <w:rFonts w:ascii="Verdana" w:eastAsia="Calibri" w:hAnsi="Verdana" w:cs="Arial"/>
                <w:lang w:val="es-ES" w:eastAsia="es-ES"/>
              </w:rPr>
              <w:t xml:space="preserve"> </w:t>
            </w:r>
          </w:p>
        </w:tc>
      </w:tr>
      <w:tr w:rsidR="00265B99" w:rsidRPr="00FF007A" w14:paraId="088659A8" w14:textId="77777777" w:rsidTr="00FB0F27">
        <w:tc>
          <w:tcPr>
            <w:tcW w:w="3119" w:type="dxa"/>
          </w:tcPr>
          <w:p w14:paraId="13DC35DF" w14:textId="77777777" w:rsidR="00265B99" w:rsidRPr="00FF007A" w:rsidRDefault="00265B99" w:rsidP="00FB0F27">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020B59F2" w14:textId="77777777" w:rsidR="00265B99" w:rsidRPr="00FF007A" w:rsidRDefault="00265B99" w:rsidP="00FB0F27">
            <w:pPr>
              <w:jc w:val="both"/>
              <w:rPr>
                <w:rFonts w:ascii="Verdana" w:eastAsia="Calibri" w:hAnsi="Verdana" w:cs="Arial"/>
                <w:lang w:eastAsia="es-ES_tradnl"/>
              </w:rPr>
            </w:pPr>
            <w:r w:rsidRPr="00FF007A">
              <w:rPr>
                <w:rFonts w:ascii="Verdana" w:eastAsia="Calibri" w:hAnsi="Verdana" w:cs="Arial"/>
                <w:lang w:eastAsia="es-ES_tradnl"/>
              </w:rPr>
              <w:t>Respuesta a consulta con radicado 1_2025_08_12_008404</w:t>
            </w:r>
          </w:p>
        </w:tc>
      </w:tr>
    </w:tbl>
    <w:p w14:paraId="252A331D" w14:textId="77777777" w:rsidR="00265B99" w:rsidRPr="00FF007A" w:rsidRDefault="00265B99" w:rsidP="00265B99">
      <w:pPr>
        <w:spacing w:after="0" w:line="276" w:lineRule="auto"/>
        <w:jc w:val="both"/>
        <w:rPr>
          <w:rFonts w:ascii="Verdana" w:eastAsia="Calibri" w:hAnsi="Verdana" w:cs="Arial"/>
          <w:lang w:eastAsia="es-ES_tradnl"/>
        </w:rPr>
      </w:pPr>
    </w:p>
    <w:p w14:paraId="5EF7A907" w14:textId="77777777" w:rsidR="00265B99" w:rsidRPr="00FF007A" w:rsidRDefault="00265B99" w:rsidP="00265B99">
      <w:pPr>
        <w:spacing w:after="0" w:line="276" w:lineRule="auto"/>
        <w:jc w:val="both"/>
        <w:rPr>
          <w:rFonts w:ascii="Verdana" w:eastAsia="Calibri" w:hAnsi="Verdana" w:cs="Arial"/>
          <w:lang w:eastAsia="es-ES"/>
        </w:rPr>
      </w:pPr>
      <w:r w:rsidRPr="00FF007A">
        <w:rPr>
          <w:rFonts w:ascii="Verdana" w:eastAsia="Calibri" w:hAnsi="Verdana" w:cs="Arial"/>
          <w:lang w:eastAsia="es-ES"/>
        </w:rPr>
        <w:t xml:space="preserve">Estimada señora Yesica </w:t>
      </w:r>
      <w:proofErr w:type="spellStart"/>
      <w:r w:rsidRPr="00FF007A">
        <w:rPr>
          <w:rFonts w:ascii="Verdana" w:eastAsia="Calibri" w:hAnsi="Verdana" w:cs="Arial"/>
          <w:lang w:eastAsia="es-ES"/>
        </w:rPr>
        <w:t>Libed</w:t>
      </w:r>
      <w:proofErr w:type="spellEnd"/>
      <w:r w:rsidRPr="00FF007A">
        <w:rPr>
          <w:rFonts w:ascii="Verdana" w:eastAsia="Calibri" w:hAnsi="Verdana" w:cs="Arial"/>
          <w:lang w:eastAsia="es-ES"/>
        </w:rPr>
        <w:t xml:space="preserve">: </w:t>
      </w:r>
    </w:p>
    <w:p w14:paraId="5E1C69C4" w14:textId="77777777" w:rsidR="00265B99" w:rsidRPr="00FF007A" w:rsidRDefault="00265B99" w:rsidP="00265B99">
      <w:pPr>
        <w:tabs>
          <w:tab w:val="left" w:pos="3768"/>
        </w:tabs>
        <w:spacing w:after="0" w:line="240" w:lineRule="auto"/>
        <w:jc w:val="both"/>
        <w:rPr>
          <w:rFonts w:ascii="Verdana" w:eastAsia="Calibri" w:hAnsi="Verdana" w:cs="Arial"/>
          <w:lang w:eastAsia="es-ES"/>
        </w:rPr>
      </w:pPr>
    </w:p>
    <w:p w14:paraId="03125BE0" w14:textId="77777777" w:rsidR="00265B99" w:rsidRPr="00FF007A" w:rsidRDefault="00265B99" w:rsidP="00265B99">
      <w:pPr>
        <w:tabs>
          <w:tab w:val="left" w:pos="3768"/>
        </w:tabs>
        <w:spacing w:after="0" w:line="276" w:lineRule="auto"/>
        <w:jc w:val="both"/>
        <w:rPr>
          <w:rFonts w:ascii="Verdana" w:eastAsia="Calibri" w:hAnsi="Verdana" w:cs="Arial"/>
          <w:lang w:eastAsia="es-ES"/>
        </w:rPr>
      </w:pPr>
      <w:r w:rsidRPr="00FF007A">
        <w:rPr>
          <w:rFonts w:ascii="Verdana" w:eastAsia="Calibri" w:hAnsi="Verdana" w:cs="Arial"/>
          <w:lang w:eastAsia="es-ES"/>
        </w:rPr>
        <w:t>En ejercicio de la competencia otorgada por los artículos 3, numeral 5º, y 11, numeral 8º, del Decreto Ley 4170 de 2011,</w:t>
      </w:r>
      <w:r w:rsidRPr="00FF007A">
        <w:rPr>
          <w:rFonts w:ascii="Verdana" w:eastAsia="Arial MT" w:hAnsi="Verdana" w:cs="Arial MT"/>
          <w:lang w:eastAsia="es-ES"/>
        </w:rPr>
        <w:t xml:space="preserve"> </w:t>
      </w:r>
      <w:r w:rsidRPr="00FF007A">
        <w:rPr>
          <w:rFonts w:ascii="Verdana" w:hAnsi="Verdana" w:cs="Arial"/>
        </w:rPr>
        <w:t xml:space="preserve">así como lo establecido en el artículo 4 de la Resolución 1707 de 2018 expedida por esta Entidad, </w:t>
      </w:r>
      <w:r w:rsidRPr="00FF007A">
        <w:rPr>
          <w:rFonts w:ascii="Verdana" w:eastAsia="Calibri" w:hAnsi="Verdana" w:cs="Arial"/>
          <w:lang w:eastAsia="es-ES"/>
        </w:rPr>
        <w:t xml:space="preserve">la Agencia Nacional de Contratación Pública – Colombia Compra Eficiente– responde su solicitud de consulta de fecha 12 de agosto de 2025, en la cual manifiesta lo siguiente: </w:t>
      </w:r>
    </w:p>
    <w:p w14:paraId="725B416A" w14:textId="77777777" w:rsidR="00265B99" w:rsidRPr="00FF007A" w:rsidRDefault="00265B99" w:rsidP="00265B99">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31E983AF" w14:textId="77777777" w:rsidR="00265B99" w:rsidRPr="00FF007A" w:rsidRDefault="00265B99" w:rsidP="00265B99">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FF007A">
        <w:rPr>
          <w:rFonts w:ascii="Verdana" w:eastAsia="Century Gothic" w:hAnsi="Verdana" w:cs="Century Gothic"/>
          <w:sz w:val="20"/>
          <w:szCs w:val="20"/>
        </w:rPr>
        <w:t xml:space="preserve">“(…) </w:t>
      </w:r>
      <w:bookmarkEnd w:id="8"/>
      <w:bookmarkEnd w:id="9"/>
      <w:r w:rsidRPr="00FF007A">
        <w:rPr>
          <w:rFonts w:ascii="Verdana" w:eastAsia="Century Gothic" w:hAnsi="Verdana" w:cs="Century Gothic"/>
          <w:sz w:val="20"/>
          <w:szCs w:val="20"/>
        </w:rPr>
        <w:t xml:space="preserve">La Subsecretaría de Salud Municipal de La Unión – Valle del Cauca, teniendo en cuenta las obligaciones conferidas por la Ley 715 de 2001, y en especial las disposiciones contempladas en la Resolución 518 de 2015 del Ministerio de Salud y Protección Social, modificada por la Resolución 295 de 2023, así como la Resolución 1597 del 30 de julio de 2025 del </w:t>
      </w:r>
      <w:r w:rsidRPr="00FF007A">
        <w:rPr>
          <w:rFonts w:ascii="Verdana" w:eastAsia="Century Gothic" w:hAnsi="Verdana" w:cs="Century Gothic"/>
          <w:sz w:val="20"/>
          <w:szCs w:val="20"/>
        </w:rPr>
        <w:lastRenderedPageBreak/>
        <w:t xml:space="preserve">Ministerio de Salud y Protección Social; se dirige a ustedes con el objetivo de formular el siguiente interrogante: </w:t>
      </w:r>
    </w:p>
    <w:p w14:paraId="666DAB03" w14:textId="77777777" w:rsidR="00265B99" w:rsidRPr="00FF007A" w:rsidRDefault="00265B99" w:rsidP="00265B99">
      <w:pPr>
        <w:spacing w:after="0" w:line="240" w:lineRule="auto"/>
        <w:ind w:left="709" w:right="709"/>
        <w:jc w:val="both"/>
        <w:rPr>
          <w:rFonts w:ascii="Verdana" w:eastAsia="Century Gothic" w:hAnsi="Verdana" w:cs="Century Gothic"/>
          <w:sz w:val="20"/>
          <w:szCs w:val="20"/>
        </w:rPr>
      </w:pPr>
    </w:p>
    <w:p w14:paraId="18467526" w14:textId="77777777" w:rsidR="00265B99" w:rsidRPr="00FF007A" w:rsidRDefault="00265B99" w:rsidP="00265B99">
      <w:pPr>
        <w:spacing w:after="0" w:line="240" w:lineRule="auto"/>
        <w:ind w:left="709" w:right="709"/>
        <w:jc w:val="both"/>
        <w:rPr>
          <w:rFonts w:ascii="Verdana" w:eastAsia="Century Gothic" w:hAnsi="Verdana" w:cs="Century Gothic"/>
          <w:sz w:val="20"/>
          <w:szCs w:val="20"/>
        </w:rPr>
      </w:pPr>
      <w:r w:rsidRPr="00FF007A">
        <w:rPr>
          <w:rFonts w:ascii="Verdana" w:eastAsia="Century Gothic" w:hAnsi="Verdana" w:cs="Century Gothic"/>
          <w:sz w:val="20"/>
          <w:szCs w:val="20"/>
        </w:rPr>
        <w:t xml:space="preserve">1. ¿Existe o no limitación legal para la contratación del Plan de Intervenciones Colectivas vigencia 2026, teniendo en cuenta que su contratación oportuna debe surtirse entre el 01 de enero de 2026 y el 31 de marzo de 2026 periodo en el cual estaría vigente la Ley de Garantías que prohíbe la contratación a través de Convenios Interadministrativos o cuyo modo de selección sea la Contratación Directa? </w:t>
      </w:r>
      <w:r w:rsidRPr="00FF007A">
        <w:rPr>
          <w:rFonts w:ascii="Verdana" w:hAnsi="Verdana"/>
          <w:sz w:val="20"/>
          <w:szCs w:val="20"/>
        </w:rPr>
        <w:t>(…)”.</w:t>
      </w:r>
    </w:p>
    <w:p w14:paraId="6208EB39" w14:textId="77777777" w:rsidR="00265B99" w:rsidRPr="00FF007A" w:rsidRDefault="00265B99" w:rsidP="00265B99">
      <w:pPr>
        <w:spacing w:after="0" w:line="240" w:lineRule="auto"/>
        <w:ind w:left="709" w:right="709"/>
        <w:jc w:val="both"/>
        <w:rPr>
          <w:rFonts w:ascii="Verdana" w:hAnsi="Verdana"/>
          <w:sz w:val="20"/>
          <w:szCs w:val="20"/>
        </w:rPr>
      </w:pPr>
    </w:p>
    <w:p w14:paraId="0B34E14C" w14:textId="77777777" w:rsidR="00265B99" w:rsidRPr="00FF007A" w:rsidRDefault="00265B99" w:rsidP="00265B99">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6B3D031" w14:textId="77777777" w:rsidR="00265B99" w:rsidRPr="00983C76" w:rsidRDefault="00265B99" w:rsidP="00265B99">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B46A864" w14:textId="77777777" w:rsidR="00265B99" w:rsidRPr="00FF007A" w:rsidRDefault="00265B99" w:rsidP="00265B9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FF007A">
        <w:rPr>
          <w:rFonts w:ascii="Verdana" w:eastAsia="Century Gothic" w:hAnsi="Verdana" w:cs="Century Gothic"/>
          <w:b/>
          <w:bCs/>
          <w:lang w:val="es-CO"/>
        </w:rPr>
        <w:t>Problema planteado:</w:t>
      </w:r>
    </w:p>
    <w:p w14:paraId="20B6CDD6" w14:textId="77777777" w:rsidR="00265B99" w:rsidRPr="00FF007A" w:rsidRDefault="00265B99" w:rsidP="00265B99">
      <w:pPr>
        <w:spacing w:after="0" w:line="240" w:lineRule="auto"/>
        <w:jc w:val="both"/>
        <w:rPr>
          <w:rFonts w:ascii="Verdana" w:eastAsia="Calibri" w:hAnsi="Verdana" w:cs="Arial"/>
          <w:color w:val="000000"/>
          <w:lang w:eastAsia="es-ES"/>
        </w:rPr>
      </w:pPr>
    </w:p>
    <w:p w14:paraId="2003457D" w14:textId="77777777" w:rsidR="00265B99" w:rsidRPr="00FF007A" w:rsidRDefault="00265B99" w:rsidP="00265B99">
      <w:pPr>
        <w:spacing w:after="120"/>
        <w:jc w:val="both"/>
        <w:rPr>
          <w:rFonts w:ascii="Verdana" w:eastAsia="Calibri" w:hAnsi="Verdana" w:cs="Arial"/>
          <w:color w:val="000000"/>
          <w:lang w:eastAsia="es-ES"/>
        </w:rPr>
      </w:pPr>
      <w:r w:rsidRPr="00FF007A">
        <w:rPr>
          <w:rFonts w:ascii="Verdana" w:eastAsia="Calibri" w:hAnsi="Verdana" w:cs="Arial"/>
          <w:color w:val="000000"/>
          <w:lang w:eastAsia="es-ES"/>
        </w:rPr>
        <w:t>De acuerdo con el contenido de su solicitud, esta Agencia resolverá el siguiente problema jurídico ¿</w:t>
      </w:r>
      <w:r w:rsidRPr="00FF007A">
        <w:rPr>
          <w:rFonts w:ascii="Verdana" w:eastAsia="Century Gothic" w:hAnsi="Verdana" w:cs="Century Gothic"/>
          <w:color w:val="000000" w:themeColor="text1"/>
        </w:rPr>
        <w:t>Cuál es el marco jurídico para la contratación del Plan de Intervenciones Colectivas (PIC) en vigencia de la Ley de Garantías?</w:t>
      </w:r>
      <w:r w:rsidRPr="00FF007A">
        <w:rPr>
          <w:rFonts w:ascii="Verdana" w:eastAsia="Calibri" w:hAnsi="Verdana" w:cs="Arial"/>
          <w:color w:val="000000"/>
          <w:lang w:eastAsia="es-ES"/>
        </w:rPr>
        <w:t xml:space="preserve">  </w:t>
      </w:r>
    </w:p>
    <w:p w14:paraId="388D8F79" w14:textId="77777777" w:rsidR="00265B99" w:rsidRPr="00FF007A" w:rsidRDefault="00265B99" w:rsidP="00265B99">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29C5DE3D" w14:textId="77777777" w:rsidR="00265B99" w:rsidRPr="00FF007A" w:rsidRDefault="00265B99" w:rsidP="00265B99">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65B99" w:rsidRPr="00FF007A" w14:paraId="6B93EED8" w14:textId="77777777" w:rsidTr="5E44563B">
        <w:tc>
          <w:tcPr>
            <w:tcW w:w="8828" w:type="dxa"/>
          </w:tcPr>
          <w:p w14:paraId="26EB965D" w14:textId="77777777" w:rsidR="00265B99" w:rsidRDefault="00265B99" w:rsidP="00FB0F27">
            <w:pPr>
              <w:spacing w:before="120"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w:t>
            </w:r>
            <w:r>
              <w:rPr>
                <w:rFonts w:ascii="Verdana" w:eastAsia="Calibri" w:hAnsi="Verdana" w:cs="Arial"/>
                <w:lang w:val="es-ES"/>
              </w:rPr>
              <w:t xml:space="preserve">(…) </w:t>
            </w:r>
            <w:r w:rsidRPr="00FC6F34">
              <w:rPr>
                <w:rFonts w:ascii="Verdana" w:eastAsia="Calibri" w:hAnsi="Verdana" w:cs="Arial"/>
                <w:lang w:val="es-ES"/>
              </w:rPr>
              <w:t xml:space="preserve">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w:t>
            </w:r>
            <w:r>
              <w:rPr>
                <w:rFonts w:ascii="Verdana" w:eastAsia="Calibri" w:hAnsi="Verdana" w:cs="Arial"/>
                <w:lang w:val="es-ES"/>
              </w:rPr>
              <w:t xml:space="preserve">(…) </w:t>
            </w:r>
            <w:r w:rsidRPr="00FC6F34">
              <w:rPr>
                <w:rFonts w:ascii="Verdana" w:eastAsia="Calibri" w:hAnsi="Verdana" w:cs="Arial"/>
                <w:lang w:val="es-ES"/>
              </w:rPr>
              <w:t xml:space="preserve">lo referente a la defensa y seguridad del Estado, los contratos de crédito público, los requeridos para cubrir las emergencias educativas, sanitarias y desastres, así como también los </w:t>
            </w:r>
            <w:r w:rsidRPr="00FC6F34">
              <w:rPr>
                <w:rFonts w:ascii="Verdana" w:eastAsia="Calibri" w:hAnsi="Verdana" w:cs="Arial"/>
                <w:lang w:val="es-ES"/>
              </w:rPr>
              <w:lastRenderedPageBreak/>
              <w:t>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6F43D36" w14:textId="77777777" w:rsidR="00265B99" w:rsidRDefault="00265B99" w:rsidP="00FB0F27">
            <w:pPr>
              <w:spacing w:before="120" w:after="120" w:line="276" w:lineRule="auto"/>
              <w:ind w:firstLine="742"/>
              <w:jc w:val="both"/>
              <w:rPr>
                <w:rFonts w:ascii="Verdana" w:hAnsi="Verdana" w:cs="Arial"/>
                <w:bCs/>
                <w:color w:val="000000" w:themeColor="text1"/>
                <w:lang w:val="es-ES"/>
              </w:rPr>
            </w:pP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 principio, todos los entes del Estado están cobijados por la prohibición para contratar directamente </w:t>
            </w:r>
            <w:r>
              <w:rPr>
                <w:rFonts w:ascii="Verdana" w:eastAsia="Arial" w:hAnsi="Verdana" w:cs="Arial"/>
                <w:bCs/>
                <w:color w:val="000000" w:themeColor="text1"/>
                <w:lang w:val="es-ES"/>
              </w:rPr>
              <w:t xml:space="preserve">según </w:t>
            </w:r>
            <w:r w:rsidRPr="00FC6F34">
              <w:rPr>
                <w:rFonts w:ascii="Verdana" w:eastAsia="Arial" w:hAnsi="Verdana" w:cs="Arial"/>
                <w:bCs/>
                <w:color w:val="000000" w:themeColor="text1"/>
                <w:lang w:val="es-ES"/>
              </w:rPr>
              <w:t xml:space="preserve">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w:t>
            </w:r>
            <w:r>
              <w:rPr>
                <w:rFonts w:ascii="Verdana" w:hAnsi="Verdana" w:cs="Arial"/>
                <w:bCs/>
                <w:color w:val="000000" w:themeColor="text1"/>
                <w:lang w:val="es-ES"/>
              </w:rPr>
              <w:t>, entre las cuales se incluyen “l</w:t>
            </w:r>
            <w:r w:rsidRPr="00FC6F34">
              <w:rPr>
                <w:rFonts w:ascii="Verdana" w:hAnsi="Verdana" w:cs="Arial"/>
                <w:bCs/>
                <w:color w:val="000000" w:themeColor="text1"/>
                <w:lang w:val="es-ES"/>
              </w:rPr>
              <w:t>os contratos requeridos para cubrir las emergencias educativas, sanitarias y desastres</w:t>
            </w:r>
            <w:r>
              <w:rPr>
                <w:rFonts w:ascii="Verdana" w:hAnsi="Verdana" w:cs="Arial"/>
                <w:bCs/>
                <w:color w:val="000000" w:themeColor="text1"/>
                <w:lang w:val="es-ES"/>
              </w:rPr>
              <w:t>” y “l</w:t>
            </w:r>
            <w:r w:rsidRPr="00FC6F34">
              <w:rPr>
                <w:rFonts w:ascii="Verdana" w:hAnsi="Verdana" w:cs="Arial"/>
                <w:bCs/>
                <w:color w:val="000000" w:themeColor="text1"/>
                <w:lang w:val="es-ES"/>
              </w:rPr>
              <w:t>a contratación que deban realizar las entidades sanitarias y hospitalarias</w:t>
            </w:r>
            <w:r>
              <w:rPr>
                <w:rFonts w:ascii="Verdana" w:hAnsi="Verdana" w:cs="Arial"/>
                <w:bCs/>
                <w:color w:val="000000" w:themeColor="text1"/>
                <w:lang w:val="es-ES"/>
              </w:rPr>
              <w:t>”</w:t>
            </w:r>
            <w:r w:rsidRPr="00FC6F34">
              <w:rPr>
                <w:rFonts w:ascii="Verdana" w:hAnsi="Verdana" w:cs="Arial"/>
                <w:bCs/>
                <w:color w:val="000000" w:themeColor="text1"/>
                <w:lang w:val="es-ES"/>
              </w:rPr>
              <w:t>.</w:t>
            </w:r>
          </w:p>
          <w:p w14:paraId="52DD08C6" w14:textId="57E4ADE4" w:rsidR="00265B99" w:rsidRDefault="00265B99" w:rsidP="5E44563B">
            <w:pPr>
              <w:spacing w:before="120" w:after="120" w:line="276" w:lineRule="auto"/>
              <w:ind w:firstLine="709"/>
              <w:jc w:val="both"/>
              <w:rPr>
                <w:rFonts w:ascii="Verdana" w:eastAsia="Arial" w:hAnsi="Verdana" w:cs="Arial"/>
                <w:color w:val="000000" w:themeColor="text1"/>
                <w:lang w:val="es-ES"/>
              </w:rPr>
            </w:pPr>
            <w:r w:rsidRPr="005C1C08">
              <w:rPr>
                <w:rFonts w:ascii="Verdana" w:hAnsi="Verdana" w:cs="Arial"/>
                <w:color w:val="000000" w:themeColor="text1"/>
                <w:lang w:val="es-ES"/>
              </w:rPr>
              <w:t>Teniendo en cuenta el tema de su consulta, es pertinente aclarar que, dentro de la estructura de la administración pública, las Empresas Sociales del Estado</w:t>
            </w:r>
            <w:r w:rsidR="00520287" w:rsidRPr="005C1C08">
              <w:rPr>
                <w:rFonts w:ascii="Verdana" w:hAnsi="Verdana" w:cs="Arial"/>
                <w:color w:val="000000" w:themeColor="text1"/>
                <w:lang w:val="es-ES"/>
              </w:rPr>
              <w:t>, según lo dispuesto en el artículo 194</w:t>
            </w:r>
            <w:r w:rsidR="00AB6AFA" w:rsidRPr="005C1C08">
              <w:rPr>
                <w:rFonts w:ascii="Verdana" w:hAnsi="Verdana" w:cs="Arial"/>
                <w:color w:val="000000" w:themeColor="text1"/>
                <w:lang w:val="es-ES"/>
              </w:rPr>
              <w:t xml:space="preserve"> de la Ley 100 de 1993</w:t>
            </w:r>
            <w:r w:rsidRPr="005C1C08">
              <w:rPr>
                <w:rFonts w:ascii="Verdana" w:hAnsi="Verdana" w:cs="Arial"/>
                <w:color w:val="000000" w:themeColor="text1"/>
                <w:lang w:val="es-ES"/>
              </w:rPr>
              <w:t xml:space="preserve"> son las entidades encargadas de prestar el servicio de salud de manera directa. Adicionalmente, </w:t>
            </w:r>
            <w:r w:rsidRPr="005C1C08">
              <w:rPr>
                <w:rFonts w:ascii="Verdana" w:eastAsia="Arial" w:hAnsi="Verdana" w:cs="Arial"/>
                <w:color w:val="000000" w:themeColor="text1"/>
                <w:lang w:val="es-ES"/>
              </w:rPr>
              <w:t xml:space="preserve">el artículo 2.8.8.1.1.3 del Decreto 780 de 2016, “Por medio del cual se expide el Decreto Único Reglamentario del Sector Salud y Protección Social”, definió a las </w:t>
            </w:r>
            <w:r w:rsidRPr="005C1C08">
              <w:rPr>
                <w:rFonts w:ascii="Verdana" w:eastAsia="Arial" w:hAnsi="Verdana" w:cs="Arial"/>
                <w:i/>
                <w:iCs/>
                <w:color w:val="000000" w:themeColor="text1"/>
                <w:lang w:val="es-ES"/>
              </w:rPr>
              <w:t>entidades sanitarias</w:t>
            </w:r>
            <w:r w:rsidRPr="005C1C08">
              <w:rPr>
                <w:rFonts w:ascii="Verdana" w:eastAsia="Arial" w:hAnsi="Verdana" w:cs="Arial"/>
                <w:color w:val="000000" w:themeColor="text1"/>
                <w:lang w:val="es-ES"/>
              </w:rPr>
              <w:t xml:space="preserve"> como “Entidades del Estado que prestan servicios sanitarios o de sanidad con el propósito de preservar la salud humana y la salud pública”</w:t>
            </w:r>
            <w:r w:rsidR="00A436F3" w:rsidRPr="005C1C08">
              <w:rPr>
                <w:rFonts w:ascii="Verdana" w:eastAsia="Arial" w:hAnsi="Verdana" w:cs="Arial"/>
                <w:color w:val="000000" w:themeColor="text1"/>
                <w:lang w:val="es-ES"/>
              </w:rPr>
              <w:t xml:space="preserve"> y por autoridad</w:t>
            </w:r>
            <w:r w:rsidR="00117832" w:rsidRPr="005C1C08">
              <w:rPr>
                <w:rFonts w:ascii="Verdana" w:eastAsia="Arial" w:hAnsi="Verdana" w:cs="Arial"/>
                <w:color w:val="000000" w:themeColor="text1"/>
                <w:lang w:val="es-ES"/>
              </w:rPr>
              <w:t>es</w:t>
            </w:r>
            <w:r w:rsidR="00A436F3" w:rsidRPr="005C1C08">
              <w:rPr>
                <w:rFonts w:ascii="Verdana" w:eastAsia="Arial" w:hAnsi="Verdana" w:cs="Arial"/>
                <w:color w:val="000000" w:themeColor="text1"/>
                <w:lang w:val="es-ES"/>
              </w:rPr>
              <w:t xml:space="preserve"> sanitaria</w:t>
            </w:r>
            <w:r w:rsidR="00117832" w:rsidRPr="005C1C08">
              <w:rPr>
                <w:rFonts w:ascii="Verdana" w:eastAsia="Arial" w:hAnsi="Verdana" w:cs="Arial"/>
                <w:color w:val="000000" w:themeColor="text1"/>
                <w:lang w:val="es-ES"/>
              </w:rPr>
              <w:t xml:space="preserve">s </w:t>
            </w:r>
            <w:r w:rsidR="00975795">
              <w:rPr>
                <w:rFonts w:ascii="Verdana" w:eastAsia="Arial" w:hAnsi="Verdana" w:cs="Arial"/>
                <w:color w:val="000000" w:themeColor="text1"/>
                <w:lang w:val="es-ES"/>
              </w:rPr>
              <w:t xml:space="preserve">las </w:t>
            </w:r>
            <w:r w:rsidR="00117832" w:rsidRPr="005C1C08">
              <w:rPr>
                <w:rFonts w:ascii="Verdana" w:eastAsia="Arial" w:hAnsi="Verdana" w:cs="Arial"/>
                <w:color w:val="000000" w:themeColor="text1"/>
                <w:lang w:val="es-ES"/>
              </w:rPr>
              <w:t>“</w:t>
            </w:r>
            <w:r w:rsidR="00117832" w:rsidRPr="005C1C08">
              <w:rPr>
                <w:rFonts w:ascii="Verdana" w:eastAsia="Arial" w:hAnsi="Verdana" w:cs="Arial"/>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5C1C08">
              <w:rPr>
                <w:rFonts w:ascii="Verdana" w:eastAsia="Arial" w:hAnsi="Verdana" w:cs="Arial"/>
                <w:color w:val="000000" w:themeColor="text1"/>
                <w:lang w:val="es-ES"/>
              </w:rPr>
              <w:t xml:space="preserve">. De esta forma, para efectos de la excepción, </w:t>
            </w:r>
            <w:r w:rsidR="00A13AD4">
              <w:rPr>
                <w:rFonts w:ascii="Verdana" w:eastAsia="Arial" w:hAnsi="Verdana" w:cs="Arial"/>
                <w:color w:val="000000" w:themeColor="text1"/>
                <w:lang w:val="es-ES"/>
              </w:rPr>
              <w:t>se debe verificar que se cumplan los requisitos del artículo 33 de la Ley 996 de 2005.</w:t>
            </w:r>
            <w:r w:rsidRPr="005C1C08">
              <w:rPr>
                <w:rFonts w:ascii="Verdana" w:eastAsia="Arial" w:hAnsi="Verdana" w:cs="Arial"/>
                <w:color w:val="000000" w:themeColor="text1"/>
                <w:lang w:val="es-ES"/>
              </w:rPr>
              <w:t xml:space="preserve"> Sobre lo anterior, el Consejo de Estado ha señalado que “las entidades que presten servicios tendientes a preservar la salud pública o humana deben ser consideradas como entidades sanitarias y en principio estarían exceptuadas de la prohibición de contratación directa”.</w:t>
            </w:r>
          </w:p>
          <w:p w14:paraId="04A66AB3" w14:textId="14995505" w:rsidR="00265B99" w:rsidRDefault="00265B99" w:rsidP="5E44563B">
            <w:pPr>
              <w:spacing w:before="120" w:after="120" w:line="276" w:lineRule="auto"/>
              <w:ind w:firstLine="742"/>
              <w:jc w:val="both"/>
              <w:rPr>
                <w:rFonts w:ascii="Verdana" w:eastAsia="Arial" w:hAnsi="Verdana" w:cs="Arial"/>
                <w:color w:val="000000" w:themeColor="text1"/>
                <w:lang w:val="es-ES"/>
              </w:rPr>
            </w:pPr>
            <w:r w:rsidRPr="5E44563B">
              <w:rPr>
                <w:rFonts w:ascii="Verdana" w:eastAsia="Arial" w:hAnsi="Verdana" w:cs="Arial"/>
                <w:color w:val="000000" w:themeColor="text1"/>
                <w:lang w:val="es-ES"/>
              </w:rPr>
              <w:t xml:space="preserve">Conforme con lo expuesto, las entidades que requieran adelantar procesos de contratación directa durante el periodo de garantías electorales deberán analizar, primero, si se configuran los supuestos establecidos en el artículo 33 de la Ley 996 de 2005, es decir, si se trata de una entidad pública que pretenda adelantar un proceso no competitivo. Adicionalmente, será pertinente analizar si se configura alguna de las excepciones previstas en la </w:t>
            </w:r>
            <w:r w:rsidRPr="5E44563B">
              <w:rPr>
                <w:rFonts w:ascii="Verdana" w:eastAsia="Arial" w:hAnsi="Verdana" w:cs="Arial"/>
                <w:color w:val="000000" w:themeColor="text1"/>
                <w:lang w:val="es-ES"/>
              </w:rPr>
              <w:lastRenderedPageBreak/>
              <w:t xml:space="preserve">norma. En este caso, será relevante determinar si la contratación del Plan de Intervenciones Colectivas -PIC- se realiza con ocasión a una “emergencia sanitaria” o si es llevada a cabo por “entidades sanitarias u hospitalarias”. De ser así, la entidad </w:t>
            </w:r>
            <w:r w:rsidR="62DFCF10" w:rsidRPr="5E44563B">
              <w:rPr>
                <w:rFonts w:ascii="Verdana" w:eastAsia="Arial" w:hAnsi="Verdana" w:cs="Arial"/>
                <w:color w:val="000000" w:themeColor="text1"/>
                <w:lang w:val="es-ES"/>
              </w:rPr>
              <w:t xml:space="preserve">previo análisis </w:t>
            </w:r>
            <w:r w:rsidR="179AE141" w:rsidRPr="5E44563B">
              <w:rPr>
                <w:rFonts w:ascii="Verdana" w:eastAsia="Arial" w:hAnsi="Verdana" w:cs="Arial"/>
                <w:color w:val="000000" w:themeColor="text1"/>
                <w:lang w:val="es-ES"/>
              </w:rPr>
              <w:t>de las excepcione</w:t>
            </w:r>
            <w:r w:rsidR="0DE6A506" w:rsidRPr="5E44563B">
              <w:rPr>
                <w:rFonts w:ascii="Verdana" w:eastAsia="Arial" w:hAnsi="Verdana" w:cs="Arial"/>
                <w:color w:val="000000" w:themeColor="text1"/>
                <w:lang w:val="es-ES"/>
              </w:rPr>
              <w:t xml:space="preserve">s </w:t>
            </w:r>
            <w:r w:rsidR="17F4DB17" w:rsidRPr="5E44563B">
              <w:rPr>
                <w:rFonts w:ascii="Verdana" w:eastAsia="Arial" w:hAnsi="Verdana" w:cs="Arial"/>
                <w:color w:val="000000" w:themeColor="text1"/>
                <w:lang w:val="es-ES"/>
              </w:rPr>
              <w:t xml:space="preserve">de ley podrá proceder en tal </w:t>
            </w:r>
            <w:r w:rsidR="58944B7C" w:rsidRPr="2B14C034">
              <w:rPr>
                <w:rFonts w:ascii="Verdana" w:eastAsia="Arial" w:hAnsi="Verdana" w:cs="Arial"/>
                <w:color w:val="000000" w:themeColor="text1"/>
                <w:lang w:val="es-ES"/>
              </w:rPr>
              <w:t>sentido</w:t>
            </w:r>
            <w:r w:rsidR="48321F63" w:rsidRPr="5E44563B">
              <w:rPr>
                <w:rFonts w:ascii="Verdana" w:eastAsia="Arial" w:hAnsi="Verdana" w:cs="Arial"/>
                <w:color w:val="000000" w:themeColor="text1"/>
                <w:lang w:val="es-ES"/>
              </w:rPr>
              <w:t xml:space="preserve"> y</w:t>
            </w:r>
            <w:r w:rsidRPr="5E44563B">
              <w:rPr>
                <w:rFonts w:ascii="Verdana" w:eastAsia="Arial" w:hAnsi="Verdana" w:cs="Arial"/>
                <w:color w:val="000000" w:themeColor="text1"/>
                <w:lang w:val="es-ES"/>
              </w:rPr>
              <w:t xml:space="preserve"> contratar directamente, a pesar de que haya iniciado el periodo de garantías electorales correspondiente al artículo 33 de la Ley 996 de 2005.</w:t>
            </w:r>
          </w:p>
          <w:p w14:paraId="7F581589" w14:textId="77777777" w:rsidR="00265B99" w:rsidRDefault="00265B99" w:rsidP="00FB0F27">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033E8B">
              <w:rPr>
                <w:rFonts w:ascii="Verdana" w:eastAsia="Calibri" w:hAnsi="Verdana" w:cs="Arial"/>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w:t>
            </w:r>
            <w:r>
              <w:rPr>
                <w:rFonts w:ascii="Verdana" w:eastAsia="Calibri" w:hAnsi="Verdana" w:cs="Arial"/>
                <w:lang w:val="es-ES"/>
              </w:rPr>
              <w:t>(…)</w:t>
            </w:r>
            <w:r w:rsidRPr="00FC6F34">
              <w:rPr>
                <w:rFonts w:ascii="Verdana" w:eastAsia="Calibri" w:hAnsi="Verdana" w:cs="Arial"/>
                <w:lang w:val="es-ES"/>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Arial" w:hAnsi="Verdana" w:cs="Arial"/>
                <w:lang w:val="es-ES" w:eastAsia="es-ES" w:bidi="es-ES"/>
              </w:rPr>
              <w:t xml:space="preserve"> </w:t>
            </w:r>
          </w:p>
          <w:p w14:paraId="713F3808" w14:textId="24773F85" w:rsidR="00265B99" w:rsidRPr="00B743F9" w:rsidRDefault="00265B99" w:rsidP="00FB0F27">
            <w:pPr>
              <w:widowControl w:val="0"/>
              <w:autoSpaceDE w:val="0"/>
              <w:autoSpaceDN w:val="0"/>
              <w:spacing w:after="120" w:line="276" w:lineRule="auto"/>
              <w:ind w:right="113" w:firstLine="709"/>
              <w:jc w:val="both"/>
              <w:rPr>
                <w:rFonts w:ascii="Verdana" w:eastAsia="Arial" w:hAnsi="Verdana" w:cs="Arial"/>
                <w:lang w:val="es-ES" w:eastAsia="es-ES" w:bidi="es-ES"/>
              </w:rPr>
            </w:pPr>
            <w:r w:rsidRPr="5E44563B">
              <w:rPr>
                <w:rFonts w:ascii="Verdana" w:eastAsia="Arial" w:hAnsi="Verdana" w:cs="Arial"/>
                <w:lang w:val="es-ES" w:eastAsia="es-ES" w:bidi="es-ES"/>
              </w:rPr>
              <w:t xml:space="preserve">En efecto, con respecto a esta prohibición, </w:t>
            </w:r>
            <w:r w:rsidRPr="5E44563B">
              <w:rPr>
                <w:rFonts w:ascii="Verdana" w:eastAsia="Arial" w:hAnsi="Verdana" w:cs="Arial"/>
                <w:color w:val="000000" w:themeColor="text1"/>
                <w:lang w:val="es-ES"/>
              </w:rPr>
              <w:t xml:space="preserve">es necesario verificar si la contratación del PIC es llevada a cabo por alguno de los sujetos señalados en la norma, </w:t>
            </w:r>
            <w:r w:rsidRPr="5E44563B">
              <w:rPr>
                <w:rFonts w:ascii="Verdana" w:eastAsia="Arial" w:hAnsi="Verdana" w:cs="Arial"/>
                <w:color w:val="000000" w:themeColor="text1"/>
              </w:rPr>
              <w:t>así como</w:t>
            </w:r>
            <w:r w:rsidRPr="5E44563B">
              <w:rPr>
                <w:rFonts w:ascii="Verdana" w:eastAsia="Arial" w:hAnsi="Verdana" w:cs="Arial"/>
                <w:color w:val="000000" w:themeColor="text1"/>
                <w:lang w:val="es-ES"/>
              </w:rPr>
              <w:t xml:space="preserve"> si lo que se pretende adelantar es un convenio o un contrato interadministrativo para la ejecución de recursos públicos. Cuando este sea el caso, operará la restricción señalada en el parágrafo y estará prohibido llevar a cabo la contratación</w:t>
            </w:r>
            <w:r w:rsidR="5F44905C" w:rsidRPr="5E44563B">
              <w:rPr>
                <w:rFonts w:ascii="Verdana" w:eastAsia="Arial" w:hAnsi="Verdana" w:cs="Arial"/>
                <w:color w:val="000000" w:themeColor="text1"/>
                <w:lang w:val="es-ES"/>
              </w:rPr>
              <w:t xml:space="preserve"> de convenios</w:t>
            </w:r>
            <w:r w:rsidRPr="5E44563B">
              <w:rPr>
                <w:rFonts w:ascii="Verdana" w:eastAsia="Arial" w:hAnsi="Verdana" w:cs="Arial"/>
                <w:color w:val="000000" w:themeColor="text1"/>
                <w:lang w:val="es-ES"/>
              </w:rPr>
              <w:t xml:space="preserve"> en los cuatro meses anteriores a cualquier contienda electoral. Es importante resaltar que para esta prohibición la norma no contempló ninguna excepción, de modo que aplicará, aunque se trate de entidades sanitarias u hospitalarias. </w:t>
            </w:r>
          </w:p>
          <w:p w14:paraId="3BB63DDE" w14:textId="70D28E07" w:rsidR="00265B99" w:rsidRDefault="00265B99" w:rsidP="5E44563B">
            <w:pPr>
              <w:widowControl w:val="0"/>
              <w:tabs>
                <w:tab w:val="left" w:pos="3402"/>
              </w:tabs>
              <w:autoSpaceDE w:val="0"/>
              <w:autoSpaceDN w:val="0"/>
              <w:spacing w:after="120" w:line="276" w:lineRule="auto"/>
              <w:ind w:right="113" w:firstLine="709"/>
              <w:jc w:val="both"/>
              <w:rPr>
                <w:rFonts w:ascii="Verdana" w:eastAsia="Arial" w:hAnsi="Verdana" w:cs="Arial"/>
                <w:color w:val="000000" w:themeColor="text1"/>
                <w:lang w:val="es-ES"/>
              </w:rPr>
            </w:pPr>
            <w:r w:rsidRPr="5E44563B">
              <w:rPr>
                <w:rFonts w:ascii="Verdana" w:eastAsia="Arial" w:hAnsi="Verdana" w:cs="Arial"/>
                <w:lang w:val="es-ES" w:eastAsia="es-ES" w:bidi="es-ES"/>
              </w:rPr>
              <w:t xml:space="preserve">Se resalta que el </w:t>
            </w:r>
            <w:r w:rsidRPr="5E44563B">
              <w:rPr>
                <w:rFonts w:ascii="Verdana" w:eastAsia="Arial" w:hAnsi="Verdana" w:cs="Arial"/>
                <w:color w:val="000000" w:themeColor="text1"/>
                <w:lang w:val="es-ES"/>
              </w:rPr>
              <w:t xml:space="preserve">Ministerio de Salud y Protección Social, mediante la Resolución 04 del 12 de </w:t>
            </w:r>
            <w:proofErr w:type="gramStart"/>
            <w:r w:rsidRPr="5E44563B">
              <w:rPr>
                <w:rFonts w:ascii="Verdana" w:eastAsia="Arial" w:hAnsi="Verdana" w:cs="Arial"/>
                <w:color w:val="000000" w:themeColor="text1"/>
                <w:lang w:val="es-ES"/>
              </w:rPr>
              <w:t>Enero</w:t>
            </w:r>
            <w:proofErr w:type="gramEnd"/>
            <w:r w:rsidRPr="5E44563B">
              <w:rPr>
                <w:rFonts w:ascii="Verdana" w:eastAsia="Arial" w:hAnsi="Verdana" w:cs="Arial"/>
                <w:color w:val="000000" w:themeColor="text1"/>
                <w:lang w:val="es-ES"/>
              </w:rPr>
              <w:t xml:space="preserve"> de 2018, dio “instrucciones para la ejecución de las acciones en salud pública en el marco de la Ley de Garantías electorales”. Respecto de la ejecución del Plan de Intervenciones Colectivas (PIC), enfatizó que las entidades deben garantizar los tramites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resaltó la excepción aplicable a estas entidades. </w:t>
            </w:r>
          </w:p>
          <w:p w14:paraId="21557023" w14:textId="48A83B5E" w:rsidR="00265B99" w:rsidRDefault="00265B99" w:rsidP="5E44563B">
            <w:pPr>
              <w:widowControl w:val="0"/>
              <w:tabs>
                <w:tab w:val="left" w:pos="3402"/>
              </w:tabs>
              <w:autoSpaceDE w:val="0"/>
              <w:autoSpaceDN w:val="0"/>
              <w:spacing w:after="120" w:line="276" w:lineRule="auto"/>
              <w:ind w:right="113" w:firstLine="709"/>
              <w:jc w:val="both"/>
              <w:rPr>
                <w:rFonts w:ascii="Verdana" w:eastAsia="Arial" w:hAnsi="Verdana" w:cs="Arial"/>
                <w:color w:val="000000" w:themeColor="text1"/>
                <w:lang w:val="es-ES"/>
              </w:rPr>
            </w:pPr>
            <w:r w:rsidRPr="5E44563B">
              <w:rPr>
                <w:rFonts w:ascii="Verdana" w:eastAsia="Arial" w:hAnsi="Verdana" w:cs="Arial"/>
                <w:color w:val="000000" w:themeColor="text1"/>
                <w:lang w:val="es-ES"/>
              </w:rPr>
              <w:lastRenderedPageBreak/>
              <w:t xml:space="preserve">Sobre esto último, estableció como criterios para determinar la procedencia de la excepción en materia de salud: i) que la contratación sea necesaria para solventar las eventuales situaciones de urgencia en salud, y </w:t>
            </w:r>
            <w:proofErr w:type="spellStart"/>
            <w:r w:rsidRPr="5E44563B">
              <w:rPr>
                <w:rFonts w:ascii="Verdana" w:eastAsia="Arial" w:hAnsi="Verdana" w:cs="Arial"/>
                <w:color w:val="000000" w:themeColor="text1"/>
                <w:lang w:val="es-ES"/>
              </w:rPr>
              <w:t>ii</w:t>
            </w:r>
            <w:proofErr w:type="spellEnd"/>
            <w:r w:rsidRPr="5E44563B">
              <w:rPr>
                <w:rFonts w:ascii="Verdana" w:eastAsia="Arial" w:hAnsi="Verdana" w:cs="Arial"/>
                <w:color w:val="000000" w:themeColor="text1"/>
                <w:lang w:val="es-ES"/>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65BBB179" w14:textId="6C5C68B1" w:rsidR="00265B99" w:rsidRDefault="02607CA9" w:rsidP="5E44563B">
            <w:pPr>
              <w:spacing w:before="120" w:after="120" w:line="276" w:lineRule="auto"/>
              <w:ind w:firstLine="709"/>
              <w:jc w:val="both"/>
              <w:rPr>
                <w:rFonts w:ascii="Verdana" w:eastAsia="Times New Roman" w:hAnsi="Verdana" w:cs="Arial"/>
                <w:lang w:val="es-ES" w:eastAsia="es-CO"/>
              </w:rPr>
            </w:pPr>
            <w:r w:rsidRPr="5E44563B">
              <w:rPr>
                <w:rFonts w:ascii="Verdana" w:eastAsia="Arial" w:hAnsi="Verdana" w:cs="Arial"/>
                <w:color w:val="000000" w:themeColor="text1"/>
                <w:lang w:val="es-ES"/>
              </w:rPr>
              <w:t xml:space="preserve">Lo anterior </w:t>
            </w:r>
            <w:r w:rsidR="393003E2" w:rsidRPr="5E44563B">
              <w:rPr>
                <w:rFonts w:ascii="Verdana" w:eastAsia="Arial" w:hAnsi="Verdana" w:cs="Arial"/>
                <w:color w:val="000000" w:themeColor="text1"/>
                <w:lang w:val="es-ES"/>
              </w:rPr>
              <w:t>está</w:t>
            </w:r>
            <w:r w:rsidR="00265B99" w:rsidRPr="5E44563B">
              <w:rPr>
                <w:rFonts w:ascii="Verdana" w:eastAsia="Arial" w:hAnsi="Verdana" w:cs="Arial"/>
                <w:color w:val="000000" w:themeColor="text1"/>
                <w:lang w:val="es-ES"/>
              </w:rPr>
              <w:t xml:space="preserve"> acorde con </w:t>
            </w:r>
            <w:r w:rsidR="00265B99" w:rsidRPr="5E44563B">
              <w:rPr>
                <w:rFonts w:ascii="Verdana" w:eastAsia="Times New Roman" w:hAnsi="Verdana" w:cs="Arial"/>
                <w:lang w:val="es-ES"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siempre que cumplan los principios de planeación, transparencia y responsabilidad</w:t>
            </w:r>
            <w:r w:rsidR="00265B99" w:rsidRPr="5E44563B">
              <w:rPr>
                <w:rFonts w:ascii="Verdana" w:eastAsia="Times New Roman" w:hAnsi="Verdana" w:cs="Arial"/>
                <w:vertAlign w:val="superscript"/>
                <w:lang w:val="es-ES" w:eastAsia="es-CO"/>
              </w:rPr>
              <w:footnoteReference w:id="1"/>
            </w:r>
            <w:r w:rsidR="00265B99" w:rsidRPr="5E44563B">
              <w:rPr>
                <w:rFonts w:ascii="Verdana" w:eastAsia="Times New Roman" w:hAnsi="Verdana" w:cs="Arial"/>
                <w:lang w:val="es-ES" w:eastAsia="es-CO"/>
              </w:rPr>
              <w:t>. Ad</w:t>
            </w:r>
            <w:r w:rsidR="3846FB56" w:rsidRPr="5E44563B">
              <w:rPr>
                <w:rFonts w:ascii="Verdana" w:eastAsia="Times New Roman" w:hAnsi="Verdana" w:cs="Arial"/>
                <w:lang w:val="es-ES" w:eastAsia="es-CO"/>
              </w:rPr>
              <w:t>icionalmente</w:t>
            </w:r>
            <w:r w:rsidR="00265B99" w:rsidRPr="5E44563B">
              <w:rPr>
                <w:rFonts w:ascii="Verdana" w:eastAsia="Times New Roman" w:hAnsi="Verdana" w:cs="Arial"/>
                <w:lang w:val="es-ES" w:eastAsia="es-CO"/>
              </w:rPr>
              <w:t xml:space="preserve"> es posible que </w:t>
            </w:r>
            <w:r w:rsidR="380C1C9A" w:rsidRPr="5E44563B">
              <w:rPr>
                <w:rFonts w:ascii="Verdana" w:eastAsia="Times New Roman" w:hAnsi="Verdana" w:cs="Arial"/>
                <w:lang w:val="es-ES" w:eastAsia="es-CO"/>
              </w:rPr>
              <w:t xml:space="preserve">los </w:t>
            </w:r>
            <w:r w:rsidR="00265B99" w:rsidRPr="5E44563B">
              <w:rPr>
                <w:rFonts w:ascii="Verdana" w:eastAsia="Times New Roman" w:hAnsi="Verdana" w:cs="Arial"/>
                <w:lang w:val="es-ES" w:eastAsia="es-CO"/>
              </w:rPr>
              <w:t xml:space="preserve">contratos celebrados previamente se continúen ejecutando con normalidad y, en consecuencia, se realicen los pagos en las condiciones pactadas. </w:t>
            </w:r>
          </w:p>
          <w:p w14:paraId="6C946916" w14:textId="77777777" w:rsidR="00265B99" w:rsidRPr="00036A04" w:rsidRDefault="00265B99" w:rsidP="00FB0F27">
            <w:pPr>
              <w:spacing w:before="120"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Con respecto a la prohibición del parágrafo del artículo 38, es importante resaltar que el Ministerio de Salud y Protección Social </w:t>
            </w:r>
            <w:r>
              <w:rPr>
                <w:rFonts w:ascii="Verdana" w:eastAsia="Arial" w:hAnsi="Verdana" w:cs="Arial"/>
                <w:bCs/>
                <w:color w:val="000000" w:themeColor="text1"/>
                <w:lang w:val="es-ES"/>
              </w:rPr>
              <w:t xml:space="preserve">dispuso </w:t>
            </w:r>
            <w:r w:rsidRPr="00FC6F34">
              <w:rPr>
                <w:rFonts w:ascii="Verdana" w:eastAsia="Arial" w:hAnsi="Verdana" w:cs="Arial"/>
                <w:bCs/>
                <w:color w:val="000000" w:themeColor="text1"/>
                <w:lang w:val="es-ES"/>
              </w:rPr>
              <w:t>que</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con el fin de garantizar la continuidad de</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las intervenciones de promoción de salud y prevención, “se debe acudir 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as demás modalidades de contratación autorizadas por la ley de manera que no se afecte la ejecución de las intervenciones colectivas a cargo de las entidades territoriales”. </w:t>
            </w:r>
            <w:r>
              <w:rPr>
                <w:rFonts w:ascii="Verdana" w:eastAsia="Arial" w:hAnsi="Verdana" w:cs="Arial"/>
                <w:bCs/>
                <w:color w:val="000000" w:themeColor="text1"/>
                <w:lang w:val="es-ES"/>
              </w:rPr>
              <w:t xml:space="preserve">Lo anterior, considerando que esta prohibición no fijó excepción alguna para su aplicación. </w:t>
            </w:r>
          </w:p>
          <w:p w14:paraId="1490740B" w14:textId="77777777" w:rsidR="00265B99" w:rsidRDefault="00265B99" w:rsidP="00FB0F27">
            <w:pPr>
              <w:spacing w:before="12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04C09800" w14:textId="77777777" w:rsidR="00265B99" w:rsidRPr="002E5606" w:rsidRDefault="00265B99" w:rsidP="00FB0F27">
            <w:pPr>
              <w:spacing w:before="12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determinar si aplica o no una determinada excepción a la prohibición del artículo 33 de la Ley de Garantías Electorales, según la situación fáctica y jurídica particular del caso concreto, para lo cual las </w:t>
            </w:r>
            <w:r w:rsidRPr="00FF007A">
              <w:rPr>
                <w:rFonts w:ascii="Verdana" w:eastAsia="Calibri" w:hAnsi="Verdana" w:cs="Arial"/>
              </w:rPr>
              <w:lastRenderedPageBreak/>
              <w:t>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r>
              <w:rPr>
                <w:rFonts w:ascii="Verdana" w:hAnsi="Verdana" w:cs="Arial"/>
                <w:lang w:eastAsia="es-CO"/>
              </w:rPr>
              <w:t>.</w:t>
            </w:r>
          </w:p>
        </w:tc>
      </w:tr>
    </w:tbl>
    <w:p w14:paraId="253ED32D" w14:textId="77777777" w:rsidR="00265B99" w:rsidRPr="00FF007A" w:rsidRDefault="00265B99" w:rsidP="00265B99">
      <w:pPr>
        <w:tabs>
          <w:tab w:val="left" w:pos="142"/>
          <w:tab w:val="left" w:pos="284"/>
        </w:tabs>
        <w:spacing w:after="0" w:line="276" w:lineRule="auto"/>
        <w:jc w:val="both"/>
        <w:rPr>
          <w:rFonts w:ascii="Verdana" w:eastAsia="Century Gothic" w:hAnsi="Verdana" w:cs="Century Gothic"/>
          <w:b/>
          <w:bCs/>
        </w:rPr>
      </w:pPr>
    </w:p>
    <w:p w14:paraId="76381ED1" w14:textId="77777777" w:rsidR="00265B99" w:rsidRPr="00FF007A" w:rsidRDefault="00265B99" w:rsidP="00265B99">
      <w:pPr>
        <w:tabs>
          <w:tab w:val="left" w:pos="142"/>
          <w:tab w:val="left" w:pos="284"/>
        </w:tabs>
        <w:spacing w:after="0" w:line="276" w:lineRule="auto"/>
        <w:jc w:val="both"/>
        <w:rPr>
          <w:rFonts w:ascii="Verdana" w:eastAsia="Century Gothic" w:hAnsi="Verdana" w:cs="Century Gothic"/>
          <w:b/>
          <w:bCs/>
        </w:rPr>
      </w:pPr>
      <w:r w:rsidRPr="5E44563B">
        <w:rPr>
          <w:rFonts w:ascii="Verdana" w:eastAsia="Century Gothic" w:hAnsi="Verdana" w:cs="Century Gothic"/>
          <w:b/>
          <w:bCs/>
        </w:rPr>
        <w:t>3. Razones de la respuesta:</w:t>
      </w:r>
    </w:p>
    <w:p w14:paraId="62031DFA" w14:textId="77777777" w:rsidR="00265B99" w:rsidRPr="00FF007A" w:rsidRDefault="00265B99" w:rsidP="00265B99">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2CA1E8F2" w14:textId="77777777" w:rsidR="00265B99" w:rsidRPr="00FF007A" w:rsidRDefault="00265B99" w:rsidP="00265B99">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5A725FAF" w14:textId="77777777" w:rsidR="00265B99" w:rsidRPr="00FF007A" w:rsidRDefault="00265B99" w:rsidP="00265B99">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0CD9942" w14:textId="77777777" w:rsidR="00265B99" w:rsidRPr="00FF007A" w:rsidRDefault="00265B99" w:rsidP="00265B99">
      <w:pPr>
        <w:tabs>
          <w:tab w:val="left" w:pos="426"/>
        </w:tabs>
        <w:spacing w:after="120" w:line="276" w:lineRule="auto"/>
        <w:jc w:val="both"/>
        <w:rPr>
          <w:rFonts w:ascii="Verdana" w:eastAsia="Times New Roman" w:hAnsi="Verdana" w:cs="Arial"/>
          <w:lang w:eastAsia="es-CO"/>
        </w:rPr>
      </w:pPr>
      <w:bookmarkStart w:id="10" w:name="_Hlk209416551"/>
      <w:bookmarkStart w:id="11" w:name="_Hlk204854194"/>
      <w:r w:rsidRPr="00FF007A">
        <w:rPr>
          <w:rFonts w:ascii="Verdana" w:eastAsia="Calibri" w:hAnsi="Verdana" w:cs="Arial"/>
          <w:color w:val="000000" w:themeColor="text1"/>
        </w:rPr>
        <w:t>i)</w:t>
      </w:r>
      <w:r w:rsidRPr="00FF007A">
        <w:rPr>
          <w:rFonts w:ascii="Verdana" w:eastAsia="Verdana" w:hAnsi="Verdana" w:cs="Verdana"/>
        </w:rPr>
        <w:t xml:space="preserve"> </w:t>
      </w:r>
      <w:r w:rsidRPr="00FF007A">
        <w:rPr>
          <w:rFonts w:ascii="Verdana" w:eastAsia="Calibri" w:hAnsi="Verdana" w:cs="Arial"/>
        </w:rPr>
        <w:t>El ordenamiento jurídico colombiano contempla medidas para evitar la obtención de beneficios personales en asuntos propios de la administración pública</w:t>
      </w:r>
      <w:r w:rsidRPr="00FF007A">
        <w:rPr>
          <w:rFonts w:ascii="Verdana" w:eastAsia="Calibri" w:hAnsi="Verdana" w:cs="Arial"/>
          <w:i/>
        </w:rPr>
        <w:t xml:space="preserve">. </w:t>
      </w:r>
      <w:r w:rsidRPr="00FF007A">
        <w:rPr>
          <w:rFonts w:ascii="Verdana" w:eastAsia="Calibri" w:hAnsi="Verdana" w:cs="Arial"/>
        </w:rPr>
        <w:t>Por ejemplo, el artículo 127 de la Constitución Política establece una prohibición contractual a los servidores públicos y, en cuanto a aspectos políticos, señala restricciones a ciertos empleados del Estado, incluso en época no electoral</w:t>
      </w:r>
      <w:r w:rsidRPr="00FF007A">
        <w:rPr>
          <w:rFonts w:ascii="Verdana" w:hAnsi="Verdana"/>
          <w:vertAlign w:val="superscript"/>
        </w:rPr>
        <w:footnoteReference w:id="2"/>
      </w:r>
      <w:r w:rsidRPr="00FF007A">
        <w:rPr>
          <w:rFonts w:ascii="Verdana" w:eastAsia="Calibri" w:hAnsi="Verdana" w:cs="Arial"/>
        </w:rPr>
        <w:t xml:space="preserve">. </w:t>
      </w:r>
    </w:p>
    <w:p w14:paraId="1A7D6D45" w14:textId="77777777" w:rsidR="00265B99" w:rsidRPr="00FF007A" w:rsidRDefault="00265B99" w:rsidP="00265B99">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F007A">
        <w:rPr>
          <w:rFonts w:ascii="Verdana" w:eastAsia="Times New Roman" w:hAnsi="Verdana" w:cs="Arial"/>
          <w:vertAlign w:val="superscript"/>
          <w:lang w:eastAsia="es-CO"/>
        </w:rPr>
        <w:footnoteReference w:id="3"/>
      </w:r>
      <w:r w:rsidRPr="00FF007A">
        <w:rPr>
          <w:rFonts w:ascii="Verdana" w:eastAsia="Times New Roman" w:hAnsi="Verdana" w:cs="Arial"/>
          <w:lang w:eastAsia="es-CO"/>
        </w:rPr>
        <w:t xml:space="preserve">. En esta medida, introduce </w:t>
      </w:r>
      <w:r w:rsidRPr="00FF007A">
        <w:rPr>
          <w:rFonts w:ascii="Verdana" w:eastAsia="Times New Roman" w:hAnsi="Verdana" w:cs="Arial"/>
          <w:lang w:eastAsia="es-CO"/>
        </w:rPr>
        <w:lastRenderedPageBreak/>
        <w:t>limitaciones para realizar nombramientos, postulaciones, contrataciones o cualquier otro tipo de actividad que implique destinación de recursos públicos bajo el devenir propio de las Entidades Estatales.</w:t>
      </w:r>
      <w:r w:rsidRPr="00FF007A">
        <w:rPr>
          <w:rFonts w:ascii="Verdana" w:eastAsia="Calibri" w:hAnsi="Verdana" w:cs="Arial"/>
        </w:rPr>
        <w:t xml:space="preserve"> </w:t>
      </w:r>
    </w:p>
    <w:p w14:paraId="58D59FF2" w14:textId="77777777" w:rsidR="00265B99" w:rsidRPr="00FF007A" w:rsidRDefault="00265B99" w:rsidP="00265B99">
      <w:pPr>
        <w:tabs>
          <w:tab w:val="left" w:pos="426"/>
        </w:tabs>
        <w:spacing w:after="0" w:line="276" w:lineRule="auto"/>
        <w:ind w:firstLine="709"/>
        <w:jc w:val="both"/>
        <w:rPr>
          <w:rFonts w:ascii="Verdana" w:eastAsia="Calibri" w:hAnsi="Verdana" w:cs="Arial"/>
        </w:rPr>
      </w:pPr>
      <w:r w:rsidRPr="00FF007A">
        <w:rPr>
          <w:rFonts w:ascii="Verdana" w:eastAsia="Times New Roman" w:hAnsi="Verdana" w:cs="Arial"/>
          <w:lang w:eastAsia="es-CO"/>
        </w:rPr>
        <w:t>En armonía con lo anterior, la Corte Constitucional ha abordado la definición de la Ley de Garantías Electorales. De esta manera, explica que tiene como propósito:</w:t>
      </w:r>
    </w:p>
    <w:p w14:paraId="1665E361" w14:textId="77777777" w:rsidR="00265B99" w:rsidRPr="00FF007A" w:rsidRDefault="00265B99" w:rsidP="00265B99">
      <w:pPr>
        <w:spacing w:after="0" w:line="276" w:lineRule="auto"/>
        <w:ind w:right="709"/>
        <w:jc w:val="both"/>
        <w:rPr>
          <w:rFonts w:ascii="Verdana" w:eastAsia="Times New Roman" w:hAnsi="Verdana" w:cs="Arial"/>
          <w:lang w:eastAsia="es-CO"/>
        </w:rPr>
      </w:pPr>
    </w:p>
    <w:p w14:paraId="5DD0B942" w14:textId="77777777" w:rsidR="00265B99" w:rsidRPr="00FF007A" w:rsidRDefault="00265B99" w:rsidP="00265B99">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la definición de reglas claras que permitan acceder a los canales de expresión democrática de manera efectiva e igualitaria. El objetivo de una ley de garantías es definir esas reglas.</w:t>
      </w:r>
    </w:p>
    <w:p w14:paraId="2B5FFB95" w14:textId="77777777" w:rsidR="00265B99" w:rsidRPr="00FF007A" w:rsidRDefault="00265B99" w:rsidP="00265B99">
      <w:pPr>
        <w:spacing w:after="0" w:line="240" w:lineRule="auto"/>
        <w:ind w:left="709" w:right="709"/>
        <w:contextualSpacing/>
        <w:jc w:val="both"/>
        <w:rPr>
          <w:rFonts w:ascii="Verdana" w:eastAsia="Times New Roman" w:hAnsi="Verdana" w:cs="Arial"/>
          <w:sz w:val="20"/>
          <w:szCs w:val="20"/>
          <w:lang w:eastAsia="es-CO"/>
        </w:rPr>
      </w:pPr>
    </w:p>
    <w:p w14:paraId="1C435E78" w14:textId="77777777" w:rsidR="00265B99" w:rsidRPr="00FF007A" w:rsidRDefault="00265B99" w:rsidP="00265B99">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 </w:t>
      </w:r>
    </w:p>
    <w:p w14:paraId="5F8BE52D" w14:textId="77777777" w:rsidR="00265B99" w:rsidRPr="00FF007A" w:rsidRDefault="00265B99" w:rsidP="00265B99">
      <w:pPr>
        <w:spacing w:after="0" w:line="240" w:lineRule="auto"/>
        <w:ind w:left="709" w:right="709"/>
        <w:contextualSpacing/>
        <w:jc w:val="both"/>
        <w:rPr>
          <w:rFonts w:ascii="Verdana" w:eastAsia="Times New Roman" w:hAnsi="Verdana" w:cs="Arial"/>
          <w:sz w:val="20"/>
          <w:szCs w:val="20"/>
          <w:lang w:eastAsia="es-CO"/>
        </w:rPr>
      </w:pPr>
    </w:p>
    <w:p w14:paraId="14E3E969" w14:textId="77777777" w:rsidR="00265B99" w:rsidRPr="00FF007A" w:rsidRDefault="00265B99" w:rsidP="00265B99">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F007A">
        <w:rPr>
          <w:rFonts w:ascii="Verdana" w:eastAsia="Calibri" w:hAnsi="Verdana" w:cs="Arial"/>
          <w:sz w:val="20"/>
          <w:szCs w:val="20"/>
          <w:vertAlign w:val="superscript"/>
        </w:rPr>
        <w:footnoteReference w:id="4"/>
      </w:r>
      <w:r w:rsidRPr="00FF007A">
        <w:rPr>
          <w:rFonts w:ascii="Verdana" w:eastAsia="Times New Roman" w:hAnsi="Verdana" w:cs="Arial"/>
          <w:sz w:val="20"/>
          <w:szCs w:val="20"/>
          <w:lang w:eastAsia="es-CO"/>
        </w:rPr>
        <w:t>.</w:t>
      </w:r>
    </w:p>
    <w:p w14:paraId="067E1081" w14:textId="77777777" w:rsidR="00265B99" w:rsidRPr="00FF007A" w:rsidRDefault="00265B99" w:rsidP="00265B99">
      <w:pPr>
        <w:spacing w:after="0" w:line="276" w:lineRule="auto"/>
        <w:ind w:firstLine="709"/>
        <w:jc w:val="both"/>
        <w:rPr>
          <w:rFonts w:ascii="Verdana" w:eastAsia="Times New Roman" w:hAnsi="Verdana" w:cs="Arial"/>
          <w:lang w:eastAsia="es-CO"/>
        </w:rPr>
      </w:pPr>
    </w:p>
    <w:p w14:paraId="2D4BD08C" w14:textId="77777777" w:rsidR="00265B99" w:rsidRPr="00FF007A" w:rsidRDefault="00265B99" w:rsidP="00265B99">
      <w:pPr>
        <w:spacing w:after="0" w:line="276" w:lineRule="auto"/>
        <w:ind w:firstLine="709"/>
        <w:jc w:val="both"/>
        <w:rPr>
          <w:rFonts w:ascii="Verdana" w:eastAsia="Times New Roman" w:hAnsi="Verdana" w:cs="Arial"/>
          <w:lang w:eastAsia="es-CO"/>
        </w:rPr>
      </w:pPr>
      <w:r w:rsidRPr="00FF007A">
        <w:rPr>
          <w:rFonts w:ascii="Verdana" w:eastAsia="Times New Roman" w:hAnsi="Verdana" w:cs="Arial"/>
          <w:lang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08C60BA" w14:textId="77777777" w:rsidR="00265B99" w:rsidRPr="00FF007A" w:rsidRDefault="00265B99" w:rsidP="00265B99">
      <w:pPr>
        <w:spacing w:after="0" w:line="276" w:lineRule="auto"/>
        <w:ind w:firstLine="709"/>
        <w:jc w:val="both"/>
        <w:rPr>
          <w:rFonts w:ascii="Verdana" w:eastAsia="Times New Roman" w:hAnsi="Verdana" w:cs="Arial"/>
          <w:lang w:eastAsia="es-CO"/>
        </w:rPr>
      </w:pPr>
    </w:p>
    <w:p w14:paraId="34679F8E" w14:textId="77777777" w:rsidR="00265B99" w:rsidRPr="00FF007A" w:rsidRDefault="00265B99" w:rsidP="00265B99">
      <w:pPr>
        <w:spacing w:after="0" w:line="240" w:lineRule="auto"/>
        <w:ind w:left="709" w:right="709"/>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F007A">
        <w:rPr>
          <w:rFonts w:ascii="Verdana" w:eastAsia="Times New Roman" w:hAnsi="Verdana" w:cs="Arial"/>
          <w:sz w:val="20"/>
          <w:szCs w:val="20"/>
          <w:lang w:eastAsia="es-CO"/>
        </w:rPr>
        <w:t>legis</w:t>
      </w:r>
      <w:proofErr w:type="spellEnd"/>
      <w:r w:rsidRPr="00FF007A">
        <w:rPr>
          <w:rFonts w:ascii="Verdana" w:eastAsia="Times New Roman" w:hAnsi="Verdana" w:cs="Arial"/>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w:t>
      </w:r>
      <w:r w:rsidRPr="00FF007A">
        <w:rPr>
          <w:rFonts w:ascii="Verdana" w:eastAsia="Times New Roman" w:hAnsi="Verdana" w:cs="Arial"/>
          <w:sz w:val="20"/>
          <w:szCs w:val="20"/>
          <w:lang w:eastAsia="es-CO"/>
        </w:rPr>
        <w:lastRenderedPageBreak/>
        <w:t>disponibles ni pueden ser derogadas, modificadas, ampliadas o adicionadas por acuerdo o convenio o acto unilateral.</w:t>
      </w:r>
    </w:p>
    <w:p w14:paraId="0660D837" w14:textId="77777777" w:rsidR="00265B99" w:rsidRPr="00FF007A" w:rsidRDefault="00265B99" w:rsidP="00265B99">
      <w:pPr>
        <w:spacing w:after="0" w:line="240" w:lineRule="auto"/>
        <w:ind w:right="709"/>
        <w:jc w:val="both"/>
        <w:rPr>
          <w:rFonts w:ascii="Verdana" w:eastAsia="Times New Roman" w:hAnsi="Verdana" w:cs="Arial"/>
          <w:lang w:eastAsia="es-CO"/>
        </w:rPr>
      </w:pPr>
    </w:p>
    <w:p w14:paraId="4C537059" w14:textId="77777777" w:rsidR="00265B99" w:rsidRPr="00FF007A" w:rsidRDefault="00265B99" w:rsidP="00265B99">
      <w:pPr>
        <w:spacing w:after="0" w:line="240" w:lineRule="auto"/>
        <w:ind w:left="709" w:right="709"/>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La jurisprudencia de la Corte Constitucional</w:t>
      </w:r>
      <w:r w:rsidRPr="00FF007A">
        <w:rPr>
          <w:rFonts w:ascii="Verdana" w:eastAsia="Times New Roman" w:hAnsi="Verdana" w:cs="Arial"/>
          <w:sz w:val="20"/>
          <w:szCs w:val="20"/>
          <w:vertAlign w:val="superscript"/>
          <w:lang w:eastAsia="es-CO"/>
        </w:rPr>
        <w:footnoteReference w:id="5"/>
      </w:r>
      <w:r w:rsidRPr="00FF007A">
        <w:rPr>
          <w:rFonts w:ascii="Verdana" w:eastAsia="Times New Roman" w:hAnsi="Verdana" w:cs="Arial"/>
          <w:sz w:val="20"/>
          <w:szCs w:val="20"/>
          <w:lang w:eastAsia="es-CO"/>
        </w:rPr>
        <w:t> y del Consejo de Estado</w:t>
      </w:r>
      <w:r w:rsidRPr="00FF007A">
        <w:rPr>
          <w:rFonts w:ascii="Verdana" w:eastAsia="Times New Roman" w:hAnsi="Verdana" w:cs="Arial"/>
          <w:sz w:val="20"/>
          <w:szCs w:val="20"/>
          <w:vertAlign w:val="superscript"/>
          <w:lang w:eastAsia="es-CO"/>
        </w:rPr>
        <w:footnoteReference w:id="6"/>
      </w:r>
      <w:r w:rsidRPr="00FF007A">
        <w:rPr>
          <w:rFonts w:ascii="Verdana" w:eastAsia="Times New Roman" w:hAnsi="Verdana" w:cs="Arial"/>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F007A">
        <w:rPr>
          <w:rFonts w:ascii="Verdana" w:eastAsia="Times New Roman" w:hAnsi="Verdana" w:cs="Arial"/>
          <w:sz w:val="20"/>
          <w:szCs w:val="20"/>
          <w:vertAlign w:val="superscript"/>
          <w:lang w:eastAsia="es-CO"/>
        </w:rPr>
        <w:footnoteReference w:id="7"/>
      </w:r>
      <w:r w:rsidRPr="00FF007A">
        <w:rPr>
          <w:rFonts w:ascii="Verdana" w:eastAsia="Times New Roman" w:hAnsi="Verdana" w:cs="Arial"/>
          <w:sz w:val="20"/>
          <w:szCs w:val="20"/>
          <w:lang w:eastAsia="es-CO"/>
        </w:rPr>
        <w:t>.</w:t>
      </w:r>
    </w:p>
    <w:p w14:paraId="3809F347" w14:textId="77777777" w:rsidR="00265B99" w:rsidRPr="00FF007A" w:rsidRDefault="00265B99" w:rsidP="00265B99">
      <w:pPr>
        <w:spacing w:after="0" w:line="276" w:lineRule="auto"/>
        <w:jc w:val="both"/>
        <w:rPr>
          <w:rFonts w:ascii="Verdana" w:eastAsia="Calibri" w:hAnsi="Verdana" w:cs="Arial"/>
          <w:bCs/>
        </w:rPr>
      </w:pPr>
    </w:p>
    <w:p w14:paraId="70C6C8AD" w14:textId="77777777" w:rsidR="00265B99" w:rsidRDefault="00265B99" w:rsidP="00265B99">
      <w:pPr>
        <w:spacing w:after="0" w:line="276" w:lineRule="auto"/>
        <w:ind w:firstLine="709"/>
        <w:jc w:val="both"/>
        <w:rPr>
          <w:rFonts w:ascii="Verdana" w:eastAsia="Arial" w:hAnsi="Verdana" w:cs="Arial"/>
          <w:lang w:eastAsia="es-ES" w:bidi="es-ES"/>
        </w:rPr>
      </w:pPr>
      <w:r w:rsidRPr="00FF007A">
        <w:rPr>
          <w:rFonts w:ascii="Verdana" w:eastAsia="Times New Roman" w:hAnsi="Verdana" w:cs="Arial"/>
          <w:lang w:eastAsia="es-CO"/>
        </w:rPr>
        <w:t>De</w:t>
      </w:r>
      <w:r w:rsidRPr="00FF007A">
        <w:rPr>
          <w:rFonts w:ascii="Verdana" w:eastAsia="Arial" w:hAnsi="Verdana" w:cs="Arial"/>
          <w:lang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50D858B" w14:textId="77777777" w:rsidR="00265B99" w:rsidRPr="00FF007A" w:rsidRDefault="00265B99" w:rsidP="00265B99">
      <w:pPr>
        <w:spacing w:after="0" w:line="240" w:lineRule="auto"/>
        <w:ind w:firstLine="709"/>
        <w:jc w:val="both"/>
        <w:rPr>
          <w:rFonts w:ascii="Verdana" w:eastAsia="Arial" w:hAnsi="Verdana" w:cs="Arial"/>
          <w:lang w:eastAsia="es-ES" w:bidi="es-ES"/>
        </w:rPr>
      </w:pPr>
    </w:p>
    <w:p w14:paraId="42C8E02A" w14:textId="77777777" w:rsidR="00265B99" w:rsidRPr="00FF007A" w:rsidRDefault="00265B99" w:rsidP="00265B99">
      <w:pPr>
        <w:spacing w:after="120" w:line="276" w:lineRule="auto"/>
        <w:ind w:firstLine="709"/>
        <w:jc w:val="both"/>
        <w:rPr>
          <w:rFonts w:ascii="Verdana" w:eastAsia="Arial" w:hAnsi="Verdana" w:cs="Arial"/>
          <w:lang w:eastAsia="es-ES" w:bidi="es-ES"/>
        </w:rPr>
      </w:pPr>
      <w:proofErr w:type="spellStart"/>
      <w:r w:rsidRPr="00FF007A">
        <w:rPr>
          <w:rFonts w:ascii="Verdana" w:eastAsia="Arial" w:hAnsi="Verdana" w:cs="Arial"/>
          <w:lang w:eastAsia="es-ES" w:bidi="es-ES"/>
        </w:rPr>
        <w:t>ii</w:t>
      </w:r>
      <w:proofErr w:type="spellEnd"/>
      <w:r w:rsidRPr="00FF007A">
        <w:rPr>
          <w:rFonts w:ascii="Verdana" w:eastAsia="Arial" w:hAnsi="Verdana" w:cs="Arial"/>
          <w:lang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F4C8DB7" w14:textId="77777777" w:rsidR="00265B99" w:rsidRPr="00FF007A" w:rsidRDefault="00265B99" w:rsidP="00265B99">
      <w:pPr>
        <w:spacing w:after="120" w:line="276" w:lineRule="auto"/>
        <w:ind w:firstLine="708"/>
        <w:jc w:val="both"/>
        <w:rPr>
          <w:rFonts w:ascii="Verdana" w:eastAsia="Calibri" w:hAnsi="Verdana" w:cs="Arial"/>
        </w:rPr>
      </w:pPr>
      <w:r w:rsidRPr="00FF007A">
        <w:rPr>
          <w:rFonts w:ascii="Verdana" w:eastAsia="Calibri" w:hAnsi="Verdana" w:cs="Arial"/>
        </w:rPr>
        <w:t xml:space="preserve">Por un lado, 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FF007A">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vertAlign w:val="superscript"/>
        </w:rPr>
        <w:footnoteReference w:id="8"/>
      </w:r>
      <w:r w:rsidRPr="00FF007A">
        <w:rPr>
          <w:rFonts w:ascii="Verdana" w:eastAsia="Calibri" w:hAnsi="Verdana" w:cs="Arial"/>
        </w:rPr>
        <w:t>.</w:t>
      </w:r>
    </w:p>
    <w:p w14:paraId="26E572E2" w14:textId="77777777" w:rsidR="00265B99" w:rsidRPr="00FF007A" w:rsidRDefault="00265B99" w:rsidP="00265B99">
      <w:pPr>
        <w:widowControl w:val="0"/>
        <w:autoSpaceDE w:val="0"/>
        <w:autoSpaceDN w:val="0"/>
        <w:spacing w:after="120" w:line="276" w:lineRule="auto"/>
        <w:ind w:right="113" w:firstLine="709"/>
        <w:jc w:val="both"/>
        <w:rPr>
          <w:rFonts w:ascii="Verdana" w:eastAsia="Arial" w:hAnsi="Verdana" w:cs="Arial"/>
          <w:lang w:eastAsia="es-ES" w:bidi="es-ES"/>
        </w:rPr>
      </w:pPr>
      <w:r w:rsidRPr="00FF007A">
        <w:rPr>
          <w:rFonts w:ascii="Verdana" w:eastAsia="Calibri" w:hAnsi="Verdana" w:cs="Arial"/>
        </w:rPr>
        <w:t xml:space="preserve">Por otro lado,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vertAlign w:val="superscript"/>
        </w:rPr>
        <w:footnoteReference w:id="9"/>
      </w:r>
      <w:r w:rsidRPr="00FF007A">
        <w:rPr>
          <w:rFonts w:ascii="Verdana" w:eastAsia="Calibri" w:hAnsi="Verdana" w:cs="Arial"/>
        </w:rPr>
        <w:t>.</w:t>
      </w:r>
      <w:r w:rsidRPr="00FF007A">
        <w:rPr>
          <w:rFonts w:ascii="Verdana" w:eastAsia="Arial" w:hAnsi="Verdana" w:cs="Arial"/>
          <w:lang w:eastAsia="es-ES" w:bidi="es-ES"/>
        </w:rPr>
        <w:t xml:space="preserve"> </w:t>
      </w:r>
    </w:p>
    <w:p w14:paraId="4B7513EE" w14:textId="77777777" w:rsidR="00265B99" w:rsidRPr="00FF007A" w:rsidRDefault="00265B99" w:rsidP="00265B99">
      <w:pPr>
        <w:widowControl w:val="0"/>
        <w:autoSpaceDE w:val="0"/>
        <w:autoSpaceDN w:val="0"/>
        <w:spacing w:after="0" w:line="276" w:lineRule="auto"/>
        <w:ind w:right="113" w:firstLine="708"/>
        <w:contextualSpacing/>
        <w:jc w:val="both"/>
        <w:rPr>
          <w:rFonts w:ascii="Verdana" w:eastAsia="Arial" w:hAnsi="Verdana" w:cs="Arial"/>
          <w:lang w:eastAsia="es-ES" w:bidi="es-ES"/>
        </w:rPr>
      </w:pPr>
      <w:r w:rsidRPr="00FF007A">
        <w:rPr>
          <w:rFonts w:ascii="Verdana" w:eastAsia="Arial" w:hAnsi="Verdana" w:cs="Arial"/>
          <w:lang w:eastAsia="es-ES" w:bidi="es-ES"/>
        </w:rPr>
        <w:t>La Sala de Consulta y Servicio Civil del Consejo de Estado ha aclarado la distinción en la aplicación de las prohibiciones de la Ley 996 de 2005, dependiendo del tipo de elección que se trate. Al respecto, señala:</w:t>
      </w:r>
    </w:p>
    <w:p w14:paraId="658A6468" w14:textId="77777777" w:rsidR="00265B99" w:rsidRDefault="00265B99" w:rsidP="00265B99">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93AC68C" w14:textId="77777777" w:rsidR="00265B99" w:rsidRPr="00FF007A" w:rsidRDefault="00265B99" w:rsidP="00265B99">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FF007A">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w:t>
      </w:r>
      <w:r w:rsidRPr="00FF007A">
        <w:rPr>
          <w:rFonts w:ascii="Verdana" w:eastAsia="Arial" w:hAnsi="Verdana" w:cs="Arial"/>
          <w:sz w:val="20"/>
          <w:szCs w:val="20"/>
          <w:lang w:eastAsia="es-ES" w:bidi="es-ES"/>
        </w:rPr>
        <w:lastRenderedPageBreak/>
        <w:t xml:space="preserve">del parágrafo del artículo 38. En cambio, para elecciones en general, excluyendo las correspondientes a </w:t>
      </w:r>
      <w:proofErr w:type="gramStart"/>
      <w:r w:rsidRPr="00FF007A">
        <w:rPr>
          <w:rFonts w:ascii="Verdana" w:eastAsia="Arial" w:hAnsi="Verdana" w:cs="Arial"/>
          <w:sz w:val="20"/>
          <w:szCs w:val="20"/>
          <w:lang w:eastAsia="es-ES" w:bidi="es-ES"/>
        </w:rPr>
        <w:t>Presidente</w:t>
      </w:r>
      <w:proofErr w:type="gramEnd"/>
      <w:r w:rsidRPr="00FF007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FF007A">
        <w:rPr>
          <w:rFonts w:ascii="Verdana" w:eastAsia="Arial" w:hAnsi="Verdana" w:cs="Arial"/>
          <w:sz w:val="20"/>
          <w:szCs w:val="20"/>
          <w:vertAlign w:val="superscript"/>
          <w:lang w:eastAsia="es-ES" w:bidi="es-ES"/>
        </w:rPr>
        <w:footnoteReference w:id="10"/>
      </w:r>
      <w:r w:rsidRPr="00FF007A">
        <w:rPr>
          <w:rFonts w:ascii="Verdana" w:eastAsia="Arial" w:hAnsi="Verdana" w:cs="Arial"/>
          <w:sz w:val="20"/>
          <w:szCs w:val="20"/>
          <w:lang w:eastAsia="es-ES" w:bidi="es-ES"/>
        </w:rPr>
        <w:t>.</w:t>
      </w:r>
    </w:p>
    <w:p w14:paraId="2EDF9764" w14:textId="77777777" w:rsidR="00265B99" w:rsidRPr="00FF007A" w:rsidRDefault="00265B99" w:rsidP="00265B99">
      <w:pPr>
        <w:widowControl w:val="0"/>
        <w:autoSpaceDE w:val="0"/>
        <w:autoSpaceDN w:val="0"/>
        <w:spacing w:after="0" w:line="276" w:lineRule="auto"/>
        <w:contextualSpacing/>
        <w:rPr>
          <w:rFonts w:ascii="Verdana" w:eastAsia="Arial" w:hAnsi="Verdana" w:cs="Arial"/>
          <w:lang w:eastAsia="es-ES" w:bidi="es-ES"/>
        </w:rPr>
      </w:pPr>
    </w:p>
    <w:p w14:paraId="52BFA973" w14:textId="77777777" w:rsidR="00265B99" w:rsidRPr="00FF007A" w:rsidRDefault="00265B99" w:rsidP="00265B9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De conformidad con lo anterior, la Ley 996 de 2005 establece dos (2) tipos de restricciones en materia de contratación, las cuales coinciden parcialmente. </w:t>
      </w:r>
    </w:p>
    <w:p w14:paraId="1DD47D9E" w14:textId="77777777" w:rsidR="00265B99" w:rsidRPr="00FF007A" w:rsidRDefault="00265B99" w:rsidP="00265B99">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primer lugar</w:t>
      </w:r>
      <w:r w:rsidRPr="00FF007A">
        <w:rPr>
          <w:rFonts w:ascii="Verdana" w:eastAsia="Arial" w:hAnsi="Verdana" w:cs="Arial"/>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7BE3CBE5" w14:textId="77777777" w:rsidR="00265B99" w:rsidRPr="00FF007A" w:rsidRDefault="00265B99" w:rsidP="00265B99">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segundo lugar</w:t>
      </w:r>
      <w:r w:rsidRPr="00FF007A">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D12048D" w14:textId="77777777" w:rsidR="00265B99" w:rsidRPr="00FF007A" w:rsidRDefault="00265B99" w:rsidP="00265B9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674598DF" w14:textId="77777777" w:rsidR="00265B99" w:rsidRPr="00FF007A" w:rsidRDefault="00265B99" w:rsidP="00265B99">
      <w:pPr>
        <w:spacing w:after="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La Corte Constitucional, en la Sentencia C-1153 del 11 de noviembre de 2005, señaló que, para que la garantía sea plena, era necesario que la prohibición se aplicara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o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desde que éstos –estando en ejercicio de su cargo– manifiesten el interés de ser candidato presidencial, lo cual debe ocurrir seis (6) meses antes de la elección en primera </w:t>
      </w:r>
      <w:r w:rsidRPr="00FF007A">
        <w:rPr>
          <w:rFonts w:ascii="Verdana" w:eastAsia="Arial" w:hAnsi="Verdana" w:cs="Arial"/>
          <w:lang w:eastAsia="es-ES" w:bidi="es-ES"/>
        </w:rPr>
        <w:lastRenderedPageBreak/>
        <w:t xml:space="preserve">vuelta, de acuerdo con el artículo 9 de la Ley 996 de 2005. Sin embargo, el condicionamiento impuesto por la Corte Constitucional, relacionado con el momento en que estas restricciones empiezan a regir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y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 la República, ha perdido vigencia ante la prohibición de la reelección presidencial, restablecida por el Acto Legislativo 2 de 2015. Esto, excepto para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4068265" w14:textId="77777777" w:rsidR="00265B99" w:rsidRPr="00FF007A" w:rsidRDefault="00265B99" w:rsidP="00265B99">
      <w:pPr>
        <w:spacing w:after="0" w:line="240" w:lineRule="auto"/>
        <w:ind w:firstLine="709"/>
        <w:jc w:val="both"/>
        <w:rPr>
          <w:rFonts w:ascii="Verdana" w:eastAsia="Arial" w:hAnsi="Verdana" w:cs="Arial"/>
          <w:lang w:eastAsia="es-ES" w:bidi="es-ES"/>
        </w:rPr>
      </w:pPr>
    </w:p>
    <w:p w14:paraId="38C53F4C" w14:textId="77777777" w:rsidR="00265B99" w:rsidRPr="00FF007A" w:rsidRDefault="00265B99" w:rsidP="00265B99">
      <w:pPr>
        <w:spacing w:after="120" w:line="276" w:lineRule="auto"/>
        <w:ind w:firstLine="709"/>
        <w:jc w:val="both"/>
        <w:rPr>
          <w:rFonts w:ascii="Verdana" w:eastAsia="Times New Roman" w:hAnsi="Verdana" w:cs="Arial"/>
          <w:bCs/>
          <w:lang w:eastAsia="es-CO"/>
        </w:rPr>
      </w:pPr>
      <w:proofErr w:type="spellStart"/>
      <w:r w:rsidRPr="00FF007A">
        <w:rPr>
          <w:rFonts w:ascii="Verdana" w:eastAsia="Calibri" w:hAnsi="Verdana" w:cs="Arial"/>
        </w:rPr>
        <w:t>iii</w:t>
      </w:r>
      <w:proofErr w:type="spellEnd"/>
      <w:r w:rsidRPr="00FF007A">
        <w:rPr>
          <w:rFonts w:ascii="Verdana" w:eastAsia="Calibri" w:hAnsi="Verdana" w:cs="Arial"/>
        </w:rPr>
        <w:t xml:space="preserve">) </w:t>
      </w: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 xml:space="preserve">artículo 33 de la Ley 996 de 2005. El ámbito material de esta prohibición está delimitado por la expresión </w:t>
      </w:r>
      <w:r w:rsidRPr="00FF007A">
        <w:rPr>
          <w:rFonts w:ascii="Verdana" w:eastAsia="Calibri" w:hAnsi="Verdana" w:cs="Arial"/>
          <w:bCs/>
        </w:rPr>
        <w:t>“</w:t>
      </w:r>
      <w:r w:rsidRPr="00FF007A">
        <w:rPr>
          <w:rFonts w:ascii="Verdana" w:eastAsia="Times New Roman" w:hAnsi="Verdana" w:cs="Arial"/>
        </w:rPr>
        <w:t>queda prohibida la contratación directa</w:t>
      </w:r>
      <w:r w:rsidRPr="00FF007A">
        <w:rPr>
          <w:rFonts w:ascii="Verdana" w:eastAsia="Calibri" w:hAnsi="Verdana" w:cs="Arial"/>
        </w:rPr>
        <w:t>”</w:t>
      </w:r>
      <w:r w:rsidRPr="00FF007A">
        <w:rPr>
          <w:rFonts w:ascii="Verdana" w:eastAsia="Times New Roman" w:hAnsi="Verdana" w:cs="Arial"/>
        </w:rPr>
        <w:t xml:space="preserve">. </w:t>
      </w:r>
      <w:r w:rsidRPr="00FF007A">
        <w:rPr>
          <w:rFonts w:ascii="Verdana" w:eastAsia="Times New Roman" w:hAnsi="Verdana" w:cs="Arial"/>
          <w:lang w:eastAsia="es-CO"/>
        </w:rPr>
        <w:t>A propósito de esta restricción de la Ley de Garantías Electorales, la Sala de Consulta y Servicio Civil del Consejo de Estado ha considerado que:</w:t>
      </w:r>
    </w:p>
    <w:p w14:paraId="021A21F3" w14:textId="77777777" w:rsidR="00265B99" w:rsidRPr="005F28C0" w:rsidRDefault="00265B99" w:rsidP="00265B99">
      <w:pPr>
        <w:spacing w:after="0" w:line="240" w:lineRule="auto"/>
        <w:ind w:left="709" w:right="709"/>
        <w:jc w:val="both"/>
        <w:rPr>
          <w:rFonts w:ascii="Verdana" w:eastAsia="Calibri" w:hAnsi="Verdana" w:cs="Arial"/>
          <w:sz w:val="20"/>
          <w:szCs w:val="20"/>
        </w:rPr>
      </w:pPr>
      <w:r w:rsidRPr="00FF007A">
        <w:rPr>
          <w:rFonts w:ascii="Verdana" w:eastAsia="Calibri" w:hAnsi="Verdana" w:cs="Arial"/>
          <w:sz w:val="20"/>
          <w:szCs w:val="20"/>
        </w:rPr>
        <w:t xml:space="preserve">“[…] Esta Sala ha entendido </w:t>
      </w:r>
      <w:proofErr w:type="gramStart"/>
      <w:r w:rsidRPr="00FF007A">
        <w:rPr>
          <w:rFonts w:ascii="Verdana" w:eastAsia="Calibri" w:hAnsi="Verdana" w:cs="Arial"/>
          <w:sz w:val="20"/>
          <w:szCs w:val="20"/>
        </w:rPr>
        <w:t>que</w:t>
      </w:r>
      <w:proofErr w:type="gramEnd"/>
      <w:r w:rsidRPr="00FF007A">
        <w:rPr>
          <w:rFonts w:ascii="Verdana" w:eastAsia="Calibri" w:hAnsi="Verdana" w:cs="Arial"/>
          <w:sz w:val="20"/>
          <w:szCs w:val="20"/>
        </w:rPr>
        <w:t xml:space="preserve"> para los efectos de la ley de garantías, y dada su finalidad, el enunciado </w:t>
      </w:r>
      <w:r>
        <w:rPr>
          <w:rFonts w:ascii="Verdana" w:eastAsia="Calibri" w:hAnsi="Verdana" w:cs="Arial"/>
          <w:sz w:val="20"/>
          <w:szCs w:val="20"/>
        </w:rPr>
        <w:t>“c</w:t>
      </w:r>
      <w:r w:rsidRPr="00FF007A">
        <w:rPr>
          <w:rFonts w:ascii="Verdana" w:eastAsia="Calibri" w:hAnsi="Verdana" w:cs="Arial"/>
          <w:sz w:val="20"/>
          <w:szCs w:val="20"/>
        </w:rPr>
        <w:t>ontratación directa</w:t>
      </w:r>
      <w:r>
        <w:rPr>
          <w:rFonts w:ascii="Verdana" w:eastAsia="Calibri" w:hAnsi="Verdana" w:cs="Arial"/>
          <w:sz w:val="20"/>
          <w:szCs w:val="20"/>
        </w:rPr>
        <w:t>”</w:t>
      </w:r>
      <w:r w:rsidRPr="00FF007A">
        <w:rPr>
          <w:rFonts w:ascii="Verdana" w:eastAsia="Calibri" w:hAnsi="Verdana" w:cs="Arial"/>
          <w:sz w:val="20"/>
          <w:szCs w:val="20"/>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F007A">
        <w:rPr>
          <w:rFonts w:ascii="Verdana" w:eastAsia="Times New Roman" w:hAnsi="Verdana" w:cs="Arial"/>
          <w:sz w:val="20"/>
          <w:szCs w:val="20"/>
          <w:vertAlign w:val="superscript"/>
        </w:rPr>
        <w:footnoteReference w:id="11"/>
      </w:r>
      <w:r w:rsidRPr="00FF007A">
        <w:rPr>
          <w:rFonts w:ascii="Verdana" w:eastAsia="Times New Roman" w:hAnsi="Verdana" w:cs="Arial"/>
          <w:sz w:val="20"/>
          <w:szCs w:val="20"/>
          <w:vertAlign w:val="superscript"/>
        </w:rPr>
        <w:t>.</w:t>
      </w:r>
      <w:r w:rsidRPr="00FF007A">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rPr>
        <w:t>(…)”</w:t>
      </w:r>
      <w:r w:rsidRPr="00FF007A">
        <w:rPr>
          <w:rFonts w:ascii="Verdana" w:eastAsia="Times New Roman" w:hAnsi="Verdana" w:cs="Arial"/>
          <w:sz w:val="20"/>
          <w:szCs w:val="20"/>
          <w:vertAlign w:val="superscript"/>
          <w:lang w:eastAsia="es-CO"/>
        </w:rPr>
        <w:footnoteReference w:id="12"/>
      </w:r>
      <w:r w:rsidRPr="00FF007A">
        <w:rPr>
          <w:rFonts w:ascii="Verdana" w:eastAsia="Calibri" w:hAnsi="Verdana" w:cs="Arial"/>
          <w:sz w:val="20"/>
          <w:szCs w:val="20"/>
        </w:rPr>
        <w:t>.</w:t>
      </w:r>
    </w:p>
    <w:p w14:paraId="3F952ADD" w14:textId="77777777" w:rsidR="00265B99" w:rsidRDefault="00265B99" w:rsidP="00265B99">
      <w:pPr>
        <w:spacing w:after="0" w:line="240" w:lineRule="auto"/>
        <w:ind w:firstLine="709"/>
        <w:jc w:val="both"/>
        <w:rPr>
          <w:rFonts w:ascii="Verdana" w:eastAsia="Times New Roman" w:hAnsi="Verdana" w:cs="Arial"/>
          <w:lang w:eastAsia="x-none"/>
        </w:rPr>
      </w:pPr>
    </w:p>
    <w:p w14:paraId="589A33FB" w14:textId="77777777" w:rsidR="00265B99" w:rsidRPr="00FF007A" w:rsidRDefault="00265B99" w:rsidP="00265B99">
      <w:pPr>
        <w:spacing w:after="120" w:line="276" w:lineRule="auto"/>
        <w:ind w:firstLine="708"/>
        <w:jc w:val="both"/>
        <w:rPr>
          <w:rFonts w:ascii="Verdana" w:eastAsia="Times New Roman" w:hAnsi="Verdana" w:cs="Arial"/>
          <w:bCs/>
          <w:lang w:eastAsia="x-none"/>
        </w:rPr>
      </w:pPr>
      <w:r w:rsidRPr="00FF007A">
        <w:rPr>
          <w:rFonts w:ascii="Verdana" w:eastAsia="Times New Roman" w:hAnsi="Verdana" w:cs="Arial"/>
          <w:lang w:eastAsia="x-none"/>
        </w:rPr>
        <w:t xml:space="preserve">De acuerdo con este concepto, la prohibición del artículo 33 de la Ley de Garantías Electorales se refiere a </w:t>
      </w:r>
      <w:r w:rsidRPr="00FF007A">
        <w:rPr>
          <w:rFonts w:ascii="Verdana" w:eastAsia="Times New Roman" w:hAnsi="Verdana" w:cs="Arial"/>
          <w:sz w:val="19"/>
          <w:szCs w:val="19"/>
          <w:lang w:eastAsia="en-GB"/>
        </w:rPr>
        <w:t>“</w:t>
      </w:r>
      <w:r w:rsidRPr="00FF007A">
        <w:rPr>
          <w:rFonts w:ascii="Verdana" w:eastAsia="Times New Roman" w:hAnsi="Verdana" w:cs="Arial"/>
          <w:lang w:eastAsia="x-none"/>
        </w:rPr>
        <w:t>cualquier sistema que no implique convocatoria pública y posibilidad de pluralidad de oferentes</w:t>
      </w:r>
      <w:r w:rsidRPr="00FF007A">
        <w:rPr>
          <w:rFonts w:ascii="Verdana" w:eastAsia="Times New Roman" w:hAnsi="Verdana" w:cs="Arial"/>
          <w:lang w:eastAsia="en-GB"/>
        </w:rPr>
        <w:t>”</w:t>
      </w:r>
      <w:r w:rsidRPr="00FF007A">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FF007A">
        <w:rPr>
          <w:rFonts w:ascii="Verdana" w:eastAsia="Times New Roman" w:hAnsi="Verdana" w:cs="Arial"/>
        </w:rPr>
        <w:t>y la mínima cuantía</w:t>
      </w:r>
      <w:r w:rsidRPr="00FF007A" w:rsidDel="00A85D9F">
        <w:rPr>
          <w:rFonts w:ascii="Verdana" w:eastAsia="Times New Roman" w:hAnsi="Verdana" w:cs="Arial"/>
          <w:lang w:eastAsia="x-none"/>
        </w:rPr>
        <w:t xml:space="preserve"> </w:t>
      </w:r>
      <w:r w:rsidRPr="00FF007A">
        <w:rPr>
          <w:rFonts w:ascii="Verdana" w:eastAsia="Times New Roman" w:hAnsi="Verdana" w:cs="Arial"/>
        </w:rPr>
        <w:t xml:space="preserve">u otros previstos en normas especiales. </w:t>
      </w:r>
      <w:r w:rsidRPr="00FF007A">
        <w:rPr>
          <w:rFonts w:ascii="Verdana" w:eastAsia="Times New Roman" w:hAnsi="Verdana" w:cs="Arial"/>
          <w:lang w:eastAsia="x-none"/>
        </w:rPr>
        <w:t xml:space="preserve">Esta posición es congruente con la expedición de la Ley 1150 de 2007 que, entre otras reformas, </w:t>
      </w:r>
      <w:r w:rsidRPr="00FF007A">
        <w:rPr>
          <w:rFonts w:ascii="Verdana" w:eastAsia="Times New Roman" w:hAnsi="Verdana" w:cs="Arial"/>
          <w:lang w:eastAsia="x-none"/>
        </w:rPr>
        <w:lastRenderedPageBreak/>
        <w:t>introdujo la selección abreviada, rediseñó el concurso de méritos</w:t>
      </w:r>
      <w:r w:rsidRPr="00FF007A">
        <w:rPr>
          <w:rFonts w:ascii="Verdana" w:eastAsia="Times New Roman" w:hAnsi="Verdana" w:cs="Arial"/>
          <w:vertAlign w:val="superscript"/>
          <w:lang w:eastAsia="x-none"/>
        </w:rPr>
        <w:footnoteReference w:id="13"/>
      </w:r>
      <w:r w:rsidRPr="00FF007A">
        <w:rPr>
          <w:rFonts w:ascii="Verdana" w:eastAsia="Times New Roman" w:hAnsi="Verdana" w:cs="Arial"/>
          <w:lang w:eastAsia="x-none"/>
        </w:rPr>
        <w:t xml:space="preserve"> y sistematizó las causales de contratación directa</w:t>
      </w:r>
      <w:r w:rsidRPr="00FF007A">
        <w:rPr>
          <w:rFonts w:ascii="Verdana" w:eastAsia="Times New Roman" w:hAnsi="Verdana" w:cs="Arial"/>
          <w:vertAlign w:val="superscript"/>
          <w:lang w:eastAsia="x-none"/>
        </w:rPr>
        <w:footnoteReference w:id="14"/>
      </w:r>
      <w:r w:rsidRPr="00FF007A">
        <w:rPr>
          <w:rFonts w:ascii="Verdana" w:eastAsia="Times New Roman" w:hAnsi="Verdana" w:cs="Arial"/>
          <w:lang w:eastAsia="x-none"/>
        </w:rPr>
        <w:t xml:space="preserve">, </w:t>
      </w:r>
      <w:r w:rsidRPr="00FF007A">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2EC910E8" w14:textId="77777777" w:rsidR="00265B99" w:rsidRPr="00FF007A" w:rsidRDefault="00265B99" w:rsidP="00265B99">
      <w:pPr>
        <w:spacing w:after="120" w:line="276" w:lineRule="auto"/>
        <w:ind w:firstLine="708"/>
        <w:jc w:val="both"/>
        <w:rPr>
          <w:rFonts w:ascii="Verdana" w:eastAsia="Times New Roman" w:hAnsi="Verdana" w:cs="Arial"/>
          <w:bCs/>
          <w:lang w:eastAsia="es-CO"/>
        </w:rPr>
      </w:pPr>
      <w:r w:rsidRPr="00FF007A">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F007A">
        <w:rPr>
          <w:rFonts w:ascii="Verdana" w:eastAsia="Times New Roman" w:hAnsi="Verdana" w:cs="Arial"/>
          <w:vertAlign w:val="superscript"/>
          <w:lang w:eastAsia="x-none"/>
        </w:rPr>
        <w:footnoteReference w:id="15"/>
      </w:r>
      <w:r w:rsidRPr="00FF007A">
        <w:rPr>
          <w:rFonts w:ascii="Verdana" w:eastAsia="Times New Roman" w:hAnsi="Verdana" w:cs="Arial"/>
        </w:rPr>
        <w:t>.</w:t>
      </w:r>
      <w:r w:rsidRPr="00FF007A">
        <w:rPr>
          <w:rFonts w:ascii="Verdana" w:eastAsia="Times New Roman" w:hAnsi="Verdana" w:cs="Arial"/>
          <w:vertAlign w:val="superscript"/>
          <w:lang w:eastAsia="x-none"/>
        </w:rPr>
        <w:t xml:space="preserve"> </w:t>
      </w:r>
    </w:p>
    <w:p w14:paraId="729A5D42" w14:textId="77777777" w:rsidR="00265B99" w:rsidRPr="00FF007A" w:rsidRDefault="00265B99" w:rsidP="00265B99">
      <w:pPr>
        <w:spacing w:after="0" w:line="276" w:lineRule="auto"/>
        <w:ind w:firstLine="708"/>
        <w:jc w:val="both"/>
        <w:rPr>
          <w:rFonts w:ascii="Verdana" w:eastAsia="Times New Roman" w:hAnsi="Verdana" w:cs="Arial"/>
        </w:rPr>
      </w:pPr>
      <w:r w:rsidRPr="00FF007A">
        <w:rPr>
          <w:rFonts w:ascii="Verdana" w:eastAsia="Times New Roman" w:hAnsi="Verdana" w:cs="Arial"/>
        </w:rPr>
        <w:t xml:space="preserve">De lo anterior se desprende que la restricción aplica, sin perjuicio de las excepciones establecidas en la misma ley, para celebrar </w:t>
      </w:r>
      <w:r w:rsidRPr="00FF007A">
        <w:rPr>
          <w:rFonts w:ascii="Verdana" w:eastAsia="Times New Roman" w:hAnsi="Verdana" w:cs="Arial"/>
          <w:i/>
          <w:iCs/>
        </w:rPr>
        <w:t>cualquier contrato de forma directa</w:t>
      </w:r>
      <w:r w:rsidRPr="00FF007A">
        <w:rPr>
          <w:rFonts w:ascii="Verdana" w:eastAsia="Times New Roman" w:hAnsi="Verdana" w:cs="Arial"/>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6F8AA09" w14:textId="77777777" w:rsidR="00265B99" w:rsidRPr="00FF007A" w:rsidRDefault="00265B99" w:rsidP="00265B99">
      <w:pPr>
        <w:spacing w:after="0" w:line="240" w:lineRule="auto"/>
        <w:ind w:firstLine="709"/>
        <w:jc w:val="both"/>
        <w:rPr>
          <w:rFonts w:ascii="Verdana" w:eastAsia="Times New Roman" w:hAnsi="Verdana" w:cs="Arial"/>
        </w:rPr>
      </w:pPr>
    </w:p>
    <w:p w14:paraId="2C9FD4E4" w14:textId="77777777" w:rsidR="00265B99" w:rsidRPr="00FF007A" w:rsidRDefault="00265B99" w:rsidP="00265B99">
      <w:pPr>
        <w:spacing w:after="0" w:line="276" w:lineRule="auto"/>
        <w:ind w:firstLine="709"/>
        <w:jc w:val="both"/>
        <w:rPr>
          <w:rFonts w:ascii="Verdana" w:eastAsia="Times New Roman" w:hAnsi="Verdana" w:cs="Arial"/>
        </w:rPr>
      </w:pPr>
      <w:proofErr w:type="spellStart"/>
      <w:r w:rsidRPr="00FF007A">
        <w:rPr>
          <w:rFonts w:ascii="Verdana" w:eastAsia="Times New Roman" w:hAnsi="Verdana" w:cs="Arial"/>
          <w:bCs/>
          <w:lang w:eastAsia="es-CO"/>
        </w:rPr>
        <w:t>iv</w:t>
      </w:r>
      <w:proofErr w:type="spellEnd"/>
      <w:r w:rsidRPr="00FF007A">
        <w:rPr>
          <w:rFonts w:ascii="Verdana" w:eastAsia="Times New Roman" w:hAnsi="Verdana" w:cs="Arial"/>
          <w:bCs/>
          <w:lang w:eastAsia="es-CO"/>
        </w:rPr>
        <w:t xml:space="preserve">) Con respecto a los </w:t>
      </w:r>
      <w:r w:rsidRPr="00FF007A">
        <w:rPr>
          <w:rFonts w:ascii="Verdana" w:eastAsia="Times New Roman" w:hAnsi="Verdana" w:cs="Arial"/>
          <w:bCs/>
          <w:i/>
          <w:iCs/>
          <w:lang w:eastAsia="es-CO"/>
        </w:rPr>
        <w:t>sujetos</w:t>
      </w:r>
      <w:r w:rsidRPr="00FF007A">
        <w:rPr>
          <w:rFonts w:ascii="Verdana" w:eastAsia="Times New Roman" w:hAnsi="Verdana" w:cs="Arial"/>
          <w:bCs/>
          <w:lang w:eastAsia="es-CO"/>
        </w:rPr>
        <w:t xml:space="preserve"> que se encuentran enmarcados en la prohibición del artículo 33, </w:t>
      </w:r>
      <w:r w:rsidRPr="00FF007A">
        <w:rPr>
          <w:rFonts w:ascii="Verdana" w:eastAsia="Times New Roman" w:hAnsi="Verdana" w:cs="Arial"/>
        </w:rPr>
        <w:t>la Ley 996 de 2005 señala expresamente que son “</w:t>
      </w:r>
      <w:r w:rsidRPr="00FF007A">
        <w:rPr>
          <w:rFonts w:ascii="Verdana" w:eastAsia="Times New Roman" w:hAnsi="Verdana" w:cs="Arial"/>
          <w:i/>
          <w:iCs/>
          <w:u w:val="single"/>
        </w:rPr>
        <w:t>todos</w:t>
      </w:r>
      <w:r w:rsidRPr="00FF007A">
        <w:rPr>
          <w:rFonts w:ascii="Verdana" w:eastAsia="Times New Roman" w:hAnsi="Verdana" w:cs="Arial"/>
          <w:i/>
          <w:iCs/>
        </w:rPr>
        <w:t xml:space="preserve"> los entes del Estado</w:t>
      </w:r>
      <w:r w:rsidRPr="00FF007A">
        <w:rPr>
          <w:rFonts w:ascii="Verdana" w:eastAsia="Times New Roman" w:hAnsi="Verdana" w:cs="Arial"/>
        </w:rPr>
        <w:t xml:space="preserve">” </w:t>
      </w:r>
      <w:r>
        <w:rPr>
          <w:rFonts w:ascii="Verdana" w:eastAsia="Times New Roman" w:hAnsi="Verdana" w:cs="Arial"/>
        </w:rPr>
        <w:t>(</w:t>
      </w:r>
      <w:r w:rsidRPr="00FF007A">
        <w:rPr>
          <w:rFonts w:ascii="Verdana" w:eastAsia="Times New Roman" w:hAnsi="Verdana" w:cs="Arial"/>
        </w:rPr>
        <w:t>énfasis propio</w:t>
      </w:r>
      <w:r>
        <w:rPr>
          <w:rFonts w:ascii="Verdana" w:eastAsia="Times New Roman" w:hAnsi="Verdana" w:cs="Arial"/>
        </w:rPr>
        <w:t>)</w:t>
      </w:r>
      <w:r w:rsidRPr="00FF007A">
        <w:rPr>
          <w:rFonts w:ascii="Verdana" w:eastAsia="Times New Roman" w:hAnsi="Verdana" w:cs="Arial"/>
        </w:rPr>
        <w:t>. Al respecto la Sala De Consulta y Servicio Civil del Consejo de Estado señaló lo siguiente:</w:t>
      </w:r>
    </w:p>
    <w:p w14:paraId="0AB6FC75" w14:textId="77777777" w:rsidR="00265B99" w:rsidRPr="00FF007A" w:rsidRDefault="00265B99" w:rsidP="00265B99">
      <w:pPr>
        <w:spacing w:after="0" w:line="276" w:lineRule="auto"/>
        <w:ind w:firstLine="708"/>
        <w:jc w:val="both"/>
        <w:rPr>
          <w:rFonts w:ascii="Verdana" w:eastAsia="Times New Roman" w:hAnsi="Verdana" w:cs="Arial"/>
        </w:rPr>
      </w:pPr>
    </w:p>
    <w:p w14:paraId="28FFCEE0" w14:textId="77777777" w:rsidR="00265B99" w:rsidRPr="00FF007A" w:rsidRDefault="00265B99" w:rsidP="00265B99">
      <w:pPr>
        <w:spacing w:after="0" w:line="240" w:lineRule="auto"/>
        <w:ind w:left="709" w:right="709"/>
        <w:jc w:val="both"/>
        <w:rPr>
          <w:rFonts w:ascii="Verdana" w:eastAsia="Times New Roman" w:hAnsi="Verdana" w:cs="Arial"/>
          <w:bCs/>
          <w:lang w:eastAsia="es-CO"/>
        </w:rPr>
      </w:pPr>
      <w:r w:rsidRPr="00FF007A">
        <w:rPr>
          <w:rFonts w:ascii="Verdana" w:eastAsia="Times New Roman" w:hAnsi="Verdana" w:cs="Arial"/>
          <w:bCs/>
          <w:sz w:val="20"/>
          <w:szCs w:val="20"/>
          <w:lang w:eastAsia="es-CO"/>
        </w:rPr>
        <w:lastRenderedPageBreak/>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F007A">
        <w:rPr>
          <w:rStyle w:val="Refdenotaalpie"/>
          <w:rFonts w:ascii="Verdana" w:eastAsia="Times New Roman" w:hAnsi="Verdana" w:cs="Arial"/>
          <w:bCs/>
          <w:sz w:val="20"/>
          <w:szCs w:val="20"/>
          <w:lang w:eastAsia="es-CO"/>
        </w:rPr>
        <w:footnoteReference w:id="16"/>
      </w:r>
      <w:r w:rsidRPr="00FF007A">
        <w:rPr>
          <w:rFonts w:ascii="Verdana" w:eastAsia="Times New Roman" w:hAnsi="Verdana" w:cs="Arial"/>
          <w:bCs/>
          <w:sz w:val="20"/>
          <w:szCs w:val="20"/>
          <w:lang w:eastAsia="es-CO"/>
        </w:rPr>
        <w:t>.</w:t>
      </w:r>
    </w:p>
    <w:p w14:paraId="78B02DF4" w14:textId="77777777" w:rsidR="00265B99" w:rsidRPr="00FF007A" w:rsidRDefault="00265B99" w:rsidP="00265B99">
      <w:pPr>
        <w:spacing w:before="240" w:line="276" w:lineRule="auto"/>
        <w:ind w:firstLine="708"/>
        <w:jc w:val="both"/>
        <w:rPr>
          <w:rFonts w:ascii="Verdana" w:hAnsi="Verdana" w:cs="Arial"/>
          <w:bCs/>
          <w:sz w:val="20"/>
          <w:szCs w:val="20"/>
          <w:lang w:eastAsia="es-CO"/>
        </w:rPr>
      </w:pPr>
      <w:r w:rsidRPr="00FF007A">
        <w:rPr>
          <w:rFonts w:ascii="Verdana" w:hAnsi="Verdana" w:cs="Arial"/>
          <w:bCs/>
          <w:lang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F007A">
        <w:rPr>
          <w:rFonts w:ascii="Verdana" w:hAnsi="Verdana"/>
        </w:rPr>
        <w:t xml:space="preserve"> </w:t>
      </w:r>
      <w:r w:rsidRPr="00FF007A">
        <w:rPr>
          <w:rFonts w:ascii="Verdana" w:hAnsi="Verdana" w:cs="Arial"/>
          <w:bCs/>
          <w:lang w:eastAsia="x-none"/>
        </w:rPr>
        <w:t>En efecto, tal como lo ha sostenido el Consejo de Estado, el vocablo “todos” utilizado por el legislador comprende</w:t>
      </w:r>
      <w:r w:rsidRPr="00FF007A">
        <w:rPr>
          <w:rFonts w:ascii="Verdana" w:hAnsi="Verdana"/>
        </w:rPr>
        <w:t xml:space="preserve"> </w:t>
      </w:r>
      <w:r w:rsidRPr="00FF007A">
        <w:rPr>
          <w:rFonts w:ascii="Verdana" w:hAnsi="Verdana" w:cs="Arial"/>
          <w:bCs/>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eastAsia="x-none"/>
        </w:rPr>
        <w:t>”</w:t>
      </w:r>
      <w:r w:rsidRPr="00FF007A">
        <w:rPr>
          <w:rStyle w:val="Refdenotaalpie"/>
          <w:rFonts w:ascii="Verdana" w:hAnsi="Verdana" w:cs="Arial"/>
          <w:bCs/>
          <w:sz w:val="20"/>
          <w:szCs w:val="20"/>
          <w:lang w:eastAsia="x-none"/>
        </w:rPr>
        <w:footnoteReference w:id="17"/>
      </w:r>
      <w:r w:rsidRPr="00FF007A">
        <w:rPr>
          <w:rFonts w:ascii="Verdana" w:hAnsi="Verdana" w:cs="Arial"/>
          <w:bCs/>
          <w:sz w:val="20"/>
          <w:szCs w:val="20"/>
          <w:lang w:eastAsia="x-none"/>
        </w:rPr>
        <w:t>.</w:t>
      </w:r>
    </w:p>
    <w:p w14:paraId="19DFEDE4" w14:textId="77777777" w:rsidR="00265B99" w:rsidRPr="00FF007A" w:rsidRDefault="00265B99" w:rsidP="00265B99">
      <w:pPr>
        <w:spacing w:line="276" w:lineRule="auto"/>
        <w:ind w:firstLine="709"/>
        <w:jc w:val="both"/>
        <w:rPr>
          <w:rFonts w:ascii="Verdana" w:eastAsia="Arial" w:hAnsi="Verdana" w:cs="Arial"/>
          <w:bCs/>
          <w:color w:val="000000" w:themeColor="text1"/>
        </w:rPr>
      </w:pPr>
      <w:r w:rsidRPr="00FF007A">
        <w:rPr>
          <w:rFonts w:ascii="Verdana" w:eastAsia="Arial" w:hAnsi="Verdana" w:cs="Arial"/>
          <w:color w:val="000000" w:themeColor="text1"/>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3EB60E3B" w14:textId="77777777" w:rsidR="00265B99" w:rsidRPr="00FF007A" w:rsidRDefault="00265B99" w:rsidP="00265B99">
      <w:pPr>
        <w:spacing w:before="120" w:line="276" w:lineRule="auto"/>
        <w:ind w:firstLine="709"/>
        <w:jc w:val="both"/>
        <w:rPr>
          <w:rFonts w:ascii="Verdana" w:hAnsi="Verdana" w:cs="Arial"/>
          <w:bCs/>
          <w:color w:val="000000" w:themeColor="text1"/>
        </w:rPr>
      </w:pPr>
      <w:r w:rsidRPr="00FF007A">
        <w:rPr>
          <w:rFonts w:ascii="Verdana" w:eastAsia="Arial" w:hAnsi="Verdana" w:cs="Arial"/>
          <w:bCs/>
          <w:color w:val="000000" w:themeColor="text1"/>
        </w:rPr>
        <w:t xml:space="preserve">En este punto, debe tenerse en cuenta que, en principio, todos los entes del Estado están cobijados por la prohibición para contratar directamente establecida en el artículo 33 de la Ley de Garantías Electorales. Sin embargo, es </w:t>
      </w:r>
      <w:r w:rsidRPr="00FF007A">
        <w:rPr>
          <w:rFonts w:ascii="Verdana" w:eastAsia="Arial" w:hAnsi="Verdana" w:cs="Arial"/>
          <w:bCs/>
          <w:color w:val="000000" w:themeColor="text1"/>
        </w:rPr>
        <w:lastRenderedPageBreak/>
        <w:t xml:space="preserve">importante reiterar que </w:t>
      </w:r>
      <w:r w:rsidRPr="00FF007A">
        <w:rPr>
          <w:rFonts w:ascii="Verdana" w:hAnsi="Verdana" w:cs="Arial"/>
          <w:bCs/>
          <w:color w:val="000000" w:themeColor="text1"/>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694CD56F" w14:textId="77777777" w:rsidR="00265B99" w:rsidRPr="00FF007A" w:rsidRDefault="00265B99" w:rsidP="00265B9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 La contratación referente a la defensa y seguridad del Estado;</w:t>
      </w:r>
    </w:p>
    <w:p w14:paraId="43A4E1A9" w14:textId="77777777" w:rsidR="00265B99" w:rsidRPr="00FF007A" w:rsidRDefault="00265B99" w:rsidP="00265B9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w:t>
      </w:r>
      <w:proofErr w:type="spellEnd"/>
      <w:r w:rsidRPr="00FF007A">
        <w:rPr>
          <w:rFonts w:ascii="Verdana" w:hAnsi="Verdana" w:cs="Arial"/>
          <w:bCs/>
          <w:color w:val="000000" w:themeColor="text1"/>
        </w:rPr>
        <w:t>) Los contratos de crédito público;</w:t>
      </w:r>
    </w:p>
    <w:p w14:paraId="2771DE2C" w14:textId="77777777" w:rsidR="00265B99" w:rsidRPr="00FF007A" w:rsidRDefault="00265B99" w:rsidP="00265B9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iii</w:t>
      </w:r>
      <w:proofErr w:type="spellEnd"/>
      <w:r w:rsidRPr="00FF007A">
        <w:rPr>
          <w:rFonts w:ascii="Verdana" w:hAnsi="Verdana" w:cs="Arial"/>
          <w:bCs/>
          <w:color w:val="000000" w:themeColor="text1"/>
        </w:rPr>
        <w:t xml:space="preserve">) Los contratos requeridos para cubrir las emergencias educativas, sanitarias y desastres; </w:t>
      </w:r>
    </w:p>
    <w:p w14:paraId="5665064A" w14:textId="77777777" w:rsidR="00265B99" w:rsidRPr="00FF007A" w:rsidRDefault="00265B99" w:rsidP="00265B9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iv</w:t>
      </w:r>
      <w:proofErr w:type="spellEnd"/>
      <w:r w:rsidRPr="00FF007A">
        <w:rPr>
          <w:rFonts w:ascii="Verdana" w:hAnsi="Verdana" w:cs="Arial"/>
          <w:bCs/>
          <w:color w:val="000000" w:themeColor="text1"/>
        </w:rPr>
        <w:t>) La contratación para la reconstrucción de vías, puentes, carreteras, infraestructura energética y de comunicaciones, en caso de que hayan sido objeto de atentados, acciones terroristas, desastres naturales o casos de fuerza mayor y;</w:t>
      </w:r>
    </w:p>
    <w:p w14:paraId="7CAF2995" w14:textId="77777777" w:rsidR="00265B99" w:rsidRPr="00FF007A" w:rsidRDefault="00265B99" w:rsidP="00265B9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 xml:space="preserve">v) La contratación que deban realizar las entidades sanitarias y hospitalarias. </w:t>
      </w:r>
    </w:p>
    <w:p w14:paraId="66DB3E20" w14:textId="77777777" w:rsidR="00265B99" w:rsidRPr="00FF007A" w:rsidRDefault="00265B99" w:rsidP="00265B99">
      <w:pPr>
        <w:spacing w:before="240" w:line="276" w:lineRule="auto"/>
        <w:ind w:firstLine="709"/>
        <w:jc w:val="both"/>
        <w:rPr>
          <w:rFonts w:ascii="Verdana" w:hAnsi="Verdana" w:cs="Arial"/>
          <w:lang w:eastAsia="x-none"/>
        </w:rPr>
      </w:pPr>
      <w:r w:rsidRPr="00FF007A">
        <w:rPr>
          <w:rFonts w:ascii="Verdana" w:hAnsi="Verdana" w:cs="Arial"/>
          <w:lang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F007A">
        <w:rPr>
          <w:rFonts w:ascii="Verdana" w:hAnsi="Verdana" w:cs="Arial"/>
          <w:color w:val="000000" w:themeColor="text1"/>
          <w:vertAlign w:val="superscript"/>
          <w:lang w:eastAsia="es-CO"/>
        </w:rPr>
        <w:footnoteReference w:id="18"/>
      </w:r>
      <w:r w:rsidRPr="00FF007A">
        <w:rPr>
          <w:rFonts w:ascii="Verdana" w:hAnsi="Verdana" w:cs="Arial"/>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3EB3B5A" w14:textId="77777777" w:rsidR="00265B99" w:rsidRPr="00FF007A" w:rsidRDefault="00265B99" w:rsidP="00265B99">
      <w:pPr>
        <w:tabs>
          <w:tab w:val="left" w:pos="426"/>
        </w:tabs>
        <w:spacing w:before="120" w:line="276" w:lineRule="auto"/>
        <w:ind w:firstLine="709"/>
        <w:jc w:val="both"/>
        <w:rPr>
          <w:rFonts w:ascii="Verdana" w:hAnsi="Verdana" w:cs="Arial"/>
          <w:bCs/>
          <w:color w:val="000000" w:themeColor="text1"/>
        </w:rPr>
      </w:pPr>
      <w:r w:rsidRPr="00FF007A">
        <w:rPr>
          <w:rFonts w:ascii="Verdana" w:hAnsi="Verdana" w:cs="Arial"/>
          <w:bCs/>
          <w:color w:val="000000" w:themeColor="text1"/>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7250AA7C" w14:textId="77777777" w:rsidR="00265B99" w:rsidRPr="00FF007A" w:rsidRDefault="00265B99" w:rsidP="00265B99">
      <w:pPr>
        <w:shd w:val="clear" w:color="auto" w:fill="FFFFFF"/>
        <w:spacing w:after="0" w:line="240" w:lineRule="auto"/>
        <w:ind w:left="709" w:right="709"/>
        <w:jc w:val="both"/>
        <w:rPr>
          <w:rFonts w:ascii="Verdana" w:hAnsi="Verdana" w:cs="Arial"/>
          <w:color w:val="000000" w:themeColor="text1"/>
          <w:sz w:val="20"/>
          <w:szCs w:val="20"/>
          <w:lang w:eastAsia="es-CO"/>
        </w:rPr>
      </w:pPr>
      <w:r w:rsidRPr="00FF007A">
        <w:rPr>
          <w:rFonts w:ascii="Verdana" w:hAnsi="Verdana" w:cs="Arial"/>
          <w:color w:val="000000" w:themeColor="text1"/>
          <w:sz w:val="20"/>
          <w:szCs w:val="20"/>
          <w:lang w:eastAsia="es-CO"/>
        </w:rPr>
        <w:t xml:space="preserve">“[…] Las excepciones establecidas en los artículos 32 y 33 en comento, guardan relación, exclusivamente, con algunos servicios públicos que por </w:t>
      </w:r>
      <w:r w:rsidRPr="00FF007A">
        <w:rPr>
          <w:rFonts w:ascii="Verdana" w:hAnsi="Verdana" w:cs="Arial"/>
          <w:color w:val="000000" w:themeColor="text1"/>
          <w:sz w:val="20"/>
          <w:szCs w:val="20"/>
          <w:lang w:eastAsia="es-CO"/>
        </w:rPr>
        <w:lastRenderedPageBreak/>
        <w:t xml:space="preserve">su naturaleza no admiten postergaciones en la atención de sus necesidades de personal, bienes y servicios </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lang w:eastAsia="es-CO"/>
        </w:rPr>
        <w:t>...</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vertAlign w:val="superscript"/>
          <w:lang w:eastAsia="es-CO"/>
        </w:rPr>
        <w:footnoteReference w:id="19"/>
      </w:r>
      <w:r w:rsidRPr="00FF007A">
        <w:rPr>
          <w:rFonts w:ascii="Verdana" w:hAnsi="Verdana" w:cs="Arial"/>
          <w:color w:val="000000" w:themeColor="text1"/>
          <w:sz w:val="20"/>
          <w:szCs w:val="20"/>
          <w:lang w:eastAsia="es-CO"/>
        </w:rPr>
        <w:t xml:space="preserve">”. </w:t>
      </w:r>
    </w:p>
    <w:p w14:paraId="1BA93921" w14:textId="77777777" w:rsidR="00265B99" w:rsidRPr="00FF007A" w:rsidRDefault="00265B99" w:rsidP="00265B99">
      <w:pPr>
        <w:tabs>
          <w:tab w:val="left" w:pos="426"/>
        </w:tabs>
        <w:spacing w:before="120" w:after="0" w:line="276" w:lineRule="auto"/>
        <w:ind w:firstLine="709"/>
        <w:jc w:val="both"/>
        <w:rPr>
          <w:rFonts w:ascii="Verdana" w:hAnsi="Verdana" w:cs="Arial"/>
          <w:color w:val="000000" w:themeColor="text1"/>
        </w:rPr>
      </w:pPr>
      <w:r w:rsidRPr="00FF007A">
        <w:rPr>
          <w:rFonts w:ascii="Verdana" w:hAnsi="Verdana" w:cs="Arial"/>
          <w:bCs/>
          <w:color w:val="000000" w:themeColor="text1"/>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F007A">
        <w:rPr>
          <w:rFonts w:ascii="Verdana" w:hAnsi="Verdana" w:cs="Arial"/>
          <w:color w:val="000000" w:themeColor="text1"/>
        </w:rPr>
        <w:t xml:space="preserve">, mencionó las excepciones a la prohibición del artículo 33 de la Ley de Garantías Electorales, resaltando su carácter taxativo, y señalando la independencia de los supuestos, así: </w:t>
      </w:r>
    </w:p>
    <w:p w14:paraId="460177FC" w14:textId="77777777" w:rsidR="00265B99" w:rsidRPr="00FF007A" w:rsidRDefault="00265B99" w:rsidP="00265B99">
      <w:pPr>
        <w:tabs>
          <w:tab w:val="left" w:pos="426"/>
        </w:tabs>
        <w:spacing w:after="0" w:line="276" w:lineRule="auto"/>
        <w:ind w:firstLine="709"/>
        <w:jc w:val="both"/>
        <w:rPr>
          <w:rFonts w:ascii="Verdana" w:hAnsi="Verdana" w:cs="Arial"/>
          <w:color w:val="000000" w:themeColor="text1"/>
        </w:rPr>
      </w:pPr>
    </w:p>
    <w:p w14:paraId="4164E5F3" w14:textId="77777777" w:rsidR="00265B99" w:rsidRPr="00FF007A" w:rsidRDefault="00265B99" w:rsidP="00265B99">
      <w:pPr>
        <w:tabs>
          <w:tab w:val="left" w:pos="426"/>
        </w:tabs>
        <w:spacing w:after="0" w:line="240" w:lineRule="auto"/>
        <w:ind w:right="709"/>
        <w:jc w:val="both"/>
        <w:rPr>
          <w:rFonts w:ascii="Verdana" w:hAnsi="Verdana" w:cs="Arial"/>
          <w:color w:val="000000" w:themeColor="text1"/>
          <w:sz w:val="20"/>
          <w:szCs w:val="20"/>
        </w:rPr>
      </w:pPr>
      <w:r w:rsidRPr="00FF007A">
        <w:rPr>
          <w:rFonts w:ascii="Arial" w:hAnsi="Arial" w:cs="Arial"/>
          <w:color w:val="000000" w:themeColor="text1"/>
          <w:sz w:val="21"/>
          <w:szCs w:val="21"/>
        </w:rPr>
        <w:tab/>
      </w:r>
      <w:r w:rsidRPr="00FF007A">
        <w:rPr>
          <w:rFonts w:ascii="Arial" w:hAnsi="Arial" w:cs="Arial"/>
          <w:color w:val="000000" w:themeColor="text1"/>
          <w:sz w:val="21"/>
          <w:szCs w:val="21"/>
        </w:rPr>
        <w:tab/>
        <w:t>“</w:t>
      </w:r>
      <w:r w:rsidRPr="00FF007A">
        <w:rPr>
          <w:rFonts w:ascii="Verdana" w:hAnsi="Verdana" w:cs="Arial"/>
          <w:color w:val="000000" w:themeColor="text1"/>
          <w:sz w:val="20"/>
          <w:szCs w:val="20"/>
        </w:rPr>
        <w:t xml:space="preserve">[…] </w:t>
      </w:r>
      <w:r w:rsidRPr="00FF007A">
        <w:rPr>
          <w:rFonts w:ascii="Verdana" w:hAnsi="Verdana" w:cs="Arial"/>
          <w:i/>
          <w:color w:val="000000" w:themeColor="text1"/>
          <w:sz w:val="20"/>
          <w:szCs w:val="20"/>
        </w:rPr>
        <w:t>Las excepciones aplicables a la restricción de contratación pública</w:t>
      </w:r>
    </w:p>
    <w:p w14:paraId="56D6683A" w14:textId="77777777" w:rsidR="00265B99" w:rsidRDefault="00265B99" w:rsidP="00265B99">
      <w:pPr>
        <w:spacing w:after="0" w:line="240" w:lineRule="auto"/>
        <w:ind w:left="709" w:right="709"/>
        <w:jc w:val="both"/>
        <w:rPr>
          <w:rFonts w:ascii="Verdana" w:hAnsi="Verdana" w:cs="Arial"/>
          <w:color w:val="000000" w:themeColor="text1"/>
          <w:sz w:val="20"/>
          <w:szCs w:val="20"/>
          <w:shd w:val="clear" w:color="auto" w:fill="FFFFFF"/>
        </w:rPr>
      </w:pPr>
    </w:p>
    <w:p w14:paraId="7A6967D0" w14:textId="77777777" w:rsidR="00265B99" w:rsidRPr="00FF007A" w:rsidRDefault="00265B99" w:rsidP="00265B9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Ahora bien, las únicas excepciones a las disposiciones previstas en la Ley de Garantías se encuentran numeradas taxativamente en el último inciso del artículo 33 de la ley 996 de 2005, dentro de las que se encuentran:</w:t>
      </w:r>
    </w:p>
    <w:p w14:paraId="38C0823C" w14:textId="77777777" w:rsidR="00265B99" w:rsidRDefault="00265B99" w:rsidP="00265B99">
      <w:pPr>
        <w:spacing w:after="0" w:line="240" w:lineRule="auto"/>
        <w:ind w:left="709" w:right="709"/>
        <w:jc w:val="both"/>
        <w:rPr>
          <w:rFonts w:ascii="Verdana" w:hAnsi="Verdana" w:cs="Arial"/>
          <w:color w:val="000000" w:themeColor="text1"/>
          <w:sz w:val="20"/>
          <w:szCs w:val="20"/>
          <w:shd w:val="clear" w:color="auto" w:fill="FFFFFF"/>
        </w:rPr>
      </w:pPr>
    </w:p>
    <w:p w14:paraId="4C511262" w14:textId="77777777" w:rsidR="00265B99" w:rsidRPr="00FF007A" w:rsidRDefault="00265B99" w:rsidP="00265B9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 </w:t>
      </w:r>
    </w:p>
    <w:p w14:paraId="5D3B2A98" w14:textId="77777777" w:rsidR="00265B99" w:rsidRDefault="00265B99" w:rsidP="00265B99">
      <w:pPr>
        <w:spacing w:after="0" w:line="240" w:lineRule="auto"/>
        <w:ind w:left="709" w:right="709"/>
        <w:jc w:val="both"/>
        <w:rPr>
          <w:rFonts w:ascii="Verdana" w:hAnsi="Verdana" w:cs="Arial"/>
          <w:color w:val="000000" w:themeColor="text1"/>
          <w:sz w:val="20"/>
          <w:szCs w:val="20"/>
          <w:shd w:val="clear" w:color="auto" w:fill="FFFFFF"/>
        </w:rPr>
      </w:pPr>
    </w:p>
    <w:p w14:paraId="41DDDFC3" w14:textId="77777777" w:rsidR="00265B99" w:rsidRPr="00FF007A" w:rsidRDefault="00265B99" w:rsidP="00265B9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5. Los que deban realizar las entidades sanitarias y hospitalarias </w:t>
      </w:r>
      <w:r>
        <w:rPr>
          <w:rFonts w:ascii="Verdana" w:hAnsi="Verdana" w:cs="Arial"/>
          <w:color w:val="000000" w:themeColor="text1"/>
          <w:sz w:val="20"/>
          <w:szCs w:val="20"/>
          <w:shd w:val="clear" w:color="auto" w:fill="FFFFFF"/>
        </w:rPr>
        <w:t>(…)”</w:t>
      </w:r>
      <w:r w:rsidRPr="00FF007A">
        <w:rPr>
          <w:rFonts w:ascii="Verdana" w:hAnsi="Verdana" w:cs="Arial"/>
          <w:color w:val="000000" w:themeColor="text1"/>
          <w:sz w:val="20"/>
          <w:szCs w:val="20"/>
          <w:shd w:val="clear" w:color="auto" w:fill="FFFFFF"/>
          <w:vertAlign w:val="superscript"/>
        </w:rPr>
        <w:footnoteReference w:id="20"/>
      </w:r>
      <w:r w:rsidRPr="00FF007A">
        <w:rPr>
          <w:rFonts w:ascii="Verdana" w:hAnsi="Verdana" w:cs="Arial"/>
          <w:color w:val="000000" w:themeColor="text1"/>
          <w:sz w:val="20"/>
          <w:szCs w:val="20"/>
          <w:shd w:val="clear" w:color="auto" w:fill="FFFFFF"/>
        </w:rPr>
        <w:t>.</w:t>
      </w:r>
    </w:p>
    <w:p w14:paraId="77DE0DCF" w14:textId="77777777" w:rsidR="00265B99" w:rsidRPr="00FF007A" w:rsidRDefault="00265B99" w:rsidP="00265B99">
      <w:pPr>
        <w:spacing w:after="0" w:line="240" w:lineRule="auto"/>
        <w:ind w:left="709" w:right="709"/>
        <w:jc w:val="both"/>
        <w:rPr>
          <w:rFonts w:ascii="Verdana" w:hAnsi="Verdana" w:cs="Arial"/>
          <w:color w:val="000000" w:themeColor="text1"/>
          <w:sz w:val="20"/>
          <w:szCs w:val="20"/>
          <w:shd w:val="clear" w:color="auto" w:fill="FFFFFF"/>
        </w:rPr>
      </w:pPr>
    </w:p>
    <w:p w14:paraId="1CC4B377" w14:textId="77777777" w:rsidR="00265B99" w:rsidRPr="00FF007A" w:rsidRDefault="00265B99" w:rsidP="00265B99">
      <w:pPr>
        <w:tabs>
          <w:tab w:val="left" w:pos="426"/>
        </w:tabs>
        <w:spacing w:line="276" w:lineRule="auto"/>
        <w:ind w:firstLine="709"/>
        <w:jc w:val="both"/>
        <w:rPr>
          <w:rFonts w:ascii="Verdana" w:hAnsi="Verdana" w:cs="Arial"/>
          <w:bCs/>
          <w:color w:val="000000" w:themeColor="text1"/>
        </w:rPr>
      </w:pPr>
      <w:r w:rsidRPr="00FF007A">
        <w:rPr>
          <w:rFonts w:ascii="Verdana" w:hAnsi="Verdana" w:cs="Arial"/>
          <w:bCs/>
          <w:color w:val="000000" w:themeColor="text1"/>
        </w:rPr>
        <w:t>Lo anterior implica que las excepciones al artículo 33 en comento deben interpretarse y aplicarse de manera estricta. En otras palabras, no es factible hacer interpretaciones extensivas</w:t>
      </w:r>
      <w:r w:rsidRPr="00FF007A">
        <w:rPr>
          <w:rFonts w:ascii="Verdana" w:hAnsi="Verdana" w:cs="Arial"/>
          <w:bCs/>
          <w:i/>
          <w:iCs/>
          <w:color w:val="000000" w:themeColor="text1"/>
        </w:rPr>
        <w:t xml:space="preserve"> </w:t>
      </w:r>
      <w:r w:rsidRPr="00FF007A">
        <w:rPr>
          <w:rFonts w:ascii="Verdana" w:hAnsi="Verdana" w:cs="Arial"/>
          <w:bCs/>
          <w:color w:val="000000" w:themeColor="text1"/>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41259A0C" w14:textId="77777777" w:rsidR="00265B99" w:rsidRPr="00FF007A" w:rsidRDefault="00265B99" w:rsidP="00265B99">
      <w:pPr>
        <w:tabs>
          <w:tab w:val="left" w:pos="426"/>
        </w:tabs>
        <w:spacing w:before="120" w:line="276" w:lineRule="auto"/>
        <w:ind w:firstLine="709"/>
        <w:jc w:val="both"/>
        <w:rPr>
          <w:rFonts w:ascii="Verdana" w:hAnsi="Verdana" w:cs="Arial"/>
          <w:bCs/>
          <w:color w:val="000000" w:themeColor="text1"/>
        </w:rPr>
      </w:pPr>
      <w:r w:rsidRPr="00FF007A">
        <w:rPr>
          <w:rFonts w:ascii="Verdana" w:hAnsi="Verdana" w:cs="Arial"/>
          <w:bCs/>
          <w:color w:val="000000" w:themeColor="text1"/>
        </w:rPr>
        <w:t xml:space="preserve">Teniendo en cuenta el tema de su consulta, es pertinente analizar el quinto evento exceptuado de la prohibición,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w:t>
      </w:r>
      <w:r w:rsidRPr="00FF007A">
        <w:rPr>
          <w:rFonts w:ascii="Verdana" w:hAnsi="Verdana" w:cs="Arial"/>
          <w:bCs/>
          <w:color w:val="000000" w:themeColor="text1"/>
        </w:rPr>
        <w:lastRenderedPageBreak/>
        <w:t xml:space="preserve">autonomía administrativa, creadas por la Ley o por las asambleas o concejos, según el caso, sometidas al régimen jurídico previsto en este capítulo”. </w:t>
      </w:r>
    </w:p>
    <w:p w14:paraId="5A939294" w14:textId="419E8B0F" w:rsidR="00265B99" w:rsidRPr="00FF007A" w:rsidRDefault="00265B99" w:rsidP="00265B99">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sidR="00737D3F">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sidR="00687FD6">
        <w:rPr>
          <w:rStyle w:val="Refdenotaalpie"/>
          <w:rFonts w:ascii="Verdana" w:hAnsi="Verdana" w:cs="Arial"/>
          <w:color w:val="000000" w:themeColor="text1"/>
        </w:rPr>
        <w:footnoteReference w:id="21"/>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22"/>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6A6B17E5" w14:textId="16B926F1" w:rsidR="00265B99" w:rsidRPr="00FF007A" w:rsidRDefault="00265B99" w:rsidP="00265B9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sidR="00C170F7">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sidR="00C170F7">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23"/>
      </w:r>
      <w:r w:rsidRPr="00FF007A">
        <w:rPr>
          <w:rFonts w:ascii="Verdana" w:eastAsia="Arial" w:hAnsi="Verdana" w:cs="Arial"/>
          <w:bCs/>
          <w:color w:val="000000" w:themeColor="text1"/>
        </w:rPr>
        <w:t xml:space="preserve">. De esta forma, </w:t>
      </w:r>
      <w:r w:rsidR="00E80900">
        <w:rPr>
          <w:rFonts w:ascii="Verdana" w:eastAsia="Arial" w:hAnsi="Verdana" w:cs="Arial"/>
          <w:bCs/>
          <w:color w:val="000000" w:themeColor="text1"/>
        </w:rPr>
        <w:lastRenderedPageBreak/>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sidR="00E80900">
        <w:rPr>
          <w:rFonts w:ascii="Verdana" w:eastAsia="Arial" w:hAnsi="Verdana" w:cs="Arial"/>
          <w:bCs/>
          <w:color w:val="000000" w:themeColor="text1"/>
        </w:rPr>
        <w:t xml:space="preserve">996 de 2005. </w:t>
      </w:r>
    </w:p>
    <w:p w14:paraId="2980AE1E" w14:textId="77777777" w:rsidR="00265B99" w:rsidRPr="00FF007A" w:rsidRDefault="00265B99" w:rsidP="00265B99">
      <w:pPr>
        <w:spacing w:before="120"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24"/>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25"/>
      </w:r>
      <w:r w:rsidRPr="00FF007A">
        <w:rPr>
          <w:rFonts w:ascii="Verdana" w:eastAsia="Arial" w:hAnsi="Verdana" w:cs="Arial"/>
          <w:bCs/>
          <w:color w:val="000000" w:themeColor="text1"/>
        </w:rPr>
        <w:t xml:space="preserve">. </w:t>
      </w:r>
    </w:p>
    <w:p w14:paraId="48A48D63" w14:textId="77777777" w:rsidR="00265B99" w:rsidRPr="002E5606" w:rsidRDefault="00265B99" w:rsidP="00265B99">
      <w:pPr>
        <w:spacing w:before="240" w:line="276" w:lineRule="auto"/>
        <w:ind w:firstLine="709"/>
        <w:jc w:val="both"/>
        <w:rPr>
          <w:rFonts w:ascii="Verdana" w:eastAsia="Arial" w:hAnsi="Verdana" w:cs="Arial"/>
          <w:bCs/>
          <w:color w:val="000000" w:themeColor="text1"/>
          <w:highlight w:val="yellow"/>
        </w:rPr>
      </w:pPr>
      <w:r w:rsidRPr="002E5606">
        <w:rPr>
          <w:rFonts w:ascii="Verdana" w:eastAsia="Arial" w:hAnsi="Verdana" w:cs="Arial"/>
          <w:bCs/>
          <w:color w:val="000000" w:themeColor="text1"/>
        </w:rPr>
        <w:t xml:space="preserve">v) Por otro lado, la prohibición establecida en el </w:t>
      </w:r>
      <w:r w:rsidRPr="002E5606">
        <w:rPr>
          <w:rFonts w:ascii="Verdana" w:eastAsia="Arial" w:hAnsi="Verdana" w:cs="Arial"/>
          <w:bCs/>
          <w:i/>
          <w:iCs/>
          <w:color w:val="000000" w:themeColor="text1"/>
        </w:rPr>
        <w:t xml:space="preserve">parágrafo del artículo 38 </w:t>
      </w:r>
      <w:r w:rsidRPr="002E5606">
        <w:rPr>
          <w:rFonts w:ascii="Verdana" w:eastAsia="Calibri" w:hAnsi="Verdana" w:cs="Arial"/>
          <w:bCs/>
        </w:rPr>
        <w:t xml:space="preserve">de la Ley 996 de 2005 dispone que “los Gobernadores, </w:t>
      </w:r>
      <w:proofErr w:type="gramStart"/>
      <w:r w:rsidRPr="002E5606">
        <w:rPr>
          <w:rFonts w:ascii="Verdana" w:eastAsia="Calibri" w:hAnsi="Verdana" w:cs="Arial"/>
          <w:bCs/>
        </w:rPr>
        <w:t>Alcaldes</w:t>
      </w:r>
      <w:proofErr w:type="gramEnd"/>
      <w:r w:rsidRPr="002E5606">
        <w:rPr>
          <w:rFonts w:ascii="Verdana" w:eastAsia="Calibri" w:hAnsi="Verdana" w:cs="Arial"/>
          <w:bCs/>
        </w:rPr>
        <w:t xml:space="preserve"> Municipales y/o Distritales, </w:t>
      </w:r>
      <w:proofErr w:type="gramStart"/>
      <w:r w:rsidRPr="002E5606">
        <w:rPr>
          <w:rFonts w:ascii="Verdana" w:eastAsia="Calibri" w:hAnsi="Verdana" w:cs="Arial"/>
          <w:bCs/>
        </w:rPr>
        <w:t>Secretarios</w:t>
      </w:r>
      <w:proofErr w:type="gramEnd"/>
      <w:r w:rsidRPr="002E5606">
        <w:rPr>
          <w:rFonts w:ascii="Verdana" w:eastAsia="Calibri" w:hAnsi="Verdana" w:cs="Arial"/>
          <w:bCs/>
        </w:rPr>
        <w:t>, Gerentes y directores</w:t>
      </w:r>
      <w:r w:rsidRPr="00FF007A">
        <w:rPr>
          <w:rFonts w:ascii="Verdana" w:eastAsia="Calibri" w:hAnsi="Verdana" w:cs="Arial"/>
          <w:bCs/>
        </w:rPr>
        <w:t xml:space="preserve"> de Entidades Descentralizadas del orden Municipal, Departamental o Distrital, dentro de los cuatro (4) meses anteriores a las elecciones, no podrán celebrar convenios interadministrativos para la ejecución de recursos públicos”.</w:t>
      </w:r>
      <w:r w:rsidRPr="00FF007A">
        <w:rPr>
          <w:rFonts w:ascii="Verdana" w:hAnsi="Verdana" w:cs="Arial"/>
          <w:bCs/>
          <w:iCs/>
          <w:lang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F007A">
        <w:rPr>
          <w:rStyle w:val="Refdenotaalpie"/>
          <w:rFonts w:ascii="Verdana" w:hAnsi="Verdana" w:cs="Arial"/>
          <w:bCs/>
          <w:iCs/>
          <w:lang w:eastAsia="x-none"/>
        </w:rPr>
        <w:footnoteReference w:id="26"/>
      </w:r>
      <w:r w:rsidRPr="00FF007A">
        <w:rPr>
          <w:rFonts w:ascii="Verdana" w:hAnsi="Verdana" w:cs="Arial"/>
          <w:bCs/>
          <w:iCs/>
          <w:lang w:eastAsia="x-none"/>
        </w:rPr>
        <w:t>.</w:t>
      </w:r>
      <w:r w:rsidRPr="00FF007A">
        <w:rPr>
          <w:rFonts w:ascii="Verdana" w:hAnsi="Verdana" w:cs="Arial"/>
        </w:rPr>
        <w:t xml:space="preserve"> </w:t>
      </w:r>
      <w:bookmarkStart w:id="14" w:name="_Hlk78820161"/>
    </w:p>
    <w:p w14:paraId="6BD0FCA8" w14:textId="77777777" w:rsidR="00265B99" w:rsidRPr="00FF007A" w:rsidRDefault="00265B99" w:rsidP="00265B99">
      <w:pPr>
        <w:spacing w:before="120" w:after="120" w:line="276" w:lineRule="auto"/>
        <w:ind w:firstLine="708"/>
        <w:jc w:val="both"/>
        <w:rPr>
          <w:rFonts w:ascii="Verdana" w:hAnsi="Verdana" w:cs="Arial"/>
        </w:rPr>
      </w:pPr>
      <w:r w:rsidRPr="00FF007A">
        <w:rPr>
          <w:rFonts w:ascii="Verdana" w:hAnsi="Verdana" w:cs="Arial"/>
        </w:rPr>
        <w:t xml:space="preserve">Aunque la ley no definió ni desarrolló </w:t>
      </w:r>
      <w:r w:rsidRPr="00FF007A">
        <w:rPr>
          <w:rFonts w:ascii="Verdana" w:eastAsia="Calibri" w:hAnsi="Verdana" w:cs="Arial"/>
          <w:bCs/>
        </w:rPr>
        <w:t>la tipología de convenios o contratos interadministrativos</w:t>
      </w:r>
      <w:r w:rsidRPr="00FF007A">
        <w:rPr>
          <w:rFonts w:ascii="Verdana" w:hAnsi="Verdana" w:cs="Arial"/>
        </w:rPr>
        <w:t xml:space="preserve">, el Decreto 1082 de 2015 califica a los convenios o contratos </w:t>
      </w:r>
      <w:r w:rsidRPr="00FF007A">
        <w:rPr>
          <w:rFonts w:ascii="Verdana" w:hAnsi="Verdana" w:cs="Arial"/>
        </w:rPr>
        <w:lastRenderedPageBreak/>
        <w:t>interadministrativos como aquella contratación entre entidades estatales</w:t>
      </w:r>
      <w:r w:rsidRPr="00FF007A">
        <w:rPr>
          <w:rStyle w:val="Refdenotaalpie"/>
          <w:rFonts w:ascii="Verdana" w:hAnsi="Verdana" w:cs="Arial"/>
        </w:rPr>
        <w:footnoteReference w:id="27"/>
      </w:r>
      <w:r w:rsidRPr="00FF007A">
        <w:rPr>
          <w:rFonts w:ascii="Verdana" w:hAnsi="Verdana" w:cs="Arial"/>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FF007A">
        <w:rPr>
          <w:rFonts w:ascii="Verdana" w:hAnsi="Verdana" w:cs="Arial"/>
          <w:spacing w:val="-6"/>
        </w:rPr>
        <w:t xml:space="preserve"> </w:t>
      </w:r>
      <w:r w:rsidRPr="00FF007A">
        <w:rPr>
          <w:rFonts w:ascii="Verdana" w:hAnsi="Verdana" w:cs="Arial"/>
        </w:rPr>
        <w:t>Estatales.</w:t>
      </w:r>
      <w:bookmarkStart w:id="15" w:name="_Hlk78820654"/>
      <w:bookmarkEnd w:id="14"/>
    </w:p>
    <w:p w14:paraId="4B79B63C" w14:textId="77777777" w:rsidR="00265B99" w:rsidRPr="00FF007A" w:rsidRDefault="00265B99" w:rsidP="00265B99">
      <w:pPr>
        <w:spacing w:before="120" w:after="120" w:line="276" w:lineRule="auto"/>
        <w:ind w:firstLine="708"/>
        <w:jc w:val="both"/>
        <w:rPr>
          <w:rFonts w:ascii="Verdana" w:hAnsi="Verdana" w:cs="Arial"/>
        </w:rPr>
      </w:pPr>
      <w:r w:rsidRPr="00FF007A">
        <w:rPr>
          <w:rFonts w:ascii="Verdana" w:hAnsi="Verdana" w:cs="Arial"/>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bookmarkEnd w:id="15"/>
    </w:p>
    <w:p w14:paraId="175109B8" w14:textId="77777777" w:rsidR="00265B99" w:rsidRPr="00FF007A" w:rsidRDefault="00265B99" w:rsidP="00265B99">
      <w:pPr>
        <w:spacing w:before="120" w:after="120" w:line="276" w:lineRule="auto"/>
        <w:ind w:firstLine="708"/>
        <w:jc w:val="both"/>
        <w:rPr>
          <w:rFonts w:ascii="Verdana" w:hAnsi="Verdana" w:cs="Arial"/>
        </w:rPr>
      </w:pPr>
      <w:r w:rsidRPr="00FF007A">
        <w:rPr>
          <w:rFonts w:ascii="Verdana" w:hAnsi="Verdana" w:cs="Arial"/>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FF007A">
        <w:rPr>
          <w:rStyle w:val="Refdenotaalpie"/>
          <w:rFonts w:ascii="Verdana" w:hAnsi="Verdana" w:cs="Arial"/>
        </w:rPr>
        <w:footnoteReference w:id="28"/>
      </w:r>
      <w:r w:rsidRPr="00FF007A">
        <w:rPr>
          <w:rFonts w:ascii="Verdana" w:hAnsi="Verdana" w:cs="Arial"/>
        </w:rPr>
        <w:t>. Nótese que, en este caso, lo que cambia es la modalidad de selección y no la naturaleza de contrato</w:t>
      </w:r>
      <w:r w:rsidRPr="00FF007A">
        <w:rPr>
          <w:rFonts w:ascii="Verdana" w:hAnsi="Verdana" w:cs="Arial"/>
          <w:spacing w:val="-18"/>
        </w:rPr>
        <w:t xml:space="preserve"> </w:t>
      </w:r>
      <w:r w:rsidRPr="00FF007A">
        <w:rPr>
          <w:rFonts w:ascii="Verdana" w:hAnsi="Verdana" w:cs="Arial"/>
        </w:rPr>
        <w:t>interadministrativo.</w:t>
      </w:r>
    </w:p>
    <w:p w14:paraId="1AEE9D3B" w14:textId="77777777" w:rsidR="00265B99" w:rsidRPr="00FF007A" w:rsidRDefault="00265B99" w:rsidP="00265B99">
      <w:pPr>
        <w:spacing w:before="120" w:after="120" w:line="276" w:lineRule="auto"/>
        <w:ind w:firstLine="708"/>
        <w:jc w:val="both"/>
        <w:rPr>
          <w:rFonts w:ascii="Verdana" w:eastAsia="Calibri" w:hAnsi="Verdana" w:cs="Arial"/>
          <w:bCs/>
        </w:rPr>
      </w:pPr>
      <w:r w:rsidRPr="00FF007A">
        <w:rPr>
          <w:rFonts w:ascii="Verdana" w:hAnsi="Verdana" w:cs="Arial"/>
        </w:rPr>
        <w:lastRenderedPageBreak/>
        <w:t>Teniendo en cuenta lo anterior, se reitera la conclusión de que los contratos o convenios interadministrativos están definidos por la naturaleza de las partes, de manera que se identifican por un criterio orgánico y serán aquellos celebrados entre entidades estatales. Además, no existe una definición legal que diferencie los conceptos de contrato y convenio, por lo que esta Agencia ha considerado que se asimilan para la aplicación de la Ley de Garantías. En tal sentido, las referencias realizadas por el legislador a estos términos deben asimilarse, salvo que de su contenido se logre inferir que se le quiere otorgar un contenido en particular, pues el legislador utiliza estos conceptos de forma indistinta.</w:t>
      </w:r>
    </w:p>
    <w:p w14:paraId="4F129B8D" w14:textId="77777777" w:rsidR="00265B99" w:rsidRPr="00FF007A" w:rsidRDefault="00265B99" w:rsidP="00265B99">
      <w:pPr>
        <w:spacing w:before="120" w:after="0" w:line="276" w:lineRule="auto"/>
        <w:ind w:firstLine="708"/>
        <w:jc w:val="both"/>
        <w:rPr>
          <w:rFonts w:ascii="Verdana" w:hAnsi="Verdana" w:cs="Arial"/>
          <w:bCs/>
          <w:lang w:eastAsia="es-CO"/>
        </w:rPr>
      </w:pPr>
      <w:r w:rsidRPr="00FF007A">
        <w:rPr>
          <w:rFonts w:ascii="Verdana" w:eastAsia="Calibri" w:hAnsi="Verdana" w:cs="Arial"/>
          <w:bCs/>
        </w:rPr>
        <w:t xml:space="preserve">En consecuencia, </w:t>
      </w:r>
      <w:r w:rsidRPr="00FF007A">
        <w:rPr>
          <w:rFonts w:ascii="Verdana" w:hAnsi="Verdana" w:cs="Arial"/>
          <w:bCs/>
          <w:lang w:eastAsia="es-CO"/>
        </w:rPr>
        <w:t>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no podrá celebrar tales convenios o contratos durante la aplicación de la ley de garantías, toda vez que la citada disposición hace referencia a dicha tipología contractual sin que el legislador hubiere contemplado excepción alguna frente a la modalidad de selección o naturaleza de su objeto</w:t>
      </w:r>
      <w:r w:rsidRPr="00FF007A">
        <w:rPr>
          <w:rFonts w:ascii="Verdana" w:hAnsi="Verdana" w:cs="Arial"/>
          <w:vertAlign w:val="superscript"/>
        </w:rPr>
        <w:footnoteReference w:id="29"/>
      </w:r>
      <w:r w:rsidRPr="00FF007A">
        <w:rPr>
          <w:rFonts w:ascii="Verdana" w:hAnsi="Verdana" w:cs="Arial"/>
          <w:bCs/>
          <w:lang w:eastAsia="es-CO"/>
        </w:rPr>
        <w:t xml:space="preserve">. </w:t>
      </w:r>
    </w:p>
    <w:p w14:paraId="17E65621" w14:textId="77777777" w:rsidR="00265B99" w:rsidRPr="00FF007A" w:rsidRDefault="00265B99" w:rsidP="00265B99">
      <w:pPr>
        <w:spacing w:after="0" w:line="240" w:lineRule="auto"/>
        <w:ind w:firstLine="709"/>
        <w:jc w:val="both"/>
        <w:rPr>
          <w:rFonts w:ascii="Verdana" w:eastAsia="Calibri" w:hAnsi="Verdana" w:cs="Arial"/>
          <w:bCs/>
        </w:rPr>
      </w:pPr>
    </w:p>
    <w:p w14:paraId="7A82E4A9" w14:textId="6B488DB7" w:rsidR="00265B99" w:rsidRPr="00FF007A" w:rsidRDefault="00265B99" w:rsidP="00265B9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v</w:t>
      </w:r>
      <w:r>
        <w:rPr>
          <w:rFonts w:ascii="Verdana" w:eastAsia="Arial" w:hAnsi="Verdana" w:cs="Arial"/>
          <w:bCs/>
          <w:color w:val="000000" w:themeColor="text1"/>
        </w:rPr>
        <w:t>i</w:t>
      </w:r>
      <w:r w:rsidRPr="00FF007A">
        <w:rPr>
          <w:rFonts w:ascii="Verdana" w:eastAsia="Arial" w:hAnsi="Verdana" w:cs="Arial"/>
          <w:bCs/>
          <w:color w:val="000000" w:themeColor="text1"/>
        </w:rPr>
        <w:t xml:space="preserve">) 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w:t>
      </w:r>
      <w:r>
        <w:rPr>
          <w:rFonts w:ascii="Verdana" w:eastAsia="Arial" w:hAnsi="Verdana" w:cs="Arial"/>
          <w:bCs/>
          <w:color w:val="000000" w:themeColor="text1"/>
        </w:rPr>
        <w:lastRenderedPageBreak/>
        <w:t>Salud Pública de Intervenciones Colectivas</w:t>
      </w:r>
      <w:r>
        <w:rPr>
          <w:rStyle w:val="Refdenotaalpie"/>
          <w:rFonts w:ascii="Verdana" w:eastAsia="Arial" w:hAnsi="Verdana" w:cs="Arial"/>
          <w:bCs/>
          <w:color w:val="000000" w:themeColor="text1"/>
        </w:rPr>
        <w:footnoteReference w:id="30"/>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31"/>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w:t>
      </w:r>
      <w:r w:rsidRPr="00FF007A">
        <w:rPr>
          <w:rFonts w:ascii="Verdana" w:eastAsia="Arial" w:hAnsi="Verdana" w:cs="Arial"/>
          <w:bCs/>
          <w:color w:val="000000" w:themeColor="text1"/>
        </w:rPr>
        <w:lastRenderedPageBreak/>
        <w:t xml:space="preserve">hospitalarias”. De ser así, la entidad </w:t>
      </w:r>
      <w:r w:rsidR="00EF111C">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0A8B1BD6" w14:textId="7109890E" w:rsidR="00265B99" w:rsidRPr="00FF007A" w:rsidRDefault="00265B99" w:rsidP="00265B99">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es necesario verificar si la contratación del PIC es llevada a cabo por “</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w:t>
      </w:r>
      <w:r w:rsidR="00FE238A">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w:t>
      </w:r>
      <w:r w:rsidRPr="00FF007A">
        <w:rPr>
          <w:rFonts w:ascii="Verdana" w:eastAsia="Arial" w:hAnsi="Verdana" w:cs="Arial"/>
          <w:bCs/>
          <w:color w:val="000000" w:themeColor="text1"/>
        </w:rPr>
        <w:lastRenderedPageBreak/>
        <w:t xml:space="preserve">anteriores a cualquier contienda electoral. Es importante resaltar que para esta prohibición la norma no contempló ninguna excepción, de modo que </w:t>
      </w:r>
      <w:proofErr w:type="gramStart"/>
      <w:r w:rsidRPr="00FF007A">
        <w:rPr>
          <w:rFonts w:ascii="Verdana" w:eastAsia="Arial" w:hAnsi="Verdana" w:cs="Arial"/>
          <w:bCs/>
          <w:color w:val="000000" w:themeColor="text1"/>
        </w:rPr>
        <w:t>aplicará</w:t>
      </w:r>
      <w:proofErr w:type="gramEnd"/>
      <w:r w:rsidRPr="00FF007A">
        <w:rPr>
          <w:rFonts w:ascii="Verdana" w:eastAsia="Arial" w:hAnsi="Verdana" w:cs="Arial"/>
          <w:bCs/>
          <w:color w:val="000000" w:themeColor="text1"/>
        </w:rPr>
        <w:t xml:space="preserve"> aunque se trate de entidades sanitarias u hospitalarias. </w:t>
      </w:r>
    </w:p>
    <w:p w14:paraId="15B79EB6" w14:textId="77777777" w:rsidR="00265B99" w:rsidRPr="00FF007A" w:rsidRDefault="00265B99" w:rsidP="00265B9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FF007A">
        <w:rPr>
          <w:rFonts w:ascii="Verdana" w:eastAsia="Arial" w:hAnsi="Verdana" w:cs="Arial"/>
          <w:bCs/>
          <w:color w:val="000000" w:themeColor="text1"/>
        </w:rPr>
        <w:t>ii</w:t>
      </w:r>
      <w:proofErr w:type="spellEnd"/>
      <w:r w:rsidRPr="00FF007A">
        <w:rPr>
          <w:rFonts w:ascii="Verdana" w:eastAsia="Arial" w:hAnsi="Verdana" w:cs="Arial"/>
          <w:bCs/>
          <w:color w:val="000000" w:themeColor="text1"/>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405067E9" w14:textId="54A66A67" w:rsidR="00265B99" w:rsidRPr="00FF007A" w:rsidRDefault="00265B99" w:rsidP="00265B99">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32"/>
      </w:r>
      <w:r w:rsidRPr="00FF007A">
        <w:rPr>
          <w:rFonts w:ascii="Verdana" w:eastAsia="Times New Roman" w:hAnsi="Verdana" w:cs="Arial"/>
          <w:bCs/>
          <w:lang w:eastAsia="es-CO"/>
        </w:rPr>
        <w:t>. A</w:t>
      </w:r>
      <w:r w:rsidR="00B107B6">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sidR="003E56B9">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67AF2D89" w14:textId="77777777" w:rsidR="00265B99" w:rsidRDefault="00265B99" w:rsidP="00265B99">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 xml:space="preserve">dispuso que, con el fin de </w:t>
      </w:r>
      <w:r w:rsidRPr="00FF007A">
        <w:rPr>
          <w:rFonts w:ascii="Verdana" w:eastAsia="Arial" w:hAnsi="Verdana" w:cs="Arial"/>
          <w:bCs/>
          <w:color w:val="000000" w:themeColor="text1"/>
        </w:rPr>
        <w:lastRenderedPageBreak/>
        <w:t>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33"/>
      </w:r>
      <w:r w:rsidRPr="00FF007A">
        <w:rPr>
          <w:rFonts w:ascii="Verdana" w:eastAsia="Arial" w:hAnsi="Verdana" w:cs="Arial"/>
          <w:bCs/>
          <w:color w:val="000000" w:themeColor="text1"/>
        </w:rPr>
        <w:t xml:space="preserve">. Lo anterior, considerando que esta prohibición no fijó excepción alguna para su aplicación. </w:t>
      </w:r>
    </w:p>
    <w:p w14:paraId="4672BD15" w14:textId="77777777" w:rsidR="00265B99" w:rsidRDefault="00265B99" w:rsidP="00265B99">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3ACCA014" w14:textId="77777777" w:rsidR="00265B99" w:rsidRPr="00B73655" w:rsidRDefault="00265B99" w:rsidP="00265B99">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5725E3C0" w14:textId="77777777" w:rsidR="00265B99" w:rsidRPr="00FF007A" w:rsidRDefault="00265B99" w:rsidP="00265B99">
      <w:pPr>
        <w:spacing w:after="120" w:line="276" w:lineRule="auto"/>
        <w:ind w:firstLine="708"/>
        <w:jc w:val="both"/>
        <w:rPr>
          <w:rFonts w:ascii="Verdana" w:eastAsia="Times New Roman" w:hAnsi="Verdana" w:cs="Arial"/>
          <w:bCs/>
          <w:lang w:eastAsia="es-CO"/>
        </w:rPr>
      </w:pPr>
      <w:r w:rsidRPr="00FF007A">
        <w:rPr>
          <w:rFonts w:ascii="Verdana" w:eastAsia="Arial" w:hAnsi="Verdana" w:cs="Arial"/>
          <w:color w:val="000000" w:themeColor="text1"/>
        </w:rPr>
        <w:t xml:space="preserve">Finalmente, es importante advertir que </w:t>
      </w:r>
      <w:r w:rsidRPr="00FF007A">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FF007A">
        <w:rPr>
          <w:rFonts w:ascii="Verdana" w:eastAsia="Times New Roman" w:hAnsi="Verdana" w:cs="Arial"/>
          <w:color w:val="000000" w:themeColor="text1"/>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w:t>
      </w:r>
      <w:r w:rsidRPr="00FF007A">
        <w:rPr>
          <w:rFonts w:ascii="Verdana" w:eastAsia="Times New Roman" w:hAnsi="Verdana" w:cs="Arial"/>
          <w:color w:val="000000" w:themeColor="text1"/>
          <w:lang w:eastAsia="es-ES"/>
        </w:rPr>
        <w:lastRenderedPageBreak/>
        <w:t xml:space="preserve">sea atribución de la Agencia Nacional de Contratación Pública - Colombia Compra Eficiente validarla. </w:t>
      </w:r>
    </w:p>
    <w:bookmarkEnd w:id="10"/>
    <w:p w14:paraId="639F1756" w14:textId="77777777" w:rsidR="00265B99" w:rsidRPr="00FF007A" w:rsidRDefault="00265B99" w:rsidP="00265B99">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t>4. Referencias normativas:</w:t>
      </w:r>
    </w:p>
    <w:bookmarkEnd w:id="11"/>
    <w:p w14:paraId="694F2F3B" w14:textId="77777777" w:rsidR="00265B99" w:rsidRPr="00FF007A" w:rsidRDefault="00265B99" w:rsidP="00265B9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5B99" w:rsidRPr="00FF007A" w14:paraId="0CDF61AA" w14:textId="77777777" w:rsidTr="00FB0F27">
        <w:trPr>
          <w:trHeight w:val="870"/>
          <w:jc w:val="center"/>
        </w:trPr>
        <w:tc>
          <w:tcPr>
            <w:tcW w:w="8647" w:type="dxa"/>
          </w:tcPr>
          <w:p w14:paraId="1DD3E757"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Constitución Política, artículo 127.</w:t>
            </w:r>
          </w:p>
          <w:p w14:paraId="655EC693" w14:textId="77777777" w:rsidR="00265B99" w:rsidRPr="00D437AC" w:rsidRDefault="00265B99" w:rsidP="00FB0F27">
            <w:pPr>
              <w:pStyle w:val="Prrafodelista"/>
              <w:numPr>
                <w:ilvl w:val="0"/>
                <w:numId w:val="17"/>
              </w:numPr>
              <w:spacing w:line="276" w:lineRule="auto"/>
              <w:jc w:val="both"/>
              <w:rPr>
                <w:rFonts w:ascii="Verdana" w:hAnsi="Verdana" w:cs="Arial"/>
                <w:lang w:val="es-CO"/>
              </w:rPr>
            </w:pPr>
            <w:r w:rsidRPr="00D437AC">
              <w:rPr>
                <w:rFonts w:ascii="Verdana" w:hAnsi="Verdana" w:cs="Arial"/>
                <w:lang w:val="es-CO"/>
              </w:rPr>
              <w:t>Ley 80 de 1993: artículos 30 y 32.</w:t>
            </w:r>
          </w:p>
          <w:p w14:paraId="7FF4EAA9" w14:textId="77777777" w:rsidR="00265B99" w:rsidRPr="00D437AC" w:rsidRDefault="00265B99" w:rsidP="00FB0F27">
            <w:pPr>
              <w:pStyle w:val="Prrafodelista"/>
              <w:numPr>
                <w:ilvl w:val="0"/>
                <w:numId w:val="17"/>
              </w:numPr>
              <w:spacing w:line="276" w:lineRule="auto"/>
              <w:jc w:val="both"/>
              <w:rPr>
                <w:rFonts w:ascii="Verdana" w:hAnsi="Verdana" w:cs="Arial"/>
                <w:lang w:val="es-CO"/>
              </w:rPr>
            </w:pPr>
            <w:r w:rsidRPr="00D437AC">
              <w:rPr>
                <w:rFonts w:ascii="Verdana" w:hAnsi="Verdana" w:cs="Arial"/>
                <w:color w:val="000000" w:themeColor="text1"/>
                <w:lang w:val="es-CO"/>
              </w:rPr>
              <w:t>Ley 100 de 1993: artículos 94 y 197.</w:t>
            </w:r>
          </w:p>
          <w:p w14:paraId="71DB5FDC"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bCs/>
                <w:lang w:eastAsia="es-ES" w:bidi="es-ES"/>
              </w:rPr>
              <w:t>Ley 996 de 2005: artículos 33 y 38.</w:t>
            </w:r>
          </w:p>
          <w:p w14:paraId="07F96E8A" w14:textId="77777777" w:rsidR="00265B99" w:rsidRPr="00D437AC" w:rsidRDefault="00265B99" w:rsidP="00FB0F27">
            <w:pPr>
              <w:pStyle w:val="Prrafodelista"/>
              <w:widowControl w:val="0"/>
              <w:numPr>
                <w:ilvl w:val="0"/>
                <w:numId w:val="17"/>
              </w:numPr>
              <w:autoSpaceDE w:val="0"/>
              <w:autoSpaceDN w:val="0"/>
              <w:spacing w:line="276" w:lineRule="auto"/>
              <w:jc w:val="both"/>
              <w:rPr>
                <w:rFonts w:ascii="Verdana" w:hAnsi="Verdana" w:cs="Arial"/>
                <w:lang w:val="es-CO"/>
              </w:rPr>
            </w:pPr>
            <w:r w:rsidRPr="00D437AC">
              <w:rPr>
                <w:rFonts w:ascii="Verdana" w:eastAsia="Arial" w:hAnsi="Verdana" w:cs="Arial"/>
                <w:bCs/>
                <w:color w:val="000000" w:themeColor="text1"/>
                <w:lang w:val="es-CO"/>
              </w:rPr>
              <w:t>Decreto 780 de 2016: artículos 2.8.8.1.4.2, 2.8.8.1.1.3.</w:t>
            </w:r>
          </w:p>
          <w:p w14:paraId="0712621A"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Times New Roman" w:hAnsi="Verdana" w:cs="Times New Roman"/>
                <w:lang w:eastAsia="es-MX"/>
              </w:rPr>
              <w:t xml:space="preserve">Ley 1150 de 2007: </w:t>
            </w:r>
            <w:r w:rsidRPr="00D437AC">
              <w:rPr>
                <w:rFonts w:ascii="Verdana" w:eastAsia="Arial MT" w:hAnsi="Verdana" w:cs="Arial"/>
                <w:lang w:eastAsia="es-ES" w:bidi="es-ES"/>
              </w:rPr>
              <w:t xml:space="preserve">artículo 2, numeral 4. </w:t>
            </w:r>
          </w:p>
          <w:p w14:paraId="674A3B3C"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Decreto 1082 de 2015: artículo 2.2.1.2.1.4.4.</w:t>
            </w:r>
          </w:p>
          <w:p w14:paraId="25CF6B0E"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Resolución 1597 de 2025. Artículo 10 y 12. </w:t>
            </w:r>
          </w:p>
          <w:p w14:paraId="214AAE09"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490360B7"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de fecha 24 de julio de 2013. Radicado: Radicado: 11001-03-06-000-2013-00407-00 (2166). C.P: Álvaro </w:t>
            </w:r>
            <w:proofErr w:type="spellStart"/>
            <w:r w:rsidRPr="00D437AC">
              <w:rPr>
                <w:rFonts w:ascii="Verdana" w:eastAsia="Arial MT" w:hAnsi="Verdana" w:cs="Arial"/>
                <w:lang w:eastAsia="es-ES" w:bidi="es-ES"/>
              </w:rPr>
              <w:t>Namén</w:t>
            </w:r>
            <w:proofErr w:type="spellEnd"/>
            <w:r w:rsidRPr="00D437AC">
              <w:rPr>
                <w:rFonts w:ascii="Verdana" w:eastAsia="Arial MT" w:hAnsi="Verdana" w:cs="Arial"/>
                <w:lang w:eastAsia="es-ES" w:bidi="es-ES"/>
              </w:rPr>
              <w:t xml:space="preserve"> Vargas.  </w:t>
            </w:r>
          </w:p>
          <w:p w14:paraId="21A23755"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67316C1A"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Concepto del 02 de septiembre de 2013. Rad. 11001-03-06-000-2013-00412-00 (2168). C.P. Álvaro </w:t>
            </w:r>
            <w:proofErr w:type="spellStart"/>
            <w:r w:rsidRPr="00D437AC">
              <w:rPr>
                <w:rFonts w:ascii="Verdana" w:eastAsia="Arial MT" w:hAnsi="Verdana" w:cs="Arial"/>
                <w:lang w:eastAsia="es-ES" w:bidi="es-ES"/>
              </w:rPr>
              <w:t>Namén</w:t>
            </w:r>
            <w:proofErr w:type="spellEnd"/>
            <w:r w:rsidRPr="00D437AC">
              <w:rPr>
                <w:rFonts w:ascii="Verdana" w:eastAsia="Arial MT" w:hAnsi="Verdana" w:cs="Arial"/>
                <w:lang w:eastAsia="es-ES" w:bidi="es-ES"/>
              </w:rPr>
              <w:t xml:space="preserve"> Vargas.</w:t>
            </w:r>
          </w:p>
          <w:p w14:paraId="6E0D126F"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Concepto del 08 de mayo de 2018. </w:t>
            </w:r>
            <w:proofErr w:type="spellStart"/>
            <w:r w:rsidRPr="00D437AC">
              <w:rPr>
                <w:rFonts w:ascii="Verdana" w:eastAsia="Arial MT" w:hAnsi="Verdana" w:cs="Arial"/>
                <w:lang w:eastAsia="es-ES" w:bidi="es-ES"/>
              </w:rPr>
              <w:t>Exp</w:t>
            </w:r>
            <w:proofErr w:type="spellEnd"/>
            <w:r w:rsidRPr="00D437AC">
              <w:rPr>
                <w:rFonts w:ascii="Verdana" w:eastAsia="Arial MT" w:hAnsi="Verdana" w:cs="Arial"/>
                <w:lang w:eastAsia="es-ES" w:bidi="es-ES"/>
              </w:rPr>
              <w:t xml:space="preserve">. 2.382. C.P. Álvaro </w:t>
            </w:r>
            <w:proofErr w:type="spellStart"/>
            <w:r w:rsidRPr="00D437AC">
              <w:rPr>
                <w:rFonts w:ascii="Verdana" w:eastAsia="Arial MT" w:hAnsi="Verdana" w:cs="Arial"/>
                <w:lang w:eastAsia="es-ES" w:bidi="es-ES"/>
              </w:rPr>
              <w:t>Namén</w:t>
            </w:r>
            <w:proofErr w:type="spellEnd"/>
            <w:r w:rsidRPr="00D437AC">
              <w:rPr>
                <w:rFonts w:ascii="Verdana" w:eastAsia="Arial MT" w:hAnsi="Verdana" w:cs="Arial"/>
                <w:lang w:eastAsia="es-ES" w:bidi="es-ES"/>
              </w:rPr>
              <w:t xml:space="preserve"> Vargas.</w:t>
            </w:r>
          </w:p>
          <w:p w14:paraId="0689293C"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 20 de febrero de 2006. Radicación Número: 11001-03-06-000-2006-00026-00(1727). C.P: Enrique José Arboleda Perdomo.</w:t>
            </w:r>
          </w:p>
          <w:p w14:paraId="56FF8E7B"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2509DA8E" w14:textId="77777777" w:rsidR="00265B99" w:rsidRPr="00D437AC" w:rsidRDefault="00265B99" w:rsidP="00FB0F27">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Concepto del 12 de junio de 2018. </w:t>
            </w:r>
            <w:proofErr w:type="spellStart"/>
            <w:r w:rsidRPr="00D437AC">
              <w:rPr>
                <w:rFonts w:ascii="Verdana" w:eastAsia="Arial MT" w:hAnsi="Verdana" w:cs="Arial"/>
                <w:lang w:eastAsia="es-ES" w:bidi="es-ES"/>
              </w:rPr>
              <w:t>Radicación</w:t>
            </w:r>
            <w:proofErr w:type="spellEnd"/>
            <w:r w:rsidRPr="00D437AC">
              <w:rPr>
                <w:rFonts w:ascii="Verdana" w:eastAsia="Arial MT" w:hAnsi="Verdana" w:cs="Arial"/>
                <w:lang w:eastAsia="es-ES" w:bidi="es-ES"/>
              </w:rPr>
              <w:t xml:space="preserve"> Interna: 11001-03-06-000-2018-0043-00. (2371). Consejero Ponente: Oscar </w:t>
            </w:r>
            <w:proofErr w:type="spellStart"/>
            <w:r w:rsidRPr="00D437AC">
              <w:rPr>
                <w:rFonts w:ascii="Verdana" w:eastAsia="Arial MT" w:hAnsi="Verdana" w:cs="Arial"/>
                <w:lang w:eastAsia="es-ES" w:bidi="es-ES"/>
              </w:rPr>
              <w:t>Darío</w:t>
            </w:r>
            <w:proofErr w:type="spellEnd"/>
            <w:r w:rsidRPr="00D437AC">
              <w:rPr>
                <w:rFonts w:ascii="Verdana" w:eastAsia="Arial MT" w:hAnsi="Verdana" w:cs="Arial"/>
                <w:lang w:eastAsia="es-ES" w:bidi="es-ES"/>
              </w:rPr>
              <w:t xml:space="preserve"> Amaya Navas.</w:t>
            </w:r>
          </w:p>
          <w:p w14:paraId="06123336"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Corte Constitucional. Sentencia C-1153 de 2005 M.P. Marco Gerardo Monroy Cabra.</w:t>
            </w:r>
          </w:p>
          <w:p w14:paraId="034345E2"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lastRenderedPageBreak/>
              <w:t xml:space="preserve">Corte Constitucional. Sentencia C-233 de 4 de abril de 2002. M.P: Álvaro Tafur Galvis. </w:t>
            </w:r>
          </w:p>
          <w:p w14:paraId="46DCA978"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C-551 de 9 de julio de 2003. M.P: Eduardo Montealegre </w:t>
            </w:r>
            <w:proofErr w:type="spellStart"/>
            <w:r w:rsidRPr="00D437AC">
              <w:rPr>
                <w:rFonts w:ascii="Verdana" w:eastAsia="Arial MT" w:hAnsi="Verdana" w:cs="Arial"/>
                <w:lang w:val="es-CO" w:eastAsia="es-ES" w:bidi="es-ES"/>
              </w:rPr>
              <w:t>Lynett</w:t>
            </w:r>
            <w:proofErr w:type="spellEnd"/>
            <w:r w:rsidRPr="00D437AC">
              <w:rPr>
                <w:rFonts w:ascii="Verdana" w:eastAsia="Arial MT" w:hAnsi="Verdana" w:cs="Arial"/>
                <w:lang w:val="es-CO" w:eastAsia="es-ES" w:bidi="es-ES"/>
              </w:rPr>
              <w:t xml:space="preserve">. </w:t>
            </w:r>
          </w:p>
          <w:p w14:paraId="1A5E4D8B"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C-652 de 5 de agosto de 2003. M.P: Jaime Córdoba Triviño. </w:t>
            </w:r>
          </w:p>
          <w:p w14:paraId="2ED19C06"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C-353 de 20 de mayo de 2009. M.P: Jorge Iván Palacio </w:t>
            </w:r>
            <w:proofErr w:type="spellStart"/>
            <w:r w:rsidRPr="00D437AC">
              <w:rPr>
                <w:rFonts w:ascii="Verdana" w:eastAsia="Arial MT" w:hAnsi="Verdana" w:cs="Arial"/>
                <w:lang w:val="es-CO" w:eastAsia="es-ES" w:bidi="es-ES"/>
              </w:rPr>
              <w:t>Palacio</w:t>
            </w:r>
            <w:proofErr w:type="spellEnd"/>
            <w:r w:rsidRPr="00D437AC">
              <w:rPr>
                <w:rFonts w:ascii="Verdana" w:eastAsia="Arial MT" w:hAnsi="Verdana" w:cs="Arial"/>
                <w:lang w:val="es-CO" w:eastAsia="es-ES" w:bidi="es-ES"/>
              </w:rPr>
              <w:t xml:space="preserve">. </w:t>
            </w:r>
          </w:p>
          <w:p w14:paraId="3A5B5371"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Corte Constitucional. Sentencia C-541 de 30 de junio de 2010, M.P: Gabriel Eduardo Mendoza Martelo.</w:t>
            </w:r>
          </w:p>
          <w:p w14:paraId="5C9CF7E8" w14:textId="77777777" w:rsidR="00265B99" w:rsidRPr="00D437AC" w:rsidRDefault="00265B99" w:rsidP="00FB0F27">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eastAsia="es-ES" w:bidi="es-ES"/>
              </w:rPr>
              <w:t xml:space="preserve">Ministerio de Salud y Protección Social, Resolución 04 del 12 de </w:t>
            </w:r>
            <w:proofErr w:type="gramStart"/>
            <w:r w:rsidRPr="00D437AC">
              <w:rPr>
                <w:rFonts w:ascii="Verdana" w:eastAsia="Arial MT" w:hAnsi="Verdana" w:cs="Arial"/>
                <w:lang w:eastAsia="es-ES" w:bidi="es-ES"/>
              </w:rPr>
              <w:t>Enero</w:t>
            </w:r>
            <w:proofErr w:type="gramEnd"/>
            <w:r w:rsidRPr="00D437AC">
              <w:rPr>
                <w:rFonts w:ascii="Verdana" w:eastAsia="Arial MT" w:hAnsi="Verdana" w:cs="Arial"/>
                <w:lang w:eastAsia="es-ES" w:bidi="es-ES"/>
              </w:rPr>
              <w:t xml:space="preserve"> de 2018.</w:t>
            </w:r>
          </w:p>
        </w:tc>
      </w:tr>
    </w:tbl>
    <w:p w14:paraId="4B77CBEA" w14:textId="77777777" w:rsidR="00BB5A14" w:rsidRDefault="00BB5A14" w:rsidP="00265B99">
      <w:pPr>
        <w:tabs>
          <w:tab w:val="left" w:pos="142"/>
          <w:tab w:val="left" w:pos="284"/>
        </w:tabs>
        <w:spacing w:after="0" w:line="276" w:lineRule="auto"/>
        <w:jc w:val="both"/>
        <w:rPr>
          <w:rFonts w:ascii="Verdana" w:eastAsia="Century Gothic" w:hAnsi="Verdana" w:cs="Century Gothic"/>
          <w:b/>
          <w:bCs/>
        </w:rPr>
      </w:pPr>
    </w:p>
    <w:p w14:paraId="0A7990C1" w14:textId="6F0FC7FB" w:rsidR="00265B99" w:rsidRPr="00FF007A" w:rsidRDefault="00265B99" w:rsidP="00265B99">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74B2E865" w14:textId="77777777" w:rsidR="00265B99" w:rsidRPr="00FF007A" w:rsidRDefault="00265B99" w:rsidP="00265B99">
      <w:pPr>
        <w:widowControl w:val="0"/>
        <w:autoSpaceDE w:val="0"/>
        <w:autoSpaceDN w:val="0"/>
        <w:spacing w:after="0" w:line="240" w:lineRule="auto"/>
        <w:jc w:val="both"/>
        <w:rPr>
          <w:rStyle w:val="normaltextrun"/>
          <w:rFonts w:ascii="Verdana" w:hAnsi="Verdana" w:cs="Arial"/>
          <w:shd w:val="clear" w:color="auto" w:fill="FFFFFF"/>
        </w:rPr>
      </w:pPr>
    </w:p>
    <w:p w14:paraId="0E8A51F2" w14:textId="77777777" w:rsidR="00265B99" w:rsidRPr="00FF007A" w:rsidRDefault="00265B99" w:rsidP="00265B99">
      <w:pPr>
        <w:widowControl w:val="0"/>
        <w:autoSpaceDE w:val="0"/>
        <w:autoSpaceDN w:val="0"/>
        <w:spacing w:after="120" w:line="276" w:lineRule="auto"/>
        <w:jc w:val="both"/>
        <w:rPr>
          <w:rFonts w:ascii="Verdana" w:eastAsia="Calibri" w:hAnsi="Verdana" w:cs="Arial"/>
          <w:color w:val="000000" w:themeColor="text1"/>
          <w:lang w:eastAsia="es-ES_tradnl"/>
        </w:rPr>
      </w:pPr>
      <w:r w:rsidRPr="00FF007A">
        <w:rPr>
          <w:rFonts w:ascii="Verdana" w:eastAsia="Calibri" w:hAnsi="Verdana" w:cs="Arial"/>
        </w:rPr>
        <w:t xml:space="preserve">La Agencia Nacional de Contratación Pública – Colombia Compra Eficiente se ha referido </w:t>
      </w:r>
      <w:r w:rsidRPr="00FF007A">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w:t>
      </w:r>
      <w:r>
        <w:rPr>
          <w:rFonts w:ascii="Verdana" w:hAnsi="Verdana" w:cs="Arial"/>
          <w:shd w:val="clear" w:color="auto" w:fill="FFFFFF"/>
        </w:rPr>
        <w:t xml:space="preserve">, </w:t>
      </w:r>
      <w:r w:rsidRPr="00FF007A">
        <w:rPr>
          <w:rFonts w:ascii="Verdana" w:hAnsi="Verdana" w:cs="Arial"/>
          <w:shd w:val="clear" w:color="auto" w:fill="FFFFFF"/>
        </w:rPr>
        <w:t>C-523 del 10 de octubre de 2021, C-606 del 28 de octubre de 2021</w:t>
      </w:r>
      <w:r>
        <w:rPr>
          <w:rFonts w:ascii="Verdana" w:hAnsi="Verdana" w:cs="Arial"/>
          <w:shd w:val="clear" w:color="auto" w:fill="FFFFFF"/>
        </w:rPr>
        <w:t>,</w:t>
      </w:r>
      <w:r w:rsidRPr="00FF007A">
        <w:rPr>
          <w:rFonts w:ascii="Verdana" w:hAnsi="Verdana" w:cs="Arial"/>
          <w:shd w:val="clear" w:color="auto" w:fill="FFFFFF"/>
        </w:rPr>
        <w:t xml:space="preserve"> C-614 del 2 de noviembre de 2021, C-636 del 16 de noviembre de 2021, </w:t>
      </w:r>
      <w:r>
        <w:rPr>
          <w:rFonts w:ascii="Verdana" w:hAnsi="Verdana" w:cs="Arial"/>
          <w:shd w:val="clear" w:color="auto" w:fill="FFFFFF"/>
        </w:rPr>
        <w:t>C-</w:t>
      </w:r>
      <w:r w:rsidRPr="00FF007A">
        <w:rPr>
          <w:rFonts w:ascii="Verdana" w:hAnsi="Verdana" w:cs="Arial"/>
          <w:shd w:val="clear" w:color="auto" w:fill="FFFFFF"/>
        </w:rPr>
        <w:t xml:space="preserve">681 del 7 de diciembre de 2021, C-686 del 21 de diciembre de 2021, C-697 del 3 de enero de 2022, C-180 del 21 de marzo de 2025, C-317 del 25 de abril de 2025, C-510 del 4 de junio de 2025, C -635 del 27 de junio de 2025, C–750 de 17 de julio 2025, </w:t>
      </w:r>
      <w:r>
        <w:rPr>
          <w:rFonts w:ascii="Verdana" w:hAnsi="Verdana" w:cs="Arial"/>
          <w:shd w:val="clear" w:color="auto" w:fill="FFFFFF"/>
        </w:rPr>
        <w:t xml:space="preserve">C-868 del 12 de agosto de 2025, </w:t>
      </w:r>
      <w:r w:rsidRPr="00FF007A">
        <w:rPr>
          <w:rFonts w:ascii="Verdana" w:hAnsi="Verdana" w:cs="Arial"/>
          <w:shd w:val="clear" w:color="auto" w:fill="FFFFFF"/>
        </w:rPr>
        <w:t>entre otros. Sobre la aplicación de esta ley y la contratación del PIC se refirió en los conceptos C‒044 del 04 de marzo de 2022, C‒158 del 04 de abril de 2022</w:t>
      </w:r>
      <w:r>
        <w:rPr>
          <w:rFonts w:ascii="Verdana" w:hAnsi="Verdana" w:cs="Arial"/>
          <w:shd w:val="clear" w:color="auto" w:fill="FFFFFF"/>
        </w:rPr>
        <w:t xml:space="preserve">, </w:t>
      </w:r>
      <w:r w:rsidRPr="00FF007A">
        <w:rPr>
          <w:rFonts w:ascii="Verdana" w:hAnsi="Verdana" w:cs="Arial"/>
          <w:shd w:val="clear" w:color="auto" w:fill="FFFFFF"/>
        </w:rPr>
        <w:t>C‒364 del 20 de mayo de 2022</w:t>
      </w:r>
      <w:r w:rsidRPr="00FF007A">
        <w:rPr>
          <w:rFonts w:ascii="Verdana" w:hAnsi="Verdana" w:cs="Arial"/>
        </w:rPr>
        <w:t>,</w:t>
      </w:r>
      <w:r>
        <w:rPr>
          <w:rFonts w:ascii="Verdana" w:hAnsi="Verdana" w:cs="Arial"/>
        </w:rPr>
        <w:t xml:space="preserve"> C-979 de 25 de agosto de 2025,</w:t>
      </w:r>
      <w:r w:rsidRPr="00FF007A">
        <w:rPr>
          <w:rFonts w:ascii="Verdana" w:hAnsi="Verdana" w:cs="Arial"/>
        </w:rPr>
        <w:t xml:space="preserve"> entre otros. 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3"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6B767014" w14:textId="77777777" w:rsidR="00265B99" w:rsidRPr="00FF007A" w:rsidRDefault="00265B99" w:rsidP="00265B99">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FF007A">
        <w:rPr>
          <w:rFonts w:ascii="Verdana" w:hAnsi="Verdana"/>
        </w:rPr>
        <w:lastRenderedPageBreak/>
        <w:t xml:space="preserve">requiera en el marco de nuestras funciones a través de nuestros diferentes canales de atención: </w:t>
      </w:r>
    </w:p>
    <w:p w14:paraId="39B68DD3" w14:textId="77777777" w:rsidR="00265B99" w:rsidRPr="00FF007A" w:rsidRDefault="00265B99" w:rsidP="00265B9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2B6BBA7C" w14:textId="77777777" w:rsidR="00265B99" w:rsidRPr="00FF007A" w:rsidRDefault="00265B99" w:rsidP="00265B9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5EDDF0ED" w14:textId="77777777" w:rsidR="00265B99" w:rsidRPr="00FF007A" w:rsidRDefault="00265B99" w:rsidP="00265B9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037091B0" w14:textId="77777777" w:rsidR="00265B99" w:rsidRPr="00FF007A" w:rsidRDefault="00265B99" w:rsidP="00265B9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4" w:history="1">
        <w:r w:rsidRPr="00FF007A">
          <w:rPr>
            <w:rStyle w:val="Hipervnculo"/>
            <w:rFonts w:ascii="Verdana" w:hAnsi="Verdana"/>
            <w:lang w:val="es-CO"/>
          </w:rPr>
          <w:t>www.colombiacompra.gov.co</w:t>
        </w:r>
      </w:hyperlink>
    </w:p>
    <w:p w14:paraId="1091BB65" w14:textId="77777777" w:rsidR="00265B99" w:rsidRPr="00FF007A" w:rsidRDefault="00265B99" w:rsidP="00265B99">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41CEDCD8" w14:textId="77777777" w:rsidR="00265B99" w:rsidRPr="00FF007A" w:rsidRDefault="00265B99" w:rsidP="00265B99">
      <w:pPr>
        <w:spacing w:after="0" w:line="276" w:lineRule="auto"/>
        <w:jc w:val="both"/>
        <w:rPr>
          <w:rFonts w:ascii="Verdana" w:hAnsi="Verdana"/>
        </w:rPr>
      </w:pPr>
    </w:p>
    <w:p w14:paraId="37FB2B6D" w14:textId="77777777" w:rsidR="00265B99" w:rsidRPr="00FF007A" w:rsidRDefault="00265B99" w:rsidP="00265B99">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39BDD016" w14:textId="77777777" w:rsidR="00265B99" w:rsidRPr="00FF007A" w:rsidRDefault="00265B99" w:rsidP="00265B99">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41E4AD84" w14:textId="77777777" w:rsidR="00265B99" w:rsidRPr="00FF007A" w:rsidRDefault="00265B99" w:rsidP="00265B99">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7CE16C67" w14:textId="77777777" w:rsidR="00265B99" w:rsidRDefault="00265B99" w:rsidP="00265B99">
      <w:pPr>
        <w:spacing w:before="120" w:after="0" w:line="276" w:lineRule="auto"/>
        <w:jc w:val="both"/>
        <w:rPr>
          <w:rFonts w:ascii="Verdana" w:hAnsi="Verdana"/>
        </w:rPr>
      </w:pPr>
    </w:p>
    <w:p w14:paraId="6F08A83F" w14:textId="77777777" w:rsidR="00265B99" w:rsidRPr="00FF007A" w:rsidRDefault="00265B99" w:rsidP="00265B99">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A2B6A67" w14:textId="77777777" w:rsidR="00265B99" w:rsidRPr="00FF007A" w:rsidRDefault="00265B99" w:rsidP="00265B99">
      <w:pPr>
        <w:spacing w:after="0" w:line="276" w:lineRule="auto"/>
        <w:jc w:val="both"/>
        <w:rPr>
          <w:rFonts w:ascii="Verdana" w:eastAsia="Calibri" w:hAnsi="Verdana" w:cs="Times New Roman"/>
        </w:rPr>
      </w:pPr>
    </w:p>
    <w:p w14:paraId="2E9DD274" w14:textId="77777777" w:rsidR="00265B99" w:rsidRPr="00FF007A" w:rsidRDefault="00265B99" w:rsidP="00265B99">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779F683B" w14:textId="1CC4B305" w:rsidR="00265B99" w:rsidRPr="00FF007A" w:rsidRDefault="00D76360" w:rsidP="00265B99">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411478DE" wp14:editId="496DC360">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5"/>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65B99" w:rsidRPr="00FF007A" w14:paraId="64311A03" w14:textId="77777777" w:rsidTr="00FB0F27">
        <w:trPr>
          <w:trHeight w:val="315"/>
        </w:trPr>
        <w:tc>
          <w:tcPr>
            <w:tcW w:w="893" w:type="dxa"/>
            <w:vAlign w:val="center"/>
            <w:hideMark/>
          </w:tcPr>
          <w:p w14:paraId="396E9333" w14:textId="77777777" w:rsidR="00265B99" w:rsidRPr="00FF007A" w:rsidRDefault="00265B99" w:rsidP="00FB0F27">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211D76E" w14:textId="77777777" w:rsidR="00265B99" w:rsidRPr="00FF007A" w:rsidRDefault="00265B99" w:rsidP="00FB0F27">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618270E0" w14:textId="77777777" w:rsidR="00265B99" w:rsidRPr="00FF007A" w:rsidRDefault="00265B99" w:rsidP="00FB0F27">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265B99" w:rsidRPr="00FF007A" w14:paraId="6EB131B2" w14:textId="77777777" w:rsidTr="00FB0F27">
        <w:trPr>
          <w:trHeight w:val="330"/>
        </w:trPr>
        <w:tc>
          <w:tcPr>
            <w:tcW w:w="893" w:type="dxa"/>
            <w:vAlign w:val="center"/>
            <w:hideMark/>
          </w:tcPr>
          <w:p w14:paraId="4ABFE0B9" w14:textId="77777777" w:rsidR="00265B99" w:rsidRPr="00FF007A" w:rsidRDefault="00265B99" w:rsidP="00FB0F27">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E1CE7CF" w14:textId="77777777" w:rsidR="00265B99" w:rsidRPr="00FF007A" w:rsidRDefault="00265B99" w:rsidP="00FB0F27">
            <w:pPr>
              <w:pStyle w:val="paragraph"/>
              <w:spacing w:before="0" w:beforeAutospacing="0" w:after="0" w:afterAutospacing="0"/>
              <w:contextualSpacing/>
              <w:textAlignment w:val="baseline"/>
              <w:rPr>
                <w:rStyle w:val="normaltextrun"/>
                <w:rFonts w:ascii="Verdana" w:hAnsi="Verdana"/>
                <w:sz w:val="16"/>
                <w:szCs w:val="16"/>
              </w:rPr>
            </w:pPr>
            <w:r w:rsidRPr="00FF007A">
              <w:rPr>
                <w:rStyle w:val="normaltextrun"/>
                <w:rFonts w:ascii="Verdana" w:hAnsi="Verdana"/>
                <w:sz w:val="16"/>
                <w:szCs w:val="16"/>
              </w:rPr>
              <w:t>Juan Carlos González Vásquez</w:t>
            </w:r>
          </w:p>
          <w:p w14:paraId="75F5B86D" w14:textId="77777777" w:rsidR="00265B99" w:rsidRPr="00FF007A" w:rsidRDefault="00265B99" w:rsidP="00FB0F27">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265B99" w:rsidRPr="00FF007A" w14:paraId="6AC6A757" w14:textId="77777777" w:rsidTr="00FB0F27">
        <w:trPr>
          <w:trHeight w:val="300"/>
        </w:trPr>
        <w:tc>
          <w:tcPr>
            <w:tcW w:w="893" w:type="dxa"/>
            <w:vAlign w:val="center"/>
          </w:tcPr>
          <w:p w14:paraId="1ECC5C7F" w14:textId="77777777" w:rsidR="00265B99" w:rsidRPr="00FF007A" w:rsidRDefault="00265B99" w:rsidP="00FB0F27">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1053E18" w14:textId="77777777" w:rsidR="00265B99" w:rsidRPr="00FF007A" w:rsidRDefault="00265B99" w:rsidP="00FB0F27">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612BDCE8" w14:textId="77777777" w:rsidR="00265B99" w:rsidRPr="00FF007A" w:rsidRDefault="00265B99" w:rsidP="00FB0F27">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1"/>
      <w:bookmarkEnd w:id="2"/>
      <w:bookmarkEnd w:id="3"/>
      <w:bookmarkEnd w:id="4"/>
      <w:bookmarkEnd w:id="5"/>
      <w:bookmarkEnd w:id="6"/>
      <w:bookmarkEnd w:id="7"/>
    </w:tbl>
    <w:p w14:paraId="620EA67F" w14:textId="77777777" w:rsidR="00265B99" w:rsidRPr="00DA731C" w:rsidRDefault="00265B99" w:rsidP="00265B99"/>
    <w:p w14:paraId="0F293BF4" w14:textId="6F53D21E" w:rsidR="00127233" w:rsidRPr="00A435F9" w:rsidRDefault="00127233" w:rsidP="00A435F9"/>
    <w:sectPr w:rsidR="00127233" w:rsidRPr="00A435F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ED769" w14:textId="77777777" w:rsidR="00AE2F15" w:rsidRDefault="00AE2F15" w:rsidP="004A1847">
      <w:pPr>
        <w:spacing w:after="0" w:line="240" w:lineRule="auto"/>
      </w:pPr>
      <w:r>
        <w:separator/>
      </w:r>
    </w:p>
  </w:endnote>
  <w:endnote w:type="continuationSeparator" w:id="0">
    <w:p w14:paraId="43454E37" w14:textId="77777777" w:rsidR="00AE2F15" w:rsidRDefault="00AE2F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EB333" w14:textId="77777777" w:rsidR="00AE2F15" w:rsidRDefault="00AE2F15" w:rsidP="004A1847">
      <w:pPr>
        <w:spacing w:after="0" w:line="240" w:lineRule="auto"/>
      </w:pPr>
      <w:r>
        <w:separator/>
      </w:r>
    </w:p>
  </w:footnote>
  <w:footnote w:type="continuationSeparator" w:id="0">
    <w:p w14:paraId="7C9A2010" w14:textId="77777777" w:rsidR="00AE2F15" w:rsidRDefault="00AE2F15" w:rsidP="004A1847">
      <w:pPr>
        <w:spacing w:after="0" w:line="240" w:lineRule="auto"/>
      </w:pPr>
      <w:r>
        <w:continuationSeparator/>
      </w:r>
    </w:p>
  </w:footnote>
  <w:footnote w:id="1">
    <w:p w14:paraId="0265A4EB" w14:textId="333CEDDF" w:rsidR="00265B99" w:rsidRPr="0016660C" w:rsidRDefault="00265B99" w:rsidP="00265B99">
      <w:pPr>
        <w:pStyle w:val="Textonotapie"/>
        <w:ind w:firstLine="708"/>
        <w:contextualSpacing/>
        <w:jc w:val="both"/>
        <w:rPr>
          <w:rFonts w:ascii="Verdana" w:hAnsi="Verdana" w:cs="Arial"/>
          <w:sz w:val="16"/>
          <w:szCs w:val="16"/>
        </w:rPr>
      </w:pPr>
    </w:p>
  </w:footnote>
  <w:footnote w:id="2">
    <w:p w14:paraId="10748538"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1277183"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F007A">
        <w:rPr>
          <w:rFonts w:ascii="Verdana" w:hAnsi="Verdana" w:cs="Arial"/>
          <w:sz w:val="16"/>
          <w:szCs w:val="16"/>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13A99F6" w14:textId="77777777" w:rsidR="00265B99" w:rsidRPr="00FF007A" w:rsidRDefault="00265B99" w:rsidP="00265B99">
      <w:pPr>
        <w:pStyle w:val="Textonotapie"/>
        <w:ind w:firstLine="709"/>
        <w:contextualSpacing/>
        <w:jc w:val="both"/>
        <w:rPr>
          <w:rFonts w:ascii="Verdana" w:hAnsi="Verdana" w:cs="Arial"/>
          <w:sz w:val="16"/>
          <w:szCs w:val="16"/>
          <w:lang w:val="es-CO"/>
        </w:rPr>
      </w:pPr>
    </w:p>
  </w:footnote>
  <w:footnote w:id="3">
    <w:p w14:paraId="00315760"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Gaceta del Congreso de la República No. 71 del 2005.</w:t>
      </w:r>
    </w:p>
    <w:p w14:paraId="7FF1ABA7" w14:textId="77777777" w:rsidR="00265B99" w:rsidRPr="00FF007A" w:rsidRDefault="00265B99" w:rsidP="00265B99">
      <w:pPr>
        <w:pStyle w:val="Textonotapie"/>
        <w:ind w:firstLine="709"/>
        <w:contextualSpacing/>
        <w:jc w:val="both"/>
        <w:rPr>
          <w:rFonts w:ascii="Verdana" w:hAnsi="Verdana" w:cs="Arial"/>
          <w:sz w:val="16"/>
          <w:szCs w:val="16"/>
          <w:lang w:val="es-CO"/>
        </w:rPr>
      </w:pPr>
    </w:p>
  </w:footnote>
  <w:footnote w:id="4">
    <w:p w14:paraId="75532532"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Corte Constitucional</w:t>
      </w:r>
      <w:r>
        <w:rPr>
          <w:rFonts w:ascii="Verdana" w:hAnsi="Verdana" w:cs="Arial"/>
          <w:sz w:val="16"/>
          <w:szCs w:val="16"/>
          <w:lang w:val="es-CO"/>
        </w:rPr>
        <w:t>.</w:t>
      </w:r>
      <w:r w:rsidRPr="00FF007A">
        <w:rPr>
          <w:rFonts w:ascii="Verdana" w:hAnsi="Verdana" w:cs="Arial"/>
          <w:sz w:val="16"/>
          <w:szCs w:val="16"/>
          <w:lang w:val="es-CO"/>
        </w:rPr>
        <w:t xml:space="preserve"> Sentencia C- 1153 de 2005</w:t>
      </w:r>
      <w:r>
        <w:rPr>
          <w:rFonts w:ascii="Verdana" w:hAnsi="Verdana" w:cs="Arial"/>
          <w:sz w:val="16"/>
          <w:szCs w:val="16"/>
          <w:lang w:val="es-CO"/>
        </w:rPr>
        <w:t>.</w:t>
      </w:r>
      <w:r w:rsidRPr="00FF007A">
        <w:rPr>
          <w:rFonts w:ascii="Verdana" w:hAnsi="Verdana" w:cs="Arial"/>
          <w:sz w:val="16"/>
          <w:szCs w:val="16"/>
          <w:lang w:val="es-CO"/>
        </w:rPr>
        <w:t xml:space="preserve"> M.P</w:t>
      </w:r>
      <w:r>
        <w:rPr>
          <w:rFonts w:ascii="Verdana" w:hAnsi="Verdana" w:cs="Arial"/>
          <w:sz w:val="16"/>
          <w:szCs w:val="16"/>
          <w:lang w:val="es-CO"/>
        </w:rPr>
        <w:t>:</w:t>
      </w:r>
      <w:r w:rsidRPr="00FF007A">
        <w:rPr>
          <w:rFonts w:ascii="Verdana" w:hAnsi="Verdana" w:cs="Arial"/>
          <w:sz w:val="16"/>
          <w:szCs w:val="16"/>
          <w:lang w:val="es-CO"/>
        </w:rPr>
        <w:t xml:space="preserve"> Marco Gerardo Monroy Cabra.</w:t>
      </w:r>
    </w:p>
  </w:footnote>
  <w:footnote w:id="5">
    <w:p w14:paraId="11C6DD3D"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Corte Constitucional. Sentencias: C-233 de 4 de abril de 2002, M.P: Álvaro Tafur Galvis. C-551 de 9 de julio de 2003. M.P: Eduardo Montealegre </w:t>
      </w:r>
      <w:r w:rsidRPr="00F3158D">
        <w:rPr>
          <w:rFonts w:ascii="Verdana" w:hAnsi="Verdana" w:cs="Arial"/>
          <w:sz w:val="16"/>
          <w:szCs w:val="16"/>
          <w:lang w:val="es-CO"/>
        </w:rPr>
        <w:t>Lynett.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Palacio. C-541 de 30 de junio de 2010, M.P: Gabriel Eduardo Mendoza Martelo.</w:t>
      </w:r>
    </w:p>
    <w:p w14:paraId="15221A32" w14:textId="77777777" w:rsidR="00265B99" w:rsidRPr="00FF007A" w:rsidRDefault="00265B99" w:rsidP="00265B99">
      <w:pPr>
        <w:pStyle w:val="Textonotapie"/>
        <w:ind w:firstLine="709"/>
        <w:contextualSpacing/>
        <w:jc w:val="both"/>
        <w:rPr>
          <w:rFonts w:ascii="Verdana" w:hAnsi="Verdana" w:cs="Arial"/>
          <w:sz w:val="16"/>
          <w:szCs w:val="16"/>
          <w:lang w:val="es-CO"/>
        </w:rPr>
      </w:pPr>
    </w:p>
  </w:footnote>
  <w:footnote w:id="6">
    <w:p w14:paraId="5853AA02"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p w14:paraId="1CADF142" w14:textId="77777777" w:rsidR="00265B99" w:rsidRPr="00FF007A" w:rsidRDefault="00265B99" w:rsidP="00265B99">
      <w:pPr>
        <w:pStyle w:val="Textonotapie"/>
        <w:ind w:firstLine="709"/>
        <w:contextualSpacing/>
        <w:jc w:val="both"/>
        <w:rPr>
          <w:rFonts w:ascii="Verdana" w:hAnsi="Verdana" w:cs="Arial"/>
          <w:sz w:val="16"/>
          <w:szCs w:val="16"/>
          <w:lang w:val="es-CO"/>
        </w:rPr>
      </w:pPr>
    </w:p>
  </w:footnote>
  <w:footnote w:id="7">
    <w:p w14:paraId="580D4558" w14:textId="77777777" w:rsidR="00265B99" w:rsidRPr="00FF007A"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w:t>
      </w:r>
      <w:r w:rsidRPr="00FF007A">
        <w:rPr>
          <w:rFonts w:ascii="Verdana" w:hAnsi="Verdana" w:cs="Arial"/>
          <w:sz w:val="16"/>
          <w:szCs w:val="16"/>
          <w:lang w:val="es-CO"/>
        </w:rPr>
        <w:t xml:space="preserve">Namén Vargas.  </w:t>
      </w:r>
    </w:p>
  </w:footnote>
  <w:footnote w:id="8">
    <w:p w14:paraId="102A2F0B" w14:textId="77777777" w:rsidR="00265B99" w:rsidRPr="00FF007A" w:rsidRDefault="00265B99" w:rsidP="00265B99">
      <w:pPr>
        <w:spacing w:after="0" w:line="240" w:lineRule="auto"/>
        <w:ind w:firstLine="709"/>
        <w:contextualSpacing/>
        <w:jc w:val="both"/>
        <w:rPr>
          <w:rFonts w:ascii="Verdana" w:eastAsia="Times New Roman"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D5B65F4" w14:textId="77777777" w:rsidR="00265B99" w:rsidRPr="00FF007A" w:rsidRDefault="00265B99" w:rsidP="00265B99">
      <w:pPr>
        <w:spacing w:after="0" w:line="240" w:lineRule="auto"/>
        <w:ind w:firstLine="709"/>
        <w:contextualSpacing/>
        <w:jc w:val="both"/>
        <w:rPr>
          <w:rFonts w:ascii="Verdana" w:eastAsia="Times New Roman" w:hAnsi="Verdana" w:cs="Arial"/>
          <w:sz w:val="16"/>
          <w:szCs w:val="16"/>
        </w:rPr>
      </w:pPr>
      <w:r w:rsidRPr="00FF00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color w:val="000000"/>
          <w:sz w:val="16"/>
          <w:szCs w:val="16"/>
        </w:rPr>
        <w:t>”</w:t>
      </w:r>
      <w:r w:rsidRPr="00FF007A">
        <w:rPr>
          <w:rFonts w:ascii="Verdana" w:eastAsia="Times New Roman" w:hAnsi="Verdana" w:cs="Arial"/>
          <w:sz w:val="16"/>
          <w:szCs w:val="16"/>
        </w:rPr>
        <w:t>.</w:t>
      </w:r>
    </w:p>
    <w:p w14:paraId="76631AE1" w14:textId="77777777" w:rsidR="00265B99" w:rsidRPr="00FF007A" w:rsidRDefault="00265B99" w:rsidP="00265B99">
      <w:pPr>
        <w:spacing w:after="0" w:line="240" w:lineRule="auto"/>
        <w:ind w:firstLine="709"/>
        <w:contextualSpacing/>
        <w:jc w:val="both"/>
        <w:rPr>
          <w:rFonts w:ascii="Verdana" w:eastAsia="Times New Roman" w:hAnsi="Verdana" w:cs="Arial"/>
          <w:sz w:val="16"/>
          <w:szCs w:val="16"/>
        </w:rPr>
      </w:pPr>
    </w:p>
  </w:footnote>
  <w:footnote w:id="9">
    <w:p w14:paraId="530B1064" w14:textId="77777777" w:rsidR="00265B99" w:rsidRPr="00FF007A" w:rsidRDefault="00265B99" w:rsidP="00265B99">
      <w:pPr>
        <w:pStyle w:val="NormalWeb"/>
        <w:spacing w:before="0" w:beforeAutospacing="0" w:after="0" w:afterAutospacing="0"/>
        <w:ind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hAnsi="Verdana" w:cs="Arial"/>
          <w:sz w:val="16"/>
          <w:szCs w:val="16"/>
        </w:rPr>
        <w:t>Artículo 38. Prohibiciones para los servidores públicos. A los empleados del Estado les está prohibido: […]</w:t>
      </w:r>
    </w:p>
    <w:p w14:paraId="6A80A078" w14:textId="77777777" w:rsidR="00265B99" w:rsidRPr="00FF007A" w:rsidRDefault="00265B99" w:rsidP="00265B99">
      <w:pPr>
        <w:pStyle w:val="NormalWeb"/>
        <w:spacing w:before="0" w:beforeAutospacing="0" w:after="0" w:afterAutospacing="0"/>
        <w:ind w:firstLine="709"/>
        <w:contextualSpacing/>
        <w:jc w:val="both"/>
        <w:rPr>
          <w:rFonts w:ascii="Verdana" w:hAnsi="Verdana" w:cs="Arial"/>
          <w:sz w:val="16"/>
          <w:szCs w:val="16"/>
        </w:rPr>
      </w:pPr>
      <w:r w:rsidRPr="00FF007A">
        <w:rPr>
          <w:rStyle w:val="baj"/>
          <w:rFonts w:ascii="Verdana" w:hAnsi="Verdana" w:cs="Arial"/>
          <w:sz w:val="16"/>
          <w:szCs w:val="16"/>
        </w:rPr>
        <w:t>Parágrafo.</w:t>
      </w:r>
      <w:r w:rsidRPr="00FF007A">
        <w:rPr>
          <w:rFonts w:ascii="Verdana" w:hAnsi="Verdana" w:cs="Arial"/>
          <w:sz w:val="16"/>
          <w:szCs w:val="16"/>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color w:val="000000"/>
          <w:sz w:val="16"/>
          <w:szCs w:val="16"/>
        </w:rPr>
        <w:t>”</w:t>
      </w:r>
      <w:r w:rsidRPr="00FF007A">
        <w:rPr>
          <w:rFonts w:ascii="Verdana" w:hAnsi="Verdana" w:cs="Arial"/>
          <w:sz w:val="16"/>
          <w:szCs w:val="16"/>
        </w:rPr>
        <w:t>.</w:t>
      </w:r>
    </w:p>
  </w:footnote>
  <w:footnote w:id="10">
    <w:p w14:paraId="63991B1F" w14:textId="77777777" w:rsidR="00265B99" w:rsidRPr="00FF007A" w:rsidRDefault="00265B99" w:rsidP="00265B99">
      <w:pPr>
        <w:spacing w:after="0" w:line="240" w:lineRule="auto"/>
        <w:ind w:left="100" w:right="244"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Consejo de Estado. Sala de Consulta y Servicio Civil. Concepto del 17 de febrero de 2015. Radicación No. 11001-03-06-000-2015-00164-00 (2269) C.P: William Zambrano Cetina.</w:t>
      </w:r>
    </w:p>
  </w:footnote>
  <w:footnote w:id="11">
    <w:p w14:paraId="03B253F3" w14:textId="77777777" w:rsidR="00265B99" w:rsidRPr="00FF007A" w:rsidRDefault="00265B99" w:rsidP="00265B99">
      <w:pPr>
        <w:pStyle w:val="Textonotapie"/>
        <w:ind w:right="51"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“[26] Al respecto ver el concepto 1712 de 2 de febrero de 2006. Consejo de Estado Sala de Consulta y Servicio Civil”.</w:t>
      </w:r>
    </w:p>
    <w:p w14:paraId="6B4B4307" w14:textId="77777777" w:rsidR="00265B99" w:rsidRPr="00FF007A" w:rsidRDefault="00265B99" w:rsidP="00265B99">
      <w:pPr>
        <w:pStyle w:val="Textonotapie"/>
        <w:ind w:right="51" w:firstLine="709"/>
        <w:contextualSpacing/>
        <w:jc w:val="both"/>
        <w:rPr>
          <w:rFonts w:ascii="Verdana" w:hAnsi="Verdana" w:cs="Arial"/>
          <w:sz w:val="16"/>
          <w:szCs w:val="16"/>
          <w:lang w:val="es-CO"/>
        </w:rPr>
      </w:pPr>
    </w:p>
  </w:footnote>
  <w:footnote w:id="12">
    <w:p w14:paraId="415754C3" w14:textId="77777777" w:rsidR="00265B99"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Concepto del 2 de septiembre de 2013. Radicación número: 11001-03-06-000-2013-00412-00 (2168). Consejero Ponente: Álvaro </w:t>
      </w:r>
      <w:r w:rsidRPr="00FF007A">
        <w:rPr>
          <w:rFonts w:ascii="Verdana" w:hAnsi="Verdana" w:cs="Arial"/>
          <w:sz w:val="16"/>
          <w:szCs w:val="16"/>
          <w:lang w:val="es-CO"/>
        </w:rPr>
        <w:t>Namén Vargas.</w:t>
      </w:r>
    </w:p>
    <w:p w14:paraId="4E5B8200" w14:textId="77777777" w:rsidR="00265B99" w:rsidRPr="00FF007A" w:rsidRDefault="00265B99" w:rsidP="00265B99">
      <w:pPr>
        <w:pStyle w:val="Textonotapie"/>
        <w:ind w:firstLine="709"/>
        <w:contextualSpacing/>
        <w:jc w:val="both"/>
        <w:rPr>
          <w:rFonts w:ascii="Verdana" w:hAnsi="Verdana" w:cs="Arial"/>
          <w:sz w:val="16"/>
          <w:szCs w:val="16"/>
          <w:lang w:val="es-CO"/>
        </w:rPr>
      </w:pPr>
    </w:p>
  </w:footnote>
  <w:footnote w:id="13">
    <w:p w14:paraId="67E427AA" w14:textId="5088AFF5" w:rsidR="00265B99" w:rsidRDefault="00265B99" w:rsidP="00EB57D1">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Artículo 2. </w:t>
      </w:r>
    </w:p>
    <w:p w14:paraId="2D884AAD" w14:textId="77777777" w:rsidR="00BB5A14" w:rsidRPr="00FF007A" w:rsidRDefault="00BB5A14" w:rsidP="00EB57D1">
      <w:pPr>
        <w:pStyle w:val="Textonotapie"/>
        <w:ind w:firstLine="709"/>
        <w:contextualSpacing/>
        <w:jc w:val="both"/>
        <w:rPr>
          <w:rFonts w:ascii="Verdana" w:hAnsi="Verdana" w:cs="Arial"/>
          <w:sz w:val="16"/>
          <w:szCs w:val="16"/>
          <w:lang w:val="es-CO"/>
        </w:rPr>
      </w:pPr>
    </w:p>
  </w:footnote>
  <w:footnote w:id="14">
    <w:p w14:paraId="36D2A509" w14:textId="77777777" w:rsidR="00265B99" w:rsidRDefault="00265B99" w:rsidP="00265B9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w:t>
      </w:r>
      <w:r w:rsidRPr="00FF007A">
        <w:rPr>
          <w:rFonts w:ascii="Verdana" w:hAnsi="Verdana" w:cs="Arial"/>
          <w:i/>
          <w:sz w:val="16"/>
          <w:szCs w:val="16"/>
          <w:lang w:val="es-CO"/>
        </w:rPr>
        <w:t>Ídem</w:t>
      </w:r>
      <w:r w:rsidRPr="00FF007A">
        <w:rPr>
          <w:rFonts w:ascii="Verdana" w:hAnsi="Verdana" w:cs="Arial"/>
          <w:sz w:val="16"/>
          <w:szCs w:val="16"/>
          <w:lang w:val="es-CO"/>
        </w:rPr>
        <w:t>.</w:t>
      </w:r>
    </w:p>
    <w:p w14:paraId="4A1222E9" w14:textId="77777777" w:rsidR="00265B99" w:rsidRPr="00FF007A" w:rsidRDefault="00265B99" w:rsidP="00265B99">
      <w:pPr>
        <w:pStyle w:val="Textonotapie"/>
        <w:ind w:firstLine="709"/>
        <w:contextualSpacing/>
        <w:jc w:val="both"/>
        <w:rPr>
          <w:rFonts w:ascii="Verdana" w:hAnsi="Verdana" w:cs="Arial"/>
          <w:sz w:val="16"/>
          <w:szCs w:val="16"/>
          <w:lang w:val="es-CO"/>
        </w:rPr>
      </w:pPr>
    </w:p>
  </w:footnote>
  <w:footnote w:id="15">
    <w:p w14:paraId="34D219EA" w14:textId="77777777" w:rsidR="00265B99" w:rsidRPr="00F3158D" w:rsidRDefault="00265B99" w:rsidP="00265B99">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Consejo de Estado. Sala de Consulta y Servicio Civil. Concepto del 08 de mayo de 2018. </w:t>
      </w:r>
      <w:r w:rsidRPr="00F3158D">
        <w:rPr>
          <w:rFonts w:ascii="Verdana" w:hAnsi="Verdana" w:cs="Arial"/>
          <w:sz w:val="16"/>
          <w:szCs w:val="16"/>
          <w:lang w:val="es-CO"/>
        </w:rPr>
        <w:t>Exp. 2.382. C.P. Álvaro Namén Vargas.</w:t>
      </w:r>
    </w:p>
    <w:p w14:paraId="7B38F49B" w14:textId="77777777" w:rsidR="00265B99" w:rsidRPr="00F3158D" w:rsidRDefault="00265B99" w:rsidP="00265B99">
      <w:pPr>
        <w:pStyle w:val="Textonotapie"/>
        <w:ind w:firstLine="709"/>
        <w:contextualSpacing/>
        <w:jc w:val="both"/>
        <w:rPr>
          <w:rFonts w:ascii="Verdana" w:hAnsi="Verdana" w:cs="Arial"/>
          <w:sz w:val="16"/>
          <w:szCs w:val="16"/>
          <w:lang w:val="es-CO"/>
        </w:rPr>
      </w:pPr>
    </w:p>
  </w:footnote>
  <w:footnote w:id="16">
    <w:p w14:paraId="530CCCE7" w14:textId="77777777" w:rsidR="00265B99" w:rsidRDefault="00265B99" w:rsidP="00265B99">
      <w:pPr>
        <w:pStyle w:val="Textonotapie"/>
        <w:ind w:firstLine="708"/>
        <w:contextualSpacing/>
        <w:jc w:val="both"/>
        <w:rPr>
          <w:rFonts w:ascii="Verdana" w:eastAsia="Calibri" w:hAnsi="Verdana" w:cs="Arial"/>
          <w:sz w:val="16"/>
          <w:szCs w:val="16"/>
          <w:lang w:val="es-CO"/>
        </w:rPr>
      </w:pPr>
      <w:r w:rsidRPr="00F3158D">
        <w:rPr>
          <w:rStyle w:val="Refdenotaalpie"/>
          <w:rFonts w:ascii="Verdana" w:hAnsi="Verdana"/>
          <w:sz w:val="16"/>
          <w:szCs w:val="16"/>
          <w:lang w:val="es-CO"/>
        </w:rPr>
        <w:footnoteRef/>
      </w:r>
      <w:r w:rsidRPr="00F3158D">
        <w:rPr>
          <w:rFonts w:ascii="Verdana" w:hAnsi="Verdana"/>
          <w:sz w:val="16"/>
          <w:szCs w:val="16"/>
          <w:lang w:val="es-CO"/>
        </w:rPr>
        <w:t xml:space="preserve"> </w:t>
      </w:r>
      <w:r w:rsidRPr="00F3158D">
        <w:rPr>
          <w:rFonts w:ascii="Verdana" w:eastAsia="Calibri" w:hAnsi="Verdana" w:cs="Arial"/>
          <w:sz w:val="16"/>
          <w:szCs w:val="16"/>
          <w:lang w:val="es-CO"/>
        </w:rPr>
        <w:t>Ibidem.</w:t>
      </w:r>
    </w:p>
    <w:p w14:paraId="2D1D97A8" w14:textId="77777777" w:rsidR="00265B99" w:rsidRPr="00FF007A" w:rsidRDefault="00265B99" w:rsidP="00265B99">
      <w:pPr>
        <w:pStyle w:val="Textonotapie"/>
        <w:ind w:firstLine="708"/>
        <w:contextualSpacing/>
        <w:jc w:val="both"/>
        <w:rPr>
          <w:rFonts w:ascii="Verdana" w:hAnsi="Verdana"/>
          <w:sz w:val="16"/>
          <w:szCs w:val="16"/>
          <w:lang w:val="es-CO"/>
        </w:rPr>
      </w:pPr>
    </w:p>
  </w:footnote>
  <w:footnote w:id="17">
    <w:p w14:paraId="634FC46C" w14:textId="77777777" w:rsidR="00265B99" w:rsidRPr="00FF007A" w:rsidRDefault="00265B99" w:rsidP="00265B9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Consejo de Estado. Sala de Consulta y Servicio Civil. Concepto de 20 de febrero de 2006. Radicación Número: 11001-03-06-000-2006-00026-00(1727). </w:t>
      </w:r>
      <w:r>
        <w:rPr>
          <w:rFonts w:ascii="Verdana" w:hAnsi="Verdana" w:cs="Arial"/>
          <w:color w:val="000000" w:themeColor="text1"/>
          <w:sz w:val="16"/>
          <w:szCs w:val="16"/>
        </w:rPr>
        <w:t>C.P:</w:t>
      </w:r>
      <w:r w:rsidRPr="00FF007A">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062F4C83"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Corte Constitucional. Sentencia C-1153 de 2005 M.P</w:t>
      </w:r>
      <w:r>
        <w:rPr>
          <w:rFonts w:ascii="Verdana" w:hAnsi="Verdana" w:cs="Arial"/>
          <w:color w:val="000000" w:themeColor="text1"/>
          <w:sz w:val="16"/>
          <w:szCs w:val="16"/>
          <w:lang w:val="es-CO"/>
        </w:rPr>
        <w:t>:</w:t>
      </w:r>
      <w:r w:rsidRPr="00FF007A">
        <w:rPr>
          <w:rFonts w:ascii="Verdana" w:hAnsi="Verdana" w:cs="Arial"/>
          <w:color w:val="000000" w:themeColor="text1"/>
          <w:sz w:val="16"/>
          <w:szCs w:val="16"/>
          <w:lang w:val="es-CO"/>
        </w:rPr>
        <w:t xml:space="preserve"> Marco Gerardo Monroy Cabra. </w:t>
      </w:r>
    </w:p>
    <w:p w14:paraId="5F96F8EE"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p>
  </w:footnote>
  <w:footnote w:id="19">
    <w:p w14:paraId="3EE1CEBE" w14:textId="6BD64559" w:rsidR="00265B99" w:rsidRDefault="00265B99" w:rsidP="00EB57D1">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18 de febrero 2010.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11001-03-06-000-2010-00006-00 (1985). C.P. Enrique José Arboleda Perdomo.</w:t>
      </w:r>
    </w:p>
    <w:p w14:paraId="4B2EC8AD" w14:textId="77777777" w:rsidR="00BB5A14" w:rsidRPr="00FF007A" w:rsidRDefault="00BB5A14" w:rsidP="00EB57D1">
      <w:pPr>
        <w:pStyle w:val="Textonotapie"/>
        <w:ind w:firstLine="708"/>
        <w:contextualSpacing/>
        <w:jc w:val="both"/>
        <w:rPr>
          <w:rFonts w:ascii="Verdana" w:hAnsi="Verdana" w:cs="Arial"/>
          <w:color w:val="000000" w:themeColor="text1"/>
          <w:sz w:val="16"/>
          <w:szCs w:val="16"/>
          <w:lang w:val="es-CO"/>
        </w:rPr>
      </w:pPr>
    </w:p>
  </w:footnote>
  <w:footnote w:id="20">
    <w:p w14:paraId="77C51E38"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02 de septiembre de 2013.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11001-03-06-000-2013-00412-00 (2168). C.P. Álvaro </w:t>
      </w:r>
      <w:r w:rsidRPr="00FF007A">
        <w:rPr>
          <w:rFonts w:ascii="Verdana" w:hAnsi="Verdana" w:cs="Arial"/>
          <w:color w:val="000000" w:themeColor="text1"/>
          <w:sz w:val="16"/>
          <w:szCs w:val="16"/>
          <w:lang w:val="es-CO"/>
        </w:rPr>
        <w:t>Namén Vargas.</w:t>
      </w:r>
    </w:p>
    <w:p w14:paraId="60254A52"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p>
  </w:footnote>
  <w:footnote w:id="21">
    <w:p w14:paraId="236DF172" w14:textId="13E29CA4" w:rsidR="00687FD6" w:rsidRPr="00BB5A14" w:rsidRDefault="00687FD6" w:rsidP="00687FD6">
      <w:pPr>
        <w:pStyle w:val="Textonotapie"/>
        <w:ind w:firstLine="709"/>
        <w:jc w:val="both"/>
        <w:rPr>
          <w:rFonts w:ascii="Verdana" w:hAnsi="Verdana"/>
          <w:sz w:val="16"/>
          <w:szCs w:val="16"/>
          <w:lang w:val="es-CO"/>
        </w:rPr>
      </w:pPr>
      <w:r w:rsidRPr="00BB5A14">
        <w:rPr>
          <w:rStyle w:val="Refdenotaalpie"/>
          <w:rFonts w:ascii="Verdana" w:hAnsi="Verdana"/>
          <w:sz w:val="16"/>
          <w:szCs w:val="16"/>
        </w:rPr>
        <w:footnoteRef/>
      </w:r>
      <w:r w:rsidRPr="00BB5A14">
        <w:rPr>
          <w:rFonts w:ascii="Verdana" w:hAnsi="Verdana"/>
          <w:sz w:val="16"/>
          <w:szCs w:val="16"/>
        </w:rPr>
        <w:t xml:space="preserve"> </w:t>
      </w:r>
      <w:r w:rsidRPr="00BB5A14">
        <w:rPr>
          <w:rFonts w:ascii="Verdana" w:hAnsi="Verdana"/>
          <w:sz w:val="16"/>
          <w:szCs w:val="16"/>
          <w:lang w:val="es-ES"/>
        </w:rPr>
        <w:t xml:space="preserve">Ley 100 de 1993. </w:t>
      </w:r>
      <w:r w:rsidRPr="00BB5A14">
        <w:rPr>
          <w:rFonts w:ascii="Verdana" w:hAnsi="Verdana"/>
          <w:b/>
          <w:bCs/>
          <w:sz w:val="16"/>
          <w:szCs w:val="16"/>
          <w:lang w:val="es-CO"/>
        </w:rPr>
        <w:t>ARTÍCULO</w:t>
      </w:r>
      <w:bookmarkStart w:id="12" w:name="194"/>
      <w:bookmarkEnd w:id="12"/>
      <w:r w:rsidRPr="00BB5A14">
        <w:rPr>
          <w:rFonts w:ascii="Verdana" w:hAnsi="Verdana"/>
          <w:b/>
          <w:bCs/>
          <w:sz w:val="16"/>
          <w:szCs w:val="16"/>
          <w:lang w:val="es-CO"/>
        </w:rPr>
        <w:t> 194.</w:t>
      </w:r>
      <w:r w:rsidRPr="00BB5A14">
        <w:rPr>
          <w:rFonts w:ascii="Verdana" w:hAnsi="Verdana"/>
          <w:sz w:val="16"/>
          <w:szCs w:val="16"/>
          <w:lang w:val="es-CO"/>
        </w:rPr>
        <w:t>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13" w:name="LPHit237"/>
      <w:bookmarkEnd w:id="13"/>
      <w:r w:rsidRPr="00BB5A14">
        <w:rPr>
          <w:rFonts w:ascii="Verdana" w:hAnsi="Verdana"/>
          <w:sz w:val="16"/>
          <w:szCs w:val="16"/>
          <w:lang w:val="es-CO"/>
        </w:rPr>
        <w:t> Ley o por las asambleas o concejos, según el caso, sometidas al régimen jurídico previsto en este capítulo.</w:t>
      </w:r>
    </w:p>
    <w:p w14:paraId="0282CD6F" w14:textId="77777777" w:rsidR="00BB5A14" w:rsidRPr="00687FD6" w:rsidRDefault="00BB5A14" w:rsidP="00687FD6">
      <w:pPr>
        <w:pStyle w:val="Textonotapie"/>
        <w:ind w:firstLine="709"/>
        <w:jc w:val="both"/>
        <w:rPr>
          <w:rFonts w:ascii="Verdana" w:hAnsi="Verdana"/>
          <w:sz w:val="14"/>
          <w:szCs w:val="14"/>
          <w:lang w:val="es-ES"/>
        </w:rPr>
      </w:pPr>
    </w:p>
  </w:footnote>
  <w:footnote w:id="22">
    <w:p w14:paraId="11A10EEC" w14:textId="77777777" w:rsidR="00265B99" w:rsidRDefault="00265B99" w:rsidP="00265B9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p w14:paraId="6AC6331F"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p>
  </w:footnote>
  <w:footnote w:id="23">
    <w:p w14:paraId="50A41FBA" w14:textId="77777777" w:rsidR="00265B99" w:rsidRDefault="00265B99" w:rsidP="00265B9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w:t>
      </w:r>
      <w:r w:rsidRPr="00FF007A">
        <w:rPr>
          <w:rFonts w:ascii="Verdana" w:hAnsi="Verdana" w:cs="Arial"/>
          <w:color w:val="000000" w:themeColor="text1"/>
          <w:sz w:val="16"/>
          <w:szCs w:val="16"/>
          <w:lang w:val="es-CO"/>
        </w:rPr>
        <w:t xml:space="preserve">Sivigila, el Ministerio de Salud y Protección Social; el Instituto Nacional de Salud (INS); el Instituto Nacional de Vigilancia de Medicamentos y Alimentos (Invima), las Direcciones Territoriales de Salud, </w:t>
      </w:r>
      <w:r w:rsidRPr="00FF007A">
        <w:rPr>
          <w:rFonts w:ascii="Verdana" w:hAnsi="Verdana" w:cs="Arial"/>
          <w:i/>
          <w:iCs/>
          <w:color w:val="000000" w:themeColor="text1"/>
          <w:sz w:val="16"/>
          <w:szCs w:val="16"/>
          <w:lang w:val="es-CO"/>
        </w:rPr>
        <w:t>y todas aquellas entidades que de acuerdo con la ley ejerzan funciones de vigilancia y control sanitario</w:t>
      </w:r>
      <w:r w:rsidRPr="00FF007A">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4361F8F6"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p>
  </w:footnote>
  <w:footnote w:id="24">
    <w:p w14:paraId="2098DFC5" w14:textId="77777777" w:rsidR="00265B99" w:rsidRPr="00FF007A" w:rsidRDefault="00265B99" w:rsidP="00265B99">
      <w:pPr>
        <w:pStyle w:val="Textonotapie"/>
        <w:ind w:firstLine="708"/>
        <w:contextualSpacing/>
        <w:jc w:val="both"/>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C</w:t>
      </w:r>
      <w:r>
        <w:rPr>
          <w:rFonts w:ascii="Verdana" w:hAnsi="Verdana"/>
          <w:sz w:val="16"/>
          <w:szCs w:val="16"/>
          <w:lang w:val="es-CO"/>
        </w:rPr>
        <w:t>onsejo de Estado</w:t>
      </w:r>
      <w:r w:rsidRPr="00FF007A">
        <w:rPr>
          <w:rFonts w:ascii="Verdana" w:hAnsi="Verdana"/>
          <w:sz w:val="16"/>
          <w:szCs w:val="16"/>
          <w:lang w:val="es-CO"/>
        </w:rPr>
        <w:t>. Sala de Consulta y Servicio Civil.</w:t>
      </w:r>
      <w:r>
        <w:rPr>
          <w:rFonts w:ascii="Verdana" w:hAnsi="Verdana"/>
          <w:sz w:val="16"/>
          <w:szCs w:val="16"/>
          <w:lang w:val="es-CO"/>
        </w:rPr>
        <w:t xml:space="preserve"> </w:t>
      </w:r>
      <w:r w:rsidRPr="00FF007A">
        <w:rPr>
          <w:rFonts w:ascii="Verdana" w:hAnsi="Verdana"/>
          <w:sz w:val="16"/>
          <w:szCs w:val="16"/>
          <w:lang w:val="es-CO"/>
        </w:rPr>
        <w:t>Concepto del 12 de junio de</w:t>
      </w:r>
      <w:r>
        <w:rPr>
          <w:rFonts w:ascii="Verdana" w:hAnsi="Verdana"/>
          <w:sz w:val="16"/>
          <w:szCs w:val="16"/>
          <w:lang w:val="es-CO"/>
        </w:rPr>
        <w:t xml:space="preserve"> </w:t>
      </w:r>
      <w:r w:rsidRPr="00FF007A">
        <w:rPr>
          <w:rFonts w:ascii="Verdana" w:hAnsi="Verdana"/>
          <w:sz w:val="16"/>
          <w:szCs w:val="16"/>
          <w:lang w:val="es-CO"/>
        </w:rPr>
        <w:t>2018.</w:t>
      </w:r>
      <w:r>
        <w:rPr>
          <w:rFonts w:ascii="Verdana" w:hAnsi="Verdana"/>
          <w:sz w:val="16"/>
          <w:szCs w:val="16"/>
          <w:lang w:val="es-CO"/>
        </w:rPr>
        <w:t xml:space="preserve"> </w:t>
      </w:r>
      <w:r w:rsidRPr="00FF007A">
        <w:rPr>
          <w:rFonts w:ascii="Verdana" w:hAnsi="Verdana"/>
          <w:sz w:val="16"/>
          <w:szCs w:val="16"/>
          <w:lang w:val="es-CO"/>
        </w:rPr>
        <w:t xml:space="preserve">Radicación Interna: 11001-03-06-000-2018-0043-00. </w:t>
      </w:r>
      <w:r>
        <w:rPr>
          <w:rFonts w:ascii="Verdana" w:hAnsi="Verdana"/>
          <w:sz w:val="16"/>
          <w:szCs w:val="16"/>
          <w:lang w:val="es-CO"/>
        </w:rPr>
        <w:t>(</w:t>
      </w:r>
      <w:r w:rsidRPr="00FF007A">
        <w:rPr>
          <w:rFonts w:ascii="Verdana" w:hAnsi="Verdana"/>
          <w:sz w:val="16"/>
          <w:szCs w:val="16"/>
          <w:lang w:val="es-CO"/>
        </w:rPr>
        <w:t>2371</w:t>
      </w:r>
      <w:r>
        <w:rPr>
          <w:rFonts w:ascii="Verdana" w:hAnsi="Verdana"/>
          <w:sz w:val="16"/>
          <w:szCs w:val="16"/>
          <w:lang w:val="es-CO"/>
        </w:rPr>
        <w:t>)</w:t>
      </w:r>
      <w:r w:rsidRPr="00FF007A">
        <w:rPr>
          <w:rFonts w:ascii="Verdana" w:hAnsi="Verdana"/>
          <w:sz w:val="16"/>
          <w:szCs w:val="16"/>
          <w:lang w:val="es-CO"/>
        </w:rPr>
        <w:t>. Consejero Ponente: Oscar Darío Amaya Navas</w:t>
      </w:r>
      <w:r>
        <w:rPr>
          <w:rFonts w:ascii="Verdana" w:hAnsi="Verdana"/>
          <w:sz w:val="16"/>
          <w:szCs w:val="16"/>
          <w:lang w:val="es-CO"/>
        </w:rPr>
        <w:t>.</w:t>
      </w:r>
      <w:r w:rsidRPr="00FF007A">
        <w:rPr>
          <w:rFonts w:ascii="Verdana" w:hAnsi="Verdana"/>
          <w:sz w:val="16"/>
          <w:szCs w:val="16"/>
          <w:lang w:val="es-CO"/>
        </w:rPr>
        <w:t xml:space="preserve"> </w:t>
      </w:r>
    </w:p>
    <w:p w14:paraId="23CD3959" w14:textId="77777777" w:rsidR="00265B99" w:rsidRPr="00FF007A" w:rsidRDefault="00265B99" w:rsidP="00265B99">
      <w:pPr>
        <w:pStyle w:val="Textonotapie"/>
        <w:contextualSpacing/>
        <w:jc w:val="both"/>
        <w:rPr>
          <w:rFonts w:ascii="Verdana" w:hAnsi="Verdana"/>
          <w:sz w:val="16"/>
          <w:szCs w:val="16"/>
          <w:lang w:val="es-CO"/>
        </w:rPr>
      </w:pPr>
    </w:p>
  </w:footnote>
  <w:footnote w:id="25">
    <w:p w14:paraId="131DC854" w14:textId="77777777" w:rsidR="00265B99" w:rsidRDefault="00265B99" w:rsidP="00265B99">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Ibidem</w:t>
      </w:r>
      <w:r>
        <w:rPr>
          <w:rFonts w:ascii="Verdana" w:hAnsi="Verdana"/>
          <w:sz w:val="16"/>
          <w:szCs w:val="16"/>
          <w:lang w:val="es-CO"/>
        </w:rPr>
        <w:t>.</w:t>
      </w:r>
    </w:p>
    <w:p w14:paraId="789AEC72" w14:textId="77777777" w:rsidR="00265B99" w:rsidRPr="00FF007A" w:rsidRDefault="00265B99" w:rsidP="00265B99">
      <w:pPr>
        <w:pStyle w:val="Textonotapie"/>
        <w:ind w:firstLine="708"/>
        <w:contextualSpacing/>
        <w:rPr>
          <w:rFonts w:ascii="Verdana" w:hAnsi="Verdana"/>
          <w:sz w:val="16"/>
          <w:szCs w:val="16"/>
          <w:lang w:val="es-CO"/>
        </w:rPr>
      </w:pPr>
    </w:p>
  </w:footnote>
  <w:footnote w:id="26">
    <w:p w14:paraId="6A6DB883" w14:textId="77777777" w:rsidR="00265B99" w:rsidRDefault="00265B99" w:rsidP="00265B99">
      <w:pPr>
        <w:pStyle w:val="Textonotapie"/>
        <w:ind w:firstLine="709"/>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 20 de febrero de2006. Radicación 11001-03-06-000-2006-00023-00(1724). </w:t>
      </w:r>
      <w:r>
        <w:rPr>
          <w:rFonts w:ascii="Verdana" w:hAnsi="Verdana" w:cs="Arial"/>
          <w:color w:val="000000" w:themeColor="text1"/>
          <w:sz w:val="16"/>
          <w:szCs w:val="16"/>
          <w:lang w:val="es-CO"/>
        </w:rPr>
        <w:t>C.P</w:t>
      </w:r>
      <w:r w:rsidRPr="00FF007A">
        <w:rPr>
          <w:rFonts w:ascii="Verdana" w:hAnsi="Verdana" w:cs="Arial"/>
          <w:color w:val="000000" w:themeColor="text1"/>
          <w:sz w:val="16"/>
          <w:szCs w:val="16"/>
          <w:lang w:val="es-CO"/>
        </w:rPr>
        <w:t>: Flavio Augusto Rodríguez Arce.</w:t>
      </w:r>
    </w:p>
    <w:p w14:paraId="0E4C7766" w14:textId="77777777" w:rsidR="00265B99" w:rsidRPr="00FF007A" w:rsidRDefault="00265B99" w:rsidP="00265B99">
      <w:pPr>
        <w:pStyle w:val="Textonotapie"/>
        <w:ind w:firstLine="709"/>
        <w:contextualSpacing/>
        <w:jc w:val="both"/>
        <w:rPr>
          <w:rFonts w:ascii="Verdana" w:hAnsi="Verdana" w:cs="Arial"/>
          <w:color w:val="000000" w:themeColor="text1"/>
          <w:sz w:val="16"/>
          <w:szCs w:val="16"/>
          <w:lang w:val="es-CO"/>
        </w:rPr>
      </w:pPr>
    </w:p>
  </w:footnote>
  <w:footnote w:id="27">
    <w:p w14:paraId="268D368F" w14:textId="77777777" w:rsidR="00265B99" w:rsidRDefault="00265B99" w:rsidP="00265B9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w:t>
      </w:r>
      <w:r w:rsidRPr="00FF007A">
        <w:rPr>
          <w:rFonts w:ascii="Verdana" w:hAnsi="Verdana" w:cs="Arial"/>
          <w:color w:val="000000" w:themeColor="text1"/>
          <w:sz w:val="16"/>
          <w:szCs w:val="16"/>
        </w:rPr>
        <w:t>y en consecuencia, le es aplicable lo establecido en el artículo 2.2.1.2.1.4.1 del presente decreto.</w:t>
      </w:r>
    </w:p>
    <w:p w14:paraId="1272CFC3" w14:textId="77777777" w:rsidR="00265B99" w:rsidRPr="00FF007A" w:rsidRDefault="00265B99" w:rsidP="00265B99">
      <w:pPr>
        <w:spacing w:after="0" w:line="240" w:lineRule="auto"/>
        <w:ind w:firstLine="709"/>
        <w:contextualSpacing/>
        <w:jc w:val="both"/>
        <w:rPr>
          <w:rFonts w:ascii="Verdana" w:hAnsi="Verdana" w:cs="Arial"/>
          <w:color w:val="000000" w:themeColor="text1"/>
          <w:sz w:val="16"/>
          <w:szCs w:val="16"/>
        </w:rPr>
      </w:pPr>
    </w:p>
    <w:p w14:paraId="59992E13" w14:textId="77777777" w:rsidR="00265B99" w:rsidRDefault="00265B99" w:rsidP="00265B99">
      <w:pPr>
        <w:spacing w:after="0" w:line="240" w:lineRule="auto"/>
        <w:ind w:firstLine="709"/>
        <w:contextualSpacing/>
        <w:jc w:val="both"/>
        <w:rPr>
          <w:rFonts w:ascii="Verdana" w:hAnsi="Verdana" w:cs="Arial"/>
          <w:color w:val="000000" w:themeColor="text1"/>
          <w:sz w:val="16"/>
          <w:szCs w:val="16"/>
        </w:rPr>
      </w:pPr>
      <w:r w:rsidRPr="00FF007A">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FF007A">
        <w:rPr>
          <w:rFonts w:ascii="Verdana" w:hAnsi="Verdana" w:cs="Arial"/>
          <w:color w:val="000000" w:themeColor="text1"/>
          <w:spacing w:val="-1"/>
          <w:sz w:val="16"/>
          <w:szCs w:val="16"/>
        </w:rPr>
        <w:t xml:space="preserve"> </w:t>
      </w:r>
      <w:r w:rsidRPr="00FF007A">
        <w:rPr>
          <w:rFonts w:ascii="Verdana" w:hAnsi="Verdana" w:cs="Arial"/>
          <w:color w:val="000000" w:themeColor="text1"/>
          <w:sz w:val="16"/>
          <w:szCs w:val="16"/>
        </w:rPr>
        <w:t>Estatales.</w:t>
      </w:r>
    </w:p>
    <w:p w14:paraId="64897E9E" w14:textId="77777777" w:rsidR="00265B99" w:rsidRPr="00FF007A" w:rsidRDefault="00265B99" w:rsidP="00265B99">
      <w:pPr>
        <w:spacing w:after="0" w:line="240" w:lineRule="auto"/>
        <w:ind w:firstLine="709"/>
        <w:contextualSpacing/>
        <w:jc w:val="both"/>
        <w:rPr>
          <w:rFonts w:ascii="Verdana" w:hAnsi="Verdana" w:cs="Arial"/>
          <w:color w:val="000000" w:themeColor="text1"/>
          <w:sz w:val="16"/>
          <w:szCs w:val="16"/>
        </w:rPr>
      </w:pPr>
    </w:p>
  </w:footnote>
  <w:footnote w:id="28">
    <w:p w14:paraId="09CB6CF0" w14:textId="77777777" w:rsidR="00265B99" w:rsidRDefault="00265B99" w:rsidP="00265B9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FF007A">
        <w:rPr>
          <w:rFonts w:ascii="Verdana" w:hAnsi="Verdana" w:cs="Arial"/>
          <w:color w:val="000000" w:themeColor="text1"/>
          <w:spacing w:val="-6"/>
          <w:sz w:val="16"/>
          <w:szCs w:val="16"/>
        </w:rPr>
        <w:t xml:space="preserve"> </w:t>
      </w:r>
      <w:r w:rsidRPr="00FF007A">
        <w:rPr>
          <w:rFonts w:ascii="Verdana" w:hAnsi="Verdana" w:cs="Arial"/>
          <w:color w:val="000000" w:themeColor="text1"/>
          <w:sz w:val="16"/>
          <w:szCs w:val="16"/>
        </w:rPr>
        <w:t>artículo”.</w:t>
      </w:r>
    </w:p>
    <w:p w14:paraId="5C1ED820" w14:textId="77777777" w:rsidR="00265B99" w:rsidRPr="00FF007A" w:rsidRDefault="00265B99" w:rsidP="00265B99">
      <w:pPr>
        <w:spacing w:after="0" w:line="240" w:lineRule="auto"/>
        <w:ind w:firstLine="709"/>
        <w:contextualSpacing/>
        <w:jc w:val="both"/>
        <w:rPr>
          <w:rFonts w:ascii="Verdana" w:hAnsi="Verdana" w:cs="Arial"/>
          <w:color w:val="000000" w:themeColor="text1"/>
          <w:sz w:val="16"/>
          <w:szCs w:val="16"/>
        </w:rPr>
      </w:pPr>
    </w:p>
  </w:footnote>
  <w:footnote w:id="29">
    <w:p w14:paraId="26563285" w14:textId="77777777" w:rsidR="00265B99" w:rsidRPr="00FF007A" w:rsidRDefault="00265B99" w:rsidP="00265B9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30">
    <w:p w14:paraId="53DCEB90" w14:textId="77777777" w:rsidR="00265B99" w:rsidRPr="008A6D54" w:rsidRDefault="00265B99" w:rsidP="00265B99">
      <w:pPr>
        <w:pStyle w:val="Textonotapie"/>
        <w:ind w:firstLine="709"/>
        <w:jc w:val="both"/>
        <w:rPr>
          <w:rFonts w:ascii="Verdana" w:hAnsi="Verdana"/>
          <w:color w:val="000000" w:themeColor="text1"/>
          <w:sz w:val="16"/>
          <w:szCs w:val="16"/>
          <w:lang w:val="es-CO"/>
        </w:rPr>
      </w:pPr>
      <w:r w:rsidRPr="008A6D54">
        <w:rPr>
          <w:rStyle w:val="Refdenotaalpie"/>
          <w:rFonts w:ascii="Verdana" w:hAnsi="Verdana"/>
          <w:color w:val="000000" w:themeColor="text1"/>
          <w:sz w:val="16"/>
          <w:szCs w:val="16"/>
        </w:rPr>
        <w:footnoteRef/>
      </w:r>
      <w:r w:rsidRPr="008A6D54">
        <w:rPr>
          <w:rFonts w:ascii="Verdana" w:hAnsi="Verdana"/>
          <w:color w:val="000000" w:themeColor="text1"/>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color w:val="000000" w:themeColor="text1"/>
          <w:sz w:val="16"/>
          <w:szCs w:val="16"/>
          <w:lang w:val="es-CO"/>
        </w:rPr>
        <w:t>Artículo</w:t>
      </w:r>
      <w:r w:rsidRPr="008A6D54">
        <w:rPr>
          <w:rFonts w:ascii="Verdana" w:hAnsi="Verdana"/>
          <w:color w:val="000000" w:themeColor="text1"/>
          <w:sz w:val="16"/>
          <w:szCs w:val="16"/>
          <w:lang w:val="es-CO"/>
        </w:rPr>
        <w:t> </w:t>
      </w:r>
      <w:r w:rsidRPr="008A6D54">
        <w:rPr>
          <w:rFonts w:ascii="Verdana" w:hAnsi="Verdana"/>
          <w:b/>
          <w:bCs/>
          <w:color w:val="000000" w:themeColor="text1"/>
          <w:sz w:val="16"/>
          <w:szCs w:val="16"/>
          <w:lang w:val="es-CO"/>
        </w:rPr>
        <w:t>10. </w:t>
      </w:r>
      <w:r w:rsidRPr="008A6D54">
        <w:rPr>
          <w:rFonts w:ascii="Verdana" w:hAnsi="Verdana"/>
          <w:b/>
          <w:bCs/>
          <w:i/>
          <w:iCs/>
          <w:color w:val="000000" w:themeColor="text1"/>
          <w:sz w:val="16"/>
          <w:szCs w:val="16"/>
          <w:lang w:val="es-CO"/>
        </w:rPr>
        <w:t>Definición</w:t>
      </w:r>
      <w:r w:rsidRPr="008A6D54">
        <w:rPr>
          <w:rFonts w:ascii="Verdana" w:hAnsi="Verdana"/>
          <w:b/>
          <w:bCs/>
          <w:color w:val="000000" w:themeColor="text1"/>
          <w:sz w:val="16"/>
          <w:szCs w:val="16"/>
          <w:lang w:val="es-CO"/>
        </w:rPr>
        <w:t>.</w:t>
      </w:r>
      <w:r w:rsidRPr="008A6D54">
        <w:rPr>
          <w:rFonts w:ascii="Verdana" w:hAnsi="Verdana"/>
          <w:color w:val="000000" w:themeColor="text1"/>
          <w:sz w:val="16"/>
          <w:szCs w:val="16"/>
          <w:lang w:val="es-CO"/>
        </w:rPr>
        <w:t xml:space="preserve"> Conjunto de intervenciones, procedimientos o actividades de carácter gratuito, dirigidas a la población y materializadas a través de los entornos de vida cotidiana en función de las características, necesidades y potencialidades de salud en cada territorio y </w:t>
      </w:r>
      <w:r w:rsidRPr="008A6D54">
        <w:rPr>
          <w:rFonts w:ascii="Verdana" w:hAnsi="Verdana"/>
          <w:color w:val="000000" w:themeColor="text1"/>
          <w:sz w:val="16"/>
          <w:szCs w:val="16"/>
          <w:lang w:val="es-CO"/>
        </w:rPr>
        <w:t>microterritorio.</w:t>
      </w:r>
    </w:p>
    <w:p w14:paraId="5D45C595" w14:textId="77777777" w:rsidR="00265B99" w:rsidRPr="008A6D54" w:rsidRDefault="00265B99" w:rsidP="00265B99">
      <w:pPr>
        <w:pStyle w:val="Textonotapie"/>
        <w:ind w:firstLine="709"/>
        <w:jc w:val="both"/>
        <w:rPr>
          <w:rFonts w:ascii="Verdana" w:hAnsi="Verdana"/>
          <w:color w:val="000000" w:themeColor="text1"/>
          <w:sz w:val="16"/>
          <w:szCs w:val="16"/>
          <w:lang w:val="es-CO"/>
        </w:rPr>
      </w:pPr>
      <w:r w:rsidRPr="008A6D54">
        <w:rPr>
          <w:rFonts w:ascii="Verdana" w:hAnsi="Verdana"/>
          <w:b/>
          <w:bCs/>
          <w:color w:val="000000" w:themeColor="text1"/>
          <w:sz w:val="16"/>
          <w:szCs w:val="16"/>
          <w:lang w:val="es-CO"/>
        </w:rPr>
        <w:t>Parágrafo.</w:t>
      </w:r>
      <w:r w:rsidRPr="008A6D54">
        <w:rPr>
          <w:rFonts w:ascii="Verdana" w:hAnsi="Verdana"/>
          <w:color w:val="000000" w:themeColor="text1"/>
          <w:sz w:val="16"/>
          <w:szCs w:val="16"/>
          <w:lang w:val="es-CO"/>
        </w:rPr>
        <w:t> Las intervenciones colectivas corresponden a las señaladas en el numeral 3.2 del Capítulo 3 del Anexo I </w:t>
      </w:r>
      <w:r w:rsidRPr="008A6D54">
        <w:rPr>
          <w:rFonts w:ascii="Verdana" w:hAnsi="Verdana"/>
          <w:i/>
          <w:iCs/>
          <w:color w:val="000000" w:themeColor="text1"/>
          <w:sz w:val="16"/>
          <w:szCs w:val="16"/>
          <w:lang w:val="es-CO"/>
        </w:rPr>
        <w:t>“LINEAMIENTO TÉCNICO Y OPERATIVO RUTA INTEGRAL DE ATENCIÓN PARA LA PROMOCIÓN Y MANTENIMIENTO DE LA SALUD”</w:t>
      </w:r>
      <w:r w:rsidRPr="008A6D54">
        <w:rPr>
          <w:rFonts w:ascii="Verdana" w:hAnsi="Verdana"/>
          <w:color w:val="000000" w:themeColor="text1"/>
          <w:sz w:val="16"/>
          <w:szCs w:val="16"/>
          <w:lang w:val="es-CO"/>
        </w:rPr>
        <w:t> de la Resolución </w:t>
      </w:r>
      <w:hyperlink r:id="rId1" w:history="1">
        <w:r w:rsidRPr="008A6D54">
          <w:rPr>
            <w:rStyle w:val="Hipervnculo"/>
            <w:rFonts w:ascii="Verdana" w:hAnsi="Verdana"/>
            <w:color w:val="000000" w:themeColor="text1"/>
            <w:sz w:val="16"/>
            <w:szCs w:val="16"/>
            <w:lang w:val="es-CO"/>
          </w:rPr>
          <w:t>3280</w:t>
        </w:r>
      </w:hyperlink>
      <w:r w:rsidRPr="008A6D54">
        <w:rPr>
          <w:rFonts w:ascii="Verdana" w:hAnsi="Verdana"/>
          <w:color w:val="000000" w:themeColor="text1"/>
          <w:sz w:val="16"/>
          <w:szCs w:val="16"/>
          <w:lang w:val="es-CO"/>
        </w:rPr>
        <w:t> de 2018 o la norma que la modifique o sustituya.</w:t>
      </w:r>
    </w:p>
    <w:p w14:paraId="58B9CFE7" w14:textId="77777777" w:rsidR="00265B99" w:rsidRPr="008A6D54" w:rsidRDefault="00265B99" w:rsidP="00265B99">
      <w:pPr>
        <w:pStyle w:val="Textonotapie"/>
        <w:rPr>
          <w:lang w:val="es-ES"/>
        </w:rPr>
      </w:pPr>
    </w:p>
  </w:footnote>
  <w:footnote w:id="31">
    <w:p w14:paraId="6B69A489" w14:textId="77777777" w:rsidR="00265B99" w:rsidRPr="008A6D54" w:rsidRDefault="00265B99" w:rsidP="00265B99">
      <w:pPr>
        <w:pStyle w:val="Textonotapie"/>
        <w:ind w:firstLine="709"/>
        <w:jc w:val="both"/>
        <w:rPr>
          <w:rFonts w:ascii="Verdana" w:hAnsi="Verdana"/>
          <w:sz w:val="16"/>
          <w:szCs w:val="16"/>
          <w:lang w:val="es-CO"/>
        </w:rPr>
      </w:pPr>
      <w:r w:rsidRPr="008A6D54">
        <w:rPr>
          <w:rStyle w:val="Refdenotaalpie"/>
          <w:rFonts w:ascii="Verdana" w:hAnsi="Verdana"/>
          <w:sz w:val="16"/>
          <w:szCs w:val="16"/>
        </w:rPr>
        <w:footnoteRef/>
      </w:r>
      <w:r w:rsidRPr="008A6D54">
        <w:rPr>
          <w:rFonts w:ascii="Verdana" w:hAnsi="Verdana"/>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sz w:val="16"/>
          <w:szCs w:val="16"/>
          <w:lang w:val="es-CO"/>
        </w:rPr>
        <w:t>Artículo</w:t>
      </w:r>
      <w:r w:rsidRPr="008A6D54">
        <w:rPr>
          <w:rFonts w:ascii="Verdana" w:hAnsi="Verdana"/>
          <w:sz w:val="16"/>
          <w:szCs w:val="16"/>
          <w:lang w:val="es-CO"/>
        </w:rPr>
        <w:t> </w:t>
      </w:r>
      <w:r w:rsidRPr="008A6D54">
        <w:rPr>
          <w:rFonts w:ascii="Verdana" w:hAnsi="Verdana"/>
          <w:b/>
          <w:bCs/>
          <w:sz w:val="16"/>
          <w:szCs w:val="16"/>
          <w:lang w:val="es-CO"/>
        </w:rPr>
        <w:t>12. </w:t>
      </w:r>
      <w:r w:rsidRPr="008A6D54">
        <w:rPr>
          <w:rFonts w:ascii="Verdana" w:hAnsi="Verdana"/>
          <w:b/>
          <w:bCs/>
          <w:i/>
          <w:iCs/>
          <w:sz w:val="16"/>
          <w:szCs w:val="16"/>
          <w:lang w:val="es-CO"/>
        </w:rPr>
        <w:t>Implementación del Plan de Salud Pública de Intervenciones Colectivas.</w:t>
      </w:r>
      <w:r w:rsidRPr="008A6D54">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4EDA10E2"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1EC68459"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40D0006E"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06AD5B59"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43962193"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8A6D54">
        <w:rPr>
          <w:rFonts w:ascii="Verdana" w:hAnsi="Verdana"/>
          <w:color w:val="000000" w:themeColor="text1"/>
          <w:sz w:val="16"/>
          <w:szCs w:val="16"/>
          <w:lang w:val="es-CO"/>
        </w:rPr>
        <w:t>número </w:t>
      </w:r>
      <w:hyperlink r:id="rId2" w:history="1">
        <w:r w:rsidRPr="008A6D54">
          <w:rPr>
            <w:rStyle w:val="Hipervnculo"/>
            <w:rFonts w:ascii="Verdana" w:hAnsi="Verdana"/>
            <w:color w:val="000000" w:themeColor="text1"/>
            <w:sz w:val="16"/>
            <w:szCs w:val="16"/>
            <w:lang w:val="es-CO"/>
          </w:rPr>
          <w:t>1751</w:t>
        </w:r>
      </w:hyperlink>
      <w:r w:rsidRPr="008A6D54">
        <w:rPr>
          <w:rFonts w:ascii="Verdana" w:hAnsi="Verdana"/>
          <w:color w:val="000000" w:themeColor="text1"/>
          <w:sz w:val="16"/>
          <w:szCs w:val="16"/>
          <w:lang w:val="es-CO"/>
        </w:rPr>
        <w:t> de 2</w:t>
      </w:r>
      <w:r w:rsidRPr="008A6D54">
        <w:rPr>
          <w:rFonts w:ascii="Verdana" w:hAnsi="Verdana"/>
          <w:sz w:val="16"/>
          <w:szCs w:val="16"/>
          <w:lang w:val="es-CO"/>
        </w:rPr>
        <w:t>015 o la norma que la modifique, asegurando la ejecución de la totalidad de recursos asignados.</w:t>
      </w:r>
    </w:p>
    <w:p w14:paraId="7192DFBD"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2A9E3F9C"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13FB1785"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22C2069C"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0884587B"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584316F0"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20D3CE21"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789792C3"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8A6D54">
        <w:rPr>
          <w:rFonts w:ascii="Verdana" w:hAnsi="Verdana"/>
          <w:color w:val="000000" w:themeColor="text1"/>
          <w:sz w:val="16"/>
          <w:szCs w:val="16"/>
          <w:lang w:val="es-CO"/>
        </w:rPr>
        <w:t>número </w:t>
      </w:r>
      <w:hyperlink r:id="rId3" w:history="1">
        <w:r w:rsidRPr="008A6D54">
          <w:rPr>
            <w:rStyle w:val="Hipervnculo"/>
            <w:rFonts w:ascii="Verdana" w:hAnsi="Verdana"/>
            <w:color w:val="000000" w:themeColor="text1"/>
            <w:sz w:val="16"/>
            <w:szCs w:val="16"/>
            <w:lang w:val="es-CO"/>
          </w:rPr>
          <w:t>441</w:t>
        </w:r>
      </w:hyperlink>
      <w:r w:rsidRPr="008A6D54">
        <w:rPr>
          <w:rFonts w:ascii="Verdana" w:hAnsi="Verdana"/>
          <w:color w:val="000000" w:themeColor="text1"/>
          <w:sz w:val="16"/>
          <w:szCs w:val="16"/>
          <w:lang w:val="es-CO"/>
        </w:rPr>
        <w:t> de 20</w:t>
      </w:r>
      <w:r w:rsidRPr="008A6D54">
        <w:rPr>
          <w:rFonts w:ascii="Verdana" w:hAnsi="Verdana"/>
          <w:sz w:val="16"/>
          <w:szCs w:val="16"/>
          <w:lang w:val="es-CO"/>
        </w:rPr>
        <w:t>22 y Resolución número 2336 de 2023 o las normas que lo modifiquen o deroguen. </w:t>
      </w:r>
    </w:p>
    <w:p w14:paraId="69E64DAE"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433EFC61"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6264EBDB"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54B9097F" w14:textId="77777777" w:rsidR="00265B99" w:rsidRPr="008A6D54" w:rsidRDefault="00265B99" w:rsidP="00265B99">
      <w:pPr>
        <w:pStyle w:val="Textonotapie"/>
        <w:ind w:firstLine="709"/>
        <w:jc w:val="both"/>
        <w:rPr>
          <w:rFonts w:ascii="Verdana" w:hAnsi="Verdana"/>
          <w:sz w:val="16"/>
          <w:szCs w:val="16"/>
          <w:lang w:val="es-CO"/>
        </w:rPr>
      </w:pPr>
      <w:r w:rsidRPr="008A6D54">
        <w:rPr>
          <w:rFonts w:ascii="Verdana" w:hAnsi="Verdana"/>
          <w:b/>
          <w:bCs/>
          <w:sz w:val="16"/>
          <w:szCs w:val="16"/>
          <w:lang w:val="es-CO"/>
        </w:rPr>
        <w:t>Parágrafo.</w:t>
      </w:r>
      <w:r w:rsidRPr="008A6D54">
        <w:rPr>
          <w:rFonts w:ascii="Verdana" w:hAnsi="Verdana"/>
          <w:sz w:val="16"/>
          <w:szCs w:val="16"/>
          <w:lang w:val="es-CO"/>
        </w:rPr>
        <w:t> Este Ministerio reglamentará las condiciones que deben cumplir las organizaciones de base comunitaria, sin ánimo de lucro, para el desarrollo de las actividades de abordaje comunitario.</w:t>
      </w:r>
    </w:p>
    <w:p w14:paraId="59AE3E47" w14:textId="77777777" w:rsidR="00265B99" w:rsidRPr="008A6D54" w:rsidRDefault="00265B99" w:rsidP="00265B99">
      <w:pPr>
        <w:pStyle w:val="Textonotapie"/>
        <w:rPr>
          <w:lang w:val="es-ES"/>
        </w:rPr>
      </w:pPr>
    </w:p>
  </w:footnote>
  <w:footnote w:id="32">
    <w:p w14:paraId="0C980E46" w14:textId="77777777" w:rsidR="00265B99" w:rsidRDefault="00265B99" w:rsidP="00265B99">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40685D29" w14:textId="77777777" w:rsidR="00265B99" w:rsidRPr="00FF007A" w:rsidRDefault="00265B99" w:rsidP="00265B99">
      <w:pPr>
        <w:pStyle w:val="Textonotapie"/>
        <w:ind w:firstLine="708"/>
        <w:contextualSpacing/>
        <w:jc w:val="both"/>
        <w:rPr>
          <w:rFonts w:ascii="Verdana" w:hAnsi="Verdana" w:cs="Arial"/>
          <w:sz w:val="16"/>
          <w:szCs w:val="16"/>
          <w:lang w:val="es-CO"/>
        </w:rPr>
      </w:pPr>
    </w:p>
  </w:footnote>
  <w:footnote w:id="33">
    <w:p w14:paraId="7ECABD8A" w14:textId="77777777" w:rsidR="00265B99" w:rsidRPr="00FF007A" w:rsidRDefault="00265B99" w:rsidP="00265B99">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 xml:space="preserve">04 del 12 de </w:t>
      </w:r>
      <w:r w:rsidRPr="00FF007A">
        <w:rPr>
          <w:rFonts w:ascii="Verdana" w:hAnsi="Verdana" w:cs="Arial"/>
          <w:sz w:val="16"/>
          <w:szCs w:val="16"/>
          <w:lang w:val="es-CO"/>
        </w:rPr>
        <w:t>Enero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E99"/>
    <w:rsid w:val="00046945"/>
    <w:rsid w:val="00061B2A"/>
    <w:rsid w:val="00082362"/>
    <w:rsid w:val="000A683E"/>
    <w:rsid w:val="000B19B9"/>
    <w:rsid w:val="000D0334"/>
    <w:rsid w:val="000F6486"/>
    <w:rsid w:val="00117832"/>
    <w:rsid w:val="00125105"/>
    <w:rsid w:val="00127233"/>
    <w:rsid w:val="00143704"/>
    <w:rsid w:val="00154E62"/>
    <w:rsid w:val="001E4177"/>
    <w:rsid w:val="001F00B1"/>
    <w:rsid w:val="001F7DC6"/>
    <w:rsid w:val="002421BB"/>
    <w:rsid w:val="0025796E"/>
    <w:rsid w:val="00263348"/>
    <w:rsid w:val="002639A9"/>
    <w:rsid w:val="00265B99"/>
    <w:rsid w:val="002707A2"/>
    <w:rsid w:val="002951A0"/>
    <w:rsid w:val="002962BC"/>
    <w:rsid w:val="002A093D"/>
    <w:rsid w:val="002A0DD0"/>
    <w:rsid w:val="002A49AC"/>
    <w:rsid w:val="002A64FD"/>
    <w:rsid w:val="002C7A84"/>
    <w:rsid w:val="002E4FD9"/>
    <w:rsid w:val="00322A85"/>
    <w:rsid w:val="00324168"/>
    <w:rsid w:val="00335804"/>
    <w:rsid w:val="003448F4"/>
    <w:rsid w:val="00347C0B"/>
    <w:rsid w:val="00374F5E"/>
    <w:rsid w:val="00377E3E"/>
    <w:rsid w:val="0039320C"/>
    <w:rsid w:val="003A779E"/>
    <w:rsid w:val="003D0F4D"/>
    <w:rsid w:val="003D5B0D"/>
    <w:rsid w:val="003E0499"/>
    <w:rsid w:val="003E56B9"/>
    <w:rsid w:val="003F3941"/>
    <w:rsid w:val="00406575"/>
    <w:rsid w:val="00414C74"/>
    <w:rsid w:val="0042722E"/>
    <w:rsid w:val="0044528D"/>
    <w:rsid w:val="00471E90"/>
    <w:rsid w:val="00490229"/>
    <w:rsid w:val="004A1847"/>
    <w:rsid w:val="004A305D"/>
    <w:rsid w:val="004E795C"/>
    <w:rsid w:val="004F21C4"/>
    <w:rsid w:val="004F685F"/>
    <w:rsid w:val="00520287"/>
    <w:rsid w:val="005566E8"/>
    <w:rsid w:val="00574867"/>
    <w:rsid w:val="00584D8E"/>
    <w:rsid w:val="00591460"/>
    <w:rsid w:val="005C1C08"/>
    <w:rsid w:val="005C1E8A"/>
    <w:rsid w:val="005C3777"/>
    <w:rsid w:val="005C5CDC"/>
    <w:rsid w:val="005D476C"/>
    <w:rsid w:val="005F6489"/>
    <w:rsid w:val="00600E20"/>
    <w:rsid w:val="006219F8"/>
    <w:rsid w:val="006302F7"/>
    <w:rsid w:val="00665D70"/>
    <w:rsid w:val="00687BF2"/>
    <w:rsid w:val="00687FD6"/>
    <w:rsid w:val="006900D9"/>
    <w:rsid w:val="006A760C"/>
    <w:rsid w:val="006E539F"/>
    <w:rsid w:val="00706C16"/>
    <w:rsid w:val="00737D3F"/>
    <w:rsid w:val="00756841"/>
    <w:rsid w:val="007649AB"/>
    <w:rsid w:val="00771D0C"/>
    <w:rsid w:val="007765B7"/>
    <w:rsid w:val="007833AC"/>
    <w:rsid w:val="007B268C"/>
    <w:rsid w:val="007B7171"/>
    <w:rsid w:val="007C0C0F"/>
    <w:rsid w:val="007C3DC2"/>
    <w:rsid w:val="007E5497"/>
    <w:rsid w:val="00803930"/>
    <w:rsid w:val="00806F5F"/>
    <w:rsid w:val="00811376"/>
    <w:rsid w:val="00820278"/>
    <w:rsid w:val="00867F95"/>
    <w:rsid w:val="00880E50"/>
    <w:rsid w:val="008843B6"/>
    <w:rsid w:val="00891928"/>
    <w:rsid w:val="00897A3A"/>
    <w:rsid w:val="008A446D"/>
    <w:rsid w:val="008D180B"/>
    <w:rsid w:val="008F0EA7"/>
    <w:rsid w:val="00923EEF"/>
    <w:rsid w:val="009419F9"/>
    <w:rsid w:val="0095685E"/>
    <w:rsid w:val="00961B09"/>
    <w:rsid w:val="00965334"/>
    <w:rsid w:val="00967A33"/>
    <w:rsid w:val="0097093E"/>
    <w:rsid w:val="00975795"/>
    <w:rsid w:val="009A0DFA"/>
    <w:rsid w:val="009A5C23"/>
    <w:rsid w:val="009B25A8"/>
    <w:rsid w:val="009B2D26"/>
    <w:rsid w:val="009C71FA"/>
    <w:rsid w:val="009C72E7"/>
    <w:rsid w:val="009D3058"/>
    <w:rsid w:val="009F3A13"/>
    <w:rsid w:val="00A122D3"/>
    <w:rsid w:val="00A13AD4"/>
    <w:rsid w:val="00A17F13"/>
    <w:rsid w:val="00A20739"/>
    <w:rsid w:val="00A33C78"/>
    <w:rsid w:val="00A3618A"/>
    <w:rsid w:val="00A435F9"/>
    <w:rsid w:val="00A436F3"/>
    <w:rsid w:val="00AB0ADB"/>
    <w:rsid w:val="00AB6AFA"/>
    <w:rsid w:val="00AE2F15"/>
    <w:rsid w:val="00B00C0E"/>
    <w:rsid w:val="00B01B1A"/>
    <w:rsid w:val="00B107B6"/>
    <w:rsid w:val="00B4359B"/>
    <w:rsid w:val="00B44A47"/>
    <w:rsid w:val="00B72CD3"/>
    <w:rsid w:val="00B72FFF"/>
    <w:rsid w:val="00BB14A7"/>
    <w:rsid w:val="00BB5A14"/>
    <w:rsid w:val="00BC3D36"/>
    <w:rsid w:val="00BD7F72"/>
    <w:rsid w:val="00C04FB3"/>
    <w:rsid w:val="00C170F7"/>
    <w:rsid w:val="00C330EB"/>
    <w:rsid w:val="00C754BE"/>
    <w:rsid w:val="00C76B1C"/>
    <w:rsid w:val="00CB6357"/>
    <w:rsid w:val="00CC1B26"/>
    <w:rsid w:val="00D423A2"/>
    <w:rsid w:val="00D520D8"/>
    <w:rsid w:val="00D63AC2"/>
    <w:rsid w:val="00D7383B"/>
    <w:rsid w:val="00D76360"/>
    <w:rsid w:val="00DA231B"/>
    <w:rsid w:val="00DC39FC"/>
    <w:rsid w:val="00DF5254"/>
    <w:rsid w:val="00E16408"/>
    <w:rsid w:val="00E20894"/>
    <w:rsid w:val="00E245AB"/>
    <w:rsid w:val="00E2764C"/>
    <w:rsid w:val="00E27F2E"/>
    <w:rsid w:val="00E50AFE"/>
    <w:rsid w:val="00E75C92"/>
    <w:rsid w:val="00E771DC"/>
    <w:rsid w:val="00E80900"/>
    <w:rsid w:val="00E8772A"/>
    <w:rsid w:val="00E90F6B"/>
    <w:rsid w:val="00E92C27"/>
    <w:rsid w:val="00EA0E3D"/>
    <w:rsid w:val="00EB57D1"/>
    <w:rsid w:val="00EC38A7"/>
    <w:rsid w:val="00EE1AA8"/>
    <w:rsid w:val="00EF111C"/>
    <w:rsid w:val="00F31EDC"/>
    <w:rsid w:val="00F462B3"/>
    <w:rsid w:val="00F5664F"/>
    <w:rsid w:val="00F666C4"/>
    <w:rsid w:val="00F76AFC"/>
    <w:rsid w:val="00FA47C0"/>
    <w:rsid w:val="00FB5DD1"/>
    <w:rsid w:val="00FC2B5D"/>
    <w:rsid w:val="00FE238A"/>
    <w:rsid w:val="00FF1449"/>
    <w:rsid w:val="02607CA9"/>
    <w:rsid w:val="02EF6655"/>
    <w:rsid w:val="0B6D3988"/>
    <w:rsid w:val="0BE030D8"/>
    <w:rsid w:val="0D82E63C"/>
    <w:rsid w:val="0DE6A506"/>
    <w:rsid w:val="1257BBE4"/>
    <w:rsid w:val="1463B7EB"/>
    <w:rsid w:val="179AE141"/>
    <w:rsid w:val="17F4DB17"/>
    <w:rsid w:val="189A39D9"/>
    <w:rsid w:val="2B14C034"/>
    <w:rsid w:val="31F0EE7A"/>
    <w:rsid w:val="380C1C9A"/>
    <w:rsid w:val="3846FB56"/>
    <w:rsid w:val="393003E2"/>
    <w:rsid w:val="4098E9DA"/>
    <w:rsid w:val="46361E93"/>
    <w:rsid w:val="48321F63"/>
    <w:rsid w:val="4ADBB751"/>
    <w:rsid w:val="4B9FDA2B"/>
    <w:rsid w:val="5052AAAF"/>
    <w:rsid w:val="53F028DF"/>
    <w:rsid w:val="5681F9B0"/>
    <w:rsid w:val="58944B7C"/>
    <w:rsid w:val="58E862EB"/>
    <w:rsid w:val="5DA43D9C"/>
    <w:rsid w:val="5E44563B"/>
    <w:rsid w:val="5F44905C"/>
    <w:rsid w:val="62DFCF10"/>
    <w:rsid w:val="6636B41C"/>
    <w:rsid w:val="69C9FF6E"/>
    <w:rsid w:val="727C2F31"/>
    <w:rsid w:val="731370C7"/>
    <w:rsid w:val="779A8561"/>
    <w:rsid w:val="7861387C"/>
    <w:rsid w:val="7C63A48C"/>
    <w:rsid w:val="7DCDAC7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65B9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65B99"/>
    <w:rPr>
      <w:rFonts w:ascii="Geomanist Light" w:hAnsi="Geomanist Light"/>
      <w:lang w:val="es-ES"/>
    </w:rPr>
  </w:style>
  <w:style w:type="character" w:customStyle="1" w:styleId="NormalWebCar">
    <w:name w:val="Normal (Web) Car"/>
    <w:link w:val="NormalWeb"/>
    <w:uiPriority w:val="99"/>
    <w:locked/>
    <w:rsid w:val="00265B99"/>
    <w:rPr>
      <w:rFonts w:ascii="Times New Roman" w:eastAsia="Times New Roman" w:hAnsi="Times New Roman" w:cs="Times New Roman"/>
      <w:sz w:val="24"/>
      <w:szCs w:val="24"/>
      <w:lang w:eastAsia="es-CO"/>
    </w:rPr>
  </w:style>
  <w:style w:type="character" w:customStyle="1" w:styleId="baj">
    <w:name w:val="b_aj"/>
    <w:basedOn w:val="Fuentedeprrafopredeter"/>
    <w:rsid w:val="00265B99"/>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880E50"/>
    <w:rPr>
      <w:b/>
      <w:bCs/>
    </w:rPr>
  </w:style>
  <w:style w:type="character" w:customStyle="1" w:styleId="AsuntodelcomentarioCar">
    <w:name w:val="Asunto del comentario Car"/>
    <w:basedOn w:val="TextocomentarioCar"/>
    <w:link w:val="Asuntodelcomentario"/>
    <w:uiPriority w:val="99"/>
    <w:semiHidden/>
    <w:rsid w:val="00880E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egimensubsidiado@launion-valle.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3ACF5987-87AB-4D88-ADFC-53B90A5712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A5306C-A4EE-4007-B4FF-CDF8812199E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31</Pages>
  <Words>10429</Words>
  <Characters>57363</Characters>
  <Application>Microsoft Office Word</Application>
  <DocSecurity>0</DocSecurity>
  <Lines>478</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2025-09-18T23:19:00Z</dcterms:created>
  <dcterms:modified xsi:type="dcterms:W3CDTF">2025-09-22T17:09:00Z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