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53211" w14:textId="77777777" w:rsidR="00690412" w:rsidRPr="0002719F" w:rsidRDefault="00690412" w:rsidP="00690412">
      <w:pPr>
        <w:spacing w:after="0" w:line="240" w:lineRule="auto"/>
        <w:jc w:val="both"/>
        <w:rPr>
          <w:rFonts w:ascii="Verdana" w:eastAsia="Geomanist Light" w:hAnsi="Verdana" w:cs="Arial"/>
          <w:b/>
          <w:bCs/>
          <w:color w:val="000000" w:themeColor="text1"/>
          <w:lang w:val="es-MX"/>
        </w:rPr>
      </w:pPr>
      <w:r w:rsidRPr="0002719F">
        <w:rPr>
          <w:rFonts w:ascii="Verdana" w:eastAsia="Geomanist Light" w:hAnsi="Verdana" w:cs="Arial"/>
          <w:b/>
          <w:bCs/>
          <w:color w:val="000000" w:themeColor="text1"/>
          <w:lang w:val="es-MX"/>
        </w:rPr>
        <w:t>CONTRATO DE ARRENDAMIENTO – Concepto – Elementos – Regulación</w:t>
      </w:r>
    </w:p>
    <w:p w14:paraId="1E8E79EA" w14:textId="77777777" w:rsidR="00690412" w:rsidRPr="0002719F" w:rsidRDefault="00690412" w:rsidP="00690412">
      <w:pPr>
        <w:spacing w:after="0" w:line="240" w:lineRule="auto"/>
        <w:jc w:val="both"/>
        <w:rPr>
          <w:rFonts w:ascii="Verdana" w:eastAsia="Geomanist Light" w:hAnsi="Verdana" w:cs="Arial"/>
          <w:color w:val="000000" w:themeColor="text1"/>
          <w:lang w:val="es-MX"/>
        </w:rPr>
      </w:pPr>
    </w:p>
    <w:p w14:paraId="5AE7C146" w14:textId="77777777" w:rsidR="00690412" w:rsidRPr="00C43705" w:rsidRDefault="00690412" w:rsidP="00690412">
      <w:pPr>
        <w:spacing w:after="0" w:line="240" w:lineRule="auto"/>
        <w:jc w:val="both"/>
        <w:rPr>
          <w:rFonts w:ascii="Verdana" w:eastAsia="Geomanist Light" w:hAnsi="Verdana" w:cs="Arial"/>
          <w:color w:val="000000" w:themeColor="text1"/>
          <w:sz w:val="20"/>
          <w:szCs w:val="20"/>
          <w:lang w:val="es-MX"/>
        </w:rPr>
      </w:pPr>
      <w:r w:rsidRPr="00C43705">
        <w:rPr>
          <w:rFonts w:ascii="Verdana" w:eastAsia="Geomanist Light" w:hAnsi="Verdana" w:cs="Arial"/>
          <w:color w:val="000000" w:themeColor="text1"/>
          <w:sz w:val="20"/>
          <w:szCs w:val="20"/>
          <w:lang w:val="es-MX"/>
        </w:rPr>
        <w:t>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se obliga a concederle a otra –llamada arrendatario– el uso y goce de un bien, a cambio de una renta o canon. Por tanto, se diferencia del contrato de compraventa en que no opera una transferencia del dominio del bien cuyo uso y goce se entrega.</w:t>
      </w:r>
    </w:p>
    <w:p w14:paraId="07EE8E46" w14:textId="77777777" w:rsidR="00690412" w:rsidRPr="00C43705" w:rsidRDefault="00690412" w:rsidP="00690412">
      <w:pPr>
        <w:spacing w:after="0" w:line="240" w:lineRule="auto"/>
        <w:jc w:val="both"/>
        <w:rPr>
          <w:rFonts w:ascii="Verdana" w:eastAsia="Geomanist Light" w:hAnsi="Verdana" w:cs="Arial"/>
          <w:color w:val="000000" w:themeColor="text1"/>
          <w:sz w:val="20"/>
          <w:szCs w:val="20"/>
          <w:lang w:val="es-MX"/>
        </w:rPr>
      </w:pPr>
    </w:p>
    <w:p w14:paraId="65D4BFDC" w14:textId="77777777" w:rsidR="00690412" w:rsidRPr="00C43705" w:rsidRDefault="00690412" w:rsidP="00690412">
      <w:pPr>
        <w:spacing w:after="0" w:line="240" w:lineRule="auto"/>
        <w:jc w:val="both"/>
        <w:rPr>
          <w:rFonts w:ascii="Verdana" w:eastAsia="Geomanist Light" w:hAnsi="Verdana" w:cs="Arial"/>
          <w:color w:val="000000" w:themeColor="text1"/>
          <w:sz w:val="20"/>
          <w:szCs w:val="20"/>
          <w:lang w:val="es-MX"/>
        </w:rPr>
      </w:pPr>
      <w:r w:rsidRPr="00C43705">
        <w:rPr>
          <w:rFonts w:ascii="Verdana" w:eastAsia="Geomanist Light" w:hAnsi="Verdana" w:cs="Arial"/>
          <w:color w:val="000000" w:themeColor="text1"/>
          <w:sz w:val="20"/>
          <w:szCs w:val="20"/>
          <w:lang w:val="es-MX"/>
        </w:rPr>
        <w:t xml:space="preserve">En cuanto a sus características, la doctrina ha indicado que el arrendamiento es un contrato: i) bilateral, pues ambas partes se obligan recíprocamente; </w:t>
      </w:r>
      <w:proofErr w:type="spellStart"/>
      <w:r w:rsidRPr="00C43705">
        <w:rPr>
          <w:rFonts w:ascii="Verdana" w:eastAsia="Geomanist Light" w:hAnsi="Verdana" w:cs="Arial"/>
          <w:color w:val="000000" w:themeColor="text1"/>
          <w:sz w:val="20"/>
          <w:szCs w:val="20"/>
          <w:lang w:val="es-MX"/>
        </w:rPr>
        <w:t>ii</w:t>
      </w:r>
      <w:proofErr w:type="spellEnd"/>
      <w:r w:rsidRPr="00C43705">
        <w:rPr>
          <w:rFonts w:ascii="Verdana" w:eastAsia="Geomanist Light" w:hAnsi="Verdana" w:cs="Arial"/>
          <w:color w:val="000000" w:themeColor="text1"/>
          <w:sz w:val="20"/>
          <w:szCs w:val="20"/>
          <w:lang w:val="es-MX"/>
        </w:rPr>
        <w:t xml:space="preserve">) consensual, dado que se perfecciona con el consentimiento ; </w:t>
      </w:r>
      <w:proofErr w:type="spellStart"/>
      <w:r w:rsidRPr="00C43705">
        <w:rPr>
          <w:rFonts w:ascii="Verdana" w:eastAsia="Geomanist Light" w:hAnsi="Verdana" w:cs="Arial"/>
          <w:color w:val="000000" w:themeColor="text1"/>
          <w:sz w:val="20"/>
          <w:szCs w:val="20"/>
          <w:lang w:val="es-MX"/>
        </w:rPr>
        <w:t>iii</w:t>
      </w:r>
      <w:proofErr w:type="spellEnd"/>
      <w:r w:rsidRPr="00C43705">
        <w:rPr>
          <w:rFonts w:ascii="Verdana" w:eastAsia="Geomanist Light" w:hAnsi="Verdana" w:cs="Arial"/>
          <w:color w:val="000000" w:themeColor="text1"/>
          <w:sz w:val="20"/>
          <w:szCs w:val="20"/>
          <w:lang w:val="es-MX"/>
        </w:rPr>
        <w:t xml:space="preserve">) oneroso, ya que ambas partes obtienen utilidades –el arrendatario, el uso y goce del bien, y el arrendador la renta o canon–; </w:t>
      </w:r>
      <w:proofErr w:type="spellStart"/>
      <w:r w:rsidRPr="00C43705">
        <w:rPr>
          <w:rFonts w:ascii="Verdana" w:eastAsia="Geomanist Light" w:hAnsi="Verdana" w:cs="Arial"/>
          <w:color w:val="000000" w:themeColor="text1"/>
          <w:sz w:val="20"/>
          <w:szCs w:val="20"/>
          <w:lang w:val="es-MX"/>
        </w:rPr>
        <w:t>iv</w:t>
      </w:r>
      <w:proofErr w:type="spellEnd"/>
      <w:r w:rsidRPr="00C43705">
        <w:rPr>
          <w:rFonts w:ascii="Verdana" w:eastAsia="Geomanist Light" w:hAnsi="Verdana" w:cs="Arial"/>
          <w:color w:val="000000" w:themeColor="text1"/>
          <w:sz w:val="20"/>
          <w:szCs w:val="20"/>
          <w:lang w:val="es-MX"/>
        </w:rPr>
        <w:t>) de ejecución sucesiva, en la medida en que se ejecuta en forma periódica; v) principal, porque existe en forma autónoma; y v) nominado, porque está tipificado y desarrollado en la ley.</w:t>
      </w:r>
    </w:p>
    <w:p w14:paraId="2DD1501C" w14:textId="77777777" w:rsidR="00690412" w:rsidRPr="0002719F" w:rsidRDefault="00690412" w:rsidP="00690412">
      <w:pPr>
        <w:spacing w:after="0" w:line="240" w:lineRule="auto"/>
        <w:jc w:val="both"/>
        <w:rPr>
          <w:rFonts w:ascii="Verdana" w:eastAsia="Geomanist Light" w:hAnsi="Verdana" w:cs="Arial"/>
          <w:color w:val="000000" w:themeColor="text1"/>
          <w:lang w:val="es-MX"/>
        </w:rPr>
      </w:pPr>
    </w:p>
    <w:p w14:paraId="51FB1F4F" w14:textId="77777777" w:rsidR="00690412" w:rsidRPr="0002719F" w:rsidRDefault="00690412" w:rsidP="00690412">
      <w:pPr>
        <w:spacing w:after="0" w:line="240" w:lineRule="auto"/>
        <w:jc w:val="both"/>
        <w:rPr>
          <w:rFonts w:ascii="Verdana" w:eastAsia="Geomanist Light" w:hAnsi="Verdana" w:cs="Arial"/>
          <w:b/>
          <w:bCs/>
          <w:color w:val="000000" w:themeColor="text1"/>
          <w:lang w:val="es-MX"/>
        </w:rPr>
      </w:pPr>
      <w:r w:rsidRPr="0002719F">
        <w:rPr>
          <w:rFonts w:ascii="Verdana" w:eastAsia="Geomanist Light" w:hAnsi="Verdana" w:cs="Arial"/>
          <w:b/>
          <w:bCs/>
          <w:color w:val="000000" w:themeColor="text1"/>
          <w:lang w:val="es-MX"/>
        </w:rPr>
        <w:t>SEGURIDAD SOCIAL – Verificación – Pago de aportes parafiscales – Persona natural – Persona jurídica</w:t>
      </w:r>
    </w:p>
    <w:p w14:paraId="29ECEB13" w14:textId="77777777" w:rsidR="00690412" w:rsidRPr="0002719F" w:rsidRDefault="00690412" w:rsidP="00690412">
      <w:pPr>
        <w:spacing w:after="0" w:line="240" w:lineRule="auto"/>
        <w:jc w:val="both"/>
        <w:rPr>
          <w:rFonts w:ascii="Verdana" w:eastAsia="Geomanist Light" w:hAnsi="Verdana" w:cs="Arial"/>
          <w:color w:val="000000" w:themeColor="text1"/>
          <w:lang w:val="es-MX"/>
        </w:rPr>
      </w:pPr>
    </w:p>
    <w:p w14:paraId="0102F56C" w14:textId="77777777" w:rsidR="00690412" w:rsidRPr="00C43705" w:rsidRDefault="00690412" w:rsidP="00690412">
      <w:pPr>
        <w:spacing w:after="0" w:line="240" w:lineRule="auto"/>
        <w:jc w:val="both"/>
        <w:rPr>
          <w:rFonts w:ascii="Verdana" w:eastAsia="Geomanist Light" w:hAnsi="Verdana" w:cs="Arial"/>
          <w:color w:val="000000" w:themeColor="text1"/>
          <w:sz w:val="20"/>
          <w:szCs w:val="20"/>
          <w:lang w:val="es-MX"/>
        </w:rPr>
      </w:pPr>
      <w:r w:rsidRPr="00C43705">
        <w:rPr>
          <w:rFonts w:ascii="Verdana" w:eastAsia="Geomanist Light" w:hAnsi="Verdana" w:cs="Arial"/>
          <w:color w:val="000000" w:themeColor="text1"/>
          <w:sz w:val="20"/>
          <w:szCs w:val="20"/>
          <w:lang w:val="es-MX"/>
        </w:rPr>
        <w:t xml:space="preserve">[…] la verificación de los aportes al Sistema de Seguridad Social Integral cambia, dependiendo si se trata de una persona natural o de una jurídica: i) si es una natural, la entidad estatal verificará el pago al Sistema de Seguridad Social Integral cuando se realicen los pagos del contrato, es decir, durante su ejecución y </w:t>
      </w:r>
      <w:proofErr w:type="spellStart"/>
      <w:r w:rsidRPr="00C43705">
        <w:rPr>
          <w:rFonts w:ascii="Verdana" w:eastAsia="Geomanist Light" w:hAnsi="Verdana" w:cs="Arial"/>
          <w:color w:val="000000" w:themeColor="text1"/>
          <w:sz w:val="20"/>
          <w:szCs w:val="20"/>
          <w:lang w:val="es-MX"/>
        </w:rPr>
        <w:t>ii</w:t>
      </w:r>
      <w:proofErr w:type="spellEnd"/>
      <w:r w:rsidRPr="00C43705">
        <w:rPr>
          <w:rFonts w:ascii="Verdana" w:eastAsia="Geomanist Light" w:hAnsi="Verdana" w:cs="Arial"/>
          <w:color w:val="000000" w:themeColor="text1"/>
          <w:sz w:val="20"/>
          <w:szCs w:val="20"/>
          <w:lang w:val="es-MX"/>
        </w:rPr>
        <w:t>) si se refiere a una persona jurídica, el comprobante de pago de los aportes al Sistema de Seguridad Social Integral de sus empleados se debe aportar con la presentación de la oferta, y este constituye un criterio de admisión de la oferta; sin perjuicio de que durante la ejecución del contrato también se acredite el pago al Sistema de Seguridad Social Integral para pagar las cuentas o facturas.</w:t>
      </w:r>
    </w:p>
    <w:p w14:paraId="74D7A777" w14:textId="77777777" w:rsidR="00690412" w:rsidRDefault="00690412" w:rsidP="003A0D7B">
      <w:pPr>
        <w:spacing w:after="0" w:line="240" w:lineRule="auto"/>
        <w:rPr>
          <w:rFonts w:ascii="Verdana" w:eastAsia="Geomanist Light" w:hAnsi="Verdana" w:cs="Arial"/>
          <w:color w:val="000000" w:themeColor="text1"/>
          <w:lang w:val="es-MX"/>
        </w:rPr>
      </w:pPr>
    </w:p>
    <w:p w14:paraId="113945F1" w14:textId="77777777" w:rsidR="00690412" w:rsidRDefault="00690412" w:rsidP="003A0D7B">
      <w:pPr>
        <w:spacing w:after="0" w:line="240" w:lineRule="auto"/>
        <w:rPr>
          <w:rFonts w:ascii="Verdana" w:eastAsia="Geomanist Light" w:hAnsi="Verdana" w:cs="Arial"/>
          <w:color w:val="000000" w:themeColor="text1"/>
          <w:lang w:val="es-MX"/>
        </w:rPr>
      </w:pPr>
    </w:p>
    <w:p w14:paraId="020BAB7D" w14:textId="77777777" w:rsidR="00690412" w:rsidRDefault="00690412" w:rsidP="003A0D7B">
      <w:pPr>
        <w:spacing w:after="0" w:line="240" w:lineRule="auto"/>
        <w:rPr>
          <w:rFonts w:ascii="Verdana" w:eastAsia="Geomanist Light" w:hAnsi="Verdana" w:cs="Arial"/>
          <w:color w:val="000000" w:themeColor="text1"/>
          <w:lang w:val="es-MX"/>
        </w:rPr>
      </w:pPr>
    </w:p>
    <w:p w14:paraId="6D4D6F86" w14:textId="77777777" w:rsidR="00690412" w:rsidRDefault="00690412" w:rsidP="003A0D7B">
      <w:pPr>
        <w:spacing w:after="0" w:line="240" w:lineRule="auto"/>
        <w:rPr>
          <w:rFonts w:ascii="Verdana" w:eastAsia="Geomanist Light" w:hAnsi="Verdana" w:cs="Arial"/>
          <w:color w:val="000000" w:themeColor="text1"/>
          <w:lang w:val="es-MX"/>
        </w:rPr>
      </w:pPr>
    </w:p>
    <w:p w14:paraId="2C65E0CD" w14:textId="77777777" w:rsidR="00690412" w:rsidRDefault="00690412" w:rsidP="003A0D7B">
      <w:pPr>
        <w:spacing w:after="0" w:line="240" w:lineRule="auto"/>
        <w:rPr>
          <w:rFonts w:ascii="Verdana" w:eastAsia="Geomanist Light" w:hAnsi="Verdana" w:cs="Arial"/>
          <w:color w:val="000000" w:themeColor="text1"/>
          <w:lang w:val="es-MX"/>
        </w:rPr>
      </w:pPr>
    </w:p>
    <w:p w14:paraId="1ED9D394" w14:textId="77777777" w:rsidR="00690412" w:rsidRDefault="00690412" w:rsidP="003A0D7B">
      <w:pPr>
        <w:spacing w:after="0" w:line="240" w:lineRule="auto"/>
        <w:rPr>
          <w:rFonts w:ascii="Verdana" w:eastAsia="Geomanist Light" w:hAnsi="Verdana" w:cs="Arial"/>
          <w:color w:val="000000" w:themeColor="text1"/>
          <w:lang w:val="es-MX"/>
        </w:rPr>
      </w:pPr>
    </w:p>
    <w:p w14:paraId="1FEEEAE8" w14:textId="77777777" w:rsidR="00690412" w:rsidRDefault="00690412" w:rsidP="003A0D7B">
      <w:pPr>
        <w:spacing w:after="0" w:line="240" w:lineRule="auto"/>
        <w:rPr>
          <w:rFonts w:ascii="Verdana" w:eastAsia="Geomanist Light" w:hAnsi="Verdana" w:cs="Arial"/>
          <w:color w:val="000000" w:themeColor="text1"/>
          <w:lang w:val="es-MX"/>
        </w:rPr>
      </w:pPr>
    </w:p>
    <w:p w14:paraId="14B71EA4" w14:textId="77777777" w:rsidR="00690412" w:rsidRDefault="00690412" w:rsidP="003A0D7B">
      <w:pPr>
        <w:spacing w:after="0" w:line="240" w:lineRule="auto"/>
        <w:rPr>
          <w:rFonts w:ascii="Verdana" w:eastAsia="Geomanist Light" w:hAnsi="Verdana" w:cs="Arial"/>
          <w:color w:val="000000" w:themeColor="text1"/>
          <w:lang w:val="es-MX"/>
        </w:rPr>
      </w:pPr>
    </w:p>
    <w:p w14:paraId="56DF65F5" w14:textId="77777777" w:rsidR="00690412" w:rsidRDefault="00690412" w:rsidP="003A0D7B">
      <w:pPr>
        <w:spacing w:after="0" w:line="240" w:lineRule="auto"/>
        <w:rPr>
          <w:rFonts w:ascii="Verdana" w:eastAsia="Geomanist Light" w:hAnsi="Verdana" w:cs="Arial"/>
          <w:color w:val="000000" w:themeColor="text1"/>
          <w:lang w:val="es-MX"/>
        </w:rPr>
      </w:pPr>
    </w:p>
    <w:p w14:paraId="5474B96D" w14:textId="77777777" w:rsidR="00690412" w:rsidRDefault="00690412" w:rsidP="003A0D7B">
      <w:pPr>
        <w:spacing w:after="0" w:line="240" w:lineRule="auto"/>
        <w:rPr>
          <w:rFonts w:ascii="Verdana" w:eastAsia="Geomanist Light" w:hAnsi="Verdana" w:cs="Arial"/>
          <w:color w:val="000000" w:themeColor="text1"/>
          <w:lang w:val="es-MX"/>
        </w:rPr>
      </w:pPr>
    </w:p>
    <w:p w14:paraId="4E08818E" w14:textId="77777777" w:rsidR="00690412" w:rsidRDefault="00690412" w:rsidP="003A0D7B">
      <w:pPr>
        <w:spacing w:after="0" w:line="240" w:lineRule="auto"/>
        <w:rPr>
          <w:rFonts w:ascii="Verdana" w:eastAsia="Geomanist Light" w:hAnsi="Verdana" w:cs="Arial"/>
          <w:color w:val="000000" w:themeColor="text1"/>
          <w:lang w:val="es-MX"/>
        </w:rPr>
      </w:pPr>
    </w:p>
    <w:p w14:paraId="545BB5DC" w14:textId="77777777" w:rsidR="00690412" w:rsidRDefault="00690412" w:rsidP="003A0D7B">
      <w:pPr>
        <w:spacing w:after="0" w:line="240" w:lineRule="auto"/>
        <w:rPr>
          <w:rFonts w:ascii="Verdana" w:eastAsia="Geomanist Light" w:hAnsi="Verdana" w:cs="Arial"/>
          <w:color w:val="000000" w:themeColor="text1"/>
          <w:lang w:val="es-MX"/>
        </w:rPr>
      </w:pPr>
    </w:p>
    <w:p w14:paraId="4699106E" w14:textId="77777777" w:rsidR="00690412" w:rsidRDefault="00690412" w:rsidP="003A0D7B">
      <w:pPr>
        <w:spacing w:after="0" w:line="240" w:lineRule="auto"/>
        <w:rPr>
          <w:rFonts w:ascii="Verdana" w:eastAsia="Geomanist Light" w:hAnsi="Verdana" w:cs="Arial"/>
          <w:color w:val="000000" w:themeColor="text1"/>
          <w:lang w:val="es-MX"/>
        </w:rPr>
      </w:pPr>
    </w:p>
    <w:p w14:paraId="756E41FD" w14:textId="57875182" w:rsidR="00662E46" w:rsidRDefault="00662E46" w:rsidP="00662E46">
      <w:pPr>
        <w:spacing w:after="0" w:line="240" w:lineRule="auto"/>
        <w:rPr>
          <w:rFonts w:ascii="Verdana" w:eastAsia="Geomanist Light" w:hAnsi="Verdana" w:cs="Arial"/>
          <w:color w:val="000000" w:themeColor="text1"/>
          <w:lang w:val="es-MX"/>
        </w:rPr>
      </w:pPr>
    </w:p>
    <w:p w14:paraId="44F11883" w14:textId="6EF602BD" w:rsidR="00050C1B" w:rsidRDefault="00050C1B" w:rsidP="00662E46">
      <w:pPr>
        <w:spacing w:after="0" w:line="240" w:lineRule="auto"/>
        <w:rPr>
          <w:rFonts w:ascii="Verdana" w:eastAsia="Geomanist Light" w:hAnsi="Verdana" w:cs="Arial"/>
          <w:color w:val="000000" w:themeColor="text1"/>
        </w:rPr>
      </w:pPr>
      <w:r w:rsidRPr="00050C1B">
        <w:rPr>
          <w:rFonts w:ascii="Verdana" w:eastAsia="Geomanist Light" w:hAnsi="Verdana" w:cs="Arial"/>
          <w:color w:val="000000" w:themeColor="text1"/>
        </w:rPr>
        <w:lastRenderedPageBreak/>
        <w:t xml:space="preserve">Bogotá D.C., 22 de </w:t>
      </w:r>
      <w:r w:rsidR="00EC378A">
        <w:rPr>
          <w:rFonts w:ascii="Verdana" w:eastAsia="Geomanist Light" w:hAnsi="Verdana" w:cs="Arial"/>
          <w:color w:val="000000" w:themeColor="text1"/>
        </w:rPr>
        <w:t>s</w:t>
      </w:r>
      <w:r w:rsidRPr="00050C1B">
        <w:rPr>
          <w:rFonts w:ascii="Verdana" w:eastAsia="Geomanist Light" w:hAnsi="Verdana" w:cs="Arial"/>
          <w:color w:val="000000" w:themeColor="text1"/>
        </w:rPr>
        <w:t>eptiembre de 2025</w:t>
      </w:r>
    </w:p>
    <w:p w14:paraId="19FBDD26" w14:textId="5E9050D9" w:rsidR="00050C1B" w:rsidRDefault="00050C1B" w:rsidP="00662E46">
      <w:pPr>
        <w:spacing w:after="0" w:line="240" w:lineRule="auto"/>
        <w:rPr>
          <w:rFonts w:ascii="Verdana" w:eastAsia="Geomanist Light" w:hAnsi="Verdana" w:cs="Arial"/>
          <w:color w:val="000000" w:themeColor="text1"/>
          <w:lang w:val="es-MX"/>
        </w:rPr>
      </w:pPr>
    </w:p>
    <w:p w14:paraId="21E674D5" w14:textId="03334375" w:rsidR="00662E46" w:rsidRPr="00593A5F" w:rsidRDefault="00662E46" w:rsidP="00662E46">
      <w:pPr>
        <w:spacing w:after="0" w:line="240" w:lineRule="auto"/>
        <w:rPr>
          <w:rFonts w:ascii="Verdana" w:eastAsia="Geomanist Light" w:hAnsi="Verdana" w:cs="Arial"/>
          <w:color w:val="201F1E"/>
          <w:lang w:val="es-MX"/>
        </w:rPr>
      </w:pPr>
    </w:p>
    <w:p w14:paraId="211CD4D7" w14:textId="6ED40990" w:rsidR="00662E46" w:rsidRPr="00593A5F" w:rsidRDefault="00B44C8D" w:rsidP="00662E46">
      <w:pPr>
        <w:spacing w:after="0" w:line="240" w:lineRule="auto"/>
        <w:jc w:val="both"/>
        <w:rPr>
          <w:rFonts w:ascii="Verdana" w:eastAsia="Calibri" w:hAnsi="Verdana" w:cs="Arial"/>
          <w:color w:val="000000"/>
          <w:lang w:val="es-ES"/>
        </w:rPr>
      </w:pPr>
      <w:r>
        <w:rPr>
          <w:rFonts w:ascii="Verdana" w:eastAsia="Geomanist Light" w:hAnsi="Verdana" w:cs="Arial"/>
          <w:noProof/>
          <w:color w:val="000000" w:themeColor="text1"/>
          <w:lang w:val="es-MX"/>
          <w14:ligatures w14:val="standardContextual"/>
        </w:rPr>
        <w:drawing>
          <wp:anchor distT="0" distB="0" distL="114300" distR="114300" simplePos="0" relativeHeight="251657216" behindDoc="1" locked="0" layoutInCell="1" allowOverlap="1" wp14:anchorId="524AB3F9" wp14:editId="0EBAB15C">
            <wp:simplePos x="0" y="0"/>
            <wp:positionH relativeFrom="margin">
              <wp:align>right</wp:align>
            </wp:positionH>
            <wp:positionV relativeFrom="paragraph">
              <wp:posOffset>5715</wp:posOffset>
            </wp:positionV>
            <wp:extent cx="3060065" cy="819150"/>
            <wp:effectExtent l="0" t="0" r="6985" b="0"/>
            <wp:wrapSquare wrapText="bothSides"/>
            <wp:docPr id="16953653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365347" name="Imagen 1695365347"/>
                    <pic:cNvPicPr/>
                  </pic:nvPicPr>
                  <pic:blipFill>
                    <a:blip r:embed="rId10">
                      <a:extLst>
                        <a:ext uri="{28A0092B-C50C-407E-A947-70E740481C1C}">
                          <a14:useLocalDpi xmlns:a14="http://schemas.microsoft.com/office/drawing/2010/main" val="0"/>
                        </a:ext>
                      </a:extLst>
                    </a:blip>
                    <a:stretch>
                      <a:fillRect/>
                    </a:stretch>
                  </pic:blipFill>
                  <pic:spPr>
                    <a:xfrm>
                      <a:off x="0" y="0"/>
                      <a:ext cx="3060065" cy="819150"/>
                    </a:xfrm>
                    <a:prstGeom prst="rect">
                      <a:avLst/>
                    </a:prstGeom>
                  </pic:spPr>
                </pic:pic>
              </a:graphicData>
            </a:graphic>
            <wp14:sizeRelH relativeFrom="margin">
              <wp14:pctWidth>0</wp14:pctWidth>
            </wp14:sizeRelH>
          </wp:anchor>
        </w:drawing>
      </w:r>
    </w:p>
    <w:p w14:paraId="6A1DFE31" w14:textId="77777777" w:rsidR="00662E46" w:rsidRPr="00B96799" w:rsidRDefault="00662E46" w:rsidP="00662E46">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1BAD7F96" w14:textId="77777777" w:rsidR="00662E46" w:rsidRPr="00B96799" w:rsidRDefault="00662E46" w:rsidP="00662E46">
      <w:pPr>
        <w:spacing w:after="0" w:line="240" w:lineRule="auto"/>
        <w:rPr>
          <w:rFonts w:ascii="Verdana" w:eastAsia="Calibri" w:hAnsi="Verdana" w:cs="Arial"/>
          <w:b/>
          <w:lang w:val="es-ES_tradnl" w:eastAsia="es-ES_tradnl"/>
        </w:rPr>
      </w:pPr>
      <w:r w:rsidRPr="00E67707">
        <w:rPr>
          <w:rFonts w:ascii="Verdana" w:eastAsia="Calibri" w:hAnsi="Verdana" w:cs="Arial"/>
          <w:b/>
          <w:lang w:val="es-ES_tradnl" w:eastAsia="es-ES_tradnl"/>
        </w:rPr>
        <w:t>Juan Camilo</w:t>
      </w:r>
      <w:r>
        <w:rPr>
          <w:rFonts w:ascii="Verdana" w:eastAsia="Calibri" w:hAnsi="Verdana" w:cs="Arial"/>
          <w:b/>
          <w:lang w:val="es-ES_tradnl" w:eastAsia="es-ES_tradnl"/>
        </w:rPr>
        <w:t xml:space="preserve"> </w:t>
      </w:r>
      <w:r w:rsidRPr="00E67707">
        <w:rPr>
          <w:rFonts w:ascii="Verdana" w:eastAsia="Calibri" w:hAnsi="Verdana" w:cs="Arial"/>
          <w:b/>
          <w:lang w:val="es-ES_tradnl" w:eastAsia="es-ES_tradnl"/>
        </w:rPr>
        <w:t>Aguilar Montoya</w:t>
      </w:r>
    </w:p>
    <w:p w14:paraId="6A04528A" w14:textId="77777777" w:rsidR="00662E46" w:rsidRPr="006E034A" w:rsidRDefault="00662E46" w:rsidP="00662E46">
      <w:pPr>
        <w:spacing w:after="0" w:line="240" w:lineRule="auto"/>
        <w:rPr>
          <w:rFonts w:ascii="Verdana" w:eastAsia="Calibri" w:hAnsi="Verdana" w:cs="Arial"/>
          <w:color w:val="156082" w:themeColor="accent1"/>
          <w:u w:val="single"/>
          <w:lang w:val="es-ES" w:eastAsia="es-ES"/>
        </w:rPr>
      </w:pPr>
      <w:hyperlink r:id="rId11" w:history="1">
        <w:r w:rsidRPr="007867E9">
          <w:rPr>
            <w:rStyle w:val="Hipervnculo"/>
            <w:rFonts w:ascii="Verdana" w:eastAsia="Calibri" w:hAnsi="Verdana" w:cs="Arial"/>
            <w:lang w:eastAsia="es-ES"/>
          </w:rPr>
          <w:t>agolar@gmail.com</w:t>
        </w:r>
      </w:hyperlink>
      <w:r>
        <w:rPr>
          <w:rFonts w:ascii="Verdana" w:eastAsia="Calibri" w:hAnsi="Verdana" w:cs="Arial"/>
          <w:color w:val="156082" w:themeColor="accent1"/>
          <w:u w:val="single"/>
          <w:lang w:eastAsia="es-ES"/>
        </w:rPr>
        <w:t xml:space="preserve">  </w:t>
      </w:r>
    </w:p>
    <w:p w14:paraId="42DF690D" w14:textId="77777777" w:rsidR="00662E46" w:rsidRPr="00B96799" w:rsidRDefault="00662E46" w:rsidP="00662E46">
      <w:pPr>
        <w:spacing w:after="0" w:line="240" w:lineRule="auto"/>
        <w:rPr>
          <w:rFonts w:ascii="Verdana" w:eastAsia="Calibri" w:hAnsi="Verdana" w:cs="Arial"/>
          <w:b/>
          <w:bCs/>
          <w:lang w:val="es-ES" w:eastAsia="es-ES"/>
        </w:rPr>
      </w:pPr>
      <w:r>
        <w:rPr>
          <w:rFonts w:ascii="Verdana" w:eastAsia="Calibri" w:hAnsi="Verdana" w:cs="Arial"/>
          <w:lang w:val="es-ES" w:eastAsia="es-ES"/>
        </w:rPr>
        <w:t xml:space="preserve">Medellín, Antioquia </w:t>
      </w:r>
    </w:p>
    <w:p w14:paraId="0FCDE74D" w14:textId="77777777" w:rsidR="00662E46" w:rsidRPr="00593A5F" w:rsidRDefault="00662E46" w:rsidP="00662E4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62E46" w:rsidRPr="00593A5F" w14:paraId="1FC487A3" w14:textId="77777777" w:rsidTr="00DE1091">
        <w:trPr>
          <w:trHeight w:val="884"/>
        </w:trPr>
        <w:tc>
          <w:tcPr>
            <w:tcW w:w="2689" w:type="dxa"/>
          </w:tcPr>
          <w:p w14:paraId="692F24B3" w14:textId="77777777" w:rsidR="00662E46" w:rsidRPr="00ED2ED6" w:rsidRDefault="00662E46" w:rsidP="00DE1091">
            <w:pPr>
              <w:jc w:val="both"/>
              <w:rPr>
                <w:rFonts w:ascii="Verdana" w:eastAsia="Calibri" w:hAnsi="Verdana" w:cs="Arial"/>
                <w:b/>
                <w:bCs/>
                <w:lang w:val="es-ES_tradnl" w:eastAsia="es-ES_tradnl"/>
              </w:rPr>
            </w:pPr>
          </w:p>
        </w:tc>
        <w:tc>
          <w:tcPr>
            <w:tcW w:w="6100" w:type="dxa"/>
          </w:tcPr>
          <w:p w14:paraId="509FDBEA" w14:textId="77777777" w:rsidR="00662E46" w:rsidRPr="00ED2ED6" w:rsidRDefault="00662E46" w:rsidP="00DE1091">
            <w:pPr>
              <w:jc w:val="both"/>
              <w:rPr>
                <w:rFonts w:ascii="Verdana" w:eastAsia="Calibri" w:hAnsi="Verdana" w:cs="Arial"/>
                <w:b/>
                <w:bCs/>
                <w:lang w:val="es-ES" w:eastAsia="es-ES"/>
              </w:rPr>
            </w:pPr>
            <w:r w:rsidRPr="00ED2ED6">
              <w:rPr>
                <w:rFonts w:ascii="Verdana" w:eastAsia="Calibri" w:hAnsi="Verdana" w:cs="Arial"/>
                <w:b/>
                <w:bCs/>
                <w:lang w:val="es-ES" w:eastAsia="es-ES"/>
              </w:rPr>
              <w:t>Concepto C-</w:t>
            </w:r>
            <w:r>
              <w:rPr>
                <w:rFonts w:ascii="Verdana" w:eastAsia="Calibri" w:hAnsi="Verdana" w:cs="Arial"/>
                <w:b/>
                <w:bCs/>
                <w:lang w:val="es-ES" w:eastAsia="es-ES"/>
              </w:rPr>
              <w:t xml:space="preserve">1128 </w:t>
            </w:r>
            <w:r w:rsidRPr="00ED2ED6">
              <w:rPr>
                <w:rFonts w:ascii="Verdana" w:eastAsia="Calibri" w:hAnsi="Verdana" w:cs="Arial"/>
                <w:b/>
                <w:bCs/>
                <w:lang w:val="es-ES" w:eastAsia="es-ES"/>
              </w:rPr>
              <w:t>de 2025</w:t>
            </w:r>
          </w:p>
        </w:tc>
      </w:tr>
      <w:tr w:rsidR="00662E46" w:rsidRPr="00593A5F" w14:paraId="5FFCE3C0" w14:textId="77777777" w:rsidTr="00DE1091">
        <w:trPr>
          <w:trHeight w:val="884"/>
        </w:trPr>
        <w:tc>
          <w:tcPr>
            <w:tcW w:w="2689" w:type="dxa"/>
          </w:tcPr>
          <w:p w14:paraId="519433B5" w14:textId="77777777" w:rsidR="00662E46" w:rsidRPr="00593A5F" w:rsidRDefault="00662E46" w:rsidP="00DE1091">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D908923" w14:textId="77777777" w:rsidR="00662E46" w:rsidRPr="00B05F99" w:rsidRDefault="00662E46" w:rsidP="00DE1091">
            <w:pPr>
              <w:spacing w:line="276" w:lineRule="auto"/>
              <w:jc w:val="both"/>
              <w:rPr>
                <w:rFonts w:ascii="Verdana" w:hAnsi="Verdana" w:cs="Arial"/>
                <w:color w:val="000000"/>
                <w:lang w:val="es-ES" w:eastAsia="es-ES"/>
              </w:rPr>
            </w:pPr>
            <w:r w:rsidRPr="00B05F99">
              <w:rPr>
                <w:rFonts w:ascii="Verdana" w:hAnsi="Verdana" w:cs="Arial"/>
                <w:color w:val="000000"/>
                <w:lang w:val="es-ES" w:eastAsia="es-ES"/>
              </w:rPr>
              <w:t>CONTRATO DE ARRENDAMIENTO – Concepto – Elementos – Regulación / CONTRATO DE ARRENDAMIENTO – Seguridad social – SEGURIDAD SOCIAL – Verificación – Pago – Persona natural – Persona Jurídica</w:t>
            </w:r>
          </w:p>
          <w:p w14:paraId="6CE9CA25" w14:textId="77777777" w:rsidR="00662E46" w:rsidRPr="00593A5F" w:rsidRDefault="00662E46" w:rsidP="00DE1091">
            <w:pPr>
              <w:spacing w:line="276" w:lineRule="auto"/>
              <w:jc w:val="both"/>
              <w:rPr>
                <w:rFonts w:ascii="Verdana" w:eastAsia="Calibri" w:hAnsi="Verdana" w:cs="Arial"/>
                <w:lang w:val="es-ES" w:eastAsia="es-ES"/>
              </w:rPr>
            </w:pPr>
          </w:p>
        </w:tc>
      </w:tr>
      <w:tr w:rsidR="00662E46" w:rsidRPr="000022C1" w14:paraId="58ECF8E6" w14:textId="77777777" w:rsidTr="00DE1091">
        <w:trPr>
          <w:trHeight w:val="332"/>
        </w:trPr>
        <w:tc>
          <w:tcPr>
            <w:tcW w:w="2689" w:type="dxa"/>
          </w:tcPr>
          <w:p w14:paraId="03BA35C3" w14:textId="77777777" w:rsidR="00662E46" w:rsidRPr="000022C1" w:rsidRDefault="00662E46" w:rsidP="00DE1091">
            <w:pPr>
              <w:jc w:val="both"/>
              <w:rPr>
                <w:rFonts w:ascii="Verdana" w:eastAsia="Calibri" w:hAnsi="Verdana" w:cs="Arial"/>
                <w:b/>
                <w:lang w:val="es-ES_tradnl" w:eastAsia="es-ES_tradnl"/>
              </w:rPr>
            </w:pPr>
            <w:r w:rsidRPr="000022C1">
              <w:rPr>
                <w:rFonts w:ascii="Verdana" w:eastAsia="Calibri" w:hAnsi="Verdana" w:cs="Arial"/>
                <w:b/>
                <w:lang w:val="es-ES_tradnl" w:eastAsia="es-ES_tradnl"/>
              </w:rPr>
              <w:t>Radicación:</w:t>
            </w:r>
            <w:r w:rsidRPr="000022C1">
              <w:rPr>
                <w:rFonts w:ascii="Verdana" w:eastAsia="Calibri" w:hAnsi="Verdana" w:cs="Arial"/>
                <w:lang w:val="es-ES_tradnl" w:eastAsia="es-ES_tradnl"/>
              </w:rPr>
              <w:t xml:space="preserve">               </w:t>
            </w:r>
          </w:p>
        </w:tc>
        <w:tc>
          <w:tcPr>
            <w:tcW w:w="6100" w:type="dxa"/>
          </w:tcPr>
          <w:p w14:paraId="19AD3ABB" w14:textId="77777777" w:rsidR="00662E46" w:rsidRPr="000022C1" w:rsidRDefault="00662E46" w:rsidP="00DE1091">
            <w:pPr>
              <w:jc w:val="both"/>
              <w:rPr>
                <w:rFonts w:ascii="Verdana" w:eastAsia="Calibri" w:hAnsi="Verdana" w:cs="Arial"/>
                <w:lang w:val="es-ES_tradnl" w:eastAsia="es-ES_tradnl"/>
              </w:rPr>
            </w:pPr>
            <w:r w:rsidRPr="000022C1">
              <w:rPr>
                <w:rFonts w:ascii="Verdana" w:eastAsia="Calibri" w:hAnsi="Verdana" w:cs="Arial"/>
                <w:lang w:val="es-ES_tradnl" w:eastAsia="es-ES_tradnl"/>
              </w:rPr>
              <w:t xml:space="preserve">Respuesta a consulta con radicado No. </w:t>
            </w:r>
          </w:p>
          <w:p w14:paraId="25B2D6F3" w14:textId="77777777" w:rsidR="00662E46" w:rsidRPr="000022C1" w:rsidRDefault="00662E46" w:rsidP="00DE1091">
            <w:pPr>
              <w:jc w:val="both"/>
              <w:rPr>
                <w:rFonts w:ascii="Verdana" w:hAnsi="Verdana"/>
                <w:color w:val="2B2B2B"/>
              </w:rPr>
            </w:pPr>
            <w:r w:rsidRPr="000022C1">
              <w:rPr>
                <w:rFonts w:ascii="Verdana" w:hAnsi="Verdana"/>
                <w:color w:val="2B2B2B"/>
              </w:rPr>
              <w:t>1_2025_08_12_008400</w:t>
            </w:r>
          </w:p>
        </w:tc>
      </w:tr>
    </w:tbl>
    <w:p w14:paraId="16157A7B" w14:textId="77777777" w:rsidR="00662E46" w:rsidRPr="00ED2ED6" w:rsidRDefault="00662E46" w:rsidP="00662E46">
      <w:pPr>
        <w:spacing w:after="0" w:line="240" w:lineRule="auto"/>
        <w:jc w:val="both"/>
        <w:rPr>
          <w:rFonts w:ascii="Verdana" w:eastAsia="Calibri" w:hAnsi="Verdana" w:cs="Arial"/>
          <w:lang w:val="es-ES_tradnl" w:eastAsia="es-ES_tradnl"/>
        </w:rPr>
      </w:pPr>
    </w:p>
    <w:p w14:paraId="51087BE0" w14:textId="77777777" w:rsidR="00662E46" w:rsidRPr="00ED2ED6" w:rsidRDefault="00662E46" w:rsidP="00662E46">
      <w:pPr>
        <w:spacing w:after="0" w:line="240" w:lineRule="auto"/>
        <w:jc w:val="both"/>
        <w:rPr>
          <w:rFonts w:ascii="Verdana" w:eastAsia="Calibri" w:hAnsi="Verdana" w:cs="Arial"/>
          <w:lang w:val="es-ES_tradnl" w:eastAsia="es-ES_tradnl"/>
        </w:rPr>
      </w:pPr>
    </w:p>
    <w:p w14:paraId="4D852D3F" w14:textId="77777777" w:rsidR="00662E46" w:rsidRPr="00ED2ED6" w:rsidRDefault="00662E46" w:rsidP="00662E46">
      <w:pPr>
        <w:spacing w:after="0" w:line="276" w:lineRule="auto"/>
        <w:jc w:val="both"/>
        <w:rPr>
          <w:rFonts w:ascii="Verdana" w:eastAsia="Calibri" w:hAnsi="Verdana" w:cs="Arial"/>
          <w:lang w:val="es-ES" w:eastAsia="es-ES"/>
        </w:rPr>
      </w:pPr>
      <w:r w:rsidRPr="00ED2ED6">
        <w:rPr>
          <w:rFonts w:ascii="Verdana" w:eastAsia="Calibri" w:hAnsi="Verdana" w:cs="Arial"/>
          <w:lang w:val="es-ES" w:eastAsia="es-ES"/>
        </w:rPr>
        <w:t>Estimado señor</w:t>
      </w:r>
      <w:r>
        <w:rPr>
          <w:rFonts w:ascii="Verdana" w:eastAsia="Calibri" w:hAnsi="Verdana" w:cs="Arial"/>
          <w:lang w:val="es-ES" w:eastAsia="es-ES"/>
        </w:rPr>
        <w:t xml:space="preserve"> Aguilar</w:t>
      </w:r>
      <w:r w:rsidRPr="00ED2ED6">
        <w:rPr>
          <w:rFonts w:ascii="Verdana" w:eastAsia="Calibri" w:hAnsi="Verdana" w:cs="Arial"/>
          <w:lang w:val="es-ES" w:eastAsia="es-ES"/>
        </w:rPr>
        <w:t>:</w:t>
      </w:r>
    </w:p>
    <w:p w14:paraId="0925A0CF" w14:textId="77777777" w:rsidR="00662E46" w:rsidRPr="00ED2ED6" w:rsidRDefault="00662E46" w:rsidP="00662E46">
      <w:pPr>
        <w:tabs>
          <w:tab w:val="left" w:pos="3768"/>
        </w:tabs>
        <w:spacing w:after="0" w:line="276" w:lineRule="auto"/>
        <w:jc w:val="both"/>
        <w:rPr>
          <w:rFonts w:ascii="Verdana" w:eastAsia="Calibri" w:hAnsi="Verdana" w:cs="Arial"/>
          <w:lang w:val="es-ES" w:eastAsia="es-ES"/>
        </w:rPr>
      </w:pPr>
      <w:r w:rsidRPr="00ED2ED6">
        <w:rPr>
          <w:rFonts w:ascii="Verdana" w:eastAsia="Calibri" w:hAnsi="Verdana" w:cs="Arial"/>
          <w:lang w:val="es-ES" w:eastAsia="es-ES"/>
        </w:rPr>
        <w:tab/>
      </w:r>
    </w:p>
    <w:p w14:paraId="0396CD4A" w14:textId="77777777" w:rsidR="00662E46" w:rsidRPr="00486E29" w:rsidRDefault="00662E46" w:rsidP="00662E46">
      <w:pPr>
        <w:spacing w:after="0" w:line="276" w:lineRule="auto"/>
        <w:jc w:val="both"/>
        <w:rPr>
          <w:rFonts w:ascii="Verdana" w:eastAsia="Calibri" w:hAnsi="Verdana" w:cs="Arial"/>
          <w:lang w:val="es-ES" w:eastAsia="es-ES"/>
        </w:rPr>
      </w:pPr>
      <w:r w:rsidRPr="00ED2ED6">
        <w:rPr>
          <w:rFonts w:ascii="Verdana" w:eastAsia="Calibri" w:hAnsi="Verdana" w:cs="Arial"/>
          <w:lang w:val="es-ES" w:eastAsia="es-ES"/>
        </w:rPr>
        <w:t xml:space="preserve">En ejercicio de la competencia otorgada por los artículos 3, numeral 5º, y 11, numeral 8º, del Decreto </w:t>
      </w:r>
      <w:r w:rsidRPr="00593A5F">
        <w:rPr>
          <w:rFonts w:ascii="Verdana" w:eastAsia="Calibri" w:hAnsi="Verdana" w:cs="Arial"/>
          <w:color w:val="000000" w:themeColor="text1"/>
          <w:lang w:val="es-ES" w:eastAsia="es-ES"/>
        </w:rPr>
        <w:t>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w:t>
      </w:r>
      <w:r w:rsidRPr="00486E29">
        <w:rPr>
          <w:rFonts w:ascii="Verdana" w:hAnsi="Verdana" w:cs="Arial"/>
        </w:rPr>
        <w:t xml:space="preserve">Resolución 1707 de 2018 expedida por esta Entidad, </w:t>
      </w:r>
      <w:r w:rsidRPr="00486E29">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12</w:t>
      </w:r>
      <w:r w:rsidRPr="00486E29">
        <w:rPr>
          <w:rFonts w:ascii="Verdana" w:eastAsia="Calibri" w:hAnsi="Verdana" w:cs="Arial"/>
          <w:lang w:val="es-ES" w:eastAsia="es-ES"/>
        </w:rPr>
        <w:t xml:space="preserve"> de </w:t>
      </w:r>
      <w:r>
        <w:rPr>
          <w:rFonts w:ascii="Verdana" w:eastAsia="Calibri" w:hAnsi="Verdana" w:cs="Arial"/>
          <w:lang w:val="es-ES" w:eastAsia="es-ES"/>
        </w:rPr>
        <w:t>agosto</w:t>
      </w:r>
      <w:r w:rsidRPr="00486E29">
        <w:rPr>
          <w:rFonts w:ascii="Verdana" w:eastAsia="Calibri" w:hAnsi="Verdana" w:cs="Arial"/>
          <w:lang w:val="es-ES" w:eastAsia="es-ES"/>
        </w:rPr>
        <w:t xml:space="preserve"> de 2025, en la cual manifiesta lo siguiente: </w:t>
      </w:r>
    </w:p>
    <w:p w14:paraId="4B4E4A2D" w14:textId="77777777" w:rsidR="00662E46" w:rsidRPr="003A0D7B" w:rsidRDefault="00662E46" w:rsidP="00662E46">
      <w:pPr>
        <w:pStyle w:val="Prrafodelista"/>
        <w:tabs>
          <w:tab w:val="left" w:pos="142"/>
          <w:tab w:val="left" w:pos="284"/>
        </w:tabs>
        <w:spacing w:line="276" w:lineRule="auto"/>
        <w:ind w:left="0"/>
        <w:jc w:val="both"/>
        <w:rPr>
          <w:rFonts w:ascii="Verdana" w:eastAsia="Century Gothic" w:hAnsi="Verdana" w:cs="Century Gothic"/>
          <w:b/>
          <w:bCs/>
          <w:i/>
          <w:iCs/>
        </w:rPr>
      </w:pPr>
    </w:p>
    <w:p w14:paraId="15808654" w14:textId="77777777" w:rsidR="00662E46" w:rsidRPr="003A0D7B" w:rsidRDefault="00662E46" w:rsidP="00662E46">
      <w:pPr>
        <w:spacing w:after="0" w:line="240" w:lineRule="auto"/>
        <w:ind w:left="709" w:right="709"/>
        <w:jc w:val="both"/>
        <w:rPr>
          <w:rFonts w:ascii="Verdana" w:eastAsia="Century Gothic" w:hAnsi="Verdana" w:cs="Century Gothic"/>
          <w:i/>
          <w:iCs/>
          <w:sz w:val="20"/>
          <w:szCs w:val="20"/>
          <w:lang w:val="es-ES"/>
        </w:rPr>
      </w:pPr>
      <w:bookmarkStart w:id="0" w:name="_Hlk95313578"/>
      <w:r w:rsidRPr="003A0D7B">
        <w:rPr>
          <w:rFonts w:ascii="Verdana" w:eastAsia="Century Gothic" w:hAnsi="Verdana" w:cs="Century Gothic"/>
          <w:i/>
          <w:iCs/>
          <w:sz w:val="20"/>
          <w:szCs w:val="20"/>
          <w:lang w:val="es-ES"/>
        </w:rPr>
        <w:t>“</w:t>
      </w:r>
      <w:bookmarkEnd w:id="0"/>
      <w:r w:rsidRPr="00506D7B">
        <w:rPr>
          <w:rFonts w:ascii="Verdana" w:eastAsia="Century Gothic" w:hAnsi="Verdana" w:cs="Century Gothic"/>
          <w:i/>
          <w:iCs/>
          <w:sz w:val="20"/>
          <w:szCs w:val="20"/>
          <w:lang w:val="es-ES"/>
        </w:rPr>
        <w:t xml:space="preserve">¿una persona natural que arrienda un bien inmueble a una entidad del estado tiene la obligación de realizar aportes a salud, pensiones y </w:t>
      </w:r>
      <w:proofErr w:type="spellStart"/>
      <w:r w:rsidRPr="00506D7B">
        <w:rPr>
          <w:rFonts w:ascii="Verdana" w:eastAsia="Century Gothic" w:hAnsi="Verdana" w:cs="Century Gothic"/>
          <w:i/>
          <w:iCs/>
          <w:sz w:val="20"/>
          <w:szCs w:val="20"/>
          <w:lang w:val="es-ES"/>
        </w:rPr>
        <w:t>paráfiscales</w:t>
      </w:r>
      <w:proofErr w:type="spellEnd"/>
      <w:r w:rsidRPr="00506D7B">
        <w:rPr>
          <w:rFonts w:ascii="Verdana" w:eastAsia="Century Gothic" w:hAnsi="Verdana" w:cs="Century Gothic"/>
          <w:i/>
          <w:iCs/>
          <w:sz w:val="20"/>
          <w:szCs w:val="20"/>
          <w:lang w:val="es-ES"/>
        </w:rPr>
        <w:t>, es decir, al sistema de seguridad social en general? Muchas gracias por su respuesta.</w:t>
      </w:r>
      <w:r>
        <w:rPr>
          <w:rFonts w:ascii="Verdana" w:eastAsia="Century Gothic" w:hAnsi="Verdana" w:cs="Century Gothic"/>
          <w:i/>
          <w:iCs/>
          <w:sz w:val="20"/>
          <w:szCs w:val="20"/>
          <w:lang w:val="es-ES"/>
        </w:rPr>
        <w:t>”</w:t>
      </w:r>
    </w:p>
    <w:p w14:paraId="7EAE0028" w14:textId="77777777" w:rsidR="00662E46" w:rsidRPr="00593A5F" w:rsidRDefault="00662E46" w:rsidP="00662E46">
      <w:pPr>
        <w:pStyle w:val="Prrafodelista"/>
        <w:tabs>
          <w:tab w:val="left" w:pos="142"/>
          <w:tab w:val="left" w:pos="284"/>
        </w:tabs>
        <w:spacing w:line="276" w:lineRule="auto"/>
        <w:ind w:left="0"/>
        <w:jc w:val="both"/>
        <w:rPr>
          <w:rFonts w:ascii="Verdana" w:eastAsia="Century Gothic" w:hAnsi="Verdana" w:cs="Century Gothic"/>
          <w:b/>
          <w:bCs/>
        </w:rPr>
      </w:pPr>
    </w:p>
    <w:p w14:paraId="7448EED9" w14:textId="77777777" w:rsidR="00662E46" w:rsidRDefault="00662E46" w:rsidP="00662E46">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593A5F">
        <w:rPr>
          <w:rFonts w:ascii="Verdana" w:eastAsia="Calibri" w:hAnsi="Verdana" w:cs="Arial"/>
          <w:color w:val="000000"/>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CFFDF76" w14:textId="77777777" w:rsidR="00662E46" w:rsidRDefault="00662E46" w:rsidP="00662E46">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 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6F2C899B" w14:textId="77777777" w:rsidR="00662E46" w:rsidRPr="00593A5F" w:rsidRDefault="00662E46" w:rsidP="00662E46">
      <w:pPr>
        <w:spacing w:after="0" w:line="276" w:lineRule="auto"/>
        <w:ind w:firstLine="709"/>
        <w:jc w:val="both"/>
        <w:rPr>
          <w:rFonts w:ascii="Verdana" w:eastAsia="Calibri" w:hAnsi="Verdana" w:cs="Arial"/>
          <w:color w:val="000000"/>
          <w:lang w:val="es-ES" w:eastAsia="es-ES"/>
        </w:rPr>
      </w:pPr>
    </w:p>
    <w:p w14:paraId="1AA7F40D" w14:textId="77777777" w:rsidR="00662E46" w:rsidRPr="00593A5F" w:rsidRDefault="00662E46" w:rsidP="00662E46">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84A4A33" w14:textId="77777777" w:rsidR="00662E46" w:rsidRPr="00593A5F" w:rsidRDefault="00662E46" w:rsidP="00662E46">
      <w:pPr>
        <w:tabs>
          <w:tab w:val="left" w:pos="426"/>
        </w:tabs>
        <w:spacing w:after="0" w:line="276" w:lineRule="auto"/>
        <w:jc w:val="both"/>
        <w:rPr>
          <w:rFonts w:ascii="Verdana" w:eastAsia="Century Gothic" w:hAnsi="Verdana" w:cs="Century Gothic"/>
          <w:lang w:val="es-ES"/>
        </w:rPr>
      </w:pPr>
    </w:p>
    <w:p w14:paraId="150D5834" w14:textId="77777777" w:rsidR="00662E46" w:rsidRPr="00593A5F" w:rsidRDefault="00662E46" w:rsidP="00662E46">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el siguiente problema jurídico: </w:t>
      </w:r>
      <w:r>
        <w:rPr>
          <w:rFonts w:ascii="Verdana" w:eastAsia="Century Gothic" w:hAnsi="Verdana" w:cs="Century Gothic"/>
        </w:rPr>
        <w:t xml:space="preserve">i) </w:t>
      </w:r>
      <w:r w:rsidRPr="006102F9">
        <w:rPr>
          <w:rFonts w:ascii="Verdana" w:eastAsia="Century Gothic" w:hAnsi="Verdana" w:cs="Century Gothic"/>
        </w:rPr>
        <w:t>¿Una persona natural que arrienda un bien inmueble a una entidad del Estado tiene la obligación de realizar aportes al Sistema de Seguridad Social Integral salud, pensiones y parafiscales</w:t>
      </w:r>
      <w:r>
        <w:rPr>
          <w:rFonts w:ascii="Verdana" w:eastAsia="Century Gothic" w:hAnsi="Verdana" w:cs="Century Gothic"/>
        </w:rPr>
        <w:t>?</w:t>
      </w:r>
    </w:p>
    <w:p w14:paraId="3BFD75EB" w14:textId="77777777" w:rsidR="00662E46" w:rsidRPr="00593A5F" w:rsidRDefault="00662E46" w:rsidP="00662E46">
      <w:pPr>
        <w:spacing w:after="0" w:line="276" w:lineRule="auto"/>
        <w:jc w:val="both"/>
        <w:rPr>
          <w:rFonts w:ascii="Verdana" w:eastAsia="Calibri" w:hAnsi="Verdana" w:cs="Arial"/>
          <w:color w:val="7030A0"/>
          <w:lang w:val="es-ES"/>
        </w:rPr>
      </w:pPr>
    </w:p>
    <w:p w14:paraId="05A1869A" w14:textId="77777777" w:rsidR="00662E46" w:rsidRPr="00593A5F" w:rsidRDefault="00662E46" w:rsidP="00662E46">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0B56756" w14:textId="77777777" w:rsidR="00662E46" w:rsidRPr="00593A5F" w:rsidRDefault="00662E46" w:rsidP="00662E4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62E46" w:rsidRPr="00593A5F" w14:paraId="77E3D793" w14:textId="77777777" w:rsidTr="00DE1091">
        <w:tc>
          <w:tcPr>
            <w:tcW w:w="8828" w:type="dxa"/>
          </w:tcPr>
          <w:p w14:paraId="6A4A1A38" w14:textId="77777777" w:rsidR="00662E46" w:rsidRDefault="00662E46" w:rsidP="00DE1091">
            <w:pPr>
              <w:spacing w:after="120" w:line="276" w:lineRule="auto"/>
              <w:jc w:val="both"/>
              <w:rPr>
                <w:rFonts w:ascii="Verdana" w:eastAsia="Calibri" w:hAnsi="Verdana" w:cs="Arial"/>
                <w:color w:val="000000" w:themeColor="text1"/>
              </w:rPr>
            </w:pPr>
            <w:r>
              <w:rPr>
                <w:rFonts w:ascii="Verdana" w:hAnsi="Verdana"/>
                <w:lang w:val="es-ES"/>
              </w:rPr>
              <w:t>En primer lugar, para resolver su consulta es menester indicar que, l</w:t>
            </w:r>
            <w:r w:rsidRPr="004D0229">
              <w:rPr>
                <w:rFonts w:ascii="Verdana" w:hAnsi="Verdana"/>
              </w:rPr>
              <w:t>a obligación de los contratistas del Estado de acreditar el pago de aportes a la seguridad social y parafiscales está prevista en el artículo 50 de la Ley 789 de 2002, el cual establece que</w:t>
            </w:r>
            <w:r>
              <w:rPr>
                <w:rFonts w:ascii="Verdana" w:hAnsi="Verdana"/>
              </w:rPr>
              <w:t>,</w:t>
            </w:r>
            <w:r w:rsidRPr="004D0229">
              <w:rPr>
                <w:rFonts w:ascii="Verdana" w:hAnsi="Verdana"/>
              </w:rPr>
              <w:t xml:space="preserve"> para celebrar, renovar o liquidar contratos con entidades públicas, los contratistas deben estar al día en el pago de aportes parafiscales relativos al Sistema de Seguridad Social Integral, así como los propios del Sena, ICBF y Cajas de Compensación Familiar, cuando corresponda; además, las entidades deben verificar y dejar constancia de este cumplimiento al momento de la liquidación, relacionando los valores pagados </w:t>
            </w:r>
            <w:r w:rsidRPr="00EA4682">
              <w:rPr>
                <w:rFonts w:ascii="Verdana" w:eastAsia="Calibri" w:hAnsi="Verdana" w:cs="Arial"/>
                <w:color w:val="000000" w:themeColor="text1"/>
              </w:rPr>
              <w:t>con los que debieron cotizarse.</w:t>
            </w:r>
          </w:p>
          <w:p w14:paraId="37DCB73A" w14:textId="77777777" w:rsidR="00662E46" w:rsidRDefault="00662E46" w:rsidP="00DE1091">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Ahora bien</w:t>
            </w:r>
            <w:r w:rsidRPr="00EA4682">
              <w:rPr>
                <w:rFonts w:ascii="Verdana" w:eastAsia="Calibri" w:hAnsi="Verdana" w:cs="Arial"/>
                <w:color w:val="000000" w:themeColor="text1"/>
              </w:rPr>
              <w:t>, la obligación</w:t>
            </w:r>
            <w:r w:rsidRPr="004D0229">
              <w:rPr>
                <w:rFonts w:ascii="Verdana" w:hAnsi="Verdana"/>
              </w:rPr>
              <w:t xml:space="preserve"> de cotizar al Sistema General de Seguridad Social en Salud por parte de los contratistas personas naturales se encuentra en el inciso 1º del artículo 23 del Decreto 1703 de 2002, el cual dispone que </w:t>
            </w:r>
            <w:r w:rsidRPr="004D0229">
              <w:rPr>
                <w:rFonts w:ascii="Verdana" w:hAnsi="Verdana"/>
              </w:rPr>
              <w:lastRenderedPageBreak/>
              <w:t xml:space="preserve">en los contratos en donde una persona natural ejecute un servicio a favor de una persona natural o jurídica de derecho público o privado —como los contratos de obra, arrendamiento de servicios, prestación de servicios, consultoría o asesoría, la parte contratante deberá verificar la afiliación y el </w:t>
            </w:r>
            <w:r w:rsidRPr="00EA4682">
              <w:rPr>
                <w:rFonts w:ascii="Verdana" w:eastAsia="Calibri" w:hAnsi="Verdana" w:cs="Arial"/>
                <w:color w:val="000000" w:themeColor="text1"/>
              </w:rPr>
              <w:t xml:space="preserve">pago de aportes al Sistema de Salud. </w:t>
            </w:r>
          </w:p>
          <w:p w14:paraId="296E0097" w14:textId="77777777" w:rsidR="00662E46" w:rsidRPr="00EA4682" w:rsidRDefault="00662E46" w:rsidP="00DE1091">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Por su parte, e</w:t>
            </w:r>
            <w:r w:rsidRPr="00C45363">
              <w:rPr>
                <w:rFonts w:ascii="Verdana" w:eastAsia="Calibri" w:hAnsi="Verdana" w:cs="Arial"/>
                <w:color w:val="000000" w:themeColor="text1"/>
              </w:rPr>
              <w:t>l artículo 23 de la Ley 1150 de 2007, al modificar el artículo 41 de la Ley 80 de 1993, establece que</w:t>
            </w:r>
            <w:r>
              <w:rPr>
                <w:rFonts w:ascii="Verdana" w:eastAsia="Calibri" w:hAnsi="Verdana" w:cs="Arial"/>
                <w:color w:val="000000" w:themeColor="text1"/>
              </w:rPr>
              <w:t>,</w:t>
            </w:r>
            <w:r w:rsidRPr="00C45363">
              <w:rPr>
                <w:rFonts w:ascii="Verdana" w:eastAsia="Calibri" w:hAnsi="Verdana" w:cs="Arial"/>
                <w:color w:val="000000" w:themeColor="text1"/>
              </w:rPr>
              <w:t xml:space="preserve"> para la ejecución de los contratos estatales no solo se requiere la aprobación de la garantía y la existencia de disponibilidad presupuestal, sino también que el proponente y el contratista acrediten estar al día en el pago de aportes parafiscales al Sistema de Seguridad Social Integral y a entidades como el SENA, ICBF y Cajas de Compensación Familiar, cuando corresponda; además, ordena que este requisito se verifique en cada pago derivado del contrato, bajo la advertencia de que el servidor público que omita dicha verificación sin justa causa incurrirá en causal de mala conducta disciplinaria.</w:t>
            </w:r>
          </w:p>
          <w:p w14:paraId="7C19767F" w14:textId="77777777" w:rsidR="00662E46" w:rsidRPr="00EA4682" w:rsidRDefault="00662E46" w:rsidP="00DE1091">
            <w:pPr>
              <w:spacing w:after="120" w:line="276" w:lineRule="auto"/>
              <w:ind w:firstLine="709"/>
              <w:jc w:val="both"/>
              <w:rPr>
                <w:rFonts w:ascii="Verdana" w:hAnsi="Verdana"/>
              </w:rPr>
            </w:pPr>
            <w:r w:rsidRPr="00EA4682">
              <w:rPr>
                <w:rFonts w:ascii="Verdana" w:eastAsia="Calibri" w:hAnsi="Verdana" w:cs="Arial"/>
                <w:color w:val="000000" w:themeColor="text1"/>
              </w:rPr>
              <w:t xml:space="preserve">En </w:t>
            </w:r>
            <w:r>
              <w:rPr>
                <w:rFonts w:ascii="Verdana" w:eastAsia="Calibri" w:hAnsi="Verdana" w:cs="Arial"/>
                <w:color w:val="000000" w:themeColor="text1"/>
              </w:rPr>
              <w:t>ese sentido</w:t>
            </w:r>
            <w:r w:rsidRPr="00EA4682">
              <w:rPr>
                <w:rFonts w:ascii="Verdana" w:eastAsia="Calibri" w:hAnsi="Verdana" w:cs="Arial"/>
                <w:color w:val="000000" w:themeColor="text1"/>
              </w:rPr>
              <w:t>, esto implica que</w:t>
            </w:r>
            <w:r w:rsidRPr="004D0229">
              <w:rPr>
                <w:rFonts w:ascii="Verdana" w:hAnsi="Verdana"/>
              </w:rPr>
              <w:t>, en todos los contratos, sin importar su duración, valor o modalidad, en los que una persona natural</w:t>
            </w:r>
            <w:r>
              <w:rPr>
                <w:rFonts w:ascii="Verdana" w:hAnsi="Verdana"/>
              </w:rPr>
              <w:t xml:space="preserve"> o jurídica</w:t>
            </w:r>
            <w:r w:rsidRPr="004D0229">
              <w:rPr>
                <w:rFonts w:ascii="Verdana" w:hAnsi="Verdana"/>
              </w:rPr>
              <w:t xml:space="preserve"> preste un </w:t>
            </w:r>
            <w:r>
              <w:rPr>
                <w:rFonts w:ascii="Verdana" w:hAnsi="Verdana"/>
              </w:rPr>
              <w:t xml:space="preserve">bien o </w:t>
            </w:r>
            <w:r w:rsidRPr="004D0229">
              <w:rPr>
                <w:rFonts w:ascii="Verdana" w:hAnsi="Verdana"/>
              </w:rPr>
              <w:t>servicio con el Estado, el contratista debe estar afiliado obligatoriamente tanto al Sistema General de Seguridad Social en Salud como al de Pensiones, y la entidad contratante deberá verificar dicha afiliación y el pago de aportes durante la ejecución contractual.</w:t>
            </w:r>
          </w:p>
        </w:tc>
      </w:tr>
    </w:tbl>
    <w:p w14:paraId="7AD222E7" w14:textId="77777777" w:rsidR="00662E46" w:rsidRPr="00593A5F" w:rsidRDefault="00662E46" w:rsidP="00662E46">
      <w:pPr>
        <w:tabs>
          <w:tab w:val="left" w:pos="142"/>
          <w:tab w:val="left" w:pos="284"/>
        </w:tabs>
        <w:spacing w:after="0" w:line="276" w:lineRule="auto"/>
        <w:jc w:val="both"/>
        <w:rPr>
          <w:rFonts w:ascii="Verdana" w:eastAsia="Century Gothic" w:hAnsi="Verdana" w:cs="Century Gothic"/>
          <w:b/>
          <w:bCs/>
          <w:lang w:val="es-ES"/>
        </w:rPr>
      </w:pPr>
    </w:p>
    <w:p w14:paraId="6A91E589" w14:textId="77777777" w:rsidR="00662E46" w:rsidRPr="00593A5F" w:rsidRDefault="00662E46" w:rsidP="00662E46">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A1FAF14" w14:textId="77777777" w:rsidR="00662E46" w:rsidRPr="00593A5F" w:rsidRDefault="00662E46" w:rsidP="00662E46">
      <w:pPr>
        <w:spacing w:after="0" w:line="276" w:lineRule="auto"/>
        <w:jc w:val="both"/>
        <w:rPr>
          <w:rFonts w:ascii="Verdana" w:eastAsia="Calibri" w:hAnsi="Verdana" w:cs="Arial"/>
          <w:color w:val="7030A0"/>
          <w:lang w:val="es-ES"/>
        </w:rPr>
      </w:pPr>
    </w:p>
    <w:p w14:paraId="2C8C8B34" w14:textId="77777777" w:rsidR="00662E46" w:rsidRDefault="00662E46" w:rsidP="00662E46">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26C503F6" w14:textId="77777777" w:rsidR="00662E46" w:rsidRDefault="00662E46" w:rsidP="00662E46">
      <w:pPr>
        <w:spacing w:after="0" w:line="276" w:lineRule="auto"/>
        <w:jc w:val="both"/>
        <w:rPr>
          <w:rFonts w:ascii="Verdana" w:eastAsia="Calibri" w:hAnsi="Verdana" w:cs="Arial"/>
          <w:lang w:val="es-ES"/>
        </w:rPr>
      </w:pPr>
    </w:p>
    <w:p w14:paraId="6F35C570" w14:textId="77777777" w:rsidR="00662E46" w:rsidRPr="00B8056D" w:rsidRDefault="00662E46" w:rsidP="00662E46">
      <w:p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 xml:space="preserve">i) </w:t>
      </w:r>
      <w:r w:rsidRPr="00B8056D">
        <w:rPr>
          <w:rFonts w:ascii="Verdana" w:eastAsia="Calibri" w:hAnsi="Verdana" w:cs="Arial"/>
          <w:color w:val="000000" w:themeColor="text1"/>
        </w:rPr>
        <w:t xml:space="preserve">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w:t>
      </w:r>
      <w:r w:rsidRPr="00B8056D">
        <w:rPr>
          <w:rFonts w:ascii="Verdana" w:hAnsi="Verdana" w:cs="Arial"/>
          <w:color w:val="000000" w:themeColor="text1"/>
          <w:lang w:val="es-ES_tradnl"/>
        </w:rPr>
        <w:t xml:space="preserve">arrendador o arrendadora– se obliga a concederle a otra –llamada arrendatario o arrendataria– el uso y goce de un bien, a cambio de una renta o canon, diferenciándose del contrato de compraventa en que no opera una transferencia </w:t>
      </w:r>
      <w:r w:rsidRPr="00B8056D">
        <w:rPr>
          <w:rFonts w:ascii="Verdana" w:eastAsia="Calibri" w:hAnsi="Verdana" w:cs="Arial"/>
          <w:color w:val="000000" w:themeColor="text1"/>
        </w:rPr>
        <w:t>del dominio del bien cuyo uso y goce se entrega.</w:t>
      </w:r>
    </w:p>
    <w:p w14:paraId="7CE4480E" w14:textId="77777777" w:rsidR="00662E46" w:rsidRPr="00B8056D" w:rsidRDefault="00662E46" w:rsidP="00662E46">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lastRenderedPageBreak/>
        <w:t>En cuanto a sus características</w:t>
      </w:r>
      <w:r w:rsidRPr="00B8056D">
        <w:rPr>
          <w:rFonts w:ascii="Verdana" w:hAnsi="Verdana" w:cs="Arial"/>
          <w:color w:val="000000" w:themeColor="text1"/>
          <w:lang w:val="es-ES_tradnl"/>
        </w:rPr>
        <w:t>, la doctrina ha indicado que el arrendamiento es un contrato</w:t>
      </w:r>
      <w:r w:rsidRPr="00B8056D">
        <w:rPr>
          <w:rFonts w:ascii="Verdana" w:eastAsia="Calibri" w:hAnsi="Verdana"/>
          <w:color w:val="000000" w:themeColor="text1"/>
        </w:rPr>
        <w:t xml:space="preserve">: i) bilateral, pues ambas partes se obligan recíprocamente; </w:t>
      </w:r>
      <w:proofErr w:type="spellStart"/>
      <w:r w:rsidRPr="00B8056D">
        <w:rPr>
          <w:rFonts w:ascii="Verdana" w:eastAsia="Calibri" w:hAnsi="Verdana"/>
          <w:color w:val="000000" w:themeColor="text1"/>
        </w:rPr>
        <w:t>ii</w:t>
      </w:r>
      <w:proofErr w:type="spellEnd"/>
      <w:r w:rsidRPr="00B8056D">
        <w:rPr>
          <w:rFonts w:ascii="Verdana" w:eastAsia="Calibri" w:hAnsi="Verdana"/>
          <w:color w:val="000000" w:themeColor="text1"/>
        </w:rPr>
        <w:t xml:space="preserve">) consensual, dado que se perfecciona con el consentimiento ; </w:t>
      </w:r>
      <w:proofErr w:type="spellStart"/>
      <w:r w:rsidRPr="00B8056D">
        <w:rPr>
          <w:rFonts w:ascii="Verdana" w:eastAsia="Calibri" w:hAnsi="Verdana"/>
          <w:color w:val="000000" w:themeColor="text1"/>
        </w:rPr>
        <w:t>iii</w:t>
      </w:r>
      <w:proofErr w:type="spellEnd"/>
      <w:r w:rsidRPr="00B8056D">
        <w:rPr>
          <w:rFonts w:ascii="Verdana" w:eastAsia="Calibri" w:hAnsi="Verdana"/>
          <w:color w:val="000000" w:themeColor="text1"/>
        </w:rPr>
        <w:t xml:space="preserve">) oneroso, ya que ambas partes obtienen utilidades –el arrendatario, el uso y goce del bien, y el arrendador la renta o canon; </w:t>
      </w:r>
      <w:proofErr w:type="spellStart"/>
      <w:r w:rsidRPr="00B8056D">
        <w:rPr>
          <w:rFonts w:ascii="Verdana" w:eastAsia="Calibri" w:hAnsi="Verdana"/>
          <w:color w:val="000000" w:themeColor="text1"/>
        </w:rPr>
        <w:t>iv</w:t>
      </w:r>
      <w:proofErr w:type="spellEnd"/>
      <w:r w:rsidRPr="00B8056D">
        <w:rPr>
          <w:rFonts w:ascii="Verdana" w:eastAsia="Calibri" w:hAnsi="Verdana"/>
          <w:color w:val="000000" w:themeColor="text1"/>
        </w:rPr>
        <w:t xml:space="preserve">) de ejecución sucesiva, en la </w:t>
      </w:r>
      <w:r w:rsidRPr="00B8056D">
        <w:rPr>
          <w:rFonts w:ascii="Verdana" w:eastAsia="Calibri" w:hAnsi="Verdana" w:cs="Arial"/>
          <w:color w:val="000000" w:themeColor="text1"/>
        </w:rPr>
        <w:t>medida en que se ejecuta en forma periódica; v) principal, porque existe en forma autónoma; y v) nominado, porque está tipificado y desarrollado en la ley.</w:t>
      </w:r>
    </w:p>
    <w:p w14:paraId="5CAD305A" w14:textId="77777777" w:rsidR="00662E46" w:rsidRPr="00B8056D" w:rsidRDefault="00662E46" w:rsidP="00662E46">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 xml:space="preserve">Frente a su regulación, </w:t>
      </w:r>
      <w:r w:rsidRPr="00B05F99">
        <w:rPr>
          <w:rFonts w:ascii="Verdana" w:eastAsia="Times New Roman" w:hAnsi="Verdana" w:cs="Arial"/>
          <w:color w:val="000000"/>
        </w:rPr>
        <w:t>debemos remitirnos a las normas civiles y comerciales, debido a que</w:t>
      </w:r>
      <w:r>
        <w:rPr>
          <w:rFonts w:ascii="Verdana" w:eastAsia="Times New Roman" w:hAnsi="Verdana" w:cs="Arial"/>
          <w:color w:val="000000"/>
        </w:rPr>
        <w:t>, a</w:t>
      </w:r>
      <w:r w:rsidRPr="00B05F99">
        <w:rPr>
          <w:rFonts w:ascii="Verdana" w:eastAsia="Times New Roman" w:hAnsi="Verdana" w:cs="Arial"/>
          <w:color w:val="000000"/>
        </w:rPr>
        <w:t>unque el contrato de arrendamiento no se encuentra dentro del listado enunciativo del artículo 32 de la Ley 80 de 1993, por lo que se aplicará, los artículos 1973 al 2078 del Código Civil y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por la cual se expide el régimen de arrendamiento de vivienda urbana.</w:t>
      </w:r>
      <w:r>
        <w:rPr>
          <w:rFonts w:ascii="Verdana" w:eastAsia="Times New Roman" w:hAnsi="Verdana" w:cs="Arial"/>
          <w:color w:val="000000"/>
        </w:rPr>
        <w:t xml:space="preserve"> </w:t>
      </w:r>
    </w:p>
    <w:p w14:paraId="7B24E2DB" w14:textId="77777777" w:rsidR="00662E46" w:rsidRDefault="00662E46" w:rsidP="00662E46">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 xml:space="preserve">En igual sentido, por su importancia en la contratación estatal, debe precisarse que la modalidad de selección aplicable a la celebración de los contratos de arrendamiento depende del régimen aplicable a la entidad estatal. Si se rige por el derecho privado, es decir, si está exceptuada del Estatuto General de Contratación de la Administración Pública, debe aplicar en principio las normas civiles y comerciales mencionadas, en las cuales se permite la celebración directa del contrato de arrendamiento, pero si el reglamento o manual interno de contratación de la entidad dispone que debe efectuar algún procedimiento especial, este prevalece. </w:t>
      </w:r>
    </w:p>
    <w:p w14:paraId="511FD68E" w14:textId="77777777" w:rsidR="00662E46" w:rsidRPr="00B8056D" w:rsidRDefault="00662E46" w:rsidP="00662E46">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En contrate, si la entidad estatal se rige por el Estatuto General de Contratación de la Administración Pública, bien sea que obre en calidad de arrendadora o arrendataria, debe acudir a la modalidad de selección de contratación directa si arrendara un inmueble, pues el artículo 2º, numeral 4° literal i) de la Ley 1150 de 2007 establece que una de las causales de este procedimiento es “i) El arrendamiento o adquisición de inmuebles</w:t>
      </w:r>
      <w:proofErr w:type="gramStart"/>
      <w:r w:rsidRPr="00B8056D">
        <w:rPr>
          <w:rFonts w:ascii="Verdana" w:eastAsia="Calibri" w:hAnsi="Verdana" w:cs="Arial"/>
          <w:color w:val="000000" w:themeColor="text1"/>
        </w:rPr>
        <w:t>” .</w:t>
      </w:r>
      <w:proofErr w:type="gramEnd"/>
      <w:r w:rsidRPr="00B8056D">
        <w:rPr>
          <w:rFonts w:ascii="Verdana" w:eastAsia="Calibri" w:hAnsi="Verdana" w:cs="Arial"/>
          <w:color w:val="000000" w:themeColor="text1"/>
        </w:rPr>
        <w:t xml:space="preserve"> Si lo que arrendará es un bien mueble, lo deberá hacer por licitación pública, selección abreviada o mínima cuantía, dependiendo del valor de la contratación. En ambos supuestos la entidad estatal también debe aplicar las normas civiles y comerciales que regulan la sustantividad del contrato de arrendamiento, porque a estas se remiten los artículos 13, 32 y 40 de la Ley 80 de 1993.</w:t>
      </w:r>
    </w:p>
    <w:p w14:paraId="4D76EE1C" w14:textId="77777777" w:rsidR="00662E46" w:rsidRPr="00B8056D" w:rsidRDefault="00662E46" w:rsidP="00662E46">
      <w:pPr>
        <w:spacing w:after="120" w:line="276" w:lineRule="auto"/>
        <w:jc w:val="both"/>
        <w:rPr>
          <w:rFonts w:ascii="Verdana" w:eastAsia="Calibri" w:hAnsi="Verdana" w:cs="Arial"/>
          <w:color w:val="000000" w:themeColor="text1"/>
        </w:rPr>
      </w:pPr>
      <w:proofErr w:type="spellStart"/>
      <w:r>
        <w:rPr>
          <w:rFonts w:ascii="Verdana" w:eastAsia="Calibri" w:hAnsi="Verdana" w:cs="Arial"/>
          <w:color w:val="000000" w:themeColor="text1"/>
        </w:rPr>
        <w:lastRenderedPageBreak/>
        <w:t>ii</w:t>
      </w:r>
      <w:proofErr w:type="spellEnd"/>
      <w:r>
        <w:rPr>
          <w:rFonts w:ascii="Verdana" w:eastAsia="Calibri" w:hAnsi="Verdana" w:cs="Arial"/>
          <w:color w:val="000000" w:themeColor="text1"/>
        </w:rPr>
        <w:t xml:space="preserve">) </w:t>
      </w:r>
      <w:r w:rsidRPr="00B8056D">
        <w:rPr>
          <w:rFonts w:ascii="Verdana" w:eastAsia="Calibri" w:hAnsi="Verdana" w:cs="Arial"/>
          <w:color w:val="000000" w:themeColor="text1"/>
        </w:rPr>
        <w:t xml:space="preserve">Por otro lado, </w:t>
      </w:r>
      <w:r>
        <w:rPr>
          <w:rFonts w:ascii="Verdana" w:eastAsia="Calibri" w:hAnsi="Verdana" w:cs="Arial"/>
          <w:color w:val="000000" w:themeColor="text1"/>
        </w:rPr>
        <w:t>l</w:t>
      </w:r>
      <w:r w:rsidRPr="00B8056D">
        <w:rPr>
          <w:rFonts w:ascii="Verdana" w:eastAsia="Calibri" w:hAnsi="Verdana" w:cs="Arial"/>
          <w:color w:val="000000" w:themeColor="text1"/>
        </w:rPr>
        <w:t xml:space="preserve">a Ley 80 de 1993, en el texto original del artículo 41, estableció que los requisitos para perfeccionar el contrato eran: i) llegar a un acuerdo sobre el objeto y la contraprestación y </w:t>
      </w:r>
      <w:proofErr w:type="spellStart"/>
      <w:r w:rsidRPr="00B8056D">
        <w:rPr>
          <w:rFonts w:ascii="Verdana" w:eastAsia="Calibri" w:hAnsi="Verdana" w:cs="Arial"/>
          <w:color w:val="000000" w:themeColor="text1"/>
        </w:rPr>
        <w:t>ii</w:t>
      </w:r>
      <w:proofErr w:type="spellEnd"/>
      <w:r w:rsidRPr="00B8056D">
        <w:rPr>
          <w:rFonts w:ascii="Verdana" w:eastAsia="Calibri" w:hAnsi="Verdana" w:cs="Arial"/>
          <w:color w:val="000000" w:themeColor="text1"/>
        </w:rPr>
        <w:t xml:space="preserve">) que conste por escrito. Por su parte, para iniciar la ejecución se requería: i) la constitución y aprobación de la garantía y </w:t>
      </w:r>
      <w:proofErr w:type="spellStart"/>
      <w:r w:rsidRPr="00B8056D">
        <w:rPr>
          <w:rFonts w:ascii="Verdana" w:eastAsia="Calibri" w:hAnsi="Verdana" w:cs="Arial"/>
          <w:color w:val="000000" w:themeColor="text1"/>
        </w:rPr>
        <w:t>ii</w:t>
      </w:r>
      <w:proofErr w:type="spellEnd"/>
      <w:r w:rsidRPr="00B8056D">
        <w:rPr>
          <w:rFonts w:ascii="Verdana" w:eastAsia="Calibri" w:hAnsi="Verdana" w:cs="Arial"/>
          <w:color w:val="000000" w:themeColor="text1"/>
        </w:rPr>
        <w:t>) la existencia del registro presupuestal.</w:t>
      </w:r>
    </w:p>
    <w:p w14:paraId="669990EB" w14:textId="77777777" w:rsidR="00662E46" w:rsidRPr="00B8056D" w:rsidRDefault="00662E46" w:rsidP="00662E46">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Posteriormente, el artículo 50 de la Ley 789 de 2002 estableció, como obligación de quien quiere celebrar, renovar o liquidar contratos de cualquier naturaleza con entidades del sector público, cumplir con las obligaciones frente a los sistemas de salud, riesgos profesionales, pensiones y aportes a la Caja de Compensación Familiar, Instituto Colombiano de Bienestar Familiar y Servicio Nacional de Aprendizaje cuando a ello haya lugar. Además, se facultó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 cotizar.</w:t>
      </w:r>
    </w:p>
    <w:p w14:paraId="2C598507" w14:textId="77777777" w:rsidR="00662E46" w:rsidRPr="00B8056D" w:rsidRDefault="00662E46" w:rsidP="00662E46">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Además, aclara que las personas</w:t>
      </w:r>
      <w:r w:rsidRPr="00B8056D">
        <w:rPr>
          <w:rFonts w:ascii="Verdana" w:eastAsia="Times New Roman" w:hAnsi="Verdana" w:cs="Arial"/>
          <w:color w:val="000000" w:themeColor="text1"/>
          <w:lang w:eastAsia="es-ES"/>
        </w:rPr>
        <w:t xml:space="preserve"> jurídicas que quieran celebrar contratos con las entidades estatales deben acreditar el pago al Sistema de Seguridad Social Integral de sus empleados, y que por eso deben presentar una certificación expedida por el revisor fiscal o por el representante legal, durante un lapso equivalente al que exija el respectivo régimen de contratación para que se hubiera constituido la sociedad, el cual, en todo caso, no debe ser inferior a los 6 meses anteriores a la celebración del contrato. En este sentido, la ley establece que para presentar la oferta las personas jurídicas deben acreditar el requisito señalado anteriormente, es decir, el pago al sistema de seguridad social </w:t>
      </w:r>
      <w:r w:rsidRPr="00B8056D">
        <w:rPr>
          <w:rFonts w:ascii="Verdana" w:eastAsia="Calibri" w:hAnsi="Verdana" w:cs="Arial"/>
          <w:color w:val="000000" w:themeColor="text1"/>
        </w:rPr>
        <w:t>de sus empleados.</w:t>
      </w:r>
    </w:p>
    <w:p w14:paraId="0151287A" w14:textId="77777777" w:rsidR="00662E46" w:rsidRPr="00427C5D" w:rsidRDefault="00662E46" w:rsidP="00662E46">
      <w:pPr>
        <w:spacing w:after="120" w:line="276" w:lineRule="auto"/>
        <w:ind w:firstLine="709"/>
        <w:jc w:val="both"/>
        <w:rPr>
          <w:rFonts w:ascii="Verdana" w:eastAsia="Times New Roman" w:hAnsi="Verdana" w:cs="Arial"/>
          <w:color w:val="000000" w:themeColor="text1"/>
          <w:lang w:eastAsia="es-ES"/>
        </w:rPr>
      </w:pPr>
      <w:r w:rsidRPr="00B8056D">
        <w:rPr>
          <w:rFonts w:ascii="Verdana" w:eastAsia="Calibri" w:hAnsi="Verdana" w:cs="Arial"/>
          <w:color w:val="000000" w:themeColor="text1"/>
        </w:rPr>
        <w:t xml:space="preserve">Esta norma fue analizada por el Consejo de Estado, quien consideró que el artículo 50 de la Ley 789 de 2002 tiene por objeto evitar la evasión por parte de los empleadores de las cotizaciones al Sistema de Seguridad Social Integral y de los aportes parafiscales. Para lograr esa finalidad el legislador impuso a las entidades estatales la obligación de verificar, en los procesos de selección de contratistas y durante la ejecución y liquidación de los contratos, que tanto los oferentes como los contratistas hayan realizado los aportes al Sistema de Seguridad Social Integral. Por lo tanto, la jurisprudencia reiteró la necesidad de que las entidades estatales, durante la ejecución del contrato, verifiquen el cumplimiento de las obligaciones del Sistema de Seguridad Social Integral por </w:t>
      </w:r>
      <w:r w:rsidRPr="00B8056D">
        <w:rPr>
          <w:rFonts w:ascii="Verdana" w:eastAsia="Times New Roman" w:hAnsi="Verdana" w:cs="Arial"/>
          <w:color w:val="000000" w:themeColor="text1"/>
          <w:lang w:eastAsia="es-ES"/>
        </w:rPr>
        <w:t xml:space="preserve">parte de los contratistas. </w:t>
      </w:r>
    </w:p>
    <w:p w14:paraId="218A7603" w14:textId="77777777" w:rsidR="00662E46" w:rsidRDefault="00662E46" w:rsidP="00662E46">
      <w:pPr>
        <w:spacing w:after="0" w:line="276" w:lineRule="auto"/>
        <w:ind w:firstLine="709"/>
        <w:jc w:val="both"/>
        <w:rPr>
          <w:rFonts w:ascii="Verdana" w:eastAsia="Calibri" w:hAnsi="Verdana" w:cs="Arial"/>
          <w:color w:val="000000" w:themeColor="text1"/>
        </w:rPr>
      </w:pPr>
      <w:r w:rsidRPr="00B8056D">
        <w:rPr>
          <w:rFonts w:ascii="Verdana" w:eastAsia="Times New Roman" w:hAnsi="Verdana" w:cs="Arial"/>
          <w:color w:val="000000" w:themeColor="text1"/>
          <w:lang w:eastAsia="es-ES"/>
        </w:rPr>
        <w:lastRenderedPageBreak/>
        <w:t>En igual sentido, el artículo 23</w:t>
      </w:r>
      <w:r w:rsidRPr="00B8056D">
        <w:rPr>
          <w:rFonts w:ascii="Verdana" w:eastAsia="Calibri" w:hAnsi="Verdana" w:cs="Arial"/>
          <w:color w:val="000000" w:themeColor="text1"/>
        </w:rPr>
        <w:t xml:space="preserve"> de la Ley 1150 de 2007 modificó el inciso segundo del artículo 41 de la Ley 80 de 1993, incluyendo la obligación, para los proponentes y contratistas, de estar a paz y salvo con los aportes parafiscales al Sistema de Seguridad Social integral, al señalar:</w:t>
      </w:r>
    </w:p>
    <w:p w14:paraId="57DE1294" w14:textId="77777777" w:rsidR="00662E46" w:rsidRPr="00B8056D" w:rsidRDefault="00662E46" w:rsidP="00662E46">
      <w:pPr>
        <w:contextualSpacing/>
        <w:jc w:val="both"/>
        <w:rPr>
          <w:rFonts w:ascii="Verdana" w:eastAsia="Calibri" w:hAnsi="Verdana" w:cs="Arial"/>
          <w:color w:val="000000" w:themeColor="text1"/>
        </w:rPr>
      </w:pPr>
    </w:p>
    <w:p w14:paraId="7D7B93A9" w14:textId="77777777" w:rsidR="00662E46" w:rsidRPr="00B8056D" w:rsidRDefault="00662E46" w:rsidP="00662E46">
      <w:pPr>
        <w:tabs>
          <w:tab w:val="left" w:pos="7938"/>
          <w:tab w:val="left" w:pos="8080"/>
        </w:tabs>
        <w:spacing w:before="120" w:after="12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eastAsia="es-CO"/>
        </w:rPr>
        <w:t>“</w:t>
      </w:r>
      <w:r w:rsidRPr="00B8056D">
        <w:rPr>
          <w:rFonts w:ascii="Verdana" w:eastAsia="Times New Roman" w:hAnsi="Verdana" w:cs="Arial"/>
          <w:sz w:val="20"/>
          <w:szCs w:val="20"/>
          <w:lang w:val="es-ES" w:eastAsia="es-CO"/>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08DCC577" w14:textId="77777777" w:rsidR="00662E46" w:rsidRPr="00B8056D" w:rsidRDefault="00662E46" w:rsidP="00662E46">
      <w:pPr>
        <w:spacing w:before="120" w:after="120" w:line="240" w:lineRule="auto"/>
        <w:ind w:left="709" w:right="709"/>
        <w:jc w:val="both"/>
        <w:rPr>
          <w:rFonts w:ascii="Verdana" w:eastAsia="Times New Roman" w:hAnsi="Verdana" w:cs="Arial"/>
          <w:sz w:val="20"/>
          <w:szCs w:val="20"/>
          <w:lang w:val="es-ES" w:eastAsia="es-CO"/>
        </w:rPr>
      </w:pPr>
      <w:r w:rsidRPr="00B8056D">
        <w:rPr>
          <w:rFonts w:ascii="Verdana" w:eastAsia="Times New Roman" w:hAnsi="Verdana" w:cs="Arial"/>
          <w:bCs/>
          <w:sz w:val="20"/>
          <w:szCs w:val="20"/>
          <w:lang w:val="es-ES" w:eastAsia="es-CO"/>
        </w:rPr>
        <w:t>Parágrafo 1.</w:t>
      </w:r>
      <w:r w:rsidRPr="00B8056D">
        <w:rPr>
          <w:rFonts w:ascii="Verdana" w:eastAsia="Times New Roman" w:hAnsi="Verdana" w:cs="Arial"/>
          <w:sz w:val="20"/>
          <w:szCs w:val="20"/>
          <w:lang w:val="es-ES" w:eastAsia="es-CO"/>
        </w:rPr>
        <w:t> El requisito establecido en la parte final del inciso segundo de este artículo deberá acreditarse para la realización de cada pago derivado del contrato estatal.</w:t>
      </w:r>
    </w:p>
    <w:p w14:paraId="18901E81" w14:textId="77777777" w:rsidR="00662E46" w:rsidRPr="00B8056D" w:rsidRDefault="00662E46" w:rsidP="00662E46">
      <w:pPr>
        <w:spacing w:before="120" w:after="120" w:line="240" w:lineRule="auto"/>
        <w:ind w:left="709" w:right="709"/>
        <w:jc w:val="both"/>
        <w:rPr>
          <w:rFonts w:ascii="Verdana" w:eastAsia="Times New Roman" w:hAnsi="Verdana" w:cs="Arial"/>
          <w:sz w:val="20"/>
          <w:szCs w:val="20"/>
          <w:lang w:val="es-ES" w:eastAsia="es-CO"/>
        </w:rPr>
      </w:pPr>
      <w:r w:rsidRPr="00B8056D">
        <w:rPr>
          <w:rFonts w:ascii="Verdana" w:eastAsia="Times New Roman" w:hAnsi="Verdana" w:cs="Arial"/>
          <w:sz w:val="20"/>
          <w:szCs w:val="20"/>
          <w:lang w:val="es-ES" w:eastAsia="es-CO"/>
        </w:rPr>
        <w:t>El servidor público que sin justa causa no verifique el pago de los aportes a que se refiere el presente artículo, incurrirá en causal de mala conducta, que será sancionada con arreglo al régimen disciplinario vigente.</w:t>
      </w:r>
      <w:r>
        <w:rPr>
          <w:rFonts w:ascii="Verdana" w:eastAsia="Times New Roman" w:hAnsi="Verdana" w:cs="Arial"/>
          <w:sz w:val="20"/>
          <w:szCs w:val="20"/>
          <w:lang w:val="es-ES" w:eastAsia="es-CO"/>
        </w:rPr>
        <w:t>”</w:t>
      </w:r>
    </w:p>
    <w:p w14:paraId="6BEEFE26" w14:textId="77777777" w:rsidR="00662E46" w:rsidRDefault="00662E46" w:rsidP="00662E46">
      <w:pPr>
        <w:spacing w:after="0" w:line="276" w:lineRule="auto"/>
        <w:contextualSpacing/>
        <w:jc w:val="both"/>
        <w:rPr>
          <w:rFonts w:ascii="Verdana" w:eastAsia="Calibri" w:hAnsi="Verdana" w:cs="Arial"/>
          <w:color w:val="000000" w:themeColor="text1"/>
        </w:rPr>
      </w:pPr>
    </w:p>
    <w:p w14:paraId="4A98D5FD" w14:textId="77777777" w:rsidR="00662E46" w:rsidRPr="00B8056D" w:rsidRDefault="00662E46" w:rsidP="00662E46">
      <w:pPr>
        <w:spacing w:after="120" w:line="276" w:lineRule="auto"/>
        <w:ind w:firstLine="709"/>
        <w:jc w:val="both"/>
        <w:rPr>
          <w:rFonts w:ascii="Verdana" w:eastAsia="Times New Roman" w:hAnsi="Verdana" w:cs="Arial"/>
          <w:color w:val="000000" w:themeColor="text1"/>
          <w:lang w:eastAsia="es-ES"/>
        </w:rPr>
      </w:pPr>
      <w:r w:rsidRPr="00B8056D">
        <w:rPr>
          <w:rFonts w:ascii="Verdana" w:eastAsia="Calibri" w:hAnsi="Verdana" w:cs="Arial"/>
          <w:color w:val="000000" w:themeColor="text1"/>
        </w:rPr>
        <w:t xml:space="preserve">De la lectura integral del artículo 23 de la Ley 1150 de 2007 se infiere que, si bien los proponentes y los contratistas deben estar al día en el pago al Sistema de Seguridad Social Integral, la verificación de este requisito, por parte de las entidades estatales, se efectuará cuando realicen los pagos del contrato, es </w:t>
      </w:r>
      <w:r w:rsidRPr="00B8056D">
        <w:rPr>
          <w:rFonts w:ascii="Verdana" w:eastAsia="Times New Roman" w:hAnsi="Verdana" w:cs="Arial"/>
          <w:color w:val="000000" w:themeColor="text1"/>
          <w:lang w:eastAsia="es-ES"/>
        </w:rPr>
        <w:t>decir, durante la ejecución.</w:t>
      </w:r>
    </w:p>
    <w:p w14:paraId="6456312F" w14:textId="77777777" w:rsidR="00662E46" w:rsidRPr="00B8056D" w:rsidRDefault="00662E46" w:rsidP="00662E46">
      <w:pPr>
        <w:spacing w:after="120" w:line="276" w:lineRule="auto"/>
        <w:ind w:firstLine="709"/>
        <w:jc w:val="both"/>
        <w:rPr>
          <w:rFonts w:ascii="Verdana" w:eastAsia="Calibri" w:hAnsi="Verdana" w:cs="Arial"/>
          <w:color w:val="000000" w:themeColor="text1"/>
        </w:rPr>
      </w:pPr>
      <w:r w:rsidRPr="00B8056D">
        <w:rPr>
          <w:rFonts w:ascii="Verdana" w:eastAsia="Times New Roman" w:hAnsi="Verdana" w:cs="Arial"/>
          <w:color w:val="000000" w:themeColor="text1"/>
          <w:lang w:eastAsia="es-ES"/>
        </w:rPr>
        <w:t>La verificación del</w:t>
      </w:r>
      <w:r w:rsidRPr="00B8056D">
        <w:rPr>
          <w:rFonts w:ascii="Verdana" w:eastAsia="Calibri" w:hAnsi="Verdana" w:cs="Arial"/>
          <w:color w:val="000000" w:themeColor="text1"/>
        </w:rPr>
        <w:t xml:space="preserve"> aporte Sistema de Seguridad Social Integral cambia, dependiendo si se trata de una persona natural o de una jurídica: i) si es una natural, la entidad estatal verificará el pago al Sistema de Seguridad Social Integral cuando se realicen los pagos del contrato, es decir, durante su ejecución y </w:t>
      </w:r>
      <w:proofErr w:type="spellStart"/>
      <w:r w:rsidRPr="00B8056D">
        <w:rPr>
          <w:rFonts w:ascii="Verdana" w:eastAsia="Calibri" w:hAnsi="Verdana" w:cs="Arial"/>
          <w:color w:val="000000" w:themeColor="text1"/>
        </w:rPr>
        <w:t>ii</w:t>
      </w:r>
      <w:proofErr w:type="spellEnd"/>
      <w:r w:rsidRPr="00B8056D">
        <w:rPr>
          <w:rFonts w:ascii="Verdana" w:eastAsia="Calibri" w:hAnsi="Verdana" w:cs="Arial"/>
          <w:color w:val="000000" w:themeColor="text1"/>
        </w:rPr>
        <w:t>) si se refiere a una persona jurídica, el comprobante de pago de los aportes al Sistema de Seguridad Social Integral de sus empleados se debe aportar con la presentación de la oferta, y este constituye un criterio de admisión de la oferta. Lo anterior, sin perjuicio de que durante la ejecución del contrato también se acredite el pago al Sistema de Seguridad Social Integral para pagar las cuentas o facturas si a ello hubiere lugar.</w:t>
      </w:r>
    </w:p>
    <w:p w14:paraId="59A9D5F4" w14:textId="77777777" w:rsidR="00662E46" w:rsidRPr="00B8056D" w:rsidRDefault="00662E46" w:rsidP="00662E46">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Igualmente, en virtud del artículo</w:t>
      </w:r>
      <w:r w:rsidRPr="00B8056D">
        <w:rPr>
          <w:rFonts w:ascii="Verdana" w:hAnsi="Verdana" w:cs="Arial"/>
          <w:color w:val="000000" w:themeColor="text1"/>
        </w:rPr>
        <w:t xml:space="preserve"> 50 de la Ley 789 de 2002, la entidad verificará, tanto para las personas naturales como para las jurídicas, la realización de los aportes al Sistema de Seguridad Social Integral, al momento </w:t>
      </w:r>
      <w:r w:rsidRPr="00B8056D">
        <w:rPr>
          <w:rFonts w:ascii="Verdana" w:hAnsi="Verdana" w:cs="Arial"/>
          <w:color w:val="000000" w:themeColor="text1"/>
        </w:rPr>
        <w:lastRenderedPageBreak/>
        <w:t xml:space="preserve">de su liquidación, y dejarán constancia del cumplimiento de las obligaciones del contratista frente a los aportes mencionados durante toda su vigencia, </w:t>
      </w:r>
      <w:r w:rsidRPr="00B8056D">
        <w:rPr>
          <w:rFonts w:ascii="Verdana" w:eastAsia="Calibri" w:hAnsi="Verdana" w:cs="Arial"/>
          <w:color w:val="000000" w:themeColor="text1"/>
        </w:rPr>
        <w:t>estableciendo una correcta relación entre el monto cancelado y las sumas que debieron cotizar.</w:t>
      </w:r>
    </w:p>
    <w:p w14:paraId="6381D179" w14:textId="77777777" w:rsidR="00662E46" w:rsidRDefault="00662E46" w:rsidP="00662E46">
      <w:pPr>
        <w:spacing w:after="120" w:line="276" w:lineRule="auto"/>
        <w:ind w:firstLine="709"/>
        <w:jc w:val="both"/>
        <w:rPr>
          <w:rFonts w:ascii="Verdana" w:eastAsia="Calibri" w:hAnsi="Verdana" w:cs="Arial"/>
          <w:color w:val="000000" w:themeColor="text1"/>
        </w:rPr>
      </w:pPr>
      <w:r w:rsidRPr="00B8056D">
        <w:rPr>
          <w:rFonts w:ascii="Verdana" w:eastAsia="Calibri" w:hAnsi="Verdana" w:cs="Arial"/>
          <w:color w:val="000000" w:themeColor="text1"/>
        </w:rPr>
        <w:t>En consecuencia, no cabe</w:t>
      </w:r>
      <w:r w:rsidRPr="00B8056D">
        <w:rPr>
          <w:rFonts w:ascii="Verdana" w:hAnsi="Verdana" w:cs="Arial"/>
        </w:rPr>
        <w:t xml:space="preserve"> duda de que el pago de los aportes al Sistema de Seguridad Social Integral, por parte de los contratistas del Estado, es una obligación contenida en las leyes y disposiciones reglamentarias que regulan esta materia, y es deber de las entidades contratantes verificar el cumplimiento de este mandato, tanto antes de celebrar el contrato como durante su ejecución y liquidación, conforme a la naturaleza jurídica de la persona con quien se va a </w:t>
      </w:r>
      <w:r w:rsidRPr="00B8056D">
        <w:rPr>
          <w:rFonts w:ascii="Verdana" w:eastAsia="Calibri" w:hAnsi="Verdana" w:cs="Arial"/>
          <w:color w:val="000000" w:themeColor="text1"/>
        </w:rPr>
        <w:t xml:space="preserve">realizar el contrato de arrendamiento. </w:t>
      </w:r>
    </w:p>
    <w:p w14:paraId="064DF503" w14:textId="77777777" w:rsidR="00662E46" w:rsidRDefault="00662E46" w:rsidP="00662E46">
      <w:pPr>
        <w:spacing w:after="120" w:line="276" w:lineRule="auto"/>
        <w:ind w:firstLine="709"/>
        <w:jc w:val="both"/>
        <w:rPr>
          <w:rFonts w:ascii="Verdana" w:eastAsia="Calibri" w:hAnsi="Verdana" w:cs="Arial"/>
          <w:color w:val="000000" w:themeColor="text1"/>
        </w:rPr>
      </w:pPr>
      <w:r w:rsidRPr="00427C5D">
        <w:rPr>
          <w:rFonts w:ascii="Verdana" w:eastAsia="Calibri" w:hAnsi="Verdana" w:cs="Arial"/>
          <w:color w:val="000000" w:themeColor="text1"/>
        </w:rPr>
        <w:t>Ahora bien, frente a la persona que arrendataria, es menester tener en cuenta que la Corte Constitucional en sentencia C-578 de 2009 concluyó que de la interpretación de los artículos 157 y 204 de la Ley 100 de 1993 debía considerarse a los rentistas de capital como trabajadores independientes, ya que dicha expresión incluye a todas las personas económicamente activas.</w:t>
      </w:r>
    </w:p>
    <w:p w14:paraId="77BD36B3" w14:textId="77777777" w:rsidR="00662E46" w:rsidRDefault="00662E46" w:rsidP="00662E46">
      <w:pPr>
        <w:spacing w:after="120" w:line="276" w:lineRule="auto"/>
        <w:ind w:firstLine="709"/>
        <w:jc w:val="both"/>
        <w:rPr>
          <w:rFonts w:ascii="Verdana" w:eastAsia="Calibri" w:hAnsi="Verdana" w:cs="Arial"/>
          <w:color w:val="000000" w:themeColor="text1"/>
        </w:rPr>
      </w:pPr>
      <w:r w:rsidRPr="00427C5D">
        <w:rPr>
          <w:rFonts w:ascii="Verdana" w:eastAsia="Calibri" w:hAnsi="Verdana" w:cs="Arial"/>
          <w:color w:val="000000" w:themeColor="text1"/>
        </w:rPr>
        <w:t>En ese orden de ideas, son conocidos como rentistas de capital aquellas personas que obtienen ingresos de arrendamientos, dividendos de inversiones, entre otras actividades, adquiriendo de esta manera capacidad de pago para cotizar al Sistema Integral de Seguridad Social.</w:t>
      </w:r>
    </w:p>
    <w:p w14:paraId="30E85D3A" w14:textId="77777777" w:rsidR="00662E46" w:rsidRDefault="00662E46" w:rsidP="00662E46">
      <w:pPr>
        <w:spacing w:after="120" w:line="276" w:lineRule="auto"/>
        <w:ind w:firstLine="709"/>
        <w:jc w:val="both"/>
        <w:rPr>
          <w:rFonts w:ascii="Verdana" w:eastAsia="Calibri" w:hAnsi="Verdana" w:cs="Arial"/>
          <w:color w:val="000000" w:themeColor="text1"/>
        </w:rPr>
      </w:pPr>
      <w:r w:rsidRPr="00427C5D">
        <w:rPr>
          <w:rFonts w:ascii="Verdana" w:eastAsia="Calibri" w:hAnsi="Verdana" w:cs="Arial"/>
          <w:color w:val="000000" w:themeColor="text1"/>
        </w:rPr>
        <w:t>El Decreto Único 780 de 2016 identifica como aportante a las personas naturales o jurídicas con trabajadores dependientes, a las entidades promotoras de salud, administradoras de pensiones o riesgos profesionales obligadas a realizar aportes correspondientes al Sistema, a los rentistas de capital y demás personas que tengan capacidad de contribuir al financiamiento del SGSSS y a los trabajadores independientes que se encuentren afiliados al Sistema de Seguridad Social Integral.</w:t>
      </w:r>
    </w:p>
    <w:p w14:paraId="5D4D38A2" w14:textId="77777777" w:rsidR="00662E46" w:rsidRDefault="00662E46" w:rsidP="00662E46">
      <w:pPr>
        <w:spacing w:after="120" w:line="276" w:lineRule="auto"/>
        <w:ind w:firstLine="709"/>
        <w:jc w:val="both"/>
        <w:rPr>
          <w:rFonts w:ascii="Verdana" w:eastAsia="Calibri" w:hAnsi="Verdana" w:cs="Arial"/>
          <w:color w:val="000000" w:themeColor="text1"/>
        </w:rPr>
      </w:pPr>
      <w:r w:rsidRPr="00427C5D">
        <w:rPr>
          <w:rFonts w:ascii="Verdana" w:eastAsia="Calibri" w:hAnsi="Verdana" w:cs="Arial"/>
          <w:color w:val="000000" w:themeColor="text1"/>
        </w:rPr>
        <w:t>Toda persona económicamente activa con capacidad de pago, en virtud del principio de solidaridad que rige el Sistema Integral de Seguridad Social, está en la obligación de aportar a los Sistemas de Salud y Pensiones, y en forma voluntaria pueden afiliarse al Sistema de Riesgos Laborales y caja de compensación familiar. Lo anterior para el caso de los independientes por cuenta propia y con contrato diferente al de prestación de servicios, dentro de los cuales se encuentran los rentistas de capital.</w:t>
      </w:r>
    </w:p>
    <w:p w14:paraId="76829263" w14:textId="77777777" w:rsidR="00662E46" w:rsidRDefault="00662E46" w:rsidP="00662E46">
      <w:pPr>
        <w:spacing w:after="120" w:line="276" w:lineRule="auto"/>
        <w:ind w:firstLine="709"/>
        <w:jc w:val="both"/>
        <w:rPr>
          <w:rFonts w:ascii="Verdana" w:eastAsia="Calibri" w:hAnsi="Verdana" w:cs="Arial"/>
          <w:color w:val="000000" w:themeColor="text1"/>
        </w:rPr>
      </w:pPr>
      <w:r w:rsidRPr="00427C5D">
        <w:rPr>
          <w:rFonts w:ascii="Verdana" w:eastAsia="Calibri" w:hAnsi="Verdana" w:cs="Arial"/>
          <w:color w:val="000000" w:themeColor="text1"/>
        </w:rPr>
        <w:t>Al respecto, la Unidad de Gestión Pensional y Parafiscales indicó que:</w:t>
      </w:r>
    </w:p>
    <w:p w14:paraId="0A36E39E" w14:textId="77777777" w:rsidR="00662E46" w:rsidRPr="00B8056D" w:rsidRDefault="00662E46" w:rsidP="00662E46">
      <w:pPr>
        <w:tabs>
          <w:tab w:val="left" w:pos="7938"/>
          <w:tab w:val="left" w:pos="8080"/>
        </w:tabs>
        <w:spacing w:before="120" w:after="0" w:line="240" w:lineRule="auto"/>
        <w:ind w:left="1134" w:right="709"/>
        <w:jc w:val="both"/>
        <w:rPr>
          <w:rFonts w:ascii="Verdana" w:eastAsia="Times New Roman" w:hAnsi="Verdana" w:cs="Arial"/>
          <w:sz w:val="20"/>
          <w:szCs w:val="20"/>
          <w:lang w:val="es-ES" w:eastAsia="es-CO"/>
        </w:rPr>
      </w:pPr>
      <w:r w:rsidRPr="00B05F99">
        <w:rPr>
          <w:rFonts w:ascii="Verdana" w:eastAsia="Times New Roman" w:hAnsi="Verdana" w:cs="Arial"/>
          <w:sz w:val="20"/>
          <w:szCs w:val="20"/>
          <w:lang w:val="es-ES" w:eastAsia="es-CO"/>
        </w:rPr>
        <w:lastRenderedPageBreak/>
        <w:t>“Un independiente que percibe ingresos mensuales iguales o superiores a 1 salario mínimo mensual legal vigente provenientes de la explotación de sus bienes muebles o inmuebles, o recibe intereses, dividendos o utilidades producto de unas acciones de su propiedad se considera como rentista de capital dentro del grupo de independientes por cuenta propia o por contratos diferentes al de prestación de servicios, y por tanto está en la obligación de cotizar a los sistemas de salud y pensión, en la forma señalada en el inciso primero del artículo 135 de la Ley 1753 de 2015, es decir, sobre mínimo el 40% del valor de sus ingresos y para calcular el ingreso base de cotización IBC podrán deducir las expensas que se generen en la ejecución de cada actividad conforme a lo dispuesto en el art. 107 del Estatuto Tributario”</w:t>
      </w:r>
      <w:r w:rsidRPr="00C563A7">
        <w:rPr>
          <w:rFonts w:ascii="Aptos" w:eastAsia="Times New Roman" w:hAnsi="Aptos" w:cs="Times New Roman"/>
          <w:vertAlign w:val="superscript"/>
          <w:lang w:eastAsia="es-CO"/>
        </w:rPr>
        <w:footnoteReference w:id="1"/>
      </w:r>
      <w:r w:rsidRPr="00B05F99">
        <w:rPr>
          <w:rFonts w:ascii="Verdana" w:eastAsia="Times New Roman" w:hAnsi="Verdana" w:cs="Arial"/>
          <w:sz w:val="20"/>
          <w:szCs w:val="20"/>
          <w:lang w:val="es-ES" w:eastAsia="es-CO"/>
        </w:rPr>
        <w:t>.</w:t>
      </w:r>
    </w:p>
    <w:p w14:paraId="76C6DD6A" w14:textId="77777777" w:rsidR="00662E46" w:rsidRDefault="00662E46" w:rsidP="00662E46">
      <w:pPr>
        <w:widowControl w:val="0"/>
        <w:autoSpaceDE w:val="0"/>
        <w:autoSpaceDN w:val="0"/>
        <w:spacing w:after="0" w:line="276" w:lineRule="auto"/>
        <w:ind w:firstLine="709"/>
        <w:jc w:val="both"/>
        <w:rPr>
          <w:rFonts w:ascii="Verdana" w:hAnsi="Verdana" w:cs="Arial"/>
          <w:color w:val="000000" w:themeColor="text1"/>
        </w:rPr>
      </w:pPr>
    </w:p>
    <w:p w14:paraId="4629347A" w14:textId="77777777" w:rsidR="00662E46" w:rsidRPr="00427C5D" w:rsidRDefault="00662E46" w:rsidP="00662E46">
      <w:pPr>
        <w:widowControl w:val="0"/>
        <w:autoSpaceDE w:val="0"/>
        <w:autoSpaceDN w:val="0"/>
        <w:spacing w:after="0" w:line="276" w:lineRule="auto"/>
        <w:ind w:firstLine="709"/>
        <w:jc w:val="both"/>
        <w:rPr>
          <w:rFonts w:ascii="Verdana" w:hAnsi="Verdana" w:cs="Arial"/>
          <w:color w:val="000000" w:themeColor="text1"/>
        </w:rPr>
      </w:pPr>
      <w:r w:rsidRPr="00427C5D">
        <w:rPr>
          <w:rFonts w:ascii="Verdana" w:hAnsi="Verdana" w:cs="Arial"/>
          <w:color w:val="000000" w:themeColor="text1"/>
        </w:rPr>
        <w:t>Por otra parte, en concepto con radicado No. 4201912000005462, expedido como respuesta a la consulta del 13 de agosto de 2019, esta Subdirección indicó:</w:t>
      </w:r>
    </w:p>
    <w:p w14:paraId="35CF07A9" w14:textId="77777777" w:rsidR="00662E46" w:rsidRPr="00427C5D" w:rsidRDefault="00662E46" w:rsidP="00662E46">
      <w:pPr>
        <w:widowControl w:val="0"/>
        <w:autoSpaceDE w:val="0"/>
        <w:autoSpaceDN w:val="0"/>
        <w:spacing w:after="0" w:line="276" w:lineRule="auto"/>
        <w:ind w:firstLine="709"/>
        <w:jc w:val="both"/>
        <w:rPr>
          <w:rFonts w:ascii="Verdana" w:hAnsi="Verdana" w:cs="Arial"/>
          <w:color w:val="000000" w:themeColor="text1"/>
        </w:rPr>
      </w:pPr>
    </w:p>
    <w:p w14:paraId="6265A1FA" w14:textId="77777777" w:rsidR="00662E46" w:rsidRPr="00C563A7" w:rsidRDefault="00662E46" w:rsidP="00662E46">
      <w:pPr>
        <w:tabs>
          <w:tab w:val="left" w:pos="7938"/>
          <w:tab w:val="left" w:pos="8080"/>
        </w:tabs>
        <w:spacing w:after="0" w:line="240" w:lineRule="auto"/>
        <w:ind w:left="1134" w:right="709"/>
        <w:jc w:val="both"/>
        <w:rPr>
          <w:rFonts w:ascii="Verdana" w:eastAsia="Times New Roman" w:hAnsi="Verdana" w:cs="Arial"/>
          <w:sz w:val="20"/>
          <w:szCs w:val="20"/>
          <w:lang w:val="es-ES" w:eastAsia="es-CO"/>
        </w:rPr>
      </w:pPr>
      <w:r w:rsidRPr="00C563A7">
        <w:rPr>
          <w:rFonts w:ascii="Verdana" w:eastAsia="Times New Roman" w:hAnsi="Verdana" w:cs="Arial"/>
          <w:sz w:val="20"/>
          <w:szCs w:val="20"/>
          <w:lang w:val="es-ES" w:eastAsia="es-CO"/>
        </w:rPr>
        <w:t>“Asimismo, como se mencionó previamente, el artículo 50 de la Ley 789 de 2002 establece que las entidades estatales, al momento de celebrar, renovar o liquidar un contrato verificará que el contratista cumpla sus obligaciones con los sistemas de salud, riesgos profesionales, pensiones y aportes a las Cajas de Compensación Familiar, cuando a ello haya lugar.</w:t>
      </w:r>
      <w:r>
        <w:rPr>
          <w:rFonts w:ascii="Verdana" w:eastAsia="Times New Roman" w:hAnsi="Verdana" w:cs="Arial"/>
          <w:sz w:val="20"/>
          <w:szCs w:val="20"/>
          <w:lang w:val="es-ES" w:eastAsia="es-CO"/>
        </w:rPr>
        <w:t>”</w:t>
      </w:r>
    </w:p>
    <w:p w14:paraId="7003EDE0" w14:textId="77777777" w:rsidR="00662E46" w:rsidRPr="00C563A7" w:rsidRDefault="00662E46" w:rsidP="00662E46">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C563A7">
        <w:rPr>
          <w:rFonts w:ascii="Verdana" w:eastAsia="Times New Roman" w:hAnsi="Verdana" w:cs="Arial"/>
          <w:sz w:val="20"/>
          <w:szCs w:val="20"/>
          <w:lang w:val="es-ES" w:eastAsia="es-CO"/>
        </w:rPr>
        <w:t>Si bien la Ley 1393 de 2010 sólo prevé como obligación verificar la afiliación al sistema de seguridad social en los contratos de prestación de servicios, la Ley 789 de 2002 sí establece que en cualquier contrato estatal la entidad contratante deberá verificar que el contratista cumplió con sus obligaciones al sistema de salud, riesgos profesionales, pensiones y aportes a las Cajas de Compensación Familiar.</w:t>
      </w:r>
    </w:p>
    <w:p w14:paraId="61C9A674" w14:textId="77777777" w:rsidR="00662E46" w:rsidRPr="00C563A7" w:rsidRDefault="00662E46" w:rsidP="00662E46">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C563A7">
        <w:rPr>
          <w:rFonts w:ascii="Verdana" w:eastAsia="Times New Roman" w:hAnsi="Verdana" w:cs="Arial"/>
          <w:sz w:val="20"/>
          <w:szCs w:val="20"/>
          <w:lang w:val="es-ES" w:eastAsia="es-CO"/>
        </w:rPr>
        <w:t xml:space="preserve">Entre las obligaciones que tienen las personas naturales que presten directamente servicios al Estado, bajo la modalidad de contratos de prestación o bajo cualquier otra modalidad de contrato, como el de suministro, se encuentra la de estar afiliados al sistema de seguridad social en salud y pensiones. </w:t>
      </w:r>
    </w:p>
    <w:p w14:paraId="1003A88E" w14:textId="77777777" w:rsidR="00662E46" w:rsidRPr="00C563A7" w:rsidRDefault="00662E46" w:rsidP="00662E46">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C563A7">
        <w:rPr>
          <w:rFonts w:ascii="Verdana" w:eastAsia="Times New Roman" w:hAnsi="Verdana" w:cs="Arial"/>
          <w:sz w:val="20"/>
          <w:szCs w:val="20"/>
          <w:lang w:val="es-ES" w:eastAsia="es-CO"/>
        </w:rPr>
        <w:t xml:space="preserve">Por otro lado, el artículo 3 de la Ley 797 de 2003 establece que deberán estar afiliados al Sistema General de Pensiones todas aquellas personas naturales que presten directamente servicios al Estado o a las entidades o empresas del sector privado, bajo la </w:t>
      </w:r>
      <w:r w:rsidRPr="00C563A7">
        <w:rPr>
          <w:rFonts w:ascii="Verdana" w:eastAsia="Times New Roman" w:hAnsi="Verdana" w:cs="Arial"/>
          <w:sz w:val="20"/>
          <w:szCs w:val="20"/>
          <w:lang w:val="es-ES" w:eastAsia="es-CO"/>
        </w:rPr>
        <w:lastRenderedPageBreak/>
        <w:t xml:space="preserve">modalidad de contratos de prestación de servicios, o cualquier otra modalidad de servicios que adopten. El Ministerio de Salud y Protección Social, en el concepto No. 112520 del 31 de mayo de 2012 indicó que el alcance de cualquier otra modalidad de servicios incluye los contratos de obra, suministro, de arrendamiento de servicios, entre </w:t>
      </w:r>
      <w:proofErr w:type="gramStart"/>
      <w:r w:rsidRPr="00C563A7">
        <w:rPr>
          <w:rFonts w:ascii="Verdana" w:eastAsia="Times New Roman" w:hAnsi="Verdana" w:cs="Arial"/>
          <w:sz w:val="20"/>
          <w:szCs w:val="20"/>
          <w:lang w:val="es-ES" w:eastAsia="es-CO"/>
        </w:rPr>
        <w:t>otros .</w:t>
      </w:r>
      <w:proofErr w:type="gramEnd"/>
      <w:r w:rsidRPr="00C563A7">
        <w:rPr>
          <w:rFonts w:ascii="Verdana" w:eastAsia="Times New Roman" w:hAnsi="Verdana" w:cs="Arial"/>
          <w:sz w:val="20"/>
          <w:szCs w:val="20"/>
          <w:lang w:val="es-ES" w:eastAsia="es-CO"/>
        </w:rPr>
        <w:t xml:space="preserve"> Por lo tanto, en los contratos de suministro la entidad estatal deberá verificar que la persona natural que presta el servicio de contrato de suministro en favor de una entidad estatal está afiliada al Sistema General de </w:t>
      </w:r>
      <w:proofErr w:type="gramStart"/>
      <w:r w:rsidRPr="00C563A7">
        <w:rPr>
          <w:rFonts w:ascii="Verdana" w:eastAsia="Times New Roman" w:hAnsi="Verdana" w:cs="Arial"/>
          <w:sz w:val="20"/>
          <w:szCs w:val="20"/>
          <w:lang w:val="es-ES" w:eastAsia="es-CO"/>
        </w:rPr>
        <w:t>Pensiones .</w:t>
      </w:r>
      <w:proofErr w:type="gramEnd"/>
      <w:r w:rsidRPr="00C563A7">
        <w:rPr>
          <w:rFonts w:ascii="Verdana" w:eastAsia="Times New Roman" w:hAnsi="Verdana" w:cs="Arial"/>
          <w:sz w:val="20"/>
          <w:szCs w:val="20"/>
          <w:lang w:val="es-ES" w:eastAsia="es-CO"/>
        </w:rPr>
        <w:t>”</w:t>
      </w:r>
    </w:p>
    <w:p w14:paraId="7765FF16" w14:textId="77777777" w:rsidR="00662E46" w:rsidRPr="00427C5D" w:rsidRDefault="00662E46" w:rsidP="00662E46">
      <w:pPr>
        <w:widowControl w:val="0"/>
        <w:autoSpaceDE w:val="0"/>
        <w:autoSpaceDN w:val="0"/>
        <w:spacing w:after="0" w:line="276" w:lineRule="auto"/>
        <w:jc w:val="both"/>
        <w:rPr>
          <w:rFonts w:ascii="Verdana" w:hAnsi="Verdana" w:cs="Arial"/>
          <w:color w:val="000000" w:themeColor="text1"/>
        </w:rPr>
      </w:pPr>
      <w:r w:rsidRPr="00427C5D">
        <w:rPr>
          <w:rFonts w:ascii="Verdana" w:hAnsi="Verdana" w:cs="Arial"/>
          <w:color w:val="000000" w:themeColor="text1"/>
        </w:rPr>
        <w:t xml:space="preserve"> </w:t>
      </w:r>
    </w:p>
    <w:p w14:paraId="1EF7F557" w14:textId="77777777" w:rsidR="00662E46" w:rsidRPr="00C563A7" w:rsidRDefault="00662E46" w:rsidP="00662E46">
      <w:pPr>
        <w:spacing w:after="120" w:line="276" w:lineRule="auto"/>
        <w:ind w:firstLine="709"/>
        <w:jc w:val="both"/>
        <w:rPr>
          <w:rFonts w:ascii="Verdana" w:eastAsia="Calibri" w:hAnsi="Verdana" w:cs="Arial"/>
          <w:color w:val="000000" w:themeColor="text1"/>
        </w:rPr>
      </w:pPr>
      <w:r w:rsidRPr="00427C5D">
        <w:rPr>
          <w:rFonts w:ascii="Verdana" w:hAnsi="Verdana" w:cs="Arial"/>
          <w:color w:val="000000" w:themeColor="text1"/>
        </w:rPr>
        <w:t xml:space="preserve">Como se observa, en dicho concepto se señaló que la obligación frente al Sistema de Seguridad Social Integral aplica frente a todos los contratos con las entidades estatales, pues es lo que se deduce del artículo 50 de la Ley 789 de </w:t>
      </w:r>
      <w:r w:rsidRPr="00C563A7">
        <w:rPr>
          <w:rFonts w:ascii="Verdana" w:eastAsia="Calibri" w:hAnsi="Verdana" w:cs="Arial"/>
          <w:color w:val="000000" w:themeColor="text1"/>
        </w:rPr>
        <w:t>2002.</w:t>
      </w:r>
    </w:p>
    <w:p w14:paraId="298BD84F" w14:textId="77777777" w:rsidR="00662E46" w:rsidRPr="00C563A7" w:rsidRDefault="00662E46" w:rsidP="00662E46">
      <w:pPr>
        <w:spacing w:after="120" w:line="276" w:lineRule="auto"/>
        <w:ind w:firstLine="709"/>
        <w:jc w:val="both"/>
        <w:rPr>
          <w:rFonts w:ascii="Verdana" w:eastAsia="Calibri" w:hAnsi="Verdana" w:cs="Arial"/>
          <w:color w:val="000000" w:themeColor="text1"/>
        </w:rPr>
      </w:pPr>
      <w:r w:rsidRPr="00C563A7">
        <w:rPr>
          <w:rFonts w:ascii="Verdana" w:eastAsia="Calibri" w:hAnsi="Verdana" w:cs="Arial"/>
          <w:color w:val="000000" w:themeColor="text1"/>
        </w:rPr>
        <w:t>En consecuencia</w:t>
      </w:r>
      <w:r w:rsidRPr="00427C5D">
        <w:rPr>
          <w:rFonts w:ascii="Verdana" w:hAnsi="Verdana" w:cs="Arial"/>
          <w:color w:val="000000" w:themeColor="text1"/>
        </w:rPr>
        <w:t xml:space="preserve">, no cabe duda de que el pago de los aportes al Sistema de Seguridad Social Integral, por parte de los contratistas del Estado, es una obligación contenida en las leyes y disposiciones reglamentarias que regulan esta materia, y es deber de las entidades contratantes verificar el cumplimiento de este mandato, tanto antes de celebrar el contrato como durante su ejecución y liquidación, conforme a la naturaleza jurídica de la persona con quien se va a </w:t>
      </w:r>
      <w:r w:rsidRPr="00C563A7">
        <w:rPr>
          <w:rFonts w:ascii="Verdana" w:eastAsia="Calibri" w:hAnsi="Verdana" w:cs="Arial"/>
          <w:color w:val="000000" w:themeColor="text1"/>
        </w:rPr>
        <w:t xml:space="preserve">realizar el contrato de arrendamiento. </w:t>
      </w:r>
    </w:p>
    <w:p w14:paraId="74F61009" w14:textId="77777777" w:rsidR="00662E46" w:rsidRPr="00C563A7" w:rsidRDefault="00662E46" w:rsidP="00662E46">
      <w:pPr>
        <w:spacing w:after="120" w:line="276" w:lineRule="auto"/>
        <w:ind w:firstLine="709"/>
        <w:jc w:val="both"/>
        <w:rPr>
          <w:rFonts w:ascii="Verdana" w:eastAsia="Calibri" w:hAnsi="Verdana" w:cs="Arial"/>
          <w:color w:val="000000" w:themeColor="text1"/>
        </w:rPr>
      </w:pPr>
      <w:r w:rsidRPr="00C563A7">
        <w:rPr>
          <w:rFonts w:ascii="Verdana" w:eastAsia="Calibri" w:hAnsi="Verdana" w:cs="Arial"/>
          <w:color w:val="000000" w:themeColor="text1"/>
        </w:rPr>
        <w:t>En el caso de los</w:t>
      </w:r>
      <w:r w:rsidRPr="00427C5D">
        <w:rPr>
          <w:rFonts w:ascii="Verdana" w:hAnsi="Verdana" w:cs="Arial"/>
          <w:color w:val="000000" w:themeColor="text1"/>
        </w:rPr>
        <w:t xml:space="preserve"> arrendadores, que son personas naturales o jurídicas y que actúan como rentistas de capital (quienes obtienen ingresos por el uso de sus bienes), la normativa los obliga a cotizar como trabajadores independientes. Este grupo debe realizar aportes sobre un ingreso base de cotización del 40% de sus ingresos brutos, sin incluir el valor del IVA, tal como lo establece el Decreto Único 780 de 2016. Este requisito responde al principio de solidaridad, que implica que toda persona con capacidad económica debe contribuir al </w:t>
      </w:r>
      <w:r w:rsidRPr="00C563A7">
        <w:rPr>
          <w:rFonts w:ascii="Verdana" w:eastAsia="Calibri" w:hAnsi="Verdana" w:cs="Arial"/>
          <w:color w:val="000000" w:themeColor="text1"/>
        </w:rPr>
        <w:t xml:space="preserve">financiamiento del Sistema de Seguridad Social. </w:t>
      </w:r>
    </w:p>
    <w:p w14:paraId="1ED21219" w14:textId="77777777" w:rsidR="00662E46" w:rsidRPr="00267A9E" w:rsidRDefault="00662E46" w:rsidP="00662E46">
      <w:pPr>
        <w:spacing w:after="120" w:line="276" w:lineRule="auto"/>
        <w:ind w:firstLine="709"/>
        <w:jc w:val="both"/>
        <w:rPr>
          <w:rFonts w:ascii="Verdana" w:hAnsi="Verdana" w:cs="Arial"/>
          <w:color w:val="000000" w:themeColor="text1"/>
        </w:rPr>
      </w:pPr>
      <w:r w:rsidRPr="00C563A7">
        <w:rPr>
          <w:rFonts w:ascii="Verdana" w:eastAsia="Calibri" w:hAnsi="Verdana" w:cs="Arial"/>
          <w:color w:val="000000" w:themeColor="text1"/>
        </w:rPr>
        <w:t>Finalmente, en Colombia</w:t>
      </w:r>
      <w:r w:rsidRPr="00427C5D">
        <w:rPr>
          <w:rFonts w:ascii="Verdana" w:hAnsi="Verdana" w:cs="Arial"/>
          <w:color w:val="000000" w:themeColor="text1"/>
        </w:rPr>
        <w:t xml:space="preserve">, es obligatorio que los contratistas que participen en contratos de arrendamiento con entidades territoriales cumplan con sus aportes al Sistema Integral de Seguridad Social. Esta obligación recae tanto sobre quienes actúan como arrendadores (quienes ceden el uso de un bien a cambio de una renta) como sobre los arrendatarios (quienes alquilan un bien). La Ley 80 de 1993, la Ley 1150 de 2007 y la Ley 789 de 2002, junto con normas complementarias, establecen que estos contratistas deben estar al día en sus aportes a salud, pensión y cajas de compensación familiar. Antes de celebrar el </w:t>
      </w:r>
      <w:r w:rsidRPr="00427C5D">
        <w:rPr>
          <w:rFonts w:ascii="Verdana" w:hAnsi="Verdana" w:cs="Arial"/>
          <w:color w:val="000000" w:themeColor="text1"/>
        </w:rPr>
        <w:lastRenderedPageBreak/>
        <w:t>contrato, así como durante su ejecución y al momento de la liquidación, la entidad estatal contratante tiene el deber de verificar el cumplimiento de estas obligaciones, asegurándose de que tanto proponentes como contratistas estén a paz y salvo en sus aportes parafiscales.</w:t>
      </w:r>
    </w:p>
    <w:p w14:paraId="7C0D010D" w14:textId="77777777" w:rsidR="00662E46" w:rsidRPr="00593A5F" w:rsidRDefault="00662E46" w:rsidP="00662E46">
      <w:pPr>
        <w:widowControl w:val="0"/>
        <w:autoSpaceDE w:val="0"/>
        <w:autoSpaceDN w:val="0"/>
        <w:spacing w:after="0" w:line="276" w:lineRule="auto"/>
        <w:jc w:val="both"/>
        <w:rPr>
          <w:rFonts w:ascii="Verdana" w:hAnsi="Verdana" w:cs="Arial"/>
        </w:rPr>
      </w:pPr>
    </w:p>
    <w:p w14:paraId="19EE43DD" w14:textId="77777777" w:rsidR="00662E46" w:rsidRPr="00593A5F" w:rsidRDefault="00662E46" w:rsidP="00662E46">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64AE3DBD" w14:textId="77777777" w:rsidR="00662E46" w:rsidRPr="00593A5F" w:rsidRDefault="00662E46" w:rsidP="00662E46">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62E46" w:rsidRPr="00593A5F" w14:paraId="1072D4E0" w14:textId="77777777" w:rsidTr="00DE1091">
        <w:trPr>
          <w:trHeight w:val="870"/>
        </w:trPr>
        <w:tc>
          <w:tcPr>
            <w:tcW w:w="8647" w:type="dxa"/>
          </w:tcPr>
          <w:p w14:paraId="0B836E4E" w14:textId="77777777" w:rsidR="00662E46" w:rsidRPr="00B05F99" w:rsidRDefault="00662E46" w:rsidP="00662E46">
            <w:pPr>
              <w:widowControl w:val="0"/>
              <w:numPr>
                <w:ilvl w:val="0"/>
                <w:numId w:val="2"/>
              </w:numPr>
              <w:autoSpaceDE w:val="0"/>
              <w:autoSpaceDN w:val="0"/>
              <w:spacing w:after="120" w:line="276" w:lineRule="auto"/>
              <w:jc w:val="both"/>
              <w:rPr>
                <w:rFonts w:ascii="Verdana" w:hAnsi="Verdana" w:cs="Arial"/>
                <w:color w:val="000000"/>
              </w:rPr>
            </w:pPr>
            <w:r w:rsidRPr="00B05F99">
              <w:rPr>
                <w:rFonts w:ascii="Verdana" w:hAnsi="Verdana" w:cs="Arial"/>
                <w:color w:val="000000"/>
              </w:rPr>
              <w:t xml:space="preserve">Ley 80 de 1993: Artículo 41 </w:t>
            </w:r>
          </w:p>
          <w:p w14:paraId="4C2B565D" w14:textId="77777777" w:rsidR="00662E46" w:rsidRPr="00B05F99" w:rsidRDefault="00662E46" w:rsidP="00662E46">
            <w:pPr>
              <w:widowControl w:val="0"/>
              <w:numPr>
                <w:ilvl w:val="0"/>
                <w:numId w:val="2"/>
              </w:numPr>
              <w:autoSpaceDE w:val="0"/>
              <w:autoSpaceDN w:val="0"/>
              <w:spacing w:after="120" w:line="276" w:lineRule="auto"/>
              <w:jc w:val="both"/>
              <w:rPr>
                <w:rFonts w:ascii="Verdana" w:hAnsi="Verdana" w:cs="Arial"/>
                <w:color w:val="000000"/>
              </w:rPr>
            </w:pPr>
            <w:r w:rsidRPr="00B05F99">
              <w:rPr>
                <w:rFonts w:ascii="Verdana" w:hAnsi="Verdana" w:cs="Arial"/>
                <w:lang w:val="es-ES"/>
              </w:rPr>
              <w:t>Ley 1150 de 2007: Artículo 23</w:t>
            </w:r>
          </w:p>
          <w:p w14:paraId="359D182F" w14:textId="77777777" w:rsidR="00662E46" w:rsidRPr="00B05F99" w:rsidRDefault="00662E46" w:rsidP="00662E46">
            <w:pPr>
              <w:widowControl w:val="0"/>
              <w:numPr>
                <w:ilvl w:val="0"/>
                <w:numId w:val="2"/>
              </w:numPr>
              <w:autoSpaceDE w:val="0"/>
              <w:autoSpaceDN w:val="0"/>
              <w:spacing w:after="120" w:line="276" w:lineRule="auto"/>
              <w:jc w:val="both"/>
              <w:rPr>
                <w:rFonts w:ascii="Verdana" w:hAnsi="Verdana" w:cs="Arial"/>
                <w:color w:val="000000"/>
              </w:rPr>
            </w:pPr>
            <w:r w:rsidRPr="00B05F99">
              <w:rPr>
                <w:rFonts w:ascii="Verdana" w:hAnsi="Verdana" w:cs="Arial"/>
                <w:color w:val="000000"/>
              </w:rPr>
              <w:t>Código Civil: Artículos 1973</w:t>
            </w:r>
            <w:r>
              <w:rPr>
                <w:rFonts w:ascii="Verdana" w:hAnsi="Verdana" w:cs="Arial"/>
                <w:color w:val="000000"/>
              </w:rPr>
              <w:t xml:space="preserve"> y</w:t>
            </w:r>
            <w:r w:rsidRPr="00B05F99">
              <w:rPr>
                <w:rFonts w:ascii="Verdana" w:hAnsi="Verdana" w:cs="Arial"/>
                <w:color w:val="000000"/>
              </w:rPr>
              <w:t xml:space="preserve"> 2000</w:t>
            </w:r>
          </w:p>
          <w:p w14:paraId="66B59A37" w14:textId="77777777" w:rsidR="00662E46" w:rsidRPr="00B05F99" w:rsidRDefault="00662E46" w:rsidP="00662E46">
            <w:pPr>
              <w:widowControl w:val="0"/>
              <w:numPr>
                <w:ilvl w:val="0"/>
                <w:numId w:val="2"/>
              </w:numPr>
              <w:autoSpaceDE w:val="0"/>
              <w:autoSpaceDN w:val="0"/>
              <w:spacing w:after="120" w:line="276" w:lineRule="auto"/>
              <w:jc w:val="both"/>
              <w:rPr>
                <w:rFonts w:ascii="Verdana" w:hAnsi="Verdana" w:cs="Arial"/>
                <w:color w:val="000000"/>
              </w:rPr>
            </w:pPr>
            <w:r w:rsidRPr="00B05F99">
              <w:rPr>
                <w:rFonts w:ascii="Verdana" w:hAnsi="Verdana" w:cs="Arial"/>
                <w:color w:val="000000"/>
              </w:rPr>
              <w:t xml:space="preserve">Ley 789 de 2002: Artículo 50 </w:t>
            </w:r>
          </w:p>
          <w:p w14:paraId="5FEA1355" w14:textId="77777777" w:rsidR="00662E46" w:rsidRPr="00B05F99" w:rsidRDefault="00662E46" w:rsidP="00662E46">
            <w:pPr>
              <w:widowControl w:val="0"/>
              <w:numPr>
                <w:ilvl w:val="0"/>
                <w:numId w:val="2"/>
              </w:numPr>
              <w:autoSpaceDE w:val="0"/>
              <w:autoSpaceDN w:val="0"/>
              <w:spacing w:after="120" w:line="276" w:lineRule="auto"/>
              <w:jc w:val="both"/>
              <w:rPr>
                <w:rFonts w:ascii="Verdana" w:hAnsi="Verdana" w:cs="Arial"/>
                <w:color w:val="000000"/>
              </w:rPr>
            </w:pPr>
            <w:r w:rsidRPr="00B05F99">
              <w:rPr>
                <w:rFonts w:ascii="Verdana" w:hAnsi="Verdana" w:cs="Arial"/>
                <w:color w:val="000000"/>
              </w:rPr>
              <w:t>Ley 1955 de 2019: Artículos 244, Artículo 336</w:t>
            </w:r>
          </w:p>
          <w:p w14:paraId="31F49E8A" w14:textId="77777777" w:rsidR="00662E46" w:rsidRPr="00547778" w:rsidRDefault="00662E46" w:rsidP="00662E46">
            <w:pPr>
              <w:widowControl w:val="0"/>
              <w:numPr>
                <w:ilvl w:val="0"/>
                <w:numId w:val="2"/>
              </w:numPr>
              <w:autoSpaceDE w:val="0"/>
              <w:autoSpaceDN w:val="0"/>
              <w:spacing w:after="160" w:line="276" w:lineRule="auto"/>
              <w:contextualSpacing/>
              <w:jc w:val="both"/>
              <w:rPr>
                <w:rFonts w:ascii="Verdana" w:eastAsia="Calibri" w:hAnsi="Verdana" w:cs="Arial"/>
                <w:lang w:val="es-ES"/>
              </w:rPr>
            </w:pPr>
            <w:r w:rsidRPr="00B05F99">
              <w:rPr>
                <w:rFonts w:ascii="Verdana" w:hAnsi="Verdana"/>
              </w:rPr>
              <w:t xml:space="preserve">CONSEJO DE ESTADO. SALA DE CONSULTA Y SERVICIO CIVIL. Sentencia del 26 de julio de 2007. </w:t>
            </w:r>
            <w:proofErr w:type="spellStart"/>
            <w:r w:rsidRPr="00B05F99">
              <w:rPr>
                <w:rFonts w:ascii="Verdana" w:hAnsi="Verdana"/>
              </w:rPr>
              <w:t>Exp</w:t>
            </w:r>
            <w:proofErr w:type="spellEnd"/>
            <w:r w:rsidRPr="00B05F99">
              <w:rPr>
                <w:rFonts w:ascii="Verdana" w:hAnsi="Verdana"/>
              </w:rPr>
              <w:t>. 1832. C.P. Luis Fernando Álvarez Jaramillo.</w:t>
            </w:r>
          </w:p>
        </w:tc>
      </w:tr>
    </w:tbl>
    <w:p w14:paraId="205D4675" w14:textId="77777777" w:rsidR="00662E46" w:rsidRPr="001312D6" w:rsidRDefault="00662E46" w:rsidP="00662E46">
      <w:pPr>
        <w:widowControl w:val="0"/>
        <w:autoSpaceDE w:val="0"/>
        <w:autoSpaceDN w:val="0"/>
        <w:spacing w:after="0" w:line="276" w:lineRule="auto"/>
        <w:jc w:val="both"/>
        <w:rPr>
          <w:rFonts w:ascii="Verdana" w:hAnsi="Verdana" w:cs="Arial"/>
        </w:rPr>
      </w:pPr>
    </w:p>
    <w:p w14:paraId="3564A902" w14:textId="77777777" w:rsidR="00662E46" w:rsidRPr="001312D6" w:rsidRDefault="00662E46" w:rsidP="00662E46">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312D6">
        <w:rPr>
          <w:rFonts w:ascii="Verdana" w:eastAsia="Century Gothic" w:hAnsi="Verdana" w:cs="Century Gothic"/>
          <w:b/>
          <w:bCs/>
        </w:rPr>
        <w:t>Doctrina de la Agencia Nacional de Contratación Pública:</w:t>
      </w:r>
    </w:p>
    <w:p w14:paraId="71B47589" w14:textId="77777777" w:rsidR="00662E46" w:rsidRPr="001312D6" w:rsidRDefault="00662E46" w:rsidP="00662E46">
      <w:pPr>
        <w:widowControl w:val="0"/>
        <w:autoSpaceDE w:val="0"/>
        <w:autoSpaceDN w:val="0"/>
        <w:spacing w:after="0" w:line="276" w:lineRule="auto"/>
        <w:jc w:val="both"/>
        <w:rPr>
          <w:rFonts w:ascii="Verdana" w:hAnsi="Verdana" w:cs="Arial"/>
        </w:rPr>
      </w:pPr>
    </w:p>
    <w:p w14:paraId="330DF15F" w14:textId="77777777" w:rsidR="00662E46" w:rsidRPr="001312D6" w:rsidRDefault="00662E46" w:rsidP="00662E46">
      <w:pPr>
        <w:widowControl w:val="0"/>
        <w:autoSpaceDE w:val="0"/>
        <w:autoSpaceDN w:val="0"/>
        <w:spacing w:after="0" w:line="276" w:lineRule="auto"/>
        <w:jc w:val="both"/>
        <w:rPr>
          <w:rStyle w:val="normaltextrun"/>
          <w:rFonts w:ascii="Verdana" w:eastAsia="Times New Roman" w:hAnsi="Verdana" w:cs="Arial"/>
          <w:color w:val="000000"/>
        </w:rPr>
      </w:pPr>
      <w:r w:rsidRPr="001312D6">
        <w:rPr>
          <w:rFonts w:ascii="Verdana" w:eastAsia="Times New Roman" w:hAnsi="Verdana" w:cs="Arial"/>
          <w:color w:val="000000"/>
          <w:lang w:val="es-ES"/>
        </w:rPr>
        <w:t xml:space="preserve">La Agencia Nacional de Contratación Pública – Colombia Compra Eficiente ha tenido la oportunidad de pronunciarse en relación con estos aspectos en los Conceptos No. 4201814000000493 en respuesta a la consulta del 18 de enero de 2018, así como en los conceptos C-006 del 04 de febrero de 2020, C-141 del 03 de marzo de 2020, C-161 y C-183 del 17 de marzo de 2020, C-319 del 12 de junio de 202 </w:t>
      </w:r>
      <w:r w:rsidRPr="001312D6">
        <w:rPr>
          <w:rFonts w:ascii="Verdana" w:eastAsia="Times New Roman" w:hAnsi="Verdana" w:cs="Arial"/>
          <w:color w:val="000000"/>
        </w:rPr>
        <w:t>Concepto C-391 de 2023</w:t>
      </w:r>
      <w:r w:rsidRPr="001312D6">
        <w:rPr>
          <w:rFonts w:ascii="Verdana" w:eastAsia="Times New Roman" w:hAnsi="Verdana" w:cs="Arial"/>
          <w:b/>
          <w:bCs/>
          <w:color w:val="000000"/>
        </w:rPr>
        <w:t>,</w:t>
      </w:r>
      <w:r w:rsidRPr="001312D6">
        <w:rPr>
          <w:rFonts w:ascii="Verdana" w:eastAsia="Times New Roman" w:hAnsi="Verdana" w:cs="Arial"/>
          <w:color w:val="000000"/>
        </w:rPr>
        <w:t xml:space="preserve"> </w:t>
      </w:r>
      <w:r w:rsidRPr="001312D6">
        <w:rPr>
          <w:rFonts w:ascii="Verdana" w:eastAsia="Times New Roman" w:hAnsi="Verdana" w:cs="Arial"/>
          <w:color w:val="000000"/>
          <w:lang w:val="es-ES"/>
        </w:rPr>
        <w:t>y C-293 del 20 de agosto de 2024, C-681 del 29 de octubre de 2024, C-270 del 08 de abril de 2025. Es</w:t>
      </w:r>
      <w:r w:rsidRPr="001312D6">
        <w:rPr>
          <w:rFonts w:ascii="Verdana" w:eastAsia="Times New Roman" w:hAnsi="Verdana" w:cs="Arial"/>
          <w:color w:val="000000"/>
        </w:rPr>
        <w:t>tos y otros conceptos se encuentran disponibles para consulta en el Sistema de relatoría de la Agencia, al cual se puede acceder a través del siguiente enlace:</w:t>
      </w:r>
      <w:r w:rsidRPr="001312D6">
        <w:rPr>
          <w:rFonts w:ascii="Verdana" w:eastAsia="Times New Roman" w:hAnsi="Verdana" w:cs="Arial"/>
          <w:color w:val="000000"/>
          <w:lang w:val="es-ES"/>
        </w:rPr>
        <w:t xml:space="preserve"> </w:t>
      </w:r>
      <w:hyperlink r:id="rId12" w:history="1">
        <w:r w:rsidRPr="001312D6">
          <w:rPr>
            <w:rFonts w:ascii="Verdana" w:eastAsia="Times New Roman" w:hAnsi="Verdana" w:cs="Arial"/>
            <w:color w:val="467886"/>
            <w:u w:val="single"/>
            <w:lang w:val="es-ES"/>
          </w:rPr>
          <w:t>https://relatoria.colombiacompra.gov.co/busqueda/conceptos</w:t>
        </w:r>
      </w:hyperlink>
      <w:r w:rsidRPr="001312D6">
        <w:rPr>
          <w:rFonts w:ascii="Verdana" w:eastAsia="Times New Roman" w:hAnsi="Verdana" w:cs="Arial"/>
          <w:color w:val="000000"/>
          <w:lang w:val="es-ES"/>
        </w:rPr>
        <w:t xml:space="preserve">. </w:t>
      </w:r>
    </w:p>
    <w:p w14:paraId="38F192DE" w14:textId="77777777" w:rsidR="00662E46" w:rsidRPr="001312D6" w:rsidRDefault="00662E46" w:rsidP="00662E46">
      <w:pPr>
        <w:spacing w:after="0" w:line="276" w:lineRule="auto"/>
        <w:jc w:val="both"/>
        <w:rPr>
          <w:rFonts w:ascii="Verdana" w:hAnsi="Verdana"/>
        </w:rPr>
      </w:pPr>
    </w:p>
    <w:p w14:paraId="269C21D2" w14:textId="77777777" w:rsidR="00662E46" w:rsidRPr="001312D6" w:rsidRDefault="00662E46" w:rsidP="00662E46">
      <w:pPr>
        <w:spacing w:after="0" w:line="276" w:lineRule="auto"/>
        <w:jc w:val="both"/>
        <w:rPr>
          <w:rFonts w:ascii="Verdana" w:hAnsi="Verdana"/>
        </w:rPr>
      </w:pPr>
      <w:r w:rsidRPr="001312D6">
        <w:rPr>
          <w:rFonts w:ascii="Verdana" w:hAnsi="Verdana"/>
        </w:rPr>
        <w:t xml:space="preserve">Por último, lo invitamos a seguirnos en las redes sociales en las cuales se difunde información institucional: </w:t>
      </w:r>
    </w:p>
    <w:p w14:paraId="4ECA4097" w14:textId="77777777" w:rsidR="00662E46" w:rsidRPr="001312D6" w:rsidRDefault="00662E46" w:rsidP="00662E46">
      <w:pPr>
        <w:spacing w:after="0" w:line="276" w:lineRule="auto"/>
        <w:jc w:val="both"/>
        <w:rPr>
          <w:rFonts w:ascii="Verdana" w:hAnsi="Verdana"/>
        </w:rPr>
      </w:pPr>
    </w:p>
    <w:p w14:paraId="401CCFC0" w14:textId="77777777" w:rsidR="00662E46" w:rsidRPr="001312D6" w:rsidRDefault="00662E46" w:rsidP="00662E46">
      <w:pPr>
        <w:spacing w:after="0" w:line="276" w:lineRule="auto"/>
        <w:jc w:val="both"/>
        <w:rPr>
          <w:rFonts w:ascii="Verdana" w:hAnsi="Verdana"/>
        </w:rPr>
      </w:pPr>
      <w:r w:rsidRPr="001312D6">
        <w:rPr>
          <w:rFonts w:ascii="Verdana" w:hAnsi="Verdana"/>
        </w:rPr>
        <w:t xml:space="preserve">Twitter: </w:t>
      </w:r>
      <w:r w:rsidRPr="001312D6">
        <w:rPr>
          <w:rStyle w:val="Hipervnculo"/>
          <w:rFonts w:ascii="Verdana" w:hAnsi="Verdana"/>
          <w:color w:val="156082" w:themeColor="accent1"/>
        </w:rPr>
        <w:t>@colombiacompra</w:t>
      </w:r>
      <w:r w:rsidRPr="001312D6">
        <w:rPr>
          <w:rFonts w:ascii="Verdana" w:hAnsi="Verdana"/>
          <w:color w:val="156082" w:themeColor="accent1"/>
        </w:rPr>
        <w:t xml:space="preserve"> </w:t>
      </w:r>
    </w:p>
    <w:p w14:paraId="2C5ACBFF" w14:textId="77777777" w:rsidR="00662E46" w:rsidRPr="001312D6" w:rsidRDefault="00662E46" w:rsidP="00662E46">
      <w:pPr>
        <w:spacing w:after="0" w:line="276" w:lineRule="auto"/>
        <w:jc w:val="both"/>
        <w:rPr>
          <w:rFonts w:ascii="Verdana" w:hAnsi="Verdana"/>
        </w:rPr>
      </w:pPr>
      <w:r w:rsidRPr="001312D6">
        <w:rPr>
          <w:rFonts w:ascii="Verdana" w:hAnsi="Verdana"/>
        </w:rPr>
        <w:t xml:space="preserve">Facebook: </w:t>
      </w:r>
      <w:proofErr w:type="spellStart"/>
      <w:r w:rsidRPr="001312D6">
        <w:rPr>
          <w:rStyle w:val="Hipervnculo"/>
          <w:rFonts w:ascii="Verdana" w:hAnsi="Verdana"/>
          <w:color w:val="156082" w:themeColor="accent1"/>
        </w:rPr>
        <w:t>ColombiaCompraEficiente</w:t>
      </w:r>
      <w:proofErr w:type="spellEnd"/>
    </w:p>
    <w:p w14:paraId="3250C7E9" w14:textId="77777777" w:rsidR="00662E46" w:rsidRPr="001312D6" w:rsidRDefault="00662E46" w:rsidP="00662E46">
      <w:pPr>
        <w:spacing w:after="0" w:line="276" w:lineRule="auto"/>
        <w:jc w:val="both"/>
        <w:rPr>
          <w:rFonts w:ascii="Verdana" w:hAnsi="Verdana"/>
        </w:rPr>
      </w:pPr>
      <w:r w:rsidRPr="001312D6">
        <w:rPr>
          <w:rFonts w:ascii="Verdana" w:hAnsi="Verdana"/>
        </w:rPr>
        <w:lastRenderedPageBreak/>
        <w:t xml:space="preserve">LinkedIn: </w:t>
      </w:r>
      <w:r w:rsidRPr="001312D6">
        <w:rPr>
          <w:rStyle w:val="Hipervnculo"/>
          <w:rFonts w:ascii="Verdana" w:hAnsi="Verdana"/>
          <w:color w:val="156082" w:themeColor="accent1"/>
        </w:rPr>
        <w:t>Agencia Nacional de Contratación Pública - Colombia Compra Eficiente</w:t>
      </w:r>
      <w:r w:rsidRPr="001312D6">
        <w:rPr>
          <w:rFonts w:ascii="Verdana" w:hAnsi="Verdana"/>
          <w:color w:val="156082" w:themeColor="accent1"/>
        </w:rPr>
        <w:t xml:space="preserve"> </w:t>
      </w:r>
      <w:r w:rsidRPr="001312D6">
        <w:rPr>
          <w:rFonts w:ascii="Verdana" w:hAnsi="Verdana"/>
        </w:rPr>
        <w:t xml:space="preserve">Instagram: </w:t>
      </w:r>
      <w:r w:rsidRPr="001312D6">
        <w:rPr>
          <w:rStyle w:val="Hipervnculo"/>
          <w:rFonts w:ascii="Verdana" w:hAnsi="Verdana"/>
          <w:color w:val="156082" w:themeColor="accent1"/>
        </w:rPr>
        <w:t>@colombiacompraeficiente_cce</w:t>
      </w:r>
    </w:p>
    <w:p w14:paraId="6011FA0D" w14:textId="77777777" w:rsidR="00662E46" w:rsidRPr="001312D6" w:rsidRDefault="00662E46" w:rsidP="00662E46">
      <w:pPr>
        <w:widowControl w:val="0"/>
        <w:autoSpaceDE w:val="0"/>
        <w:autoSpaceDN w:val="0"/>
        <w:spacing w:after="0" w:line="276" w:lineRule="auto"/>
        <w:jc w:val="both"/>
        <w:rPr>
          <w:rFonts w:ascii="Verdana" w:hAnsi="Verdana" w:cs="Arial"/>
        </w:rPr>
      </w:pPr>
    </w:p>
    <w:p w14:paraId="2CB2BEB5" w14:textId="77777777" w:rsidR="00662E46" w:rsidRPr="001312D6" w:rsidRDefault="00662E46" w:rsidP="00662E46">
      <w:pPr>
        <w:widowControl w:val="0"/>
        <w:autoSpaceDE w:val="0"/>
        <w:autoSpaceDN w:val="0"/>
        <w:spacing w:after="0" w:line="276" w:lineRule="auto"/>
        <w:jc w:val="both"/>
        <w:rPr>
          <w:rFonts w:ascii="Verdana" w:hAnsi="Verdana" w:cs="Arial"/>
          <w:lang w:val="es-ES_tradnl"/>
        </w:rPr>
      </w:pPr>
      <w:r w:rsidRPr="001312D6">
        <w:rPr>
          <w:rFonts w:ascii="Verdana" w:hAnsi="Verdana" w:cs="Arial"/>
        </w:rPr>
        <w:t xml:space="preserve">Este concepto tiene el alcance previsto en el artículo 28 del Código de Procedimiento Administrativo y de lo Contencioso Administrativo </w:t>
      </w:r>
      <w:r w:rsidRPr="001312D6">
        <w:rPr>
          <w:rFonts w:ascii="Verdana" w:hAnsi="Verdana" w:cs="Arial"/>
          <w:lang w:val="es-ES_tradnl"/>
        </w:rPr>
        <w:t>y las expresiones aquí utilizadas con mayúscula inicial deben ser entendidas con el significado que les otorga el artículo 2.2.1.1.1.3.1. del Decreto 1082 de 2015.</w:t>
      </w:r>
    </w:p>
    <w:p w14:paraId="604AF480" w14:textId="77777777" w:rsidR="00662E46" w:rsidRPr="001312D6" w:rsidRDefault="00662E46" w:rsidP="00662E46">
      <w:pPr>
        <w:spacing w:after="0" w:line="276" w:lineRule="auto"/>
        <w:rPr>
          <w:rFonts w:ascii="Verdana" w:hAnsi="Verdana" w:cs="Arial"/>
          <w:lang w:val="es-ES_tradnl" w:eastAsia="es-CO"/>
        </w:rPr>
      </w:pPr>
    </w:p>
    <w:p w14:paraId="3692CF08" w14:textId="77777777" w:rsidR="00662E46" w:rsidRPr="001312D6" w:rsidRDefault="00662E46" w:rsidP="00662E46">
      <w:pPr>
        <w:spacing w:after="0" w:line="276" w:lineRule="auto"/>
        <w:rPr>
          <w:rFonts w:ascii="Verdana" w:eastAsia="Calibri" w:hAnsi="Verdana" w:cs="Arial"/>
          <w:color w:val="000000"/>
          <w:lang w:eastAsia="es-CO"/>
        </w:rPr>
      </w:pPr>
      <w:r w:rsidRPr="001312D6">
        <w:rPr>
          <w:rFonts w:ascii="Verdana" w:eastAsia="Times New Roman" w:hAnsi="Verdana" w:cs="Arial"/>
          <w:color w:val="000000"/>
          <w:lang w:eastAsia="es-CO"/>
        </w:rPr>
        <w:t>Atentamente,</w:t>
      </w:r>
      <w:r w:rsidRPr="001312D6">
        <w:rPr>
          <w:rFonts w:ascii="Verdana" w:eastAsia="Calibri" w:hAnsi="Verdana" w:cs="Arial"/>
          <w:color w:val="000000"/>
          <w:lang w:eastAsia="es-CO"/>
        </w:rPr>
        <w:t xml:space="preserve"> </w:t>
      </w:r>
    </w:p>
    <w:p w14:paraId="391D3B66" w14:textId="78D0BE3A" w:rsidR="00662E46" w:rsidRPr="00042671" w:rsidRDefault="00090745" w:rsidP="00662E46">
      <w:pPr>
        <w:spacing w:line="276" w:lineRule="auto"/>
        <w:jc w:val="center"/>
        <w:rPr>
          <w:rFonts w:ascii="Verdana" w:eastAsia="Calibri" w:hAnsi="Verdana" w:cs="Arial"/>
          <w:color w:val="000000"/>
          <w:lang w:val="es-ES_tradnl" w:eastAsia="es-CO"/>
        </w:rPr>
      </w:pPr>
      <w:r w:rsidRPr="004D5C25">
        <w:rPr>
          <w:rFonts w:ascii="Century Gothic" w:hAnsi="Century Gothic"/>
          <w:noProof/>
        </w:rPr>
        <w:drawing>
          <wp:inline distT="0" distB="0" distL="0" distR="0" wp14:anchorId="7B1EC2CF" wp14:editId="66247642">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3"/>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62E46" w:rsidRPr="00115E3D" w14:paraId="44CA673B" w14:textId="77777777" w:rsidTr="00DE1091">
        <w:trPr>
          <w:trHeight w:val="315"/>
        </w:trPr>
        <w:tc>
          <w:tcPr>
            <w:tcW w:w="893" w:type="dxa"/>
            <w:vAlign w:val="center"/>
            <w:hideMark/>
          </w:tcPr>
          <w:p w14:paraId="317C9B90" w14:textId="77777777" w:rsidR="00662E46" w:rsidRPr="00115E3D" w:rsidRDefault="00662E46" w:rsidP="00DE1091">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4689F2F" w14:textId="77777777" w:rsidR="00662E46" w:rsidRPr="001B2D15" w:rsidRDefault="00662E46" w:rsidP="00DE1091">
            <w:pPr>
              <w:contextualSpacing/>
              <w:rPr>
                <w:rFonts w:ascii="Verdana" w:eastAsia="Arial" w:hAnsi="Verdana" w:cs="Arial"/>
                <w:color w:val="000000" w:themeColor="text1"/>
                <w:sz w:val="14"/>
                <w:szCs w:val="14"/>
              </w:rPr>
            </w:pPr>
            <w:r w:rsidRPr="001B2D15">
              <w:rPr>
                <w:rFonts w:ascii="Verdana" w:eastAsia="Arial" w:hAnsi="Verdana" w:cs="Arial"/>
                <w:color w:val="000000" w:themeColor="text1"/>
                <w:sz w:val="14"/>
                <w:szCs w:val="14"/>
              </w:rPr>
              <w:t>A</w:t>
            </w:r>
            <w:r w:rsidRPr="001B2D15">
              <w:rPr>
                <w:rFonts w:ascii="Verdana" w:eastAsia="Arial" w:hAnsi="Verdana" w:cs="Arial"/>
                <w:sz w:val="14"/>
                <w:szCs w:val="14"/>
              </w:rPr>
              <w:t xml:space="preserve">ndreina Cerpa Muñoz </w:t>
            </w:r>
          </w:p>
          <w:p w14:paraId="0CAF8693" w14:textId="77777777" w:rsidR="00662E46" w:rsidRPr="001B2D15" w:rsidRDefault="00662E46" w:rsidP="00DE1091">
            <w:pPr>
              <w:contextualSpacing/>
              <w:rPr>
                <w:rFonts w:ascii="Verdana" w:eastAsia="Arial" w:hAnsi="Verdana" w:cs="Arial"/>
                <w:color w:val="000000" w:themeColor="text1"/>
                <w:sz w:val="14"/>
                <w:szCs w:val="14"/>
              </w:rPr>
            </w:pPr>
            <w:r w:rsidRPr="001B2D15">
              <w:rPr>
                <w:rStyle w:val="normaltextrun"/>
                <w:rFonts w:ascii="Verdana" w:eastAsia="Arial" w:hAnsi="Verdana" w:cs="Arial"/>
                <w:color w:val="000000" w:themeColor="text1"/>
                <w:sz w:val="14"/>
                <w:szCs w:val="14"/>
              </w:rPr>
              <w:t>Analista T2-02 de la Subdirección de Gestión Contractual</w:t>
            </w:r>
          </w:p>
        </w:tc>
      </w:tr>
      <w:tr w:rsidR="00662E46" w:rsidRPr="00115E3D" w14:paraId="4C93F36C" w14:textId="77777777" w:rsidTr="00DE1091">
        <w:trPr>
          <w:trHeight w:val="330"/>
        </w:trPr>
        <w:tc>
          <w:tcPr>
            <w:tcW w:w="893" w:type="dxa"/>
            <w:vAlign w:val="center"/>
            <w:hideMark/>
          </w:tcPr>
          <w:p w14:paraId="23E71442" w14:textId="77777777" w:rsidR="00662E46" w:rsidRPr="00115E3D" w:rsidRDefault="00662E46" w:rsidP="00DE1091">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300E8F0" w14:textId="77777777" w:rsidR="00662E46" w:rsidRPr="001B2D15" w:rsidRDefault="00662E46" w:rsidP="00DE1091">
            <w:pPr>
              <w:pStyle w:val="paragraph"/>
              <w:spacing w:before="0" w:beforeAutospacing="0" w:after="0" w:afterAutospacing="0"/>
              <w:contextualSpacing/>
              <w:textAlignment w:val="baseline"/>
              <w:rPr>
                <w:rFonts w:ascii="Verdana" w:hAnsi="Verdana" w:cs="Segoe UI"/>
                <w:color w:val="000000" w:themeColor="text1"/>
                <w:sz w:val="14"/>
                <w:szCs w:val="14"/>
              </w:rPr>
            </w:pPr>
            <w:r>
              <w:rPr>
                <w:rFonts w:ascii="Verdana" w:hAnsi="Verdana" w:cs="Segoe UI"/>
                <w:color w:val="000000" w:themeColor="text1"/>
                <w:sz w:val="14"/>
                <w:szCs w:val="14"/>
              </w:rPr>
              <w:t xml:space="preserve">Diana Lucia Saavedra Castañeda </w:t>
            </w:r>
          </w:p>
          <w:p w14:paraId="04F52B8A" w14:textId="77777777" w:rsidR="00662E46" w:rsidRPr="001B2D15" w:rsidRDefault="00662E46" w:rsidP="00DE1091">
            <w:pPr>
              <w:pStyle w:val="paragraph"/>
              <w:spacing w:before="0" w:beforeAutospacing="0" w:after="0" w:afterAutospacing="0"/>
              <w:contextualSpacing/>
              <w:textAlignment w:val="baseline"/>
              <w:rPr>
                <w:rFonts w:ascii="Verdana" w:hAnsi="Verdana" w:cs="Segoe UI"/>
                <w:color w:val="000000" w:themeColor="text1"/>
                <w:sz w:val="14"/>
                <w:szCs w:val="14"/>
              </w:rPr>
            </w:pPr>
            <w:r w:rsidRPr="001B2D15">
              <w:rPr>
                <w:rStyle w:val="normaltextrun"/>
                <w:rFonts w:ascii="Verdana" w:hAnsi="Verdana" w:cs="Arial"/>
                <w:color w:val="000000" w:themeColor="text1"/>
                <w:sz w:val="14"/>
                <w:szCs w:val="14"/>
                <w:lang w:val="es-ES"/>
              </w:rPr>
              <w:t>Contratista de la Subdirección de Gestión Contractual</w:t>
            </w:r>
            <w:r w:rsidRPr="001B2D15">
              <w:rPr>
                <w:rStyle w:val="eop"/>
                <w:rFonts w:ascii="Verdana" w:hAnsi="Verdana" w:cs="Arial"/>
                <w:color w:val="000000" w:themeColor="text1"/>
                <w:sz w:val="14"/>
                <w:szCs w:val="14"/>
              </w:rPr>
              <w:t> </w:t>
            </w:r>
          </w:p>
        </w:tc>
      </w:tr>
      <w:tr w:rsidR="00662E46" w:rsidRPr="00115E3D" w14:paraId="2453811E" w14:textId="77777777" w:rsidTr="00DE1091">
        <w:trPr>
          <w:trHeight w:val="70"/>
        </w:trPr>
        <w:tc>
          <w:tcPr>
            <w:tcW w:w="893" w:type="dxa"/>
            <w:vAlign w:val="center"/>
          </w:tcPr>
          <w:p w14:paraId="62EE491A" w14:textId="77777777" w:rsidR="00662E46" w:rsidRPr="00115E3D" w:rsidRDefault="00662E46" w:rsidP="00DE1091">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A776699" w14:textId="77777777" w:rsidR="00662E46" w:rsidRPr="00E331B0" w:rsidRDefault="00662E46" w:rsidP="00DE1091">
            <w:pPr>
              <w:contextualSpacing/>
              <w:rPr>
                <w:rFonts w:ascii="Verdana" w:eastAsia="Calibri" w:hAnsi="Verdana" w:cs="Arial"/>
                <w:sz w:val="14"/>
                <w:szCs w:val="14"/>
                <w:lang w:val="pt-BR" w:eastAsia="es-ES"/>
              </w:rPr>
            </w:pPr>
            <w:r w:rsidRPr="00E331B0">
              <w:rPr>
                <w:rFonts w:ascii="Verdana" w:eastAsia="Calibri" w:hAnsi="Verdana" w:cs="Arial"/>
                <w:sz w:val="14"/>
                <w:szCs w:val="14"/>
                <w:lang w:val="pt-BR" w:eastAsia="es-ES"/>
              </w:rPr>
              <w:t xml:space="preserve">Carolina Quintero </w:t>
            </w:r>
            <w:proofErr w:type="spellStart"/>
            <w:r w:rsidRPr="00E331B0">
              <w:rPr>
                <w:rFonts w:ascii="Verdana" w:eastAsia="Calibri" w:hAnsi="Verdana" w:cs="Arial"/>
                <w:sz w:val="14"/>
                <w:szCs w:val="14"/>
                <w:lang w:val="pt-BR" w:eastAsia="es-ES"/>
              </w:rPr>
              <w:t>Gacharná</w:t>
            </w:r>
            <w:proofErr w:type="spellEnd"/>
          </w:p>
          <w:p w14:paraId="01A7FAF7" w14:textId="77777777" w:rsidR="00662E46" w:rsidRPr="001B2D15" w:rsidRDefault="00662E46" w:rsidP="00DE1091">
            <w:pPr>
              <w:contextualSpacing/>
              <w:rPr>
                <w:rFonts w:ascii="Verdana" w:eastAsia="Calibri" w:hAnsi="Verdana" w:cs="Arial"/>
                <w:color w:val="000000" w:themeColor="text1"/>
                <w:sz w:val="14"/>
                <w:szCs w:val="14"/>
                <w:lang w:val="pt-BR" w:eastAsia="es-ES"/>
              </w:rPr>
            </w:pPr>
            <w:r w:rsidRPr="00E331B0">
              <w:rPr>
                <w:rFonts w:ascii="Verdana" w:eastAsia="Calibri" w:hAnsi="Verdana" w:cs="Arial"/>
                <w:sz w:val="14"/>
                <w:szCs w:val="14"/>
                <w:lang w:eastAsia="es-ES"/>
              </w:rPr>
              <w:t>Subdirectora</w:t>
            </w:r>
            <w:r w:rsidRPr="00E331B0">
              <w:rPr>
                <w:rFonts w:ascii="Verdana" w:eastAsia="Calibri" w:hAnsi="Verdana" w:cs="Arial"/>
                <w:sz w:val="14"/>
                <w:szCs w:val="14"/>
                <w:lang w:val="pt-BR" w:eastAsia="es-ES"/>
              </w:rPr>
              <w:t xml:space="preserve"> de Gestión </w:t>
            </w:r>
            <w:proofErr w:type="spellStart"/>
            <w:r w:rsidRPr="00E331B0">
              <w:rPr>
                <w:rFonts w:ascii="Verdana" w:eastAsia="Calibri" w:hAnsi="Verdana" w:cs="Arial"/>
                <w:sz w:val="14"/>
                <w:szCs w:val="14"/>
                <w:lang w:val="pt-BR" w:eastAsia="es-ES"/>
              </w:rPr>
              <w:t>Contractual</w:t>
            </w:r>
            <w:proofErr w:type="spellEnd"/>
            <w:r w:rsidRPr="00E331B0">
              <w:rPr>
                <w:rFonts w:ascii="Verdana" w:eastAsia="Calibri" w:hAnsi="Verdana" w:cs="Arial"/>
                <w:sz w:val="14"/>
                <w:szCs w:val="14"/>
                <w:lang w:val="pt-BR" w:eastAsia="es-ES"/>
              </w:rPr>
              <w:t xml:space="preserve"> ANCP – CCE</w:t>
            </w:r>
          </w:p>
        </w:tc>
      </w:tr>
    </w:tbl>
    <w:p w14:paraId="328D15E5" w14:textId="77777777" w:rsidR="00662E46" w:rsidRPr="00042671" w:rsidRDefault="00662E46" w:rsidP="00662E46">
      <w:pPr>
        <w:spacing w:after="0" w:line="240" w:lineRule="auto"/>
        <w:rPr>
          <w:rFonts w:ascii="Verdana" w:eastAsia="Times New Roman" w:hAnsi="Verdana" w:cs="Arial"/>
          <w:color w:val="000000"/>
          <w:sz w:val="24"/>
          <w:szCs w:val="24"/>
          <w:lang w:eastAsia="es-ES"/>
        </w:rPr>
      </w:pPr>
    </w:p>
    <w:p w14:paraId="698DC7CB" w14:textId="77777777" w:rsidR="00662E46" w:rsidRPr="00575154" w:rsidRDefault="00662E46" w:rsidP="00662E46">
      <w:pPr>
        <w:spacing w:after="0" w:line="240" w:lineRule="auto"/>
        <w:rPr>
          <w:rFonts w:ascii="Verdana" w:eastAsia="Times New Roman" w:hAnsi="Verdana" w:cs="Arial"/>
          <w:sz w:val="24"/>
          <w:szCs w:val="24"/>
          <w:lang w:eastAsia="es-ES"/>
        </w:rPr>
      </w:pPr>
    </w:p>
    <w:p w14:paraId="7F36B7E2" w14:textId="77777777" w:rsidR="00662E46" w:rsidRPr="00871B59" w:rsidRDefault="00662E46" w:rsidP="00662E46"/>
    <w:p w14:paraId="7139484B" w14:textId="77777777" w:rsidR="00662E46" w:rsidRPr="006E034A" w:rsidRDefault="00662E46" w:rsidP="00662E46"/>
    <w:p w14:paraId="3D97545D" w14:textId="77777777" w:rsidR="00662E46" w:rsidRDefault="00662E46" w:rsidP="00662E46"/>
    <w:p w14:paraId="718C5C02" w14:textId="77777777" w:rsidR="00662E46" w:rsidRPr="00073ABA" w:rsidRDefault="00662E46" w:rsidP="00662E46"/>
    <w:p w14:paraId="6E173864" w14:textId="77777777" w:rsidR="003A0D7B" w:rsidRPr="00042671" w:rsidRDefault="003A0D7B" w:rsidP="003A0D7B">
      <w:pPr>
        <w:spacing w:after="0" w:line="240" w:lineRule="auto"/>
        <w:rPr>
          <w:rFonts w:ascii="Verdana" w:eastAsia="Times New Roman" w:hAnsi="Verdana" w:cs="Arial"/>
          <w:color w:val="000000"/>
          <w:sz w:val="24"/>
          <w:szCs w:val="24"/>
          <w:lang w:eastAsia="es-ES"/>
        </w:rPr>
      </w:pPr>
    </w:p>
    <w:p w14:paraId="0E44D8BB" w14:textId="77777777" w:rsidR="003A0D7B" w:rsidRPr="00575154" w:rsidRDefault="003A0D7B" w:rsidP="003A0D7B">
      <w:pPr>
        <w:spacing w:after="0" w:line="240" w:lineRule="auto"/>
        <w:rPr>
          <w:rFonts w:ascii="Verdana" w:eastAsia="Times New Roman" w:hAnsi="Verdana" w:cs="Arial"/>
          <w:sz w:val="24"/>
          <w:szCs w:val="24"/>
          <w:lang w:eastAsia="es-ES"/>
        </w:rPr>
      </w:pPr>
    </w:p>
    <w:p w14:paraId="023B2653" w14:textId="77777777" w:rsidR="003A0D7B" w:rsidRPr="00871B59" w:rsidRDefault="003A0D7B" w:rsidP="003A0D7B"/>
    <w:p w14:paraId="3239EDF5" w14:textId="77777777" w:rsidR="003A0D7B" w:rsidRPr="006E034A" w:rsidRDefault="003A0D7B" w:rsidP="003A0D7B"/>
    <w:p w14:paraId="702DB3F4" w14:textId="77777777" w:rsidR="000F5A42" w:rsidRDefault="000F5A42"/>
    <w:sectPr w:rsidR="000F5A42" w:rsidSect="003A0D7B">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16CFB0" w14:textId="77777777" w:rsidR="007B52F6" w:rsidRDefault="007B52F6" w:rsidP="003A0D7B">
      <w:pPr>
        <w:spacing w:after="0" w:line="240" w:lineRule="auto"/>
      </w:pPr>
      <w:r>
        <w:separator/>
      </w:r>
    </w:p>
  </w:endnote>
  <w:endnote w:type="continuationSeparator" w:id="0">
    <w:p w14:paraId="1EB36176" w14:textId="77777777" w:rsidR="007B52F6" w:rsidRDefault="007B52F6" w:rsidP="003A0D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EB9CB" w14:textId="77777777" w:rsidR="003A0D7B" w:rsidRDefault="003A0D7B">
    <w:pPr>
      <w:pStyle w:val="Piedepgina"/>
    </w:pPr>
  </w:p>
  <w:p w14:paraId="210A9DF4" w14:textId="77777777" w:rsidR="003A0D7B" w:rsidRPr="00174B77" w:rsidRDefault="003A0D7B"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F5A6120" w14:textId="77777777" w:rsidR="003A0D7B" w:rsidRDefault="003A0D7B"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394CC70A" w14:textId="77777777" w:rsidR="003A0D7B" w:rsidRPr="00E41027" w:rsidRDefault="003A0D7B" w:rsidP="00D520D8">
    <w:pPr>
      <w:spacing w:after="0"/>
      <w:jc w:val="both"/>
      <w:rPr>
        <w:rFonts w:ascii="Verdana" w:hAnsi="Verdana"/>
        <w:sz w:val="18"/>
        <w:szCs w:val="18"/>
      </w:rPr>
    </w:pPr>
    <w:r w:rsidRPr="00E41027">
      <w:rPr>
        <w:rFonts w:ascii="Verdana" w:hAnsi="Verdana"/>
        <w:sz w:val="18"/>
        <w:szCs w:val="18"/>
      </w:rPr>
      <w:t>Mesa de servicio: (+57) 601 7456788</w:t>
    </w:r>
  </w:p>
  <w:p w14:paraId="517CB03C" w14:textId="77777777" w:rsidR="003A0D7B" w:rsidRDefault="003A0D7B"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19A7F4" w14:textId="77777777" w:rsidR="007B52F6" w:rsidRDefault="007B52F6" w:rsidP="003A0D7B">
      <w:pPr>
        <w:spacing w:after="0" w:line="240" w:lineRule="auto"/>
      </w:pPr>
      <w:r>
        <w:separator/>
      </w:r>
    </w:p>
  </w:footnote>
  <w:footnote w:type="continuationSeparator" w:id="0">
    <w:p w14:paraId="2D23290C" w14:textId="77777777" w:rsidR="007B52F6" w:rsidRDefault="007B52F6" w:rsidP="003A0D7B">
      <w:pPr>
        <w:spacing w:after="0" w:line="240" w:lineRule="auto"/>
      </w:pPr>
      <w:r>
        <w:continuationSeparator/>
      </w:r>
    </w:p>
  </w:footnote>
  <w:footnote w:id="1">
    <w:p w14:paraId="1EB1A666" w14:textId="77777777" w:rsidR="00662E46" w:rsidRPr="00B05F99" w:rsidRDefault="00662E46" w:rsidP="00662E46">
      <w:pPr>
        <w:ind w:firstLine="709"/>
        <w:jc w:val="both"/>
        <w:rPr>
          <w:rFonts w:ascii="Verdana" w:hAnsi="Verdana" w:cs="Arial"/>
          <w:color w:val="000000"/>
          <w:sz w:val="14"/>
          <w:szCs w:val="14"/>
        </w:rPr>
      </w:pPr>
      <w:r w:rsidRPr="00B05F99">
        <w:rPr>
          <w:rFonts w:ascii="Verdana" w:hAnsi="Verdana" w:cs="Arial"/>
          <w:color w:val="000000"/>
          <w:sz w:val="14"/>
          <w:szCs w:val="14"/>
          <w:vertAlign w:val="superscript"/>
        </w:rPr>
        <w:footnoteRef/>
      </w:r>
      <w:r w:rsidRPr="00B05F99">
        <w:rPr>
          <w:rFonts w:ascii="Verdana" w:hAnsi="Verdana" w:cs="Arial"/>
          <w:color w:val="000000"/>
          <w:sz w:val="14"/>
          <w:szCs w:val="14"/>
        </w:rPr>
        <w:t xml:space="preserve"> Concepto Unidad de Gestión Pensional y Parafiscales, radicado 201811200427881 del 12 de febrero de 2018.</w:t>
      </w:r>
    </w:p>
    <w:p w14:paraId="204968F4" w14:textId="77777777" w:rsidR="00662E46" w:rsidRDefault="00662E46" w:rsidP="00662E46">
      <w:pPr>
        <w:ind w:firstLine="709"/>
        <w:jc w:val="both"/>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019794" w14:textId="77777777" w:rsidR="003A0D7B" w:rsidRDefault="003A0D7B">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0F5D948" wp14:editId="129D58EE">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96957A9" wp14:editId="1954C6E3">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0520C370" w14:textId="77777777" w:rsidR="003A0D7B" w:rsidRDefault="003A0D7B">
    <w:pPr>
      <w:pStyle w:val="Encabezado"/>
    </w:pPr>
  </w:p>
  <w:p w14:paraId="54F65BC7" w14:textId="77777777" w:rsidR="003A0D7B" w:rsidRDefault="003A0D7B" w:rsidP="004A305D">
    <w:pPr>
      <w:spacing w:after="0"/>
      <w:rPr>
        <w:rFonts w:ascii="Verdana" w:hAnsi="Verdana"/>
        <w:b/>
        <w:bCs/>
      </w:rPr>
    </w:pPr>
  </w:p>
  <w:p w14:paraId="0A2BD510" w14:textId="77777777" w:rsidR="003A0D7B" w:rsidRPr="00DC39FC" w:rsidRDefault="003A0D7B" w:rsidP="004A305D">
    <w:pPr>
      <w:spacing w:after="0"/>
      <w:rPr>
        <w:rFonts w:ascii="Verdana" w:hAnsi="Verdana"/>
        <w:b/>
        <w:bCs/>
      </w:rPr>
    </w:pPr>
    <w:r w:rsidRPr="00DC39FC">
      <w:rPr>
        <w:rFonts w:ascii="Verdana" w:hAnsi="Verdana"/>
        <w:b/>
        <w:bCs/>
      </w:rPr>
      <w:t>FORMATO PQRSD</w:t>
    </w:r>
  </w:p>
  <w:p w14:paraId="4E996C47" w14:textId="77777777" w:rsidR="003A0D7B" w:rsidRPr="004A305D" w:rsidRDefault="003A0D7B" w:rsidP="00B01B1A">
    <w:pPr>
      <w:spacing w:after="0" w:line="120" w:lineRule="auto"/>
      <w:rPr>
        <w:rFonts w:ascii="Century Gothic" w:eastAsia="Geo" w:hAnsi="Century Gothic" w:cs="Geo"/>
        <w:sz w:val="16"/>
        <w:szCs w:val="16"/>
        <w:lang w:eastAsia="es-CO"/>
      </w:rPr>
    </w:pPr>
  </w:p>
  <w:p w14:paraId="6EDBB2BC" w14:textId="77777777" w:rsidR="003A0D7B" w:rsidRDefault="003A0D7B"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23D13567"/>
    <w:multiLevelType w:val="hybridMultilevel"/>
    <w:tmpl w:val="BD96B5B2"/>
    <w:lvl w:ilvl="0" w:tplc="B4141436">
      <w:start w:val="1"/>
      <w:numFmt w:val="decimal"/>
      <w:lvlText w:val="%1."/>
      <w:lvlJc w:val="left"/>
      <w:pPr>
        <w:ind w:left="1776" w:hanging="36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341274352">
    <w:abstractNumId w:val="0"/>
  </w:num>
  <w:num w:numId="2" w16cid:durableId="679089576">
    <w:abstractNumId w:val="2"/>
  </w:num>
  <w:num w:numId="3" w16cid:durableId="8552688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D7B"/>
    <w:rsid w:val="000022C1"/>
    <w:rsid w:val="000364B5"/>
    <w:rsid w:val="00050C1B"/>
    <w:rsid w:val="00090745"/>
    <w:rsid w:val="00093BC4"/>
    <w:rsid w:val="000F5A42"/>
    <w:rsid w:val="00110BC2"/>
    <w:rsid w:val="00127535"/>
    <w:rsid w:val="00210F62"/>
    <w:rsid w:val="00240C0C"/>
    <w:rsid w:val="00240E30"/>
    <w:rsid w:val="00267A9E"/>
    <w:rsid w:val="00291770"/>
    <w:rsid w:val="00316714"/>
    <w:rsid w:val="003660BF"/>
    <w:rsid w:val="00384BE3"/>
    <w:rsid w:val="003A0D7B"/>
    <w:rsid w:val="003B437D"/>
    <w:rsid w:val="003E0437"/>
    <w:rsid w:val="00411FC4"/>
    <w:rsid w:val="004274DD"/>
    <w:rsid w:val="00472A47"/>
    <w:rsid w:val="00481416"/>
    <w:rsid w:val="004D0229"/>
    <w:rsid w:val="004D21A4"/>
    <w:rsid w:val="00503798"/>
    <w:rsid w:val="00506D7B"/>
    <w:rsid w:val="00527B92"/>
    <w:rsid w:val="00547778"/>
    <w:rsid w:val="00577491"/>
    <w:rsid w:val="00582A01"/>
    <w:rsid w:val="005B0886"/>
    <w:rsid w:val="005C4868"/>
    <w:rsid w:val="006102F9"/>
    <w:rsid w:val="006449CD"/>
    <w:rsid w:val="00662E46"/>
    <w:rsid w:val="006732AB"/>
    <w:rsid w:val="006811A6"/>
    <w:rsid w:val="00690412"/>
    <w:rsid w:val="006A1F8D"/>
    <w:rsid w:val="0070581D"/>
    <w:rsid w:val="007904A4"/>
    <w:rsid w:val="007B52F6"/>
    <w:rsid w:val="007D1C45"/>
    <w:rsid w:val="007E2679"/>
    <w:rsid w:val="00807A17"/>
    <w:rsid w:val="00823F63"/>
    <w:rsid w:val="008603A1"/>
    <w:rsid w:val="00893523"/>
    <w:rsid w:val="00962BB5"/>
    <w:rsid w:val="009B2EC2"/>
    <w:rsid w:val="009D6909"/>
    <w:rsid w:val="00A0381B"/>
    <w:rsid w:val="00A12218"/>
    <w:rsid w:val="00A45854"/>
    <w:rsid w:val="00A90678"/>
    <w:rsid w:val="00B07B2D"/>
    <w:rsid w:val="00B165BB"/>
    <w:rsid w:val="00B372C9"/>
    <w:rsid w:val="00B44C8D"/>
    <w:rsid w:val="00BA6105"/>
    <w:rsid w:val="00BE33BE"/>
    <w:rsid w:val="00C24FA3"/>
    <w:rsid w:val="00C45363"/>
    <w:rsid w:val="00C75733"/>
    <w:rsid w:val="00C75F7F"/>
    <w:rsid w:val="00C91B43"/>
    <w:rsid w:val="00CB06DB"/>
    <w:rsid w:val="00CB7EB7"/>
    <w:rsid w:val="00D11CE2"/>
    <w:rsid w:val="00D417E2"/>
    <w:rsid w:val="00DB1B5F"/>
    <w:rsid w:val="00DE2414"/>
    <w:rsid w:val="00DF1C36"/>
    <w:rsid w:val="00E0380C"/>
    <w:rsid w:val="00E06820"/>
    <w:rsid w:val="00E1020D"/>
    <w:rsid w:val="00E67707"/>
    <w:rsid w:val="00EA4682"/>
    <w:rsid w:val="00EC378A"/>
    <w:rsid w:val="00F13A00"/>
    <w:rsid w:val="00F25614"/>
    <w:rsid w:val="00F35288"/>
    <w:rsid w:val="00F413D9"/>
    <w:rsid w:val="00F4504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3D809"/>
  <w15:chartTrackingRefBased/>
  <w15:docId w15:val="{90629798-363C-45C7-BCF7-29C0275B0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37D"/>
    <w:rPr>
      <w:kern w:val="0"/>
      <w14:ligatures w14:val="none"/>
    </w:rPr>
  </w:style>
  <w:style w:type="paragraph" w:styleId="Ttulo1">
    <w:name w:val="heading 1"/>
    <w:basedOn w:val="Normal"/>
    <w:next w:val="Normal"/>
    <w:link w:val="Ttulo1Car"/>
    <w:uiPriority w:val="9"/>
    <w:qFormat/>
    <w:rsid w:val="003A0D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A0D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A0D7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A0D7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A0D7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A0D7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A0D7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A0D7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A0D7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A0D7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A0D7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A0D7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A0D7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A0D7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A0D7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A0D7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A0D7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A0D7B"/>
    <w:rPr>
      <w:rFonts w:eastAsiaTheme="majorEastAsia" w:cstheme="majorBidi"/>
      <w:color w:val="272727" w:themeColor="text1" w:themeTint="D8"/>
    </w:rPr>
  </w:style>
  <w:style w:type="paragraph" w:styleId="Ttulo">
    <w:name w:val="Title"/>
    <w:basedOn w:val="Normal"/>
    <w:next w:val="Normal"/>
    <w:link w:val="TtuloCar"/>
    <w:uiPriority w:val="10"/>
    <w:qFormat/>
    <w:rsid w:val="003A0D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A0D7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A0D7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A0D7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A0D7B"/>
    <w:pPr>
      <w:spacing w:before="160"/>
      <w:jc w:val="center"/>
    </w:pPr>
    <w:rPr>
      <w:i/>
      <w:iCs/>
      <w:color w:val="404040" w:themeColor="text1" w:themeTint="BF"/>
    </w:rPr>
  </w:style>
  <w:style w:type="character" w:customStyle="1" w:styleId="CitaCar">
    <w:name w:val="Cita Car"/>
    <w:basedOn w:val="Fuentedeprrafopredeter"/>
    <w:link w:val="Cita"/>
    <w:uiPriority w:val="29"/>
    <w:rsid w:val="003A0D7B"/>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3A0D7B"/>
    <w:pPr>
      <w:ind w:left="720"/>
      <w:contextualSpacing/>
    </w:pPr>
  </w:style>
  <w:style w:type="character" w:styleId="nfasisintenso">
    <w:name w:val="Intense Emphasis"/>
    <w:basedOn w:val="Fuentedeprrafopredeter"/>
    <w:uiPriority w:val="21"/>
    <w:qFormat/>
    <w:rsid w:val="003A0D7B"/>
    <w:rPr>
      <w:i/>
      <w:iCs/>
      <w:color w:val="0F4761" w:themeColor="accent1" w:themeShade="BF"/>
    </w:rPr>
  </w:style>
  <w:style w:type="paragraph" w:styleId="Citadestacada">
    <w:name w:val="Intense Quote"/>
    <w:basedOn w:val="Normal"/>
    <w:next w:val="Normal"/>
    <w:link w:val="CitadestacadaCar"/>
    <w:uiPriority w:val="30"/>
    <w:qFormat/>
    <w:rsid w:val="003A0D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A0D7B"/>
    <w:rPr>
      <w:i/>
      <w:iCs/>
      <w:color w:val="0F4761" w:themeColor="accent1" w:themeShade="BF"/>
    </w:rPr>
  </w:style>
  <w:style w:type="character" w:styleId="Referenciaintensa">
    <w:name w:val="Intense Reference"/>
    <w:basedOn w:val="Fuentedeprrafopredeter"/>
    <w:uiPriority w:val="32"/>
    <w:qFormat/>
    <w:rsid w:val="003A0D7B"/>
    <w:rPr>
      <w:b/>
      <w:bCs/>
      <w:smallCaps/>
      <w:color w:val="0F4761" w:themeColor="accent1" w:themeShade="BF"/>
      <w:spacing w:val="5"/>
    </w:rPr>
  </w:style>
  <w:style w:type="paragraph" w:styleId="Encabezado">
    <w:name w:val="header"/>
    <w:basedOn w:val="Normal"/>
    <w:link w:val="EncabezadoCar"/>
    <w:uiPriority w:val="99"/>
    <w:unhideWhenUsed/>
    <w:rsid w:val="003A0D7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A0D7B"/>
    <w:rPr>
      <w:kern w:val="0"/>
      <w14:ligatures w14:val="none"/>
    </w:rPr>
  </w:style>
  <w:style w:type="paragraph" w:styleId="Piedepgina">
    <w:name w:val="footer"/>
    <w:basedOn w:val="Normal"/>
    <w:link w:val="PiedepginaCar"/>
    <w:uiPriority w:val="99"/>
    <w:unhideWhenUsed/>
    <w:rsid w:val="003A0D7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A0D7B"/>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3A0D7B"/>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3A0D7B"/>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3A0D7B"/>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3A0D7B"/>
    <w:rPr>
      <w:vertAlign w:val="superscript"/>
    </w:rPr>
  </w:style>
  <w:style w:type="character" w:customStyle="1" w:styleId="normaltextrun">
    <w:name w:val="normaltextrun"/>
    <w:basedOn w:val="Fuentedeprrafopredeter"/>
    <w:rsid w:val="003A0D7B"/>
  </w:style>
  <w:style w:type="table" w:styleId="Tablaconcuadrcula">
    <w:name w:val="Table Grid"/>
    <w:basedOn w:val="Tablanormal"/>
    <w:uiPriority w:val="39"/>
    <w:qFormat/>
    <w:rsid w:val="003A0D7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3A0D7B"/>
    <w:rPr>
      <w:color w:val="0000FF"/>
      <w:u w:val="single"/>
    </w:rPr>
  </w:style>
  <w:style w:type="paragraph" w:customStyle="1" w:styleId="paragraph">
    <w:name w:val="paragraph"/>
    <w:basedOn w:val="Normal"/>
    <w:rsid w:val="003A0D7B"/>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3A0D7B"/>
  </w:style>
  <w:style w:type="paragraph" w:customStyle="1" w:styleId="Appelnotedebasde">
    <w:name w:val="Appel note de bas de..."/>
    <w:basedOn w:val="Normal"/>
    <w:link w:val="Refdenotaalpie"/>
    <w:uiPriority w:val="99"/>
    <w:rsid w:val="003A0D7B"/>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A0D7B"/>
  </w:style>
  <w:style w:type="character" w:styleId="Mencinsinresolver">
    <w:name w:val="Unresolved Mention"/>
    <w:basedOn w:val="Fuentedeprrafopredeter"/>
    <w:uiPriority w:val="99"/>
    <w:semiHidden/>
    <w:unhideWhenUsed/>
    <w:rsid w:val="003A0D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golar@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08C9B4B-66A5-4F1A-96E4-8D7F3B813048}">
  <ds:schemaRefs>
    <ds:schemaRef ds:uri="http://schemas.openxmlformats.org/package/2006/metadata/core-properties"/>
    <ds:schemaRef ds:uri="http://schemas.microsoft.com/office/2006/documentManagement/types"/>
    <ds:schemaRef ds:uri="http://purl.org/dc/terms/"/>
    <ds:schemaRef ds:uri="http://purl.org/dc/dcmitype/"/>
    <ds:schemaRef ds:uri="http://schemas.microsoft.com/office/infopath/2007/PartnerControls"/>
    <ds:schemaRef ds:uri="http://purl.org/dc/elements/1.1/"/>
    <ds:schemaRef ds:uri="http://schemas.microsoft.com/office/2006/metadata/properties"/>
    <ds:schemaRef ds:uri="a6cb9e4b-f1d1-4245-83ec-6cad768d538a"/>
    <ds:schemaRef ds:uri="9d85dbaf-23eb-4e57-a637-93dcacc8b1a1"/>
    <ds:schemaRef ds:uri="http://www.w3.org/XML/1998/namespace"/>
  </ds:schemaRefs>
</ds:datastoreItem>
</file>

<file path=customXml/itemProps2.xml><?xml version="1.0" encoding="utf-8"?>
<ds:datastoreItem xmlns:ds="http://schemas.openxmlformats.org/officeDocument/2006/customXml" ds:itemID="{FC10BE7E-A64E-4FE5-A3CF-8DF05C5A81EF}">
  <ds:schemaRefs>
    <ds:schemaRef ds:uri="http://schemas.microsoft.com/sharepoint/v3/contenttype/forms"/>
  </ds:schemaRefs>
</ds:datastoreItem>
</file>

<file path=customXml/itemProps3.xml><?xml version="1.0" encoding="utf-8"?>
<ds:datastoreItem xmlns:ds="http://schemas.openxmlformats.org/officeDocument/2006/customXml" ds:itemID="{BF47A95F-7FC0-4119-9736-F6801CF8C7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4114</Words>
  <Characters>21521</Characters>
  <Application>Microsoft Office Word</Application>
  <DocSecurity>0</DocSecurity>
  <Lines>448</Lines>
  <Paragraphs>103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Sergio Andrés Rivera Cano</cp:lastModifiedBy>
  <cp:revision>2</cp:revision>
  <dcterms:created xsi:type="dcterms:W3CDTF">2025-09-24T22:46:00Z</dcterms:created>
  <dcterms:modified xsi:type="dcterms:W3CDTF">2025-09-24T22:46:00Z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