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C10E5" w14:textId="77777777" w:rsidR="006873E3" w:rsidRPr="00557F9D" w:rsidRDefault="006873E3" w:rsidP="006873E3">
      <w:pPr>
        <w:jc w:val="both"/>
        <w:rPr>
          <w:rFonts w:ascii="Verdana" w:eastAsia="Calibri" w:hAnsi="Verdana" w:cs="Arial"/>
          <w:b/>
          <w:bCs/>
          <w:lang w:val="es-MX"/>
        </w:rPr>
      </w:pPr>
      <w:bookmarkStart w:id="0" w:name="_Hlk143780582"/>
      <w:r w:rsidRPr="00557F9D">
        <w:rPr>
          <w:rFonts w:ascii="Verdana" w:eastAsia="Calibri" w:hAnsi="Verdana" w:cs="Arial"/>
          <w:b/>
          <w:bCs/>
          <w:lang w:val="es-MX"/>
        </w:rPr>
        <w:t>EXPERIENCIA – Noción – Concepto</w:t>
      </w:r>
    </w:p>
    <w:p w14:paraId="3350DB69" w14:textId="77777777" w:rsidR="006873E3" w:rsidRPr="00557F9D" w:rsidRDefault="006873E3" w:rsidP="006873E3">
      <w:pPr>
        <w:jc w:val="both"/>
        <w:rPr>
          <w:rFonts w:ascii="Verdana" w:eastAsia="Calibri" w:hAnsi="Verdana" w:cs="Arial"/>
          <w:sz w:val="20"/>
          <w:szCs w:val="20"/>
          <w:lang w:val="es-MX"/>
        </w:rPr>
      </w:pPr>
      <w:r w:rsidRPr="00557F9D">
        <w:rPr>
          <w:rFonts w:ascii="Verdana" w:eastAsia="Calibri" w:hAnsi="Verdana" w:cs="Arial"/>
          <w:sz w:val="20"/>
          <w:szCs w:val="20"/>
          <w:lang w:val="es-MX"/>
        </w:rPr>
        <w:t xml:space="preserve">La Ley 1150 de 2007, en el artículo 5, dispone que la capacidad jurídica y las condiciones de experiencia, así como la capacidad financiera y de organización de los proponentes, serán objeto de verificación por parte de las entidades como requisitos habilitantes para participar en los procesos de selección y no otorgarán puntaje. </w:t>
      </w:r>
    </w:p>
    <w:p w14:paraId="3FFE2A27" w14:textId="77777777" w:rsidR="006873E3" w:rsidRPr="00557F9D" w:rsidRDefault="006873E3" w:rsidP="006873E3">
      <w:pPr>
        <w:jc w:val="both"/>
        <w:rPr>
          <w:rFonts w:ascii="Verdana" w:eastAsia="Calibri" w:hAnsi="Verdana" w:cs="Arial"/>
          <w:sz w:val="20"/>
          <w:szCs w:val="20"/>
          <w:lang w:val="es-MX"/>
        </w:rPr>
      </w:pPr>
      <w:r w:rsidRPr="00557F9D">
        <w:rPr>
          <w:rFonts w:ascii="Verdana" w:eastAsia="Calibri" w:hAnsi="Verdana" w:cs="Arial"/>
          <w:sz w:val="20"/>
          <w:szCs w:val="20"/>
          <w:lang w:val="es-MX"/>
        </w:rPr>
        <w:t>Para ello, el artículo 6 de la Ley 1150 de 2007 señala que todas las personas naturales o jurídicas, nacionales o extranjeras, domiciliadas o con sucursal en Colombia, que aspiren celebrar contratos con las entidades estatales deberán estar inscritas en el Registro Único de Proponentes. En dicho registro constará la información relacionada con la experiencia, la capacidad jurídica, financiera y de organización del proponente y su clasificación. En este registro constan los requisitos habilitantes que se evalúan exclusivamente con este documento, que es plena prueba, sin que la entidad o el proponente puedan, en principio, solicitar o aportar otra documentación.</w:t>
      </w:r>
    </w:p>
    <w:p w14:paraId="14A4004C" w14:textId="77777777" w:rsidR="006873E3" w:rsidRPr="00557F9D" w:rsidRDefault="006873E3" w:rsidP="006873E3">
      <w:pPr>
        <w:jc w:val="both"/>
        <w:rPr>
          <w:rFonts w:ascii="Verdana" w:eastAsia="Calibri" w:hAnsi="Verdana" w:cs="Arial"/>
          <w:sz w:val="20"/>
          <w:szCs w:val="20"/>
          <w:lang w:val="es-MX"/>
        </w:rPr>
      </w:pPr>
      <w:r w:rsidRPr="00557F9D">
        <w:rPr>
          <w:rFonts w:ascii="Verdana" w:eastAsia="Calibri" w:hAnsi="Verdana" w:cs="Arial"/>
          <w:sz w:val="20"/>
          <w:szCs w:val="20"/>
          <w:lang w:val="es-MX"/>
        </w:rPr>
        <w:t>[…]</w:t>
      </w:r>
    </w:p>
    <w:p w14:paraId="182D3236" w14:textId="573783E7" w:rsidR="006873E3" w:rsidRPr="006873E3" w:rsidRDefault="006873E3" w:rsidP="006873E3">
      <w:pPr>
        <w:jc w:val="both"/>
        <w:rPr>
          <w:rFonts w:ascii="Verdana" w:eastAsia="Calibri" w:hAnsi="Verdana" w:cs="Arial"/>
          <w:sz w:val="20"/>
          <w:szCs w:val="20"/>
          <w:lang w:val="es-MX"/>
        </w:rPr>
      </w:pPr>
      <w:r w:rsidRPr="00557F9D">
        <w:rPr>
          <w:rFonts w:ascii="Verdana" w:eastAsia="Calibri" w:hAnsi="Verdana" w:cs="Arial"/>
          <w:sz w:val="20"/>
          <w:szCs w:val="20"/>
          <w:lang w:val="es-MX"/>
        </w:rPr>
        <w:t>La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w:t>
      </w:r>
    </w:p>
    <w:p w14:paraId="7EE17B62" w14:textId="3F7F780C" w:rsidR="006873E3" w:rsidRPr="00557F9D" w:rsidRDefault="006873E3" w:rsidP="006873E3">
      <w:pPr>
        <w:jc w:val="both"/>
        <w:rPr>
          <w:rFonts w:ascii="Verdana" w:eastAsia="Calibri" w:hAnsi="Verdana" w:cs="Arial"/>
          <w:b/>
          <w:bCs/>
          <w:lang w:val="es-MX"/>
        </w:rPr>
      </w:pPr>
      <w:r w:rsidRPr="00557F9D">
        <w:rPr>
          <w:rFonts w:ascii="Verdana" w:eastAsia="Calibri" w:hAnsi="Verdana" w:cs="Arial"/>
          <w:b/>
          <w:bCs/>
          <w:lang w:val="es-MX"/>
        </w:rPr>
        <w:t>EXPERIENCIA – Transferencia – Accionistas, socios o constituyentes – Decreto 1082 de 2015</w:t>
      </w:r>
    </w:p>
    <w:p w14:paraId="2B476DDE" w14:textId="77777777" w:rsidR="006873E3" w:rsidRPr="00557F9D" w:rsidRDefault="006873E3" w:rsidP="006873E3">
      <w:pPr>
        <w:jc w:val="both"/>
        <w:rPr>
          <w:rFonts w:ascii="Verdana" w:eastAsia="Calibri" w:hAnsi="Verdana" w:cs="Arial"/>
          <w:sz w:val="20"/>
          <w:szCs w:val="20"/>
          <w:lang w:val="es-MX"/>
        </w:rPr>
      </w:pPr>
      <w:r w:rsidRPr="00557F9D">
        <w:rPr>
          <w:rFonts w:ascii="Verdana" w:eastAsia="Calibri" w:hAnsi="Verdana" w:cs="Arial"/>
          <w:sz w:val="20"/>
          <w:szCs w:val="20"/>
          <w:lang w:val="es-MX"/>
        </w:rPr>
        <w:t xml:space="preserve">La parte final del numeral 2.5 del artículo 2.2.1.1.1.5.2. del Decreto 1082 de 2015 incluye una medida diferenciada para las personas jurídicas cuya constitución sea menor a 3 años al momento del registro. Esta prerrogativa, que puede ser entendida como de fomento a la participación de los oferentes en la contratación estatal, permite que las sociedades relativamente nuevas ─con menos de 3 años de constitución─ puedan acreditar como experiencia en el RUP la de sus accionistas, socios o constituyentes. A pesar de que la experiencia es inherente a la persona que la ha obtenido, razón por la cual es intransferible en virtud de su carácter personalísimo, por disposición legal o reglamentaria, en casos excepcionales, como el descrito por el artículo mencionado, se permite hacerlo.[…] </w:t>
      </w:r>
    </w:p>
    <w:p w14:paraId="6E4E9C83" w14:textId="77777777" w:rsidR="006873E3" w:rsidRPr="00557F9D" w:rsidRDefault="006873E3" w:rsidP="006873E3">
      <w:pPr>
        <w:jc w:val="both"/>
        <w:rPr>
          <w:rFonts w:ascii="Verdana" w:eastAsia="Calibri" w:hAnsi="Verdana" w:cs="Arial"/>
          <w:sz w:val="20"/>
          <w:szCs w:val="20"/>
          <w:lang w:val="es-MX"/>
        </w:rPr>
      </w:pPr>
      <w:r w:rsidRPr="00557F9D">
        <w:rPr>
          <w:rFonts w:ascii="Verdana" w:eastAsia="Calibri" w:hAnsi="Verdana" w:cs="Arial"/>
          <w:sz w:val="20"/>
          <w:szCs w:val="20"/>
          <w:lang w:val="es-MX"/>
        </w:rPr>
        <w:t xml:space="preserve">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su experiencia a la sociedad de la que es parte, para que ésta, como persona jurídica independiente, cumpla los requisitos </w:t>
      </w:r>
      <w:r w:rsidRPr="00557F9D">
        <w:rPr>
          <w:rFonts w:ascii="Verdana" w:eastAsia="Calibri" w:hAnsi="Verdana" w:cs="Arial"/>
          <w:sz w:val="20"/>
          <w:szCs w:val="20"/>
          <w:lang w:val="es-MX"/>
        </w:rPr>
        <w:lastRenderedPageBreak/>
        <w:t>habilitantes o puntuables que establezcan las entidades estatales en sus procesos de contratación, y de esta forma promover el desarrollo de la empresa y la pluralidad de oferentes en la contratación pública.</w:t>
      </w:r>
    </w:p>
    <w:p w14:paraId="58D736A3" w14:textId="77777777" w:rsidR="006873E3" w:rsidRPr="00557F9D" w:rsidRDefault="006873E3" w:rsidP="006873E3">
      <w:pPr>
        <w:jc w:val="both"/>
        <w:rPr>
          <w:rFonts w:ascii="Verdana" w:eastAsia="Calibri" w:hAnsi="Verdana" w:cs="Arial"/>
          <w:b/>
          <w:bCs/>
          <w:lang w:val="es-MX"/>
        </w:rPr>
      </w:pPr>
      <w:r w:rsidRPr="00557F9D">
        <w:rPr>
          <w:rFonts w:ascii="Verdana" w:eastAsia="Calibri" w:hAnsi="Verdana" w:cs="Arial"/>
          <w:b/>
          <w:bCs/>
          <w:lang w:val="es-MX"/>
        </w:rPr>
        <w:t>EXPERIENCIA ‒ Conservación ‒ Renovación RUP ‒ Cesación efectos RUP</w:t>
      </w:r>
    </w:p>
    <w:p w14:paraId="5357FE61" w14:textId="77777777" w:rsidR="006873E3" w:rsidRPr="00557F9D" w:rsidRDefault="006873E3" w:rsidP="006873E3">
      <w:pPr>
        <w:jc w:val="both"/>
        <w:rPr>
          <w:rFonts w:ascii="Verdana" w:eastAsia="Calibri" w:hAnsi="Verdana" w:cs="Arial"/>
          <w:sz w:val="20"/>
          <w:szCs w:val="20"/>
          <w:lang w:val="es-MX"/>
        </w:rPr>
      </w:pPr>
      <w:r w:rsidRPr="00557F9D">
        <w:rPr>
          <w:rFonts w:ascii="Verdana" w:eastAsia="Calibri" w:hAnsi="Verdana" w:cs="Arial"/>
          <w:b/>
          <w:bCs/>
          <w:sz w:val="20"/>
          <w:szCs w:val="20"/>
          <w:lang w:val="es-MX"/>
        </w:rPr>
        <w:t> </w:t>
      </w:r>
      <w:r w:rsidRPr="00557F9D">
        <w:rPr>
          <w:rFonts w:ascii="Verdana" w:eastAsia="Calibri" w:hAnsi="Verdana" w:cs="Arial"/>
          <w:sz w:val="20"/>
          <w:szCs w:val="20"/>
          <w:lang w:val="es-MX"/>
        </w:rPr>
        <w:t>[…] si la persona jurídica con menos de tres años de constituida registra la experiencia de sus socios en el RUP, y éste es renovado, puede continuar utilizando la experiencia inscrita mientras no cesen los efectos del RUP. Por el contrario, si no se renueva y la persona jurídica supera los tres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w:t>
      </w:r>
    </w:p>
    <w:p w14:paraId="6F23897B" w14:textId="2B85CF94" w:rsidR="006873E3" w:rsidRPr="00557F9D" w:rsidRDefault="006873E3" w:rsidP="006873E3">
      <w:pPr>
        <w:contextualSpacing/>
        <w:jc w:val="both"/>
        <w:textAlignment w:val="baseline"/>
        <w:rPr>
          <w:rFonts w:ascii="Verdana" w:eastAsia="Calibri" w:hAnsi="Verdana" w:cs="Arial"/>
          <w:sz w:val="20"/>
          <w:szCs w:val="20"/>
          <w:lang w:val="es-MX"/>
        </w:rPr>
      </w:pPr>
      <w:r w:rsidRPr="00557F9D">
        <w:rPr>
          <w:rFonts w:ascii="Verdana" w:hAnsi="Verdana" w:cs="Arial"/>
          <w:lang w:eastAsia="es-CO"/>
        </w:rPr>
        <w:t> </w:t>
      </w:r>
    </w:p>
    <w:p w14:paraId="4F4CEB71" w14:textId="77777777" w:rsidR="006873E3" w:rsidRPr="006873E3" w:rsidRDefault="006873E3" w:rsidP="006873E3">
      <w:pPr>
        <w:pStyle w:val="Textoindependiente"/>
        <w:spacing w:before="163"/>
        <w:rPr>
          <w:lang w:val="es-MX"/>
        </w:rPr>
      </w:pPr>
    </w:p>
    <w:p w14:paraId="42AB2677" w14:textId="77777777" w:rsidR="006873E3" w:rsidRDefault="006873E3" w:rsidP="006873E3">
      <w:pPr>
        <w:pStyle w:val="Textoindependiente"/>
        <w:spacing w:before="163"/>
      </w:pPr>
    </w:p>
    <w:p w14:paraId="115BA4AE" w14:textId="77777777" w:rsidR="006873E3" w:rsidRDefault="006873E3" w:rsidP="006873E3">
      <w:pPr>
        <w:pStyle w:val="Textoindependiente"/>
        <w:spacing w:before="163"/>
      </w:pPr>
    </w:p>
    <w:p w14:paraId="5E136A55" w14:textId="77777777" w:rsidR="006873E3" w:rsidRDefault="006873E3" w:rsidP="006873E3">
      <w:pPr>
        <w:pStyle w:val="Textoindependiente"/>
        <w:spacing w:before="163"/>
      </w:pPr>
    </w:p>
    <w:p w14:paraId="0B85367F" w14:textId="77777777" w:rsidR="006873E3" w:rsidRDefault="006873E3" w:rsidP="006873E3">
      <w:pPr>
        <w:pStyle w:val="Textoindependiente"/>
        <w:spacing w:before="163"/>
      </w:pPr>
    </w:p>
    <w:p w14:paraId="5C3892CE" w14:textId="77777777" w:rsidR="006873E3" w:rsidRDefault="006873E3" w:rsidP="006873E3">
      <w:pPr>
        <w:pStyle w:val="Textoindependiente"/>
        <w:spacing w:before="163"/>
      </w:pPr>
    </w:p>
    <w:p w14:paraId="1541CDD8" w14:textId="77777777" w:rsidR="006873E3" w:rsidRDefault="006873E3" w:rsidP="006873E3">
      <w:pPr>
        <w:pStyle w:val="Textoindependiente"/>
        <w:spacing w:before="163"/>
      </w:pPr>
    </w:p>
    <w:p w14:paraId="66329F64" w14:textId="77777777" w:rsidR="006873E3" w:rsidRDefault="006873E3" w:rsidP="006873E3">
      <w:pPr>
        <w:pStyle w:val="Textoindependiente"/>
        <w:spacing w:before="163"/>
      </w:pPr>
    </w:p>
    <w:p w14:paraId="583BF88B" w14:textId="77777777" w:rsidR="006873E3" w:rsidRDefault="006873E3" w:rsidP="006873E3">
      <w:pPr>
        <w:pStyle w:val="Textoindependiente"/>
        <w:spacing w:before="163"/>
      </w:pPr>
    </w:p>
    <w:p w14:paraId="0D90C950" w14:textId="77777777" w:rsidR="006873E3" w:rsidRDefault="006873E3" w:rsidP="006873E3">
      <w:pPr>
        <w:pStyle w:val="Textoindependiente"/>
        <w:spacing w:before="163"/>
      </w:pPr>
    </w:p>
    <w:p w14:paraId="1DAE536E" w14:textId="77777777" w:rsidR="006873E3" w:rsidRDefault="006873E3" w:rsidP="006873E3">
      <w:pPr>
        <w:pStyle w:val="Textoindependiente"/>
        <w:spacing w:before="163"/>
      </w:pPr>
    </w:p>
    <w:p w14:paraId="3A787A19" w14:textId="77777777" w:rsidR="006873E3" w:rsidRDefault="006873E3" w:rsidP="006873E3">
      <w:pPr>
        <w:pStyle w:val="Textoindependiente"/>
        <w:spacing w:before="163"/>
      </w:pPr>
    </w:p>
    <w:p w14:paraId="4696BB3C" w14:textId="77777777" w:rsidR="006873E3" w:rsidRDefault="006873E3" w:rsidP="006873E3">
      <w:pPr>
        <w:pStyle w:val="Textoindependiente"/>
        <w:spacing w:before="163"/>
      </w:pPr>
    </w:p>
    <w:p w14:paraId="6A4662CC" w14:textId="77777777" w:rsidR="006873E3" w:rsidRDefault="006873E3" w:rsidP="006873E3">
      <w:pPr>
        <w:pStyle w:val="Textoindependiente"/>
        <w:spacing w:before="163"/>
      </w:pPr>
    </w:p>
    <w:p w14:paraId="74F6E499" w14:textId="77777777" w:rsidR="006873E3" w:rsidRDefault="006873E3" w:rsidP="006873E3">
      <w:pPr>
        <w:pStyle w:val="Textoindependiente"/>
        <w:spacing w:before="163"/>
      </w:pPr>
    </w:p>
    <w:p w14:paraId="018AF0B0" w14:textId="77777777" w:rsidR="006873E3" w:rsidRDefault="006873E3" w:rsidP="006873E3">
      <w:pPr>
        <w:pStyle w:val="Textoindependiente"/>
        <w:spacing w:before="163"/>
      </w:pPr>
    </w:p>
    <w:p w14:paraId="1F66DFAC" w14:textId="77777777" w:rsidR="006873E3" w:rsidRDefault="006873E3" w:rsidP="006873E3">
      <w:pPr>
        <w:pStyle w:val="Textoindependiente"/>
        <w:spacing w:before="163"/>
      </w:pPr>
    </w:p>
    <w:p w14:paraId="2DB70AEE" w14:textId="77777777" w:rsidR="006873E3" w:rsidRDefault="006873E3" w:rsidP="006873E3">
      <w:pPr>
        <w:pStyle w:val="Textoindependiente"/>
        <w:spacing w:before="163"/>
      </w:pPr>
    </w:p>
    <w:p w14:paraId="0B6CABB5" w14:textId="27D1B63D" w:rsidR="006873E3" w:rsidRDefault="006873E3" w:rsidP="006873E3">
      <w:pPr>
        <w:pStyle w:val="Textoindependiente"/>
        <w:spacing w:before="163"/>
      </w:pPr>
      <w:r>
        <w:rPr>
          <w:noProof/>
        </w:rPr>
        <w:lastRenderedPageBreak/>
        <w:drawing>
          <wp:anchor distT="0" distB="0" distL="0" distR="0" simplePos="0" relativeHeight="251659264" behindDoc="0" locked="0" layoutInCell="1" allowOverlap="1" wp14:anchorId="293715B2" wp14:editId="41480663">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2400300" cy="615950"/>
                    </a:xfrm>
                    <a:prstGeom prst="rect">
                      <a:avLst/>
                    </a:prstGeom>
                  </pic:spPr>
                </pic:pic>
              </a:graphicData>
            </a:graphic>
          </wp:anchor>
        </w:drawing>
      </w:r>
      <w:r>
        <w:t>Bogotá</w:t>
      </w:r>
      <w:r>
        <w:rPr>
          <w:spacing w:val="-8"/>
        </w:rPr>
        <w:t xml:space="preserve"> </w:t>
      </w:r>
      <w:r>
        <w:t>D.C.,</w:t>
      </w:r>
      <w:r>
        <w:rPr>
          <w:spacing w:val="-6"/>
        </w:rPr>
        <w:t xml:space="preserve"> </w:t>
      </w:r>
      <w:r>
        <w:t>23</w:t>
      </w:r>
      <w:r>
        <w:rPr>
          <w:spacing w:val="-1"/>
        </w:rPr>
        <w:t xml:space="preserve"> </w:t>
      </w:r>
      <w:proofErr w:type="gramStart"/>
      <w:r>
        <w:t>Septiembre</w:t>
      </w:r>
      <w:proofErr w:type="gramEnd"/>
      <w:r>
        <w:rPr>
          <w:spacing w:val="-3"/>
        </w:rPr>
        <w:t xml:space="preserve"> </w:t>
      </w:r>
      <w:r>
        <w:rPr>
          <w:spacing w:val="-4"/>
        </w:rPr>
        <w:t>2025</w:t>
      </w:r>
    </w:p>
    <w:p w14:paraId="2A922083" w14:textId="6303F0BB" w:rsidR="006873E3" w:rsidRDefault="006873E3" w:rsidP="000170BE">
      <w:pPr>
        <w:spacing w:after="0" w:line="240" w:lineRule="auto"/>
        <w:jc w:val="both"/>
        <w:rPr>
          <w:rFonts w:ascii="Verdana" w:eastAsia="Calibri" w:hAnsi="Verdana" w:cs="Arial"/>
          <w:lang w:val="es-ES" w:eastAsia="es-ES"/>
        </w:rPr>
      </w:pPr>
    </w:p>
    <w:p w14:paraId="3F0859A5" w14:textId="4F6D2E32" w:rsidR="000170BE" w:rsidRPr="00E56C4E" w:rsidRDefault="000170BE" w:rsidP="000170BE">
      <w:pPr>
        <w:spacing w:after="0" w:line="240" w:lineRule="auto"/>
        <w:jc w:val="both"/>
        <w:rPr>
          <w:rFonts w:ascii="Verdana" w:eastAsia="Calibri" w:hAnsi="Verdana" w:cs="Arial"/>
          <w:lang w:val="es-ES" w:eastAsia="es-ES"/>
        </w:rPr>
      </w:pPr>
      <w:r w:rsidRPr="00E56C4E">
        <w:rPr>
          <w:rFonts w:ascii="Verdana" w:eastAsia="Calibri" w:hAnsi="Verdana" w:cs="Arial"/>
          <w:lang w:val="es-ES" w:eastAsia="es-ES"/>
        </w:rPr>
        <w:t>Señora</w:t>
      </w:r>
    </w:p>
    <w:p w14:paraId="3E63D334" w14:textId="77777777" w:rsidR="000170BE" w:rsidRPr="00E56C4E" w:rsidRDefault="000170BE" w:rsidP="000170BE">
      <w:pPr>
        <w:spacing w:after="0" w:line="240" w:lineRule="auto"/>
        <w:rPr>
          <w:rFonts w:ascii="Verdana" w:eastAsia="Calibri" w:hAnsi="Verdana" w:cs="Arial"/>
          <w:b/>
          <w:lang w:val="es-ES_tradnl" w:eastAsia="es-ES_tradnl"/>
        </w:rPr>
      </w:pPr>
      <w:r w:rsidRPr="00E56C4E">
        <w:rPr>
          <w:rFonts w:ascii="Verdana" w:eastAsia="Calibri" w:hAnsi="Verdana" w:cs="Arial"/>
          <w:b/>
          <w:lang w:val="es-ES_tradnl" w:eastAsia="es-ES_tradnl"/>
        </w:rPr>
        <w:t>Patricia Janeth Pacheco Restrepo</w:t>
      </w:r>
    </w:p>
    <w:p w14:paraId="16AA3794" w14:textId="77777777" w:rsidR="000170BE" w:rsidRPr="00E56C4E" w:rsidRDefault="000170BE" w:rsidP="000170BE">
      <w:pPr>
        <w:spacing w:after="0" w:line="240" w:lineRule="auto"/>
        <w:rPr>
          <w:rFonts w:ascii="Verdana" w:eastAsia="Calibri" w:hAnsi="Verdana" w:cs="Arial"/>
          <w:lang w:val="es-ES" w:eastAsia="es-ES"/>
        </w:rPr>
      </w:pPr>
      <w:hyperlink r:id="rId11" w:history="1">
        <w:r w:rsidRPr="00E56C4E">
          <w:rPr>
            <w:rStyle w:val="Hipervnculo"/>
            <w:rFonts w:ascii="Verdana" w:eastAsia="Calibri" w:hAnsi="Verdana" w:cs="Arial"/>
            <w:lang w:val="es-ES" w:eastAsia="es-ES"/>
          </w:rPr>
          <w:t>comercial@bioanalytica.com.co</w:t>
        </w:r>
      </w:hyperlink>
    </w:p>
    <w:p w14:paraId="1B22D966" w14:textId="77777777" w:rsidR="000170BE" w:rsidRPr="00E56C4E" w:rsidRDefault="000170BE" w:rsidP="000170BE">
      <w:pPr>
        <w:spacing w:after="0" w:line="240" w:lineRule="auto"/>
        <w:rPr>
          <w:rFonts w:ascii="Verdana" w:eastAsia="Calibri" w:hAnsi="Verdana" w:cs="Arial"/>
          <w:b/>
          <w:bCs/>
          <w:lang w:val="es-ES" w:eastAsia="es-ES"/>
        </w:rPr>
      </w:pPr>
      <w:r w:rsidRPr="00E56C4E">
        <w:rPr>
          <w:rFonts w:ascii="Verdana" w:eastAsia="Calibri" w:hAnsi="Verdana" w:cs="Arial"/>
          <w:lang w:val="es-ES" w:eastAsia="es-ES"/>
        </w:rPr>
        <w:t xml:space="preserve">Medellín, Antioquia </w:t>
      </w:r>
    </w:p>
    <w:p w14:paraId="22FACD1D" w14:textId="77777777" w:rsidR="000170BE" w:rsidRPr="00E56C4E" w:rsidRDefault="000170BE" w:rsidP="000170BE">
      <w:pPr>
        <w:spacing w:after="0" w:line="240" w:lineRule="auto"/>
        <w:rPr>
          <w:rFonts w:ascii="Verdana" w:eastAsia="Calibri" w:hAnsi="Verdana" w:cs="Arial"/>
          <w:b/>
          <w:bCs/>
          <w:color w:val="000000"/>
          <w:lang w:val="es-ES_tradnl" w:eastAsia="es-ES_tradnl"/>
        </w:rPr>
      </w:pPr>
    </w:p>
    <w:p w14:paraId="0A9B87B6" w14:textId="77777777" w:rsidR="000170BE" w:rsidRPr="00E56C4E" w:rsidRDefault="000170BE" w:rsidP="000170B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170BE" w:rsidRPr="00E56C4E" w14:paraId="475573F5" w14:textId="77777777" w:rsidTr="00FA7901">
        <w:trPr>
          <w:trHeight w:val="162"/>
        </w:trPr>
        <w:tc>
          <w:tcPr>
            <w:tcW w:w="2689" w:type="dxa"/>
          </w:tcPr>
          <w:p w14:paraId="0BB2111C" w14:textId="77777777" w:rsidR="000170BE" w:rsidRPr="00E56C4E" w:rsidRDefault="000170BE" w:rsidP="00881EEC">
            <w:pPr>
              <w:jc w:val="both"/>
              <w:rPr>
                <w:rFonts w:ascii="Verdana" w:eastAsia="Calibri" w:hAnsi="Verdana" w:cs="Arial"/>
                <w:b/>
                <w:bCs/>
                <w:color w:val="7030A0"/>
                <w:lang w:val="es-ES_tradnl" w:eastAsia="es-ES_tradnl"/>
              </w:rPr>
            </w:pPr>
          </w:p>
        </w:tc>
        <w:tc>
          <w:tcPr>
            <w:tcW w:w="6100" w:type="dxa"/>
          </w:tcPr>
          <w:p w14:paraId="28087539" w14:textId="77777777" w:rsidR="000170BE" w:rsidRPr="005D32B8" w:rsidRDefault="000170BE" w:rsidP="005D32B8">
            <w:pPr>
              <w:jc w:val="both"/>
              <w:rPr>
                <w:rFonts w:ascii="Verdana" w:eastAsia="Calibri" w:hAnsi="Verdana" w:cs="Arial"/>
                <w:b/>
                <w:bCs/>
                <w:lang w:val="es-ES" w:eastAsia="es-ES"/>
              </w:rPr>
            </w:pPr>
            <w:r w:rsidRPr="00E56C4E">
              <w:rPr>
                <w:rFonts w:ascii="Verdana" w:eastAsia="Calibri" w:hAnsi="Verdana" w:cs="Arial"/>
                <w:b/>
                <w:bCs/>
                <w:lang w:val="es-ES" w:eastAsia="es-ES"/>
              </w:rPr>
              <w:t>Concepto C- 1132</w:t>
            </w:r>
            <w:r w:rsidRPr="00E56C4E">
              <w:rPr>
                <w:rFonts w:ascii="Verdana" w:eastAsia="Calibri" w:hAnsi="Verdana" w:cs="Arial"/>
                <w:b/>
                <w:bCs/>
                <w:color w:val="7030A0"/>
                <w:lang w:val="es-ES" w:eastAsia="es-ES"/>
              </w:rPr>
              <w:t xml:space="preserve"> </w:t>
            </w:r>
            <w:r w:rsidRPr="00E56C4E">
              <w:rPr>
                <w:rFonts w:ascii="Verdana" w:eastAsia="Calibri" w:hAnsi="Verdana" w:cs="Arial"/>
                <w:b/>
                <w:bCs/>
                <w:lang w:val="es-ES" w:eastAsia="es-ES"/>
              </w:rPr>
              <w:t>de 2025</w:t>
            </w:r>
          </w:p>
          <w:p w14:paraId="4947174B" w14:textId="77777777" w:rsidR="000170BE" w:rsidRPr="00E56C4E" w:rsidRDefault="000170BE" w:rsidP="00881EEC">
            <w:pPr>
              <w:jc w:val="both"/>
              <w:rPr>
                <w:rFonts w:ascii="Verdana" w:eastAsia="Calibri" w:hAnsi="Verdana" w:cs="Arial"/>
                <w:b/>
                <w:bCs/>
                <w:color w:val="7030A0"/>
                <w:lang w:val="es-ES" w:eastAsia="es-ES"/>
              </w:rPr>
            </w:pPr>
          </w:p>
        </w:tc>
      </w:tr>
      <w:tr w:rsidR="000170BE" w:rsidRPr="00E56C4E" w14:paraId="417254E2" w14:textId="77777777" w:rsidTr="00881EEC">
        <w:trPr>
          <w:trHeight w:val="884"/>
        </w:trPr>
        <w:tc>
          <w:tcPr>
            <w:tcW w:w="2689" w:type="dxa"/>
          </w:tcPr>
          <w:p w14:paraId="344E646F" w14:textId="77777777" w:rsidR="000170BE" w:rsidRPr="00E56C4E" w:rsidRDefault="000170BE" w:rsidP="00881EEC">
            <w:pPr>
              <w:jc w:val="both"/>
              <w:rPr>
                <w:rFonts w:ascii="Verdana" w:eastAsia="Calibri" w:hAnsi="Verdana" w:cs="Arial"/>
                <w:color w:val="000000"/>
                <w:lang w:val="es-ES_tradnl" w:eastAsia="es-ES_tradnl"/>
              </w:rPr>
            </w:pPr>
            <w:r w:rsidRPr="00E56C4E">
              <w:rPr>
                <w:rFonts w:ascii="Verdana" w:eastAsia="Calibri" w:hAnsi="Verdana" w:cs="Arial"/>
                <w:b/>
                <w:color w:val="000000"/>
                <w:lang w:val="es-ES_tradnl" w:eastAsia="es-ES_tradnl"/>
              </w:rPr>
              <w:t>Temas:</w:t>
            </w:r>
            <w:r w:rsidRPr="00E56C4E">
              <w:rPr>
                <w:rFonts w:ascii="Verdana" w:eastAsia="Calibri" w:hAnsi="Verdana" w:cs="Arial"/>
                <w:color w:val="000000"/>
                <w:lang w:val="es-ES_tradnl" w:eastAsia="es-ES_tradnl"/>
              </w:rPr>
              <w:t xml:space="preserve">                   </w:t>
            </w:r>
          </w:p>
        </w:tc>
        <w:tc>
          <w:tcPr>
            <w:tcW w:w="6100" w:type="dxa"/>
          </w:tcPr>
          <w:p w14:paraId="3E6FB56A" w14:textId="1A84B3CF" w:rsidR="000170BE" w:rsidRPr="00E56C4E" w:rsidRDefault="004C47E1" w:rsidP="00881EEC">
            <w:pPr>
              <w:jc w:val="both"/>
              <w:rPr>
                <w:rFonts w:ascii="Verdana" w:eastAsia="Calibri" w:hAnsi="Verdana" w:cs="Arial"/>
                <w:lang w:val="es-ES" w:eastAsia="es-ES"/>
              </w:rPr>
            </w:pPr>
            <w:r>
              <w:rPr>
                <w:rFonts w:ascii="Verdana" w:eastAsia="Calibri" w:hAnsi="Verdana" w:cs="Arial"/>
                <w:color w:val="000000"/>
                <w:lang w:val="es-MX" w:eastAsia="es-ES"/>
              </w:rPr>
              <w:t xml:space="preserve">EXPERIENCIA – Noción / EXPERIENCIA – Sociedades Nuevas </w:t>
            </w:r>
            <w:r w:rsidR="002E51AC">
              <w:rPr>
                <w:rFonts w:ascii="Verdana" w:eastAsia="Calibri" w:hAnsi="Verdana" w:cs="Arial"/>
                <w:color w:val="000000"/>
                <w:lang w:val="es-MX" w:eastAsia="es-ES"/>
              </w:rPr>
              <w:t>–</w:t>
            </w:r>
            <w:r>
              <w:rPr>
                <w:rFonts w:ascii="Verdana" w:eastAsia="Calibri" w:hAnsi="Verdana" w:cs="Arial"/>
                <w:color w:val="000000"/>
                <w:lang w:val="es-MX" w:eastAsia="es-ES"/>
              </w:rPr>
              <w:t xml:space="preserve"> </w:t>
            </w:r>
            <w:r w:rsidR="002E51AC">
              <w:rPr>
                <w:rFonts w:ascii="Verdana" w:eastAsia="Calibri" w:hAnsi="Verdana" w:cs="Arial"/>
                <w:color w:val="000000"/>
                <w:lang w:val="es-MX" w:eastAsia="es-ES"/>
              </w:rPr>
              <w:t xml:space="preserve">Decreto 1082 de 2015 / EXPERIENCIA – Sociedades Nuevas – </w:t>
            </w:r>
            <w:r w:rsidR="002E51AC">
              <w:rPr>
                <w:rFonts w:ascii="Verdana" w:eastAsia="Calibri" w:hAnsi="Verdana" w:cs="Arial"/>
                <w:lang w:val="es-ES" w:eastAsia="es-ES"/>
              </w:rPr>
              <w:t>R</w:t>
            </w:r>
            <w:r w:rsidR="000170BE" w:rsidRPr="005D32B8">
              <w:rPr>
                <w:rFonts w:ascii="Verdana" w:eastAsia="Calibri" w:hAnsi="Verdana" w:cs="Arial"/>
                <w:lang w:val="es-ES" w:eastAsia="es-ES"/>
              </w:rPr>
              <w:t>etiro</w:t>
            </w:r>
            <w:r w:rsidR="000170BE">
              <w:rPr>
                <w:rFonts w:ascii="Verdana" w:eastAsia="Calibri" w:hAnsi="Verdana" w:cs="Arial"/>
                <w:lang w:val="es-ES" w:eastAsia="es-ES"/>
              </w:rPr>
              <w:t xml:space="preserve"> de socio. </w:t>
            </w:r>
          </w:p>
          <w:p w14:paraId="5E8F7B19" w14:textId="77777777" w:rsidR="000170BE" w:rsidRPr="00E56C4E" w:rsidRDefault="000170BE" w:rsidP="00FA7901">
            <w:pPr>
              <w:jc w:val="both"/>
              <w:rPr>
                <w:rFonts w:ascii="Verdana" w:eastAsia="Calibri" w:hAnsi="Verdana" w:cs="Arial"/>
                <w:lang w:val="es-ES" w:eastAsia="es-ES"/>
              </w:rPr>
            </w:pPr>
          </w:p>
        </w:tc>
      </w:tr>
      <w:tr w:rsidR="000170BE" w:rsidRPr="00E56C4E" w14:paraId="77AF3649" w14:textId="77777777" w:rsidTr="00881EEC">
        <w:trPr>
          <w:trHeight w:val="88"/>
        </w:trPr>
        <w:tc>
          <w:tcPr>
            <w:tcW w:w="2689" w:type="dxa"/>
          </w:tcPr>
          <w:p w14:paraId="5A2F4408" w14:textId="77777777" w:rsidR="000170BE" w:rsidRPr="00E56C4E" w:rsidRDefault="000170BE" w:rsidP="00881EEC">
            <w:pPr>
              <w:jc w:val="both"/>
              <w:rPr>
                <w:rFonts w:ascii="Verdana" w:eastAsia="Calibri" w:hAnsi="Verdana" w:cs="Arial"/>
                <w:b/>
                <w:color w:val="000000" w:themeColor="text1"/>
                <w:lang w:val="es-ES_tradnl" w:eastAsia="es-ES_tradnl"/>
              </w:rPr>
            </w:pPr>
            <w:r w:rsidRPr="00E56C4E">
              <w:rPr>
                <w:rFonts w:ascii="Verdana" w:eastAsia="Calibri" w:hAnsi="Verdana" w:cs="Arial"/>
                <w:b/>
                <w:color w:val="000000" w:themeColor="text1"/>
                <w:lang w:val="es-ES_tradnl" w:eastAsia="es-ES_tradnl"/>
              </w:rPr>
              <w:t>Radicación:</w:t>
            </w:r>
            <w:r w:rsidRPr="00E56C4E">
              <w:rPr>
                <w:rFonts w:ascii="Verdana" w:eastAsia="Calibri" w:hAnsi="Verdana" w:cs="Arial"/>
                <w:color w:val="000000" w:themeColor="text1"/>
                <w:lang w:val="es-ES_tradnl" w:eastAsia="es-ES_tradnl"/>
              </w:rPr>
              <w:t xml:space="preserve">               </w:t>
            </w:r>
          </w:p>
        </w:tc>
        <w:tc>
          <w:tcPr>
            <w:tcW w:w="6100" w:type="dxa"/>
          </w:tcPr>
          <w:p w14:paraId="6251D041" w14:textId="77777777" w:rsidR="000170BE" w:rsidRPr="00E56C4E" w:rsidRDefault="000170BE" w:rsidP="00881EEC">
            <w:pPr>
              <w:jc w:val="both"/>
              <w:rPr>
                <w:rFonts w:ascii="Verdana" w:eastAsia="Calibri" w:hAnsi="Verdana" w:cs="Arial"/>
                <w:color w:val="000000" w:themeColor="text1"/>
                <w:lang w:val="es-ES_tradnl" w:eastAsia="es-ES_tradnl"/>
              </w:rPr>
            </w:pPr>
            <w:r w:rsidRPr="00E56C4E">
              <w:rPr>
                <w:rFonts w:ascii="Verdana" w:eastAsia="Calibri" w:hAnsi="Verdana" w:cs="Arial"/>
                <w:color w:val="000000" w:themeColor="text1"/>
                <w:lang w:val="es-ES_tradnl" w:eastAsia="es-ES_tradnl"/>
              </w:rPr>
              <w:t xml:space="preserve">Respuesta a consulta con radicado No. </w:t>
            </w:r>
            <w:r w:rsidRPr="00E56C4E">
              <w:rPr>
                <w:rFonts w:ascii="Verdana" w:hAnsi="Verdana"/>
                <w:color w:val="000000" w:themeColor="text1"/>
              </w:rPr>
              <w:br/>
            </w:r>
            <w:r w:rsidRPr="00E56C4E">
              <w:rPr>
                <w:rFonts w:ascii="Verdana" w:hAnsi="Verdana" w:cs="Consolas"/>
                <w:color w:val="000000" w:themeColor="text1"/>
                <w:shd w:val="clear" w:color="auto" w:fill="F5F5F5"/>
              </w:rPr>
              <w:t>1_2025_08_13_008455</w:t>
            </w:r>
          </w:p>
        </w:tc>
      </w:tr>
    </w:tbl>
    <w:p w14:paraId="17C28535" w14:textId="77777777" w:rsidR="000170BE" w:rsidRPr="00E56C4E" w:rsidRDefault="000170BE" w:rsidP="000170BE">
      <w:pPr>
        <w:spacing w:after="0" w:line="240" w:lineRule="auto"/>
        <w:jc w:val="both"/>
        <w:rPr>
          <w:rFonts w:ascii="Verdana" w:eastAsia="Calibri" w:hAnsi="Verdana" w:cs="Arial"/>
          <w:color w:val="000000"/>
          <w:lang w:val="es-ES_tradnl" w:eastAsia="es-ES_tradnl"/>
        </w:rPr>
      </w:pPr>
    </w:p>
    <w:p w14:paraId="1C7D114E" w14:textId="77777777" w:rsidR="000170BE" w:rsidRPr="00E56C4E" w:rsidRDefault="000170BE" w:rsidP="000170BE">
      <w:pPr>
        <w:spacing w:after="0" w:line="240" w:lineRule="auto"/>
        <w:jc w:val="both"/>
        <w:rPr>
          <w:rFonts w:ascii="Verdana" w:eastAsia="Calibri" w:hAnsi="Verdana" w:cs="Arial"/>
          <w:color w:val="000000"/>
          <w:lang w:val="es-ES_tradnl" w:eastAsia="es-ES_tradnl"/>
        </w:rPr>
      </w:pPr>
    </w:p>
    <w:p w14:paraId="050DA904" w14:textId="77777777" w:rsidR="000170BE" w:rsidRPr="00E56C4E" w:rsidRDefault="000170BE" w:rsidP="000170BE">
      <w:pPr>
        <w:spacing w:after="0" w:line="276" w:lineRule="auto"/>
        <w:jc w:val="both"/>
        <w:rPr>
          <w:rFonts w:ascii="Verdana" w:eastAsia="Calibri" w:hAnsi="Verdana" w:cs="Arial"/>
          <w:color w:val="000000" w:themeColor="text1"/>
          <w:lang w:val="es-ES" w:eastAsia="es-ES"/>
        </w:rPr>
      </w:pPr>
      <w:r w:rsidRPr="00E56C4E">
        <w:rPr>
          <w:rFonts w:ascii="Verdana" w:eastAsia="Calibri" w:hAnsi="Verdana" w:cs="Arial"/>
          <w:color w:val="000000" w:themeColor="text1"/>
          <w:lang w:val="es-ES" w:eastAsia="es-ES"/>
        </w:rPr>
        <w:t>Estimada señora Pacheco:</w:t>
      </w:r>
    </w:p>
    <w:p w14:paraId="7819C376" w14:textId="77777777" w:rsidR="000170BE" w:rsidRPr="00E56C4E" w:rsidRDefault="000170BE" w:rsidP="000170BE">
      <w:pPr>
        <w:tabs>
          <w:tab w:val="left" w:pos="3768"/>
        </w:tabs>
        <w:spacing w:after="0" w:line="276" w:lineRule="auto"/>
        <w:jc w:val="both"/>
        <w:rPr>
          <w:rFonts w:ascii="Verdana" w:eastAsia="Calibri" w:hAnsi="Verdana" w:cs="Arial"/>
          <w:color w:val="000000" w:themeColor="text1"/>
          <w:lang w:val="es-ES" w:eastAsia="es-ES"/>
        </w:rPr>
      </w:pPr>
      <w:r w:rsidRPr="00E56C4E">
        <w:rPr>
          <w:rFonts w:ascii="Verdana" w:eastAsia="Calibri" w:hAnsi="Verdana" w:cs="Arial"/>
          <w:color w:val="000000" w:themeColor="text1"/>
          <w:lang w:val="es-ES" w:eastAsia="es-ES"/>
        </w:rPr>
        <w:tab/>
      </w:r>
    </w:p>
    <w:p w14:paraId="0F6C6AE0" w14:textId="77777777" w:rsidR="000170BE" w:rsidRPr="00E56C4E" w:rsidRDefault="000170BE" w:rsidP="000170BE">
      <w:pPr>
        <w:spacing w:after="0" w:line="276" w:lineRule="auto"/>
        <w:jc w:val="both"/>
        <w:rPr>
          <w:rFonts w:ascii="Verdana" w:eastAsia="Calibri" w:hAnsi="Verdana" w:cs="Arial"/>
          <w:color w:val="000000" w:themeColor="text1"/>
          <w:lang w:val="es-ES" w:eastAsia="es-ES"/>
        </w:rPr>
      </w:pPr>
      <w:r w:rsidRPr="00E56C4E">
        <w:rPr>
          <w:rFonts w:ascii="Verdana" w:eastAsia="Calibri" w:hAnsi="Verdana" w:cs="Arial"/>
          <w:color w:val="000000" w:themeColor="text1"/>
          <w:lang w:val="es-ES" w:eastAsia="es-ES"/>
        </w:rPr>
        <w:t>En ejercicio de la competencia otorgada por los artículos 3, numeral 5º, y 11, numeral 8º, del Decreto Ley 4170 de 2011,</w:t>
      </w:r>
      <w:r w:rsidRPr="00E56C4E">
        <w:rPr>
          <w:rFonts w:ascii="Verdana" w:eastAsia="Arial MT" w:hAnsi="Verdana" w:cs="Arial MT"/>
          <w:lang w:val="es-ES" w:eastAsia="es-ES"/>
        </w:rPr>
        <w:t xml:space="preserve"> </w:t>
      </w:r>
      <w:r w:rsidRPr="00E56C4E">
        <w:rPr>
          <w:rFonts w:ascii="Verdana" w:hAnsi="Verdana" w:cs="Arial"/>
        </w:rPr>
        <w:t xml:space="preserve">así como lo establecido en el artículo 4 de la Resolución 1707 de 2018 expedida por esta Entidad, </w:t>
      </w:r>
      <w:r w:rsidRPr="00E56C4E">
        <w:rPr>
          <w:rFonts w:ascii="Verdana" w:eastAsia="Calibri" w:hAnsi="Verdana" w:cs="Arial"/>
          <w:color w:val="000000" w:themeColor="text1"/>
          <w:lang w:val="es-ES" w:eastAsia="es-ES"/>
        </w:rPr>
        <w:t xml:space="preserve">la Agencia Nacional de Contratación Pública – Colombia Compra Eficiente– responde su solicitud de consulta de fecha 13 de agosto de 2025, en la cual manifiesta lo siguiente: </w:t>
      </w:r>
    </w:p>
    <w:p w14:paraId="4D4CC128" w14:textId="77777777" w:rsidR="000170BE" w:rsidRPr="00E56C4E" w:rsidRDefault="000170BE" w:rsidP="00FA7901">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149AF4B3" w14:textId="77777777" w:rsidR="000170BE" w:rsidRPr="00E56C4E" w:rsidRDefault="000170BE" w:rsidP="000170BE">
      <w:pPr>
        <w:spacing w:after="0" w:line="240" w:lineRule="auto"/>
        <w:ind w:left="709" w:right="709"/>
        <w:jc w:val="both"/>
        <w:rPr>
          <w:rFonts w:ascii="Verdana" w:eastAsia="Century Gothic" w:hAnsi="Verdana" w:cs="Century Gothic"/>
          <w:color w:val="000000" w:themeColor="text1"/>
          <w:sz w:val="20"/>
          <w:szCs w:val="20"/>
          <w:lang w:val="es-ES"/>
        </w:rPr>
      </w:pPr>
      <w:bookmarkStart w:id="1" w:name="_Hlk95313578"/>
      <w:r w:rsidRPr="00E56C4E">
        <w:rPr>
          <w:rFonts w:ascii="Verdana" w:eastAsia="Century Gothic" w:hAnsi="Verdana" w:cs="Century Gothic"/>
          <w:color w:val="000000" w:themeColor="text1"/>
          <w:sz w:val="20"/>
          <w:szCs w:val="20"/>
          <w:lang w:val="es-ES"/>
        </w:rPr>
        <w:t>“</w:t>
      </w:r>
      <w:bookmarkEnd w:id="1"/>
      <w:r w:rsidRPr="00E56C4E">
        <w:rPr>
          <w:rFonts w:ascii="Verdana" w:eastAsia="Century Gothic" w:hAnsi="Verdana" w:cs="Century Gothic"/>
          <w:color w:val="000000" w:themeColor="text1"/>
          <w:sz w:val="20"/>
          <w:szCs w:val="20"/>
          <w:lang w:val="es-ES"/>
        </w:rPr>
        <w:t>En el evento en que el socio que aportó la experiencia se retire de la sociedad y, posteriormente, dicha persona jurídica (socio) sea liquidada, ¿es jurídicamente viable que la sociedad continúe acreditando la experiencia que fue aportada por dicho socio antes de su retiro y liquidación? o bien, ¿si ha renovado su RUP periódicamente podrá conservar esa experiencia del socio que se retiró y liquidó?”</w:t>
      </w:r>
    </w:p>
    <w:p w14:paraId="17AA305A" w14:textId="77777777" w:rsidR="000170BE" w:rsidRPr="00E56C4E" w:rsidRDefault="000170BE" w:rsidP="00FA7901">
      <w:pPr>
        <w:pStyle w:val="Prrafodelista"/>
        <w:tabs>
          <w:tab w:val="left" w:pos="142"/>
          <w:tab w:val="left" w:pos="284"/>
        </w:tabs>
        <w:spacing w:after="0" w:line="276" w:lineRule="auto"/>
        <w:ind w:left="0"/>
        <w:jc w:val="both"/>
        <w:rPr>
          <w:rFonts w:ascii="Verdana" w:eastAsia="Century Gothic" w:hAnsi="Verdana" w:cs="Century Gothic"/>
          <w:b/>
          <w:bCs/>
        </w:rPr>
      </w:pPr>
    </w:p>
    <w:p w14:paraId="770D9E72" w14:textId="527B470F" w:rsidR="000170BE" w:rsidRPr="00E56C4E" w:rsidRDefault="000170BE" w:rsidP="000170BE">
      <w:pPr>
        <w:spacing w:after="120" w:line="276" w:lineRule="auto"/>
        <w:ind w:firstLine="709"/>
        <w:jc w:val="both"/>
        <w:rPr>
          <w:rFonts w:ascii="Verdana" w:eastAsia="Calibri" w:hAnsi="Verdana" w:cs="Arial"/>
          <w:color w:val="000000"/>
          <w:szCs w:val="24"/>
          <w:lang w:val="es-ES_tradnl" w:eastAsia="es-ES_tradnl"/>
        </w:rPr>
      </w:pPr>
      <w:r w:rsidRPr="00E56C4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w:t>
      </w:r>
      <w:r w:rsidR="00B03588" w:rsidRPr="00E56C4E">
        <w:rPr>
          <w:rFonts w:ascii="Verdana" w:eastAsia="Calibri" w:hAnsi="Verdana" w:cs="Arial"/>
          <w:color w:val="000000"/>
          <w:lang w:val="es-ES" w:eastAsia="es-ES"/>
        </w:rPr>
        <w:t>Entidad</w:t>
      </w:r>
      <w:r w:rsidRPr="00E56C4E">
        <w:rPr>
          <w:rFonts w:ascii="Verdana" w:eastAsia="Calibri" w:hAnsi="Verdana" w:cs="Arial"/>
          <w:color w:val="000000"/>
          <w:lang w:val="es-ES" w:eastAsia="es-ES"/>
        </w:rPr>
        <w:t xml:space="preserve"> se fija con límites claros, con el objeto de evitar que la Agencia actúe como una instancia de </w:t>
      </w:r>
      <w:r w:rsidRPr="00E56C4E">
        <w:rPr>
          <w:rFonts w:ascii="Verdana" w:eastAsia="Calibri" w:hAnsi="Verdana" w:cs="Arial"/>
          <w:color w:val="000000"/>
          <w:lang w:val="es-ES" w:eastAsia="es-ES"/>
        </w:rPr>
        <w:lastRenderedPageBreak/>
        <w:t xml:space="preserve">validación de las actuaciones de las </w:t>
      </w:r>
      <w:r w:rsidR="00B03588" w:rsidRPr="00E56C4E">
        <w:rPr>
          <w:rFonts w:ascii="Verdana" w:eastAsia="Calibri" w:hAnsi="Verdana" w:cs="Arial"/>
          <w:color w:val="000000"/>
          <w:lang w:val="es-ES" w:eastAsia="es-ES"/>
        </w:rPr>
        <w:t>Entidades</w:t>
      </w:r>
      <w:r w:rsidRPr="00E56C4E">
        <w:rPr>
          <w:rFonts w:ascii="Verdana" w:eastAsia="Calibri" w:hAnsi="Verdana" w:cs="Arial"/>
          <w:color w:val="000000"/>
          <w:lang w:val="es-ES" w:eastAsia="es-ES"/>
        </w:rPr>
        <w:t xml:space="preserve">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56C4E">
        <w:rPr>
          <w:rFonts w:ascii="Verdana" w:eastAsia="Calibri" w:hAnsi="Verdana" w:cs="Arial"/>
          <w:color w:val="000000"/>
          <w:szCs w:val="24"/>
          <w:lang w:val="es-ES_tradnl" w:eastAsia="es-ES_tradnl"/>
        </w:rPr>
        <w:tab/>
      </w:r>
    </w:p>
    <w:p w14:paraId="60846CA1" w14:textId="14068E2B" w:rsidR="000170BE" w:rsidRPr="00E56C4E" w:rsidRDefault="000170BE" w:rsidP="000170BE">
      <w:pPr>
        <w:spacing w:after="0" w:line="276" w:lineRule="auto"/>
        <w:ind w:firstLine="709"/>
        <w:jc w:val="both"/>
        <w:rPr>
          <w:rFonts w:ascii="Verdana" w:eastAsia="Calibri" w:hAnsi="Verdana" w:cs="Arial"/>
          <w:color w:val="000000"/>
          <w:lang w:val="es-ES" w:eastAsia="es-ES"/>
        </w:rPr>
      </w:pPr>
      <w:r w:rsidRPr="00E56C4E">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el</w:t>
      </w:r>
      <w:r w:rsidRPr="00E56C4E">
        <w:rPr>
          <w:rFonts w:ascii="Verdana" w:eastAsia="Calibri" w:hAnsi="Verdana" w:cs="Arial"/>
          <w:color w:val="7030A0"/>
          <w:lang w:val="es-ES" w:eastAsia="es-ES"/>
        </w:rPr>
        <w:t xml:space="preserve"> </w:t>
      </w:r>
      <w:r w:rsidRPr="00E56C4E">
        <w:rPr>
          <w:rFonts w:ascii="Verdana" w:eastAsia="Calibri" w:hAnsi="Verdana" w:cs="Arial"/>
          <w:color w:val="000000"/>
          <w:lang w:val="es-ES" w:eastAsia="es-ES"/>
        </w:rPr>
        <w:t>problema</w:t>
      </w:r>
      <w:r w:rsidRPr="00E56C4E">
        <w:rPr>
          <w:rFonts w:ascii="Verdana" w:eastAsia="Calibri" w:hAnsi="Verdana" w:cs="Arial"/>
          <w:color w:val="7030A0"/>
          <w:lang w:val="es-ES" w:eastAsia="es-ES"/>
        </w:rPr>
        <w:t xml:space="preserve"> </w:t>
      </w:r>
      <w:r w:rsidRPr="00E56C4E">
        <w:rPr>
          <w:rFonts w:ascii="Verdana" w:eastAsia="Calibri" w:hAnsi="Verdana" w:cs="Arial"/>
          <w:color w:val="000000"/>
          <w:lang w:val="es-ES" w:eastAsia="es-ES"/>
        </w:rPr>
        <w:t>jurídico</w:t>
      </w:r>
      <w:r w:rsidRPr="00E56C4E">
        <w:rPr>
          <w:rFonts w:ascii="Verdana" w:eastAsia="Calibri" w:hAnsi="Verdana" w:cs="Arial"/>
          <w:color w:val="7030A0"/>
          <w:lang w:val="es-ES" w:eastAsia="es-ES"/>
        </w:rPr>
        <w:t xml:space="preserve"> </w:t>
      </w:r>
      <w:r w:rsidRPr="00E56C4E">
        <w:rPr>
          <w:rFonts w:ascii="Verdana" w:eastAsia="Calibri" w:hAnsi="Verdana" w:cs="Arial"/>
          <w:color w:val="000000"/>
          <w:lang w:val="es-ES" w:eastAsia="es-ES"/>
        </w:rPr>
        <w:t xml:space="preserve">de su consulta. </w:t>
      </w:r>
    </w:p>
    <w:p w14:paraId="53484802" w14:textId="77777777" w:rsidR="000170BE" w:rsidRPr="00E56C4E" w:rsidRDefault="000170BE" w:rsidP="000170BE">
      <w:pPr>
        <w:spacing w:after="0" w:line="276" w:lineRule="auto"/>
        <w:ind w:firstLine="709"/>
        <w:jc w:val="both"/>
        <w:rPr>
          <w:rFonts w:ascii="Verdana" w:eastAsia="Calibri" w:hAnsi="Verdana" w:cs="Arial"/>
          <w:color w:val="000000"/>
          <w:lang w:val="es-ES" w:eastAsia="es-ES"/>
        </w:rPr>
      </w:pPr>
    </w:p>
    <w:p w14:paraId="16FF67AB" w14:textId="77777777" w:rsidR="000170BE" w:rsidRPr="00E56C4E" w:rsidRDefault="000170BE" w:rsidP="000170B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E56C4E">
        <w:rPr>
          <w:rFonts w:ascii="Verdana" w:eastAsia="Century Gothic" w:hAnsi="Verdana" w:cs="Century Gothic"/>
          <w:b/>
          <w:bCs/>
        </w:rPr>
        <w:t>Problema planteado:</w:t>
      </w:r>
    </w:p>
    <w:p w14:paraId="5F38D706" w14:textId="77777777" w:rsidR="000170BE" w:rsidRPr="00E56C4E" w:rsidRDefault="000170BE" w:rsidP="000170BE">
      <w:pPr>
        <w:tabs>
          <w:tab w:val="left" w:pos="426"/>
        </w:tabs>
        <w:spacing w:after="0" w:line="276" w:lineRule="auto"/>
        <w:jc w:val="both"/>
        <w:rPr>
          <w:rFonts w:ascii="Verdana" w:eastAsia="Century Gothic" w:hAnsi="Verdana" w:cs="Century Gothic"/>
          <w:lang w:val="es-ES"/>
        </w:rPr>
      </w:pPr>
    </w:p>
    <w:p w14:paraId="229DDB19" w14:textId="77777777" w:rsidR="000170BE" w:rsidRPr="00E56C4E" w:rsidRDefault="000170BE" w:rsidP="000170BE">
      <w:pPr>
        <w:spacing w:after="0" w:line="276" w:lineRule="auto"/>
        <w:jc w:val="both"/>
        <w:rPr>
          <w:rFonts w:ascii="Verdana" w:eastAsia="Century Gothic" w:hAnsi="Verdana" w:cs="Century Gothic"/>
        </w:rPr>
      </w:pPr>
      <w:r w:rsidRPr="00E56C4E">
        <w:rPr>
          <w:rFonts w:ascii="Verdana" w:eastAsia="Century Gothic" w:hAnsi="Verdana" w:cs="Century Gothic"/>
        </w:rPr>
        <w:t xml:space="preserve">De acuerdo con el contenido de su solicitud, esta Agencia resolverá el siguiente problema jurídico: </w:t>
      </w:r>
      <w:r w:rsidRPr="00E56C4E">
        <w:rPr>
          <w:rFonts w:ascii="Verdana" w:eastAsia="Calibri" w:hAnsi="Verdana" w:cs="Arial"/>
        </w:rPr>
        <w:t>¿Es posible que una persona jurídica pueda seguir acreditando la experiencia de un socio, aunque este haya retirado de la sociedad por haber vendido o cedido sus acciones?</w:t>
      </w:r>
      <w:r w:rsidRPr="00E56C4E">
        <w:rPr>
          <w:rFonts w:ascii="Verdana" w:eastAsia="Century Gothic" w:hAnsi="Verdana" w:cs="Century Gothic"/>
        </w:rPr>
        <w:t xml:space="preserve"> </w:t>
      </w:r>
    </w:p>
    <w:p w14:paraId="1CEB005D" w14:textId="77777777" w:rsidR="000170BE" w:rsidRPr="00E56C4E" w:rsidRDefault="000170BE" w:rsidP="000170BE">
      <w:pPr>
        <w:spacing w:after="0" w:line="276" w:lineRule="auto"/>
        <w:jc w:val="both"/>
        <w:rPr>
          <w:rFonts w:ascii="Verdana" w:eastAsia="Calibri" w:hAnsi="Verdana" w:cs="Arial"/>
          <w:color w:val="7030A0"/>
          <w:lang w:val="es-ES"/>
        </w:rPr>
      </w:pPr>
    </w:p>
    <w:p w14:paraId="7E799EB0" w14:textId="77777777" w:rsidR="000170BE" w:rsidRPr="00E56C4E" w:rsidRDefault="000170BE" w:rsidP="000170B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56C4E">
        <w:rPr>
          <w:rFonts w:ascii="Verdana" w:eastAsia="Century Gothic" w:hAnsi="Verdana" w:cs="Century Gothic"/>
          <w:b/>
          <w:bCs/>
        </w:rPr>
        <w:t>Respuesta:</w:t>
      </w:r>
    </w:p>
    <w:p w14:paraId="1AC9BAE7" w14:textId="77777777" w:rsidR="000170BE" w:rsidRPr="00E56C4E" w:rsidRDefault="000170BE" w:rsidP="000170B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170BE" w:rsidRPr="00E56C4E" w14:paraId="0555ACF2" w14:textId="77777777" w:rsidTr="00881EEC">
        <w:tc>
          <w:tcPr>
            <w:tcW w:w="8828" w:type="dxa"/>
          </w:tcPr>
          <w:p w14:paraId="4813F839" w14:textId="77777777" w:rsidR="000170BE" w:rsidRPr="00E56C4E" w:rsidRDefault="000170BE" w:rsidP="00FA7901">
            <w:pPr>
              <w:spacing w:after="120" w:line="276" w:lineRule="auto"/>
              <w:jc w:val="both"/>
              <w:rPr>
                <w:rFonts w:ascii="Verdana" w:eastAsia="Century Gothic" w:hAnsi="Verdana" w:cs="Century Gothic"/>
              </w:rPr>
            </w:pPr>
            <w:r w:rsidRPr="00E56C4E">
              <w:rPr>
                <w:rFonts w:ascii="Verdana" w:eastAsia="Century Gothic" w:hAnsi="Verdana" w:cs="Century Gothic"/>
              </w:rPr>
              <w:t xml:space="preserve">De conformidad con el numeral 2.5 del artículo 2.2.1.1.1.5.2 del Decreto 1082 de 2015, es menester indicar que una sociedad con menos de tres (3) años de constituida puede aportar la experiencia de sus accionistas, socios o constituyentes. Ahora bien, si se pierde esta calidad, como sucedería cuando un socio se retira por venta o cesión de su participación, la experiencia aportada por quien se retira no debería ser utilizada por el proponente – persona jurídica – en Procesos de Contratación y no deberá ser tenida en cuenta por las Entidades Estatales, ya que la experiencia es inherente a la persona que la ha obtenido. Esto, además, con el fin de evitar prácticas corruptivas o que atenten contra la transparencia en la contratación estatal </w:t>
            </w:r>
          </w:p>
          <w:p w14:paraId="7E25A5C7" w14:textId="77777777" w:rsidR="000170BE" w:rsidRPr="00E56C4E" w:rsidRDefault="000170BE" w:rsidP="00FA7901">
            <w:pPr>
              <w:spacing w:after="120" w:line="276" w:lineRule="auto"/>
              <w:ind w:firstLine="709"/>
              <w:jc w:val="both"/>
              <w:rPr>
                <w:rFonts w:ascii="Verdana" w:eastAsia="Calibri" w:hAnsi="Verdana" w:cs="Arial"/>
                <w:color w:val="7030A0"/>
              </w:rPr>
            </w:pPr>
            <w:r w:rsidRPr="00E56C4E">
              <w:rPr>
                <w:rFonts w:ascii="Verdana" w:eastAsia="Century Gothic" w:hAnsi="Verdana" w:cs="Century Gothic"/>
              </w:rPr>
              <w:t xml:space="preserve">En consecuencia, el proponente que se encuentre en dicha situación debería actualizar la experiencia en el RUP, así como el certificado de existencia y representación legal informando de tal retiro, actuando de buena fe en el Proceso de Contratación. </w:t>
            </w:r>
          </w:p>
        </w:tc>
      </w:tr>
    </w:tbl>
    <w:p w14:paraId="42D877BC" w14:textId="77777777" w:rsidR="000170BE" w:rsidRPr="00E56C4E" w:rsidRDefault="000170BE" w:rsidP="000170BE">
      <w:pPr>
        <w:tabs>
          <w:tab w:val="left" w:pos="142"/>
          <w:tab w:val="left" w:pos="284"/>
        </w:tabs>
        <w:spacing w:after="0" w:line="276" w:lineRule="auto"/>
        <w:jc w:val="both"/>
        <w:rPr>
          <w:rFonts w:ascii="Verdana" w:eastAsia="Century Gothic" w:hAnsi="Verdana" w:cs="Century Gothic"/>
          <w:b/>
          <w:bCs/>
          <w:lang w:val="es-ES"/>
        </w:rPr>
      </w:pPr>
    </w:p>
    <w:p w14:paraId="05764D81" w14:textId="77777777" w:rsidR="000170BE" w:rsidRPr="00E56C4E" w:rsidRDefault="000170BE" w:rsidP="000170B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56C4E">
        <w:rPr>
          <w:rFonts w:ascii="Verdana" w:eastAsia="Century Gothic" w:hAnsi="Verdana" w:cs="Century Gothic"/>
          <w:b/>
          <w:bCs/>
        </w:rPr>
        <w:t>Razones de la respuesta:</w:t>
      </w:r>
    </w:p>
    <w:p w14:paraId="2687F80D" w14:textId="77777777" w:rsidR="000170BE" w:rsidRPr="00E56C4E" w:rsidRDefault="000170BE" w:rsidP="000170B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5EE2212" w14:textId="77777777" w:rsidR="007B0AA0" w:rsidRPr="00E56C4E" w:rsidRDefault="007B0AA0" w:rsidP="00FA7901">
      <w:pPr>
        <w:spacing w:after="120" w:line="276" w:lineRule="auto"/>
        <w:jc w:val="both"/>
        <w:rPr>
          <w:rFonts w:ascii="Verdana" w:eastAsia="Arial" w:hAnsi="Verdana" w:cs="Arial"/>
        </w:rPr>
      </w:pPr>
      <w:r w:rsidRPr="00E56C4E">
        <w:rPr>
          <w:rFonts w:ascii="Verdana" w:eastAsia="Arial" w:hAnsi="Verdana" w:cs="Arial"/>
        </w:rPr>
        <w:lastRenderedPageBreak/>
        <w:t>El artículo 5 de la Ley 1150 de 2007 dispone que la capacidad jurídica y las condiciones de experiencia, capacidad financiera y organización de los proponentes serán objeto de verificación por parte de las Entidades Estatales como requisitos habilitantes para participar en los procesos de selección y no otorgarán puntaje. Lo anterior con excepción de la selección de consultores mediante un concurso de méritos, donde es posible otorgar puntaje al criterio de experiencia.</w:t>
      </w:r>
    </w:p>
    <w:p w14:paraId="4943C850" w14:textId="77777777" w:rsidR="000170BE" w:rsidRPr="00E56C4E" w:rsidRDefault="000170BE" w:rsidP="00FA7901">
      <w:pPr>
        <w:spacing w:after="120" w:line="276" w:lineRule="auto"/>
        <w:ind w:firstLine="708"/>
        <w:jc w:val="both"/>
        <w:rPr>
          <w:rFonts w:ascii="Verdana" w:eastAsia="Calibri" w:hAnsi="Verdana" w:cs="Arial"/>
          <w:lang w:val="es-ES"/>
        </w:rPr>
      </w:pPr>
      <w:r w:rsidRPr="00E56C4E">
        <w:rPr>
          <w:rFonts w:ascii="Verdana" w:eastAsia="Calibri" w:hAnsi="Verdana" w:cs="Arial"/>
          <w:lang w:val="es-ES"/>
        </w:rPr>
        <w:t xml:space="preserve">Dentro de los principales requisitos habilitantes que se utilizan en los Procesos de Contratación se destaca la </w:t>
      </w:r>
      <w:r w:rsidRPr="00E56C4E">
        <w:rPr>
          <w:rFonts w:ascii="Verdana" w:eastAsia="Calibri" w:hAnsi="Verdana" w:cs="Arial"/>
          <w:i/>
          <w:lang w:val="es-ES"/>
        </w:rPr>
        <w:t>experiencia</w:t>
      </w:r>
      <w:r w:rsidRPr="00E56C4E">
        <w:rPr>
          <w:rFonts w:ascii="Verdana" w:eastAsia="Calibri" w:hAnsi="Verdana" w:cs="Arial"/>
          <w:lang w:val="es-ES"/>
        </w:rPr>
        <w:t xml:space="preserve">. Esta debe ser entendida como el conocimiento del proponente derivado de su participación previa en actividades iguales o similares a las previstas en el objeto del contrato con contratantes públicos, privados, nacionales o extranjeros. </w:t>
      </w:r>
    </w:p>
    <w:p w14:paraId="48688ABD" w14:textId="77777777" w:rsidR="000170BE" w:rsidRPr="00E56C4E" w:rsidRDefault="000170BE" w:rsidP="000170BE">
      <w:pPr>
        <w:spacing w:after="120" w:line="276" w:lineRule="auto"/>
        <w:ind w:firstLine="709"/>
        <w:jc w:val="both"/>
        <w:rPr>
          <w:rFonts w:ascii="Verdana" w:eastAsia="Calibri" w:hAnsi="Verdana" w:cs="Arial"/>
          <w:lang w:val="es-ES"/>
        </w:rPr>
      </w:pPr>
      <w:r w:rsidRPr="00E56C4E">
        <w:rPr>
          <w:rFonts w:ascii="Verdana" w:eastAsia="Calibri" w:hAnsi="Verdana" w:cs="Arial"/>
          <w:lang w:val="es-ES"/>
        </w:rPr>
        <w:t xml:space="preserve">En el marco de la contratación pública, la experiencia del proponente se reviste de particular importancia, en la medida en que con ello se garantiza el conocimiento en el desarrollo, ejecución del objeto, obligaciones contractuales, sus riesgos, entre otras particularidades del futuro vinculo negocial. En cierto grado con esto se busca garantizar que no habrá improvisación ni mayores costos por errores o dificultades originadas en realizar una actividad por primera vez. </w:t>
      </w:r>
    </w:p>
    <w:p w14:paraId="6D9F6127" w14:textId="77777777" w:rsidR="000170BE" w:rsidRPr="00E56C4E" w:rsidRDefault="000170BE" w:rsidP="000170BE">
      <w:pPr>
        <w:spacing w:after="120" w:line="276" w:lineRule="auto"/>
        <w:ind w:firstLine="709"/>
        <w:jc w:val="both"/>
        <w:rPr>
          <w:rFonts w:ascii="Verdana" w:eastAsia="Calibri" w:hAnsi="Verdana" w:cs="Arial"/>
          <w:lang w:val="es-ES"/>
        </w:rPr>
      </w:pPr>
      <w:r w:rsidRPr="00E56C4E">
        <w:rPr>
          <w:rFonts w:ascii="Verdana" w:eastAsia="Calibri" w:hAnsi="Verdana" w:cs="Arial"/>
          <w:lang w:val="es-ES"/>
        </w:rPr>
        <w:t>Las Entidades Estatales contratantes, como responsables de la estructuración de los Procesos de Contratación, son autónomas para establecer los requisitos habilitantes de experiencia, de acuerdo con el estudio realizado en marco del análisis del sector</w:t>
      </w:r>
      <w:r w:rsidRPr="00E56C4E">
        <w:rPr>
          <w:rStyle w:val="Refdenotaalpie"/>
          <w:rFonts w:ascii="Verdana" w:eastAsia="Calibri" w:hAnsi="Verdana" w:cs="Arial"/>
          <w:lang w:val="es-ES"/>
        </w:rPr>
        <w:footnoteReference w:id="1"/>
      </w:r>
      <w:r w:rsidRPr="00E56C4E">
        <w:rPr>
          <w:rFonts w:ascii="Verdana" w:eastAsia="Calibri" w:hAnsi="Verdana" w:cs="Arial"/>
          <w:lang w:val="es-ES"/>
        </w:rPr>
        <w:t xml:space="preserve">. </w:t>
      </w:r>
    </w:p>
    <w:p w14:paraId="58DAAE39" w14:textId="77777777" w:rsidR="000170BE" w:rsidRPr="00E56C4E" w:rsidRDefault="000170BE" w:rsidP="000170BE">
      <w:pPr>
        <w:spacing w:after="120" w:line="276" w:lineRule="auto"/>
        <w:ind w:firstLine="708"/>
        <w:jc w:val="both"/>
        <w:rPr>
          <w:rFonts w:ascii="Verdana" w:eastAsia="Arial" w:hAnsi="Verdana" w:cs="Arial"/>
        </w:rPr>
      </w:pPr>
      <w:r w:rsidRPr="00E56C4E">
        <w:rPr>
          <w:rFonts w:ascii="Verdana" w:eastAsia="Arial" w:hAnsi="Verdana" w:cs="Arial"/>
        </w:rPr>
        <w:t xml:space="preserve">Por otra parte, el artículo 6 de la Ley 1150 de 2007 señala que todas las personas naturales o jurídicas, nacionales o extranjeras, domiciliadas o con sucursal en Colombia, que aspiren celebrar contratos con las Entidades deberán estar inscritas en el </w:t>
      </w:r>
      <w:r w:rsidRPr="00E56C4E">
        <w:rPr>
          <w:rFonts w:ascii="Verdana" w:eastAsia="Calibri" w:hAnsi="Verdana" w:cs="Arial"/>
          <w:color w:val="000000" w:themeColor="text1"/>
        </w:rPr>
        <w:t xml:space="preserve">Registro Único de Proponentes – en el adelante </w:t>
      </w:r>
      <w:r w:rsidRPr="00E56C4E">
        <w:rPr>
          <w:rFonts w:ascii="Verdana" w:eastAsia="Arial" w:hAnsi="Verdana" w:cs="Arial"/>
        </w:rPr>
        <w:t xml:space="preserve">RUP </w:t>
      </w:r>
      <w:r w:rsidRPr="00E56C4E">
        <w:rPr>
          <w:rFonts w:ascii="Verdana" w:eastAsia="Calibri" w:hAnsi="Verdana" w:cs="Arial"/>
          <w:color w:val="000000" w:themeColor="text1"/>
        </w:rPr>
        <w:t>–</w:t>
      </w:r>
      <w:r w:rsidRPr="00E56C4E">
        <w:rPr>
          <w:rFonts w:ascii="Verdana" w:eastAsia="Arial" w:hAnsi="Verdana" w:cs="Arial"/>
        </w:rPr>
        <w:t>. En dicho registro constará la información relacionada con la experiencia, capacidad jurídica, financiera y de organización del proponente y su clasificación. Frente al requisito habilitante de experiencia, en el “Manual para determinar y verificar requisitos habilitantes en los procesos de contratación” se define la experiencia como “el conocimiento del proponente derivado de su participación previa en actividades iguales o similares a las previstas en el objeto del contrato”.</w:t>
      </w:r>
    </w:p>
    <w:p w14:paraId="585AA675" w14:textId="438BD809" w:rsidR="000170BE" w:rsidRPr="00E56C4E" w:rsidRDefault="000170BE" w:rsidP="000170BE">
      <w:pPr>
        <w:spacing w:after="120" w:line="276" w:lineRule="auto"/>
        <w:ind w:firstLine="708"/>
        <w:jc w:val="both"/>
        <w:rPr>
          <w:rFonts w:ascii="Verdana" w:eastAsia="Calibri" w:hAnsi="Verdana" w:cs="Arial"/>
          <w:color w:val="000000" w:themeColor="text1"/>
        </w:rPr>
      </w:pPr>
      <w:r w:rsidRPr="00E56C4E">
        <w:rPr>
          <w:rFonts w:ascii="Verdana" w:eastAsia="Calibri" w:hAnsi="Verdana" w:cs="Arial"/>
          <w:color w:val="000000" w:themeColor="text1"/>
        </w:rPr>
        <w:lastRenderedPageBreak/>
        <w:t>Conforme lo expuesto, la experiencia que se deriva de los contratos que el proponente ha celebrado y ejecutado con diferentes contratantes, sin importar la naturaleza de estos, se verifica con el  RUP</w:t>
      </w:r>
      <w:r w:rsidRPr="00E56C4E">
        <w:rPr>
          <w:rStyle w:val="Refdenotaalpie"/>
          <w:rFonts w:ascii="Verdana" w:eastAsia="Calibri" w:hAnsi="Verdana" w:cs="Arial"/>
          <w:color w:val="000000" w:themeColor="text1"/>
        </w:rPr>
        <w:footnoteReference w:id="2"/>
      </w:r>
      <w:r w:rsidRPr="00E56C4E">
        <w:rPr>
          <w:rFonts w:ascii="Verdana" w:eastAsia="Calibri" w:hAnsi="Verdana" w:cs="Arial"/>
          <w:color w:val="000000" w:themeColor="text1"/>
        </w:rPr>
        <w:t xml:space="preserve">, cuando este certificado sea exigible de acuerdo con la ley. En este registro constan los requisitos habilitantes que se evalúan exclusivamente con este documento, que es plena prueba, sin que la </w:t>
      </w:r>
      <w:r w:rsidR="00B03588" w:rsidRPr="00E56C4E">
        <w:rPr>
          <w:rFonts w:ascii="Verdana" w:eastAsia="Calibri" w:hAnsi="Verdana" w:cs="Arial"/>
          <w:color w:val="000000" w:themeColor="text1"/>
        </w:rPr>
        <w:t>Entidad</w:t>
      </w:r>
      <w:r w:rsidRPr="00E56C4E">
        <w:rPr>
          <w:rFonts w:ascii="Verdana" w:eastAsia="Calibri" w:hAnsi="Verdana" w:cs="Arial"/>
          <w:color w:val="000000" w:themeColor="text1"/>
        </w:rPr>
        <w:t xml:space="preserve"> o el proponente puedan solicitar o aportar otra documentación</w:t>
      </w:r>
      <w:r w:rsidRPr="00E56C4E">
        <w:rPr>
          <w:rStyle w:val="Refdenotaalpie"/>
          <w:rFonts w:ascii="Verdana" w:eastAsia="Calibri" w:hAnsi="Verdana" w:cs="Arial"/>
          <w:color w:val="000000" w:themeColor="text1"/>
        </w:rPr>
        <w:footnoteReference w:id="3"/>
      </w:r>
      <w:r w:rsidRPr="00E56C4E">
        <w:rPr>
          <w:rFonts w:ascii="Verdana" w:eastAsia="Calibri" w:hAnsi="Verdana" w:cs="Arial"/>
          <w:color w:val="000000" w:themeColor="text1"/>
        </w:rPr>
        <w:t>.</w:t>
      </w:r>
    </w:p>
    <w:p w14:paraId="28B0C9F8" w14:textId="77777777" w:rsidR="000170BE" w:rsidRPr="00E56C4E" w:rsidRDefault="000170BE" w:rsidP="000170BE">
      <w:pPr>
        <w:spacing w:after="120" w:line="276" w:lineRule="auto"/>
        <w:ind w:firstLine="708"/>
        <w:jc w:val="both"/>
        <w:rPr>
          <w:rFonts w:ascii="Verdana" w:eastAsia="Calibri" w:hAnsi="Verdana" w:cs="Arial"/>
        </w:rPr>
      </w:pPr>
      <w:r w:rsidRPr="00E56C4E">
        <w:rPr>
          <w:rFonts w:ascii="Verdana" w:eastAsia="Calibri" w:hAnsi="Verdana" w:cs="Arial"/>
        </w:rPr>
        <w:t>Adicionalmente, el Manual explica que la experiencia puede obtenerse directamente o por participar asociado con otra persona, como es el caso de los proponentes plurales, en cuyo evento la experiencia no deja de ser personal, sino que es proporcional a la participación como miembro de un consorcio o unión temporal, donde por tratarse de esquemas asociativos la experiencia es compartida.</w:t>
      </w:r>
    </w:p>
    <w:p w14:paraId="2141056A" w14:textId="77777777" w:rsidR="000170BE" w:rsidRPr="00E56C4E" w:rsidRDefault="000170BE" w:rsidP="000170BE">
      <w:pPr>
        <w:spacing w:after="120" w:line="276" w:lineRule="auto"/>
        <w:ind w:firstLine="708"/>
        <w:jc w:val="both"/>
        <w:rPr>
          <w:rFonts w:ascii="Verdana" w:eastAsia="Calibri" w:hAnsi="Verdana" w:cs="Arial"/>
          <w:color w:val="000000" w:themeColor="text1"/>
        </w:rPr>
      </w:pPr>
      <w:r w:rsidRPr="00E56C4E">
        <w:rPr>
          <w:rFonts w:ascii="Verdana" w:eastAsia="Calibri" w:hAnsi="Verdana" w:cs="Arial"/>
          <w:color w:val="000000" w:themeColor="text1"/>
        </w:rPr>
        <w:t>El numeral 2.1 del artículo 2.2.1.1.1.5.2 del Decreto 1082 de 2015 establece que si una persona natural se inscribe en el RUP aportará los certificados de experiencia en provisión de bienes, obras y servicios, los cuales deben ser expedidos por terceros que hayan recibido tales bienes, obras y servicios, y deben corresponder a contratos ejecutados o copias de los contratos cuando el interesado no puede obtener tal certificado</w:t>
      </w:r>
      <w:r w:rsidRPr="00E56C4E">
        <w:rPr>
          <w:rFonts w:ascii="Verdana" w:eastAsia="Calibri" w:hAnsi="Verdana" w:cs="Arial"/>
          <w:color w:val="000000" w:themeColor="text1"/>
          <w:vertAlign w:val="superscript"/>
        </w:rPr>
        <w:footnoteReference w:id="4"/>
      </w:r>
      <w:r w:rsidRPr="00E56C4E">
        <w:rPr>
          <w:rFonts w:ascii="Verdana" w:eastAsia="Calibri" w:hAnsi="Verdana" w:cs="Arial"/>
          <w:color w:val="000000" w:themeColor="text1"/>
        </w:rPr>
        <w:t xml:space="preserve">. </w:t>
      </w:r>
    </w:p>
    <w:p w14:paraId="56797093" w14:textId="77777777" w:rsidR="000170BE" w:rsidRPr="00E56C4E" w:rsidRDefault="000170BE" w:rsidP="000170BE">
      <w:pPr>
        <w:spacing w:after="120" w:line="276" w:lineRule="auto"/>
        <w:ind w:firstLine="708"/>
        <w:jc w:val="both"/>
        <w:rPr>
          <w:rFonts w:ascii="Verdana" w:eastAsia="Calibri" w:hAnsi="Verdana" w:cs="Arial"/>
          <w:color w:val="000000" w:themeColor="text1"/>
        </w:rPr>
      </w:pPr>
      <w:r w:rsidRPr="00E56C4E">
        <w:rPr>
          <w:rFonts w:ascii="Verdana" w:eastAsia="Calibri" w:hAnsi="Verdana" w:cs="Arial"/>
          <w:color w:val="000000" w:themeColor="text1"/>
        </w:rPr>
        <w:lastRenderedPageBreak/>
        <w:t xml:space="preserve">De la misma forma, el numeral 2.5. </w:t>
      </w:r>
      <w:r w:rsidRPr="00E56C4E">
        <w:rPr>
          <w:rFonts w:ascii="Verdana" w:eastAsia="Calibri" w:hAnsi="Verdana" w:cs="Arial"/>
          <w:i/>
          <w:iCs/>
          <w:color w:val="000000" w:themeColor="text1"/>
        </w:rPr>
        <w:t>ibidem</w:t>
      </w:r>
      <w:r w:rsidRPr="00E56C4E">
        <w:rPr>
          <w:rFonts w:ascii="Verdana" w:eastAsia="Calibri" w:hAnsi="Verdana" w:cs="Arial"/>
          <w:color w:val="000000" w:themeColor="text1"/>
        </w:rPr>
        <w:t xml:space="preserve"> señala que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w:t>
      </w:r>
      <w:r w:rsidRPr="00E56C4E">
        <w:rPr>
          <w:rFonts w:ascii="Verdana" w:eastAsia="Calibri" w:hAnsi="Verdana" w:cs="Arial"/>
          <w:color w:val="000000" w:themeColor="text1"/>
          <w:vertAlign w:val="superscript"/>
        </w:rPr>
        <w:footnoteReference w:id="5"/>
      </w:r>
      <w:r w:rsidRPr="00E56C4E">
        <w:rPr>
          <w:rFonts w:ascii="Verdana" w:eastAsia="Calibri" w:hAnsi="Verdana" w:cs="Arial"/>
          <w:color w:val="000000" w:themeColor="text1"/>
        </w:rPr>
        <w:t xml:space="preserve">. El interesado debe indicar en cada certificado, o en cada copia de los contratos, los bienes, obras y servicios a los cuales corresponde la experiencia que pretende acreditar, identificándolos con el Clasificador de Bienes y Servicios, en el tercer nivel. </w:t>
      </w:r>
    </w:p>
    <w:p w14:paraId="0BE092AB" w14:textId="77777777" w:rsidR="000170BE" w:rsidRPr="00E56C4E" w:rsidRDefault="000170BE" w:rsidP="000170BE">
      <w:pPr>
        <w:spacing w:after="120" w:line="276" w:lineRule="auto"/>
        <w:ind w:firstLine="709"/>
        <w:jc w:val="both"/>
        <w:rPr>
          <w:rFonts w:ascii="Verdana" w:eastAsia="Calibri" w:hAnsi="Verdana" w:cs="Arial"/>
          <w:color w:val="000000" w:themeColor="text1"/>
        </w:rPr>
      </w:pPr>
      <w:r w:rsidRPr="00E56C4E">
        <w:rPr>
          <w:rFonts w:ascii="Verdana" w:eastAsia="Calibri" w:hAnsi="Verdana" w:cs="Arial"/>
          <w:color w:val="000000" w:themeColor="text1"/>
        </w:rPr>
        <w:t>La parte final de ese numeral 2.5. indica que “Si la constitución del interesado es menor a tres (3) años, puede acreditar la experiencia de sus accionistas, socios o constituyentes”. De este modo, se evidencia que,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 entendiendo por supuesto que deben ostentar tal calidad al momento en que pretendan hacer uso de dicha facultad de acreditación de experiencia.</w:t>
      </w:r>
    </w:p>
    <w:p w14:paraId="416766BD" w14:textId="77777777" w:rsidR="000170BE" w:rsidRPr="00E56C4E" w:rsidRDefault="000170BE" w:rsidP="000170BE">
      <w:pPr>
        <w:spacing w:after="120" w:line="276" w:lineRule="auto"/>
        <w:ind w:firstLine="708"/>
        <w:jc w:val="both"/>
        <w:rPr>
          <w:rFonts w:ascii="Verdana" w:eastAsia="Calibri" w:hAnsi="Verdana" w:cs="Arial"/>
          <w:color w:val="000000" w:themeColor="text1"/>
        </w:rPr>
      </w:pPr>
      <w:r w:rsidRPr="00E56C4E">
        <w:rPr>
          <w:rFonts w:ascii="Verdana" w:eastAsia="Calibri" w:hAnsi="Verdana" w:cs="Arial"/>
          <w:color w:val="000000" w:themeColor="text1"/>
        </w:rPr>
        <w:t xml:space="preserve">A pesar de que la experiencia es inherente a la persona que la ha obtenido, razón por la cual es, en principio, intransferible en virtud de su carácter personalísimo, por disposición legal o reglamentaria, casos excepcionales, como el descrito en el artículo mencionado, se aplica de otra manera. La finalidad de esta norma es permitir que las sociedades que no cuentan con la experiencia </w:t>
      </w:r>
      <w:r w:rsidRPr="00E56C4E">
        <w:rPr>
          <w:rFonts w:ascii="Verdana" w:eastAsia="Calibri" w:hAnsi="Verdana" w:cs="Arial"/>
          <w:color w:val="000000" w:themeColor="text1"/>
        </w:rPr>
        <w:lastRenderedPageBreak/>
        <w:t xml:space="preserve">suficiente para contratar con el Estado puedan apoyarse en la experiencia de sus accionistas, socios o constituyentes con el fin de incentivar la competencia en la contratación estatal. </w:t>
      </w:r>
    </w:p>
    <w:p w14:paraId="36DD387A" w14:textId="658BEA59" w:rsidR="000170BE" w:rsidRPr="00E56C4E" w:rsidRDefault="000170BE" w:rsidP="000170BE">
      <w:pPr>
        <w:spacing w:after="120" w:line="276" w:lineRule="auto"/>
        <w:ind w:firstLine="708"/>
        <w:jc w:val="both"/>
        <w:rPr>
          <w:rFonts w:ascii="Verdana" w:eastAsia="Calibri" w:hAnsi="Verdana" w:cs="Arial"/>
          <w:color w:val="000000" w:themeColor="text1"/>
        </w:rPr>
      </w:pPr>
      <w:r w:rsidRPr="00E56C4E">
        <w:rPr>
          <w:rFonts w:ascii="Verdana" w:eastAsia="Calibri" w:hAnsi="Verdana" w:cs="Arial"/>
          <w:color w:val="000000" w:themeColor="text1"/>
        </w:rPr>
        <w:t>Así las cosas, el socio transfiere la experiencia adquirida directamente a la sociedad de la que es parte, para que esta, como persona jurídica independiente, pueda cumplir con los requisitos habilitantes o puntuales que establezcan las Entidades Estatales en sus procesos de contratación, de esta forma promover el desarrollo de la empresa, la pluralidad de oferentes en la contratación pública y</w:t>
      </w:r>
      <w:r w:rsidR="005D32B8">
        <w:rPr>
          <w:rFonts w:ascii="Verdana" w:eastAsia="Calibri" w:hAnsi="Verdana" w:cs="Arial"/>
          <w:color w:val="000000" w:themeColor="text1"/>
        </w:rPr>
        <w:t>,</w:t>
      </w:r>
      <w:r w:rsidRPr="00E56C4E">
        <w:rPr>
          <w:rFonts w:ascii="Verdana" w:eastAsia="Calibri" w:hAnsi="Verdana" w:cs="Arial"/>
          <w:color w:val="000000" w:themeColor="text1"/>
        </w:rPr>
        <w:t xml:space="preserve"> por supuesto</w:t>
      </w:r>
      <w:r w:rsidR="005D32B8">
        <w:rPr>
          <w:rFonts w:ascii="Verdana" w:eastAsia="Calibri" w:hAnsi="Verdana" w:cs="Arial"/>
          <w:color w:val="000000" w:themeColor="text1"/>
        </w:rPr>
        <w:t>,</w:t>
      </w:r>
      <w:r w:rsidRPr="00E56C4E">
        <w:rPr>
          <w:rFonts w:ascii="Verdana" w:eastAsia="Calibri" w:hAnsi="Verdana" w:cs="Arial"/>
          <w:color w:val="000000" w:themeColor="text1"/>
        </w:rPr>
        <w:t xml:space="preserve"> que dicha experiencia transferida a la persona jurídica proponente va a garantizar en un momento dado, el cumplimiento del objeto y obligaciones contractuales.</w:t>
      </w:r>
    </w:p>
    <w:p w14:paraId="5338D0EB" w14:textId="77777777" w:rsidR="005D32B8" w:rsidRDefault="000170BE" w:rsidP="00DB51B0">
      <w:pPr>
        <w:spacing w:after="120" w:line="276" w:lineRule="auto"/>
        <w:ind w:firstLine="708"/>
        <w:jc w:val="both"/>
        <w:rPr>
          <w:rFonts w:ascii="Verdana" w:eastAsia="Times New Roman" w:hAnsi="Verdana" w:cs="Arial"/>
          <w:lang w:val="es-MX" w:eastAsia="es-ES_tradnl"/>
        </w:rPr>
      </w:pPr>
      <w:r w:rsidRPr="00E56C4E">
        <w:rPr>
          <w:rFonts w:ascii="Verdana" w:eastAsia="Times New Roman" w:hAnsi="Verdana" w:cs="Arial"/>
          <w:lang w:val="es-MX" w:eastAsia="es-ES_tradnl"/>
        </w:rPr>
        <w:t xml:space="preserve">Sin embargo, debe aclararse que el Decreto 1082 de 2015 sólo permite que una sociedad acredite la experiencia de quienes tienen la calidad de accionistas, socios o constituyentes durante los primeros tres (3) años de su constitución. Por tanto, si se pierden estas calidades, como sucedería cuando un socio se retira por venta o cesión de su participación y pierde su calidad de socio, ya no sería aceptable que la sociedad acredite la experiencia aportada por dicha persona. </w:t>
      </w:r>
    </w:p>
    <w:p w14:paraId="5FCC75A9" w14:textId="6CD8C635" w:rsidR="000170BE" w:rsidRPr="00E56C4E" w:rsidRDefault="000170BE" w:rsidP="000170BE">
      <w:pPr>
        <w:spacing w:after="120" w:line="276" w:lineRule="auto"/>
        <w:ind w:firstLine="708"/>
        <w:jc w:val="both"/>
        <w:rPr>
          <w:rFonts w:ascii="Verdana" w:eastAsia="Times New Roman" w:hAnsi="Verdana" w:cs="Arial"/>
          <w:lang w:val="es-MX" w:eastAsia="es-ES_tradnl"/>
        </w:rPr>
      </w:pPr>
      <w:r w:rsidRPr="00E56C4E">
        <w:rPr>
          <w:rFonts w:ascii="Verdana" w:eastAsia="Times New Roman" w:hAnsi="Verdana" w:cs="Arial"/>
          <w:lang w:val="es-MX" w:eastAsia="es-ES_tradnl"/>
        </w:rPr>
        <w:t>Esta interpretación, además, se impone en atención al fin de evitar prácticas corruptas o que atenten contra la transparencia en la contratación estatal, por lo que la experiencia aportada por quien se retira no deberá tenerse en cuenta por las Entidades Estatales, y no debería ser utilizada por el proponente en procesos de contratación, ya que es inherente a la persona que la ha obtenido.</w:t>
      </w:r>
    </w:p>
    <w:p w14:paraId="41CAD053" w14:textId="4B2719CA" w:rsidR="000170BE" w:rsidRPr="00E56C4E" w:rsidRDefault="000170BE" w:rsidP="000170BE">
      <w:pPr>
        <w:spacing w:after="120" w:line="276" w:lineRule="auto"/>
        <w:ind w:firstLine="708"/>
        <w:jc w:val="both"/>
        <w:rPr>
          <w:rFonts w:ascii="Verdana" w:eastAsia="Times New Roman" w:hAnsi="Verdana" w:cs="Arial"/>
          <w:lang w:val="es-MX" w:eastAsia="es-ES_tradnl"/>
        </w:rPr>
      </w:pPr>
      <w:r w:rsidRPr="00E56C4E">
        <w:rPr>
          <w:rFonts w:ascii="Verdana" w:eastAsia="Times New Roman" w:hAnsi="Verdana" w:cs="Arial"/>
          <w:lang w:val="es-MX" w:eastAsia="es-ES_tradnl"/>
        </w:rPr>
        <w:t xml:space="preserve">En ese contexto, si el socio se retira de la sociedad por venta o cesión de su participación accionaria, no puede vender o ceder su experiencia para que el adquirente o cesionario de la participación accionaria la aporte a la sociedad. En consecuencia, el proponente debería actualizar la experiencia en el RUP, actuando de buena fe en el </w:t>
      </w:r>
      <w:r w:rsidR="00D155ED" w:rsidRPr="00E56C4E">
        <w:rPr>
          <w:rFonts w:ascii="Verdana" w:eastAsia="Times New Roman" w:hAnsi="Verdana" w:cs="Arial"/>
          <w:lang w:val="es-MX" w:eastAsia="es-ES_tradnl"/>
        </w:rPr>
        <w:t>Proceso</w:t>
      </w:r>
      <w:r w:rsidRPr="00E56C4E">
        <w:rPr>
          <w:rFonts w:ascii="Verdana" w:eastAsia="Times New Roman" w:hAnsi="Verdana" w:cs="Arial"/>
          <w:lang w:val="es-MX" w:eastAsia="es-ES_tradnl"/>
        </w:rPr>
        <w:t xml:space="preserve"> de </w:t>
      </w:r>
      <w:r w:rsidR="00D155ED" w:rsidRPr="00E56C4E">
        <w:rPr>
          <w:rFonts w:ascii="Verdana" w:eastAsia="Times New Roman" w:hAnsi="Verdana" w:cs="Arial"/>
          <w:lang w:val="es-MX" w:eastAsia="es-ES_tradnl"/>
        </w:rPr>
        <w:t>Contratación</w:t>
      </w:r>
      <w:r w:rsidRPr="00E56C4E">
        <w:rPr>
          <w:rFonts w:ascii="Verdana" w:eastAsia="Times New Roman" w:hAnsi="Verdana" w:cs="Arial"/>
          <w:lang w:val="es-MX" w:eastAsia="es-ES_tradnl"/>
        </w:rPr>
        <w:t>.</w:t>
      </w:r>
    </w:p>
    <w:p w14:paraId="1CA6EAA1" w14:textId="29A30B3A" w:rsidR="000170BE" w:rsidRPr="00E56C4E" w:rsidRDefault="005D32B8" w:rsidP="000170BE">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Finalmente</w:t>
      </w:r>
      <w:r w:rsidR="000170BE" w:rsidRPr="00E56C4E">
        <w:rPr>
          <w:rFonts w:ascii="Verdana" w:eastAsia="Calibri" w:hAnsi="Verdana" w:cs="Arial"/>
          <w:color w:val="000000" w:themeColor="text1"/>
        </w:rPr>
        <w:t>, es imperativo que la sociedad mantenga actualizada la información registrada en el RUP, incluyendo los cambios en su composición societaria, ya que el requisito normativo en cuestión se fundamenta en que los socios aporten su experiencia mientras conserven tal calidad.</w:t>
      </w:r>
    </w:p>
    <w:p w14:paraId="4A83DA3C" w14:textId="77777777" w:rsidR="000170BE" w:rsidRPr="00E56C4E" w:rsidRDefault="000170BE" w:rsidP="000170BE">
      <w:pPr>
        <w:tabs>
          <w:tab w:val="left" w:pos="142"/>
          <w:tab w:val="left" w:pos="284"/>
        </w:tabs>
        <w:spacing w:after="0" w:line="276" w:lineRule="auto"/>
        <w:jc w:val="both"/>
        <w:rPr>
          <w:rFonts w:ascii="Verdana" w:eastAsia="Century Gothic" w:hAnsi="Verdana" w:cs="Century Gothic"/>
          <w:b/>
          <w:bCs/>
        </w:rPr>
      </w:pPr>
    </w:p>
    <w:p w14:paraId="3F580F08" w14:textId="77777777" w:rsidR="000170BE" w:rsidRPr="00E56C4E" w:rsidRDefault="000170BE" w:rsidP="000170BE">
      <w:pPr>
        <w:tabs>
          <w:tab w:val="left" w:pos="142"/>
          <w:tab w:val="left" w:pos="284"/>
        </w:tabs>
        <w:spacing w:after="0" w:line="276" w:lineRule="auto"/>
        <w:jc w:val="both"/>
        <w:rPr>
          <w:rFonts w:ascii="Verdana" w:eastAsia="Century Gothic" w:hAnsi="Verdana" w:cs="Century Gothic"/>
          <w:b/>
          <w:bCs/>
        </w:rPr>
      </w:pPr>
      <w:r w:rsidRPr="00E56C4E">
        <w:rPr>
          <w:rFonts w:ascii="Verdana" w:eastAsia="Century Gothic" w:hAnsi="Verdana" w:cs="Century Gothic"/>
          <w:b/>
          <w:bCs/>
        </w:rPr>
        <w:t>4. Referencias normativas, jurisprudenciales y otras fuentes:</w:t>
      </w:r>
    </w:p>
    <w:p w14:paraId="30457A94" w14:textId="77777777" w:rsidR="000170BE" w:rsidRPr="00E56C4E" w:rsidRDefault="000170BE" w:rsidP="000170B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170BE" w:rsidRPr="00E56C4E" w14:paraId="757D662B" w14:textId="77777777" w:rsidTr="00881EEC">
        <w:trPr>
          <w:trHeight w:val="870"/>
        </w:trPr>
        <w:tc>
          <w:tcPr>
            <w:tcW w:w="8647" w:type="dxa"/>
          </w:tcPr>
          <w:p w14:paraId="747C3CFB" w14:textId="6EF28244" w:rsidR="000170BE" w:rsidRPr="00E56C4E" w:rsidRDefault="000170BE" w:rsidP="00FA7901">
            <w:pPr>
              <w:pStyle w:val="Prrafodelista"/>
              <w:numPr>
                <w:ilvl w:val="0"/>
                <w:numId w:val="17"/>
              </w:numPr>
              <w:spacing w:line="276" w:lineRule="auto"/>
              <w:ind w:left="357" w:hanging="357"/>
              <w:jc w:val="both"/>
              <w:rPr>
                <w:rFonts w:ascii="Verdana" w:hAnsi="Verdana"/>
              </w:rPr>
            </w:pPr>
            <w:r w:rsidRPr="00E56C4E">
              <w:rPr>
                <w:rFonts w:ascii="Verdana" w:eastAsia="Arial" w:hAnsi="Verdana" w:cs="Arial"/>
              </w:rPr>
              <w:t>Ley 1150 de 2007</w:t>
            </w:r>
            <w:r w:rsidR="005D32B8">
              <w:rPr>
                <w:rFonts w:ascii="Verdana" w:eastAsia="Arial" w:hAnsi="Verdana" w:cs="Arial"/>
              </w:rPr>
              <w:t>:</w:t>
            </w:r>
            <w:r w:rsidRPr="00E56C4E">
              <w:rPr>
                <w:rFonts w:ascii="Verdana" w:eastAsia="Arial" w:hAnsi="Verdana" w:cs="Arial"/>
              </w:rPr>
              <w:t xml:space="preserve"> Artículo 5, 6</w:t>
            </w:r>
            <w:r w:rsidRPr="00E56C4E">
              <w:rPr>
                <w:rFonts w:ascii="Verdana" w:hAnsi="Verdana"/>
              </w:rPr>
              <w:t xml:space="preserve"> </w:t>
            </w:r>
          </w:p>
          <w:p w14:paraId="5D3C5262" w14:textId="687C4E81" w:rsidR="000170BE" w:rsidRPr="00E56C4E" w:rsidRDefault="000170BE" w:rsidP="00FA7901">
            <w:pPr>
              <w:pStyle w:val="Prrafodelista"/>
              <w:numPr>
                <w:ilvl w:val="0"/>
                <w:numId w:val="17"/>
              </w:numPr>
              <w:spacing w:line="276" w:lineRule="auto"/>
              <w:ind w:left="357" w:hanging="357"/>
              <w:jc w:val="both"/>
              <w:rPr>
                <w:rFonts w:ascii="Verdana" w:hAnsi="Verdana"/>
              </w:rPr>
            </w:pPr>
            <w:r w:rsidRPr="00E56C4E">
              <w:rPr>
                <w:rFonts w:ascii="Verdana" w:hAnsi="Verdana"/>
              </w:rPr>
              <w:t>Decreto 1082 de 2015</w:t>
            </w:r>
            <w:r w:rsidR="005D32B8">
              <w:rPr>
                <w:rFonts w:ascii="Verdana" w:hAnsi="Verdana"/>
              </w:rPr>
              <w:t>:</w:t>
            </w:r>
            <w:r w:rsidRPr="00E56C4E">
              <w:rPr>
                <w:rFonts w:ascii="Verdana" w:hAnsi="Verdana"/>
              </w:rPr>
              <w:t xml:space="preserve"> Artículo 2.2.1.1.1.6.2.</w:t>
            </w:r>
            <w:r w:rsidRPr="00E56C4E">
              <w:rPr>
                <w:rFonts w:ascii="Verdana" w:hAnsi="Verdana" w:cs="Arial"/>
              </w:rPr>
              <w:t xml:space="preserve">; 2.2.1.1.1.5.3.; </w:t>
            </w:r>
            <w:r w:rsidRPr="00E56C4E">
              <w:rPr>
                <w:rFonts w:ascii="Verdana" w:eastAsia="Calibri" w:hAnsi="Verdana" w:cs="Arial"/>
                <w:color w:val="000000" w:themeColor="text1"/>
              </w:rPr>
              <w:t>2.2.1.1.1.5.2 numeral 2.1, 2.5</w:t>
            </w:r>
          </w:p>
          <w:p w14:paraId="6E315456" w14:textId="77777777" w:rsidR="000170BE" w:rsidRPr="00E56C4E" w:rsidRDefault="000170BE" w:rsidP="000170BE">
            <w:pPr>
              <w:pStyle w:val="Prrafodelista"/>
              <w:numPr>
                <w:ilvl w:val="0"/>
                <w:numId w:val="17"/>
              </w:numPr>
              <w:spacing w:line="276" w:lineRule="auto"/>
              <w:ind w:left="357" w:hanging="357"/>
              <w:jc w:val="both"/>
              <w:rPr>
                <w:rFonts w:ascii="Verdana" w:hAnsi="Verdana"/>
              </w:rPr>
            </w:pPr>
            <w:r w:rsidRPr="00E56C4E">
              <w:rPr>
                <w:rFonts w:ascii="Verdana" w:eastAsia="Arial" w:hAnsi="Verdana" w:cs="Arial"/>
              </w:rPr>
              <w:t xml:space="preserve">Agencia Nacional de Contratación Pública – Colombia Compra Eficiente: “Manual para determinar y verificar requisitos habilitantes en los procesos de contratación”. Disponible en: </w:t>
            </w:r>
            <w:hyperlink r:id="rId12" w:history="1">
              <w:r w:rsidRPr="00E56C4E">
                <w:rPr>
                  <w:rStyle w:val="Hipervnculo"/>
                  <w:rFonts w:ascii="Verdana" w:eastAsia="Arial" w:hAnsi="Verdana" w:cs="Arial"/>
                </w:rPr>
                <w:t>https://www.colombiacompra.gov.co/archivos/manual/manual-para-determinar-y-verificar-los-requisitos-habilitantes-en-los-procesos-de-contratacion</w:t>
              </w:r>
            </w:hyperlink>
            <w:r w:rsidRPr="00E56C4E">
              <w:rPr>
                <w:rFonts w:ascii="Verdana" w:eastAsia="Arial" w:hAnsi="Verdana" w:cs="Arial"/>
              </w:rPr>
              <w:t xml:space="preserve"> </w:t>
            </w:r>
          </w:p>
        </w:tc>
      </w:tr>
    </w:tbl>
    <w:p w14:paraId="66C57448" w14:textId="77777777" w:rsidR="000170BE" w:rsidRPr="00E56C4E" w:rsidRDefault="000170BE" w:rsidP="000170BE">
      <w:pPr>
        <w:widowControl w:val="0"/>
        <w:autoSpaceDE w:val="0"/>
        <w:autoSpaceDN w:val="0"/>
        <w:spacing w:after="0" w:line="276" w:lineRule="auto"/>
        <w:jc w:val="both"/>
        <w:rPr>
          <w:rFonts w:ascii="Verdana" w:hAnsi="Verdana" w:cs="Arial"/>
        </w:rPr>
      </w:pPr>
    </w:p>
    <w:p w14:paraId="400AE751" w14:textId="77777777" w:rsidR="000170BE" w:rsidRPr="00E56C4E" w:rsidRDefault="000170BE" w:rsidP="000170BE">
      <w:pPr>
        <w:tabs>
          <w:tab w:val="left" w:pos="142"/>
          <w:tab w:val="left" w:pos="284"/>
        </w:tabs>
        <w:spacing w:after="0" w:line="276" w:lineRule="auto"/>
        <w:jc w:val="both"/>
        <w:rPr>
          <w:rFonts w:ascii="Verdana" w:eastAsia="Century Gothic" w:hAnsi="Verdana" w:cs="Century Gothic"/>
          <w:b/>
          <w:bCs/>
        </w:rPr>
      </w:pPr>
      <w:r w:rsidRPr="00E56C4E">
        <w:rPr>
          <w:rFonts w:ascii="Verdana" w:eastAsia="Century Gothic" w:hAnsi="Verdana" w:cs="Century Gothic"/>
          <w:b/>
          <w:bCs/>
        </w:rPr>
        <w:t>5. Doctrina de la Agencia Nacional de Contratación Pública:</w:t>
      </w:r>
    </w:p>
    <w:p w14:paraId="7D58DD3F" w14:textId="77777777" w:rsidR="000170BE" w:rsidRPr="00E56C4E" w:rsidRDefault="000170BE" w:rsidP="000170BE">
      <w:pPr>
        <w:widowControl w:val="0"/>
        <w:autoSpaceDE w:val="0"/>
        <w:autoSpaceDN w:val="0"/>
        <w:spacing w:after="0" w:line="276" w:lineRule="auto"/>
        <w:jc w:val="both"/>
        <w:rPr>
          <w:rFonts w:ascii="Verdana" w:hAnsi="Verdana" w:cs="Arial"/>
        </w:rPr>
      </w:pPr>
    </w:p>
    <w:p w14:paraId="552CBD63" w14:textId="77777777" w:rsidR="000170BE" w:rsidRPr="00E56C4E" w:rsidRDefault="000170BE" w:rsidP="00DB51B0">
      <w:pPr>
        <w:spacing w:after="0" w:line="276" w:lineRule="auto"/>
        <w:jc w:val="both"/>
        <w:rPr>
          <w:rFonts w:ascii="Verdana" w:eastAsia="Arial MT" w:hAnsi="Verdana" w:cs="Arial"/>
          <w:lang w:val="es-ES"/>
        </w:rPr>
      </w:pPr>
      <w:r w:rsidRPr="00E56C4E">
        <w:rPr>
          <w:rFonts w:ascii="Verdana" w:hAnsi="Verdana" w:cs="Arial"/>
          <w:shd w:val="clear" w:color="auto" w:fill="FFFFFF"/>
        </w:rPr>
        <w:t xml:space="preserve">La Agencia Nacional de Contratación Pública – Colombia Compra Eficiente, se pronunció sobre la acreditación de experiencia de socios por parte de sociedades con menos de tres años de constitución, en los conceptos </w:t>
      </w:r>
      <w:r w:rsidRPr="00E56C4E">
        <w:rPr>
          <w:rFonts w:ascii="Verdana" w:eastAsia="Arial MT" w:hAnsi="Verdana" w:cs="Arial"/>
          <w:lang w:val="es-ES"/>
        </w:rPr>
        <w:t>C-725 del 25 de enero de 2022, C-034 del 2 de marzo de 2022, C-144 del 1 de abril de 2022, C-239 del 26 de julio de 2022, C-324 del 19 de mayo de 2022, C-447 del 19 de julio de 2022, C-456 del 15 de julio de 2022, C-592 del 20 de septiembre de 2022, C-623 del 29 de septiembre de 2022, C-837 del 6 de diciembre de 2022, C-841 del 6 de diciembre de 2022, C-929 del 30 de diciembre de 2022, C-128 del 18 de mayo de 2023, C-146 de 13 de junio de 2023, C-261 del 13 de julio de 2023, C-466 del 01 de diciembre de 2023, C-088 de 2024 del 13 junio de 2024,  C-593 del 11/12/2024 y 093 de 2025.</w:t>
      </w:r>
    </w:p>
    <w:p w14:paraId="1D6CBC75" w14:textId="77777777" w:rsidR="00D155ED" w:rsidRPr="00DB51B0" w:rsidRDefault="00D155ED" w:rsidP="00FA7901">
      <w:pPr>
        <w:spacing w:after="0" w:line="276" w:lineRule="auto"/>
        <w:jc w:val="both"/>
        <w:rPr>
          <w:rFonts w:ascii="Verdana" w:eastAsia="Arial MT" w:hAnsi="Verdana" w:cs="Arial"/>
          <w:lang w:val="es-ES"/>
        </w:rPr>
      </w:pPr>
    </w:p>
    <w:p w14:paraId="306A506A" w14:textId="77777777" w:rsidR="000170BE" w:rsidRPr="00E56C4E" w:rsidRDefault="000170BE" w:rsidP="000170BE">
      <w:pPr>
        <w:shd w:val="clear" w:color="auto" w:fill="FFFFFF"/>
        <w:spacing w:after="0" w:line="276" w:lineRule="auto"/>
        <w:jc w:val="both"/>
        <w:rPr>
          <w:rFonts w:ascii="Verdana" w:hAnsi="Verdana"/>
          <w:color w:val="467886"/>
          <w:u w:val="single"/>
        </w:rPr>
      </w:pPr>
      <w:r w:rsidRPr="00E56C4E">
        <w:rPr>
          <w:rFonts w:ascii="Verdana" w:hAnsi="Verdana"/>
          <w:color w:val="000000"/>
        </w:rPr>
        <w:t>Te informamos que ya se encuentra disponible la </w:t>
      </w:r>
      <w:r w:rsidRPr="00E56C4E">
        <w:rPr>
          <w:rFonts w:ascii="Verdana" w:hAnsi="Verdana"/>
          <w:b/>
          <w:bCs/>
          <w:color w:val="000000"/>
        </w:rPr>
        <w:t>Guía de lineamientos de transparencia y selección objetiva para el departamento de La Guajira – Objetivo sexto constitucional de la Sentencia T-302 del 2017. </w:t>
      </w:r>
      <w:r w:rsidRPr="00E56C4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56C4E">
        <w:rPr>
          <w:rFonts w:ascii="Verdana" w:hAnsi="Verdana"/>
          <w:color w:val="000000"/>
        </w:rPr>
        <w:t>Wayúu</w:t>
      </w:r>
      <w:proofErr w:type="spellEnd"/>
      <w:r w:rsidRPr="00E56C4E">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E56C4E">
          <w:rPr>
            <w:rStyle w:val="Hipervnculo"/>
            <w:rFonts w:ascii="Verdana" w:hAnsi="Verdana"/>
          </w:rPr>
          <w:t>Guía de lineamientos de transparencia y selección objetiva para el departamento de La Guajira – Objetivo sexto constitucional de la Sentencia T-302 del 2017</w:t>
        </w:r>
      </w:hyperlink>
      <w:r w:rsidRPr="00E56C4E">
        <w:rPr>
          <w:rFonts w:ascii="Verdana" w:hAnsi="Verdana"/>
          <w:color w:val="000000"/>
          <w:u w:val="single"/>
        </w:rPr>
        <w:t>.</w:t>
      </w:r>
    </w:p>
    <w:p w14:paraId="799BB6FD" w14:textId="77777777" w:rsidR="000170BE" w:rsidRPr="00E56C4E" w:rsidRDefault="000170BE" w:rsidP="000170BE">
      <w:pPr>
        <w:widowControl w:val="0"/>
        <w:autoSpaceDE w:val="0"/>
        <w:autoSpaceDN w:val="0"/>
        <w:spacing w:after="0" w:line="276" w:lineRule="auto"/>
        <w:jc w:val="both"/>
        <w:rPr>
          <w:rFonts w:ascii="Verdana" w:hAnsi="Verdana" w:cs="Arial"/>
          <w:color w:val="FF0000"/>
          <w:shd w:val="clear" w:color="auto" w:fill="FFFFFF"/>
          <w:lang w:val="es-ES_tradnl"/>
        </w:rPr>
      </w:pPr>
      <w:r w:rsidRPr="00E56C4E">
        <w:rPr>
          <w:rFonts w:ascii="Verdana" w:hAnsi="Verdana" w:cs="Arial"/>
          <w:color w:val="000000" w:themeColor="text1"/>
          <w:shd w:val="clear" w:color="auto" w:fill="FFFFFF"/>
          <w:lang w:val="es-ES_tradnl"/>
        </w:rPr>
        <w:t xml:space="preserve"> </w:t>
      </w:r>
      <w:r w:rsidRPr="00E56C4E">
        <w:rPr>
          <w:rStyle w:val="normaltextrun"/>
          <w:rFonts w:ascii="Verdana" w:hAnsi="Verdana" w:cs="Arial"/>
          <w:color w:val="FF0000"/>
          <w:shd w:val="clear" w:color="auto" w:fill="FFFFFF"/>
          <w:lang w:val="es-ES_tradnl"/>
        </w:rPr>
        <w:t xml:space="preserve">        </w:t>
      </w:r>
    </w:p>
    <w:p w14:paraId="65C808DC" w14:textId="77777777" w:rsidR="000170BE" w:rsidRPr="00E56C4E" w:rsidRDefault="000170BE" w:rsidP="000170BE">
      <w:pPr>
        <w:spacing w:after="0" w:line="276" w:lineRule="auto"/>
        <w:jc w:val="both"/>
        <w:rPr>
          <w:rFonts w:ascii="Verdana" w:hAnsi="Verdana"/>
        </w:rPr>
      </w:pPr>
      <w:r w:rsidRPr="00E56C4E">
        <w:rPr>
          <w:rFonts w:ascii="Verdana" w:hAnsi="Verdana"/>
        </w:rPr>
        <w:lastRenderedPageBreak/>
        <w:t xml:space="preserve">Por último, lo invitamos a seguirnos en las redes sociales en las cuales se difunde información institucional: </w:t>
      </w:r>
    </w:p>
    <w:p w14:paraId="4608D0FD" w14:textId="77777777" w:rsidR="000170BE" w:rsidRPr="00E56C4E" w:rsidRDefault="000170BE" w:rsidP="000170BE">
      <w:pPr>
        <w:spacing w:after="0" w:line="276" w:lineRule="auto"/>
        <w:jc w:val="both"/>
        <w:rPr>
          <w:rFonts w:ascii="Verdana" w:hAnsi="Verdana"/>
        </w:rPr>
      </w:pPr>
    </w:p>
    <w:p w14:paraId="5B46576B" w14:textId="77777777" w:rsidR="000170BE" w:rsidRPr="00E56C4E" w:rsidRDefault="000170BE" w:rsidP="000170BE">
      <w:pPr>
        <w:spacing w:after="0" w:line="276" w:lineRule="auto"/>
        <w:jc w:val="both"/>
        <w:rPr>
          <w:rFonts w:ascii="Verdana" w:hAnsi="Verdana"/>
        </w:rPr>
      </w:pPr>
      <w:r w:rsidRPr="00E56C4E">
        <w:rPr>
          <w:rFonts w:ascii="Verdana" w:hAnsi="Verdana"/>
        </w:rPr>
        <w:t xml:space="preserve">Twitter: </w:t>
      </w:r>
      <w:r w:rsidRPr="00E56C4E">
        <w:rPr>
          <w:rStyle w:val="Hipervnculo"/>
          <w:rFonts w:ascii="Verdana" w:hAnsi="Verdana"/>
        </w:rPr>
        <w:t>@colombiacompra</w:t>
      </w:r>
      <w:r w:rsidRPr="00E56C4E">
        <w:rPr>
          <w:rFonts w:ascii="Verdana" w:hAnsi="Verdana"/>
        </w:rPr>
        <w:t xml:space="preserve"> </w:t>
      </w:r>
    </w:p>
    <w:p w14:paraId="34949816" w14:textId="77777777" w:rsidR="000170BE" w:rsidRPr="00E56C4E" w:rsidRDefault="000170BE" w:rsidP="000170BE">
      <w:pPr>
        <w:spacing w:after="0" w:line="276" w:lineRule="auto"/>
        <w:jc w:val="both"/>
        <w:rPr>
          <w:rFonts w:ascii="Verdana" w:hAnsi="Verdana"/>
        </w:rPr>
      </w:pPr>
      <w:r w:rsidRPr="00E56C4E">
        <w:rPr>
          <w:rFonts w:ascii="Verdana" w:hAnsi="Verdana"/>
        </w:rPr>
        <w:t xml:space="preserve">Facebook: </w:t>
      </w:r>
      <w:proofErr w:type="spellStart"/>
      <w:r w:rsidRPr="00E56C4E">
        <w:rPr>
          <w:rStyle w:val="Hipervnculo"/>
          <w:rFonts w:ascii="Verdana" w:hAnsi="Verdana"/>
        </w:rPr>
        <w:t>ColombiaCompraEficiente</w:t>
      </w:r>
      <w:proofErr w:type="spellEnd"/>
    </w:p>
    <w:p w14:paraId="439B5344" w14:textId="77777777" w:rsidR="000170BE" w:rsidRPr="00E56C4E" w:rsidRDefault="000170BE" w:rsidP="000170BE">
      <w:pPr>
        <w:spacing w:after="0" w:line="276" w:lineRule="auto"/>
        <w:jc w:val="both"/>
        <w:rPr>
          <w:rStyle w:val="Hipervnculo"/>
          <w:rFonts w:ascii="Verdana" w:hAnsi="Verdana"/>
        </w:rPr>
      </w:pPr>
      <w:r w:rsidRPr="00E56C4E">
        <w:rPr>
          <w:rFonts w:ascii="Verdana" w:hAnsi="Verdana"/>
        </w:rPr>
        <w:t xml:space="preserve">LinkedIn: </w:t>
      </w:r>
      <w:r w:rsidRPr="00E56C4E">
        <w:rPr>
          <w:rStyle w:val="Hipervnculo"/>
          <w:rFonts w:ascii="Verdana" w:hAnsi="Verdana"/>
        </w:rPr>
        <w:t>Agencia Nacional de Contratación Pública - Colombia Compra Eficiente</w:t>
      </w:r>
      <w:r w:rsidRPr="00E56C4E">
        <w:rPr>
          <w:rFonts w:ascii="Verdana" w:hAnsi="Verdana"/>
        </w:rPr>
        <w:t xml:space="preserve"> Instagram: </w:t>
      </w:r>
      <w:r w:rsidRPr="00E56C4E">
        <w:rPr>
          <w:rStyle w:val="Hipervnculo"/>
          <w:rFonts w:ascii="Verdana" w:hAnsi="Verdana"/>
        </w:rPr>
        <w:t>@colombiacompraeficiente_cce</w:t>
      </w:r>
    </w:p>
    <w:p w14:paraId="38D63849" w14:textId="77777777" w:rsidR="000170BE" w:rsidRPr="00E56C4E" w:rsidRDefault="000170BE" w:rsidP="000170BE">
      <w:pPr>
        <w:widowControl w:val="0"/>
        <w:autoSpaceDE w:val="0"/>
        <w:autoSpaceDN w:val="0"/>
        <w:spacing w:after="0" w:line="276" w:lineRule="auto"/>
        <w:jc w:val="both"/>
        <w:rPr>
          <w:rFonts w:ascii="Verdana" w:hAnsi="Verdana" w:cs="Arial"/>
        </w:rPr>
      </w:pPr>
    </w:p>
    <w:p w14:paraId="0D3A2788" w14:textId="77777777" w:rsidR="000170BE" w:rsidRPr="00E56C4E" w:rsidRDefault="000170BE" w:rsidP="000170BE">
      <w:pPr>
        <w:widowControl w:val="0"/>
        <w:autoSpaceDE w:val="0"/>
        <w:autoSpaceDN w:val="0"/>
        <w:spacing w:after="0" w:line="276" w:lineRule="auto"/>
        <w:jc w:val="both"/>
        <w:rPr>
          <w:rFonts w:ascii="Verdana" w:hAnsi="Verdana" w:cs="Arial"/>
          <w:lang w:val="es-ES_tradnl"/>
        </w:rPr>
      </w:pPr>
      <w:r w:rsidRPr="00E56C4E">
        <w:rPr>
          <w:rFonts w:ascii="Verdana" w:hAnsi="Verdana" w:cs="Arial"/>
        </w:rPr>
        <w:t xml:space="preserve">Este concepto tiene el alcance previsto en el artículo 28 del Código de Procedimiento Administrativo y de lo Contencioso Administrativo </w:t>
      </w:r>
      <w:r w:rsidRPr="00E56C4E">
        <w:rPr>
          <w:rFonts w:ascii="Verdana" w:hAnsi="Verdana" w:cs="Arial"/>
          <w:lang w:val="es-ES_tradnl"/>
        </w:rPr>
        <w:t>y las expresiones aquí utilizadas con mayúscula inicial deben ser entendidas con el significado que les otorga el artículo 2.2.1.1.1.3.1. del Decreto 1082 de 2015.</w:t>
      </w:r>
    </w:p>
    <w:p w14:paraId="0B0B4C2C" w14:textId="77777777" w:rsidR="000170BE" w:rsidRPr="00E56C4E" w:rsidRDefault="000170BE" w:rsidP="000170BE">
      <w:pPr>
        <w:widowControl w:val="0"/>
        <w:autoSpaceDE w:val="0"/>
        <w:autoSpaceDN w:val="0"/>
        <w:spacing w:after="0" w:line="276" w:lineRule="auto"/>
        <w:jc w:val="both"/>
        <w:rPr>
          <w:rFonts w:ascii="Verdana" w:hAnsi="Verdana" w:cs="Arial"/>
        </w:rPr>
      </w:pPr>
    </w:p>
    <w:p w14:paraId="4B75FD90" w14:textId="17B8C4EC" w:rsidR="000170BE" w:rsidRDefault="000170BE" w:rsidP="000170BE">
      <w:pPr>
        <w:spacing w:after="0" w:line="276" w:lineRule="auto"/>
        <w:rPr>
          <w:rFonts w:ascii="Verdana" w:hAnsi="Verdana" w:cs="Arial"/>
          <w:lang w:eastAsia="es-CO"/>
        </w:rPr>
      </w:pPr>
      <w:r w:rsidRPr="00E56C4E">
        <w:rPr>
          <w:rFonts w:ascii="Verdana" w:eastAsia="Times New Roman" w:hAnsi="Verdana" w:cs="Arial"/>
          <w:lang w:eastAsia="es-CO"/>
        </w:rPr>
        <w:t>Atentamente,</w:t>
      </w:r>
      <w:r w:rsidRPr="00E56C4E">
        <w:rPr>
          <w:rFonts w:ascii="Verdana" w:hAnsi="Verdana" w:cs="Arial"/>
          <w:lang w:eastAsia="es-CO"/>
        </w:rPr>
        <w:t xml:space="preserve"> </w:t>
      </w:r>
      <w:r w:rsidR="006873E3">
        <w:rPr>
          <w:noProof/>
        </w:rPr>
        <w:drawing>
          <wp:inline distT="0" distB="0" distL="0" distR="0" wp14:anchorId="26673D6C" wp14:editId="61AC1EBD">
            <wp:extent cx="3668173" cy="1574683"/>
            <wp:effectExtent l="0" t="0" r="0" b="6985"/>
            <wp:docPr id="75075630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74961" cy="1577597"/>
                    </a:xfrm>
                    <a:prstGeom prst="rect">
                      <a:avLst/>
                    </a:prstGeom>
                    <a:noFill/>
                    <a:ln>
                      <a:noFill/>
                    </a:ln>
                  </pic:spPr>
                </pic:pic>
              </a:graphicData>
            </a:graphic>
          </wp:inline>
        </w:drawing>
      </w:r>
    </w:p>
    <w:p w14:paraId="07815CBA" w14:textId="58BF757A" w:rsidR="000170BE" w:rsidRPr="00E56C4E" w:rsidRDefault="000170BE" w:rsidP="000170BE">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170BE" w:rsidRPr="00E56C4E" w14:paraId="0D19D868" w14:textId="77777777" w:rsidTr="00881EEC">
        <w:trPr>
          <w:trHeight w:val="315"/>
        </w:trPr>
        <w:tc>
          <w:tcPr>
            <w:tcW w:w="893" w:type="dxa"/>
            <w:vAlign w:val="center"/>
            <w:hideMark/>
          </w:tcPr>
          <w:p w14:paraId="08CEEDE4" w14:textId="77777777" w:rsidR="000170BE" w:rsidRPr="00E56C4E" w:rsidRDefault="000170BE" w:rsidP="00881EEC">
            <w:pPr>
              <w:contextualSpacing/>
              <w:rPr>
                <w:rFonts w:ascii="Verdana" w:hAnsi="Verdana" w:cs="Arial"/>
                <w:sz w:val="15"/>
                <w:szCs w:val="15"/>
                <w:lang w:val="es-ES" w:eastAsia="es-ES"/>
              </w:rPr>
            </w:pPr>
            <w:r w:rsidRPr="00E56C4E">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0588FEA7" w14:textId="77777777" w:rsidR="000170BE" w:rsidRPr="00E56C4E" w:rsidRDefault="000170BE" w:rsidP="00881EEC">
            <w:pPr>
              <w:contextualSpacing/>
              <w:rPr>
                <w:rStyle w:val="normaltextrun"/>
                <w:rFonts w:ascii="Verdana" w:eastAsia="Arial" w:hAnsi="Verdana" w:cs="Arial"/>
                <w:sz w:val="15"/>
                <w:szCs w:val="15"/>
              </w:rPr>
            </w:pPr>
            <w:r w:rsidRPr="00E56C4E">
              <w:rPr>
                <w:rStyle w:val="normaltextrun"/>
                <w:rFonts w:ascii="Verdana" w:eastAsia="Arial" w:hAnsi="Verdana" w:cs="Arial"/>
                <w:sz w:val="15"/>
                <w:szCs w:val="15"/>
              </w:rPr>
              <w:t>Andrea del Pilar Garzón Sánchez.</w:t>
            </w:r>
          </w:p>
          <w:p w14:paraId="739DF055" w14:textId="77777777" w:rsidR="000170BE" w:rsidRPr="00E56C4E" w:rsidRDefault="000170BE" w:rsidP="00881EEC">
            <w:pPr>
              <w:contextualSpacing/>
              <w:rPr>
                <w:rFonts w:ascii="Verdana" w:eastAsia="Arial" w:hAnsi="Verdana" w:cs="Arial"/>
                <w:color w:val="7030A0"/>
                <w:sz w:val="15"/>
                <w:szCs w:val="15"/>
              </w:rPr>
            </w:pPr>
            <w:r w:rsidRPr="00E56C4E">
              <w:rPr>
                <w:rStyle w:val="normaltextrun"/>
                <w:rFonts w:ascii="Verdana" w:eastAsia="Arial" w:hAnsi="Verdana" w:cs="Arial"/>
                <w:sz w:val="15"/>
                <w:szCs w:val="15"/>
              </w:rPr>
              <w:t>Contratista de la Subdirección de Gestión Contractual</w:t>
            </w:r>
          </w:p>
        </w:tc>
      </w:tr>
      <w:tr w:rsidR="000170BE" w:rsidRPr="00E56C4E" w14:paraId="43E66E34" w14:textId="77777777" w:rsidTr="00881EEC">
        <w:trPr>
          <w:trHeight w:val="330"/>
        </w:trPr>
        <w:tc>
          <w:tcPr>
            <w:tcW w:w="893" w:type="dxa"/>
            <w:vAlign w:val="center"/>
            <w:hideMark/>
          </w:tcPr>
          <w:p w14:paraId="338FB412" w14:textId="77777777" w:rsidR="000170BE" w:rsidRPr="00E56C4E" w:rsidRDefault="000170BE" w:rsidP="00881EEC">
            <w:pPr>
              <w:contextualSpacing/>
              <w:rPr>
                <w:rFonts w:ascii="Verdana" w:hAnsi="Verdana" w:cs="Arial"/>
                <w:sz w:val="15"/>
                <w:szCs w:val="15"/>
                <w:lang w:val="es-ES" w:eastAsia="es-ES"/>
              </w:rPr>
            </w:pPr>
            <w:r w:rsidRPr="00E56C4E">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AFBE969" w14:textId="77777777" w:rsidR="000170BE" w:rsidRPr="00E56C4E" w:rsidRDefault="000170BE" w:rsidP="00881EEC">
            <w:pPr>
              <w:pStyle w:val="paragraph"/>
              <w:spacing w:before="0" w:beforeAutospacing="0" w:after="0" w:afterAutospacing="0"/>
              <w:contextualSpacing/>
              <w:textAlignment w:val="baseline"/>
              <w:rPr>
                <w:rStyle w:val="normaltextrun"/>
                <w:rFonts w:ascii="Verdana" w:hAnsi="Verdana" w:cs="Arial"/>
                <w:sz w:val="15"/>
                <w:szCs w:val="15"/>
                <w:lang w:val="es-ES"/>
              </w:rPr>
            </w:pPr>
            <w:r w:rsidRPr="00E56C4E">
              <w:rPr>
                <w:rStyle w:val="normaltextrun"/>
                <w:rFonts w:ascii="Verdana" w:hAnsi="Verdana" w:cs="Arial"/>
                <w:sz w:val="15"/>
                <w:szCs w:val="15"/>
                <w:lang w:val="es-ES"/>
              </w:rPr>
              <w:t>Diana Lucia Saavedra C</w:t>
            </w:r>
            <w:proofErr w:type="spellStart"/>
            <w:r w:rsidRPr="00E56C4E">
              <w:rPr>
                <w:rStyle w:val="normaltextrun"/>
                <w:rFonts w:ascii="Verdana" w:hAnsi="Verdana" w:cs="Arial"/>
                <w:sz w:val="15"/>
                <w:szCs w:val="15"/>
              </w:rPr>
              <w:t>astañeda</w:t>
            </w:r>
            <w:proofErr w:type="spellEnd"/>
          </w:p>
          <w:p w14:paraId="1D3636F1" w14:textId="77777777" w:rsidR="000170BE" w:rsidRPr="00E56C4E" w:rsidRDefault="000170BE" w:rsidP="00881EEC">
            <w:pPr>
              <w:pStyle w:val="paragraph"/>
              <w:spacing w:before="0" w:beforeAutospacing="0" w:after="0" w:afterAutospacing="0"/>
              <w:contextualSpacing/>
              <w:textAlignment w:val="baseline"/>
              <w:rPr>
                <w:rFonts w:ascii="Verdana" w:hAnsi="Verdana" w:cs="Segoe UI"/>
                <w:sz w:val="15"/>
                <w:szCs w:val="15"/>
              </w:rPr>
            </w:pPr>
            <w:r w:rsidRPr="00E56C4E">
              <w:rPr>
                <w:rStyle w:val="normaltextrun"/>
                <w:rFonts w:ascii="Verdana" w:hAnsi="Verdana" w:cs="Arial"/>
                <w:sz w:val="15"/>
                <w:szCs w:val="15"/>
                <w:lang w:val="es-ES"/>
              </w:rPr>
              <w:t>Contratista de la Subdirección de Gestión Contractual</w:t>
            </w:r>
            <w:r w:rsidRPr="00E56C4E">
              <w:rPr>
                <w:rStyle w:val="eop"/>
                <w:rFonts w:ascii="Verdana" w:hAnsi="Verdana" w:cs="Arial"/>
                <w:sz w:val="15"/>
                <w:szCs w:val="15"/>
              </w:rPr>
              <w:t> </w:t>
            </w:r>
          </w:p>
        </w:tc>
      </w:tr>
      <w:tr w:rsidR="000170BE" w:rsidRPr="00E56C4E" w14:paraId="0997835C" w14:textId="77777777" w:rsidTr="00881EEC">
        <w:trPr>
          <w:trHeight w:val="300"/>
        </w:trPr>
        <w:tc>
          <w:tcPr>
            <w:tcW w:w="893" w:type="dxa"/>
            <w:vAlign w:val="center"/>
          </w:tcPr>
          <w:p w14:paraId="7A1E92A2" w14:textId="77777777" w:rsidR="000170BE" w:rsidRPr="00E56C4E" w:rsidRDefault="000170BE" w:rsidP="00881EEC">
            <w:pPr>
              <w:contextualSpacing/>
              <w:rPr>
                <w:rFonts w:ascii="Verdana" w:hAnsi="Verdana" w:cs="Arial"/>
                <w:sz w:val="15"/>
                <w:szCs w:val="15"/>
                <w:lang w:val="es-ES" w:eastAsia="es-ES"/>
              </w:rPr>
            </w:pPr>
            <w:r w:rsidRPr="00E56C4E">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1EC5794" w14:textId="77777777" w:rsidR="000170BE" w:rsidRPr="00E56C4E" w:rsidRDefault="000170BE" w:rsidP="00881EEC">
            <w:pPr>
              <w:contextualSpacing/>
              <w:rPr>
                <w:rFonts w:ascii="Verdana" w:eastAsia="Calibri" w:hAnsi="Verdana" w:cs="Arial"/>
                <w:sz w:val="15"/>
                <w:szCs w:val="15"/>
                <w:lang w:val="pt-BR" w:eastAsia="es-ES"/>
              </w:rPr>
            </w:pPr>
            <w:r w:rsidRPr="00E56C4E">
              <w:rPr>
                <w:rFonts w:ascii="Verdana" w:eastAsia="Calibri" w:hAnsi="Verdana" w:cs="Arial"/>
                <w:sz w:val="15"/>
                <w:szCs w:val="15"/>
                <w:lang w:val="pt-BR" w:eastAsia="es-ES"/>
              </w:rPr>
              <w:t xml:space="preserve">Carolina Quintero </w:t>
            </w:r>
            <w:proofErr w:type="spellStart"/>
            <w:r w:rsidRPr="00E56C4E">
              <w:rPr>
                <w:rFonts w:ascii="Verdana" w:eastAsia="Calibri" w:hAnsi="Verdana" w:cs="Arial"/>
                <w:sz w:val="15"/>
                <w:szCs w:val="15"/>
                <w:lang w:val="pt-BR" w:eastAsia="es-ES"/>
              </w:rPr>
              <w:t>Gacharná</w:t>
            </w:r>
            <w:proofErr w:type="spellEnd"/>
          </w:p>
          <w:p w14:paraId="62E86C81" w14:textId="77777777" w:rsidR="000170BE" w:rsidRPr="00E56C4E" w:rsidRDefault="000170BE" w:rsidP="00881EEC">
            <w:pPr>
              <w:contextualSpacing/>
              <w:rPr>
                <w:rFonts w:ascii="Verdana" w:eastAsia="Calibri" w:hAnsi="Verdana" w:cs="Arial"/>
                <w:sz w:val="15"/>
                <w:szCs w:val="15"/>
                <w:lang w:val="pt-BR" w:eastAsia="es-ES"/>
              </w:rPr>
            </w:pPr>
            <w:r w:rsidRPr="00E56C4E">
              <w:rPr>
                <w:rFonts w:ascii="Verdana" w:eastAsia="Calibri" w:hAnsi="Verdana" w:cs="Arial"/>
                <w:sz w:val="15"/>
                <w:szCs w:val="15"/>
                <w:lang w:eastAsia="es-ES"/>
              </w:rPr>
              <w:t>Subdirectora</w:t>
            </w:r>
            <w:r w:rsidRPr="00E56C4E">
              <w:rPr>
                <w:rFonts w:ascii="Verdana" w:eastAsia="Calibri" w:hAnsi="Verdana" w:cs="Arial"/>
                <w:sz w:val="15"/>
                <w:szCs w:val="15"/>
                <w:lang w:val="pt-BR" w:eastAsia="es-ES"/>
              </w:rPr>
              <w:t xml:space="preserve"> de Gestión </w:t>
            </w:r>
            <w:proofErr w:type="spellStart"/>
            <w:r w:rsidRPr="00E56C4E">
              <w:rPr>
                <w:rFonts w:ascii="Verdana" w:eastAsia="Calibri" w:hAnsi="Verdana" w:cs="Arial"/>
                <w:sz w:val="15"/>
                <w:szCs w:val="15"/>
                <w:lang w:val="pt-BR" w:eastAsia="es-ES"/>
              </w:rPr>
              <w:t>Contractual</w:t>
            </w:r>
            <w:proofErr w:type="spellEnd"/>
            <w:r w:rsidRPr="00E56C4E">
              <w:rPr>
                <w:rFonts w:ascii="Verdana" w:eastAsia="Calibri" w:hAnsi="Verdana" w:cs="Arial"/>
                <w:sz w:val="15"/>
                <w:szCs w:val="15"/>
                <w:lang w:val="pt-BR" w:eastAsia="es-ES"/>
              </w:rPr>
              <w:t xml:space="preserve"> ANCP – CCE</w:t>
            </w:r>
          </w:p>
        </w:tc>
      </w:tr>
    </w:tbl>
    <w:p w14:paraId="14971985" w14:textId="77777777" w:rsidR="000170BE" w:rsidRPr="00E56C4E" w:rsidRDefault="000170BE" w:rsidP="000170BE">
      <w:pPr>
        <w:widowControl w:val="0"/>
        <w:autoSpaceDE w:val="0"/>
        <w:autoSpaceDN w:val="0"/>
        <w:spacing w:after="0" w:line="276" w:lineRule="auto"/>
        <w:rPr>
          <w:rFonts w:ascii="Verdana" w:hAnsi="Verdana" w:cs="Arial"/>
        </w:rPr>
      </w:pPr>
    </w:p>
    <w:p w14:paraId="03BAC688" w14:textId="77777777" w:rsidR="000170BE" w:rsidRPr="00E56C4E" w:rsidRDefault="000170BE" w:rsidP="000170BE">
      <w:pPr>
        <w:spacing w:after="0" w:line="240" w:lineRule="auto"/>
        <w:rPr>
          <w:rFonts w:ascii="Verdana" w:eastAsia="Times New Roman" w:hAnsi="Verdana" w:cs="Arial"/>
          <w:sz w:val="24"/>
          <w:szCs w:val="24"/>
          <w:lang w:eastAsia="es-ES"/>
        </w:rPr>
      </w:pPr>
    </w:p>
    <w:p w14:paraId="2F5F0043" w14:textId="77777777" w:rsidR="000170BE" w:rsidRPr="00E56C4E" w:rsidRDefault="000170BE" w:rsidP="000170BE">
      <w:pPr>
        <w:rPr>
          <w:rFonts w:ascii="Verdana" w:hAnsi="Verdana"/>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00CE8" w14:textId="77777777" w:rsidR="003E2C84" w:rsidRDefault="003E2C84" w:rsidP="004A1847">
      <w:pPr>
        <w:spacing w:after="0" w:line="240" w:lineRule="auto"/>
      </w:pPr>
      <w:r>
        <w:separator/>
      </w:r>
    </w:p>
  </w:endnote>
  <w:endnote w:type="continuationSeparator" w:id="0">
    <w:p w14:paraId="28C72394" w14:textId="77777777" w:rsidR="003E2C84" w:rsidRDefault="003E2C8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1EFCD9" w14:textId="77777777" w:rsidR="003E2C84" w:rsidRDefault="003E2C84" w:rsidP="004A1847">
      <w:pPr>
        <w:spacing w:after="0" w:line="240" w:lineRule="auto"/>
      </w:pPr>
      <w:r>
        <w:separator/>
      </w:r>
    </w:p>
  </w:footnote>
  <w:footnote w:type="continuationSeparator" w:id="0">
    <w:p w14:paraId="28F1B53A" w14:textId="77777777" w:rsidR="003E2C84" w:rsidRDefault="003E2C84" w:rsidP="004A1847">
      <w:pPr>
        <w:spacing w:after="0" w:line="240" w:lineRule="auto"/>
      </w:pPr>
      <w:r>
        <w:continuationSeparator/>
      </w:r>
    </w:p>
  </w:footnote>
  <w:footnote w:id="1">
    <w:p w14:paraId="1C51254B" w14:textId="77777777" w:rsidR="000170BE" w:rsidRPr="00A628BB" w:rsidRDefault="000170BE" w:rsidP="000170BE">
      <w:pPr>
        <w:pStyle w:val="Textonotapie"/>
        <w:ind w:firstLine="709"/>
        <w:rPr>
          <w:rFonts w:ascii="Verdana" w:hAnsi="Verdana"/>
          <w:sz w:val="16"/>
          <w:szCs w:val="16"/>
        </w:rPr>
      </w:pPr>
      <w:r w:rsidRPr="00A628BB">
        <w:rPr>
          <w:rStyle w:val="Refdenotaalpie"/>
          <w:rFonts w:ascii="Verdana" w:hAnsi="Verdana"/>
          <w:sz w:val="16"/>
          <w:szCs w:val="16"/>
        </w:rPr>
        <w:footnoteRef/>
      </w:r>
      <w:r w:rsidRPr="00A628BB">
        <w:rPr>
          <w:rFonts w:ascii="Verdana" w:hAnsi="Verdana"/>
          <w:sz w:val="16"/>
          <w:szCs w:val="16"/>
        </w:rPr>
        <w:t xml:space="preserve"> Decreto 1082 de 2015, artículo 2.2.1.1.1.6.2.</w:t>
      </w:r>
    </w:p>
    <w:p w14:paraId="70107281" w14:textId="77777777" w:rsidR="000170BE" w:rsidRPr="00A628BB" w:rsidRDefault="000170BE" w:rsidP="00FA7901">
      <w:pPr>
        <w:pStyle w:val="Textonotapie"/>
        <w:ind w:firstLine="709"/>
        <w:rPr>
          <w:rFonts w:ascii="Verdana" w:hAnsi="Verdana"/>
          <w:sz w:val="16"/>
          <w:szCs w:val="16"/>
          <w:lang w:val="es-ES"/>
        </w:rPr>
      </w:pPr>
    </w:p>
  </w:footnote>
  <w:footnote w:id="2">
    <w:p w14:paraId="4205C1EA" w14:textId="77777777" w:rsidR="000170BE" w:rsidRPr="00A628BB" w:rsidRDefault="000170BE" w:rsidP="00FA7901">
      <w:pPr>
        <w:pStyle w:val="Textonotapie"/>
        <w:ind w:firstLine="709"/>
        <w:jc w:val="both"/>
        <w:rPr>
          <w:rFonts w:ascii="Verdana" w:hAnsi="Verdana" w:cs="Arial"/>
          <w:sz w:val="16"/>
          <w:szCs w:val="16"/>
        </w:rPr>
      </w:pPr>
      <w:r w:rsidRPr="00A628BB">
        <w:rPr>
          <w:rStyle w:val="Refdenotaalpie"/>
          <w:rFonts w:ascii="Verdana" w:hAnsi="Verdana" w:cs="Arial"/>
          <w:sz w:val="16"/>
          <w:szCs w:val="16"/>
        </w:rPr>
        <w:footnoteRef/>
      </w:r>
      <w:r w:rsidRPr="00A628BB">
        <w:rPr>
          <w:rFonts w:ascii="Verdana" w:hAnsi="Verdana" w:cs="Arial"/>
          <w:sz w:val="16"/>
          <w:szCs w:val="16"/>
        </w:rPr>
        <w:t xml:space="preserve"> Decreto 1082 de 2015: “Artículo 2.2.1.1.1.5.3. Requisitos habilitantes contenidos en el RUP. Las cámaras de comercio, con base en la información a la que hace referencia el artículo anterior, deben verificar y certificar los siguientes requisitos habilitantes: 1. Experiencia – Los contratos celebrados por el interesado para cada uno de los bienes, obras y servicios que ofrecerá a las Entidades Estatales, identificados con el Clasificador de Bienes y Servicios en el tercer nivel y su valor expresado en SMMLV. [...]”.</w:t>
      </w:r>
    </w:p>
    <w:p w14:paraId="71ECFC01" w14:textId="77777777" w:rsidR="000170BE" w:rsidRPr="00A628BB" w:rsidRDefault="000170BE" w:rsidP="00FA7901">
      <w:pPr>
        <w:pStyle w:val="Textonotapie"/>
        <w:ind w:firstLine="709"/>
        <w:jc w:val="both"/>
        <w:rPr>
          <w:rFonts w:ascii="Verdana" w:hAnsi="Verdana" w:cs="Arial"/>
          <w:sz w:val="16"/>
          <w:szCs w:val="16"/>
        </w:rPr>
      </w:pPr>
    </w:p>
  </w:footnote>
  <w:footnote w:id="3">
    <w:p w14:paraId="2B8CB5F0" w14:textId="77777777" w:rsidR="000170BE" w:rsidRPr="00A628BB" w:rsidRDefault="000170BE" w:rsidP="00FA7901">
      <w:pPr>
        <w:pStyle w:val="Textonotapie"/>
        <w:ind w:firstLine="709"/>
        <w:jc w:val="both"/>
        <w:rPr>
          <w:rFonts w:ascii="Verdana" w:hAnsi="Verdana" w:cs="Arial"/>
          <w:sz w:val="16"/>
          <w:szCs w:val="16"/>
        </w:rPr>
      </w:pPr>
      <w:r w:rsidRPr="00A628BB">
        <w:rPr>
          <w:rStyle w:val="Refdenotaalpie"/>
          <w:rFonts w:ascii="Verdana" w:hAnsi="Verdana" w:cs="Arial"/>
          <w:sz w:val="16"/>
          <w:szCs w:val="16"/>
        </w:rPr>
        <w:footnoteRef/>
      </w:r>
      <w:r w:rsidRPr="00A628BB">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 “El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 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502C9087" w14:textId="77777777" w:rsidR="000170BE" w:rsidRPr="000B0A23" w:rsidRDefault="000170BE" w:rsidP="00FA7901">
      <w:pPr>
        <w:pStyle w:val="Textonotapie"/>
        <w:ind w:firstLine="709"/>
        <w:jc w:val="both"/>
        <w:rPr>
          <w:rFonts w:ascii="Arial" w:hAnsi="Arial" w:cs="Arial"/>
          <w:sz w:val="10"/>
          <w:szCs w:val="10"/>
          <w:lang w:val="es-CO"/>
        </w:rPr>
      </w:pPr>
    </w:p>
  </w:footnote>
  <w:footnote w:id="4">
    <w:p w14:paraId="58B16ACD" w14:textId="77777777" w:rsidR="000170BE" w:rsidRPr="008E4E89" w:rsidRDefault="000170BE" w:rsidP="00FA7901">
      <w:pPr>
        <w:pStyle w:val="Textonotapie"/>
        <w:ind w:firstLine="709"/>
        <w:jc w:val="both"/>
        <w:rPr>
          <w:rFonts w:ascii="Verdana" w:hAnsi="Verdana" w:cs="Arial"/>
          <w:sz w:val="16"/>
          <w:szCs w:val="16"/>
        </w:rPr>
      </w:pPr>
      <w:r w:rsidRPr="008E4E89">
        <w:rPr>
          <w:rStyle w:val="Refdenotaalpie"/>
          <w:rFonts w:ascii="Verdana" w:hAnsi="Verdana" w:cs="Arial"/>
          <w:sz w:val="16"/>
          <w:szCs w:val="16"/>
        </w:rPr>
        <w:footnoteRef/>
      </w:r>
      <w:r w:rsidRPr="008E4E89">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 </w:t>
      </w:r>
    </w:p>
    <w:p w14:paraId="22C55C89" w14:textId="3A8DB372" w:rsidR="000170BE" w:rsidRPr="008E4E89" w:rsidRDefault="000170BE" w:rsidP="00FA7901">
      <w:pPr>
        <w:pStyle w:val="Textonotapie"/>
        <w:ind w:firstLine="709"/>
        <w:jc w:val="both"/>
        <w:rPr>
          <w:rFonts w:ascii="Verdana" w:hAnsi="Verdana" w:cs="Arial"/>
          <w:sz w:val="16"/>
          <w:szCs w:val="16"/>
        </w:rPr>
      </w:pPr>
      <w:r w:rsidRPr="008E4E89">
        <w:rPr>
          <w:rFonts w:ascii="Verdana" w:hAnsi="Verdana" w:cs="Arial"/>
          <w:sz w:val="16"/>
          <w:szCs w:val="16"/>
        </w:rPr>
        <w:t xml:space="preserve">[…] </w:t>
      </w:r>
    </w:p>
    <w:p w14:paraId="26F049AF" w14:textId="77777777" w:rsidR="000170BE" w:rsidRPr="008E4E89" w:rsidRDefault="000170BE" w:rsidP="00FA7901">
      <w:pPr>
        <w:pStyle w:val="Textonotapie"/>
        <w:ind w:firstLine="709"/>
        <w:jc w:val="both"/>
        <w:rPr>
          <w:rFonts w:ascii="Verdana" w:hAnsi="Verdana" w:cs="Arial"/>
          <w:sz w:val="16"/>
          <w:szCs w:val="16"/>
        </w:rPr>
      </w:pPr>
      <w:r w:rsidRPr="008E4E89">
        <w:rPr>
          <w:rFonts w:ascii="Verdana" w:hAnsi="Verdana" w:cs="Arial"/>
          <w:sz w:val="16"/>
          <w:szCs w:val="16"/>
        </w:rPr>
        <w:t>2.1. Bienes, obras y servicios que ofrecerá a las Entidades Estatales, identificados con el Clasificador de Bienes y Servicios en el tercer nivel”.</w:t>
      </w:r>
    </w:p>
  </w:footnote>
  <w:footnote w:id="5">
    <w:p w14:paraId="6B478408" w14:textId="77777777" w:rsidR="000170BE" w:rsidRPr="008E4E89" w:rsidRDefault="000170BE" w:rsidP="00FA7901">
      <w:pPr>
        <w:pStyle w:val="Textonotapie"/>
        <w:ind w:firstLine="709"/>
        <w:jc w:val="both"/>
        <w:rPr>
          <w:rFonts w:ascii="Verdana" w:hAnsi="Verdana" w:cs="Arial"/>
          <w:sz w:val="16"/>
          <w:szCs w:val="16"/>
        </w:rPr>
      </w:pPr>
    </w:p>
    <w:p w14:paraId="31A10F5C" w14:textId="77777777" w:rsidR="000170BE" w:rsidRPr="008E4E89" w:rsidRDefault="000170BE" w:rsidP="00FA7901">
      <w:pPr>
        <w:pStyle w:val="Textonotapie"/>
        <w:ind w:firstLine="709"/>
        <w:jc w:val="both"/>
        <w:rPr>
          <w:rFonts w:ascii="Verdana" w:hAnsi="Verdana" w:cs="Arial"/>
          <w:sz w:val="16"/>
          <w:szCs w:val="16"/>
        </w:rPr>
      </w:pPr>
      <w:r w:rsidRPr="008E4E89">
        <w:rPr>
          <w:rStyle w:val="Refdenotaalpie"/>
          <w:rFonts w:ascii="Verdana" w:hAnsi="Verdana" w:cs="Arial"/>
          <w:sz w:val="16"/>
          <w:szCs w:val="16"/>
        </w:rPr>
        <w:footnoteRef/>
      </w:r>
      <w:r w:rsidRPr="008E4E89">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0AD6F7D8" w14:textId="77777777" w:rsidR="000170BE" w:rsidRPr="008E4E89" w:rsidRDefault="000170BE" w:rsidP="00FA7901">
      <w:pPr>
        <w:pStyle w:val="Textonotapie"/>
        <w:ind w:firstLine="709"/>
        <w:jc w:val="both"/>
        <w:rPr>
          <w:rFonts w:ascii="Verdana" w:hAnsi="Verdana" w:cs="Arial"/>
          <w:sz w:val="16"/>
          <w:szCs w:val="16"/>
        </w:rPr>
      </w:pPr>
      <w:r w:rsidRPr="008E4E89">
        <w:rPr>
          <w:rFonts w:ascii="Verdana" w:hAnsi="Verdana" w:cs="Arial"/>
          <w:sz w:val="16"/>
          <w:szCs w:val="16"/>
        </w:rPr>
        <w:t xml:space="preserve">[…] </w:t>
      </w:r>
    </w:p>
    <w:p w14:paraId="73EECE84" w14:textId="77777777" w:rsidR="000170BE" w:rsidRDefault="000170BE" w:rsidP="00D155ED">
      <w:pPr>
        <w:pStyle w:val="Textonotapie"/>
        <w:ind w:firstLine="709"/>
        <w:jc w:val="both"/>
        <w:rPr>
          <w:rFonts w:ascii="Verdana" w:hAnsi="Verdana" w:cs="Arial"/>
          <w:sz w:val="16"/>
          <w:szCs w:val="16"/>
        </w:rPr>
      </w:pPr>
      <w:r w:rsidRPr="008E4E89">
        <w:rPr>
          <w:rFonts w:ascii="Verdana" w:hAnsi="Verdana" w:cs="Arial"/>
          <w:sz w:val="16"/>
          <w:szCs w:val="16"/>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Si la constitución del interesado es menor a 3 años, puede acreditar la experiencia de sus accionistas, socios o constituyentes”.</w:t>
      </w:r>
    </w:p>
    <w:p w14:paraId="1E71AA83" w14:textId="77777777" w:rsidR="000170BE" w:rsidRPr="00BA6AAF" w:rsidRDefault="000170BE" w:rsidP="00792869">
      <w:pPr>
        <w:pStyle w:val="Textonotapie"/>
        <w:ind w:firstLine="709"/>
        <w:jc w:val="both"/>
        <w:rPr>
          <w:rFonts w:ascii="Century Gothic" w:hAnsi="Century Gothic" w:cs="Arial"/>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7320E89"/>
    <w:multiLevelType w:val="hybridMultilevel"/>
    <w:tmpl w:val="41C0BF20"/>
    <w:lvl w:ilvl="0" w:tplc="240A0001">
      <w:start w:val="1"/>
      <w:numFmt w:val="bullet"/>
      <w:lvlText w:val=""/>
      <w:lvlJc w:val="left"/>
      <w:pPr>
        <w:ind w:left="6" w:hanging="360"/>
      </w:pPr>
      <w:rPr>
        <w:rFonts w:ascii="Symbol" w:hAnsi="Symbol" w:hint="default"/>
      </w:rPr>
    </w:lvl>
    <w:lvl w:ilvl="1" w:tplc="240A0003" w:tentative="1">
      <w:start w:val="1"/>
      <w:numFmt w:val="bullet"/>
      <w:lvlText w:val="o"/>
      <w:lvlJc w:val="left"/>
      <w:pPr>
        <w:ind w:left="726" w:hanging="360"/>
      </w:pPr>
      <w:rPr>
        <w:rFonts w:ascii="Courier New" w:hAnsi="Courier New" w:cs="Courier New" w:hint="default"/>
      </w:rPr>
    </w:lvl>
    <w:lvl w:ilvl="2" w:tplc="240A0005" w:tentative="1">
      <w:start w:val="1"/>
      <w:numFmt w:val="bullet"/>
      <w:lvlText w:val=""/>
      <w:lvlJc w:val="left"/>
      <w:pPr>
        <w:ind w:left="1446" w:hanging="360"/>
      </w:pPr>
      <w:rPr>
        <w:rFonts w:ascii="Wingdings" w:hAnsi="Wingdings" w:hint="default"/>
      </w:rPr>
    </w:lvl>
    <w:lvl w:ilvl="3" w:tplc="240A0001" w:tentative="1">
      <w:start w:val="1"/>
      <w:numFmt w:val="bullet"/>
      <w:lvlText w:val=""/>
      <w:lvlJc w:val="left"/>
      <w:pPr>
        <w:ind w:left="2166" w:hanging="360"/>
      </w:pPr>
      <w:rPr>
        <w:rFonts w:ascii="Symbol" w:hAnsi="Symbol" w:hint="default"/>
      </w:rPr>
    </w:lvl>
    <w:lvl w:ilvl="4" w:tplc="240A0003" w:tentative="1">
      <w:start w:val="1"/>
      <w:numFmt w:val="bullet"/>
      <w:lvlText w:val="o"/>
      <w:lvlJc w:val="left"/>
      <w:pPr>
        <w:ind w:left="2886" w:hanging="360"/>
      </w:pPr>
      <w:rPr>
        <w:rFonts w:ascii="Courier New" w:hAnsi="Courier New" w:cs="Courier New" w:hint="default"/>
      </w:rPr>
    </w:lvl>
    <w:lvl w:ilvl="5" w:tplc="240A0005" w:tentative="1">
      <w:start w:val="1"/>
      <w:numFmt w:val="bullet"/>
      <w:lvlText w:val=""/>
      <w:lvlJc w:val="left"/>
      <w:pPr>
        <w:ind w:left="3606" w:hanging="360"/>
      </w:pPr>
      <w:rPr>
        <w:rFonts w:ascii="Wingdings" w:hAnsi="Wingdings" w:hint="default"/>
      </w:rPr>
    </w:lvl>
    <w:lvl w:ilvl="6" w:tplc="240A0001" w:tentative="1">
      <w:start w:val="1"/>
      <w:numFmt w:val="bullet"/>
      <w:lvlText w:val=""/>
      <w:lvlJc w:val="left"/>
      <w:pPr>
        <w:ind w:left="4326" w:hanging="360"/>
      </w:pPr>
      <w:rPr>
        <w:rFonts w:ascii="Symbol" w:hAnsi="Symbol" w:hint="default"/>
      </w:rPr>
    </w:lvl>
    <w:lvl w:ilvl="7" w:tplc="240A0003" w:tentative="1">
      <w:start w:val="1"/>
      <w:numFmt w:val="bullet"/>
      <w:lvlText w:val="o"/>
      <w:lvlJc w:val="left"/>
      <w:pPr>
        <w:ind w:left="5046" w:hanging="360"/>
      </w:pPr>
      <w:rPr>
        <w:rFonts w:ascii="Courier New" w:hAnsi="Courier New" w:cs="Courier New" w:hint="default"/>
      </w:rPr>
    </w:lvl>
    <w:lvl w:ilvl="8" w:tplc="240A0005" w:tentative="1">
      <w:start w:val="1"/>
      <w:numFmt w:val="bullet"/>
      <w:lvlText w:val=""/>
      <w:lvlJc w:val="left"/>
      <w:pPr>
        <w:ind w:left="5766"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0627566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0BE"/>
    <w:rsid w:val="00046945"/>
    <w:rsid w:val="00061B2A"/>
    <w:rsid w:val="00082362"/>
    <w:rsid w:val="000A683E"/>
    <w:rsid w:val="000B19B9"/>
    <w:rsid w:val="000C057A"/>
    <w:rsid w:val="000D0334"/>
    <w:rsid w:val="000F6486"/>
    <w:rsid w:val="000F7737"/>
    <w:rsid w:val="00125105"/>
    <w:rsid w:val="00127233"/>
    <w:rsid w:val="001A7A7D"/>
    <w:rsid w:val="001E4177"/>
    <w:rsid w:val="001F7DC6"/>
    <w:rsid w:val="0021359B"/>
    <w:rsid w:val="002421BB"/>
    <w:rsid w:val="0025796E"/>
    <w:rsid w:val="002707A2"/>
    <w:rsid w:val="002951A0"/>
    <w:rsid w:val="002962BC"/>
    <w:rsid w:val="002A093D"/>
    <w:rsid w:val="002A0DD0"/>
    <w:rsid w:val="002A49AC"/>
    <w:rsid w:val="002A64FD"/>
    <w:rsid w:val="002C7A84"/>
    <w:rsid w:val="002E4FD9"/>
    <w:rsid w:val="002E51AC"/>
    <w:rsid w:val="00322A85"/>
    <w:rsid w:val="00324168"/>
    <w:rsid w:val="003448F4"/>
    <w:rsid w:val="00374F5E"/>
    <w:rsid w:val="00377E3E"/>
    <w:rsid w:val="00382D57"/>
    <w:rsid w:val="003A779E"/>
    <w:rsid w:val="003D0F4D"/>
    <w:rsid w:val="003D5B0D"/>
    <w:rsid w:val="003E0499"/>
    <w:rsid w:val="003E2C84"/>
    <w:rsid w:val="003F3941"/>
    <w:rsid w:val="00405233"/>
    <w:rsid w:val="00406575"/>
    <w:rsid w:val="00414C74"/>
    <w:rsid w:val="0042722E"/>
    <w:rsid w:val="0044528D"/>
    <w:rsid w:val="004A1847"/>
    <w:rsid w:val="004A305D"/>
    <w:rsid w:val="004C47E1"/>
    <w:rsid w:val="004F21C4"/>
    <w:rsid w:val="004F685F"/>
    <w:rsid w:val="00514322"/>
    <w:rsid w:val="00551B8F"/>
    <w:rsid w:val="005566E8"/>
    <w:rsid w:val="00574867"/>
    <w:rsid w:val="00591460"/>
    <w:rsid w:val="005C3777"/>
    <w:rsid w:val="005C5CDC"/>
    <w:rsid w:val="005D32B8"/>
    <w:rsid w:val="005D476C"/>
    <w:rsid w:val="006219F8"/>
    <w:rsid w:val="006302F7"/>
    <w:rsid w:val="00665D70"/>
    <w:rsid w:val="006873E3"/>
    <w:rsid w:val="006900D9"/>
    <w:rsid w:val="006A760C"/>
    <w:rsid w:val="00706C16"/>
    <w:rsid w:val="00756841"/>
    <w:rsid w:val="007649AB"/>
    <w:rsid w:val="00771D0C"/>
    <w:rsid w:val="007833AC"/>
    <w:rsid w:val="00792869"/>
    <w:rsid w:val="007B0AA0"/>
    <w:rsid w:val="007B268C"/>
    <w:rsid w:val="007B7171"/>
    <w:rsid w:val="007C0C0F"/>
    <w:rsid w:val="007C3DC2"/>
    <w:rsid w:val="007E5497"/>
    <w:rsid w:val="00806F5F"/>
    <w:rsid w:val="00820278"/>
    <w:rsid w:val="00867F95"/>
    <w:rsid w:val="008843B6"/>
    <w:rsid w:val="00891928"/>
    <w:rsid w:val="00892C06"/>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9F4F6D"/>
    <w:rsid w:val="00A122D3"/>
    <w:rsid w:val="00A17F13"/>
    <w:rsid w:val="00A20739"/>
    <w:rsid w:val="00A33C78"/>
    <w:rsid w:val="00AB0ADB"/>
    <w:rsid w:val="00B00C0E"/>
    <w:rsid w:val="00B01B1A"/>
    <w:rsid w:val="00B03588"/>
    <w:rsid w:val="00B44A47"/>
    <w:rsid w:val="00B72CD3"/>
    <w:rsid w:val="00B72FFF"/>
    <w:rsid w:val="00BC3D36"/>
    <w:rsid w:val="00BD29DA"/>
    <w:rsid w:val="00BD7F72"/>
    <w:rsid w:val="00C04FB3"/>
    <w:rsid w:val="00C330EB"/>
    <w:rsid w:val="00C754BE"/>
    <w:rsid w:val="00C76B1C"/>
    <w:rsid w:val="00C96488"/>
    <w:rsid w:val="00CB6357"/>
    <w:rsid w:val="00CC1B26"/>
    <w:rsid w:val="00CF5FDA"/>
    <w:rsid w:val="00D155ED"/>
    <w:rsid w:val="00D423A2"/>
    <w:rsid w:val="00D520D8"/>
    <w:rsid w:val="00D63AC2"/>
    <w:rsid w:val="00D7383B"/>
    <w:rsid w:val="00DA231B"/>
    <w:rsid w:val="00DB51B0"/>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0E63"/>
    <w:rsid w:val="00EC38A7"/>
    <w:rsid w:val="00EE1AA8"/>
    <w:rsid w:val="00EF1F9D"/>
    <w:rsid w:val="00EF2253"/>
    <w:rsid w:val="00F31EDC"/>
    <w:rsid w:val="00F462B3"/>
    <w:rsid w:val="00F5664F"/>
    <w:rsid w:val="00F666C4"/>
    <w:rsid w:val="00F76AFC"/>
    <w:rsid w:val="00FA47C0"/>
    <w:rsid w:val="00FA7901"/>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170BE"/>
    <w:pPr>
      <w:spacing w:line="240" w:lineRule="exact"/>
    </w:pPr>
    <w:rPr>
      <w:vertAlign w:val="superscript"/>
    </w:rPr>
  </w:style>
  <w:style w:type="character" w:styleId="Refdecomentario">
    <w:name w:val="annotation reference"/>
    <w:basedOn w:val="Fuentedeprrafopredeter"/>
    <w:uiPriority w:val="99"/>
    <w:semiHidden/>
    <w:unhideWhenUsed/>
    <w:rsid w:val="000170BE"/>
    <w:rPr>
      <w:sz w:val="16"/>
      <w:szCs w:val="16"/>
    </w:rPr>
  </w:style>
  <w:style w:type="paragraph" w:styleId="Textocomentario">
    <w:name w:val="annotation text"/>
    <w:basedOn w:val="Normal"/>
    <w:link w:val="TextocomentarioCar"/>
    <w:uiPriority w:val="99"/>
    <w:unhideWhenUsed/>
    <w:rsid w:val="000170BE"/>
    <w:pPr>
      <w:spacing w:line="240" w:lineRule="auto"/>
    </w:pPr>
    <w:rPr>
      <w:sz w:val="20"/>
      <w:szCs w:val="20"/>
    </w:rPr>
  </w:style>
  <w:style w:type="character" w:customStyle="1" w:styleId="TextocomentarioCar">
    <w:name w:val="Texto comentario Car"/>
    <w:basedOn w:val="Fuentedeprrafopredeter"/>
    <w:link w:val="Textocomentario"/>
    <w:uiPriority w:val="99"/>
    <w:rsid w:val="000170BE"/>
    <w:rPr>
      <w:sz w:val="20"/>
      <w:szCs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170BE"/>
    <w:rPr>
      <w:rFonts w:ascii="Geomanist Light" w:hAnsi="Geomanist Light"/>
      <w:lang w:val="es-ES"/>
    </w:rPr>
  </w:style>
  <w:style w:type="paragraph" w:styleId="Textoindependiente">
    <w:name w:val="Body Text"/>
    <w:basedOn w:val="Normal"/>
    <w:link w:val="TextoindependienteCar"/>
    <w:uiPriority w:val="1"/>
    <w:qFormat/>
    <w:rsid w:val="006873E3"/>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6873E3"/>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manual/manual-para-determinar-y-verificar-los-requisitos-habilitantes-en-los-procesos-de-contratacio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mercial@bioanalytica.com.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1C1FE1C-9B64-4DB7-BD1E-1F18AC610B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9d85dbaf-23eb-4e57-a637-93dcacc8b1a1"/>
    <ds:schemaRef ds:uri="http://schemas.microsoft.com/office/2006/documentManagement/types"/>
    <ds:schemaRef ds:uri="a6cb9e4b-f1d1-4245-83ec-6cad768d538a"/>
    <ds:schemaRef ds:uri="http://purl.org/dc/dcmitype/"/>
    <ds:schemaRef ds:uri="http://www.w3.org/XML/1998/namespace"/>
    <ds:schemaRef ds:uri="http://purl.org/dc/elements/1.1/"/>
    <ds:schemaRef ds:uri="http://schemas.microsoft.com/office/infopath/2007/PartnerControls"/>
    <ds:schemaRef ds:uri="http://schemas.openxmlformats.org/package/2006/metadata/core-properties"/>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3034</Words>
  <Characters>16691</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2025-09-29T21:27:00Z</dcterms:created>
  <dcterms:modified xsi:type="dcterms:W3CDTF">2025-09-29T21:27:00Z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