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B9CE3" w14:textId="77777777" w:rsidR="00AC07F2" w:rsidRPr="00B04B6A" w:rsidRDefault="00AC07F2" w:rsidP="003F795B">
      <w:pPr>
        <w:spacing w:after="0" w:line="240" w:lineRule="auto"/>
        <w:jc w:val="both"/>
        <w:rPr>
          <w:rFonts w:ascii="Verdana" w:eastAsia="Calibri" w:hAnsi="Verdana" w:cs="Arial"/>
          <w:b/>
          <w:lang w:val="es-ES" w:eastAsia="es-ES"/>
        </w:rPr>
      </w:pPr>
      <w:bookmarkStart w:id="0" w:name="_Hlk143780582"/>
      <w:r w:rsidRPr="00B04B6A">
        <w:rPr>
          <w:rFonts w:ascii="Verdana" w:eastAsia="Calibri" w:hAnsi="Verdana" w:cs="Arial"/>
          <w:b/>
          <w:lang w:val="es-ES" w:eastAsia="es-ES"/>
        </w:rPr>
        <w:t xml:space="preserve">CONTRATO ESTATAL – Régimen jurídico </w:t>
      </w:r>
    </w:p>
    <w:p w14:paraId="6EEE98D6" w14:textId="77777777" w:rsidR="00AC07F2" w:rsidRDefault="00AC07F2" w:rsidP="003F795B">
      <w:pPr>
        <w:spacing w:after="0" w:line="240" w:lineRule="auto"/>
        <w:jc w:val="both"/>
        <w:rPr>
          <w:rFonts w:ascii="Verdana" w:eastAsia="Calibri" w:hAnsi="Verdana" w:cs="Arial"/>
          <w:b/>
          <w:lang w:val="es-ES" w:eastAsia="es-ES"/>
        </w:rPr>
      </w:pPr>
    </w:p>
    <w:p w14:paraId="526A4AEB" w14:textId="77777777" w:rsidR="00AC07F2" w:rsidRPr="000876F0" w:rsidRDefault="00AC07F2" w:rsidP="003F795B">
      <w:pPr>
        <w:spacing w:after="0" w:line="240" w:lineRule="auto"/>
        <w:jc w:val="both"/>
        <w:rPr>
          <w:rFonts w:ascii="Verdana" w:eastAsia="Arial" w:hAnsi="Verdana" w:cs="Arial"/>
          <w:color w:val="000000" w:themeColor="text1"/>
          <w:sz w:val="20"/>
          <w:szCs w:val="20"/>
        </w:rPr>
      </w:pPr>
      <w:r w:rsidRPr="000876F0">
        <w:rPr>
          <w:rFonts w:ascii="Verdana" w:eastAsia="Arial" w:hAnsi="Verdana" w:cs="Arial"/>
          <w:color w:val="000000" w:themeColor="text1"/>
          <w:sz w:val="20"/>
          <w:szCs w:val="20"/>
          <w:lang w:val="es-ES"/>
        </w:rPr>
        <w:t xml:space="preserve">Respecto al régimen jurídico de las </w:t>
      </w:r>
      <w:r w:rsidRPr="000876F0">
        <w:rPr>
          <w:rFonts w:ascii="Verdana" w:eastAsia="Arial" w:hAnsi="Verdana" w:cs="Arial"/>
          <w:i/>
          <w:iCs/>
          <w:color w:val="000000" w:themeColor="text1"/>
          <w:sz w:val="20"/>
          <w:szCs w:val="20"/>
          <w:lang w:val="es-ES"/>
        </w:rPr>
        <w:t>entidades sometidas</w:t>
      </w:r>
      <w:r w:rsidRPr="000876F0">
        <w:rPr>
          <w:rFonts w:ascii="Verdana" w:eastAsia="Arial" w:hAnsi="Verdana" w:cs="Arial"/>
          <w:color w:val="000000" w:themeColor="text1"/>
          <w:sz w:val="20"/>
          <w:szCs w:val="20"/>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0876F0">
        <w:rPr>
          <w:rFonts w:ascii="Verdana" w:eastAsia="Arial" w:hAnsi="Verdana" w:cs="Arial"/>
          <w:color w:val="000000" w:themeColor="text1"/>
          <w:sz w:val="20"/>
          <w:szCs w:val="20"/>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52C8F8E7" w14:textId="77777777" w:rsidR="00AC07F2" w:rsidRPr="00B04B6A" w:rsidRDefault="00AC07F2" w:rsidP="003F795B">
      <w:pPr>
        <w:spacing w:after="0" w:line="240" w:lineRule="auto"/>
        <w:jc w:val="both"/>
        <w:rPr>
          <w:rFonts w:ascii="Verdana" w:eastAsia="Calibri" w:hAnsi="Verdana" w:cs="Arial"/>
          <w:b/>
          <w:lang w:eastAsia="es-ES"/>
        </w:rPr>
      </w:pPr>
    </w:p>
    <w:p w14:paraId="0301A677" w14:textId="77777777" w:rsidR="00AC07F2" w:rsidRDefault="00AC07F2" w:rsidP="003F795B">
      <w:pPr>
        <w:spacing w:after="0" w:line="240" w:lineRule="auto"/>
        <w:jc w:val="both"/>
        <w:rPr>
          <w:rFonts w:ascii="Verdana" w:eastAsia="Calibri" w:hAnsi="Verdana" w:cs="Arial"/>
          <w:b/>
          <w:lang w:val="es-ES" w:eastAsia="es-ES"/>
        </w:rPr>
      </w:pPr>
      <w:r w:rsidRPr="00B04B6A">
        <w:rPr>
          <w:rFonts w:ascii="Verdana" w:eastAsia="Calibri" w:hAnsi="Verdana" w:cs="Arial"/>
          <w:b/>
          <w:lang w:val="es-ES" w:eastAsia="es-ES"/>
        </w:rPr>
        <w:t>RÉGIMEN EXCEPCIONAL – Justificación – Criterios de clasificación</w:t>
      </w:r>
    </w:p>
    <w:p w14:paraId="715BCFF6" w14:textId="77777777" w:rsidR="00AC07F2" w:rsidRDefault="00AC07F2" w:rsidP="003F795B">
      <w:pPr>
        <w:spacing w:after="0" w:line="240" w:lineRule="auto"/>
        <w:jc w:val="both"/>
        <w:rPr>
          <w:rFonts w:ascii="Verdana" w:eastAsia="Calibri" w:hAnsi="Verdana" w:cs="Arial"/>
          <w:b/>
          <w:lang w:val="es-ES" w:eastAsia="es-ES"/>
        </w:rPr>
      </w:pPr>
    </w:p>
    <w:p w14:paraId="6A45FB11" w14:textId="77777777" w:rsidR="00AC07F2" w:rsidRPr="000876F0" w:rsidRDefault="00AC07F2" w:rsidP="003F795B">
      <w:pPr>
        <w:spacing w:after="0" w:line="240" w:lineRule="auto"/>
        <w:jc w:val="both"/>
        <w:rPr>
          <w:rFonts w:ascii="Verdana" w:hAnsi="Verdana" w:cs="Arial"/>
          <w:color w:val="000000" w:themeColor="text1"/>
          <w:sz w:val="20"/>
          <w:szCs w:val="20"/>
          <w:lang w:val="es-ES_tradnl"/>
        </w:rPr>
      </w:pPr>
      <w:r w:rsidRPr="000876F0">
        <w:rPr>
          <w:rFonts w:ascii="Verdana" w:hAnsi="Verdana" w:cs="Arial"/>
          <w:color w:val="000000" w:themeColor="text1"/>
          <w:sz w:val="20"/>
          <w:szCs w:val="20"/>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0876F0">
        <w:rPr>
          <w:rFonts w:ascii="Verdana" w:hAnsi="Verdana" w:cs="Arial"/>
          <w:color w:val="000000" w:themeColor="text1"/>
          <w:sz w:val="20"/>
          <w:szCs w:val="20"/>
        </w:rPr>
        <w:t>ii</w:t>
      </w:r>
      <w:proofErr w:type="spellEnd"/>
      <w:r w:rsidRPr="000876F0">
        <w:rPr>
          <w:rFonts w:ascii="Verdana" w:hAnsi="Verdana" w:cs="Arial"/>
          <w:color w:val="000000" w:themeColor="text1"/>
          <w:sz w:val="20"/>
          <w:szCs w:val="20"/>
        </w:rPr>
        <w:t xml:space="preserve">) flexibilizar el ejercicio de la función administrativa –como en los contratos del Banco de la República o los de ciencia y tecnología– o </w:t>
      </w:r>
      <w:proofErr w:type="spellStart"/>
      <w:r w:rsidRPr="000876F0">
        <w:rPr>
          <w:rFonts w:ascii="Verdana" w:hAnsi="Verdana" w:cs="Arial"/>
          <w:color w:val="000000" w:themeColor="text1"/>
          <w:sz w:val="20"/>
          <w:szCs w:val="20"/>
        </w:rPr>
        <w:t>iii</w:t>
      </w:r>
      <w:proofErr w:type="spellEnd"/>
      <w:r w:rsidRPr="000876F0">
        <w:rPr>
          <w:rFonts w:ascii="Verdana" w:hAnsi="Verdana" w:cs="Arial"/>
          <w:color w:val="000000" w:themeColor="text1"/>
          <w:sz w:val="20"/>
          <w:szCs w:val="20"/>
        </w:rPr>
        <w:t xml:space="preserve">)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w:t>
      </w:r>
      <w:proofErr w:type="spellStart"/>
      <w:r w:rsidRPr="000876F0">
        <w:rPr>
          <w:rFonts w:ascii="Verdana" w:hAnsi="Verdana" w:cs="Arial"/>
          <w:color w:val="000000" w:themeColor="text1"/>
          <w:sz w:val="20"/>
          <w:szCs w:val="20"/>
        </w:rPr>
        <w:t>ii</w:t>
      </w:r>
      <w:proofErr w:type="spellEnd"/>
      <w:r w:rsidRPr="000876F0">
        <w:rPr>
          <w:rFonts w:ascii="Verdana" w:hAnsi="Verdana" w:cs="Arial"/>
          <w:color w:val="000000" w:themeColor="text1"/>
          <w:sz w:val="20"/>
          <w:szCs w:val="20"/>
        </w:rPr>
        <w:t xml:space="preserve">) la asignación de un esquema legal especial, </w:t>
      </w:r>
      <w:proofErr w:type="spellStart"/>
      <w:r w:rsidRPr="000876F0">
        <w:rPr>
          <w:rFonts w:ascii="Verdana" w:hAnsi="Verdana" w:cs="Arial"/>
          <w:color w:val="000000" w:themeColor="text1"/>
          <w:sz w:val="20"/>
          <w:szCs w:val="20"/>
        </w:rPr>
        <w:t>iii</w:t>
      </w:r>
      <w:proofErr w:type="spellEnd"/>
      <w:r w:rsidRPr="000876F0">
        <w:rPr>
          <w:rFonts w:ascii="Verdana" w:hAnsi="Verdana" w:cs="Arial"/>
          <w:color w:val="000000" w:themeColor="text1"/>
          <w:sz w:val="20"/>
          <w:szCs w:val="20"/>
        </w:rPr>
        <w:t xml:space="preserve">) el objeto del contrato celebrado y </w:t>
      </w:r>
      <w:proofErr w:type="spellStart"/>
      <w:r w:rsidRPr="000876F0">
        <w:rPr>
          <w:rFonts w:ascii="Verdana" w:hAnsi="Verdana" w:cs="Arial"/>
          <w:color w:val="000000" w:themeColor="text1"/>
          <w:sz w:val="20"/>
          <w:szCs w:val="20"/>
        </w:rPr>
        <w:t>iv</w:t>
      </w:r>
      <w:proofErr w:type="spellEnd"/>
      <w:r w:rsidRPr="000876F0">
        <w:rPr>
          <w:rFonts w:ascii="Verdana" w:hAnsi="Verdana" w:cs="Arial"/>
          <w:color w:val="000000" w:themeColor="text1"/>
          <w:sz w:val="20"/>
          <w:szCs w:val="20"/>
        </w:rPr>
        <w:t>) la existencia de fondos que administran recursos públicos</w:t>
      </w:r>
      <w:r w:rsidRPr="000876F0">
        <w:rPr>
          <w:rFonts w:ascii="Verdana" w:hAnsi="Verdana" w:cs="Arial"/>
          <w:color w:val="000000" w:themeColor="text1"/>
          <w:sz w:val="20"/>
          <w:szCs w:val="20"/>
          <w:lang w:val="es-ES_tradnl"/>
        </w:rPr>
        <w:t>.</w:t>
      </w:r>
    </w:p>
    <w:p w14:paraId="077FF6C5" w14:textId="07B09AB2" w:rsidR="00AC07F2" w:rsidRDefault="00AC07F2" w:rsidP="003F795B">
      <w:pPr>
        <w:spacing w:after="0" w:line="240" w:lineRule="auto"/>
        <w:rPr>
          <w:rFonts w:ascii="Verdana" w:hAnsi="Verdana"/>
          <w:lang w:val="es-ES_tradnl"/>
        </w:rPr>
      </w:pPr>
    </w:p>
    <w:p w14:paraId="65346515" w14:textId="77777777" w:rsidR="003F795B" w:rsidRPr="003F795B" w:rsidRDefault="00AC07F2" w:rsidP="003F795B">
      <w:pPr>
        <w:spacing w:after="0" w:line="240" w:lineRule="auto"/>
        <w:jc w:val="both"/>
        <w:rPr>
          <w:rFonts w:ascii="Verdana" w:eastAsia="Calibri" w:hAnsi="Verdana" w:cs="Arial"/>
          <w:b/>
          <w:bCs/>
          <w:lang w:val="es-ES_tradnl" w:eastAsia="es-ES"/>
        </w:rPr>
      </w:pPr>
      <w:r w:rsidRPr="003F795B">
        <w:rPr>
          <w:rFonts w:ascii="Verdana" w:eastAsia="Calibri" w:hAnsi="Verdana" w:cs="Arial"/>
          <w:b/>
          <w:bCs/>
          <w:lang w:val="es-ES_tradnl" w:eastAsia="es-ES"/>
        </w:rPr>
        <w:t>EMPRESAS SOCIALES DEL ESTADO – Naturaleza Jurídica – Entidades d</w:t>
      </w:r>
      <w:r w:rsidR="003F795B" w:rsidRPr="003F795B">
        <w:rPr>
          <w:rFonts w:ascii="Verdana" w:eastAsia="Calibri" w:hAnsi="Verdana" w:cs="Arial"/>
          <w:b/>
          <w:bCs/>
          <w:lang w:val="es-ES_tradnl" w:eastAsia="es-ES"/>
        </w:rPr>
        <w:t xml:space="preserve">escentralizadas por servicios </w:t>
      </w:r>
    </w:p>
    <w:p w14:paraId="4F655884" w14:textId="4A5A7F9B" w:rsidR="003F795B" w:rsidRDefault="003F795B" w:rsidP="003F795B">
      <w:pPr>
        <w:spacing w:after="0" w:line="240" w:lineRule="auto"/>
        <w:jc w:val="both"/>
        <w:rPr>
          <w:rFonts w:ascii="Verdana" w:eastAsia="Calibri" w:hAnsi="Verdana" w:cs="Arial"/>
          <w:bCs/>
          <w:lang w:val="es-ES_tradnl" w:eastAsia="es-ES"/>
        </w:rPr>
      </w:pPr>
    </w:p>
    <w:p w14:paraId="030E2CD1" w14:textId="5B04E924" w:rsidR="003F795B" w:rsidRPr="003F795B" w:rsidRDefault="003F795B" w:rsidP="003F795B">
      <w:pPr>
        <w:spacing w:after="0" w:line="240" w:lineRule="auto"/>
        <w:jc w:val="both"/>
        <w:rPr>
          <w:rFonts w:ascii="Verdana" w:eastAsia="Calibri" w:hAnsi="Verdana" w:cs="Arial"/>
          <w:bCs/>
          <w:sz w:val="20"/>
          <w:lang w:eastAsia="es-ES"/>
        </w:rPr>
      </w:pPr>
      <w:r w:rsidRPr="003F795B">
        <w:rPr>
          <w:rFonts w:ascii="Verdana" w:eastAsia="Calibri" w:hAnsi="Verdana" w:cs="Arial"/>
          <w:bCs/>
          <w:sz w:val="20"/>
          <w:lang w:val="es-MX" w:eastAsia="es-ES"/>
        </w:rPr>
        <w:t xml:space="preserve">Una de las Entidades Estatales con régimen especial son las Empresas Sociales del Estado – ESE, sobre las que redunda el objeto de su concepto. Estas empresas han sido entendidas como Entidades Públicas que, conforme al artículo 194 de la Ley 100 de 1993, constituyen una categoría especial, descentralizada por servicios, con personería jurídica, patrimonio propio y autonomía administrativa. A través de ellas la Nación o las entidades territoriales prestan el servicio de salud de manera directa, es decir, las Empresas Sociales del Estado son, esencialmente, los hospitales públicos. </w:t>
      </w:r>
    </w:p>
    <w:p w14:paraId="51DA0AEB" w14:textId="77777777" w:rsidR="003F795B" w:rsidRPr="003F795B" w:rsidRDefault="003F795B" w:rsidP="003F795B">
      <w:pPr>
        <w:spacing w:after="0" w:line="240" w:lineRule="auto"/>
        <w:jc w:val="both"/>
        <w:rPr>
          <w:rFonts w:ascii="Verdana" w:eastAsia="Calibri" w:hAnsi="Verdana" w:cs="Arial"/>
          <w:bCs/>
          <w:sz w:val="20"/>
          <w:lang w:eastAsia="es-ES"/>
        </w:rPr>
      </w:pPr>
    </w:p>
    <w:p w14:paraId="34E1ADAB" w14:textId="77777777" w:rsidR="003F795B" w:rsidRPr="003F795B" w:rsidRDefault="003F795B" w:rsidP="003F795B">
      <w:pPr>
        <w:spacing w:after="0" w:line="240" w:lineRule="auto"/>
        <w:jc w:val="both"/>
        <w:rPr>
          <w:rFonts w:ascii="Verdana" w:eastAsia="Calibri" w:hAnsi="Verdana" w:cs="Arial"/>
          <w:bCs/>
          <w:sz w:val="20"/>
          <w:lang w:val="es-ES" w:eastAsia="es-ES"/>
        </w:rPr>
      </w:pPr>
      <w:r w:rsidRPr="003F795B">
        <w:rPr>
          <w:rFonts w:ascii="Verdana" w:eastAsia="Calibri" w:hAnsi="Verdana" w:cs="Arial"/>
          <w:bCs/>
          <w:sz w:val="20"/>
          <w:lang w:val="es-ES" w:eastAsia="es-ES"/>
        </w:rPr>
        <w:t xml:space="preserve">De la cita precedente se puede concluir entonces que, las Empresas Sociales del Estado </w:t>
      </w:r>
      <w:r w:rsidRPr="003F795B">
        <w:rPr>
          <w:rFonts w:ascii="Verdana" w:eastAsia="Calibri" w:hAnsi="Verdana" w:cs="Arial"/>
          <w:bCs/>
          <w:sz w:val="20"/>
          <w:lang w:val="es-MX" w:eastAsia="es-ES"/>
        </w:rPr>
        <w:t>–ESE–</w:t>
      </w:r>
      <w:r w:rsidRPr="003F795B">
        <w:rPr>
          <w:rFonts w:ascii="Verdana" w:eastAsia="Calibri" w:hAnsi="Verdana" w:cs="Arial"/>
          <w:bCs/>
          <w:sz w:val="20"/>
          <w:lang w:val="es-ES" w:eastAsia="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0CDE405E" w14:textId="77777777" w:rsidR="003F795B" w:rsidRPr="003F795B" w:rsidRDefault="003F795B" w:rsidP="003F795B">
      <w:pPr>
        <w:spacing w:after="0" w:line="240" w:lineRule="auto"/>
        <w:jc w:val="both"/>
        <w:rPr>
          <w:rFonts w:ascii="Verdana" w:eastAsia="Calibri" w:hAnsi="Verdana" w:cs="Arial"/>
          <w:bCs/>
          <w:lang w:val="es-ES" w:eastAsia="es-ES"/>
        </w:rPr>
      </w:pPr>
    </w:p>
    <w:p w14:paraId="67297A62" w14:textId="77777777" w:rsidR="003F795B" w:rsidRPr="003F795B" w:rsidRDefault="00AC07F2" w:rsidP="003F795B">
      <w:pPr>
        <w:spacing w:after="0" w:line="240" w:lineRule="auto"/>
        <w:jc w:val="both"/>
        <w:rPr>
          <w:rFonts w:ascii="Verdana" w:eastAsia="Calibri" w:hAnsi="Verdana" w:cs="Arial"/>
          <w:b/>
          <w:lang w:val="es-ES" w:eastAsia="es-ES"/>
        </w:rPr>
      </w:pPr>
      <w:r w:rsidRPr="003F795B">
        <w:rPr>
          <w:rFonts w:ascii="Verdana" w:eastAsia="Calibri" w:hAnsi="Verdana" w:cs="Arial"/>
          <w:b/>
          <w:bCs/>
          <w:lang w:val="es-ES_tradnl" w:eastAsia="es-ES"/>
        </w:rPr>
        <w:t>EMPRESAS SOCIALES DEL ESTADO - Régimen jurídico – Reglas aplicables</w:t>
      </w:r>
      <w:r w:rsidR="003F795B" w:rsidRPr="003F795B">
        <w:rPr>
          <w:rFonts w:ascii="Verdana" w:eastAsia="Calibri" w:hAnsi="Verdana" w:cs="Arial"/>
          <w:b/>
          <w:lang w:val="es-ES" w:eastAsia="es-ES"/>
        </w:rPr>
        <w:t xml:space="preserve"> </w:t>
      </w:r>
    </w:p>
    <w:p w14:paraId="41C929A0" w14:textId="3D9798FA" w:rsidR="003F795B" w:rsidRDefault="003F795B" w:rsidP="003F795B">
      <w:pPr>
        <w:spacing w:after="0" w:line="240" w:lineRule="auto"/>
        <w:jc w:val="both"/>
        <w:rPr>
          <w:rFonts w:ascii="Verdana" w:eastAsia="Calibri" w:hAnsi="Verdana" w:cs="Arial"/>
          <w:lang w:val="es-ES" w:eastAsia="es-ES"/>
        </w:rPr>
      </w:pPr>
    </w:p>
    <w:p w14:paraId="352E3C3A" w14:textId="77777777" w:rsidR="003F795B" w:rsidRPr="003F795B" w:rsidRDefault="003F795B" w:rsidP="003F795B">
      <w:pPr>
        <w:spacing w:after="0" w:line="240" w:lineRule="auto"/>
        <w:jc w:val="both"/>
        <w:rPr>
          <w:rFonts w:ascii="Verdana" w:eastAsia="Calibri" w:hAnsi="Verdana" w:cs="Arial"/>
          <w:sz w:val="20"/>
          <w:lang w:val="es-MX" w:eastAsia="es-ES"/>
        </w:rPr>
      </w:pPr>
    </w:p>
    <w:p w14:paraId="6C771AE4" w14:textId="77777777" w:rsidR="003F795B" w:rsidRPr="003F795B" w:rsidRDefault="003F795B" w:rsidP="003F795B">
      <w:pPr>
        <w:spacing w:after="0" w:line="240" w:lineRule="auto"/>
        <w:jc w:val="both"/>
        <w:rPr>
          <w:rFonts w:ascii="Verdana" w:eastAsia="Calibri" w:hAnsi="Verdana" w:cs="Arial"/>
          <w:sz w:val="20"/>
          <w:lang w:val="es-MX" w:eastAsia="es-ES"/>
        </w:rPr>
      </w:pPr>
      <w:r w:rsidRPr="003F795B">
        <w:rPr>
          <w:rFonts w:ascii="Verdana" w:eastAsia="Calibri" w:hAnsi="Verdana" w:cs="Arial"/>
          <w:sz w:val="20"/>
          <w:lang w:val="es-MX" w:eastAsia="es-ES"/>
        </w:rPr>
        <w:lastRenderedPageBreak/>
        <w:t>Al referirse al régimen contractual de las –ESE–,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w:t>
      </w:r>
      <w:r w:rsidRPr="003F795B">
        <w:rPr>
          <w:rFonts w:ascii="Verdana" w:eastAsia="Calibri" w:hAnsi="Verdana" w:cs="Arial"/>
          <w:sz w:val="20"/>
          <w:lang w:eastAsia="es-ES"/>
        </w:rPr>
        <w:t xml:space="preserve"> </w:t>
      </w:r>
      <w:r w:rsidRPr="003F795B">
        <w:rPr>
          <w:rFonts w:ascii="Verdana" w:eastAsia="Calibri" w:hAnsi="Verdana" w:cs="Arial"/>
          <w:sz w:val="20"/>
          <w:lang w:val="es-MX" w:eastAsia="es-ES"/>
        </w:rPr>
        <w:t>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w:t>
      </w:r>
    </w:p>
    <w:p w14:paraId="7BD47660" w14:textId="77777777" w:rsidR="003F795B" w:rsidRPr="003F795B" w:rsidRDefault="003F795B" w:rsidP="003F795B">
      <w:pPr>
        <w:spacing w:after="0" w:line="240" w:lineRule="auto"/>
        <w:jc w:val="both"/>
        <w:rPr>
          <w:rFonts w:ascii="Verdana" w:eastAsia="Calibri" w:hAnsi="Verdana" w:cs="Arial"/>
          <w:lang w:val="es-MX" w:eastAsia="es-ES"/>
        </w:rPr>
      </w:pPr>
    </w:p>
    <w:p w14:paraId="63B74A52" w14:textId="77777777" w:rsidR="003F795B" w:rsidRPr="003F795B" w:rsidRDefault="00AC07F2" w:rsidP="003F795B">
      <w:pPr>
        <w:spacing w:after="0" w:line="240" w:lineRule="auto"/>
        <w:jc w:val="both"/>
        <w:rPr>
          <w:rFonts w:ascii="Verdana" w:eastAsia="Calibri" w:hAnsi="Verdana" w:cs="Arial"/>
          <w:b/>
          <w:lang w:val="es-ES" w:eastAsia="es-ES"/>
        </w:rPr>
      </w:pPr>
      <w:r w:rsidRPr="003F795B">
        <w:rPr>
          <w:rFonts w:ascii="Verdana" w:eastAsia="Calibri" w:hAnsi="Verdana" w:cs="Arial"/>
          <w:b/>
          <w:lang w:val="es-ES" w:eastAsia="es-ES"/>
        </w:rPr>
        <w:t>CONTROL FISCAL – Fundamento Cons</w:t>
      </w:r>
      <w:r w:rsidR="003F795B" w:rsidRPr="003F795B">
        <w:rPr>
          <w:rFonts w:ascii="Verdana" w:eastAsia="Calibri" w:hAnsi="Verdana" w:cs="Arial"/>
          <w:b/>
          <w:lang w:val="es-ES" w:eastAsia="es-ES"/>
        </w:rPr>
        <w:t xml:space="preserve">titucional – Fundamento Legal </w:t>
      </w:r>
    </w:p>
    <w:p w14:paraId="1ADA0AFC" w14:textId="5145902D" w:rsidR="003F795B" w:rsidRDefault="003F795B" w:rsidP="003F795B">
      <w:pPr>
        <w:spacing w:after="0" w:line="240" w:lineRule="auto"/>
        <w:jc w:val="both"/>
        <w:rPr>
          <w:rFonts w:ascii="Verdana" w:eastAsia="Calibri" w:hAnsi="Verdana" w:cs="Arial"/>
          <w:lang w:val="es-ES" w:eastAsia="es-ES"/>
        </w:rPr>
      </w:pPr>
    </w:p>
    <w:p w14:paraId="0E4029BB" w14:textId="77777777" w:rsidR="003F795B" w:rsidRPr="003F795B" w:rsidRDefault="003F795B" w:rsidP="003F795B">
      <w:pPr>
        <w:spacing w:after="0" w:line="240" w:lineRule="auto"/>
        <w:jc w:val="both"/>
        <w:rPr>
          <w:rFonts w:ascii="Verdana" w:eastAsia="Calibri" w:hAnsi="Verdana" w:cs="Arial"/>
          <w:sz w:val="20"/>
          <w:lang w:eastAsia="es-ES"/>
        </w:rPr>
      </w:pPr>
      <w:r w:rsidRPr="003F795B">
        <w:rPr>
          <w:rFonts w:ascii="Verdana" w:eastAsia="Calibri" w:hAnsi="Verdana" w:cs="Arial"/>
          <w:sz w:val="20"/>
          <w:lang w:val="es-ES" w:eastAsia="es-ES"/>
        </w:rPr>
        <w:t xml:space="preserve">El inciso primero del artículo 267 de la Constitución Política modificado por el artículo 1° del Acto Legislativo 04 del 18 de septiembre de 2019 dispone que la Contraloría General de la República ejerce la vigilancia y control fiscal sobre el manejo de fondos y bienes públicos o de entidades que los administren. Dicha función se aplica </w:t>
      </w:r>
      <w:r w:rsidRPr="003F795B">
        <w:rPr>
          <w:rFonts w:ascii="Verdana" w:eastAsia="Calibri" w:hAnsi="Verdana" w:cs="Arial"/>
          <w:sz w:val="20"/>
          <w:lang w:eastAsia="es-ES"/>
        </w:rPr>
        <w:t xml:space="preserve">en todos los niveles administrativos y respecto de todo tipo de recursos públicos. Al respecto, la ley regula el ejercicio de las competencias entre contralorías, en cumplimiento de los principios de coordinación, concurrencia y subsidiariedad. Dicho control ejercido por la Contraloría General de la República será preferente en las condiciones que establezca la ley.  </w:t>
      </w:r>
    </w:p>
    <w:p w14:paraId="382ACD7B" w14:textId="77777777" w:rsidR="003F795B" w:rsidRPr="003F795B" w:rsidRDefault="003F795B" w:rsidP="003F795B">
      <w:pPr>
        <w:spacing w:after="0" w:line="240" w:lineRule="auto"/>
        <w:jc w:val="both"/>
        <w:rPr>
          <w:rFonts w:ascii="Verdana" w:eastAsia="Calibri" w:hAnsi="Verdana" w:cs="Arial"/>
          <w:sz w:val="20"/>
          <w:lang w:eastAsia="es-ES"/>
        </w:rPr>
      </w:pPr>
    </w:p>
    <w:p w14:paraId="74B8F705" w14:textId="02880B6C" w:rsidR="003F795B" w:rsidRPr="003F795B" w:rsidRDefault="003F795B" w:rsidP="003F795B">
      <w:pPr>
        <w:spacing w:after="0" w:line="240" w:lineRule="auto"/>
        <w:jc w:val="both"/>
        <w:rPr>
          <w:rFonts w:ascii="Verdana" w:eastAsia="Calibri" w:hAnsi="Verdana" w:cs="Arial"/>
          <w:sz w:val="20"/>
          <w:lang w:eastAsia="es-ES"/>
        </w:rPr>
      </w:pPr>
      <w:r w:rsidRPr="003F795B">
        <w:rPr>
          <w:rFonts w:ascii="Verdana" w:eastAsia="Calibri" w:hAnsi="Verdana" w:cs="Arial"/>
          <w:sz w:val="20"/>
          <w:lang w:eastAsia="es-ES"/>
        </w:rPr>
        <w:t xml:space="preserve">En concordancia con lo anterior, el artículo 272 de la Constitución modificado por el artículo </w:t>
      </w:r>
      <w:hyperlink r:id="rId11" w:anchor="4" w:history="1">
        <w:r w:rsidRPr="003F795B">
          <w:rPr>
            <w:rStyle w:val="Hipervnculo"/>
            <w:rFonts w:ascii="Verdana" w:eastAsia="Calibri" w:hAnsi="Verdana" w:cs="Arial"/>
            <w:color w:val="auto"/>
            <w:sz w:val="20"/>
            <w:lang w:eastAsia="es-ES"/>
          </w:rPr>
          <w:t>4</w:t>
        </w:r>
      </w:hyperlink>
      <w:r w:rsidRPr="003F795B">
        <w:rPr>
          <w:rFonts w:ascii="Verdana" w:eastAsia="Calibri" w:hAnsi="Verdana" w:cs="Arial"/>
          <w:sz w:val="20"/>
          <w:lang w:eastAsia="es-ES"/>
        </w:rPr>
        <w:t>º del Acto Legislativo número 4 de 2019, dispone que la vigilancia de la gestión fiscal de los departamentos, distritos y municipios en los que existan contralorías corresponderá a éstas, en forma concurrente con la Contraloría General de la República. En tal sentido, el Decreto Ley 403 de 2020 “</w:t>
      </w:r>
      <w:r w:rsidRPr="003F795B">
        <w:rPr>
          <w:rFonts w:ascii="Verdana" w:eastAsia="Calibri" w:hAnsi="Verdana" w:cs="Arial"/>
          <w:i/>
          <w:iCs/>
          <w:sz w:val="20"/>
          <w:lang w:eastAsia="es-ES"/>
        </w:rPr>
        <w:t>Por el cual se dictan normas para la correcta implementación del Acto Legislativo número 04 de 2019 y el fortalecimiento del control fiscal</w:t>
      </w:r>
      <w:r w:rsidRPr="003F795B">
        <w:rPr>
          <w:rFonts w:ascii="Verdana" w:eastAsia="Calibri" w:hAnsi="Verdana" w:cs="Arial"/>
          <w:sz w:val="20"/>
          <w:lang w:eastAsia="es-ES"/>
        </w:rPr>
        <w:t>”, en su Título </w:t>
      </w:r>
      <w:hyperlink r:id="rId12" w:anchor="T.2" w:history="1">
        <w:r w:rsidRPr="003F795B">
          <w:rPr>
            <w:rStyle w:val="Hipervnculo"/>
            <w:rFonts w:ascii="Verdana" w:eastAsia="Calibri" w:hAnsi="Verdana" w:cs="Arial"/>
            <w:color w:val="auto"/>
            <w:sz w:val="20"/>
            <w:lang w:eastAsia="es-ES"/>
          </w:rPr>
          <w:t>II</w:t>
        </w:r>
      </w:hyperlink>
      <w:r w:rsidRPr="003F795B">
        <w:rPr>
          <w:rFonts w:ascii="Verdana" w:eastAsia="Calibri" w:hAnsi="Verdana" w:cs="Arial"/>
          <w:sz w:val="20"/>
          <w:lang w:eastAsia="es-ES"/>
        </w:rPr>
        <w:t>, regula las competencias de la Contraloría General de la República y las contralorías territoriales, disponiendo en el artículo </w:t>
      </w:r>
      <w:hyperlink r:id="rId13" w:anchor="4" w:history="1">
        <w:r w:rsidRPr="003F795B">
          <w:rPr>
            <w:rStyle w:val="Hipervnculo"/>
            <w:rFonts w:ascii="Verdana" w:eastAsia="Calibri" w:hAnsi="Verdana" w:cs="Arial"/>
            <w:color w:val="auto"/>
            <w:sz w:val="20"/>
            <w:lang w:eastAsia="es-ES"/>
          </w:rPr>
          <w:t>4</w:t>
        </w:r>
      </w:hyperlink>
      <w:r w:rsidRPr="003F795B">
        <w:rPr>
          <w:rFonts w:ascii="Verdana" w:eastAsia="Calibri" w:hAnsi="Verdana" w:cs="Arial"/>
          <w:sz w:val="20"/>
          <w:lang w:eastAsia="es-ES"/>
        </w:rPr>
        <w:t>º que las contralorías territoriales vigilan y controlan la gestión fiscal de los departamentos, distritos, municipios y demás entidades del orden territorial, así como a los demás sujetos de control dentro de su respectiva jurisdicción, en relación con los recursos endógenos, en forma concurrente con la Contraloría General de la República, no obstante, precisa que la vigilancia y control fiscal de los recursos transferidos o las rentas cedidas por la Nación a cualquier título a las entidades territoriales, será prevalente con sujeción a lo dispuesto en normas especiales.</w:t>
      </w:r>
    </w:p>
    <w:p w14:paraId="365833A2" w14:textId="77777777" w:rsidR="003F795B" w:rsidRDefault="003F795B" w:rsidP="003F795B">
      <w:pPr>
        <w:spacing w:after="0" w:line="240" w:lineRule="auto"/>
        <w:jc w:val="both"/>
        <w:rPr>
          <w:rFonts w:ascii="Verdana" w:eastAsia="Calibri" w:hAnsi="Verdana" w:cs="Arial"/>
          <w:lang w:val="es-ES" w:eastAsia="es-ES"/>
        </w:rPr>
      </w:pPr>
    </w:p>
    <w:p w14:paraId="7FE69D90" w14:textId="77777777" w:rsidR="003F795B" w:rsidRPr="00A7446C" w:rsidRDefault="00AC07F2" w:rsidP="003F795B">
      <w:pPr>
        <w:spacing w:after="0" w:line="240" w:lineRule="auto"/>
        <w:jc w:val="both"/>
        <w:rPr>
          <w:rFonts w:ascii="Verdana" w:eastAsia="Calibri" w:hAnsi="Verdana" w:cs="Arial"/>
          <w:b/>
          <w:lang w:val="es-ES" w:eastAsia="es-ES"/>
        </w:rPr>
      </w:pPr>
      <w:r w:rsidRPr="00A7446C">
        <w:rPr>
          <w:rFonts w:ascii="Verdana" w:eastAsia="Calibri" w:hAnsi="Verdana" w:cs="Arial"/>
          <w:b/>
          <w:lang w:val="es-ES" w:eastAsia="es-ES"/>
        </w:rPr>
        <w:t>CONTROL FISCAL – Contraloría General de la República – Co</w:t>
      </w:r>
      <w:r w:rsidR="003F795B" w:rsidRPr="00A7446C">
        <w:rPr>
          <w:rFonts w:ascii="Verdana" w:eastAsia="Calibri" w:hAnsi="Verdana" w:cs="Arial"/>
          <w:b/>
          <w:lang w:val="es-ES" w:eastAsia="es-ES"/>
        </w:rPr>
        <w:t xml:space="preserve">mpetencias </w:t>
      </w:r>
    </w:p>
    <w:p w14:paraId="15054842" w14:textId="3759D20E" w:rsidR="003F795B" w:rsidRDefault="003F795B" w:rsidP="003F795B">
      <w:pPr>
        <w:spacing w:after="0" w:line="240" w:lineRule="auto"/>
        <w:jc w:val="both"/>
        <w:rPr>
          <w:rFonts w:ascii="Verdana" w:eastAsia="Calibri" w:hAnsi="Verdana" w:cs="Arial"/>
          <w:lang w:val="es-ES" w:eastAsia="es-ES"/>
        </w:rPr>
      </w:pPr>
    </w:p>
    <w:p w14:paraId="26B1B206" w14:textId="77777777" w:rsidR="00A7446C" w:rsidRPr="00A7446C" w:rsidRDefault="00A7446C" w:rsidP="00A7446C">
      <w:pPr>
        <w:spacing w:after="0" w:line="240" w:lineRule="auto"/>
        <w:jc w:val="both"/>
        <w:rPr>
          <w:rFonts w:ascii="Verdana" w:eastAsia="Calibri" w:hAnsi="Verdana" w:cs="Arial"/>
          <w:sz w:val="20"/>
          <w:lang w:eastAsia="es-ES"/>
        </w:rPr>
      </w:pPr>
      <w:r w:rsidRPr="00A7446C">
        <w:rPr>
          <w:rFonts w:ascii="Verdana" w:eastAsia="Calibri" w:hAnsi="Verdana" w:cs="Arial"/>
          <w:sz w:val="20"/>
          <w:lang w:eastAsia="es-ES"/>
        </w:rPr>
        <w:t>Ahora bien, sin perjuicio de la concurrencia en el ejercicio de la vigilancia y control fiscal en el Contralor General de la República subyacen competencias que le son exclusivas de conformidad con lo previsto en el artículo </w:t>
      </w:r>
      <w:hyperlink r:id="rId14" w:anchor="268" w:history="1">
        <w:r w:rsidRPr="00A7446C">
          <w:rPr>
            <w:rStyle w:val="Hipervnculo"/>
            <w:rFonts w:ascii="Verdana" w:eastAsia="Calibri" w:hAnsi="Verdana" w:cs="Arial"/>
            <w:color w:val="auto"/>
            <w:sz w:val="20"/>
            <w:lang w:eastAsia="es-ES"/>
          </w:rPr>
          <w:t>268</w:t>
        </w:r>
      </w:hyperlink>
      <w:r w:rsidRPr="00A7446C">
        <w:rPr>
          <w:rFonts w:ascii="Verdana" w:eastAsia="Calibri" w:hAnsi="Verdana" w:cs="Arial"/>
          <w:sz w:val="20"/>
          <w:lang w:eastAsia="es-ES"/>
        </w:rPr>
        <w:t> de la Constitución Política, modificado por el artículo </w:t>
      </w:r>
      <w:hyperlink r:id="rId15" w:anchor="2" w:history="1">
        <w:r w:rsidRPr="00A7446C">
          <w:rPr>
            <w:rStyle w:val="Hipervnculo"/>
            <w:rFonts w:ascii="Verdana" w:eastAsia="Calibri" w:hAnsi="Verdana" w:cs="Arial"/>
            <w:color w:val="auto"/>
            <w:sz w:val="20"/>
            <w:lang w:eastAsia="es-ES"/>
          </w:rPr>
          <w:t>2</w:t>
        </w:r>
      </w:hyperlink>
      <w:r w:rsidRPr="00A7446C">
        <w:rPr>
          <w:rFonts w:ascii="Verdana" w:eastAsia="Calibri" w:hAnsi="Verdana" w:cs="Arial"/>
          <w:sz w:val="20"/>
          <w:lang w:eastAsia="es-ES"/>
        </w:rPr>
        <w:t xml:space="preserve">º del Acto Legislativo número 04 de 2019, entre otras, las siguiente: i) llevar un registro de la deuda pública de la Nación y de las entidades descentralizadas territorialmente o por servicios –numeral 3°-; </w:t>
      </w:r>
      <w:proofErr w:type="spellStart"/>
      <w:r w:rsidRPr="00A7446C">
        <w:rPr>
          <w:rFonts w:ascii="Verdana" w:eastAsia="Calibri" w:hAnsi="Verdana" w:cs="Arial"/>
          <w:sz w:val="20"/>
          <w:lang w:eastAsia="es-ES"/>
        </w:rPr>
        <w:t>ii</w:t>
      </w:r>
      <w:proofErr w:type="spellEnd"/>
      <w:r w:rsidRPr="00A7446C">
        <w:rPr>
          <w:rFonts w:ascii="Verdana" w:eastAsia="Calibri" w:hAnsi="Verdana" w:cs="Arial"/>
          <w:sz w:val="20"/>
          <w:lang w:eastAsia="es-ES"/>
        </w:rPr>
        <w:t xml:space="preserve">) exigir informes sobre su gestión fiscal a los empleados oficiales de cualquier orden y a toda persona o entidad pública o privada </w:t>
      </w:r>
      <w:r w:rsidRPr="00A7446C">
        <w:rPr>
          <w:rFonts w:ascii="Verdana" w:eastAsia="Calibri" w:hAnsi="Verdana" w:cs="Arial"/>
          <w:sz w:val="20"/>
          <w:lang w:eastAsia="es-ES"/>
        </w:rPr>
        <w:lastRenderedPageBreak/>
        <w:t xml:space="preserve">que administre fondos o bienes públicos –numeral 4°-; </w:t>
      </w:r>
      <w:proofErr w:type="spellStart"/>
      <w:r w:rsidRPr="00A7446C">
        <w:rPr>
          <w:rFonts w:ascii="Verdana" w:eastAsia="Calibri" w:hAnsi="Verdana" w:cs="Arial"/>
          <w:sz w:val="20"/>
          <w:lang w:eastAsia="es-ES"/>
        </w:rPr>
        <w:t>iii</w:t>
      </w:r>
      <w:proofErr w:type="spellEnd"/>
      <w:r w:rsidRPr="00A7446C">
        <w:rPr>
          <w:rFonts w:ascii="Verdana" w:eastAsia="Calibri" w:hAnsi="Verdana" w:cs="Arial"/>
          <w:sz w:val="20"/>
          <w:lang w:eastAsia="es-ES"/>
        </w:rPr>
        <w:t xml:space="preserve">) dictar normas generales para armonizar los sistemas de control fiscal de todas las entidades públicas del orden nacional y territorial; y dirigir e implementar, con apoyo de la Auditoría General de la República, el Sistema Nacional de Control Fiscal, para la unificación y estandarización de la vigilancia y control de la gestión fiscal –numeral 12°-. Esto, sin perjuicio de las demás funciones que ejerce el Contralor General de la República. </w:t>
      </w:r>
    </w:p>
    <w:p w14:paraId="5744CCF7" w14:textId="72D93D5A" w:rsidR="00A7446C" w:rsidRPr="00A7446C" w:rsidRDefault="00A7446C" w:rsidP="00A7446C">
      <w:pPr>
        <w:spacing w:after="0" w:line="240" w:lineRule="auto"/>
        <w:jc w:val="both"/>
        <w:rPr>
          <w:rFonts w:ascii="Verdana" w:eastAsia="Calibri" w:hAnsi="Verdana" w:cs="Arial"/>
          <w:bCs/>
          <w:sz w:val="20"/>
          <w:lang w:val="es-ES_tradnl" w:eastAsia="es-ES"/>
        </w:rPr>
      </w:pPr>
      <w:r w:rsidRPr="00A7446C">
        <w:rPr>
          <w:rFonts w:ascii="Verdana" w:eastAsia="Calibri" w:hAnsi="Verdana" w:cs="Arial"/>
          <w:sz w:val="20"/>
          <w:lang w:eastAsia="es-ES"/>
        </w:rPr>
        <w:tab/>
      </w:r>
      <w:r w:rsidRPr="00A7446C">
        <w:rPr>
          <w:rFonts w:ascii="Verdana" w:eastAsia="Calibri" w:hAnsi="Verdana" w:cs="Arial"/>
          <w:bCs/>
          <w:sz w:val="20"/>
          <w:lang w:val="es-ES_tradnl" w:eastAsia="es-ES"/>
        </w:rPr>
        <w:t xml:space="preserve"> </w:t>
      </w:r>
    </w:p>
    <w:p w14:paraId="0577FF58" w14:textId="57EFEE92" w:rsidR="00A7446C" w:rsidRPr="00A7446C" w:rsidRDefault="00A7446C" w:rsidP="00A7446C">
      <w:pPr>
        <w:spacing w:after="0" w:line="240" w:lineRule="auto"/>
        <w:jc w:val="both"/>
        <w:rPr>
          <w:rFonts w:ascii="Verdana" w:eastAsia="Calibri" w:hAnsi="Verdana" w:cs="Arial"/>
          <w:bCs/>
          <w:sz w:val="20"/>
          <w:lang w:eastAsia="es-ES"/>
        </w:rPr>
      </w:pPr>
      <w:r w:rsidRPr="00A7446C">
        <w:rPr>
          <w:rFonts w:ascii="Verdana" w:eastAsia="Calibri" w:hAnsi="Verdana" w:cs="Arial"/>
          <w:bCs/>
          <w:sz w:val="20"/>
          <w:lang w:val="es-ES_tradnl" w:eastAsia="es-ES"/>
        </w:rPr>
        <w:t xml:space="preserve">Teniendo en cuenta lo expuesto y de acuerdo a la pregunta motivo de consulta, se resalta que, en el marco de control y vigilancia fiscal por parte de la Contraloría General de la República y sus gerencias departamentales a la gestión contractual, </w:t>
      </w:r>
      <w:r w:rsidRPr="00A7446C">
        <w:rPr>
          <w:rFonts w:ascii="Verdana" w:eastAsia="Calibri" w:hAnsi="Verdana" w:cs="Arial"/>
          <w:bCs/>
          <w:sz w:val="20"/>
          <w:lang w:eastAsia="es-ES"/>
        </w:rPr>
        <w:t>el artículo 59 del Decreto Ley 405 de 2020</w:t>
      </w:r>
      <w:r>
        <w:rPr>
          <w:rFonts w:ascii="Verdana" w:eastAsia="Calibri" w:hAnsi="Verdana" w:cs="Arial"/>
          <w:bCs/>
          <w:sz w:val="20"/>
          <w:vertAlign w:val="superscript"/>
          <w:lang w:eastAsia="es-ES"/>
        </w:rPr>
        <w:t xml:space="preserve"> </w:t>
      </w:r>
      <w:r w:rsidRPr="00A7446C">
        <w:rPr>
          <w:rFonts w:ascii="Verdana" w:eastAsia="Calibri" w:hAnsi="Verdana" w:cs="Arial"/>
          <w:bCs/>
          <w:sz w:val="20"/>
          <w:lang w:eastAsia="es-ES"/>
        </w:rPr>
        <w:t xml:space="preserve">establece que la Contraloría General de la República podrá requerir, conocer y examinar todos los datos e información sobre hechos u operaciones, actos, contratos, programas, proyectos o procesos en ejecución, en los que se involucren recursos públicos y/o se afecten bienes o intereses patrimoniales de naturaleza pública, sin oponibilidad de reserva legal, de forma exclusiva para el ejercicio de sus funciones. Para ello, la Contraloría General de la República podrá apoyarse en la gestión inteligente de la información, entendida como el uso eficiente de todas las capacidades tecnológicas disponibles, inteligencia artificial, analítica y minería de datos, análisis predictivo y prospectivo, entre otros, para la determinación anticipada de eventos o malas prácticas, con probabilidad significativa de ocurrencia, persistencia o mutación, y que impliquen riesgos de pérdida del patrimonio público. </w:t>
      </w:r>
    </w:p>
    <w:p w14:paraId="0BDC3091" w14:textId="77777777" w:rsidR="00A7446C" w:rsidRPr="00A7446C" w:rsidRDefault="00A7446C" w:rsidP="003F795B">
      <w:pPr>
        <w:spacing w:after="0" w:line="240" w:lineRule="auto"/>
        <w:jc w:val="both"/>
        <w:rPr>
          <w:rFonts w:ascii="Verdana" w:eastAsia="Calibri" w:hAnsi="Verdana" w:cs="Arial"/>
          <w:lang w:eastAsia="es-ES"/>
        </w:rPr>
      </w:pPr>
    </w:p>
    <w:p w14:paraId="3C6B9CAF" w14:textId="178D65A2" w:rsidR="00AC07F2" w:rsidRPr="00A7446C" w:rsidRDefault="00AC07F2" w:rsidP="003F795B">
      <w:pPr>
        <w:spacing w:after="0" w:line="240" w:lineRule="auto"/>
        <w:jc w:val="both"/>
        <w:rPr>
          <w:rFonts w:ascii="Verdana" w:eastAsia="Calibri" w:hAnsi="Verdana" w:cs="Arial"/>
          <w:b/>
          <w:lang w:val="es-ES" w:eastAsia="es-ES"/>
        </w:rPr>
      </w:pPr>
      <w:r w:rsidRPr="00A7446C">
        <w:rPr>
          <w:rFonts w:ascii="Verdana" w:eastAsia="Calibri" w:hAnsi="Verdana" w:cs="Arial"/>
          <w:b/>
          <w:lang w:val="es-ES" w:eastAsia="es-ES"/>
        </w:rPr>
        <w:t>CONTROL FISCAL – Auditoría Genera</w:t>
      </w:r>
      <w:r w:rsidR="00A7446C">
        <w:rPr>
          <w:rFonts w:ascii="Verdana" w:eastAsia="Calibri" w:hAnsi="Verdana" w:cs="Arial"/>
          <w:b/>
          <w:lang w:val="es-ES" w:eastAsia="es-ES"/>
        </w:rPr>
        <w:t>l de la República – Competencia</w:t>
      </w:r>
      <w:r w:rsidRPr="00A7446C">
        <w:rPr>
          <w:rFonts w:ascii="Verdana" w:eastAsia="Calibri" w:hAnsi="Verdana" w:cs="Arial"/>
          <w:b/>
          <w:lang w:val="es-ES" w:eastAsia="es-ES"/>
        </w:rPr>
        <w:t xml:space="preserve"> </w:t>
      </w:r>
    </w:p>
    <w:p w14:paraId="1D2B5EE1" w14:textId="4409A200" w:rsidR="00AC07F2" w:rsidRPr="00AC07F2" w:rsidRDefault="00AC07F2" w:rsidP="00224EF8">
      <w:pPr>
        <w:spacing w:after="0"/>
        <w:rPr>
          <w:rFonts w:ascii="Verdana" w:hAnsi="Verdana"/>
          <w:lang w:val="es-ES"/>
        </w:rPr>
      </w:pPr>
    </w:p>
    <w:p w14:paraId="38349594" w14:textId="77777777" w:rsidR="00A7446C" w:rsidRPr="00A7446C" w:rsidRDefault="00A7446C" w:rsidP="00A7446C">
      <w:pPr>
        <w:spacing w:after="0" w:line="240" w:lineRule="auto"/>
        <w:jc w:val="both"/>
        <w:rPr>
          <w:rFonts w:ascii="Verdana" w:hAnsi="Verdana"/>
          <w:bCs/>
          <w:sz w:val="20"/>
        </w:rPr>
      </w:pPr>
      <w:r w:rsidRPr="00A7446C">
        <w:rPr>
          <w:rFonts w:ascii="Verdana" w:hAnsi="Verdana"/>
          <w:bCs/>
          <w:sz w:val="20"/>
        </w:rPr>
        <w:t>Ahora bien, con respecto a la Auditoria General de la República se precisa que es un organismo de vigilancia de la gestión fiscal, dotado de autonomía jurídica, administrativa, contractual y presupuestal, el cual está a cargo del Auditor de que trata el artículo 274 de la Constitución Política, de conformidad con el artículo 1° del Decreto Ley 272 de 2000. Así mismo, cumple la función: “[…] ejercer la vigilancia de la gestión fiscal de la Contraloría General de la República y de las contralorías departamentales, en los términos que este Decreto establece” –artículo 2 del Decreto Ley 272 de 2000-.</w:t>
      </w:r>
    </w:p>
    <w:p w14:paraId="6F797920" w14:textId="77777777" w:rsidR="00A7446C" w:rsidRDefault="00A7446C" w:rsidP="00A7446C">
      <w:pPr>
        <w:spacing w:after="0" w:line="240" w:lineRule="auto"/>
        <w:jc w:val="both"/>
        <w:rPr>
          <w:rFonts w:ascii="Verdana" w:hAnsi="Verdana"/>
          <w:bCs/>
          <w:sz w:val="20"/>
        </w:rPr>
      </w:pPr>
    </w:p>
    <w:p w14:paraId="4098BDA8" w14:textId="76887103" w:rsidR="00AC07F2" w:rsidRDefault="00A7446C" w:rsidP="00A7446C">
      <w:pPr>
        <w:spacing w:after="0" w:line="240" w:lineRule="auto"/>
        <w:jc w:val="both"/>
        <w:rPr>
          <w:rFonts w:ascii="Verdana" w:hAnsi="Verdana"/>
          <w:bCs/>
          <w:sz w:val="20"/>
        </w:rPr>
      </w:pPr>
      <w:r w:rsidRPr="00A7446C">
        <w:rPr>
          <w:rFonts w:ascii="Verdana" w:hAnsi="Verdana"/>
          <w:bCs/>
          <w:sz w:val="20"/>
        </w:rPr>
        <w:t>En el marco de dicha función de ejercer la vigilancia fiscal, el artículo 31 del Decreto Ley 403 de 2020, establece que podrá acceder sin restricción a la información de las contralorías y por su intermedio a la de sus sujetos vigilados, en las condiciones prescritas en el artículo 27 de la Ley 1437 de 2011, así como en los artículos 3 y 21 del Decreto Ley 272 de 2000 y los principios de colaboración armónica y coordinación. En tal sentido, la Auditoria puede acceder a la información de los procesos de responsabilidad fiscal, procesos auditores, entre otros, sin oponibilidad, con el fin de revisar los resultados o que se presuma que pudo haber ocurrido un daño patrimonial. De tal modo, la Auditoría General de la República puede conocer de forma indirecta la gestión de las Empresas Sociales del Estado como entidades descentralizadas por servicios que hacen parte de la estructura de la Rama Ejecutiva del Poder Público.</w:t>
      </w:r>
    </w:p>
    <w:p w14:paraId="6B646C36" w14:textId="5EC40471" w:rsidR="00A7446C" w:rsidRDefault="00A7446C" w:rsidP="00A7446C">
      <w:pPr>
        <w:spacing w:after="0" w:line="240" w:lineRule="auto"/>
        <w:jc w:val="both"/>
        <w:rPr>
          <w:rFonts w:ascii="Verdana" w:hAnsi="Verdana"/>
          <w:bCs/>
          <w:sz w:val="20"/>
        </w:rPr>
      </w:pPr>
    </w:p>
    <w:p w14:paraId="20EB52B2" w14:textId="3CC7DE80" w:rsidR="00A7446C" w:rsidRDefault="00A7446C" w:rsidP="00A7446C">
      <w:pPr>
        <w:spacing w:after="0" w:line="240" w:lineRule="auto"/>
        <w:jc w:val="both"/>
        <w:rPr>
          <w:rFonts w:ascii="Verdana" w:hAnsi="Verdana"/>
          <w:bCs/>
          <w:sz w:val="20"/>
        </w:rPr>
      </w:pPr>
    </w:p>
    <w:p w14:paraId="5AAF9CE1" w14:textId="43A65297" w:rsidR="00A7446C" w:rsidRDefault="00A7446C" w:rsidP="00A7446C">
      <w:pPr>
        <w:spacing w:after="0" w:line="240" w:lineRule="auto"/>
        <w:jc w:val="both"/>
        <w:rPr>
          <w:rFonts w:ascii="Verdana" w:hAnsi="Verdana"/>
          <w:bCs/>
          <w:sz w:val="20"/>
        </w:rPr>
      </w:pPr>
    </w:p>
    <w:p w14:paraId="5EBB3675" w14:textId="12E02078" w:rsidR="00A7446C" w:rsidRDefault="00A7446C" w:rsidP="00A7446C">
      <w:pPr>
        <w:spacing w:after="0" w:line="240" w:lineRule="auto"/>
        <w:jc w:val="both"/>
        <w:rPr>
          <w:rFonts w:ascii="Verdana" w:hAnsi="Verdana"/>
          <w:bCs/>
          <w:sz w:val="20"/>
        </w:rPr>
      </w:pPr>
    </w:p>
    <w:p w14:paraId="0BC4D0B3" w14:textId="42737D13" w:rsidR="00A7446C" w:rsidRPr="00A7446C" w:rsidRDefault="00A7446C" w:rsidP="00A7446C">
      <w:pPr>
        <w:spacing w:after="0" w:line="240" w:lineRule="auto"/>
        <w:jc w:val="both"/>
        <w:rPr>
          <w:rFonts w:ascii="Verdana" w:hAnsi="Verdana"/>
          <w:sz w:val="20"/>
          <w:lang w:val="es-ES_tradnl"/>
        </w:rPr>
      </w:pPr>
    </w:p>
    <w:p w14:paraId="27CEA9F1" w14:textId="48D3FC39" w:rsidR="00224EF8" w:rsidRPr="0044528D" w:rsidRDefault="00AC07F2" w:rsidP="00A7446C">
      <w:pPr>
        <w:spacing w:after="0" w:line="240" w:lineRule="auto"/>
        <w:rPr>
          <w:rFonts w:ascii="Verdana" w:hAnsi="Verdana"/>
        </w:rPr>
      </w:pPr>
      <w:r>
        <w:rPr>
          <w:rFonts w:ascii="Verdana" w:hAnsi="Verdana"/>
        </w:rPr>
        <w:lastRenderedPageBreak/>
        <w:t>Bogotá D.C., 25 de septiembre de 2025</w:t>
      </w:r>
      <w:r w:rsidR="00224EF8" w:rsidRPr="0044528D">
        <w:rPr>
          <w:rFonts w:ascii="Verdana" w:hAnsi="Verdana"/>
        </w:rPr>
        <w:tab/>
      </w:r>
    </w:p>
    <w:p w14:paraId="3E5A38B9" w14:textId="401DB0B3" w:rsidR="00224EF8" w:rsidRPr="0094448B" w:rsidRDefault="00AC07F2" w:rsidP="00224EF8">
      <w:pPr>
        <w:spacing w:after="0"/>
        <w:rPr>
          <w:rFonts w:ascii="Verdana" w:hAnsi="Verdana"/>
        </w:rPr>
      </w:pPr>
      <w:r w:rsidRPr="00AC07F2">
        <w:rPr>
          <w:rFonts w:ascii="Verdana" w:hAnsi="Verdana"/>
          <w:noProof/>
          <w:lang w:val="en-US"/>
        </w:rPr>
        <w:drawing>
          <wp:anchor distT="0" distB="0" distL="114300" distR="114300" simplePos="0" relativeHeight="251658240" behindDoc="0" locked="0" layoutInCell="1" allowOverlap="1" wp14:anchorId="2EF35989" wp14:editId="10C97021">
            <wp:simplePos x="0" y="0"/>
            <wp:positionH relativeFrom="margin">
              <wp:posOffset>2834005</wp:posOffset>
            </wp:positionH>
            <wp:positionV relativeFrom="paragraph">
              <wp:posOffset>23495</wp:posOffset>
            </wp:positionV>
            <wp:extent cx="2835275" cy="775970"/>
            <wp:effectExtent l="0" t="0" r="3175" b="508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35275" cy="7759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3EF790" w14:textId="77777777" w:rsidR="00224EF8" w:rsidRPr="0094448B" w:rsidRDefault="00224EF8" w:rsidP="00224EF8">
      <w:pPr>
        <w:spacing w:after="0" w:line="240" w:lineRule="auto"/>
        <w:jc w:val="both"/>
        <w:rPr>
          <w:rFonts w:ascii="Verdana" w:hAnsi="Verdana" w:cs="Arial"/>
          <w:bCs/>
          <w:lang w:val="es-ES" w:eastAsia="es-ES" w:bidi="es-ES"/>
        </w:rPr>
      </w:pPr>
    </w:p>
    <w:p w14:paraId="58AC076F" w14:textId="77777777" w:rsidR="00224EF8" w:rsidRPr="0094448B" w:rsidRDefault="00224EF8" w:rsidP="00224EF8">
      <w:pPr>
        <w:widowControl w:val="0"/>
        <w:autoSpaceDE w:val="0"/>
        <w:autoSpaceDN w:val="0"/>
        <w:spacing w:after="0" w:line="266" w:lineRule="exact"/>
        <w:rPr>
          <w:rFonts w:ascii="Verdana" w:eastAsia="Verdana" w:hAnsi="Verdana" w:cs="Verdana"/>
          <w:lang w:val="es-ES"/>
        </w:rPr>
      </w:pPr>
      <w:r w:rsidRPr="0094448B">
        <w:rPr>
          <w:rFonts w:ascii="Verdana" w:eastAsia="Verdana" w:hAnsi="Verdana" w:cs="Verdana"/>
          <w:spacing w:val="-2"/>
          <w:lang w:val="es-ES"/>
        </w:rPr>
        <w:t>Señor</w:t>
      </w:r>
    </w:p>
    <w:p w14:paraId="5AA60909" w14:textId="77777777" w:rsidR="00224EF8" w:rsidRDefault="00224EF8" w:rsidP="00224EF8">
      <w:pPr>
        <w:spacing w:after="0" w:line="240" w:lineRule="auto"/>
        <w:jc w:val="both"/>
        <w:rPr>
          <w:rFonts w:ascii="Verdana" w:eastAsia="Verdana" w:hAnsi="Verdana" w:cs="Verdana"/>
          <w:b/>
          <w:bCs/>
          <w:lang w:val="es-ES"/>
        </w:rPr>
      </w:pPr>
      <w:r w:rsidRPr="003A1844">
        <w:rPr>
          <w:rFonts w:ascii="Verdana" w:eastAsia="Verdana" w:hAnsi="Verdana" w:cs="Verdana"/>
          <w:b/>
          <w:bCs/>
          <w:lang w:val="es-ES"/>
        </w:rPr>
        <w:t xml:space="preserve">Cristian José Guerrero </w:t>
      </w:r>
      <w:proofErr w:type="spellStart"/>
      <w:r w:rsidRPr="003A1844">
        <w:rPr>
          <w:rFonts w:ascii="Verdana" w:eastAsia="Verdana" w:hAnsi="Verdana" w:cs="Verdana"/>
          <w:b/>
          <w:bCs/>
          <w:lang w:val="es-ES"/>
        </w:rPr>
        <w:t>Berbejo</w:t>
      </w:r>
      <w:proofErr w:type="spellEnd"/>
    </w:p>
    <w:p w14:paraId="2EB584B3" w14:textId="77777777" w:rsidR="00224EF8" w:rsidRPr="0094448B" w:rsidRDefault="00224EF8" w:rsidP="00224EF8">
      <w:pPr>
        <w:widowControl w:val="0"/>
        <w:autoSpaceDE w:val="0"/>
        <w:autoSpaceDN w:val="0"/>
        <w:spacing w:before="5" w:after="0" w:line="237" w:lineRule="auto"/>
        <w:ind w:right="5055"/>
        <w:rPr>
          <w:rFonts w:ascii="Verdana" w:eastAsia="Verdana" w:hAnsi="Verdana" w:cs="Verdana"/>
          <w:lang w:val="es-ES"/>
        </w:rPr>
      </w:pPr>
      <w:hyperlink r:id="rId17" w:history="1">
        <w:r w:rsidRPr="00482A58">
          <w:rPr>
            <w:rStyle w:val="Hipervnculo"/>
            <w:rFonts w:ascii="Verdana" w:eastAsia="Verdana" w:hAnsi="Verdana" w:cs="Verdana"/>
            <w:lang w:val="es-ES"/>
          </w:rPr>
          <w:t>cguerrero1@procuraduria.gov.co</w:t>
        </w:r>
      </w:hyperlink>
      <w:r>
        <w:rPr>
          <w:rFonts w:ascii="Verdana" w:eastAsia="Verdana" w:hAnsi="Verdana" w:cs="Verdana"/>
          <w:lang w:val="es-ES"/>
        </w:rPr>
        <w:t xml:space="preserve"> </w:t>
      </w:r>
      <w:r w:rsidRPr="0094448B">
        <w:rPr>
          <w:rFonts w:ascii="Verdana" w:eastAsia="Verdana" w:hAnsi="Verdana" w:cs="Verdana"/>
          <w:lang w:val="es-ES"/>
        </w:rPr>
        <w:t xml:space="preserve">Bogotá D.C. </w:t>
      </w:r>
    </w:p>
    <w:p w14:paraId="04B0861F" w14:textId="77777777" w:rsidR="00224EF8" w:rsidRPr="0094448B" w:rsidRDefault="00224EF8" w:rsidP="00224EF8">
      <w:pPr>
        <w:spacing w:after="0" w:line="240" w:lineRule="auto"/>
        <w:jc w:val="both"/>
        <w:rPr>
          <w:rFonts w:ascii="Verdana" w:hAnsi="Verdana" w:cs="Arial"/>
          <w:b/>
          <w:bCs/>
          <w:lang w:val="es-ES_tradnl" w:eastAsia="es-ES" w:bidi="es-ES"/>
        </w:rPr>
      </w:pPr>
    </w:p>
    <w:p w14:paraId="0316047E" w14:textId="77777777" w:rsidR="00224EF8" w:rsidRPr="0094448B" w:rsidRDefault="00224EF8" w:rsidP="00224EF8">
      <w:pPr>
        <w:spacing w:after="0" w:line="240" w:lineRule="auto"/>
        <w:jc w:val="both"/>
        <w:rPr>
          <w:rFonts w:ascii="Verdana" w:hAnsi="Verdana" w:cs="Arial"/>
          <w:b/>
          <w:bCs/>
          <w:lang w:val="es-ES_tradnl" w:eastAsia="es-ES" w:bidi="es-ES"/>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224EF8" w:rsidRPr="0094448B" w14:paraId="21B4B637" w14:textId="77777777" w:rsidTr="00416DEA">
        <w:trPr>
          <w:trHeight w:val="884"/>
        </w:trPr>
        <w:tc>
          <w:tcPr>
            <w:tcW w:w="2689" w:type="dxa"/>
          </w:tcPr>
          <w:p w14:paraId="7EB71635" w14:textId="77777777" w:rsidR="00224EF8" w:rsidRPr="0094448B" w:rsidRDefault="00224EF8" w:rsidP="00416DEA">
            <w:pPr>
              <w:jc w:val="both"/>
              <w:rPr>
                <w:rFonts w:ascii="Verdana" w:hAnsi="Verdana" w:cs="Arial"/>
                <w:b/>
                <w:bCs/>
                <w:lang w:val="es-ES_tradnl" w:eastAsia="es-ES" w:bidi="es-ES"/>
              </w:rPr>
            </w:pPr>
          </w:p>
        </w:tc>
        <w:tc>
          <w:tcPr>
            <w:tcW w:w="6242" w:type="dxa"/>
          </w:tcPr>
          <w:p w14:paraId="50DBF78D" w14:textId="77777777" w:rsidR="00224EF8" w:rsidRPr="0094448B" w:rsidRDefault="00224EF8" w:rsidP="00416DEA">
            <w:pPr>
              <w:jc w:val="both"/>
              <w:rPr>
                <w:rFonts w:ascii="Verdana" w:hAnsi="Verdana" w:cs="Arial"/>
                <w:b/>
                <w:bCs/>
                <w:lang w:val="es-MX" w:eastAsia="es-ES" w:bidi="es-ES"/>
              </w:rPr>
            </w:pPr>
            <w:r>
              <w:rPr>
                <w:rFonts w:ascii="Verdana" w:hAnsi="Verdana" w:cs="Arial"/>
                <w:b/>
                <w:bCs/>
                <w:lang w:val="es-MX" w:eastAsia="es-ES" w:bidi="es-ES"/>
              </w:rPr>
              <w:t>Concepto C- 1134</w:t>
            </w:r>
            <w:r w:rsidRPr="0094448B">
              <w:rPr>
                <w:rFonts w:ascii="Verdana" w:hAnsi="Verdana" w:cs="Arial"/>
                <w:b/>
                <w:bCs/>
                <w:lang w:val="es-MX" w:eastAsia="es-ES" w:bidi="es-ES"/>
              </w:rPr>
              <w:t xml:space="preserve"> de 2025</w:t>
            </w:r>
          </w:p>
        </w:tc>
      </w:tr>
      <w:tr w:rsidR="00224EF8" w:rsidRPr="0094448B" w14:paraId="2708C7A2" w14:textId="77777777" w:rsidTr="00416DEA">
        <w:trPr>
          <w:trHeight w:val="884"/>
        </w:trPr>
        <w:tc>
          <w:tcPr>
            <w:tcW w:w="2689" w:type="dxa"/>
          </w:tcPr>
          <w:p w14:paraId="2CBF153A" w14:textId="77777777" w:rsidR="00224EF8" w:rsidRPr="003A1844" w:rsidRDefault="00224EF8" w:rsidP="00416DEA">
            <w:pPr>
              <w:spacing w:line="276" w:lineRule="auto"/>
              <w:jc w:val="both"/>
              <w:rPr>
                <w:rFonts w:ascii="Verdana" w:hAnsi="Verdana" w:cs="Arial"/>
                <w:b/>
                <w:bCs/>
                <w:lang w:val="es-MX" w:eastAsia="es-ES" w:bidi="es-ES"/>
              </w:rPr>
            </w:pPr>
            <w:r w:rsidRPr="003A1844">
              <w:rPr>
                <w:rFonts w:ascii="Verdana" w:hAnsi="Verdana" w:cs="Arial"/>
                <w:b/>
                <w:bCs/>
                <w:lang w:val="es-MX" w:eastAsia="es-ES" w:bidi="es-ES"/>
              </w:rPr>
              <w:t xml:space="preserve">Temas:                   </w:t>
            </w:r>
          </w:p>
        </w:tc>
        <w:tc>
          <w:tcPr>
            <w:tcW w:w="6242" w:type="dxa"/>
          </w:tcPr>
          <w:p w14:paraId="399E2338" w14:textId="77777777" w:rsidR="00224EF8" w:rsidRPr="0094448B" w:rsidRDefault="00224EF8" w:rsidP="00416DEA">
            <w:pPr>
              <w:spacing w:line="276" w:lineRule="auto"/>
              <w:jc w:val="both"/>
              <w:rPr>
                <w:rFonts w:ascii="Verdana" w:eastAsia="Calibri" w:hAnsi="Verdana" w:cs="Arial"/>
                <w:lang w:val="es-ES" w:eastAsia="es-ES"/>
              </w:rPr>
            </w:pPr>
            <w:r w:rsidRPr="0094448B">
              <w:rPr>
                <w:rFonts w:ascii="Verdana" w:eastAsia="Calibri" w:hAnsi="Verdana" w:cs="Arial"/>
                <w:lang w:val="es-ES" w:eastAsia="es-ES"/>
              </w:rPr>
              <w:t>CONTRATO ESTATAL – Régimen jurídico / RÉGIMEN EXCEPCIONAL – Justificación – Criterios de clasificación</w:t>
            </w:r>
            <w:r>
              <w:rPr>
                <w:rFonts w:ascii="Verdana" w:eastAsia="Calibri" w:hAnsi="Verdana" w:cs="Arial"/>
                <w:lang w:val="es-ES" w:eastAsia="es-ES"/>
              </w:rPr>
              <w:t xml:space="preserve"> /</w:t>
            </w:r>
            <w:r w:rsidRPr="003A1844">
              <w:rPr>
                <w:rFonts w:ascii="Verdana" w:eastAsia="Calibri" w:hAnsi="Verdana" w:cs="Arial"/>
                <w:bCs/>
                <w:lang w:val="es-ES_tradnl"/>
              </w:rPr>
              <w:t xml:space="preserve"> </w:t>
            </w:r>
            <w:r w:rsidRPr="003A1844">
              <w:rPr>
                <w:rFonts w:ascii="Verdana" w:eastAsia="Calibri" w:hAnsi="Verdana" w:cs="Arial"/>
                <w:bCs/>
                <w:lang w:val="es-ES_tradnl" w:eastAsia="es-ES"/>
              </w:rPr>
              <w:t xml:space="preserve">EMPRESAS SOCIALES DEL ESTADO – </w:t>
            </w:r>
            <w:r>
              <w:rPr>
                <w:rFonts w:ascii="Verdana" w:eastAsia="Calibri" w:hAnsi="Verdana" w:cs="Arial"/>
                <w:bCs/>
                <w:lang w:val="es-ES_tradnl" w:eastAsia="es-ES"/>
              </w:rPr>
              <w:t xml:space="preserve">Naturaleza Jurídica – Entidades descentralizadas por servicios / EMPRESAS SOCIALES DEL ESTADO - </w:t>
            </w:r>
            <w:r w:rsidRPr="003A1844">
              <w:rPr>
                <w:rFonts w:ascii="Verdana" w:eastAsia="Calibri" w:hAnsi="Verdana" w:cs="Arial"/>
                <w:bCs/>
                <w:lang w:val="es-ES_tradnl" w:eastAsia="es-ES"/>
              </w:rPr>
              <w:t>Régimen jurídico – Reglas aplicables</w:t>
            </w:r>
            <w:r>
              <w:rPr>
                <w:rFonts w:ascii="Verdana" w:eastAsia="Calibri" w:hAnsi="Verdana" w:cs="Arial"/>
                <w:lang w:val="es-ES" w:eastAsia="es-ES"/>
              </w:rPr>
              <w:t xml:space="preserve"> / CONTROL FISCAL – Fundamento Constitucional – Fundamento Legal / CONTROL FISCAL – Contraloría General de la República – Competencias / CONTROL FISCAL – Auditoría General de la República – Competencia. </w:t>
            </w:r>
          </w:p>
          <w:p w14:paraId="02B9EA52" w14:textId="77777777" w:rsidR="00224EF8" w:rsidRPr="0094448B" w:rsidRDefault="00224EF8" w:rsidP="00416DEA">
            <w:pPr>
              <w:spacing w:line="276" w:lineRule="auto"/>
              <w:jc w:val="both"/>
              <w:rPr>
                <w:rFonts w:ascii="Verdana" w:hAnsi="Verdana" w:cs="Arial"/>
                <w:bCs/>
                <w:lang w:val="es-MX" w:eastAsia="es-ES" w:bidi="es-ES"/>
              </w:rPr>
            </w:pPr>
          </w:p>
          <w:p w14:paraId="315F1080" w14:textId="77777777" w:rsidR="00224EF8" w:rsidRPr="0094448B" w:rsidRDefault="00224EF8" w:rsidP="00416DEA">
            <w:pPr>
              <w:spacing w:line="276" w:lineRule="auto"/>
              <w:jc w:val="both"/>
              <w:rPr>
                <w:rFonts w:ascii="Verdana" w:hAnsi="Verdana" w:cs="Arial"/>
                <w:bCs/>
                <w:lang w:val="es-MX" w:eastAsia="es-ES" w:bidi="es-ES"/>
              </w:rPr>
            </w:pPr>
          </w:p>
        </w:tc>
      </w:tr>
      <w:tr w:rsidR="00224EF8" w:rsidRPr="0094448B" w14:paraId="45098C84" w14:textId="77777777" w:rsidTr="00416DEA">
        <w:tc>
          <w:tcPr>
            <w:tcW w:w="2689" w:type="dxa"/>
          </w:tcPr>
          <w:p w14:paraId="16DF671F" w14:textId="77777777" w:rsidR="00224EF8" w:rsidRPr="003A1844" w:rsidRDefault="00224EF8" w:rsidP="00416DEA">
            <w:pPr>
              <w:jc w:val="both"/>
              <w:rPr>
                <w:rFonts w:ascii="Verdana" w:hAnsi="Verdana" w:cs="Arial"/>
                <w:b/>
                <w:bCs/>
                <w:lang w:val="es-MX" w:eastAsia="es-ES" w:bidi="es-ES"/>
              </w:rPr>
            </w:pPr>
            <w:r w:rsidRPr="003A1844">
              <w:rPr>
                <w:rFonts w:ascii="Verdana" w:hAnsi="Verdana" w:cs="Arial"/>
                <w:b/>
                <w:bCs/>
                <w:lang w:val="es-MX" w:eastAsia="es-ES" w:bidi="es-ES"/>
              </w:rPr>
              <w:t xml:space="preserve">Radicación:               </w:t>
            </w:r>
          </w:p>
        </w:tc>
        <w:tc>
          <w:tcPr>
            <w:tcW w:w="6242" w:type="dxa"/>
          </w:tcPr>
          <w:p w14:paraId="1383DEDD" w14:textId="77777777" w:rsidR="00224EF8" w:rsidRPr="0094448B" w:rsidRDefault="00224EF8" w:rsidP="00416DEA">
            <w:pPr>
              <w:jc w:val="both"/>
              <w:rPr>
                <w:rFonts w:ascii="Verdana" w:hAnsi="Verdana" w:cs="Arial"/>
                <w:bCs/>
                <w:lang w:val="es-MX" w:eastAsia="es-ES" w:bidi="es-ES"/>
              </w:rPr>
            </w:pPr>
            <w:r w:rsidRPr="0094448B">
              <w:rPr>
                <w:rFonts w:ascii="Verdana" w:hAnsi="Verdana" w:cs="Arial"/>
                <w:bCs/>
                <w:lang w:val="es-MX" w:eastAsia="es-ES" w:bidi="es-ES"/>
              </w:rPr>
              <w:t xml:space="preserve">Respuesta a consulta con radicado </w:t>
            </w:r>
            <w:r w:rsidRPr="0094448B">
              <w:rPr>
                <w:rFonts w:ascii="Verdana" w:hAnsi="Verdana" w:cs="Arial"/>
                <w:bCs/>
                <w:lang w:eastAsia="es-ES" w:bidi="es-ES"/>
              </w:rPr>
              <w:t>No.</w:t>
            </w:r>
            <w:r w:rsidRPr="0094448B">
              <w:rPr>
                <w:rFonts w:ascii="Verdana" w:hAnsi="Verdana" w:cs="Arial"/>
                <w:bCs/>
                <w:lang w:val="es-MX" w:eastAsia="es-ES" w:bidi="es-ES"/>
              </w:rPr>
              <w:t xml:space="preserve"> </w:t>
            </w:r>
            <w:r w:rsidRPr="003A1844">
              <w:rPr>
                <w:rFonts w:ascii="Verdana" w:hAnsi="Verdana" w:cs="Arial"/>
                <w:bCs/>
                <w:lang w:eastAsia="es-ES" w:bidi="es-ES"/>
              </w:rPr>
              <w:t>1_2025_08_14_008511</w:t>
            </w:r>
          </w:p>
        </w:tc>
      </w:tr>
    </w:tbl>
    <w:p w14:paraId="1A6081B1" w14:textId="77777777" w:rsidR="00224EF8" w:rsidRDefault="00224EF8" w:rsidP="00224EF8">
      <w:pPr>
        <w:spacing w:after="0" w:line="240" w:lineRule="auto"/>
        <w:jc w:val="both"/>
        <w:rPr>
          <w:rFonts w:ascii="Verdana" w:hAnsi="Verdana" w:cs="Arial"/>
          <w:bCs/>
          <w:lang w:val="es-ES_tradnl" w:eastAsia="es-ES" w:bidi="es-ES"/>
        </w:rPr>
      </w:pPr>
    </w:p>
    <w:p w14:paraId="035C1FB2" w14:textId="77777777" w:rsidR="00224EF8" w:rsidRPr="0094448B" w:rsidRDefault="00224EF8" w:rsidP="00224EF8">
      <w:pPr>
        <w:spacing w:after="0" w:line="240" w:lineRule="auto"/>
        <w:jc w:val="both"/>
        <w:rPr>
          <w:rFonts w:ascii="Verdana" w:hAnsi="Verdana" w:cs="Arial"/>
          <w:bCs/>
          <w:lang w:val="es-ES_tradnl" w:eastAsia="es-ES" w:bidi="es-ES"/>
        </w:rPr>
      </w:pPr>
    </w:p>
    <w:p w14:paraId="0038B294" w14:textId="77777777" w:rsidR="00224EF8" w:rsidRPr="0094448B" w:rsidRDefault="00224EF8" w:rsidP="00224EF8">
      <w:pPr>
        <w:spacing w:after="0" w:line="240" w:lineRule="auto"/>
        <w:jc w:val="both"/>
        <w:rPr>
          <w:rFonts w:ascii="Verdana" w:hAnsi="Verdana" w:cs="Arial"/>
          <w:bCs/>
          <w:lang w:val="es-MX" w:eastAsia="es-ES" w:bidi="es-ES"/>
        </w:rPr>
      </w:pPr>
      <w:r>
        <w:rPr>
          <w:rFonts w:ascii="Verdana" w:hAnsi="Verdana" w:cs="Arial"/>
          <w:bCs/>
          <w:lang w:val="es-MX" w:eastAsia="es-ES" w:bidi="es-ES"/>
        </w:rPr>
        <w:t>Estimado Señor Guerrero</w:t>
      </w:r>
      <w:r w:rsidRPr="0094448B">
        <w:rPr>
          <w:rFonts w:ascii="Verdana" w:hAnsi="Verdana" w:cs="Arial"/>
          <w:bCs/>
          <w:lang w:val="es-MX" w:eastAsia="es-ES" w:bidi="es-ES"/>
        </w:rPr>
        <w:t xml:space="preserve">: </w:t>
      </w:r>
    </w:p>
    <w:p w14:paraId="1A27931D" w14:textId="77777777" w:rsidR="00224EF8" w:rsidRPr="0094448B" w:rsidRDefault="00224EF8" w:rsidP="00224EF8">
      <w:pPr>
        <w:spacing w:after="0" w:line="240" w:lineRule="auto"/>
        <w:jc w:val="both"/>
        <w:rPr>
          <w:rFonts w:ascii="Verdana" w:hAnsi="Verdana" w:cs="Arial"/>
          <w:bCs/>
          <w:lang w:val="es-ES" w:eastAsia="es-ES" w:bidi="es-ES"/>
        </w:rPr>
      </w:pPr>
      <w:r w:rsidRPr="0094448B">
        <w:rPr>
          <w:rFonts w:ascii="Verdana" w:hAnsi="Verdana" w:cs="Arial"/>
          <w:bCs/>
          <w:lang w:val="es-ES" w:eastAsia="es-ES" w:bidi="es-ES"/>
        </w:rPr>
        <w:tab/>
      </w:r>
    </w:p>
    <w:p w14:paraId="7B436D9D" w14:textId="77777777" w:rsidR="00224EF8" w:rsidRPr="003A1844" w:rsidRDefault="00224EF8" w:rsidP="00224EF8">
      <w:pPr>
        <w:spacing w:after="120" w:line="276" w:lineRule="auto"/>
        <w:jc w:val="both"/>
        <w:rPr>
          <w:rFonts w:ascii="Verdana" w:hAnsi="Verdana" w:cs="Arial"/>
          <w:bCs/>
          <w:lang w:eastAsia="es-ES" w:bidi="es-ES"/>
        </w:rPr>
      </w:pPr>
      <w:r w:rsidRPr="0094448B">
        <w:rPr>
          <w:rFonts w:ascii="Verdana" w:hAnsi="Verdana" w:cs="Arial"/>
          <w:bCs/>
          <w:lang w:val="es-ES" w:eastAsia="es-ES" w:bidi="es-ES"/>
        </w:rPr>
        <w:t xml:space="preserve">En ejercicio de la competencia otorgada por los artículos 3, numeral 5º, y 11, numeral 8º, del Decreto Ley 4170 de 2011, </w:t>
      </w:r>
      <w:r w:rsidRPr="0094448B">
        <w:rPr>
          <w:rFonts w:ascii="Verdana" w:hAnsi="Verdana" w:cs="Arial"/>
          <w:bCs/>
          <w:lang w:eastAsia="es-ES" w:bidi="es-ES"/>
        </w:rPr>
        <w:t xml:space="preserve">así como lo establecido por la Resolución 469 de 2025 expedida por esta Entidad, </w:t>
      </w:r>
      <w:r w:rsidRPr="0094448B">
        <w:rPr>
          <w:rFonts w:ascii="Verdana" w:hAnsi="Verdana" w:cs="Arial"/>
          <w:bCs/>
          <w:lang w:val="es-ES" w:eastAsia="es-ES" w:bidi="es-ES"/>
        </w:rPr>
        <w:t>la Agencia Nacional de Contratación Pública – Colombia Compra Eficiente– responde su solicitud de consulta de fecha del</w:t>
      </w:r>
      <w:r>
        <w:rPr>
          <w:rFonts w:ascii="Verdana" w:hAnsi="Verdana" w:cs="Arial"/>
          <w:bCs/>
          <w:lang w:val="es-ES" w:eastAsia="es-ES" w:bidi="es-ES"/>
        </w:rPr>
        <w:t xml:space="preserve"> 14 de agosto</w:t>
      </w:r>
      <w:r w:rsidRPr="0094448B">
        <w:rPr>
          <w:rFonts w:ascii="Verdana" w:hAnsi="Verdana" w:cs="Arial"/>
          <w:bCs/>
          <w:lang w:val="es-ES" w:eastAsia="es-ES" w:bidi="es-ES"/>
        </w:rPr>
        <w:t xml:space="preserve">, en la cual manifiesta: </w:t>
      </w:r>
      <w:r>
        <w:rPr>
          <w:rFonts w:ascii="Verdana" w:hAnsi="Verdana" w:cs="Arial"/>
          <w:bCs/>
          <w:lang w:val="es-ES" w:eastAsia="es-ES" w:bidi="es-ES"/>
        </w:rPr>
        <w:t>“</w:t>
      </w:r>
      <w:r w:rsidRPr="003A1844">
        <w:rPr>
          <w:rFonts w:ascii="Verdana" w:hAnsi="Verdana" w:cs="Arial"/>
          <w:bCs/>
          <w:lang w:eastAsia="es-ES" w:bidi="es-ES"/>
        </w:rPr>
        <w:t xml:space="preserve">Cuál es el marco normativo que establece la obligación a cargo de las </w:t>
      </w:r>
      <w:proofErr w:type="spellStart"/>
      <w:r w:rsidRPr="003A1844">
        <w:rPr>
          <w:rFonts w:ascii="Verdana" w:hAnsi="Verdana" w:cs="Arial"/>
          <w:bCs/>
          <w:lang w:eastAsia="es-ES" w:bidi="es-ES"/>
        </w:rPr>
        <w:t>ESEs</w:t>
      </w:r>
      <w:proofErr w:type="spellEnd"/>
      <w:r w:rsidRPr="003A1844">
        <w:rPr>
          <w:rFonts w:ascii="Verdana" w:hAnsi="Verdana" w:cs="Arial"/>
          <w:bCs/>
          <w:lang w:eastAsia="es-ES" w:bidi="es-ES"/>
        </w:rPr>
        <w:t xml:space="preserve"> departamentales de reportar la información de su contratación pública a las gerencias departamentales de las contralorías y a la Auditoría General de la República</w:t>
      </w:r>
      <w:r>
        <w:rPr>
          <w:rFonts w:ascii="Verdana" w:hAnsi="Verdana" w:cs="Arial"/>
          <w:bCs/>
          <w:lang w:eastAsia="es-ES" w:bidi="es-ES"/>
        </w:rPr>
        <w:t>”</w:t>
      </w:r>
      <w:r w:rsidRPr="003A1844">
        <w:rPr>
          <w:rFonts w:ascii="Verdana" w:hAnsi="Verdana" w:cs="Arial"/>
          <w:bCs/>
          <w:lang w:eastAsia="es-ES" w:bidi="es-ES"/>
        </w:rPr>
        <w:t xml:space="preserve">. </w:t>
      </w:r>
    </w:p>
    <w:p w14:paraId="64D12370" w14:textId="77777777" w:rsidR="00224EF8" w:rsidRPr="0094448B" w:rsidRDefault="00224EF8" w:rsidP="00224EF8">
      <w:pPr>
        <w:spacing w:after="120" w:line="276" w:lineRule="auto"/>
        <w:ind w:firstLine="709"/>
        <w:jc w:val="both"/>
        <w:rPr>
          <w:rFonts w:ascii="Verdana" w:eastAsia="Calibri" w:hAnsi="Verdana" w:cs="Times New Roman"/>
          <w:lang w:val="es-ES"/>
        </w:rPr>
      </w:pPr>
      <w:r w:rsidRPr="0094448B">
        <w:rPr>
          <w:rFonts w:ascii="Verdana" w:eastAsia="Calibri" w:hAnsi="Verdana" w:cs="Times New Roman"/>
          <w:lang w:val="es-ES"/>
        </w:rPr>
        <w:t xml:space="preserve">De manera preliminar, resulta necesario acotar que esta entidad solo tiene competencia para responder consultas sobre la aplicación de normas de carácter </w:t>
      </w:r>
      <w:r w:rsidRPr="0094448B">
        <w:rPr>
          <w:rFonts w:ascii="Verdana" w:eastAsia="Calibri" w:hAnsi="Verdana" w:cs="Times New Roman"/>
          <w:lang w:val="es-ES"/>
        </w:rPr>
        <w:lastRenderedPageBreak/>
        <w:t>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6497866" w14:textId="77777777" w:rsidR="00224EF8" w:rsidRPr="0094448B" w:rsidRDefault="00224EF8" w:rsidP="00224EF8">
      <w:pPr>
        <w:spacing w:after="0" w:line="276" w:lineRule="auto"/>
        <w:ind w:firstLine="708"/>
        <w:jc w:val="both"/>
        <w:rPr>
          <w:rFonts w:ascii="Verdana" w:eastAsia="Calibri" w:hAnsi="Verdana" w:cs="Times New Roman"/>
          <w:lang w:val="es-ES"/>
        </w:rPr>
      </w:pPr>
      <w:r w:rsidRPr="0094448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w:t>
      </w:r>
      <w:r>
        <w:rPr>
          <w:rFonts w:ascii="Verdana" w:eastAsia="Calibri" w:hAnsi="Verdana" w:cs="Times New Roman"/>
          <w:lang w:val="es-ES"/>
        </w:rPr>
        <w:t>con el problema jurídico de su consulta.</w:t>
      </w:r>
    </w:p>
    <w:p w14:paraId="0B9CAC70" w14:textId="77777777" w:rsidR="00224EF8" w:rsidRPr="0094448B" w:rsidRDefault="00224EF8" w:rsidP="00224EF8">
      <w:pPr>
        <w:spacing w:after="0" w:line="256" w:lineRule="auto"/>
        <w:rPr>
          <w:rFonts w:ascii="Verdana" w:eastAsia="Calibri" w:hAnsi="Verdana" w:cs="Times New Roman"/>
          <w:lang w:val="es-ES"/>
        </w:rPr>
      </w:pPr>
    </w:p>
    <w:p w14:paraId="148FEDD3" w14:textId="77777777" w:rsidR="00224EF8" w:rsidRPr="0094448B" w:rsidRDefault="00224EF8" w:rsidP="00224EF8">
      <w:pPr>
        <w:numPr>
          <w:ilvl w:val="0"/>
          <w:numId w:val="19"/>
        </w:numPr>
        <w:spacing w:after="0" w:line="256" w:lineRule="auto"/>
        <w:contextualSpacing/>
        <w:rPr>
          <w:rFonts w:ascii="Verdana" w:eastAsia="Calibri" w:hAnsi="Verdana" w:cs="Times New Roman"/>
          <w:b/>
          <w:bCs/>
          <w:lang w:val="es-ES"/>
        </w:rPr>
      </w:pPr>
      <w:r w:rsidRPr="0094448B">
        <w:rPr>
          <w:rFonts w:ascii="Verdana" w:eastAsia="Calibri" w:hAnsi="Verdana" w:cs="Times New Roman"/>
          <w:b/>
          <w:bCs/>
          <w:lang w:val="es-ES"/>
        </w:rPr>
        <w:t>Problema planteado:</w:t>
      </w:r>
    </w:p>
    <w:p w14:paraId="70A386C6" w14:textId="77777777" w:rsidR="00224EF8" w:rsidRPr="0094448B" w:rsidRDefault="00224EF8" w:rsidP="00224EF8">
      <w:pPr>
        <w:spacing w:after="0" w:line="256" w:lineRule="auto"/>
        <w:rPr>
          <w:rFonts w:ascii="Verdana" w:eastAsia="Calibri" w:hAnsi="Verdana" w:cs="Times New Roman"/>
        </w:rPr>
      </w:pPr>
    </w:p>
    <w:p w14:paraId="4C7652F0" w14:textId="77777777" w:rsidR="00224EF8" w:rsidRPr="0094448B" w:rsidRDefault="00224EF8" w:rsidP="00224EF8">
      <w:pPr>
        <w:spacing w:after="0" w:line="276" w:lineRule="auto"/>
        <w:jc w:val="both"/>
        <w:rPr>
          <w:rFonts w:ascii="Verdana" w:eastAsia="Calibri" w:hAnsi="Verdana" w:cs="Times New Roman"/>
          <w:bCs/>
        </w:rPr>
      </w:pPr>
      <w:r w:rsidRPr="0094448B">
        <w:rPr>
          <w:rFonts w:ascii="Verdana" w:eastAsia="Calibri" w:hAnsi="Verdana" w:cs="Times New Roman"/>
        </w:rPr>
        <w:t>De acuerdo con el contenido de sus solicitudes, esta Agencia procede a condensarlas en los s</w:t>
      </w:r>
      <w:r>
        <w:rPr>
          <w:rFonts w:ascii="Verdana" w:eastAsia="Calibri" w:hAnsi="Verdana" w:cs="Times New Roman"/>
        </w:rPr>
        <w:t xml:space="preserve">iguientes problemas jurídicos: ¿Cuál es el marco normativo de las Empresas Sociales del Estado del orden territorial </w:t>
      </w:r>
      <w:r>
        <w:rPr>
          <w:rFonts w:ascii="Verdana" w:eastAsia="Calibri" w:hAnsi="Verdana" w:cs="Times New Roman"/>
          <w:bCs/>
        </w:rPr>
        <w:t xml:space="preserve">en torno al deber </w:t>
      </w:r>
      <w:r w:rsidRPr="003A1844">
        <w:rPr>
          <w:rFonts w:ascii="Verdana" w:eastAsia="Calibri" w:hAnsi="Verdana" w:cs="Times New Roman"/>
          <w:bCs/>
        </w:rPr>
        <w:t xml:space="preserve">reportar la información de su contratación a las gerencias departamentales de </w:t>
      </w:r>
      <w:r>
        <w:rPr>
          <w:rFonts w:ascii="Verdana" w:eastAsia="Calibri" w:hAnsi="Verdana" w:cs="Times New Roman"/>
          <w:bCs/>
        </w:rPr>
        <w:t>la Contraloría General de la República y de la</w:t>
      </w:r>
      <w:r w:rsidRPr="003A1844">
        <w:rPr>
          <w:rFonts w:ascii="Verdana" w:eastAsia="Calibri" w:hAnsi="Verdana" w:cs="Times New Roman"/>
          <w:bCs/>
        </w:rPr>
        <w:t xml:space="preserve"> Auditoría General de la República</w:t>
      </w:r>
      <w:r>
        <w:rPr>
          <w:rFonts w:ascii="Verdana" w:eastAsia="Calibri" w:hAnsi="Verdana" w:cs="Times New Roman"/>
          <w:bCs/>
        </w:rPr>
        <w:t>?</w:t>
      </w:r>
    </w:p>
    <w:p w14:paraId="7258A883" w14:textId="77777777" w:rsidR="00224EF8" w:rsidRPr="0094448B" w:rsidRDefault="00224EF8" w:rsidP="00224EF8">
      <w:pPr>
        <w:spacing w:after="0" w:line="276" w:lineRule="auto"/>
        <w:jc w:val="both"/>
        <w:rPr>
          <w:rFonts w:ascii="Verdana" w:eastAsia="Calibri" w:hAnsi="Verdana" w:cs="Times New Roman"/>
          <w:bCs/>
        </w:rPr>
      </w:pPr>
    </w:p>
    <w:p w14:paraId="4E4595F0" w14:textId="77777777" w:rsidR="00224EF8" w:rsidRPr="0094448B" w:rsidRDefault="00224EF8" w:rsidP="00224EF8">
      <w:pPr>
        <w:numPr>
          <w:ilvl w:val="0"/>
          <w:numId w:val="19"/>
        </w:numPr>
        <w:spacing w:after="0" w:line="256" w:lineRule="auto"/>
        <w:contextualSpacing/>
        <w:rPr>
          <w:rFonts w:ascii="Verdana" w:eastAsia="Calibri" w:hAnsi="Verdana" w:cs="Times New Roman"/>
          <w:b/>
          <w:bCs/>
          <w:lang w:val="es-ES"/>
        </w:rPr>
      </w:pPr>
      <w:r w:rsidRPr="0094448B">
        <w:rPr>
          <w:rFonts w:ascii="Verdana" w:eastAsia="Calibri" w:hAnsi="Verdana" w:cs="Times New Roman"/>
          <w:b/>
          <w:bCs/>
          <w:lang w:val="es-ES"/>
        </w:rPr>
        <w:t>Respuesta:</w:t>
      </w:r>
    </w:p>
    <w:p w14:paraId="5E95E4D6" w14:textId="77777777" w:rsidR="00224EF8" w:rsidRPr="0094448B" w:rsidRDefault="00224EF8" w:rsidP="00224EF8">
      <w:pPr>
        <w:spacing w:after="0" w:line="240"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24EF8" w:rsidRPr="0094448B" w14:paraId="2C1EE669" w14:textId="77777777" w:rsidTr="00416DEA">
        <w:trPr>
          <w:trHeight w:val="870"/>
          <w:jc w:val="center"/>
        </w:trPr>
        <w:tc>
          <w:tcPr>
            <w:tcW w:w="8647" w:type="dxa"/>
          </w:tcPr>
          <w:p w14:paraId="3778DEFA" w14:textId="77777777" w:rsidR="00224EF8" w:rsidRDefault="00224EF8" w:rsidP="00416DEA">
            <w:pPr>
              <w:spacing w:before="120" w:after="120" w:line="276" w:lineRule="auto"/>
              <w:jc w:val="both"/>
              <w:rPr>
                <w:rFonts w:ascii="Verdana" w:eastAsia="Calibri" w:hAnsi="Verdana" w:cs="Arial"/>
              </w:rPr>
            </w:pPr>
            <w:r w:rsidRPr="0094448B">
              <w:rPr>
                <w:rFonts w:ascii="Verdana" w:hAnsi="Verdana" w:cs="Arial"/>
                <w:lang w:eastAsia="es-ES"/>
              </w:rPr>
              <w:t xml:space="preserve">De acuerdo con </w:t>
            </w:r>
            <w:r>
              <w:rPr>
                <w:rFonts w:ascii="Verdana" w:hAnsi="Verdana" w:cs="Arial"/>
                <w:lang w:eastAsia="es-ES"/>
              </w:rPr>
              <w:t>el problema jurídico</w:t>
            </w:r>
            <w:r w:rsidRPr="0094448B">
              <w:rPr>
                <w:rFonts w:ascii="Verdana" w:hAnsi="Verdana" w:cs="Arial"/>
                <w:lang w:eastAsia="es-ES"/>
              </w:rPr>
              <w:t xml:space="preserve">, objeto de consulta, </w:t>
            </w:r>
            <w:r>
              <w:rPr>
                <w:rFonts w:ascii="Verdana" w:hAnsi="Verdana" w:cs="Arial"/>
                <w:bCs/>
                <w:color w:val="000000" w:themeColor="text1"/>
                <w:lang w:val="es-ES_tradnl"/>
              </w:rPr>
              <w:t xml:space="preserve">se resalta que, </w:t>
            </w:r>
            <w:r w:rsidRPr="00084D59">
              <w:rPr>
                <w:rFonts w:ascii="Verdana" w:eastAsia="Calibri" w:hAnsi="Verdana" w:cs="Arial"/>
              </w:rPr>
              <w:t>el Decreto Ley 403 de 2020 “</w:t>
            </w:r>
            <w:r w:rsidRPr="00084D59">
              <w:rPr>
                <w:rFonts w:ascii="Verdana" w:eastAsia="Calibri" w:hAnsi="Verdana" w:cs="Arial"/>
                <w:i/>
                <w:iCs/>
              </w:rPr>
              <w:t>Por el cual se dictan normas para la correcta implementación del Acto Legislativo número 04 de 2019 y el fortalecimiento del control fiscal</w:t>
            </w:r>
            <w:r w:rsidRPr="00084D59">
              <w:rPr>
                <w:rFonts w:ascii="Verdana" w:eastAsia="Calibri" w:hAnsi="Verdana" w:cs="Arial"/>
              </w:rPr>
              <w:t>”, en su Título</w:t>
            </w:r>
            <w:r>
              <w:rPr>
                <w:rFonts w:ascii="Verdana" w:eastAsia="Calibri" w:hAnsi="Verdana" w:cs="Arial"/>
              </w:rPr>
              <w:t xml:space="preserve"> </w:t>
            </w:r>
            <w:hyperlink r:id="rId18" w:anchor="T.2" w:history="1">
              <w:r w:rsidRPr="00084D59">
                <w:rPr>
                  <w:rStyle w:val="Hipervnculo"/>
                  <w:rFonts w:ascii="Verdana" w:eastAsia="Calibri" w:hAnsi="Verdana" w:cs="Arial"/>
                  <w:color w:val="auto"/>
                </w:rPr>
                <w:t>II</w:t>
              </w:r>
            </w:hyperlink>
            <w:r w:rsidRPr="00084D59">
              <w:rPr>
                <w:rFonts w:ascii="Verdana" w:eastAsia="Calibri" w:hAnsi="Verdana" w:cs="Arial"/>
              </w:rPr>
              <w:t xml:space="preserve">, regula las competencias de la Contraloría General de la República y las contralorías territoriales, </w:t>
            </w:r>
            <w:r>
              <w:rPr>
                <w:rFonts w:ascii="Verdana" w:eastAsia="Calibri" w:hAnsi="Verdana" w:cs="Arial"/>
              </w:rPr>
              <w:t xml:space="preserve">disponiendo </w:t>
            </w:r>
            <w:r w:rsidRPr="00084D59">
              <w:rPr>
                <w:rFonts w:ascii="Verdana" w:eastAsia="Calibri" w:hAnsi="Verdana" w:cs="Arial"/>
              </w:rPr>
              <w:t>en el artículo</w:t>
            </w:r>
            <w:r>
              <w:rPr>
                <w:rFonts w:ascii="Verdana" w:eastAsia="Calibri" w:hAnsi="Verdana" w:cs="Arial"/>
              </w:rPr>
              <w:t xml:space="preserve"> </w:t>
            </w:r>
            <w:hyperlink r:id="rId19" w:anchor="4" w:history="1">
              <w:r w:rsidRPr="00E74BE7">
                <w:rPr>
                  <w:rStyle w:val="Hipervnculo"/>
                  <w:rFonts w:ascii="Verdana" w:eastAsia="Calibri" w:hAnsi="Verdana" w:cs="Arial"/>
                  <w:color w:val="auto"/>
                  <w:u w:val="none"/>
                </w:rPr>
                <w:t>4</w:t>
              </w:r>
            </w:hyperlink>
            <w:r w:rsidRPr="00E74BE7">
              <w:rPr>
                <w:rFonts w:ascii="Verdana" w:eastAsia="Calibri" w:hAnsi="Verdana" w:cs="Arial"/>
              </w:rPr>
              <w:t>º</w:t>
            </w:r>
            <w:r w:rsidRPr="00084D59">
              <w:rPr>
                <w:rFonts w:ascii="Verdana" w:eastAsia="Calibri" w:hAnsi="Verdana" w:cs="Arial"/>
              </w:rPr>
              <w:t xml:space="preserve"> que las contralorías territoriales vigilan y controlan la gestión fiscal de los departamentos, distritos, municipios y demás entidades del orden territorial, así como a los demás sujetos de control dentro de su respectiva jurisdicción, en relación con los recursos endógenos, en forma concurrente con la Contraloría General de la República, no obstante</w:t>
            </w:r>
            <w:r>
              <w:rPr>
                <w:rFonts w:ascii="Verdana" w:eastAsia="Calibri" w:hAnsi="Verdana" w:cs="Arial"/>
              </w:rPr>
              <w:t xml:space="preserve">, precisa </w:t>
            </w:r>
            <w:r w:rsidRPr="00084D59">
              <w:rPr>
                <w:rFonts w:ascii="Verdana" w:eastAsia="Calibri" w:hAnsi="Verdana" w:cs="Arial"/>
              </w:rPr>
              <w:lastRenderedPageBreak/>
              <w:t>que la vigilancia y control fiscal de los recursos transferidos o las rentas cedidas por la Nación a cualquier título a las entidades territoriales, será prevalente con sujeción a lo dispuesto en normas especiales.</w:t>
            </w:r>
            <w:r>
              <w:rPr>
                <w:rFonts w:ascii="Verdana" w:eastAsia="Calibri" w:hAnsi="Verdana" w:cs="Arial"/>
              </w:rPr>
              <w:t xml:space="preserve"> </w:t>
            </w:r>
          </w:p>
          <w:p w14:paraId="330EF29D" w14:textId="77777777" w:rsidR="00224EF8" w:rsidRDefault="00224EF8" w:rsidP="00416DEA">
            <w:pPr>
              <w:spacing w:before="120" w:after="120" w:line="276" w:lineRule="auto"/>
              <w:ind w:firstLine="709"/>
              <w:jc w:val="both"/>
              <w:rPr>
                <w:rFonts w:ascii="Verdana" w:hAnsi="Verdana" w:cs="Arial"/>
                <w:bCs/>
                <w:color w:val="000000" w:themeColor="text1"/>
              </w:rPr>
            </w:pPr>
            <w:r>
              <w:rPr>
                <w:rFonts w:ascii="Verdana" w:eastAsia="Calibri" w:hAnsi="Verdana" w:cs="Arial"/>
              </w:rPr>
              <w:t>En</w:t>
            </w:r>
            <w:r>
              <w:rPr>
                <w:rFonts w:ascii="Verdana" w:hAnsi="Verdana" w:cs="Arial"/>
                <w:bCs/>
                <w:color w:val="000000" w:themeColor="text1"/>
                <w:lang w:val="es-ES_tradnl"/>
              </w:rPr>
              <w:t xml:space="preserve"> el marco de dicho control y vigilancia fiscal por parte de la Contraloría General de la República y sus gerencias departamentales a la gestión contractual, </w:t>
            </w:r>
            <w:r w:rsidRPr="00497769">
              <w:rPr>
                <w:rFonts w:ascii="Verdana" w:hAnsi="Verdana" w:cs="Arial"/>
                <w:bCs/>
                <w:color w:val="000000" w:themeColor="text1"/>
              </w:rPr>
              <w:t>el artículo 59 del Decreto Ley</w:t>
            </w:r>
            <w:r>
              <w:rPr>
                <w:rFonts w:ascii="Verdana" w:hAnsi="Verdana" w:cs="Arial"/>
                <w:bCs/>
                <w:color w:val="000000" w:themeColor="text1"/>
              </w:rPr>
              <w:t xml:space="preserve"> 405 de 2020 </w:t>
            </w:r>
            <w:r w:rsidRPr="00497769">
              <w:rPr>
                <w:rFonts w:ascii="Verdana" w:hAnsi="Verdana" w:cs="Arial"/>
                <w:bCs/>
                <w:color w:val="000000" w:themeColor="text1"/>
              </w:rPr>
              <w:t>establece que la Contraloría General de la República podrá requerir, conocer y examinar todos los datos e información sobre hechos u operaciones, actos, contratos, programas, proyectos o procesos en ejecución, en los que se involucren recursos públicos y/o se afecten bienes o intereses patrimoniales de naturaleza pública, sin oponibilidad de reserva legal, de forma exclusiva para el ejercicio de sus funciones. Para ello, la Contraloría General de la República podrá apoyarse en la gestión</w:t>
            </w:r>
            <w:r>
              <w:rPr>
                <w:rFonts w:ascii="Verdana" w:hAnsi="Verdana" w:cs="Arial"/>
                <w:bCs/>
                <w:color w:val="000000" w:themeColor="text1"/>
              </w:rPr>
              <w:t xml:space="preserve"> inteligente de la información. </w:t>
            </w:r>
          </w:p>
          <w:p w14:paraId="5F7E4A0C" w14:textId="77777777" w:rsidR="00224EF8" w:rsidRDefault="00224EF8" w:rsidP="00416DEA">
            <w:pPr>
              <w:spacing w:before="120" w:after="120" w:line="276" w:lineRule="auto"/>
              <w:jc w:val="both"/>
              <w:rPr>
                <w:rFonts w:ascii="Verdana" w:hAnsi="Verdana" w:cs="Arial"/>
                <w:bCs/>
                <w:color w:val="000000" w:themeColor="text1"/>
              </w:rPr>
            </w:pPr>
            <w:r>
              <w:rPr>
                <w:rFonts w:ascii="Verdana" w:hAnsi="Verdana" w:cs="Arial"/>
                <w:bCs/>
                <w:color w:val="000000" w:themeColor="text1"/>
              </w:rPr>
              <w:tab/>
              <w:t xml:space="preserve">En este </w:t>
            </w:r>
            <w:r w:rsidRPr="008717B9">
              <w:rPr>
                <w:rFonts w:ascii="Verdana" w:hAnsi="Verdana" w:cs="Arial"/>
                <w:bCs/>
                <w:color w:val="000000" w:themeColor="text1"/>
              </w:rPr>
              <w:t>seguimiento y control a la gestión contractual, también se encuentra la Resolución REG-ORG 063-2023 DE 2023, “</w:t>
            </w:r>
            <w:r w:rsidRPr="008717B9">
              <w:rPr>
                <w:rFonts w:ascii="Verdana" w:hAnsi="Verdana" w:cs="Arial"/>
                <w:bCs/>
                <w:i/>
                <w:iCs/>
                <w:color w:val="000000" w:themeColor="text1"/>
              </w:rPr>
              <w:t>Por la cual se reglamenta la rendición de información por parte de las entidades o particulares que manejen fondos o bienes públicos, en todos los niveles administrativos y respecto de todo tipo de recursos públicos, para la vigilancia y el control fiscal de las finanzas y contabilidad públicas</w:t>
            </w:r>
            <w:r>
              <w:rPr>
                <w:rFonts w:ascii="Verdana" w:hAnsi="Verdana" w:cs="Arial"/>
                <w:b/>
                <w:bCs/>
                <w:i/>
                <w:iCs/>
                <w:color w:val="000000" w:themeColor="text1"/>
              </w:rPr>
              <w:t xml:space="preserve">”, </w:t>
            </w:r>
            <w:r w:rsidRPr="00554240">
              <w:rPr>
                <w:rFonts w:ascii="Verdana" w:hAnsi="Verdana" w:cs="Arial"/>
                <w:bCs/>
                <w:iCs/>
                <w:color w:val="000000" w:themeColor="text1"/>
              </w:rPr>
              <w:t>establece en</w:t>
            </w:r>
            <w:r w:rsidRPr="00554240">
              <w:rPr>
                <w:rFonts w:ascii="Verdana" w:hAnsi="Verdana" w:cs="Arial"/>
                <w:bCs/>
                <w:color w:val="000000" w:themeColor="text1"/>
              </w:rPr>
              <w:t xml:space="preserve"> el</w:t>
            </w:r>
            <w:r>
              <w:rPr>
                <w:rFonts w:ascii="Verdana" w:hAnsi="Verdana" w:cs="Arial"/>
                <w:bCs/>
                <w:color w:val="000000" w:themeColor="text1"/>
              </w:rPr>
              <w:t xml:space="preserve"> artículo 44 que l</w:t>
            </w:r>
            <w:r w:rsidRPr="007B2D07">
              <w:rPr>
                <w:rFonts w:ascii="Verdana" w:hAnsi="Verdana" w:cs="Arial"/>
                <w:bCs/>
                <w:color w:val="000000" w:themeColor="text1"/>
              </w:rPr>
              <w:t>as entidades de que trata el inciso primero del artículo 2° de</w:t>
            </w:r>
            <w:r>
              <w:rPr>
                <w:rFonts w:ascii="Verdana" w:hAnsi="Verdana" w:cs="Arial"/>
                <w:bCs/>
                <w:color w:val="000000" w:themeColor="text1"/>
              </w:rPr>
              <w:t xml:space="preserve"> la presente resolución, entre las que se incluyen </w:t>
            </w:r>
            <w:r w:rsidRPr="00670827">
              <w:rPr>
                <w:rFonts w:ascii="Verdana" w:hAnsi="Verdana" w:cs="Arial"/>
                <w:bCs/>
                <w:color w:val="000000" w:themeColor="text1"/>
              </w:rPr>
              <w:t>las entidades descentralizadas territorialmente o por servicios directas o indirectas de cualquier orden,</w:t>
            </w:r>
            <w:r>
              <w:rPr>
                <w:rFonts w:ascii="Verdana" w:hAnsi="Verdana" w:cs="Arial"/>
                <w:bCs/>
                <w:color w:val="000000" w:themeColor="text1"/>
              </w:rPr>
              <w:t xml:space="preserve"> como es el caso de la Empresas Sociales del Estado del orden departamental</w:t>
            </w:r>
            <w:r w:rsidRPr="00670827">
              <w:rPr>
                <w:rFonts w:ascii="Verdana" w:hAnsi="Verdana" w:cs="Arial"/>
                <w:bCs/>
                <w:color w:val="000000" w:themeColor="text1"/>
              </w:rPr>
              <w:t xml:space="preserve"> </w:t>
            </w:r>
            <w:r>
              <w:rPr>
                <w:rFonts w:ascii="Verdana" w:hAnsi="Verdana" w:cs="Arial"/>
                <w:bCs/>
                <w:color w:val="000000" w:themeColor="text1"/>
              </w:rPr>
              <w:t>deben</w:t>
            </w:r>
            <w:r w:rsidRPr="007B2D07">
              <w:rPr>
                <w:rFonts w:ascii="Verdana" w:hAnsi="Verdana" w:cs="Arial"/>
                <w:bCs/>
                <w:color w:val="000000" w:themeColor="text1"/>
              </w:rPr>
              <w:t xml:space="preserve"> reportar anualmente, con corte a 31 de diciembre, a la Contraloría General de la República, Contraloría Delegada para Economía y Finanzas Públicas la información sobre personal y costos tanto de la planta de personal como contratación de prestación de servicios hasta el 15 de marzo del año inmediatamente siguiente, a través del Consolidador de Hacienda e Información Pública (CHIP).</w:t>
            </w:r>
          </w:p>
          <w:p w14:paraId="0AEBA679" w14:textId="77777777" w:rsidR="00224EF8" w:rsidRPr="00DE4BCE" w:rsidRDefault="00224EF8" w:rsidP="00416DEA">
            <w:pPr>
              <w:widowControl w:val="0"/>
              <w:autoSpaceDE w:val="0"/>
              <w:autoSpaceDN w:val="0"/>
              <w:spacing w:after="120" w:line="276" w:lineRule="auto"/>
              <w:ind w:firstLine="709"/>
              <w:jc w:val="both"/>
              <w:rPr>
                <w:rFonts w:ascii="Verdana" w:hAnsi="Verdana" w:cs="Arial"/>
                <w:bCs/>
                <w:color w:val="000000" w:themeColor="text1"/>
              </w:rPr>
            </w:pPr>
            <w:r>
              <w:rPr>
                <w:rFonts w:ascii="Verdana" w:hAnsi="Verdana" w:cs="Arial"/>
                <w:bCs/>
                <w:color w:val="000000" w:themeColor="text1"/>
              </w:rPr>
              <w:t xml:space="preserve">Este tipo de controles a la actividad contractual es sin perjuicio de las competencias de las </w:t>
            </w:r>
            <w:r w:rsidRPr="00AA1D91">
              <w:rPr>
                <w:rFonts w:ascii="Verdana" w:hAnsi="Verdana" w:cs="Arial"/>
                <w:bCs/>
                <w:color w:val="000000" w:themeColor="text1"/>
              </w:rPr>
              <w:t>c</w:t>
            </w:r>
            <w:r>
              <w:rPr>
                <w:rFonts w:ascii="Verdana" w:hAnsi="Verdana" w:cs="Arial"/>
                <w:bCs/>
                <w:color w:val="000000" w:themeColor="text1"/>
              </w:rPr>
              <w:t xml:space="preserve">ontralorías territoriales de vigilar y controlar </w:t>
            </w:r>
            <w:r w:rsidRPr="00AA1D91">
              <w:rPr>
                <w:rFonts w:ascii="Verdana" w:hAnsi="Verdana" w:cs="Arial"/>
                <w:bCs/>
                <w:color w:val="000000" w:themeColor="text1"/>
              </w:rPr>
              <w:t>la gestión fiscal de los departamentos, distritos, municipios y demás entidades del orden territorial,</w:t>
            </w:r>
            <w:r>
              <w:rPr>
                <w:rFonts w:ascii="Verdana" w:hAnsi="Verdana" w:cs="Arial"/>
                <w:bCs/>
                <w:color w:val="000000" w:themeColor="text1"/>
              </w:rPr>
              <w:t xml:space="preserve"> como de detalla en las razones de la respuesta. Para ello, se destaca, que: “[…] l</w:t>
            </w:r>
            <w:r w:rsidRPr="00634A96">
              <w:rPr>
                <w:rFonts w:ascii="Verdana" w:hAnsi="Verdana" w:cs="Arial"/>
                <w:bCs/>
                <w:color w:val="000000" w:themeColor="text1"/>
              </w:rPr>
              <w:t xml:space="preserve">os contralores territoriales podrán prescribir los procedimientos técnicos de control, los métodos y la forma de rendir cuentas por parte de los responsables del manejo de fondos o bienes públicos e indicar los criterios de evaluación financiera, operativa y de resultados que </w:t>
            </w:r>
            <w:r w:rsidRPr="00634A96">
              <w:rPr>
                <w:rFonts w:ascii="Verdana" w:hAnsi="Verdana" w:cs="Arial"/>
                <w:bCs/>
                <w:color w:val="000000" w:themeColor="text1"/>
              </w:rPr>
              <w:lastRenderedPageBreak/>
              <w:t>deberán seguirse dentro de su área de competencia</w:t>
            </w:r>
            <w:r>
              <w:rPr>
                <w:rFonts w:ascii="Verdana" w:hAnsi="Verdana" w:cs="Arial"/>
                <w:bCs/>
                <w:color w:val="000000" w:themeColor="text1"/>
              </w:rPr>
              <w:t>”</w:t>
            </w:r>
            <w:r w:rsidRPr="00634A96">
              <w:rPr>
                <w:rFonts w:ascii="Verdana" w:hAnsi="Verdana" w:cs="Arial"/>
                <w:bCs/>
                <w:color w:val="000000" w:themeColor="text1"/>
              </w:rPr>
              <w:t>;</w:t>
            </w:r>
            <w:r>
              <w:rPr>
                <w:rFonts w:ascii="Verdana" w:hAnsi="Verdana" w:cs="Arial"/>
                <w:bCs/>
                <w:color w:val="000000" w:themeColor="text1"/>
              </w:rPr>
              <w:t xml:space="preserve"> esto, sin dejar de lado la competencia de unificación y estandarización de la vigilancia y control fiscal que está en el Contralor General de República que tiene un carácter vinculante. </w:t>
            </w:r>
          </w:p>
          <w:p w14:paraId="0D5E29F4" w14:textId="77777777" w:rsidR="00224EF8" w:rsidRDefault="00224EF8" w:rsidP="00416DEA">
            <w:pPr>
              <w:widowControl w:val="0"/>
              <w:autoSpaceDE w:val="0"/>
              <w:autoSpaceDN w:val="0"/>
              <w:spacing w:after="120" w:line="276" w:lineRule="auto"/>
              <w:ind w:firstLine="709"/>
              <w:jc w:val="both"/>
              <w:rPr>
                <w:rFonts w:ascii="Verdana" w:hAnsi="Verdana" w:cs="Arial"/>
                <w:bCs/>
                <w:color w:val="000000" w:themeColor="text1"/>
              </w:rPr>
            </w:pPr>
            <w:r>
              <w:rPr>
                <w:rFonts w:ascii="Verdana" w:hAnsi="Verdana" w:cs="Arial"/>
                <w:bCs/>
                <w:color w:val="000000" w:themeColor="text1"/>
              </w:rPr>
              <w:t>Ahora bien, con respecto a la Auditoria General de la República se precisa que es</w:t>
            </w:r>
            <w:r w:rsidRPr="009851F9">
              <w:rPr>
                <w:rFonts w:ascii="Verdana" w:hAnsi="Verdana" w:cs="Arial"/>
                <w:bCs/>
                <w:color w:val="000000" w:themeColor="text1"/>
              </w:rPr>
              <w:t xml:space="preserve"> un organismo de vigilancia de la gestión fiscal, dotado de autonomía jurídica, administrativa, contractual y presupuestal, el cual está a cargo del Auditor de que trata el artículo </w:t>
            </w:r>
            <w:r>
              <w:rPr>
                <w:rFonts w:ascii="Verdana" w:hAnsi="Verdana" w:cs="Arial"/>
                <w:bCs/>
                <w:color w:val="000000" w:themeColor="text1"/>
              </w:rPr>
              <w:t xml:space="preserve">274 de la Constitución Política, de conformidad con el artículo 1° del Decreto Ley 272 de 2000. Así mismo, cumple la función: “[…] </w:t>
            </w:r>
            <w:r w:rsidRPr="00855695">
              <w:rPr>
                <w:rFonts w:ascii="Verdana" w:hAnsi="Verdana" w:cs="Arial"/>
                <w:bCs/>
                <w:color w:val="000000" w:themeColor="text1"/>
              </w:rPr>
              <w:t>ejercer la vigilancia de la gestión fiscal de la Contraloría General de la República y de las contralorías departamentales, en los términos que este Decreto establece</w:t>
            </w:r>
            <w:r>
              <w:rPr>
                <w:rFonts w:ascii="Verdana" w:hAnsi="Verdana" w:cs="Arial"/>
                <w:bCs/>
                <w:color w:val="000000" w:themeColor="text1"/>
              </w:rPr>
              <w:t>” –artículo 2 del Decreto Ley 272 de 2000-</w:t>
            </w:r>
            <w:r w:rsidRPr="00855695">
              <w:rPr>
                <w:rFonts w:ascii="Verdana" w:hAnsi="Verdana" w:cs="Arial"/>
                <w:bCs/>
                <w:color w:val="000000" w:themeColor="text1"/>
              </w:rPr>
              <w:t>.</w:t>
            </w:r>
          </w:p>
          <w:p w14:paraId="707C3FBE" w14:textId="77777777" w:rsidR="00224EF8" w:rsidRDefault="00224EF8" w:rsidP="00416DEA">
            <w:pPr>
              <w:widowControl w:val="0"/>
              <w:autoSpaceDE w:val="0"/>
              <w:autoSpaceDN w:val="0"/>
              <w:spacing w:after="120" w:line="276" w:lineRule="auto"/>
              <w:jc w:val="both"/>
              <w:rPr>
                <w:rFonts w:ascii="Verdana" w:hAnsi="Verdana" w:cs="Arial"/>
                <w:bCs/>
                <w:color w:val="000000" w:themeColor="text1"/>
              </w:rPr>
            </w:pPr>
            <w:r>
              <w:rPr>
                <w:rFonts w:ascii="Verdana" w:hAnsi="Verdana" w:cs="Arial"/>
                <w:bCs/>
                <w:color w:val="000000" w:themeColor="text1"/>
              </w:rPr>
              <w:tab/>
              <w:t xml:space="preserve">En el marco de dicha función de ejercer la vigilancia fiscal, el artículo 31 del Decreto Ley 403 de 2020, establece que podrá acceder sin restricción a la información de las contralorías y por su intermedio a la de sus sujetos vigilados, en las condiciones prescritas en el artículo 27 de la Ley 1437 de 2011, así como en los artículos 3 y 21 del Decreto Ley 272 de 2000 y los principios de colaboración armónica y coordinación. En tal sentido, la Auditoria puede acceder a la información de los procesos de responsabilidad fiscal, procesos auditores, entre otros, sin oponibilidad, con el fin de revisar los resultados o que se presuma que pudo haber ocurrido un daño patrimonial. De tal modo, la Auditoría General de la República puede conocer de forma indirecta la gestión de las Empresas Sociales del Estado como entidades descentralizadas por servicios que hacen parte de la estructura de la Rama Ejecutiva del Poder Público. </w:t>
            </w:r>
          </w:p>
          <w:p w14:paraId="69A64E83" w14:textId="77777777" w:rsidR="00224EF8" w:rsidRPr="006963EA" w:rsidRDefault="00224EF8" w:rsidP="00416DEA">
            <w:pPr>
              <w:spacing w:after="120" w:line="276" w:lineRule="auto"/>
              <w:ind w:firstLine="709"/>
              <w:jc w:val="both"/>
              <w:rPr>
                <w:rFonts w:ascii="Verdana" w:hAnsi="Verdana" w:cs="Arial"/>
                <w:color w:val="000000" w:themeColor="text1"/>
                <w:lang w:val="es-ES"/>
              </w:rPr>
            </w:pPr>
            <w:r w:rsidRPr="5D85977E">
              <w:rPr>
                <w:rFonts w:ascii="Verdana" w:eastAsia="Calibri" w:hAnsi="Verdana" w:cs="Times New Roman"/>
                <w:lang w:val="es-ES"/>
              </w:rPr>
              <w:t xml:space="preserve">En todo caso, </w:t>
            </w:r>
            <w:r w:rsidRPr="5D85977E">
              <w:rPr>
                <w:rFonts w:ascii="Verdana" w:hAnsi="Verdana" w:cs="Arial"/>
                <w:color w:val="000000" w:themeColor="text1"/>
                <w:lang w:val="es-ES"/>
              </w:rPr>
              <w:t xml:space="preserve">de acuerdo con el inciso 3 del artículo 226 del Código General del Proceso, aplicable por remisión del artículo 241 del Código General Disciplinario, el presente oficio no tiene el valor de un dictamen pericial, pues versa sobre puntos de derecho. En consecuencia, lo decidido en torno a los procesos que se estén tramitando, es responsabilidad única y exclusiva de la Procuraduría General de la Nación. </w:t>
            </w:r>
          </w:p>
        </w:tc>
      </w:tr>
    </w:tbl>
    <w:p w14:paraId="387A166C" w14:textId="77777777" w:rsidR="00224EF8" w:rsidRDefault="00224EF8" w:rsidP="00224EF8">
      <w:pPr>
        <w:spacing w:after="0" w:line="276" w:lineRule="auto"/>
        <w:jc w:val="both"/>
        <w:rPr>
          <w:rFonts w:ascii="Verdana" w:eastAsia="Calibri" w:hAnsi="Verdana" w:cs="Arial"/>
          <w:bCs/>
          <w:color w:val="000000" w:themeColor="text1"/>
        </w:rPr>
      </w:pPr>
    </w:p>
    <w:p w14:paraId="3EBB03A1" w14:textId="77777777" w:rsidR="00224EF8" w:rsidRPr="0094448B" w:rsidRDefault="00224EF8" w:rsidP="00224EF8">
      <w:pPr>
        <w:spacing w:after="0" w:line="276" w:lineRule="auto"/>
        <w:jc w:val="both"/>
        <w:rPr>
          <w:rFonts w:ascii="Verdana" w:eastAsia="Calibri" w:hAnsi="Verdana" w:cs="Arial"/>
          <w:bCs/>
          <w:color w:val="000000" w:themeColor="text1"/>
        </w:rPr>
      </w:pPr>
    </w:p>
    <w:p w14:paraId="2786FB86" w14:textId="77777777" w:rsidR="00224EF8" w:rsidRPr="0094448B" w:rsidRDefault="00224EF8" w:rsidP="00224EF8">
      <w:pPr>
        <w:numPr>
          <w:ilvl w:val="0"/>
          <w:numId w:val="19"/>
        </w:numPr>
        <w:spacing w:after="0" w:line="256" w:lineRule="auto"/>
        <w:rPr>
          <w:rFonts w:ascii="Verdana" w:eastAsia="Calibri" w:hAnsi="Verdana" w:cs="Times New Roman"/>
          <w:b/>
          <w:bCs/>
          <w:lang w:val="es-ES"/>
        </w:rPr>
      </w:pPr>
      <w:r w:rsidRPr="0094448B">
        <w:rPr>
          <w:rFonts w:ascii="Verdana" w:eastAsia="Calibri" w:hAnsi="Verdana" w:cs="Times New Roman"/>
          <w:b/>
          <w:bCs/>
          <w:lang w:val="es-ES"/>
        </w:rPr>
        <w:t>Razones de la respuesta:</w:t>
      </w:r>
    </w:p>
    <w:p w14:paraId="006C1AD3" w14:textId="77777777" w:rsidR="00224EF8" w:rsidRPr="0094448B" w:rsidRDefault="00224EF8" w:rsidP="00224EF8">
      <w:pPr>
        <w:spacing w:after="0" w:line="256" w:lineRule="auto"/>
        <w:rPr>
          <w:rFonts w:ascii="Verdana" w:eastAsia="Calibri" w:hAnsi="Verdana" w:cs="Times New Roman"/>
          <w:b/>
          <w:bCs/>
          <w:lang w:val="es-ES"/>
        </w:rPr>
      </w:pPr>
    </w:p>
    <w:p w14:paraId="4E4DCDA5" w14:textId="77777777" w:rsidR="00224EF8" w:rsidRPr="0094448B" w:rsidRDefault="00224EF8" w:rsidP="00224EF8">
      <w:pPr>
        <w:spacing w:after="0" w:line="276" w:lineRule="auto"/>
        <w:jc w:val="both"/>
        <w:rPr>
          <w:rFonts w:ascii="Verdana" w:eastAsia="Calibri" w:hAnsi="Verdana" w:cs="Arial"/>
          <w:lang w:val="es-ES"/>
        </w:rPr>
      </w:pPr>
      <w:r w:rsidRPr="0094448B">
        <w:rPr>
          <w:rFonts w:ascii="Verdana" w:eastAsia="Calibri" w:hAnsi="Verdana" w:cs="Arial"/>
          <w:lang w:val="es-ES"/>
        </w:rPr>
        <w:t xml:space="preserve">Lo anterior se sustenta en las siguientes consideraciones: </w:t>
      </w:r>
    </w:p>
    <w:p w14:paraId="19D7073D" w14:textId="77777777" w:rsidR="00224EF8" w:rsidRPr="0094448B" w:rsidRDefault="00224EF8" w:rsidP="00224EF8">
      <w:pPr>
        <w:spacing w:after="0" w:line="276" w:lineRule="auto"/>
        <w:jc w:val="both"/>
        <w:rPr>
          <w:rFonts w:ascii="Verdana" w:eastAsia="Calibri" w:hAnsi="Verdana" w:cs="Arial"/>
          <w:lang w:val="es-ES"/>
        </w:rPr>
      </w:pPr>
    </w:p>
    <w:p w14:paraId="693D7B5C" w14:textId="77777777" w:rsidR="00224EF8" w:rsidRPr="0094448B" w:rsidRDefault="00224EF8" w:rsidP="00224EF8">
      <w:pPr>
        <w:spacing w:after="120" w:line="276" w:lineRule="auto"/>
        <w:jc w:val="both"/>
        <w:rPr>
          <w:rFonts w:ascii="Verdana" w:hAnsi="Verdana" w:cs="Arial"/>
        </w:rPr>
      </w:pPr>
      <w:r w:rsidRPr="0094448B">
        <w:rPr>
          <w:rFonts w:ascii="Verdana" w:eastAsia="Calibri" w:hAnsi="Verdana" w:cs="Arial"/>
          <w:bCs/>
          <w:lang w:val="es-ES_tradnl"/>
        </w:rPr>
        <w:t xml:space="preserve">i. </w:t>
      </w:r>
      <w:r w:rsidRPr="0094448B">
        <w:rPr>
          <w:rFonts w:ascii="Verdana" w:eastAsia="Calibri" w:hAnsi="Verdana" w:cs="Arial"/>
          <w:lang w:val="es-ES"/>
        </w:rPr>
        <w:t xml:space="preserve">Respecto al régimen jurídico de las </w:t>
      </w:r>
      <w:r w:rsidRPr="0094448B">
        <w:rPr>
          <w:rFonts w:ascii="Verdana" w:eastAsia="Calibri" w:hAnsi="Verdana" w:cs="Arial"/>
          <w:i/>
          <w:iCs/>
          <w:lang w:val="es-ES"/>
        </w:rPr>
        <w:t>entidades sometidas</w:t>
      </w:r>
      <w:r w:rsidRPr="0094448B">
        <w:rPr>
          <w:rFonts w:ascii="Verdana" w:eastAsia="Calibri" w:hAnsi="Verdana" w:cs="Arial"/>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94448B">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76B26E35" w14:textId="77777777" w:rsidR="00224EF8" w:rsidRPr="0094448B" w:rsidRDefault="00224EF8" w:rsidP="00224EF8">
      <w:pPr>
        <w:spacing w:after="120" w:line="276" w:lineRule="auto"/>
        <w:ind w:firstLine="709"/>
        <w:jc w:val="both"/>
        <w:rPr>
          <w:rFonts w:ascii="Verdana" w:hAnsi="Verdana" w:cs="Arial"/>
        </w:rPr>
      </w:pPr>
      <w:r w:rsidRPr="0094448B">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363AD5C6" w14:textId="77777777" w:rsidR="00224EF8" w:rsidRPr="0094448B" w:rsidRDefault="00224EF8" w:rsidP="00224EF8">
      <w:pPr>
        <w:spacing w:after="0" w:line="276" w:lineRule="auto"/>
        <w:ind w:firstLine="708"/>
        <w:jc w:val="both"/>
        <w:rPr>
          <w:rFonts w:ascii="Verdana" w:hAnsi="Verdana" w:cs="Arial"/>
        </w:rPr>
      </w:pPr>
      <w:r w:rsidRPr="0094448B">
        <w:rPr>
          <w:rFonts w:ascii="Verdana" w:hAnsi="Verdana" w:cs="Arial"/>
        </w:rPr>
        <w:t>De esta manera, los contratos de las entidades sujetas al Estatuto General de Contratación se rigen generalmente por el derecho privado y excepcionalmente por el derecho público, pues las normas civiles y comerciales son el derecho común de los contratos estatales</w:t>
      </w:r>
      <w:r w:rsidRPr="0094448B">
        <w:rPr>
          <w:rFonts w:ascii="Verdana" w:hAnsi="Verdana" w:cs="Arial"/>
          <w:vertAlign w:val="superscript"/>
        </w:rPr>
        <w:footnoteReference w:id="2"/>
      </w:r>
      <w:r w:rsidRPr="0094448B">
        <w:rPr>
          <w:rFonts w:ascii="Verdana" w:hAnsi="Verdana" w:cs="Arial"/>
        </w:rPr>
        <w:t>. Para la doctrina, la mixtura del régimen contractual:</w:t>
      </w:r>
    </w:p>
    <w:p w14:paraId="0A27E3C6" w14:textId="77777777" w:rsidR="00224EF8" w:rsidRPr="0094448B" w:rsidRDefault="00224EF8" w:rsidP="00224EF8">
      <w:pPr>
        <w:spacing w:after="0" w:line="276" w:lineRule="auto"/>
        <w:ind w:firstLine="709"/>
        <w:jc w:val="both"/>
        <w:rPr>
          <w:rFonts w:ascii="Verdana" w:hAnsi="Verdana" w:cs="Arial"/>
        </w:rPr>
      </w:pPr>
    </w:p>
    <w:p w14:paraId="3759EA6A" w14:textId="77777777" w:rsidR="00224EF8" w:rsidRPr="0094448B" w:rsidRDefault="00224EF8" w:rsidP="00224EF8">
      <w:pPr>
        <w:spacing w:after="0" w:line="240" w:lineRule="auto"/>
        <w:ind w:left="709" w:right="709"/>
        <w:jc w:val="both"/>
        <w:rPr>
          <w:rFonts w:ascii="Verdana" w:hAnsi="Verdana" w:cs="Arial"/>
          <w:sz w:val="21"/>
          <w:szCs w:val="21"/>
        </w:rPr>
      </w:pPr>
      <w:r w:rsidRPr="0094448B">
        <w:rPr>
          <w:rFonts w:ascii="Verdana" w:hAnsi="Verdana" w:cs="Arial"/>
          <w:sz w:val="21"/>
          <w:szCs w:val="21"/>
        </w:rPr>
        <w:t xml:space="preserve">“[…] no hace otra cosa que aprovechar ciertos principios rectores de la contratación general </w:t>
      </w:r>
      <w:proofErr w:type="gramStart"/>
      <w:r w:rsidRPr="0094448B">
        <w:rPr>
          <w:rFonts w:ascii="Verdana" w:hAnsi="Verdana" w:cs="Arial"/>
          <w:sz w:val="21"/>
          <w:szCs w:val="21"/>
        </w:rPr>
        <w:t>que</w:t>
      </w:r>
      <w:proofErr w:type="gramEnd"/>
      <w:r w:rsidRPr="0094448B">
        <w:rPr>
          <w:rFonts w:ascii="Verdana" w:hAnsi="Verdana" w:cs="Arial"/>
          <w:sz w:val="21"/>
          <w:szCs w:val="21"/>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0F82A2ED" w14:textId="77777777" w:rsidR="00224EF8" w:rsidRPr="0094448B" w:rsidRDefault="00224EF8" w:rsidP="00224EF8">
      <w:pPr>
        <w:spacing w:after="0" w:line="240" w:lineRule="auto"/>
        <w:ind w:left="709" w:right="709"/>
        <w:jc w:val="both"/>
        <w:rPr>
          <w:rFonts w:ascii="Verdana" w:hAnsi="Verdana" w:cs="Arial"/>
          <w:sz w:val="21"/>
          <w:szCs w:val="21"/>
        </w:rPr>
      </w:pPr>
    </w:p>
    <w:p w14:paraId="21B11D57" w14:textId="77777777" w:rsidR="00224EF8" w:rsidRPr="0094448B" w:rsidRDefault="00224EF8" w:rsidP="00224EF8">
      <w:pPr>
        <w:spacing w:after="0" w:line="240" w:lineRule="auto"/>
        <w:ind w:left="709" w:right="709"/>
        <w:jc w:val="both"/>
        <w:rPr>
          <w:rFonts w:ascii="Verdana" w:hAnsi="Verdana" w:cs="Arial"/>
          <w:sz w:val="21"/>
          <w:szCs w:val="21"/>
        </w:rPr>
      </w:pPr>
      <w:r w:rsidRPr="0094448B">
        <w:rPr>
          <w:rFonts w:ascii="Verdana" w:hAnsi="Verdana" w:cs="Arial"/>
          <w:sz w:val="21"/>
          <w:szCs w:val="21"/>
        </w:rPr>
        <w:lastRenderedPageBreak/>
        <w:t>En otras palabras, extremos como los indicados no son ni de derecho público ni de derecho privado, sino, simplemente, de derecho propio, aplicables a toda relación contractual, con prescindencia de la naturaleza de los sujetos involucrados en la misma”</w:t>
      </w:r>
      <w:r w:rsidRPr="0094448B">
        <w:rPr>
          <w:rFonts w:ascii="Verdana" w:hAnsi="Verdana" w:cs="Arial"/>
          <w:sz w:val="21"/>
          <w:szCs w:val="21"/>
          <w:vertAlign w:val="superscript"/>
        </w:rPr>
        <w:footnoteReference w:id="3"/>
      </w:r>
      <w:r w:rsidRPr="0094448B">
        <w:rPr>
          <w:rFonts w:ascii="Verdana" w:hAnsi="Verdana" w:cs="Arial"/>
          <w:sz w:val="21"/>
          <w:szCs w:val="21"/>
        </w:rPr>
        <w:t xml:space="preserve">. </w:t>
      </w:r>
    </w:p>
    <w:p w14:paraId="22BF51C6" w14:textId="77777777" w:rsidR="00224EF8" w:rsidRPr="0094448B" w:rsidRDefault="00224EF8" w:rsidP="00224EF8">
      <w:pPr>
        <w:spacing w:after="0" w:line="276" w:lineRule="auto"/>
        <w:ind w:left="709" w:right="709"/>
        <w:jc w:val="both"/>
        <w:rPr>
          <w:rFonts w:ascii="Verdana" w:hAnsi="Verdana" w:cs="Arial"/>
        </w:rPr>
      </w:pPr>
      <w:r w:rsidRPr="0094448B">
        <w:rPr>
          <w:rFonts w:ascii="Verdana" w:hAnsi="Verdana" w:cs="Arial"/>
        </w:rPr>
        <w:t xml:space="preserve"> </w:t>
      </w:r>
    </w:p>
    <w:p w14:paraId="20B0D121" w14:textId="77777777" w:rsidR="00224EF8" w:rsidRPr="0094448B" w:rsidRDefault="00224EF8" w:rsidP="00224EF8">
      <w:pPr>
        <w:spacing w:after="120" w:line="276" w:lineRule="auto"/>
        <w:jc w:val="both"/>
        <w:rPr>
          <w:rFonts w:ascii="Verdana" w:hAnsi="Verdana" w:cs="Arial"/>
        </w:rPr>
      </w:pPr>
      <w:r w:rsidRPr="0094448B">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3A539B4E" w14:textId="77777777" w:rsidR="00224EF8" w:rsidRPr="0094448B" w:rsidRDefault="00224EF8" w:rsidP="00224EF8">
      <w:pPr>
        <w:spacing w:after="120" w:line="276" w:lineRule="auto"/>
        <w:ind w:firstLine="709"/>
        <w:jc w:val="both"/>
        <w:rPr>
          <w:rFonts w:ascii="Verdana" w:hAnsi="Verdana" w:cs="Arial"/>
        </w:rPr>
      </w:pPr>
      <w:r w:rsidRPr="0094448B">
        <w:rPr>
          <w:rFonts w:ascii="Verdana" w:hAnsi="Verdana" w:cs="Arial"/>
        </w:rPr>
        <w:t xml:space="preserve">No obstante, aunque tenga una influencia limitada, las </w:t>
      </w:r>
      <w:r w:rsidRPr="0094448B">
        <w:rPr>
          <w:rFonts w:ascii="Verdana" w:hAnsi="Verdana" w:cs="Arial"/>
          <w:i/>
          <w:iCs/>
        </w:rPr>
        <w:t>entidades del régimen exceptuado</w:t>
      </w:r>
      <w:r w:rsidRPr="0094448B">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3479E1A5" w14:textId="77777777" w:rsidR="00224EF8" w:rsidRPr="0094448B" w:rsidRDefault="00224EF8" w:rsidP="00224EF8">
      <w:pPr>
        <w:spacing w:after="0" w:line="276" w:lineRule="auto"/>
        <w:ind w:firstLine="708"/>
        <w:jc w:val="both"/>
        <w:rPr>
          <w:rFonts w:ascii="Verdana" w:hAnsi="Verdana" w:cs="Arial"/>
        </w:rPr>
      </w:pPr>
      <w:r w:rsidRPr="0094448B">
        <w:rPr>
          <w:rFonts w:ascii="Verdana" w:hAnsi="Verdana" w:cs="Arial"/>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94448B">
        <w:rPr>
          <w:rFonts w:ascii="Verdana" w:hAnsi="Verdana" w:cs="Arial"/>
        </w:rPr>
        <w:t>ii</w:t>
      </w:r>
      <w:proofErr w:type="spellEnd"/>
      <w:r w:rsidRPr="0094448B">
        <w:rPr>
          <w:rFonts w:ascii="Verdana" w:hAnsi="Verdana" w:cs="Arial"/>
        </w:rPr>
        <w:t xml:space="preserve">) flexibilizar el ejercicio de la función administrativa –como en los contratos del Banco de la República o los de ciencia y tecnología– o </w:t>
      </w:r>
      <w:proofErr w:type="spellStart"/>
      <w:r w:rsidRPr="0094448B">
        <w:rPr>
          <w:rFonts w:ascii="Verdana" w:hAnsi="Verdana" w:cs="Arial"/>
        </w:rPr>
        <w:t>iii</w:t>
      </w:r>
      <w:proofErr w:type="spellEnd"/>
      <w:r w:rsidRPr="0094448B">
        <w:rPr>
          <w:rFonts w:ascii="Verdana" w:hAnsi="Verdana" w:cs="Arial"/>
        </w:rPr>
        <w:t>) establecer un régimen especial sin excluir por completo la aplicación de la Ley 80 de 1993 –como ocurre en la operaciones del crédito público–</w:t>
      </w:r>
      <w:r w:rsidRPr="0094448B">
        <w:rPr>
          <w:rFonts w:ascii="Verdana" w:hAnsi="Verdana" w:cs="Arial"/>
          <w:vertAlign w:val="superscript"/>
        </w:rPr>
        <w:footnoteReference w:id="4"/>
      </w:r>
      <w:r w:rsidRPr="0094448B">
        <w:rPr>
          <w:rFonts w:ascii="Verdana" w:hAnsi="Verdana" w:cs="Arial"/>
        </w:rPr>
        <w:t xml:space="preserve">.  Para estos efectos, la doctrina ha identificado 171 entidades y contratos que manejan un régimen excepcional, los cuales se clasifican de acuerdo i) al sector económico, </w:t>
      </w:r>
      <w:proofErr w:type="spellStart"/>
      <w:r w:rsidRPr="0094448B">
        <w:rPr>
          <w:rFonts w:ascii="Verdana" w:hAnsi="Verdana" w:cs="Arial"/>
        </w:rPr>
        <w:lastRenderedPageBreak/>
        <w:t>ii</w:t>
      </w:r>
      <w:proofErr w:type="spellEnd"/>
      <w:r w:rsidRPr="0094448B">
        <w:rPr>
          <w:rFonts w:ascii="Verdana" w:hAnsi="Verdana" w:cs="Arial"/>
        </w:rPr>
        <w:t xml:space="preserve">) la asignación de un esquema legal especial, </w:t>
      </w:r>
      <w:proofErr w:type="spellStart"/>
      <w:r w:rsidRPr="0094448B">
        <w:rPr>
          <w:rFonts w:ascii="Verdana" w:hAnsi="Verdana" w:cs="Arial"/>
        </w:rPr>
        <w:t>iii</w:t>
      </w:r>
      <w:proofErr w:type="spellEnd"/>
      <w:r w:rsidRPr="0094448B">
        <w:rPr>
          <w:rFonts w:ascii="Verdana" w:hAnsi="Verdana" w:cs="Arial"/>
        </w:rPr>
        <w:t xml:space="preserve">) el objeto del contrato celebrado y </w:t>
      </w:r>
      <w:proofErr w:type="spellStart"/>
      <w:r w:rsidRPr="0094448B">
        <w:rPr>
          <w:rFonts w:ascii="Verdana" w:hAnsi="Verdana" w:cs="Arial"/>
        </w:rPr>
        <w:t>iv</w:t>
      </w:r>
      <w:proofErr w:type="spellEnd"/>
      <w:r w:rsidRPr="0094448B">
        <w:rPr>
          <w:rFonts w:ascii="Verdana" w:hAnsi="Verdana" w:cs="Arial"/>
        </w:rPr>
        <w:t>) la existencia de fondos que administran recursos públicos</w:t>
      </w:r>
      <w:r w:rsidRPr="0094448B">
        <w:rPr>
          <w:rFonts w:ascii="Verdana" w:hAnsi="Verdana" w:cs="Arial"/>
          <w:vertAlign w:val="superscript"/>
        </w:rPr>
        <w:footnoteReference w:id="5"/>
      </w:r>
      <w:r w:rsidRPr="0094448B">
        <w:rPr>
          <w:rFonts w:ascii="Verdana" w:hAnsi="Verdana" w:cs="Arial"/>
        </w:rPr>
        <w:t>.</w:t>
      </w:r>
    </w:p>
    <w:p w14:paraId="42D23668" w14:textId="77777777" w:rsidR="00224EF8" w:rsidRPr="0094448B" w:rsidRDefault="00224EF8" w:rsidP="00224EF8">
      <w:pPr>
        <w:spacing w:after="0" w:line="276" w:lineRule="auto"/>
        <w:jc w:val="both"/>
        <w:rPr>
          <w:rFonts w:ascii="Verdana" w:hAnsi="Verdana" w:cs="Arial"/>
          <w:bCs/>
          <w:lang w:val="es-MX"/>
        </w:rPr>
      </w:pPr>
    </w:p>
    <w:p w14:paraId="157E07DB" w14:textId="77777777" w:rsidR="00224EF8" w:rsidRPr="003A1844" w:rsidRDefault="00224EF8" w:rsidP="00224EF8">
      <w:pPr>
        <w:spacing w:after="0" w:line="276" w:lineRule="auto"/>
        <w:jc w:val="both"/>
        <w:rPr>
          <w:rFonts w:ascii="Verdana" w:hAnsi="Verdana" w:cs="Arial"/>
          <w:lang w:val="es-MX"/>
        </w:rPr>
      </w:pPr>
      <w:proofErr w:type="spellStart"/>
      <w:r w:rsidRPr="0094448B">
        <w:rPr>
          <w:rFonts w:ascii="Verdana" w:eastAsia="Arial MT" w:hAnsi="Verdana" w:cs="Arial MT"/>
          <w:lang w:val="es-ES"/>
        </w:rPr>
        <w:t>ii</w:t>
      </w:r>
      <w:proofErr w:type="spellEnd"/>
      <w:r w:rsidRPr="0094448B">
        <w:rPr>
          <w:rFonts w:ascii="Verdana" w:eastAsia="Arial MT" w:hAnsi="Verdana" w:cs="Arial MT"/>
          <w:lang w:val="es-ES"/>
        </w:rPr>
        <w:t xml:space="preserve">. </w:t>
      </w:r>
      <w:r w:rsidRPr="003A1844">
        <w:rPr>
          <w:rFonts w:ascii="Verdana" w:hAnsi="Verdana" w:cs="Arial"/>
          <w:lang w:val="es-MX"/>
        </w:rPr>
        <w:t>Una de las Entidades Estatales con régimen especial son las Empresas Sociales del Estado – ESE, sobre las que redunda el objeto de su concepto. Estas empresas han sido entendidas como Entidades Públicas que, conforme al artículo 194 de la Ley 100 de 1993, constituyen una categoría especial, descentralizada por servicios, con personería jurídica, patrimonio propio y autonomía administrativa</w:t>
      </w:r>
      <w:r w:rsidRPr="003A1844">
        <w:rPr>
          <w:rFonts w:ascii="Verdana" w:hAnsi="Verdana" w:cs="Arial"/>
          <w:vertAlign w:val="superscript"/>
          <w:lang w:val="es-MX"/>
        </w:rPr>
        <w:footnoteReference w:id="6"/>
      </w:r>
      <w:r w:rsidRPr="003A1844">
        <w:rPr>
          <w:rFonts w:ascii="Verdana"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1F000865" w14:textId="77777777" w:rsidR="00224EF8" w:rsidRPr="003A1844" w:rsidRDefault="00224EF8" w:rsidP="00224EF8">
      <w:pPr>
        <w:spacing w:after="0" w:line="276" w:lineRule="auto"/>
        <w:ind w:firstLine="709"/>
        <w:jc w:val="both"/>
        <w:rPr>
          <w:rFonts w:ascii="Verdana" w:hAnsi="Verdana" w:cs="Arial"/>
          <w:lang w:val="es-MX"/>
        </w:rPr>
      </w:pPr>
    </w:p>
    <w:p w14:paraId="5F4EC822" w14:textId="77777777" w:rsidR="00224EF8" w:rsidRPr="003A1844" w:rsidRDefault="00224EF8" w:rsidP="00224EF8">
      <w:pPr>
        <w:spacing w:after="0" w:line="240" w:lineRule="auto"/>
        <w:ind w:left="709" w:right="709"/>
        <w:jc w:val="both"/>
        <w:rPr>
          <w:rFonts w:ascii="Verdana" w:eastAsia="Calibri" w:hAnsi="Verdana" w:cs="Arial"/>
          <w:sz w:val="20"/>
          <w:szCs w:val="20"/>
        </w:rPr>
      </w:pPr>
      <w:r w:rsidRPr="003A1844">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sidRPr="003A1844">
        <w:rPr>
          <w:rFonts w:ascii="Verdana" w:eastAsia="Calibri" w:hAnsi="Verdana" w:cs="Arial"/>
          <w:sz w:val="20"/>
          <w:szCs w:val="20"/>
          <w:vertAlign w:val="superscript"/>
        </w:rPr>
        <w:footnoteReference w:id="7"/>
      </w:r>
      <w:r w:rsidRPr="003A1844">
        <w:rPr>
          <w:rFonts w:ascii="Verdana" w:eastAsia="Calibri" w:hAnsi="Verdana" w:cs="Arial"/>
          <w:sz w:val="20"/>
          <w:szCs w:val="20"/>
        </w:rPr>
        <w:t xml:space="preserve">. </w:t>
      </w:r>
    </w:p>
    <w:p w14:paraId="6C609817" w14:textId="77777777" w:rsidR="00224EF8" w:rsidRPr="003A1844" w:rsidRDefault="00224EF8" w:rsidP="00224EF8">
      <w:pPr>
        <w:spacing w:after="0" w:line="276" w:lineRule="auto"/>
        <w:ind w:left="709" w:right="709"/>
        <w:jc w:val="both"/>
        <w:rPr>
          <w:rFonts w:ascii="Verdana" w:eastAsia="Calibri" w:hAnsi="Verdana" w:cs="Arial"/>
        </w:rPr>
      </w:pPr>
    </w:p>
    <w:p w14:paraId="50B79F18" w14:textId="77777777" w:rsidR="00224EF8" w:rsidRPr="003A1844" w:rsidRDefault="00224EF8" w:rsidP="00224EF8">
      <w:pPr>
        <w:widowControl w:val="0"/>
        <w:autoSpaceDE w:val="0"/>
        <w:autoSpaceDN w:val="0"/>
        <w:spacing w:after="120" w:line="276" w:lineRule="auto"/>
        <w:ind w:right="102" w:firstLine="709"/>
        <w:jc w:val="both"/>
        <w:rPr>
          <w:rFonts w:ascii="Verdana" w:eastAsia="Arial" w:hAnsi="Verdana" w:cs="Arial"/>
          <w:lang w:val="es-ES"/>
        </w:rPr>
      </w:pPr>
      <w:r w:rsidRPr="003A1844">
        <w:rPr>
          <w:rFonts w:ascii="Verdana" w:eastAsia="Arial" w:hAnsi="Verdana" w:cs="Arial"/>
          <w:lang w:val="es-ES"/>
        </w:rPr>
        <w:t xml:space="preserve">De la cita precedente se puede concluir entonces que, las Empresas Sociales del Estado </w:t>
      </w:r>
      <w:r w:rsidRPr="003A1844">
        <w:rPr>
          <w:rFonts w:ascii="Verdana" w:eastAsia="Arial" w:hAnsi="Verdana" w:cs="Arial"/>
          <w:lang w:val="es-MX"/>
        </w:rPr>
        <w:t>–ESE–</w:t>
      </w:r>
      <w:r w:rsidRPr="003A1844">
        <w:rPr>
          <w:rFonts w:ascii="Verdana" w:eastAsia="Arial" w:hAnsi="Verdana" w:cs="Arial"/>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2F5F358F" w14:textId="77777777" w:rsidR="00224EF8" w:rsidRPr="003A1844" w:rsidRDefault="00224EF8" w:rsidP="00224EF8">
      <w:pPr>
        <w:spacing w:after="120" w:line="276" w:lineRule="auto"/>
        <w:ind w:firstLine="709"/>
        <w:jc w:val="both"/>
        <w:rPr>
          <w:rFonts w:ascii="Verdana" w:hAnsi="Verdana" w:cs="Arial"/>
        </w:rPr>
      </w:pPr>
      <w:r w:rsidRPr="003A1844">
        <w:rPr>
          <w:rFonts w:ascii="Verdana" w:hAnsi="Verdana" w:cs="Arial"/>
        </w:rPr>
        <w:t xml:space="preserve">Por su parte, en lo que a materia contractual se refiere, de conformidad con el numeral 6 del artículo 195 de la Ley 100 de 1993, el régimen de contratación de las </w:t>
      </w:r>
      <w:r w:rsidRPr="003A1844">
        <w:rPr>
          <w:rFonts w:ascii="Verdana" w:hAnsi="Verdana" w:cs="Arial"/>
          <w:lang w:val="es-MX"/>
        </w:rPr>
        <w:t>–ESE–</w:t>
      </w:r>
      <w:r w:rsidRPr="003A1844">
        <w:rPr>
          <w:rFonts w:ascii="Verdana" w:hAnsi="Verdana"/>
        </w:rPr>
        <w:t xml:space="preserve"> </w:t>
      </w:r>
      <w:r w:rsidRPr="003A1844">
        <w:rPr>
          <w:rFonts w:ascii="Verdana" w:hAnsi="Verdana" w:cs="Arial"/>
        </w:rPr>
        <w:t xml:space="preserve">es el de derecho privado, es decir, se rige por las disposiciones contenidas en el Código de Comercio y en el Código Civil, aplicables </w:t>
      </w:r>
      <w:r w:rsidRPr="003A1844">
        <w:rPr>
          <w:rFonts w:ascii="Verdana" w:hAnsi="Verdana" w:cs="Arial"/>
        </w:rPr>
        <w:lastRenderedPageBreak/>
        <w:t xml:space="preserve">en lo que resulten pertinentes, salvo en las materias particularmente reguladas </w:t>
      </w:r>
      <w:r w:rsidRPr="003A1844">
        <w:rPr>
          <w:rFonts w:ascii="Verdana" w:eastAsia="Calibri" w:hAnsi="Verdana" w:cs="Arial"/>
        </w:rPr>
        <w:t xml:space="preserve">por el derecho público. </w:t>
      </w:r>
      <w:r w:rsidRPr="003A1844">
        <w:rPr>
          <w:rFonts w:ascii="Verdana" w:hAnsi="Verdana" w:cs="Arial"/>
        </w:rPr>
        <w:t>La norma referida prescribe que: “En materia contractual se regirá por el derecho privado, pero podrá discrecionalmente utilizar las cláusulas exorbitantes previstas en el estatuto general de contratación de la administración pública”.</w:t>
      </w:r>
    </w:p>
    <w:p w14:paraId="7296809E" w14:textId="77777777" w:rsidR="00224EF8" w:rsidRPr="003A1844" w:rsidRDefault="00224EF8" w:rsidP="00224EF8">
      <w:pPr>
        <w:widowControl w:val="0"/>
        <w:autoSpaceDE w:val="0"/>
        <w:autoSpaceDN w:val="0"/>
        <w:spacing w:after="0" w:line="276" w:lineRule="auto"/>
        <w:ind w:right="102" w:firstLine="709"/>
        <w:jc w:val="both"/>
        <w:rPr>
          <w:rFonts w:ascii="Verdana" w:eastAsia="Arial" w:hAnsi="Verdana" w:cs="Arial"/>
          <w:lang w:val="es-ES"/>
        </w:rPr>
      </w:pPr>
      <w:r w:rsidRPr="003A1844">
        <w:rPr>
          <w:rFonts w:ascii="Verdana" w:eastAsia="Arial" w:hAnsi="Verdana" w:cs="Arial"/>
          <w:lang w:val="es-ES"/>
        </w:rPr>
        <w:t xml:space="preserve">En consecuencia, </w:t>
      </w:r>
      <w:r w:rsidRPr="003A1844">
        <w:rPr>
          <w:rFonts w:ascii="Verdana" w:eastAsia="Calibri" w:hAnsi="Verdana" w:cs="Arial"/>
          <w:color w:val="000000" w:themeColor="text1"/>
          <w:lang w:val="es-MX"/>
        </w:rPr>
        <w:t xml:space="preserve">las </w:t>
      </w:r>
      <w:r w:rsidRPr="003A1844">
        <w:rPr>
          <w:rFonts w:ascii="Verdana" w:eastAsia="Arial" w:hAnsi="Verdana" w:cs="Arial"/>
          <w:lang w:val="es-MX"/>
        </w:rPr>
        <w:t>–ESE–</w:t>
      </w:r>
      <w:r w:rsidRPr="003A1844">
        <w:rPr>
          <w:rFonts w:ascii="Verdana" w:eastAsia="Arial" w:hAnsi="Verdana" w:cs="Arial"/>
          <w:lang w:val="es-ES"/>
        </w:rPr>
        <w:t xml:space="preserve"> </w:t>
      </w:r>
      <w:r w:rsidRPr="003A1844">
        <w:rPr>
          <w:rFonts w:ascii="Verdana" w:eastAsia="Calibri" w:hAnsi="Verdana" w:cs="Arial"/>
          <w:color w:val="000000" w:themeColor="text1"/>
          <w:lang w:val="es-MX"/>
        </w:rPr>
        <w:t xml:space="preserve">no están sometidas al EGCAP ni a las normas que lo reglamentan o complementan, ya que, por disposición expresa de la norma transcrita, sus </w:t>
      </w:r>
      <w:r w:rsidRPr="003A1844">
        <w:rPr>
          <w:rFonts w:ascii="Verdana" w:eastAsia="Arial" w:hAnsi="Verdana" w:cs="Arial"/>
          <w:lang w:val="es-ES"/>
        </w:rPr>
        <w:t>contratos se rigen por el derecho privado. Sin embargo, esta circunstancia no implica la inobservancia de los principios de la función administrativa y la gestión fiscal, teniendo en cuenta que su objet</w:t>
      </w:r>
      <w:r>
        <w:rPr>
          <w:rFonts w:ascii="Verdana" w:eastAsia="Arial" w:hAnsi="Verdana" w:cs="Arial"/>
          <w:lang w:val="es-ES"/>
        </w:rPr>
        <w:t>o, conforme a la Sentencia C-665</w:t>
      </w:r>
      <w:r w:rsidRPr="003A1844">
        <w:rPr>
          <w:rFonts w:ascii="Verdana" w:eastAsia="Arial" w:hAnsi="Verdana" w:cs="Arial"/>
          <w:lang w:val="es-ES"/>
        </w:rPr>
        <w:t xml:space="preserve"> de 2000 de la Corte Constitucional, corresponde a la prestación del servicio de salud a cargo del Estado o como parte del servicio de seguridad social</w:t>
      </w:r>
      <w:r w:rsidRPr="003A1844">
        <w:rPr>
          <w:rFonts w:ascii="Verdana" w:eastAsia="Arial" w:hAnsi="Verdana" w:cs="Arial"/>
          <w:vertAlign w:val="superscript"/>
          <w:lang w:val="es-ES"/>
        </w:rPr>
        <w:footnoteReference w:id="8"/>
      </w:r>
      <w:r w:rsidRPr="003A1844">
        <w:rPr>
          <w:rFonts w:ascii="Verdana" w:eastAsia="Arial" w:hAnsi="Verdana" w:cs="Arial"/>
          <w:lang w:val="es-ES"/>
        </w:rPr>
        <w:t>. En esta misma línea, el artículo 83 de la Ley 489 de 1998, dispuso lo</w:t>
      </w:r>
      <w:r w:rsidRPr="003A1844">
        <w:rPr>
          <w:rFonts w:ascii="Verdana" w:eastAsia="Arial" w:hAnsi="Verdana" w:cs="Arial"/>
          <w:spacing w:val="-12"/>
          <w:lang w:val="es-ES"/>
        </w:rPr>
        <w:t xml:space="preserve"> </w:t>
      </w:r>
      <w:r w:rsidRPr="003A1844">
        <w:rPr>
          <w:rFonts w:ascii="Verdana" w:eastAsia="Arial" w:hAnsi="Verdana" w:cs="Arial"/>
          <w:lang w:val="es-ES"/>
        </w:rPr>
        <w:t>siguiente:</w:t>
      </w:r>
    </w:p>
    <w:p w14:paraId="12D12D27" w14:textId="77777777" w:rsidR="00224EF8" w:rsidRPr="003A1844" w:rsidRDefault="00224EF8" w:rsidP="00224EF8">
      <w:pPr>
        <w:widowControl w:val="0"/>
        <w:autoSpaceDE w:val="0"/>
        <w:autoSpaceDN w:val="0"/>
        <w:spacing w:after="0" w:line="276" w:lineRule="auto"/>
        <w:ind w:right="102" w:firstLine="709"/>
        <w:jc w:val="both"/>
        <w:rPr>
          <w:rFonts w:ascii="Verdana" w:eastAsia="Arial" w:hAnsi="Verdana" w:cs="Arial"/>
          <w:lang w:val="es-ES"/>
        </w:rPr>
      </w:pPr>
    </w:p>
    <w:p w14:paraId="7DBDFF77" w14:textId="77777777" w:rsidR="00224EF8" w:rsidRPr="003A1844" w:rsidRDefault="00224EF8" w:rsidP="00224EF8">
      <w:pPr>
        <w:widowControl w:val="0"/>
        <w:autoSpaceDE w:val="0"/>
        <w:autoSpaceDN w:val="0"/>
        <w:spacing w:after="0" w:line="240" w:lineRule="auto"/>
        <w:ind w:left="709" w:right="709"/>
        <w:jc w:val="both"/>
        <w:rPr>
          <w:rFonts w:ascii="Verdana" w:eastAsia="Arial" w:hAnsi="Verdana" w:cs="Arial"/>
          <w:sz w:val="20"/>
          <w:szCs w:val="20"/>
          <w:lang w:val="es-ES"/>
        </w:rPr>
      </w:pPr>
      <w:r w:rsidRPr="003A1844">
        <w:rPr>
          <w:rFonts w:ascii="Verdana" w:eastAsia="Arial" w:hAnsi="Verdana" w:cs="Arial"/>
          <w:sz w:val="20"/>
          <w:szCs w:val="20"/>
          <w:lang w:val="es-ES"/>
        </w:rPr>
        <w:t>“Artículo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3A1844">
        <w:rPr>
          <w:rFonts w:ascii="Verdana" w:eastAsia="Arial" w:hAnsi="Verdana" w:cs="Arial"/>
          <w:spacing w:val="-1"/>
          <w:sz w:val="20"/>
          <w:szCs w:val="20"/>
          <w:lang w:val="es-ES"/>
        </w:rPr>
        <w:t xml:space="preserve"> </w:t>
      </w:r>
      <w:r w:rsidRPr="003A1844">
        <w:rPr>
          <w:rFonts w:ascii="Verdana" w:eastAsia="Arial" w:hAnsi="Verdana" w:cs="Arial"/>
          <w:sz w:val="20"/>
          <w:szCs w:val="20"/>
          <w:lang w:val="es-ES"/>
        </w:rPr>
        <w:t>adicionen.”</w:t>
      </w:r>
    </w:p>
    <w:p w14:paraId="7CFE7150" w14:textId="77777777" w:rsidR="00224EF8" w:rsidRPr="003A1844" w:rsidRDefault="00224EF8" w:rsidP="00224EF8">
      <w:pPr>
        <w:widowControl w:val="0"/>
        <w:autoSpaceDE w:val="0"/>
        <w:autoSpaceDN w:val="0"/>
        <w:spacing w:after="0" w:line="276" w:lineRule="auto"/>
        <w:jc w:val="both"/>
        <w:rPr>
          <w:rFonts w:ascii="Verdana" w:eastAsia="Arial" w:hAnsi="Verdana" w:cs="Arial"/>
          <w:lang w:val="es-ES"/>
        </w:rPr>
      </w:pPr>
    </w:p>
    <w:p w14:paraId="484DF848" w14:textId="77777777" w:rsidR="00224EF8" w:rsidRPr="003A1844" w:rsidRDefault="00224EF8" w:rsidP="00224EF8">
      <w:pPr>
        <w:tabs>
          <w:tab w:val="left" w:pos="709"/>
        </w:tabs>
        <w:spacing w:after="120" w:line="276" w:lineRule="auto"/>
        <w:jc w:val="both"/>
        <w:rPr>
          <w:rFonts w:ascii="Verdana" w:eastAsia="Calibri" w:hAnsi="Verdana" w:cs="Arial"/>
          <w:color w:val="000000" w:themeColor="text1"/>
        </w:rPr>
      </w:pPr>
      <w:r w:rsidRPr="003A1844">
        <w:rPr>
          <w:rFonts w:ascii="Verdana" w:eastAsia="Calibri" w:hAnsi="Verdana" w:cs="Arial"/>
          <w:color w:val="000000" w:themeColor="text1"/>
          <w:lang w:val="es-ES"/>
        </w:rPr>
        <w:tab/>
        <w:t xml:space="preserve">Esta también ha sido la interpretación del Ministerio de Salud y Protección Social, que en el Concepto No. </w:t>
      </w:r>
      <w:r w:rsidRPr="003A1844">
        <w:rPr>
          <w:rFonts w:ascii="Verdana" w:eastAsia="Calibri" w:hAnsi="Verdana" w:cs="Arial"/>
          <w:color w:val="000000" w:themeColor="text1"/>
        </w:rPr>
        <w:t>201942301304712</w:t>
      </w:r>
      <w:r w:rsidRPr="003A1844">
        <w:rPr>
          <w:rFonts w:ascii="Verdana" w:eastAsia="Calibri" w:hAnsi="Verdana" w:cs="Arial"/>
          <w:color w:val="000000" w:themeColor="text1"/>
          <w:lang w:val="es-ES"/>
        </w:rPr>
        <w:t xml:space="preserve"> de 2019, reiterando lo expuesto por la Sala de Consulta y Servicio Civil del Consejo de Estado</w:t>
      </w:r>
      <w:r w:rsidRPr="003A1844">
        <w:rPr>
          <w:rFonts w:ascii="Verdana" w:eastAsia="Calibri" w:hAnsi="Verdana" w:cs="Arial"/>
          <w:color w:val="000000" w:themeColor="text1"/>
          <w:vertAlign w:val="superscript"/>
          <w:lang w:val="es-ES"/>
        </w:rPr>
        <w:footnoteReference w:id="9"/>
      </w:r>
      <w:r w:rsidRPr="003A1844">
        <w:rPr>
          <w:rFonts w:ascii="Verdana" w:eastAsia="Calibri" w:hAnsi="Verdana" w:cs="Arial"/>
          <w:color w:val="000000" w:themeColor="text1"/>
          <w:lang w:val="es-ES"/>
        </w:rPr>
        <w:t xml:space="preserve">, expresó que “[…] </w:t>
      </w:r>
      <w:r w:rsidRPr="003A1844">
        <w:rPr>
          <w:rFonts w:ascii="Verdana" w:eastAsia="Calibri" w:hAnsi="Verdana" w:cs="Arial"/>
          <w:color w:val="000000" w:themeColor="text1"/>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3A1844">
        <w:rPr>
          <w:rFonts w:ascii="Verdana" w:eastAsia="Calibri" w:hAnsi="Verdana" w:cs="Arial"/>
          <w:color w:val="000000" w:themeColor="text1"/>
          <w:vertAlign w:val="superscript"/>
          <w:lang w:val="es-ES"/>
        </w:rPr>
        <w:footnoteReference w:id="10"/>
      </w:r>
      <w:r w:rsidRPr="003A1844">
        <w:rPr>
          <w:rFonts w:ascii="Verdana" w:eastAsia="Calibri" w:hAnsi="Verdana" w:cs="Arial"/>
          <w:color w:val="000000" w:themeColor="text1"/>
          <w:lang w:val="es-ES"/>
        </w:rPr>
        <w:t xml:space="preserve">. </w:t>
      </w:r>
    </w:p>
    <w:p w14:paraId="723AC37C" w14:textId="77777777" w:rsidR="00224EF8" w:rsidRPr="003A1844" w:rsidRDefault="00224EF8" w:rsidP="00224EF8">
      <w:pPr>
        <w:spacing w:after="120" w:line="276" w:lineRule="auto"/>
        <w:ind w:firstLine="709"/>
        <w:jc w:val="both"/>
        <w:rPr>
          <w:rFonts w:ascii="Verdana" w:hAnsi="Verdana" w:cs="Arial"/>
          <w:lang w:val="es-ES"/>
        </w:rPr>
      </w:pPr>
      <w:r w:rsidRPr="003A1844">
        <w:rPr>
          <w:rFonts w:ascii="Verdana" w:hAnsi="Verdana"/>
        </w:rPr>
        <w:lastRenderedPageBreak/>
        <w:t xml:space="preserve">En consecuencia, por mandato del legislador, el régimen jurídico de los contratos de las </w:t>
      </w:r>
      <w:r w:rsidRPr="003A1844">
        <w:rPr>
          <w:rFonts w:ascii="Verdana" w:hAnsi="Verdana" w:cs="Arial"/>
          <w:lang w:val="es-MX"/>
        </w:rPr>
        <w:t>–ESE–</w:t>
      </w:r>
      <w:r w:rsidRPr="003A1844">
        <w:rPr>
          <w:rFonts w:ascii="Verdana" w:hAnsi="Verdana"/>
        </w:rPr>
        <w:t xml:space="preserve"> constituye una de las excepciones legales existentes para la aplicación del EGCAP. Esta excepción permite que dichas empresas se sustraigan de las normas que regulan la actividad contractual de las Entidades Estatales a que hace referencia el artículo 2° de la Ley 80 de 1993. Sin perjuicio de lo anterior, la exclusión de las </w:t>
      </w:r>
      <w:r w:rsidRPr="003A1844">
        <w:rPr>
          <w:rFonts w:ascii="Verdana" w:hAnsi="Verdana" w:cs="Arial"/>
          <w:lang w:val="es-MX"/>
        </w:rPr>
        <w:t>–ESE–</w:t>
      </w:r>
      <w:r w:rsidRPr="003A1844">
        <w:rPr>
          <w:rFonts w:ascii="Verdana" w:hAnsi="Verdana"/>
        </w:rPr>
        <w:t>, frente al régimen jurídico contractual general de las Entidades Estatales, no ha sido absoluta, toda vez que intervienen en la prestación de servicios de salud, como actores dentro de un servicio público bajo responsabilidad del Estado, en los términos del artículo 49 de la Constitución Política. Además, de tiempo atrás en el ordenamiento jurídico colombiano se reconoció que las entidades exceptuadas del EGCAP debían respetar los principios de la función administrativa, tesis que luego fue acogida por el legislador con la expedición de la Ley 1150 de 2007.</w:t>
      </w:r>
    </w:p>
    <w:p w14:paraId="536A6A60" w14:textId="77777777" w:rsidR="00224EF8" w:rsidRPr="003A1844" w:rsidRDefault="00224EF8" w:rsidP="00224EF8">
      <w:pPr>
        <w:spacing w:after="120" w:line="276" w:lineRule="auto"/>
        <w:ind w:firstLine="709"/>
        <w:jc w:val="both"/>
        <w:rPr>
          <w:rFonts w:ascii="Verdana" w:hAnsi="Verdana" w:cs="Arial"/>
          <w:sz w:val="20"/>
          <w:szCs w:val="20"/>
          <w:lang w:val="es-MX"/>
        </w:rPr>
      </w:pPr>
      <w:r w:rsidRPr="003A1844">
        <w:rPr>
          <w:rFonts w:ascii="Verdana" w:hAnsi="Verdana" w:cs="Arial"/>
          <w:lang w:val="es-MX"/>
        </w:rPr>
        <w:t>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r w:rsidRPr="003A1844">
        <w:rPr>
          <w:rFonts w:ascii="Verdana" w:hAnsi="Verdana" w:cs="Arial"/>
          <w:sz w:val="20"/>
          <w:szCs w:val="20"/>
          <w:lang w:val="es-MX"/>
        </w:rPr>
        <w:t xml:space="preserve">. </w:t>
      </w:r>
    </w:p>
    <w:p w14:paraId="347FC84E" w14:textId="77777777" w:rsidR="00224EF8" w:rsidRPr="003A1844" w:rsidRDefault="00224EF8" w:rsidP="00224EF8">
      <w:pPr>
        <w:spacing w:after="120" w:line="276" w:lineRule="auto"/>
        <w:ind w:firstLine="709"/>
        <w:jc w:val="both"/>
        <w:rPr>
          <w:rFonts w:ascii="Verdana" w:hAnsi="Verdana" w:cs="Arial"/>
          <w:lang w:val="es-MX"/>
        </w:rPr>
      </w:pPr>
      <w:r w:rsidRPr="003A1844">
        <w:rPr>
          <w:rFonts w:ascii="Verdana" w:hAnsi="Verdana" w:cs="Arial"/>
          <w:lang w:val="es-MX"/>
        </w:rPr>
        <w:t>Al referirse al régimen contractual de las –ESE–,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w:t>
      </w:r>
      <w:r w:rsidRPr="003A1844">
        <w:rPr>
          <w:rFonts w:ascii="Verdana" w:hAnsi="Verdana"/>
        </w:rPr>
        <w:t xml:space="preserve"> </w:t>
      </w:r>
      <w:r w:rsidRPr="003A1844">
        <w:rPr>
          <w:rFonts w:ascii="Verdana" w:hAnsi="Verdana" w:cs="Arial"/>
          <w:lang w:val="es-MX"/>
        </w:rPr>
        <w:t>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w:t>
      </w:r>
    </w:p>
    <w:p w14:paraId="2534339A" w14:textId="77777777" w:rsidR="00224EF8" w:rsidRPr="003A1844" w:rsidRDefault="00224EF8" w:rsidP="00224EF8">
      <w:pPr>
        <w:spacing w:before="120" w:after="0" w:line="276" w:lineRule="auto"/>
        <w:ind w:firstLine="709"/>
        <w:jc w:val="both"/>
        <w:rPr>
          <w:rFonts w:ascii="Verdana" w:eastAsia="Calibri" w:hAnsi="Verdana" w:cs="Arial"/>
          <w:color w:val="000000" w:themeColor="text1"/>
          <w:lang w:val="es-ES_tradnl"/>
        </w:rPr>
      </w:pPr>
      <w:r w:rsidRPr="003A1844">
        <w:rPr>
          <w:rFonts w:ascii="Verdana" w:eastAsia="Calibri" w:hAnsi="Verdana" w:cs="Arial"/>
          <w:color w:val="000000" w:themeColor="text1"/>
          <w:lang w:val="es-ES_tradnl"/>
        </w:rPr>
        <w:t>Lo anterior es reafirmado por el Consejo de Estado en el caso particular de los manuales de contratación, que contiene algunas reglas que deben seguir las entidades con régimen especial en su actividad contractual:</w:t>
      </w:r>
    </w:p>
    <w:p w14:paraId="5EAC5790" w14:textId="77777777" w:rsidR="00224EF8" w:rsidRPr="003A1844" w:rsidRDefault="00224EF8" w:rsidP="00224EF8">
      <w:pPr>
        <w:spacing w:after="0" w:line="240" w:lineRule="auto"/>
        <w:jc w:val="both"/>
        <w:rPr>
          <w:rFonts w:ascii="Verdana" w:eastAsia="Calibri" w:hAnsi="Verdana" w:cs="Arial"/>
          <w:color w:val="000000" w:themeColor="text1"/>
          <w:lang w:val="es-ES_tradnl"/>
        </w:rPr>
      </w:pPr>
    </w:p>
    <w:p w14:paraId="14A80722" w14:textId="77777777" w:rsidR="00224EF8" w:rsidRPr="003A1844" w:rsidRDefault="00224EF8" w:rsidP="00224EF8">
      <w:pPr>
        <w:spacing w:after="0" w:line="240" w:lineRule="auto"/>
        <w:ind w:left="709" w:right="709"/>
        <w:jc w:val="both"/>
        <w:rPr>
          <w:rFonts w:ascii="Verdana" w:eastAsia="Calibri" w:hAnsi="Verdana" w:cs="Arial"/>
          <w:color w:val="000000" w:themeColor="text1"/>
          <w:sz w:val="21"/>
          <w:szCs w:val="21"/>
          <w:lang w:val="es-ES_tradnl"/>
        </w:rPr>
      </w:pPr>
      <w:r w:rsidRPr="003A1844">
        <w:rPr>
          <w:rFonts w:ascii="Verdana" w:eastAsia="Calibri" w:hAnsi="Verdana" w:cs="Arial"/>
          <w:color w:val="000000" w:themeColor="text1"/>
          <w:sz w:val="21"/>
          <w:szCs w:val="21"/>
          <w:lang w:val="es-ES_tradnl"/>
        </w:rPr>
        <w:lastRenderedPageBreak/>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0D265256" w14:textId="77777777" w:rsidR="00224EF8" w:rsidRPr="003A1844" w:rsidRDefault="00224EF8" w:rsidP="00224EF8">
      <w:pPr>
        <w:spacing w:after="0" w:line="240" w:lineRule="auto"/>
        <w:ind w:left="709" w:right="709"/>
        <w:jc w:val="both"/>
        <w:rPr>
          <w:rFonts w:ascii="Verdana" w:eastAsia="Calibri" w:hAnsi="Verdana" w:cs="Arial"/>
          <w:color w:val="000000" w:themeColor="text1"/>
          <w:sz w:val="21"/>
          <w:szCs w:val="21"/>
          <w:lang w:val="es-ES_tradnl"/>
        </w:rPr>
      </w:pPr>
    </w:p>
    <w:p w14:paraId="12315C73" w14:textId="77777777" w:rsidR="00224EF8" w:rsidRPr="003A1844" w:rsidRDefault="00224EF8" w:rsidP="00224EF8">
      <w:pPr>
        <w:spacing w:after="0" w:line="240" w:lineRule="auto"/>
        <w:ind w:left="709" w:right="709"/>
        <w:jc w:val="both"/>
        <w:rPr>
          <w:rFonts w:ascii="Verdana" w:eastAsia="Calibri" w:hAnsi="Verdana" w:cs="Arial"/>
          <w:color w:val="000000" w:themeColor="text1"/>
          <w:sz w:val="21"/>
          <w:szCs w:val="21"/>
          <w:lang w:val="es-ES"/>
        </w:rPr>
      </w:pPr>
      <w:r w:rsidRPr="003A1844">
        <w:rPr>
          <w:rFonts w:ascii="Verdana" w:eastAsia="Calibri" w:hAnsi="Verdana" w:cs="Arial"/>
          <w:color w:val="000000" w:themeColor="text1"/>
          <w:sz w:val="21"/>
          <w:szCs w:val="21"/>
          <w:lang w:val="es-ES"/>
        </w:rPr>
        <w:t>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w:t>
      </w:r>
      <w:r w:rsidRPr="003A1844">
        <w:rPr>
          <w:rFonts w:ascii="Verdana" w:eastAsia="Calibri" w:hAnsi="Verdana" w:cs="Arial"/>
          <w:color w:val="000000" w:themeColor="text1"/>
          <w:sz w:val="21"/>
          <w:szCs w:val="21"/>
          <w:vertAlign w:val="superscript"/>
          <w:lang w:val="es-ES_tradnl"/>
        </w:rPr>
        <w:footnoteReference w:id="11"/>
      </w:r>
      <w:r w:rsidRPr="003A1844">
        <w:rPr>
          <w:rFonts w:ascii="Verdana" w:eastAsia="Calibri" w:hAnsi="Verdana" w:cs="Arial"/>
          <w:color w:val="000000" w:themeColor="text1"/>
          <w:sz w:val="21"/>
          <w:szCs w:val="21"/>
          <w:lang w:val="es-ES"/>
        </w:rPr>
        <w:t>.</w:t>
      </w:r>
    </w:p>
    <w:p w14:paraId="0AB46BE4" w14:textId="77777777" w:rsidR="00224EF8" w:rsidRPr="003A1844" w:rsidRDefault="00224EF8" w:rsidP="00224EF8">
      <w:pPr>
        <w:spacing w:after="0" w:line="276" w:lineRule="auto"/>
        <w:ind w:firstLine="709"/>
        <w:jc w:val="both"/>
        <w:rPr>
          <w:rFonts w:ascii="Verdana" w:hAnsi="Verdana" w:cs="Arial"/>
          <w:lang w:val="es-ES_tradnl"/>
        </w:rPr>
      </w:pPr>
    </w:p>
    <w:p w14:paraId="469BC193" w14:textId="77777777" w:rsidR="00224EF8" w:rsidRPr="003A1844" w:rsidRDefault="00224EF8" w:rsidP="00224EF8">
      <w:pPr>
        <w:spacing w:after="120" w:line="276" w:lineRule="auto"/>
        <w:ind w:firstLine="709"/>
        <w:jc w:val="both"/>
        <w:rPr>
          <w:rFonts w:ascii="Verdana" w:eastAsia="Arial" w:hAnsi="Verdana" w:cs="Arial"/>
        </w:rPr>
      </w:pPr>
      <w:r w:rsidRPr="003A1844">
        <w:rPr>
          <w:rFonts w:ascii="Verdana" w:eastAsia="Arial" w:hAnsi="Verdana" w:cs="Arial"/>
        </w:rPr>
        <w:t xml:space="preserve">Ahora bien, puede decirse que una de las reglas para las </w:t>
      </w:r>
      <w:r w:rsidRPr="003A1844">
        <w:rPr>
          <w:rFonts w:ascii="Verdana" w:hAnsi="Verdana" w:cs="Arial"/>
          <w:lang w:val="es-MX"/>
        </w:rPr>
        <w:t>–ESE–</w:t>
      </w:r>
      <w:r w:rsidRPr="003A1844">
        <w:rPr>
          <w:rFonts w:ascii="Verdana" w:eastAsia="Arial" w:hAnsi="Verdana" w:cs="Arial"/>
        </w:rPr>
        <w:t>, derivada de las normas de derecho público estudiadas,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605E03A2" w14:textId="77777777" w:rsidR="00224EF8" w:rsidRPr="003A1844" w:rsidRDefault="00224EF8" w:rsidP="00224EF8">
      <w:pPr>
        <w:spacing w:after="120" w:line="276" w:lineRule="auto"/>
        <w:ind w:firstLine="708"/>
        <w:jc w:val="both"/>
        <w:rPr>
          <w:rFonts w:ascii="Verdana" w:eastAsia="Calibri" w:hAnsi="Verdana" w:cs="Arial"/>
          <w:lang w:val="es-ES_tradnl"/>
        </w:rPr>
      </w:pPr>
      <w:r w:rsidRPr="003A1844">
        <w:rPr>
          <w:rFonts w:ascii="Verdana" w:eastAsia="Calibri" w:hAnsi="Verdana" w:cs="Arial"/>
          <w:lang w:val="es-ES_tradnl"/>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003A1844">
        <w:rPr>
          <w:rFonts w:ascii="Verdana" w:eastAsia="Calibri" w:hAnsi="Verdana" w:cs="Arial"/>
          <w:vertAlign w:val="superscript"/>
          <w:lang w:val="es-ES_tradnl"/>
        </w:rPr>
        <w:footnoteReference w:id="12"/>
      </w:r>
      <w:r w:rsidRPr="003A1844">
        <w:rPr>
          <w:rFonts w:ascii="Verdana" w:eastAsia="Calibri" w:hAnsi="Verdana" w:cs="Arial"/>
          <w:lang w:val="es-ES_tradnl"/>
        </w:rPr>
        <w:t>. Ahora bien, dicha libertad es similar a la reconocida a los particulares por el derecho privado, pero no es idéntica a aquella, en la medida en que encuentra importantes limitantes.</w:t>
      </w:r>
    </w:p>
    <w:p w14:paraId="11BE58E3" w14:textId="77777777" w:rsidR="00224EF8" w:rsidRPr="003A1844" w:rsidRDefault="00224EF8" w:rsidP="00224EF8">
      <w:pPr>
        <w:spacing w:after="120" w:line="276" w:lineRule="auto"/>
        <w:ind w:firstLine="709"/>
        <w:jc w:val="both"/>
        <w:rPr>
          <w:rFonts w:ascii="Verdana" w:eastAsia="Calibri" w:hAnsi="Verdana" w:cs="Arial"/>
          <w:lang w:val="es-ES"/>
        </w:rPr>
      </w:pPr>
      <w:r w:rsidRPr="003A1844">
        <w:rPr>
          <w:rFonts w:ascii="Verdana" w:eastAsia="Calibri" w:hAnsi="Verdana" w:cs="Arial"/>
          <w:lang w:val="es-ES"/>
        </w:rPr>
        <w:t xml:space="preserve">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w:t>
      </w:r>
      <w:r w:rsidRPr="003A1844">
        <w:rPr>
          <w:rFonts w:ascii="Verdana" w:eastAsia="Calibri" w:hAnsi="Verdana" w:cs="Arial"/>
          <w:lang w:val="es-ES"/>
        </w:rPr>
        <w:lastRenderedPageBreak/>
        <w:t>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de cada uno de ellos, al igual que las etapas que los componen, los cuales deben estar alineados con la garantía de los principios de la función administrativa</w:t>
      </w:r>
      <w:r w:rsidRPr="003A1844">
        <w:rPr>
          <w:rFonts w:ascii="Verdana" w:eastAsia="Calibri" w:hAnsi="Verdana" w:cs="Arial"/>
          <w:vertAlign w:val="superscript"/>
          <w:lang w:val="es-ES"/>
        </w:rPr>
        <w:footnoteReference w:id="13"/>
      </w:r>
      <w:r w:rsidRPr="003A1844">
        <w:rPr>
          <w:rFonts w:ascii="Verdana" w:eastAsia="Calibri" w:hAnsi="Verdana" w:cs="Arial"/>
          <w:lang w:val="es-ES"/>
        </w:rPr>
        <w:t xml:space="preserve">. </w:t>
      </w:r>
    </w:p>
    <w:p w14:paraId="4E64B9AE" w14:textId="77777777" w:rsidR="00224EF8" w:rsidRPr="003A1844" w:rsidRDefault="00224EF8" w:rsidP="00224EF8">
      <w:pPr>
        <w:widowControl w:val="0"/>
        <w:autoSpaceDE w:val="0"/>
        <w:autoSpaceDN w:val="0"/>
        <w:spacing w:after="120" w:line="276" w:lineRule="auto"/>
        <w:ind w:firstLine="608"/>
        <w:jc w:val="both"/>
        <w:rPr>
          <w:rFonts w:ascii="Verdana" w:eastAsia="Arial" w:hAnsi="Verdana" w:cs="Arial"/>
          <w:lang w:val="es-ES"/>
        </w:rPr>
      </w:pPr>
      <w:r w:rsidRPr="003A1844">
        <w:rPr>
          <w:rFonts w:ascii="Verdana" w:eastAsia="Arial" w:hAnsi="Verdana" w:cs="Arial"/>
          <w:lang w:val="es-ES"/>
        </w:rPr>
        <w:t>De esta forma, las</w:t>
      </w:r>
      <w:r w:rsidRPr="003A1844">
        <w:rPr>
          <w:rFonts w:ascii="Verdana" w:eastAsia="Arial" w:hAnsi="Verdana" w:cs="Arial"/>
          <w:spacing w:val="-7"/>
          <w:lang w:val="es-ES"/>
        </w:rPr>
        <w:t xml:space="preserve"> </w:t>
      </w:r>
      <w:r w:rsidRPr="003A1844">
        <w:rPr>
          <w:rFonts w:ascii="Verdana" w:eastAsia="Arial" w:hAnsi="Verdana" w:cs="Arial"/>
          <w:lang w:val="es-ES"/>
        </w:rPr>
        <w:t>reglas</w:t>
      </w:r>
      <w:r w:rsidRPr="003A1844">
        <w:rPr>
          <w:rFonts w:ascii="Verdana" w:eastAsia="Arial" w:hAnsi="Verdana" w:cs="Arial"/>
          <w:spacing w:val="-6"/>
          <w:lang w:val="es-ES"/>
        </w:rPr>
        <w:t xml:space="preserve"> </w:t>
      </w:r>
      <w:r w:rsidRPr="003A1844">
        <w:rPr>
          <w:rFonts w:ascii="Verdana" w:eastAsia="Arial" w:hAnsi="Verdana" w:cs="Arial"/>
          <w:lang w:val="es-ES"/>
        </w:rPr>
        <w:t>establecidas</w:t>
      </w:r>
      <w:r w:rsidRPr="003A1844">
        <w:rPr>
          <w:rFonts w:ascii="Verdana" w:eastAsia="Arial" w:hAnsi="Verdana" w:cs="Arial"/>
          <w:spacing w:val="-5"/>
          <w:lang w:val="es-ES"/>
        </w:rPr>
        <w:t xml:space="preserve"> </w:t>
      </w:r>
      <w:r w:rsidRPr="003A1844">
        <w:rPr>
          <w:rFonts w:ascii="Verdana" w:eastAsia="Arial" w:hAnsi="Verdana" w:cs="Arial"/>
          <w:lang w:val="es-ES"/>
        </w:rPr>
        <w:t>en</w:t>
      </w:r>
      <w:r w:rsidRPr="003A1844">
        <w:rPr>
          <w:rFonts w:ascii="Verdana" w:eastAsia="Arial" w:hAnsi="Verdana" w:cs="Arial"/>
          <w:spacing w:val="-7"/>
          <w:lang w:val="es-ES"/>
        </w:rPr>
        <w:t xml:space="preserve"> </w:t>
      </w:r>
      <w:r w:rsidRPr="003A1844">
        <w:rPr>
          <w:rFonts w:ascii="Verdana" w:eastAsia="Arial" w:hAnsi="Verdana" w:cs="Arial"/>
          <w:lang w:val="es-ES"/>
        </w:rPr>
        <w:t>los</w:t>
      </w:r>
      <w:r w:rsidRPr="003A1844">
        <w:rPr>
          <w:rFonts w:ascii="Verdana" w:eastAsia="Arial" w:hAnsi="Verdana" w:cs="Arial"/>
          <w:spacing w:val="-6"/>
          <w:lang w:val="es-ES"/>
        </w:rPr>
        <w:t xml:space="preserve"> </w:t>
      </w:r>
      <w:r w:rsidRPr="003A1844">
        <w:rPr>
          <w:rFonts w:ascii="Verdana" w:eastAsia="Arial" w:hAnsi="Verdana" w:cs="Arial"/>
          <w:lang w:val="es-ES"/>
        </w:rPr>
        <w:t>manuales</w:t>
      </w:r>
      <w:r w:rsidRPr="003A1844">
        <w:rPr>
          <w:rFonts w:ascii="Verdana" w:eastAsia="Arial" w:hAnsi="Verdana" w:cs="Arial"/>
          <w:spacing w:val="-6"/>
          <w:lang w:val="es-ES"/>
        </w:rPr>
        <w:t xml:space="preserve"> </w:t>
      </w:r>
      <w:r w:rsidRPr="003A1844">
        <w:rPr>
          <w:rFonts w:ascii="Verdana" w:eastAsia="Arial" w:hAnsi="Verdana" w:cs="Arial"/>
          <w:lang w:val="es-ES"/>
        </w:rPr>
        <w:t>o</w:t>
      </w:r>
      <w:r w:rsidRPr="003A1844">
        <w:rPr>
          <w:rFonts w:ascii="Verdana" w:eastAsia="Arial" w:hAnsi="Verdana" w:cs="Arial"/>
          <w:spacing w:val="-6"/>
          <w:lang w:val="es-ES"/>
        </w:rPr>
        <w:t xml:space="preserve"> </w:t>
      </w:r>
      <w:r w:rsidRPr="003A1844">
        <w:rPr>
          <w:rFonts w:ascii="Verdana" w:eastAsia="Arial" w:hAnsi="Verdana" w:cs="Arial"/>
          <w:lang w:val="es-ES"/>
        </w:rPr>
        <w:t>reglamentos</w:t>
      </w:r>
      <w:r w:rsidRPr="003A1844">
        <w:rPr>
          <w:rFonts w:ascii="Verdana" w:eastAsia="Arial" w:hAnsi="Verdana" w:cs="Arial"/>
          <w:spacing w:val="-7"/>
          <w:lang w:val="es-ES"/>
        </w:rPr>
        <w:t xml:space="preserve"> </w:t>
      </w:r>
      <w:r w:rsidRPr="003A1844">
        <w:rPr>
          <w:rFonts w:ascii="Verdana" w:eastAsia="Arial" w:hAnsi="Verdana" w:cs="Arial"/>
          <w:lang w:val="es-ES"/>
        </w:rPr>
        <w:t>internos</w:t>
      </w:r>
      <w:r w:rsidRPr="003A1844">
        <w:rPr>
          <w:rFonts w:ascii="Verdana" w:eastAsia="Arial" w:hAnsi="Verdana" w:cs="Arial"/>
          <w:spacing w:val="-5"/>
          <w:lang w:val="es-ES"/>
        </w:rPr>
        <w:t xml:space="preserve"> </w:t>
      </w:r>
      <w:r w:rsidRPr="003A1844">
        <w:rPr>
          <w:rFonts w:ascii="Verdana" w:eastAsia="Arial" w:hAnsi="Verdana" w:cs="Arial"/>
          <w:lang w:val="es-ES"/>
        </w:rPr>
        <w:t>de</w:t>
      </w:r>
      <w:r w:rsidRPr="003A1844">
        <w:rPr>
          <w:rFonts w:ascii="Verdana" w:eastAsia="Arial" w:hAnsi="Verdana" w:cs="Arial"/>
          <w:spacing w:val="-6"/>
          <w:lang w:val="es-ES"/>
        </w:rPr>
        <w:t xml:space="preserve"> </w:t>
      </w:r>
      <w:r w:rsidRPr="003A1844">
        <w:rPr>
          <w:rFonts w:ascii="Verdana" w:eastAsia="Arial" w:hAnsi="Verdana" w:cs="Arial"/>
          <w:lang w:val="es-ES"/>
        </w:rPr>
        <w:t>contratación son muy importantes, toda vez que las entidades se obligan a cumplir su contenido.</w:t>
      </w:r>
      <w:r w:rsidRPr="003A1844">
        <w:rPr>
          <w:rFonts w:ascii="Verdana" w:eastAsia="Arial" w:hAnsi="Verdana" w:cs="Arial"/>
          <w:spacing w:val="1"/>
          <w:lang w:val="es-ES"/>
        </w:rPr>
        <w:t xml:space="preserve"> </w:t>
      </w:r>
      <w:r w:rsidRPr="003A1844">
        <w:rPr>
          <w:rFonts w:ascii="Verdana" w:eastAsia="Arial" w:hAnsi="Verdana" w:cs="Arial"/>
          <w:lang w:val="es-ES"/>
        </w:rPr>
        <w:t>Además, tratándose de un acto administrativo, concretamente de un reglamento, le</w:t>
      </w:r>
      <w:r w:rsidRPr="003A1844">
        <w:rPr>
          <w:rFonts w:ascii="Verdana" w:eastAsia="Arial" w:hAnsi="Verdana" w:cs="Arial"/>
          <w:spacing w:val="1"/>
          <w:lang w:val="es-ES"/>
        </w:rPr>
        <w:t xml:space="preserve"> </w:t>
      </w:r>
      <w:r w:rsidRPr="003A1844">
        <w:rPr>
          <w:rFonts w:ascii="Verdana" w:eastAsia="Arial" w:hAnsi="Verdana" w:cs="Arial"/>
          <w:lang w:val="es-ES"/>
        </w:rPr>
        <w:t>aplican</w:t>
      </w:r>
      <w:r w:rsidRPr="003A1844">
        <w:rPr>
          <w:rFonts w:ascii="Verdana" w:eastAsia="Arial" w:hAnsi="Verdana" w:cs="Arial"/>
          <w:spacing w:val="-10"/>
          <w:lang w:val="es-ES"/>
        </w:rPr>
        <w:t xml:space="preserve"> </w:t>
      </w:r>
      <w:r w:rsidRPr="003A1844">
        <w:rPr>
          <w:rFonts w:ascii="Verdana" w:eastAsia="Arial" w:hAnsi="Verdana" w:cs="Arial"/>
          <w:lang w:val="es-ES"/>
        </w:rPr>
        <w:t>los</w:t>
      </w:r>
      <w:r w:rsidRPr="003A1844">
        <w:rPr>
          <w:rFonts w:ascii="Verdana" w:eastAsia="Arial" w:hAnsi="Verdana" w:cs="Arial"/>
          <w:spacing w:val="-10"/>
          <w:lang w:val="es-ES"/>
        </w:rPr>
        <w:t xml:space="preserve"> </w:t>
      </w:r>
      <w:r w:rsidRPr="003A1844">
        <w:rPr>
          <w:rFonts w:ascii="Verdana" w:eastAsia="Arial" w:hAnsi="Verdana" w:cs="Arial"/>
          <w:lang w:val="es-ES"/>
        </w:rPr>
        <w:t>atributos</w:t>
      </w:r>
      <w:r w:rsidRPr="003A1844">
        <w:rPr>
          <w:rFonts w:ascii="Verdana" w:eastAsia="Arial" w:hAnsi="Verdana" w:cs="Arial"/>
          <w:spacing w:val="-10"/>
          <w:lang w:val="es-ES"/>
        </w:rPr>
        <w:t xml:space="preserve"> </w:t>
      </w:r>
      <w:r w:rsidRPr="003A1844">
        <w:rPr>
          <w:rFonts w:ascii="Verdana" w:eastAsia="Arial" w:hAnsi="Verdana" w:cs="Arial"/>
          <w:lang w:val="es-ES"/>
        </w:rPr>
        <w:t>propios</w:t>
      </w:r>
      <w:r w:rsidRPr="003A1844">
        <w:rPr>
          <w:rFonts w:ascii="Verdana" w:eastAsia="Arial" w:hAnsi="Verdana" w:cs="Arial"/>
          <w:spacing w:val="-10"/>
          <w:lang w:val="es-ES"/>
        </w:rPr>
        <w:t xml:space="preserve"> </w:t>
      </w:r>
      <w:r w:rsidRPr="003A1844">
        <w:rPr>
          <w:rFonts w:ascii="Verdana" w:eastAsia="Arial" w:hAnsi="Verdana" w:cs="Arial"/>
          <w:lang w:val="es-ES"/>
        </w:rPr>
        <w:t>de</w:t>
      </w:r>
      <w:r w:rsidRPr="003A1844">
        <w:rPr>
          <w:rFonts w:ascii="Verdana" w:eastAsia="Arial" w:hAnsi="Verdana" w:cs="Arial"/>
          <w:spacing w:val="-9"/>
          <w:lang w:val="es-ES"/>
        </w:rPr>
        <w:t xml:space="preserve"> </w:t>
      </w:r>
      <w:r w:rsidRPr="003A1844">
        <w:rPr>
          <w:rFonts w:ascii="Verdana" w:eastAsia="Arial" w:hAnsi="Verdana" w:cs="Arial"/>
          <w:lang w:val="es-ES"/>
        </w:rPr>
        <w:t>estos</w:t>
      </w:r>
      <w:r w:rsidRPr="003A1844">
        <w:rPr>
          <w:rFonts w:ascii="Verdana" w:eastAsia="Arial" w:hAnsi="Verdana" w:cs="Arial"/>
          <w:spacing w:val="-10"/>
          <w:lang w:val="es-ES"/>
        </w:rPr>
        <w:t xml:space="preserve"> </w:t>
      </w:r>
      <w:r w:rsidRPr="003A1844">
        <w:rPr>
          <w:rFonts w:ascii="Verdana" w:eastAsia="Arial" w:hAnsi="Verdana" w:cs="Arial"/>
          <w:lang w:val="es-ES"/>
        </w:rPr>
        <w:t>tipos</w:t>
      </w:r>
      <w:r w:rsidRPr="003A1844">
        <w:rPr>
          <w:rFonts w:ascii="Verdana" w:eastAsia="Arial" w:hAnsi="Verdana" w:cs="Arial"/>
          <w:spacing w:val="-10"/>
          <w:lang w:val="es-ES"/>
        </w:rPr>
        <w:t xml:space="preserve"> </w:t>
      </w:r>
      <w:r w:rsidRPr="003A1844">
        <w:rPr>
          <w:rFonts w:ascii="Verdana" w:eastAsia="Arial" w:hAnsi="Verdana" w:cs="Arial"/>
          <w:lang w:val="es-ES"/>
        </w:rPr>
        <w:t>de</w:t>
      </w:r>
      <w:r w:rsidRPr="003A1844">
        <w:rPr>
          <w:rFonts w:ascii="Verdana" w:eastAsia="Arial" w:hAnsi="Verdana" w:cs="Arial"/>
          <w:spacing w:val="-10"/>
          <w:lang w:val="es-ES"/>
        </w:rPr>
        <w:t xml:space="preserve"> </w:t>
      </w:r>
      <w:r w:rsidRPr="003A1844">
        <w:rPr>
          <w:rFonts w:ascii="Verdana" w:eastAsia="Arial" w:hAnsi="Verdana" w:cs="Arial"/>
          <w:lang w:val="es-ES"/>
        </w:rPr>
        <w:t>actos,</w:t>
      </w:r>
      <w:r w:rsidRPr="003A1844">
        <w:rPr>
          <w:rFonts w:ascii="Verdana" w:eastAsia="Arial" w:hAnsi="Verdana" w:cs="Arial"/>
          <w:spacing w:val="-9"/>
          <w:lang w:val="es-ES"/>
        </w:rPr>
        <w:t xml:space="preserve"> </w:t>
      </w:r>
      <w:r w:rsidRPr="003A1844">
        <w:rPr>
          <w:rFonts w:ascii="Verdana" w:eastAsia="Arial" w:hAnsi="Verdana" w:cs="Arial"/>
          <w:lang w:val="es-ES"/>
        </w:rPr>
        <w:t>entre</w:t>
      </w:r>
      <w:r w:rsidRPr="003A1844">
        <w:rPr>
          <w:rFonts w:ascii="Verdana" w:eastAsia="Arial" w:hAnsi="Verdana" w:cs="Arial"/>
          <w:spacing w:val="-10"/>
          <w:lang w:val="es-ES"/>
        </w:rPr>
        <w:t xml:space="preserve"> </w:t>
      </w:r>
      <w:r w:rsidRPr="003A1844">
        <w:rPr>
          <w:rFonts w:ascii="Verdana" w:eastAsia="Arial" w:hAnsi="Verdana" w:cs="Arial"/>
          <w:lang w:val="es-ES"/>
        </w:rPr>
        <w:t>otras</w:t>
      </w:r>
      <w:r w:rsidRPr="003A1844">
        <w:rPr>
          <w:rFonts w:ascii="Verdana" w:eastAsia="Arial" w:hAnsi="Verdana" w:cs="Arial"/>
          <w:spacing w:val="-10"/>
          <w:lang w:val="es-ES"/>
        </w:rPr>
        <w:t xml:space="preserve"> </w:t>
      </w:r>
      <w:r w:rsidRPr="003A1844">
        <w:rPr>
          <w:rFonts w:ascii="Verdana" w:eastAsia="Arial" w:hAnsi="Verdana" w:cs="Arial"/>
          <w:lang w:val="es-ES"/>
        </w:rPr>
        <w:t>cosas,</w:t>
      </w:r>
      <w:r w:rsidRPr="003A1844">
        <w:rPr>
          <w:rFonts w:ascii="Verdana" w:eastAsia="Arial" w:hAnsi="Verdana" w:cs="Arial"/>
          <w:spacing w:val="-10"/>
          <w:lang w:val="es-ES"/>
        </w:rPr>
        <w:t xml:space="preserve"> </w:t>
      </w:r>
      <w:r w:rsidRPr="003A1844">
        <w:rPr>
          <w:rFonts w:ascii="Verdana" w:eastAsia="Arial" w:hAnsi="Verdana" w:cs="Arial"/>
          <w:lang w:val="es-ES"/>
        </w:rPr>
        <w:t>la</w:t>
      </w:r>
      <w:r w:rsidRPr="003A1844">
        <w:rPr>
          <w:rFonts w:ascii="Verdana" w:eastAsia="Arial" w:hAnsi="Verdana" w:cs="Arial"/>
          <w:spacing w:val="-9"/>
          <w:lang w:val="es-ES"/>
        </w:rPr>
        <w:t xml:space="preserve"> </w:t>
      </w:r>
      <w:r w:rsidRPr="003A1844">
        <w:rPr>
          <w:rFonts w:ascii="Verdana" w:eastAsia="Arial" w:hAnsi="Verdana" w:cs="Arial"/>
          <w:lang w:val="es-ES"/>
        </w:rPr>
        <w:t>presunción</w:t>
      </w:r>
      <w:r w:rsidRPr="003A1844">
        <w:rPr>
          <w:rFonts w:ascii="Verdana" w:eastAsia="Arial" w:hAnsi="Verdana" w:cs="Arial"/>
          <w:spacing w:val="-10"/>
          <w:lang w:val="es-ES"/>
        </w:rPr>
        <w:t xml:space="preserve"> </w:t>
      </w:r>
      <w:r w:rsidRPr="003A1844">
        <w:rPr>
          <w:rFonts w:ascii="Verdana" w:eastAsia="Arial" w:hAnsi="Verdana" w:cs="Arial"/>
          <w:lang w:val="es-ES"/>
        </w:rPr>
        <w:t xml:space="preserve">de legalidad y la regla de </w:t>
      </w:r>
      <w:r w:rsidRPr="003A1844">
        <w:rPr>
          <w:rFonts w:ascii="Verdana" w:eastAsia="Arial" w:hAnsi="Verdana" w:cs="Arial"/>
          <w:i/>
          <w:lang w:val="es-ES"/>
        </w:rPr>
        <w:t>inderogabilidad singular del reglamento</w:t>
      </w:r>
      <w:r w:rsidRPr="003A1844">
        <w:rPr>
          <w:rFonts w:ascii="Verdana" w:eastAsia="Arial" w:hAnsi="Verdana" w:cs="Arial"/>
          <w:i/>
          <w:vertAlign w:val="superscript"/>
          <w:lang w:val="es-ES"/>
        </w:rPr>
        <w:footnoteReference w:id="14"/>
      </w:r>
      <w:r w:rsidRPr="003A1844">
        <w:rPr>
          <w:rFonts w:ascii="Verdana" w:eastAsia="Arial" w:hAnsi="Verdana" w:cs="Arial"/>
          <w:lang w:val="es-ES"/>
        </w:rPr>
        <w:t>. En tal sentido, su</w:t>
      </w:r>
      <w:r w:rsidRPr="003A1844">
        <w:rPr>
          <w:rFonts w:ascii="Verdana" w:eastAsia="Arial" w:hAnsi="Verdana" w:cs="Arial"/>
          <w:spacing w:val="1"/>
          <w:lang w:val="es-ES"/>
        </w:rPr>
        <w:t xml:space="preserve"> </w:t>
      </w:r>
      <w:r w:rsidRPr="003A1844">
        <w:rPr>
          <w:rFonts w:ascii="Verdana" w:eastAsia="Arial" w:hAnsi="Verdana" w:cs="Arial"/>
          <w:lang w:val="es-ES"/>
        </w:rPr>
        <w:t>contenido vincula a la propia entidad que lo expidió y no puede desconocerlo a su</w:t>
      </w:r>
      <w:r w:rsidRPr="003A1844">
        <w:rPr>
          <w:rFonts w:ascii="Verdana" w:eastAsia="Arial" w:hAnsi="Verdana" w:cs="Arial"/>
          <w:spacing w:val="1"/>
          <w:lang w:val="es-ES"/>
        </w:rPr>
        <w:t xml:space="preserve"> </w:t>
      </w:r>
      <w:r w:rsidRPr="003A1844">
        <w:rPr>
          <w:rFonts w:ascii="Verdana" w:eastAsia="Arial" w:hAnsi="Verdana" w:cs="Arial"/>
          <w:spacing w:val="-1"/>
          <w:lang w:val="es-ES"/>
        </w:rPr>
        <w:t>capricho</w:t>
      </w:r>
      <w:r w:rsidRPr="003A1844">
        <w:rPr>
          <w:rFonts w:ascii="Verdana" w:eastAsia="Arial" w:hAnsi="Verdana" w:cs="Arial"/>
          <w:spacing w:val="-15"/>
          <w:lang w:val="es-ES"/>
        </w:rPr>
        <w:t xml:space="preserve"> </w:t>
      </w:r>
      <w:r w:rsidRPr="003A1844">
        <w:rPr>
          <w:rFonts w:ascii="Verdana" w:eastAsia="Arial" w:hAnsi="Verdana" w:cs="Arial"/>
          <w:spacing w:val="-1"/>
          <w:lang w:val="es-ES"/>
        </w:rPr>
        <w:t>en</w:t>
      </w:r>
      <w:r w:rsidRPr="003A1844">
        <w:rPr>
          <w:rFonts w:ascii="Verdana" w:eastAsia="Arial" w:hAnsi="Verdana" w:cs="Arial"/>
          <w:spacing w:val="-14"/>
          <w:lang w:val="es-ES"/>
        </w:rPr>
        <w:t xml:space="preserve"> </w:t>
      </w:r>
      <w:r w:rsidRPr="003A1844">
        <w:rPr>
          <w:rFonts w:ascii="Verdana" w:eastAsia="Arial" w:hAnsi="Verdana" w:cs="Arial"/>
          <w:spacing w:val="-1"/>
          <w:lang w:val="es-ES"/>
        </w:rPr>
        <w:t>casos</w:t>
      </w:r>
      <w:r w:rsidRPr="003A1844">
        <w:rPr>
          <w:rFonts w:ascii="Verdana" w:eastAsia="Arial" w:hAnsi="Verdana" w:cs="Arial"/>
          <w:spacing w:val="-14"/>
          <w:lang w:val="es-ES"/>
        </w:rPr>
        <w:t xml:space="preserve"> </w:t>
      </w:r>
      <w:r w:rsidRPr="003A1844">
        <w:rPr>
          <w:rFonts w:ascii="Verdana" w:eastAsia="Arial" w:hAnsi="Verdana" w:cs="Arial"/>
          <w:spacing w:val="-1"/>
          <w:lang w:val="es-ES"/>
        </w:rPr>
        <w:t>específicos;</w:t>
      </w:r>
      <w:r w:rsidRPr="003A1844">
        <w:rPr>
          <w:rFonts w:ascii="Verdana" w:eastAsia="Arial" w:hAnsi="Verdana" w:cs="Arial"/>
          <w:spacing w:val="-15"/>
          <w:lang w:val="es-ES"/>
        </w:rPr>
        <w:t xml:space="preserve"> </w:t>
      </w:r>
      <w:r w:rsidRPr="003A1844">
        <w:rPr>
          <w:rFonts w:ascii="Verdana" w:eastAsia="Arial" w:hAnsi="Verdana" w:cs="Arial"/>
          <w:spacing w:val="-1"/>
          <w:lang w:val="es-ES"/>
        </w:rPr>
        <w:t>sin</w:t>
      </w:r>
      <w:r w:rsidRPr="003A1844">
        <w:rPr>
          <w:rFonts w:ascii="Verdana" w:eastAsia="Arial" w:hAnsi="Verdana" w:cs="Arial"/>
          <w:spacing w:val="-14"/>
          <w:lang w:val="es-ES"/>
        </w:rPr>
        <w:t xml:space="preserve"> </w:t>
      </w:r>
      <w:r w:rsidRPr="003A1844">
        <w:rPr>
          <w:rFonts w:ascii="Verdana" w:eastAsia="Arial" w:hAnsi="Verdana" w:cs="Arial"/>
          <w:spacing w:val="-1"/>
          <w:lang w:val="es-ES"/>
        </w:rPr>
        <w:t>perjuicio</w:t>
      </w:r>
      <w:r w:rsidRPr="003A1844">
        <w:rPr>
          <w:rFonts w:ascii="Verdana" w:eastAsia="Arial" w:hAnsi="Verdana" w:cs="Arial"/>
          <w:spacing w:val="-14"/>
          <w:lang w:val="es-ES"/>
        </w:rPr>
        <w:t xml:space="preserve"> </w:t>
      </w:r>
      <w:r w:rsidRPr="003A1844">
        <w:rPr>
          <w:rFonts w:ascii="Verdana" w:eastAsia="Arial" w:hAnsi="Verdana" w:cs="Arial"/>
          <w:spacing w:val="-1"/>
          <w:lang w:val="es-ES"/>
        </w:rPr>
        <w:t>de</w:t>
      </w:r>
      <w:r w:rsidRPr="003A1844">
        <w:rPr>
          <w:rFonts w:ascii="Verdana" w:eastAsia="Arial" w:hAnsi="Verdana" w:cs="Arial"/>
          <w:spacing w:val="-15"/>
          <w:lang w:val="es-ES"/>
        </w:rPr>
        <w:t xml:space="preserve"> </w:t>
      </w:r>
      <w:r w:rsidRPr="003A1844">
        <w:rPr>
          <w:rFonts w:ascii="Verdana" w:eastAsia="Arial" w:hAnsi="Verdana" w:cs="Arial"/>
          <w:spacing w:val="-1"/>
          <w:lang w:val="es-ES"/>
        </w:rPr>
        <w:t>la</w:t>
      </w:r>
      <w:r w:rsidRPr="003A1844">
        <w:rPr>
          <w:rFonts w:ascii="Verdana" w:eastAsia="Arial" w:hAnsi="Verdana" w:cs="Arial"/>
          <w:spacing w:val="-14"/>
          <w:lang w:val="es-ES"/>
        </w:rPr>
        <w:t xml:space="preserve"> </w:t>
      </w:r>
      <w:r w:rsidRPr="003A1844">
        <w:rPr>
          <w:rFonts w:ascii="Verdana" w:eastAsia="Arial" w:hAnsi="Verdana" w:cs="Arial"/>
          <w:spacing w:val="-1"/>
          <w:lang w:val="es-ES"/>
        </w:rPr>
        <w:t>posibilidad</w:t>
      </w:r>
      <w:r w:rsidRPr="003A1844">
        <w:rPr>
          <w:rFonts w:ascii="Verdana" w:eastAsia="Arial" w:hAnsi="Verdana" w:cs="Arial"/>
          <w:spacing w:val="-14"/>
          <w:lang w:val="es-ES"/>
        </w:rPr>
        <w:t xml:space="preserve"> </w:t>
      </w:r>
      <w:r w:rsidRPr="003A1844">
        <w:rPr>
          <w:rFonts w:ascii="Verdana" w:eastAsia="Arial" w:hAnsi="Verdana" w:cs="Arial"/>
          <w:lang w:val="es-ES"/>
        </w:rPr>
        <w:t>de</w:t>
      </w:r>
      <w:r w:rsidRPr="003A1844">
        <w:rPr>
          <w:rFonts w:ascii="Verdana" w:eastAsia="Arial" w:hAnsi="Verdana" w:cs="Arial"/>
          <w:spacing w:val="-14"/>
          <w:lang w:val="es-ES"/>
        </w:rPr>
        <w:t xml:space="preserve"> </w:t>
      </w:r>
      <w:r w:rsidRPr="003A1844">
        <w:rPr>
          <w:rFonts w:ascii="Verdana" w:eastAsia="Arial" w:hAnsi="Verdana" w:cs="Arial"/>
          <w:lang w:val="es-ES"/>
        </w:rPr>
        <w:t>expedir</w:t>
      </w:r>
      <w:r w:rsidRPr="003A1844">
        <w:rPr>
          <w:rFonts w:ascii="Verdana" w:eastAsia="Arial" w:hAnsi="Verdana" w:cs="Arial"/>
          <w:spacing w:val="-15"/>
          <w:lang w:val="es-ES"/>
        </w:rPr>
        <w:t xml:space="preserve"> </w:t>
      </w:r>
      <w:r w:rsidRPr="003A1844">
        <w:rPr>
          <w:rFonts w:ascii="Verdana" w:eastAsia="Arial" w:hAnsi="Verdana" w:cs="Arial"/>
          <w:lang w:val="es-ES"/>
        </w:rPr>
        <w:t>un</w:t>
      </w:r>
      <w:r w:rsidRPr="003A1844">
        <w:rPr>
          <w:rFonts w:ascii="Verdana" w:eastAsia="Arial" w:hAnsi="Verdana" w:cs="Arial"/>
          <w:spacing w:val="-14"/>
          <w:lang w:val="es-ES"/>
        </w:rPr>
        <w:t xml:space="preserve"> </w:t>
      </w:r>
      <w:r w:rsidRPr="003A1844">
        <w:rPr>
          <w:rFonts w:ascii="Verdana" w:eastAsia="Arial" w:hAnsi="Verdana" w:cs="Arial"/>
          <w:lang w:val="es-ES"/>
        </w:rPr>
        <w:t>nuevo</w:t>
      </w:r>
      <w:r w:rsidRPr="003A1844">
        <w:rPr>
          <w:rFonts w:ascii="Verdana" w:eastAsia="Arial" w:hAnsi="Verdana" w:cs="Arial"/>
          <w:spacing w:val="-14"/>
          <w:lang w:val="es-ES"/>
        </w:rPr>
        <w:t xml:space="preserve"> </w:t>
      </w:r>
      <w:r w:rsidRPr="003A1844">
        <w:rPr>
          <w:rFonts w:ascii="Verdana" w:eastAsia="Arial" w:hAnsi="Verdana" w:cs="Arial"/>
          <w:lang w:val="es-ES"/>
        </w:rPr>
        <w:t>manual o</w:t>
      </w:r>
      <w:r w:rsidRPr="003A1844">
        <w:rPr>
          <w:rFonts w:ascii="Verdana" w:eastAsia="Arial" w:hAnsi="Verdana" w:cs="Arial"/>
          <w:spacing w:val="-2"/>
          <w:lang w:val="es-ES"/>
        </w:rPr>
        <w:t xml:space="preserve"> </w:t>
      </w:r>
      <w:r w:rsidRPr="003A1844">
        <w:rPr>
          <w:rFonts w:ascii="Verdana" w:eastAsia="Arial" w:hAnsi="Verdana" w:cs="Arial"/>
          <w:lang w:val="es-ES"/>
        </w:rPr>
        <w:t>de</w:t>
      </w:r>
      <w:r w:rsidRPr="003A1844">
        <w:rPr>
          <w:rFonts w:ascii="Verdana" w:eastAsia="Arial" w:hAnsi="Verdana" w:cs="Arial"/>
          <w:spacing w:val="-1"/>
          <w:lang w:val="es-ES"/>
        </w:rPr>
        <w:t xml:space="preserve"> </w:t>
      </w:r>
      <w:r w:rsidRPr="003A1844">
        <w:rPr>
          <w:rFonts w:ascii="Verdana" w:eastAsia="Arial" w:hAnsi="Verdana" w:cs="Arial"/>
          <w:lang w:val="es-ES"/>
        </w:rPr>
        <w:t>modificar</w:t>
      </w:r>
      <w:r w:rsidRPr="003A1844">
        <w:rPr>
          <w:rFonts w:ascii="Verdana" w:eastAsia="Arial" w:hAnsi="Verdana" w:cs="Arial"/>
          <w:spacing w:val="-1"/>
          <w:lang w:val="es-ES"/>
        </w:rPr>
        <w:t xml:space="preserve"> </w:t>
      </w:r>
      <w:r w:rsidRPr="003A1844">
        <w:rPr>
          <w:rFonts w:ascii="Verdana" w:eastAsia="Arial" w:hAnsi="Verdana" w:cs="Arial"/>
          <w:lang w:val="es-ES"/>
        </w:rPr>
        <w:t>el</w:t>
      </w:r>
      <w:r w:rsidRPr="003A1844">
        <w:rPr>
          <w:rFonts w:ascii="Verdana" w:eastAsia="Arial" w:hAnsi="Verdana" w:cs="Arial"/>
          <w:spacing w:val="-1"/>
          <w:lang w:val="es-ES"/>
        </w:rPr>
        <w:t xml:space="preserve"> </w:t>
      </w:r>
      <w:r w:rsidRPr="003A1844">
        <w:rPr>
          <w:rFonts w:ascii="Verdana" w:eastAsia="Arial" w:hAnsi="Verdana" w:cs="Arial"/>
          <w:lang w:val="es-ES"/>
        </w:rPr>
        <w:t>existente.</w:t>
      </w:r>
    </w:p>
    <w:p w14:paraId="0934316A" w14:textId="77777777" w:rsidR="00224EF8" w:rsidRPr="003A1844" w:rsidRDefault="00224EF8" w:rsidP="00224EF8">
      <w:pPr>
        <w:spacing w:after="120" w:line="276" w:lineRule="auto"/>
        <w:ind w:firstLine="709"/>
        <w:jc w:val="both"/>
        <w:rPr>
          <w:rFonts w:ascii="Verdana" w:eastAsia="Calibri" w:hAnsi="Verdana" w:cs="Arial"/>
          <w:color w:val="000000" w:themeColor="text1"/>
          <w:lang w:val="es-ES_tradnl"/>
        </w:rPr>
      </w:pPr>
      <w:r w:rsidRPr="003A1844">
        <w:rPr>
          <w:rFonts w:ascii="Verdana" w:eastAsia="Calibri" w:hAnsi="Verdana" w:cs="Arial"/>
          <w:color w:val="000000" w:themeColor="text1"/>
          <w:lang w:val="es-ES_tradnl"/>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325863E2" w14:textId="77777777" w:rsidR="00224EF8" w:rsidRPr="003A1844" w:rsidRDefault="00224EF8" w:rsidP="00224EF8">
      <w:pPr>
        <w:spacing w:after="120" w:line="276" w:lineRule="auto"/>
        <w:ind w:firstLine="709"/>
        <w:jc w:val="both"/>
        <w:rPr>
          <w:rFonts w:ascii="Verdana" w:eastAsia="Calibri" w:hAnsi="Verdana" w:cs="Arial"/>
          <w:color w:val="000000" w:themeColor="text1"/>
          <w:lang w:val="es-ES"/>
        </w:rPr>
      </w:pPr>
      <w:r w:rsidRPr="003A1844">
        <w:rPr>
          <w:rFonts w:ascii="Verdana" w:eastAsia="Calibri" w:hAnsi="Verdana" w:cs="Arial"/>
          <w:color w:val="000000" w:themeColor="text1"/>
          <w:lang w:val="es-ES"/>
        </w:rPr>
        <w:t xml:space="preserve">De otro lado, existen ciertos contenidos determinados por el ordenamiento jurídico que no pueden ser modificados por los manuales internos, por tratarse de asuntos con reserva de ley. En este sentido, estos reglamentos internos de las entidades con régimen especial no pueden crear causales de </w:t>
      </w:r>
      <w:r w:rsidRPr="003A1844">
        <w:rPr>
          <w:rFonts w:ascii="Verdana" w:eastAsia="Calibri" w:hAnsi="Verdana" w:cs="Arial"/>
          <w:color w:val="000000" w:themeColor="text1"/>
          <w:lang w:val="es-ES"/>
        </w:rPr>
        <w:lastRenderedPageBreak/>
        <w:t>inhabilidad o incompatibilidad, crear nuevos supuestos de conflictos de interés, 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sidRPr="003A1844">
        <w:rPr>
          <w:rFonts w:ascii="Verdana" w:eastAsia="Calibri" w:hAnsi="Verdana" w:cs="Arial"/>
          <w:color w:val="000000" w:themeColor="text1"/>
          <w:vertAlign w:val="superscript"/>
          <w:lang w:val="es-ES_tradnl"/>
        </w:rPr>
        <w:footnoteReference w:id="15"/>
      </w:r>
      <w:r w:rsidRPr="003A1844">
        <w:rPr>
          <w:rFonts w:ascii="Verdana" w:eastAsia="Calibri" w:hAnsi="Verdana" w:cs="Arial"/>
          <w:color w:val="000000" w:themeColor="text1"/>
          <w:lang w:val="es-ES"/>
        </w:rPr>
        <w:t>.</w:t>
      </w:r>
    </w:p>
    <w:p w14:paraId="03FCADAC" w14:textId="77777777" w:rsidR="00224EF8" w:rsidRDefault="00224EF8" w:rsidP="00224EF8">
      <w:pPr>
        <w:spacing w:after="120" w:line="276" w:lineRule="auto"/>
        <w:ind w:firstLine="709"/>
        <w:jc w:val="both"/>
        <w:rPr>
          <w:rFonts w:ascii="Verdana" w:eastAsia="Calibri" w:hAnsi="Verdana" w:cs="Arial"/>
          <w:color w:val="000000" w:themeColor="text1"/>
          <w:lang w:val="es-ES"/>
        </w:rPr>
      </w:pPr>
      <w:r w:rsidRPr="003A1844">
        <w:rPr>
          <w:rFonts w:ascii="Verdana" w:eastAsia="Calibri" w:hAnsi="Verdana" w:cs="Arial"/>
          <w:color w:val="000000" w:themeColor="text1"/>
          <w:lang w:val="es-ES"/>
        </w:rPr>
        <w:t>Sin perjuicio de lo anterior, existen múltiples contenidos que pueden ser objeto de regulación en el manual de contratación, por hacer parte del ámbito de configuración en desarrollo de su autonomía contractual, siempre que no contravengan la Constitución ni la ley. Por ejemplo, la definición de algunos requisitos de ejecución del contrato, con excepción de los que la ley imponga,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w:t>
      </w:r>
    </w:p>
    <w:p w14:paraId="0F9F476D" w14:textId="77777777" w:rsidR="00224EF8" w:rsidRDefault="00224EF8" w:rsidP="00224EF8">
      <w:pPr>
        <w:spacing w:after="120" w:line="276" w:lineRule="auto"/>
        <w:jc w:val="both"/>
        <w:rPr>
          <w:rFonts w:ascii="Verdana" w:eastAsia="Calibri" w:hAnsi="Verdana" w:cs="Arial"/>
          <w:color w:val="000000" w:themeColor="text1"/>
          <w:lang w:val="es-ES"/>
        </w:rPr>
      </w:pPr>
    </w:p>
    <w:p w14:paraId="6C83CCF4" w14:textId="77777777" w:rsidR="00224EF8" w:rsidRPr="00084D59" w:rsidRDefault="00224EF8" w:rsidP="00224EF8">
      <w:pPr>
        <w:spacing w:after="120" w:line="276" w:lineRule="auto"/>
        <w:jc w:val="both"/>
        <w:rPr>
          <w:rFonts w:ascii="Verdana" w:eastAsia="Calibri" w:hAnsi="Verdana" w:cs="Arial"/>
        </w:rPr>
      </w:pPr>
      <w:proofErr w:type="spellStart"/>
      <w:r w:rsidRPr="00084D59">
        <w:rPr>
          <w:rFonts w:ascii="Verdana" w:eastAsia="Calibri" w:hAnsi="Verdana" w:cs="Arial"/>
          <w:lang w:val="es-ES"/>
        </w:rPr>
        <w:t>iii</w:t>
      </w:r>
      <w:proofErr w:type="spellEnd"/>
      <w:r w:rsidRPr="00084D59">
        <w:rPr>
          <w:rFonts w:ascii="Verdana" w:eastAsia="Calibri" w:hAnsi="Verdana" w:cs="Arial"/>
          <w:lang w:val="es-ES"/>
        </w:rPr>
        <w:t xml:space="preserve">. El inciso primero del artículo 267 de la Constitución Política modificado por el artículo 1° del Acto Legislativo 04 del 18 de septiembre de 2019 dispone que la Contraloría General de la República ejerce la vigilancia y control fiscal sobre el manejo de fondos y bienes públicos o de entidades que los administren. Dicha función se aplica </w:t>
      </w:r>
      <w:r w:rsidRPr="00084D59">
        <w:rPr>
          <w:rFonts w:ascii="Verdana" w:eastAsia="Calibri" w:hAnsi="Verdana" w:cs="Arial"/>
        </w:rPr>
        <w:t xml:space="preserve">en todos los niveles administrativos y respecto de todo tipo de recursos públicos. Al respecto, la ley regula el ejercicio de las competencias entre contralorías, en cumplimiento de los principios de coordinación, concurrencia y subsidiariedad. Dicho control ejercido por la Contraloría General de la República será preferente en las condiciones que establezca la ley.  </w:t>
      </w:r>
    </w:p>
    <w:p w14:paraId="175A9ADD" w14:textId="77777777" w:rsidR="00224EF8" w:rsidRDefault="00224EF8" w:rsidP="00224EF8">
      <w:pPr>
        <w:spacing w:after="120" w:line="276" w:lineRule="auto"/>
        <w:ind w:firstLine="708"/>
        <w:jc w:val="both"/>
        <w:rPr>
          <w:rFonts w:ascii="Verdana" w:eastAsia="Calibri" w:hAnsi="Verdana" w:cs="Arial"/>
        </w:rPr>
      </w:pPr>
      <w:r w:rsidRPr="00084D59">
        <w:rPr>
          <w:rFonts w:ascii="Verdana" w:eastAsia="Calibri" w:hAnsi="Verdana" w:cs="Arial"/>
        </w:rPr>
        <w:t xml:space="preserve">En concordancia con lo anterior, el artículo 272 de la Constitución modificado por el artículo </w:t>
      </w:r>
      <w:hyperlink r:id="rId20" w:anchor="4" w:history="1">
        <w:r w:rsidRPr="00084D59">
          <w:rPr>
            <w:rStyle w:val="Hipervnculo"/>
            <w:rFonts w:ascii="Verdana" w:eastAsia="Calibri" w:hAnsi="Verdana" w:cs="Arial"/>
            <w:color w:val="auto"/>
            <w:u w:val="none"/>
          </w:rPr>
          <w:t>4</w:t>
        </w:r>
      </w:hyperlink>
      <w:r w:rsidRPr="00084D59">
        <w:rPr>
          <w:rFonts w:ascii="Verdana" w:eastAsia="Calibri" w:hAnsi="Verdana" w:cs="Arial"/>
        </w:rPr>
        <w:t>º del Acto Legislativo número 4 de 2019, dispone que la vigilancia de la gestión fiscal de los departamentos, distritos y municipios en los que existan contralorías corresponderá a éstas, en forma concurrente con la Contraloría General de la República. En tal sentido, el Decreto Ley 403 de 2020 “</w:t>
      </w:r>
      <w:r w:rsidRPr="00084D59">
        <w:rPr>
          <w:rFonts w:ascii="Verdana" w:eastAsia="Calibri" w:hAnsi="Verdana" w:cs="Arial"/>
          <w:i/>
          <w:iCs/>
        </w:rPr>
        <w:t>Por el cual se dictan normas para la correcta implementación del Acto Legislativo número 04 de 2019 y el fortalecimiento del control fiscal</w:t>
      </w:r>
      <w:r w:rsidRPr="00084D59">
        <w:rPr>
          <w:rFonts w:ascii="Verdana" w:eastAsia="Calibri" w:hAnsi="Verdana" w:cs="Arial"/>
        </w:rPr>
        <w:t>”, en su Título </w:t>
      </w:r>
      <w:hyperlink r:id="rId21" w:anchor="T.2" w:history="1">
        <w:r w:rsidRPr="00084D59">
          <w:rPr>
            <w:rStyle w:val="Hipervnculo"/>
            <w:rFonts w:ascii="Verdana" w:eastAsia="Calibri" w:hAnsi="Verdana" w:cs="Arial"/>
            <w:color w:val="auto"/>
          </w:rPr>
          <w:t>II</w:t>
        </w:r>
      </w:hyperlink>
      <w:r w:rsidRPr="00084D59">
        <w:rPr>
          <w:rFonts w:ascii="Verdana" w:eastAsia="Calibri" w:hAnsi="Verdana" w:cs="Arial"/>
        </w:rPr>
        <w:t xml:space="preserve">, regula las competencias de la Contraloría General de la República y las contralorías territoriales, </w:t>
      </w:r>
      <w:r>
        <w:rPr>
          <w:rFonts w:ascii="Verdana" w:eastAsia="Calibri" w:hAnsi="Verdana" w:cs="Arial"/>
        </w:rPr>
        <w:t xml:space="preserve">disponiendo </w:t>
      </w:r>
      <w:r w:rsidRPr="00084D59">
        <w:rPr>
          <w:rFonts w:ascii="Verdana" w:eastAsia="Calibri" w:hAnsi="Verdana" w:cs="Arial"/>
        </w:rPr>
        <w:t>en el artículo</w:t>
      </w:r>
      <w:r w:rsidRPr="00E74BE7">
        <w:rPr>
          <w:rFonts w:ascii="Verdana" w:eastAsia="Calibri" w:hAnsi="Verdana" w:cs="Arial"/>
        </w:rPr>
        <w:t> </w:t>
      </w:r>
      <w:hyperlink r:id="rId22" w:anchor="4" w:history="1">
        <w:r w:rsidRPr="00E74BE7">
          <w:rPr>
            <w:rStyle w:val="Hipervnculo"/>
            <w:rFonts w:ascii="Verdana" w:eastAsia="Calibri" w:hAnsi="Verdana" w:cs="Arial"/>
            <w:color w:val="auto"/>
            <w:u w:val="none"/>
          </w:rPr>
          <w:t>4</w:t>
        </w:r>
      </w:hyperlink>
      <w:r w:rsidRPr="00E74BE7">
        <w:rPr>
          <w:rFonts w:ascii="Verdana" w:eastAsia="Calibri" w:hAnsi="Verdana" w:cs="Arial"/>
        </w:rPr>
        <w:t>º</w:t>
      </w:r>
      <w:r w:rsidRPr="00084D59">
        <w:rPr>
          <w:rFonts w:ascii="Verdana" w:eastAsia="Calibri" w:hAnsi="Verdana" w:cs="Arial"/>
        </w:rPr>
        <w:t xml:space="preserve"> que las contralorías </w:t>
      </w:r>
      <w:r w:rsidRPr="00084D59">
        <w:rPr>
          <w:rFonts w:ascii="Verdana" w:eastAsia="Calibri" w:hAnsi="Verdana" w:cs="Arial"/>
        </w:rPr>
        <w:lastRenderedPageBreak/>
        <w:t>territoriales vigilan y controlan la gestión fiscal de los departamentos, distritos, municipios y demás entidades del orden territorial, así como a los demás sujetos de control dentro de su respectiva jurisdicción, en relación con los recursos endógenos, en forma concurrente con la Contraloría General de la República, no obstante</w:t>
      </w:r>
      <w:r>
        <w:rPr>
          <w:rFonts w:ascii="Verdana" w:eastAsia="Calibri" w:hAnsi="Verdana" w:cs="Arial"/>
        </w:rPr>
        <w:t xml:space="preserve">, precisa </w:t>
      </w:r>
      <w:r w:rsidRPr="00084D59">
        <w:rPr>
          <w:rFonts w:ascii="Verdana" w:eastAsia="Calibri" w:hAnsi="Verdana" w:cs="Arial"/>
        </w:rPr>
        <w:t>que la vigilancia y control fiscal de los recursos transferidos o las rentas cedidas por la Nación a cualquier título a las entidades territoriales, será prevalente con sujeción a lo dispuesto en normas especiales.</w:t>
      </w:r>
      <w:r>
        <w:rPr>
          <w:rFonts w:ascii="Verdana" w:eastAsia="Calibri" w:hAnsi="Verdana" w:cs="Arial"/>
        </w:rPr>
        <w:t xml:space="preserve"> Bajo esta perspectiva, el artículo 4° del Decreto Ley 267 de 2000 fue modificado por el Decreto Ley 405 de 2020, que establece quienes son los sujetos de vigilancia y control fiscal:</w:t>
      </w:r>
    </w:p>
    <w:p w14:paraId="09F3CB42" w14:textId="77777777" w:rsidR="00224EF8" w:rsidRDefault="00224EF8" w:rsidP="00224EF8">
      <w:pPr>
        <w:spacing w:after="120" w:line="276" w:lineRule="auto"/>
        <w:jc w:val="both"/>
        <w:rPr>
          <w:rFonts w:ascii="Verdana" w:eastAsia="Calibri" w:hAnsi="Verdana" w:cs="Arial"/>
        </w:rPr>
      </w:pPr>
    </w:p>
    <w:p w14:paraId="68C95494" w14:textId="77777777" w:rsidR="00224EF8" w:rsidRPr="00FC78A8" w:rsidRDefault="00224EF8" w:rsidP="00224EF8">
      <w:pPr>
        <w:spacing w:after="0" w:line="240" w:lineRule="auto"/>
        <w:ind w:left="709" w:right="709"/>
        <w:jc w:val="both"/>
        <w:rPr>
          <w:rFonts w:ascii="Verdana" w:eastAsia="Calibri" w:hAnsi="Verdana" w:cs="Arial"/>
          <w:sz w:val="21"/>
          <w:szCs w:val="21"/>
        </w:rPr>
      </w:pPr>
      <w:r w:rsidRPr="00FC78A8">
        <w:rPr>
          <w:rFonts w:ascii="Verdana" w:eastAsia="Calibri" w:hAnsi="Verdana" w:cs="Arial"/>
          <w:bCs/>
          <w:sz w:val="21"/>
          <w:szCs w:val="21"/>
        </w:rPr>
        <w:t>Artículo 4°. </w:t>
      </w:r>
      <w:r w:rsidRPr="00FC78A8">
        <w:rPr>
          <w:rFonts w:ascii="Verdana" w:eastAsia="Calibri" w:hAnsi="Verdana" w:cs="Arial"/>
          <w:bCs/>
          <w:i/>
          <w:iCs/>
          <w:sz w:val="21"/>
          <w:szCs w:val="21"/>
        </w:rPr>
        <w:t>Sujetos de vigilancia y control fiscal</w:t>
      </w:r>
      <w:r w:rsidRPr="00FC78A8">
        <w:rPr>
          <w:rFonts w:ascii="Verdana" w:eastAsia="Calibri" w:hAnsi="Verdana" w:cs="Arial"/>
          <w:bCs/>
          <w:sz w:val="21"/>
          <w:szCs w:val="21"/>
        </w:rPr>
        <w:t>. </w:t>
      </w:r>
      <w:r w:rsidRPr="00FC78A8">
        <w:rPr>
          <w:rFonts w:ascii="Verdana" w:eastAsia="Calibri" w:hAnsi="Verdana" w:cs="Arial"/>
          <w:sz w:val="21"/>
          <w:szCs w:val="21"/>
        </w:rPr>
        <w:t xml:space="preserve">Son sujetos de vigilancia y control fiscal por parte de la Contraloría General de la República los órganos que integran las ramas del poder público, los órganos autónomos e independientes, los de control y electorales, </w:t>
      </w:r>
      <w:r w:rsidRPr="00605B30">
        <w:rPr>
          <w:rFonts w:ascii="Verdana" w:eastAsia="Calibri" w:hAnsi="Verdana" w:cs="Arial"/>
          <w:i/>
          <w:sz w:val="21"/>
          <w:szCs w:val="21"/>
        </w:rPr>
        <w:t>los organismos creados por la Constitución Política y la ley que tienen régimen especial, y las demás entidades públicas en todos los niveles administrativos, los particulares, las personas jurídicas y cualquier otro tipo de organización o sociedad que a cualquier título recauden, administren, manejen, dispongan o inviertan fondos, recursos del Estado y/o bienes o recursos públicos en lo relacionado con estos</w:t>
      </w:r>
      <w:r w:rsidRPr="00FC78A8">
        <w:rPr>
          <w:rFonts w:ascii="Verdana" w:eastAsia="Calibri" w:hAnsi="Verdana" w:cs="Arial"/>
          <w:sz w:val="21"/>
          <w:szCs w:val="21"/>
        </w:rPr>
        <w:t>. </w:t>
      </w:r>
    </w:p>
    <w:p w14:paraId="0EBE950D" w14:textId="77777777" w:rsidR="00224EF8" w:rsidRPr="00FC78A8" w:rsidRDefault="00224EF8" w:rsidP="00224EF8">
      <w:pPr>
        <w:spacing w:after="0" w:line="240" w:lineRule="auto"/>
        <w:ind w:left="709" w:right="709"/>
        <w:jc w:val="both"/>
        <w:rPr>
          <w:rFonts w:ascii="Verdana" w:eastAsia="Calibri" w:hAnsi="Verdana" w:cs="Arial"/>
          <w:sz w:val="21"/>
          <w:szCs w:val="21"/>
        </w:rPr>
      </w:pPr>
      <w:r w:rsidRPr="00FC78A8">
        <w:rPr>
          <w:rFonts w:ascii="Verdana" w:eastAsia="Calibri" w:hAnsi="Verdana" w:cs="Arial"/>
          <w:sz w:val="21"/>
          <w:szCs w:val="21"/>
        </w:rPr>
        <w:t>Lo anterior, sin perjuicio del ejercicio de las competencias de las contralorías territoriales y la aplicación de los principios de coordinación, concurrencia, prevalencia y subsidiariedad, de conformidad con la ley. </w:t>
      </w:r>
    </w:p>
    <w:p w14:paraId="4068BAB0" w14:textId="77777777" w:rsidR="00224EF8" w:rsidRPr="00FC78A8" w:rsidRDefault="00224EF8" w:rsidP="00224EF8">
      <w:pPr>
        <w:spacing w:after="0" w:line="240" w:lineRule="auto"/>
        <w:ind w:left="709" w:right="709"/>
        <w:jc w:val="both"/>
        <w:rPr>
          <w:rFonts w:ascii="Verdana" w:eastAsia="Calibri" w:hAnsi="Verdana" w:cs="Arial"/>
          <w:sz w:val="21"/>
          <w:szCs w:val="21"/>
        </w:rPr>
      </w:pPr>
      <w:r w:rsidRPr="00FC78A8">
        <w:rPr>
          <w:rFonts w:ascii="Verdana" w:eastAsia="Calibri" w:hAnsi="Verdana" w:cs="Arial"/>
          <w:bCs/>
          <w:sz w:val="21"/>
          <w:szCs w:val="21"/>
        </w:rPr>
        <w:t>Parágrafo.</w:t>
      </w:r>
      <w:r w:rsidRPr="00FC78A8">
        <w:rPr>
          <w:rFonts w:ascii="Verdana" w:eastAsia="Calibri" w:hAnsi="Verdana" w:cs="Arial"/>
          <w:sz w:val="21"/>
          <w:szCs w:val="21"/>
        </w:rPr>
        <w:t xml:space="preserve"> El Banco de la República es sujeto de vigilancia y control fiscal por parte de la Contraloría General de la República cuando administre recursos de la Nación, ejecute actos o cumpla actividades de gestión fiscal </w:t>
      </w:r>
      <w:r>
        <w:rPr>
          <w:rFonts w:ascii="Verdana" w:eastAsia="Calibri" w:hAnsi="Verdana" w:cs="Arial"/>
          <w:sz w:val="21"/>
          <w:szCs w:val="21"/>
        </w:rPr>
        <w:t>y en la medida en que lo haga” (énfasis fuera de texto)</w:t>
      </w:r>
    </w:p>
    <w:p w14:paraId="0CCEB6CD" w14:textId="77777777" w:rsidR="00224EF8" w:rsidRPr="00084D59" w:rsidRDefault="00224EF8" w:rsidP="00224EF8">
      <w:pPr>
        <w:spacing w:after="120" w:line="276" w:lineRule="auto"/>
        <w:ind w:firstLine="708"/>
        <w:jc w:val="both"/>
        <w:rPr>
          <w:rFonts w:ascii="Verdana" w:eastAsia="Calibri" w:hAnsi="Verdana" w:cs="Arial"/>
        </w:rPr>
      </w:pPr>
    </w:p>
    <w:p w14:paraId="7147872C" w14:textId="77777777" w:rsidR="00224EF8" w:rsidRPr="00084D59" w:rsidRDefault="00224EF8" w:rsidP="00224EF8">
      <w:pPr>
        <w:spacing w:after="120" w:line="276" w:lineRule="auto"/>
        <w:ind w:firstLine="708"/>
        <w:jc w:val="both"/>
        <w:rPr>
          <w:rFonts w:ascii="Verdana" w:eastAsia="Calibri" w:hAnsi="Verdana" w:cs="Arial"/>
        </w:rPr>
      </w:pPr>
      <w:r w:rsidRPr="00084D59">
        <w:rPr>
          <w:rFonts w:ascii="Verdana" w:eastAsia="Calibri" w:hAnsi="Verdana" w:cs="Arial"/>
        </w:rPr>
        <w:t>Bajo esta línea, el artículo 6 del Decreto Ley</w:t>
      </w:r>
      <w:r>
        <w:rPr>
          <w:rFonts w:ascii="Verdana" w:eastAsia="Calibri" w:hAnsi="Verdana" w:cs="Arial"/>
        </w:rPr>
        <w:t xml:space="preserve"> 403 </w:t>
      </w:r>
      <w:r w:rsidRPr="00084D59">
        <w:rPr>
          <w:rFonts w:ascii="Verdana" w:eastAsia="Calibri" w:hAnsi="Verdana" w:cs="Arial"/>
        </w:rPr>
        <w:t>prescribe la p</w:t>
      </w:r>
      <w:r>
        <w:rPr>
          <w:rFonts w:ascii="Verdana" w:eastAsia="Calibri" w:hAnsi="Verdana" w:cs="Arial"/>
        </w:rPr>
        <w:t>revalencia en la vigilancia y</w:t>
      </w:r>
      <w:r w:rsidRPr="00084D59">
        <w:rPr>
          <w:rFonts w:ascii="Verdana" w:eastAsia="Calibri" w:hAnsi="Verdana" w:cs="Arial"/>
        </w:rPr>
        <w:t xml:space="preserve"> control fiscal de los departamentos, distritos y municipios y demás entidades del orden territorial, así como los demás sujetos de control de las contralorías territoriales, por parte de la Contraloría General de la República, que se ejerce bajo los siguientes mecanismos: a) Vigilancia fiscal concurrente integral o selectiva, transitoria o permanente; b) Plan Nacional de Vigilancia y Control Fiscal; c) Sistema Nacional de Control Fiscal (</w:t>
      </w:r>
      <w:proofErr w:type="spellStart"/>
      <w:r w:rsidRPr="00084D59">
        <w:rPr>
          <w:rFonts w:ascii="Verdana" w:eastAsia="Calibri" w:hAnsi="Verdana" w:cs="Arial"/>
        </w:rPr>
        <w:t>Sinacof</w:t>
      </w:r>
      <w:proofErr w:type="spellEnd"/>
      <w:r w:rsidRPr="00084D59">
        <w:rPr>
          <w:rFonts w:ascii="Verdana" w:eastAsia="Calibri" w:hAnsi="Verdana" w:cs="Arial"/>
        </w:rPr>
        <w:t xml:space="preserve">); d) Acciones conjuntas y coordinadas entre contralorías; e) Intervención funcional de oficio; f) Intervención funcional excepcional; g) Fuero de atracción; h) Los demás que determine el Contralor General de la República, bajo criterios de necesidad, </w:t>
      </w:r>
      <w:r w:rsidRPr="00084D59">
        <w:rPr>
          <w:rFonts w:ascii="Verdana" w:eastAsia="Calibri" w:hAnsi="Verdana" w:cs="Arial"/>
        </w:rPr>
        <w:lastRenderedPageBreak/>
        <w:t xml:space="preserve">pertinencia, razonabilidad, proporcionalidad y especialidad, sin que implique el vaciamiento de competencias de las contralorías territoriales. </w:t>
      </w:r>
    </w:p>
    <w:p w14:paraId="6019A5BC" w14:textId="77777777" w:rsidR="00224EF8" w:rsidRPr="001C10B9" w:rsidRDefault="00224EF8" w:rsidP="00224EF8">
      <w:pPr>
        <w:spacing w:after="120" w:line="276" w:lineRule="auto"/>
        <w:ind w:firstLine="708"/>
        <w:jc w:val="both"/>
        <w:rPr>
          <w:rFonts w:ascii="Verdana" w:eastAsia="Calibri" w:hAnsi="Verdana" w:cs="Arial"/>
        </w:rPr>
      </w:pPr>
      <w:r w:rsidRPr="001C10B9">
        <w:rPr>
          <w:rFonts w:ascii="Verdana" w:eastAsia="Calibri" w:hAnsi="Verdana" w:cs="Arial"/>
        </w:rPr>
        <w:t xml:space="preserve">Ahora bien, sin perjuicio de la concurrencia en el ejercicio de la vigilancia y control fiscal en el Contralor General de la República subyacen competencias que le son exclusivas de conformidad con lo previsto en el </w:t>
      </w:r>
      <w:r w:rsidRPr="00963DEE">
        <w:rPr>
          <w:rFonts w:ascii="Verdana" w:eastAsia="Calibri" w:hAnsi="Verdana" w:cs="Arial"/>
        </w:rPr>
        <w:t>artículo </w:t>
      </w:r>
      <w:hyperlink r:id="rId23" w:anchor="268" w:history="1">
        <w:r w:rsidRPr="00963DEE">
          <w:rPr>
            <w:rStyle w:val="Hipervnculo"/>
            <w:rFonts w:ascii="Verdana" w:eastAsia="Calibri" w:hAnsi="Verdana" w:cs="Arial"/>
            <w:color w:val="auto"/>
            <w:u w:val="none"/>
          </w:rPr>
          <w:t>268</w:t>
        </w:r>
      </w:hyperlink>
      <w:r w:rsidRPr="00963DEE">
        <w:rPr>
          <w:rFonts w:ascii="Verdana" w:eastAsia="Calibri" w:hAnsi="Verdana" w:cs="Arial"/>
        </w:rPr>
        <w:t> de la Constitución Política, modificado por el artículo </w:t>
      </w:r>
      <w:hyperlink r:id="rId24" w:anchor="2" w:history="1">
        <w:r w:rsidRPr="00963DEE">
          <w:rPr>
            <w:rStyle w:val="Hipervnculo"/>
            <w:rFonts w:ascii="Verdana" w:eastAsia="Calibri" w:hAnsi="Verdana" w:cs="Arial"/>
            <w:color w:val="auto"/>
            <w:u w:val="none"/>
          </w:rPr>
          <w:t>2</w:t>
        </w:r>
      </w:hyperlink>
      <w:r w:rsidRPr="00963DEE">
        <w:rPr>
          <w:rFonts w:ascii="Verdana" w:eastAsia="Calibri" w:hAnsi="Verdana" w:cs="Arial"/>
        </w:rPr>
        <w:t xml:space="preserve">º del </w:t>
      </w:r>
      <w:r w:rsidRPr="001C10B9">
        <w:rPr>
          <w:rFonts w:ascii="Verdana" w:eastAsia="Calibri" w:hAnsi="Verdana" w:cs="Arial"/>
        </w:rPr>
        <w:t>Acto Legislativo número 04 de 2019, entre otras, las siguiente: i) llevar un registro de la deuda pública de la Nación y de las entidades descentralizadas territo</w:t>
      </w:r>
      <w:r>
        <w:rPr>
          <w:rFonts w:ascii="Verdana" w:eastAsia="Calibri" w:hAnsi="Verdana" w:cs="Arial"/>
        </w:rPr>
        <w:t xml:space="preserve">rialmente o por servicios –numeral 3°-; </w:t>
      </w:r>
      <w:proofErr w:type="spellStart"/>
      <w:r w:rsidRPr="001C10B9">
        <w:rPr>
          <w:rFonts w:ascii="Verdana" w:eastAsia="Calibri" w:hAnsi="Verdana" w:cs="Arial"/>
        </w:rPr>
        <w:t>ii</w:t>
      </w:r>
      <w:proofErr w:type="spellEnd"/>
      <w:r w:rsidRPr="001C10B9">
        <w:rPr>
          <w:rFonts w:ascii="Verdana" w:eastAsia="Calibri" w:hAnsi="Verdana" w:cs="Arial"/>
        </w:rPr>
        <w:t>) exigir informes sobre su gestión fiscal a los empleados oficiales de cualquier orden y a toda persona o entidad pública o privada que admin</w:t>
      </w:r>
      <w:r>
        <w:rPr>
          <w:rFonts w:ascii="Verdana" w:eastAsia="Calibri" w:hAnsi="Verdana" w:cs="Arial"/>
        </w:rPr>
        <w:t>istre fondos o bienes públicos –numeral 4°-</w:t>
      </w:r>
      <w:r w:rsidRPr="001C10B9">
        <w:rPr>
          <w:rFonts w:ascii="Verdana" w:eastAsia="Calibri" w:hAnsi="Verdana" w:cs="Arial"/>
        </w:rPr>
        <w:t xml:space="preserve">; </w:t>
      </w:r>
      <w:proofErr w:type="spellStart"/>
      <w:r w:rsidRPr="001C10B9">
        <w:rPr>
          <w:rFonts w:ascii="Verdana" w:eastAsia="Calibri" w:hAnsi="Verdana" w:cs="Arial"/>
        </w:rPr>
        <w:t>iii</w:t>
      </w:r>
      <w:proofErr w:type="spellEnd"/>
      <w:r w:rsidRPr="001C10B9">
        <w:rPr>
          <w:rFonts w:ascii="Verdana" w:eastAsia="Calibri" w:hAnsi="Verdana" w:cs="Arial"/>
        </w:rPr>
        <w:t>) dictar normas generales para armonizar los sistemas de control fiscal de todas las entidades públicas del orden nacional y territorial; y dirigir e implementar, con apoyo de la Auditoría General de la República, el Sistema Nacional de Control Fiscal, para la unificación y estandarización de la vigilancia y control de la g</w:t>
      </w:r>
      <w:r>
        <w:rPr>
          <w:rFonts w:ascii="Verdana" w:eastAsia="Calibri" w:hAnsi="Verdana" w:cs="Arial"/>
        </w:rPr>
        <w:t xml:space="preserve">estión fiscal –numeral 12°-. Esto, sin perjuicio de las demás funciones que ejerce el Contralor General de la República. </w:t>
      </w:r>
    </w:p>
    <w:p w14:paraId="52F7F5C9" w14:textId="77777777" w:rsidR="00224EF8" w:rsidRDefault="00224EF8" w:rsidP="00224EF8">
      <w:pPr>
        <w:spacing w:after="120" w:line="276" w:lineRule="auto"/>
        <w:jc w:val="both"/>
        <w:rPr>
          <w:rFonts w:ascii="Verdana" w:eastAsia="Calibri" w:hAnsi="Verdana" w:cs="Arial"/>
          <w:color w:val="000000" w:themeColor="text1"/>
        </w:rPr>
      </w:pPr>
      <w:r w:rsidRPr="001C10B9">
        <w:rPr>
          <w:rFonts w:ascii="Verdana" w:eastAsia="Calibri" w:hAnsi="Verdana" w:cs="Arial"/>
          <w:color w:val="000000" w:themeColor="text1"/>
        </w:rPr>
        <w:tab/>
        <w:t>Dentro de este marco normativo se haya el Decreto Ley 267 de 2000 que dentro de su estructura define la organización de la Contraloría General de la República</w:t>
      </w:r>
      <w:r>
        <w:rPr>
          <w:rFonts w:ascii="Verdana" w:eastAsia="Calibri" w:hAnsi="Verdana" w:cs="Arial"/>
          <w:color w:val="000000" w:themeColor="text1"/>
        </w:rPr>
        <w:t xml:space="preserve"> en los artículos 10 y 11</w:t>
      </w:r>
      <w:r w:rsidRPr="001C10B9">
        <w:rPr>
          <w:rFonts w:ascii="Verdana" w:eastAsia="Calibri" w:hAnsi="Verdana" w:cs="Arial"/>
          <w:color w:val="000000" w:themeColor="text1"/>
        </w:rPr>
        <w:t xml:space="preserve">: i) nivel central: que está conformado por las dependencias con sede en el Distrito Capital; </w:t>
      </w:r>
      <w:proofErr w:type="spellStart"/>
      <w:r w:rsidRPr="001C10B9">
        <w:rPr>
          <w:rFonts w:ascii="Verdana" w:eastAsia="Calibri" w:hAnsi="Verdana" w:cs="Arial"/>
          <w:color w:val="000000" w:themeColor="text1"/>
        </w:rPr>
        <w:t>ii</w:t>
      </w:r>
      <w:proofErr w:type="spellEnd"/>
      <w:r w:rsidRPr="001C10B9">
        <w:rPr>
          <w:rFonts w:ascii="Verdana" w:eastAsia="Calibri" w:hAnsi="Verdana" w:cs="Arial"/>
          <w:color w:val="000000" w:themeColor="text1"/>
        </w:rPr>
        <w:t xml:space="preserve">) Nivel Desconcentrado: que está constituido por las dependencias de </w:t>
      </w:r>
      <w:r w:rsidRPr="001C10B9">
        <w:rPr>
          <w:rFonts w:ascii="Verdana" w:eastAsia="Times New Roman" w:hAnsi="Verdana" w:cs="Arial"/>
          <w:color w:val="000000"/>
        </w:rPr>
        <w:t xml:space="preserve">la Contraloría General ubicadas fuera de la sede del Distrito Capital y se configura con observancia de los principios de la función administrativa. Dentro del nivel desconcentrado se encuentran la Gerencia Departamental Colegiada, Grupos </w:t>
      </w:r>
      <w:proofErr w:type="gramStart"/>
      <w:r w:rsidRPr="001C10B9">
        <w:rPr>
          <w:rFonts w:ascii="Verdana" w:eastAsia="Times New Roman" w:hAnsi="Verdana" w:cs="Arial"/>
          <w:color w:val="000000"/>
        </w:rPr>
        <w:t>Delegados</w:t>
      </w:r>
      <w:proofErr w:type="gramEnd"/>
      <w:r w:rsidRPr="001C10B9">
        <w:rPr>
          <w:rFonts w:ascii="Verdana" w:eastAsia="Times New Roman" w:hAnsi="Verdana" w:cs="Arial"/>
          <w:color w:val="000000"/>
        </w:rPr>
        <w:t xml:space="preserve"> de Vigilancia Fiscal, Grupos de Responsabilidad Fiscal,</w:t>
      </w:r>
      <w:r w:rsidRPr="001C10B9">
        <w:rPr>
          <w:rFonts w:ascii="Verdana" w:eastAsia="Calibri" w:hAnsi="Verdana" w:cs="Arial"/>
          <w:color w:val="000000" w:themeColor="text1"/>
        </w:rPr>
        <w:t xml:space="preserve"> Grupos de Cobro Coactivo, Grupos de Participación Ciudadana.</w:t>
      </w:r>
    </w:p>
    <w:p w14:paraId="0D9D0DB8" w14:textId="77777777" w:rsidR="00224EF8" w:rsidRDefault="00224EF8" w:rsidP="00224EF8">
      <w:pPr>
        <w:spacing w:after="120" w:line="276" w:lineRule="auto"/>
        <w:jc w:val="both"/>
        <w:rPr>
          <w:rFonts w:ascii="Verdana" w:hAnsi="Verdana" w:cs="Arial"/>
          <w:bCs/>
          <w:color w:val="000000" w:themeColor="text1"/>
          <w:lang w:val="es-ES_tradnl"/>
        </w:rPr>
      </w:pPr>
      <w:r>
        <w:rPr>
          <w:rFonts w:ascii="Verdana" w:eastAsia="Calibri" w:hAnsi="Verdana" w:cs="Arial"/>
          <w:color w:val="000000" w:themeColor="text1"/>
        </w:rPr>
        <w:tab/>
        <w:t xml:space="preserve">En el nivel desconcentrado, se hallan las gerencias departamentales que están reguladas en el artículo 19 del precitado Decreto Ley: “[…] </w:t>
      </w:r>
      <w:r w:rsidRPr="00373BE8">
        <w:rPr>
          <w:rFonts w:ascii="Verdana" w:hAnsi="Verdana" w:cs="Arial"/>
          <w:bCs/>
          <w:color w:val="000000" w:themeColor="text1"/>
        </w:rPr>
        <w:t>Es objetivo de las gerencias departamentales representar a la Contraloría General de la República en el territorio de su jurisdicción, en calidad de agencias de representación inmediata del nivel superior de dirección de la Contraloría</w:t>
      </w:r>
      <w:r>
        <w:rPr>
          <w:rFonts w:ascii="Verdana" w:hAnsi="Verdana" w:cs="Arial"/>
          <w:bCs/>
          <w:color w:val="000000" w:themeColor="text1"/>
        </w:rPr>
        <w:t xml:space="preserve">”. Así mismo, establece “[…] </w:t>
      </w:r>
      <w:r w:rsidRPr="00373BE8">
        <w:rPr>
          <w:rFonts w:ascii="Verdana" w:hAnsi="Verdana" w:cs="Arial"/>
          <w:bCs/>
          <w:color w:val="000000" w:themeColor="text1"/>
        </w:rPr>
        <w:t xml:space="preserve"> tales gerencias ejercen competencias de dirección y orientación institucional en el nivel territorial y concurren en la formulación de políticas, en la representación de la Contraloría General en los términos dispuestos en el presente decreto </w:t>
      </w:r>
      <w:r>
        <w:rPr>
          <w:rFonts w:ascii="Verdana" w:hAnsi="Verdana" w:cs="Arial"/>
          <w:bCs/>
          <w:color w:val="000000" w:themeColor="text1"/>
        </w:rPr>
        <w:t xml:space="preserve">[…]”. En efecto, las gerencias departamentales actúan como una manifestación de la desconcentración que se entiende por </w:t>
      </w:r>
      <w:r>
        <w:rPr>
          <w:rFonts w:ascii="Verdana" w:hAnsi="Verdana" w:cs="Arial"/>
          <w:bCs/>
          <w:color w:val="000000" w:themeColor="text1"/>
        </w:rPr>
        <w:lastRenderedPageBreak/>
        <w:t xml:space="preserve">parte de la doctrina como: </w:t>
      </w:r>
      <w:r w:rsidRPr="00F766C1">
        <w:rPr>
          <w:rFonts w:ascii="Verdana" w:hAnsi="Verdana" w:cs="Arial"/>
          <w:bCs/>
          <w:color w:val="000000" w:themeColor="text1"/>
          <w:lang w:val="es-ES_tradnl"/>
        </w:rPr>
        <w:t>“[…]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w:t>
      </w:r>
      <w:r w:rsidRPr="00F766C1">
        <w:rPr>
          <w:rFonts w:ascii="Verdana" w:hAnsi="Verdana" w:cs="Arial"/>
          <w:bCs/>
          <w:color w:val="000000" w:themeColor="text1"/>
          <w:vertAlign w:val="superscript"/>
          <w:lang w:val="es-ES_tradnl"/>
        </w:rPr>
        <w:footnoteReference w:id="16"/>
      </w:r>
      <w:r w:rsidRPr="00F766C1">
        <w:rPr>
          <w:rFonts w:ascii="Verdana" w:hAnsi="Verdana" w:cs="Arial"/>
          <w:bCs/>
          <w:color w:val="000000" w:themeColor="text1"/>
          <w:lang w:val="es-ES_tradnl"/>
        </w:rPr>
        <w:t>.</w:t>
      </w:r>
      <w:r>
        <w:rPr>
          <w:rFonts w:ascii="Verdana" w:hAnsi="Verdana" w:cs="Arial"/>
          <w:bCs/>
          <w:color w:val="000000" w:themeColor="text1"/>
          <w:lang w:val="es-ES_tradnl"/>
        </w:rPr>
        <w:t xml:space="preserve"> En este escenario, las gerencias departamentales actúan como parte de la Contraloría General de la República como una manifestación de la desconcentración territorial. Por tanto, adquieren la competencia preferente en el ejercicio del control y vigilancia fiscal con respecto a las contralorías territoriales. </w:t>
      </w:r>
    </w:p>
    <w:p w14:paraId="5D23FC52" w14:textId="77777777" w:rsidR="00224EF8" w:rsidRDefault="00224EF8" w:rsidP="00224EF8">
      <w:pPr>
        <w:spacing w:after="120" w:line="276" w:lineRule="auto"/>
        <w:jc w:val="both"/>
        <w:rPr>
          <w:rFonts w:ascii="Verdana" w:hAnsi="Verdana" w:cs="Arial"/>
          <w:bCs/>
          <w:color w:val="000000" w:themeColor="text1"/>
        </w:rPr>
      </w:pPr>
      <w:r>
        <w:rPr>
          <w:rFonts w:ascii="Verdana" w:hAnsi="Verdana" w:cs="Arial"/>
          <w:bCs/>
          <w:color w:val="000000" w:themeColor="text1"/>
          <w:lang w:val="es-ES_tradnl"/>
        </w:rPr>
        <w:tab/>
        <w:t xml:space="preserve">Teniendo en cuenta lo expuesto y de acuerdo a la pregunta motivo de consulta, se resalta que, en el marco de control y vigilancia fiscal por parte de la Contraloría General de la República y sus gerencias departamentales a la gestión contractual, </w:t>
      </w:r>
      <w:r w:rsidRPr="00497769">
        <w:rPr>
          <w:rFonts w:ascii="Verdana" w:hAnsi="Verdana" w:cs="Arial"/>
          <w:bCs/>
          <w:color w:val="000000" w:themeColor="text1"/>
        </w:rPr>
        <w:t>el artículo 59 del Decreto Ley</w:t>
      </w:r>
      <w:r>
        <w:rPr>
          <w:rFonts w:ascii="Verdana" w:hAnsi="Verdana" w:cs="Arial"/>
          <w:bCs/>
          <w:color w:val="000000" w:themeColor="text1"/>
        </w:rPr>
        <w:t xml:space="preserve"> 405 de 2020</w:t>
      </w:r>
      <w:r>
        <w:rPr>
          <w:rStyle w:val="Refdenotaalpie"/>
          <w:rFonts w:ascii="Verdana" w:hAnsi="Verdana" w:cs="Arial"/>
          <w:bCs/>
          <w:color w:val="000000" w:themeColor="text1"/>
        </w:rPr>
        <w:footnoteReference w:id="17"/>
      </w:r>
      <w:r>
        <w:rPr>
          <w:rFonts w:ascii="Verdana" w:hAnsi="Verdana" w:cs="Arial"/>
          <w:bCs/>
          <w:color w:val="000000" w:themeColor="text1"/>
        </w:rPr>
        <w:t xml:space="preserve"> </w:t>
      </w:r>
      <w:r w:rsidRPr="00497769">
        <w:rPr>
          <w:rFonts w:ascii="Verdana" w:hAnsi="Verdana" w:cs="Arial"/>
          <w:bCs/>
          <w:color w:val="000000" w:themeColor="text1"/>
        </w:rPr>
        <w:t>establece que la Contraloría General de la República podrá requerir, conocer y examinar todos los datos e información sobre hechos u operaciones, actos, contratos, programas, proyectos o procesos en ejecución, en los que se involucren recursos públicos y/o se afecten bienes o intereses patrimoniales de naturaleza pública, sin oponibilidad de reserva legal, de forma exclusiva para el ejercicio de sus funciones. Para ello, la Contraloría General de la República podrá apoyarse en la gestión inteligente de la información, entendida como el uso eficiente de todas las capacidades tecnológicas disponibles, inteligencia artificial, analítica y minería de datos, análisis predictivo y prospectivo, entre otros, para la determinación anticipada de eventos o malas prácticas, con probabilidad significativa de ocurrencia, persistencia o mutación, y que impliquen riesgos de pérdida del patrimonio público.</w:t>
      </w:r>
      <w:r>
        <w:rPr>
          <w:rFonts w:ascii="Verdana" w:hAnsi="Verdana" w:cs="Arial"/>
          <w:bCs/>
          <w:color w:val="000000" w:themeColor="text1"/>
        </w:rPr>
        <w:t xml:space="preserve"> En efecto, este artículo posibilita a requerir información contractual, en los que se involucren recursos públicos o bienes de </w:t>
      </w:r>
      <w:r>
        <w:rPr>
          <w:rFonts w:ascii="Verdana" w:hAnsi="Verdana" w:cs="Arial"/>
          <w:bCs/>
          <w:color w:val="000000" w:themeColor="text1"/>
        </w:rPr>
        <w:lastRenderedPageBreak/>
        <w:t xml:space="preserve">naturaleza pública, independiente a la entidad pública o particular que lo esté administrando, como es el caso de las Empresas Sociales del Estado. </w:t>
      </w:r>
    </w:p>
    <w:p w14:paraId="4893C3A2" w14:textId="77777777" w:rsidR="00224EF8" w:rsidRDefault="00224EF8" w:rsidP="00224EF8">
      <w:pPr>
        <w:spacing w:after="0" w:line="276" w:lineRule="auto"/>
        <w:jc w:val="both"/>
        <w:rPr>
          <w:rFonts w:ascii="Verdana" w:hAnsi="Verdana" w:cs="Arial"/>
          <w:bCs/>
          <w:iCs/>
          <w:color w:val="000000" w:themeColor="text1"/>
        </w:rPr>
      </w:pPr>
      <w:r>
        <w:rPr>
          <w:rFonts w:ascii="Verdana" w:hAnsi="Verdana" w:cs="Arial"/>
          <w:bCs/>
          <w:color w:val="000000" w:themeColor="text1"/>
        </w:rPr>
        <w:tab/>
      </w:r>
      <w:r w:rsidRPr="008717B9">
        <w:rPr>
          <w:rFonts w:ascii="Verdana" w:hAnsi="Verdana" w:cs="Arial"/>
          <w:bCs/>
          <w:color w:val="000000" w:themeColor="text1"/>
        </w:rPr>
        <w:t>En este marco de seguimiento y control a la gestión contractual, también se encuentra la Resolución REG-ORG 063-2023 DE 2023, “</w:t>
      </w:r>
      <w:r w:rsidRPr="008717B9">
        <w:rPr>
          <w:rFonts w:ascii="Verdana" w:hAnsi="Verdana" w:cs="Arial"/>
          <w:bCs/>
          <w:i/>
          <w:iCs/>
          <w:color w:val="000000" w:themeColor="text1"/>
        </w:rPr>
        <w:t>Por la cual se reglamenta la rendición de información por parte de las entidades o particulares que manejen fondos o bienes públicos, en todos los niveles administrativos y respecto de todo tipo de recursos públicos, para la vigilancia y el control fiscal de las finanzas y contabilidad públicas</w:t>
      </w:r>
      <w:r>
        <w:rPr>
          <w:rFonts w:ascii="Verdana" w:hAnsi="Verdana" w:cs="Arial"/>
          <w:b/>
          <w:bCs/>
          <w:i/>
          <w:iCs/>
          <w:color w:val="000000" w:themeColor="text1"/>
        </w:rPr>
        <w:t xml:space="preserve">”. </w:t>
      </w:r>
      <w:r>
        <w:rPr>
          <w:rFonts w:ascii="Verdana" w:hAnsi="Verdana" w:cs="Arial"/>
          <w:bCs/>
          <w:iCs/>
          <w:color w:val="000000" w:themeColor="text1"/>
        </w:rPr>
        <w:t xml:space="preserve">Dicha Resolución establece en el artículo 2 el ámbito de aplicación: </w:t>
      </w:r>
    </w:p>
    <w:p w14:paraId="67C502A1" w14:textId="77777777" w:rsidR="00224EF8" w:rsidRPr="008717B9" w:rsidRDefault="00224EF8" w:rsidP="00224EF8">
      <w:pPr>
        <w:spacing w:after="0" w:line="276" w:lineRule="auto"/>
        <w:jc w:val="both"/>
        <w:rPr>
          <w:rFonts w:ascii="Verdana" w:hAnsi="Verdana" w:cs="Arial"/>
          <w:bCs/>
          <w:color w:val="000000" w:themeColor="text1"/>
        </w:rPr>
      </w:pPr>
    </w:p>
    <w:p w14:paraId="0C02C018" w14:textId="77777777" w:rsidR="00224EF8" w:rsidRDefault="00224EF8" w:rsidP="00224EF8">
      <w:pPr>
        <w:spacing w:after="0" w:line="240" w:lineRule="auto"/>
        <w:ind w:left="709" w:right="709"/>
        <w:jc w:val="both"/>
        <w:rPr>
          <w:rFonts w:ascii="Verdana" w:hAnsi="Verdana" w:cs="Arial"/>
          <w:bCs/>
          <w:color w:val="000000" w:themeColor="text1"/>
          <w:sz w:val="21"/>
          <w:szCs w:val="21"/>
        </w:rPr>
      </w:pPr>
      <w:r w:rsidRPr="00670827">
        <w:rPr>
          <w:rFonts w:ascii="Verdana" w:hAnsi="Verdana" w:cs="Arial"/>
          <w:bCs/>
          <w:color w:val="000000" w:themeColor="text1"/>
          <w:sz w:val="21"/>
          <w:szCs w:val="21"/>
        </w:rPr>
        <w:t xml:space="preserve">Las disposiciones de la presente resolución aplican a las entidades que hacen parte del Presupuesto General de la Nación, a los órganos autónomos constitucionales, </w:t>
      </w:r>
      <w:r w:rsidRPr="00384BC9">
        <w:rPr>
          <w:rFonts w:ascii="Verdana" w:hAnsi="Verdana" w:cs="Arial"/>
          <w:bCs/>
          <w:i/>
          <w:color w:val="000000" w:themeColor="text1"/>
          <w:sz w:val="21"/>
          <w:szCs w:val="21"/>
        </w:rPr>
        <w:t>a las entidades descentralizadas territorialmente o por servicios directas o indirectas de cualquier orden</w:t>
      </w:r>
      <w:r w:rsidRPr="00670827">
        <w:rPr>
          <w:rFonts w:ascii="Verdana" w:hAnsi="Verdana" w:cs="Arial"/>
          <w:bCs/>
          <w:color w:val="000000" w:themeColor="text1"/>
          <w:sz w:val="21"/>
          <w:szCs w:val="21"/>
        </w:rPr>
        <w:t>, a los organismos de control fiscal, a los particulares que manejen fondos o bienes de la nación en relación a dichos fondos o bienes, a los fondos sin personería jurídica denominados Especiales o Cuenta creados por ley o con autorización de esta, al Banco de la República, a las entidades recaudadoras, receptoras y ejecutoras del Sistema General de Regalías, a los municipios, distritos, departamentos, Resguardos Indígenas y Asociación de Resguardos que administran la Asignación Especial del Sistema General de Participaciones para Resguardos Indígenas.</w:t>
      </w:r>
    </w:p>
    <w:p w14:paraId="609017E2" w14:textId="77777777" w:rsidR="00224EF8" w:rsidRPr="00670827" w:rsidRDefault="00224EF8" w:rsidP="00224EF8">
      <w:pPr>
        <w:spacing w:after="0" w:line="240" w:lineRule="auto"/>
        <w:ind w:left="709" w:right="709"/>
        <w:jc w:val="both"/>
        <w:rPr>
          <w:rFonts w:ascii="Verdana" w:hAnsi="Verdana" w:cs="Arial"/>
          <w:bCs/>
          <w:color w:val="000000" w:themeColor="text1"/>
          <w:sz w:val="21"/>
          <w:szCs w:val="21"/>
        </w:rPr>
      </w:pPr>
    </w:p>
    <w:p w14:paraId="12F117AA" w14:textId="77777777" w:rsidR="00224EF8" w:rsidRDefault="00224EF8" w:rsidP="00224EF8">
      <w:pPr>
        <w:spacing w:after="0" w:line="240" w:lineRule="auto"/>
        <w:ind w:left="709" w:right="709"/>
        <w:jc w:val="both"/>
        <w:rPr>
          <w:rFonts w:ascii="Verdana" w:hAnsi="Verdana" w:cs="Arial"/>
          <w:bCs/>
          <w:color w:val="000000" w:themeColor="text1"/>
          <w:sz w:val="21"/>
          <w:szCs w:val="21"/>
        </w:rPr>
      </w:pPr>
      <w:r w:rsidRPr="00670827">
        <w:rPr>
          <w:rFonts w:ascii="Verdana" w:hAnsi="Verdana" w:cs="Arial"/>
          <w:bCs/>
          <w:color w:val="000000" w:themeColor="text1"/>
          <w:sz w:val="21"/>
          <w:szCs w:val="21"/>
        </w:rPr>
        <w:t xml:space="preserve">A los particulares que manejen recursos públicos se les aplicarán las normas que expresamente los mencionen en </w:t>
      </w:r>
      <w:r>
        <w:rPr>
          <w:rFonts w:ascii="Verdana" w:hAnsi="Verdana" w:cs="Arial"/>
          <w:bCs/>
          <w:color w:val="000000" w:themeColor="text1"/>
          <w:sz w:val="21"/>
          <w:szCs w:val="21"/>
        </w:rPr>
        <w:t xml:space="preserve">el presente Acto Administrativo (énfasis fuera de texto). </w:t>
      </w:r>
    </w:p>
    <w:p w14:paraId="46259113" w14:textId="77777777" w:rsidR="00224EF8" w:rsidRPr="00670827" w:rsidRDefault="00224EF8" w:rsidP="00224EF8">
      <w:pPr>
        <w:spacing w:after="120" w:line="240" w:lineRule="auto"/>
        <w:ind w:left="709" w:right="709"/>
        <w:jc w:val="both"/>
        <w:rPr>
          <w:rFonts w:ascii="Verdana" w:hAnsi="Verdana" w:cs="Arial"/>
          <w:bCs/>
          <w:color w:val="000000" w:themeColor="text1"/>
          <w:sz w:val="21"/>
          <w:szCs w:val="21"/>
        </w:rPr>
      </w:pPr>
    </w:p>
    <w:p w14:paraId="2A3B6836" w14:textId="77777777" w:rsidR="00224EF8" w:rsidRDefault="00224EF8" w:rsidP="00224EF8">
      <w:pPr>
        <w:widowControl w:val="0"/>
        <w:autoSpaceDE w:val="0"/>
        <w:autoSpaceDN w:val="0"/>
        <w:spacing w:after="120" w:line="276" w:lineRule="auto"/>
        <w:jc w:val="both"/>
        <w:rPr>
          <w:rFonts w:ascii="Verdana" w:hAnsi="Verdana" w:cs="Arial"/>
          <w:bCs/>
          <w:color w:val="000000" w:themeColor="text1"/>
        </w:rPr>
      </w:pPr>
      <w:r>
        <w:rPr>
          <w:rFonts w:ascii="Verdana" w:hAnsi="Verdana" w:cs="Arial"/>
          <w:bCs/>
          <w:color w:val="000000" w:themeColor="text1"/>
        </w:rPr>
        <w:tab/>
        <w:t>De la precitada Resolución dispone en el artículo 44 que l</w:t>
      </w:r>
      <w:r w:rsidRPr="007B2D07">
        <w:rPr>
          <w:rFonts w:ascii="Verdana" w:hAnsi="Verdana" w:cs="Arial"/>
          <w:bCs/>
          <w:color w:val="000000" w:themeColor="text1"/>
        </w:rPr>
        <w:t>as entidades de que trata el inciso primero del artículo 2° de</w:t>
      </w:r>
      <w:r>
        <w:rPr>
          <w:rFonts w:ascii="Verdana" w:hAnsi="Verdana" w:cs="Arial"/>
          <w:bCs/>
          <w:color w:val="000000" w:themeColor="text1"/>
        </w:rPr>
        <w:t xml:space="preserve"> la presente resolución, entre las que se incluyen </w:t>
      </w:r>
      <w:r w:rsidRPr="00670827">
        <w:rPr>
          <w:rFonts w:ascii="Verdana" w:hAnsi="Verdana" w:cs="Arial"/>
          <w:bCs/>
          <w:color w:val="000000" w:themeColor="text1"/>
        </w:rPr>
        <w:t>las entidades descentralizadas territorialmente o por servicios directas o indirectas de cualquier orden,</w:t>
      </w:r>
      <w:r>
        <w:rPr>
          <w:rFonts w:ascii="Verdana" w:hAnsi="Verdana" w:cs="Arial"/>
          <w:bCs/>
          <w:color w:val="000000" w:themeColor="text1"/>
        </w:rPr>
        <w:t xml:space="preserve"> como es el caso de la Empresas Sociales del Estado del orden departamental</w:t>
      </w:r>
      <w:r w:rsidRPr="00670827">
        <w:rPr>
          <w:rFonts w:ascii="Verdana" w:hAnsi="Verdana" w:cs="Arial"/>
          <w:bCs/>
          <w:color w:val="000000" w:themeColor="text1"/>
        </w:rPr>
        <w:t xml:space="preserve"> </w:t>
      </w:r>
      <w:r>
        <w:rPr>
          <w:rFonts w:ascii="Verdana" w:hAnsi="Verdana" w:cs="Arial"/>
          <w:bCs/>
          <w:color w:val="000000" w:themeColor="text1"/>
        </w:rPr>
        <w:t>deben</w:t>
      </w:r>
      <w:r w:rsidRPr="007B2D07">
        <w:rPr>
          <w:rFonts w:ascii="Verdana" w:hAnsi="Verdana" w:cs="Arial"/>
          <w:bCs/>
          <w:color w:val="000000" w:themeColor="text1"/>
        </w:rPr>
        <w:t xml:space="preserve"> reportar anualmente, con corte a 31 de diciembre, a la Contraloría General de la República, Contraloría Delegada para Economía y Finanzas Públicas la información sobre personal y costos tanto de la planta de personal como contratación de prestación de servicios hasta el 15 de marzo del año inmediatamente siguiente, a través del Consolidador de Hacienda e Información Pública (CHIP).</w:t>
      </w:r>
    </w:p>
    <w:p w14:paraId="44199F15" w14:textId="77777777" w:rsidR="00224EF8" w:rsidRDefault="00224EF8" w:rsidP="00224EF8">
      <w:pPr>
        <w:widowControl w:val="0"/>
        <w:autoSpaceDE w:val="0"/>
        <w:autoSpaceDN w:val="0"/>
        <w:spacing w:after="120" w:line="276" w:lineRule="auto"/>
        <w:jc w:val="both"/>
        <w:rPr>
          <w:rFonts w:ascii="Verdana" w:hAnsi="Verdana" w:cs="Arial"/>
          <w:bCs/>
          <w:color w:val="000000" w:themeColor="text1"/>
        </w:rPr>
      </w:pPr>
      <w:r>
        <w:rPr>
          <w:rFonts w:ascii="Verdana" w:hAnsi="Verdana" w:cs="Arial"/>
          <w:bCs/>
          <w:color w:val="000000" w:themeColor="text1"/>
        </w:rPr>
        <w:tab/>
        <w:t xml:space="preserve">Este tipo de controles a la actividad </w:t>
      </w:r>
      <w:proofErr w:type="gramStart"/>
      <w:r>
        <w:rPr>
          <w:rFonts w:ascii="Verdana" w:hAnsi="Verdana" w:cs="Arial"/>
          <w:bCs/>
          <w:color w:val="000000" w:themeColor="text1"/>
        </w:rPr>
        <w:t>contractual,</w:t>
      </w:r>
      <w:proofErr w:type="gramEnd"/>
      <w:r>
        <w:rPr>
          <w:rFonts w:ascii="Verdana" w:hAnsi="Verdana" w:cs="Arial"/>
          <w:bCs/>
          <w:color w:val="000000" w:themeColor="text1"/>
        </w:rPr>
        <w:t xml:space="preserve"> es sin perjuicio de las competencias de las </w:t>
      </w:r>
      <w:r w:rsidRPr="00AA1D91">
        <w:rPr>
          <w:rFonts w:ascii="Verdana" w:hAnsi="Verdana" w:cs="Arial"/>
          <w:bCs/>
          <w:color w:val="000000" w:themeColor="text1"/>
        </w:rPr>
        <w:t>c</w:t>
      </w:r>
      <w:r>
        <w:rPr>
          <w:rFonts w:ascii="Verdana" w:hAnsi="Verdana" w:cs="Arial"/>
          <w:bCs/>
          <w:color w:val="000000" w:themeColor="text1"/>
        </w:rPr>
        <w:t>ontralorías territoriales vigilen y controle</w:t>
      </w:r>
      <w:r w:rsidRPr="00AA1D91">
        <w:rPr>
          <w:rFonts w:ascii="Verdana" w:hAnsi="Verdana" w:cs="Arial"/>
          <w:bCs/>
          <w:color w:val="000000" w:themeColor="text1"/>
        </w:rPr>
        <w:t xml:space="preserve">n la gestión fiscal </w:t>
      </w:r>
      <w:r w:rsidRPr="00AA1D91">
        <w:rPr>
          <w:rFonts w:ascii="Verdana" w:hAnsi="Verdana" w:cs="Arial"/>
          <w:bCs/>
          <w:color w:val="000000" w:themeColor="text1"/>
        </w:rPr>
        <w:lastRenderedPageBreak/>
        <w:t xml:space="preserve">de los departamentos, distritos, municipios y demás entidades del orden territorial, así como a los demás sujetos de control dentro de su respectiva jurisdicción, </w:t>
      </w:r>
      <w:r>
        <w:rPr>
          <w:rFonts w:ascii="Verdana" w:hAnsi="Verdana" w:cs="Arial"/>
          <w:bCs/>
          <w:color w:val="000000" w:themeColor="text1"/>
        </w:rPr>
        <w:t xml:space="preserve">en torno a </w:t>
      </w:r>
      <w:r w:rsidRPr="00AA1D91">
        <w:rPr>
          <w:rFonts w:ascii="Verdana" w:hAnsi="Verdana" w:cs="Arial"/>
          <w:bCs/>
          <w:color w:val="000000" w:themeColor="text1"/>
        </w:rPr>
        <w:t>los recursos endógenos, en forma concurrente con la Cont</w:t>
      </w:r>
      <w:r>
        <w:rPr>
          <w:rFonts w:ascii="Verdana" w:hAnsi="Verdana" w:cs="Arial"/>
          <w:bCs/>
          <w:color w:val="000000" w:themeColor="text1"/>
        </w:rPr>
        <w:t>raloría General de la República. Para ello, se destaca, que: “[…] l</w:t>
      </w:r>
      <w:r w:rsidRPr="00634A96">
        <w:rPr>
          <w:rFonts w:ascii="Verdana" w:hAnsi="Verdana" w:cs="Arial"/>
          <w:bCs/>
          <w:color w:val="000000" w:themeColor="text1"/>
        </w:rPr>
        <w:t>os contralores territoriales podrán prescribir los procedimientos técnicos de control, los métodos y la forma de rendir cuentas por parte de los responsables del manejo de fondos o bienes públicos e indicar los criterios de evaluación financiera, operativa y de resultados que deberán seguirse dentro de su área de competencia</w:t>
      </w:r>
      <w:r>
        <w:rPr>
          <w:rFonts w:ascii="Verdana" w:hAnsi="Verdana" w:cs="Arial"/>
          <w:bCs/>
          <w:color w:val="000000" w:themeColor="text1"/>
        </w:rPr>
        <w:t>”</w:t>
      </w:r>
      <w:r w:rsidRPr="00634A96">
        <w:rPr>
          <w:rFonts w:ascii="Verdana" w:hAnsi="Verdana" w:cs="Arial"/>
          <w:bCs/>
          <w:color w:val="000000" w:themeColor="text1"/>
        </w:rPr>
        <w:t>;</w:t>
      </w:r>
      <w:r>
        <w:rPr>
          <w:rFonts w:ascii="Verdana" w:hAnsi="Verdana" w:cs="Arial"/>
          <w:bCs/>
          <w:color w:val="000000" w:themeColor="text1"/>
        </w:rPr>
        <w:t xml:space="preserve"> esto, sin dejar de lado la competencia de unificación y estandarización de la vigilancia y control fiscal que está en el Contralor General de República que tiene un carácter vinculante. </w:t>
      </w:r>
    </w:p>
    <w:p w14:paraId="25F8BCB3" w14:textId="77777777" w:rsidR="00224EF8" w:rsidRDefault="00224EF8" w:rsidP="00224EF8">
      <w:pPr>
        <w:widowControl w:val="0"/>
        <w:autoSpaceDE w:val="0"/>
        <w:autoSpaceDN w:val="0"/>
        <w:spacing w:after="120" w:line="276" w:lineRule="auto"/>
        <w:jc w:val="both"/>
        <w:rPr>
          <w:rFonts w:ascii="Verdana" w:hAnsi="Verdana" w:cs="Arial"/>
          <w:bCs/>
          <w:color w:val="000000" w:themeColor="text1"/>
        </w:rPr>
      </w:pPr>
      <w:r>
        <w:rPr>
          <w:rFonts w:ascii="Verdana" w:hAnsi="Verdana" w:cs="Arial"/>
          <w:bCs/>
          <w:color w:val="000000" w:themeColor="text1"/>
        </w:rPr>
        <w:tab/>
        <w:t>Ahora bien, con respecto a la Auditoria General de la República se precisa que es</w:t>
      </w:r>
      <w:r w:rsidRPr="009851F9">
        <w:rPr>
          <w:rFonts w:ascii="Verdana" w:hAnsi="Verdana" w:cs="Arial"/>
          <w:bCs/>
          <w:color w:val="000000" w:themeColor="text1"/>
        </w:rPr>
        <w:t xml:space="preserve"> un organismo de vigilancia de la gestión fiscal, dotado de autonomía jurídica, administrativa, contractual y presupuestal, el cual está a cargo del Auditor de que trata el artículo </w:t>
      </w:r>
      <w:r>
        <w:rPr>
          <w:rFonts w:ascii="Verdana" w:hAnsi="Verdana" w:cs="Arial"/>
          <w:bCs/>
          <w:color w:val="000000" w:themeColor="text1"/>
        </w:rPr>
        <w:t xml:space="preserve">274 de la Constitución Política, de conformidad con el artículo 1° del Decreto Ley 272 de 2000. Así mismo, cumple la función: “[…] </w:t>
      </w:r>
      <w:r w:rsidRPr="00855695">
        <w:rPr>
          <w:rFonts w:ascii="Verdana" w:hAnsi="Verdana" w:cs="Arial"/>
          <w:bCs/>
          <w:color w:val="000000" w:themeColor="text1"/>
        </w:rPr>
        <w:t>ejercer la vigilancia de la gestión fiscal de la Contraloría General de la República y de las contralorías departamentales, en los términos que este Decreto establece</w:t>
      </w:r>
      <w:r>
        <w:rPr>
          <w:rFonts w:ascii="Verdana" w:hAnsi="Verdana" w:cs="Arial"/>
          <w:bCs/>
          <w:color w:val="000000" w:themeColor="text1"/>
        </w:rPr>
        <w:t>” –artículo 2 del Decreto Ley 272 de 2000-</w:t>
      </w:r>
      <w:r w:rsidRPr="00855695">
        <w:rPr>
          <w:rFonts w:ascii="Verdana" w:hAnsi="Verdana" w:cs="Arial"/>
          <w:bCs/>
          <w:color w:val="000000" w:themeColor="text1"/>
        </w:rPr>
        <w:t>.</w:t>
      </w:r>
    </w:p>
    <w:p w14:paraId="526BF139" w14:textId="77777777" w:rsidR="00224EF8" w:rsidRPr="00AA1D91" w:rsidRDefault="00224EF8" w:rsidP="00224EF8">
      <w:pPr>
        <w:widowControl w:val="0"/>
        <w:autoSpaceDE w:val="0"/>
        <w:autoSpaceDN w:val="0"/>
        <w:spacing w:after="120" w:line="276" w:lineRule="auto"/>
        <w:jc w:val="both"/>
        <w:rPr>
          <w:rFonts w:ascii="Verdana" w:hAnsi="Verdana" w:cs="Arial"/>
          <w:bCs/>
          <w:color w:val="000000" w:themeColor="text1"/>
        </w:rPr>
      </w:pPr>
      <w:r>
        <w:rPr>
          <w:rFonts w:ascii="Verdana" w:hAnsi="Verdana" w:cs="Arial"/>
          <w:bCs/>
          <w:color w:val="000000" w:themeColor="text1"/>
        </w:rPr>
        <w:tab/>
        <w:t>En el marco de dicha función de ejercer la vigilancia fiscal, el artículo 31 del Decreto Ley 403 de 2020</w:t>
      </w:r>
      <w:r>
        <w:rPr>
          <w:rStyle w:val="Refdenotaalpie"/>
          <w:rFonts w:ascii="Verdana" w:hAnsi="Verdana" w:cs="Arial"/>
          <w:bCs/>
          <w:color w:val="000000" w:themeColor="text1"/>
        </w:rPr>
        <w:footnoteReference w:id="18"/>
      </w:r>
      <w:r>
        <w:rPr>
          <w:rFonts w:ascii="Verdana" w:hAnsi="Verdana" w:cs="Arial"/>
          <w:bCs/>
          <w:color w:val="000000" w:themeColor="text1"/>
        </w:rPr>
        <w:t xml:space="preserve">, establece que podrá acceder sin restricción a la información de las contralorías y por su intermedio a la de sus sujetos vigilados, en las condiciones prescritas en el artículo 27 de la Ley 1437 de 2011, así como en los artículos 3 y 21 del Decreto Ley 272 de 2000 y los principios de colaboración armónica y coordinación. En tal sentido, la Auditoria puede acceder a la información de los procesos de responsabilidad fiscal, procesos auditores, entre otros, sin oponibilidad, con el fin de revisar los resultados o que se presuma que pudo haber ocurrido un daño patrimonial. De tal modo, la Auditoría General de la República puede conocer de forma indirecta la gestión de las Empresas Sociales del Estado como entidades descentralizadas por servicios que </w:t>
      </w:r>
      <w:r>
        <w:rPr>
          <w:rFonts w:ascii="Verdana" w:hAnsi="Verdana" w:cs="Arial"/>
          <w:bCs/>
          <w:color w:val="000000" w:themeColor="text1"/>
        </w:rPr>
        <w:lastRenderedPageBreak/>
        <w:t xml:space="preserve">hacen parte de la estructura de la Rama Ejecutiva del Poder Público. </w:t>
      </w:r>
    </w:p>
    <w:p w14:paraId="1211FB84" w14:textId="77777777" w:rsidR="00224EF8" w:rsidRDefault="00224EF8" w:rsidP="00224EF8">
      <w:pPr>
        <w:widowControl w:val="0"/>
        <w:autoSpaceDE w:val="0"/>
        <w:autoSpaceDN w:val="0"/>
        <w:spacing w:after="120" w:line="276" w:lineRule="auto"/>
        <w:ind w:firstLine="708"/>
        <w:jc w:val="both"/>
        <w:rPr>
          <w:rFonts w:ascii="Verdana" w:hAnsi="Verdana" w:cs="Arial"/>
          <w:bCs/>
          <w:color w:val="000000" w:themeColor="text1"/>
        </w:rPr>
      </w:pPr>
      <w:r>
        <w:rPr>
          <w:rFonts w:ascii="Verdana" w:hAnsi="Verdana" w:cs="Arial"/>
          <w:lang w:val="es-ES"/>
        </w:rPr>
        <w:t>En todo caso, esta</w:t>
      </w:r>
      <w:r w:rsidRPr="000B43B3">
        <w:rPr>
          <w:rFonts w:ascii="Verdana" w:hAnsi="Verdana" w:cs="Arial"/>
          <w:lang w:val="es-ES"/>
        </w:rPr>
        <w:t xml:space="preserve"> competencia de interpretación de normas generales, por definición, no puede extenderse a la resolución de controversias, enjuiciar la validez de la actuación de las entidades públicas o de los particulares ni, mucho menos, calificar conductas con presunta incidencia penal, fiscal o disciplinaria, especialmente, cuando existen órganos especializados para estas materias.</w:t>
      </w:r>
      <w:r>
        <w:rPr>
          <w:rFonts w:ascii="Verdana" w:hAnsi="Verdana" w:cs="Arial"/>
          <w:lang w:val="es-ES"/>
        </w:rPr>
        <w:t xml:space="preserve"> De tal modo, para efe</w:t>
      </w:r>
      <w:proofErr w:type="spellStart"/>
      <w:r w:rsidRPr="00E3329C">
        <w:rPr>
          <w:rFonts w:ascii="Verdana" w:hAnsi="Verdana" w:cs="Arial"/>
          <w:bCs/>
        </w:rPr>
        <w:t>ctos</w:t>
      </w:r>
      <w:proofErr w:type="spellEnd"/>
      <w:r w:rsidRPr="00E3329C">
        <w:rPr>
          <w:rFonts w:ascii="Verdana" w:hAnsi="Verdana" w:cs="Arial"/>
          <w:bCs/>
        </w:rPr>
        <w:t xml:space="preserve"> disciplinarios, el inciso 3 del artículo 226 del Código General del Proceso, normativa a la que remite el artículo 241 de la Ley 1952 de 2019 en materia probatoria, establece expresamente que “No serán admisibles los dictámenes periciales que versen sobre puntos de derecho”. </w:t>
      </w:r>
      <w:r w:rsidRPr="00E3329C">
        <w:rPr>
          <w:rFonts w:ascii="Verdana" w:eastAsia="Calibri" w:hAnsi="Verdana" w:cs="Arial"/>
          <w:lang w:val="es-ES"/>
        </w:rPr>
        <w:t xml:space="preserve">En este contexto, </w:t>
      </w:r>
      <w:r w:rsidRPr="00E3329C">
        <w:rPr>
          <w:rFonts w:ascii="Verdana" w:hAnsi="Verdana" w:cs="Arial"/>
          <w:bCs/>
        </w:rPr>
        <w:t xml:space="preserve">lo decidido en torno a los procesos que se estén tramitando, </w:t>
      </w:r>
      <w:r w:rsidRPr="00E3329C">
        <w:rPr>
          <w:rFonts w:ascii="Verdana" w:hAnsi="Verdana" w:cs="Arial"/>
          <w:lang w:val="es-ES_tradnl"/>
        </w:rPr>
        <w:t>es responsabilidad única y exclusiva de la entidad consultante</w:t>
      </w:r>
      <w:r w:rsidRPr="00E3329C">
        <w:rPr>
          <w:rFonts w:ascii="Verdana" w:eastAsia="Calibri" w:hAnsi="Verdana" w:cs="Arial"/>
          <w:bCs/>
          <w:lang w:eastAsia="es-ES_tradnl"/>
        </w:rPr>
        <w:t xml:space="preserve">. </w:t>
      </w:r>
    </w:p>
    <w:p w14:paraId="56EAA854" w14:textId="77777777" w:rsidR="00224EF8" w:rsidRPr="006C6F97" w:rsidRDefault="00224EF8" w:rsidP="00224EF8">
      <w:pPr>
        <w:spacing w:after="0" w:line="276" w:lineRule="auto"/>
        <w:jc w:val="both"/>
        <w:rPr>
          <w:rFonts w:ascii="Verdana" w:eastAsia="Calibri" w:hAnsi="Verdana" w:cs="Arial"/>
          <w:bCs/>
          <w:color w:val="000000" w:themeColor="text1"/>
        </w:rPr>
      </w:pPr>
    </w:p>
    <w:p w14:paraId="03489342" w14:textId="77777777" w:rsidR="00224EF8" w:rsidRPr="0094448B" w:rsidRDefault="00224EF8" w:rsidP="00224EF8">
      <w:pPr>
        <w:numPr>
          <w:ilvl w:val="0"/>
          <w:numId w:val="19"/>
        </w:numPr>
        <w:tabs>
          <w:tab w:val="left" w:pos="142"/>
          <w:tab w:val="left" w:pos="284"/>
        </w:tabs>
        <w:spacing w:after="0" w:line="276" w:lineRule="auto"/>
        <w:contextualSpacing/>
        <w:jc w:val="both"/>
        <w:rPr>
          <w:rFonts w:ascii="Verdana" w:eastAsia="Century Gothic" w:hAnsi="Verdana" w:cs="Century Gothic"/>
          <w:b/>
          <w:bCs/>
          <w:lang w:val="es-ES"/>
        </w:rPr>
      </w:pPr>
      <w:r w:rsidRPr="0094448B">
        <w:rPr>
          <w:rFonts w:ascii="Verdana" w:eastAsia="Century Gothic" w:hAnsi="Verdana" w:cs="Century Gothic"/>
          <w:b/>
          <w:bCs/>
          <w:lang w:val="es-ES"/>
        </w:rPr>
        <w:t>Referencias normativas, jurisprudenciales y otras fuentes:</w:t>
      </w:r>
    </w:p>
    <w:p w14:paraId="1245FE4E" w14:textId="77777777" w:rsidR="00224EF8" w:rsidRPr="0094448B" w:rsidRDefault="00224EF8" w:rsidP="00224EF8">
      <w:pPr>
        <w:widowControl w:val="0"/>
        <w:autoSpaceDE w:val="0"/>
        <w:autoSpaceDN w:val="0"/>
        <w:spacing w:after="0" w:line="276" w:lineRule="auto"/>
        <w:jc w:val="both"/>
        <w:rPr>
          <w:rFonts w:ascii="Verdana" w:hAnsi="Verdana" w:cs="Arial"/>
        </w:rPr>
      </w:pPr>
      <w:r w:rsidRPr="0094448B">
        <w:rPr>
          <w:rFonts w:ascii="Verdana" w:hAnsi="Verdana" w:cs="Arial"/>
        </w:rPr>
        <w:t xml:space="preserve"> </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24EF8" w:rsidRPr="0094448B" w14:paraId="40F38316" w14:textId="77777777" w:rsidTr="00416DEA">
        <w:trPr>
          <w:trHeight w:val="870"/>
          <w:jc w:val="center"/>
        </w:trPr>
        <w:tc>
          <w:tcPr>
            <w:tcW w:w="8647" w:type="dxa"/>
          </w:tcPr>
          <w:p w14:paraId="2239BA13" w14:textId="77777777" w:rsidR="00224EF8" w:rsidRPr="0094448B" w:rsidRDefault="00224EF8" w:rsidP="00224EF8">
            <w:pPr>
              <w:widowControl w:val="0"/>
              <w:numPr>
                <w:ilvl w:val="0"/>
                <w:numId w:val="34"/>
              </w:numPr>
              <w:autoSpaceDE w:val="0"/>
              <w:autoSpaceDN w:val="0"/>
              <w:spacing w:before="120" w:after="120" w:line="276" w:lineRule="auto"/>
              <w:ind w:left="714" w:hanging="357"/>
              <w:jc w:val="both"/>
              <w:rPr>
                <w:rFonts w:ascii="Verdana" w:hAnsi="Verdana" w:cs="Arial"/>
                <w:lang w:val="es-ES"/>
              </w:rPr>
            </w:pPr>
            <w:r w:rsidRPr="0094448B">
              <w:rPr>
                <w:rFonts w:ascii="Verdana" w:hAnsi="Verdana" w:cs="Arial"/>
                <w:lang w:val="es-ES"/>
              </w:rPr>
              <w:t>Constitución Política de 1991, artículos 150, 209, 267</w:t>
            </w:r>
            <w:r>
              <w:rPr>
                <w:rFonts w:ascii="Verdana" w:hAnsi="Verdana" w:cs="Arial"/>
                <w:lang w:val="es-ES"/>
              </w:rPr>
              <w:t>, 268, 272, 274</w:t>
            </w:r>
            <w:r w:rsidRPr="0094448B">
              <w:rPr>
                <w:rFonts w:ascii="Verdana" w:hAnsi="Verdana" w:cs="Arial"/>
                <w:lang w:val="es-ES"/>
              </w:rPr>
              <w:t xml:space="preserve"> y 333.</w:t>
            </w:r>
          </w:p>
          <w:p w14:paraId="1BA43D2D" w14:textId="77777777" w:rsidR="00224EF8" w:rsidRPr="0094448B" w:rsidRDefault="00224EF8" w:rsidP="00224EF8">
            <w:pPr>
              <w:widowControl w:val="0"/>
              <w:numPr>
                <w:ilvl w:val="0"/>
                <w:numId w:val="34"/>
              </w:numPr>
              <w:autoSpaceDE w:val="0"/>
              <w:autoSpaceDN w:val="0"/>
              <w:spacing w:before="120" w:after="120" w:line="276" w:lineRule="auto"/>
              <w:ind w:left="714" w:hanging="357"/>
              <w:jc w:val="both"/>
              <w:rPr>
                <w:rFonts w:ascii="Verdana" w:hAnsi="Verdana" w:cs="Arial"/>
                <w:lang w:val="es-ES"/>
              </w:rPr>
            </w:pPr>
            <w:r w:rsidRPr="0094448B">
              <w:rPr>
                <w:rFonts w:ascii="Verdana" w:hAnsi="Verdana" w:cs="Arial"/>
                <w:lang w:val="es-ES"/>
              </w:rPr>
              <w:t>Ley 80 de 1993, artículos 2, 13, 32 y 40.</w:t>
            </w:r>
          </w:p>
          <w:p w14:paraId="06CBABC3" w14:textId="77777777" w:rsidR="00224EF8"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E5663C">
              <w:rPr>
                <w:rFonts w:ascii="Verdana" w:hAnsi="Verdana"/>
                <w:lang w:val="es-ES"/>
              </w:rPr>
              <w:t>Ley 100 de 1993, artículo 194.</w:t>
            </w:r>
          </w:p>
          <w:p w14:paraId="4E890519" w14:textId="77777777" w:rsidR="00224EF8" w:rsidRPr="00E5663C" w:rsidRDefault="00224EF8" w:rsidP="00224EF8">
            <w:pPr>
              <w:widowControl w:val="0"/>
              <w:numPr>
                <w:ilvl w:val="0"/>
                <w:numId w:val="34"/>
              </w:numPr>
              <w:autoSpaceDE w:val="0"/>
              <w:autoSpaceDN w:val="0"/>
              <w:spacing w:before="120" w:after="120" w:line="276" w:lineRule="auto"/>
              <w:jc w:val="both"/>
              <w:rPr>
                <w:rFonts w:ascii="Verdana" w:hAnsi="Verdana"/>
                <w:lang w:val="es-ES"/>
              </w:rPr>
            </w:pPr>
            <w:r>
              <w:rPr>
                <w:rFonts w:ascii="Verdana" w:hAnsi="Verdana"/>
                <w:lang w:val="es-ES"/>
              </w:rPr>
              <w:t xml:space="preserve">Ley 489 de 1998, artículo 38. </w:t>
            </w:r>
          </w:p>
          <w:p w14:paraId="79955ED4" w14:textId="77777777" w:rsidR="00224EF8"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E5663C">
              <w:rPr>
                <w:rFonts w:ascii="Verdana" w:hAnsi="Verdana"/>
                <w:lang w:val="es-ES"/>
              </w:rPr>
              <w:t>Ley 1150 de 2007, artículo 13.</w:t>
            </w:r>
          </w:p>
          <w:p w14:paraId="7263E78B" w14:textId="77777777" w:rsidR="00224EF8" w:rsidRDefault="00224EF8" w:rsidP="00224EF8">
            <w:pPr>
              <w:widowControl w:val="0"/>
              <w:numPr>
                <w:ilvl w:val="0"/>
                <w:numId w:val="34"/>
              </w:numPr>
              <w:autoSpaceDE w:val="0"/>
              <w:autoSpaceDN w:val="0"/>
              <w:spacing w:before="120" w:after="120" w:line="276" w:lineRule="auto"/>
              <w:jc w:val="both"/>
              <w:rPr>
                <w:rFonts w:ascii="Verdana" w:hAnsi="Verdana"/>
                <w:lang w:val="es-ES"/>
              </w:rPr>
            </w:pPr>
            <w:r>
              <w:rPr>
                <w:rFonts w:ascii="Verdana" w:hAnsi="Verdana"/>
                <w:lang w:val="es-ES"/>
              </w:rPr>
              <w:t xml:space="preserve">Ley 1437 de 2011, artículo 27. </w:t>
            </w:r>
          </w:p>
          <w:p w14:paraId="7DB6BB80" w14:textId="77777777" w:rsidR="00224EF8" w:rsidRDefault="00224EF8" w:rsidP="00224EF8">
            <w:pPr>
              <w:widowControl w:val="0"/>
              <w:numPr>
                <w:ilvl w:val="0"/>
                <w:numId w:val="34"/>
              </w:numPr>
              <w:autoSpaceDE w:val="0"/>
              <w:autoSpaceDN w:val="0"/>
              <w:spacing w:before="120" w:after="120" w:line="276" w:lineRule="auto"/>
              <w:jc w:val="both"/>
              <w:rPr>
                <w:rFonts w:ascii="Verdana" w:hAnsi="Verdana"/>
                <w:lang w:val="es-ES"/>
              </w:rPr>
            </w:pPr>
            <w:r>
              <w:rPr>
                <w:rFonts w:ascii="Verdana" w:hAnsi="Verdana"/>
                <w:lang w:val="es-ES"/>
              </w:rPr>
              <w:t xml:space="preserve">Decreto Ley 267 de 2000, artículos </w:t>
            </w:r>
            <w:r w:rsidRPr="006963EA">
              <w:rPr>
                <w:rFonts w:ascii="Verdana" w:hAnsi="Verdana"/>
                <w:lang w:val="es-ES"/>
              </w:rPr>
              <w:t>10, 11,19</w:t>
            </w:r>
          </w:p>
          <w:p w14:paraId="66440F04" w14:textId="77777777" w:rsidR="00224EF8" w:rsidRDefault="00224EF8" w:rsidP="00224EF8">
            <w:pPr>
              <w:widowControl w:val="0"/>
              <w:numPr>
                <w:ilvl w:val="0"/>
                <w:numId w:val="34"/>
              </w:numPr>
              <w:autoSpaceDE w:val="0"/>
              <w:autoSpaceDN w:val="0"/>
              <w:spacing w:before="120" w:after="120" w:line="276" w:lineRule="auto"/>
              <w:jc w:val="both"/>
              <w:rPr>
                <w:rFonts w:ascii="Verdana" w:hAnsi="Verdana"/>
                <w:lang w:val="es-ES"/>
              </w:rPr>
            </w:pPr>
            <w:r>
              <w:rPr>
                <w:rFonts w:ascii="Verdana" w:hAnsi="Verdana"/>
                <w:lang w:val="es-ES"/>
              </w:rPr>
              <w:t xml:space="preserve">Decreto Ley 272 de 2000, artículos 1, 2, 3 y 21. </w:t>
            </w:r>
          </w:p>
          <w:p w14:paraId="5C00ED7C" w14:textId="77777777" w:rsidR="00224EF8" w:rsidRPr="006963EA"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6963EA">
              <w:rPr>
                <w:rFonts w:ascii="Verdana" w:hAnsi="Verdana"/>
                <w:lang w:val="es-ES"/>
              </w:rPr>
              <w:t>Decreto Ley</w:t>
            </w:r>
            <w:r>
              <w:rPr>
                <w:rFonts w:ascii="Verdana" w:hAnsi="Verdana"/>
                <w:lang w:val="es-ES"/>
              </w:rPr>
              <w:t xml:space="preserve"> 403 de 2020, artículos 4, 6, 9, 31.</w:t>
            </w:r>
          </w:p>
          <w:p w14:paraId="2AA39081" w14:textId="77777777" w:rsidR="00224EF8"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6963EA">
              <w:rPr>
                <w:rFonts w:ascii="Verdana" w:hAnsi="Verdana"/>
                <w:lang w:val="es-ES"/>
              </w:rPr>
              <w:t>Decreto Ley 405 de 2020, artículo</w:t>
            </w:r>
            <w:r>
              <w:rPr>
                <w:rFonts w:ascii="Verdana" w:hAnsi="Verdana"/>
                <w:lang w:val="es-ES"/>
              </w:rPr>
              <w:t>s</w:t>
            </w:r>
            <w:r w:rsidRPr="006963EA">
              <w:rPr>
                <w:rFonts w:ascii="Verdana" w:hAnsi="Verdana"/>
                <w:lang w:val="es-ES"/>
              </w:rPr>
              <w:t xml:space="preserve"> 2, 59. </w:t>
            </w:r>
          </w:p>
          <w:p w14:paraId="5FEB7243"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E5663C">
              <w:rPr>
                <w:rFonts w:ascii="Verdana" w:hAnsi="Verdana"/>
                <w:bCs/>
              </w:rPr>
              <w:t>REG-ORG 063-2023 DE 2023</w:t>
            </w:r>
            <w:r>
              <w:rPr>
                <w:rFonts w:ascii="Verdana" w:hAnsi="Verdana"/>
                <w:bCs/>
              </w:rPr>
              <w:t xml:space="preserve"> de la Contraloría General de la República, </w:t>
            </w:r>
            <w:r w:rsidRPr="00554240">
              <w:rPr>
                <w:rFonts w:ascii="Verdana" w:hAnsi="Verdana"/>
                <w:bCs/>
              </w:rPr>
              <w:t>“</w:t>
            </w:r>
            <w:r w:rsidRPr="00554240">
              <w:rPr>
                <w:rFonts w:ascii="Verdana" w:hAnsi="Verdana"/>
                <w:bCs/>
                <w:i/>
                <w:iCs/>
              </w:rPr>
              <w:t>Por la cual se reglamenta la rendición de información por parte de las entidades o particulares que manejen fondos o bienes públicos, en todos los niveles administrativos y respecto de todo tipo de recursos públicos, para la vigilancia y el control fiscal de las finanzas y contabilidad públicas</w:t>
            </w:r>
            <w:r w:rsidRPr="00554240">
              <w:rPr>
                <w:rFonts w:ascii="Verdana" w:hAnsi="Verdana"/>
                <w:b/>
                <w:bCs/>
                <w:i/>
                <w:iCs/>
              </w:rPr>
              <w:t>”</w:t>
            </w:r>
            <w:r>
              <w:rPr>
                <w:rFonts w:ascii="Verdana" w:hAnsi="Verdana"/>
                <w:b/>
                <w:bCs/>
                <w:i/>
                <w:iCs/>
              </w:rPr>
              <w:t xml:space="preserve">, </w:t>
            </w:r>
            <w:r>
              <w:rPr>
                <w:rFonts w:ascii="Verdana" w:hAnsi="Verdana"/>
                <w:bCs/>
              </w:rPr>
              <w:t xml:space="preserve">artículos 1, 2, 44. </w:t>
            </w:r>
          </w:p>
          <w:p w14:paraId="668B6687"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lastRenderedPageBreak/>
              <w:t xml:space="preserve">Consejo de Estado. Sala de Consulta y Servicio Civil. Concepto del 27 de agosto de 1998, radicación No. 1.127, M.P. Javier Henao </w:t>
            </w:r>
            <w:proofErr w:type="spellStart"/>
            <w:r w:rsidRPr="00FD182C">
              <w:rPr>
                <w:rFonts w:ascii="Verdana" w:hAnsi="Verdana"/>
                <w:lang w:val="es-ES"/>
              </w:rPr>
              <w:t>Hidrón</w:t>
            </w:r>
            <w:proofErr w:type="spellEnd"/>
          </w:p>
          <w:p w14:paraId="0CE9425B"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t xml:space="preserve">Consejo de Estado. Sala de Consulta y Servicio Civil. Concepto del 6 de abril de 2000. Radicación No. 1.263, M.P. Flavio Augusto </w:t>
            </w:r>
            <w:proofErr w:type="spellStart"/>
            <w:r w:rsidRPr="00FD182C">
              <w:rPr>
                <w:rFonts w:ascii="Verdana" w:hAnsi="Verdana"/>
                <w:lang w:val="es-ES"/>
              </w:rPr>
              <w:t>Rodriguez</w:t>
            </w:r>
            <w:proofErr w:type="spellEnd"/>
            <w:r w:rsidRPr="00FD182C">
              <w:rPr>
                <w:rFonts w:ascii="Verdana" w:hAnsi="Verdana"/>
                <w:lang w:val="es-ES"/>
              </w:rPr>
              <w:t xml:space="preserve"> Arce</w:t>
            </w:r>
          </w:p>
          <w:p w14:paraId="6BA35374"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t xml:space="preserve">Consejo de Estado. Sección Tercera. Sentencia 18 de febrero de 2010. Rad: 11001-03-26-000-2009-00058-00(37004). CP: Enrique Gil Botero. </w:t>
            </w:r>
          </w:p>
          <w:p w14:paraId="73C58465" w14:textId="77777777" w:rsidR="00224EF8"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t xml:space="preserve">Consejo de Estado. Sección Tercera. Subsección A. Sentencia del 24 de octubre de 2016. </w:t>
            </w:r>
            <w:proofErr w:type="spellStart"/>
            <w:r w:rsidRPr="00FD182C">
              <w:rPr>
                <w:rFonts w:ascii="Verdana" w:hAnsi="Verdana"/>
                <w:lang w:val="es-ES"/>
              </w:rPr>
              <w:t>Exp</w:t>
            </w:r>
            <w:proofErr w:type="spellEnd"/>
            <w:r w:rsidRPr="00FD182C">
              <w:rPr>
                <w:rFonts w:ascii="Verdana" w:hAnsi="Verdana"/>
                <w:lang w:val="es-ES"/>
              </w:rPr>
              <w:t>. 45.607. C.P. Marta Nubia Velásquez Rico.</w:t>
            </w:r>
          </w:p>
          <w:p w14:paraId="7B750F3F" w14:textId="77777777" w:rsidR="00224EF8" w:rsidRPr="004661C4" w:rsidRDefault="00224EF8" w:rsidP="00224EF8">
            <w:pPr>
              <w:widowControl w:val="0"/>
              <w:numPr>
                <w:ilvl w:val="0"/>
                <w:numId w:val="34"/>
              </w:numPr>
              <w:autoSpaceDE w:val="0"/>
              <w:autoSpaceDN w:val="0"/>
              <w:spacing w:before="120" w:after="120" w:line="276" w:lineRule="auto"/>
              <w:jc w:val="both"/>
              <w:rPr>
                <w:rFonts w:ascii="Verdana" w:hAnsi="Verdana"/>
                <w:lang w:val="pt-BR"/>
              </w:rPr>
            </w:pPr>
            <w:r w:rsidRPr="004661C4">
              <w:rPr>
                <w:rFonts w:ascii="Verdana" w:hAnsi="Verdana"/>
                <w:lang w:val="pt-BR"/>
              </w:rPr>
              <w:t xml:space="preserve">Corte Constitucional. Sentencia C-665 de 2000. M.P. José </w:t>
            </w:r>
            <w:proofErr w:type="spellStart"/>
            <w:r w:rsidRPr="004661C4">
              <w:rPr>
                <w:rFonts w:ascii="Verdana" w:hAnsi="Verdana"/>
                <w:lang w:val="pt-BR"/>
              </w:rPr>
              <w:t>Gregorio</w:t>
            </w:r>
            <w:proofErr w:type="spellEnd"/>
            <w:r w:rsidRPr="004661C4">
              <w:rPr>
                <w:rFonts w:ascii="Verdana" w:hAnsi="Verdana"/>
                <w:lang w:val="pt-BR"/>
              </w:rPr>
              <w:t xml:space="preserve"> Hernández Galindo</w:t>
            </w:r>
          </w:p>
          <w:p w14:paraId="54D6EE21"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t xml:space="preserve">BARRETO MORENO, Antonio Alejandro. El derecho de la compra pública: estudio jurídico de un mercado imperfecto. Bogotá: Legis, 2019. </w:t>
            </w:r>
          </w:p>
          <w:p w14:paraId="547A46C6"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t xml:space="preserve">BETANCUR JARAMILLO, Carlos. Derecho procesal administrativo. Octava edición. Medellín: Señal Editora, 2013. </w:t>
            </w:r>
          </w:p>
          <w:p w14:paraId="71F9EB26"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t xml:space="preserve">BENAVIDES, José Luis. El contrato estatal: entre el derecho público y el derecho privado. Segunda edición. Bogotá: Universidad Externado de Colombia, 2009. </w:t>
            </w:r>
          </w:p>
          <w:p w14:paraId="1BBF0D1D"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t>HERNÁNDEZ, Pedro Alfonso. Descentralización, desconcentración y delegación en Colombia. Bogotá: Legis, 1999. p. 158.</w:t>
            </w:r>
          </w:p>
          <w:p w14:paraId="0B66D234"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t xml:space="preserve">HINESTROSA FORERO, Fernando. Tratado de las Obligaciones II. De las fuentes de las obligaciones: el negocio jurídico. Volumen I. Bogotá: Universidad Externado de Colombia, 2015. </w:t>
            </w:r>
          </w:p>
          <w:p w14:paraId="029ABF01"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t>JOJOA BOLAÑOS, Alexander. Los regímenes exceptuados en los contratos estatales. Bogotá: Grupo Editorial Ibáñez, 2012. p. 89.</w:t>
            </w:r>
          </w:p>
          <w:p w14:paraId="059E3FFD"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t>MARÍN CORTÉS, Fabián G. El reglamento como fuente del derecho administrativo. En: Las fuentes del derecho administrativo. Texto inédito. 2010. pp. 200-201).</w:t>
            </w:r>
          </w:p>
          <w:p w14:paraId="2309905A" w14:textId="77777777" w:rsidR="00224EF8" w:rsidRPr="00FD182C" w:rsidRDefault="00224EF8" w:rsidP="00224EF8">
            <w:pPr>
              <w:widowControl w:val="0"/>
              <w:numPr>
                <w:ilvl w:val="0"/>
                <w:numId w:val="34"/>
              </w:numPr>
              <w:autoSpaceDE w:val="0"/>
              <w:autoSpaceDN w:val="0"/>
              <w:spacing w:before="120" w:after="120" w:line="276" w:lineRule="auto"/>
              <w:jc w:val="both"/>
              <w:rPr>
                <w:rFonts w:ascii="Verdana" w:hAnsi="Verdana"/>
                <w:lang w:val="es-ES"/>
              </w:rPr>
            </w:pPr>
            <w:r w:rsidRPr="00FD182C">
              <w:rPr>
                <w:rFonts w:ascii="Verdana" w:hAnsi="Verdana"/>
                <w:lang w:val="es-ES"/>
              </w:rPr>
              <w:t xml:space="preserve">Ministerio de Salud y la Protección Social. Concepto del 16 de agosto de 2019. Expediente No. 201942301304712. </w:t>
            </w:r>
          </w:p>
        </w:tc>
      </w:tr>
    </w:tbl>
    <w:p w14:paraId="58F8A8A3" w14:textId="77777777" w:rsidR="00224EF8" w:rsidRPr="0094448B" w:rsidRDefault="00224EF8" w:rsidP="00224EF8">
      <w:pPr>
        <w:spacing w:after="0" w:line="276" w:lineRule="auto"/>
        <w:ind w:right="709"/>
        <w:jc w:val="both"/>
        <w:rPr>
          <w:rFonts w:ascii="Verdana" w:hAnsi="Verdana" w:cs="Arial"/>
          <w:color w:val="000000" w:themeColor="text1"/>
        </w:rPr>
      </w:pPr>
    </w:p>
    <w:p w14:paraId="566A5BDE" w14:textId="77777777" w:rsidR="00224EF8" w:rsidRPr="0094448B" w:rsidRDefault="00224EF8" w:rsidP="00224EF8">
      <w:pPr>
        <w:numPr>
          <w:ilvl w:val="0"/>
          <w:numId w:val="19"/>
        </w:numPr>
        <w:spacing w:after="0" w:line="256" w:lineRule="auto"/>
        <w:rPr>
          <w:rFonts w:ascii="Verdana" w:eastAsia="Calibri" w:hAnsi="Verdana" w:cs="Times New Roman"/>
          <w:b/>
          <w:bCs/>
          <w:lang w:val="es-ES"/>
        </w:rPr>
      </w:pPr>
      <w:r w:rsidRPr="0094448B">
        <w:rPr>
          <w:rFonts w:ascii="Verdana" w:eastAsia="Calibri" w:hAnsi="Verdana" w:cs="Times New Roman"/>
          <w:b/>
          <w:bCs/>
          <w:lang w:val="es-ES"/>
        </w:rPr>
        <w:lastRenderedPageBreak/>
        <w:t>Doctrina de la Agencia Nacional de Contratación Pública:</w:t>
      </w:r>
    </w:p>
    <w:p w14:paraId="495327A5" w14:textId="77777777" w:rsidR="00224EF8" w:rsidRPr="0094448B" w:rsidRDefault="00224EF8" w:rsidP="00224EF8">
      <w:pPr>
        <w:widowControl w:val="0"/>
        <w:autoSpaceDE w:val="0"/>
        <w:autoSpaceDN w:val="0"/>
        <w:spacing w:after="0" w:line="276" w:lineRule="auto"/>
        <w:jc w:val="both"/>
        <w:rPr>
          <w:rFonts w:ascii="Verdana" w:hAnsi="Verdana" w:cs="Arial"/>
          <w:bCs/>
          <w:shd w:val="clear" w:color="auto" w:fill="FFFFFF"/>
        </w:rPr>
      </w:pPr>
    </w:p>
    <w:p w14:paraId="1624B02C" w14:textId="77777777" w:rsidR="00224EF8" w:rsidRPr="007B2B41" w:rsidRDefault="00224EF8" w:rsidP="00224EF8">
      <w:pPr>
        <w:widowControl w:val="0"/>
        <w:autoSpaceDE w:val="0"/>
        <w:autoSpaceDN w:val="0"/>
        <w:spacing w:after="0" w:line="276" w:lineRule="auto"/>
        <w:jc w:val="both"/>
        <w:rPr>
          <w:rFonts w:ascii="Verdana" w:hAnsi="Verdana" w:cs="Arial"/>
          <w:bCs/>
          <w:shd w:val="clear" w:color="auto" w:fill="FFFFFF"/>
        </w:rPr>
      </w:pPr>
      <w:r w:rsidRPr="0094448B">
        <w:rPr>
          <w:rFonts w:ascii="Verdana" w:hAnsi="Verdana" w:cs="Arial"/>
          <w:bCs/>
          <w:shd w:val="clear" w:color="auto" w:fill="FFFFFF"/>
        </w:rPr>
        <w:t xml:space="preserve">La Agencia Nacional de Contratación Pública </w:t>
      </w:r>
      <w:r>
        <w:rPr>
          <w:rFonts w:ascii="Verdana" w:hAnsi="Verdana" w:cs="Arial"/>
          <w:bCs/>
          <w:shd w:val="clear" w:color="auto" w:fill="FFFFFF"/>
        </w:rPr>
        <w:t>– Colombia Compra Eficiente, se ha pronunciado sobre las Empresas Sociales del Estado en</w:t>
      </w:r>
      <w:r w:rsidRPr="0094448B">
        <w:rPr>
          <w:rFonts w:ascii="Verdana" w:hAnsi="Verdana" w:cs="Arial"/>
          <w:bCs/>
          <w:shd w:val="clear" w:color="auto" w:fill="FFFFFF"/>
        </w:rPr>
        <w:t xml:space="preserve"> los siguientes conceptos </w:t>
      </w:r>
      <w:r w:rsidRPr="007B2B41">
        <w:rPr>
          <w:rFonts w:ascii="Verdana" w:hAnsi="Verdana" w:cs="Arial"/>
          <w:bCs/>
          <w:shd w:val="clear" w:color="auto" w:fill="FFFFFF"/>
          <w:lang w:val="es-ES_tradnl"/>
        </w:rPr>
        <w:t>con radicado 2201913000007228 de 30 de septiembre de 2019, 2201913000007955 24 de octubre de 2019, 2201913000009314 17 de diciembre de 2020, 2201913000009591 24 de diciembre de 2019, 2201913000009469 20 de diciembre de 2019, CU-003 del 15 de enero de 2020, C-079 de 5 de febrero de 2020, C-168 de 31 de marzo de 2020, C-658 de 2020, C-038 del 23 de abril de 2024</w:t>
      </w:r>
      <w:r>
        <w:rPr>
          <w:rFonts w:ascii="Verdana" w:hAnsi="Verdana" w:cs="Arial"/>
          <w:bCs/>
          <w:shd w:val="clear" w:color="auto" w:fill="FFFFFF"/>
          <w:lang w:val="es-ES_tradnl"/>
        </w:rPr>
        <w:t>,</w:t>
      </w:r>
      <w:r w:rsidRPr="007B2B41">
        <w:rPr>
          <w:rFonts w:ascii="Verdana" w:hAnsi="Verdana" w:cs="Arial"/>
          <w:bCs/>
          <w:shd w:val="clear" w:color="auto" w:fill="FFFFFF"/>
          <w:lang w:val="es-ES_tradnl"/>
        </w:rPr>
        <w:t xml:space="preserve"> C-673 del 8 de julio de 2025</w:t>
      </w:r>
      <w:r>
        <w:rPr>
          <w:rFonts w:ascii="Verdana" w:hAnsi="Verdana" w:cs="Arial"/>
          <w:bCs/>
          <w:shd w:val="clear" w:color="auto" w:fill="FFFFFF"/>
          <w:lang w:val="es-ES_tradnl"/>
        </w:rPr>
        <w:t xml:space="preserve">, C-912 del 21 de agosto de 2025, entre otros. </w:t>
      </w:r>
      <w:r w:rsidRPr="0094448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887498D" w14:textId="77777777" w:rsidR="00224EF8" w:rsidRPr="0094448B" w:rsidRDefault="00224EF8" w:rsidP="00224EF8">
      <w:pPr>
        <w:spacing w:after="0" w:line="256" w:lineRule="auto"/>
        <w:jc w:val="both"/>
        <w:rPr>
          <w:rFonts w:ascii="Verdana" w:eastAsia="Calibri" w:hAnsi="Verdana" w:cs="Times New Roman"/>
        </w:rPr>
      </w:pPr>
      <w:hyperlink r:id="rId25" w:history="1">
        <w:r w:rsidRPr="0094448B">
          <w:rPr>
            <w:rFonts w:ascii="Verdana" w:eastAsia="Calibri" w:hAnsi="Verdana" w:cs="Times New Roman"/>
            <w:color w:val="0000FF"/>
            <w:u w:val="single"/>
            <w:lang w:val="es-ES"/>
          </w:rPr>
          <w:t>https://relatoria.colombiacompra.gov.co/busqueda/conceptos</w:t>
        </w:r>
      </w:hyperlink>
      <w:r w:rsidRPr="0094448B">
        <w:rPr>
          <w:rFonts w:ascii="Verdana" w:eastAsia="Calibri" w:hAnsi="Verdana" w:cs="Times New Roman"/>
        </w:rPr>
        <w:t xml:space="preserve">. </w:t>
      </w:r>
    </w:p>
    <w:p w14:paraId="191D573A" w14:textId="77777777" w:rsidR="00224EF8" w:rsidRPr="0094448B" w:rsidRDefault="00224EF8" w:rsidP="00224EF8">
      <w:pPr>
        <w:spacing w:after="0" w:line="256" w:lineRule="auto"/>
        <w:jc w:val="both"/>
        <w:rPr>
          <w:rFonts w:ascii="Verdana" w:eastAsia="Calibri" w:hAnsi="Verdana" w:cs="Times New Roman"/>
        </w:rPr>
      </w:pPr>
    </w:p>
    <w:p w14:paraId="15A81DF8" w14:textId="77777777" w:rsidR="00224EF8" w:rsidRPr="0094448B" w:rsidRDefault="00224EF8" w:rsidP="00224EF8">
      <w:pPr>
        <w:spacing w:after="0" w:line="256" w:lineRule="auto"/>
        <w:jc w:val="both"/>
        <w:rPr>
          <w:rFonts w:ascii="Verdana" w:eastAsia="Calibri" w:hAnsi="Verdana" w:cs="Times New Roman"/>
        </w:rPr>
      </w:pPr>
      <w:r w:rsidRPr="0094448B">
        <w:rPr>
          <w:rFonts w:ascii="Verdana" w:eastAsia="Calibri" w:hAnsi="Verdana" w:cs="Times New Roman"/>
        </w:rPr>
        <w:t xml:space="preserve">Te informamos que ya se encuentra disponible la </w:t>
      </w:r>
      <w:r w:rsidRPr="0094448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4448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4448B">
        <w:rPr>
          <w:rFonts w:ascii="Verdana" w:eastAsia="Calibri" w:hAnsi="Verdana" w:cs="Times New Roman"/>
        </w:rPr>
        <w:t>Wayúu</w:t>
      </w:r>
      <w:proofErr w:type="spellEnd"/>
      <w:r w:rsidRPr="0094448B">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6D927B06" w14:textId="77777777" w:rsidR="00224EF8" w:rsidRPr="0094448B" w:rsidRDefault="00224EF8" w:rsidP="00224EF8">
      <w:pPr>
        <w:spacing w:after="0"/>
        <w:jc w:val="both"/>
        <w:rPr>
          <w:rFonts w:ascii="Verdana" w:hAnsi="Verdana"/>
        </w:rPr>
      </w:pPr>
    </w:p>
    <w:p w14:paraId="27867D68" w14:textId="77777777" w:rsidR="00224EF8" w:rsidRPr="0094448B" w:rsidRDefault="00224EF8" w:rsidP="00224EF8">
      <w:pPr>
        <w:spacing w:after="0"/>
        <w:jc w:val="both"/>
        <w:rPr>
          <w:rFonts w:ascii="Verdana" w:hAnsi="Verdana"/>
        </w:rPr>
      </w:pPr>
      <w:r w:rsidRPr="0094448B">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D85CBBB" w14:textId="77777777" w:rsidR="00224EF8" w:rsidRPr="0094448B" w:rsidRDefault="00224EF8" w:rsidP="00224EF8">
      <w:pPr>
        <w:spacing w:after="0" w:line="240" w:lineRule="auto"/>
        <w:jc w:val="both"/>
        <w:rPr>
          <w:rFonts w:ascii="Verdana" w:hAnsi="Verdana"/>
        </w:rPr>
      </w:pPr>
    </w:p>
    <w:p w14:paraId="40E5B3AE" w14:textId="77777777" w:rsidR="00224EF8" w:rsidRPr="0094448B" w:rsidRDefault="00224EF8" w:rsidP="00224EF8">
      <w:pPr>
        <w:numPr>
          <w:ilvl w:val="0"/>
          <w:numId w:val="15"/>
        </w:numPr>
        <w:spacing w:after="0" w:line="240" w:lineRule="auto"/>
        <w:contextualSpacing/>
        <w:jc w:val="both"/>
        <w:rPr>
          <w:rFonts w:ascii="Verdana" w:hAnsi="Verdana"/>
          <w:lang w:val="es-ES"/>
        </w:rPr>
      </w:pPr>
      <w:r w:rsidRPr="0094448B">
        <w:rPr>
          <w:rFonts w:ascii="Verdana" w:hAnsi="Verdana"/>
          <w:lang w:val="es-ES"/>
        </w:rPr>
        <w:t>Línea nacional gratuita o servicio a la ciudadanía: 01800 0520808</w:t>
      </w:r>
    </w:p>
    <w:p w14:paraId="472ADFAB" w14:textId="77777777" w:rsidR="00224EF8" w:rsidRPr="0094448B" w:rsidRDefault="00224EF8" w:rsidP="00224EF8">
      <w:pPr>
        <w:numPr>
          <w:ilvl w:val="0"/>
          <w:numId w:val="15"/>
        </w:numPr>
        <w:spacing w:after="0" w:line="240" w:lineRule="auto"/>
        <w:contextualSpacing/>
        <w:jc w:val="both"/>
        <w:rPr>
          <w:rFonts w:ascii="Verdana" w:hAnsi="Verdana"/>
          <w:lang w:val="es-ES"/>
        </w:rPr>
      </w:pPr>
      <w:r w:rsidRPr="0094448B">
        <w:rPr>
          <w:rFonts w:ascii="Verdana" w:hAnsi="Verdana"/>
          <w:lang w:val="es-ES"/>
        </w:rPr>
        <w:t>Línea en Bogotá (Mesa de servicio): +57 601 7456788</w:t>
      </w:r>
    </w:p>
    <w:p w14:paraId="52D38B92" w14:textId="77777777" w:rsidR="00224EF8" w:rsidRPr="0094448B" w:rsidRDefault="00224EF8" w:rsidP="00224EF8">
      <w:pPr>
        <w:numPr>
          <w:ilvl w:val="0"/>
          <w:numId w:val="15"/>
        </w:numPr>
        <w:spacing w:after="0" w:line="240" w:lineRule="auto"/>
        <w:contextualSpacing/>
        <w:jc w:val="both"/>
        <w:rPr>
          <w:rFonts w:ascii="Verdana" w:hAnsi="Verdana"/>
          <w:lang w:val="es-ES"/>
        </w:rPr>
      </w:pPr>
      <w:r w:rsidRPr="0094448B">
        <w:rPr>
          <w:rFonts w:ascii="Verdana" w:hAnsi="Verdana"/>
          <w:lang w:val="es-ES"/>
        </w:rPr>
        <w:t>Línea de servicio y atención al ciudadano: +57 601 7956600</w:t>
      </w:r>
    </w:p>
    <w:p w14:paraId="189E41D3" w14:textId="77777777" w:rsidR="00224EF8" w:rsidRPr="0094448B" w:rsidRDefault="00224EF8" w:rsidP="00224EF8">
      <w:pPr>
        <w:numPr>
          <w:ilvl w:val="0"/>
          <w:numId w:val="15"/>
        </w:numPr>
        <w:spacing w:after="0" w:line="240" w:lineRule="auto"/>
        <w:contextualSpacing/>
        <w:jc w:val="both"/>
        <w:rPr>
          <w:rFonts w:ascii="Verdana" w:hAnsi="Verdana"/>
          <w:lang w:val="es-ES"/>
        </w:rPr>
      </w:pPr>
      <w:r w:rsidRPr="0094448B">
        <w:rPr>
          <w:rFonts w:ascii="Verdana" w:hAnsi="Verdana"/>
          <w:lang w:val="es-ES"/>
        </w:rPr>
        <w:t xml:space="preserve">Página web: </w:t>
      </w:r>
      <w:hyperlink r:id="rId26" w:history="1">
        <w:r w:rsidRPr="0094448B">
          <w:rPr>
            <w:rFonts w:ascii="Verdana" w:hAnsi="Verdana"/>
            <w:color w:val="0000FF"/>
            <w:u w:val="single"/>
            <w:lang w:val="es-ES"/>
          </w:rPr>
          <w:t>www.colombiacompra.gov.co</w:t>
        </w:r>
      </w:hyperlink>
    </w:p>
    <w:p w14:paraId="0A4FF0B5" w14:textId="77777777" w:rsidR="00224EF8" w:rsidRPr="0094448B" w:rsidRDefault="00224EF8" w:rsidP="00224EF8">
      <w:pPr>
        <w:spacing w:after="0" w:line="240" w:lineRule="auto"/>
        <w:ind w:left="785"/>
        <w:contextualSpacing/>
        <w:jc w:val="both"/>
        <w:rPr>
          <w:rFonts w:ascii="Verdana" w:hAnsi="Verdana"/>
          <w:lang w:val="es-ES"/>
        </w:rPr>
      </w:pPr>
    </w:p>
    <w:p w14:paraId="37D1F3F2" w14:textId="77777777" w:rsidR="00224EF8" w:rsidRPr="0094448B" w:rsidRDefault="00224EF8" w:rsidP="00224EF8">
      <w:pPr>
        <w:spacing w:after="0" w:line="240" w:lineRule="auto"/>
        <w:jc w:val="both"/>
        <w:rPr>
          <w:rFonts w:ascii="Verdana" w:hAnsi="Verdana"/>
        </w:rPr>
      </w:pPr>
      <w:r w:rsidRPr="0094448B">
        <w:rPr>
          <w:rFonts w:ascii="Verdana" w:hAnsi="Verdana"/>
        </w:rPr>
        <w:lastRenderedPageBreak/>
        <w:t xml:space="preserve">Por último, lo invitamos a seguirnos en las redes sociales en las cuales se difunde información institucional: </w:t>
      </w:r>
    </w:p>
    <w:p w14:paraId="0C885A7E" w14:textId="77777777" w:rsidR="00224EF8" w:rsidRPr="0094448B" w:rsidRDefault="00224EF8" w:rsidP="00224EF8">
      <w:pPr>
        <w:spacing w:after="0" w:line="240" w:lineRule="auto"/>
        <w:jc w:val="both"/>
        <w:rPr>
          <w:rFonts w:ascii="Verdana" w:hAnsi="Verdana"/>
        </w:rPr>
      </w:pPr>
    </w:p>
    <w:p w14:paraId="66044380" w14:textId="77777777" w:rsidR="00224EF8" w:rsidRPr="0094448B" w:rsidRDefault="00224EF8" w:rsidP="00224EF8">
      <w:pPr>
        <w:spacing w:after="0" w:line="240" w:lineRule="auto"/>
        <w:jc w:val="both"/>
        <w:rPr>
          <w:rFonts w:ascii="Verdana" w:hAnsi="Verdana"/>
        </w:rPr>
      </w:pPr>
      <w:r w:rsidRPr="0094448B">
        <w:rPr>
          <w:rFonts w:ascii="Verdana" w:hAnsi="Verdana"/>
        </w:rPr>
        <w:t xml:space="preserve">Twitter: </w:t>
      </w:r>
      <w:r w:rsidRPr="0094448B">
        <w:rPr>
          <w:rFonts w:ascii="Verdana" w:hAnsi="Verdana"/>
          <w:color w:val="0000FF"/>
          <w:u w:val="single"/>
        </w:rPr>
        <w:t>@colombiacompra</w:t>
      </w:r>
      <w:r w:rsidRPr="0094448B">
        <w:rPr>
          <w:rFonts w:ascii="Verdana" w:hAnsi="Verdana"/>
        </w:rPr>
        <w:t xml:space="preserve"> </w:t>
      </w:r>
    </w:p>
    <w:p w14:paraId="4C9E7A63" w14:textId="77777777" w:rsidR="00224EF8" w:rsidRPr="0094448B" w:rsidRDefault="00224EF8" w:rsidP="00224EF8">
      <w:pPr>
        <w:spacing w:after="0" w:line="240" w:lineRule="auto"/>
        <w:jc w:val="both"/>
        <w:rPr>
          <w:rFonts w:ascii="Verdana" w:hAnsi="Verdana"/>
        </w:rPr>
      </w:pPr>
      <w:r w:rsidRPr="0094448B">
        <w:rPr>
          <w:rFonts w:ascii="Verdana" w:hAnsi="Verdana"/>
        </w:rPr>
        <w:t xml:space="preserve">Facebook: </w:t>
      </w:r>
      <w:proofErr w:type="spellStart"/>
      <w:r w:rsidRPr="0094448B">
        <w:rPr>
          <w:rFonts w:ascii="Verdana" w:hAnsi="Verdana"/>
          <w:color w:val="0000FF"/>
          <w:u w:val="single"/>
        </w:rPr>
        <w:t>ColombiaCompraEficiente</w:t>
      </w:r>
      <w:proofErr w:type="spellEnd"/>
    </w:p>
    <w:p w14:paraId="76CA0F96" w14:textId="77777777" w:rsidR="00224EF8" w:rsidRPr="0094448B" w:rsidRDefault="00224EF8" w:rsidP="00224EF8">
      <w:pPr>
        <w:spacing w:after="0" w:line="240" w:lineRule="auto"/>
        <w:jc w:val="both"/>
        <w:rPr>
          <w:rFonts w:ascii="Verdana" w:hAnsi="Verdana"/>
        </w:rPr>
      </w:pPr>
      <w:r w:rsidRPr="0094448B">
        <w:rPr>
          <w:rFonts w:ascii="Verdana" w:hAnsi="Verdana"/>
        </w:rPr>
        <w:t xml:space="preserve">LinkedIn: </w:t>
      </w:r>
      <w:r w:rsidRPr="0094448B">
        <w:rPr>
          <w:rFonts w:ascii="Verdana" w:hAnsi="Verdana"/>
          <w:color w:val="0000FF"/>
          <w:u w:val="single"/>
        </w:rPr>
        <w:t>Agencia Nacional de Contratación Pública - Colombia Compra Eficiente</w:t>
      </w:r>
      <w:r w:rsidRPr="0094448B">
        <w:rPr>
          <w:rFonts w:ascii="Verdana" w:hAnsi="Verdana"/>
        </w:rPr>
        <w:t xml:space="preserve"> Instagram: </w:t>
      </w:r>
      <w:r w:rsidRPr="0094448B">
        <w:rPr>
          <w:rFonts w:ascii="Verdana" w:hAnsi="Verdana"/>
          <w:color w:val="0000FF"/>
          <w:u w:val="single"/>
        </w:rPr>
        <w:t>@colombiacompraeficiente_cce</w:t>
      </w:r>
    </w:p>
    <w:p w14:paraId="40C4F5B6" w14:textId="77777777" w:rsidR="00224EF8" w:rsidRPr="0094448B" w:rsidRDefault="00224EF8" w:rsidP="00224EF8">
      <w:pPr>
        <w:spacing w:after="0" w:line="240" w:lineRule="auto"/>
        <w:jc w:val="both"/>
        <w:rPr>
          <w:rFonts w:ascii="Verdana" w:hAnsi="Verdana"/>
        </w:rPr>
      </w:pPr>
    </w:p>
    <w:p w14:paraId="5F1329A5" w14:textId="77777777" w:rsidR="00224EF8" w:rsidRPr="00FE5CEA" w:rsidRDefault="00224EF8" w:rsidP="00224EF8">
      <w:pPr>
        <w:spacing w:after="0" w:line="276" w:lineRule="auto"/>
        <w:jc w:val="both"/>
        <w:rPr>
          <w:rFonts w:ascii="Verdana" w:hAnsi="Verdana" w:cs="Arial"/>
          <w:color w:val="000000" w:themeColor="text1"/>
          <w:lang w:val="es-ES"/>
        </w:rPr>
      </w:pPr>
      <w:r w:rsidRPr="5D85977E">
        <w:rPr>
          <w:rFonts w:ascii="Verdana" w:eastAsia="Calibri" w:hAnsi="Verdana" w:cs="Times New Roman"/>
          <w:lang w:val="es-ES"/>
        </w:rPr>
        <w:t xml:space="preserve">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 En todo caso, </w:t>
      </w:r>
      <w:r w:rsidRPr="5D85977E">
        <w:rPr>
          <w:rFonts w:ascii="Verdana" w:hAnsi="Verdana" w:cs="Arial"/>
          <w:color w:val="000000" w:themeColor="text1"/>
          <w:lang w:val="es-ES"/>
        </w:rPr>
        <w:t xml:space="preserve">de acuerdo con el inciso 3 del artículo 226 del Código General del Proceso, aplicable por remisión del artículo 241 del Código General Disciplinario, el presente oficio no tiene el valor de un dictamen pericial, pues versa sobre puntos de derecho. En consecuencia, lo decidido en torno a los procesos que se estén tramitando, es responsabilidad única y exclusiva de la Procuraduría General de la Nación. </w:t>
      </w:r>
    </w:p>
    <w:p w14:paraId="7D3199AC" w14:textId="77777777" w:rsidR="00224EF8" w:rsidRPr="0094448B" w:rsidRDefault="00224EF8" w:rsidP="00224EF8">
      <w:pPr>
        <w:spacing w:after="0" w:line="256" w:lineRule="auto"/>
        <w:jc w:val="both"/>
        <w:rPr>
          <w:rFonts w:ascii="Verdana" w:eastAsia="Calibri" w:hAnsi="Verdana" w:cs="Times New Roman"/>
        </w:rPr>
      </w:pPr>
    </w:p>
    <w:p w14:paraId="72E1498D" w14:textId="77777777" w:rsidR="00224EF8" w:rsidRPr="0094448B" w:rsidRDefault="00224EF8" w:rsidP="00224EF8">
      <w:pPr>
        <w:spacing w:after="0" w:line="256" w:lineRule="auto"/>
        <w:jc w:val="both"/>
        <w:rPr>
          <w:rFonts w:ascii="Verdana" w:eastAsia="Calibri" w:hAnsi="Verdana" w:cs="Times New Roman"/>
        </w:rPr>
      </w:pPr>
      <w:r w:rsidRPr="0094448B">
        <w:rPr>
          <w:rFonts w:ascii="Verdana" w:eastAsia="Calibri" w:hAnsi="Verdana" w:cs="Times New Roman"/>
        </w:rPr>
        <w:t>Atentamente,</w:t>
      </w:r>
    </w:p>
    <w:p w14:paraId="47CF9FFB" w14:textId="77777777" w:rsidR="00224EF8" w:rsidRDefault="00224EF8" w:rsidP="00224EF8">
      <w:pPr>
        <w:spacing w:after="0" w:line="256" w:lineRule="auto"/>
        <w:jc w:val="center"/>
        <w:rPr>
          <w:noProof/>
          <w:lang w:val="en-US"/>
        </w:rPr>
      </w:pPr>
    </w:p>
    <w:p w14:paraId="03394078" w14:textId="3A111209" w:rsidR="00224EF8" w:rsidRPr="003A1844" w:rsidRDefault="00A7446C" w:rsidP="00224EF8">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3BEDC19B" wp14:editId="2B292516">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7"/>
                    <a:stretch>
                      <a:fillRect/>
                    </a:stretch>
                  </pic:blipFill>
                  <pic:spPr>
                    <a:xfrm>
                      <a:off x="0" y="0"/>
                      <a:ext cx="3312722" cy="1229722"/>
                    </a:xfrm>
                    <a:prstGeom prst="rect">
                      <a:avLst/>
                    </a:prstGeom>
                  </pic:spPr>
                </pic:pic>
              </a:graphicData>
            </a:graphic>
          </wp:inline>
        </w:drawing>
      </w:r>
    </w:p>
    <w:p w14:paraId="466AFEBB" w14:textId="77777777" w:rsidR="00224EF8" w:rsidRPr="003A1844" w:rsidRDefault="00224EF8" w:rsidP="00224EF8">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24EF8" w:rsidRPr="003A1844" w14:paraId="66D28AF2" w14:textId="77777777" w:rsidTr="00416DEA">
        <w:trPr>
          <w:trHeight w:val="409"/>
        </w:trPr>
        <w:tc>
          <w:tcPr>
            <w:tcW w:w="817" w:type="dxa"/>
            <w:tcBorders>
              <w:top w:val="nil"/>
              <w:left w:val="nil"/>
              <w:bottom w:val="nil"/>
              <w:right w:val="nil"/>
            </w:tcBorders>
            <w:vAlign w:val="center"/>
            <w:hideMark/>
          </w:tcPr>
          <w:p w14:paraId="11BB1C30" w14:textId="77777777" w:rsidR="00224EF8" w:rsidRPr="003A1844" w:rsidRDefault="00224EF8" w:rsidP="00416DEA">
            <w:pPr>
              <w:spacing w:after="0" w:line="256" w:lineRule="auto"/>
              <w:rPr>
                <w:rFonts w:ascii="Verdana" w:eastAsia="Calibri" w:hAnsi="Verdana" w:cs="Times New Roman"/>
                <w:sz w:val="16"/>
                <w:szCs w:val="16"/>
              </w:rPr>
            </w:pPr>
            <w:r w:rsidRPr="003A1844">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2351628" w14:textId="77777777" w:rsidR="00224EF8" w:rsidRPr="003A1844" w:rsidRDefault="00224EF8" w:rsidP="00416DEA">
            <w:pPr>
              <w:spacing w:after="0" w:line="256" w:lineRule="auto"/>
              <w:rPr>
                <w:rFonts w:ascii="Verdana" w:eastAsia="Calibri" w:hAnsi="Verdana" w:cs="Times New Roman"/>
                <w:sz w:val="16"/>
                <w:szCs w:val="16"/>
              </w:rPr>
            </w:pPr>
            <w:r w:rsidRPr="003A1844">
              <w:rPr>
                <w:rFonts w:ascii="Verdana" w:eastAsia="Calibri" w:hAnsi="Verdana" w:cs="Times New Roman"/>
                <w:sz w:val="16"/>
                <w:szCs w:val="16"/>
              </w:rPr>
              <w:t>José Luis Sánchez Cardona</w:t>
            </w:r>
          </w:p>
          <w:p w14:paraId="599FE9A0" w14:textId="77777777" w:rsidR="00224EF8" w:rsidRPr="003A1844" w:rsidRDefault="00224EF8" w:rsidP="00416DEA">
            <w:pPr>
              <w:spacing w:after="0" w:line="256" w:lineRule="auto"/>
              <w:rPr>
                <w:rFonts w:ascii="Verdana" w:eastAsia="Calibri" w:hAnsi="Verdana" w:cs="Times New Roman"/>
                <w:sz w:val="16"/>
                <w:szCs w:val="16"/>
              </w:rPr>
            </w:pPr>
            <w:r w:rsidRPr="003A1844">
              <w:rPr>
                <w:rFonts w:ascii="Verdana" w:eastAsia="Calibri" w:hAnsi="Verdana" w:cs="Times New Roman"/>
                <w:sz w:val="16"/>
                <w:szCs w:val="16"/>
              </w:rPr>
              <w:t>Contratista de la Subdirección de Gestión Contractual</w:t>
            </w:r>
          </w:p>
        </w:tc>
      </w:tr>
      <w:tr w:rsidR="00224EF8" w:rsidRPr="003A1844" w14:paraId="39FE59E9" w14:textId="77777777" w:rsidTr="00416DEA">
        <w:trPr>
          <w:trHeight w:val="409"/>
        </w:trPr>
        <w:tc>
          <w:tcPr>
            <w:tcW w:w="817" w:type="dxa"/>
            <w:tcBorders>
              <w:top w:val="nil"/>
              <w:left w:val="nil"/>
              <w:bottom w:val="nil"/>
              <w:right w:val="nil"/>
            </w:tcBorders>
            <w:vAlign w:val="center"/>
            <w:hideMark/>
          </w:tcPr>
          <w:p w14:paraId="36294E5D" w14:textId="77777777" w:rsidR="00224EF8" w:rsidRPr="003A1844" w:rsidRDefault="00224EF8" w:rsidP="00416DEA">
            <w:pPr>
              <w:spacing w:after="0" w:line="256" w:lineRule="auto"/>
              <w:rPr>
                <w:rFonts w:ascii="Verdana" w:eastAsia="Calibri" w:hAnsi="Verdana" w:cs="Times New Roman"/>
                <w:sz w:val="16"/>
                <w:szCs w:val="16"/>
              </w:rPr>
            </w:pPr>
            <w:r w:rsidRPr="003A1844">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9B02790" w14:textId="77777777" w:rsidR="00224EF8" w:rsidRPr="003A1844" w:rsidRDefault="00224EF8" w:rsidP="00416DEA">
            <w:pPr>
              <w:spacing w:after="0" w:line="256" w:lineRule="auto"/>
              <w:rPr>
                <w:rFonts w:ascii="Verdana" w:eastAsia="Calibri" w:hAnsi="Verdana" w:cs="Times New Roman"/>
                <w:sz w:val="16"/>
                <w:szCs w:val="16"/>
              </w:rPr>
            </w:pPr>
            <w:r w:rsidRPr="003A1844">
              <w:rPr>
                <w:rFonts w:ascii="Verdana" w:eastAsia="Calibri" w:hAnsi="Verdana" w:cs="Times New Roman"/>
                <w:sz w:val="16"/>
                <w:szCs w:val="16"/>
              </w:rPr>
              <w:t>Alejandro Sarmiento Cantillo</w:t>
            </w:r>
          </w:p>
          <w:p w14:paraId="25EAC117" w14:textId="77777777" w:rsidR="00224EF8" w:rsidRPr="003A1844" w:rsidRDefault="00224EF8" w:rsidP="00416DEA">
            <w:pPr>
              <w:spacing w:after="0" w:line="256" w:lineRule="auto"/>
              <w:rPr>
                <w:rFonts w:ascii="Verdana" w:eastAsia="Calibri" w:hAnsi="Verdana" w:cs="Times New Roman"/>
                <w:sz w:val="16"/>
                <w:szCs w:val="16"/>
              </w:rPr>
            </w:pPr>
            <w:r w:rsidRPr="003A1844">
              <w:rPr>
                <w:rFonts w:ascii="Verdana" w:eastAsia="Calibri" w:hAnsi="Verdana" w:cs="Times New Roman"/>
                <w:sz w:val="16"/>
                <w:szCs w:val="16"/>
              </w:rPr>
              <w:t>Gestor T1-15 de la Subdirección de Gestión Contractual </w:t>
            </w:r>
          </w:p>
        </w:tc>
      </w:tr>
      <w:tr w:rsidR="00224EF8" w:rsidRPr="003A1844" w14:paraId="7C728F1C" w14:textId="77777777" w:rsidTr="00416DEA">
        <w:trPr>
          <w:trHeight w:val="389"/>
        </w:trPr>
        <w:tc>
          <w:tcPr>
            <w:tcW w:w="817" w:type="dxa"/>
            <w:tcBorders>
              <w:top w:val="nil"/>
              <w:left w:val="nil"/>
              <w:bottom w:val="nil"/>
              <w:right w:val="nil"/>
            </w:tcBorders>
            <w:vAlign w:val="center"/>
            <w:hideMark/>
          </w:tcPr>
          <w:p w14:paraId="6DCC0F37" w14:textId="77777777" w:rsidR="00224EF8" w:rsidRPr="003A1844" w:rsidRDefault="00224EF8" w:rsidP="00416DEA">
            <w:pPr>
              <w:spacing w:after="0" w:line="256" w:lineRule="auto"/>
              <w:rPr>
                <w:rFonts w:ascii="Verdana" w:eastAsia="Calibri" w:hAnsi="Verdana" w:cs="Times New Roman"/>
                <w:sz w:val="16"/>
                <w:szCs w:val="16"/>
              </w:rPr>
            </w:pPr>
            <w:r w:rsidRPr="003A1844">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870AD70" w14:textId="77777777" w:rsidR="00224EF8" w:rsidRPr="003A1844" w:rsidRDefault="00224EF8" w:rsidP="00416DEA">
            <w:pPr>
              <w:spacing w:after="0" w:line="256" w:lineRule="auto"/>
              <w:rPr>
                <w:rFonts w:ascii="Verdana" w:eastAsia="Calibri" w:hAnsi="Verdana" w:cs="Times New Roman"/>
                <w:sz w:val="16"/>
                <w:szCs w:val="16"/>
              </w:rPr>
            </w:pPr>
            <w:r w:rsidRPr="003A1844">
              <w:rPr>
                <w:rFonts w:ascii="Verdana" w:eastAsia="Calibri" w:hAnsi="Verdana" w:cs="Times New Roman"/>
                <w:sz w:val="16"/>
                <w:szCs w:val="16"/>
              </w:rPr>
              <w:t xml:space="preserve">Carolina Quintero </w:t>
            </w:r>
            <w:proofErr w:type="spellStart"/>
            <w:r w:rsidRPr="003A1844">
              <w:rPr>
                <w:rFonts w:ascii="Verdana" w:eastAsia="Calibri" w:hAnsi="Verdana" w:cs="Times New Roman"/>
                <w:sz w:val="16"/>
                <w:szCs w:val="16"/>
              </w:rPr>
              <w:t>Gacharná</w:t>
            </w:r>
            <w:proofErr w:type="spellEnd"/>
          </w:p>
          <w:p w14:paraId="25BA704A" w14:textId="77777777" w:rsidR="00224EF8" w:rsidRPr="003A1844" w:rsidRDefault="00224EF8" w:rsidP="00416DEA">
            <w:pPr>
              <w:spacing w:after="0" w:line="256" w:lineRule="auto"/>
              <w:rPr>
                <w:rFonts w:ascii="Verdana" w:eastAsia="Calibri" w:hAnsi="Verdana" w:cs="Times New Roman"/>
                <w:sz w:val="16"/>
                <w:szCs w:val="16"/>
              </w:rPr>
            </w:pPr>
            <w:r w:rsidRPr="003A1844">
              <w:rPr>
                <w:rFonts w:ascii="Verdana" w:eastAsia="Calibri" w:hAnsi="Verdana" w:cs="Times New Roman"/>
                <w:sz w:val="16"/>
                <w:szCs w:val="16"/>
              </w:rPr>
              <w:t>Subdirectora de Gestión Contractual ANCP – CCE</w:t>
            </w:r>
          </w:p>
        </w:tc>
      </w:tr>
    </w:tbl>
    <w:p w14:paraId="51E92945" w14:textId="77777777" w:rsidR="00224EF8" w:rsidRPr="003A1844" w:rsidRDefault="00224EF8" w:rsidP="00224EF8"/>
    <w:bookmarkEnd w:id="0"/>
    <w:p w14:paraId="78E11EE5" w14:textId="77777777" w:rsidR="00224EF8" w:rsidRPr="0044528D" w:rsidRDefault="00224EF8" w:rsidP="00224EF8">
      <w:pPr>
        <w:spacing w:after="0"/>
        <w:rPr>
          <w:rFonts w:ascii="Verdana" w:hAnsi="Verdana"/>
        </w:rPr>
      </w:pPr>
    </w:p>
    <w:p w14:paraId="549C8A29" w14:textId="561E5DDD" w:rsidR="007B5D8B" w:rsidRPr="00224EF8" w:rsidRDefault="007B5D8B" w:rsidP="00224EF8"/>
    <w:sectPr w:rsidR="007B5D8B" w:rsidRPr="00224EF8" w:rsidSect="007C0C0F">
      <w:headerReference w:type="default" r:id="rId28"/>
      <w:footerReference w:type="default" r:id="rId2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BA613" w14:textId="77777777" w:rsidR="00FF7FC1" w:rsidRDefault="00FF7FC1" w:rsidP="004A1847">
      <w:pPr>
        <w:spacing w:after="0" w:line="240" w:lineRule="auto"/>
      </w:pPr>
      <w:r>
        <w:separator/>
      </w:r>
    </w:p>
  </w:endnote>
  <w:endnote w:type="continuationSeparator" w:id="0">
    <w:p w14:paraId="7230EC51" w14:textId="77777777" w:rsidR="00FF7FC1" w:rsidRDefault="00FF7FC1" w:rsidP="004A1847">
      <w:pPr>
        <w:spacing w:after="0" w:line="240" w:lineRule="auto"/>
      </w:pPr>
      <w:r>
        <w:continuationSeparator/>
      </w:r>
    </w:p>
  </w:endnote>
  <w:endnote w:type="continuationNotice" w:id="1">
    <w:p w14:paraId="08A53AAC" w14:textId="77777777" w:rsidR="00FF7FC1" w:rsidRDefault="00FF7F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mbria"/>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1D7128" w:rsidRDefault="001D7128">
    <w:pPr>
      <w:pStyle w:val="Piedepgina"/>
    </w:pPr>
  </w:p>
  <w:p w14:paraId="594D6D9F" w14:textId="63834FE5" w:rsidR="001D7128" w:rsidRPr="00174B77" w:rsidRDefault="001D712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FD2400">
      <w:rPr>
        <w:rFonts w:ascii="Verdana" w:eastAsia="MS Gothic" w:hAnsi="Verdana" w:cs="Times New Roman"/>
        <w:b/>
        <w:bCs/>
        <w:sz w:val="16"/>
        <w:szCs w:val="16"/>
        <w:lang w:val="es-ES"/>
      </w:rPr>
      <w:t xml:space="preserve">pág. </w:t>
    </w:r>
    <w:r w:rsidRPr="00FD2400">
      <w:rPr>
        <w:rFonts w:ascii="Verdana" w:eastAsia="MS Mincho" w:hAnsi="Verdana"/>
        <w:b/>
        <w:bCs/>
        <w:sz w:val="16"/>
        <w:szCs w:val="16"/>
      </w:rPr>
      <w:fldChar w:fldCharType="begin"/>
    </w:r>
    <w:r w:rsidRPr="002E1330">
      <w:rPr>
        <w:rFonts w:ascii="Verdana" w:hAnsi="Verdana"/>
        <w:b/>
        <w:bCs/>
        <w:sz w:val="16"/>
        <w:szCs w:val="16"/>
      </w:rPr>
      <w:instrText>PAGE    \* MERGEFORMAT</w:instrText>
    </w:r>
    <w:r w:rsidRPr="00FD2400">
      <w:rPr>
        <w:rFonts w:ascii="Verdana" w:eastAsia="MS Mincho" w:hAnsi="Verdana"/>
        <w:b/>
        <w:bCs/>
        <w:sz w:val="16"/>
        <w:szCs w:val="16"/>
      </w:rPr>
      <w:fldChar w:fldCharType="separate"/>
    </w:r>
    <w:r w:rsidR="00D27341" w:rsidRPr="00D27341">
      <w:rPr>
        <w:rFonts w:ascii="Verdana" w:eastAsia="MS Mincho" w:hAnsi="Verdana"/>
        <w:b/>
        <w:bCs/>
        <w:noProof/>
        <w:sz w:val="16"/>
        <w:szCs w:val="16"/>
      </w:rPr>
      <w:t>4</w:t>
    </w:r>
    <w:r w:rsidRPr="00FD2400">
      <w:rPr>
        <w:rFonts w:ascii="Verdana" w:eastAsia="MS Gothic"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1D7128" w:rsidRDefault="001D712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1D7128" w:rsidRPr="00E41027" w:rsidRDefault="001D712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1D7128" w:rsidRDefault="001D712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0F601" w14:textId="77777777" w:rsidR="00FF7FC1" w:rsidRDefault="00FF7FC1" w:rsidP="004A1847">
      <w:pPr>
        <w:spacing w:after="0" w:line="240" w:lineRule="auto"/>
      </w:pPr>
      <w:r>
        <w:separator/>
      </w:r>
    </w:p>
  </w:footnote>
  <w:footnote w:type="continuationSeparator" w:id="0">
    <w:p w14:paraId="5DD69B52" w14:textId="77777777" w:rsidR="00FF7FC1" w:rsidRDefault="00FF7FC1" w:rsidP="004A1847">
      <w:pPr>
        <w:spacing w:after="0" w:line="240" w:lineRule="auto"/>
      </w:pPr>
      <w:r>
        <w:continuationSeparator/>
      </w:r>
    </w:p>
  </w:footnote>
  <w:footnote w:type="continuationNotice" w:id="1">
    <w:p w14:paraId="745B5A25" w14:textId="77777777" w:rsidR="00FF7FC1" w:rsidRDefault="00FF7FC1">
      <w:pPr>
        <w:spacing w:after="0" w:line="240" w:lineRule="auto"/>
      </w:pPr>
    </w:p>
  </w:footnote>
  <w:footnote w:id="2">
    <w:p w14:paraId="05B34149" w14:textId="77777777" w:rsidR="00224EF8" w:rsidRPr="003A1844" w:rsidRDefault="00224EF8" w:rsidP="00224EF8">
      <w:pPr>
        <w:pStyle w:val="Textonotapie"/>
        <w:ind w:firstLine="708"/>
        <w:jc w:val="both"/>
        <w:rPr>
          <w:rFonts w:ascii="Verdana" w:hAnsi="Verdana" w:cs="Arial"/>
          <w:sz w:val="16"/>
          <w:szCs w:val="22"/>
          <w:lang w:val="es-ES"/>
        </w:rPr>
      </w:pPr>
      <w:r w:rsidRPr="003A1844">
        <w:rPr>
          <w:rStyle w:val="Refdenotaalpie"/>
          <w:rFonts w:ascii="Verdana" w:hAnsi="Verdana" w:cs="Arial"/>
          <w:sz w:val="16"/>
          <w:szCs w:val="22"/>
        </w:rPr>
        <w:footnoteRef/>
      </w:r>
      <w:r w:rsidRPr="003A1844">
        <w:rPr>
          <w:rFonts w:ascii="Verdana" w:hAnsi="Verdana" w:cs="Arial"/>
          <w:sz w:val="16"/>
          <w:szCs w:val="22"/>
        </w:rPr>
        <w:t xml:space="preserve"> Cfr. BENAVIDES, José Luis. El contrato estatal: entre el derecho público y el derecho privado. Segunda edición. Bogotá: Universidad Externado de Colombia, 2009. pp. 78-79.      </w:t>
      </w:r>
    </w:p>
  </w:footnote>
  <w:footnote w:id="3">
    <w:p w14:paraId="48DC311C" w14:textId="77777777" w:rsidR="00224EF8" w:rsidRPr="003A1844" w:rsidRDefault="00224EF8" w:rsidP="00224EF8">
      <w:pPr>
        <w:pStyle w:val="Textonotapie"/>
        <w:ind w:firstLine="708"/>
        <w:jc w:val="both"/>
        <w:rPr>
          <w:rFonts w:ascii="Verdana" w:hAnsi="Verdana" w:cs="Arial"/>
          <w:sz w:val="16"/>
          <w:szCs w:val="22"/>
          <w:lang w:val="es-ES"/>
        </w:rPr>
      </w:pPr>
      <w:r w:rsidRPr="003A1844">
        <w:rPr>
          <w:rStyle w:val="Refdenotaalpie"/>
          <w:rFonts w:ascii="Verdana" w:hAnsi="Verdana" w:cs="Arial"/>
          <w:sz w:val="16"/>
          <w:szCs w:val="22"/>
        </w:rPr>
        <w:footnoteRef/>
      </w:r>
      <w:r w:rsidRPr="003A1844">
        <w:rPr>
          <w:rFonts w:ascii="Verdana" w:hAnsi="Verdana" w:cs="Arial"/>
          <w:sz w:val="16"/>
          <w:szCs w:val="22"/>
        </w:rPr>
        <w:t xml:space="preserve"> BETANCUR JARAMILLO, Carlos. Derecho procesal administrativo. Octava edición. Medellín: Señal Editora, 2013. p. 627. </w:t>
      </w:r>
    </w:p>
  </w:footnote>
  <w:footnote w:id="4">
    <w:p w14:paraId="4254E3BA" w14:textId="77777777" w:rsidR="00224EF8" w:rsidRPr="003A1844" w:rsidRDefault="00224EF8" w:rsidP="00224EF8">
      <w:pPr>
        <w:pStyle w:val="Textonotapie"/>
        <w:ind w:firstLine="708"/>
        <w:jc w:val="both"/>
        <w:rPr>
          <w:rFonts w:ascii="Verdana" w:hAnsi="Verdana" w:cs="Arial"/>
          <w:sz w:val="16"/>
          <w:szCs w:val="22"/>
        </w:rPr>
      </w:pPr>
      <w:r w:rsidRPr="003A1844">
        <w:rPr>
          <w:rStyle w:val="Refdenotaalpie"/>
          <w:rFonts w:ascii="Verdana" w:hAnsi="Verdana" w:cs="Arial"/>
          <w:sz w:val="16"/>
          <w:szCs w:val="22"/>
        </w:rPr>
        <w:footnoteRef/>
      </w:r>
      <w:r w:rsidRPr="003A1844">
        <w:rPr>
          <w:rFonts w:ascii="Verdana" w:hAnsi="Verdana" w:cs="Arial"/>
          <w:sz w:val="16"/>
          <w:szCs w:val="22"/>
        </w:rPr>
        <w:t xml:space="preserve"> JOJOA BOLAÑOS, Alexander. Los regímenes exceptuados en los contratos estatales. Bogotá: Grupo Editorial Ibáñez, 2012. p. 89.</w:t>
      </w:r>
    </w:p>
  </w:footnote>
  <w:footnote w:id="5">
    <w:p w14:paraId="4DB12744" w14:textId="77777777" w:rsidR="00224EF8" w:rsidRPr="003A1844" w:rsidRDefault="00224EF8" w:rsidP="00224EF8">
      <w:pPr>
        <w:pStyle w:val="Textonotapie"/>
        <w:ind w:firstLine="708"/>
        <w:jc w:val="both"/>
        <w:rPr>
          <w:rFonts w:ascii="Verdana" w:hAnsi="Verdana" w:cs="Arial"/>
          <w:sz w:val="16"/>
          <w:szCs w:val="22"/>
        </w:rPr>
      </w:pPr>
      <w:r w:rsidRPr="003A1844">
        <w:rPr>
          <w:rStyle w:val="Refdenotaalpie"/>
          <w:rFonts w:ascii="Verdana" w:hAnsi="Verdana" w:cs="Arial"/>
          <w:sz w:val="16"/>
          <w:szCs w:val="22"/>
        </w:rPr>
        <w:footnoteRef/>
      </w:r>
      <w:r w:rsidRPr="003A1844">
        <w:rPr>
          <w:rFonts w:ascii="Verdana" w:hAnsi="Verdana" w:cs="Arial"/>
          <w:sz w:val="16"/>
          <w:szCs w:val="22"/>
        </w:rPr>
        <w:t xml:space="preserve"> BARRETO MORENO, Antonio Alejandro. El derecho de la compra pública: estudio jurídico de un mercado imperfecto. Bogotá: Legis, 2019. pp. 281 y ss.</w:t>
      </w:r>
    </w:p>
  </w:footnote>
  <w:footnote w:id="6">
    <w:p w14:paraId="203C4D99" w14:textId="77777777" w:rsidR="00224EF8" w:rsidRPr="00FD7E2D" w:rsidRDefault="00224EF8" w:rsidP="00224EF8">
      <w:pPr>
        <w:pStyle w:val="Textonotapie"/>
        <w:ind w:firstLine="709"/>
        <w:jc w:val="both"/>
        <w:rPr>
          <w:rFonts w:ascii="Verdana" w:hAnsi="Verdana" w:cs="Arial"/>
          <w:sz w:val="16"/>
          <w:szCs w:val="22"/>
          <w:lang w:val="es-ES"/>
        </w:rPr>
      </w:pPr>
      <w:r w:rsidRPr="003A1844">
        <w:rPr>
          <w:rStyle w:val="Refdenotaalpie"/>
          <w:rFonts w:ascii="Verdana" w:hAnsi="Verdana" w:cs="Arial"/>
          <w:sz w:val="16"/>
          <w:szCs w:val="22"/>
        </w:rPr>
        <w:footnoteRef/>
      </w:r>
      <w:r w:rsidRPr="003A1844">
        <w:rPr>
          <w:rFonts w:ascii="Verdana" w:hAnsi="Verdana" w:cs="Arial"/>
          <w:sz w:val="16"/>
          <w:szCs w:val="22"/>
        </w:rPr>
        <w:t xml:space="preserve"> </w:t>
      </w:r>
      <w:r w:rsidRPr="003A1844">
        <w:rPr>
          <w:rFonts w:ascii="Verdana" w:hAnsi="Verdana" w:cs="Arial"/>
          <w:sz w:val="16"/>
          <w:szCs w:val="22"/>
          <w:lang w:val="es-ES"/>
        </w:rPr>
        <w:t>“</w:t>
      </w:r>
      <w:r w:rsidRPr="003A1844">
        <w:rPr>
          <w:rFonts w:ascii="Verdana" w:hAnsi="Verdana" w:cs="Arial"/>
          <w:sz w:val="16"/>
          <w:szCs w:val="22"/>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3A1844">
        <w:rPr>
          <w:rFonts w:ascii="Verdana" w:hAnsi="Verdana" w:cs="Arial"/>
          <w:sz w:val="16"/>
          <w:szCs w:val="22"/>
          <w:lang w:val="es-ES"/>
        </w:rPr>
        <w:t>”.</w:t>
      </w:r>
    </w:p>
  </w:footnote>
  <w:footnote w:id="7">
    <w:p w14:paraId="44799DA8" w14:textId="77777777" w:rsidR="00224EF8" w:rsidRPr="003A1844" w:rsidRDefault="00224EF8" w:rsidP="00224EF8">
      <w:pPr>
        <w:pStyle w:val="Textonotapie"/>
        <w:ind w:firstLine="709"/>
        <w:jc w:val="both"/>
        <w:rPr>
          <w:rFonts w:ascii="Verdana" w:hAnsi="Verdana" w:cs="Arial"/>
          <w:sz w:val="16"/>
          <w:szCs w:val="22"/>
        </w:rPr>
      </w:pPr>
      <w:r w:rsidRPr="003A1844">
        <w:rPr>
          <w:rStyle w:val="Refdenotaalpie"/>
          <w:rFonts w:ascii="Verdana" w:hAnsi="Verdana" w:cs="Arial"/>
          <w:sz w:val="16"/>
          <w:szCs w:val="22"/>
        </w:rPr>
        <w:footnoteRef/>
      </w:r>
      <w:r w:rsidRPr="003A1844">
        <w:rPr>
          <w:rFonts w:ascii="Verdana" w:hAnsi="Verdana" w:cs="Arial"/>
          <w:sz w:val="16"/>
          <w:szCs w:val="22"/>
        </w:rPr>
        <w:t xml:space="preserve"> Consejo de Estado. Sección Tercera. Sentencia 18 de febrero de 2010. Rad: 11001-03-26-000-2009-00058-00(37004). CP: Enrique Gil Botero. </w:t>
      </w:r>
    </w:p>
    <w:p w14:paraId="08A1FCEB" w14:textId="77777777" w:rsidR="00224EF8" w:rsidRPr="003A1844" w:rsidRDefault="00224EF8" w:rsidP="00224EF8">
      <w:pPr>
        <w:pStyle w:val="Textonotapie"/>
        <w:ind w:firstLine="709"/>
        <w:jc w:val="both"/>
        <w:rPr>
          <w:rFonts w:ascii="Verdana" w:hAnsi="Verdana" w:cs="Arial"/>
          <w:sz w:val="16"/>
          <w:szCs w:val="22"/>
        </w:rPr>
      </w:pPr>
    </w:p>
  </w:footnote>
  <w:footnote w:id="8">
    <w:p w14:paraId="49707067" w14:textId="77777777" w:rsidR="00224EF8" w:rsidRPr="003A1844" w:rsidRDefault="00224EF8" w:rsidP="00224EF8">
      <w:pPr>
        <w:pStyle w:val="Textonotapie"/>
        <w:ind w:firstLine="709"/>
        <w:jc w:val="both"/>
        <w:rPr>
          <w:rFonts w:ascii="Verdana" w:hAnsi="Verdana" w:cs="Arial"/>
          <w:color w:val="000000"/>
          <w:sz w:val="16"/>
          <w:szCs w:val="22"/>
        </w:rPr>
      </w:pPr>
      <w:r w:rsidRPr="003A1844">
        <w:rPr>
          <w:rStyle w:val="Refdenotaalpie"/>
          <w:rFonts w:ascii="Verdana" w:hAnsi="Verdana" w:cs="Arial"/>
          <w:sz w:val="16"/>
          <w:szCs w:val="22"/>
        </w:rPr>
        <w:footnoteRef/>
      </w:r>
      <w:r>
        <w:rPr>
          <w:rFonts w:ascii="Verdana" w:hAnsi="Verdana" w:cs="Arial"/>
          <w:sz w:val="16"/>
          <w:szCs w:val="22"/>
        </w:rPr>
        <w:t xml:space="preserve"> En sentencia C-66</w:t>
      </w:r>
      <w:r w:rsidRPr="003A1844">
        <w:rPr>
          <w:rFonts w:ascii="Verdana" w:hAnsi="Verdana" w:cs="Arial"/>
          <w:sz w:val="16"/>
          <w:szCs w:val="22"/>
        </w:rPr>
        <w:t xml:space="preserve">5 de 2000, la Corte Constitucional se pronunció, así: </w:t>
      </w:r>
      <w:r w:rsidRPr="003A1844">
        <w:rPr>
          <w:rFonts w:ascii="Verdana" w:hAnsi="Verdana" w:cs="Arial"/>
          <w:sz w:val="16"/>
          <w:szCs w:val="22"/>
          <w:lang w:val="es-ES_tradnl"/>
        </w:rPr>
        <w:t>“</w:t>
      </w:r>
      <w:r w:rsidRPr="003A1844">
        <w:rPr>
          <w:rFonts w:ascii="Verdana" w:hAnsi="Verdana" w:cs="Arial"/>
          <w:color w:val="000000"/>
          <w:sz w:val="16"/>
          <w:szCs w:val="22"/>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3A1844">
        <w:rPr>
          <w:rFonts w:ascii="Verdana" w:hAnsi="Verdana" w:cs="Arial"/>
          <w:sz w:val="16"/>
          <w:szCs w:val="22"/>
          <w:lang w:val="es-ES_tradnl"/>
        </w:rPr>
        <w:t>”</w:t>
      </w:r>
      <w:r>
        <w:rPr>
          <w:rFonts w:ascii="Verdana" w:hAnsi="Verdana" w:cs="Arial"/>
          <w:color w:val="000000"/>
          <w:sz w:val="16"/>
          <w:szCs w:val="22"/>
        </w:rPr>
        <w:t xml:space="preserve"> (Corte Constitucional. Sentencia C-665 de 2000. M.P. José Gregorio Hernández Galindo)</w:t>
      </w:r>
    </w:p>
    <w:p w14:paraId="7994FF9F" w14:textId="77777777" w:rsidR="00224EF8" w:rsidRPr="003A1844" w:rsidRDefault="00224EF8" w:rsidP="00224EF8">
      <w:pPr>
        <w:pStyle w:val="Textonotapie"/>
        <w:ind w:firstLine="709"/>
        <w:jc w:val="both"/>
        <w:rPr>
          <w:rFonts w:ascii="Verdana" w:hAnsi="Verdana" w:cs="Arial"/>
          <w:sz w:val="16"/>
          <w:szCs w:val="22"/>
        </w:rPr>
      </w:pPr>
    </w:p>
  </w:footnote>
  <w:footnote w:id="9">
    <w:p w14:paraId="641F7FA7" w14:textId="77777777" w:rsidR="00224EF8" w:rsidRPr="00FD7E2D" w:rsidRDefault="00224EF8" w:rsidP="00224EF8">
      <w:pPr>
        <w:pStyle w:val="Textonotapie"/>
        <w:ind w:firstLine="708"/>
        <w:jc w:val="both"/>
        <w:rPr>
          <w:rFonts w:ascii="Verdana" w:hAnsi="Verdana" w:cs="Arial"/>
          <w:color w:val="000000" w:themeColor="text1"/>
          <w:sz w:val="16"/>
          <w:szCs w:val="22"/>
          <w:lang w:val="es-CO"/>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Consejo de Estado. Sala de Consulta y Servicio Civil. Concepto del 27 de agosto de 1998, radicación No. 1.127, M.P. Javier Henao Hidrón; y </w:t>
      </w:r>
      <w:r w:rsidRPr="003A1844">
        <w:rPr>
          <w:rFonts w:ascii="Verdana" w:hAnsi="Verdana" w:cs="Arial"/>
          <w:color w:val="000000" w:themeColor="text1"/>
          <w:sz w:val="16"/>
          <w:szCs w:val="22"/>
          <w:lang w:val="es-CO"/>
        </w:rPr>
        <w:t>concepto del 6 de abril de 2000. Radicación No. 1.263, M.P. Flavio Augusto Rodriguez Arce</w:t>
      </w:r>
    </w:p>
  </w:footnote>
  <w:footnote w:id="10">
    <w:p w14:paraId="2771247A" w14:textId="77777777" w:rsidR="00224EF8" w:rsidRPr="003A1844" w:rsidRDefault="00224EF8" w:rsidP="00224EF8">
      <w:pPr>
        <w:pStyle w:val="Textonotapie"/>
        <w:ind w:firstLine="709"/>
        <w:jc w:val="both"/>
        <w:rPr>
          <w:rFonts w:ascii="Verdana" w:hAnsi="Verdana" w:cs="Arial"/>
          <w:color w:val="000000" w:themeColor="text1"/>
          <w:sz w:val="16"/>
          <w:szCs w:val="22"/>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Ministerio de Salud y la Protección Social. Concepto del 16 de agosto de 2019. Expediente No. 201942301304712. </w:t>
      </w:r>
    </w:p>
  </w:footnote>
  <w:footnote w:id="11">
    <w:p w14:paraId="3A912AFF" w14:textId="77777777" w:rsidR="00224EF8" w:rsidRPr="00FD7E2D" w:rsidRDefault="00224EF8" w:rsidP="00224EF8">
      <w:pPr>
        <w:pStyle w:val="Textonotapie"/>
        <w:ind w:firstLine="709"/>
        <w:jc w:val="both"/>
        <w:rPr>
          <w:rFonts w:ascii="Verdana" w:hAnsi="Verdana" w:cs="Arial"/>
          <w:color w:val="000000" w:themeColor="text1"/>
          <w:sz w:val="16"/>
          <w:szCs w:val="22"/>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CONSEJO DE ESTADO. Sección Tercera. Subsección A. Sentencia del 24 de octubre de 2016. Exp. 45.607. C.P. Marta Nubia Velásquez Rico.</w:t>
      </w:r>
    </w:p>
  </w:footnote>
  <w:footnote w:id="12">
    <w:p w14:paraId="6E2B47D5" w14:textId="77777777" w:rsidR="00224EF8" w:rsidRPr="003A1844" w:rsidRDefault="00224EF8" w:rsidP="00224EF8">
      <w:pPr>
        <w:pStyle w:val="Textonotapie"/>
        <w:ind w:firstLine="708"/>
        <w:jc w:val="both"/>
        <w:rPr>
          <w:rFonts w:ascii="Verdana" w:hAnsi="Verdana" w:cs="Arial"/>
          <w:color w:val="000000" w:themeColor="text1"/>
          <w:sz w:val="16"/>
          <w:szCs w:val="22"/>
        </w:rPr>
      </w:pPr>
      <w:r w:rsidRPr="003A1844">
        <w:rPr>
          <w:rStyle w:val="Refdenotaalpie"/>
          <w:rFonts w:ascii="Verdana" w:hAnsi="Verdana" w:cs="Arial"/>
          <w:color w:val="000000" w:themeColor="text1"/>
          <w:sz w:val="16"/>
          <w:szCs w:val="22"/>
        </w:rPr>
        <w:footnoteRef/>
      </w:r>
      <w:r w:rsidRPr="003A1844">
        <w:rPr>
          <w:rFonts w:ascii="Verdana" w:hAnsi="Verdana" w:cs="Arial"/>
          <w:color w:val="000000" w:themeColor="text1"/>
          <w:sz w:val="16"/>
          <w:szCs w:val="22"/>
        </w:rPr>
        <w:t xml:space="preserve"> HINESTROSA FORERO, Fernando. Tratado de las Obligaciones II. De las fuentes de las obligaciones: el negocio jurídico. Volumen I. Bogotá: Universidad Externado de Colombia, 2015. p. 116.  </w:t>
      </w:r>
    </w:p>
  </w:footnote>
  <w:footnote w:id="13">
    <w:p w14:paraId="0D6FB65C" w14:textId="77777777" w:rsidR="00224EF8" w:rsidRPr="003A1844" w:rsidRDefault="00224EF8" w:rsidP="00224EF8">
      <w:pPr>
        <w:pStyle w:val="Textonotapie"/>
        <w:ind w:firstLine="708"/>
        <w:jc w:val="both"/>
        <w:rPr>
          <w:rFonts w:ascii="Verdana" w:hAnsi="Verdana" w:cs="Arial"/>
          <w:sz w:val="16"/>
          <w:szCs w:val="22"/>
        </w:rPr>
      </w:pPr>
      <w:r w:rsidRPr="003A1844">
        <w:rPr>
          <w:rStyle w:val="Refdenotaalpie"/>
          <w:rFonts w:ascii="Verdana" w:hAnsi="Verdana" w:cs="Arial"/>
          <w:sz w:val="16"/>
          <w:szCs w:val="22"/>
        </w:rPr>
        <w:footnoteRef/>
      </w:r>
      <w:r w:rsidRPr="003A1844">
        <w:rPr>
          <w:rFonts w:ascii="Verdana" w:hAnsi="Verdana" w:cs="Arial"/>
          <w:sz w:val="16"/>
          <w:szCs w:val="22"/>
        </w:rPr>
        <w:t xml:space="preserve"> Cfr. Colombia Compra Eficiente. Subdirección de Gestión Contractual. Concep</w:t>
      </w:r>
      <w:r>
        <w:rPr>
          <w:rFonts w:ascii="Verdana" w:hAnsi="Verdana" w:cs="Arial"/>
          <w:sz w:val="16"/>
          <w:szCs w:val="22"/>
        </w:rPr>
        <w:t>to C-362 del 3 de julio de 2020.</w:t>
      </w:r>
      <w:r w:rsidRPr="003A1844">
        <w:rPr>
          <w:rFonts w:ascii="Verdana" w:hAnsi="Verdana" w:cs="Arial"/>
          <w:sz w:val="16"/>
          <w:szCs w:val="22"/>
        </w:rPr>
        <w:t xml:space="preserve"> Pág. 9.</w:t>
      </w:r>
    </w:p>
  </w:footnote>
  <w:footnote w:id="14">
    <w:p w14:paraId="11B3A431" w14:textId="77777777" w:rsidR="00224EF8" w:rsidRPr="003A1844" w:rsidRDefault="00224EF8" w:rsidP="00224EF8">
      <w:pPr>
        <w:spacing w:after="0" w:line="240" w:lineRule="auto"/>
        <w:ind w:firstLine="708"/>
        <w:jc w:val="both"/>
        <w:rPr>
          <w:rFonts w:ascii="Verdana" w:hAnsi="Verdana" w:cs="Arial"/>
          <w:sz w:val="16"/>
        </w:rPr>
      </w:pPr>
      <w:r w:rsidRPr="003A1844">
        <w:rPr>
          <w:rStyle w:val="Refdenotaalpie"/>
          <w:rFonts w:ascii="Verdana" w:hAnsi="Verdana" w:cs="Arial"/>
          <w:sz w:val="16"/>
        </w:rPr>
        <w:footnoteRef/>
      </w:r>
      <w:r w:rsidRPr="003A1844">
        <w:rPr>
          <w:rFonts w:ascii="Verdana" w:hAnsi="Verdana" w:cs="Arial"/>
          <w:sz w:val="16"/>
        </w:rPr>
        <w:t xml:space="preserve"> “La</w:t>
      </w:r>
      <w:r w:rsidRPr="003A1844">
        <w:rPr>
          <w:rFonts w:ascii="Verdana" w:hAnsi="Verdana" w:cs="Arial"/>
          <w:spacing w:val="-12"/>
          <w:sz w:val="16"/>
        </w:rPr>
        <w:t xml:space="preserve"> </w:t>
      </w:r>
      <w:r w:rsidRPr="003A1844">
        <w:rPr>
          <w:rFonts w:ascii="Verdana" w:hAnsi="Verdana" w:cs="Arial"/>
          <w:sz w:val="16"/>
        </w:rPr>
        <w:t>fuerza</w:t>
      </w:r>
      <w:r w:rsidRPr="003A1844">
        <w:rPr>
          <w:rFonts w:ascii="Verdana" w:hAnsi="Verdana" w:cs="Arial"/>
          <w:spacing w:val="-12"/>
          <w:sz w:val="16"/>
        </w:rPr>
        <w:t xml:space="preserve"> </w:t>
      </w:r>
      <w:r w:rsidRPr="003A1844">
        <w:rPr>
          <w:rFonts w:ascii="Verdana" w:hAnsi="Verdana" w:cs="Arial"/>
          <w:sz w:val="16"/>
        </w:rPr>
        <w:t>vinculante</w:t>
      </w:r>
      <w:r w:rsidRPr="003A1844">
        <w:rPr>
          <w:rFonts w:ascii="Verdana" w:hAnsi="Verdana" w:cs="Arial"/>
          <w:spacing w:val="-12"/>
          <w:sz w:val="16"/>
        </w:rPr>
        <w:t xml:space="preserve"> </w:t>
      </w:r>
      <w:r w:rsidRPr="003A1844">
        <w:rPr>
          <w:rFonts w:ascii="Verdana" w:hAnsi="Verdana" w:cs="Arial"/>
          <w:sz w:val="16"/>
        </w:rPr>
        <w:t>de</w:t>
      </w:r>
      <w:r w:rsidRPr="003A1844">
        <w:rPr>
          <w:rFonts w:ascii="Verdana" w:hAnsi="Verdana" w:cs="Arial"/>
          <w:spacing w:val="-11"/>
          <w:sz w:val="16"/>
        </w:rPr>
        <w:t xml:space="preserve"> </w:t>
      </w:r>
      <w:r w:rsidRPr="003A1844">
        <w:rPr>
          <w:rFonts w:ascii="Verdana" w:hAnsi="Verdana" w:cs="Arial"/>
          <w:sz w:val="16"/>
        </w:rPr>
        <w:t>los</w:t>
      </w:r>
      <w:r w:rsidRPr="003A1844">
        <w:rPr>
          <w:rFonts w:ascii="Verdana" w:hAnsi="Verdana" w:cs="Arial"/>
          <w:spacing w:val="-12"/>
          <w:sz w:val="16"/>
        </w:rPr>
        <w:t xml:space="preserve"> </w:t>
      </w:r>
      <w:r w:rsidRPr="003A1844">
        <w:rPr>
          <w:rFonts w:ascii="Verdana" w:hAnsi="Verdana" w:cs="Arial"/>
          <w:sz w:val="16"/>
        </w:rPr>
        <w:t>reglamentos</w:t>
      </w:r>
      <w:r w:rsidRPr="003A1844">
        <w:rPr>
          <w:rFonts w:ascii="Verdana" w:hAnsi="Verdana" w:cs="Arial"/>
          <w:spacing w:val="-12"/>
          <w:sz w:val="16"/>
        </w:rPr>
        <w:t xml:space="preserve"> </w:t>
      </w:r>
      <w:r w:rsidRPr="003A1844">
        <w:rPr>
          <w:rFonts w:ascii="Verdana" w:hAnsi="Verdana" w:cs="Arial"/>
          <w:sz w:val="16"/>
        </w:rPr>
        <w:t>–tanto</w:t>
      </w:r>
      <w:r w:rsidRPr="003A1844">
        <w:rPr>
          <w:rFonts w:ascii="Verdana" w:hAnsi="Verdana" w:cs="Arial"/>
          <w:spacing w:val="-12"/>
          <w:sz w:val="16"/>
        </w:rPr>
        <w:t xml:space="preserve"> </w:t>
      </w:r>
      <w:r w:rsidRPr="003A1844">
        <w:rPr>
          <w:rFonts w:ascii="Verdana" w:hAnsi="Verdana" w:cs="Arial"/>
          <w:sz w:val="16"/>
        </w:rPr>
        <w:t>para</w:t>
      </w:r>
      <w:r w:rsidRPr="003A1844">
        <w:rPr>
          <w:rFonts w:ascii="Verdana" w:hAnsi="Verdana" w:cs="Arial"/>
          <w:spacing w:val="-12"/>
          <w:sz w:val="16"/>
        </w:rPr>
        <w:t xml:space="preserve"> </w:t>
      </w:r>
      <w:r w:rsidRPr="003A1844">
        <w:rPr>
          <w:rFonts w:ascii="Verdana" w:hAnsi="Verdana" w:cs="Arial"/>
          <w:sz w:val="16"/>
        </w:rPr>
        <w:t>los</w:t>
      </w:r>
      <w:r w:rsidRPr="003A1844">
        <w:rPr>
          <w:rFonts w:ascii="Verdana" w:hAnsi="Verdana" w:cs="Arial"/>
          <w:spacing w:val="-11"/>
          <w:sz w:val="16"/>
        </w:rPr>
        <w:t xml:space="preserve"> </w:t>
      </w:r>
      <w:r w:rsidRPr="003A1844">
        <w:rPr>
          <w:rFonts w:ascii="Verdana" w:hAnsi="Verdana" w:cs="Arial"/>
          <w:sz w:val="16"/>
        </w:rPr>
        <w:t>administrados</w:t>
      </w:r>
      <w:r w:rsidRPr="003A1844">
        <w:rPr>
          <w:rFonts w:ascii="Verdana" w:hAnsi="Verdana" w:cs="Arial"/>
          <w:spacing w:val="-12"/>
          <w:sz w:val="16"/>
        </w:rPr>
        <w:t xml:space="preserve"> </w:t>
      </w:r>
      <w:r w:rsidRPr="003A1844">
        <w:rPr>
          <w:rFonts w:ascii="Verdana" w:hAnsi="Verdana" w:cs="Arial"/>
          <w:sz w:val="16"/>
        </w:rPr>
        <w:t>como</w:t>
      </w:r>
      <w:r w:rsidRPr="003A1844">
        <w:rPr>
          <w:rFonts w:ascii="Verdana" w:hAnsi="Verdana" w:cs="Arial"/>
          <w:spacing w:val="-12"/>
          <w:sz w:val="16"/>
        </w:rPr>
        <w:t xml:space="preserve"> </w:t>
      </w:r>
      <w:r w:rsidRPr="003A1844">
        <w:rPr>
          <w:rFonts w:ascii="Verdana" w:hAnsi="Verdana" w:cs="Arial"/>
          <w:sz w:val="16"/>
        </w:rPr>
        <w:t>para</w:t>
      </w:r>
      <w:r w:rsidRPr="003A1844">
        <w:rPr>
          <w:rFonts w:ascii="Verdana" w:hAnsi="Verdana" w:cs="Arial"/>
          <w:spacing w:val="-12"/>
          <w:sz w:val="16"/>
        </w:rPr>
        <w:t xml:space="preserve"> </w:t>
      </w:r>
      <w:r w:rsidRPr="003A1844">
        <w:rPr>
          <w:rFonts w:ascii="Verdana" w:hAnsi="Verdana" w:cs="Arial"/>
          <w:sz w:val="16"/>
        </w:rPr>
        <w:t>la</w:t>
      </w:r>
      <w:r w:rsidRPr="003A1844">
        <w:rPr>
          <w:rFonts w:ascii="Verdana" w:hAnsi="Verdana" w:cs="Arial"/>
          <w:spacing w:val="-12"/>
          <w:sz w:val="16"/>
        </w:rPr>
        <w:t xml:space="preserve"> </w:t>
      </w:r>
      <w:r w:rsidRPr="003A1844">
        <w:rPr>
          <w:rFonts w:ascii="Verdana" w:hAnsi="Verdana" w:cs="Arial"/>
          <w:sz w:val="16"/>
        </w:rPr>
        <w:t>propia</w:t>
      </w:r>
      <w:r w:rsidRPr="003A1844">
        <w:rPr>
          <w:rFonts w:ascii="Verdana" w:hAnsi="Verdana" w:cs="Arial"/>
          <w:spacing w:val="-50"/>
          <w:sz w:val="16"/>
        </w:rPr>
        <w:t xml:space="preserve"> </w:t>
      </w:r>
      <w:r w:rsidRPr="003A1844">
        <w:rPr>
          <w:rFonts w:ascii="Verdana" w:hAnsi="Verdana" w:cs="Arial"/>
          <w:sz w:val="16"/>
        </w:rPr>
        <w:t>administración– surge del hecho de ser una norma jurídica, y de compartir la naturaleza del acto</w:t>
      </w:r>
      <w:r w:rsidRPr="003A1844">
        <w:rPr>
          <w:rFonts w:ascii="Verdana" w:hAnsi="Verdana" w:cs="Arial"/>
          <w:spacing w:val="1"/>
          <w:sz w:val="16"/>
        </w:rPr>
        <w:t xml:space="preserve"> </w:t>
      </w:r>
      <w:r w:rsidRPr="003A1844">
        <w:rPr>
          <w:rFonts w:ascii="Verdana" w:hAnsi="Verdana" w:cs="Arial"/>
          <w:sz w:val="16"/>
        </w:rPr>
        <w:t>administrativo,</w:t>
      </w:r>
      <w:r w:rsidRPr="003A1844">
        <w:rPr>
          <w:rFonts w:ascii="Verdana" w:hAnsi="Verdana" w:cs="Arial"/>
          <w:spacing w:val="-4"/>
          <w:sz w:val="16"/>
        </w:rPr>
        <w:t xml:space="preserve"> </w:t>
      </w:r>
      <w:r w:rsidRPr="003A1844">
        <w:rPr>
          <w:rFonts w:ascii="Verdana" w:hAnsi="Verdana" w:cs="Arial"/>
          <w:sz w:val="16"/>
        </w:rPr>
        <w:t>luego,</w:t>
      </w:r>
      <w:r w:rsidRPr="003A1844">
        <w:rPr>
          <w:rFonts w:ascii="Verdana" w:hAnsi="Verdana" w:cs="Arial"/>
          <w:spacing w:val="-4"/>
          <w:sz w:val="16"/>
        </w:rPr>
        <w:t xml:space="preserve"> </w:t>
      </w:r>
      <w:r w:rsidRPr="003A1844">
        <w:rPr>
          <w:rFonts w:ascii="Verdana" w:hAnsi="Verdana" w:cs="Arial"/>
          <w:sz w:val="16"/>
        </w:rPr>
        <w:t>de</w:t>
      </w:r>
      <w:r w:rsidRPr="003A1844">
        <w:rPr>
          <w:rFonts w:ascii="Verdana" w:hAnsi="Verdana" w:cs="Arial"/>
          <w:spacing w:val="-4"/>
          <w:sz w:val="16"/>
        </w:rPr>
        <w:t xml:space="preserve"> </w:t>
      </w:r>
      <w:r w:rsidRPr="003A1844">
        <w:rPr>
          <w:rFonts w:ascii="Verdana" w:hAnsi="Verdana" w:cs="Arial"/>
          <w:sz w:val="16"/>
        </w:rPr>
        <w:t>allí</w:t>
      </w:r>
      <w:r w:rsidRPr="003A1844">
        <w:rPr>
          <w:rFonts w:ascii="Verdana" w:hAnsi="Verdana" w:cs="Arial"/>
          <w:spacing w:val="-4"/>
          <w:sz w:val="16"/>
        </w:rPr>
        <w:t xml:space="preserve"> </w:t>
      </w:r>
      <w:r w:rsidRPr="003A1844">
        <w:rPr>
          <w:rFonts w:ascii="Verdana" w:hAnsi="Verdana" w:cs="Arial"/>
          <w:sz w:val="16"/>
        </w:rPr>
        <w:t>también</w:t>
      </w:r>
      <w:r w:rsidRPr="003A1844">
        <w:rPr>
          <w:rFonts w:ascii="Verdana" w:hAnsi="Verdana" w:cs="Arial"/>
          <w:spacing w:val="-4"/>
          <w:sz w:val="16"/>
        </w:rPr>
        <w:t xml:space="preserve"> </w:t>
      </w:r>
      <w:r w:rsidRPr="003A1844">
        <w:rPr>
          <w:rFonts w:ascii="Verdana" w:hAnsi="Verdana" w:cs="Arial"/>
          <w:sz w:val="16"/>
        </w:rPr>
        <w:t>se</w:t>
      </w:r>
      <w:r w:rsidRPr="003A1844">
        <w:rPr>
          <w:rFonts w:ascii="Verdana" w:hAnsi="Verdana" w:cs="Arial"/>
          <w:spacing w:val="-4"/>
          <w:sz w:val="16"/>
        </w:rPr>
        <w:t xml:space="preserve"> </w:t>
      </w:r>
      <w:r w:rsidRPr="003A1844">
        <w:rPr>
          <w:rFonts w:ascii="Verdana" w:hAnsi="Verdana" w:cs="Arial"/>
          <w:sz w:val="16"/>
        </w:rPr>
        <w:t>desprende</w:t>
      </w:r>
      <w:r w:rsidRPr="003A1844">
        <w:rPr>
          <w:rFonts w:ascii="Verdana" w:hAnsi="Verdana" w:cs="Arial"/>
          <w:spacing w:val="-4"/>
          <w:sz w:val="16"/>
        </w:rPr>
        <w:t xml:space="preserve"> </w:t>
      </w:r>
      <w:r w:rsidRPr="003A1844">
        <w:rPr>
          <w:rFonts w:ascii="Verdana" w:hAnsi="Verdana" w:cs="Arial"/>
          <w:sz w:val="16"/>
        </w:rPr>
        <w:t>que</w:t>
      </w:r>
      <w:r w:rsidRPr="003A1844">
        <w:rPr>
          <w:rFonts w:ascii="Verdana" w:hAnsi="Verdana" w:cs="Arial"/>
          <w:spacing w:val="-3"/>
          <w:sz w:val="16"/>
        </w:rPr>
        <w:t xml:space="preserve"> </w:t>
      </w:r>
      <w:r w:rsidRPr="003A1844">
        <w:rPr>
          <w:rFonts w:ascii="Verdana" w:hAnsi="Verdana" w:cs="Arial"/>
          <w:sz w:val="16"/>
        </w:rPr>
        <w:t>se</w:t>
      </w:r>
      <w:r w:rsidRPr="003A1844">
        <w:rPr>
          <w:rFonts w:ascii="Verdana" w:hAnsi="Verdana" w:cs="Arial"/>
          <w:spacing w:val="-4"/>
          <w:sz w:val="16"/>
        </w:rPr>
        <w:t xml:space="preserve"> </w:t>
      </w:r>
      <w:r w:rsidRPr="003A1844">
        <w:rPr>
          <w:rFonts w:ascii="Verdana" w:hAnsi="Verdana" w:cs="Arial"/>
          <w:sz w:val="16"/>
        </w:rPr>
        <w:t>presuman</w:t>
      </w:r>
      <w:r w:rsidRPr="003A1844">
        <w:rPr>
          <w:rFonts w:ascii="Verdana" w:hAnsi="Verdana" w:cs="Arial"/>
          <w:spacing w:val="-4"/>
          <w:sz w:val="16"/>
        </w:rPr>
        <w:t xml:space="preserve"> </w:t>
      </w:r>
      <w:r w:rsidRPr="003A1844">
        <w:rPr>
          <w:rFonts w:ascii="Verdana" w:hAnsi="Verdana" w:cs="Arial"/>
          <w:sz w:val="16"/>
        </w:rPr>
        <w:t>legales</w:t>
      </w:r>
      <w:r w:rsidRPr="003A1844">
        <w:rPr>
          <w:rFonts w:ascii="Verdana" w:hAnsi="Verdana" w:cs="Arial"/>
          <w:spacing w:val="-4"/>
          <w:sz w:val="16"/>
        </w:rPr>
        <w:t xml:space="preserve"> </w:t>
      </w:r>
      <w:r w:rsidRPr="003A1844">
        <w:rPr>
          <w:rFonts w:ascii="Verdana" w:hAnsi="Verdana" w:cs="Arial"/>
          <w:sz w:val="16"/>
        </w:rPr>
        <w:t>y</w:t>
      </w:r>
      <w:r w:rsidRPr="003A1844">
        <w:rPr>
          <w:rFonts w:ascii="Verdana" w:hAnsi="Verdana" w:cs="Arial"/>
          <w:spacing w:val="-4"/>
          <w:sz w:val="16"/>
        </w:rPr>
        <w:t xml:space="preserve"> </w:t>
      </w:r>
      <w:r w:rsidRPr="003A1844">
        <w:rPr>
          <w:rFonts w:ascii="Verdana" w:hAnsi="Verdana" w:cs="Arial"/>
          <w:sz w:val="16"/>
        </w:rPr>
        <w:t>sean</w:t>
      </w:r>
      <w:r w:rsidRPr="003A1844">
        <w:rPr>
          <w:rFonts w:ascii="Verdana" w:hAnsi="Verdana" w:cs="Arial"/>
          <w:spacing w:val="-4"/>
          <w:sz w:val="16"/>
        </w:rPr>
        <w:t xml:space="preserve"> </w:t>
      </w:r>
      <w:r w:rsidRPr="003A1844">
        <w:rPr>
          <w:rFonts w:ascii="Verdana" w:hAnsi="Verdana" w:cs="Arial"/>
          <w:sz w:val="16"/>
        </w:rPr>
        <w:t>ejecutorios.</w:t>
      </w:r>
    </w:p>
    <w:p w14:paraId="33AEAB31" w14:textId="77777777" w:rsidR="00224EF8" w:rsidRPr="003A1844" w:rsidRDefault="00224EF8" w:rsidP="00224EF8">
      <w:pPr>
        <w:spacing w:after="0" w:line="240" w:lineRule="auto"/>
        <w:ind w:firstLine="708"/>
        <w:jc w:val="both"/>
        <w:rPr>
          <w:rFonts w:ascii="Verdana" w:hAnsi="Verdana" w:cs="Arial"/>
          <w:sz w:val="16"/>
        </w:rPr>
      </w:pPr>
      <w:r w:rsidRPr="003A1844">
        <w:rPr>
          <w:rFonts w:ascii="Verdana" w:hAnsi="Verdana" w:cs="Arial"/>
          <w:sz w:val="16"/>
        </w:rPr>
        <w:t>Por esta misma razón, la doctrina española –con especial fuerza– ha señalado que su</w:t>
      </w:r>
      <w:r w:rsidRPr="003A1844">
        <w:rPr>
          <w:rFonts w:ascii="Verdana" w:hAnsi="Verdana" w:cs="Arial"/>
          <w:spacing w:val="1"/>
          <w:sz w:val="16"/>
        </w:rPr>
        <w:t xml:space="preserve"> </w:t>
      </w:r>
      <w:r w:rsidRPr="003A1844">
        <w:rPr>
          <w:rFonts w:ascii="Verdana" w:hAnsi="Verdana" w:cs="Arial"/>
          <w:sz w:val="16"/>
        </w:rPr>
        <w:t>observancia</w:t>
      </w:r>
      <w:r w:rsidRPr="003A1844">
        <w:rPr>
          <w:rFonts w:ascii="Verdana" w:hAnsi="Verdana" w:cs="Arial"/>
          <w:spacing w:val="-5"/>
          <w:sz w:val="16"/>
        </w:rPr>
        <w:t xml:space="preserve"> </w:t>
      </w:r>
      <w:r w:rsidRPr="003A1844">
        <w:rPr>
          <w:rFonts w:ascii="Verdana" w:hAnsi="Verdana" w:cs="Arial"/>
          <w:sz w:val="16"/>
        </w:rPr>
        <w:t>no</w:t>
      </w:r>
      <w:r w:rsidRPr="003A1844">
        <w:rPr>
          <w:rFonts w:ascii="Verdana" w:hAnsi="Verdana" w:cs="Arial"/>
          <w:spacing w:val="-4"/>
          <w:sz w:val="16"/>
        </w:rPr>
        <w:t xml:space="preserve"> </w:t>
      </w:r>
      <w:r w:rsidRPr="003A1844">
        <w:rPr>
          <w:rFonts w:ascii="Verdana" w:hAnsi="Verdana" w:cs="Arial"/>
          <w:sz w:val="16"/>
        </w:rPr>
        <w:t>queda</w:t>
      </w:r>
      <w:r w:rsidRPr="003A1844">
        <w:rPr>
          <w:rFonts w:ascii="Verdana" w:hAnsi="Verdana" w:cs="Arial"/>
          <w:spacing w:val="-5"/>
          <w:sz w:val="16"/>
        </w:rPr>
        <w:t xml:space="preserve"> </w:t>
      </w:r>
      <w:r w:rsidRPr="003A1844">
        <w:rPr>
          <w:rFonts w:ascii="Verdana" w:hAnsi="Verdana" w:cs="Arial"/>
          <w:sz w:val="16"/>
        </w:rPr>
        <w:t>al</w:t>
      </w:r>
      <w:r w:rsidRPr="003A1844">
        <w:rPr>
          <w:rFonts w:ascii="Verdana" w:hAnsi="Verdana" w:cs="Arial"/>
          <w:spacing w:val="-4"/>
          <w:sz w:val="16"/>
        </w:rPr>
        <w:t xml:space="preserve"> </w:t>
      </w:r>
      <w:r w:rsidRPr="003A1844">
        <w:rPr>
          <w:rFonts w:ascii="Verdana" w:hAnsi="Verdana" w:cs="Arial"/>
          <w:sz w:val="16"/>
        </w:rPr>
        <w:t>capricho</w:t>
      </w:r>
      <w:r w:rsidRPr="003A1844">
        <w:rPr>
          <w:rFonts w:ascii="Verdana" w:hAnsi="Verdana" w:cs="Arial"/>
          <w:spacing w:val="-5"/>
          <w:sz w:val="16"/>
        </w:rPr>
        <w:t xml:space="preserve"> </w:t>
      </w:r>
      <w:r w:rsidRPr="003A1844">
        <w:rPr>
          <w:rFonts w:ascii="Verdana" w:hAnsi="Verdana" w:cs="Arial"/>
          <w:sz w:val="16"/>
        </w:rPr>
        <w:t>del</w:t>
      </w:r>
      <w:r w:rsidRPr="003A1844">
        <w:rPr>
          <w:rFonts w:ascii="Verdana" w:hAnsi="Verdana" w:cs="Arial"/>
          <w:spacing w:val="-4"/>
          <w:sz w:val="16"/>
        </w:rPr>
        <w:t xml:space="preserve"> </w:t>
      </w:r>
      <w:r w:rsidRPr="003A1844">
        <w:rPr>
          <w:rFonts w:ascii="Verdana" w:hAnsi="Verdana" w:cs="Arial"/>
          <w:sz w:val="16"/>
        </w:rPr>
        <w:t>órgano</w:t>
      </w:r>
      <w:r w:rsidRPr="003A1844">
        <w:rPr>
          <w:rFonts w:ascii="Verdana" w:hAnsi="Verdana" w:cs="Arial"/>
          <w:spacing w:val="-5"/>
          <w:sz w:val="16"/>
        </w:rPr>
        <w:t xml:space="preserve"> </w:t>
      </w:r>
      <w:r w:rsidRPr="003A1844">
        <w:rPr>
          <w:rFonts w:ascii="Verdana" w:hAnsi="Verdana" w:cs="Arial"/>
          <w:sz w:val="16"/>
        </w:rPr>
        <w:t>que</w:t>
      </w:r>
      <w:r w:rsidRPr="003A1844">
        <w:rPr>
          <w:rFonts w:ascii="Verdana" w:hAnsi="Verdana" w:cs="Arial"/>
          <w:spacing w:val="-4"/>
          <w:sz w:val="16"/>
        </w:rPr>
        <w:t xml:space="preserve"> </w:t>
      </w:r>
      <w:r w:rsidRPr="003A1844">
        <w:rPr>
          <w:rFonts w:ascii="Verdana" w:hAnsi="Verdana" w:cs="Arial"/>
          <w:sz w:val="16"/>
        </w:rPr>
        <w:t>la</w:t>
      </w:r>
      <w:r w:rsidRPr="003A1844">
        <w:rPr>
          <w:rFonts w:ascii="Verdana" w:hAnsi="Verdana" w:cs="Arial"/>
          <w:spacing w:val="-5"/>
          <w:sz w:val="16"/>
        </w:rPr>
        <w:t xml:space="preserve"> </w:t>
      </w:r>
      <w:r w:rsidRPr="003A1844">
        <w:rPr>
          <w:rFonts w:ascii="Verdana" w:hAnsi="Verdana" w:cs="Arial"/>
          <w:sz w:val="16"/>
        </w:rPr>
        <w:t>expidió,</w:t>
      </w:r>
      <w:r w:rsidRPr="003A1844">
        <w:rPr>
          <w:rFonts w:ascii="Verdana" w:hAnsi="Verdana" w:cs="Arial"/>
          <w:spacing w:val="-4"/>
          <w:sz w:val="16"/>
        </w:rPr>
        <w:t xml:space="preserve"> </w:t>
      </w:r>
      <w:r w:rsidRPr="003A1844">
        <w:rPr>
          <w:rFonts w:ascii="Verdana" w:hAnsi="Verdana" w:cs="Arial"/>
          <w:sz w:val="16"/>
        </w:rPr>
        <w:t>pues</w:t>
      </w:r>
      <w:r w:rsidRPr="003A1844">
        <w:rPr>
          <w:rFonts w:ascii="Verdana" w:hAnsi="Verdana" w:cs="Arial"/>
          <w:spacing w:val="-5"/>
          <w:sz w:val="16"/>
        </w:rPr>
        <w:t xml:space="preserve"> </w:t>
      </w:r>
      <w:r w:rsidRPr="003A1844">
        <w:rPr>
          <w:rFonts w:ascii="Verdana" w:hAnsi="Verdana" w:cs="Arial"/>
          <w:sz w:val="16"/>
        </w:rPr>
        <w:t>si</w:t>
      </w:r>
      <w:r w:rsidRPr="003A1844">
        <w:rPr>
          <w:rFonts w:ascii="Verdana" w:hAnsi="Verdana" w:cs="Arial"/>
          <w:spacing w:val="-4"/>
          <w:sz w:val="16"/>
        </w:rPr>
        <w:t xml:space="preserve"> </w:t>
      </w:r>
      <w:r w:rsidRPr="003A1844">
        <w:rPr>
          <w:rFonts w:ascii="Verdana" w:hAnsi="Verdana" w:cs="Arial"/>
          <w:sz w:val="16"/>
        </w:rPr>
        <w:t>quisiera</w:t>
      </w:r>
      <w:r w:rsidRPr="003A1844">
        <w:rPr>
          <w:rFonts w:ascii="Verdana" w:hAnsi="Verdana" w:cs="Arial"/>
          <w:spacing w:val="-5"/>
          <w:sz w:val="16"/>
        </w:rPr>
        <w:t xml:space="preserve"> </w:t>
      </w:r>
      <w:r w:rsidRPr="003A1844">
        <w:rPr>
          <w:rFonts w:ascii="Verdana" w:hAnsi="Verdana" w:cs="Arial"/>
          <w:sz w:val="16"/>
        </w:rPr>
        <w:t>él</w:t>
      </w:r>
      <w:r w:rsidRPr="003A1844">
        <w:rPr>
          <w:rFonts w:ascii="Verdana" w:hAnsi="Verdana" w:cs="Arial"/>
          <w:spacing w:val="-4"/>
          <w:sz w:val="16"/>
        </w:rPr>
        <w:t xml:space="preserve"> </w:t>
      </w:r>
      <w:r w:rsidRPr="003A1844">
        <w:rPr>
          <w:rFonts w:ascii="Verdana" w:hAnsi="Verdana" w:cs="Arial"/>
          <w:sz w:val="16"/>
        </w:rPr>
        <w:t>lo</w:t>
      </w:r>
      <w:r w:rsidRPr="003A1844">
        <w:rPr>
          <w:rFonts w:ascii="Verdana" w:hAnsi="Verdana" w:cs="Arial"/>
          <w:spacing w:val="-4"/>
          <w:sz w:val="16"/>
        </w:rPr>
        <w:t xml:space="preserve"> </w:t>
      </w:r>
      <w:r w:rsidRPr="003A1844">
        <w:rPr>
          <w:rFonts w:ascii="Verdana" w:hAnsi="Verdana" w:cs="Arial"/>
          <w:sz w:val="16"/>
        </w:rPr>
        <w:t>puede</w:t>
      </w:r>
      <w:r w:rsidRPr="003A1844">
        <w:rPr>
          <w:rFonts w:ascii="Verdana" w:hAnsi="Verdana" w:cs="Arial"/>
          <w:spacing w:val="-5"/>
          <w:sz w:val="16"/>
        </w:rPr>
        <w:t xml:space="preserve"> </w:t>
      </w:r>
      <w:r w:rsidRPr="003A1844">
        <w:rPr>
          <w:rFonts w:ascii="Verdana" w:hAnsi="Verdana" w:cs="Arial"/>
          <w:sz w:val="16"/>
        </w:rPr>
        <w:t>desconocer.</w:t>
      </w:r>
      <w:r w:rsidRPr="003A1844">
        <w:rPr>
          <w:rFonts w:ascii="Verdana" w:hAnsi="Verdana" w:cs="Arial"/>
          <w:spacing w:val="1"/>
          <w:sz w:val="16"/>
        </w:rPr>
        <w:t xml:space="preserve"> </w:t>
      </w:r>
      <w:r w:rsidRPr="003A1844">
        <w:rPr>
          <w:rFonts w:ascii="Verdana" w:hAnsi="Verdana" w:cs="Arial"/>
          <w:sz w:val="16"/>
        </w:rPr>
        <w:t>De algún modo, como acontece con todo acto administrativo, el acto cobra vida propia, y autonomía</w:t>
      </w:r>
      <w:r w:rsidRPr="003A1844">
        <w:rPr>
          <w:rFonts w:ascii="Verdana" w:hAnsi="Verdana" w:cs="Arial"/>
          <w:spacing w:val="1"/>
          <w:sz w:val="16"/>
        </w:rPr>
        <w:t xml:space="preserve"> </w:t>
      </w:r>
      <w:r w:rsidRPr="003A1844">
        <w:rPr>
          <w:rFonts w:ascii="Verdana" w:hAnsi="Verdana" w:cs="Arial"/>
          <w:sz w:val="16"/>
        </w:rPr>
        <w:t>en</w:t>
      </w:r>
      <w:r w:rsidRPr="003A1844">
        <w:rPr>
          <w:rFonts w:ascii="Verdana" w:hAnsi="Verdana" w:cs="Arial"/>
          <w:spacing w:val="-7"/>
          <w:sz w:val="16"/>
        </w:rPr>
        <w:t xml:space="preserve"> </w:t>
      </w:r>
      <w:r w:rsidRPr="003A1844">
        <w:rPr>
          <w:rFonts w:ascii="Verdana" w:hAnsi="Verdana" w:cs="Arial"/>
          <w:sz w:val="16"/>
        </w:rPr>
        <w:t>relación</w:t>
      </w:r>
      <w:r w:rsidRPr="003A1844">
        <w:rPr>
          <w:rFonts w:ascii="Verdana" w:hAnsi="Verdana" w:cs="Arial"/>
          <w:spacing w:val="-7"/>
          <w:sz w:val="16"/>
        </w:rPr>
        <w:t xml:space="preserve"> </w:t>
      </w:r>
      <w:r w:rsidRPr="003A1844">
        <w:rPr>
          <w:rFonts w:ascii="Verdana" w:hAnsi="Verdana" w:cs="Arial"/>
          <w:sz w:val="16"/>
        </w:rPr>
        <w:t>con</w:t>
      </w:r>
      <w:r w:rsidRPr="003A1844">
        <w:rPr>
          <w:rFonts w:ascii="Verdana" w:hAnsi="Verdana" w:cs="Arial"/>
          <w:spacing w:val="-6"/>
          <w:sz w:val="16"/>
        </w:rPr>
        <w:t xml:space="preserve"> </w:t>
      </w:r>
      <w:r w:rsidRPr="003A1844">
        <w:rPr>
          <w:rFonts w:ascii="Verdana" w:hAnsi="Verdana" w:cs="Arial"/>
          <w:sz w:val="16"/>
        </w:rPr>
        <w:t>su</w:t>
      </w:r>
      <w:r w:rsidRPr="003A1844">
        <w:rPr>
          <w:rFonts w:ascii="Verdana" w:hAnsi="Verdana" w:cs="Arial"/>
          <w:spacing w:val="-7"/>
          <w:sz w:val="16"/>
        </w:rPr>
        <w:t xml:space="preserve"> </w:t>
      </w:r>
      <w:r w:rsidRPr="003A1844">
        <w:rPr>
          <w:rFonts w:ascii="Verdana" w:hAnsi="Verdana" w:cs="Arial"/>
          <w:sz w:val="16"/>
        </w:rPr>
        <w:t>propio</w:t>
      </w:r>
      <w:r w:rsidRPr="003A1844">
        <w:rPr>
          <w:rFonts w:ascii="Verdana" w:hAnsi="Verdana" w:cs="Arial"/>
          <w:spacing w:val="-7"/>
          <w:sz w:val="16"/>
        </w:rPr>
        <w:t xml:space="preserve"> </w:t>
      </w:r>
      <w:r w:rsidRPr="003A1844">
        <w:rPr>
          <w:rFonts w:ascii="Verdana" w:hAnsi="Verdana" w:cs="Arial"/>
          <w:sz w:val="16"/>
        </w:rPr>
        <w:t>creador.</w:t>
      </w:r>
      <w:r w:rsidRPr="003A1844">
        <w:rPr>
          <w:rFonts w:ascii="Verdana" w:hAnsi="Verdana" w:cs="Arial"/>
          <w:spacing w:val="-6"/>
          <w:sz w:val="16"/>
        </w:rPr>
        <w:t xml:space="preserve"> </w:t>
      </w:r>
      <w:r w:rsidRPr="003A1844">
        <w:rPr>
          <w:rFonts w:ascii="Verdana" w:hAnsi="Verdana" w:cs="Arial"/>
          <w:sz w:val="16"/>
        </w:rPr>
        <w:t>A</w:t>
      </w:r>
      <w:r w:rsidRPr="003A1844">
        <w:rPr>
          <w:rFonts w:ascii="Verdana" w:hAnsi="Verdana" w:cs="Arial"/>
          <w:spacing w:val="-7"/>
          <w:sz w:val="16"/>
        </w:rPr>
        <w:t xml:space="preserve"> </w:t>
      </w:r>
      <w:r w:rsidRPr="003A1844">
        <w:rPr>
          <w:rFonts w:ascii="Verdana" w:hAnsi="Verdana" w:cs="Arial"/>
          <w:sz w:val="16"/>
        </w:rPr>
        <w:t>este</w:t>
      </w:r>
      <w:r w:rsidRPr="003A1844">
        <w:rPr>
          <w:rFonts w:ascii="Verdana" w:hAnsi="Verdana" w:cs="Arial"/>
          <w:spacing w:val="-6"/>
          <w:sz w:val="16"/>
        </w:rPr>
        <w:t xml:space="preserve"> </w:t>
      </w:r>
      <w:r w:rsidRPr="003A1844">
        <w:rPr>
          <w:rFonts w:ascii="Verdana" w:hAnsi="Verdana" w:cs="Arial"/>
          <w:sz w:val="16"/>
        </w:rPr>
        <w:t>último</w:t>
      </w:r>
      <w:r w:rsidRPr="003A1844">
        <w:rPr>
          <w:rFonts w:ascii="Verdana" w:hAnsi="Verdana" w:cs="Arial"/>
          <w:spacing w:val="-7"/>
          <w:sz w:val="16"/>
        </w:rPr>
        <w:t xml:space="preserve"> </w:t>
      </w:r>
      <w:r w:rsidRPr="003A1844">
        <w:rPr>
          <w:rFonts w:ascii="Verdana" w:hAnsi="Verdana" w:cs="Arial"/>
          <w:sz w:val="16"/>
        </w:rPr>
        <w:t>evento</w:t>
      </w:r>
      <w:r w:rsidRPr="003A1844">
        <w:rPr>
          <w:rFonts w:ascii="Verdana" w:hAnsi="Verdana" w:cs="Arial"/>
          <w:spacing w:val="-7"/>
          <w:sz w:val="16"/>
        </w:rPr>
        <w:t xml:space="preserve"> </w:t>
      </w:r>
      <w:r w:rsidRPr="003A1844">
        <w:rPr>
          <w:rFonts w:ascii="Verdana" w:hAnsi="Verdana" w:cs="Arial"/>
          <w:sz w:val="16"/>
        </w:rPr>
        <w:t>se</w:t>
      </w:r>
      <w:r w:rsidRPr="003A1844">
        <w:rPr>
          <w:rFonts w:ascii="Verdana" w:hAnsi="Verdana" w:cs="Arial"/>
          <w:spacing w:val="-6"/>
          <w:sz w:val="16"/>
        </w:rPr>
        <w:t xml:space="preserve"> </w:t>
      </w:r>
      <w:r w:rsidRPr="003A1844">
        <w:rPr>
          <w:rFonts w:ascii="Verdana" w:hAnsi="Verdana" w:cs="Arial"/>
          <w:sz w:val="16"/>
        </w:rPr>
        <w:t>le</w:t>
      </w:r>
      <w:r w:rsidRPr="003A1844">
        <w:rPr>
          <w:rFonts w:ascii="Verdana" w:hAnsi="Verdana" w:cs="Arial"/>
          <w:spacing w:val="-7"/>
          <w:sz w:val="16"/>
        </w:rPr>
        <w:t xml:space="preserve"> </w:t>
      </w:r>
      <w:r w:rsidRPr="003A1844">
        <w:rPr>
          <w:rFonts w:ascii="Verdana" w:hAnsi="Verdana" w:cs="Arial"/>
          <w:sz w:val="16"/>
        </w:rPr>
        <w:t>denomina</w:t>
      </w:r>
      <w:r w:rsidRPr="003A1844">
        <w:rPr>
          <w:rFonts w:ascii="Verdana" w:hAnsi="Verdana" w:cs="Arial"/>
          <w:spacing w:val="-6"/>
          <w:sz w:val="16"/>
        </w:rPr>
        <w:t xml:space="preserve"> </w:t>
      </w:r>
      <w:r w:rsidRPr="003A1844">
        <w:rPr>
          <w:rFonts w:ascii="Verdana" w:hAnsi="Verdana" w:cs="Arial"/>
          <w:sz w:val="16"/>
        </w:rPr>
        <w:t>la</w:t>
      </w:r>
      <w:r w:rsidRPr="003A1844">
        <w:rPr>
          <w:rFonts w:ascii="Verdana" w:hAnsi="Verdana" w:cs="Arial"/>
          <w:spacing w:val="-6"/>
          <w:sz w:val="16"/>
        </w:rPr>
        <w:t xml:space="preserve"> </w:t>
      </w:r>
      <w:r w:rsidRPr="003A1844">
        <w:rPr>
          <w:rFonts w:ascii="Verdana" w:hAnsi="Verdana" w:cs="Arial"/>
          <w:sz w:val="16"/>
        </w:rPr>
        <w:t>inderogabilidad</w:t>
      </w:r>
      <w:r w:rsidRPr="003A1844">
        <w:rPr>
          <w:rFonts w:ascii="Verdana" w:hAnsi="Verdana" w:cs="Arial"/>
          <w:spacing w:val="-6"/>
          <w:sz w:val="16"/>
        </w:rPr>
        <w:t xml:space="preserve"> </w:t>
      </w:r>
      <w:r w:rsidRPr="003A1844">
        <w:rPr>
          <w:rFonts w:ascii="Verdana" w:hAnsi="Verdana" w:cs="Arial"/>
          <w:sz w:val="16"/>
        </w:rPr>
        <w:t>singular</w:t>
      </w:r>
      <w:r w:rsidRPr="003A1844">
        <w:rPr>
          <w:rFonts w:ascii="Verdana" w:hAnsi="Verdana" w:cs="Arial"/>
          <w:spacing w:val="-6"/>
          <w:sz w:val="16"/>
        </w:rPr>
        <w:t xml:space="preserve"> </w:t>
      </w:r>
      <w:r w:rsidRPr="003A1844">
        <w:rPr>
          <w:rFonts w:ascii="Verdana" w:hAnsi="Verdana" w:cs="Arial"/>
          <w:sz w:val="16"/>
        </w:rPr>
        <w:t>del</w:t>
      </w:r>
      <w:r w:rsidRPr="003A1844">
        <w:rPr>
          <w:rFonts w:ascii="Verdana" w:hAnsi="Verdana" w:cs="Arial"/>
          <w:spacing w:val="1"/>
          <w:sz w:val="16"/>
        </w:rPr>
        <w:t xml:space="preserve"> </w:t>
      </w:r>
      <w:r w:rsidRPr="003A1844">
        <w:rPr>
          <w:rFonts w:ascii="Verdana" w:hAnsi="Verdana" w:cs="Arial"/>
          <w:sz w:val="16"/>
        </w:rPr>
        <w:t>reglamento,</w:t>
      </w:r>
      <w:r w:rsidRPr="003A1844">
        <w:rPr>
          <w:rFonts w:ascii="Verdana" w:hAnsi="Verdana" w:cs="Arial"/>
          <w:spacing w:val="-3"/>
          <w:sz w:val="16"/>
        </w:rPr>
        <w:t xml:space="preserve"> </w:t>
      </w:r>
      <w:r w:rsidRPr="003A1844">
        <w:rPr>
          <w:rFonts w:ascii="Verdana" w:hAnsi="Verdana" w:cs="Arial"/>
          <w:sz w:val="16"/>
        </w:rPr>
        <w:t>que</w:t>
      </w:r>
      <w:r w:rsidRPr="003A1844">
        <w:rPr>
          <w:rFonts w:ascii="Verdana" w:hAnsi="Verdana" w:cs="Arial"/>
          <w:spacing w:val="-2"/>
          <w:sz w:val="16"/>
        </w:rPr>
        <w:t xml:space="preserve"> </w:t>
      </w:r>
      <w:r w:rsidRPr="003A1844">
        <w:rPr>
          <w:rFonts w:ascii="Verdana" w:hAnsi="Verdana" w:cs="Arial"/>
          <w:sz w:val="16"/>
        </w:rPr>
        <w:t>no</w:t>
      </w:r>
      <w:r w:rsidRPr="003A1844">
        <w:rPr>
          <w:rFonts w:ascii="Verdana" w:hAnsi="Verdana" w:cs="Arial"/>
          <w:spacing w:val="-2"/>
          <w:sz w:val="16"/>
        </w:rPr>
        <w:t xml:space="preserve"> </w:t>
      </w:r>
      <w:r w:rsidRPr="003A1844">
        <w:rPr>
          <w:rFonts w:ascii="Verdana" w:hAnsi="Verdana" w:cs="Arial"/>
          <w:sz w:val="16"/>
        </w:rPr>
        <w:t>es</w:t>
      </w:r>
      <w:r w:rsidRPr="003A1844">
        <w:rPr>
          <w:rFonts w:ascii="Verdana" w:hAnsi="Verdana" w:cs="Arial"/>
          <w:spacing w:val="-2"/>
          <w:sz w:val="16"/>
        </w:rPr>
        <w:t xml:space="preserve"> </w:t>
      </w:r>
      <w:r w:rsidRPr="003A1844">
        <w:rPr>
          <w:rFonts w:ascii="Verdana" w:hAnsi="Verdana" w:cs="Arial"/>
          <w:sz w:val="16"/>
        </w:rPr>
        <w:t>otra</w:t>
      </w:r>
      <w:r w:rsidRPr="003A1844">
        <w:rPr>
          <w:rFonts w:ascii="Verdana" w:hAnsi="Verdana" w:cs="Arial"/>
          <w:spacing w:val="-2"/>
          <w:sz w:val="16"/>
        </w:rPr>
        <w:t xml:space="preserve"> </w:t>
      </w:r>
      <w:r w:rsidRPr="003A1844">
        <w:rPr>
          <w:rFonts w:ascii="Verdana" w:hAnsi="Verdana" w:cs="Arial"/>
          <w:sz w:val="16"/>
        </w:rPr>
        <w:t>cosa</w:t>
      </w:r>
      <w:r w:rsidRPr="003A1844">
        <w:rPr>
          <w:rFonts w:ascii="Verdana" w:hAnsi="Verdana" w:cs="Arial"/>
          <w:spacing w:val="-2"/>
          <w:sz w:val="16"/>
        </w:rPr>
        <w:t xml:space="preserve"> </w:t>
      </w:r>
      <w:r w:rsidRPr="003A1844">
        <w:rPr>
          <w:rFonts w:ascii="Verdana" w:hAnsi="Verdana" w:cs="Arial"/>
          <w:sz w:val="16"/>
        </w:rPr>
        <w:t>que</w:t>
      </w:r>
      <w:r w:rsidRPr="003A1844">
        <w:rPr>
          <w:rFonts w:ascii="Verdana" w:hAnsi="Verdana" w:cs="Arial"/>
          <w:spacing w:val="-2"/>
          <w:sz w:val="16"/>
        </w:rPr>
        <w:t xml:space="preserve"> </w:t>
      </w:r>
      <w:r w:rsidRPr="003A1844">
        <w:rPr>
          <w:rFonts w:ascii="Verdana" w:hAnsi="Verdana" w:cs="Arial"/>
          <w:sz w:val="16"/>
        </w:rPr>
        <w:t>la</w:t>
      </w:r>
      <w:r w:rsidRPr="003A1844">
        <w:rPr>
          <w:rFonts w:ascii="Verdana" w:hAnsi="Verdana" w:cs="Arial"/>
          <w:spacing w:val="-2"/>
          <w:sz w:val="16"/>
        </w:rPr>
        <w:t xml:space="preserve"> </w:t>
      </w:r>
      <w:r w:rsidRPr="003A1844">
        <w:rPr>
          <w:rFonts w:ascii="Verdana" w:hAnsi="Verdana" w:cs="Arial"/>
          <w:sz w:val="16"/>
        </w:rPr>
        <w:t>prohibición</w:t>
      </w:r>
      <w:r w:rsidRPr="003A1844">
        <w:rPr>
          <w:rFonts w:ascii="Verdana" w:hAnsi="Verdana" w:cs="Arial"/>
          <w:spacing w:val="-2"/>
          <w:sz w:val="16"/>
        </w:rPr>
        <w:t xml:space="preserve"> </w:t>
      </w:r>
      <w:r w:rsidRPr="003A1844">
        <w:rPr>
          <w:rFonts w:ascii="Verdana" w:hAnsi="Verdana" w:cs="Arial"/>
          <w:sz w:val="16"/>
        </w:rPr>
        <w:t>de</w:t>
      </w:r>
      <w:r w:rsidRPr="003A1844">
        <w:rPr>
          <w:rFonts w:ascii="Verdana" w:hAnsi="Verdana" w:cs="Arial"/>
          <w:spacing w:val="-2"/>
          <w:sz w:val="16"/>
        </w:rPr>
        <w:t xml:space="preserve"> </w:t>
      </w:r>
      <w:r w:rsidRPr="003A1844">
        <w:rPr>
          <w:rFonts w:ascii="Verdana" w:hAnsi="Verdana" w:cs="Arial"/>
          <w:sz w:val="16"/>
        </w:rPr>
        <w:t>insertarlo</w:t>
      </w:r>
      <w:r w:rsidRPr="003A1844">
        <w:rPr>
          <w:rFonts w:ascii="Verdana" w:hAnsi="Verdana" w:cs="Arial"/>
          <w:spacing w:val="-2"/>
          <w:sz w:val="16"/>
        </w:rPr>
        <w:t xml:space="preserve"> </w:t>
      </w:r>
      <w:r w:rsidRPr="003A1844">
        <w:rPr>
          <w:rFonts w:ascii="Verdana" w:hAnsi="Verdana" w:cs="Arial"/>
          <w:sz w:val="16"/>
        </w:rPr>
        <w:t>en</w:t>
      </w:r>
      <w:r w:rsidRPr="003A1844">
        <w:rPr>
          <w:rFonts w:ascii="Verdana" w:hAnsi="Verdana" w:cs="Arial"/>
          <w:spacing w:val="-3"/>
          <w:sz w:val="16"/>
        </w:rPr>
        <w:t xml:space="preserve"> </w:t>
      </w:r>
      <w:r w:rsidRPr="003A1844">
        <w:rPr>
          <w:rFonts w:ascii="Verdana" w:hAnsi="Verdana" w:cs="Arial"/>
          <w:sz w:val="16"/>
        </w:rPr>
        <w:t>un</w:t>
      </w:r>
      <w:r w:rsidRPr="003A1844">
        <w:rPr>
          <w:rFonts w:ascii="Verdana" w:hAnsi="Verdana" w:cs="Arial"/>
          <w:spacing w:val="-2"/>
          <w:sz w:val="16"/>
        </w:rPr>
        <w:t xml:space="preserve"> </w:t>
      </w:r>
      <w:r w:rsidRPr="003A1844">
        <w:rPr>
          <w:rFonts w:ascii="Verdana" w:hAnsi="Verdana" w:cs="Arial"/>
          <w:sz w:val="16"/>
        </w:rPr>
        <w:t>caso</w:t>
      </w:r>
      <w:r w:rsidRPr="003A1844">
        <w:rPr>
          <w:rFonts w:ascii="Verdana" w:hAnsi="Verdana" w:cs="Arial"/>
          <w:spacing w:val="-2"/>
          <w:sz w:val="16"/>
        </w:rPr>
        <w:t xml:space="preserve"> </w:t>
      </w:r>
      <w:r w:rsidRPr="003A1844">
        <w:rPr>
          <w:rFonts w:ascii="Verdana" w:hAnsi="Verdana" w:cs="Arial"/>
          <w:sz w:val="16"/>
        </w:rPr>
        <w:t>particular.</w:t>
      </w:r>
    </w:p>
    <w:p w14:paraId="4EEA43E7" w14:textId="77777777" w:rsidR="00224EF8" w:rsidRPr="00FD7E2D" w:rsidRDefault="00224EF8" w:rsidP="00224EF8">
      <w:pPr>
        <w:spacing w:after="0" w:line="240" w:lineRule="auto"/>
        <w:ind w:firstLine="708"/>
        <w:jc w:val="both"/>
        <w:rPr>
          <w:rFonts w:ascii="Verdana" w:hAnsi="Verdana" w:cs="Arial"/>
          <w:sz w:val="16"/>
        </w:rPr>
      </w:pPr>
      <w:r w:rsidRPr="003A1844">
        <w:rPr>
          <w:rFonts w:ascii="Verdana" w:hAnsi="Verdana" w:cs="Arial"/>
          <w:sz w:val="16"/>
        </w:rPr>
        <w:t>Esta tesis –de absoluta razonabilidad–, protege tanto al ciudadano como al ordenamiento</w:t>
      </w:r>
      <w:r w:rsidRPr="003A1844">
        <w:rPr>
          <w:rFonts w:ascii="Verdana" w:hAnsi="Verdana" w:cs="Arial"/>
          <w:spacing w:val="1"/>
          <w:sz w:val="16"/>
        </w:rPr>
        <w:t xml:space="preserve"> </w:t>
      </w:r>
      <w:r w:rsidRPr="003A1844">
        <w:rPr>
          <w:rFonts w:ascii="Verdana" w:hAnsi="Verdana" w:cs="Arial"/>
          <w:sz w:val="16"/>
        </w:rPr>
        <w:t>jurídico en general, de la arbitrariedad de la administración, pues si se admitiera que pese a estar en</w:t>
      </w:r>
      <w:r w:rsidRPr="003A1844">
        <w:rPr>
          <w:rFonts w:ascii="Verdana" w:hAnsi="Verdana" w:cs="Arial"/>
          <w:spacing w:val="-50"/>
          <w:sz w:val="16"/>
        </w:rPr>
        <w:t xml:space="preserve"> </w:t>
      </w:r>
      <w:r w:rsidRPr="003A1844">
        <w:rPr>
          <w:rFonts w:ascii="Verdana" w:hAnsi="Verdana" w:cs="Arial"/>
          <w:sz w:val="16"/>
        </w:rPr>
        <w:t>vigencia</w:t>
      </w:r>
      <w:r w:rsidRPr="003A1844">
        <w:rPr>
          <w:rFonts w:ascii="Verdana" w:hAnsi="Verdana" w:cs="Arial"/>
          <w:spacing w:val="-10"/>
          <w:sz w:val="16"/>
        </w:rPr>
        <w:t xml:space="preserve"> </w:t>
      </w:r>
      <w:r w:rsidRPr="003A1844">
        <w:rPr>
          <w:rFonts w:ascii="Verdana" w:hAnsi="Verdana" w:cs="Arial"/>
          <w:sz w:val="16"/>
        </w:rPr>
        <w:t>un</w:t>
      </w:r>
      <w:r w:rsidRPr="003A1844">
        <w:rPr>
          <w:rFonts w:ascii="Verdana" w:hAnsi="Verdana" w:cs="Arial"/>
          <w:spacing w:val="-9"/>
          <w:sz w:val="16"/>
        </w:rPr>
        <w:t xml:space="preserve"> </w:t>
      </w:r>
      <w:r w:rsidRPr="003A1844">
        <w:rPr>
          <w:rFonts w:ascii="Verdana" w:hAnsi="Verdana" w:cs="Arial"/>
          <w:sz w:val="16"/>
        </w:rPr>
        <w:t>reglamento</w:t>
      </w:r>
      <w:r w:rsidRPr="003A1844">
        <w:rPr>
          <w:rFonts w:ascii="Verdana" w:hAnsi="Verdana" w:cs="Arial"/>
          <w:spacing w:val="-10"/>
          <w:sz w:val="16"/>
        </w:rPr>
        <w:t xml:space="preserve"> </w:t>
      </w:r>
      <w:r w:rsidRPr="003A1844">
        <w:rPr>
          <w:rFonts w:ascii="Verdana" w:hAnsi="Verdana" w:cs="Arial"/>
          <w:sz w:val="16"/>
        </w:rPr>
        <w:t>la</w:t>
      </w:r>
      <w:r w:rsidRPr="003A1844">
        <w:rPr>
          <w:rFonts w:ascii="Verdana" w:hAnsi="Verdana" w:cs="Arial"/>
          <w:spacing w:val="-9"/>
          <w:sz w:val="16"/>
        </w:rPr>
        <w:t xml:space="preserve"> </w:t>
      </w:r>
      <w:r w:rsidRPr="003A1844">
        <w:rPr>
          <w:rFonts w:ascii="Verdana" w:hAnsi="Verdana" w:cs="Arial"/>
          <w:sz w:val="16"/>
        </w:rPr>
        <w:t>propia</w:t>
      </w:r>
      <w:r w:rsidRPr="003A1844">
        <w:rPr>
          <w:rFonts w:ascii="Verdana" w:hAnsi="Verdana" w:cs="Arial"/>
          <w:spacing w:val="-10"/>
          <w:sz w:val="16"/>
        </w:rPr>
        <w:t xml:space="preserve"> </w:t>
      </w:r>
      <w:r w:rsidRPr="003A1844">
        <w:rPr>
          <w:rFonts w:ascii="Verdana" w:hAnsi="Verdana" w:cs="Arial"/>
          <w:sz w:val="16"/>
        </w:rPr>
        <w:t>administración</w:t>
      </w:r>
      <w:r w:rsidRPr="003A1844">
        <w:rPr>
          <w:rFonts w:ascii="Verdana" w:hAnsi="Verdana" w:cs="Arial"/>
          <w:spacing w:val="-9"/>
          <w:sz w:val="16"/>
        </w:rPr>
        <w:t xml:space="preserve"> </w:t>
      </w:r>
      <w:r w:rsidRPr="003A1844">
        <w:rPr>
          <w:rFonts w:ascii="Verdana" w:hAnsi="Verdana" w:cs="Arial"/>
          <w:sz w:val="16"/>
        </w:rPr>
        <w:t>que</w:t>
      </w:r>
      <w:r w:rsidRPr="003A1844">
        <w:rPr>
          <w:rFonts w:ascii="Verdana" w:hAnsi="Verdana" w:cs="Arial"/>
          <w:spacing w:val="-10"/>
          <w:sz w:val="16"/>
        </w:rPr>
        <w:t xml:space="preserve"> </w:t>
      </w:r>
      <w:r w:rsidRPr="003A1844">
        <w:rPr>
          <w:rFonts w:ascii="Verdana" w:hAnsi="Verdana" w:cs="Arial"/>
          <w:sz w:val="16"/>
        </w:rPr>
        <w:t>lo</w:t>
      </w:r>
      <w:r w:rsidRPr="003A1844">
        <w:rPr>
          <w:rFonts w:ascii="Verdana" w:hAnsi="Verdana" w:cs="Arial"/>
          <w:spacing w:val="-9"/>
          <w:sz w:val="16"/>
        </w:rPr>
        <w:t xml:space="preserve"> </w:t>
      </w:r>
      <w:r w:rsidRPr="003A1844">
        <w:rPr>
          <w:rFonts w:ascii="Verdana" w:hAnsi="Verdana" w:cs="Arial"/>
          <w:sz w:val="16"/>
        </w:rPr>
        <w:t>dictó</w:t>
      </w:r>
      <w:r w:rsidRPr="003A1844">
        <w:rPr>
          <w:rFonts w:ascii="Verdana" w:hAnsi="Verdana" w:cs="Arial"/>
          <w:spacing w:val="-10"/>
          <w:sz w:val="16"/>
        </w:rPr>
        <w:t xml:space="preserve"> </w:t>
      </w:r>
      <w:r w:rsidRPr="003A1844">
        <w:rPr>
          <w:rFonts w:ascii="Verdana" w:hAnsi="Verdana" w:cs="Arial"/>
          <w:sz w:val="16"/>
        </w:rPr>
        <w:t>lo</w:t>
      </w:r>
      <w:r w:rsidRPr="003A1844">
        <w:rPr>
          <w:rFonts w:ascii="Verdana" w:hAnsi="Verdana" w:cs="Arial"/>
          <w:spacing w:val="-9"/>
          <w:sz w:val="16"/>
        </w:rPr>
        <w:t xml:space="preserve"> </w:t>
      </w:r>
      <w:r w:rsidRPr="003A1844">
        <w:rPr>
          <w:rFonts w:ascii="Verdana" w:hAnsi="Verdana" w:cs="Arial"/>
          <w:sz w:val="16"/>
        </w:rPr>
        <w:t>pudiera</w:t>
      </w:r>
      <w:r w:rsidRPr="003A1844">
        <w:rPr>
          <w:rFonts w:ascii="Verdana" w:hAnsi="Verdana" w:cs="Arial"/>
          <w:spacing w:val="-10"/>
          <w:sz w:val="16"/>
        </w:rPr>
        <w:t xml:space="preserve"> </w:t>
      </w:r>
      <w:r w:rsidRPr="003A1844">
        <w:rPr>
          <w:rFonts w:ascii="Verdana" w:hAnsi="Verdana" w:cs="Arial"/>
          <w:sz w:val="16"/>
        </w:rPr>
        <w:t>inaplicar,</w:t>
      </w:r>
      <w:r w:rsidRPr="003A1844">
        <w:rPr>
          <w:rFonts w:ascii="Verdana" w:hAnsi="Verdana" w:cs="Arial"/>
          <w:spacing w:val="-9"/>
          <w:sz w:val="16"/>
        </w:rPr>
        <w:t xml:space="preserve"> </w:t>
      </w:r>
      <w:r w:rsidRPr="003A1844">
        <w:rPr>
          <w:rFonts w:ascii="Verdana" w:hAnsi="Verdana" w:cs="Arial"/>
          <w:sz w:val="16"/>
        </w:rPr>
        <w:t>aduciendo</w:t>
      </w:r>
      <w:r w:rsidRPr="003A1844">
        <w:rPr>
          <w:rFonts w:ascii="Verdana" w:hAnsi="Verdana" w:cs="Arial"/>
          <w:spacing w:val="-10"/>
          <w:sz w:val="16"/>
        </w:rPr>
        <w:t xml:space="preserve"> </w:t>
      </w:r>
      <w:r w:rsidRPr="003A1844">
        <w:rPr>
          <w:rFonts w:ascii="Verdana" w:hAnsi="Verdana" w:cs="Arial"/>
          <w:sz w:val="16"/>
        </w:rPr>
        <w:t>que</w:t>
      </w:r>
      <w:r w:rsidRPr="003A1844">
        <w:rPr>
          <w:rFonts w:ascii="Verdana" w:hAnsi="Verdana" w:cs="Arial"/>
          <w:spacing w:val="-9"/>
          <w:sz w:val="16"/>
        </w:rPr>
        <w:t xml:space="preserve"> </w:t>
      </w:r>
      <w:r w:rsidRPr="003A1844">
        <w:rPr>
          <w:rFonts w:ascii="Verdana" w:hAnsi="Verdana" w:cs="Arial"/>
          <w:sz w:val="16"/>
        </w:rPr>
        <w:t>si</w:t>
      </w:r>
      <w:r w:rsidRPr="003A1844">
        <w:rPr>
          <w:rFonts w:ascii="Verdana" w:hAnsi="Verdana" w:cs="Arial"/>
          <w:spacing w:val="-10"/>
          <w:sz w:val="16"/>
        </w:rPr>
        <w:t xml:space="preserve"> </w:t>
      </w:r>
      <w:r w:rsidRPr="003A1844">
        <w:rPr>
          <w:rFonts w:ascii="Verdana" w:hAnsi="Verdana" w:cs="Arial"/>
          <w:sz w:val="16"/>
        </w:rPr>
        <w:t>ella</w:t>
      </w:r>
      <w:r w:rsidRPr="003A1844">
        <w:rPr>
          <w:rFonts w:ascii="Verdana" w:hAnsi="Verdana" w:cs="Arial"/>
          <w:spacing w:val="1"/>
          <w:sz w:val="16"/>
        </w:rPr>
        <w:t xml:space="preserve"> </w:t>
      </w:r>
      <w:r w:rsidRPr="003A1844">
        <w:rPr>
          <w:rFonts w:ascii="Verdana" w:hAnsi="Verdana" w:cs="Arial"/>
          <w:sz w:val="16"/>
        </w:rPr>
        <w:t>lo</w:t>
      </w:r>
      <w:r w:rsidRPr="003A1844">
        <w:rPr>
          <w:rFonts w:ascii="Verdana" w:hAnsi="Verdana" w:cs="Arial"/>
          <w:spacing w:val="-13"/>
          <w:sz w:val="16"/>
        </w:rPr>
        <w:t xml:space="preserve"> </w:t>
      </w:r>
      <w:r w:rsidRPr="003A1844">
        <w:rPr>
          <w:rFonts w:ascii="Verdana" w:hAnsi="Verdana" w:cs="Arial"/>
          <w:sz w:val="16"/>
        </w:rPr>
        <w:t>produjo</w:t>
      </w:r>
      <w:r w:rsidRPr="003A1844">
        <w:rPr>
          <w:rFonts w:ascii="Verdana" w:hAnsi="Verdana" w:cs="Arial"/>
          <w:spacing w:val="-12"/>
          <w:sz w:val="16"/>
        </w:rPr>
        <w:t xml:space="preserve"> </w:t>
      </w:r>
      <w:r w:rsidRPr="003A1844">
        <w:rPr>
          <w:rFonts w:ascii="Verdana" w:hAnsi="Verdana" w:cs="Arial"/>
          <w:sz w:val="16"/>
        </w:rPr>
        <w:t>entonces</w:t>
      </w:r>
      <w:r w:rsidRPr="003A1844">
        <w:rPr>
          <w:rFonts w:ascii="Verdana" w:hAnsi="Verdana" w:cs="Arial"/>
          <w:spacing w:val="-12"/>
          <w:sz w:val="16"/>
        </w:rPr>
        <w:t xml:space="preserve"> </w:t>
      </w:r>
      <w:r w:rsidRPr="003A1844">
        <w:rPr>
          <w:rFonts w:ascii="Verdana" w:hAnsi="Verdana" w:cs="Arial"/>
          <w:sz w:val="16"/>
        </w:rPr>
        <w:t>cuenta</w:t>
      </w:r>
      <w:r w:rsidRPr="003A1844">
        <w:rPr>
          <w:rFonts w:ascii="Verdana" w:hAnsi="Verdana" w:cs="Arial"/>
          <w:spacing w:val="-12"/>
          <w:sz w:val="16"/>
        </w:rPr>
        <w:t xml:space="preserve"> </w:t>
      </w:r>
      <w:r w:rsidRPr="003A1844">
        <w:rPr>
          <w:rFonts w:ascii="Verdana" w:hAnsi="Verdana" w:cs="Arial"/>
          <w:sz w:val="16"/>
        </w:rPr>
        <w:t>con</w:t>
      </w:r>
      <w:r w:rsidRPr="003A1844">
        <w:rPr>
          <w:rFonts w:ascii="Verdana" w:hAnsi="Verdana" w:cs="Arial"/>
          <w:spacing w:val="-12"/>
          <w:sz w:val="16"/>
        </w:rPr>
        <w:t xml:space="preserve"> </w:t>
      </w:r>
      <w:r w:rsidRPr="003A1844">
        <w:rPr>
          <w:rFonts w:ascii="Verdana" w:hAnsi="Verdana" w:cs="Arial"/>
          <w:sz w:val="16"/>
        </w:rPr>
        <w:t>la</w:t>
      </w:r>
      <w:r w:rsidRPr="003A1844">
        <w:rPr>
          <w:rFonts w:ascii="Verdana" w:hAnsi="Verdana" w:cs="Arial"/>
          <w:spacing w:val="-12"/>
          <w:sz w:val="16"/>
        </w:rPr>
        <w:t xml:space="preserve"> </w:t>
      </w:r>
      <w:r w:rsidRPr="003A1844">
        <w:rPr>
          <w:rFonts w:ascii="Verdana" w:hAnsi="Verdana" w:cs="Arial"/>
          <w:sz w:val="16"/>
        </w:rPr>
        <w:t>autoridad</w:t>
      </w:r>
      <w:r w:rsidRPr="003A1844">
        <w:rPr>
          <w:rFonts w:ascii="Verdana" w:hAnsi="Verdana" w:cs="Arial"/>
          <w:spacing w:val="-12"/>
          <w:sz w:val="16"/>
        </w:rPr>
        <w:t xml:space="preserve"> </w:t>
      </w:r>
      <w:r w:rsidRPr="003A1844">
        <w:rPr>
          <w:rFonts w:ascii="Verdana" w:hAnsi="Verdana" w:cs="Arial"/>
          <w:sz w:val="16"/>
        </w:rPr>
        <w:t>para</w:t>
      </w:r>
      <w:r w:rsidRPr="003A1844">
        <w:rPr>
          <w:rFonts w:ascii="Verdana" w:hAnsi="Verdana" w:cs="Arial"/>
          <w:spacing w:val="-12"/>
          <w:sz w:val="16"/>
        </w:rPr>
        <w:t xml:space="preserve"> </w:t>
      </w:r>
      <w:r w:rsidRPr="003A1844">
        <w:rPr>
          <w:rFonts w:ascii="Verdana" w:hAnsi="Verdana" w:cs="Arial"/>
          <w:sz w:val="16"/>
        </w:rPr>
        <w:t>desconocerlo,</w:t>
      </w:r>
      <w:r w:rsidRPr="003A1844">
        <w:rPr>
          <w:rFonts w:ascii="Verdana" w:hAnsi="Verdana" w:cs="Arial"/>
          <w:spacing w:val="-12"/>
          <w:sz w:val="16"/>
        </w:rPr>
        <w:t xml:space="preserve"> </w:t>
      </w:r>
      <w:r w:rsidRPr="003A1844">
        <w:rPr>
          <w:rFonts w:ascii="Verdana" w:hAnsi="Verdana" w:cs="Arial"/>
          <w:sz w:val="16"/>
        </w:rPr>
        <w:t>los</w:t>
      </w:r>
      <w:r w:rsidRPr="003A1844">
        <w:rPr>
          <w:rFonts w:ascii="Verdana" w:hAnsi="Verdana" w:cs="Arial"/>
          <w:spacing w:val="-12"/>
          <w:sz w:val="16"/>
        </w:rPr>
        <w:t xml:space="preserve"> </w:t>
      </w:r>
      <w:r w:rsidRPr="003A1844">
        <w:rPr>
          <w:rFonts w:ascii="Verdana" w:hAnsi="Verdana" w:cs="Arial"/>
          <w:sz w:val="16"/>
        </w:rPr>
        <w:t>abusos</w:t>
      </w:r>
      <w:r w:rsidRPr="003A1844">
        <w:rPr>
          <w:rFonts w:ascii="Verdana" w:hAnsi="Verdana" w:cs="Arial"/>
          <w:spacing w:val="-12"/>
          <w:sz w:val="16"/>
        </w:rPr>
        <w:t xml:space="preserve"> </w:t>
      </w:r>
      <w:r w:rsidRPr="003A1844">
        <w:rPr>
          <w:rFonts w:ascii="Verdana" w:hAnsi="Verdana" w:cs="Arial"/>
          <w:sz w:val="16"/>
        </w:rPr>
        <w:t>y</w:t>
      </w:r>
      <w:r w:rsidRPr="003A1844">
        <w:rPr>
          <w:rFonts w:ascii="Verdana" w:hAnsi="Verdana" w:cs="Arial"/>
          <w:spacing w:val="-12"/>
          <w:sz w:val="16"/>
        </w:rPr>
        <w:t xml:space="preserve"> </w:t>
      </w:r>
      <w:r w:rsidRPr="003A1844">
        <w:rPr>
          <w:rFonts w:ascii="Verdana" w:hAnsi="Verdana" w:cs="Arial"/>
          <w:sz w:val="16"/>
        </w:rPr>
        <w:t>la</w:t>
      </w:r>
      <w:r w:rsidRPr="003A1844">
        <w:rPr>
          <w:rFonts w:ascii="Verdana" w:hAnsi="Verdana" w:cs="Arial"/>
          <w:spacing w:val="-12"/>
          <w:sz w:val="16"/>
        </w:rPr>
        <w:t xml:space="preserve"> </w:t>
      </w:r>
      <w:r w:rsidRPr="003A1844">
        <w:rPr>
          <w:rFonts w:ascii="Verdana" w:hAnsi="Verdana" w:cs="Arial"/>
          <w:sz w:val="16"/>
        </w:rPr>
        <w:t>violación</w:t>
      </w:r>
      <w:r w:rsidRPr="003A1844">
        <w:rPr>
          <w:rFonts w:ascii="Verdana" w:hAnsi="Verdana" w:cs="Arial"/>
          <w:spacing w:val="-12"/>
          <w:sz w:val="16"/>
        </w:rPr>
        <w:t xml:space="preserve"> </w:t>
      </w:r>
      <w:r w:rsidRPr="003A1844">
        <w:rPr>
          <w:rFonts w:ascii="Verdana" w:hAnsi="Verdana" w:cs="Arial"/>
          <w:sz w:val="16"/>
        </w:rPr>
        <w:t>a</w:t>
      </w:r>
      <w:r w:rsidRPr="003A1844">
        <w:rPr>
          <w:rFonts w:ascii="Verdana" w:hAnsi="Verdana" w:cs="Arial"/>
          <w:spacing w:val="-12"/>
          <w:sz w:val="16"/>
        </w:rPr>
        <w:t xml:space="preserve"> </w:t>
      </w:r>
      <w:r w:rsidRPr="003A1844">
        <w:rPr>
          <w:rFonts w:ascii="Verdana" w:hAnsi="Verdana" w:cs="Arial"/>
          <w:sz w:val="16"/>
        </w:rPr>
        <w:t>sus</w:t>
      </w:r>
      <w:r w:rsidRPr="003A1844">
        <w:rPr>
          <w:rFonts w:ascii="Verdana" w:hAnsi="Verdana" w:cs="Arial"/>
          <w:spacing w:val="-12"/>
          <w:sz w:val="16"/>
        </w:rPr>
        <w:t xml:space="preserve"> </w:t>
      </w:r>
      <w:r w:rsidRPr="003A1844">
        <w:rPr>
          <w:rFonts w:ascii="Verdana" w:hAnsi="Verdana" w:cs="Arial"/>
          <w:sz w:val="16"/>
        </w:rPr>
        <w:t>propias</w:t>
      </w:r>
      <w:r w:rsidRPr="003A1844">
        <w:rPr>
          <w:rFonts w:ascii="Verdana" w:hAnsi="Verdana" w:cs="Arial"/>
          <w:spacing w:val="1"/>
          <w:sz w:val="16"/>
        </w:rPr>
        <w:t xml:space="preserve"> </w:t>
      </w:r>
      <w:r w:rsidRPr="003A1844">
        <w:rPr>
          <w:rFonts w:ascii="Verdana" w:hAnsi="Verdana" w:cs="Arial"/>
          <w:sz w:val="16"/>
        </w:rPr>
        <w:t>reglas propiciaría el atropello y la corrupción”. (MARÍN CORTÉS, Fabián G. El reglamento como</w:t>
      </w:r>
      <w:r w:rsidRPr="003A1844">
        <w:rPr>
          <w:rFonts w:ascii="Verdana" w:hAnsi="Verdana" w:cs="Arial"/>
          <w:spacing w:val="1"/>
          <w:sz w:val="16"/>
        </w:rPr>
        <w:t xml:space="preserve"> </w:t>
      </w:r>
      <w:r w:rsidRPr="003A1844">
        <w:rPr>
          <w:rFonts w:ascii="Verdana" w:hAnsi="Verdana" w:cs="Arial"/>
          <w:sz w:val="16"/>
        </w:rPr>
        <w:t>fuente</w:t>
      </w:r>
      <w:r w:rsidRPr="003A1844">
        <w:rPr>
          <w:rFonts w:ascii="Verdana" w:hAnsi="Verdana" w:cs="Arial"/>
          <w:spacing w:val="-12"/>
          <w:sz w:val="16"/>
        </w:rPr>
        <w:t xml:space="preserve"> </w:t>
      </w:r>
      <w:r w:rsidRPr="003A1844">
        <w:rPr>
          <w:rFonts w:ascii="Verdana" w:hAnsi="Verdana" w:cs="Arial"/>
          <w:sz w:val="16"/>
        </w:rPr>
        <w:t>del</w:t>
      </w:r>
      <w:r w:rsidRPr="003A1844">
        <w:rPr>
          <w:rFonts w:ascii="Verdana" w:hAnsi="Verdana" w:cs="Arial"/>
          <w:spacing w:val="-12"/>
          <w:sz w:val="16"/>
        </w:rPr>
        <w:t xml:space="preserve"> </w:t>
      </w:r>
      <w:r w:rsidRPr="003A1844">
        <w:rPr>
          <w:rFonts w:ascii="Verdana" w:hAnsi="Verdana" w:cs="Arial"/>
          <w:sz w:val="16"/>
        </w:rPr>
        <w:t>derecho</w:t>
      </w:r>
      <w:r w:rsidRPr="003A1844">
        <w:rPr>
          <w:rFonts w:ascii="Verdana" w:hAnsi="Verdana" w:cs="Arial"/>
          <w:spacing w:val="-12"/>
          <w:sz w:val="16"/>
        </w:rPr>
        <w:t xml:space="preserve"> </w:t>
      </w:r>
      <w:r w:rsidRPr="003A1844">
        <w:rPr>
          <w:rFonts w:ascii="Verdana" w:hAnsi="Verdana" w:cs="Arial"/>
          <w:sz w:val="16"/>
        </w:rPr>
        <w:t>administrativo.</w:t>
      </w:r>
      <w:r w:rsidRPr="003A1844">
        <w:rPr>
          <w:rFonts w:ascii="Verdana" w:hAnsi="Verdana" w:cs="Arial"/>
          <w:spacing w:val="-11"/>
          <w:sz w:val="16"/>
        </w:rPr>
        <w:t xml:space="preserve"> </w:t>
      </w:r>
      <w:r w:rsidRPr="003A1844">
        <w:rPr>
          <w:rFonts w:ascii="Verdana" w:hAnsi="Verdana" w:cs="Arial"/>
          <w:sz w:val="16"/>
        </w:rPr>
        <w:t>En:</w:t>
      </w:r>
      <w:r w:rsidRPr="003A1844">
        <w:rPr>
          <w:rFonts w:ascii="Verdana" w:hAnsi="Verdana" w:cs="Arial"/>
          <w:spacing w:val="-12"/>
          <w:sz w:val="16"/>
        </w:rPr>
        <w:t xml:space="preserve"> </w:t>
      </w:r>
      <w:r w:rsidRPr="003A1844">
        <w:rPr>
          <w:rFonts w:ascii="Verdana" w:hAnsi="Verdana" w:cs="Arial"/>
          <w:sz w:val="16"/>
        </w:rPr>
        <w:t>Las</w:t>
      </w:r>
      <w:r w:rsidRPr="003A1844">
        <w:rPr>
          <w:rFonts w:ascii="Verdana" w:hAnsi="Verdana" w:cs="Arial"/>
          <w:spacing w:val="-12"/>
          <w:sz w:val="16"/>
        </w:rPr>
        <w:t xml:space="preserve"> </w:t>
      </w:r>
      <w:r w:rsidRPr="003A1844">
        <w:rPr>
          <w:rFonts w:ascii="Verdana" w:hAnsi="Verdana" w:cs="Arial"/>
          <w:sz w:val="16"/>
        </w:rPr>
        <w:t>fuentes</w:t>
      </w:r>
      <w:r w:rsidRPr="003A1844">
        <w:rPr>
          <w:rFonts w:ascii="Verdana" w:hAnsi="Verdana" w:cs="Arial"/>
          <w:spacing w:val="-11"/>
          <w:sz w:val="16"/>
        </w:rPr>
        <w:t xml:space="preserve"> </w:t>
      </w:r>
      <w:r w:rsidRPr="003A1844">
        <w:rPr>
          <w:rFonts w:ascii="Verdana" w:hAnsi="Verdana" w:cs="Arial"/>
          <w:sz w:val="16"/>
        </w:rPr>
        <w:t>del</w:t>
      </w:r>
      <w:r w:rsidRPr="003A1844">
        <w:rPr>
          <w:rFonts w:ascii="Verdana" w:hAnsi="Verdana" w:cs="Arial"/>
          <w:spacing w:val="-12"/>
          <w:sz w:val="16"/>
        </w:rPr>
        <w:t xml:space="preserve"> </w:t>
      </w:r>
      <w:r w:rsidRPr="003A1844">
        <w:rPr>
          <w:rFonts w:ascii="Verdana" w:hAnsi="Verdana" w:cs="Arial"/>
          <w:sz w:val="16"/>
        </w:rPr>
        <w:t>derecho</w:t>
      </w:r>
      <w:r w:rsidRPr="003A1844">
        <w:rPr>
          <w:rFonts w:ascii="Verdana" w:hAnsi="Verdana" w:cs="Arial"/>
          <w:spacing w:val="-12"/>
          <w:sz w:val="16"/>
        </w:rPr>
        <w:t xml:space="preserve"> </w:t>
      </w:r>
      <w:r w:rsidRPr="003A1844">
        <w:rPr>
          <w:rFonts w:ascii="Verdana" w:hAnsi="Verdana" w:cs="Arial"/>
          <w:sz w:val="16"/>
        </w:rPr>
        <w:t>administrativo.</w:t>
      </w:r>
      <w:r w:rsidRPr="003A1844">
        <w:rPr>
          <w:rFonts w:ascii="Verdana" w:hAnsi="Verdana" w:cs="Arial"/>
          <w:spacing w:val="-12"/>
          <w:sz w:val="16"/>
        </w:rPr>
        <w:t xml:space="preserve"> </w:t>
      </w:r>
      <w:r w:rsidRPr="003A1844">
        <w:rPr>
          <w:rFonts w:ascii="Verdana" w:hAnsi="Verdana" w:cs="Arial"/>
          <w:sz w:val="16"/>
        </w:rPr>
        <w:t>Texto</w:t>
      </w:r>
      <w:r w:rsidRPr="003A1844">
        <w:rPr>
          <w:rFonts w:ascii="Verdana" w:hAnsi="Verdana" w:cs="Arial"/>
          <w:spacing w:val="-11"/>
          <w:sz w:val="16"/>
        </w:rPr>
        <w:t xml:space="preserve"> </w:t>
      </w:r>
      <w:r w:rsidRPr="003A1844">
        <w:rPr>
          <w:rFonts w:ascii="Verdana" w:hAnsi="Verdana" w:cs="Arial"/>
          <w:sz w:val="16"/>
        </w:rPr>
        <w:t>inédito.</w:t>
      </w:r>
      <w:r w:rsidRPr="003A1844">
        <w:rPr>
          <w:rFonts w:ascii="Verdana" w:hAnsi="Verdana" w:cs="Arial"/>
          <w:spacing w:val="-12"/>
          <w:sz w:val="16"/>
        </w:rPr>
        <w:t xml:space="preserve"> </w:t>
      </w:r>
      <w:r w:rsidRPr="003A1844">
        <w:rPr>
          <w:rFonts w:ascii="Verdana" w:hAnsi="Verdana" w:cs="Arial"/>
          <w:sz w:val="16"/>
        </w:rPr>
        <w:t>2010.</w:t>
      </w:r>
      <w:r w:rsidRPr="003A1844">
        <w:rPr>
          <w:rFonts w:ascii="Verdana" w:hAnsi="Verdana" w:cs="Arial"/>
          <w:spacing w:val="-12"/>
          <w:sz w:val="16"/>
        </w:rPr>
        <w:t xml:space="preserve"> </w:t>
      </w:r>
      <w:r w:rsidRPr="003A1844">
        <w:rPr>
          <w:rFonts w:ascii="Verdana" w:hAnsi="Verdana" w:cs="Arial"/>
          <w:sz w:val="16"/>
        </w:rPr>
        <w:t>pp.</w:t>
      </w:r>
      <w:r w:rsidRPr="003A1844">
        <w:rPr>
          <w:rFonts w:ascii="Verdana" w:hAnsi="Verdana" w:cs="Arial"/>
          <w:spacing w:val="1"/>
          <w:sz w:val="16"/>
        </w:rPr>
        <w:t xml:space="preserve"> </w:t>
      </w:r>
      <w:r w:rsidRPr="003A1844">
        <w:rPr>
          <w:rFonts w:ascii="Verdana" w:hAnsi="Verdana" w:cs="Arial"/>
          <w:sz w:val="16"/>
        </w:rPr>
        <w:t>200-201).</w:t>
      </w:r>
    </w:p>
  </w:footnote>
  <w:footnote w:id="15">
    <w:p w14:paraId="0C3BCB3D" w14:textId="77777777" w:rsidR="00224EF8" w:rsidRPr="008655F5" w:rsidRDefault="00224EF8" w:rsidP="00224EF8">
      <w:pPr>
        <w:pStyle w:val="Textonotapie"/>
        <w:ind w:firstLine="708"/>
        <w:jc w:val="both"/>
        <w:rPr>
          <w:rFonts w:ascii="Verdana" w:hAnsi="Verdana" w:cs="Arial"/>
          <w:sz w:val="16"/>
          <w:szCs w:val="16"/>
        </w:rPr>
      </w:pPr>
      <w:r w:rsidRPr="008655F5">
        <w:rPr>
          <w:rStyle w:val="Refdenotaalpie"/>
          <w:rFonts w:ascii="Verdana" w:hAnsi="Verdana" w:cs="Arial"/>
          <w:sz w:val="16"/>
          <w:szCs w:val="16"/>
        </w:rPr>
        <w:footnoteRef/>
      </w:r>
      <w:r w:rsidRPr="008655F5">
        <w:rPr>
          <w:rFonts w:ascii="Verdana" w:hAnsi="Verdana" w:cs="Arial"/>
          <w:sz w:val="16"/>
          <w:szCs w:val="16"/>
        </w:rPr>
        <w:t xml:space="preserve"> Ibíd. </w:t>
      </w:r>
    </w:p>
    <w:p w14:paraId="6CF0A039" w14:textId="77777777" w:rsidR="00224EF8" w:rsidRPr="00C95CD8" w:rsidRDefault="00224EF8" w:rsidP="00224EF8">
      <w:pPr>
        <w:pStyle w:val="Textonotapie"/>
        <w:ind w:firstLine="708"/>
        <w:jc w:val="both"/>
        <w:rPr>
          <w:rFonts w:ascii="Verdana" w:hAnsi="Verdana" w:cs="Arial"/>
          <w:sz w:val="12"/>
          <w:szCs w:val="12"/>
        </w:rPr>
      </w:pPr>
    </w:p>
  </w:footnote>
  <w:footnote w:id="16">
    <w:p w14:paraId="663FAC55" w14:textId="77777777" w:rsidR="00224EF8" w:rsidRPr="00670827" w:rsidRDefault="00224EF8" w:rsidP="00224EF8">
      <w:pPr>
        <w:pStyle w:val="Textonotapie"/>
        <w:ind w:firstLine="709"/>
        <w:jc w:val="both"/>
        <w:rPr>
          <w:rFonts w:ascii="Verdana" w:eastAsia="Calibri" w:hAnsi="Verdana" w:cs="Arial"/>
          <w:sz w:val="16"/>
          <w:szCs w:val="16"/>
          <w:lang w:val="es-ES_tradnl"/>
        </w:rPr>
      </w:pPr>
      <w:r w:rsidRPr="00ED7AD8">
        <w:rPr>
          <w:rStyle w:val="Refdenotaalpie"/>
          <w:rFonts w:ascii="Verdana" w:hAnsi="Verdana" w:cs="Arial"/>
          <w:sz w:val="16"/>
          <w:szCs w:val="16"/>
        </w:rPr>
        <w:footnoteRef/>
      </w:r>
      <w:r w:rsidRPr="00ED7AD8">
        <w:rPr>
          <w:rFonts w:ascii="Verdana" w:hAnsi="Verdana" w:cs="Arial"/>
          <w:sz w:val="16"/>
          <w:szCs w:val="16"/>
        </w:rPr>
        <w:t xml:space="preserve"> </w:t>
      </w:r>
      <w:r w:rsidRPr="00ED7AD8">
        <w:rPr>
          <w:rFonts w:ascii="Verdana" w:eastAsia="Calibri" w:hAnsi="Verdana" w:cs="Arial"/>
          <w:sz w:val="16"/>
          <w:szCs w:val="16"/>
          <w:lang w:val="es-ES_tradnl"/>
        </w:rPr>
        <w:t>HERNÁNDEZ, Pedro Alfonso. Descentralización, desconcentración y delegación en Colombia. Bogotá: Legis, 1999. p. 158.</w:t>
      </w:r>
    </w:p>
  </w:footnote>
  <w:footnote w:id="17">
    <w:p w14:paraId="33C31C03" w14:textId="77777777" w:rsidR="00224EF8" w:rsidRPr="00670827" w:rsidRDefault="00224EF8" w:rsidP="00224EF8">
      <w:pPr>
        <w:pStyle w:val="Textonotapie"/>
        <w:ind w:firstLine="708"/>
        <w:jc w:val="both"/>
        <w:rPr>
          <w:rFonts w:ascii="Verdana" w:hAnsi="Verdana"/>
          <w:sz w:val="16"/>
          <w:szCs w:val="16"/>
          <w:lang w:val="es-CO"/>
        </w:rPr>
      </w:pPr>
      <w:r w:rsidRPr="00670827">
        <w:rPr>
          <w:rStyle w:val="Refdenotaalpie"/>
          <w:rFonts w:ascii="Verdana" w:hAnsi="Verdana"/>
          <w:sz w:val="16"/>
          <w:szCs w:val="16"/>
        </w:rPr>
        <w:footnoteRef/>
      </w:r>
      <w:r w:rsidRPr="00670827">
        <w:rPr>
          <w:rFonts w:ascii="Verdana" w:hAnsi="Verdana"/>
          <w:sz w:val="16"/>
          <w:szCs w:val="16"/>
        </w:rPr>
        <w:t xml:space="preserve"> </w:t>
      </w:r>
      <w:r>
        <w:rPr>
          <w:rFonts w:ascii="Verdana" w:hAnsi="Verdana"/>
          <w:sz w:val="16"/>
          <w:szCs w:val="16"/>
        </w:rPr>
        <w:t>“</w:t>
      </w:r>
      <w:r w:rsidRPr="00670827">
        <w:rPr>
          <w:rFonts w:ascii="Verdana" w:hAnsi="Verdana"/>
          <w:bCs/>
          <w:sz w:val="16"/>
          <w:szCs w:val="16"/>
          <w:lang w:val="es-CO"/>
        </w:rPr>
        <w:t>Artículo 59.</w:t>
      </w:r>
      <w:r w:rsidRPr="00670827">
        <w:rPr>
          <w:rFonts w:ascii="Verdana" w:hAnsi="Verdana"/>
          <w:bCs/>
          <w:i/>
          <w:iCs/>
          <w:sz w:val="16"/>
          <w:szCs w:val="16"/>
          <w:lang w:val="es-CO"/>
        </w:rPr>
        <w:t> Acceso y análisis a la información</w:t>
      </w:r>
      <w:r w:rsidRPr="00670827">
        <w:rPr>
          <w:rFonts w:ascii="Verdana" w:hAnsi="Verdana"/>
          <w:sz w:val="16"/>
          <w:szCs w:val="16"/>
          <w:lang w:val="es-CO"/>
        </w:rPr>
        <w:t>. La Contraloría General de la República podrá requerir, conocer y examinar todos los datos e información sobre hechos u operaciones, actos, contratos, programas, proyectos o procesos en ejecución, en los que se involucren recursos públicos y/o se afecten bienes o intereses patrimoniales de naturaleza pública, sin oponibilidad de reserva legal, exclusivamente para el ejercicio de sus funciones.  </w:t>
      </w:r>
    </w:p>
    <w:p w14:paraId="5F165E7A" w14:textId="77777777" w:rsidR="00224EF8" w:rsidRPr="00670827" w:rsidRDefault="00224EF8" w:rsidP="00224EF8">
      <w:pPr>
        <w:pStyle w:val="Textonotapie"/>
        <w:ind w:firstLine="708"/>
        <w:jc w:val="both"/>
        <w:rPr>
          <w:rFonts w:ascii="Verdana" w:hAnsi="Verdana"/>
          <w:sz w:val="16"/>
          <w:szCs w:val="16"/>
          <w:lang w:val="es-CO"/>
        </w:rPr>
      </w:pPr>
      <w:r w:rsidRPr="00670827">
        <w:rPr>
          <w:rFonts w:ascii="Verdana" w:hAnsi="Verdana"/>
          <w:sz w:val="16"/>
          <w:szCs w:val="16"/>
          <w:lang w:val="es-CO"/>
        </w:rPr>
        <w:t>Para lo anterior, la Contraloría General de la República podrá apoyarse en la gestión inteligente de la información, entendida como el uso eficiente de todas las capacidades tecnológicas disponibles, inteligencia artificial, analítica y minería de datos, análisis predictivo y prospectivo, entre otros, para la determinación anticipada de eventos o malas prácticas, con probabilidad significativa de ocurrencia, persistencia o mutación, y que impliquen riesgos de pérdida del patrimonio público.  </w:t>
      </w:r>
    </w:p>
    <w:p w14:paraId="783361C8" w14:textId="77777777" w:rsidR="00224EF8" w:rsidRPr="00670827" w:rsidRDefault="00224EF8" w:rsidP="00224EF8">
      <w:pPr>
        <w:pStyle w:val="Textonotapie"/>
        <w:ind w:firstLine="708"/>
        <w:jc w:val="both"/>
        <w:rPr>
          <w:rFonts w:ascii="Verdana" w:hAnsi="Verdana"/>
          <w:sz w:val="16"/>
          <w:szCs w:val="16"/>
          <w:lang w:val="es-CO"/>
        </w:rPr>
      </w:pPr>
      <w:r w:rsidRPr="00670827">
        <w:rPr>
          <w:rFonts w:ascii="Verdana" w:hAnsi="Verdana"/>
          <w:sz w:val="16"/>
          <w:szCs w:val="16"/>
          <w:lang w:val="es-CO"/>
        </w:rPr>
        <w:t>Para el efecto, podrá conformar sistemas de seguimiento en tiempo real y confirmación directa con los gestores y los beneficiarios de dichas transacciones. En consecuencia, cada entidad deberá disponer lo necesario para garantizar el suministro oportuno y en tiempo real de la información requerida por la Contraloría General de la República, por conducto de la Dirección de Información, Análisis y Reacción Inmediata (DIARI)</w:t>
      </w:r>
      <w:r>
        <w:rPr>
          <w:rFonts w:ascii="Verdana" w:hAnsi="Verdana"/>
          <w:sz w:val="16"/>
          <w:szCs w:val="16"/>
          <w:lang w:val="es-CO"/>
        </w:rPr>
        <w:t>”</w:t>
      </w:r>
      <w:r w:rsidRPr="00670827">
        <w:rPr>
          <w:rFonts w:ascii="Verdana" w:hAnsi="Verdana"/>
          <w:sz w:val="16"/>
          <w:szCs w:val="16"/>
          <w:lang w:val="es-CO"/>
        </w:rPr>
        <w:t>.</w:t>
      </w:r>
    </w:p>
    <w:p w14:paraId="663B3256" w14:textId="77777777" w:rsidR="00224EF8" w:rsidRPr="00670827" w:rsidRDefault="00224EF8" w:rsidP="00224EF8">
      <w:pPr>
        <w:pStyle w:val="Textonotapie"/>
        <w:ind w:firstLine="708"/>
        <w:rPr>
          <w:lang w:val="es-CO"/>
        </w:rPr>
      </w:pPr>
    </w:p>
  </w:footnote>
  <w:footnote w:id="18">
    <w:p w14:paraId="0806F0AD" w14:textId="77777777" w:rsidR="00224EF8" w:rsidRPr="00DE4BCE" w:rsidRDefault="00224EF8" w:rsidP="00224EF8">
      <w:pPr>
        <w:pStyle w:val="Textonotapie"/>
        <w:ind w:firstLine="708"/>
        <w:jc w:val="both"/>
        <w:rPr>
          <w:rFonts w:ascii="Verdana" w:hAnsi="Verdana"/>
          <w:bCs/>
          <w:sz w:val="16"/>
          <w:szCs w:val="16"/>
          <w:lang w:val="es-CO"/>
        </w:rPr>
      </w:pPr>
      <w:r w:rsidRPr="00DE4BCE">
        <w:rPr>
          <w:rStyle w:val="Refdenotaalpie"/>
          <w:rFonts w:ascii="Verdana" w:hAnsi="Verdana"/>
          <w:sz w:val="16"/>
          <w:szCs w:val="16"/>
        </w:rPr>
        <w:footnoteRef/>
      </w:r>
      <w:r w:rsidRPr="00DE4BCE">
        <w:rPr>
          <w:rFonts w:ascii="Verdana" w:hAnsi="Verdana"/>
          <w:sz w:val="16"/>
          <w:szCs w:val="16"/>
        </w:rPr>
        <w:t xml:space="preserve"> </w:t>
      </w:r>
      <w:r>
        <w:rPr>
          <w:rFonts w:ascii="Verdana" w:hAnsi="Verdana"/>
          <w:sz w:val="16"/>
          <w:szCs w:val="16"/>
        </w:rPr>
        <w:t>“</w:t>
      </w:r>
      <w:r w:rsidRPr="00DE4BCE">
        <w:rPr>
          <w:rFonts w:ascii="Verdana" w:hAnsi="Verdana"/>
          <w:bCs/>
          <w:sz w:val="16"/>
          <w:szCs w:val="16"/>
          <w:lang w:val="es-CO"/>
        </w:rPr>
        <w:t>Artículo 31. Acceso a la información por parte de la Auditoría General de la República. La Auditoría General de la República podrá acceder sin restricción a la información de las contralorías y por su intermedio a la de sus sujetos vigilados, en las condiciones establecidas en el artículo </w:t>
      </w:r>
      <w:hyperlink r:id="rId1" w:anchor="27" w:history="1">
        <w:r w:rsidRPr="00DE4BCE">
          <w:rPr>
            <w:rStyle w:val="Hipervnculo"/>
            <w:rFonts w:ascii="Verdana" w:hAnsi="Verdana"/>
            <w:bCs/>
            <w:color w:val="auto"/>
            <w:sz w:val="16"/>
            <w:szCs w:val="16"/>
            <w:u w:val="none"/>
            <w:lang w:val="es-CO"/>
          </w:rPr>
          <w:t>27 </w:t>
        </w:r>
      </w:hyperlink>
      <w:r w:rsidRPr="00DE4BCE">
        <w:rPr>
          <w:rFonts w:ascii="Verdana" w:hAnsi="Verdana"/>
          <w:bCs/>
          <w:sz w:val="16"/>
          <w:szCs w:val="16"/>
          <w:lang w:val="es-CO"/>
        </w:rPr>
        <w:t>del Código de Procedimiento Administrativo y de lo Contencioso Administrativo y en virtud de lo establecido en los artículos </w:t>
      </w:r>
      <w:hyperlink r:id="rId2" w:anchor="3" w:history="1">
        <w:r w:rsidRPr="00DE4BCE">
          <w:rPr>
            <w:rStyle w:val="Hipervnculo"/>
            <w:rFonts w:ascii="Verdana" w:hAnsi="Verdana"/>
            <w:bCs/>
            <w:color w:val="auto"/>
            <w:sz w:val="16"/>
            <w:szCs w:val="16"/>
            <w:u w:val="none"/>
            <w:lang w:val="es-CO"/>
          </w:rPr>
          <w:t>3</w:t>
        </w:r>
      </w:hyperlink>
      <w:r w:rsidRPr="00DE4BCE">
        <w:rPr>
          <w:rFonts w:ascii="Verdana" w:hAnsi="Verdana"/>
          <w:bCs/>
          <w:sz w:val="16"/>
          <w:szCs w:val="16"/>
          <w:lang w:val="es-CO"/>
        </w:rPr>
        <w:t> y </w:t>
      </w:r>
      <w:hyperlink r:id="rId3" w:anchor="21" w:history="1">
        <w:r w:rsidRPr="00DE4BCE">
          <w:rPr>
            <w:rStyle w:val="Hipervnculo"/>
            <w:rFonts w:ascii="Verdana" w:hAnsi="Verdana"/>
            <w:bCs/>
            <w:color w:val="auto"/>
            <w:sz w:val="16"/>
            <w:szCs w:val="16"/>
            <w:u w:val="none"/>
            <w:lang w:val="es-CO"/>
          </w:rPr>
          <w:t>21</w:t>
        </w:r>
      </w:hyperlink>
      <w:r w:rsidRPr="00DE4BCE">
        <w:rPr>
          <w:rFonts w:ascii="Verdana" w:hAnsi="Verdana"/>
          <w:bCs/>
          <w:sz w:val="16"/>
          <w:szCs w:val="16"/>
          <w:lang w:val="es-CO"/>
        </w:rPr>
        <w:t> del Decreto Ley </w:t>
      </w:r>
      <w:hyperlink r:id="rId4" w:anchor="0" w:tooltip="vinculo" w:history="1">
        <w:r w:rsidRPr="00DE4BCE">
          <w:rPr>
            <w:rStyle w:val="Hipervnculo"/>
            <w:rFonts w:ascii="Verdana" w:hAnsi="Verdana"/>
            <w:bCs/>
            <w:color w:val="auto"/>
            <w:sz w:val="16"/>
            <w:szCs w:val="16"/>
            <w:u w:val="none"/>
            <w:lang w:val="es-CO"/>
          </w:rPr>
          <w:t>272 </w:t>
        </w:r>
      </w:hyperlink>
      <w:r w:rsidRPr="00DE4BCE">
        <w:rPr>
          <w:rFonts w:ascii="Verdana" w:hAnsi="Verdana"/>
          <w:bCs/>
          <w:sz w:val="16"/>
          <w:szCs w:val="16"/>
          <w:lang w:val="es-CO"/>
        </w:rPr>
        <w:t>de 2000 y los principios constitucionales de colaboración armónica y coordinación.</w:t>
      </w:r>
    </w:p>
    <w:p w14:paraId="0D4BD1C0" w14:textId="77777777" w:rsidR="00224EF8" w:rsidRPr="00DE4BCE" w:rsidRDefault="00224EF8" w:rsidP="00224EF8">
      <w:pPr>
        <w:pStyle w:val="Textonotapie"/>
        <w:ind w:firstLine="708"/>
        <w:jc w:val="both"/>
        <w:rPr>
          <w:rFonts w:ascii="Verdana" w:hAnsi="Verdana"/>
          <w:bCs/>
          <w:sz w:val="16"/>
          <w:szCs w:val="16"/>
          <w:lang w:val="es-CO"/>
        </w:rPr>
      </w:pPr>
      <w:r w:rsidRPr="00DE4BCE">
        <w:rPr>
          <w:rFonts w:ascii="Verdana" w:hAnsi="Verdana"/>
          <w:bCs/>
          <w:sz w:val="16"/>
          <w:szCs w:val="16"/>
          <w:lang w:val="es-CO"/>
        </w:rPr>
        <w:t>La Auditoría General de la República podrá obtener la información sobre los procesos auditores, los procesos de responsabilidad fiscal, sancionatorios administrativos fiscales y de cobro coactivo, adelantados por todas las contralorías territoriales, sin excepción u oponibilidad, para medir los resultados de su gestión o cuando se presuma que en la misma pudo haber ocurrido daño patrimonial</w:t>
      </w:r>
      <w:r>
        <w:rPr>
          <w:rFonts w:ascii="Verdana" w:hAnsi="Verdana"/>
          <w:bCs/>
          <w:sz w:val="16"/>
          <w:szCs w:val="16"/>
          <w:lang w:val="es-CO"/>
        </w:rPr>
        <w:t>”</w:t>
      </w:r>
      <w:r w:rsidRPr="00DE4BCE">
        <w:rPr>
          <w:rFonts w:ascii="Verdana" w:hAnsi="Verdana"/>
          <w:bCs/>
          <w:sz w:val="16"/>
          <w:szCs w:val="16"/>
          <w:lang w:val="es-CO"/>
        </w:rPr>
        <w:t>.</w:t>
      </w:r>
    </w:p>
    <w:p w14:paraId="30BA6F5E" w14:textId="77777777" w:rsidR="00224EF8" w:rsidRPr="00DE4BCE" w:rsidRDefault="00224EF8" w:rsidP="00224EF8">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1D7128" w:rsidRDefault="001D712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1D7128" w:rsidRDefault="001D7128">
    <w:pPr>
      <w:pStyle w:val="Encabezado"/>
    </w:pPr>
  </w:p>
  <w:p w14:paraId="3079FC11" w14:textId="77777777" w:rsidR="001D7128" w:rsidRDefault="001D7128" w:rsidP="004A305D">
    <w:pPr>
      <w:spacing w:after="0"/>
      <w:rPr>
        <w:rFonts w:ascii="Verdana" w:hAnsi="Verdana"/>
        <w:b/>
        <w:bCs/>
      </w:rPr>
    </w:pPr>
  </w:p>
  <w:p w14:paraId="5E18350A" w14:textId="705F7B76" w:rsidR="001D7128" w:rsidRPr="004A305D" w:rsidRDefault="001D7128" w:rsidP="00B01B1A">
    <w:pPr>
      <w:spacing w:after="0" w:line="120" w:lineRule="auto"/>
      <w:rPr>
        <w:rFonts w:ascii="Century Gothic" w:eastAsia="Geo" w:hAnsi="Century Gothic" w:cs="Geo"/>
        <w:sz w:val="16"/>
        <w:szCs w:val="16"/>
        <w:lang w:eastAsia="es-CO"/>
      </w:rPr>
    </w:pPr>
  </w:p>
  <w:p w14:paraId="1FD1C243" w14:textId="6D74A3CF" w:rsidR="001D7128" w:rsidRDefault="001D7128"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F50E01"/>
    <w:multiLevelType w:val="multilevel"/>
    <w:tmpl w:val="033EB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886406B"/>
    <w:multiLevelType w:val="multilevel"/>
    <w:tmpl w:val="F5F2F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3924FDD"/>
    <w:multiLevelType w:val="multilevel"/>
    <w:tmpl w:val="0F9C2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0F736BA"/>
    <w:multiLevelType w:val="hybridMultilevel"/>
    <w:tmpl w:val="8B64E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490472F2"/>
    <w:multiLevelType w:val="hybridMultilevel"/>
    <w:tmpl w:val="167ABF28"/>
    <w:lvl w:ilvl="0" w:tplc="0AC2F006">
      <w:numFmt w:val="bullet"/>
      <w:lvlText w:val=""/>
      <w:lvlJc w:val="left"/>
      <w:pPr>
        <w:ind w:left="1181" w:hanging="360"/>
      </w:pPr>
      <w:rPr>
        <w:rFonts w:ascii="Symbol" w:eastAsia="Symbol" w:hAnsi="Symbol" w:cs="Symbol" w:hint="default"/>
        <w:b w:val="0"/>
        <w:bCs w:val="0"/>
        <w:i w:val="0"/>
        <w:iCs w:val="0"/>
        <w:spacing w:val="0"/>
        <w:w w:val="100"/>
        <w:sz w:val="22"/>
        <w:szCs w:val="22"/>
        <w:lang w:val="es-ES" w:eastAsia="en-US" w:bidi="ar-SA"/>
      </w:rPr>
    </w:lvl>
    <w:lvl w:ilvl="1" w:tplc="B3B6F79E">
      <w:numFmt w:val="bullet"/>
      <w:lvlText w:val="•"/>
      <w:lvlJc w:val="left"/>
      <w:pPr>
        <w:ind w:left="1998" w:hanging="360"/>
      </w:pPr>
      <w:rPr>
        <w:rFonts w:hint="default"/>
        <w:lang w:val="es-ES" w:eastAsia="en-US" w:bidi="ar-SA"/>
      </w:rPr>
    </w:lvl>
    <w:lvl w:ilvl="2" w:tplc="0B3C5E0E">
      <w:numFmt w:val="bullet"/>
      <w:lvlText w:val="•"/>
      <w:lvlJc w:val="left"/>
      <w:pPr>
        <w:ind w:left="2816" w:hanging="360"/>
      </w:pPr>
      <w:rPr>
        <w:rFonts w:hint="default"/>
        <w:lang w:val="es-ES" w:eastAsia="en-US" w:bidi="ar-SA"/>
      </w:rPr>
    </w:lvl>
    <w:lvl w:ilvl="3" w:tplc="B7862390">
      <w:numFmt w:val="bullet"/>
      <w:lvlText w:val="•"/>
      <w:lvlJc w:val="left"/>
      <w:pPr>
        <w:ind w:left="3634" w:hanging="360"/>
      </w:pPr>
      <w:rPr>
        <w:rFonts w:hint="default"/>
        <w:lang w:val="es-ES" w:eastAsia="en-US" w:bidi="ar-SA"/>
      </w:rPr>
    </w:lvl>
    <w:lvl w:ilvl="4" w:tplc="90E87D84">
      <w:numFmt w:val="bullet"/>
      <w:lvlText w:val="•"/>
      <w:lvlJc w:val="left"/>
      <w:pPr>
        <w:ind w:left="4452" w:hanging="360"/>
      </w:pPr>
      <w:rPr>
        <w:rFonts w:hint="default"/>
        <w:lang w:val="es-ES" w:eastAsia="en-US" w:bidi="ar-SA"/>
      </w:rPr>
    </w:lvl>
    <w:lvl w:ilvl="5" w:tplc="9BE638DC">
      <w:numFmt w:val="bullet"/>
      <w:lvlText w:val="•"/>
      <w:lvlJc w:val="left"/>
      <w:pPr>
        <w:ind w:left="5270" w:hanging="360"/>
      </w:pPr>
      <w:rPr>
        <w:rFonts w:hint="default"/>
        <w:lang w:val="es-ES" w:eastAsia="en-US" w:bidi="ar-SA"/>
      </w:rPr>
    </w:lvl>
    <w:lvl w:ilvl="6" w:tplc="994A4E1C">
      <w:numFmt w:val="bullet"/>
      <w:lvlText w:val="•"/>
      <w:lvlJc w:val="left"/>
      <w:pPr>
        <w:ind w:left="6088" w:hanging="360"/>
      </w:pPr>
      <w:rPr>
        <w:rFonts w:hint="default"/>
        <w:lang w:val="es-ES" w:eastAsia="en-US" w:bidi="ar-SA"/>
      </w:rPr>
    </w:lvl>
    <w:lvl w:ilvl="7" w:tplc="1E40C10C">
      <w:numFmt w:val="bullet"/>
      <w:lvlText w:val="•"/>
      <w:lvlJc w:val="left"/>
      <w:pPr>
        <w:ind w:left="6906" w:hanging="360"/>
      </w:pPr>
      <w:rPr>
        <w:rFonts w:hint="default"/>
        <w:lang w:val="es-ES" w:eastAsia="en-US" w:bidi="ar-SA"/>
      </w:rPr>
    </w:lvl>
    <w:lvl w:ilvl="8" w:tplc="9874411C">
      <w:numFmt w:val="bullet"/>
      <w:lvlText w:val="•"/>
      <w:lvlJc w:val="left"/>
      <w:pPr>
        <w:ind w:left="7724" w:hanging="360"/>
      </w:pPr>
      <w:rPr>
        <w:rFonts w:hint="default"/>
        <w:lang w:val="es-ES" w:eastAsia="en-US" w:bidi="ar-SA"/>
      </w:rPr>
    </w:lvl>
  </w:abstractNum>
  <w:abstractNum w:abstractNumId="21"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22"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3"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6"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0711A51"/>
    <w:multiLevelType w:val="hybridMultilevel"/>
    <w:tmpl w:val="A518028C"/>
    <w:lvl w:ilvl="0" w:tplc="063EE9EE">
      <w:start w:val="1"/>
      <w:numFmt w:val="decimal"/>
      <w:lvlText w:val="%1."/>
      <w:lvlJc w:val="left"/>
      <w:pPr>
        <w:ind w:left="545" w:hanging="284"/>
      </w:pPr>
      <w:rPr>
        <w:rFonts w:ascii="Verdana" w:eastAsia="Verdana" w:hAnsi="Verdana" w:cs="Verdana" w:hint="default"/>
        <w:b/>
        <w:bCs/>
        <w:i w:val="0"/>
        <w:iCs w:val="0"/>
        <w:spacing w:val="-1"/>
        <w:w w:val="99"/>
        <w:sz w:val="22"/>
        <w:szCs w:val="22"/>
        <w:lang w:val="es-ES" w:eastAsia="en-US" w:bidi="ar-SA"/>
      </w:rPr>
    </w:lvl>
    <w:lvl w:ilvl="1" w:tplc="E3C4932E">
      <w:start w:val="1"/>
      <w:numFmt w:val="lowerLetter"/>
      <w:lvlText w:val="%2)"/>
      <w:lvlJc w:val="left"/>
      <w:pPr>
        <w:ind w:left="261" w:hanging="383"/>
      </w:pPr>
      <w:rPr>
        <w:rFonts w:ascii="Verdana" w:eastAsia="Verdana" w:hAnsi="Verdana" w:cs="Verdana" w:hint="default"/>
        <w:b w:val="0"/>
        <w:bCs w:val="0"/>
        <w:i w:val="0"/>
        <w:iCs w:val="0"/>
        <w:spacing w:val="-1"/>
        <w:w w:val="99"/>
        <w:sz w:val="22"/>
        <w:szCs w:val="22"/>
        <w:lang w:val="es-ES" w:eastAsia="en-US" w:bidi="ar-SA"/>
      </w:rPr>
    </w:lvl>
    <w:lvl w:ilvl="2" w:tplc="B1BCF86C">
      <w:start w:val="1"/>
      <w:numFmt w:val="lowerLetter"/>
      <w:lvlText w:val="%3)"/>
      <w:lvlJc w:val="left"/>
      <w:pPr>
        <w:ind w:left="981" w:hanging="360"/>
      </w:pPr>
      <w:rPr>
        <w:rFonts w:ascii="Verdana" w:eastAsia="Verdana" w:hAnsi="Verdana" w:cs="Verdana" w:hint="default"/>
        <w:b w:val="0"/>
        <w:bCs w:val="0"/>
        <w:i w:val="0"/>
        <w:iCs w:val="0"/>
        <w:spacing w:val="-1"/>
        <w:w w:val="99"/>
        <w:sz w:val="22"/>
        <w:szCs w:val="22"/>
        <w:lang w:val="es-ES" w:eastAsia="en-US" w:bidi="ar-SA"/>
      </w:rPr>
    </w:lvl>
    <w:lvl w:ilvl="3" w:tplc="DA86040E">
      <w:numFmt w:val="bullet"/>
      <w:lvlText w:val="•"/>
      <w:lvlJc w:val="left"/>
      <w:pPr>
        <w:ind w:left="2072" w:hanging="360"/>
      </w:pPr>
      <w:rPr>
        <w:rFonts w:hint="default"/>
        <w:lang w:val="es-ES" w:eastAsia="en-US" w:bidi="ar-SA"/>
      </w:rPr>
    </w:lvl>
    <w:lvl w:ilvl="4" w:tplc="CE88E080">
      <w:numFmt w:val="bullet"/>
      <w:lvlText w:val="•"/>
      <w:lvlJc w:val="left"/>
      <w:pPr>
        <w:ind w:left="3165" w:hanging="360"/>
      </w:pPr>
      <w:rPr>
        <w:rFonts w:hint="default"/>
        <w:lang w:val="es-ES" w:eastAsia="en-US" w:bidi="ar-SA"/>
      </w:rPr>
    </w:lvl>
    <w:lvl w:ilvl="5" w:tplc="1B5AB794">
      <w:numFmt w:val="bullet"/>
      <w:lvlText w:val="•"/>
      <w:lvlJc w:val="left"/>
      <w:pPr>
        <w:ind w:left="4257" w:hanging="360"/>
      </w:pPr>
      <w:rPr>
        <w:rFonts w:hint="default"/>
        <w:lang w:val="es-ES" w:eastAsia="en-US" w:bidi="ar-SA"/>
      </w:rPr>
    </w:lvl>
    <w:lvl w:ilvl="6" w:tplc="57C474B0">
      <w:numFmt w:val="bullet"/>
      <w:lvlText w:val="•"/>
      <w:lvlJc w:val="left"/>
      <w:pPr>
        <w:ind w:left="5350" w:hanging="360"/>
      </w:pPr>
      <w:rPr>
        <w:rFonts w:hint="default"/>
        <w:lang w:val="es-ES" w:eastAsia="en-US" w:bidi="ar-SA"/>
      </w:rPr>
    </w:lvl>
    <w:lvl w:ilvl="7" w:tplc="ED962E92">
      <w:numFmt w:val="bullet"/>
      <w:lvlText w:val="•"/>
      <w:lvlJc w:val="left"/>
      <w:pPr>
        <w:ind w:left="6442" w:hanging="360"/>
      </w:pPr>
      <w:rPr>
        <w:rFonts w:hint="default"/>
        <w:lang w:val="es-ES" w:eastAsia="en-US" w:bidi="ar-SA"/>
      </w:rPr>
    </w:lvl>
    <w:lvl w:ilvl="8" w:tplc="E7EC06B6">
      <w:numFmt w:val="bullet"/>
      <w:lvlText w:val="•"/>
      <w:lvlJc w:val="left"/>
      <w:pPr>
        <w:ind w:left="7535" w:hanging="360"/>
      </w:pPr>
      <w:rPr>
        <w:rFonts w:hint="default"/>
        <w:lang w:val="es-ES" w:eastAsia="en-US" w:bidi="ar-SA"/>
      </w:rPr>
    </w:lvl>
  </w:abstractNum>
  <w:abstractNum w:abstractNumId="28" w15:restartNumberingAfterBreak="0">
    <w:nsid w:val="61E905C1"/>
    <w:multiLevelType w:val="hybridMultilevel"/>
    <w:tmpl w:val="84F880E2"/>
    <w:lvl w:ilvl="0" w:tplc="60586CCE">
      <w:start w:val="4"/>
      <w:numFmt w:val="lowerLetter"/>
      <w:lvlText w:val="%1)"/>
      <w:lvlJc w:val="left"/>
      <w:pPr>
        <w:ind w:left="1069" w:hanging="360"/>
      </w:pPr>
      <w:rPr>
        <w:rFonts w:hint="default"/>
      </w:rPr>
    </w:lvl>
    <w:lvl w:ilvl="1" w:tplc="04090019">
      <w:start w:val="1"/>
      <w:numFmt w:val="lowerLetter"/>
      <w:lvlText w:val="%2."/>
      <w:lvlJc w:val="left"/>
      <w:pPr>
        <w:ind w:left="1789" w:hanging="360"/>
      </w:pPr>
    </w:lvl>
    <w:lvl w:ilvl="2" w:tplc="0409001B">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015615411">
    <w:abstractNumId w:val="16"/>
  </w:num>
  <w:num w:numId="2" w16cid:durableId="1353653908">
    <w:abstractNumId w:val="3"/>
  </w:num>
  <w:num w:numId="3" w16cid:durableId="1982464663">
    <w:abstractNumId w:val="14"/>
  </w:num>
  <w:num w:numId="4" w16cid:durableId="207284776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70283462">
    <w:abstractNumId w:val="3"/>
  </w:num>
  <w:num w:numId="6" w16cid:durableId="381369368">
    <w:abstractNumId w:val="33"/>
  </w:num>
  <w:num w:numId="7" w16cid:durableId="253708288">
    <w:abstractNumId w:val="15"/>
  </w:num>
  <w:num w:numId="8" w16cid:durableId="1136872422">
    <w:abstractNumId w:val="32"/>
  </w:num>
  <w:num w:numId="9" w16cid:durableId="942155450">
    <w:abstractNumId w:val="17"/>
  </w:num>
  <w:num w:numId="10" w16cid:durableId="1259868781">
    <w:abstractNumId w:val="30"/>
  </w:num>
  <w:num w:numId="11" w16cid:durableId="880021753">
    <w:abstractNumId w:val="18"/>
  </w:num>
  <w:num w:numId="12" w16cid:durableId="872228189">
    <w:abstractNumId w:val="2"/>
  </w:num>
  <w:num w:numId="13" w16cid:durableId="629433139">
    <w:abstractNumId w:val="10"/>
  </w:num>
  <w:num w:numId="14" w16cid:durableId="1762411285">
    <w:abstractNumId w:val="34"/>
  </w:num>
  <w:num w:numId="15" w16cid:durableId="1561789291">
    <w:abstractNumId w:val="29"/>
  </w:num>
  <w:num w:numId="16" w16cid:durableId="205044785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15353504">
    <w:abstractNumId w:val="7"/>
  </w:num>
  <w:num w:numId="18" w16cid:durableId="1006858511">
    <w:abstractNumId w:val="25"/>
  </w:num>
  <w:num w:numId="19" w16cid:durableId="2026667273">
    <w:abstractNumId w:val="12"/>
  </w:num>
  <w:num w:numId="20" w16cid:durableId="812677715">
    <w:abstractNumId w:val="19"/>
  </w:num>
  <w:num w:numId="21" w16cid:durableId="695272394">
    <w:abstractNumId w:val="35"/>
  </w:num>
  <w:num w:numId="22" w16cid:durableId="189417641">
    <w:abstractNumId w:val="21"/>
  </w:num>
  <w:num w:numId="23" w16cid:durableId="845902112">
    <w:abstractNumId w:val="0"/>
  </w:num>
  <w:num w:numId="24" w16cid:durableId="1304193134">
    <w:abstractNumId w:val="26"/>
  </w:num>
  <w:num w:numId="25" w16cid:durableId="746345182">
    <w:abstractNumId w:val="23"/>
  </w:num>
  <w:num w:numId="26" w16cid:durableId="366836323">
    <w:abstractNumId w:val="22"/>
  </w:num>
  <w:num w:numId="27" w16cid:durableId="1753425629">
    <w:abstractNumId w:val="8"/>
  </w:num>
  <w:num w:numId="28" w16cid:durableId="402340929">
    <w:abstractNumId w:val="11"/>
  </w:num>
  <w:num w:numId="29" w16cid:durableId="70272492">
    <w:abstractNumId w:val="5"/>
  </w:num>
  <w:num w:numId="30" w16cid:durableId="1755396974">
    <w:abstractNumId w:val="6"/>
  </w:num>
  <w:num w:numId="31" w16cid:durableId="500002604">
    <w:abstractNumId w:val="24"/>
  </w:num>
  <w:num w:numId="32" w16cid:durableId="997612349">
    <w:abstractNumId w:val="31"/>
  </w:num>
  <w:num w:numId="33" w16cid:durableId="1253975430">
    <w:abstractNumId w:val="27"/>
  </w:num>
  <w:num w:numId="34" w16cid:durableId="1009795925">
    <w:abstractNumId w:val="13"/>
  </w:num>
  <w:num w:numId="35" w16cid:durableId="2064063670">
    <w:abstractNumId w:val="28"/>
  </w:num>
  <w:num w:numId="36" w16cid:durableId="1574511393">
    <w:abstractNumId w:val="20"/>
  </w:num>
  <w:num w:numId="37" w16cid:durableId="952856845">
    <w:abstractNumId w:val="1"/>
  </w:num>
  <w:num w:numId="38" w16cid:durableId="1280917307">
    <w:abstractNumId w:val="9"/>
  </w:num>
  <w:num w:numId="39" w16cid:durableId="900135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25A3"/>
    <w:rsid w:val="000039A2"/>
    <w:rsid w:val="000062F3"/>
    <w:rsid w:val="0000797D"/>
    <w:rsid w:val="0001328B"/>
    <w:rsid w:val="0002077F"/>
    <w:rsid w:val="000224F2"/>
    <w:rsid w:val="00023C3E"/>
    <w:rsid w:val="0002470C"/>
    <w:rsid w:val="0002653B"/>
    <w:rsid w:val="00032821"/>
    <w:rsid w:val="00036498"/>
    <w:rsid w:val="00040F37"/>
    <w:rsid w:val="00041860"/>
    <w:rsid w:val="0004434A"/>
    <w:rsid w:val="0005281E"/>
    <w:rsid w:val="000539CB"/>
    <w:rsid w:val="0005474B"/>
    <w:rsid w:val="0005682C"/>
    <w:rsid w:val="00056D71"/>
    <w:rsid w:val="00061B2A"/>
    <w:rsid w:val="00062BAF"/>
    <w:rsid w:val="000630B9"/>
    <w:rsid w:val="000635D0"/>
    <w:rsid w:val="000643B2"/>
    <w:rsid w:val="00065E80"/>
    <w:rsid w:val="0007022C"/>
    <w:rsid w:val="00071DE6"/>
    <w:rsid w:val="0007232E"/>
    <w:rsid w:val="00077439"/>
    <w:rsid w:val="000774B8"/>
    <w:rsid w:val="00082362"/>
    <w:rsid w:val="0008328D"/>
    <w:rsid w:val="00083B95"/>
    <w:rsid w:val="00084D59"/>
    <w:rsid w:val="000876F0"/>
    <w:rsid w:val="00090C58"/>
    <w:rsid w:val="000911DA"/>
    <w:rsid w:val="000920CF"/>
    <w:rsid w:val="0009387A"/>
    <w:rsid w:val="0009387B"/>
    <w:rsid w:val="000963C6"/>
    <w:rsid w:val="00096C02"/>
    <w:rsid w:val="0009762F"/>
    <w:rsid w:val="000A31B9"/>
    <w:rsid w:val="000A3330"/>
    <w:rsid w:val="000A3D63"/>
    <w:rsid w:val="000A683A"/>
    <w:rsid w:val="000A683E"/>
    <w:rsid w:val="000B1082"/>
    <w:rsid w:val="000B158F"/>
    <w:rsid w:val="000B19B9"/>
    <w:rsid w:val="000C2889"/>
    <w:rsid w:val="000C53BE"/>
    <w:rsid w:val="000D0152"/>
    <w:rsid w:val="000D0334"/>
    <w:rsid w:val="000D25D7"/>
    <w:rsid w:val="000D3B29"/>
    <w:rsid w:val="000D42B3"/>
    <w:rsid w:val="000E06F4"/>
    <w:rsid w:val="000E0F63"/>
    <w:rsid w:val="000E4CE4"/>
    <w:rsid w:val="000F1C56"/>
    <w:rsid w:val="000F4D07"/>
    <w:rsid w:val="000F6486"/>
    <w:rsid w:val="000F669F"/>
    <w:rsid w:val="001063B3"/>
    <w:rsid w:val="00107ACA"/>
    <w:rsid w:val="001114A9"/>
    <w:rsid w:val="00111979"/>
    <w:rsid w:val="00116537"/>
    <w:rsid w:val="00117B68"/>
    <w:rsid w:val="00120766"/>
    <w:rsid w:val="00121EA1"/>
    <w:rsid w:val="001240BD"/>
    <w:rsid w:val="00125105"/>
    <w:rsid w:val="00127233"/>
    <w:rsid w:val="00131BF8"/>
    <w:rsid w:val="00131D34"/>
    <w:rsid w:val="0013422E"/>
    <w:rsid w:val="00143E81"/>
    <w:rsid w:val="00143FD9"/>
    <w:rsid w:val="00145047"/>
    <w:rsid w:val="001450FF"/>
    <w:rsid w:val="00146C57"/>
    <w:rsid w:val="00147078"/>
    <w:rsid w:val="00150565"/>
    <w:rsid w:val="001514FA"/>
    <w:rsid w:val="00151952"/>
    <w:rsid w:val="00160D5C"/>
    <w:rsid w:val="0016332F"/>
    <w:rsid w:val="00165268"/>
    <w:rsid w:val="001717E9"/>
    <w:rsid w:val="0017238A"/>
    <w:rsid w:val="00180A30"/>
    <w:rsid w:val="0018159B"/>
    <w:rsid w:val="00185EE9"/>
    <w:rsid w:val="00187F79"/>
    <w:rsid w:val="00191775"/>
    <w:rsid w:val="0019251B"/>
    <w:rsid w:val="00195992"/>
    <w:rsid w:val="00196153"/>
    <w:rsid w:val="00197274"/>
    <w:rsid w:val="001979E2"/>
    <w:rsid w:val="001A237A"/>
    <w:rsid w:val="001A26CF"/>
    <w:rsid w:val="001A2919"/>
    <w:rsid w:val="001B0A41"/>
    <w:rsid w:val="001B2717"/>
    <w:rsid w:val="001B2CFE"/>
    <w:rsid w:val="001C10B9"/>
    <w:rsid w:val="001C222E"/>
    <w:rsid w:val="001C22F9"/>
    <w:rsid w:val="001D1C29"/>
    <w:rsid w:val="001D318E"/>
    <w:rsid w:val="001D7128"/>
    <w:rsid w:val="001E3C06"/>
    <w:rsid w:val="001E4177"/>
    <w:rsid w:val="001F4EFD"/>
    <w:rsid w:val="001F5E13"/>
    <w:rsid w:val="001F6D11"/>
    <w:rsid w:val="001F7DC6"/>
    <w:rsid w:val="00202886"/>
    <w:rsid w:val="00206A83"/>
    <w:rsid w:val="002133F0"/>
    <w:rsid w:val="00215CEF"/>
    <w:rsid w:val="00217A08"/>
    <w:rsid w:val="00220B77"/>
    <w:rsid w:val="00221D27"/>
    <w:rsid w:val="00224EF8"/>
    <w:rsid w:val="0022564A"/>
    <w:rsid w:val="00227C89"/>
    <w:rsid w:val="002307E9"/>
    <w:rsid w:val="00237233"/>
    <w:rsid w:val="002421BB"/>
    <w:rsid w:val="00246A81"/>
    <w:rsid w:val="00251A5F"/>
    <w:rsid w:val="0025796E"/>
    <w:rsid w:val="002603E5"/>
    <w:rsid w:val="00260FD9"/>
    <w:rsid w:val="002638B2"/>
    <w:rsid w:val="002660F2"/>
    <w:rsid w:val="002664BB"/>
    <w:rsid w:val="00267317"/>
    <w:rsid w:val="002703AA"/>
    <w:rsid w:val="002707A2"/>
    <w:rsid w:val="00270FB6"/>
    <w:rsid w:val="002715B9"/>
    <w:rsid w:val="00273D8D"/>
    <w:rsid w:val="00281E93"/>
    <w:rsid w:val="002835A6"/>
    <w:rsid w:val="002844ED"/>
    <w:rsid w:val="00290EBC"/>
    <w:rsid w:val="002951A0"/>
    <w:rsid w:val="002962BC"/>
    <w:rsid w:val="002A093D"/>
    <w:rsid w:val="002A0DC4"/>
    <w:rsid w:val="002A0DD0"/>
    <w:rsid w:val="002A2CDE"/>
    <w:rsid w:val="002A460C"/>
    <w:rsid w:val="002A49AC"/>
    <w:rsid w:val="002A5BC8"/>
    <w:rsid w:val="002A64FD"/>
    <w:rsid w:val="002A6BBF"/>
    <w:rsid w:val="002B1E57"/>
    <w:rsid w:val="002B1F7F"/>
    <w:rsid w:val="002B290B"/>
    <w:rsid w:val="002B631F"/>
    <w:rsid w:val="002B6519"/>
    <w:rsid w:val="002B73B9"/>
    <w:rsid w:val="002C110E"/>
    <w:rsid w:val="002C379A"/>
    <w:rsid w:val="002C765E"/>
    <w:rsid w:val="002C7A84"/>
    <w:rsid w:val="002D0F6A"/>
    <w:rsid w:val="002D13A1"/>
    <w:rsid w:val="002D39D5"/>
    <w:rsid w:val="002D3F0D"/>
    <w:rsid w:val="002D49D3"/>
    <w:rsid w:val="002E1D98"/>
    <w:rsid w:val="002E2C3F"/>
    <w:rsid w:val="002E2F4F"/>
    <w:rsid w:val="002E4FD9"/>
    <w:rsid w:val="002E6F15"/>
    <w:rsid w:val="002F13FD"/>
    <w:rsid w:val="002F533E"/>
    <w:rsid w:val="00303544"/>
    <w:rsid w:val="003039C1"/>
    <w:rsid w:val="00310DBE"/>
    <w:rsid w:val="00311C99"/>
    <w:rsid w:val="0031430F"/>
    <w:rsid w:val="00320BBD"/>
    <w:rsid w:val="00322A85"/>
    <w:rsid w:val="003232A5"/>
    <w:rsid w:val="00324168"/>
    <w:rsid w:val="0033032A"/>
    <w:rsid w:val="00334C6A"/>
    <w:rsid w:val="00336C05"/>
    <w:rsid w:val="00340983"/>
    <w:rsid w:val="00340C6A"/>
    <w:rsid w:val="00342675"/>
    <w:rsid w:val="00343512"/>
    <w:rsid w:val="003448F4"/>
    <w:rsid w:val="00345112"/>
    <w:rsid w:val="00345330"/>
    <w:rsid w:val="003528DF"/>
    <w:rsid w:val="00352C12"/>
    <w:rsid w:val="00354BCA"/>
    <w:rsid w:val="00354F33"/>
    <w:rsid w:val="0036594E"/>
    <w:rsid w:val="003665EE"/>
    <w:rsid w:val="0037010E"/>
    <w:rsid w:val="00371EDF"/>
    <w:rsid w:val="003734F4"/>
    <w:rsid w:val="00373BE8"/>
    <w:rsid w:val="00374F5E"/>
    <w:rsid w:val="00377E2D"/>
    <w:rsid w:val="00377E3E"/>
    <w:rsid w:val="003815E8"/>
    <w:rsid w:val="00382B7C"/>
    <w:rsid w:val="003906F8"/>
    <w:rsid w:val="003907E7"/>
    <w:rsid w:val="00392A49"/>
    <w:rsid w:val="003A1844"/>
    <w:rsid w:val="003A1F88"/>
    <w:rsid w:val="003A26D1"/>
    <w:rsid w:val="003A3B30"/>
    <w:rsid w:val="003A779E"/>
    <w:rsid w:val="003B005A"/>
    <w:rsid w:val="003B0EAC"/>
    <w:rsid w:val="003C1BFE"/>
    <w:rsid w:val="003C1C0E"/>
    <w:rsid w:val="003C3FA5"/>
    <w:rsid w:val="003D0F4D"/>
    <w:rsid w:val="003D5B0D"/>
    <w:rsid w:val="003D66C4"/>
    <w:rsid w:val="003E0499"/>
    <w:rsid w:val="003E40F2"/>
    <w:rsid w:val="003E60AE"/>
    <w:rsid w:val="003F3941"/>
    <w:rsid w:val="003F4BAF"/>
    <w:rsid w:val="003F795B"/>
    <w:rsid w:val="00400676"/>
    <w:rsid w:val="004008A9"/>
    <w:rsid w:val="00405A3E"/>
    <w:rsid w:val="00406575"/>
    <w:rsid w:val="00407C75"/>
    <w:rsid w:val="00410906"/>
    <w:rsid w:val="0041655A"/>
    <w:rsid w:val="0041694B"/>
    <w:rsid w:val="00426FD7"/>
    <w:rsid w:val="0042722E"/>
    <w:rsid w:val="00427DA0"/>
    <w:rsid w:val="0043485F"/>
    <w:rsid w:val="00440391"/>
    <w:rsid w:val="00441FCF"/>
    <w:rsid w:val="00442C7F"/>
    <w:rsid w:val="0044528D"/>
    <w:rsid w:val="00447218"/>
    <w:rsid w:val="00450920"/>
    <w:rsid w:val="00454D48"/>
    <w:rsid w:val="004554F9"/>
    <w:rsid w:val="0046004D"/>
    <w:rsid w:val="004633DE"/>
    <w:rsid w:val="0046513D"/>
    <w:rsid w:val="00465E71"/>
    <w:rsid w:val="00470571"/>
    <w:rsid w:val="004712E0"/>
    <w:rsid w:val="004734BD"/>
    <w:rsid w:val="00474931"/>
    <w:rsid w:val="00482608"/>
    <w:rsid w:val="00483749"/>
    <w:rsid w:val="00484809"/>
    <w:rsid w:val="00484BB1"/>
    <w:rsid w:val="004871C2"/>
    <w:rsid w:val="004A0980"/>
    <w:rsid w:val="004A0B8B"/>
    <w:rsid w:val="004A1847"/>
    <w:rsid w:val="004A305D"/>
    <w:rsid w:val="004A3312"/>
    <w:rsid w:val="004A6D9B"/>
    <w:rsid w:val="004B0CA2"/>
    <w:rsid w:val="004B6F2F"/>
    <w:rsid w:val="004B703F"/>
    <w:rsid w:val="004B740F"/>
    <w:rsid w:val="004C37CC"/>
    <w:rsid w:val="004C4B37"/>
    <w:rsid w:val="004D026D"/>
    <w:rsid w:val="004D3A9E"/>
    <w:rsid w:val="004D46AB"/>
    <w:rsid w:val="004D5998"/>
    <w:rsid w:val="004D657F"/>
    <w:rsid w:val="004E221E"/>
    <w:rsid w:val="004E2892"/>
    <w:rsid w:val="004E2BAE"/>
    <w:rsid w:val="004E4C0B"/>
    <w:rsid w:val="004E505B"/>
    <w:rsid w:val="004F21C4"/>
    <w:rsid w:val="004F2B72"/>
    <w:rsid w:val="004F3012"/>
    <w:rsid w:val="004F5559"/>
    <w:rsid w:val="004F5A86"/>
    <w:rsid w:val="004F685F"/>
    <w:rsid w:val="004F7EC9"/>
    <w:rsid w:val="00504CBE"/>
    <w:rsid w:val="00514598"/>
    <w:rsid w:val="00515557"/>
    <w:rsid w:val="00515E1E"/>
    <w:rsid w:val="005163B5"/>
    <w:rsid w:val="0052543A"/>
    <w:rsid w:val="0052785C"/>
    <w:rsid w:val="00533E1B"/>
    <w:rsid w:val="0054043A"/>
    <w:rsid w:val="00540C2D"/>
    <w:rsid w:val="00541685"/>
    <w:rsid w:val="00541793"/>
    <w:rsid w:val="00552502"/>
    <w:rsid w:val="00552DF8"/>
    <w:rsid w:val="005566E8"/>
    <w:rsid w:val="00560CB5"/>
    <w:rsid w:val="00564F8B"/>
    <w:rsid w:val="00570DE1"/>
    <w:rsid w:val="00574122"/>
    <w:rsid w:val="00574867"/>
    <w:rsid w:val="0057702A"/>
    <w:rsid w:val="00577D09"/>
    <w:rsid w:val="0058087F"/>
    <w:rsid w:val="00591460"/>
    <w:rsid w:val="00592628"/>
    <w:rsid w:val="00597C75"/>
    <w:rsid w:val="005A0868"/>
    <w:rsid w:val="005A0CFB"/>
    <w:rsid w:val="005A282F"/>
    <w:rsid w:val="005A2AC9"/>
    <w:rsid w:val="005A2D71"/>
    <w:rsid w:val="005B2C3C"/>
    <w:rsid w:val="005B2CCE"/>
    <w:rsid w:val="005B496D"/>
    <w:rsid w:val="005B58C1"/>
    <w:rsid w:val="005B6033"/>
    <w:rsid w:val="005C053C"/>
    <w:rsid w:val="005C128B"/>
    <w:rsid w:val="005C3777"/>
    <w:rsid w:val="005C3C16"/>
    <w:rsid w:val="005C5CDC"/>
    <w:rsid w:val="005C6939"/>
    <w:rsid w:val="005C7629"/>
    <w:rsid w:val="005D17C8"/>
    <w:rsid w:val="005D2649"/>
    <w:rsid w:val="005D2B2B"/>
    <w:rsid w:val="005D476C"/>
    <w:rsid w:val="005D5F91"/>
    <w:rsid w:val="005D7B25"/>
    <w:rsid w:val="005F0EE5"/>
    <w:rsid w:val="005F62C2"/>
    <w:rsid w:val="005F7C43"/>
    <w:rsid w:val="0060080C"/>
    <w:rsid w:val="00605004"/>
    <w:rsid w:val="00605A00"/>
    <w:rsid w:val="00610812"/>
    <w:rsid w:val="00612CE7"/>
    <w:rsid w:val="00615297"/>
    <w:rsid w:val="006219F8"/>
    <w:rsid w:val="006227AC"/>
    <w:rsid w:val="00622C6F"/>
    <w:rsid w:val="006238A0"/>
    <w:rsid w:val="00624567"/>
    <w:rsid w:val="0063165E"/>
    <w:rsid w:val="0063166A"/>
    <w:rsid w:val="00632C08"/>
    <w:rsid w:val="00636BF8"/>
    <w:rsid w:val="00642DD4"/>
    <w:rsid w:val="00643577"/>
    <w:rsid w:val="00644072"/>
    <w:rsid w:val="00650FF7"/>
    <w:rsid w:val="006569FB"/>
    <w:rsid w:val="00662B5C"/>
    <w:rsid w:val="00664263"/>
    <w:rsid w:val="00664B4D"/>
    <w:rsid w:val="00665D70"/>
    <w:rsid w:val="00667199"/>
    <w:rsid w:val="00671BD2"/>
    <w:rsid w:val="00671DAC"/>
    <w:rsid w:val="006747C7"/>
    <w:rsid w:val="006827AC"/>
    <w:rsid w:val="00682AD9"/>
    <w:rsid w:val="006859A3"/>
    <w:rsid w:val="00685A0D"/>
    <w:rsid w:val="006860DA"/>
    <w:rsid w:val="006900D9"/>
    <w:rsid w:val="006A0008"/>
    <w:rsid w:val="006A10DF"/>
    <w:rsid w:val="006A3147"/>
    <w:rsid w:val="006B3285"/>
    <w:rsid w:val="006C0240"/>
    <w:rsid w:val="006C1E81"/>
    <w:rsid w:val="006C4F24"/>
    <w:rsid w:val="006C5595"/>
    <w:rsid w:val="006C6CA5"/>
    <w:rsid w:val="006D071F"/>
    <w:rsid w:val="006D12F8"/>
    <w:rsid w:val="006F0D40"/>
    <w:rsid w:val="006F2501"/>
    <w:rsid w:val="006F7C51"/>
    <w:rsid w:val="0070023F"/>
    <w:rsid w:val="00704D9B"/>
    <w:rsid w:val="00705E5F"/>
    <w:rsid w:val="00706793"/>
    <w:rsid w:val="00706C16"/>
    <w:rsid w:val="00711A1B"/>
    <w:rsid w:val="00711C85"/>
    <w:rsid w:val="0071287D"/>
    <w:rsid w:val="0071458F"/>
    <w:rsid w:val="0071627C"/>
    <w:rsid w:val="00717903"/>
    <w:rsid w:val="00723A7F"/>
    <w:rsid w:val="007312C3"/>
    <w:rsid w:val="00734494"/>
    <w:rsid w:val="00737C53"/>
    <w:rsid w:val="00737DFA"/>
    <w:rsid w:val="00741FE1"/>
    <w:rsid w:val="00751A8E"/>
    <w:rsid w:val="00752A44"/>
    <w:rsid w:val="0075663D"/>
    <w:rsid w:val="00756841"/>
    <w:rsid w:val="00762AA9"/>
    <w:rsid w:val="007649AB"/>
    <w:rsid w:val="00771D0C"/>
    <w:rsid w:val="007833AC"/>
    <w:rsid w:val="0078358E"/>
    <w:rsid w:val="00784D58"/>
    <w:rsid w:val="0078648E"/>
    <w:rsid w:val="00786FBF"/>
    <w:rsid w:val="00790AB7"/>
    <w:rsid w:val="00791769"/>
    <w:rsid w:val="007922D3"/>
    <w:rsid w:val="00796340"/>
    <w:rsid w:val="007A23EA"/>
    <w:rsid w:val="007A5189"/>
    <w:rsid w:val="007A5796"/>
    <w:rsid w:val="007B0D88"/>
    <w:rsid w:val="007B268C"/>
    <w:rsid w:val="007B59CE"/>
    <w:rsid w:val="007B5D8B"/>
    <w:rsid w:val="007B7171"/>
    <w:rsid w:val="007B7D02"/>
    <w:rsid w:val="007C0C0F"/>
    <w:rsid w:val="007C1E3A"/>
    <w:rsid w:val="007C3DC2"/>
    <w:rsid w:val="007D0457"/>
    <w:rsid w:val="007D1051"/>
    <w:rsid w:val="007D43C9"/>
    <w:rsid w:val="007E4A8D"/>
    <w:rsid w:val="007E5497"/>
    <w:rsid w:val="007F28CA"/>
    <w:rsid w:val="007F52A4"/>
    <w:rsid w:val="007F60FB"/>
    <w:rsid w:val="007F7B94"/>
    <w:rsid w:val="00804981"/>
    <w:rsid w:val="00804BC0"/>
    <w:rsid w:val="0080567E"/>
    <w:rsid w:val="00806F5F"/>
    <w:rsid w:val="008134A0"/>
    <w:rsid w:val="0081621D"/>
    <w:rsid w:val="008163D7"/>
    <w:rsid w:val="00820278"/>
    <w:rsid w:val="008202D9"/>
    <w:rsid w:val="00834530"/>
    <w:rsid w:val="00834554"/>
    <w:rsid w:val="00834B31"/>
    <w:rsid w:val="00840ADC"/>
    <w:rsid w:val="00843BF7"/>
    <w:rsid w:val="008449B3"/>
    <w:rsid w:val="00845869"/>
    <w:rsid w:val="00846276"/>
    <w:rsid w:val="00850E23"/>
    <w:rsid w:val="00851137"/>
    <w:rsid w:val="00853978"/>
    <w:rsid w:val="0085432F"/>
    <w:rsid w:val="00864209"/>
    <w:rsid w:val="008647A2"/>
    <w:rsid w:val="0086568C"/>
    <w:rsid w:val="00866586"/>
    <w:rsid w:val="00866610"/>
    <w:rsid w:val="0087325B"/>
    <w:rsid w:val="00881ABA"/>
    <w:rsid w:val="008843B6"/>
    <w:rsid w:val="00884709"/>
    <w:rsid w:val="00886C89"/>
    <w:rsid w:val="00891928"/>
    <w:rsid w:val="00894B8B"/>
    <w:rsid w:val="0089556C"/>
    <w:rsid w:val="0089599E"/>
    <w:rsid w:val="00897635"/>
    <w:rsid w:val="008A00A4"/>
    <w:rsid w:val="008A24A2"/>
    <w:rsid w:val="008A446D"/>
    <w:rsid w:val="008A4709"/>
    <w:rsid w:val="008A7A64"/>
    <w:rsid w:val="008A7F08"/>
    <w:rsid w:val="008B2F0E"/>
    <w:rsid w:val="008B5A2E"/>
    <w:rsid w:val="008C6F30"/>
    <w:rsid w:val="008C7645"/>
    <w:rsid w:val="008C7651"/>
    <w:rsid w:val="008D180B"/>
    <w:rsid w:val="008D53B6"/>
    <w:rsid w:val="008D7227"/>
    <w:rsid w:val="008E1F92"/>
    <w:rsid w:val="008E7333"/>
    <w:rsid w:val="008E7B09"/>
    <w:rsid w:val="008F0322"/>
    <w:rsid w:val="008F0EA7"/>
    <w:rsid w:val="008F2A3E"/>
    <w:rsid w:val="008F7BB9"/>
    <w:rsid w:val="009029F9"/>
    <w:rsid w:val="00904692"/>
    <w:rsid w:val="00910097"/>
    <w:rsid w:val="00911C7C"/>
    <w:rsid w:val="00913A75"/>
    <w:rsid w:val="00913DBA"/>
    <w:rsid w:val="0091561E"/>
    <w:rsid w:val="00923EEF"/>
    <w:rsid w:val="009316AD"/>
    <w:rsid w:val="009317CE"/>
    <w:rsid w:val="009411F5"/>
    <w:rsid w:val="009419F9"/>
    <w:rsid w:val="00953AA4"/>
    <w:rsid w:val="00955305"/>
    <w:rsid w:val="0095685E"/>
    <w:rsid w:val="00956E12"/>
    <w:rsid w:val="009572D9"/>
    <w:rsid w:val="009600D2"/>
    <w:rsid w:val="00961409"/>
    <w:rsid w:val="00961B09"/>
    <w:rsid w:val="00962300"/>
    <w:rsid w:val="00965334"/>
    <w:rsid w:val="00967DCC"/>
    <w:rsid w:val="0097093E"/>
    <w:rsid w:val="00971705"/>
    <w:rsid w:val="00971B6B"/>
    <w:rsid w:val="00976025"/>
    <w:rsid w:val="00977A51"/>
    <w:rsid w:val="009800BE"/>
    <w:rsid w:val="00982BD4"/>
    <w:rsid w:val="00982E41"/>
    <w:rsid w:val="00983862"/>
    <w:rsid w:val="00984649"/>
    <w:rsid w:val="009858BE"/>
    <w:rsid w:val="00987FE0"/>
    <w:rsid w:val="009A0DFA"/>
    <w:rsid w:val="009A3C2C"/>
    <w:rsid w:val="009A4A40"/>
    <w:rsid w:val="009A6D43"/>
    <w:rsid w:val="009B2D26"/>
    <w:rsid w:val="009B4864"/>
    <w:rsid w:val="009B780F"/>
    <w:rsid w:val="009C00CC"/>
    <w:rsid w:val="009C0C09"/>
    <w:rsid w:val="009C2DD0"/>
    <w:rsid w:val="009C3AC7"/>
    <w:rsid w:val="009C699C"/>
    <w:rsid w:val="009C71FA"/>
    <w:rsid w:val="009C72E7"/>
    <w:rsid w:val="009D0555"/>
    <w:rsid w:val="009D3058"/>
    <w:rsid w:val="009D3A11"/>
    <w:rsid w:val="009D44C4"/>
    <w:rsid w:val="009D67FD"/>
    <w:rsid w:val="009E5A30"/>
    <w:rsid w:val="009E6C11"/>
    <w:rsid w:val="009E7C05"/>
    <w:rsid w:val="009F3831"/>
    <w:rsid w:val="009F3832"/>
    <w:rsid w:val="009F3A13"/>
    <w:rsid w:val="009F4AB2"/>
    <w:rsid w:val="009F73F7"/>
    <w:rsid w:val="00A02465"/>
    <w:rsid w:val="00A03415"/>
    <w:rsid w:val="00A04A81"/>
    <w:rsid w:val="00A122D3"/>
    <w:rsid w:val="00A14D3D"/>
    <w:rsid w:val="00A17F13"/>
    <w:rsid w:val="00A20739"/>
    <w:rsid w:val="00A211D0"/>
    <w:rsid w:val="00A23361"/>
    <w:rsid w:val="00A24433"/>
    <w:rsid w:val="00A2443A"/>
    <w:rsid w:val="00A246FA"/>
    <w:rsid w:val="00A332DD"/>
    <w:rsid w:val="00A339A9"/>
    <w:rsid w:val="00A33C78"/>
    <w:rsid w:val="00A34B38"/>
    <w:rsid w:val="00A34D87"/>
    <w:rsid w:val="00A35538"/>
    <w:rsid w:val="00A37BC4"/>
    <w:rsid w:val="00A42050"/>
    <w:rsid w:val="00A43292"/>
    <w:rsid w:val="00A445C0"/>
    <w:rsid w:val="00A466EE"/>
    <w:rsid w:val="00A50E16"/>
    <w:rsid w:val="00A56FCA"/>
    <w:rsid w:val="00A6004A"/>
    <w:rsid w:val="00A613C2"/>
    <w:rsid w:val="00A7446C"/>
    <w:rsid w:val="00A74DE6"/>
    <w:rsid w:val="00A8086A"/>
    <w:rsid w:val="00A80F32"/>
    <w:rsid w:val="00A828B3"/>
    <w:rsid w:val="00A87F7D"/>
    <w:rsid w:val="00A9244C"/>
    <w:rsid w:val="00A94D14"/>
    <w:rsid w:val="00AA5784"/>
    <w:rsid w:val="00AB0ADB"/>
    <w:rsid w:val="00AB3FD1"/>
    <w:rsid w:val="00AB6C82"/>
    <w:rsid w:val="00AC07F2"/>
    <w:rsid w:val="00AC0EAB"/>
    <w:rsid w:val="00AC1435"/>
    <w:rsid w:val="00AC4701"/>
    <w:rsid w:val="00AC49A2"/>
    <w:rsid w:val="00AC6FA5"/>
    <w:rsid w:val="00AD73E2"/>
    <w:rsid w:val="00AE2631"/>
    <w:rsid w:val="00AF1BEC"/>
    <w:rsid w:val="00B009B8"/>
    <w:rsid w:val="00B01B1A"/>
    <w:rsid w:val="00B04B6A"/>
    <w:rsid w:val="00B07F33"/>
    <w:rsid w:val="00B109FC"/>
    <w:rsid w:val="00B14E03"/>
    <w:rsid w:val="00B225EE"/>
    <w:rsid w:val="00B24457"/>
    <w:rsid w:val="00B26B98"/>
    <w:rsid w:val="00B306A0"/>
    <w:rsid w:val="00B31124"/>
    <w:rsid w:val="00B35ADC"/>
    <w:rsid w:val="00B37C24"/>
    <w:rsid w:val="00B40FBC"/>
    <w:rsid w:val="00B46F27"/>
    <w:rsid w:val="00B47FD7"/>
    <w:rsid w:val="00B51F75"/>
    <w:rsid w:val="00B52CDB"/>
    <w:rsid w:val="00B53E27"/>
    <w:rsid w:val="00B558AF"/>
    <w:rsid w:val="00B6105C"/>
    <w:rsid w:val="00B615BA"/>
    <w:rsid w:val="00B62D8B"/>
    <w:rsid w:val="00B72CD3"/>
    <w:rsid w:val="00B72FFF"/>
    <w:rsid w:val="00B76CEB"/>
    <w:rsid w:val="00B771D1"/>
    <w:rsid w:val="00B818C3"/>
    <w:rsid w:val="00B8257D"/>
    <w:rsid w:val="00B828EF"/>
    <w:rsid w:val="00B82B8B"/>
    <w:rsid w:val="00B86FE2"/>
    <w:rsid w:val="00B87278"/>
    <w:rsid w:val="00B878ED"/>
    <w:rsid w:val="00B87F69"/>
    <w:rsid w:val="00B91186"/>
    <w:rsid w:val="00B93423"/>
    <w:rsid w:val="00BA2EF4"/>
    <w:rsid w:val="00BB08C0"/>
    <w:rsid w:val="00BC0036"/>
    <w:rsid w:val="00BC05A6"/>
    <w:rsid w:val="00BC34E2"/>
    <w:rsid w:val="00BC3D36"/>
    <w:rsid w:val="00BC4B34"/>
    <w:rsid w:val="00BC7DBD"/>
    <w:rsid w:val="00BD3612"/>
    <w:rsid w:val="00BD7F72"/>
    <w:rsid w:val="00BE03BC"/>
    <w:rsid w:val="00BE0A18"/>
    <w:rsid w:val="00BE12F9"/>
    <w:rsid w:val="00BE175E"/>
    <w:rsid w:val="00BE2120"/>
    <w:rsid w:val="00BF1201"/>
    <w:rsid w:val="00BF1D4A"/>
    <w:rsid w:val="00BF20DB"/>
    <w:rsid w:val="00BF230F"/>
    <w:rsid w:val="00BF6160"/>
    <w:rsid w:val="00C002E3"/>
    <w:rsid w:val="00C012CC"/>
    <w:rsid w:val="00C04FB3"/>
    <w:rsid w:val="00C0789C"/>
    <w:rsid w:val="00C10179"/>
    <w:rsid w:val="00C10FA6"/>
    <w:rsid w:val="00C147D0"/>
    <w:rsid w:val="00C159C1"/>
    <w:rsid w:val="00C16346"/>
    <w:rsid w:val="00C21B15"/>
    <w:rsid w:val="00C30417"/>
    <w:rsid w:val="00C32523"/>
    <w:rsid w:val="00C32EE5"/>
    <w:rsid w:val="00C330EB"/>
    <w:rsid w:val="00C371C9"/>
    <w:rsid w:val="00C40E9F"/>
    <w:rsid w:val="00C41481"/>
    <w:rsid w:val="00C42469"/>
    <w:rsid w:val="00C46D91"/>
    <w:rsid w:val="00C47A07"/>
    <w:rsid w:val="00C57281"/>
    <w:rsid w:val="00C65D65"/>
    <w:rsid w:val="00C67703"/>
    <w:rsid w:val="00C7173F"/>
    <w:rsid w:val="00C730B6"/>
    <w:rsid w:val="00C754BE"/>
    <w:rsid w:val="00C76466"/>
    <w:rsid w:val="00C76B1C"/>
    <w:rsid w:val="00C84561"/>
    <w:rsid w:val="00C915DD"/>
    <w:rsid w:val="00C91B94"/>
    <w:rsid w:val="00CA6A9D"/>
    <w:rsid w:val="00CA7F6B"/>
    <w:rsid w:val="00CA7FB6"/>
    <w:rsid w:val="00CB6357"/>
    <w:rsid w:val="00CB6BA4"/>
    <w:rsid w:val="00CC0FA3"/>
    <w:rsid w:val="00CC1B26"/>
    <w:rsid w:val="00CC49F7"/>
    <w:rsid w:val="00CC54DB"/>
    <w:rsid w:val="00CC733A"/>
    <w:rsid w:val="00CD087D"/>
    <w:rsid w:val="00CD41CB"/>
    <w:rsid w:val="00CD5EE0"/>
    <w:rsid w:val="00CE41B0"/>
    <w:rsid w:val="00CE509A"/>
    <w:rsid w:val="00CE5414"/>
    <w:rsid w:val="00CF1121"/>
    <w:rsid w:val="00CF1287"/>
    <w:rsid w:val="00CF5D8C"/>
    <w:rsid w:val="00CF77E1"/>
    <w:rsid w:val="00CF7826"/>
    <w:rsid w:val="00D0157A"/>
    <w:rsid w:val="00D036D8"/>
    <w:rsid w:val="00D038ED"/>
    <w:rsid w:val="00D06D26"/>
    <w:rsid w:val="00D10B75"/>
    <w:rsid w:val="00D13351"/>
    <w:rsid w:val="00D15E25"/>
    <w:rsid w:val="00D20368"/>
    <w:rsid w:val="00D21D0B"/>
    <w:rsid w:val="00D22361"/>
    <w:rsid w:val="00D22598"/>
    <w:rsid w:val="00D23BF1"/>
    <w:rsid w:val="00D26924"/>
    <w:rsid w:val="00D27341"/>
    <w:rsid w:val="00D345EC"/>
    <w:rsid w:val="00D413F6"/>
    <w:rsid w:val="00D4231B"/>
    <w:rsid w:val="00D423A2"/>
    <w:rsid w:val="00D4389C"/>
    <w:rsid w:val="00D50708"/>
    <w:rsid w:val="00D520D8"/>
    <w:rsid w:val="00D52961"/>
    <w:rsid w:val="00D55048"/>
    <w:rsid w:val="00D55978"/>
    <w:rsid w:val="00D57FA4"/>
    <w:rsid w:val="00D62DE7"/>
    <w:rsid w:val="00D63AC2"/>
    <w:rsid w:val="00D665B4"/>
    <w:rsid w:val="00D7383B"/>
    <w:rsid w:val="00D7609E"/>
    <w:rsid w:val="00D81A63"/>
    <w:rsid w:val="00D81D25"/>
    <w:rsid w:val="00D8397D"/>
    <w:rsid w:val="00D85C60"/>
    <w:rsid w:val="00D908FC"/>
    <w:rsid w:val="00D94C40"/>
    <w:rsid w:val="00DA231B"/>
    <w:rsid w:val="00DA23A0"/>
    <w:rsid w:val="00DA2DB3"/>
    <w:rsid w:val="00DA7F66"/>
    <w:rsid w:val="00DB186F"/>
    <w:rsid w:val="00DB322A"/>
    <w:rsid w:val="00DC1E5D"/>
    <w:rsid w:val="00DC39FC"/>
    <w:rsid w:val="00DC4385"/>
    <w:rsid w:val="00DC484F"/>
    <w:rsid w:val="00DC4C27"/>
    <w:rsid w:val="00DC51BC"/>
    <w:rsid w:val="00DC793F"/>
    <w:rsid w:val="00DE4629"/>
    <w:rsid w:val="00DF11FD"/>
    <w:rsid w:val="00DF5254"/>
    <w:rsid w:val="00E12426"/>
    <w:rsid w:val="00E12432"/>
    <w:rsid w:val="00E16408"/>
    <w:rsid w:val="00E1678E"/>
    <w:rsid w:val="00E20894"/>
    <w:rsid w:val="00E245AB"/>
    <w:rsid w:val="00E26239"/>
    <w:rsid w:val="00E2764C"/>
    <w:rsid w:val="00E27F2E"/>
    <w:rsid w:val="00E377A2"/>
    <w:rsid w:val="00E413EA"/>
    <w:rsid w:val="00E47F28"/>
    <w:rsid w:val="00E50AFE"/>
    <w:rsid w:val="00E52E49"/>
    <w:rsid w:val="00E577AC"/>
    <w:rsid w:val="00E578B6"/>
    <w:rsid w:val="00E61547"/>
    <w:rsid w:val="00E61702"/>
    <w:rsid w:val="00E744BA"/>
    <w:rsid w:val="00E75B66"/>
    <w:rsid w:val="00E75C92"/>
    <w:rsid w:val="00E761BC"/>
    <w:rsid w:val="00E76808"/>
    <w:rsid w:val="00E770CD"/>
    <w:rsid w:val="00E771DC"/>
    <w:rsid w:val="00E77478"/>
    <w:rsid w:val="00E77E1B"/>
    <w:rsid w:val="00E8013F"/>
    <w:rsid w:val="00E80C9F"/>
    <w:rsid w:val="00E847D2"/>
    <w:rsid w:val="00E85A9C"/>
    <w:rsid w:val="00E85AA8"/>
    <w:rsid w:val="00E870E5"/>
    <w:rsid w:val="00E875F3"/>
    <w:rsid w:val="00E8772A"/>
    <w:rsid w:val="00E90F6B"/>
    <w:rsid w:val="00E91079"/>
    <w:rsid w:val="00E92C27"/>
    <w:rsid w:val="00E92E10"/>
    <w:rsid w:val="00EA0E3D"/>
    <w:rsid w:val="00EA1CD8"/>
    <w:rsid w:val="00EA393B"/>
    <w:rsid w:val="00EA39A5"/>
    <w:rsid w:val="00EB0684"/>
    <w:rsid w:val="00EB185D"/>
    <w:rsid w:val="00EB2C4B"/>
    <w:rsid w:val="00EB5836"/>
    <w:rsid w:val="00EB5F37"/>
    <w:rsid w:val="00EB7E00"/>
    <w:rsid w:val="00EC0E3F"/>
    <w:rsid w:val="00EC1A2C"/>
    <w:rsid w:val="00EC1FE1"/>
    <w:rsid w:val="00EC38A7"/>
    <w:rsid w:val="00ED042A"/>
    <w:rsid w:val="00ED0D4A"/>
    <w:rsid w:val="00ED77BC"/>
    <w:rsid w:val="00EE1AA8"/>
    <w:rsid w:val="00EF26C3"/>
    <w:rsid w:val="00EF409D"/>
    <w:rsid w:val="00EF419E"/>
    <w:rsid w:val="00EF489F"/>
    <w:rsid w:val="00EF753D"/>
    <w:rsid w:val="00F07875"/>
    <w:rsid w:val="00F11213"/>
    <w:rsid w:val="00F11BAA"/>
    <w:rsid w:val="00F1445A"/>
    <w:rsid w:val="00F177C1"/>
    <w:rsid w:val="00F23592"/>
    <w:rsid w:val="00F238F2"/>
    <w:rsid w:val="00F260AA"/>
    <w:rsid w:val="00F27B26"/>
    <w:rsid w:val="00F31EDC"/>
    <w:rsid w:val="00F34D02"/>
    <w:rsid w:val="00F34E84"/>
    <w:rsid w:val="00F40BAD"/>
    <w:rsid w:val="00F410B6"/>
    <w:rsid w:val="00F4491A"/>
    <w:rsid w:val="00F462B3"/>
    <w:rsid w:val="00F51119"/>
    <w:rsid w:val="00F5184B"/>
    <w:rsid w:val="00F5261F"/>
    <w:rsid w:val="00F55081"/>
    <w:rsid w:val="00F55168"/>
    <w:rsid w:val="00F5664F"/>
    <w:rsid w:val="00F626C4"/>
    <w:rsid w:val="00F64D9E"/>
    <w:rsid w:val="00F665D0"/>
    <w:rsid w:val="00F666C4"/>
    <w:rsid w:val="00F7684C"/>
    <w:rsid w:val="00F76AFC"/>
    <w:rsid w:val="00F80CBE"/>
    <w:rsid w:val="00F85198"/>
    <w:rsid w:val="00F85A91"/>
    <w:rsid w:val="00F87AB9"/>
    <w:rsid w:val="00F939CB"/>
    <w:rsid w:val="00F9479C"/>
    <w:rsid w:val="00F965EE"/>
    <w:rsid w:val="00F97949"/>
    <w:rsid w:val="00FA0A8F"/>
    <w:rsid w:val="00FA1110"/>
    <w:rsid w:val="00FA358D"/>
    <w:rsid w:val="00FA47C0"/>
    <w:rsid w:val="00FA52E6"/>
    <w:rsid w:val="00FB4425"/>
    <w:rsid w:val="00FB5615"/>
    <w:rsid w:val="00FB5DD1"/>
    <w:rsid w:val="00FB5F87"/>
    <w:rsid w:val="00FC07B5"/>
    <w:rsid w:val="00FC2B5D"/>
    <w:rsid w:val="00FD00E9"/>
    <w:rsid w:val="00FD03E3"/>
    <w:rsid w:val="00FD07E4"/>
    <w:rsid w:val="00FD2400"/>
    <w:rsid w:val="00FE122A"/>
    <w:rsid w:val="00FE20E6"/>
    <w:rsid w:val="00FE42B3"/>
    <w:rsid w:val="00FE5975"/>
    <w:rsid w:val="00FF1187"/>
    <w:rsid w:val="00FF1449"/>
    <w:rsid w:val="00FF4218"/>
    <w:rsid w:val="00FF74EA"/>
    <w:rsid w:val="00FF7FC1"/>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4E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 w:type="paragraph" w:styleId="Sinespaciado">
    <w:name w:val="No Spacing"/>
    <w:uiPriority w:val="1"/>
    <w:qFormat/>
    <w:rsid w:val="00191775"/>
    <w:pPr>
      <w:spacing w:after="0" w:line="240" w:lineRule="auto"/>
    </w:pPr>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01546">
      <w:bodyDiv w:val="1"/>
      <w:marLeft w:val="0"/>
      <w:marRight w:val="0"/>
      <w:marTop w:val="0"/>
      <w:marBottom w:val="0"/>
      <w:divBdr>
        <w:top w:val="none" w:sz="0" w:space="0" w:color="auto"/>
        <w:left w:val="none" w:sz="0" w:space="0" w:color="auto"/>
        <w:bottom w:val="none" w:sz="0" w:space="0" w:color="auto"/>
        <w:right w:val="none" w:sz="0" w:space="0" w:color="auto"/>
      </w:divBdr>
    </w:div>
    <w:div w:id="184368230">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16512516">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54344376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0542314">
      <w:bodyDiv w:val="1"/>
      <w:marLeft w:val="0"/>
      <w:marRight w:val="0"/>
      <w:marTop w:val="0"/>
      <w:marBottom w:val="0"/>
      <w:divBdr>
        <w:top w:val="none" w:sz="0" w:space="0" w:color="auto"/>
        <w:left w:val="none" w:sz="0" w:space="0" w:color="auto"/>
        <w:bottom w:val="none" w:sz="0" w:space="0" w:color="auto"/>
        <w:right w:val="none" w:sz="0" w:space="0" w:color="auto"/>
      </w:divBdr>
      <w:divsChild>
        <w:div w:id="961616185">
          <w:marLeft w:val="0"/>
          <w:marRight w:val="0"/>
          <w:marTop w:val="0"/>
          <w:marBottom w:val="0"/>
          <w:divBdr>
            <w:top w:val="none" w:sz="0" w:space="0" w:color="auto"/>
            <w:left w:val="none" w:sz="0" w:space="0" w:color="auto"/>
            <w:bottom w:val="none" w:sz="0" w:space="0" w:color="auto"/>
            <w:right w:val="none" w:sz="0" w:space="0" w:color="auto"/>
          </w:divBdr>
        </w:div>
      </w:divsChild>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8281915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53977940">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48216786">
      <w:bodyDiv w:val="1"/>
      <w:marLeft w:val="0"/>
      <w:marRight w:val="0"/>
      <w:marTop w:val="0"/>
      <w:marBottom w:val="0"/>
      <w:divBdr>
        <w:top w:val="none" w:sz="0" w:space="0" w:color="auto"/>
        <w:left w:val="none" w:sz="0" w:space="0" w:color="auto"/>
        <w:bottom w:val="none" w:sz="0" w:space="0" w:color="auto"/>
        <w:right w:val="none" w:sz="0" w:space="0" w:color="auto"/>
      </w:divBdr>
    </w:div>
    <w:div w:id="1362366812">
      <w:bodyDiv w:val="1"/>
      <w:marLeft w:val="0"/>
      <w:marRight w:val="0"/>
      <w:marTop w:val="0"/>
      <w:marBottom w:val="0"/>
      <w:divBdr>
        <w:top w:val="none" w:sz="0" w:space="0" w:color="auto"/>
        <w:left w:val="none" w:sz="0" w:space="0" w:color="auto"/>
        <w:bottom w:val="none" w:sz="0" w:space="0" w:color="auto"/>
        <w:right w:val="none" w:sz="0" w:space="0" w:color="auto"/>
      </w:divBdr>
      <w:divsChild>
        <w:div w:id="1933707204">
          <w:marLeft w:val="0"/>
          <w:marRight w:val="0"/>
          <w:marTop w:val="0"/>
          <w:marBottom w:val="0"/>
          <w:divBdr>
            <w:top w:val="none" w:sz="0" w:space="0" w:color="auto"/>
            <w:left w:val="none" w:sz="0" w:space="0" w:color="auto"/>
            <w:bottom w:val="none" w:sz="0" w:space="0" w:color="auto"/>
            <w:right w:val="none" w:sz="0" w:space="0" w:color="auto"/>
          </w:divBdr>
        </w:div>
        <w:div w:id="2124493292">
          <w:marLeft w:val="0"/>
          <w:marRight w:val="0"/>
          <w:marTop w:val="0"/>
          <w:marBottom w:val="0"/>
          <w:divBdr>
            <w:top w:val="none" w:sz="0" w:space="0" w:color="auto"/>
            <w:left w:val="none" w:sz="0" w:space="0" w:color="auto"/>
            <w:bottom w:val="none" w:sz="0" w:space="0" w:color="auto"/>
            <w:right w:val="none" w:sz="0" w:space="0" w:color="auto"/>
          </w:divBdr>
        </w:div>
        <w:div w:id="993290630">
          <w:marLeft w:val="0"/>
          <w:marRight w:val="0"/>
          <w:marTop w:val="0"/>
          <w:marBottom w:val="0"/>
          <w:divBdr>
            <w:top w:val="none" w:sz="0" w:space="0" w:color="auto"/>
            <w:left w:val="none" w:sz="0" w:space="0" w:color="auto"/>
            <w:bottom w:val="none" w:sz="0" w:space="0" w:color="auto"/>
            <w:right w:val="none" w:sz="0" w:space="0" w:color="auto"/>
          </w:divBdr>
        </w:div>
      </w:divsChild>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11198300">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491408515">
      <w:bodyDiv w:val="1"/>
      <w:marLeft w:val="0"/>
      <w:marRight w:val="0"/>
      <w:marTop w:val="0"/>
      <w:marBottom w:val="0"/>
      <w:divBdr>
        <w:top w:val="none" w:sz="0" w:space="0" w:color="auto"/>
        <w:left w:val="none" w:sz="0" w:space="0" w:color="auto"/>
        <w:bottom w:val="none" w:sz="0" w:space="0" w:color="auto"/>
        <w:right w:val="none" w:sz="0" w:space="0" w:color="auto"/>
      </w:divBdr>
    </w:div>
    <w:div w:id="1561134819">
      <w:bodyDiv w:val="1"/>
      <w:marLeft w:val="0"/>
      <w:marRight w:val="0"/>
      <w:marTop w:val="0"/>
      <w:marBottom w:val="0"/>
      <w:divBdr>
        <w:top w:val="none" w:sz="0" w:space="0" w:color="auto"/>
        <w:left w:val="none" w:sz="0" w:space="0" w:color="auto"/>
        <w:bottom w:val="none" w:sz="0" w:space="0" w:color="auto"/>
        <w:right w:val="none" w:sz="0" w:space="0" w:color="auto"/>
      </w:divBdr>
      <w:divsChild>
        <w:div w:id="854223492">
          <w:marLeft w:val="0"/>
          <w:marRight w:val="0"/>
          <w:marTop w:val="0"/>
          <w:marBottom w:val="0"/>
          <w:divBdr>
            <w:top w:val="none" w:sz="0" w:space="0" w:color="auto"/>
            <w:left w:val="none" w:sz="0" w:space="0" w:color="auto"/>
            <w:bottom w:val="none" w:sz="0" w:space="0" w:color="auto"/>
            <w:right w:val="none" w:sz="0" w:space="0" w:color="auto"/>
          </w:divBdr>
        </w:div>
        <w:div w:id="2102289317">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1959680024">
      <w:bodyDiv w:val="1"/>
      <w:marLeft w:val="0"/>
      <w:marRight w:val="0"/>
      <w:marTop w:val="0"/>
      <w:marBottom w:val="0"/>
      <w:divBdr>
        <w:top w:val="none" w:sz="0" w:space="0" w:color="auto"/>
        <w:left w:val="none" w:sz="0" w:space="0" w:color="auto"/>
        <w:bottom w:val="none" w:sz="0" w:space="0" w:color="auto"/>
        <w:right w:val="none" w:sz="0" w:space="0" w:color="auto"/>
      </w:divBdr>
    </w:div>
    <w:div w:id="1963146418">
      <w:bodyDiv w:val="1"/>
      <w:marLeft w:val="0"/>
      <w:marRight w:val="0"/>
      <w:marTop w:val="0"/>
      <w:marBottom w:val="0"/>
      <w:divBdr>
        <w:top w:val="none" w:sz="0" w:space="0" w:color="auto"/>
        <w:left w:val="none" w:sz="0" w:space="0" w:color="auto"/>
        <w:bottom w:val="none" w:sz="0" w:space="0" w:color="auto"/>
        <w:right w:val="none" w:sz="0" w:space="0" w:color="auto"/>
      </w:divBdr>
    </w:div>
    <w:div w:id="1988826652">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1722650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lcaldiabogota.gov.co/sisjur/normas/Norma1.jsp?i=91404" TargetMode="External"/><Relationship Id="rId18" Type="http://schemas.openxmlformats.org/officeDocument/2006/relationships/hyperlink" Target="https://www.alcaldiabogota.gov.co/sisjur/normas/Norma1.jsp?i=91404" TargetMode="External"/><Relationship Id="rId26" Type="http://schemas.openxmlformats.org/officeDocument/2006/relationships/hyperlink" Target="http://www.colombiacompra.gov.co" TargetMode="External"/><Relationship Id="rId3" Type="http://schemas.openxmlformats.org/officeDocument/2006/relationships/customXml" Target="../customXml/item3.xml"/><Relationship Id="rId21" Type="http://schemas.openxmlformats.org/officeDocument/2006/relationships/hyperlink" Target="https://www.alcaldiabogota.gov.co/sisjur/normas/Norma1.jsp?i=91404" TargetMode="External"/><Relationship Id="rId7" Type="http://schemas.openxmlformats.org/officeDocument/2006/relationships/settings" Target="settings.xml"/><Relationship Id="rId12" Type="http://schemas.openxmlformats.org/officeDocument/2006/relationships/hyperlink" Target="https://www.alcaldiabogota.gov.co/sisjur/normas/Norma1.jsp?i=91404" TargetMode="External"/><Relationship Id="rId17" Type="http://schemas.openxmlformats.org/officeDocument/2006/relationships/hyperlink" Target="mailto:cguerrero1@procuraduria.gov.co" TargetMode="External"/><Relationship Id="rId25"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hyperlink" Target="https://www.alcaldiabogota.gov.co/sisjur/normas/Norma1.jsp?i=89998"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caldiabogota.gov.co/sisjur/normas/Norma1.jsp?i=89998" TargetMode="External"/><Relationship Id="rId24" Type="http://schemas.openxmlformats.org/officeDocument/2006/relationships/hyperlink" Target="https://www.alcaldiabogota.gov.co/sisjur/normas/Norma1.jsp?i=89998" TargetMode="External"/><Relationship Id="rId5" Type="http://schemas.openxmlformats.org/officeDocument/2006/relationships/numbering" Target="numbering.xml"/><Relationship Id="rId15" Type="http://schemas.openxmlformats.org/officeDocument/2006/relationships/hyperlink" Target="https://www.alcaldiabogota.gov.co/sisjur/normas/Norma1.jsp?i=89998" TargetMode="External"/><Relationship Id="rId23" Type="http://schemas.openxmlformats.org/officeDocument/2006/relationships/hyperlink" Target="https://www.alcaldiabogota.gov.co/sisjur/normas/Norma1.jsp?i=4125"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alcaldiabogota.gov.co/sisjur/normas/Norma1.jsp?i=91404"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lcaldiabogota.gov.co/sisjur/normas/Norma1.jsp?i=4125" TargetMode="External"/><Relationship Id="rId22" Type="http://schemas.openxmlformats.org/officeDocument/2006/relationships/hyperlink" Target="https://www.alcaldiabogota.gov.co/sisjur/normas/Norma1.jsp?i=91404" TargetMode="External"/><Relationship Id="rId27" Type="http://schemas.openxmlformats.org/officeDocument/2006/relationships/image" Target="media/image3.png"/><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9598" TargetMode="External"/><Relationship Id="rId2" Type="http://schemas.openxmlformats.org/officeDocument/2006/relationships/hyperlink" Target="https://www.funcionpublica.gov.co/eva/gestornormativo/norma.php?i=9598" TargetMode="External"/><Relationship Id="rId1" Type="http://schemas.openxmlformats.org/officeDocument/2006/relationships/hyperlink" Target="https://www.funcionpublica.gov.co/eva/gestornormativo/norma.php?i=41249" TargetMode="External"/><Relationship Id="rId4" Type="http://schemas.openxmlformats.org/officeDocument/2006/relationships/hyperlink" Target="https://www.funcionpublica.gov.co/eva/gestornormativo/norma.php?i=959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terms/"/>
    <ds:schemaRef ds:uri="http://purl.org/dc/dcmitype/"/>
    <ds:schemaRef ds:uri="9d85dbaf-23eb-4e57-a637-93dcacc8b1a1"/>
    <ds:schemaRef ds:uri="http://schemas.microsoft.com/office/2006/metadata/properties"/>
    <ds:schemaRef ds:uri="http://schemas.microsoft.com/office/2006/documentManagement/types"/>
    <ds:schemaRef ds:uri="http://purl.org/dc/elements/1.1/"/>
    <ds:schemaRef ds:uri="a6cb9e4b-f1d1-4245-83ec-6cad768d538a"/>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709BBA-45E2-46A9-93DB-D5410F34F9C7}">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8888</Words>
  <Characters>48884</Characters>
  <Application>Microsoft Office Word</Application>
  <DocSecurity>0</DocSecurity>
  <Lines>407</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2025-09-25T15:27:00Z</dcterms:created>
  <dcterms:modified xsi:type="dcterms:W3CDTF">2025-09-25T15:27:00Z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