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132E6" w14:textId="77777777" w:rsidR="0091018E" w:rsidRPr="00FD6A8D" w:rsidRDefault="0091018E" w:rsidP="0091018E">
      <w:pPr>
        <w:jc w:val="both"/>
        <w:rPr>
          <w:rFonts w:ascii="Verdana" w:hAnsi="Verdana" w:cs="Arial"/>
          <w:b/>
          <w:color w:val="000000" w:themeColor="text1"/>
          <w:lang w:val="es-ES_tradnl"/>
        </w:rPr>
      </w:pPr>
      <w:bookmarkStart w:id="0" w:name="_Hlk143780582"/>
      <w:r w:rsidRPr="00FD6A8D">
        <w:rPr>
          <w:rFonts w:ascii="Verdana" w:hAnsi="Verdana" w:cs="Arial"/>
          <w:b/>
          <w:color w:val="000000" w:themeColor="text1"/>
          <w:lang w:val="es-ES_tradnl"/>
        </w:rPr>
        <w:t xml:space="preserve">SELECCIÓN OBJETIVA ― Libre concurrencia - Noción y factores de escogencia </w:t>
      </w:r>
    </w:p>
    <w:p w14:paraId="75FF3113" w14:textId="481E7732" w:rsidR="0091018E" w:rsidRDefault="0091018E" w:rsidP="0091018E">
      <w:pPr>
        <w:jc w:val="both"/>
        <w:rPr>
          <w:rFonts w:ascii="Verdana" w:eastAsia="Arial" w:hAnsi="Verdana" w:cs="Arial"/>
          <w:color w:val="000000"/>
        </w:rPr>
      </w:pPr>
      <w:r>
        <w:rPr>
          <w:rFonts w:ascii="Verdana" w:eastAsia="Calibri" w:hAnsi="Verdana" w:cs="Arial"/>
          <w:lang w:val="es-ES"/>
        </w:rPr>
        <w:t xml:space="preserve">La selección objetiva es uno de los principios transversales de los procedimientos de selección. </w:t>
      </w:r>
      <w:r w:rsidRPr="00B95769">
        <w:rPr>
          <w:rFonts w:ascii="Verdana" w:eastAsia="Arial" w:hAnsi="Verdana" w:cs="Arial"/>
          <w:color w:val="000000"/>
        </w:rPr>
        <w:t>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 en la actualidad la disposición legal que lo prevé de manera más clara y contundente es el artículo 5 de la Ley 1150 de 2007, modificado por el artículo 88 de la Ley 1474 de 2011 y por el artículo 5 de la Ley 1882 de 2018.</w:t>
      </w:r>
    </w:p>
    <w:p w14:paraId="53CF8644" w14:textId="544A565E" w:rsidR="0091018E" w:rsidRDefault="0091018E" w:rsidP="0091018E">
      <w:pPr>
        <w:jc w:val="both"/>
        <w:rPr>
          <w:rFonts w:ascii="Verdana" w:eastAsia="Arial" w:hAnsi="Verdana" w:cs="Arial"/>
          <w:color w:val="000000"/>
        </w:rPr>
      </w:pPr>
      <w:r>
        <w:rPr>
          <w:rFonts w:ascii="Verdana" w:eastAsia="Arial" w:hAnsi="Verdana" w:cs="Arial"/>
          <w:color w:val="000000"/>
        </w:rPr>
        <w:t>[…]</w:t>
      </w:r>
    </w:p>
    <w:p w14:paraId="2E62284C" w14:textId="77777777" w:rsidR="0091018E" w:rsidRPr="00E42471" w:rsidRDefault="0091018E" w:rsidP="0091018E">
      <w:pPr>
        <w:tabs>
          <w:tab w:val="left" w:pos="0"/>
        </w:tabs>
        <w:spacing w:after="120" w:line="276" w:lineRule="auto"/>
        <w:jc w:val="both"/>
        <w:rPr>
          <w:rFonts w:ascii="Verdana" w:eastAsia="Arial" w:hAnsi="Verdana" w:cs="Arial"/>
          <w:color w:val="000000"/>
        </w:rPr>
      </w:pPr>
      <w:r w:rsidRPr="00E42471">
        <w:rPr>
          <w:rFonts w:ascii="Verdana" w:eastAsia="Arial" w:hAnsi="Verdana" w:cs="Arial"/>
          <w:color w:val="000000"/>
        </w:rPr>
        <w:t>De acuerdo con el artículo 5 de la Ley 1150 de 2007</w:t>
      </w:r>
      <w:r>
        <w:rPr>
          <w:rFonts w:ascii="Verdana" w:eastAsia="Arial" w:hAnsi="Verdana" w:cs="Arial"/>
          <w:color w:val="000000"/>
        </w:rPr>
        <w:t xml:space="preserve">, </w:t>
      </w:r>
      <w:r w:rsidRPr="00E42471">
        <w:rPr>
          <w:rFonts w:ascii="Verdana" w:eastAsia="Arial" w:hAnsi="Verdana" w:cs="Arial"/>
          <w:color w:val="000000"/>
        </w:rPr>
        <w:t xml:space="preserve">el deber de selección objetiva supone que las entidades escojan en los procesos de selección el </w:t>
      </w:r>
      <w:r w:rsidRPr="00E17F16">
        <w:rPr>
          <w:rFonts w:ascii="Verdana" w:eastAsia="Arial" w:hAnsi="Verdana" w:cs="Arial"/>
          <w:i/>
          <w:color w:val="000000"/>
        </w:rPr>
        <w:t xml:space="preserve">“[…] ofrecimiento más favorable a la entidad y a los fines que ella busca […]”. </w:t>
      </w:r>
      <w:r w:rsidRPr="00E42471">
        <w:rPr>
          <w:rFonts w:ascii="Verdana" w:eastAsia="Arial" w:hAnsi="Verdana" w:cs="Arial"/>
          <w:color w:val="000000"/>
        </w:rPr>
        <w:t xml:space="preserve">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2BEC35C4" w14:textId="5A0A94A5" w:rsidR="0091018E" w:rsidRPr="00FD6A8D" w:rsidRDefault="0091018E" w:rsidP="0091018E">
      <w:pPr>
        <w:jc w:val="both"/>
        <w:rPr>
          <w:rFonts w:ascii="Verdana" w:hAnsi="Verdana" w:cs="Arial"/>
          <w:b/>
          <w:color w:val="000000" w:themeColor="text1"/>
          <w:lang w:val="es-ES_tradnl"/>
        </w:rPr>
      </w:pPr>
      <w:r w:rsidRPr="00FD6A8D">
        <w:rPr>
          <w:rFonts w:ascii="Verdana" w:hAnsi="Verdana" w:cs="Arial"/>
          <w:b/>
          <w:color w:val="000000" w:themeColor="text1"/>
          <w:lang w:val="es-ES_tradnl"/>
        </w:rPr>
        <w:t>REQUISITOS HABILITANTES DE LA LEY 1150 DE 2007 ― Carácter enunciativo ― Autonomía de la voluntad para establecerlos – Proporcionalidad</w:t>
      </w:r>
    </w:p>
    <w:p w14:paraId="32B4968E" w14:textId="77777777" w:rsidR="00FD6A8D" w:rsidRDefault="00FD6A8D" w:rsidP="00FD6A8D">
      <w:pPr>
        <w:spacing w:after="120" w:line="276" w:lineRule="auto"/>
        <w:jc w:val="both"/>
        <w:rPr>
          <w:rFonts w:ascii="Verdana" w:eastAsia="Calibri" w:hAnsi="Verdana" w:cs="Arial"/>
          <w:color w:val="000000" w:themeColor="text1"/>
          <w:lang w:val="es-ES_tradnl"/>
        </w:rPr>
      </w:pPr>
      <w:r w:rsidRPr="00E42471">
        <w:rPr>
          <w:rFonts w:ascii="Verdana" w:eastAsia="Arial" w:hAnsi="Verdana" w:cs="Arial"/>
          <w:color w:val="000000"/>
        </w:rPr>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w:t>
      </w:r>
      <w:r>
        <w:rPr>
          <w:rFonts w:ascii="Verdana" w:eastAsia="Arial" w:hAnsi="Verdana" w:cs="Arial"/>
          <w:color w:val="000000"/>
        </w:rPr>
        <w:t xml:space="preserve"> </w:t>
      </w:r>
      <w:r w:rsidRPr="009859FE">
        <w:rPr>
          <w:rFonts w:ascii="Verdana" w:eastAsia="Calibri" w:hAnsi="Verdana" w:cs="Arial"/>
          <w:color w:val="000000" w:themeColor="text1"/>
          <w:lang w:val="es-ES_tradnl"/>
        </w:rPr>
        <w:t>Conforme lo ha sostenido esta Agencia en distintos conceptos, los requisitos habilitantes, establecidos en el numeral 1° del artículo 5 de la Ley 1150 de 2007, son de carácter enunciativos y no taxativos.</w:t>
      </w:r>
    </w:p>
    <w:p w14:paraId="33EFA4C3" w14:textId="6138A6E3" w:rsidR="0091018E" w:rsidRDefault="00FD6A8D" w:rsidP="00FD6A8D">
      <w:pPr>
        <w:spacing w:after="0" w:line="240" w:lineRule="auto"/>
        <w:jc w:val="both"/>
        <w:rPr>
          <w:rFonts w:ascii="Verdana" w:eastAsia="Calibri" w:hAnsi="Verdana" w:cs="Arial"/>
          <w:color w:val="000000" w:themeColor="text1"/>
          <w:lang w:val="es-ES"/>
        </w:rPr>
      </w:pPr>
      <w:r>
        <w:rPr>
          <w:rFonts w:ascii="Verdana" w:eastAsia="Calibri" w:hAnsi="Verdana" w:cs="Arial"/>
          <w:lang w:val="es-ES"/>
        </w:rPr>
        <w:t xml:space="preserve">Así, </w:t>
      </w:r>
      <w:r>
        <w:rPr>
          <w:rFonts w:ascii="Verdana" w:eastAsia="Calibri" w:hAnsi="Verdana" w:cs="Arial"/>
          <w:color w:val="000000" w:themeColor="text1"/>
          <w:lang w:val="es-ES_tradnl"/>
        </w:rPr>
        <w:t>l</w:t>
      </w:r>
      <w:r w:rsidRPr="009859FE">
        <w:rPr>
          <w:rFonts w:ascii="Verdana" w:eastAsia="Calibri" w:hAnsi="Verdana" w:cs="Arial"/>
          <w:color w:val="000000" w:themeColor="text1"/>
          <w:lang w:val="es-ES_tradnl"/>
        </w:rPr>
        <w:t xml:space="preserve">os </w:t>
      </w:r>
      <w:r w:rsidRPr="009859FE">
        <w:rPr>
          <w:rFonts w:ascii="Verdana" w:eastAsia="Calibri" w:hAnsi="Verdana" w:cs="Arial"/>
          <w:i/>
          <w:iCs/>
          <w:color w:val="000000" w:themeColor="text1"/>
          <w:lang w:val="es-ES_tradnl"/>
        </w:rPr>
        <w:t>requisitos habilitantes</w:t>
      </w:r>
      <w:r w:rsidRPr="009859FE">
        <w:rPr>
          <w:rFonts w:ascii="Verdana" w:eastAsia="Calibri" w:hAnsi="Verdana" w:cs="Arial"/>
          <w:color w:val="000000" w:themeColor="text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w:t>
      </w:r>
      <w:r>
        <w:rPr>
          <w:rFonts w:ascii="Verdana" w:eastAsia="Calibri" w:hAnsi="Verdana" w:cs="Arial"/>
          <w:color w:val="000000" w:themeColor="text1"/>
          <w:lang w:val="es-ES_tradnl"/>
        </w:rPr>
        <w:t>. D</w:t>
      </w:r>
      <w:proofErr w:type="spellStart"/>
      <w:r w:rsidRPr="009859FE">
        <w:rPr>
          <w:rFonts w:ascii="Verdana" w:eastAsia="Calibri" w:hAnsi="Verdana" w:cs="Arial"/>
          <w:color w:val="000000" w:themeColor="text1"/>
          <w:lang w:val="es-ES"/>
        </w:rPr>
        <w:t>e</w:t>
      </w:r>
      <w:proofErr w:type="spellEnd"/>
      <w:r w:rsidRPr="009859FE">
        <w:rPr>
          <w:rFonts w:ascii="Verdana" w:eastAsia="Calibri" w:hAnsi="Verdana" w:cs="Arial"/>
          <w:color w:val="000000" w:themeColor="text1"/>
          <w:lang w:val="es-ES"/>
        </w:rPr>
        <w:t xml:space="preserve"> manera que quienes no los reúnan no pueden </w:t>
      </w:r>
      <w:r w:rsidRPr="009859FE">
        <w:rPr>
          <w:rFonts w:ascii="Verdana" w:eastAsia="Calibri" w:hAnsi="Verdana" w:cs="Arial"/>
          <w:color w:val="000000" w:themeColor="text1"/>
          <w:lang w:val="es-ES"/>
        </w:rPr>
        <w:lastRenderedPageBreak/>
        <w:t xml:space="preserve">continuar en el procedimiento de selección, </w:t>
      </w:r>
      <w:r>
        <w:rPr>
          <w:rFonts w:ascii="Verdana" w:eastAsia="Calibri" w:hAnsi="Verdana" w:cs="Arial"/>
          <w:color w:val="000000" w:themeColor="text1"/>
          <w:lang w:val="es-ES"/>
        </w:rPr>
        <w:t>es decir</w:t>
      </w:r>
      <w:r w:rsidRPr="009859FE">
        <w:rPr>
          <w:rFonts w:ascii="Verdana" w:eastAsia="Calibri" w:hAnsi="Verdana" w:cs="Arial"/>
          <w:color w:val="000000" w:themeColor="text1"/>
          <w:lang w:val="es-ES"/>
        </w:rPr>
        <w:t xml:space="preserve">, incurren en causal de rechazo. </w:t>
      </w:r>
      <w:r>
        <w:rPr>
          <w:rFonts w:ascii="Verdana" w:eastAsia="Calibri" w:hAnsi="Verdana" w:cs="Arial"/>
          <w:color w:val="000000" w:themeColor="text1"/>
          <w:lang w:val="es-ES"/>
        </w:rPr>
        <w:t>[…]</w:t>
      </w:r>
    </w:p>
    <w:p w14:paraId="5567343F" w14:textId="77777777" w:rsidR="00FD6A8D" w:rsidRDefault="00FD6A8D" w:rsidP="00FD6A8D">
      <w:pPr>
        <w:spacing w:after="0" w:line="240" w:lineRule="auto"/>
        <w:jc w:val="both"/>
        <w:rPr>
          <w:rFonts w:ascii="Verdana" w:eastAsia="Calibri" w:hAnsi="Verdana" w:cs="Arial"/>
          <w:color w:val="000000" w:themeColor="text1"/>
          <w:lang w:val="es-ES"/>
        </w:rPr>
      </w:pPr>
    </w:p>
    <w:p w14:paraId="4C167C64" w14:textId="062F4159" w:rsidR="00FD6A8D" w:rsidRPr="009859FE" w:rsidRDefault="00FD6A8D" w:rsidP="00FD6A8D">
      <w:pPr>
        <w:widowControl w:val="0"/>
        <w:autoSpaceDE w:val="0"/>
        <w:autoSpaceDN w:val="0"/>
        <w:spacing w:after="120" w:line="276" w:lineRule="auto"/>
        <w:jc w:val="both"/>
        <w:rPr>
          <w:rFonts w:ascii="Verdana" w:eastAsia="Calibri" w:hAnsi="Verdana" w:cs="Arial"/>
          <w:color w:val="000000" w:themeColor="text1"/>
        </w:rPr>
      </w:pPr>
      <w:r w:rsidRPr="009859FE">
        <w:rPr>
          <w:rFonts w:ascii="Verdana" w:eastAsia="Calibri" w:hAnsi="Verdana" w:cs="Arial"/>
          <w:color w:val="000000" w:themeColor="text1"/>
        </w:rPr>
        <w:t xml:space="preserve">En consecuencia, corresponde a las Entidades Estatales, durante la etapa de planeación del contrato estatal, estudiar y determinar los requisitos habilitantes que establecerán en los pliegos de condiciones, los cuales deben fijarse de forma </w:t>
      </w:r>
      <w:r w:rsidRPr="00153848">
        <w:rPr>
          <w:rFonts w:ascii="Verdana" w:eastAsia="Calibri" w:hAnsi="Verdana" w:cs="Arial"/>
          <w:i/>
          <w:color w:val="000000" w:themeColor="text1"/>
        </w:rPr>
        <w:t>adecuada y proporcional</w:t>
      </w:r>
      <w:r w:rsidRPr="009859FE">
        <w:rPr>
          <w:rFonts w:ascii="Verdana" w:eastAsia="Calibri" w:hAnsi="Verdana" w:cs="Arial"/>
          <w:color w:val="000000" w:themeColor="text1"/>
        </w:rPr>
        <w:t>. Esto último, según se deriva de la lectura del artículo 2.2.1.1.1.6.2 del Decreto 1082 de 2015, debe hacerse de acuerdo con la naturaleza, el valor del contrato, la forma de pago, los riesgos asociados al contrato, el plazo y la complejidad de ejecución del objeto.</w:t>
      </w:r>
    </w:p>
    <w:p w14:paraId="7630E036" w14:textId="77777777" w:rsidR="00FD6A8D" w:rsidRDefault="00FD6A8D" w:rsidP="00FD6A8D">
      <w:pPr>
        <w:spacing w:after="0" w:line="240" w:lineRule="auto"/>
        <w:rPr>
          <w:rFonts w:ascii="Verdana" w:hAnsi="Verdana"/>
        </w:rPr>
      </w:pPr>
    </w:p>
    <w:p w14:paraId="45C4C4FD" w14:textId="77777777" w:rsidR="0091018E" w:rsidRDefault="0091018E" w:rsidP="006A1A56">
      <w:pPr>
        <w:spacing w:after="0" w:line="240" w:lineRule="auto"/>
        <w:rPr>
          <w:rFonts w:ascii="Verdana" w:hAnsi="Verdana"/>
        </w:rPr>
      </w:pPr>
    </w:p>
    <w:p w14:paraId="4DE6909C" w14:textId="77777777" w:rsidR="0091018E" w:rsidRDefault="0091018E" w:rsidP="006A1A56">
      <w:pPr>
        <w:spacing w:after="0" w:line="240" w:lineRule="auto"/>
        <w:rPr>
          <w:rFonts w:ascii="Verdana" w:hAnsi="Verdana"/>
        </w:rPr>
      </w:pPr>
    </w:p>
    <w:p w14:paraId="2D057531" w14:textId="77777777" w:rsidR="0091018E" w:rsidRDefault="0091018E" w:rsidP="006A1A56">
      <w:pPr>
        <w:spacing w:after="0" w:line="240" w:lineRule="auto"/>
        <w:rPr>
          <w:rFonts w:ascii="Verdana" w:hAnsi="Verdana"/>
        </w:rPr>
      </w:pPr>
    </w:p>
    <w:p w14:paraId="18AAFA73" w14:textId="77777777" w:rsidR="0091018E" w:rsidRDefault="0091018E" w:rsidP="006A1A56">
      <w:pPr>
        <w:spacing w:after="0" w:line="240" w:lineRule="auto"/>
        <w:rPr>
          <w:rFonts w:ascii="Verdana" w:hAnsi="Verdana"/>
        </w:rPr>
      </w:pPr>
    </w:p>
    <w:p w14:paraId="047D3515" w14:textId="77777777" w:rsidR="0091018E" w:rsidRDefault="0091018E" w:rsidP="006A1A56">
      <w:pPr>
        <w:spacing w:after="0" w:line="240" w:lineRule="auto"/>
        <w:rPr>
          <w:rFonts w:ascii="Verdana" w:hAnsi="Verdana"/>
        </w:rPr>
      </w:pPr>
    </w:p>
    <w:p w14:paraId="4D2D3BD3" w14:textId="77777777" w:rsidR="0091018E" w:rsidRDefault="0091018E" w:rsidP="006A1A56">
      <w:pPr>
        <w:spacing w:after="0" w:line="240" w:lineRule="auto"/>
        <w:rPr>
          <w:rFonts w:ascii="Verdana" w:hAnsi="Verdana"/>
        </w:rPr>
      </w:pPr>
    </w:p>
    <w:p w14:paraId="143574F3" w14:textId="77777777" w:rsidR="0091018E" w:rsidRDefault="0091018E" w:rsidP="006A1A56">
      <w:pPr>
        <w:spacing w:after="0" w:line="240" w:lineRule="auto"/>
        <w:rPr>
          <w:rFonts w:ascii="Verdana" w:hAnsi="Verdana"/>
        </w:rPr>
      </w:pPr>
    </w:p>
    <w:p w14:paraId="2AD3ADC8" w14:textId="77777777" w:rsidR="0091018E" w:rsidRDefault="0091018E" w:rsidP="006A1A56">
      <w:pPr>
        <w:spacing w:after="0" w:line="240" w:lineRule="auto"/>
        <w:rPr>
          <w:rFonts w:ascii="Verdana" w:hAnsi="Verdana"/>
        </w:rPr>
      </w:pPr>
    </w:p>
    <w:p w14:paraId="4C8152EF" w14:textId="77777777" w:rsidR="0091018E" w:rsidRDefault="0091018E" w:rsidP="006A1A56">
      <w:pPr>
        <w:spacing w:after="0" w:line="240" w:lineRule="auto"/>
        <w:rPr>
          <w:rFonts w:ascii="Verdana" w:hAnsi="Verdana"/>
        </w:rPr>
      </w:pPr>
    </w:p>
    <w:p w14:paraId="6C57841F" w14:textId="77777777" w:rsidR="0091018E" w:rsidRDefault="0091018E" w:rsidP="006A1A56">
      <w:pPr>
        <w:spacing w:after="0" w:line="240" w:lineRule="auto"/>
        <w:rPr>
          <w:rFonts w:ascii="Verdana" w:hAnsi="Verdana"/>
        </w:rPr>
      </w:pPr>
    </w:p>
    <w:p w14:paraId="3373328E" w14:textId="77777777" w:rsidR="0091018E" w:rsidRDefault="0091018E" w:rsidP="006A1A56">
      <w:pPr>
        <w:spacing w:after="0" w:line="240" w:lineRule="auto"/>
        <w:rPr>
          <w:rFonts w:ascii="Verdana" w:hAnsi="Verdana"/>
        </w:rPr>
      </w:pPr>
    </w:p>
    <w:p w14:paraId="43EB471E" w14:textId="77777777" w:rsidR="0091018E" w:rsidRDefault="0091018E" w:rsidP="006A1A56">
      <w:pPr>
        <w:spacing w:after="0" w:line="240" w:lineRule="auto"/>
        <w:rPr>
          <w:rFonts w:ascii="Verdana" w:hAnsi="Verdana"/>
        </w:rPr>
      </w:pPr>
    </w:p>
    <w:p w14:paraId="053E493B" w14:textId="77777777" w:rsidR="0091018E" w:rsidRDefault="0091018E" w:rsidP="006A1A56">
      <w:pPr>
        <w:spacing w:after="0" w:line="240" w:lineRule="auto"/>
        <w:rPr>
          <w:rFonts w:ascii="Verdana" w:hAnsi="Verdana"/>
        </w:rPr>
      </w:pPr>
    </w:p>
    <w:p w14:paraId="350072AE" w14:textId="5DEA9DE4" w:rsidR="0091018E" w:rsidRDefault="0091018E" w:rsidP="006A1A56">
      <w:pPr>
        <w:spacing w:after="0" w:line="240" w:lineRule="auto"/>
        <w:rPr>
          <w:rFonts w:ascii="Verdana" w:hAnsi="Verdana"/>
        </w:rPr>
      </w:pPr>
    </w:p>
    <w:p w14:paraId="0CB81444" w14:textId="0CEE1F6A" w:rsidR="00FD6A8D" w:rsidRDefault="00FD6A8D" w:rsidP="006A1A56">
      <w:pPr>
        <w:spacing w:after="0" w:line="240" w:lineRule="auto"/>
        <w:rPr>
          <w:rFonts w:ascii="Verdana" w:hAnsi="Verdana"/>
        </w:rPr>
      </w:pPr>
    </w:p>
    <w:p w14:paraId="2637ED84" w14:textId="4A9FA9C8" w:rsidR="00FD6A8D" w:rsidRDefault="00FD6A8D" w:rsidP="006A1A56">
      <w:pPr>
        <w:spacing w:after="0" w:line="240" w:lineRule="auto"/>
        <w:rPr>
          <w:rFonts w:ascii="Verdana" w:hAnsi="Verdana"/>
        </w:rPr>
      </w:pPr>
    </w:p>
    <w:p w14:paraId="6A414CC6" w14:textId="662B3014" w:rsidR="00FD6A8D" w:rsidRDefault="00FD6A8D" w:rsidP="006A1A56">
      <w:pPr>
        <w:spacing w:after="0" w:line="240" w:lineRule="auto"/>
        <w:rPr>
          <w:rFonts w:ascii="Verdana" w:hAnsi="Verdana"/>
        </w:rPr>
      </w:pPr>
    </w:p>
    <w:p w14:paraId="21E05B8A" w14:textId="372482AB" w:rsidR="00FD6A8D" w:rsidRDefault="00FD6A8D" w:rsidP="006A1A56">
      <w:pPr>
        <w:spacing w:after="0" w:line="240" w:lineRule="auto"/>
        <w:rPr>
          <w:rFonts w:ascii="Verdana" w:hAnsi="Verdana"/>
        </w:rPr>
      </w:pPr>
    </w:p>
    <w:p w14:paraId="0EB5A32E" w14:textId="6941D301" w:rsidR="00FD6A8D" w:rsidRDefault="00FD6A8D" w:rsidP="006A1A56">
      <w:pPr>
        <w:spacing w:after="0" w:line="240" w:lineRule="auto"/>
        <w:rPr>
          <w:rFonts w:ascii="Verdana" w:hAnsi="Verdana"/>
        </w:rPr>
      </w:pPr>
    </w:p>
    <w:p w14:paraId="1D48CF84" w14:textId="0D4DC1FD" w:rsidR="00FD6A8D" w:rsidRDefault="00FD6A8D" w:rsidP="006A1A56">
      <w:pPr>
        <w:spacing w:after="0" w:line="240" w:lineRule="auto"/>
        <w:rPr>
          <w:rFonts w:ascii="Verdana" w:hAnsi="Verdana"/>
        </w:rPr>
      </w:pPr>
    </w:p>
    <w:p w14:paraId="7B17C1E0" w14:textId="5975ACB4" w:rsidR="00FD6A8D" w:rsidRDefault="00FD6A8D" w:rsidP="006A1A56">
      <w:pPr>
        <w:spacing w:after="0" w:line="240" w:lineRule="auto"/>
        <w:rPr>
          <w:rFonts w:ascii="Verdana" w:hAnsi="Verdana"/>
        </w:rPr>
      </w:pPr>
    </w:p>
    <w:p w14:paraId="126F58D3" w14:textId="54AF4B8D" w:rsidR="00FD6A8D" w:rsidRDefault="00FD6A8D" w:rsidP="006A1A56">
      <w:pPr>
        <w:spacing w:after="0" w:line="240" w:lineRule="auto"/>
        <w:rPr>
          <w:rFonts w:ascii="Verdana" w:hAnsi="Verdana"/>
        </w:rPr>
      </w:pPr>
    </w:p>
    <w:p w14:paraId="63F24333" w14:textId="6008F9B4" w:rsidR="00FD6A8D" w:rsidRDefault="00FD6A8D" w:rsidP="006A1A56">
      <w:pPr>
        <w:spacing w:after="0" w:line="240" w:lineRule="auto"/>
        <w:rPr>
          <w:rFonts w:ascii="Verdana" w:hAnsi="Verdana"/>
        </w:rPr>
      </w:pPr>
    </w:p>
    <w:p w14:paraId="53606A19" w14:textId="34D316A7" w:rsidR="00FD6A8D" w:rsidRDefault="00FD6A8D" w:rsidP="006A1A56">
      <w:pPr>
        <w:spacing w:after="0" w:line="240" w:lineRule="auto"/>
        <w:rPr>
          <w:rFonts w:ascii="Verdana" w:hAnsi="Verdana"/>
        </w:rPr>
      </w:pPr>
    </w:p>
    <w:p w14:paraId="2118C8C8" w14:textId="4EDB5867" w:rsidR="00FD6A8D" w:rsidRDefault="00FD6A8D" w:rsidP="006A1A56">
      <w:pPr>
        <w:spacing w:after="0" w:line="240" w:lineRule="auto"/>
        <w:rPr>
          <w:rFonts w:ascii="Verdana" w:hAnsi="Verdana"/>
        </w:rPr>
      </w:pPr>
    </w:p>
    <w:p w14:paraId="4FDB46A7" w14:textId="2A324957" w:rsidR="00FD6A8D" w:rsidRDefault="00FD6A8D" w:rsidP="006A1A56">
      <w:pPr>
        <w:spacing w:after="0" w:line="240" w:lineRule="auto"/>
        <w:rPr>
          <w:rFonts w:ascii="Verdana" w:hAnsi="Verdana"/>
        </w:rPr>
      </w:pPr>
    </w:p>
    <w:p w14:paraId="66344BD2" w14:textId="7F4DA07C" w:rsidR="00FD6A8D" w:rsidRDefault="00FD6A8D" w:rsidP="006A1A56">
      <w:pPr>
        <w:spacing w:after="0" w:line="240" w:lineRule="auto"/>
        <w:rPr>
          <w:rFonts w:ascii="Verdana" w:hAnsi="Verdana"/>
        </w:rPr>
      </w:pPr>
    </w:p>
    <w:p w14:paraId="6012B626" w14:textId="48E2A872" w:rsidR="00FD6A8D" w:rsidRDefault="00FD6A8D" w:rsidP="006A1A56">
      <w:pPr>
        <w:spacing w:after="0" w:line="240" w:lineRule="auto"/>
        <w:rPr>
          <w:rFonts w:ascii="Verdana" w:hAnsi="Verdana"/>
        </w:rPr>
      </w:pPr>
    </w:p>
    <w:p w14:paraId="3A64F2AF" w14:textId="4DBEF22C" w:rsidR="00FD6A8D" w:rsidRDefault="00FD6A8D" w:rsidP="006A1A56">
      <w:pPr>
        <w:spacing w:after="0" w:line="240" w:lineRule="auto"/>
        <w:rPr>
          <w:rFonts w:ascii="Verdana" w:hAnsi="Verdana"/>
        </w:rPr>
      </w:pPr>
    </w:p>
    <w:p w14:paraId="315D7094" w14:textId="68B4BB80" w:rsidR="00FD6A8D" w:rsidRDefault="00FD6A8D" w:rsidP="006A1A56">
      <w:pPr>
        <w:spacing w:after="0" w:line="240" w:lineRule="auto"/>
        <w:rPr>
          <w:rFonts w:ascii="Verdana" w:hAnsi="Verdana"/>
        </w:rPr>
      </w:pPr>
    </w:p>
    <w:p w14:paraId="3FE2184B" w14:textId="1B5E2B7B" w:rsidR="00E245AB" w:rsidRPr="0044528D" w:rsidRDefault="0091018E" w:rsidP="006A1A56">
      <w:pPr>
        <w:spacing w:after="0" w:line="240" w:lineRule="auto"/>
        <w:rPr>
          <w:rFonts w:ascii="Verdana" w:hAnsi="Verdana"/>
        </w:rPr>
      </w:pPr>
      <w:r>
        <w:rPr>
          <w:rFonts w:ascii="Verdana" w:eastAsia="Calibri" w:hAnsi="Verdana" w:cs="Arial"/>
          <w:b/>
          <w:noProof/>
          <w:lang w:val="es-ES" w:eastAsia="es-ES"/>
        </w:rPr>
        <w:lastRenderedPageBreak/>
        <w:drawing>
          <wp:anchor distT="0" distB="0" distL="114300" distR="114300" simplePos="0" relativeHeight="251658240" behindDoc="0" locked="0" layoutInCell="1" allowOverlap="1" wp14:anchorId="699150DB" wp14:editId="132D4F3E">
            <wp:simplePos x="0" y="0"/>
            <wp:positionH relativeFrom="column">
              <wp:posOffset>2802255</wp:posOffset>
            </wp:positionH>
            <wp:positionV relativeFrom="paragraph">
              <wp:posOffset>-19196</wp:posOffset>
            </wp:positionV>
            <wp:extent cx="2607717" cy="793653"/>
            <wp:effectExtent l="0" t="0" r="254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607717" cy="793653"/>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23 </w:t>
      </w:r>
      <w:proofErr w:type="gramStart"/>
      <w:r>
        <w:rPr>
          <w:rFonts w:ascii="Verdana" w:hAnsi="Verdana"/>
        </w:rPr>
        <w:t>Septiembre</w:t>
      </w:r>
      <w:proofErr w:type="gramEnd"/>
      <w:r>
        <w:rPr>
          <w:rFonts w:ascii="Verdana" w:hAnsi="Verdana"/>
        </w:rPr>
        <w:t xml:space="preserve"> 2025</w:t>
      </w:r>
      <w:r w:rsidR="00891928" w:rsidRPr="0044528D">
        <w:rPr>
          <w:rFonts w:ascii="Verdana" w:hAnsi="Verdana"/>
        </w:rPr>
        <w:tab/>
      </w:r>
    </w:p>
    <w:p w14:paraId="5FCADBF9" w14:textId="1842CFB5" w:rsidR="00E245AB" w:rsidRPr="0044528D" w:rsidRDefault="00E245AB" w:rsidP="006A1A56">
      <w:pPr>
        <w:spacing w:after="0" w:line="240" w:lineRule="auto"/>
        <w:rPr>
          <w:rFonts w:ascii="Verdana" w:hAnsi="Verdana"/>
        </w:rPr>
      </w:pPr>
    </w:p>
    <w:p w14:paraId="0465BA6D" w14:textId="39FBDB03" w:rsidR="00E245AB" w:rsidRPr="0044528D" w:rsidRDefault="00E245AB" w:rsidP="006A1A56">
      <w:pPr>
        <w:spacing w:after="0" w:line="240" w:lineRule="auto"/>
        <w:rPr>
          <w:rFonts w:ascii="Verdana" w:hAnsi="Verdana"/>
        </w:rPr>
      </w:pPr>
    </w:p>
    <w:p w14:paraId="3FD20541" w14:textId="1523C947" w:rsidR="00B60882" w:rsidRDefault="00B60882" w:rsidP="00B60882">
      <w:pPr>
        <w:spacing w:after="0" w:line="240" w:lineRule="auto"/>
        <w:jc w:val="both"/>
        <w:rPr>
          <w:rFonts w:ascii="Verdana" w:eastAsia="Calibri" w:hAnsi="Verdana" w:cs="Arial"/>
          <w:lang w:val="es-ES" w:eastAsia="es-ES"/>
        </w:rPr>
      </w:pPr>
      <w:bookmarkStart w:id="1" w:name="_Hlk208479311"/>
      <w:bookmarkEnd w:id="0"/>
      <w:r>
        <w:rPr>
          <w:rFonts w:ascii="Verdana" w:eastAsia="Calibri" w:hAnsi="Verdana" w:cs="Arial"/>
          <w:lang w:val="es-ES" w:eastAsia="es-ES"/>
        </w:rPr>
        <w:t>Señora</w:t>
      </w:r>
    </w:p>
    <w:p w14:paraId="772060E2" w14:textId="32450B02" w:rsidR="00B60882" w:rsidRDefault="00B60882" w:rsidP="00B60882">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Angelica </w:t>
      </w:r>
      <w:proofErr w:type="spellStart"/>
      <w:r>
        <w:rPr>
          <w:rFonts w:ascii="Verdana" w:eastAsia="Calibri" w:hAnsi="Verdana" w:cs="Arial"/>
          <w:b/>
          <w:lang w:val="es-ES" w:eastAsia="es-ES"/>
        </w:rPr>
        <w:t>Maria</w:t>
      </w:r>
      <w:proofErr w:type="spellEnd"/>
      <w:r>
        <w:rPr>
          <w:rFonts w:ascii="Verdana" w:eastAsia="Calibri" w:hAnsi="Verdana" w:cs="Arial"/>
          <w:b/>
          <w:lang w:val="es-ES" w:eastAsia="es-ES"/>
        </w:rPr>
        <w:t xml:space="preserve"> Herrera </w:t>
      </w:r>
      <w:r w:rsidR="00F33AD5" w:rsidRPr="0048455F">
        <w:rPr>
          <w:rFonts w:ascii="Verdana" w:eastAsia="Calibri" w:hAnsi="Verdana" w:cs="Arial"/>
          <w:b/>
          <w:lang w:val="es-ES" w:eastAsia="es-ES"/>
        </w:rPr>
        <w:t>Álvarez</w:t>
      </w:r>
    </w:p>
    <w:p w14:paraId="3031A8E0" w14:textId="77777777" w:rsidR="00B60882" w:rsidRPr="00C53B42" w:rsidRDefault="00B60882" w:rsidP="00B60882">
      <w:pPr>
        <w:spacing w:after="0" w:line="240" w:lineRule="auto"/>
        <w:rPr>
          <w:rFonts w:ascii="Verdana" w:hAnsi="Verdana" w:cs="ArialMT"/>
        </w:rPr>
      </w:pPr>
      <w:hyperlink r:id="rId11" w:history="1">
        <w:r w:rsidRPr="0048455F">
          <w:rPr>
            <w:rStyle w:val="Hipervnculo"/>
            <w:rFonts w:ascii="Verdana" w:hAnsi="Verdana" w:cs="ArialMT"/>
          </w:rPr>
          <w:t>angelicamaria.herrera04@gmail.com</w:t>
        </w:r>
      </w:hyperlink>
      <w:r w:rsidRPr="0048455F">
        <w:rPr>
          <w:rFonts w:ascii="Verdana" w:hAnsi="Verdana" w:cs="ArialMT"/>
        </w:rPr>
        <w:t xml:space="preserve">   </w:t>
      </w:r>
    </w:p>
    <w:bookmarkEnd w:id="1"/>
    <w:p w14:paraId="7C286D11" w14:textId="77777777" w:rsidR="00B60882" w:rsidRPr="00C53B42" w:rsidRDefault="00B60882" w:rsidP="00B60882">
      <w:pPr>
        <w:spacing w:after="0" w:line="240" w:lineRule="auto"/>
        <w:rPr>
          <w:rFonts w:ascii="Verdana" w:hAnsi="Verdana" w:cs="ArialMT"/>
        </w:rPr>
      </w:pPr>
      <w:r>
        <w:rPr>
          <w:rFonts w:ascii="Verdana" w:eastAsia="Calibri" w:hAnsi="Verdana" w:cs="Arial"/>
          <w:lang w:val="es-ES" w:eastAsia="es-ES"/>
        </w:rPr>
        <w:t>Arauca</w:t>
      </w:r>
    </w:p>
    <w:p w14:paraId="35ED2142" w14:textId="77777777" w:rsidR="00B60882" w:rsidRPr="00C53B42" w:rsidRDefault="00B60882" w:rsidP="00B60882">
      <w:pPr>
        <w:spacing w:after="0" w:line="240" w:lineRule="auto"/>
        <w:rPr>
          <w:rFonts w:ascii="Verdana" w:eastAsia="Calibri" w:hAnsi="Verdana" w:cs="Arial"/>
          <w:b/>
          <w:bCs/>
          <w:color w:val="000000"/>
          <w:lang w:val="es-ES_tradnl" w:eastAsia="es-ES_tradnl"/>
        </w:rPr>
      </w:pPr>
    </w:p>
    <w:p w14:paraId="6521B305" w14:textId="77777777" w:rsidR="00B60882" w:rsidRPr="00C53B42" w:rsidRDefault="00B60882" w:rsidP="00B6088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60882" w:rsidRPr="00C53B42" w14:paraId="644A3639" w14:textId="77777777" w:rsidTr="00EB1F93">
        <w:trPr>
          <w:trHeight w:val="218"/>
        </w:trPr>
        <w:tc>
          <w:tcPr>
            <w:tcW w:w="2689" w:type="dxa"/>
          </w:tcPr>
          <w:p w14:paraId="58DDC30C" w14:textId="77777777" w:rsidR="00B60882" w:rsidRPr="00C53B42" w:rsidRDefault="00B60882" w:rsidP="00EB1F93">
            <w:pPr>
              <w:jc w:val="both"/>
              <w:rPr>
                <w:rFonts w:ascii="Verdana" w:eastAsia="Calibri" w:hAnsi="Verdana" w:cs="Arial"/>
                <w:b/>
                <w:bCs/>
                <w:color w:val="7030A0"/>
                <w:lang w:val="es-ES_tradnl" w:eastAsia="es-ES_tradnl"/>
              </w:rPr>
            </w:pPr>
          </w:p>
        </w:tc>
        <w:tc>
          <w:tcPr>
            <w:tcW w:w="6100" w:type="dxa"/>
            <w:hideMark/>
          </w:tcPr>
          <w:p w14:paraId="4E908358" w14:textId="77777777" w:rsidR="00B60882" w:rsidRPr="00C53B42" w:rsidRDefault="00B60882" w:rsidP="00EB1F93">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-1135</w:t>
            </w:r>
            <w:r w:rsidRPr="00C53B42">
              <w:rPr>
                <w:rFonts w:ascii="Verdana" w:eastAsia="Calibri" w:hAnsi="Verdana" w:cs="Arial"/>
                <w:b/>
                <w:bCs/>
                <w:lang w:val="es-ES" w:eastAsia="es-ES"/>
              </w:rPr>
              <w:t xml:space="preserve"> de 2025</w:t>
            </w:r>
          </w:p>
          <w:p w14:paraId="190B9499" w14:textId="77777777" w:rsidR="00B60882" w:rsidRPr="00C53B42" w:rsidRDefault="00B60882" w:rsidP="00EB1F93">
            <w:pPr>
              <w:jc w:val="both"/>
              <w:rPr>
                <w:rFonts w:ascii="Verdana" w:eastAsia="Calibri" w:hAnsi="Verdana" w:cs="Arial"/>
                <w:b/>
                <w:bCs/>
                <w:lang w:val="es-ES" w:eastAsia="es-ES"/>
              </w:rPr>
            </w:pPr>
          </w:p>
          <w:p w14:paraId="6C506BF3" w14:textId="77777777" w:rsidR="00B60882" w:rsidRPr="00C53B42" w:rsidRDefault="00B60882" w:rsidP="00EB1F93">
            <w:pPr>
              <w:jc w:val="both"/>
              <w:rPr>
                <w:rFonts w:ascii="Verdana" w:eastAsia="Calibri" w:hAnsi="Verdana" w:cs="Arial"/>
                <w:b/>
                <w:bCs/>
                <w:lang w:val="es-ES" w:eastAsia="es-ES"/>
              </w:rPr>
            </w:pPr>
          </w:p>
        </w:tc>
      </w:tr>
      <w:tr w:rsidR="00B60882" w:rsidRPr="00C53B42" w14:paraId="388B33C4" w14:textId="77777777" w:rsidTr="00EB1F93">
        <w:trPr>
          <w:trHeight w:val="884"/>
        </w:trPr>
        <w:tc>
          <w:tcPr>
            <w:tcW w:w="2689" w:type="dxa"/>
            <w:hideMark/>
          </w:tcPr>
          <w:p w14:paraId="0E0F06BF" w14:textId="77777777" w:rsidR="00B60882" w:rsidRPr="00C53B42" w:rsidRDefault="00B60882" w:rsidP="00EB1F93">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71827F49" w14:textId="77777777" w:rsidR="00B60882" w:rsidRPr="0048455F" w:rsidRDefault="00B60882" w:rsidP="00EB1F93">
            <w:pPr>
              <w:jc w:val="both"/>
              <w:rPr>
                <w:rFonts w:ascii="Verdana" w:hAnsi="Verdana" w:cs="Arial"/>
                <w:color w:val="000000" w:themeColor="text1"/>
                <w:lang w:val="es-ES_tradnl"/>
              </w:rPr>
            </w:pPr>
            <w:r w:rsidRPr="00EC35B7">
              <w:rPr>
                <w:rFonts w:ascii="Verdana" w:hAnsi="Verdana" w:cs="Arial"/>
                <w:bCs/>
                <w:color w:val="000000" w:themeColor="text1"/>
                <w:lang w:val="es-ES_tradnl"/>
              </w:rPr>
              <w:t>SELECCIÓN OBJETIVA ― Libre concurrencia - Noción y factores de escogencia / REQUISITOS HABILITANTES DE LA LEY 1150 DE 2007 ― Carácter enunciativo ― Autonomía de la voluntad para establecerlos – Proporcionalidad</w:t>
            </w:r>
          </w:p>
          <w:p w14:paraId="23026A2C" w14:textId="77777777" w:rsidR="007F5526" w:rsidRPr="0048455F" w:rsidRDefault="007F5526" w:rsidP="0048455F">
            <w:pPr>
              <w:jc w:val="both"/>
              <w:rPr>
                <w:rFonts w:ascii="Verdana" w:hAnsi="Verdana" w:cs="Arial"/>
                <w:bCs/>
                <w:color w:val="000000" w:themeColor="text1"/>
                <w:highlight w:val="yellow"/>
                <w:lang w:val="es-ES_tradnl"/>
              </w:rPr>
            </w:pPr>
          </w:p>
          <w:p w14:paraId="365A12AC" w14:textId="77777777" w:rsidR="00B60882" w:rsidRPr="006A06BA" w:rsidRDefault="00B60882" w:rsidP="00EB1F93">
            <w:pPr>
              <w:jc w:val="both"/>
              <w:rPr>
                <w:rFonts w:ascii="Verdana" w:eastAsia="Calibri" w:hAnsi="Verdana" w:cs="Arial"/>
                <w:highlight w:val="yellow"/>
                <w:lang w:val="es-ES" w:eastAsia="es-ES"/>
              </w:rPr>
            </w:pPr>
          </w:p>
        </w:tc>
      </w:tr>
      <w:tr w:rsidR="00B60882" w14:paraId="0FEE60C6" w14:textId="77777777" w:rsidTr="00EB1F93">
        <w:tc>
          <w:tcPr>
            <w:tcW w:w="2689" w:type="dxa"/>
            <w:hideMark/>
          </w:tcPr>
          <w:p w14:paraId="4F4DB387" w14:textId="77777777" w:rsidR="00B60882" w:rsidRPr="00C53B42" w:rsidRDefault="00B60882" w:rsidP="00EB1F93">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72ED2D43" w14:textId="13A3FFDA" w:rsidR="00B60882" w:rsidRPr="0048455F" w:rsidRDefault="00B60882" w:rsidP="00EB1F93">
            <w:pPr>
              <w:jc w:val="both"/>
              <w:rPr>
                <w:rFonts w:ascii="Verdana" w:eastAsia="Calibri" w:hAnsi="Verdana" w:cs="Arial"/>
                <w:lang w:val="es-ES" w:eastAsia="es-ES"/>
              </w:rPr>
            </w:pPr>
            <w:r w:rsidRPr="0048455F">
              <w:rPr>
                <w:rFonts w:ascii="Verdana" w:eastAsia="Calibri" w:hAnsi="Verdana" w:cs="Arial"/>
                <w:lang w:val="es-ES" w:eastAsia="es-ES"/>
              </w:rPr>
              <w:t xml:space="preserve">Respuesta a consulta con radicado </w:t>
            </w:r>
            <w:r w:rsidR="00C4196E" w:rsidRPr="0048455F">
              <w:rPr>
                <w:rFonts w:ascii="Verdana" w:eastAsia="Calibri" w:hAnsi="Verdana" w:cs="Arial"/>
                <w:lang w:val="es-ES" w:eastAsia="es-ES"/>
              </w:rPr>
              <w:t xml:space="preserve">No. </w:t>
            </w:r>
            <w:r w:rsidRPr="0048455F">
              <w:rPr>
                <w:rFonts w:ascii="Verdana" w:eastAsia="Calibri" w:hAnsi="Verdana" w:cs="Arial"/>
                <w:lang w:val="es-ES" w:eastAsia="es-ES"/>
              </w:rPr>
              <w:t>1_2025_08_13_008499</w:t>
            </w:r>
          </w:p>
        </w:tc>
      </w:tr>
    </w:tbl>
    <w:p w14:paraId="4703421A" w14:textId="77777777" w:rsidR="00B60882" w:rsidRDefault="00B60882" w:rsidP="00B60882">
      <w:pPr>
        <w:spacing w:after="0" w:line="240" w:lineRule="auto"/>
        <w:jc w:val="both"/>
        <w:rPr>
          <w:rFonts w:ascii="Verdana" w:eastAsia="Calibri" w:hAnsi="Verdana" w:cs="Arial"/>
          <w:color w:val="000000"/>
          <w:lang w:val="es-ES_tradnl" w:eastAsia="es-ES_tradnl"/>
        </w:rPr>
      </w:pPr>
    </w:p>
    <w:p w14:paraId="630BC5CC" w14:textId="77777777" w:rsidR="00B60882" w:rsidRDefault="00B60882" w:rsidP="00B60882">
      <w:pPr>
        <w:spacing w:after="0" w:line="240" w:lineRule="auto"/>
        <w:jc w:val="both"/>
        <w:rPr>
          <w:rFonts w:ascii="Verdana" w:eastAsia="Calibri" w:hAnsi="Verdana" w:cs="Arial"/>
          <w:color w:val="000000"/>
          <w:lang w:val="es-ES_tradnl" w:eastAsia="es-ES_tradnl"/>
        </w:rPr>
      </w:pPr>
    </w:p>
    <w:p w14:paraId="55B00198" w14:textId="77777777" w:rsidR="00B60882" w:rsidRDefault="00B60882" w:rsidP="00B60882">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Herrera,</w:t>
      </w:r>
    </w:p>
    <w:p w14:paraId="5C39FFEE" w14:textId="77777777" w:rsidR="00B60882" w:rsidRDefault="00B60882" w:rsidP="00B6088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1C33E4" w14:textId="77777777" w:rsidR="00B60882" w:rsidRDefault="00B60882" w:rsidP="00B60882">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con fecha 13 de agosto de 2025, en la cual manifiesta lo siguiente: </w:t>
      </w:r>
    </w:p>
    <w:p w14:paraId="2CFF70EB" w14:textId="77777777" w:rsidR="00B60882" w:rsidRDefault="00B60882" w:rsidP="00B6088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E9BBEF6" w14:textId="77777777" w:rsidR="00B60882" w:rsidRDefault="00B60882" w:rsidP="0048455F">
      <w:pPr>
        <w:autoSpaceDE w:val="0"/>
        <w:autoSpaceDN w:val="0"/>
        <w:adjustRightInd w:val="0"/>
        <w:spacing w:after="0" w:line="240" w:lineRule="auto"/>
        <w:ind w:left="709" w:right="709"/>
        <w:jc w:val="both"/>
        <w:rPr>
          <w:rFonts w:ascii="Verdana" w:hAnsi="Verdana" w:cs="ArialMT"/>
          <w:sz w:val="20"/>
          <w:szCs w:val="20"/>
        </w:rPr>
      </w:pPr>
      <w:r w:rsidRPr="00496B9E">
        <w:rPr>
          <w:rFonts w:ascii="Verdana" w:hAnsi="Verdana" w:cs="ArialMT"/>
          <w:sz w:val="20"/>
          <w:szCs w:val="20"/>
        </w:rPr>
        <w:t>“Cordialmente solicito a la entidad de ser posible, emitir concepto frente a la siguiente consulta:</w:t>
      </w:r>
    </w:p>
    <w:p w14:paraId="138D63FD" w14:textId="77777777" w:rsidR="0048455F" w:rsidRPr="00496B9E" w:rsidRDefault="0048455F" w:rsidP="00321853">
      <w:pPr>
        <w:autoSpaceDE w:val="0"/>
        <w:autoSpaceDN w:val="0"/>
        <w:adjustRightInd w:val="0"/>
        <w:spacing w:after="0" w:line="240" w:lineRule="auto"/>
        <w:ind w:left="709" w:right="709"/>
        <w:jc w:val="both"/>
        <w:rPr>
          <w:rFonts w:ascii="Verdana" w:hAnsi="Verdana" w:cs="ArialMT"/>
          <w:sz w:val="20"/>
          <w:szCs w:val="20"/>
        </w:rPr>
      </w:pPr>
    </w:p>
    <w:p w14:paraId="17F9CA2C" w14:textId="77777777" w:rsidR="00B60882" w:rsidRPr="00496B9E" w:rsidRDefault="00B60882" w:rsidP="00321853">
      <w:pPr>
        <w:autoSpaceDE w:val="0"/>
        <w:autoSpaceDN w:val="0"/>
        <w:adjustRightInd w:val="0"/>
        <w:spacing w:after="0" w:line="240" w:lineRule="auto"/>
        <w:ind w:left="709" w:right="709"/>
        <w:jc w:val="both"/>
        <w:rPr>
          <w:rFonts w:ascii="Verdana" w:hAnsi="Verdana" w:cs="ArialMT"/>
          <w:sz w:val="20"/>
          <w:szCs w:val="20"/>
        </w:rPr>
      </w:pPr>
      <w:r w:rsidRPr="00496B9E">
        <w:rPr>
          <w:rFonts w:ascii="Verdana" w:hAnsi="Verdana" w:cs="ArialMT"/>
          <w:sz w:val="20"/>
          <w:szCs w:val="20"/>
        </w:rPr>
        <w:t xml:space="preserve">¿Puede una entidad en un proceso de selección por la modalidad de subasta inversa, desarrollar dentro de los requisitos habilitantes de experiencia, la exigencia de hojas de vida de personal en la presentación de ofertas? En ese sentido, ¿se puede generar el rechazo de una oferta si el proponente no adjuntó junto con </w:t>
      </w:r>
      <w:proofErr w:type="gramStart"/>
      <w:r w:rsidRPr="00496B9E">
        <w:rPr>
          <w:rFonts w:ascii="Verdana" w:hAnsi="Verdana" w:cs="ArialMT"/>
          <w:sz w:val="20"/>
          <w:szCs w:val="20"/>
        </w:rPr>
        <w:t>la  misma</w:t>
      </w:r>
      <w:proofErr w:type="gramEnd"/>
      <w:r w:rsidRPr="00496B9E">
        <w:rPr>
          <w:rFonts w:ascii="Verdana" w:hAnsi="Verdana" w:cs="ArialMT"/>
          <w:sz w:val="20"/>
          <w:szCs w:val="20"/>
        </w:rPr>
        <w:t>, la hoja de vida del personal?</w:t>
      </w:r>
    </w:p>
    <w:p w14:paraId="6D3B4497" w14:textId="77777777" w:rsidR="0048455F" w:rsidRDefault="0048455F" w:rsidP="0048455F">
      <w:pPr>
        <w:autoSpaceDE w:val="0"/>
        <w:autoSpaceDN w:val="0"/>
        <w:adjustRightInd w:val="0"/>
        <w:spacing w:after="0" w:line="240" w:lineRule="auto"/>
        <w:ind w:left="709" w:right="709"/>
        <w:jc w:val="both"/>
        <w:rPr>
          <w:rFonts w:ascii="Verdana" w:hAnsi="Verdana" w:cs="ArialMT"/>
          <w:sz w:val="20"/>
          <w:szCs w:val="20"/>
        </w:rPr>
      </w:pPr>
    </w:p>
    <w:p w14:paraId="64CDB58D" w14:textId="35B7F4E8" w:rsidR="00B60882" w:rsidRPr="00321853" w:rsidRDefault="00B60882" w:rsidP="00321853">
      <w:pPr>
        <w:autoSpaceDE w:val="0"/>
        <w:autoSpaceDN w:val="0"/>
        <w:adjustRightInd w:val="0"/>
        <w:spacing w:after="0" w:line="240" w:lineRule="auto"/>
        <w:ind w:left="709" w:right="709"/>
        <w:jc w:val="both"/>
        <w:rPr>
          <w:rFonts w:ascii="Verdana" w:hAnsi="Verdana"/>
          <w:sz w:val="20"/>
          <w:szCs w:val="20"/>
        </w:rPr>
      </w:pPr>
      <w:r w:rsidRPr="00321853">
        <w:rPr>
          <w:rFonts w:ascii="Verdana" w:hAnsi="Verdana" w:cs="ArialMT"/>
          <w:sz w:val="20"/>
          <w:szCs w:val="20"/>
        </w:rPr>
        <w:t xml:space="preserve">Lo anterior, teniendo en cuenta que el artículo 5 de la Ley 1150 de 2007 establece taxativamente los criterios habilitantes, siendo estos: jurídica, financiera, organizacional y experiencia. Y se genera la duda que si en las modalidades DISTINTAS al concurso de méritos se puede requerir como </w:t>
      </w:r>
      <w:r w:rsidRPr="00321853">
        <w:rPr>
          <w:rFonts w:ascii="Verdana" w:hAnsi="Verdana" w:cs="ArialMT"/>
          <w:sz w:val="20"/>
          <w:szCs w:val="20"/>
        </w:rPr>
        <w:lastRenderedPageBreak/>
        <w:t xml:space="preserve">criterio habilitante hojas de vida que se enmarquen en (coordinador del proyecto, gerente del </w:t>
      </w:r>
      <w:proofErr w:type="gramStart"/>
      <w:r w:rsidRPr="00321853">
        <w:rPr>
          <w:rFonts w:ascii="Verdana" w:hAnsi="Verdana" w:cs="ArialMT"/>
          <w:sz w:val="20"/>
          <w:szCs w:val="20"/>
        </w:rPr>
        <w:t>proyecto,  supervisor</w:t>
      </w:r>
      <w:proofErr w:type="gramEnd"/>
      <w:r w:rsidRPr="00321853">
        <w:rPr>
          <w:rFonts w:ascii="Verdana" w:hAnsi="Verdana" w:cs="ArialMT"/>
          <w:sz w:val="20"/>
          <w:szCs w:val="20"/>
        </w:rPr>
        <w:t xml:space="preserve"> del proyecto)</w:t>
      </w:r>
    </w:p>
    <w:p w14:paraId="42BACB92" w14:textId="69714E97" w:rsidR="00B60882" w:rsidRPr="00321853" w:rsidRDefault="00B60882" w:rsidP="00321853">
      <w:pPr>
        <w:autoSpaceDE w:val="0"/>
        <w:autoSpaceDN w:val="0"/>
        <w:adjustRightInd w:val="0"/>
        <w:spacing w:after="0" w:line="240" w:lineRule="auto"/>
        <w:ind w:left="709" w:right="709"/>
        <w:jc w:val="both"/>
        <w:rPr>
          <w:rFonts w:ascii="Verdana" w:hAnsi="Verdana" w:cs="ArialMT"/>
          <w:sz w:val="20"/>
          <w:szCs w:val="20"/>
        </w:rPr>
      </w:pPr>
      <w:r w:rsidRPr="00321853">
        <w:rPr>
          <w:rFonts w:ascii="Verdana" w:hAnsi="Verdana"/>
          <w:sz w:val="20"/>
          <w:szCs w:val="20"/>
        </w:rPr>
        <w:t>[…]</w:t>
      </w:r>
      <w:r w:rsidRPr="00321853">
        <w:rPr>
          <w:rFonts w:ascii="Verdana" w:hAnsi="Verdana" w:cs="ArialMT"/>
          <w:sz w:val="20"/>
          <w:szCs w:val="20"/>
        </w:rPr>
        <w:t>”</w:t>
      </w:r>
    </w:p>
    <w:p w14:paraId="132088B8" w14:textId="77777777" w:rsidR="00B60882" w:rsidRPr="00924340" w:rsidRDefault="00B60882" w:rsidP="00B60882">
      <w:pPr>
        <w:autoSpaceDE w:val="0"/>
        <w:autoSpaceDN w:val="0"/>
        <w:adjustRightInd w:val="0"/>
        <w:spacing w:after="0" w:line="276" w:lineRule="auto"/>
        <w:ind w:left="851" w:right="616"/>
        <w:jc w:val="both"/>
        <w:rPr>
          <w:rFonts w:ascii="Verdana" w:eastAsia="Century Gothic" w:hAnsi="Verdana" w:cs="Century Gothic"/>
          <w:b/>
        </w:rPr>
      </w:pPr>
    </w:p>
    <w:p w14:paraId="6229A4CD" w14:textId="3AE0F09D" w:rsidR="00B60882" w:rsidRDefault="00B60882" w:rsidP="00B60882">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6434E2">
        <w:rPr>
          <w:rFonts w:ascii="Verdana" w:eastAsia="Calibri" w:hAnsi="Verdana" w:cs="Arial"/>
          <w:color w:val="000000"/>
          <w:lang w:val="es-ES" w:eastAsia="es-ES"/>
        </w:rPr>
        <w:t xml:space="preserve">la Agencia Nacional de Contratación Pública – </w:t>
      </w:r>
      <w:r>
        <w:rPr>
          <w:rFonts w:ascii="Verdana" w:eastAsia="Calibri" w:hAnsi="Verdana" w:cs="Arial"/>
          <w:color w:val="000000"/>
          <w:lang w:val="es-ES" w:eastAsia="es-ES"/>
        </w:rPr>
        <w:t>Colombia</w:t>
      </w:r>
      <w:r w:rsidR="006434E2">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2A441E2" w14:textId="1792AFD0" w:rsidR="00B60882" w:rsidRDefault="00B60882" w:rsidP="00B60882">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w:t>
      </w:r>
      <w:r w:rsidR="006434E2">
        <w:rPr>
          <w:rFonts w:ascii="Verdana" w:eastAsia="Calibri" w:hAnsi="Verdana" w:cs="Arial"/>
          <w:color w:val="000000"/>
          <w:lang w:val="es-ES" w:eastAsia="es-ES"/>
        </w:rPr>
        <w:t>abstracción del caso concreto puesto en conocimiento, pero señalando</w:t>
      </w:r>
      <w:r>
        <w:rPr>
          <w:rFonts w:ascii="Verdana" w:eastAsia="Calibri" w:hAnsi="Verdana" w:cs="Arial"/>
          <w:color w:val="000000"/>
          <w:lang w:val="es-ES" w:eastAsia="es-ES"/>
        </w:rPr>
        <w:t xml:space="preserve"> </w:t>
      </w:r>
      <w:r w:rsidR="006434E2">
        <w:rPr>
          <w:rFonts w:ascii="Verdana" w:eastAsia="Calibri" w:hAnsi="Verdana" w:cs="Arial"/>
          <w:color w:val="000000"/>
          <w:lang w:val="es-ES" w:eastAsia="es-ES"/>
        </w:rPr>
        <w:t>alg</w:t>
      </w:r>
      <w:r>
        <w:rPr>
          <w:rFonts w:ascii="Verdana" w:eastAsia="Calibri" w:hAnsi="Verdana" w:cs="Arial"/>
          <w:color w:val="000000"/>
          <w:lang w:val="es-ES" w:eastAsia="es-ES"/>
        </w:rPr>
        <w:t>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2806D25" w14:textId="77777777" w:rsidR="00B60882" w:rsidRDefault="00B60882" w:rsidP="00B60882">
      <w:pPr>
        <w:spacing w:after="0" w:line="276" w:lineRule="auto"/>
        <w:ind w:firstLine="709"/>
        <w:jc w:val="both"/>
        <w:rPr>
          <w:rFonts w:ascii="Verdana" w:eastAsia="Calibri" w:hAnsi="Verdana" w:cs="Arial"/>
          <w:color w:val="000000"/>
          <w:lang w:val="es-ES" w:eastAsia="es-ES"/>
        </w:rPr>
      </w:pPr>
    </w:p>
    <w:p w14:paraId="33E7E99A" w14:textId="77777777" w:rsidR="00B60882" w:rsidRDefault="00B60882" w:rsidP="00B608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2F98585" w14:textId="77777777" w:rsidR="00B60882" w:rsidRDefault="00B60882" w:rsidP="00B60882">
      <w:pPr>
        <w:tabs>
          <w:tab w:val="left" w:pos="426"/>
        </w:tabs>
        <w:spacing w:after="0" w:line="276" w:lineRule="auto"/>
        <w:jc w:val="both"/>
        <w:rPr>
          <w:rFonts w:ascii="Verdana" w:eastAsia="Century Gothic" w:hAnsi="Verdana" w:cs="Century Gothic"/>
          <w:lang w:val="es-ES"/>
        </w:rPr>
      </w:pPr>
    </w:p>
    <w:p w14:paraId="19843196" w14:textId="77777777" w:rsidR="00B60882" w:rsidRDefault="00B60882" w:rsidP="00B60882">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¿dentro de un proceso de selección abreviada por subasta inversa, puede la entidad establecer como requisito habilitante de experiencia la exigencia de hojas de vida del personal del proponente? </w:t>
      </w:r>
    </w:p>
    <w:p w14:paraId="7F6EFB0A" w14:textId="77777777" w:rsidR="00B60882" w:rsidRDefault="00B60882" w:rsidP="00B60882">
      <w:pPr>
        <w:spacing w:after="0" w:line="276" w:lineRule="auto"/>
        <w:jc w:val="both"/>
        <w:rPr>
          <w:rFonts w:ascii="Verdana" w:eastAsia="Calibri" w:hAnsi="Verdana" w:cs="Arial"/>
          <w:color w:val="7030A0"/>
          <w:lang w:val="es-ES"/>
        </w:rPr>
      </w:pPr>
    </w:p>
    <w:p w14:paraId="5FA1ADA2" w14:textId="77777777" w:rsidR="00B60882" w:rsidRDefault="00B60882" w:rsidP="00B608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588F1B8F" w14:textId="77777777" w:rsidR="00B60882" w:rsidRDefault="00B60882" w:rsidP="00B6088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0882" w:rsidRPr="001B5827" w14:paraId="0431E15D" w14:textId="77777777" w:rsidTr="00EB1F93">
        <w:tc>
          <w:tcPr>
            <w:tcW w:w="8828" w:type="dxa"/>
            <w:tcBorders>
              <w:top w:val="dotted" w:sz="4" w:space="0" w:color="auto"/>
              <w:left w:val="dotted" w:sz="4" w:space="0" w:color="auto"/>
              <w:bottom w:val="dotted" w:sz="4" w:space="0" w:color="auto"/>
              <w:right w:val="dotted" w:sz="4" w:space="0" w:color="auto"/>
            </w:tcBorders>
          </w:tcPr>
          <w:p w14:paraId="05211285" w14:textId="77777777" w:rsidR="00B60882" w:rsidRPr="00E42471" w:rsidRDefault="00B60882" w:rsidP="00EB1F93">
            <w:pPr>
              <w:tabs>
                <w:tab w:val="left" w:pos="0"/>
              </w:tabs>
              <w:spacing w:after="120" w:line="276" w:lineRule="auto"/>
              <w:jc w:val="both"/>
              <w:rPr>
                <w:rFonts w:ascii="Verdana" w:eastAsia="Arial" w:hAnsi="Verdana" w:cs="Arial"/>
                <w:color w:val="000000"/>
              </w:rPr>
            </w:pPr>
            <w:r w:rsidRPr="00E42471">
              <w:rPr>
                <w:rFonts w:ascii="Verdana" w:eastAsia="Arial" w:hAnsi="Verdana" w:cs="Arial"/>
                <w:color w:val="000000"/>
              </w:rPr>
              <w:t>De acuerdo con el artículo 5 de la Ley 1150 de 2007</w:t>
            </w:r>
            <w:r>
              <w:rPr>
                <w:rFonts w:ascii="Verdana" w:eastAsia="Arial" w:hAnsi="Verdana" w:cs="Arial"/>
                <w:color w:val="000000"/>
              </w:rPr>
              <w:t xml:space="preserve">, </w:t>
            </w:r>
            <w:r w:rsidRPr="00E42471">
              <w:rPr>
                <w:rFonts w:ascii="Verdana" w:eastAsia="Arial" w:hAnsi="Verdana" w:cs="Arial"/>
                <w:color w:val="000000"/>
              </w:rPr>
              <w:t xml:space="preserve">el deber de selección objetiva supone que las entidades escojan en los procesos de selección el </w:t>
            </w:r>
            <w:r w:rsidRPr="00E17F16">
              <w:rPr>
                <w:rFonts w:ascii="Verdana" w:eastAsia="Arial" w:hAnsi="Verdana" w:cs="Arial"/>
                <w:i/>
                <w:color w:val="000000"/>
              </w:rPr>
              <w:t xml:space="preserve">“[…] ofrecimiento más favorable a la entidad y a los fines que ella busca […]”. </w:t>
            </w:r>
            <w:r w:rsidRPr="00E42471">
              <w:rPr>
                <w:rFonts w:ascii="Verdana" w:eastAsia="Arial" w:hAnsi="Verdana" w:cs="Arial"/>
                <w:color w:val="000000"/>
              </w:rPr>
              <w:t xml:space="preserve">Tal favorabilidad debe determinarse a partir de criterios que pueden variar de acuerdo con el objeto contractual o la modalidad de selección aplicable, los </w:t>
            </w:r>
            <w:r w:rsidRPr="00E42471">
              <w:rPr>
                <w:rFonts w:ascii="Verdana" w:eastAsia="Arial" w:hAnsi="Verdana" w:cs="Arial"/>
                <w:color w:val="000000"/>
              </w:rPr>
              <w:lastRenderedPageBreak/>
              <w:t xml:space="preserve">cuales, en todo caso, para que la selección sea objetiva, deben señalarse en el pliego de condiciones o documento equivalente. </w:t>
            </w:r>
          </w:p>
          <w:p w14:paraId="60D03C6D" w14:textId="77777777" w:rsidR="00B60882" w:rsidRDefault="00B60882" w:rsidP="00321853">
            <w:pPr>
              <w:spacing w:after="120" w:line="276" w:lineRule="auto"/>
              <w:ind w:firstLine="709"/>
              <w:jc w:val="both"/>
              <w:rPr>
                <w:rFonts w:ascii="Verdana" w:eastAsia="Calibri" w:hAnsi="Verdana" w:cs="Arial"/>
                <w:color w:val="000000" w:themeColor="text1"/>
                <w:lang w:val="es-ES_tradnl"/>
              </w:rPr>
            </w:pPr>
            <w:r w:rsidRPr="00E42471">
              <w:rPr>
                <w:rFonts w:ascii="Verdana" w:eastAsia="Arial" w:hAnsi="Verdana" w:cs="Arial"/>
                <w:color w:val="000000"/>
              </w:rPr>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w:t>
            </w:r>
            <w:r>
              <w:rPr>
                <w:rFonts w:ascii="Verdana" w:eastAsia="Arial" w:hAnsi="Verdana" w:cs="Arial"/>
                <w:color w:val="000000"/>
              </w:rPr>
              <w:t xml:space="preserve"> </w:t>
            </w:r>
            <w:r w:rsidRPr="009859FE">
              <w:rPr>
                <w:rFonts w:ascii="Verdana" w:eastAsia="Calibri" w:hAnsi="Verdana" w:cs="Arial"/>
                <w:color w:val="000000" w:themeColor="text1"/>
                <w:lang w:val="es-ES_tradnl"/>
              </w:rPr>
              <w:t>Conforme lo ha sostenido esta Agencia en distintos conceptos, los requisitos habilitantes, establecidos en el numeral 1° del artículo 5 de la Ley 1150 de 2007, son de carácter enunciativos y no taxativos.</w:t>
            </w:r>
          </w:p>
          <w:p w14:paraId="2FAAFFB5" w14:textId="77777777" w:rsidR="00B60882" w:rsidRDefault="00B60882" w:rsidP="00EB1F93">
            <w:pPr>
              <w:spacing w:after="120" w:line="276" w:lineRule="auto"/>
              <w:ind w:firstLine="708"/>
              <w:jc w:val="both"/>
              <w:rPr>
                <w:rFonts w:ascii="Verdana" w:eastAsia="Calibri" w:hAnsi="Verdana" w:cs="Arial"/>
                <w:color w:val="000000" w:themeColor="text1"/>
                <w:lang w:val="es-ES"/>
              </w:rPr>
            </w:pPr>
            <w:r>
              <w:rPr>
                <w:rFonts w:ascii="Verdana" w:eastAsia="Calibri" w:hAnsi="Verdana" w:cs="Arial"/>
                <w:lang w:val="es-ES"/>
              </w:rPr>
              <w:t xml:space="preserve">Así, </w:t>
            </w:r>
            <w:r>
              <w:rPr>
                <w:rFonts w:ascii="Verdana" w:eastAsia="Calibri" w:hAnsi="Verdana" w:cs="Arial"/>
                <w:color w:val="000000" w:themeColor="text1"/>
                <w:lang w:val="es-ES_tradnl"/>
              </w:rPr>
              <w:t>l</w:t>
            </w:r>
            <w:r w:rsidRPr="009859FE">
              <w:rPr>
                <w:rFonts w:ascii="Verdana" w:eastAsia="Calibri" w:hAnsi="Verdana" w:cs="Arial"/>
                <w:color w:val="000000" w:themeColor="text1"/>
                <w:lang w:val="es-ES_tradnl"/>
              </w:rPr>
              <w:t xml:space="preserve">os </w:t>
            </w:r>
            <w:r w:rsidRPr="009859FE">
              <w:rPr>
                <w:rFonts w:ascii="Verdana" w:eastAsia="Calibri" w:hAnsi="Verdana" w:cs="Arial"/>
                <w:i/>
                <w:iCs/>
                <w:color w:val="000000" w:themeColor="text1"/>
                <w:lang w:val="es-ES_tradnl"/>
              </w:rPr>
              <w:t>requisitos habilitantes</w:t>
            </w:r>
            <w:r w:rsidRPr="009859FE">
              <w:rPr>
                <w:rFonts w:ascii="Verdana" w:eastAsia="Calibri" w:hAnsi="Verdana" w:cs="Arial"/>
                <w:color w:val="000000" w:themeColor="text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w:t>
            </w:r>
            <w:r>
              <w:rPr>
                <w:rFonts w:ascii="Verdana" w:eastAsia="Calibri" w:hAnsi="Verdana" w:cs="Arial"/>
                <w:color w:val="000000" w:themeColor="text1"/>
                <w:lang w:val="es-ES_tradnl"/>
              </w:rPr>
              <w:t>. D</w:t>
            </w:r>
            <w:proofErr w:type="spellStart"/>
            <w:r w:rsidRPr="009859FE">
              <w:rPr>
                <w:rFonts w:ascii="Verdana" w:eastAsia="Calibri" w:hAnsi="Verdana" w:cs="Arial"/>
                <w:color w:val="000000" w:themeColor="text1"/>
                <w:lang w:val="es-ES"/>
              </w:rPr>
              <w:t>e</w:t>
            </w:r>
            <w:proofErr w:type="spellEnd"/>
            <w:r w:rsidRPr="009859FE">
              <w:rPr>
                <w:rFonts w:ascii="Verdana" w:eastAsia="Calibri" w:hAnsi="Verdana" w:cs="Arial"/>
                <w:color w:val="000000" w:themeColor="text1"/>
                <w:lang w:val="es-ES"/>
              </w:rPr>
              <w:t xml:space="preserve"> manera que quienes no los reúnan no pueden continuar en el procedimiento de selección, </w:t>
            </w:r>
            <w:r>
              <w:rPr>
                <w:rFonts w:ascii="Verdana" w:eastAsia="Calibri" w:hAnsi="Verdana" w:cs="Arial"/>
                <w:color w:val="000000" w:themeColor="text1"/>
                <w:lang w:val="es-ES"/>
              </w:rPr>
              <w:t>es decir</w:t>
            </w:r>
            <w:r w:rsidRPr="009859FE">
              <w:rPr>
                <w:rFonts w:ascii="Verdana" w:eastAsia="Calibri" w:hAnsi="Verdana" w:cs="Arial"/>
                <w:color w:val="000000" w:themeColor="text1"/>
                <w:lang w:val="es-ES"/>
              </w:rPr>
              <w:t>, incurren en causal de rechazo. Esto, sin perjuicio del derecho que tienen los oferentes de subsanar los defectos que se presenten en la prueba de tales requisitos, de conformidad con el artículo 5, parágrafos 1º al 4º, de la Ley 1150 de 2007.</w:t>
            </w:r>
          </w:p>
          <w:p w14:paraId="4E20A1FD" w14:textId="77777777" w:rsidR="00B60882" w:rsidRPr="009859FE" w:rsidRDefault="00B60882" w:rsidP="00321853">
            <w:pPr>
              <w:spacing w:after="120" w:line="276" w:lineRule="auto"/>
              <w:ind w:firstLine="740"/>
              <w:jc w:val="both"/>
              <w:rPr>
                <w:rFonts w:ascii="Verdana" w:eastAsia="Calibri" w:hAnsi="Verdana" w:cs="Arial"/>
                <w:color w:val="000000" w:themeColor="text1"/>
              </w:rPr>
            </w:pPr>
            <w:r>
              <w:rPr>
                <w:rFonts w:ascii="Verdana" w:eastAsia="Calibri" w:hAnsi="Verdana" w:cs="Arial"/>
                <w:lang w:val="es-ES"/>
              </w:rPr>
              <w:t>En cuanto al proceso de selección por subasta inversa, si bien la norma establece el precio como factor único de evaluación, respecto</w:t>
            </w:r>
            <w:r w:rsidRPr="00FF6458">
              <w:rPr>
                <w:rFonts w:ascii="Verdana" w:eastAsia="Calibri" w:hAnsi="Verdana" w:cs="Arial"/>
                <w:lang w:val="es-ES"/>
              </w:rPr>
              <w:t xml:space="preserve"> a los requisitos habilitantes la entidad contratante es autónoma para configurarlos</w:t>
            </w:r>
            <w:r>
              <w:rPr>
                <w:rFonts w:ascii="Verdana" w:eastAsia="Calibri" w:hAnsi="Verdana" w:cs="Arial"/>
                <w:lang w:val="es-ES"/>
              </w:rPr>
              <w:t>. Así, c</w:t>
            </w:r>
            <w:proofErr w:type="spellStart"/>
            <w:r w:rsidRPr="009859FE">
              <w:rPr>
                <w:rFonts w:ascii="Verdana" w:eastAsia="Calibri" w:hAnsi="Verdana" w:cs="Arial"/>
                <w:color w:val="000000" w:themeColor="text1"/>
              </w:rPr>
              <w:t>orresponde</w:t>
            </w:r>
            <w:proofErr w:type="spellEnd"/>
            <w:r w:rsidRPr="009859FE">
              <w:rPr>
                <w:rFonts w:ascii="Verdana" w:eastAsia="Calibri" w:hAnsi="Verdana" w:cs="Arial"/>
                <w:color w:val="000000" w:themeColor="text1"/>
              </w:rPr>
              <w:t xml:space="preserve"> a las Entidades Estatales, durante la etapa de planeación del contrato estatal, estudiar y determinar los requisitos habilitantes que establecerán en los Pliegos de Condiciones, los cuales deben fijarse de forma </w:t>
            </w:r>
            <w:r w:rsidRPr="00153848">
              <w:rPr>
                <w:rFonts w:ascii="Verdana" w:eastAsia="Calibri" w:hAnsi="Verdana" w:cs="Arial"/>
                <w:i/>
                <w:color w:val="000000" w:themeColor="text1"/>
              </w:rPr>
              <w:t>adecuada y proporcional</w:t>
            </w:r>
            <w:r w:rsidRPr="009859FE">
              <w:rPr>
                <w:rFonts w:ascii="Verdana" w:eastAsia="Calibri" w:hAnsi="Verdana" w:cs="Arial"/>
                <w:color w:val="000000" w:themeColor="text1"/>
              </w:rPr>
              <w:t>. Esto último, según se deriva de la lectura del artículo 2.2.1.1.1.6.2 del Decreto 1082 de 2015, debe hacerse de acuerdo con la naturaleza, el valor del contrato, la forma de pago, los riesgos asociados al contrato, el plazo y la complejidad de ejecución del objeto.</w:t>
            </w:r>
          </w:p>
          <w:p w14:paraId="54F33B94" w14:textId="77777777" w:rsidR="00B60882" w:rsidRDefault="00B60882" w:rsidP="00321853">
            <w:pPr>
              <w:spacing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w:t>
            </w:r>
            <w:r w:rsidRPr="00C94107">
              <w:rPr>
                <w:rFonts w:ascii="Verdana" w:eastAsia="Times New Roman" w:hAnsi="Verdana" w:cs="Arial"/>
                <w:lang w:val="es-ES" w:eastAsia="es-MX"/>
              </w:rPr>
              <w:lastRenderedPageBreak/>
              <w:t>ejercerse respetando los principios que rigen en materia de contratación pública, como el selección objetiva e igualdad, y las normas de orden legal.</w:t>
            </w:r>
          </w:p>
          <w:p w14:paraId="75E5992A" w14:textId="3A0CB0C0" w:rsidR="00B60882" w:rsidRPr="001B5827" w:rsidRDefault="00B60882" w:rsidP="00321853">
            <w:pPr>
              <w:widowControl w:val="0"/>
              <w:autoSpaceDE w:val="0"/>
              <w:autoSpaceDN w:val="0"/>
              <w:spacing w:line="276" w:lineRule="auto"/>
              <w:ind w:firstLine="709"/>
              <w:jc w:val="both"/>
              <w:rPr>
                <w:rFonts w:ascii="Verdana" w:hAnsi="Verdana"/>
              </w:rPr>
            </w:pPr>
            <w:r w:rsidRPr="00FF6458">
              <w:rPr>
                <w:rFonts w:ascii="Verdana" w:eastAsia="Calibri" w:hAnsi="Verdana" w:cs="Arial"/>
              </w:rPr>
              <w:t xml:space="preserve">Ahora bien, el análisis concreto sobre la legalidad o pertinencia de requisitos específicos debe ser realizado por los interesados o por la propia entidad que adelanta el proceso. En caso de dudas, los proponentes pueden presentar observaciones directamente ante la entidad contratante. </w:t>
            </w:r>
            <w:r w:rsidRPr="00FF645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89F5F11" w14:textId="77777777" w:rsidR="00B60882" w:rsidRPr="001B5827" w:rsidRDefault="00B60882" w:rsidP="00B60882">
      <w:pPr>
        <w:tabs>
          <w:tab w:val="left" w:pos="142"/>
          <w:tab w:val="left" w:pos="284"/>
        </w:tabs>
        <w:spacing w:after="0" w:line="276" w:lineRule="auto"/>
        <w:jc w:val="both"/>
        <w:rPr>
          <w:rFonts w:ascii="Verdana" w:eastAsia="Century Gothic" w:hAnsi="Verdana" w:cs="Century Gothic"/>
          <w:b/>
          <w:bCs/>
          <w:lang w:val="es-ES"/>
        </w:rPr>
      </w:pPr>
    </w:p>
    <w:p w14:paraId="650EBE14" w14:textId="77777777" w:rsidR="00B60882" w:rsidRPr="001B5827" w:rsidRDefault="00B60882" w:rsidP="00B608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019EFA3C" w14:textId="77777777" w:rsidR="00B60882" w:rsidRPr="001B5827" w:rsidRDefault="00B60882" w:rsidP="00B60882">
      <w:pPr>
        <w:spacing w:after="0" w:line="276" w:lineRule="auto"/>
        <w:jc w:val="both"/>
        <w:rPr>
          <w:rFonts w:ascii="Verdana" w:eastAsia="Calibri" w:hAnsi="Verdana" w:cs="Arial"/>
          <w:lang w:val="es-ES"/>
        </w:rPr>
      </w:pPr>
    </w:p>
    <w:p w14:paraId="4AF271AA" w14:textId="77777777" w:rsidR="00B60882" w:rsidRDefault="00B60882" w:rsidP="00B60882">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51FF647E" w14:textId="77777777" w:rsidR="00B60882" w:rsidRDefault="00B60882" w:rsidP="00B60882">
      <w:pPr>
        <w:spacing w:after="0" w:line="276" w:lineRule="auto"/>
        <w:jc w:val="both"/>
        <w:rPr>
          <w:rFonts w:ascii="Verdana" w:eastAsia="Calibri" w:hAnsi="Verdana" w:cs="Arial"/>
          <w:lang w:val="es-ES"/>
        </w:rPr>
      </w:pPr>
    </w:p>
    <w:p w14:paraId="4DBF23FE" w14:textId="77777777" w:rsidR="00B60882" w:rsidRDefault="00B60882" w:rsidP="00B60882">
      <w:pPr>
        <w:spacing w:after="0" w:line="276" w:lineRule="auto"/>
        <w:jc w:val="both"/>
        <w:rPr>
          <w:rFonts w:ascii="Verdana" w:eastAsia="Arial" w:hAnsi="Verdana" w:cs="Arial"/>
          <w:color w:val="000000"/>
        </w:rPr>
      </w:pPr>
      <w:r>
        <w:rPr>
          <w:rFonts w:ascii="Verdana" w:eastAsia="Calibri" w:hAnsi="Verdana" w:cs="Arial"/>
          <w:lang w:val="es-ES"/>
        </w:rPr>
        <w:t xml:space="preserve">La selección objetiva es uno de los principios transversales de los procedimientos de selección. </w:t>
      </w:r>
      <w:r w:rsidRPr="00B95769">
        <w:rPr>
          <w:rFonts w:ascii="Verdana" w:eastAsia="Arial" w:hAnsi="Verdana" w:cs="Arial"/>
          <w:color w:val="000000"/>
        </w:rPr>
        <w:t>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924340">
        <w:rPr>
          <w:rFonts w:ascii="Verdana" w:hAnsi="Verdana"/>
          <w:vertAlign w:val="superscript"/>
        </w:rPr>
        <w:footnoteReference w:id="2"/>
      </w:r>
      <w:r w:rsidRPr="00B95769">
        <w:rPr>
          <w:rFonts w:ascii="Verdana" w:eastAsia="Arial" w:hAnsi="Verdana" w:cs="Arial"/>
          <w:color w:val="000000"/>
        </w:rPr>
        <w:t xml:space="preserve">, en la actualidad la disposición legal que lo prevé </w:t>
      </w:r>
      <w:r w:rsidRPr="00B95769">
        <w:rPr>
          <w:rFonts w:ascii="Verdana" w:eastAsia="Arial" w:hAnsi="Verdana" w:cs="Arial"/>
          <w:color w:val="000000"/>
        </w:rPr>
        <w:lastRenderedPageBreak/>
        <w:t xml:space="preserve">de manera más clara y contundente es el artículo 5 de la Ley 1150 de 2007, modificado por el artículo 88 de la Ley 1474 de 2011 y por el artículo 5 de la Ley 1882 de 2018. Esta norma prescribe lo siguiente: </w:t>
      </w:r>
    </w:p>
    <w:p w14:paraId="38D4A888" w14:textId="77777777" w:rsidR="00B60882" w:rsidRPr="00E53A0A" w:rsidRDefault="00B60882" w:rsidP="00B60882">
      <w:pPr>
        <w:spacing w:after="0" w:line="276" w:lineRule="auto"/>
        <w:jc w:val="both"/>
        <w:rPr>
          <w:rFonts w:ascii="Verdana" w:eastAsia="Calibri" w:hAnsi="Verdana" w:cs="Arial"/>
          <w:bCs/>
          <w:lang w:eastAsia="es-ES_tradnl"/>
        </w:rPr>
      </w:pPr>
    </w:p>
    <w:p w14:paraId="3F7A2797" w14:textId="131CED75" w:rsidR="0096301D" w:rsidRDefault="00B60882" w:rsidP="00B60882">
      <w:pPr>
        <w:spacing w:after="0" w:line="240" w:lineRule="auto"/>
        <w:ind w:left="709" w:right="709"/>
        <w:jc w:val="both"/>
        <w:rPr>
          <w:rFonts w:ascii="Verdana" w:eastAsia="Arial" w:hAnsi="Verdana" w:cs="Arial"/>
          <w:color w:val="000000"/>
          <w:sz w:val="20"/>
          <w:szCs w:val="20"/>
        </w:rPr>
      </w:pPr>
      <w:r>
        <w:rPr>
          <w:rFonts w:ascii="Verdana" w:eastAsia="Arial" w:hAnsi="Verdana" w:cs="Arial"/>
          <w:color w:val="000000"/>
          <w:sz w:val="20"/>
          <w:szCs w:val="20"/>
        </w:rPr>
        <w:t>“</w:t>
      </w:r>
      <w:r w:rsidRPr="00E42471">
        <w:rPr>
          <w:rFonts w:ascii="Verdana" w:eastAsia="Arial" w:hAnsi="Verdana" w:cs="Arial"/>
          <w:color w:val="000000"/>
          <w:sz w:val="20"/>
          <w:szCs w:val="20"/>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w:t>
      </w:r>
    </w:p>
    <w:p w14:paraId="51523A67" w14:textId="5176391E"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o sus equivalentes, tendrán en cuenta los siguientes criterios:</w:t>
      </w:r>
    </w:p>
    <w:p w14:paraId="5A9768D1"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p>
    <w:p w14:paraId="7D9D0D3D"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0D11CBE8" w14:textId="77777777" w:rsidR="00B60882" w:rsidRDefault="00B60882" w:rsidP="00B60882">
      <w:pPr>
        <w:spacing w:after="0" w:line="240" w:lineRule="auto"/>
        <w:ind w:left="709" w:right="709"/>
        <w:jc w:val="both"/>
        <w:rPr>
          <w:rFonts w:ascii="Verdana" w:eastAsia="Arial" w:hAnsi="Verdana" w:cs="Arial"/>
          <w:color w:val="000000"/>
          <w:sz w:val="20"/>
          <w:szCs w:val="20"/>
        </w:rPr>
      </w:pPr>
    </w:p>
    <w:p w14:paraId="7EC848BC"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649B631C"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p>
    <w:p w14:paraId="38360B1B"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En los procesos de selección en los que se tenga en cuenta los factores técnicos y económicos, la oferta más ventajosa será la que resulte de aplicar alguna de las siguientes alternativas:</w:t>
      </w:r>
    </w:p>
    <w:p w14:paraId="0C54CDCC"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a) La ponderación de los elementos de calidad y precio soportados en puntajes o fórmulas señaladas en el pliego de condiciones; o</w:t>
      </w:r>
    </w:p>
    <w:p w14:paraId="2C67CD6C"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lastRenderedPageBreak/>
        <w:t>b) La ponderación de los elementos de calidad y precio que representen la mejor relación de costo-beneficio para la entidad.</w:t>
      </w:r>
    </w:p>
    <w:p w14:paraId="2540788F"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355DD500" w14:textId="77777777" w:rsidR="00B60882" w:rsidRPr="00E42471"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6BC12CAD" w14:textId="77777777" w:rsidR="00B60882" w:rsidRDefault="00B60882" w:rsidP="00B60882">
      <w:pPr>
        <w:spacing w:after="0" w:line="240" w:lineRule="auto"/>
        <w:ind w:left="709" w:right="709"/>
        <w:jc w:val="both"/>
        <w:rPr>
          <w:rFonts w:ascii="Verdana" w:eastAsia="Arial" w:hAnsi="Verdana" w:cs="Arial"/>
          <w:color w:val="000000"/>
          <w:sz w:val="20"/>
          <w:szCs w:val="20"/>
        </w:rPr>
      </w:pPr>
      <w:r w:rsidRPr="00E42471">
        <w:rPr>
          <w:rFonts w:ascii="Verdana" w:eastAsia="Arial" w:hAnsi="Verdana" w:cs="Arial"/>
          <w:color w:val="000000"/>
          <w:sz w:val="20"/>
          <w:szCs w:val="20"/>
        </w:rPr>
        <w:t>En ningún caso se podrá incluir el precio, como factor de escogencia para la selección de consultores</w:t>
      </w:r>
      <w:r>
        <w:rPr>
          <w:rFonts w:ascii="Verdana" w:eastAsia="Arial" w:hAnsi="Verdana" w:cs="Arial"/>
          <w:color w:val="000000"/>
          <w:sz w:val="20"/>
          <w:szCs w:val="20"/>
        </w:rPr>
        <w:t xml:space="preserve"> […]”.</w:t>
      </w:r>
    </w:p>
    <w:p w14:paraId="6CDBD438" w14:textId="77777777" w:rsidR="00B60882" w:rsidRPr="00A851AA" w:rsidRDefault="00B60882" w:rsidP="00321853">
      <w:pPr>
        <w:spacing w:after="0" w:line="276" w:lineRule="auto"/>
        <w:ind w:right="709"/>
        <w:jc w:val="both"/>
        <w:rPr>
          <w:rFonts w:ascii="Century Gothic" w:eastAsia="Arial" w:hAnsi="Century Gothic" w:cs="Arial"/>
          <w:color w:val="000000"/>
        </w:rPr>
      </w:pPr>
    </w:p>
    <w:p w14:paraId="48694D6C" w14:textId="77777777" w:rsidR="00B60882" w:rsidRPr="00E42471" w:rsidRDefault="00B60882" w:rsidP="00B60882">
      <w:pPr>
        <w:tabs>
          <w:tab w:val="left" w:pos="0"/>
        </w:tabs>
        <w:spacing w:after="120" w:line="276" w:lineRule="auto"/>
        <w:ind w:firstLine="709"/>
        <w:jc w:val="both"/>
        <w:rPr>
          <w:rFonts w:ascii="Verdana" w:eastAsia="Arial" w:hAnsi="Verdana" w:cs="Arial"/>
          <w:color w:val="000000"/>
        </w:rPr>
      </w:pPr>
      <w:r w:rsidRPr="00E42471">
        <w:rPr>
          <w:rFonts w:ascii="Verdana" w:eastAsia="Arial" w:hAnsi="Verdana" w:cs="Arial"/>
          <w:color w:val="000000"/>
        </w:rPr>
        <w:t>De acuerdo con el artículo 5 de la Ley 1150 de 2007</w:t>
      </w:r>
      <w:r>
        <w:rPr>
          <w:rFonts w:ascii="Verdana" w:eastAsia="Arial" w:hAnsi="Verdana" w:cs="Arial"/>
          <w:color w:val="000000"/>
        </w:rPr>
        <w:t xml:space="preserve">, </w:t>
      </w:r>
      <w:r w:rsidRPr="00E42471">
        <w:rPr>
          <w:rFonts w:ascii="Verdana" w:eastAsia="Arial" w:hAnsi="Verdana" w:cs="Arial"/>
          <w:color w:val="000000"/>
        </w:rPr>
        <w:t xml:space="preserve">el deber de selección objetiva supone que las entidades escojan en los procesos de selección el </w:t>
      </w:r>
      <w:r w:rsidRPr="00E17F16">
        <w:rPr>
          <w:rFonts w:ascii="Verdana" w:eastAsia="Arial" w:hAnsi="Verdana" w:cs="Arial"/>
          <w:i/>
          <w:color w:val="000000"/>
        </w:rPr>
        <w:t xml:space="preserve">“[…] ofrecimiento más favorable a la entidad y a los fines que ella busca […]”. </w:t>
      </w:r>
      <w:r w:rsidRPr="00E42471">
        <w:rPr>
          <w:rFonts w:ascii="Verdana" w:eastAsia="Arial" w:hAnsi="Verdana" w:cs="Arial"/>
          <w:color w:val="000000"/>
        </w:rPr>
        <w:t xml:space="preserve">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3705F06F" w14:textId="77777777" w:rsidR="009B335D" w:rsidRDefault="00B60882" w:rsidP="00594BD7">
      <w:pPr>
        <w:tabs>
          <w:tab w:val="left" w:pos="0"/>
        </w:tabs>
        <w:spacing w:after="120" w:line="276" w:lineRule="auto"/>
        <w:ind w:firstLine="709"/>
        <w:jc w:val="both"/>
        <w:rPr>
          <w:rFonts w:ascii="Verdana" w:eastAsia="Arial" w:hAnsi="Verdana" w:cs="Arial"/>
          <w:color w:val="000000"/>
        </w:rPr>
      </w:pPr>
      <w:r w:rsidRPr="00E42471">
        <w:rPr>
          <w:rFonts w:ascii="Verdana" w:eastAsia="Arial" w:hAnsi="Verdana" w:cs="Arial"/>
          <w:color w:val="000000"/>
        </w:rPr>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w:t>
      </w:r>
      <w:r>
        <w:rPr>
          <w:rFonts w:ascii="Verdana" w:eastAsia="Arial" w:hAnsi="Verdana" w:cs="Arial"/>
          <w:color w:val="000000"/>
        </w:rPr>
        <w:t>,</w:t>
      </w:r>
      <w:r w:rsidRPr="00E42471">
        <w:rPr>
          <w:rFonts w:ascii="Verdana" w:eastAsia="Arial" w:hAnsi="Verdana" w:cs="Arial"/>
          <w:color w:val="000000"/>
        </w:rPr>
        <w:t xml:space="preserve"> estos no se refieren a la oferta misma sino a la idoneidad del oferente para asumir adecuadamente la ejecución del contrato</w:t>
      </w:r>
      <w:r w:rsidRPr="00E42471">
        <w:rPr>
          <w:rFonts w:ascii="Verdana" w:eastAsia="Arial" w:hAnsi="Verdana" w:cs="Arial"/>
          <w:color w:val="000000"/>
          <w:vertAlign w:val="superscript"/>
        </w:rPr>
        <w:footnoteReference w:id="3"/>
      </w:r>
      <w:r w:rsidRPr="00E42471">
        <w:rPr>
          <w:rFonts w:ascii="Verdana" w:eastAsia="Arial" w:hAnsi="Verdana" w:cs="Arial"/>
          <w:color w:val="000000"/>
        </w:rPr>
        <w:t xml:space="preserve">. </w:t>
      </w:r>
    </w:p>
    <w:p w14:paraId="0ACC036D" w14:textId="3A6E5D81" w:rsidR="00B60882" w:rsidRDefault="00B60882" w:rsidP="00B60882">
      <w:pPr>
        <w:tabs>
          <w:tab w:val="left" w:pos="0"/>
        </w:tabs>
        <w:spacing w:after="120" w:line="276" w:lineRule="auto"/>
        <w:ind w:firstLine="709"/>
        <w:jc w:val="both"/>
        <w:rPr>
          <w:rFonts w:ascii="Verdana" w:eastAsia="Arial" w:hAnsi="Verdana" w:cs="Arial"/>
          <w:color w:val="000000"/>
        </w:rPr>
      </w:pPr>
      <w:r w:rsidRPr="00E42471">
        <w:rPr>
          <w:rFonts w:ascii="Verdana" w:eastAsia="Arial" w:hAnsi="Verdana" w:cs="Arial"/>
          <w:color w:val="000000"/>
        </w:rPr>
        <w:t xml:space="preserve">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E42471">
        <w:rPr>
          <w:rFonts w:ascii="Verdana" w:eastAsia="Arial" w:hAnsi="Verdana" w:cs="Arial"/>
          <w:i/>
          <w:color w:val="000000"/>
        </w:rPr>
        <w:t xml:space="preserve">habilitantes </w:t>
      </w:r>
      <w:r w:rsidRPr="00E42471">
        <w:rPr>
          <w:rFonts w:ascii="Verdana" w:eastAsia="Arial" w:hAnsi="Verdana" w:cs="Arial"/>
          <w:color w:val="000000"/>
        </w:rPr>
        <w:t xml:space="preserve">son aquellos que deben cumplir en igualdad de condiciones los proponentes y cumplido el mínimo establecido en el pliego de condiciones o documento equivalente hacen que los proponentes se habiliten en el </w:t>
      </w:r>
      <w:r w:rsidRPr="00E42471">
        <w:rPr>
          <w:rFonts w:ascii="Verdana" w:eastAsia="Arial" w:hAnsi="Verdana" w:cs="Arial"/>
          <w:color w:val="000000"/>
        </w:rPr>
        <w:lastRenderedPageBreak/>
        <w:t>procedimiento de selección y sean susceptibles de ser seleccionados como futuros contratistas.</w:t>
      </w:r>
    </w:p>
    <w:p w14:paraId="4FAC223F" w14:textId="7B5388AE" w:rsidR="00B60882" w:rsidRDefault="00B60882" w:rsidP="00B60882">
      <w:pPr>
        <w:tabs>
          <w:tab w:val="left" w:pos="0"/>
        </w:tabs>
        <w:spacing w:after="120" w:line="276" w:lineRule="auto"/>
        <w:ind w:firstLine="709"/>
        <w:jc w:val="both"/>
        <w:rPr>
          <w:rFonts w:ascii="Verdana" w:eastAsia="Arial" w:hAnsi="Verdana" w:cs="Arial"/>
          <w:color w:val="000000"/>
        </w:rPr>
      </w:pPr>
      <w:r w:rsidRPr="00E42471">
        <w:rPr>
          <w:rFonts w:ascii="Verdana" w:eastAsia="Arial" w:hAnsi="Verdana" w:cs="Arial"/>
          <w:color w:val="000000"/>
        </w:rPr>
        <w:t>En contraposición a los requisitos habilitantes, el artículo 5 de la Ley 1150 de 2007 regula los factores dirigidos a determinar cuál es la propuesta comparativamente más favorable</w:t>
      </w:r>
      <w:r>
        <w:rPr>
          <w:rFonts w:ascii="Verdana" w:eastAsia="Arial" w:hAnsi="Verdana" w:cs="Arial"/>
          <w:color w:val="000000"/>
        </w:rPr>
        <w:t xml:space="preserve"> en los numerales 2, 3 y 4. Para dar respuesta al problema jurídico planteado, se resalta e</w:t>
      </w:r>
      <w:r w:rsidRPr="00370190">
        <w:rPr>
          <w:rFonts w:ascii="Verdana" w:eastAsia="Aptos" w:hAnsi="Verdana" w:cs="Arial"/>
        </w:rPr>
        <w:t xml:space="preserve">l numeral 4° del artículo 5° de la Ley 1150 de 2007 </w:t>
      </w:r>
      <w:r>
        <w:rPr>
          <w:rFonts w:ascii="Verdana" w:eastAsia="Aptos" w:hAnsi="Verdana" w:cs="Arial"/>
        </w:rPr>
        <w:t xml:space="preserve">que </w:t>
      </w:r>
      <w:r w:rsidRPr="00370190">
        <w:rPr>
          <w:rFonts w:ascii="Verdana" w:eastAsia="Aptos" w:hAnsi="Verdana" w:cs="Arial"/>
        </w:rPr>
        <w:t>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r w:rsidR="00FB6C52">
        <w:rPr>
          <w:rFonts w:ascii="Verdana" w:eastAsia="Aptos" w:hAnsi="Verdana" w:cs="Arial"/>
        </w:rPr>
        <w:t xml:space="preserve"> Es importante decir, que estos requisitos de calificación se establecen debido a</w:t>
      </w:r>
      <w:r w:rsidR="00DF426D">
        <w:rPr>
          <w:rFonts w:ascii="Verdana" w:eastAsia="Aptos" w:hAnsi="Verdana" w:cs="Arial"/>
        </w:rPr>
        <w:t>l objeto que se contrata, en el cual lo preponderante es el conocimiento y experticia del contratista, diferente a lo que sucede en la modalidad de selección abreviada,</w:t>
      </w:r>
      <w:r w:rsidR="004608D1">
        <w:rPr>
          <w:rFonts w:ascii="Verdana" w:eastAsia="Aptos" w:hAnsi="Verdana" w:cs="Arial"/>
        </w:rPr>
        <w:t xml:space="preserve"> donde el factor de escogencia es el precio,</w:t>
      </w:r>
      <w:r w:rsidR="00DF426D">
        <w:rPr>
          <w:rFonts w:ascii="Verdana" w:eastAsia="Aptos" w:hAnsi="Verdana" w:cs="Arial"/>
        </w:rPr>
        <w:t xml:space="preserve"> como se estudiara más adelante. </w:t>
      </w:r>
    </w:p>
    <w:p w14:paraId="19AAA6D4" w14:textId="349D92DD" w:rsidR="00B60882" w:rsidRPr="009859FE" w:rsidRDefault="00B60882" w:rsidP="00B60882">
      <w:pPr>
        <w:spacing w:after="120" w:line="276" w:lineRule="auto"/>
        <w:jc w:val="both"/>
        <w:rPr>
          <w:rFonts w:ascii="Verdana" w:eastAsia="Calibri" w:hAnsi="Verdana" w:cs="Arial"/>
          <w:color w:val="000000" w:themeColor="text1"/>
          <w:lang w:val="es-ES_tradnl"/>
        </w:rPr>
      </w:pPr>
      <w:r>
        <w:rPr>
          <w:rFonts w:ascii="Verdana" w:eastAsia="Calibri" w:hAnsi="Verdana" w:cs="Arial"/>
          <w:lang w:val="es-ES"/>
        </w:rPr>
        <w:tab/>
        <w:t xml:space="preserve">Así, </w:t>
      </w:r>
      <w:r>
        <w:rPr>
          <w:rFonts w:ascii="Verdana" w:eastAsia="Calibri" w:hAnsi="Verdana" w:cs="Arial"/>
          <w:color w:val="000000" w:themeColor="text1"/>
          <w:lang w:val="es-ES_tradnl"/>
        </w:rPr>
        <w:t>l</w:t>
      </w:r>
      <w:r w:rsidRPr="009859FE">
        <w:rPr>
          <w:rFonts w:ascii="Verdana" w:eastAsia="Calibri" w:hAnsi="Verdana" w:cs="Arial"/>
          <w:color w:val="000000" w:themeColor="text1"/>
          <w:lang w:val="es-ES_tradnl"/>
        </w:rPr>
        <w:t xml:space="preserve">os </w:t>
      </w:r>
      <w:r w:rsidRPr="009859FE">
        <w:rPr>
          <w:rFonts w:ascii="Verdana" w:eastAsia="Calibri" w:hAnsi="Verdana" w:cs="Arial"/>
          <w:i/>
          <w:iCs/>
          <w:color w:val="000000" w:themeColor="text1"/>
          <w:lang w:val="es-ES_tradnl"/>
        </w:rPr>
        <w:t>requisitos habilitantes</w:t>
      </w:r>
      <w:r w:rsidRPr="009859FE">
        <w:rPr>
          <w:rFonts w:ascii="Verdana" w:eastAsia="Calibri" w:hAnsi="Verdana" w:cs="Arial"/>
          <w:color w:val="000000" w:themeColor="text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w:t>
      </w:r>
      <w:r w:rsidR="00E97FA4" w:rsidRPr="009859FE">
        <w:rPr>
          <w:rFonts w:ascii="Verdana" w:eastAsia="Calibri" w:hAnsi="Verdana" w:cs="Arial"/>
          <w:color w:val="000000" w:themeColor="text1"/>
          <w:lang w:val="es-ES_tradnl"/>
        </w:rPr>
        <w:t>pliego</w:t>
      </w:r>
      <w:r w:rsidRPr="009859FE">
        <w:rPr>
          <w:rFonts w:ascii="Verdana" w:eastAsia="Calibri" w:hAnsi="Verdana" w:cs="Arial"/>
          <w:color w:val="000000" w:themeColor="text1"/>
          <w:lang w:val="es-ES_tradnl"/>
        </w:rPr>
        <w:t xml:space="preserve"> de </w:t>
      </w:r>
      <w:r w:rsidR="00E97FA4" w:rsidRPr="009859FE">
        <w:rPr>
          <w:rFonts w:ascii="Verdana" w:eastAsia="Calibri" w:hAnsi="Verdana" w:cs="Arial"/>
          <w:color w:val="000000" w:themeColor="text1"/>
          <w:lang w:val="es-ES_tradnl"/>
        </w:rPr>
        <w:t>condiciones</w:t>
      </w:r>
      <w:r w:rsidRPr="009859FE">
        <w:rPr>
          <w:rFonts w:ascii="Verdana" w:eastAsia="Calibri" w:hAnsi="Verdana" w:cs="Arial"/>
          <w:color w:val="000000" w:themeColor="text1"/>
          <w:lang w:val="es-ES_tradnl"/>
        </w:rPr>
        <w:t xml:space="preserve"> o el documento equivalente a este. Se diferencian de los </w:t>
      </w:r>
      <w:r w:rsidRPr="009859FE">
        <w:rPr>
          <w:rFonts w:ascii="Verdana" w:eastAsia="Calibri" w:hAnsi="Verdana" w:cs="Arial"/>
          <w:i/>
          <w:iCs/>
          <w:color w:val="000000" w:themeColor="text1"/>
          <w:lang w:val="es-ES_tradnl"/>
        </w:rPr>
        <w:t>criterios de evaluación</w:t>
      </w:r>
      <w:r w:rsidRPr="009859FE">
        <w:rPr>
          <w:rFonts w:ascii="Verdana" w:eastAsia="Calibri" w:hAnsi="Verdana" w:cs="Arial"/>
          <w:color w:val="000000" w:themeColor="text1"/>
          <w:lang w:val="es-ES_tradnl"/>
        </w:rPr>
        <w:t xml:space="preserve"> –también conocidos como </w:t>
      </w:r>
      <w:r w:rsidRPr="009859FE">
        <w:rPr>
          <w:rFonts w:ascii="Verdana" w:eastAsia="Calibri" w:hAnsi="Verdana" w:cs="Arial"/>
          <w:i/>
          <w:iCs/>
          <w:color w:val="000000" w:themeColor="text1"/>
          <w:lang w:val="es-ES_tradnl"/>
        </w:rPr>
        <w:t>criterios de calificación</w:t>
      </w:r>
      <w:r w:rsidRPr="009859FE">
        <w:rPr>
          <w:rFonts w:ascii="Verdana" w:eastAsia="Calibri"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42CEC19F" w14:textId="77777777" w:rsidR="00B60882" w:rsidRPr="009859FE" w:rsidRDefault="00B60882" w:rsidP="00B60882">
      <w:pPr>
        <w:spacing w:after="120" w:line="276" w:lineRule="auto"/>
        <w:ind w:firstLine="708"/>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10E6C9DB" w14:textId="77777777" w:rsidR="00B60882" w:rsidRPr="009859FE" w:rsidRDefault="00B60882" w:rsidP="00B60882">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t xml:space="preserve">Conforme lo ha sostenido esta Agencia en distintos conceptos, los requisitos habilitantes, establecidos en el numeral 1° del artículo 5 de la Ley </w:t>
      </w:r>
      <w:r w:rsidRPr="009859FE">
        <w:rPr>
          <w:rFonts w:ascii="Verdana" w:eastAsia="Calibri" w:hAnsi="Verdana" w:cs="Arial"/>
          <w:color w:val="000000" w:themeColor="text1"/>
          <w:lang w:val="es-ES_tradnl"/>
        </w:rPr>
        <w:lastRenderedPageBreak/>
        <w:t xml:space="preserve">1150 de 2007, </w:t>
      </w:r>
      <w:r w:rsidRPr="00321853">
        <w:rPr>
          <w:rFonts w:ascii="Verdana" w:eastAsia="Calibri" w:hAnsi="Verdana" w:cs="Arial"/>
          <w:i/>
          <w:color w:val="000000" w:themeColor="text1"/>
          <w:lang w:val="es-ES_tradnl"/>
        </w:rPr>
        <w:t>son de carácter enunciativos y no taxativos</w:t>
      </w:r>
      <w:r w:rsidRPr="009859FE">
        <w:rPr>
          <w:rFonts w:ascii="Verdana" w:eastAsia="Calibri" w:hAnsi="Verdana" w:cs="Arial"/>
          <w:color w:val="000000" w:themeColor="text1"/>
          <w:lang w:val="es-ES_tradnl"/>
        </w:rPr>
        <w:t>. Esta interpretación legal 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sidRPr="009859FE">
        <w:rPr>
          <w:rStyle w:val="Refdenotaalpie"/>
          <w:rFonts w:ascii="Verdana" w:eastAsia="Calibri" w:hAnsi="Verdana" w:cs="Arial"/>
          <w:color w:val="000000" w:themeColor="text1"/>
          <w:lang w:val="es-ES_tradnl"/>
        </w:rPr>
        <w:footnoteReference w:id="4"/>
      </w:r>
      <w:r w:rsidRPr="009859FE">
        <w:rPr>
          <w:rFonts w:ascii="Verdana" w:eastAsia="Calibri" w:hAnsi="Verdana" w:cs="Arial"/>
          <w:color w:val="000000" w:themeColor="text1"/>
          <w:lang w:val="es-ES_tradnl"/>
        </w:rPr>
        <w:t>.</w:t>
      </w:r>
    </w:p>
    <w:p w14:paraId="00DA88EA" w14:textId="77777777" w:rsidR="00B60882" w:rsidRPr="009859FE" w:rsidRDefault="00B60882" w:rsidP="00B60882">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t>Además, la intención del legislador, de la cual dan cuenta los antecedentes legislativos de la norma sub examine</w:t>
      </w:r>
      <w:r w:rsidRPr="009859FE">
        <w:rPr>
          <w:rStyle w:val="Refdenotaalpie"/>
          <w:rFonts w:ascii="Verdana" w:eastAsia="Calibri" w:hAnsi="Verdana" w:cs="Arial"/>
          <w:color w:val="000000" w:themeColor="text1"/>
          <w:lang w:val="es-ES_tradnl"/>
        </w:rPr>
        <w:footnoteReference w:id="5"/>
      </w:r>
      <w:r w:rsidRPr="009859FE">
        <w:rPr>
          <w:rFonts w:ascii="Verdana" w:eastAsia="Calibri" w:hAnsi="Verdana" w:cs="Arial"/>
          <w:color w:val="000000" w:themeColor="text1"/>
          <w:lang w:val="es-ES_tradnl"/>
        </w:rPr>
        <w:t>, también justifica la interpretación propuesta por esta Agencia, ya que fue hasta el cuarto debate legislativo en donde se incluyó parágrafo 2 del mismo artículo 5 de la Ley 1150 de 2007</w:t>
      </w:r>
      <w:r w:rsidRPr="009859FE">
        <w:rPr>
          <w:rStyle w:val="Refdenotaalpie"/>
          <w:rFonts w:ascii="Verdana" w:eastAsia="Calibri" w:hAnsi="Verdana" w:cs="Arial"/>
          <w:color w:val="000000" w:themeColor="text1"/>
          <w:lang w:val="es-ES_tradnl"/>
        </w:rPr>
        <w:footnoteReference w:id="6"/>
      </w:r>
      <w:r w:rsidRPr="009859FE">
        <w:rPr>
          <w:rFonts w:ascii="Verdana" w:eastAsia="Calibri" w:hAnsi="Verdana" w:cs="Arial"/>
          <w:color w:val="000000" w:themeColor="text1"/>
          <w:lang w:val="es-ES_tradnl"/>
        </w:rPr>
        <w:t>, lo que deja ver la necesidad que tenía el Congreso de aclarar que unos documentos no podrían ser tenidos como requisitos habilitantes, lo que asimismo evidencia el reconocimiento tácito de la existencia de otros requisitos habilitantes, distintos a los cuatro que establece el artículo 5, numeral 1, de la Ley 1150 de 2007</w:t>
      </w:r>
      <w:r w:rsidRPr="009859FE">
        <w:rPr>
          <w:rStyle w:val="Refdenotaalpie"/>
          <w:rFonts w:ascii="Verdana" w:eastAsia="Calibri" w:hAnsi="Verdana" w:cs="Arial"/>
          <w:color w:val="000000" w:themeColor="text1"/>
          <w:lang w:val="es-ES_tradnl"/>
        </w:rPr>
        <w:footnoteReference w:id="7"/>
      </w:r>
      <w:r w:rsidRPr="009859FE">
        <w:rPr>
          <w:rFonts w:ascii="Verdana" w:eastAsia="Calibri" w:hAnsi="Verdana" w:cs="Arial"/>
          <w:color w:val="000000" w:themeColor="text1"/>
          <w:lang w:val="es-ES_tradnl"/>
        </w:rPr>
        <w:t xml:space="preserve">. </w:t>
      </w:r>
    </w:p>
    <w:p w14:paraId="5AC32EE1" w14:textId="77777777" w:rsidR="00B60882" w:rsidRPr="009859FE" w:rsidRDefault="00B60882" w:rsidP="00B60882">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lastRenderedPageBreak/>
        <w:t>En el “Manual para determinar y verificar los requisitos 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0CEA5E96" w14:textId="19566844" w:rsidR="00B60882" w:rsidRPr="009859FE" w:rsidRDefault="00B60882" w:rsidP="00B60882">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 xml:space="preserve">En consecuencia, corresponde a las Entidades Estatales, durante la etapa de planeación del contrato estatal, estudiar y determinar los requisitos habilitantes que establecerán en los </w:t>
      </w:r>
      <w:r w:rsidR="00AB3EA7" w:rsidRPr="009859FE">
        <w:rPr>
          <w:rFonts w:ascii="Verdana" w:eastAsia="Calibri" w:hAnsi="Verdana" w:cs="Arial"/>
          <w:color w:val="000000" w:themeColor="text1"/>
        </w:rPr>
        <w:t>pliegos</w:t>
      </w:r>
      <w:r w:rsidRPr="009859FE">
        <w:rPr>
          <w:rFonts w:ascii="Verdana" w:eastAsia="Calibri" w:hAnsi="Verdana" w:cs="Arial"/>
          <w:color w:val="000000" w:themeColor="text1"/>
        </w:rPr>
        <w:t xml:space="preserve"> de </w:t>
      </w:r>
      <w:r w:rsidR="00AB3EA7" w:rsidRPr="009859FE">
        <w:rPr>
          <w:rFonts w:ascii="Verdana" w:eastAsia="Calibri" w:hAnsi="Verdana" w:cs="Arial"/>
          <w:color w:val="000000" w:themeColor="text1"/>
        </w:rPr>
        <w:t>condiciones</w:t>
      </w:r>
      <w:r w:rsidRPr="009859FE">
        <w:rPr>
          <w:rFonts w:ascii="Verdana" w:eastAsia="Calibri" w:hAnsi="Verdana" w:cs="Arial"/>
          <w:color w:val="000000" w:themeColor="text1"/>
        </w:rPr>
        <w:t xml:space="preserve">, los cuales deben fijarse de forma </w:t>
      </w:r>
      <w:r w:rsidRPr="00153848">
        <w:rPr>
          <w:rFonts w:ascii="Verdana" w:eastAsia="Calibri" w:hAnsi="Verdana" w:cs="Arial"/>
          <w:i/>
          <w:color w:val="000000" w:themeColor="text1"/>
        </w:rPr>
        <w:t>adecuada y proporcional</w:t>
      </w:r>
      <w:r w:rsidRPr="009859FE">
        <w:rPr>
          <w:rFonts w:ascii="Verdana" w:eastAsia="Calibri" w:hAnsi="Verdana" w:cs="Arial"/>
          <w:color w:val="000000" w:themeColor="text1"/>
        </w:rPr>
        <w:t xml:space="preserve">. Esto último, según se deriva de la lectura del artículo 2.2.1.1.1.6.2 del Decreto 1082 de 2015, debe hacerse de acuerdo </w:t>
      </w:r>
      <w:bookmarkStart w:id="2" w:name="_Hlk182863897"/>
      <w:r w:rsidRPr="009859FE">
        <w:rPr>
          <w:rFonts w:ascii="Verdana" w:eastAsia="Calibri" w:hAnsi="Verdana" w:cs="Arial"/>
          <w:color w:val="000000" w:themeColor="text1"/>
        </w:rPr>
        <w:t>con la naturaleza, el valor del contrato, la forma de pago, los riesgos asociados al contrato, el plazo y la complejidad de ejecución del objeto</w:t>
      </w:r>
      <w:r w:rsidRPr="009859FE">
        <w:rPr>
          <w:rStyle w:val="Refdenotaalpie"/>
          <w:rFonts w:ascii="Verdana" w:eastAsia="Calibri" w:hAnsi="Verdana" w:cs="Arial"/>
          <w:color w:val="000000" w:themeColor="text1"/>
        </w:rPr>
        <w:footnoteReference w:id="8"/>
      </w:r>
      <w:r w:rsidRPr="009859FE">
        <w:rPr>
          <w:rFonts w:ascii="Verdana" w:eastAsia="Calibri" w:hAnsi="Verdana" w:cs="Arial"/>
          <w:color w:val="000000" w:themeColor="text1"/>
        </w:rPr>
        <w:t>.</w:t>
      </w:r>
      <w:bookmarkEnd w:id="2"/>
    </w:p>
    <w:p w14:paraId="163B4E34" w14:textId="65F135D5" w:rsidR="00B60882" w:rsidRPr="00C94107" w:rsidRDefault="00B60882" w:rsidP="00321853">
      <w:pPr>
        <w:tabs>
          <w:tab w:val="left" w:pos="426"/>
        </w:tabs>
        <w:spacing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w:t>
      </w:r>
      <w:r w:rsidRPr="00C94107">
        <w:rPr>
          <w:rFonts w:ascii="Verdana" w:eastAsia="Times New Roman" w:hAnsi="Verdana" w:cs="Arial"/>
          <w:lang w:val="es-ES" w:eastAsia="es-MX"/>
        </w:rPr>
        <w:lastRenderedPageBreak/>
        <w:t xml:space="preserve">selección objetiva e igualdad, y las normas de orden legal. Así, los mencionados criterios deben ser establecidos por parte de la Entidad que adelanta el proceso de contratación de manera tal que, de la </w:t>
      </w:r>
      <w:r w:rsidR="00527DC0">
        <w:rPr>
          <w:rFonts w:ascii="Verdana" w:eastAsia="Times New Roman" w:hAnsi="Verdana" w:cs="Arial"/>
          <w:lang w:val="es-ES" w:eastAsia="es-MX"/>
        </w:rPr>
        <w:t>evaluación</w:t>
      </w:r>
      <w:r w:rsidR="00527DC0" w:rsidRPr="00C94107">
        <w:rPr>
          <w:rFonts w:ascii="Verdana" w:eastAsia="Times New Roman" w:hAnsi="Verdana" w:cs="Arial"/>
          <w:lang w:val="es-ES" w:eastAsia="es-MX"/>
        </w:rPr>
        <w:t xml:space="preserve"> </w:t>
      </w:r>
      <w:r w:rsidRPr="00C94107">
        <w:rPr>
          <w:rFonts w:ascii="Verdana" w:eastAsia="Times New Roman" w:hAnsi="Verdana" w:cs="Arial"/>
          <w:lang w:val="es-ES" w:eastAsia="es-MX"/>
        </w:rPr>
        <w:t xml:space="preserve">de </w:t>
      </w:r>
      <w:proofErr w:type="gramStart"/>
      <w:r w:rsidRPr="00C94107">
        <w:rPr>
          <w:rFonts w:ascii="Verdana" w:eastAsia="Times New Roman" w:hAnsi="Verdana" w:cs="Arial"/>
          <w:lang w:val="es-ES" w:eastAsia="es-MX"/>
        </w:rPr>
        <w:t>los mismos</w:t>
      </w:r>
      <w:proofErr w:type="gramEnd"/>
      <w:r w:rsidRPr="00C94107">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9"/>
      </w:r>
      <w:r w:rsidRPr="00C94107">
        <w:rPr>
          <w:rFonts w:ascii="Verdana" w:eastAsia="Times New Roman" w:hAnsi="Verdana" w:cs="Arial"/>
          <w:lang w:val="es-ES" w:eastAsia="es-MX"/>
        </w:rPr>
        <w:t xml:space="preserve">. </w:t>
      </w:r>
    </w:p>
    <w:p w14:paraId="7C33CCB8" w14:textId="77777777" w:rsidR="00B60882" w:rsidRPr="00C94107" w:rsidRDefault="00B60882" w:rsidP="00321853">
      <w:pPr>
        <w:tabs>
          <w:tab w:val="left" w:pos="426"/>
        </w:tabs>
        <w:spacing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eastAsia="es-MX"/>
        </w:rPr>
        <w:t xml:space="preserve">Que deban ser </w:t>
      </w:r>
      <w:r w:rsidRPr="00C94107">
        <w:rPr>
          <w:rFonts w:ascii="Verdana" w:eastAsia="Times New Roman" w:hAnsi="Verdana" w:cs="Arial"/>
          <w:i/>
          <w:iCs/>
          <w:lang w:eastAsia="es-MX"/>
        </w:rPr>
        <w:t>adecuados</w:t>
      </w:r>
      <w:r w:rsidRPr="00C94107">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C94107">
        <w:rPr>
          <w:rFonts w:ascii="Verdana" w:eastAsia="Times New Roman" w:hAnsi="Verdana" w:cs="Arial"/>
          <w:i/>
          <w:iCs/>
          <w:lang w:eastAsia="es-MX"/>
        </w:rPr>
        <w:t>proporcionales</w:t>
      </w:r>
      <w:r w:rsidRPr="00C94107">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415F4C">
        <w:rPr>
          <w:rFonts w:ascii="Verdana" w:eastAsia="Times New Roman" w:hAnsi="Verdana" w:cs="Arial"/>
          <w:i/>
          <w:iCs/>
          <w:lang w:eastAsia="es-MX"/>
        </w:rPr>
        <w:t>no limiten la participación</w:t>
      </w:r>
      <w:r>
        <w:rPr>
          <w:rFonts w:ascii="Verdana" w:eastAsia="Times New Roman" w:hAnsi="Verdana" w:cs="Arial"/>
          <w:i/>
          <w:iCs/>
          <w:lang w:eastAsia="es-MX"/>
        </w:rPr>
        <w:t xml:space="preserve"> o la libre concurrencia</w:t>
      </w:r>
      <w:r w:rsidRPr="00C94107">
        <w:rPr>
          <w:rFonts w:ascii="Verdana" w:eastAsia="Times New Roman" w:hAnsi="Verdana" w:cs="Arial"/>
          <w:lang w:eastAsia="es-MX"/>
        </w:rPr>
        <w:t xml:space="preserve"> en el proceso de selección significa que los requisitos establecidos no deben crear barreras injustificadas para el </w:t>
      </w:r>
      <w:r w:rsidRPr="00415F4C">
        <w:rPr>
          <w:rFonts w:ascii="Verdana" w:hAnsi="Verdana"/>
        </w:rPr>
        <w:t>acceso a la contratación pública de los oferentes</w:t>
      </w:r>
      <w:r w:rsidRPr="00C94107">
        <w:rPr>
          <w:rFonts w:ascii="Verdana" w:eastAsia="Times New Roman" w:hAnsi="Verdana" w:cs="Arial"/>
          <w:lang w:val="es-ES" w:eastAsia="es-MX"/>
        </w:rPr>
        <w:t xml:space="preserve"> interesados, promoviendo una mayor competencia. </w:t>
      </w:r>
    </w:p>
    <w:p w14:paraId="6A41B902" w14:textId="64BB1DE2" w:rsidR="00B60882" w:rsidRDefault="00B60882" w:rsidP="00B60882">
      <w:pPr>
        <w:spacing w:after="120" w:line="276" w:lineRule="auto"/>
        <w:ind w:firstLine="708"/>
        <w:jc w:val="both"/>
        <w:rPr>
          <w:rFonts w:ascii="Verdana" w:eastAsia="Calibri" w:hAnsi="Verdana" w:cs="Arial"/>
          <w:color w:val="000000" w:themeColor="text1"/>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w:t>
      </w:r>
      <w:r>
        <w:rPr>
          <w:rFonts w:ascii="Verdana" w:eastAsia="Times New Roman" w:hAnsi="Verdana" w:cs="Arial"/>
          <w:lang w:val="es-ES" w:eastAsia="es-MX"/>
        </w:rPr>
        <w:t>. Pero</w:t>
      </w:r>
      <w:r w:rsidRPr="009859FE">
        <w:rPr>
          <w:rFonts w:ascii="Verdana" w:eastAsia="Calibri" w:hAnsi="Verdana" w:cs="Arial"/>
          <w:color w:val="000000" w:themeColor="text1"/>
        </w:rPr>
        <w:t xml:space="preserve">, la facultad de establecer los requisitos habilitantes no puede ejercerse de forma arbitraria, caprichosa y, mucho menos, con el ánimo de direccionar el </w:t>
      </w:r>
      <w:r w:rsidR="00EB1C1C" w:rsidRPr="009859FE">
        <w:rPr>
          <w:rFonts w:ascii="Verdana" w:eastAsia="Calibri" w:hAnsi="Verdana" w:cs="Arial"/>
          <w:color w:val="000000" w:themeColor="text1"/>
        </w:rPr>
        <w:t>proceso</w:t>
      </w:r>
      <w:r w:rsidRPr="009859FE">
        <w:rPr>
          <w:rFonts w:ascii="Verdana" w:eastAsia="Calibri" w:hAnsi="Verdana" w:cs="Arial"/>
          <w:color w:val="000000" w:themeColor="text1"/>
        </w:rPr>
        <w:t xml:space="preserve"> de </w:t>
      </w:r>
      <w:r w:rsidR="00EB1C1C" w:rsidRPr="009859FE">
        <w:rPr>
          <w:rFonts w:ascii="Verdana" w:eastAsia="Calibri" w:hAnsi="Verdana" w:cs="Arial"/>
          <w:color w:val="000000" w:themeColor="text1"/>
        </w:rPr>
        <w:t>contratación</w:t>
      </w:r>
      <w:r w:rsidRPr="009859FE">
        <w:rPr>
          <w:rFonts w:ascii="Verdana" w:eastAsia="Calibri" w:hAnsi="Verdana" w:cs="Arial"/>
          <w:color w:val="000000" w:themeColor="text1"/>
        </w:rPr>
        <w:t xml:space="preserve"> o favorecer a alguno de los proponentes, así como tampoco puede ejercerse desconociendo límites legales</w:t>
      </w:r>
      <w:r w:rsidRPr="00C94107">
        <w:rPr>
          <w:rFonts w:ascii="Verdana" w:eastAsia="Times New Roman" w:hAnsi="Verdana" w:cs="Arial"/>
          <w:lang w:val="es-ES" w:eastAsia="es-MX"/>
        </w:rPr>
        <w:t>, como, por ejemplo, el parágrafo 2 del artículo 5 de la Ley 1150 de 2007, que prohíbe exigir certificaciones de sistemas de gestión de calidad como requisito habilitante.</w:t>
      </w:r>
    </w:p>
    <w:p w14:paraId="76637FD4" w14:textId="77777777" w:rsidR="00B60882" w:rsidRPr="009859FE" w:rsidRDefault="00B60882" w:rsidP="00B60882">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622BDCC1" w14:textId="77777777" w:rsidR="00B60882" w:rsidRPr="009859FE" w:rsidRDefault="00B60882" w:rsidP="00B60882">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Adicionalmente, c</w:t>
      </w:r>
      <w:r w:rsidRPr="009859FE">
        <w:rPr>
          <w:rFonts w:ascii="Verdana" w:eastAsia="Calibri" w:hAnsi="Verdana" w:cs="Arial"/>
          <w:color w:val="000000" w:themeColor="text1"/>
        </w:rPr>
        <w:t xml:space="preserve">onsiderando la discrecionalidad para establecer requisitos habilitantes, es necesario tener en cuenta que el artículo 44 de la Ley </w:t>
      </w:r>
      <w:r w:rsidRPr="009859FE">
        <w:rPr>
          <w:rFonts w:ascii="Verdana" w:eastAsia="Calibri" w:hAnsi="Verdana" w:cs="Arial"/>
          <w:color w:val="000000" w:themeColor="text1"/>
        </w:rPr>
        <w:lastRenderedPageBreak/>
        <w:t>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47C0B1F4" w14:textId="6A826510" w:rsidR="00B60882" w:rsidRDefault="00B60882" w:rsidP="00B60882">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Así las cosas, se concluye que</w:t>
      </w:r>
      <w:r w:rsidR="00AA26E5">
        <w:rPr>
          <w:rFonts w:ascii="Verdana" w:eastAsia="Calibri" w:hAnsi="Verdana" w:cs="Arial"/>
          <w:color w:val="000000" w:themeColor="text1"/>
        </w:rPr>
        <w:t>,</w:t>
      </w:r>
      <w:r w:rsidRPr="009859FE">
        <w:rPr>
          <w:rFonts w:ascii="Verdana" w:eastAsia="Calibri" w:hAnsi="Verdana" w:cs="Arial"/>
          <w:color w:val="000000" w:themeColor="text1"/>
        </w:rPr>
        <w:t xml:space="preserve"> aunque la Ley 1150 de 2007 estableció unos requisitos habilitantes para los proponentes: la capacidad jurídica, las condiciones de experiencia, la capacidad financiera y la capacidad de organización, lo cierto es que los mismos no son taxativos. Así las cosas, los requisitos habilitantes deben ser establecidos por la Entidad Estatal en cada proceso contractual, debidamente justificados y de acuerdo con los parámetros fijados en el Decreto 1082 de 2015. Y una vez establecidos los requisitos habilitantes, quienes presenten ofertas deben acreditar que cumplen con ellos, so pena de que sus propuestas sean rechazadas. Esto sin perjuicio de la posibilidad de subsanarlas, cuando a ello haya lugar.</w:t>
      </w:r>
    </w:p>
    <w:p w14:paraId="4677AF50" w14:textId="77777777" w:rsidR="00B60882" w:rsidRDefault="00B60882" w:rsidP="00345692">
      <w:pPr>
        <w:pStyle w:val="Textoindependiente"/>
        <w:spacing w:after="0"/>
        <w:ind w:right="49" w:firstLine="710"/>
        <w:jc w:val="both"/>
        <w:rPr>
          <w:rFonts w:ascii="Verdana" w:eastAsia="Calibri" w:hAnsi="Verdana" w:cs="Arial"/>
          <w:color w:val="000000" w:themeColor="text1"/>
        </w:rPr>
      </w:pPr>
      <w:r w:rsidRPr="009859FE">
        <w:rPr>
          <w:rFonts w:ascii="Verdana" w:eastAsia="Calibri" w:hAnsi="Verdana" w:cs="Arial"/>
          <w:color w:val="000000" w:themeColor="text1"/>
        </w:rPr>
        <w:t>Ahora bien, en relación con</w:t>
      </w:r>
      <w:r>
        <w:rPr>
          <w:rFonts w:ascii="Verdana" w:eastAsia="Calibri" w:hAnsi="Verdana" w:cs="Arial"/>
          <w:color w:val="000000" w:themeColor="text1"/>
        </w:rPr>
        <w:t xml:space="preserve"> el</w:t>
      </w:r>
      <w:r w:rsidRPr="009859FE">
        <w:rPr>
          <w:rFonts w:ascii="Verdana" w:eastAsia="Calibri" w:hAnsi="Verdana" w:cs="Arial"/>
          <w:color w:val="000000" w:themeColor="text1"/>
        </w:rPr>
        <w:t xml:space="preserve"> problema jurídico planteado</w:t>
      </w:r>
      <w:r>
        <w:rPr>
          <w:rFonts w:ascii="Verdana" w:eastAsia="Calibri" w:hAnsi="Verdana" w:cs="Arial"/>
          <w:color w:val="000000" w:themeColor="text1"/>
        </w:rPr>
        <w:t xml:space="preserve"> sobre la exigencia de hojas de vida del personal del proponente como parte del requisito habilitante de experiencia en el marco de un proceso de selección abreviada por subasta inversa, sea lo primero resaltar que este proceso se establece en el literal a) del artículo 2 de la Ley 1150 de 2007, como sigue: </w:t>
      </w:r>
    </w:p>
    <w:p w14:paraId="0F466FFE" w14:textId="77777777" w:rsidR="00345692" w:rsidRDefault="00345692" w:rsidP="00321853">
      <w:pPr>
        <w:pStyle w:val="Textoindependiente"/>
        <w:spacing w:after="0"/>
        <w:ind w:right="49" w:firstLine="710"/>
        <w:jc w:val="both"/>
        <w:rPr>
          <w:rFonts w:ascii="Verdana" w:eastAsia="Calibri" w:hAnsi="Verdana" w:cs="Arial"/>
          <w:color w:val="000000" w:themeColor="text1"/>
        </w:rPr>
      </w:pPr>
    </w:p>
    <w:p w14:paraId="788D6973" w14:textId="6C317185" w:rsidR="00B60882" w:rsidRPr="00FF6458" w:rsidRDefault="00345692" w:rsidP="00345692">
      <w:pPr>
        <w:pStyle w:val="NormalWeb"/>
        <w:spacing w:before="0" w:beforeAutospacing="0" w:after="0" w:afterAutospacing="0"/>
        <w:ind w:left="709" w:right="709"/>
        <w:jc w:val="both"/>
        <w:rPr>
          <w:rFonts w:ascii="Verdana" w:hAnsi="Verdana" w:cs="Open Sans"/>
          <w:sz w:val="20"/>
          <w:szCs w:val="20"/>
        </w:rPr>
      </w:pPr>
      <w:r>
        <w:rPr>
          <w:rFonts w:ascii="Verdana" w:hAnsi="Verdana" w:cs="Open Sans"/>
          <w:sz w:val="20"/>
          <w:szCs w:val="20"/>
        </w:rPr>
        <w:t>“</w:t>
      </w:r>
      <w:r w:rsidR="00B60882" w:rsidRPr="00FF6458">
        <w:rPr>
          <w:rFonts w:ascii="Verdana" w:hAnsi="Verdana" w:cs="Open Sans"/>
          <w:sz w:val="20"/>
          <w:szCs w:val="20"/>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3537AC2" w14:textId="77777777" w:rsidR="00345692" w:rsidRPr="00FF6458" w:rsidRDefault="00345692" w:rsidP="00321853">
      <w:pPr>
        <w:pStyle w:val="NormalWeb"/>
        <w:spacing w:before="0" w:beforeAutospacing="0" w:after="0" w:afterAutospacing="0"/>
        <w:ind w:left="709" w:right="709"/>
        <w:jc w:val="both"/>
        <w:rPr>
          <w:rFonts w:ascii="Verdana" w:hAnsi="Verdana" w:cs="Open Sans"/>
          <w:sz w:val="20"/>
          <w:szCs w:val="20"/>
        </w:rPr>
      </w:pPr>
    </w:p>
    <w:p w14:paraId="6413555D" w14:textId="6E94EA7F" w:rsidR="00B60882" w:rsidRPr="00FF6458" w:rsidRDefault="00B60882" w:rsidP="00321853">
      <w:pPr>
        <w:pStyle w:val="NormalWeb"/>
        <w:spacing w:before="0" w:beforeAutospacing="0" w:after="0" w:afterAutospacing="0"/>
        <w:ind w:left="709" w:right="709"/>
        <w:jc w:val="both"/>
        <w:rPr>
          <w:rFonts w:ascii="Verdana" w:hAnsi="Verdana" w:cs="Open Sans"/>
          <w:sz w:val="20"/>
          <w:szCs w:val="20"/>
        </w:rPr>
      </w:pPr>
      <w:r w:rsidRPr="00FF6458">
        <w:rPr>
          <w:rFonts w:ascii="Verdana" w:hAnsi="Verdana" w:cs="Open Sans"/>
          <w:sz w:val="20"/>
          <w:szCs w:val="20"/>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w:t>
      </w:r>
      <w:r w:rsidR="00345692">
        <w:rPr>
          <w:rFonts w:ascii="Verdana" w:hAnsi="Verdana" w:cs="Open Sans"/>
          <w:sz w:val="20"/>
          <w:szCs w:val="20"/>
        </w:rPr>
        <w:t>”.</w:t>
      </w:r>
    </w:p>
    <w:p w14:paraId="26F0D008" w14:textId="77777777" w:rsidR="00345692" w:rsidRDefault="00345692" w:rsidP="00321853">
      <w:pPr>
        <w:pStyle w:val="Textoindependiente"/>
        <w:spacing w:after="0"/>
        <w:ind w:right="49" w:firstLine="710"/>
        <w:jc w:val="both"/>
        <w:rPr>
          <w:rFonts w:ascii="Verdana" w:eastAsia="Calibri" w:hAnsi="Verdana" w:cs="Arial"/>
        </w:rPr>
      </w:pPr>
    </w:p>
    <w:p w14:paraId="54BEC2E6" w14:textId="09FC1651" w:rsidR="00B60882" w:rsidRPr="00FF6458" w:rsidRDefault="00B60882" w:rsidP="00321853">
      <w:pPr>
        <w:pStyle w:val="Textoindependiente"/>
        <w:ind w:firstLine="710"/>
        <w:jc w:val="both"/>
        <w:rPr>
          <w:rFonts w:ascii="Verdana" w:hAnsi="Verdana" w:cs="Arial"/>
        </w:rPr>
      </w:pPr>
      <w:r w:rsidRPr="00FF6458">
        <w:rPr>
          <w:rFonts w:ascii="Verdana" w:eastAsia="Calibri" w:hAnsi="Verdana" w:cs="Arial"/>
        </w:rPr>
        <w:t xml:space="preserve">Adicionalmente, </w:t>
      </w:r>
      <w:r w:rsidRPr="00FF6458">
        <w:rPr>
          <w:rFonts w:ascii="Verdana" w:hAnsi="Verdana" w:cs="Arial"/>
        </w:rPr>
        <w:t>el</w:t>
      </w:r>
      <w:r w:rsidRPr="00FF6458">
        <w:rPr>
          <w:rFonts w:ascii="Verdana" w:hAnsi="Verdana" w:cs="Arial"/>
          <w:spacing w:val="-12"/>
        </w:rPr>
        <w:t xml:space="preserve"> </w:t>
      </w:r>
      <w:r w:rsidRPr="00FF6458">
        <w:rPr>
          <w:rFonts w:ascii="Verdana" w:hAnsi="Verdana" w:cs="Arial"/>
        </w:rPr>
        <w:t>contenido</w:t>
      </w:r>
      <w:r w:rsidRPr="00FF6458">
        <w:rPr>
          <w:rFonts w:ascii="Verdana" w:hAnsi="Verdana" w:cs="Arial"/>
          <w:spacing w:val="-12"/>
        </w:rPr>
        <w:t xml:space="preserve"> </w:t>
      </w:r>
      <w:r w:rsidRPr="00FF6458">
        <w:rPr>
          <w:rFonts w:ascii="Verdana" w:hAnsi="Verdana" w:cs="Arial"/>
        </w:rPr>
        <w:t>del</w:t>
      </w:r>
      <w:r w:rsidRPr="00FF6458">
        <w:rPr>
          <w:rFonts w:ascii="Verdana" w:hAnsi="Verdana" w:cs="Arial"/>
          <w:spacing w:val="-12"/>
        </w:rPr>
        <w:t xml:space="preserve"> </w:t>
      </w:r>
      <w:r w:rsidRPr="00FF6458">
        <w:rPr>
          <w:rFonts w:ascii="Verdana" w:hAnsi="Verdana" w:cs="Arial"/>
        </w:rPr>
        <w:t>artículo</w:t>
      </w:r>
      <w:r w:rsidRPr="00FF6458">
        <w:rPr>
          <w:rFonts w:ascii="Verdana" w:hAnsi="Verdana" w:cs="Arial"/>
          <w:spacing w:val="-12"/>
        </w:rPr>
        <w:t xml:space="preserve"> </w:t>
      </w:r>
      <w:r w:rsidRPr="00FF6458">
        <w:rPr>
          <w:rFonts w:ascii="Verdana" w:hAnsi="Verdana" w:cs="Arial"/>
        </w:rPr>
        <w:t xml:space="preserve">2.2.1.2.1.2.2. del Decreto 1082 de 2015, que establece el procedimiento como sigue: i) parte del contenido del pliego de condiciones; </w:t>
      </w:r>
      <w:proofErr w:type="spellStart"/>
      <w:r w:rsidRPr="00FF6458">
        <w:rPr>
          <w:rFonts w:ascii="Verdana" w:hAnsi="Verdana" w:cs="Arial"/>
        </w:rPr>
        <w:t>ii</w:t>
      </w:r>
      <w:proofErr w:type="spellEnd"/>
      <w:r w:rsidRPr="00FF6458">
        <w:rPr>
          <w:rFonts w:ascii="Verdana" w:hAnsi="Verdana" w:cs="Arial"/>
        </w:rPr>
        <w:t xml:space="preserve">) el contenido de la oferta que se divide en dos parles: </w:t>
      </w:r>
      <w:r w:rsidRPr="00FF6458">
        <w:rPr>
          <w:rFonts w:ascii="Verdana" w:hAnsi="Verdana" w:cs="Arial"/>
        </w:rPr>
        <w:lastRenderedPageBreak/>
        <w:t xml:space="preserve">por un lado, lo relacionado con la acreditación de la capacidad para participar en el proceso y el cumplimiento de la ficha técnica y, por otro lado, el precio inicial propuesto; </w:t>
      </w:r>
      <w:proofErr w:type="spellStart"/>
      <w:r w:rsidRPr="00FF6458">
        <w:rPr>
          <w:rFonts w:ascii="Verdana" w:hAnsi="Verdana" w:cs="Arial"/>
        </w:rPr>
        <w:t>iii</w:t>
      </w:r>
      <w:proofErr w:type="spellEnd"/>
      <w:r w:rsidRPr="00FF6458">
        <w:rPr>
          <w:rFonts w:ascii="Verdana" w:hAnsi="Verdana" w:cs="Arial"/>
        </w:rPr>
        <w:t xml:space="preserve">) las reglas de publicación del informe de habilitación que sirve de mecanismo para informar quienes de los oferentes se encuentran habilitados para participar en la subasta; </w:t>
      </w:r>
      <w:proofErr w:type="spellStart"/>
      <w:r w:rsidRPr="00FF6458">
        <w:rPr>
          <w:rFonts w:ascii="Verdana" w:hAnsi="Verdana" w:cs="Arial"/>
        </w:rPr>
        <w:t>iv</w:t>
      </w:r>
      <w:proofErr w:type="spellEnd"/>
      <w:r w:rsidRPr="00FF6458">
        <w:rPr>
          <w:rFonts w:ascii="Verdana" w:hAnsi="Verdana" w:cs="Arial"/>
        </w:rPr>
        <w:t>) la regla que exige a la entidad adelantar la subasta cuando existan por lo menos dos oferentes habilitados; v) la posibilidad que tiene la entidad de adjudicar al único oferente en la medida en que acredite ser hábil y su oferta sea igual o inferior al presupuesto del contrato; vi) la regla de inicio de subasta con el precio más bajo propuesto y la validez de los lances; entre otras.</w:t>
      </w:r>
    </w:p>
    <w:p w14:paraId="3547E3E5" w14:textId="77777777" w:rsidR="00B60882" w:rsidRPr="00FF6458" w:rsidRDefault="00B60882" w:rsidP="00321853">
      <w:pPr>
        <w:pStyle w:val="Textoindependiente"/>
        <w:ind w:firstLine="710"/>
        <w:jc w:val="both"/>
        <w:rPr>
          <w:rFonts w:ascii="Verdana" w:hAnsi="Verdana" w:cs="Arial"/>
        </w:rPr>
      </w:pPr>
      <w:r w:rsidRPr="00FF6458">
        <w:rPr>
          <w:rFonts w:ascii="Verdana" w:hAnsi="Verdana" w:cs="Arial"/>
        </w:rPr>
        <w:t>En este sentido, el criterio primordial de selección en estos procesos es el precio, una vez se han verificado los requisitos habilitantes y el cumplimiento de las especificaciones técnicas mínimas, según el numeral 3 del artículo 5 de la Ley 1150 de 2007, que determina para los procesos de selección cuyo objeto sea la adquisición o suministro de</w:t>
      </w:r>
      <w:r w:rsidRPr="00FF6458">
        <w:rPr>
          <w:rFonts w:ascii="Verdana" w:eastAsia="Arial" w:hAnsi="Verdana" w:cs="Arial"/>
        </w:rPr>
        <w:t xml:space="preserve"> bienes y servicios de características técnicas uniformes y común utilización,</w:t>
      </w:r>
      <w:r w:rsidRPr="00FF6458">
        <w:rPr>
          <w:rFonts w:ascii="Verdana" w:hAnsi="Verdana" w:cs="Arial"/>
        </w:rPr>
        <w:t xml:space="preserve"> que las entidades estatales deberán incluir “como único factor de evaluación el </w:t>
      </w:r>
      <w:r w:rsidRPr="00FF6458">
        <w:rPr>
          <w:rFonts w:ascii="Verdana" w:hAnsi="Verdana" w:cs="Arial"/>
          <w:i/>
        </w:rPr>
        <w:t>menor precio ofrecido</w:t>
      </w:r>
      <w:r w:rsidRPr="00FF6458">
        <w:rPr>
          <w:rFonts w:ascii="Verdana" w:hAnsi="Verdana" w:cs="Arial"/>
        </w:rPr>
        <w:t>” (Énfasis fuera de texto).</w:t>
      </w:r>
    </w:p>
    <w:p w14:paraId="21FEA913" w14:textId="77777777" w:rsidR="00B60882" w:rsidRPr="00FF6458" w:rsidRDefault="00B60882" w:rsidP="00321853">
      <w:pPr>
        <w:spacing w:after="120" w:line="276" w:lineRule="auto"/>
        <w:jc w:val="both"/>
        <w:rPr>
          <w:rFonts w:ascii="Verdana" w:eastAsia="Calibri" w:hAnsi="Verdana" w:cs="Arial"/>
        </w:rPr>
      </w:pPr>
      <w:bookmarkStart w:id="4" w:name="_bookmark27"/>
      <w:bookmarkEnd w:id="4"/>
      <w:r w:rsidRPr="00FF6458">
        <w:rPr>
          <w:rFonts w:ascii="Verdana" w:eastAsia="Calibri" w:hAnsi="Verdana" w:cs="Arial"/>
          <w:lang w:val="es-ES"/>
        </w:rPr>
        <w:tab/>
        <w:t xml:space="preserve">Así, si bien para los procesos de selección por subasta inversa la norma establece el factor de evaluación, en cuanto a los requisitos habilitantes la entidad contratante es autónoma para configurarlos de acuerdo con lo dispuesto en el artículo 5 de la Ley 1150 de 2007 y el artículo </w:t>
      </w:r>
      <w:r w:rsidRPr="00FF6458">
        <w:rPr>
          <w:rFonts w:ascii="Verdana" w:eastAsia="Calibri" w:hAnsi="Verdana" w:cs="Arial"/>
        </w:rPr>
        <w:t xml:space="preserve">2.2.1.1.1.6.2 del Decreto 1082 de 2015. </w:t>
      </w:r>
    </w:p>
    <w:p w14:paraId="41A9126C" w14:textId="77777777" w:rsidR="00B60882" w:rsidRPr="00FF6458" w:rsidRDefault="00B60882" w:rsidP="00B60882">
      <w:pPr>
        <w:widowControl w:val="0"/>
        <w:autoSpaceDE w:val="0"/>
        <w:autoSpaceDN w:val="0"/>
        <w:spacing w:after="0" w:line="276" w:lineRule="auto"/>
        <w:ind w:right="49" w:firstLine="709"/>
        <w:jc w:val="both"/>
        <w:rPr>
          <w:rFonts w:ascii="Verdana" w:hAnsi="Verdana" w:cs="Arial"/>
          <w:lang w:eastAsia="es-ES"/>
        </w:rPr>
      </w:pPr>
      <w:r>
        <w:rPr>
          <w:rFonts w:ascii="Verdana" w:eastAsia="Calibri" w:hAnsi="Verdana" w:cs="Arial"/>
        </w:rPr>
        <w:t>Finalmente</w:t>
      </w:r>
      <w:r w:rsidRPr="00FF6458">
        <w:rPr>
          <w:rFonts w:ascii="Verdana" w:eastAsia="Calibri" w:hAnsi="Verdana" w:cs="Arial"/>
        </w:rPr>
        <w:t xml:space="preserve">, el análisis concreto sobre la legalidad o pertinencia de requisitos específicos debe ser realizado por los interesados o por la propia entidad que adelanta el proceso. En caso de dudas, los proponentes pueden presentar observaciones directamente ante la entidad contratante. </w:t>
      </w:r>
      <w:r w:rsidRPr="00FF645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876E3EA" w14:textId="77777777" w:rsidR="00B60882" w:rsidRDefault="00B60882" w:rsidP="00B60882">
      <w:pPr>
        <w:widowControl w:val="0"/>
        <w:autoSpaceDE w:val="0"/>
        <w:autoSpaceDN w:val="0"/>
        <w:spacing w:after="0" w:line="276" w:lineRule="auto"/>
        <w:jc w:val="both"/>
        <w:rPr>
          <w:rFonts w:ascii="Verdana" w:hAnsi="Verdana" w:cs="Arial"/>
        </w:rPr>
      </w:pPr>
    </w:p>
    <w:p w14:paraId="1412679F" w14:textId="77777777" w:rsidR="00B60882" w:rsidRDefault="00B60882" w:rsidP="00B608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Referencias normativas, jurisprudenciales y otras fuentes:</w:t>
      </w:r>
    </w:p>
    <w:p w14:paraId="211DE98C" w14:textId="77777777" w:rsidR="00B60882" w:rsidRDefault="00B60882" w:rsidP="00B60882">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60882" w14:paraId="5819B254" w14:textId="77777777" w:rsidTr="00EB1F93">
        <w:trPr>
          <w:trHeight w:val="870"/>
        </w:trPr>
        <w:tc>
          <w:tcPr>
            <w:tcW w:w="8647" w:type="dxa"/>
            <w:tcBorders>
              <w:top w:val="dotted" w:sz="4" w:space="0" w:color="auto"/>
              <w:left w:val="dotted" w:sz="4" w:space="0" w:color="auto"/>
              <w:bottom w:val="dotted" w:sz="4" w:space="0" w:color="auto"/>
              <w:right w:val="dotted" w:sz="4" w:space="0" w:color="auto"/>
            </w:tcBorders>
            <w:hideMark/>
          </w:tcPr>
          <w:p w14:paraId="13956ED6" w14:textId="77777777" w:rsidR="00B60882" w:rsidRPr="008F0DD7" w:rsidRDefault="00B60882" w:rsidP="00EB1F93">
            <w:pPr>
              <w:pStyle w:val="Prrafodelista"/>
              <w:widowControl w:val="0"/>
              <w:numPr>
                <w:ilvl w:val="0"/>
                <w:numId w:val="17"/>
              </w:numPr>
              <w:autoSpaceDE w:val="0"/>
              <w:autoSpaceDN w:val="0"/>
              <w:spacing w:line="276" w:lineRule="auto"/>
              <w:jc w:val="both"/>
              <w:rPr>
                <w:rFonts w:ascii="Verdana" w:hAnsi="Verdana" w:cs="Arial"/>
              </w:rPr>
            </w:pPr>
            <w:r w:rsidRPr="008F0DD7">
              <w:rPr>
                <w:rFonts w:ascii="Verdana" w:hAnsi="Verdana" w:cs="Arial"/>
              </w:rPr>
              <w:t>Ley 1150 de 2007: Artículo</w:t>
            </w:r>
            <w:r>
              <w:rPr>
                <w:rFonts w:ascii="Verdana" w:hAnsi="Verdana" w:cs="Arial"/>
              </w:rPr>
              <w:t>s 2 y</w:t>
            </w:r>
            <w:r w:rsidRPr="008F0DD7">
              <w:rPr>
                <w:rFonts w:ascii="Verdana" w:hAnsi="Verdana" w:cs="Arial"/>
              </w:rPr>
              <w:t xml:space="preserve"> 5.</w:t>
            </w:r>
          </w:p>
          <w:p w14:paraId="66C9CC73" w14:textId="77777777" w:rsidR="00B60882" w:rsidRPr="008F0DD7" w:rsidRDefault="00B60882" w:rsidP="00EB1F93">
            <w:pPr>
              <w:pStyle w:val="Prrafodelista"/>
              <w:widowControl w:val="0"/>
              <w:numPr>
                <w:ilvl w:val="0"/>
                <w:numId w:val="17"/>
              </w:numPr>
              <w:autoSpaceDE w:val="0"/>
              <w:autoSpaceDN w:val="0"/>
              <w:spacing w:line="276" w:lineRule="auto"/>
              <w:jc w:val="both"/>
              <w:rPr>
                <w:rFonts w:ascii="Verdana" w:hAnsi="Verdana" w:cs="Arial"/>
              </w:rPr>
            </w:pPr>
            <w:r w:rsidRPr="008F0DD7">
              <w:rPr>
                <w:rFonts w:ascii="Verdana" w:hAnsi="Verdana" w:cs="Arial"/>
              </w:rPr>
              <w:t>Ley 1437 de 2011: Artículo 44.</w:t>
            </w:r>
          </w:p>
          <w:p w14:paraId="66B54745" w14:textId="77777777" w:rsidR="00B60882" w:rsidRPr="008F0DD7" w:rsidRDefault="00B60882" w:rsidP="00EB1F93">
            <w:pPr>
              <w:pStyle w:val="Prrafodelista"/>
              <w:widowControl w:val="0"/>
              <w:numPr>
                <w:ilvl w:val="0"/>
                <w:numId w:val="17"/>
              </w:numPr>
              <w:autoSpaceDE w:val="0"/>
              <w:autoSpaceDN w:val="0"/>
              <w:spacing w:line="276" w:lineRule="auto"/>
              <w:jc w:val="both"/>
              <w:rPr>
                <w:rFonts w:ascii="Verdana" w:hAnsi="Verdana" w:cs="Arial"/>
              </w:rPr>
            </w:pPr>
            <w:r w:rsidRPr="008F0DD7">
              <w:rPr>
                <w:rFonts w:ascii="Verdana" w:hAnsi="Verdana" w:cs="Arial"/>
              </w:rPr>
              <w:t xml:space="preserve">Decreto 1082 de 2015: Artículos 2.2.1.1.1.6.2 y 2.2.1.1.2.2.2. </w:t>
            </w:r>
          </w:p>
          <w:p w14:paraId="537C06B2" w14:textId="77777777" w:rsidR="00B60882" w:rsidRPr="006A640E" w:rsidRDefault="00B60882" w:rsidP="00321853">
            <w:pPr>
              <w:widowControl w:val="0"/>
              <w:numPr>
                <w:ilvl w:val="0"/>
                <w:numId w:val="17"/>
              </w:numPr>
              <w:autoSpaceDE w:val="0"/>
              <w:autoSpaceDN w:val="0"/>
              <w:spacing w:line="276" w:lineRule="auto"/>
              <w:jc w:val="both"/>
              <w:rPr>
                <w:rFonts w:ascii="Verdana" w:eastAsia="Arial MT" w:hAnsi="Verdana" w:cs="Arial"/>
                <w:lang w:val="es-ES" w:eastAsia="es-ES" w:bidi="es-ES"/>
              </w:rPr>
            </w:pPr>
            <w:r w:rsidRPr="008F0DD7">
              <w:rPr>
                <w:rFonts w:ascii="Verdana" w:hAnsi="Verdana" w:cs="Arial"/>
                <w:lang w:val="es-MX"/>
              </w:rPr>
              <w:t xml:space="preserve">Agencia Nacional de Contratación Pública – Colombia Compra Eficiente.  Manual para determinar y verificar los requisitos habilitantes en los Procesos de Contratación. </w:t>
            </w:r>
            <w:r w:rsidRPr="00345692">
              <w:rPr>
                <w:rFonts w:ascii="Verdana" w:hAnsi="Verdana" w:cs="Arial"/>
                <w:lang w:val="es-MX"/>
              </w:rPr>
              <w:t xml:space="preserve">Se puede consultar en el siguiente enlace:  </w:t>
            </w:r>
            <w:hyperlink r:id="rId12" w:history="1">
              <w:r w:rsidRPr="00345692">
                <w:rPr>
                  <w:rStyle w:val="Hipervnculo"/>
                  <w:rFonts w:ascii="Verdana" w:hAnsi="Verdana" w:cs="Arial"/>
                  <w:lang w:val="es-MX"/>
                </w:rPr>
                <w:t>http://www.colombiacompra.gov.co/sites/cce_public/files/cce_documents/20140901_manual_requisitos_habilitantes_4_web.pdf</w:t>
              </w:r>
            </w:hyperlink>
          </w:p>
        </w:tc>
      </w:tr>
    </w:tbl>
    <w:p w14:paraId="6CDB2E48" w14:textId="77777777" w:rsidR="00B60882" w:rsidRDefault="00B60882" w:rsidP="00B60882">
      <w:pPr>
        <w:widowControl w:val="0"/>
        <w:autoSpaceDE w:val="0"/>
        <w:autoSpaceDN w:val="0"/>
        <w:spacing w:after="0" w:line="276" w:lineRule="auto"/>
        <w:jc w:val="both"/>
        <w:rPr>
          <w:rFonts w:ascii="Verdana" w:hAnsi="Verdana" w:cs="Arial"/>
        </w:rPr>
      </w:pPr>
    </w:p>
    <w:p w14:paraId="2F8B8455" w14:textId="77777777" w:rsidR="00B60882" w:rsidRDefault="00B60882" w:rsidP="00B608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660743E" w14:textId="77777777" w:rsidR="00B60882" w:rsidRDefault="00B60882" w:rsidP="00B60882">
      <w:pPr>
        <w:widowControl w:val="0"/>
        <w:autoSpaceDE w:val="0"/>
        <w:autoSpaceDN w:val="0"/>
        <w:spacing w:after="0" w:line="276" w:lineRule="auto"/>
        <w:jc w:val="both"/>
        <w:rPr>
          <w:rFonts w:ascii="Verdana" w:hAnsi="Verdana" w:cs="Arial"/>
        </w:rPr>
      </w:pPr>
    </w:p>
    <w:p w14:paraId="0D582D51" w14:textId="77777777" w:rsidR="00B60882" w:rsidRPr="00FE3C84" w:rsidRDefault="00B60882" w:rsidP="00B60882">
      <w:pPr>
        <w:widowControl w:val="0"/>
        <w:autoSpaceDE w:val="0"/>
        <w:autoSpaceDN w:val="0"/>
        <w:spacing w:after="0" w:line="276" w:lineRule="auto"/>
        <w:jc w:val="both"/>
        <w:rPr>
          <w:rStyle w:val="normaltextrun"/>
          <w:rFonts w:ascii="Verdana" w:hAnsi="Verdana"/>
          <w:color w:val="FF0000"/>
          <w:shd w:val="clear" w:color="auto" w:fill="FFFFFF"/>
          <w:lang w:val="es-ES"/>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los requisitos habilitantes en los conceptos C-1088 del 15 de septiembre de 2025, C-589 del 10 de junio de 2025, C-406 del 14 de mayo de 2025, C-883 del 14 de agosto de 2025.</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3" w:history="1">
        <w:r w:rsidRPr="00345692">
          <w:rPr>
            <w:rStyle w:val="Hipervnculo"/>
            <w:rFonts w:ascii="Verdana" w:hAnsi="Verdana" w:cs="Arial"/>
            <w:shd w:val="clear" w:color="auto" w:fill="FFFFFF"/>
            <w:lang w:val="es-ES"/>
          </w:rPr>
          <w:t>https://relatoria.colombiacompra.gov.co/busqueda/conceptos</w:t>
        </w:r>
      </w:hyperlink>
      <w:r w:rsidRPr="00345692">
        <w:rPr>
          <w:rStyle w:val="normaltextrun"/>
          <w:rFonts w:ascii="Verdana" w:hAnsi="Verdana" w:cs="Arial"/>
          <w:color w:val="FF0000"/>
          <w:shd w:val="clear" w:color="auto" w:fill="FFFFFF"/>
          <w:lang w:val="es-ES"/>
        </w:rPr>
        <w:t xml:space="preserve">. </w:t>
      </w:r>
    </w:p>
    <w:p w14:paraId="0ACF3826" w14:textId="77777777" w:rsidR="00B60882" w:rsidRDefault="00B60882" w:rsidP="00B6088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AA9B45D" w14:textId="77777777" w:rsidR="00B60882" w:rsidRPr="005D0607" w:rsidRDefault="00B60882" w:rsidP="00B60882">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345692">
        <w:rPr>
          <w:rFonts w:ascii="Verdana" w:hAnsi="Verdana"/>
          <w:color w:val="000000"/>
          <w:bdr w:val="none" w:sz="0" w:space="0" w:color="auto" w:frame="1"/>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345692">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345692">
        <w:rPr>
          <w:rFonts w:ascii="Verdana" w:hAnsi="Verdana"/>
          <w:color w:val="467886"/>
          <w:u w:val="single"/>
          <w:bdr w:val="none" w:sz="0" w:space="0" w:color="auto" w:frame="1"/>
        </w:rPr>
        <w:t>"</w:t>
      </w:r>
    </w:p>
    <w:p w14:paraId="6B793437" w14:textId="77777777" w:rsidR="00B60882" w:rsidRDefault="00B60882" w:rsidP="00B60882">
      <w:pPr>
        <w:spacing w:after="0" w:line="276" w:lineRule="auto"/>
        <w:jc w:val="both"/>
        <w:rPr>
          <w:rFonts w:ascii="Verdana" w:hAnsi="Verdana"/>
        </w:rPr>
      </w:pPr>
    </w:p>
    <w:p w14:paraId="23D5196B" w14:textId="77777777" w:rsidR="00B60882" w:rsidRDefault="00B60882" w:rsidP="00B60882">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413CE607" w14:textId="77777777" w:rsidR="00B60882" w:rsidRDefault="00B60882" w:rsidP="00B60882">
      <w:pPr>
        <w:spacing w:after="0" w:line="276" w:lineRule="auto"/>
        <w:jc w:val="both"/>
        <w:rPr>
          <w:rFonts w:ascii="Verdana" w:hAnsi="Verdana"/>
        </w:rPr>
      </w:pPr>
    </w:p>
    <w:p w14:paraId="5851714F" w14:textId="77777777" w:rsidR="00B60882" w:rsidRDefault="00B60882" w:rsidP="00B60882">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774CA93" w14:textId="77777777" w:rsidR="00B60882" w:rsidRDefault="00B60882" w:rsidP="00B60882">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668C524D" w14:textId="77777777" w:rsidR="00B60882" w:rsidRDefault="00B60882" w:rsidP="00B60882">
      <w:pPr>
        <w:spacing w:after="0" w:line="276" w:lineRule="auto"/>
        <w:jc w:val="both"/>
        <w:rPr>
          <w:rFonts w:ascii="Verdana" w:hAnsi="Verdana"/>
        </w:rPr>
      </w:pPr>
      <w:r>
        <w:rPr>
          <w:rFonts w:ascii="Verdana" w:hAnsi="Verdana"/>
        </w:rPr>
        <w:lastRenderedPageBreak/>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303E3934" w14:textId="77777777" w:rsidR="00B60882" w:rsidRDefault="00B60882" w:rsidP="00B60882">
      <w:pPr>
        <w:widowControl w:val="0"/>
        <w:autoSpaceDE w:val="0"/>
        <w:autoSpaceDN w:val="0"/>
        <w:spacing w:after="0" w:line="276" w:lineRule="auto"/>
        <w:jc w:val="both"/>
        <w:rPr>
          <w:rFonts w:ascii="Verdana" w:hAnsi="Verdana" w:cs="Arial"/>
        </w:rPr>
      </w:pPr>
    </w:p>
    <w:p w14:paraId="5E254293" w14:textId="77777777" w:rsidR="00B60882" w:rsidRDefault="00B60882" w:rsidP="00B60882">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677F491" w14:textId="77777777" w:rsidR="00B60882" w:rsidRDefault="00B60882" w:rsidP="00B60882">
      <w:pPr>
        <w:widowControl w:val="0"/>
        <w:autoSpaceDE w:val="0"/>
        <w:autoSpaceDN w:val="0"/>
        <w:spacing w:after="0" w:line="276" w:lineRule="auto"/>
        <w:jc w:val="both"/>
        <w:rPr>
          <w:rFonts w:ascii="Verdana" w:hAnsi="Verdana" w:cs="Arial"/>
        </w:rPr>
      </w:pPr>
    </w:p>
    <w:p w14:paraId="52EE3F7B" w14:textId="77777777" w:rsidR="00B60882" w:rsidRDefault="00B60882" w:rsidP="00B60882">
      <w:pPr>
        <w:spacing w:after="0" w:line="276" w:lineRule="auto"/>
        <w:rPr>
          <w:rFonts w:ascii="Verdana" w:hAnsi="Verdana" w:cs="Arial"/>
          <w:lang w:eastAsia="es-CO"/>
        </w:rPr>
      </w:pPr>
      <w:bookmarkStart w:id="5" w:name="_Hlk208479366"/>
      <w:r>
        <w:rPr>
          <w:rFonts w:ascii="Verdana" w:eastAsia="Times New Roman" w:hAnsi="Verdana" w:cs="Arial"/>
          <w:lang w:eastAsia="es-CO"/>
        </w:rPr>
        <w:t>Atentamente,</w:t>
      </w:r>
      <w:r>
        <w:rPr>
          <w:rFonts w:ascii="Verdana" w:hAnsi="Verdana" w:cs="Arial"/>
          <w:lang w:eastAsia="es-CO"/>
        </w:rPr>
        <w:t xml:space="preserve"> </w:t>
      </w:r>
    </w:p>
    <w:p w14:paraId="1906459A" w14:textId="21A06CC2" w:rsidR="00B60882" w:rsidRDefault="00FD6A8D" w:rsidP="00B60882">
      <w:pPr>
        <w:spacing w:line="276" w:lineRule="auto"/>
        <w:jc w:val="center"/>
        <w:rPr>
          <w:rFonts w:ascii="Verdana" w:hAnsi="Verdana" w:cs="Arial"/>
          <w:color w:val="000000"/>
          <w:lang w:val="es-ES_tradnl" w:eastAsia="es-CO"/>
        </w:rPr>
      </w:pPr>
      <w:r>
        <w:rPr>
          <w:noProof/>
        </w:rPr>
        <w:drawing>
          <wp:inline distT="0" distB="0" distL="0" distR="0" wp14:anchorId="22792578" wp14:editId="1C9F4204">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60882" w14:paraId="50458582" w14:textId="77777777" w:rsidTr="00EB1F93">
        <w:trPr>
          <w:trHeight w:val="315"/>
        </w:trPr>
        <w:tc>
          <w:tcPr>
            <w:tcW w:w="893" w:type="dxa"/>
            <w:vAlign w:val="center"/>
            <w:hideMark/>
          </w:tcPr>
          <w:p w14:paraId="20A8D859" w14:textId="77777777" w:rsidR="00B60882" w:rsidRDefault="00B60882" w:rsidP="00EB1F93">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880990A" w14:textId="77777777" w:rsidR="00B60882" w:rsidRDefault="00B60882" w:rsidP="00EB1F93">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487BCBC8" w14:textId="77777777" w:rsidR="00B60882" w:rsidRDefault="00B60882" w:rsidP="00EB1F93">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B60882" w14:paraId="59839557" w14:textId="77777777" w:rsidTr="00EB1F93">
        <w:trPr>
          <w:trHeight w:val="330"/>
        </w:trPr>
        <w:tc>
          <w:tcPr>
            <w:tcW w:w="893" w:type="dxa"/>
            <w:vAlign w:val="center"/>
            <w:hideMark/>
          </w:tcPr>
          <w:p w14:paraId="161F9B81" w14:textId="77777777" w:rsidR="00B60882" w:rsidRDefault="00B60882" w:rsidP="00EB1F93">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9D5E15" w14:textId="77777777" w:rsidR="00B60882" w:rsidRDefault="00B60882" w:rsidP="00EB1F93">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112F2AA4" w14:textId="77777777" w:rsidR="00B60882" w:rsidRDefault="00B60882" w:rsidP="00EB1F93">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B60882" w14:paraId="58A5CDA4" w14:textId="77777777" w:rsidTr="00EB1F93">
        <w:trPr>
          <w:trHeight w:val="300"/>
        </w:trPr>
        <w:tc>
          <w:tcPr>
            <w:tcW w:w="893" w:type="dxa"/>
            <w:vAlign w:val="center"/>
            <w:hideMark/>
          </w:tcPr>
          <w:p w14:paraId="28051A8D" w14:textId="77777777" w:rsidR="00B60882" w:rsidRDefault="00B60882" w:rsidP="00EB1F93">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D854EF" w14:textId="77777777" w:rsidR="00B60882" w:rsidRDefault="00B60882" w:rsidP="00EB1F93">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43F3A21" w14:textId="77777777" w:rsidR="00B60882" w:rsidRDefault="00B60882" w:rsidP="00EB1F93">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5"/>
    </w:tbl>
    <w:p w14:paraId="0F293BF4" w14:textId="09A128CA" w:rsidR="00127233" w:rsidRPr="00046945" w:rsidRDefault="00127233" w:rsidP="00B60882">
      <w:pPr>
        <w:spacing w:after="0"/>
        <w:rPr>
          <w:rFonts w:ascii="Verdana" w:eastAsia="Times New Roman" w:hAnsi="Verdana" w:cs="Segoe UI"/>
          <w:sz w:val="18"/>
          <w:szCs w:val="18"/>
          <w:lang w:eastAsia="es-CO"/>
        </w:rPr>
      </w:pPr>
    </w:p>
    <w:sectPr w:rsidR="00127233" w:rsidRPr="0004694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D3F31" w14:textId="77777777" w:rsidR="006C45F5" w:rsidRDefault="006C45F5" w:rsidP="004A1847">
      <w:pPr>
        <w:spacing w:after="0" w:line="240" w:lineRule="auto"/>
      </w:pPr>
      <w:r>
        <w:separator/>
      </w:r>
    </w:p>
  </w:endnote>
  <w:endnote w:type="continuationSeparator" w:id="0">
    <w:p w14:paraId="3AFE1C81" w14:textId="77777777" w:rsidR="006C45F5" w:rsidRDefault="006C45F5" w:rsidP="004A1847">
      <w:pPr>
        <w:spacing w:after="0" w:line="240" w:lineRule="auto"/>
      </w:pPr>
      <w:r>
        <w:continuationSeparator/>
      </w:r>
    </w:p>
  </w:endnote>
  <w:endnote w:type="continuationNotice" w:id="1">
    <w:p w14:paraId="0ACB94DD" w14:textId="77777777" w:rsidR="006C45F5" w:rsidRDefault="006C45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B102A" w14:textId="77777777" w:rsidR="006C45F5" w:rsidRDefault="006C45F5" w:rsidP="004A1847">
      <w:pPr>
        <w:spacing w:after="0" w:line="240" w:lineRule="auto"/>
      </w:pPr>
      <w:r>
        <w:separator/>
      </w:r>
    </w:p>
  </w:footnote>
  <w:footnote w:type="continuationSeparator" w:id="0">
    <w:p w14:paraId="6A76282A" w14:textId="77777777" w:rsidR="006C45F5" w:rsidRDefault="006C45F5" w:rsidP="004A1847">
      <w:pPr>
        <w:spacing w:after="0" w:line="240" w:lineRule="auto"/>
      </w:pPr>
      <w:r>
        <w:continuationSeparator/>
      </w:r>
    </w:p>
  </w:footnote>
  <w:footnote w:type="continuationNotice" w:id="1">
    <w:p w14:paraId="77CCB055" w14:textId="77777777" w:rsidR="006C45F5" w:rsidRDefault="006C45F5">
      <w:pPr>
        <w:spacing w:after="0" w:line="240" w:lineRule="auto"/>
      </w:pPr>
    </w:p>
  </w:footnote>
  <w:footnote w:id="2">
    <w:p w14:paraId="24108505" w14:textId="77777777" w:rsidR="00B60882" w:rsidRPr="00E17F16" w:rsidRDefault="00B60882" w:rsidP="00B60882">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7F16">
        <w:rPr>
          <w:rFonts w:ascii="Verdana" w:hAnsi="Verdana" w:cs="Arial"/>
          <w:sz w:val="16"/>
          <w:szCs w:val="16"/>
          <w:vertAlign w:val="superscript"/>
        </w:rPr>
        <w:footnoteRef/>
      </w:r>
      <w:r w:rsidRPr="00E17F16">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28CBDD05" w14:textId="77777777" w:rsidR="00B60882" w:rsidRPr="00E17F16" w:rsidRDefault="00B60882" w:rsidP="00B60882">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7F16">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2FEAD83E" w14:textId="77777777" w:rsidR="00B60882" w:rsidRPr="00E17F16" w:rsidRDefault="00B60882" w:rsidP="00B60882">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7F16">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5F768AAE" w14:textId="77777777" w:rsidR="00B60882" w:rsidRPr="00E17F16" w:rsidRDefault="00B60882" w:rsidP="00B60882">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7F16">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61B30BFA" w14:textId="77777777" w:rsidR="00B60882" w:rsidRPr="00E42471" w:rsidRDefault="00B60882" w:rsidP="00B60882">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7F16">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3">
    <w:p w14:paraId="2CDF5CB3" w14:textId="77777777" w:rsidR="00B60882" w:rsidRPr="00E17F16" w:rsidRDefault="00B60882" w:rsidP="00B60882">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7F16">
        <w:rPr>
          <w:rFonts w:ascii="Verdana" w:hAnsi="Verdana" w:cs="Arial"/>
          <w:sz w:val="16"/>
          <w:szCs w:val="16"/>
          <w:vertAlign w:val="superscript"/>
        </w:rPr>
        <w:footnoteRef/>
      </w:r>
      <w:r w:rsidRPr="00E17F16">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4">
    <w:p w14:paraId="0FF40191" w14:textId="77777777" w:rsidR="00B60882" w:rsidRPr="00A82D0F" w:rsidRDefault="00B60882" w:rsidP="00B60882">
      <w:pPr>
        <w:pStyle w:val="Textonotapie"/>
        <w:ind w:firstLine="709"/>
        <w:jc w:val="both"/>
        <w:rPr>
          <w:rFonts w:ascii="Verdana" w:hAnsi="Verdana"/>
          <w:sz w:val="16"/>
          <w:szCs w:val="16"/>
          <w:lang w:val="es-CO"/>
        </w:rPr>
      </w:pPr>
      <w:r w:rsidRPr="00A82D0F">
        <w:rPr>
          <w:rStyle w:val="Refdenotaalpie"/>
          <w:rFonts w:ascii="Verdana" w:hAnsi="Verdana"/>
          <w:sz w:val="16"/>
          <w:szCs w:val="16"/>
        </w:rPr>
        <w:footnoteRef/>
      </w:r>
      <w:r w:rsidRPr="00A82D0F">
        <w:rPr>
          <w:rFonts w:ascii="Verdana" w:hAnsi="Verdana"/>
          <w:sz w:val="16"/>
          <w:szCs w:val="16"/>
        </w:rPr>
        <w:t xml:space="preserve"> </w:t>
      </w:r>
      <w:r w:rsidRPr="00A82D0F">
        <w:rPr>
          <w:rFonts w:ascii="Verdana" w:hAnsi="Verdana"/>
          <w:sz w:val="16"/>
          <w:szCs w:val="16"/>
          <w:lang w:val="es-ES"/>
        </w:rPr>
        <w:t>“</w:t>
      </w:r>
      <w:r w:rsidRPr="00A82D0F">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1EECD68B" w14:textId="77777777" w:rsidR="00B60882" w:rsidRPr="00A82D0F" w:rsidRDefault="00B60882" w:rsidP="00B60882">
      <w:pPr>
        <w:pStyle w:val="Textonotapie"/>
        <w:ind w:firstLine="709"/>
        <w:jc w:val="both"/>
        <w:rPr>
          <w:rFonts w:ascii="Verdana" w:hAnsi="Verdana"/>
          <w:sz w:val="16"/>
          <w:szCs w:val="16"/>
          <w:lang w:val="es-CO"/>
        </w:rPr>
      </w:pPr>
      <w:r w:rsidRPr="00A82D0F">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5">
    <w:p w14:paraId="7EEF552E" w14:textId="77777777" w:rsidR="00B60882" w:rsidRPr="00A82D0F" w:rsidRDefault="00B60882" w:rsidP="00B60882">
      <w:pPr>
        <w:spacing w:after="0" w:line="240" w:lineRule="auto"/>
        <w:ind w:firstLine="709"/>
        <w:jc w:val="both"/>
        <w:rPr>
          <w:rFonts w:ascii="Verdana" w:hAnsi="Verdana"/>
          <w:sz w:val="16"/>
          <w:szCs w:val="16"/>
        </w:rPr>
      </w:pPr>
    </w:p>
    <w:p w14:paraId="3EA3B8E0" w14:textId="77777777" w:rsidR="00B60882" w:rsidRPr="00A82D0F" w:rsidRDefault="00B60882" w:rsidP="00B60882">
      <w:pPr>
        <w:spacing w:after="0" w:line="240" w:lineRule="auto"/>
        <w:ind w:firstLine="709"/>
        <w:jc w:val="both"/>
        <w:rPr>
          <w:rFonts w:ascii="Verdana" w:hAnsi="Verdana"/>
          <w:sz w:val="16"/>
          <w:szCs w:val="16"/>
          <w:lang w:val="es-MX"/>
        </w:rPr>
      </w:pPr>
      <w:r w:rsidRPr="00A82D0F">
        <w:rPr>
          <w:rStyle w:val="Refdenotaalpie"/>
          <w:rFonts w:ascii="Verdana" w:hAnsi="Verdana"/>
          <w:sz w:val="16"/>
          <w:szCs w:val="16"/>
        </w:rPr>
        <w:footnoteRef/>
      </w:r>
      <w:r w:rsidRPr="00A82D0F">
        <w:rPr>
          <w:rFonts w:ascii="Verdana" w:hAnsi="Verdana"/>
          <w:sz w:val="16"/>
          <w:szCs w:val="16"/>
        </w:rPr>
        <w:t xml:space="preserve"> </w:t>
      </w:r>
      <w:r w:rsidRPr="00A82D0F">
        <w:rPr>
          <w:rFonts w:ascii="Verdana" w:hAnsi="Verdana"/>
          <w:sz w:val="16"/>
          <w:szCs w:val="16"/>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6">
    <w:p w14:paraId="29F84A42" w14:textId="77777777" w:rsidR="00B60882" w:rsidRPr="00A82D0F" w:rsidRDefault="00B60882" w:rsidP="00B60882">
      <w:pPr>
        <w:pStyle w:val="Textonotapie"/>
        <w:ind w:firstLine="709"/>
        <w:jc w:val="both"/>
        <w:rPr>
          <w:rFonts w:ascii="Verdana" w:hAnsi="Verdana"/>
          <w:sz w:val="16"/>
          <w:szCs w:val="16"/>
        </w:rPr>
      </w:pPr>
    </w:p>
    <w:p w14:paraId="35459A7F" w14:textId="77777777" w:rsidR="00B60882" w:rsidRPr="00A82D0F" w:rsidRDefault="00B60882" w:rsidP="00B60882">
      <w:pPr>
        <w:pStyle w:val="Textonotapie"/>
        <w:ind w:firstLine="709"/>
        <w:jc w:val="both"/>
        <w:rPr>
          <w:rFonts w:ascii="Verdana" w:hAnsi="Verdana"/>
          <w:sz w:val="16"/>
          <w:szCs w:val="16"/>
          <w:lang w:val="es-CO"/>
        </w:rPr>
      </w:pPr>
      <w:r w:rsidRPr="00A82D0F">
        <w:rPr>
          <w:rStyle w:val="Refdenotaalpie"/>
          <w:rFonts w:ascii="Verdana" w:hAnsi="Verdana"/>
          <w:sz w:val="16"/>
          <w:szCs w:val="16"/>
        </w:rPr>
        <w:footnoteRef/>
      </w:r>
      <w:r w:rsidRPr="00A82D0F">
        <w:rPr>
          <w:rFonts w:ascii="Verdana" w:hAnsi="Verdana"/>
          <w:sz w:val="16"/>
          <w:szCs w:val="16"/>
        </w:rPr>
        <w:t xml:space="preserve"> Según este parágrafo</w:t>
      </w:r>
      <w:r w:rsidRPr="00A82D0F">
        <w:rPr>
          <w:rFonts w:ascii="Verdana" w:hAnsi="Verdana" w:cs="Arial"/>
          <w:color w:val="000000" w:themeColor="text1"/>
          <w:sz w:val="16"/>
          <w:szCs w:val="16"/>
          <w:lang w:val="es-ES_tradnl"/>
        </w:rPr>
        <w:t xml:space="preserve"> </w:t>
      </w:r>
      <w:r w:rsidRPr="00A82D0F">
        <w:rPr>
          <w:rFonts w:ascii="Verdana" w:hAnsi="Verdana"/>
          <w:sz w:val="16"/>
          <w:szCs w:val="16"/>
          <w:lang w:val="es-ES_tradnl"/>
        </w:rPr>
        <w:t>las certificaciones de sistemas de gestión de calidad no serán objeto de calificación, ni podrán establecerse como documento habilitante para participar en licitaciones o concursos.</w:t>
      </w:r>
      <w:r w:rsidRPr="00A82D0F">
        <w:rPr>
          <w:rFonts w:ascii="Verdana" w:hAnsi="Verdana"/>
          <w:sz w:val="16"/>
          <w:szCs w:val="16"/>
        </w:rPr>
        <w:t xml:space="preserve"> </w:t>
      </w:r>
    </w:p>
  </w:footnote>
  <w:footnote w:id="7">
    <w:p w14:paraId="4A44CFC8" w14:textId="77777777" w:rsidR="00B60882" w:rsidRPr="00A82D0F" w:rsidRDefault="00B60882" w:rsidP="00B60882">
      <w:pPr>
        <w:pStyle w:val="Textonotapie"/>
        <w:ind w:firstLine="709"/>
        <w:jc w:val="both"/>
        <w:rPr>
          <w:rFonts w:ascii="Verdana" w:hAnsi="Verdana"/>
          <w:sz w:val="16"/>
          <w:szCs w:val="16"/>
        </w:rPr>
      </w:pPr>
    </w:p>
    <w:p w14:paraId="4CE3F6BC" w14:textId="77777777" w:rsidR="00B60882" w:rsidRPr="00A82D0F" w:rsidRDefault="00B60882" w:rsidP="00B60882">
      <w:pPr>
        <w:pStyle w:val="Textonotapie"/>
        <w:ind w:firstLine="709"/>
        <w:jc w:val="both"/>
        <w:rPr>
          <w:rFonts w:ascii="Verdana" w:hAnsi="Verdana"/>
          <w:sz w:val="16"/>
          <w:szCs w:val="16"/>
        </w:rPr>
      </w:pPr>
      <w:r w:rsidRPr="00A82D0F">
        <w:rPr>
          <w:rStyle w:val="Refdenotaalpie"/>
          <w:rFonts w:ascii="Verdana" w:hAnsi="Verdana"/>
          <w:sz w:val="16"/>
          <w:szCs w:val="16"/>
        </w:rPr>
        <w:footnoteRef/>
      </w:r>
      <w:r w:rsidRPr="00A82D0F">
        <w:rPr>
          <w:rFonts w:ascii="Verdana" w:hAnsi="Verdana"/>
          <w:sz w:val="16"/>
          <w:szCs w:val="16"/>
        </w:rPr>
        <w:t xml:space="preserve"> Artículo 2.2.1.1.1.5.3. Requisitos habilitantes contenidos en el RUP. “Las cámaras de comercio, con base en la información a la que hace referencia el artículo anterior, deben verificar y certificar los siguientes requisitos habilitantes:</w:t>
      </w:r>
    </w:p>
    <w:p w14:paraId="607D6449"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457D2421"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6CDFD722"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624D28B0"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3. Capacidad Financiera – los siguientes indicadores miden la fortaleza financiera del interesado:</w:t>
      </w:r>
    </w:p>
    <w:p w14:paraId="451ED329"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3.1. Índice de liquidez: activo corriente dividido por el pasivo corriente.</w:t>
      </w:r>
    </w:p>
    <w:p w14:paraId="4A97A2F6"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3.2. Índice de endeudamiento: pasivo total dividido por el activo total.</w:t>
      </w:r>
    </w:p>
    <w:p w14:paraId="365393C1"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3.3. Razón de cobertura de intereses: utilidad operacional dividida por los gastos de intereses.</w:t>
      </w:r>
    </w:p>
    <w:p w14:paraId="3F582B87"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4. Capacidad Organizacional – los siguientes indicadores miden el rendimiento de las inversiones y la eficiencia en el uso de activos del interesado:</w:t>
      </w:r>
    </w:p>
    <w:p w14:paraId="348AC0C5"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4.1. Rentabilidad del patrimonio: utilidad operacional dividida por el patrimonio.</w:t>
      </w:r>
    </w:p>
    <w:p w14:paraId="4A122087" w14:textId="77777777" w:rsidR="00B60882" w:rsidRPr="00A82D0F" w:rsidRDefault="00B60882" w:rsidP="00B60882">
      <w:pPr>
        <w:pStyle w:val="Textonotapie"/>
        <w:ind w:firstLine="709"/>
        <w:jc w:val="both"/>
        <w:rPr>
          <w:rFonts w:ascii="Verdana" w:hAnsi="Verdana"/>
          <w:sz w:val="16"/>
          <w:szCs w:val="16"/>
        </w:rPr>
      </w:pPr>
      <w:r w:rsidRPr="00A82D0F">
        <w:rPr>
          <w:rFonts w:ascii="Verdana" w:hAnsi="Verdana"/>
          <w:sz w:val="16"/>
          <w:szCs w:val="16"/>
        </w:rPr>
        <w:t>4.2. Rentabilidad del activo: utilidad operacional dividida por el activo total”.</w:t>
      </w:r>
    </w:p>
    <w:p w14:paraId="3476C884" w14:textId="77777777" w:rsidR="00B60882" w:rsidRPr="00A82D0F" w:rsidRDefault="00B60882" w:rsidP="00B60882">
      <w:pPr>
        <w:pStyle w:val="Textonotapie"/>
        <w:ind w:firstLine="709"/>
        <w:jc w:val="both"/>
        <w:rPr>
          <w:rFonts w:ascii="Verdana" w:hAnsi="Verdana"/>
          <w:sz w:val="16"/>
          <w:szCs w:val="16"/>
          <w:lang w:val="es-CO"/>
        </w:rPr>
      </w:pPr>
    </w:p>
  </w:footnote>
  <w:footnote w:id="8">
    <w:p w14:paraId="4BF731E4" w14:textId="77777777" w:rsidR="00B60882" w:rsidRPr="00A82D0F" w:rsidRDefault="00B60882" w:rsidP="00B60882">
      <w:pPr>
        <w:pStyle w:val="Textonotapie"/>
        <w:ind w:firstLine="709"/>
        <w:jc w:val="both"/>
        <w:rPr>
          <w:rFonts w:ascii="Verdana" w:hAnsi="Verdana"/>
          <w:sz w:val="16"/>
          <w:szCs w:val="16"/>
        </w:rPr>
      </w:pPr>
      <w:r w:rsidRPr="00A82D0F">
        <w:rPr>
          <w:rStyle w:val="Refdenotaalpie"/>
          <w:rFonts w:ascii="Verdana" w:hAnsi="Verdana"/>
          <w:sz w:val="16"/>
          <w:szCs w:val="16"/>
        </w:rPr>
        <w:footnoteRef/>
      </w:r>
      <w:r w:rsidRPr="00A82D0F">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541CBAC" w14:textId="77777777" w:rsidR="00B60882" w:rsidRPr="00A82D0F" w:rsidRDefault="00B60882" w:rsidP="00B60882">
      <w:pPr>
        <w:pStyle w:val="Textonotapie"/>
        <w:ind w:firstLine="709"/>
        <w:jc w:val="both"/>
        <w:rPr>
          <w:rFonts w:ascii="Verdana" w:hAnsi="Verdana"/>
          <w:sz w:val="16"/>
          <w:szCs w:val="16"/>
          <w:lang w:val="es-CO"/>
        </w:rPr>
      </w:pPr>
    </w:p>
  </w:footnote>
  <w:footnote w:id="9">
    <w:p w14:paraId="282F6924" w14:textId="77777777" w:rsidR="00B60882" w:rsidRPr="00415F4C" w:rsidRDefault="00B60882" w:rsidP="00B60882">
      <w:pPr>
        <w:pStyle w:val="Textonotapie"/>
        <w:ind w:firstLine="709"/>
        <w:jc w:val="both"/>
        <w:rPr>
          <w:rFonts w:ascii="Verdana" w:hAnsi="Verdana"/>
          <w:sz w:val="16"/>
          <w:szCs w:val="16"/>
        </w:rPr>
      </w:pPr>
      <w:r w:rsidRPr="00415F4C">
        <w:rPr>
          <w:rStyle w:val="Refdenotaalpie"/>
          <w:rFonts w:ascii="Verdana" w:hAnsi="Verdana"/>
          <w:sz w:val="16"/>
          <w:szCs w:val="16"/>
        </w:rPr>
        <w:footnoteRef/>
      </w:r>
      <w:r w:rsidRPr="00415F4C">
        <w:rPr>
          <w:rFonts w:ascii="Verdana" w:hAnsi="Verdana"/>
          <w:sz w:val="16"/>
          <w:szCs w:val="16"/>
        </w:rPr>
        <w:t xml:space="preserve"> </w:t>
      </w:r>
      <w:bookmarkStart w:id="3" w:name="44"/>
      <w:r w:rsidRPr="00415F4C">
        <w:rPr>
          <w:rFonts w:ascii="Verdana" w:hAnsi="Verdana"/>
          <w:sz w:val="16"/>
          <w:szCs w:val="16"/>
        </w:rPr>
        <w:t xml:space="preserve">Sobre el particular el </w:t>
      </w:r>
      <w:r w:rsidRPr="00415F4C">
        <w:rPr>
          <w:rFonts w:ascii="Verdana" w:hAnsi="Verdana"/>
          <w:sz w:val="16"/>
          <w:szCs w:val="16"/>
          <w:lang w:val="es-CO"/>
        </w:rPr>
        <w:t>artículo 44 de la Ley 1437 de 2011, dispone: “</w:t>
      </w:r>
      <w:r w:rsidRPr="00407F3F">
        <w:rPr>
          <w:rFonts w:ascii="Verdana" w:hAnsi="Verdana"/>
          <w:sz w:val="16"/>
          <w:szCs w:val="16"/>
          <w:lang w:val="es-CO"/>
        </w:rPr>
        <w:t>Decisiones Discrecionales</w:t>
      </w:r>
      <w:r w:rsidRPr="00415F4C">
        <w:rPr>
          <w:rFonts w:ascii="Verdana" w:hAnsi="Verdana"/>
          <w:sz w:val="16"/>
          <w:szCs w:val="16"/>
          <w:lang w:val="es-CO"/>
        </w:rPr>
        <w:t>.</w:t>
      </w:r>
      <w:bookmarkEnd w:id="3"/>
      <w:r w:rsidRPr="00B076AE">
        <w:rPr>
          <w:rFonts w:ascii="Verdana" w:hAnsi="Verdana"/>
          <w:sz w:val="16"/>
          <w:szCs w:val="16"/>
          <w:lang w:val="es-CO"/>
        </w:rPr>
        <w:t xml:space="preserve"> </w:t>
      </w:r>
      <w:r w:rsidRPr="00415F4C">
        <w:rPr>
          <w:rFonts w:ascii="Verdana" w:hAnsi="Verdana"/>
          <w:sz w:val="16"/>
          <w:szCs w:val="16"/>
          <w:lang w:val="es-CO"/>
        </w:rPr>
        <w:t>En la medida en que el contenido de una decisión de carácter general o particular sea discrecional, debe ser adecuada a los fines de la norma que la autoriza, y proporcional a los hechos que le sirven de causa”.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03650593">
    <w:abstractNumId w:val="7"/>
  </w:num>
  <w:num w:numId="2" w16cid:durableId="664866916">
    <w:abstractNumId w:val="2"/>
  </w:num>
  <w:num w:numId="3" w16cid:durableId="1743941542">
    <w:abstractNumId w:val="5"/>
  </w:num>
  <w:num w:numId="4" w16cid:durableId="7942981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1259957">
    <w:abstractNumId w:val="2"/>
  </w:num>
  <w:num w:numId="6" w16cid:durableId="777213974">
    <w:abstractNumId w:val="13"/>
  </w:num>
  <w:num w:numId="7" w16cid:durableId="1459421208">
    <w:abstractNumId w:val="6"/>
  </w:num>
  <w:num w:numId="8" w16cid:durableId="1638409975">
    <w:abstractNumId w:val="12"/>
  </w:num>
  <w:num w:numId="9" w16cid:durableId="366685910">
    <w:abstractNumId w:val="8"/>
  </w:num>
  <w:num w:numId="10" w16cid:durableId="1113397917">
    <w:abstractNumId w:val="11"/>
  </w:num>
  <w:num w:numId="11" w16cid:durableId="1177306026">
    <w:abstractNumId w:val="9"/>
  </w:num>
  <w:num w:numId="12" w16cid:durableId="1323315190">
    <w:abstractNumId w:val="1"/>
  </w:num>
  <w:num w:numId="13" w16cid:durableId="700937386">
    <w:abstractNumId w:val="4"/>
  </w:num>
  <w:num w:numId="14" w16cid:durableId="910385599">
    <w:abstractNumId w:val="14"/>
  </w:num>
  <w:num w:numId="15" w16cid:durableId="298849545">
    <w:abstractNumId w:val="10"/>
  </w:num>
  <w:num w:numId="16" w16cid:durableId="61495049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000923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B555B"/>
    <w:rsid w:val="001E4177"/>
    <w:rsid w:val="001F7DC6"/>
    <w:rsid w:val="002421BB"/>
    <w:rsid w:val="0025796E"/>
    <w:rsid w:val="002707A2"/>
    <w:rsid w:val="002951A0"/>
    <w:rsid w:val="002962BC"/>
    <w:rsid w:val="002A093D"/>
    <w:rsid w:val="002A0DD0"/>
    <w:rsid w:val="002A49AC"/>
    <w:rsid w:val="002A64FD"/>
    <w:rsid w:val="002C7A84"/>
    <w:rsid w:val="002E4FD9"/>
    <w:rsid w:val="00321853"/>
    <w:rsid w:val="00322A85"/>
    <w:rsid w:val="00324168"/>
    <w:rsid w:val="003448F4"/>
    <w:rsid w:val="00345692"/>
    <w:rsid w:val="00351C71"/>
    <w:rsid w:val="00374F5E"/>
    <w:rsid w:val="00377E3E"/>
    <w:rsid w:val="003A779E"/>
    <w:rsid w:val="003B0224"/>
    <w:rsid w:val="003D0F4D"/>
    <w:rsid w:val="003D5B0D"/>
    <w:rsid w:val="003E0499"/>
    <w:rsid w:val="003F3941"/>
    <w:rsid w:val="00406575"/>
    <w:rsid w:val="00414C74"/>
    <w:rsid w:val="00425449"/>
    <w:rsid w:val="0042722E"/>
    <w:rsid w:val="0044528D"/>
    <w:rsid w:val="004608D1"/>
    <w:rsid w:val="0048455F"/>
    <w:rsid w:val="00496B9E"/>
    <w:rsid w:val="004A1847"/>
    <w:rsid w:val="004A305D"/>
    <w:rsid w:val="004E51E0"/>
    <w:rsid w:val="004E57F3"/>
    <w:rsid w:val="004F21C4"/>
    <w:rsid w:val="004F685F"/>
    <w:rsid w:val="00527DC0"/>
    <w:rsid w:val="005566E8"/>
    <w:rsid w:val="00574867"/>
    <w:rsid w:val="00591460"/>
    <w:rsid w:val="00594BD7"/>
    <w:rsid w:val="005C3777"/>
    <w:rsid w:val="005C5CDC"/>
    <w:rsid w:val="005D476C"/>
    <w:rsid w:val="0060516D"/>
    <w:rsid w:val="006219F8"/>
    <w:rsid w:val="006302F7"/>
    <w:rsid w:val="006434E2"/>
    <w:rsid w:val="00665D70"/>
    <w:rsid w:val="006900D9"/>
    <w:rsid w:val="006A1A56"/>
    <w:rsid w:val="006A760C"/>
    <w:rsid w:val="006C45F5"/>
    <w:rsid w:val="00706C16"/>
    <w:rsid w:val="00716320"/>
    <w:rsid w:val="00756841"/>
    <w:rsid w:val="007649AB"/>
    <w:rsid w:val="00771D0C"/>
    <w:rsid w:val="0077229D"/>
    <w:rsid w:val="007833AC"/>
    <w:rsid w:val="007B268C"/>
    <w:rsid w:val="007B7171"/>
    <w:rsid w:val="007C0C0F"/>
    <w:rsid w:val="007C3DC2"/>
    <w:rsid w:val="007E5497"/>
    <w:rsid w:val="007F5526"/>
    <w:rsid w:val="00806F5F"/>
    <w:rsid w:val="00820278"/>
    <w:rsid w:val="00867F95"/>
    <w:rsid w:val="008843B6"/>
    <w:rsid w:val="00891928"/>
    <w:rsid w:val="00897A3A"/>
    <w:rsid w:val="008A446D"/>
    <w:rsid w:val="008B6BBD"/>
    <w:rsid w:val="008D180B"/>
    <w:rsid w:val="008F0EA7"/>
    <w:rsid w:val="0091018E"/>
    <w:rsid w:val="00923EEF"/>
    <w:rsid w:val="009419F9"/>
    <w:rsid w:val="0095685E"/>
    <w:rsid w:val="00961B09"/>
    <w:rsid w:val="0096301D"/>
    <w:rsid w:val="00965334"/>
    <w:rsid w:val="0097093E"/>
    <w:rsid w:val="009A0DFA"/>
    <w:rsid w:val="009B25A8"/>
    <w:rsid w:val="009B2D26"/>
    <w:rsid w:val="009B335D"/>
    <w:rsid w:val="009C71FA"/>
    <w:rsid w:val="009C72E7"/>
    <w:rsid w:val="009D3058"/>
    <w:rsid w:val="009F3A13"/>
    <w:rsid w:val="00A122D3"/>
    <w:rsid w:val="00A17F13"/>
    <w:rsid w:val="00A20739"/>
    <w:rsid w:val="00A33C78"/>
    <w:rsid w:val="00AA26E5"/>
    <w:rsid w:val="00AB0ADB"/>
    <w:rsid w:val="00AB3EA7"/>
    <w:rsid w:val="00B00C0E"/>
    <w:rsid w:val="00B01B1A"/>
    <w:rsid w:val="00B44A47"/>
    <w:rsid w:val="00B60882"/>
    <w:rsid w:val="00B72CD3"/>
    <w:rsid w:val="00B72FFF"/>
    <w:rsid w:val="00BB4DFB"/>
    <w:rsid w:val="00BC3D36"/>
    <w:rsid w:val="00BD7F72"/>
    <w:rsid w:val="00C04FB3"/>
    <w:rsid w:val="00C330EB"/>
    <w:rsid w:val="00C4196E"/>
    <w:rsid w:val="00C754BE"/>
    <w:rsid w:val="00C76B1C"/>
    <w:rsid w:val="00CB6357"/>
    <w:rsid w:val="00CC1B26"/>
    <w:rsid w:val="00D17B9A"/>
    <w:rsid w:val="00D423A2"/>
    <w:rsid w:val="00D520D8"/>
    <w:rsid w:val="00D63AC2"/>
    <w:rsid w:val="00D7383B"/>
    <w:rsid w:val="00DA231B"/>
    <w:rsid w:val="00DC39FC"/>
    <w:rsid w:val="00DF426D"/>
    <w:rsid w:val="00DF5254"/>
    <w:rsid w:val="00E16408"/>
    <w:rsid w:val="00E20894"/>
    <w:rsid w:val="00E245AB"/>
    <w:rsid w:val="00E2764C"/>
    <w:rsid w:val="00E27F2E"/>
    <w:rsid w:val="00E50AFE"/>
    <w:rsid w:val="00E75C92"/>
    <w:rsid w:val="00E771DC"/>
    <w:rsid w:val="00E8772A"/>
    <w:rsid w:val="00E90F6B"/>
    <w:rsid w:val="00E92C27"/>
    <w:rsid w:val="00E97FA4"/>
    <w:rsid w:val="00EA0E3D"/>
    <w:rsid w:val="00EB1C1C"/>
    <w:rsid w:val="00EC38A7"/>
    <w:rsid w:val="00EE1AA8"/>
    <w:rsid w:val="00F31EDC"/>
    <w:rsid w:val="00F33AD5"/>
    <w:rsid w:val="00F462B3"/>
    <w:rsid w:val="00F5664F"/>
    <w:rsid w:val="00F666C4"/>
    <w:rsid w:val="00F76AFC"/>
    <w:rsid w:val="00FA47C0"/>
    <w:rsid w:val="00FB5DD1"/>
    <w:rsid w:val="00FB6C52"/>
    <w:rsid w:val="00FC2B5D"/>
    <w:rsid w:val="00FD6A8D"/>
    <w:rsid w:val="00FF1449"/>
    <w:rsid w:val="00FF5068"/>
    <w:rsid w:val="362365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60882"/>
    <w:rPr>
      <w:rFonts w:ascii="Geomanist Light" w:hAnsi="Geomanist Light"/>
      <w:lang w:val="es-ES"/>
    </w:rPr>
  </w:style>
  <w:style w:type="paragraph" w:customStyle="1" w:styleId="Appelnotedebasde">
    <w:name w:val="Appel note de bas de..."/>
    <w:basedOn w:val="Normal"/>
    <w:link w:val="Refdenotaalpie"/>
    <w:uiPriority w:val="99"/>
    <w:rsid w:val="00B60882"/>
    <w:pPr>
      <w:spacing w:line="240" w:lineRule="exact"/>
    </w:pPr>
    <w:rPr>
      <w:vertAlign w:val="superscript"/>
    </w:rPr>
  </w:style>
  <w:style w:type="paragraph" w:styleId="Textoindependiente">
    <w:name w:val="Body Text"/>
    <w:basedOn w:val="Normal"/>
    <w:link w:val="TextoindependienteCar"/>
    <w:uiPriority w:val="99"/>
    <w:unhideWhenUsed/>
    <w:rsid w:val="00B60882"/>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B60882"/>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olombiacompra.gov.co/sites/cce_public/files/cce_documents/20140901_manual_requisitos_habilitantes_4_web.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icamaria.herrera04@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tmp"/><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7166C2-5A34-479B-B145-5722345DB9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a6cb9e4b-f1d1-4245-83ec-6cad768d538a"/>
    <ds:schemaRef ds:uri="http://schemas.microsoft.com/office/2006/documentManagement/types"/>
    <ds:schemaRef ds:uri="9d85dbaf-23eb-4e57-a637-93dcacc8b1a1"/>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elements/1.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5105</Words>
  <Characters>28083</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2025-09-29T12:17:00Z</dcterms:created>
  <dcterms:modified xsi:type="dcterms:W3CDTF">2025-09-29T12:17:00Z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