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003157" w14:textId="164B9AA3" w:rsidR="00B570E4" w:rsidRPr="00D256C6" w:rsidRDefault="00B570E4" w:rsidP="00B570E4">
      <w:pPr>
        <w:jc w:val="both"/>
        <w:rPr>
          <w:rFonts w:ascii="Verdana" w:eastAsia="Geomanist Light" w:hAnsi="Verdana" w:cs="Arial"/>
          <w:b/>
          <w:bCs/>
          <w:lang w:val="es-MX"/>
        </w:rPr>
      </w:pPr>
      <w:r w:rsidRPr="0099286A">
        <w:rPr>
          <w:rFonts w:ascii="Verdana" w:eastAsia="Geomanist Light" w:hAnsi="Verdana" w:cs="Arial"/>
          <w:b/>
          <w:bCs/>
          <w:lang w:val="es-MX"/>
        </w:rPr>
        <w:t xml:space="preserve">EMPRESAS INDUSTRIALES Y COMERCIALES DEL ESTADO – Naturaleza jurídica – Régimen de contratación  </w:t>
      </w:r>
    </w:p>
    <w:p w14:paraId="1864F63D" w14:textId="04F288A2" w:rsidR="00B570E4" w:rsidRPr="00D256C6" w:rsidRDefault="00B570E4" w:rsidP="00B570E4">
      <w:pPr>
        <w:jc w:val="both"/>
        <w:rPr>
          <w:rFonts w:ascii="Verdana" w:eastAsia="Geomanist Light" w:hAnsi="Verdana" w:cs="Arial"/>
          <w:sz w:val="20"/>
          <w:szCs w:val="20"/>
          <w:lang w:val="es-MX"/>
        </w:rPr>
      </w:pPr>
      <w:r w:rsidRPr="00D256C6">
        <w:rPr>
          <w:rFonts w:ascii="Verdana" w:eastAsia="Geomanist Light" w:hAnsi="Verdana" w:cs="Arial"/>
          <w:sz w:val="20"/>
          <w:szCs w:val="20"/>
          <w:lang w:val="es-MX"/>
        </w:rPr>
        <w:t xml:space="preserve">[…] las Empresas Industriales y Comerciales del Estado, las Sociedades de Economía Mixta, sus filiales y las Sociedades entre Entidades Públicas en las que el Estado tenga participación superior al cincuenta por ciento (50%), están sometidas, por regla general, al Estatuto General de Contratación de la Administración Pública, excepto aquellas Empresas Industriales y Comerciales del Estado que: i) desarrollen actividades comerciales en competencia con el sector privado y/o público, nacional o internacional o </w:t>
      </w:r>
      <w:proofErr w:type="spellStart"/>
      <w:r w:rsidRPr="00D256C6">
        <w:rPr>
          <w:rFonts w:ascii="Verdana" w:eastAsia="Geomanist Light" w:hAnsi="Verdana" w:cs="Arial"/>
          <w:sz w:val="20"/>
          <w:szCs w:val="20"/>
          <w:lang w:val="es-MX"/>
        </w:rPr>
        <w:t>ii</w:t>
      </w:r>
      <w:proofErr w:type="spellEnd"/>
      <w:r w:rsidRPr="00D256C6">
        <w:rPr>
          <w:rFonts w:ascii="Verdana" w:eastAsia="Geomanist Light" w:hAnsi="Verdana" w:cs="Arial"/>
          <w:sz w:val="20"/>
          <w:szCs w:val="20"/>
          <w:lang w:val="es-MX"/>
        </w:rPr>
        <w:t>) desarrollen actividades en mercados regulados, eventos en los cuales ellas se rigen por las disposiciones que regulen su actividad.</w:t>
      </w:r>
    </w:p>
    <w:p w14:paraId="6EEC5154" w14:textId="2F5E8022" w:rsidR="00B570E4" w:rsidRPr="00D256C6" w:rsidRDefault="00B570E4" w:rsidP="00B570E4">
      <w:pPr>
        <w:jc w:val="both"/>
        <w:rPr>
          <w:rFonts w:ascii="Verdana" w:eastAsia="Geomanist Light" w:hAnsi="Verdana" w:cs="Arial"/>
          <w:sz w:val="20"/>
          <w:szCs w:val="20"/>
          <w:lang w:val="es-MX"/>
        </w:rPr>
      </w:pPr>
      <w:r w:rsidRPr="00D256C6">
        <w:rPr>
          <w:rFonts w:ascii="Verdana" w:eastAsia="Geomanist Light" w:hAnsi="Verdana" w:cs="Arial"/>
          <w:sz w:val="20"/>
          <w:szCs w:val="20"/>
          <w:lang w:val="es-MX"/>
        </w:rPr>
        <w:t>Respecto de las Sociedades de Economía Mixta, lo anterior se complementa con el parágrafo único del artículo 97 de la Ley 489 de 1998, en la medida que dicho parágrafo remite al régimen de las actividades y los servidores públicos de las empresas industriales y comerciales en aquellos eventos en los que las Sociedades de Economía Mixta tienen un aporte de la Nación, de entidades territoriales y de entidades descentralizadas, igual o superior al noventa (90%) del capital social. Tal como se infiere del artículo 14 de la Ley 1150 de 2007 tratándose del régimen jurídico aplicable en materia de contratos aplican las mismas reglas tanto para Empresas Industriales y Comerciales del Estado como para Sociedades de Economía Mixta en las que el Estado tenga una participación mayor al cincuenta por ciento (50%).</w:t>
      </w:r>
    </w:p>
    <w:p w14:paraId="3A282899" w14:textId="2E035DC6" w:rsidR="00B570E4" w:rsidRPr="00D256C6" w:rsidRDefault="00B570E4" w:rsidP="00B570E4">
      <w:pPr>
        <w:jc w:val="both"/>
        <w:rPr>
          <w:rFonts w:ascii="Verdana" w:eastAsia="Geomanist Light" w:hAnsi="Verdana" w:cs="Arial"/>
          <w:b/>
          <w:bCs/>
          <w:lang w:val="es-MX"/>
        </w:rPr>
      </w:pPr>
      <w:r w:rsidRPr="0099286A">
        <w:rPr>
          <w:rFonts w:ascii="Verdana" w:eastAsia="Geomanist Light" w:hAnsi="Verdana" w:cs="Arial"/>
          <w:b/>
          <w:bCs/>
          <w:lang w:val="es-MX"/>
        </w:rPr>
        <w:t>EMPRESAS INDUSTRIALES Y COMERCIALES DEL ESTADO – RUP – Obligados – Contratistas</w:t>
      </w:r>
    </w:p>
    <w:p w14:paraId="6B265164" w14:textId="0ACDCCFD" w:rsidR="00B570E4" w:rsidRPr="00D256C6" w:rsidRDefault="00B570E4" w:rsidP="00B570E4">
      <w:pPr>
        <w:jc w:val="both"/>
        <w:rPr>
          <w:rFonts w:ascii="Verdana" w:eastAsia="Geomanist Light" w:hAnsi="Verdana" w:cs="Arial"/>
          <w:sz w:val="20"/>
          <w:szCs w:val="20"/>
          <w:lang w:val="es-MX"/>
        </w:rPr>
      </w:pPr>
      <w:r w:rsidRPr="00D256C6">
        <w:rPr>
          <w:rFonts w:ascii="Verdana" w:eastAsia="Geomanist Light" w:hAnsi="Verdana" w:cs="Arial"/>
          <w:sz w:val="20"/>
          <w:szCs w:val="20"/>
          <w:lang w:val="es-MX"/>
        </w:rPr>
        <w:t>[…] las Empresas Industriales y Comerciales del Estado que pretendan participar y las Sociedades de Economía Mixta, en calidad de oferentes, en los procesos de selección abiertos por las entidades estatales que se rigen por el Estatuto General de Contratación de la Administración Pública, en principio, deben estar inscritas en el RUP, salvo que el contrato que vayan a celebrar, como contratistas, esté exceptuado por el segundo inciso del artículo 6 de la Ley 1150 de 2007. Por ejemplo, si la Empresa Industrial y Comercial del Estado quiere participar en un procedimiento de licitación pública convocado por una entidad estatal sometida al Estatuto General de Contratación de la Administración Pública, aquella debe estar inscrita en el RUP. En cambio, si desea participar en un procedimiento de selección de mínima cuantía o celebrar un contrato interadministrativo de manera directa, no está obligada a estar inscrita en el RUP, porque el segundo inciso del artículo 6 de la Ley 1150 de 2007 dispone que “No se requerirá de este registro, ni de clasificación, en los casos de contratación directa; […]; contratos de mínima cuantía; […]”, entre otros eventos.</w:t>
      </w:r>
    </w:p>
    <w:p w14:paraId="380D559A" w14:textId="77777777" w:rsidR="00B570E4" w:rsidRPr="0099286A" w:rsidRDefault="00B570E4" w:rsidP="00B570E4">
      <w:pPr>
        <w:jc w:val="both"/>
        <w:rPr>
          <w:rFonts w:ascii="Verdana" w:eastAsia="Geomanist Light" w:hAnsi="Verdana" w:cs="Arial"/>
          <w:b/>
          <w:bCs/>
          <w:lang w:val="es-MX"/>
        </w:rPr>
      </w:pPr>
      <w:r w:rsidRPr="0099286A">
        <w:rPr>
          <w:rFonts w:ascii="Verdana" w:eastAsia="Geomanist Light" w:hAnsi="Verdana" w:cs="Arial"/>
          <w:b/>
          <w:bCs/>
          <w:lang w:val="es-MX"/>
        </w:rPr>
        <w:t>EMPRESAS INDUSTRIALES Y COMERCIALES DEL ESTADO – RUP – Contratantes – Eximidas</w:t>
      </w:r>
    </w:p>
    <w:p w14:paraId="7299BA8D" w14:textId="77777777" w:rsidR="00B570E4" w:rsidRPr="00D256C6" w:rsidRDefault="00B570E4" w:rsidP="00B570E4">
      <w:pPr>
        <w:jc w:val="both"/>
        <w:rPr>
          <w:rFonts w:ascii="Verdana" w:eastAsia="Geomanist Light" w:hAnsi="Verdana" w:cs="Arial"/>
          <w:sz w:val="20"/>
          <w:szCs w:val="20"/>
          <w:lang w:val="es-MX"/>
        </w:rPr>
      </w:pPr>
      <w:r w:rsidRPr="00D256C6">
        <w:rPr>
          <w:rFonts w:ascii="Verdana" w:eastAsia="Geomanist Light" w:hAnsi="Verdana" w:cs="Arial"/>
          <w:sz w:val="20"/>
          <w:szCs w:val="20"/>
          <w:lang w:val="es-MX"/>
        </w:rPr>
        <w:lastRenderedPageBreak/>
        <w:t xml:space="preserve">El segundo inciso del artículo 6 de la Ley 1150 de 2007 consagra una excepción al deber de inscripción en el RUP, que menciona a las Empresas Industriales y Comerciales del Estado y a las Sociedades de Economía Mixta, en los siguientes términos: “No se requerirá de este registro, ni de clasificación, en […] los actos y contratos que tengan por objeto directo las actividades comerciales e industriales propias de las Empresas Industriales y Comerciales del Estado y las Sociedades de Economía Mixta”. Sin embargo, el alcance de tal excepción debe interpretarse en armonía con la causal de contratación de selección abreviada contenida en el artículo 2, numeral 2, literal g) de la misma ley, que está redactada en los mismos términos, pues dice que debe implementarse tal modalidad de selección para “Los actos y contratos que tengan por objeto directo las actividades comerciales e industriales propias de las Empresas Industriales y Comerciales Estatales  y de las Sociedades de Economía Mixta […]”. </w:t>
      </w:r>
    </w:p>
    <w:p w14:paraId="44F59F36" w14:textId="30E3CE76" w:rsidR="00B570E4" w:rsidRPr="00D256C6" w:rsidRDefault="00B570E4" w:rsidP="00B570E4">
      <w:pPr>
        <w:jc w:val="both"/>
        <w:rPr>
          <w:rFonts w:ascii="Verdana" w:eastAsia="Geomanist Light" w:hAnsi="Verdana" w:cs="Arial"/>
          <w:sz w:val="20"/>
          <w:szCs w:val="20"/>
          <w:lang w:val="es-MX"/>
        </w:rPr>
      </w:pPr>
      <w:r w:rsidRPr="00D256C6">
        <w:rPr>
          <w:rFonts w:ascii="Verdana" w:eastAsia="Geomanist Light" w:hAnsi="Verdana" w:cs="Arial"/>
          <w:sz w:val="20"/>
          <w:szCs w:val="20"/>
          <w:lang w:val="es-MX"/>
        </w:rPr>
        <w:t xml:space="preserve"> […]</w:t>
      </w:r>
    </w:p>
    <w:p w14:paraId="1DE9B6C8" w14:textId="77777777" w:rsidR="00B570E4" w:rsidRPr="00D256C6" w:rsidRDefault="00B570E4" w:rsidP="00B570E4">
      <w:pPr>
        <w:jc w:val="both"/>
        <w:rPr>
          <w:rFonts w:ascii="Verdana" w:eastAsia="Geomanist Light" w:hAnsi="Verdana" w:cs="Arial"/>
          <w:sz w:val="20"/>
          <w:szCs w:val="20"/>
          <w:lang w:val="es-MX"/>
        </w:rPr>
      </w:pPr>
      <w:r w:rsidRPr="00D256C6">
        <w:rPr>
          <w:rFonts w:ascii="Verdana" w:eastAsia="Geomanist Light" w:hAnsi="Verdana" w:cs="Arial"/>
          <w:sz w:val="20"/>
          <w:szCs w:val="20"/>
          <w:lang w:val="es-MX"/>
        </w:rPr>
        <w:t>Se concluye que el alcance del inciso 2 del artículo 6 de la Ley 1150 de 2007, se encuentra determinado por el artículo 2, numeral 2, literal g) de la Ley 1150 de 2007, en el entendido en que su aplicación procede cuando a las Empresas Industriales y Comerciales del Estado y las Sociedades de Economía Mixta se encuentran sometidas al Estatuto General de Contratación de la Administración Pública y estas actúan como contratantes. Por tanto, al encontrarse sometidas al EGCAP deberán acudir a la causal de contratación de selección abreviada para la celebración de los contratos que tengan por objeto directo las actividades comerciales e industriales propias de la Empresas Industriales y Comerciales del Estado y las Sociedades de Economía Mixta, con excepción de los contratos que a título enunciativo identifica el artículo 32 de la Ley 80 de 1993. Teniendo en cuenta que la norma se refiere de forma general a los actividades comerciales e industriales propias de las Empresas Industriales y Comerciales del Estado y las Sociedades de Economía Mixta, se colige que se trata de todas aquellas actividades de tal naturaleza que desarrollan en el marco de su objeto social. En tal caso, no podrán solicitar la presentación del RUP por cuanto estos actos y contratos se encuentran cobijados por la excepción del inciso 2 del artículo 6 de la Ley 1150 de 2007.</w:t>
      </w:r>
    </w:p>
    <w:p w14:paraId="2A15DA2B" w14:textId="77777777" w:rsidR="00B570E4" w:rsidRPr="0099286A" w:rsidRDefault="00B570E4" w:rsidP="00B570E4">
      <w:pPr>
        <w:jc w:val="both"/>
        <w:rPr>
          <w:rFonts w:ascii="Verdana" w:eastAsia="Geomanist Light" w:hAnsi="Verdana" w:cs="Arial"/>
          <w:lang w:val="es-MX"/>
        </w:rPr>
      </w:pPr>
    </w:p>
    <w:p w14:paraId="235F705A" w14:textId="77777777" w:rsidR="00B570E4" w:rsidRPr="0099286A" w:rsidRDefault="00B570E4" w:rsidP="00B570E4">
      <w:pPr>
        <w:rPr>
          <w:rFonts w:ascii="Verdana" w:eastAsia="Geomanist Light" w:hAnsi="Verdana" w:cs="Arial"/>
          <w:lang w:val="es-MX"/>
        </w:rPr>
      </w:pPr>
    </w:p>
    <w:p w14:paraId="1F65E02C" w14:textId="77777777" w:rsidR="00B570E4" w:rsidRDefault="00B570E4" w:rsidP="00B570E4">
      <w:pPr>
        <w:rPr>
          <w:rFonts w:ascii="Verdana" w:eastAsia="Geomanist Light" w:hAnsi="Verdana" w:cs="Arial"/>
          <w:lang w:val="es-MX"/>
        </w:rPr>
      </w:pPr>
    </w:p>
    <w:p w14:paraId="2255C9A9" w14:textId="77777777" w:rsidR="00B570E4" w:rsidRDefault="00B570E4" w:rsidP="00B570E4">
      <w:pPr>
        <w:rPr>
          <w:rFonts w:ascii="Verdana" w:eastAsia="Geomanist Light" w:hAnsi="Verdana" w:cs="Arial"/>
          <w:lang w:val="es-MX"/>
        </w:rPr>
      </w:pPr>
    </w:p>
    <w:p w14:paraId="50260B6C" w14:textId="77777777" w:rsidR="00B570E4" w:rsidRDefault="00B570E4" w:rsidP="00B570E4">
      <w:pPr>
        <w:rPr>
          <w:rFonts w:ascii="Verdana" w:eastAsia="Geomanist Light" w:hAnsi="Verdana" w:cs="Arial"/>
          <w:lang w:val="es-MX"/>
        </w:rPr>
      </w:pPr>
    </w:p>
    <w:p w14:paraId="5E90FC75" w14:textId="77777777" w:rsidR="00B570E4" w:rsidRDefault="00B570E4" w:rsidP="00B570E4">
      <w:pPr>
        <w:rPr>
          <w:rFonts w:ascii="Verdana" w:eastAsia="Geomanist Light" w:hAnsi="Verdana" w:cs="Arial"/>
          <w:lang w:val="es-MX"/>
        </w:rPr>
      </w:pPr>
    </w:p>
    <w:p w14:paraId="7B32069E" w14:textId="77777777" w:rsidR="00B570E4" w:rsidRDefault="00B570E4" w:rsidP="00B570E4">
      <w:pPr>
        <w:rPr>
          <w:rFonts w:ascii="Verdana" w:eastAsia="Geomanist Light" w:hAnsi="Verdana" w:cs="Arial"/>
          <w:lang w:val="es-MX"/>
        </w:rPr>
      </w:pPr>
    </w:p>
    <w:p w14:paraId="1CAA4CB0" w14:textId="77777777" w:rsidR="00D256C6" w:rsidRDefault="00D256C6" w:rsidP="00B570E4">
      <w:pPr>
        <w:rPr>
          <w:rFonts w:ascii="Verdana" w:eastAsia="Geomanist Light" w:hAnsi="Verdana" w:cs="Arial"/>
          <w:lang w:val="es-MX"/>
        </w:rPr>
      </w:pPr>
    </w:p>
    <w:p w14:paraId="2DD6E442" w14:textId="50926E9D" w:rsidR="00B570E4" w:rsidRPr="00EA7EA8" w:rsidRDefault="00B570E4" w:rsidP="00B570E4">
      <w:pPr>
        <w:rPr>
          <w:rFonts w:ascii="Verdana" w:eastAsia="Geomanist Light" w:hAnsi="Verdana" w:cs="Arial"/>
          <w:lang w:val="es-MX"/>
        </w:rPr>
      </w:pPr>
      <w:r w:rsidRPr="00EA7EA8">
        <w:rPr>
          <w:rFonts w:ascii="Verdana" w:eastAsia="Geomanist Light" w:hAnsi="Verdana" w:cs="Arial"/>
          <w:lang w:val="es-MX"/>
        </w:rPr>
        <w:lastRenderedPageBreak/>
        <w:t>Bogotá D.C., [Día] de [</w:t>
      </w:r>
      <w:proofErr w:type="spellStart"/>
      <w:r w:rsidRPr="00EA7EA8">
        <w:rPr>
          <w:rFonts w:ascii="Verdana" w:eastAsia="Geomanist Light" w:hAnsi="Verdana" w:cs="Arial"/>
          <w:lang w:val="es-MX"/>
        </w:rPr>
        <w:t>Mes.NombreCapitalizado</w:t>
      </w:r>
      <w:proofErr w:type="spellEnd"/>
      <w:r w:rsidRPr="00EA7EA8">
        <w:rPr>
          <w:rFonts w:ascii="Verdana" w:eastAsia="Geomanist Light" w:hAnsi="Verdana" w:cs="Arial"/>
          <w:lang w:val="es-MX"/>
        </w:rPr>
        <w:t>] de [Año]</w:t>
      </w:r>
    </w:p>
    <w:p w14:paraId="27FF842E" w14:textId="28453161" w:rsidR="00B570E4" w:rsidRDefault="00B570E4" w:rsidP="00B570E4">
      <w:pPr>
        <w:spacing w:after="0" w:line="240" w:lineRule="auto"/>
        <w:jc w:val="both"/>
        <w:rPr>
          <w:rFonts w:ascii="Verdana" w:eastAsia="Calibri" w:hAnsi="Verdana" w:cs="Arial"/>
          <w:lang w:val="es-ES"/>
        </w:rPr>
      </w:pPr>
    </w:p>
    <w:p w14:paraId="107EA823" w14:textId="1E86A06F" w:rsidR="00B570E4" w:rsidRPr="00EA7EA8" w:rsidRDefault="00B570E4" w:rsidP="00B570E4">
      <w:pPr>
        <w:spacing w:after="0" w:line="240" w:lineRule="auto"/>
        <w:jc w:val="both"/>
        <w:rPr>
          <w:rFonts w:ascii="Verdana" w:eastAsia="Calibri" w:hAnsi="Verdana" w:cs="Arial"/>
          <w:lang w:val="es-ES"/>
        </w:rPr>
      </w:pPr>
    </w:p>
    <w:p w14:paraId="66050EDE" w14:textId="01841C13" w:rsidR="00B570E4" w:rsidRPr="00EA7EA8" w:rsidRDefault="00D256C6" w:rsidP="00B570E4">
      <w:pPr>
        <w:spacing w:after="0" w:line="240" w:lineRule="auto"/>
        <w:jc w:val="both"/>
        <w:rPr>
          <w:rFonts w:ascii="Verdana" w:eastAsia="Calibri" w:hAnsi="Verdana" w:cs="Arial"/>
          <w:lang w:val="es-ES" w:eastAsia="es-ES"/>
        </w:rPr>
      </w:pPr>
      <w:r w:rsidRPr="00ED0467">
        <w:rPr>
          <w:rFonts w:ascii="Verdana" w:eastAsia="Calibri" w:hAnsi="Verdana" w:cs="Arial"/>
          <w:b/>
          <w:noProof/>
          <w:lang w:val="es-ES_tradnl" w:eastAsia="es-ES_tradnl"/>
        </w:rPr>
        <w:drawing>
          <wp:anchor distT="0" distB="0" distL="114300" distR="114300" simplePos="0" relativeHeight="251658240" behindDoc="1" locked="0" layoutInCell="1" allowOverlap="1" wp14:anchorId="3EB44B90" wp14:editId="4435C378">
            <wp:simplePos x="0" y="0"/>
            <wp:positionH relativeFrom="margin">
              <wp:align>right</wp:align>
            </wp:positionH>
            <wp:positionV relativeFrom="paragraph">
              <wp:posOffset>9525</wp:posOffset>
            </wp:positionV>
            <wp:extent cx="3014980" cy="808990"/>
            <wp:effectExtent l="0" t="0" r="0" b="0"/>
            <wp:wrapSquare wrapText="bothSides"/>
            <wp:docPr id="105670474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704749"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3014980" cy="808990"/>
                    </a:xfrm>
                    <a:prstGeom prst="rect">
                      <a:avLst/>
                    </a:prstGeom>
                  </pic:spPr>
                </pic:pic>
              </a:graphicData>
            </a:graphic>
            <wp14:sizeRelH relativeFrom="page">
              <wp14:pctWidth>0</wp14:pctWidth>
            </wp14:sizeRelH>
            <wp14:sizeRelV relativeFrom="page">
              <wp14:pctHeight>0</wp14:pctHeight>
            </wp14:sizeRelV>
          </wp:anchor>
        </w:drawing>
      </w:r>
      <w:r w:rsidR="00B570E4" w:rsidRPr="00EA7EA8">
        <w:rPr>
          <w:rFonts w:ascii="Verdana" w:eastAsia="Calibri" w:hAnsi="Verdana" w:cs="Arial"/>
          <w:lang w:val="es-ES" w:eastAsia="es-ES"/>
        </w:rPr>
        <w:t>Señor</w:t>
      </w:r>
    </w:p>
    <w:p w14:paraId="6B1857C7" w14:textId="63FC116F" w:rsidR="00B570E4" w:rsidRPr="00EA7EA8" w:rsidRDefault="00B570E4" w:rsidP="00B570E4">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Andrés Felipe Tenjo Aguilar</w:t>
      </w:r>
    </w:p>
    <w:p w14:paraId="1FEC542C" w14:textId="13FCD4E6" w:rsidR="00B570E4" w:rsidRPr="00EA7EA8" w:rsidRDefault="00B570E4" w:rsidP="00B570E4">
      <w:pPr>
        <w:spacing w:after="0" w:line="240" w:lineRule="auto"/>
        <w:rPr>
          <w:rFonts w:ascii="Verdana" w:eastAsia="Calibri" w:hAnsi="Verdana" w:cs="Arial"/>
          <w:u w:val="single"/>
          <w:lang w:val="es-ES" w:eastAsia="es-ES"/>
        </w:rPr>
      </w:pPr>
      <w:r>
        <w:rPr>
          <w:rFonts w:ascii="Verdana" w:eastAsia="Calibri" w:hAnsi="Verdana" w:cs="Arial"/>
          <w:lang w:val="es-ES" w:eastAsia="es-ES"/>
        </w:rPr>
        <w:t>Andres.tenjoaguilar@gmail.com</w:t>
      </w:r>
    </w:p>
    <w:p w14:paraId="4865DE98" w14:textId="77777777" w:rsidR="00B570E4" w:rsidRPr="00EA7EA8" w:rsidRDefault="00B570E4" w:rsidP="00B570E4">
      <w:pPr>
        <w:spacing w:after="0" w:line="240" w:lineRule="auto"/>
        <w:rPr>
          <w:rFonts w:ascii="Verdana" w:eastAsia="Calibri" w:hAnsi="Verdana" w:cs="Arial"/>
          <w:b/>
          <w:bCs/>
          <w:lang w:val="es-ES" w:eastAsia="es-ES"/>
        </w:rPr>
      </w:pPr>
      <w:r w:rsidRPr="00EA7EA8">
        <w:rPr>
          <w:rFonts w:ascii="Verdana" w:eastAsia="Calibri" w:hAnsi="Verdana" w:cs="Arial"/>
          <w:lang w:val="es-ES" w:eastAsia="es-ES"/>
        </w:rPr>
        <w:t>Bogotá</w:t>
      </w:r>
      <w:r>
        <w:rPr>
          <w:rFonts w:ascii="Verdana" w:eastAsia="Calibri" w:hAnsi="Verdana" w:cs="Arial"/>
          <w:lang w:val="es-ES" w:eastAsia="es-ES"/>
        </w:rPr>
        <w:t xml:space="preserve"> D.C.</w:t>
      </w:r>
      <w:r w:rsidRPr="00780323">
        <w:rPr>
          <w:rFonts w:ascii="Verdana" w:eastAsia="Calibri" w:hAnsi="Verdana" w:cs="Arial"/>
          <w:lang w:val="es-ES" w:eastAsia="es-ES"/>
        </w:rPr>
        <w:t>,</w:t>
      </w:r>
      <w:r w:rsidRPr="00EA7EA8">
        <w:rPr>
          <w:rFonts w:ascii="Verdana" w:eastAsia="Calibri" w:hAnsi="Verdana" w:cs="Arial"/>
          <w:lang w:val="es-ES" w:eastAsia="es-ES"/>
        </w:rPr>
        <w:t xml:space="preserve"> Cundinamarca</w:t>
      </w:r>
    </w:p>
    <w:p w14:paraId="0719596B" w14:textId="77777777" w:rsidR="00B570E4" w:rsidRPr="00EA7EA8" w:rsidRDefault="00B570E4" w:rsidP="00B570E4">
      <w:pPr>
        <w:spacing w:after="0" w:line="240" w:lineRule="auto"/>
        <w:rPr>
          <w:rFonts w:ascii="Verdana" w:eastAsia="Calibri" w:hAnsi="Verdana" w:cs="Arial"/>
          <w:b/>
          <w:bCs/>
          <w:lang w:val="es-ES_tradnl" w:eastAsia="es-ES_tradnl"/>
        </w:rPr>
      </w:pPr>
    </w:p>
    <w:p w14:paraId="72881C6F" w14:textId="77777777" w:rsidR="00B570E4" w:rsidRPr="00EA7EA8" w:rsidRDefault="00B570E4" w:rsidP="00B570E4">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570E4" w:rsidRPr="00EA7EA8" w14:paraId="418E9DC0" w14:textId="77777777" w:rsidTr="00BB539A">
        <w:trPr>
          <w:trHeight w:val="190"/>
        </w:trPr>
        <w:tc>
          <w:tcPr>
            <w:tcW w:w="2689" w:type="dxa"/>
          </w:tcPr>
          <w:p w14:paraId="6AB7C1DD" w14:textId="77777777" w:rsidR="00B570E4" w:rsidRPr="00EA7EA8" w:rsidRDefault="00B570E4" w:rsidP="00BB539A">
            <w:pPr>
              <w:jc w:val="both"/>
              <w:rPr>
                <w:rFonts w:ascii="Verdana" w:eastAsia="Calibri" w:hAnsi="Verdana" w:cs="Arial"/>
                <w:b/>
                <w:bCs/>
                <w:lang w:val="es-ES_tradnl" w:eastAsia="es-ES_tradnl"/>
              </w:rPr>
            </w:pPr>
          </w:p>
        </w:tc>
        <w:tc>
          <w:tcPr>
            <w:tcW w:w="6100" w:type="dxa"/>
          </w:tcPr>
          <w:p w14:paraId="269518B9" w14:textId="77777777" w:rsidR="00B570E4" w:rsidRPr="00780323" w:rsidRDefault="00B570E4" w:rsidP="00BB539A">
            <w:pPr>
              <w:jc w:val="both"/>
              <w:rPr>
                <w:rFonts w:ascii="Verdana" w:eastAsia="Calibri" w:hAnsi="Verdana" w:cs="Arial"/>
                <w:b/>
                <w:bCs/>
                <w:lang w:val="es-ES" w:eastAsia="es-ES"/>
              </w:rPr>
            </w:pPr>
            <w:r w:rsidRPr="00EA7EA8">
              <w:rPr>
                <w:rFonts w:ascii="Verdana" w:eastAsia="Calibri" w:hAnsi="Verdana" w:cs="Arial"/>
                <w:b/>
                <w:bCs/>
                <w:lang w:val="es-ES" w:eastAsia="es-ES"/>
              </w:rPr>
              <w:t xml:space="preserve">Concepto C- </w:t>
            </w:r>
            <w:r>
              <w:rPr>
                <w:rFonts w:ascii="Verdana" w:eastAsia="Calibri" w:hAnsi="Verdana" w:cs="Arial"/>
                <w:b/>
                <w:bCs/>
                <w:lang w:val="es-ES" w:eastAsia="es-ES"/>
              </w:rPr>
              <w:t xml:space="preserve">1140 </w:t>
            </w:r>
            <w:r w:rsidRPr="00EA7EA8">
              <w:rPr>
                <w:rFonts w:ascii="Verdana" w:eastAsia="Calibri" w:hAnsi="Verdana" w:cs="Arial"/>
                <w:b/>
                <w:bCs/>
                <w:lang w:val="es-ES" w:eastAsia="es-ES"/>
              </w:rPr>
              <w:t>de 202</w:t>
            </w:r>
            <w:r>
              <w:rPr>
                <w:rFonts w:ascii="Verdana" w:eastAsia="Calibri" w:hAnsi="Verdana" w:cs="Arial"/>
                <w:b/>
                <w:bCs/>
                <w:lang w:val="es-ES" w:eastAsia="es-ES"/>
              </w:rPr>
              <w:t>5</w:t>
            </w:r>
          </w:p>
          <w:p w14:paraId="40E23817" w14:textId="77777777" w:rsidR="00B570E4" w:rsidRPr="00EA7EA8" w:rsidRDefault="00B570E4" w:rsidP="00BB539A">
            <w:pPr>
              <w:jc w:val="both"/>
              <w:rPr>
                <w:rFonts w:ascii="Verdana" w:eastAsia="Calibri" w:hAnsi="Verdana" w:cs="Arial"/>
                <w:b/>
                <w:bCs/>
                <w:lang w:val="es-ES" w:eastAsia="es-ES"/>
              </w:rPr>
            </w:pPr>
          </w:p>
        </w:tc>
      </w:tr>
      <w:tr w:rsidR="00B570E4" w:rsidRPr="00EA7EA8" w14:paraId="1F101FC9" w14:textId="77777777" w:rsidTr="00BB539A">
        <w:trPr>
          <w:trHeight w:val="884"/>
        </w:trPr>
        <w:tc>
          <w:tcPr>
            <w:tcW w:w="2689" w:type="dxa"/>
          </w:tcPr>
          <w:p w14:paraId="1746AEF6" w14:textId="77777777" w:rsidR="00B570E4" w:rsidRPr="00EA7EA8" w:rsidRDefault="00B570E4" w:rsidP="00BB539A">
            <w:pPr>
              <w:jc w:val="both"/>
              <w:rPr>
                <w:rFonts w:ascii="Verdana" w:eastAsia="Calibri" w:hAnsi="Verdana" w:cs="Arial"/>
                <w:lang w:val="es-ES_tradnl" w:eastAsia="es-ES_tradnl"/>
              </w:rPr>
            </w:pPr>
            <w:r w:rsidRPr="00EA7EA8">
              <w:rPr>
                <w:rFonts w:ascii="Verdana" w:eastAsia="Calibri" w:hAnsi="Verdana" w:cs="Arial"/>
                <w:b/>
                <w:lang w:val="es-ES_tradnl" w:eastAsia="es-ES_tradnl"/>
              </w:rPr>
              <w:t>Temas:</w:t>
            </w:r>
            <w:r w:rsidRPr="00EA7EA8">
              <w:rPr>
                <w:rFonts w:ascii="Verdana" w:eastAsia="Calibri" w:hAnsi="Verdana" w:cs="Arial"/>
                <w:lang w:val="es-ES_tradnl" w:eastAsia="es-ES_tradnl"/>
              </w:rPr>
              <w:t xml:space="preserve">                   </w:t>
            </w:r>
          </w:p>
        </w:tc>
        <w:tc>
          <w:tcPr>
            <w:tcW w:w="6100" w:type="dxa"/>
          </w:tcPr>
          <w:p w14:paraId="0DB2CF8A" w14:textId="77777777" w:rsidR="00B570E4" w:rsidRDefault="00B570E4" w:rsidP="00BB539A">
            <w:pPr>
              <w:jc w:val="both"/>
              <w:rPr>
                <w:rFonts w:ascii="Verdana" w:eastAsia="Calibri" w:hAnsi="Verdana" w:cs="Arial"/>
                <w:color w:val="000000"/>
                <w:szCs w:val="24"/>
                <w:lang w:val="es-ES_tradnl" w:eastAsia="es-ES_tradnl"/>
              </w:rPr>
            </w:pPr>
            <w:r>
              <w:rPr>
                <w:rFonts w:ascii="Verdana" w:eastAsia="Geomanist Light" w:hAnsi="Verdana" w:cs="Arial"/>
                <w:color w:val="000000"/>
                <w:lang w:val="es-MX"/>
              </w:rPr>
              <w:t xml:space="preserve">EMPRESAS INDUSTRIALES Y COMERCIALES DEL ESTADO – Naturaleza jurídica – Régimen de contratación </w:t>
            </w:r>
            <w:r w:rsidRPr="00D20014">
              <w:rPr>
                <w:rFonts w:ascii="Verdana" w:eastAsia="Calibri" w:hAnsi="Verdana" w:cs="Arial"/>
                <w:color w:val="000000"/>
                <w:szCs w:val="24"/>
                <w:lang w:val="es-ES_tradnl" w:eastAsia="es-ES_tradnl"/>
              </w:rPr>
              <w:t xml:space="preserve">/ </w:t>
            </w:r>
            <w:r>
              <w:rPr>
                <w:rFonts w:ascii="Verdana" w:eastAsia="Calibri" w:hAnsi="Verdana" w:cs="Arial"/>
                <w:color w:val="000000"/>
                <w:szCs w:val="24"/>
                <w:lang w:val="es-ES_tradnl" w:eastAsia="es-ES_tradnl"/>
              </w:rPr>
              <w:t>EMPRESAS INDUSTRIALES Y COMERCIALES DEL ESTADO</w:t>
            </w:r>
            <w:r w:rsidRPr="008E50D9">
              <w:rPr>
                <w:rFonts w:ascii="Verdana" w:eastAsia="Calibri" w:hAnsi="Verdana" w:cs="Arial"/>
                <w:color w:val="000000"/>
                <w:szCs w:val="24"/>
                <w:lang w:val="es-ES_tradnl" w:eastAsia="es-ES_tradnl"/>
              </w:rPr>
              <w:t xml:space="preserve"> – RUP – Obligados – Contratistas</w:t>
            </w:r>
            <w:r>
              <w:t xml:space="preserve"> </w:t>
            </w:r>
            <w:r w:rsidRPr="00D20014">
              <w:rPr>
                <w:rFonts w:ascii="Verdana" w:eastAsia="Calibri" w:hAnsi="Verdana" w:cs="Arial"/>
                <w:color w:val="000000"/>
                <w:szCs w:val="24"/>
                <w:lang w:val="es-ES_tradnl" w:eastAsia="es-ES_tradnl"/>
              </w:rPr>
              <w:t>/</w:t>
            </w:r>
            <w:r>
              <w:rPr>
                <w:rFonts w:ascii="Verdana" w:eastAsia="Calibri" w:hAnsi="Verdana" w:cs="Arial"/>
                <w:color w:val="000000"/>
                <w:szCs w:val="24"/>
                <w:lang w:val="es-ES_tradnl" w:eastAsia="es-ES_tradnl"/>
              </w:rPr>
              <w:t xml:space="preserve"> EMPRESAS INDUSTRIALES Y COMERCIALES DEL ESTADO</w:t>
            </w:r>
            <w:r w:rsidRPr="00FE26AE">
              <w:rPr>
                <w:rFonts w:ascii="Verdana" w:eastAsia="Calibri" w:hAnsi="Verdana" w:cs="Arial"/>
                <w:color w:val="000000"/>
                <w:szCs w:val="24"/>
                <w:lang w:val="es-ES_tradnl" w:eastAsia="es-ES_tradnl"/>
              </w:rPr>
              <w:t xml:space="preserve"> – RUP – Contratantes – Eximidas</w:t>
            </w:r>
          </w:p>
          <w:p w14:paraId="1FD08F24" w14:textId="77777777" w:rsidR="00B570E4" w:rsidRPr="00EA7EA8" w:rsidRDefault="00B570E4" w:rsidP="00BB539A">
            <w:pPr>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B570E4" w:rsidRPr="00EA7EA8" w14:paraId="230AFC1F" w14:textId="77777777" w:rsidTr="00BB539A">
        <w:tc>
          <w:tcPr>
            <w:tcW w:w="2689" w:type="dxa"/>
          </w:tcPr>
          <w:p w14:paraId="48A03557" w14:textId="77777777" w:rsidR="00B570E4" w:rsidRPr="00EA7EA8" w:rsidRDefault="00B570E4" w:rsidP="00BB539A">
            <w:pPr>
              <w:jc w:val="both"/>
              <w:rPr>
                <w:rFonts w:ascii="Verdana" w:eastAsia="Calibri" w:hAnsi="Verdana" w:cs="Arial"/>
                <w:b/>
                <w:lang w:val="es-ES_tradnl" w:eastAsia="es-ES_tradnl"/>
              </w:rPr>
            </w:pPr>
            <w:r w:rsidRPr="00EA7EA8">
              <w:rPr>
                <w:rFonts w:ascii="Verdana" w:eastAsia="Calibri" w:hAnsi="Verdana" w:cs="Arial"/>
                <w:b/>
                <w:lang w:val="es-ES_tradnl" w:eastAsia="es-ES_tradnl"/>
              </w:rPr>
              <w:t>Radicación:</w:t>
            </w:r>
            <w:r w:rsidRPr="00EA7EA8">
              <w:rPr>
                <w:rFonts w:ascii="Verdana" w:eastAsia="Calibri" w:hAnsi="Verdana" w:cs="Arial"/>
                <w:lang w:val="es-ES_tradnl" w:eastAsia="es-ES_tradnl"/>
              </w:rPr>
              <w:t xml:space="preserve">               </w:t>
            </w:r>
          </w:p>
        </w:tc>
        <w:tc>
          <w:tcPr>
            <w:tcW w:w="6100" w:type="dxa"/>
          </w:tcPr>
          <w:p w14:paraId="452B23D8" w14:textId="77777777" w:rsidR="00B570E4" w:rsidRPr="00EA7EA8" w:rsidRDefault="00B570E4" w:rsidP="00BB539A">
            <w:pPr>
              <w:jc w:val="both"/>
              <w:rPr>
                <w:rFonts w:ascii="Verdana" w:eastAsia="Calibri" w:hAnsi="Verdana" w:cs="Arial"/>
                <w:lang w:val="es-ES_tradnl" w:eastAsia="es-ES_tradnl"/>
              </w:rPr>
            </w:pPr>
            <w:r w:rsidRPr="00EA7EA8">
              <w:rPr>
                <w:rFonts w:ascii="Verdana" w:eastAsia="Calibri" w:hAnsi="Verdana" w:cs="Arial"/>
                <w:lang w:val="es-ES_tradnl" w:eastAsia="es-ES_tradnl"/>
              </w:rPr>
              <w:t xml:space="preserve">Respuesta a consulta con radicado </w:t>
            </w:r>
            <w:r w:rsidRPr="00780323">
              <w:rPr>
                <w:rFonts w:ascii="Verdana" w:eastAsia="Calibri" w:hAnsi="Verdana" w:cs="Arial"/>
                <w:lang w:val="es-ES_tradnl" w:eastAsia="es-ES_tradnl"/>
              </w:rPr>
              <w:t xml:space="preserve">No. </w:t>
            </w:r>
            <w:r w:rsidRPr="0099286A">
              <w:rPr>
                <w:rFonts w:ascii="Verdana" w:eastAsia="Calibri" w:hAnsi="Verdana" w:cs="Arial"/>
                <w:lang w:eastAsia="es-ES_tradnl"/>
              </w:rPr>
              <w:t>1_2025_08_14_008521</w:t>
            </w:r>
          </w:p>
        </w:tc>
      </w:tr>
    </w:tbl>
    <w:p w14:paraId="77770541" w14:textId="77777777" w:rsidR="00B570E4" w:rsidRPr="00EA7EA8" w:rsidRDefault="00B570E4" w:rsidP="00B570E4">
      <w:pPr>
        <w:spacing w:after="0" w:line="240" w:lineRule="auto"/>
        <w:jc w:val="both"/>
        <w:rPr>
          <w:rFonts w:ascii="Verdana" w:eastAsia="Calibri" w:hAnsi="Verdana" w:cs="Arial"/>
          <w:lang w:val="es-ES_tradnl" w:eastAsia="es-ES_tradnl"/>
        </w:rPr>
      </w:pPr>
    </w:p>
    <w:p w14:paraId="2C118035" w14:textId="77777777" w:rsidR="00B570E4" w:rsidRPr="00EA7EA8" w:rsidRDefault="00B570E4" w:rsidP="00B570E4">
      <w:pPr>
        <w:spacing w:after="0" w:line="240" w:lineRule="auto"/>
        <w:jc w:val="both"/>
        <w:rPr>
          <w:rFonts w:ascii="Verdana" w:eastAsia="Calibri" w:hAnsi="Verdana" w:cs="Arial"/>
          <w:lang w:val="es-ES_tradnl" w:eastAsia="es-ES_tradnl"/>
        </w:rPr>
      </w:pPr>
    </w:p>
    <w:p w14:paraId="367032D1" w14:textId="77777777" w:rsidR="00B570E4" w:rsidRPr="00EA7EA8" w:rsidRDefault="00B570E4" w:rsidP="00B570E4">
      <w:pPr>
        <w:spacing w:after="0" w:line="276" w:lineRule="auto"/>
        <w:jc w:val="both"/>
        <w:rPr>
          <w:rFonts w:ascii="Verdana" w:eastAsia="Calibri" w:hAnsi="Verdana" w:cs="Arial"/>
          <w:lang w:val="es-ES" w:eastAsia="es-ES"/>
        </w:rPr>
      </w:pPr>
      <w:r w:rsidRPr="00EA7EA8">
        <w:rPr>
          <w:rFonts w:ascii="Verdana" w:eastAsia="Calibri" w:hAnsi="Verdana" w:cs="Arial"/>
          <w:lang w:val="es-ES" w:eastAsia="es-ES"/>
        </w:rPr>
        <w:t xml:space="preserve">Estimado señor </w:t>
      </w:r>
      <w:r>
        <w:rPr>
          <w:rFonts w:ascii="Verdana" w:eastAsia="Calibri" w:hAnsi="Verdana" w:cs="Arial"/>
          <w:lang w:val="es-ES" w:eastAsia="es-ES"/>
        </w:rPr>
        <w:t>Tenjo</w:t>
      </w:r>
      <w:r w:rsidRPr="00EA7EA8">
        <w:rPr>
          <w:rFonts w:ascii="Verdana" w:eastAsia="Calibri" w:hAnsi="Verdana" w:cs="Arial"/>
          <w:lang w:val="es-ES" w:eastAsia="es-ES"/>
        </w:rPr>
        <w:t xml:space="preserve">: </w:t>
      </w:r>
    </w:p>
    <w:p w14:paraId="095A534C" w14:textId="77777777" w:rsidR="00B570E4" w:rsidRPr="00EA7EA8" w:rsidRDefault="00B570E4" w:rsidP="00B570E4">
      <w:pPr>
        <w:tabs>
          <w:tab w:val="left" w:pos="3768"/>
        </w:tabs>
        <w:spacing w:after="0" w:line="276" w:lineRule="auto"/>
        <w:jc w:val="both"/>
        <w:rPr>
          <w:rFonts w:ascii="Verdana" w:eastAsia="Calibri" w:hAnsi="Verdana" w:cs="Arial"/>
          <w:lang w:val="es-ES" w:eastAsia="es-ES"/>
        </w:rPr>
      </w:pPr>
      <w:r w:rsidRPr="00EA7EA8">
        <w:rPr>
          <w:rFonts w:ascii="Verdana" w:eastAsia="Calibri" w:hAnsi="Verdana" w:cs="Arial"/>
          <w:lang w:val="es-ES" w:eastAsia="es-ES"/>
        </w:rPr>
        <w:tab/>
      </w:r>
    </w:p>
    <w:p w14:paraId="693A3624" w14:textId="77777777" w:rsidR="00B570E4" w:rsidRPr="00EA7EA8" w:rsidRDefault="00B570E4" w:rsidP="00B570E4">
      <w:pPr>
        <w:spacing w:after="0" w:line="276" w:lineRule="auto"/>
        <w:jc w:val="both"/>
        <w:rPr>
          <w:rFonts w:ascii="Verdana" w:eastAsia="Calibri" w:hAnsi="Verdana" w:cs="Arial"/>
          <w:lang w:val="es-ES" w:eastAsia="es-ES"/>
        </w:rPr>
      </w:pPr>
      <w:r w:rsidRPr="00EA7EA8">
        <w:rPr>
          <w:rFonts w:ascii="Verdana" w:eastAsia="Calibri" w:hAnsi="Verdana" w:cs="Arial"/>
          <w:lang w:val="es-ES" w:eastAsia="es-ES"/>
        </w:rPr>
        <w:t>En ejercicio de la competencia otorgada por los artículos 3, numeral 5º, y 11, numeral 8º, del Decreto Ley 4170 de 2011,</w:t>
      </w:r>
      <w:r w:rsidRPr="00EA7EA8">
        <w:rPr>
          <w:rFonts w:ascii="Verdana" w:eastAsia="Arial MT" w:hAnsi="Verdana" w:cs="Arial MT"/>
          <w:lang w:val="es-ES" w:eastAsia="es-ES"/>
        </w:rPr>
        <w:t xml:space="preserve"> </w:t>
      </w:r>
      <w:r w:rsidRPr="00EA7EA8">
        <w:rPr>
          <w:rFonts w:ascii="Verdana" w:hAnsi="Verdana" w:cs="Arial"/>
        </w:rPr>
        <w:t xml:space="preserve">así como lo establecido en el artículo 4 de la Resolución 1707 de 2018 expedida por esta Entidad, </w:t>
      </w:r>
      <w:r w:rsidRPr="00EA7EA8">
        <w:rPr>
          <w:rFonts w:ascii="Verdana" w:eastAsia="Calibri" w:hAnsi="Verdana" w:cs="Arial"/>
          <w:lang w:val="es-ES" w:eastAsia="es-ES"/>
        </w:rPr>
        <w:t>la Agencia Nacional de Contratación Pública – Colombia Compra Eficiente– responde su solicitud de consulta</w:t>
      </w:r>
      <w:r w:rsidRPr="00797A11">
        <w:rPr>
          <w:rFonts w:ascii="Verdana" w:eastAsia="Calibri" w:hAnsi="Verdana" w:cs="Arial"/>
          <w:lang w:val="es-ES" w:eastAsia="es-ES"/>
        </w:rPr>
        <w:t>, remitida por el Depa</w:t>
      </w:r>
      <w:r w:rsidRPr="00891B72">
        <w:rPr>
          <w:rFonts w:ascii="Verdana" w:eastAsia="Calibri" w:hAnsi="Verdana" w:cs="Arial"/>
          <w:lang w:val="es-ES" w:eastAsia="es-ES"/>
        </w:rPr>
        <w:t>rtamento Administrativo</w:t>
      </w:r>
      <w:r w:rsidRPr="00EA7EA8">
        <w:rPr>
          <w:rFonts w:ascii="Verdana" w:eastAsia="Calibri" w:hAnsi="Verdana" w:cs="Arial"/>
          <w:lang w:val="es-ES" w:eastAsia="es-ES"/>
        </w:rPr>
        <w:t xml:space="preserve"> de </w:t>
      </w:r>
      <w:r w:rsidRPr="00891B72">
        <w:rPr>
          <w:rFonts w:ascii="Verdana" w:eastAsia="Calibri" w:hAnsi="Verdana" w:cs="Arial"/>
          <w:lang w:val="es-ES" w:eastAsia="es-ES"/>
        </w:rPr>
        <w:t>la Función Pública, el</w:t>
      </w:r>
      <w:r w:rsidRPr="00EA7EA8">
        <w:rPr>
          <w:rFonts w:ascii="Verdana" w:eastAsia="Calibri" w:hAnsi="Verdana" w:cs="Arial"/>
          <w:lang w:val="es-ES" w:eastAsia="es-ES"/>
        </w:rPr>
        <w:t xml:space="preserve"> </w:t>
      </w:r>
      <w:r>
        <w:rPr>
          <w:rFonts w:ascii="Verdana" w:eastAsia="Calibri" w:hAnsi="Verdana" w:cs="Arial"/>
          <w:lang w:val="es-ES" w:eastAsia="es-ES"/>
        </w:rPr>
        <w:t>14</w:t>
      </w:r>
      <w:r w:rsidRPr="00EA7EA8">
        <w:rPr>
          <w:rFonts w:ascii="Verdana" w:eastAsia="Calibri" w:hAnsi="Verdana" w:cs="Arial"/>
          <w:lang w:val="es-ES" w:eastAsia="es-ES"/>
        </w:rPr>
        <w:t xml:space="preserve"> de </w:t>
      </w:r>
      <w:r>
        <w:rPr>
          <w:rFonts w:ascii="Verdana" w:eastAsia="Calibri" w:hAnsi="Verdana" w:cs="Arial"/>
          <w:lang w:val="es-ES" w:eastAsia="es-ES"/>
        </w:rPr>
        <w:t>agosto</w:t>
      </w:r>
      <w:r w:rsidRPr="00EA7EA8">
        <w:rPr>
          <w:rFonts w:ascii="Verdana" w:eastAsia="Calibri" w:hAnsi="Verdana" w:cs="Arial"/>
          <w:lang w:val="es-ES" w:eastAsia="es-ES"/>
        </w:rPr>
        <w:t xml:space="preserve"> de 2025, en la cual manifiesta lo siguiente: </w:t>
      </w:r>
    </w:p>
    <w:p w14:paraId="793BF15F" w14:textId="77777777" w:rsidR="00B570E4" w:rsidRPr="00EA7EA8" w:rsidRDefault="00B570E4" w:rsidP="00B570E4">
      <w:pPr>
        <w:spacing w:after="0" w:line="276" w:lineRule="auto"/>
        <w:jc w:val="both"/>
      </w:pPr>
    </w:p>
    <w:p w14:paraId="0BA7B1BE" w14:textId="77777777" w:rsidR="00B570E4" w:rsidRPr="0062317C" w:rsidRDefault="00B570E4" w:rsidP="00B570E4">
      <w:pPr>
        <w:spacing w:after="0" w:line="240" w:lineRule="auto"/>
        <w:ind w:left="709" w:right="709"/>
        <w:jc w:val="both"/>
        <w:rPr>
          <w:rFonts w:ascii="Verdana" w:eastAsia="Century Gothic" w:hAnsi="Verdana" w:cs="Century Gothic"/>
          <w:sz w:val="20"/>
          <w:szCs w:val="20"/>
          <w:lang w:val="es-ES"/>
        </w:rPr>
      </w:pPr>
      <w:bookmarkStart w:id="0" w:name="_Hlk95313578"/>
      <w:r w:rsidRPr="0062317C">
        <w:rPr>
          <w:rFonts w:ascii="Verdana" w:eastAsia="Century Gothic" w:hAnsi="Verdana" w:cs="Century Gothic"/>
          <w:sz w:val="20"/>
          <w:szCs w:val="20"/>
          <w:lang w:val="es-ES"/>
        </w:rPr>
        <w:t>“</w:t>
      </w:r>
      <w:r w:rsidRPr="0099286A">
        <w:rPr>
          <w:rFonts w:ascii="Verdana" w:eastAsia="Century Gothic" w:hAnsi="Verdana" w:cs="Century Gothic"/>
          <w:sz w:val="20"/>
          <w:szCs w:val="20"/>
          <w:lang w:val="es-ES"/>
        </w:rPr>
        <w:t>Teniendo en cuenta lo consagrado en el artículo 6 de la Ley 1150 de 2007, donde</w:t>
      </w:r>
      <w:r>
        <w:rPr>
          <w:rFonts w:ascii="Verdana" w:eastAsia="Century Gothic" w:hAnsi="Verdana" w:cs="Century Gothic"/>
          <w:sz w:val="20"/>
          <w:szCs w:val="20"/>
          <w:lang w:val="es-ES"/>
        </w:rPr>
        <w:t xml:space="preserve"> </w:t>
      </w:r>
      <w:r w:rsidRPr="0099286A">
        <w:rPr>
          <w:rFonts w:ascii="Verdana" w:eastAsia="Century Gothic" w:hAnsi="Verdana" w:cs="Century Gothic"/>
          <w:sz w:val="20"/>
          <w:szCs w:val="20"/>
          <w:lang w:val="es-ES"/>
        </w:rPr>
        <w:t>establece en su segundo párrafo las causales eximentes para no requerir el</w:t>
      </w:r>
      <w:r>
        <w:rPr>
          <w:rFonts w:ascii="Verdana" w:eastAsia="Century Gothic" w:hAnsi="Verdana" w:cs="Century Gothic"/>
          <w:sz w:val="20"/>
          <w:szCs w:val="20"/>
          <w:lang w:val="es-ES"/>
        </w:rPr>
        <w:t xml:space="preserve"> </w:t>
      </w:r>
      <w:r w:rsidRPr="0099286A">
        <w:rPr>
          <w:rFonts w:ascii="Verdana" w:eastAsia="Century Gothic" w:hAnsi="Verdana" w:cs="Century Gothic"/>
          <w:sz w:val="20"/>
          <w:szCs w:val="20"/>
          <w:lang w:val="es-ES"/>
        </w:rPr>
        <w:t xml:space="preserve">Registro Único de Proponentes, </w:t>
      </w:r>
      <w:r>
        <w:rPr>
          <w:rFonts w:ascii="Verdana" w:eastAsia="Century Gothic" w:hAnsi="Verdana" w:cs="Century Gothic"/>
          <w:sz w:val="20"/>
          <w:szCs w:val="20"/>
          <w:lang w:val="es-ES"/>
        </w:rPr>
        <w:t>¿</w:t>
      </w:r>
      <w:r w:rsidRPr="0099286A">
        <w:rPr>
          <w:rFonts w:ascii="Verdana" w:eastAsia="Century Gothic" w:hAnsi="Verdana" w:cs="Century Gothic"/>
          <w:sz w:val="20"/>
          <w:szCs w:val="20"/>
          <w:lang w:val="es-ES"/>
        </w:rPr>
        <w:t>cuáles son los criterios que se deben tener en</w:t>
      </w:r>
      <w:r>
        <w:rPr>
          <w:rFonts w:ascii="Verdana" w:eastAsia="Century Gothic" w:hAnsi="Verdana" w:cs="Century Gothic"/>
          <w:sz w:val="20"/>
          <w:szCs w:val="20"/>
          <w:lang w:val="es-ES"/>
        </w:rPr>
        <w:t xml:space="preserve"> c</w:t>
      </w:r>
      <w:r w:rsidRPr="0099286A">
        <w:rPr>
          <w:rFonts w:ascii="Verdana" w:eastAsia="Century Gothic" w:hAnsi="Verdana" w:cs="Century Gothic"/>
          <w:sz w:val="20"/>
          <w:szCs w:val="20"/>
          <w:lang w:val="es-ES"/>
        </w:rPr>
        <w:t>uenta para aplicar la causal sobre las empresas industriales y comerciales del</w:t>
      </w:r>
      <w:r>
        <w:rPr>
          <w:rFonts w:ascii="Verdana" w:eastAsia="Century Gothic" w:hAnsi="Verdana" w:cs="Century Gothic"/>
          <w:sz w:val="20"/>
          <w:szCs w:val="20"/>
          <w:lang w:val="es-ES"/>
        </w:rPr>
        <w:t xml:space="preserve"> </w:t>
      </w:r>
      <w:r w:rsidRPr="0099286A">
        <w:rPr>
          <w:rFonts w:ascii="Verdana" w:eastAsia="Century Gothic" w:hAnsi="Verdana" w:cs="Century Gothic"/>
          <w:sz w:val="20"/>
          <w:szCs w:val="20"/>
          <w:lang w:val="es-ES"/>
        </w:rPr>
        <w:t>Estado y las sociedades de economía mixta? ¿Solamente es aplicable para los</w:t>
      </w:r>
      <w:r>
        <w:rPr>
          <w:rFonts w:ascii="Verdana" w:eastAsia="Century Gothic" w:hAnsi="Verdana" w:cs="Century Gothic"/>
          <w:sz w:val="20"/>
          <w:szCs w:val="20"/>
          <w:lang w:val="es-ES"/>
        </w:rPr>
        <w:t xml:space="preserve"> </w:t>
      </w:r>
      <w:r w:rsidRPr="0099286A">
        <w:rPr>
          <w:rFonts w:ascii="Verdana" w:eastAsia="Century Gothic" w:hAnsi="Verdana" w:cs="Century Gothic"/>
          <w:sz w:val="20"/>
          <w:szCs w:val="20"/>
          <w:lang w:val="es-ES"/>
        </w:rPr>
        <w:t>procesos de selección abreviada numeral g o aplica para todas las modalidades de</w:t>
      </w:r>
      <w:r>
        <w:rPr>
          <w:rFonts w:ascii="Verdana" w:eastAsia="Century Gothic" w:hAnsi="Verdana" w:cs="Century Gothic"/>
          <w:sz w:val="20"/>
          <w:szCs w:val="20"/>
          <w:lang w:val="es-ES"/>
        </w:rPr>
        <w:t xml:space="preserve"> </w:t>
      </w:r>
      <w:r w:rsidRPr="0099286A">
        <w:rPr>
          <w:rFonts w:ascii="Verdana" w:eastAsia="Century Gothic" w:hAnsi="Verdana" w:cs="Century Gothic"/>
          <w:sz w:val="20"/>
          <w:szCs w:val="20"/>
          <w:lang w:val="es-ES"/>
        </w:rPr>
        <w:t>selección teniendo en cuenta que la naturaleza del contrato a celebrar sea objeto</w:t>
      </w:r>
      <w:r>
        <w:rPr>
          <w:rFonts w:ascii="Verdana" w:eastAsia="Century Gothic" w:hAnsi="Verdana" w:cs="Century Gothic"/>
          <w:sz w:val="20"/>
          <w:szCs w:val="20"/>
          <w:lang w:val="es-ES"/>
        </w:rPr>
        <w:t xml:space="preserve"> </w:t>
      </w:r>
      <w:r w:rsidRPr="0099286A">
        <w:rPr>
          <w:rFonts w:ascii="Verdana" w:eastAsia="Century Gothic" w:hAnsi="Verdana" w:cs="Century Gothic"/>
          <w:sz w:val="20"/>
          <w:szCs w:val="20"/>
          <w:lang w:val="es-ES"/>
        </w:rPr>
        <w:t>directo de las actividades comerciales e industriales propias de las Empresas</w:t>
      </w:r>
      <w:r>
        <w:rPr>
          <w:rFonts w:ascii="Verdana" w:eastAsia="Century Gothic" w:hAnsi="Verdana" w:cs="Century Gothic"/>
          <w:sz w:val="20"/>
          <w:szCs w:val="20"/>
          <w:lang w:val="es-ES"/>
        </w:rPr>
        <w:t xml:space="preserve"> </w:t>
      </w:r>
      <w:r w:rsidRPr="0099286A">
        <w:rPr>
          <w:rFonts w:ascii="Verdana" w:eastAsia="Century Gothic" w:hAnsi="Verdana" w:cs="Century Gothic"/>
          <w:sz w:val="20"/>
          <w:szCs w:val="20"/>
          <w:lang w:val="es-ES"/>
        </w:rPr>
        <w:t>Industriales y Comerciales Estatales y de las Sociedades de Economía Mixta?</w:t>
      </w:r>
      <w:r w:rsidRPr="0062317C">
        <w:rPr>
          <w:rFonts w:ascii="Verdana" w:eastAsia="Century Gothic" w:hAnsi="Verdana" w:cs="Century Gothic"/>
          <w:sz w:val="20"/>
          <w:szCs w:val="20"/>
          <w:lang w:val="es-ES"/>
        </w:rPr>
        <w:t>”</w:t>
      </w:r>
      <w:bookmarkEnd w:id="0"/>
      <w:r w:rsidRPr="0062317C">
        <w:rPr>
          <w:rFonts w:ascii="Verdana" w:eastAsia="Century Gothic" w:hAnsi="Verdana" w:cs="Century Gothic"/>
          <w:sz w:val="20"/>
          <w:szCs w:val="20"/>
          <w:lang w:val="es-ES"/>
        </w:rPr>
        <w:t>.</w:t>
      </w:r>
    </w:p>
    <w:p w14:paraId="3B5A6C9D" w14:textId="77777777" w:rsidR="00B570E4" w:rsidRDefault="00B570E4" w:rsidP="00B570E4">
      <w:pPr>
        <w:spacing w:after="0" w:line="276" w:lineRule="auto"/>
        <w:ind w:firstLine="709"/>
        <w:jc w:val="both"/>
        <w:rPr>
          <w:rFonts w:ascii="Verdana" w:eastAsia="Calibri" w:hAnsi="Verdana" w:cs="Arial"/>
          <w:lang w:val="es-ES" w:eastAsia="es-ES"/>
        </w:rPr>
      </w:pPr>
    </w:p>
    <w:p w14:paraId="17058B6B" w14:textId="77777777" w:rsidR="00B570E4" w:rsidRPr="00EA7EA8" w:rsidRDefault="00B570E4" w:rsidP="00B570E4">
      <w:pPr>
        <w:spacing w:after="120" w:line="276" w:lineRule="auto"/>
        <w:ind w:firstLine="709"/>
        <w:jc w:val="both"/>
        <w:rPr>
          <w:rFonts w:ascii="Verdana" w:eastAsia="Calibri" w:hAnsi="Verdana" w:cs="Arial"/>
          <w:szCs w:val="24"/>
          <w:lang w:val="es-ES_tradnl" w:eastAsia="es-ES_tradnl"/>
        </w:rPr>
      </w:pPr>
      <w:r w:rsidRPr="00EA7EA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 xml:space="preserve">la Agencia Nacional de Contratación Pública – </w:t>
      </w:r>
      <w:r w:rsidRPr="00EA7EA8">
        <w:rPr>
          <w:rFonts w:ascii="Verdana" w:eastAsia="Calibri" w:hAnsi="Verdana" w:cs="Arial"/>
          <w:lang w:val="es-ES" w:eastAsia="es-ES"/>
        </w:rPr>
        <w:t>Colombia</w:t>
      </w:r>
      <w:r>
        <w:rPr>
          <w:rFonts w:ascii="Verdana" w:eastAsia="Calibri" w:hAnsi="Verdana" w:cs="Arial"/>
          <w:lang w:val="es-ES" w:eastAsia="es-ES"/>
        </w:rPr>
        <w:t xml:space="preserve"> </w:t>
      </w:r>
      <w:r w:rsidRPr="00EA7EA8">
        <w:rPr>
          <w:rFonts w:ascii="Verdana" w:eastAsia="Calibri" w:hAnsi="Verdana" w:cs="Arial"/>
          <w:lang w:val="es-ES" w:eastAsia="es-ES"/>
        </w:rPr>
        <w:t xml:space="preserve">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A7EA8">
        <w:rPr>
          <w:rFonts w:ascii="Verdana" w:eastAsia="Calibri" w:hAnsi="Verdana" w:cs="Arial"/>
          <w:szCs w:val="24"/>
          <w:lang w:val="es-ES_tradnl" w:eastAsia="es-ES_tradnl"/>
        </w:rPr>
        <w:tab/>
      </w:r>
    </w:p>
    <w:p w14:paraId="4AC24D2E" w14:textId="77777777" w:rsidR="00B570E4" w:rsidRPr="00EA7EA8" w:rsidRDefault="00B570E4" w:rsidP="00B570E4">
      <w:pPr>
        <w:spacing w:after="0" w:line="276" w:lineRule="auto"/>
        <w:ind w:firstLine="709"/>
        <w:jc w:val="both"/>
        <w:rPr>
          <w:rFonts w:ascii="Verdana" w:eastAsia="Calibri" w:hAnsi="Verdana" w:cs="Arial"/>
          <w:lang w:val="es-ES" w:eastAsia="es-ES"/>
        </w:rPr>
      </w:pPr>
      <w:r w:rsidRPr="00EA7EA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señalando</w:t>
      </w:r>
      <w:r w:rsidRPr="00EA7EA8">
        <w:rPr>
          <w:rFonts w:ascii="Verdana" w:eastAsia="Calibri" w:hAnsi="Verdana" w:cs="Arial"/>
          <w:lang w:val="es-ES" w:eastAsia="es-ES"/>
        </w:rPr>
        <w:t xml:space="preserve"> </w:t>
      </w:r>
      <w:r>
        <w:rPr>
          <w:rFonts w:ascii="Verdana" w:eastAsia="Calibri" w:hAnsi="Verdana" w:cs="Arial"/>
          <w:lang w:val="es-ES" w:eastAsia="es-ES"/>
        </w:rPr>
        <w:t>alg</w:t>
      </w:r>
      <w:r w:rsidRPr="00EA7EA8">
        <w:rPr>
          <w:rFonts w:ascii="Verdana" w:eastAsia="Calibri" w:hAnsi="Verdana" w:cs="Arial"/>
          <w:lang w:val="es-ES" w:eastAsia="es-ES"/>
        </w:rPr>
        <w:t>unas consideraciones sobre las normas generales relacionadas con l</w:t>
      </w:r>
      <w:r>
        <w:rPr>
          <w:rFonts w:ascii="Verdana" w:eastAsia="Calibri" w:hAnsi="Verdana" w:cs="Arial"/>
          <w:lang w:val="es-ES" w:eastAsia="es-ES"/>
        </w:rPr>
        <w:t>os</w:t>
      </w:r>
      <w:r w:rsidRPr="00EA7EA8">
        <w:rPr>
          <w:rFonts w:ascii="Verdana" w:eastAsia="Calibri" w:hAnsi="Verdana" w:cs="Arial"/>
          <w:lang w:val="es-ES" w:eastAsia="es-ES"/>
        </w:rPr>
        <w:t xml:space="preserve"> problema</w:t>
      </w:r>
      <w:r>
        <w:rPr>
          <w:rFonts w:ascii="Verdana" w:eastAsia="Calibri" w:hAnsi="Verdana" w:cs="Arial"/>
          <w:lang w:val="es-ES" w:eastAsia="es-ES"/>
        </w:rPr>
        <w:t>s</w:t>
      </w:r>
      <w:r w:rsidRPr="00EA7EA8">
        <w:rPr>
          <w:rFonts w:ascii="Verdana" w:eastAsia="Calibri" w:hAnsi="Verdana" w:cs="Arial"/>
          <w:lang w:val="es-ES" w:eastAsia="es-ES"/>
        </w:rPr>
        <w:t xml:space="preserve"> jurídico</w:t>
      </w:r>
      <w:r>
        <w:rPr>
          <w:rFonts w:ascii="Verdana" w:eastAsia="Calibri" w:hAnsi="Verdana" w:cs="Arial"/>
          <w:lang w:val="es-ES" w:eastAsia="es-ES"/>
        </w:rPr>
        <w:t>s</w:t>
      </w:r>
      <w:r w:rsidRPr="00EA7EA8">
        <w:rPr>
          <w:rFonts w:ascii="Verdana" w:eastAsia="Calibri" w:hAnsi="Verdana" w:cs="Arial"/>
          <w:lang w:val="es-ES" w:eastAsia="es-ES"/>
        </w:rPr>
        <w:t xml:space="preserve"> de su consulta. </w:t>
      </w:r>
    </w:p>
    <w:p w14:paraId="1B17B83A" w14:textId="77777777" w:rsidR="00B570E4" w:rsidRPr="00EA7EA8" w:rsidRDefault="00B570E4" w:rsidP="00B570E4">
      <w:pPr>
        <w:spacing w:after="0" w:line="276" w:lineRule="auto"/>
        <w:ind w:firstLine="709"/>
        <w:jc w:val="both"/>
        <w:rPr>
          <w:rFonts w:ascii="Verdana" w:eastAsia="Calibri" w:hAnsi="Verdana" w:cs="Arial"/>
          <w:lang w:val="es-ES" w:eastAsia="es-ES"/>
        </w:rPr>
      </w:pPr>
    </w:p>
    <w:p w14:paraId="78034CBA" w14:textId="77777777" w:rsidR="00B570E4" w:rsidRPr="00EA7EA8" w:rsidRDefault="00B570E4" w:rsidP="00B570E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A7EA8">
        <w:rPr>
          <w:rFonts w:ascii="Verdana" w:eastAsia="Century Gothic" w:hAnsi="Verdana" w:cs="Century Gothic"/>
          <w:b/>
          <w:bCs/>
        </w:rPr>
        <w:t>Problema planteado:</w:t>
      </w:r>
    </w:p>
    <w:p w14:paraId="31A37C99" w14:textId="77777777" w:rsidR="00B570E4" w:rsidRDefault="00B570E4" w:rsidP="00B570E4">
      <w:pPr>
        <w:tabs>
          <w:tab w:val="left" w:pos="426"/>
        </w:tabs>
        <w:spacing w:after="0" w:line="276" w:lineRule="auto"/>
        <w:jc w:val="both"/>
        <w:rPr>
          <w:rFonts w:ascii="Verdana" w:eastAsia="Century Gothic" w:hAnsi="Verdana" w:cs="Century Gothic"/>
          <w:lang w:val="es-ES"/>
        </w:rPr>
      </w:pPr>
    </w:p>
    <w:p w14:paraId="67EFCB54" w14:textId="77777777" w:rsidR="00B570E4" w:rsidRPr="00D20014" w:rsidRDefault="00B570E4" w:rsidP="00B570E4">
      <w:pPr>
        <w:spacing w:after="0"/>
        <w:jc w:val="both"/>
        <w:rPr>
          <w:rFonts w:ascii="Verdana" w:eastAsia="Century Gothic" w:hAnsi="Verdana" w:cs="Century Gothic"/>
        </w:rPr>
      </w:pPr>
      <w:r w:rsidRPr="00EA7EA8">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4303B0">
        <w:rPr>
          <w:rFonts w:ascii="Verdana" w:eastAsia="Century Gothic" w:hAnsi="Verdana" w:cs="Century Gothic"/>
        </w:rPr>
        <w:t>¿Cuál es el alcance del inciso 2 del artículo 6 de la Ley 1150 de 2007 respecto de la exigencia del Registro Único de Proponentes (RUP), en particular frente a los actos y contratos cuyo objeto directo corresponde al desarrollo de las actividades comerciales e industriales propias de las Empresas Industriales y Comerciales del Estado y de las Sociedades de Economía Mixta? Asimismo, ¿existen excepciones a la aplicación de dicha regla?</w:t>
      </w:r>
    </w:p>
    <w:p w14:paraId="755835DF" w14:textId="77777777" w:rsidR="00B570E4" w:rsidRPr="00EA7EA8" w:rsidRDefault="00B570E4" w:rsidP="00B570E4">
      <w:pPr>
        <w:spacing w:after="0" w:line="276" w:lineRule="auto"/>
        <w:jc w:val="both"/>
        <w:rPr>
          <w:rFonts w:ascii="Verdana" w:eastAsia="Calibri" w:hAnsi="Verdana" w:cs="Arial"/>
          <w:lang w:val="es-ES"/>
        </w:rPr>
      </w:pPr>
    </w:p>
    <w:p w14:paraId="54179C7A" w14:textId="77777777" w:rsidR="00B570E4" w:rsidRPr="00EA7EA8" w:rsidRDefault="00B570E4" w:rsidP="00B570E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A7EA8">
        <w:rPr>
          <w:rFonts w:ascii="Verdana" w:eastAsia="Century Gothic" w:hAnsi="Verdana" w:cs="Century Gothic"/>
          <w:b/>
          <w:bCs/>
        </w:rPr>
        <w:t>Respuesta:</w:t>
      </w:r>
    </w:p>
    <w:p w14:paraId="28DAE6E3" w14:textId="77777777" w:rsidR="00B570E4" w:rsidRPr="00EA7EA8" w:rsidRDefault="00B570E4" w:rsidP="00B570E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570E4" w:rsidRPr="00EA7EA8" w14:paraId="640B7D6C" w14:textId="77777777" w:rsidTr="00BB539A">
        <w:tc>
          <w:tcPr>
            <w:tcW w:w="8828" w:type="dxa"/>
          </w:tcPr>
          <w:p w14:paraId="70D861E3" w14:textId="77777777" w:rsidR="00B570E4" w:rsidRPr="004303B0" w:rsidRDefault="00B570E4" w:rsidP="00BB539A">
            <w:pPr>
              <w:spacing w:after="120" w:line="276" w:lineRule="auto"/>
              <w:ind w:firstLine="709"/>
              <w:jc w:val="both"/>
              <w:rPr>
                <w:rFonts w:ascii="Verdana" w:eastAsia="Batang" w:hAnsi="Verdana" w:cs="Arial"/>
              </w:rPr>
            </w:pPr>
            <w:r w:rsidRPr="004303B0">
              <w:rPr>
                <w:rFonts w:ascii="Verdana" w:eastAsia="Batang" w:hAnsi="Verdana" w:cs="Arial"/>
              </w:rPr>
              <w:t xml:space="preserve">El inciso 2 del artículo 6 de la Ley 1150 de 2007 establece una excepción al deber de inscripción en el Registro Único de Proponentes (RUP), al disponer que: </w:t>
            </w:r>
            <w:r w:rsidRPr="004303B0">
              <w:rPr>
                <w:rFonts w:ascii="Verdana" w:eastAsia="Batang" w:hAnsi="Verdana" w:cs="Arial"/>
                <w:i/>
                <w:iCs/>
              </w:rPr>
              <w:t xml:space="preserve">“No se requerirá de este registro, ni de clasificación, en […] los actos y contratos que tengan por objeto directo las actividades comerciales e </w:t>
            </w:r>
            <w:r w:rsidRPr="004303B0">
              <w:rPr>
                <w:rFonts w:ascii="Verdana" w:eastAsia="Batang" w:hAnsi="Verdana" w:cs="Arial"/>
                <w:i/>
                <w:iCs/>
              </w:rPr>
              <w:lastRenderedPageBreak/>
              <w:t>industriales propias de las Empresas Industriales y Comerciales del Estado y las Sociedades de Economía Mixta”</w:t>
            </w:r>
            <w:r w:rsidRPr="004303B0">
              <w:rPr>
                <w:rFonts w:ascii="Verdana" w:eastAsia="Batang" w:hAnsi="Verdana" w:cs="Arial"/>
              </w:rPr>
              <w:t>.</w:t>
            </w:r>
          </w:p>
          <w:p w14:paraId="38302FFC" w14:textId="77777777" w:rsidR="00B570E4" w:rsidRPr="004303B0" w:rsidRDefault="00B570E4" w:rsidP="00BB539A">
            <w:pPr>
              <w:spacing w:after="120" w:line="276" w:lineRule="auto"/>
              <w:ind w:firstLine="709"/>
              <w:jc w:val="both"/>
              <w:rPr>
                <w:rFonts w:ascii="Verdana" w:eastAsia="Batang" w:hAnsi="Verdana" w:cs="Arial"/>
              </w:rPr>
            </w:pPr>
            <w:r w:rsidRPr="004303B0">
              <w:rPr>
                <w:rFonts w:ascii="Verdana" w:eastAsia="Batang" w:hAnsi="Verdana" w:cs="Arial"/>
              </w:rPr>
              <w:t xml:space="preserve">El alcance de esta excepción debe interpretarse de manera armónica con la causal de selección abreviada prevista en el artículo 2, numeral 2, literal g) de la misma ley, la cual está redactada en idénticos términos. Dicha disposición ordena aplicar la modalidad de selección abreviada para </w:t>
            </w:r>
            <w:r w:rsidRPr="004303B0">
              <w:rPr>
                <w:rFonts w:ascii="Verdana" w:eastAsia="Batang" w:hAnsi="Verdana" w:cs="Arial"/>
                <w:i/>
                <w:iCs/>
              </w:rPr>
              <w:t>“los actos y contratos que tengan por objeto directo las actividades comerciales e industriales propias de las Empresas Industriales y Comerciales del Estado y de las Sociedades de Economía Mixta”</w:t>
            </w:r>
            <w:r w:rsidRPr="004303B0">
              <w:rPr>
                <w:rFonts w:ascii="Verdana" w:eastAsia="Batang" w:hAnsi="Verdana" w:cs="Arial"/>
              </w:rPr>
              <w:t>.</w:t>
            </w:r>
          </w:p>
          <w:p w14:paraId="2BADAD64" w14:textId="77777777" w:rsidR="00B570E4" w:rsidRPr="001A447D" w:rsidRDefault="00B570E4" w:rsidP="00BB539A">
            <w:pPr>
              <w:spacing w:after="120" w:line="276" w:lineRule="auto"/>
              <w:ind w:firstLine="709"/>
              <w:jc w:val="both"/>
              <w:rPr>
                <w:rFonts w:ascii="Verdana" w:eastAsia="Batang" w:hAnsi="Verdana" w:cs="Arial"/>
              </w:rPr>
            </w:pPr>
            <w:r w:rsidRPr="001A447D">
              <w:rPr>
                <w:rFonts w:ascii="Verdana" w:eastAsia="Batang" w:hAnsi="Verdana" w:cs="Arial"/>
              </w:rPr>
              <w:t xml:space="preserve">El hecho de que el inciso 2 del artículo 6 y el artículo 2, numeral 2, literal g) de la Ley 1150 de 2007 utilicen exactamente la misma expresión evidencia que la excepción prevista frente a la exigencia del RUP fue concebida por el legislador para situaciones en las que las Empresas Industriales y Comerciales del Estado y las Sociedades de Economía Mixta actúan en calidad de entidades contratantes, y no cuando participan como contratistas. Esto se explica </w:t>
            </w:r>
            <w:r>
              <w:rPr>
                <w:rFonts w:ascii="Verdana" w:eastAsia="Batang" w:hAnsi="Verdana" w:cs="Arial"/>
              </w:rPr>
              <w:t>debido a que</w:t>
            </w:r>
            <w:r w:rsidRPr="001A447D">
              <w:rPr>
                <w:rFonts w:ascii="Verdana" w:eastAsia="Batang" w:hAnsi="Verdana" w:cs="Arial"/>
              </w:rPr>
              <w:t xml:space="preserve"> las causales de selección reguladas en el artículo 2 de la Ley 1150 de 2007 están dirigidas a las entidades sometidas al Estatuto General de Contratación de la Administración Pública, esto es, a los órganos señalados en el artículo 2 de la Ley 80 de 1993, en su condición de sujetos estatales que adelantan procesos de selección plural</w:t>
            </w:r>
            <w:r>
              <w:rPr>
                <w:rFonts w:ascii="Verdana" w:eastAsia="Batang" w:hAnsi="Verdana" w:cs="Arial"/>
              </w:rPr>
              <w:t xml:space="preserve">, </w:t>
            </w:r>
            <w:r w:rsidRPr="001A447D">
              <w:rPr>
                <w:rFonts w:ascii="Verdana" w:eastAsia="Batang" w:hAnsi="Verdana" w:cs="Arial"/>
              </w:rPr>
              <w:t>como la licitación pública, la selección abreviada, el concurso de méritos o la mínima cuantía</w:t>
            </w:r>
            <w:r>
              <w:rPr>
                <w:rFonts w:ascii="Verdana" w:eastAsia="Batang" w:hAnsi="Verdana" w:cs="Arial"/>
              </w:rPr>
              <w:t>,</w:t>
            </w:r>
            <w:r w:rsidRPr="001A447D">
              <w:rPr>
                <w:rFonts w:ascii="Verdana" w:eastAsia="Batang" w:hAnsi="Verdana" w:cs="Arial"/>
              </w:rPr>
              <w:t xml:space="preserve"> o de contratación directa. En consecuencia, la excepción al deber de acreditar inscripción, clasificación y calificación en el RUP aplica únicamente cuando estas empresas ejercen su función de contratantes bajo el marco del Estatuto General de Contratación, y no cuando concurren como oferentes en procesos de selección adelantados por otras entidades públicas.</w:t>
            </w:r>
          </w:p>
          <w:p w14:paraId="40E19CCF" w14:textId="77777777" w:rsidR="00B570E4" w:rsidRPr="004303B0" w:rsidRDefault="00B570E4" w:rsidP="00BB539A">
            <w:pPr>
              <w:spacing w:after="120" w:line="276" w:lineRule="auto"/>
              <w:ind w:firstLine="709"/>
              <w:jc w:val="both"/>
              <w:rPr>
                <w:rFonts w:ascii="Verdana" w:eastAsia="Batang" w:hAnsi="Verdana" w:cs="Arial"/>
              </w:rPr>
            </w:pPr>
            <w:r w:rsidRPr="004303B0">
              <w:rPr>
                <w:rFonts w:ascii="Verdana" w:eastAsia="Batang" w:hAnsi="Verdana" w:cs="Arial"/>
              </w:rPr>
              <w:t>Por lo tanto, el inciso 2 del artículo 6 de la Ley 1150 de 2007 resulta aplicable cuando las Empresas Industriales y Comerciales del Estado y las Sociedades de Economía Mixta están sometidas al EGCAP y actúan como entidades contratantes. En estos casos, deberán acudir a la causal de selección abreviada para celebrar contratos cuyo objeto directo corresponda a las actividades comerciales e industriales propias de su objeto social. Como consecuencia, en estos procesos no será exigible la inscripción, clasificación ni calificación en el RUP, en virtud de la excepción legal.</w:t>
            </w:r>
          </w:p>
          <w:p w14:paraId="2A4995FB" w14:textId="40C98505" w:rsidR="00B570E4" w:rsidRPr="008B47F5" w:rsidRDefault="00C66FCE" w:rsidP="00BB539A">
            <w:pPr>
              <w:spacing w:after="120" w:line="276" w:lineRule="auto"/>
              <w:ind w:firstLine="709"/>
              <w:jc w:val="both"/>
              <w:rPr>
                <w:rFonts w:ascii="Verdana" w:eastAsia="Batang" w:hAnsi="Verdana" w:cs="Arial"/>
              </w:rPr>
            </w:pPr>
            <w:r w:rsidRPr="00C66FCE">
              <w:rPr>
                <w:rFonts w:ascii="Verdana" w:eastAsia="Batang" w:hAnsi="Verdana" w:cs="Arial"/>
              </w:rPr>
              <w:lastRenderedPageBreak/>
              <w:t>La excepción tiene límites definidos. No aplica a los contratos que la Ley 80 de 1993 excluye expresamente de su régimen, como los señalados en el artículo 32. Tampoco procede cuando el contrato no esté relacionado directamente con la actividad comercial o industrial propia de la entidad. En estos casos, sigue vigente la regla general de exigir la inscripción en el RUP</w:t>
            </w:r>
            <w:r w:rsidR="00B570E4" w:rsidRPr="004303B0">
              <w:rPr>
                <w:rFonts w:ascii="Verdana" w:eastAsia="Batang" w:hAnsi="Verdana" w:cs="Arial"/>
              </w:rPr>
              <w:t>.</w:t>
            </w:r>
          </w:p>
        </w:tc>
      </w:tr>
    </w:tbl>
    <w:p w14:paraId="27D77DC4" w14:textId="77777777" w:rsidR="00B570E4" w:rsidRPr="00EA7EA8" w:rsidRDefault="00B570E4" w:rsidP="00B570E4">
      <w:pPr>
        <w:tabs>
          <w:tab w:val="left" w:pos="142"/>
          <w:tab w:val="left" w:pos="284"/>
        </w:tabs>
        <w:spacing w:after="0" w:line="276" w:lineRule="auto"/>
        <w:jc w:val="both"/>
        <w:rPr>
          <w:rFonts w:ascii="Verdana" w:eastAsia="Century Gothic" w:hAnsi="Verdana" w:cs="Century Gothic"/>
          <w:b/>
          <w:bCs/>
          <w:lang w:val="es-ES"/>
        </w:rPr>
      </w:pPr>
    </w:p>
    <w:p w14:paraId="11008067" w14:textId="77777777" w:rsidR="00B570E4" w:rsidRPr="00EA7EA8" w:rsidRDefault="00B570E4" w:rsidP="00B570E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A7EA8">
        <w:rPr>
          <w:rFonts w:ascii="Verdana" w:eastAsia="Century Gothic" w:hAnsi="Verdana" w:cs="Century Gothic"/>
          <w:b/>
          <w:bCs/>
        </w:rPr>
        <w:t>Razones de la respuesta:</w:t>
      </w:r>
    </w:p>
    <w:p w14:paraId="5B4AABBC" w14:textId="77777777" w:rsidR="00B570E4" w:rsidRPr="00EA7EA8" w:rsidRDefault="00B570E4" w:rsidP="00B570E4">
      <w:pPr>
        <w:spacing w:after="0" w:line="276" w:lineRule="auto"/>
        <w:jc w:val="both"/>
        <w:rPr>
          <w:rFonts w:ascii="Verdana" w:eastAsia="Calibri" w:hAnsi="Verdana" w:cs="Arial"/>
          <w:lang w:val="es-ES"/>
        </w:rPr>
      </w:pPr>
    </w:p>
    <w:p w14:paraId="5AAB2D9A" w14:textId="77777777" w:rsidR="00B570E4" w:rsidRPr="00EA7EA8" w:rsidRDefault="00B570E4" w:rsidP="00B570E4">
      <w:pPr>
        <w:spacing w:after="0" w:line="276" w:lineRule="auto"/>
        <w:jc w:val="both"/>
        <w:rPr>
          <w:rFonts w:ascii="Verdana" w:eastAsia="Calibri" w:hAnsi="Verdana" w:cs="Arial"/>
          <w:lang w:val="es-ES"/>
        </w:rPr>
      </w:pPr>
      <w:r w:rsidRPr="00EA7EA8">
        <w:rPr>
          <w:rFonts w:ascii="Verdana" w:eastAsia="Calibri" w:hAnsi="Verdana" w:cs="Arial"/>
          <w:lang w:val="es-ES"/>
        </w:rPr>
        <w:t xml:space="preserve">Lo anterior se sustenta en las siguientes consideraciones: </w:t>
      </w:r>
    </w:p>
    <w:p w14:paraId="740152C5" w14:textId="77777777" w:rsidR="00B570E4" w:rsidRPr="00EA7EA8" w:rsidRDefault="00B570E4" w:rsidP="00B570E4">
      <w:pPr>
        <w:spacing w:after="0" w:line="276" w:lineRule="auto"/>
        <w:jc w:val="both"/>
        <w:rPr>
          <w:rFonts w:ascii="Verdana" w:eastAsia="Calibri" w:hAnsi="Verdana" w:cs="Arial"/>
        </w:rPr>
      </w:pPr>
      <w:r w:rsidRPr="00EA7EA8">
        <w:rPr>
          <w:rFonts w:ascii="Verdana" w:eastAsia="Calibri" w:hAnsi="Verdana" w:cs="Arial"/>
        </w:rPr>
        <w:t xml:space="preserve"> </w:t>
      </w:r>
    </w:p>
    <w:p w14:paraId="71D149FF" w14:textId="77777777" w:rsidR="00B570E4" w:rsidRPr="00B238E1" w:rsidRDefault="00B570E4" w:rsidP="00B570E4">
      <w:pPr>
        <w:spacing w:before="120" w:after="120" w:line="276" w:lineRule="auto"/>
        <w:jc w:val="both"/>
        <w:rPr>
          <w:rFonts w:ascii="Verdana" w:eastAsia="Calibri" w:hAnsi="Verdana" w:cs="Arial"/>
          <w:lang w:val="es-ES_tradnl" w:eastAsia="es-ES"/>
        </w:rPr>
      </w:pPr>
      <w:r>
        <w:rPr>
          <w:rFonts w:ascii="Verdana" w:eastAsia="Calibri" w:hAnsi="Verdana" w:cs="Arial"/>
          <w:lang w:val="es-ES_tradnl" w:eastAsia="es-ES"/>
        </w:rPr>
        <w:t>Para efectos de dar respuesta al problema jurídico planteado, resulta necesario realizar algunas precisiones respecto al régimen de contratación aplicable a las Empresas Industriales y Comerciales del Estado y las Sociedades de Economía Mixta. D</w:t>
      </w:r>
      <w:r>
        <w:rPr>
          <w:rFonts w:ascii="Verdana" w:eastAsia="Calibri" w:hAnsi="Verdana" w:cs="Arial"/>
          <w:lang w:val="es-ES"/>
        </w:rPr>
        <w:t xml:space="preserve">entro de la estructura de la Administración Pública se encuentran las entidades descentralizadas por servicios. A esta categoría pertenecen las Empresas Industriales y Comerciales del Estado, las cuales –sin perjuicio del control de tutela– tienen personería jurídica, autonomía administrativa y patrimonio propio. Estas entidades, como su nombre lo indica, se caracterizan por desarrollar actividades de carácter industrial o comercial. </w:t>
      </w:r>
      <w:r>
        <w:rPr>
          <w:rFonts w:ascii="Verdana" w:eastAsia="Calibri" w:hAnsi="Verdana" w:cs="Arial"/>
          <w:color w:val="000000" w:themeColor="text1"/>
        </w:rPr>
        <w:t>Así, por ejemplo, son Empresas Industriales y Comerciales del Estado la Imprenta Nacional de Colombia, Coljuegos, Indumil, la Caja Promotora de Vivienda Militar y de Policía, Colpensiones, entre otras</w:t>
      </w:r>
      <w:r>
        <w:rPr>
          <w:rFonts w:ascii="Verdana" w:hAnsi="Verdana"/>
          <w:vertAlign w:val="superscript"/>
        </w:rPr>
        <w:footnoteReference w:id="2"/>
      </w:r>
      <w:r>
        <w:rPr>
          <w:rFonts w:ascii="Verdana" w:eastAsia="Calibri" w:hAnsi="Verdana" w:cs="Arial"/>
          <w:color w:val="000000" w:themeColor="text1"/>
        </w:rPr>
        <w:t>.</w:t>
      </w:r>
    </w:p>
    <w:p w14:paraId="0510B45A" w14:textId="77777777" w:rsidR="00B570E4" w:rsidRDefault="00B570E4" w:rsidP="00B570E4">
      <w:pPr>
        <w:spacing w:after="0" w:line="276" w:lineRule="auto"/>
        <w:ind w:firstLine="708"/>
        <w:jc w:val="both"/>
        <w:rPr>
          <w:rFonts w:ascii="Verdana" w:eastAsia="Calibri" w:hAnsi="Verdana" w:cs="Arial"/>
          <w:lang w:val="es-ES"/>
        </w:rPr>
      </w:pPr>
      <w:r>
        <w:rPr>
          <w:rFonts w:ascii="Verdana" w:eastAsia="Calibri" w:hAnsi="Verdana" w:cs="Arial"/>
          <w:lang w:val="es-ES"/>
        </w:rPr>
        <w:t xml:space="preserve">Las Empresas Industriales y Comerciales del Estado, bajo la denominación de Entidades Estatales, quedaron sometidas al Estatuto General de Contratación </w:t>
      </w:r>
      <w:r>
        <w:rPr>
          <w:rFonts w:ascii="Verdana" w:eastAsia="Calibri" w:hAnsi="Verdana" w:cs="Arial"/>
          <w:lang w:val="es-ES"/>
        </w:rPr>
        <w:lastRenderedPageBreak/>
        <w:t>de la Administración Pública –Ley 80 de 1993, artículo 2, numeral 1, literal a</w:t>
      </w:r>
      <w:r>
        <w:rPr>
          <w:rFonts w:ascii="Verdana" w:eastAsia="Calibri" w:hAnsi="Verdana" w:cs="Arial"/>
          <w:vertAlign w:val="superscript"/>
          <w:lang w:val="es-ES"/>
        </w:rPr>
        <w:footnoteReference w:id="3"/>
      </w:r>
      <w:r>
        <w:rPr>
          <w:rFonts w:ascii="Verdana" w:eastAsia="Calibri" w:hAnsi="Verdana" w:cs="Arial"/>
          <w:lang w:val="es-ES"/>
        </w:rPr>
        <w:t>. Posteriormente, la Ley 489 de 1998, mediante el cual se regula la organización y funcionamiento de las entidades de orden nacional, en su artículo 93 estableció el régimen jurídico aplicable a los contratos celebrados por las Empresas Industriales y Comerciales del Estado, como sigue:</w:t>
      </w:r>
    </w:p>
    <w:p w14:paraId="6CE385C8" w14:textId="77777777" w:rsidR="00B570E4" w:rsidRDefault="00B570E4" w:rsidP="00B570E4">
      <w:pPr>
        <w:spacing w:after="0" w:line="276" w:lineRule="auto"/>
        <w:ind w:firstLine="708"/>
        <w:jc w:val="both"/>
        <w:rPr>
          <w:rFonts w:ascii="Verdana" w:eastAsia="Calibri" w:hAnsi="Verdana" w:cs="Arial"/>
          <w:lang w:val="es-ES"/>
        </w:rPr>
      </w:pPr>
    </w:p>
    <w:p w14:paraId="6F90467C" w14:textId="77777777" w:rsidR="00B570E4" w:rsidRDefault="00B570E4" w:rsidP="00B570E4">
      <w:pPr>
        <w:spacing w:after="0" w:line="240" w:lineRule="auto"/>
        <w:ind w:left="709" w:right="709"/>
        <w:contextualSpacing/>
        <w:jc w:val="both"/>
        <w:rPr>
          <w:rFonts w:ascii="Verdana" w:eastAsia="Times New Roman" w:hAnsi="Verdana" w:cs="Arial"/>
          <w:sz w:val="20"/>
          <w:szCs w:val="20"/>
          <w:lang w:eastAsia="es-ES_tradnl"/>
        </w:rPr>
      </w:pPr>
      <w:r>
        <w:rPr>
          <w:rFonts w:ascii="Verdana" w:eastAsia="Times New Roman" w:hAnsi="Verdana" w:cs="Arial"/>
          <w:sz w:val="20"/>
          <w:szCs w:val="20"/>
          <w:lang w:eastAsia="es-ES_tradnl"/>
        </w:rPr>
        <w:t>“Artículo 93. Régimen de los actos y contratos. Los actos que expidan las Empresas Industriales y Comerciales del Estado para el desarrollo de su actividad propia, industrial o comercial o de gestión económica se sujetarán a las disposiciones del Derecho Privado. Los contratos que celebren para el cumplimiento de su objeto se sujetarán a las disposiciones del Estatuto General de Contratación de las entidades estatales”.</w:t>
      </w:r>
    </w:p>
    <w:p w14:paraId="0CECF491" w14:textId="77777777" w:rsidR="00B570E4" w:rsidRDefault="00B570E4" w:rsidP="00B570E4">
      <w:pPr>
        <w:widowControl w:val="0"/>
        <w:autoSpaceDE w:val="0"/>
        <w:autoSpaceDN w:val="0"/>
        <w:spacing w:after="0" w:line="276" w:lineRule="auto"/>
        <w:rPr>
          <w:rFonts w:ascii="Verdana" w:eastAsia="Verdana" w:hAnsi="Verdana" w:cs="Verdana"/>
          <w:sz w:val="20"/>
        </w:rPr>
      </w:pPr>
    </w:p>
    <w:p w14:paraId="796F1957" w14:textId="77777777" w:rsidR="00B570E4" w:rsidRDefault="00B570E4" w:rsidP="00B570E4">
      <w:pPr>
        <w:widowControl w:val="0"/>
        <w:autoSpaceDE w:val="0"/>
        <w:autoSpaceDN w:val="0"/>
        <w:spacing w:after="0" w:line="276" w:lineRule="auto"/>
        <w:ind w:right="49" w:firstLine="708"/>
        <w:jc w:val="both"/>
        <w:rPr>
          <w:rFonts w:ascii="Verdana" w:eastAsia="Verdana" w:hAnsi="Verdana" w:cs="Verdana"/>
          <w:lang w:val="es-ES"/>
        </w:rPr>
      </w:pPr>
      <w:bookmarkStart w:id="1" w:name="_bookmark7"/>
      <w:bookmarkEnd w:id="1"/>
      <w:r>
        <w:rPr>
          <w:rFonts w:ascii="Verdana" w:eastAsia="Verdana" w:hAnsi="Verdana" w:cs="Verdana"/>
          <w:lang w:val="es-ES"/>
        </w:rPr>
        <w:t>No obstante las dificultades hermenéuticas que suscitaba la disposición anterior,</w:t>
      </w:r>
      <w:r>
        <w:rPr>
          <w:rFonts w:ascii="Verdana" w:eastAsia="Verdana" w:hAnsi="Verdana" w:cs="Verdana"/>
          <w:spacing w:val="-8"/>
          <w:lang w:val="es-ES"/>
        </w:rPr>
        <w:t xml:space="preserve"> </w:t>
      </w:r>
      <w:r>
        <w:rPr>
          <w:rFonts w:ascii="Verdana" w:eastAsia="Verdana" w:hAnsi="Verdana" w:cs="Verdana"/>
          <w:lang w:val="es-ES"/>
        </w:rPr>
        <w:t>el</w:t>
      </w:r>
      <w:r>
        <w:rPr>
          <w:rFonts w:ascii="Verdana" w:eastAsia="Verdana" w:hAnsi="Verdana" w:cs="Verdana"/>
          <w:spacing w:val="-8"/>
          <w:lang w:val="es-ES"/>
        </w:rPr>
        <w:t xml:space="preserve"> </w:t>
      </w:r>
      <w:r>
        <w:rPr>
          <w:rFonts w:ascii="Verdana" w:eastAsia="Verdana" w:hAnsi="Verdana" w:cs="Verdana"/>
          <w:lang w:val="es-ES"/>
        </w:rPr>
        <w:t>artículo</w:t>
      </w:r>
      <w:r>
        <w:rPr>
          <w:rFonts w:ascii="Verdana" w:eastAsia="Verdana" w:hAnsi="Verdana" w:cs="Verdana"/>
          <w:spacing w:val="-7"/>
          <w:lang w:val="es-ES"/>
        </w:rPr>
        <w:t xml:space="preserve"> </w:t>
      </w:r>
      <w:r>
        <w:rPr>
          <w:rFonts w:ascii="Verdana" w:eastAsia="Verdana" w:hAnsi="Verdana" w:cs="Verdana"/>
          <w:lang w:val="es-ES"/>
        </w:rPr>
        <w:t>14</w:t>
      </w:r>
      <w:r>
        <w:rPr>
          <w:rFonts w:ascii="Verdana" w:eastAsia="Verdana" w:hAnsi="Verdana" w:cs="Verdana"/>
          <w:spacing w:val="-8"/>
          <w:lang w:val="es-ES"/>
        </w:rPr>
        <w:t xml:space="preserve"> </w:t>
      </w:r>
      <w:r>
        <w:rPr>
          <w:rFonts w:ascii="Verdana" w:eastAsia="Verdana" w:hAnsi="Verdana" w:cs="Verdana"/>
          <w:lang w:val="es-ES"/>
        </w:rPr>
        <w:t>de</w:t>
      </w:r>
      <w:r>
        <w:rPr>
          <w:rFonts w:ascii="Verdana" w:eastAsia="Verdana" w:hAnsi="Verdana" w:cs="Verdana"/>
          <w:spacing w:val="-9"/>
          <w:lang w:val="es-ES"/>
        </w:rPr>
        <w:t xml:space="preserve"> </w:t>
      </w:r>
      <w:r>
        <w:rPr>
          <w:rFonts w:ascii="Verdana" w:eastAsia="Verdana" w:hAnsi="Verdana" w:cs="Verdana"/>
          <w:lang w:val="es-ES"/>
        </w:rPr>
        <w:t>la</w:t>
      </w:r>
      <w:r>
        <w:rPr>
          <w:rFonts w:ascii="Verdana" w:eastAsia="Verdana" w:hAnsi="Verdana" w:cs="Verdana"/>
          <w:spacing w:val="-10"/>
          <w:lang w:val="es-ES"/>
        </w:rPr>
        <w:t xml:space="preserve"> </w:t>
      </w:r>
      <w:r>
        <w:rPr>
          <w:rFonts w:ascii="Verdana" w:eastAsia="Verdana" w:hAnsi="Verdana" w:cs="Verdana"/>
          <w:lang w:val="es-ES"/>
        </w:rPr>
        <w:t>Ley</w:t>
      </w:r>
      <w:r>
        <w:rPr>
          <w:rFonts w:ascii="Verdana" w:eastAsia="Verdana" w:hAnsi="Verdana" w:cs="Verdana"/>
          <w:spacing w:val="-8"/>
          <w:lang w:val="es-ES"/>
        </w:rPr>
        <w:t xml:space="preserve"> </w:t>
      </w:r>
      <w:r>
        <w:rPr>
          <w:rFonts w:ascii="Verdana" w:eastAsia="Verdana" w:hAnsi="Verdana" w:cs="Verdana"/>
          <w:lang w:val="es-ES"/>
        </w:rPr>
        <w:t>1150</w:t>
      </w:r>
      <w:r>
        <w:rPr>
          <w:rFonts w:ascii="Verdana" w:eastAsia="Verdana" w:hAnsi="Verdana" w:cs="Verdana"/>
          <w:spacing w:val="-8"/>
          <w:lang w:val="es-ES"/>
        </w:rPr>
        <w:t xml:space="preserve"> </w:t>
      </w:r>
      <w:r>
        <w:rPr>
          <w:rFonts w:ascii="Verdana" w:eastAsia="Verdana" w:hAnsi="Verdana" w:cs="Verdana"/>
          <w:lang w:val="es-ES"/>
        </w:rPr>
        <w:t>de</w:t>
      </w:r>
      <w:r>
        <w:rPr>
          <w:rFonts w:ascii="Verdana" w:eastAsia="Verdana" w:hAnsi="Verdana" w:cs="Verdana"/>
          <w:spacing w:val="-9"/>
          <w:lang w:val="es-ES"/>
        </w:rPr>
        <w:t xml:space="preserve"> </w:t>
      </w:r>
      <w:r>
        <w:rPr>
          <w:rFonts w:ascii="Verdana" w:eastAsia="Verdana" w:hAnsi="Verdana" w:cs="Verdana"/>
          <w:lang w:val="es-ES"/>
        </w:rPr>
        <w:t>2007 –modificado</w:t>
      </w:r>
      <w:r>
        <w:rPr>
          <w:rFonts w:ascii="Verdana" w:eastAsia="Verdana" w:hAnsi="Verdana" w:cs="Verdana"/>
          <w:spacing w:val="-7"/>
          <w:lang w:val="es-ES"/>
        </w:rPr>
        <w:t xml:space="preserve"> </w:t>
      </w:r>
      <w:r>
        <w:rPr>
          <w:rFonts w:ascii="Verdana" w:eastAsia="Verdana" w:hAnsi="Verdana" w:cs="Verdana"/>
          <w:lang w:val="es-ES"/>
        </w:rPr>
        <w:t>por</w:t>
      </w:r>
      <w:r>
        <w:rPr>
          <w:rFonts w:ascii="Verdana" w:eastAsia="Verdana" w:hAnsi="Verdana" w:cs="Verdana"/>
          <w:spacing w:val="-7"/>
          <w:lang w:val="es-ES"/>
        </w:rPr>
        <w:t xml:space="preserve"> </w:t>
      </w:r>
      <w:r>
        <w:rPr>
          <w:rFonts w:ascii="Verdana" w:eastAsia="Verdana" w:hAnsi="Verdana" w:cs="Verdana"/>
          <w:lang w:val="es-ES"/>
        </w:rPr>
        <w:t>el</w:t>
      </w:r>
      <w:r>
        <w:rPr>
          <w:rFonts w:ascii="Verdana" w:eastAsia="Verdana" w:hAnsi="Verdana" w:cs="Verdana"/>
          <w:spacing w:val="-8"/>
          <w:lang w:val="es-ES"/>
        </w:rPr>
        <w:t xml:space="preserve"> </w:t>
      </w:r>
      <w:r>
        <w:rPr>
          <w:rFonts w:ascii="Verdana" w:eastAsia="Verdana" w:hAnsi="Verdana" w:cs="Verdana"/>
          <w:lang w:val="es-ES"/>
        </w:rPr>
        <w:t>artículo</w:t>
      </w:r>
      <w:r>
        <w:rPr>
          <w:rFonts w:ascii="Verdana" w:eastAsia="Verdana" w:hAnsi="Verdana" w:cs="Verdana"/>
          <w:spacing w:val="-7"/>
          <w:lang w:val="es-ES"/>
        </w:rPr>
        <w:t xml:space="preserve"> </w:t>
      </w:r>
      <w:r>
        <w:rPr>
          <w:rFonts w:ascii="Verdana" w:eastAsia="Verdana" w:hAnsi="Verdana" w:cs="Verdana"/>
          <w:lang w:val="es-ES"/>
        </w:rPr>
        <w:t>93</w:t>
      </w:r>
      <w:r>
        <w:rPr>
          <w:rFonts w:ascii="Verdana" w:eastAsia="Verdana" w:hAnsi="Verdana" w:cs="Verdana"/>
          <w:spacing w:val="-12"/>
          <w:lang w:val="es-ES"/>
        </w:rPr>
        <w:t xml:space="preserve"> </w:t>
      </w:r>
      <w:r>
        <w:rPr>
          <w:rFonts w:ascii="Verdana" w:eastAsia="Verdana" w:hAnsi="Verdana" w:cs="Verdana"/>
          <w:lang w:val="es-ES"/>
        </w:rPr>
        <w:t>de la Ley 1474 de 2011– dispuso un régimen exceptivo de aplicación del derecho privado para la actividad contractual de las Empresas Industriales y Comerciales del Estado que ejercen su actividad en competencia</w:t>
      </w:r>
      <w:r>
        <w:rPr>
          <w:rFonts w:ascii="Verdana" w:eastAsia="Verdana" w:hAnsi="Verdana" w:cs="Verdana"/>
          <w:spacing w:val="-20"/>
          <w:lang w:val="es-ES"/>
        </w:rPr>
        <w:t xml:space="preserve"> </w:t>
      </w:r>
      <w:r>
        <w:rPr>
          <w:rFonts w:ascii="Verdana" w:eastAsia="Verdana" w:hAnsi="Verdana" w:cs="Verdana"/>
          <w:lang w:val="es-ES"/>
        </w:rPr>
        <w:t>con</w:t>
      </w:r>
      <w:r>
        <w:rPr>
          <w:rFonts w:ascii="Verdana" w:eastAsia="Verdana" w:hAnsi="Verdana" w:cs="Verdana"/>
          <w:spacing w:val="-19"/>
          <w:lang w:val="es-ES"/>
        </w:rPr>
        <w:t xml:space="preserve"> </w:t>
      </w:r>
      <w:r>
        <w:rPr>
          <w:rFonts w:ascii="Verdana" w:eastAsia="Verdana" w:hAnsi="Verdana" w:cs="Verdana"/>
          <w:lang w:val="es-ES"/>
        </w:rPr>
        <w:t>el</w:t>
      </w:r>
      <w:r>
        <w:rPr>
          <w:rFonts w:ascii="Verdana" w:eastAsia="Verdana" w:hAnsi="Verdana" w:cs="Verdana"/>
          <w:spacing w:val="-19"/>
          <w:lang w:val="es-ES"/>
        </w:rPr>
        <w:t xml:space="preserve"> </w:t>
      </w:r>
      <w:r>
        <w:rPr>
          <w:rFonts w:ascii="Verdana" w:eastAsia="Verdana" w:hAnsi="Verdana" w:cs="Verdana"/>
          <w:lang w:val="es-ES"/>
        </w:rPr>
        <w:t>sector</w:t>
      </w:r>
      <w:r>
        <w:rPr>
          <w:rFonts w:ascii="Verdana" w:eastAsia="Verdana" w:hAnsi="Verdana" w:cs="Verdana"/>
          <w:spacing w:val="-20"/>
          <w:lang w:val="es-ES"/>
        </w:rPr>
        <w:t xml:space="preserve"> </w:t>
      </w:r>
      <w:r>
        <w:rPr>
          <w:rFonts w:ascii="Verdana" w:eastAsia="Verdana" w:hAnsi="Verdana" w:cs="Verdana"/>
          <w:lang w:val="es-ES"/>
        </w:rPr>
        <w:t>público</w:t>
      </w:r>
      <w:r>
        <w:rPr>
          <w:rFonts w:ascii="Verdana" w:eastAsia="Verdana" w:hAnsi="Verdana" w:cs="Verdana"/>
          <w:spacing w:val="-19"/>
          <w:lang w:val="es-ES"/>
        </w:rPr>
        <w:t xml:space="preserve"> </w:t>
      </w:r>
      <w:r>
        <w:rPr>
          <w:rFonts w:ascii="Verdana" w:eastAsia="Verdana" w:hAnsi="Verdana" w:cs="Verdana"/>
          <w:lang w:val="es-ES"/>
        </w:rPr>
        <w:t>o</w:t>
      </w:r>
      <w:r>
        <w:rPr>
          <w:rFonts w:ascii="Verdana" w:eastAsia="Verdana" w:hAnsi="Verdana" w:cs="Verdana"/>
          <w:spacing w:val="-20"/>
          <w:lang w:val="es-ES"/>
        </w:rPr>
        <w:t xml:space="preserve"> </w:t>
      </w:r>
      <w:r>
        <w:rPr>
          <w:rFonts w:ascii="Verdana" w:eastAsia="Verdana" w:hAnsi="Verdana" w:cs="Verdana"/>
          <w:lang w:val="es-ES"/>
        </w:rPr>
        <w:t>privado,</w:t>
      </w:r>
      <w:r>
        <w:rPr>
          <w:rFonts w:ascii="Verdana" w:eastAsia="Verdana" w:hAnsi="Verdana" w:cs="Verdana"/>
          <w:spacing w:val="-19"/>
          <w:lang w:val="es-ES"/>
        </w:rPr>
        <w:t xml:space="preserve"> </w:t>
      </w:r>
      <w:r>
        <w:rPr>
          <w:rFonts w:ascii="Verdana" w:eastAsia="Verdana" w:hAnsi="Verdana" w:cs="Verdana"/>
          <w:lang w:val="es-ES"/>
        </w:rPr>
        <w:t>o</w:t>
      </w:r>
      <w:r>
        <w:rPr>
          <w:rFonts w:ascii="Verdana" w:eastAsia="Verdana" w:hAnsi="Verdana" w:cs="Verdana"/>
          <w:spacing w:val="-19"/>
          <w:lang w:val="es-ES"/>
        </w:rPr>
        <w:t xml:space="preserve"> </w:t>
      </w:r>
      <w:r>
        <w:rPr>
          <w:rFonts w:ascii="Verdana" w:eastAsia="Verdana" w:hAnsi="Verdana" w:cs="Verdana"/>
          <w:lang w:val="es-ES"/>
        </w:rPr>
        <w:t>en</w:t>
      </w:r>
      <w:r>
        <w:rPr>
          <w:rFonts w:ascii="Verdana" w:eastAsia="Verdana" w:hAnsi="Verdana" w:cs="Verdana"/>
          <w:spacing w:val="-20"/>
          <w:lang w:val="es-ES"/>
        </w:rPr>
        <w:t xml:space="preserve"> </w:t>
      </w:r>
      <w:r>
        <w:rPr>
          <w:rFonts w:ascii="Verdana" w:eastAsia="Verdana" w:hAnsi="Verdana" w:cs="Verdana"/>
          <w:lang w:val="es-ES"/>
        </w:rPr>
        <w:t>mercados</w:t>
      </w:r>
      <w:r>
        <w:rPr>
          <w:rFonts w:ascii="Verdana" w:eastAsia="Verdana" w:hAnsi="Verdana" w:cs="Verdana"/>
          <w:spacing w:val="-19"/>
          <w:lang w:val="es-ES"/>
        </w:rPr>
        <w:t xml:space="preserve"> </w:t>
      </w:r>
      <w:r>
        <w:rPr>
          <w:rFonts w:ascii="Verdana" w:eastAsia="Verdana" w:hAnsi="Verdana" w:cs="Verdana"/>
          <w:lang w:val="es-ES"/>
        </w:rPr>
        <w:t>regulados,</w:t>
      </w:r>
      <w:r>
        <w:rPr>
          <w:rFonts w:ascii="Verdana" w:eastAsia="Verdana" w:hAnsi="Verdana" w:cs="Verdana"/>
          <w:spacing w:val="-19"/>
          <w:lang w:val="es-ES"/>
        </w:rPr>
        <w:t xml:space="preserve"> </w:t>
      </w:r>
      <w:r>
        <w:rPr>
          <w:rFonts w:ascii="Verdana" w:eastAsia="Verdana" w:hAnsi="Verdana" w:cs="Verdana"/>
          <w:lang w:val="es-ES"/>
        </w:rPr>
        <w:t>quedando las otras empresas de esta índole dentro del ámbito de aplicación del Estatuto General de Contratación de la Administración Pública</w:t>
      </w:r>
      <w:r>
        <w:rPr>
          <w:rFonts w:ascii="Verdana" w:eastAsia="Verdana" w:hAnsi="Verdana" w:cs="Verdana"/>
          <w:vertAlign w:val="superscript"/>
          <w:lang w:val="es-ES"/>
        </w:rPr>
        <w:footnoteReference w:id="4"/>
      </w:r>
      <w:r>
        <w:rPr>
          <w:rFonts w:ascii="Verdana" w:eastAsia="Verdana" w:hAnsi="Verdana" w:cs="Verdana"/>
          <w:lang w:val="es-ES"/>
        </w:rPr>
        <w:t>. Así, la norma</w:t>
      </w:r>
      <w:r>
        <w:rPr>
          <w:rFonts w:ascii="Verdana" w:eastAsia="Verdana" w:hAnsi="Verdana" w:cs="Verdana"/>
          <w:spacing w:val="-1"/>
          <w:lang w:val="es-ES"/>
        </w:rPr>
        <w:t xml:space="preserve"> </w:t>
      </w:r>
      <w:r>
        <w:rPr>
          <w:rFonts w:ascii="Verdana" w:eastAsia="Verdana" w:hAnsi="Verdana" w:cs="Verdana"/>
          <w:lang w:val="es-ES"/>
        </w:rPr>
        <w:t>vigente respecto a</w:t>
      </w:r>
      <w:r>
        <w:rPr>
          <w:rFonts w:ascii="Verdana" w:eastAsia="Verdana" w:hAnsi="Verdana" w:cs="Verdana"/>
          <w:spacing w:val="-1"/>
          <w:lang w:val="es-ES"/>
        </w:rPr>
        <w:t xml:space="preserve"> </w:t>
      </w:r>
      <w:r>
        <w:rPr>
          <w:rFonts w:ascii="Verdana" w:eastAsia="Verdana" w:hAnsi="Verdana" w:cs="Verdana"/>
          <w:lang w:val="es-ES"/>
        </w:rPr>
        <w:t>su régimen contractual establece:</w:t>
      </w:r>
    </w:p>
    <w:p w14:paraId="362C276D" w14:textId="77777777" w:rsidR="00B570E4" w:rsidRDefault="00B570E4" w:rsidP="00B570E4">
      <w:pPr>
        <w:widowControl w:val="0"/>
        <w:autoSpaceDE w:val="0"/>
        <w:autoSpaceDN w:val="0"/>
        <w:spacing w:after="0" w:line="276" w:lineRule="auto"/>
        <w:ind w:firstLine="709"/>
        <w:jc w:val="both"/>
        <w:rPr>
          <w:rFonts w:ascii="Verdana" w:eastAsia="Arial" w:hAnsi="Verdana" w:cs="Arial"/>
          <w:color w:val="EE0000"/>
          <w:lang w:val="es-ES"/>
        </w:rPr>
      </w:pPr>
    </w:p>
    <w:p w14:paraId="56F14E26" w14:textId="77777777" w:rsidR="00B570E4" w:rsidRDefault="00B570E4" w:rsidP="00B570E4">
      <w:pPr>
        <w:spacing w:after="0" w:line="240" w:lineRule="auto"/>
        <w:ind w:left="709" w:right="709"/>
        <w:contextualSpacing/>
        <w:jc w:val="both"/>
        <w:rPr>
          <w:rFonts w:ascii="Verdana" w:eastAsia="Times New Roman" w:hAnsi="Verdana" w:cs="Arial"/>
          <w:sz w:val="20"/>
          <w:szCs w:val="20"/>
          <w:lang w:eastAsia="es-ES_tradnl"/>
        </w:rPr>
      </w:pPr>
      <w:r>
        <w:rPr>
          <w:rFonts w:ascii="Verdana" w:eastAsia="Times New Roman" w:hAnsi="Verdana" w:cs="Arial"/>
          <w:sz w:val="20"/>
          <w:szCs w:val="20"/>
          <w:lang w:eastAsia="es-ES_tradnl"/>
        </w:rPr>
        <w:t xml:space="preserve">“Artículo 14. Del régimen contractual de las Empresas Industriales y Comerciales del Estado, las Sociedades de Economía Mixta, sus filiales y </w:t>
      </w:r>
      <w:r>
        <w:rPr>
          <w:rFonts w:ascii="Verdana" w:eastAsia="Times New Roman" w:hAnsi="Verdana" w:cs="Arial"/>
          <w:sz w:val="20"/>
          <w:szCs w:val="20"/>
          <w:lang w:eastAsia="es-ES_tradnl"/>
        </w:rPr>
        <w:lastRenderedPageBreak/>
        <w:t>empresas con participación mayoritaria del estado.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r>
        <w:rPr>
          <w:rFonts w:ascii="Calibri" w:eastAsia="Times New Roman" w:hAnsi="Calibri" w:cs="Arial"/>
          <w:sz w:val="20"/>
          <w:szCs w:val="20"/>
          <w:vertAlign w:val="superscript"/>
          <w:lang w:eastAsia="es-ES_tradnl"/>
        </w:rPr>
        <w:footnoteReference w:id="5"/>
      </w:r>
      <w:r>
        <w:rPr>
          <w:rFonts w:ascii="Verdana" w:eastAsia="Times New Roman" w:hAnsi="Verdana" w:cs="Arial"/>
          <w:sz w:val="20"/>
          <w:szCs w:val="20"/>
          <w:lang w:eastAsia="es-ES_tradnl"/>
        </w:rPr>
        <w:t>.</w:t>
      </w:r>
    </w:p>
    <w:p w14:paraId="024FE193" w14:textId="77777777" w:rsidR="00B570E4" w:rsidRDefault="00B570E4" w:rsidP="00B570E4">
      <w:pPr>
        <w:spacing w:after="0"/>
        <w:ind w:left="709" w:right="709"/>
        <w:jc w:val="both"/>
        <w:rPr>
          <w:rFonts w:ascii="Verdana" w:eastAsia="Calibri" w:hAnsi="Verdana" w:cs="Times New Roman"/>
          <w:sz w:val="21"/>
          <w:szCs w:val="21"/>
        </w:rPr>
      </w:pPr>
    </w:p>
    <w:p w14:paraId="4D8D68BE" w14:textId="77777777" w:rsidR="00B570E4" w:rsidRDefault="00B570E4" w:rsidP="00B570E4">
      <w:pPr>
        <w:widowControl w:val="0"/>
        <w:autoSpaceDE w:val="0"/>
        <w:autoSpaceDN w:val="0"/>
        <w:spacing w:after="120" w:line="276" w:lineRule="auto"/>
        <w:ind w:right="51" w:firstLine="709"/>
        <w:jc w:val="both"/>
        <w:rPr>
          <w:rFonts w:ascii="Verdana" w:hAnsi="Verdana" w:cs="Arial"/>
        </w:rPr>
      </w:pPr>
      <w:r>
        <w:rPr>
          <w:rFonts w:ascii="Verdana" w:eastAsia="Verdana" w:hAnsi="Verdana" w:cs="Verdana"/>
          <w:lang w:val="es-ES"/>
        </w:rPr>
        <w:t>El sometimiento parcial de las Empresas Industriales y Comerciales del Estado</w:t>
      </w:r>
      <w:r>
        <w:rPr>
          <w:rFonts w:ascii="Verdana" w:eastAsia="Verdana" w:hAnsi="Verdana" w:cs="Verdana"/>
          <w:spacing w:val="-14"/>
          <w:lang w:val="es-ES"/>
        </w:rPr>
        <w:t xml:space="preserve"> </w:t>
      </w:r>
      <w:r>
        <w:rPr>
          <w:rFonts w:ascii="Verdana" w:eastAsia="Verdana" w:hAnsi="Verdana" w:cs="Verdana"/>
          <w:lang w:val="es-ES"/>
        </w:rPr>
        <w:t>al</w:t>
      </w:r>
      <w:r>
        <w:rPr>
          <w:rFonts w:ascii="Verdana" w:eastAsia="Verdana" w:hAnsi="Verdana" w:cs="Verdana"/>
          <w:spacing w:val="-14"/>
          <w:lang w:val="es-ES"/>
        </w:rPr>
        <w:t xml:space="preserve"> </w:t>
      </w:r>
      <w:r>
        <w:rPr>
          <w:rFonts w:ascii="Verdana" w:eastAsia="Verdana" w:hAnsi="Verdana" w:cs="Verdana"/>
          <w:lang w:val="es-ES"/>
        </w:rPr>
        <w:t>régimen</w:t>
      </w:r>
      <w:r>
        <w:rPr>
          <w:rFonts w:ascii="Verdana" w:eastAsia="Verdana" w:hAnsi="Verdana" w:cs="Verdana"/>
          <w:spacing w:val="-14"/>
          <w:lang w:val="es-ES"/>
        </w:rPr>
        <w:t xml:space="preserve"> </w:t>
      </w:r>
      <w:r>
        <w:rPr>
          <w:rFonts w:ascii="Verdana" w:eastAsia="Verdana" w:hAnsi="Verdana" w:cs="Verdana"/>
          <w:lang w:val="es-ES"/>
        </w:rPr>
        <w:t>de</w:t>
      </w:r>
      <w:r>
        <w:rPr>
          <w:rFonts w:ascii="Verdana" w:eastAsia="Verdana" w:hAnsi="Verdana" w:cs="Verdana"/>
          <w:spacing w:val="-15"/>
          <w:lang w:val="es-ES"/>
        </w:rPr>
        <w:t xml:space="preserve"> </w:t>
      </w:r>
      <w:r>
        <w:rPr>
          <w:rFonts w:ascii="Verdana" w:eastAsia="Verdana" w:hAnsi="Verdana" w:cs="Verdana"/>
          <w:lang w:val="es-ES"/>
        </w:rPr>
        <w:t>derecho</w:t>
      </w:r>
      <w:r>
        <w:rPr>
          <w:rFonts w:ascii="Verdana" w:eastAsia="Verdana" w:hAnsi="Verdana" w:cs="Verdana"/>
          <w:spacing w:val="-13"/>
          <w:lang w:val="es-ES"/>
        </w:rPr>
        <w:t xml:space="preserve"> </w:t>
      </w:r>
      <w:r>
        <w:rPr>
          <w:rFonts w:ascii="Verdana" w:eastAsia="Verdana" w:hAnsi="Verdana" w:cs="Verdana"/>
          <w:lang w:val="es-ES"/>
        </w:rPr>
        <w:t>privado,</w:t>
      </w:r>
      <w:r>
        <w:rPr>
          <w:rFonts w:ascii="Verdana" w:eastAsia="Verdana" w:hAnsi="Verdana" w:cs="Verdana"/>
          <w:spacing w:val="-14"/>
          <w:lang w:val="es-ES"/>
        </w:rPr>
        <w:t xml:space="preserve"> </w:t>
      </w:r>
      <w:r>
        <w:rPr>
          <w:rFonts w:ascii="Verdana" w:eastAsia="Verdana" w:hAnsi="Verdana" w:cs="Verdana"/>
          <w:lang w:val="es-ES"/>
        </w:rPr>
        <w:t>se</w:t>
      </w:r>
      <w:r>
        <w:rPr>
          <w:rFonts w:ascii="Verdana" w:eastAsia="Verdana" w:hAnsi="Verdana" w:cs="Verdana"/>
          <w:spacing w:val="-20"/>
          <w:lang w:val="es-ES"/>
        </w:rPr>
        <w:t xml:space="preserve"> </w:t>
      </w:r>
      <w:r>
        <w:rPr>
          <w:rFonts w:ascii="Verdana" w:eastAsia="Verdana" w:hAnsi="Verdana" w:cs="Verdana"/>
          <w:lang w:val="es-ES"/>
        </w:rPr>
        <w:t>ha</w:t>
      </w:r>
      <w:r>
        <w:rPr>
          <w:rFonts w:ascii="Verdana" w:eastAsia="Verdana" w:hAnsi="Verdana" w:cs="Verdana"/>
          <w:spacing w:val="-15"/>
          <w:lang w:val="es-ES"/>
        </w:rPr>
        <w:t xml:space="preserve"> </w:t>
      </w:r>
      <w:r>
        <w:rPr>
          <w:rFonts w:ascii="Verdana" w:eastAsia="Verdana" w:hAnsi="Verdana" w:cs="Verdana"/>
          <w:lang w:val="es-ES"/>
        </w:rPr>
        <w:t>justificado</w:t>
      </w:r>
      <w:r>
        <w:rPr>
          <w:rFonts w:ascii="Verdana" w:eastAsia="Verdana" w:hAnsi="Verdana" w:cs="Verdana"/>
          <w:spacing w:val="-13"/>
          <w:lang w:val="es-ES"/>
        </w:rPr>
        <w:t xml:space="preserve"> </w:t>
      </w:r>
      <w:r>
        <w:rPr>
          <w:rFonts w:ascii="Verdana" w:eastAsia="Verdana" w:hAnsi="Verdana" w:cs="Verdana"/>
          <w:lang w:val="es-ES"/>
        </w:rPr>
        <w:t>por “la</w:t>
      </w:r>
      <w:r>
        <w:rPr>
          <w:rFonts w:ascii="Verdana" w:eastAsia="Verdana" w:hAnsi="Verdana" w:cs="Verdana"/>
          <w:spacing w:val="-20"/>
          <w:lang w:val="es-ES"/>
        </w:rPr>
        <w:t xml:space="preserve"> </w:t>
      </w:r>
      <w:r>
        <w:rPr>
          <w:rFonts w:ascii="Verdana" w:eastAsia="Verdana" w:hAnsi="Verdana" w:cs="Verdana"/>
          <w:lang w:val="es-ES"/>
        </w:rPr>
        <w:t>necesidad</w:t>
      </w:r>
      <w:r>
        <w:rPr>
          <w:rFonts w:ascii="Verdana" w:eastAsia="Verdana" w:hAnsi="Verdana" w:cs="Verdana"/>
          <w:spacing w:val="-15"/>
          <w:lang w:val="es-ES"/>
        </w:rPr>
        <w:t xml:space="preserve"> </w:t>
      </w:r>
      <w:r>
        <w:rPr>
          <w:rFonts w:ascii="Verdana" w:eastAsia="Verdana" w:hAnsi="Verdana" w:cs="Verdana"/>
          <w:lang w:val="es-ES"/>
        </w:rPr>
        <w:t>de</w:t>
      </w:r>
      <w:r>
        <w:rPr>
          <w:rFonts w:ascii="Verdana" w:eastAsia="Verdana" w:hAnsi="Verdana" w:cs="Verdana"/>
          <w:spacing w:val="-15"/>
          <w:lang w:val="es-ES"/>
        </w:rPr>
        <w:t xml:space="preserve"> </w:t>
      </w:r>
      <w:r>
        <w:rPr>
          <w:rFonts w:ascii="Verdana" w:eastAsia="Verdana" w:hAnsi="Verdana" w:cs="Verdana"/>
          <w:lang w:val="es-ES"/>
        </w:rPr>
        <w:t>que en</w:t>
      </w:r>
      <w:r>
        <w:rPr>
          <w:rFonts w:ascii="Verdana" w:eastAsia="Verdana" w:hAnsi="Verdana" w:cs="Verdana"/>
          <w:spacing w:val="-7"/>
          <w:lang w:val="es-ES"/>
        </w:rPr>
        <w:t xml:space="preserve"> </w:t>
      </w:r>
      <w:r>
        <w:rPr>
          <w:rFonts w:ascii="Verdana" w:eastAsia="Verdana" w:hAnsi="Verdana" w:cs="Verdana"/>
          <w:lang w:val="es-ES"/>
        </w:rPr>
        <w:t>su</w:t>
      </w:r>
      <w:r>
        <w:rPr>
          <w:rFonts w:ascii="Verdana" w:eastAsia="Verdana" w:hAnsi="Verdana" w:cs="Verdana"/>
          <w:spacing w:val="-6"/>
          <w:lang w:val="es-ES"/>
        </w:rPr>
        <w:t xml:space="preserve"> </w:t>
      </w:r>
      <w:r>
        <w:rPr>
          <w:rFonts w:ascii="Verdana" w:eastAsia="Verdana" w:hAnsi="Verdana" w:cs="Verdana"/>
          <w:lang w:val="es-ES"/>
        </w:rPr>
        <w:t>actividad</w:t>
      </w:r>
      <w:r>
        <w:rPr>
          <w:rFonts w:ascii="Verdana" w:eastAsia="Verdana" w:hAnsi="Verdana" w:cs="Verdana"/>
          <w:spacing w:val="-9"/>
          <w:lang w:val="es-ES"/>
        </w:rPr>
        <w:t xml:space="preserve"> </w:t>
      </w:r>
      <w:r>
        <w:rPr>
          <w:rFonts w:ascii="Verdana" w:eastAsia="Verdana" w:hAnsi="Verdana" w:cs="Verdana"/>
          <w:lang w:val="es-ES"/>
        </w:rPr>
        <w:t>industrial</w:t>
      </w:r>
      <w:r>
        <w:rPr>
          <w:rFonts w:ascii="Verdana" w:eastAsia="Verdana" w:hAnsi="Verdana" w:cs="Verdana"/>
          <w:spacing w:val="-7"/>
          <w:lang w:val="es-ES"/>
        </w:rPr>
        <w:t xml:space="preserve"> </w:t>
      </w:r>
      <w:r>
        <w:rPr>
          <w:rFonts w:ascii="Verdana" w:eastAsia="Verdana" w:hAnsi="Verdana" w:cs="Verdana"/>
          <w:lang w:val="es-ES"/>
        </w:rPr>
        <w:t>y</w:t>
      </w:r>
      <w:r>
        <w:rPr>
          <w:rFonts w:ascii="Verdana" w:eastAsia="Verdana" w:hAnsi="Verdana" w:cs="Verdana"/>
          <w:spacing w:val="-7"/>
          <w:lang w:val="es-ES"/>
        </w:rPr>
        <w:t xml:space="preserve"> </w:t>
      </w:r>
      <w:r>
        <w:rPr>
          <w:rFonts w:ascii="Verdana" w:eastAsia="Verdana" w:hAnsi="Verdana" w:cs="Verdana"/>
          <w:lang w:val="es-ES"/>
        </w:rPr>
        <w:t>comercial,</w:t>
      </w:r>
      <w:r>
        <w:rPr>
          <w:rFonts w:ascii="Verdana" w:eastAsia="Verdana" w:hAnsi="Verdana" w:cs="Verdana"/>
          <w:spacing w:val="-7"/>
          <w:lang w:val="es-ES"/>
        </w:rPr>
        <w:t xml:space="preserve"> </w:t>
      </w:r>
      <w:r>
        <w:rPr>
          <w:rFonts w:ascii="Verdana" w:eastAsia="Verdana" w:hAnsi="Verdana" w:cs="Verdana"/>
          <w:lang w:val="es-ES"/>
        </w:rPr>
        <w:t>tradicionalmente</w:t>
      </w:r>
      <w:r>
        <w:rPr>
          <w:rFonts w:ascii="Verdana" w:eastAsia="Verdana" w:hAnsi="Verdana" w:cs="Verdana"/>
          <w:spacing w:val="-8"/>
          <w:lang w:val="es-ES"/>
        </w:rPr>
        <w:t xml:space="preserve"> </w:t>
      </w:r>
      <w:r>
        <w:rPr>
          <w:rFonts w:ascii="Verdana" w:eastAsia="Verdana" w:hAnsi="Verdana" w:cs="Verdana"/>
          <w:lang w:val="es-ES"/>
        </w:rPr>
        <w:t>ajena</w:t>
      </w:r>
      <w:r>
        <w:rPr>
          <w:rFonts w:ascii="Verdana" w:eastAsia="Verdana" w:hAnsi="Verdana" w:cs="Verdana"/>
          <w:spacing w:val="-9"/>
          <w:lang w:val="es-ES"/>
        </w:rPr>
        <w:t xml:space="preserve"> </w:t>
      </w:r>
      <w:r>
        <w:rPr>
          <w:rFonts w:ascii="Verdana" w:eastAsia="Verdana" w:hAnsi="Verdana" w:cs="Verdana"/>
          <w:lang w:val="es-ES"/>
        </w:rPr>
        <w:t>al</w:t>
      </w:r>
      <w:r>
        <w:rPr>
          <w:rFonts w:ascii="Verdana" w:eastAsia="Verdana" w:hAnsi="Verdana" w:cs="Verdana"/>
          <w:spacing w:val="-7"/>
          <w:lang w:val="es-ES"/>
        </w:rPr>
        <w:t xml:space="preserve"> </w:t>
      </w:r>
      <w:r>
        <w:rPr>
          <w:rFonts w:ascii="Verdana" w:eastAsia="Verdana" w:hAnsi="Verdana" w:cs="Verdana"/>
          <w:lang w:val="es-ES"/>
        </w:rPr>
        <w:t>Estado</w:t>
      </w:r>
      <w:r>
        <w:rPr>
          <w:rFonts w:ascii="Verdana" w:eastAsia="Verdana" w:hAnsi="Verdana" w:cs="Verdana"/>
          <w:spacing w:val="-6"/>
          <w:lang w:val="es-ES"/>
        </w:rPr>
        <w:t xml:space="preserve"> </w:t>
      </w:r>
      <w:r>
        <w:rPr>
          <w:rFonts w:ascii="Verdana" w:eastAsia="Verdana" w:hAnsi="Verdana" w:cs="Verdana"/>
          <w:lang w:val="es-ES"/>
        </w:rPr>
        <w:t>y</w:t>
      </w:r>
      <w:r>
        <w:rPr>
          <w:rFonts w:ascii="Verdana" w:eastAsia="Verdana" w:hAnsi="Verdana" w:cs="Verdana"/>
          <w:spacing w:val="-7"/>
          <w:lang w:val="es-ES"/>
        </w:rPr>
        <w:t xml:space="preserve"> </w:t>
      </w:r>
      <w:r>
        <w:rPr>
          <w:rFonts w:ascii="Verdana" w:eastAsia="Verdana" w:hAnsi="Verdana" w:cs="Verdana"/>
          <w:lang w:val="es-ES"/>
        </w:rPr>
        <w:t>propia de los particulares, ellas actúen en términos equivalentes a éstos cuando realicen actividades similares, sin tener prerrogativas exorbitantes que atenten contra</w:t>
      </w:r>
      <w:r>
        <w:rPr>
          <w:rFonts w:ascii="Verdana" w:eastAsia="Verdana" w:hAnsi="Verdana" w:cs="Verdana"/>
          <w:spacing w:val="-15"/>
          <w:lang w:val="es-ES"/>
        </w:rPr>
        <w:t xml:space="preserve"> </w:t>
      </w:r>
      <w:r>
        <w:rPr>
          <w:rFonts w:ascii="Verdana" w:eastAsia="Verdana" w:hAnsi="Verdana" w:cs="Verdana"/>
          <w:lang w:val="es-ES"/>
        </w:rPr>
        <w:t>el</w:t>
      </w:r>
      <w:r>
        <w:rPr>
          <w:rFonts w:ascii="Verdana" w:eastAsia="Verdana" w:hAnsi="Verdana" w:cs="Verdana"/>
          <w:spacing w:val="-13"/>
          <w:lang w:val="es-ES"/>
        </w:rPr>
        <w:t xml:space="preserve"> </w:t>
      </w:r>
      <w:r>
        <w:rPr>
          <w:rFonts w:ascii="Verdana" w:eastAsia="Verdana" w:hAnsi="Verdana" w:cs="Verdana"/>
          <w:lang w:val="es-ES"/>
        </w:rPr>
        <w:t>derecho</w:t>
      </w:r>
      <w:r>
        <w:rPr>
          <w:rFonts w:ascii="Verdana" w:eastAsia="Verdana" w:hAnsi="Verdana" w:cs="Verdana"/>
          <w:spacing w:val="-12"/>
          <w:lang w:val="es-ES"/>
        </w:rPr>
        <w:t xml:space="preserve"> </w:t>
      </w:r>
      <w:r>
        <w:rPr>
          <w:rFonts w:ascii="Verdana" w:eastAsia="Verdana" w:hAnsi="Verdana" w:cs="Verdana"/>
          <w:lang w:val="es-ES"/>
        </w:rPr>
        <w:t>a</w:t>
      </w:r>
      <w:r>
        <w:rPr>
          <w:rFonts w:ascii="Verdana" w:eastAsia="Verdana" w:hAnsi="Verdana" w:cs="Verdana"/>
          <w:spacing w:val="-15"/>
          <w:lang w:val="es-ES"/>
        </w:rPr>
        <w:t xml:space="preserve"> </w:t>
      </w:r>
      <w:r>
        <w:rPr>
          <w:rFonts w:ascii="Verdana" w:eastAsia="Verdana" w:hAnsi="Verdana" w:cs="Verdana"/>
          <w:lang w:val="es-ES"/>
        </w:rPr>
        <w:t>la</w:t>
      </w:r>
      <w:r>
        <w:rPr>
          <w:rFonts w:ascii="Verdana" w:eastAsia="Verdana" w:hAnsi="Verdana" w:cs="Verdana"/>
          <w:spacing w:val="-19"/>
          <w:lang w:val="es-ES"/>
        </w:rPr>
        <w:t xml:space="preserve"> </w:t>
      </w:r>
      <w:r>
        <w:rPr>
          <w:rFonts w:ascii="Verdana" w:eastAsia="Verdana" w:hAnsi="Verdana" w:cs="Verdana"/>
          <w:lang w:val="es-ES"/>
        </w:rPr>
        <w:t>igualdad</w:t>
      </w:r>
      <w:r>
        <w:rPr>
          <w:rFonts w:ascii="Verdana" w:eastAsia="Verdana" w:hAnsi="Verdana" w:cs="Verdana"/>
          <w:spacing w:val="-15"/>
          <w:lang w:val="es-ES"/>
        </w:rPr>
        <w:t xml:space="preserve"> </w:t>
      </w:r>
      <w:r>
        <w:rPr>
          <w:rFonts w:ascii="Verdana" w:eastAsia="Verdana" w:hAnsi="Verdana" w:cs="Verdana"/>
          <w:lang w:val="es-ES"/>
        </w:rPr>
        <w:t>ni</w:t>
      </w:r>
      <w:r>
        <w:rPr>
          <w:rFonts w:ascii="Verdana" w:eastAsia="Verdana" w:hAnsi="Verdana" w:cs="Verdana"/>
          <w:spacing w:val="-13"/>
          <w:lang w:val="es-ES"/>
        </w:rPr>
        <w:t xml:space="preserve"> </w:t>
      </w:r>
      <w:r>
        <w:rPr>
          <w:rFonts w:ascii="Verdana" w:eastAsia="Verdana" w:hAnsi="Verdana" w:cs="Verdana"/>
          <w:lang w:val="es-ES"/>
        </w:rPr>
        <w:t>estar</w:t>
      </w:r>
      <w:r>
        <w:rPr>
          <w:rFonts w:ascii="Verdana" w:eastAsia="Verdana" w:hAnsi="Verdana" w:cs="Verdana"/>
          <w:spacing w:val="-12"/>
          <w:lang w:val="es-ES"/>
        </w:rPr>
        <w:t xml:space="preserve"> </w:t>
      </w:r>
      <w:r>
        <w:rPr>
          <w:rFonts w:ascii="Verdana" w:eastAsia="Verdana" w:hAnsi="Verdana" w:cs="Verdana"/>
          <w:lang w:val="es-ES"/>
        </w:rPr>
        <w:t>sujetas</w:t>
      </w:r>
      <w:r>
        <w:rPr>
          <w:rFonts w:ascii="Verdana" w:eastAsia="Verdana" w:hAnsi="Verdana" w:cs="Verdana"/>
          <w:spacing w:val="-13"/>
          <w:lang w:val="es-ES"/>
        </w:rPr>
        <w:t xml:space="preserve"> </w:t>
      </w:r>
      <w:r>
        <w:rPr>
          <w:rFonts w:ascii="Verdana" w:eastAsia="Verdana" w:hAnsi="Verdana" w:cs="Verdana"/>
          <w:lang w:val="es-ES"/>
        </w:rPr>
        <w:t>a</w:t>
      </w:r>
      <w:r>
        <w:rPr>
          <w:rFonts w:ascii="Verdana" w:eastAsia="Verdana" w:hAnsi="Verdana" w:cs="Verdana"/>
          <w:spacing w:val="-15"/>
          <w:lang w:val="es-ES"/>
        </w:rPr>
        <w:t xml:space="preserve"> </w:t>
      </w:r>
      <w:r>
        <w:rPr>
          <w:rFonts w:ascii="Verdana" w:eastAsia="Verdana" w:hAnsi="Verdana" w:cs="Verdana"/>
          <w:lang w:val="es-ES"/>
        </w:rPr>
        <w:t>procedimientos</w:t>
      </w:r>
      <w:r>
        <w:rPr>
          <w:rFonts w:ascii="Verdana" w:eastAsia="Verdana" w:hAnsi="Verdana" w:cs="Verdana"/>
          <w:spacing w:val="-13"/>
          <w:lang w:val="es-ES"/>
        </w:rPr>
        <w:t xml:space="preserve"> </w:t>
      </w:r>
      <w:r>
        <w:rPr>
          <w:rFonts w:ascii="Verdana" w:eastAsia="Verdana" w:hAnsi="Verdana" w:cs="Verdana"/>
          <w:lang w:val="es-ES"/>
        </w:rPr>
        <w:t>administrativos que entraben sus actuaciones y las pongan en situación de desventaja</w:t>
      </w:r>
      <w:r>
        <w:rPr>
          <w:rFonts w:ascii="Verdana" w:eastAsia="Verdana" w:hAnsi="Verdana" w:cs="Verdana"/>
          <w:spacing w:val="-1"/>
          <w:lang w:val="es-ES"/>
        </w:rPr>
        <w:t xml:space="preserve"> </w:t>
      </w:r>
      <w:r>
        <w:rPr>
          <w:rFonts w:ascii="Verdana" w:eastAsia="Verdana" w:hAnsi="Verdana" w:cs="Verdana"/>
          <w:lang w:val="es-ES"/>
        </w:rPr>
        <w:t>frente a sus</w:t>
      </w:r>
      <w:r>
        <w:rPr>
          <w:rFonts w:ascii="Verdana" w:eastAsia="Verdana" w:hAnsi="Verdana" w:cs="Verdana"/>
          <w:spacing w:val="-1"/>
          <w:lang w:val="es-ES"/>
        </w:rPr>
        <w:t xml:space="preserve"> </w:t>
      </w:r>
      <w:r>
        <w:rPr>
          <w:rFonts w:ascii="Verdana" w:eastAsia="Verdana" w:hAnsi="Verdana" w:cs="Verdana"/>
          <w:lang w:val="es-ES"/>
        </w:rPr>
        <w:t>competidores</w:t>
      </w:r>
      <w:r>
        <w:rPr>
          <w:rFonts w:ascii="Verdana" w:eastAsia="Verdana" w:hAnsi="Verdana" w:cs="Verdana"/>
          <w:spacing w:val="-1"/>
          <w:lang w:val="es-ES"/>
        </w:rPr>
        <w:t xml:space="preserve"> </w:t>
      </w:r>
      <w:r>
        <w:rPr>
          <w:rFonts w:ascii="Verdana" w:eastAsia="Verdana" w:hAnsi="Verdana" w:cs="Verdana"/>
          <w:lang w:val="es-ES"/>
        </w:rPr>
        <w:t>(…).</w:t>
      </w:r>
      <w:r>
        <w:rPr>
          <w:rFonts w:ascii="Verdana" w:eastAsia="Verdana" w:hAnsi="Verdana" w:cs="Verdana"/>
          <w:spacing w:val="-6"/>
          <w:lang w:val="es-ES"/>
        </w:rPr>
        <w:t xml:space="preserve"> </w:t>
      </w:r>
      <w:r>
        <w:rPr>
          <w:rFonts w:ascii="Verdana" w:eastAsia="Verdana" w:hAnsi="Verdana" w:cs="Verdana"/>
          <w:lang w:val="es-ES"/>
        </w:rPr>
        <w:t>Por</w:t>
      </w:r>
      <w:r>
        <w:rPr>
          <w:rFonts w:ascii="Verdana" w:eastAsia="Verdana" w:hAnsi="Verdana" w:cs="Verdana"/>
          <w:spacing w:val="-5"/>
          <w:lang w:val="es-ES"/>
        </w:rPr>
        <w:t xml:space="preserve"> </w:t>
      </w:r>
      <w:r>
        <w:rPr>
          <w:rFonts w:ascii="Verdana" w:eastAsia="Verdana" w:hAnsi="Verdana" w:cs="Verdana"/>
          <w:lang w:val="es-ES"/>
        </w:rPr>
        <w:t>ello,</w:t>
      </w:r>
      <w:r>
        <w:rPr>
          <w:rFonts w:ascii="Verdana" w:eastAsia="Verdana" w:hAnsi="Verdana" w:cs="Verdana"/>
          <w:spacing w:val="-2"/>
          <w:lang w:val="es-ES"/>
        </w:rPr>
        <w:t xml:space="preserve"> </w:t>
      </w:r>
      <w:r>
        <w:rPr>
          <w:rFonts w:ascii="Verdana" w:eastAsia="Verdana" w:hAnsi="Verdana" w:cs="Verdana"/>
          <w:lang w:val="es-ES"/>
        </w:rPr>
        <w:t>la</w:t>
      </w:r>
      <w:r>
        <w:rPr>
          <w:rFonts w:ascii="Verdana" w:eastAsia="Verdana" w:hAnsi="Verdana" w:cs="Verdana"/>
          <w:spacing w:val="-3"/>
          <w:lang w:val="es-ES"/>
        </w:rPr>
        <w:t xml:space="preserve"> </w:t>
      </w:r>
      <w:r>
        <w:rPr>
          <w:rFonts w:ascii="Verdana" w:eastAsia="Verdana" w:hAnsi="Verdana" w:cs="Verdana"/>
          <w:lang w:val="es-ES"/>
        </w:rPr>
        <w:t>regla</w:t>
      </w:r>
      <w:r>
        <w:rPr>
          <w:rFonts w:ascii="Verdana" w:eastAsia="Verdana" w:hAnsi="Verdana" w:cs="Verdana"/>
          <w:spacing w:val="-3"/>
          <w:lang w:val="es-ES"/>
        </w:rPr>
        <w:t xml:space="preserve"> </w:t>
      </w:r>
      <w:r>
        <w:rPr>
          <w:rFonts w:ascii="Verdana" w:eastAsia="Verdana" w:hAnsi="Verdana" w:cs="Verdana"/>
          <w:lang w:val="es-ES"/>
        </w:rPr>
        <w:t>general</w:t>
      </w:r>
      <w:r>
        <w:rPr>
          <w:rFonts w:ascii="Verdana" w:eastAsia="Verdana" w:hAnsi="Verdana" w:cs="Verdana"/>
          <w:spacing w:val="-1"/>
          <w:lang w:val="es-ES"/>
        </w:rPr>
        <w:t xml:space="preserve"> </w:t>
      </w:r>
      <w:r>
        <w:rPr>
          <w:rFonts w:ascii="Verdana" w:eastAsia="Verdana" w:hAnsi="Verdana" w:cs="Verdana"/>
          <w:lang w:val="es-ES"/>
        </w:rPr>
        <w:t>es</w:t>
      </w:r>
      <w:r>
        <w:rPr>
          <w:rFonts w:ascii="Verdana" w:eastAsia="Verdana" w:hAnsi="Verdana" w:cs="Verdana"/>
          <w:spacing w:val="-1"/>
          <w:lang w:val="es-ES"/>
        </w:rPr>
        <w:t xml:space="preserve"> </w:t>
      </w:r>
      <w:r>
        <w:rPr>
          <w:rFonts w:ascii="Verdana" w:eastAsia="Verdana" w:hAnsi="Verdana" w:cs="Verdana"/>
          <w:lang w:val="es-ES"/>
        </w:rPr>
        <w:t>que</w:t>
      </w:r>
      <w:r>
        <w:rPr>
          <w:rFonts w:ascii="Verdana" w:eastAsia="Verdana" w:hAnsi="Verdana" w:cs="Verdana"/>
          <w:spacing w:val="-2"/>
          <w:lang w:val="es-ES"/>
        </w:rPr>
        <w:t xml:space="preserve"> </w:t>
      </w:r>
      <w:r>
        <w:rPr>
          <w:rFonts w:ascii="Verdana" w:eastAsia="Verdana" w:hAnsi="Verdana" w:cs="Verdana"/>
          <w:lang w:val="es-ES"/>
        </w:rPr>
        <w:t>en</w:t>
      </w:r>
      <w:r>
        <w:rPr>
          <w:rFonts w:ascii="Verdana" w:eastAsia="Verdana" w:hAnsi="Verdana" w:cs="Verdana"/>
          <w:spacing w:val="-1"/>
          <w:lang w:val="es-ES"/>
        </w:rPr>
        <w:t xml:space="preserve"> </w:t>
      </w:r>
      <w:r>
        <w:rPr>
          <w:rFonts w:ascii="Verdana" w:eastAsia="Verdana" w:hAnsi="Verdana" w:cs="Verdana"/>
          <w:lang w:val="es-ES"/>
        </w:rPr>
        <w:t>sus</w:t>
      </w:r>
      <w:r>
        <w:rPr>
          <w:rFonts w:ascii="Verdana" w:eastAsia="Verdana" w:hAnsi="Verdana" w:cs="Verdana"/>
          <w:spacing w:val="-6"/>
          <w:lang w:val="es-ES"/>
        </w:rPr>
        <w:t xml:space="preserve"> </w:t>
      </w:r>
      <w:r>
        <w:rPr>
          <w:rFonts w:ascii="Verdana" w:eastAsia="Verdana" w:hAnsi="Verdana" w:cs="Verdana"/>
          <w:lang w:val="es-ES"/>
        </w:rPr>
        <w:t>actos</w:t>
      </w:r>
      <w:r>
        <w:rPr>
          <w:rFonts w:ascii="Verdana" w:eastAsia="Verdana" w:hAnsi="Verdana" w:cs="Verdana"/>
          <w:spacing w:val="-1"/>
          <w:lang w:val="es-ES"/>
        </w:rPr>
        <w:t xml:space="preserve"> </w:t>
      </w:r>
      <w:r>
        <w:rPr>
          <w:rFonts w:ascii="Verdana" w:eastAsia="Verdana" w:hAnsi="Verdana" w:cs="Verdana"/>
          <w:lang w:val="es-ES"/>
        </w:rPr>
        <w:t>y</w:t>
      </w:r>
      <w:r>
        <w:rPr>
          <w:rFonts w:ascii="Verdana" w:eastAsia="Verdana" w:hAnsi="Verdana" w:cs="Verdana"/>
          <w:spacing w:val="-2"/>
          <w:lang w:val="es-ES"/>
        </w:rPr>
        <w:t xml:space="preserve"> </w:t>
      </w:r>
      <w:r>
        <w:rPr>
          <w:rFonts w:ascii="Verdana" w:eastAsia="Verdana" w:hAnsi="Verdana" w:cs="Verdana"/>
          <w:lang w:val="es-ES"/>
        </w:rPr>
        <w:t>contratos rijan las normas de derecho privado, salvo en cuanto a sus relaciones con la Administración y en aquellos casos en los que por expresa disposición legal ejerzan</w:t>
      </w:r>
      <w:r>
        <w:rPr>
          <w:rFonts w:ascii="Verdana" w:eastAsia="Verdana" w:hAnsi="Verdana" w:cs="Verdana"/>
          <w:spacing w:val="-4"/>
          <w:lang w:val="es-ES"/>
        </w:rPr>
        <w:t xml:space="preserve"> </w:t>
      </w:r>
      <w:r>
        <w:rPr>
          <w:rFonts w:ascii="Verdana" w:eastAsia="Verdana" w:hAnsi="Verdana" w:cs="Verdana"/>
          <w:lang w:val="es-ES"/>
        </w:rPr>
        <w:t>alguna</w:t>
      </w:r>
      <w:r>
        <w:rPr>
          <w:rFonts w:ascii="Verdana" w:eastAsia="Verdana" w:hAnsi="Verdana" w:cs="Verdana"/>
          <w:spacing w:val="-7"/>
          <w:lang w:val="es-ES"/>
        </w:rPr>
        <w:t xml:space="preserve"> </w:t>
      </w:r>
      <w:r>
        <w:rPr>
          <w:rFonts w:ascii="Verdana" w:eastAsia="Verdana" w:hAnsi="Verdana" w:cs="Verdana"/>
          <w:lang w:val="es-ES"/>
        </w:rPr>
        <w:t>función</w:t>
      </w:r>
      <w:r>
        <w:rPr>
          <w:rFonts w:ascii="Verdana" w:eastAsia="Verdana" w:hAnsi="Verdana" w:cs="Verdana"/>
          <w:spacing w:val="-9"/>
          <w:lang w:val="es-ES"/>
        </w:rPr>
        <w:t xml:space="preserve"> </w:t>
      </w:r>
      <w:r>
        <w:rPr>
          <w:rFonts w:ascii="Verdana" w:eastAsia="Verdana" w:hAnsi="Verdana" w:cs="Verdana"/>
          <w:lang w:val="es-ES"/>
        </w:rPr>
        <w:t>administrativa,</w:t>
      </w:r>
      <w:r>
        <w:rPr>
          <w:rFonts w:ascii="Verdana" w:eastAsia="Verdana" w:hAnsi="Verdana" w:cs="Verdana"/>
          <w:spacing w:val="-5"/>
          <w:lang w:val="es-ES"/>
        </w:rPr>
        <w:t xml:space="preserve"> </w:t>
      </w:r>
      <w:r>
        <w:rPr>
          <w:rFonts w:ascii="Verdana" w:eastAsia="Verdana" w:hAnsi="Verdana" w:cs="Verdana"/>
          <w:lang w:val="es-ES"/>
        </w:rPr>
        <w:t>puesto que</w:t>
      </w:r>
      <w:r>
        <w:rPr>
          <w:rFonts w:ascii="Verdana" w:eastAsia="Verdana" w:hAnsi="Verdana" w:cs="Verdana"/>
          <w:spacing w:val="-5"/>
          <w:lang w:val="es-ES"/>
        </w:rPr>
        <w:t xml:space="preserve"> </w:t>
      </w:r>
      <w:r>
        <w:rPr>
          <w:rFonts w:ascii="Verdana" w:eastAsia="Verdana" w:hAnsi="Verdana" w:cs="Verdana"/>
          <w:lang w:val="es-ES"/>
        </w:rPr>
        <w:t>allí</w:t>
      </w:r>
      <w:r>
        <w:rPr>
          <w:rFonts w:ascii="Verdana" w:eastAsia="Verdana" w:hAnsi="Verdana" w:cs="Verdana"/>
          <w:spacing w:val="-4"/>
          <w:lang w:val="es-ES"/>
        </w:rPr>
        <w:t xml:space="preserve"> </w:t>
      </w:r>
      <w:r>
        <w:rPr>
          <w:rFonts w:ascii="Verdana" w:eastAsia="Verdana" w:hAnsi="Verdana" w:cs="Verdana"/>
          <w:lang w:val="es-ES"/>
        </w:rPr>
        <w:t>sí</w:t>
      </w:r>
      <w:r>
        <w:rPr>
          <w:rFonts w:ascii="Verdana" w:eastAsia="Verdana" w:hAnsi="Verdana" w:cs="Verdana"/>
          <w:spacing w:val="-9"/>
          <w:lang w:val="es-ES"/>
        </w:rPr>
        <w:t xml:space="preserve"> </w:t>
      </w:r>
      <w:r>
        <w:rPr>
          <w:rFonts w:ascii="Verdana" w:eastAsia="Verdana" w:hAnsi="Verdana" w:cs="Verdana"/>
          <w:lang w:val="es-ES"/>
        </w:rPr>
        <w:t>deberá</w:t>
      </w:r>
      <w:r>
        <w:rPr>
          <w:rFonts w:ascii="Verdana" w:eastAsia="Verdana" w:hAnsi="Verdana" w:cs="Verdana"/>
          <w:spacing w:val="-7"/>
          <w:lang w:val="es-ES"/>
        </w:rPr>
        <w:t xml:space="preserve"> </w:t>
      </w:r>
      <w:r>
        <w:rPr>
          <w:rFonts w:ascii="Verdana" w:eastAsia="Verdana" w:hAnsi="Verdana" w:cs="Verdana"/>
          <w:lang w:val="es-ES"/>
        </w:rPr>
        <w:t>dar</w:t>
      </w:r>
      <w:r>
        <w:rPr>
          <w:rFonts w:ascii="Verdana" w:eastAsia="Verdana" w:hAnsi="Verdana" w:cs="Verdana"/>
          <w:spacing w:val="-3"/>
          <w:lang w:val="es-ES"/>
        </w:rPr>
        <w:t xml:space="preserve"> </w:t>
      </w:r>
      <w:r>
        <w:rPr>
          <w:rFonts w:ascii="Verdana" w:eastAsia="Verdana" w:hAnsi="Verdana" w:cs="Verdana"/>
          <w:lang w:val="es-ES"/>
        </w:rPr>
        <w:t>aplicación</w:t>
      </w:r>
      <w:r>
        <w:rPr>
          <w:rFonts w:ascii="Verdana" w:eastAsia="Verdana" w:hAnsi="Verdana" w:cs="Verdana"/>
          <w:spacing w:val="-4"/>
          <w:lang w:val="es-ES"/>
        </w:rPr>
        <w:t xml:space="preserve"> </w:t>
      </w:r>
      <w:r>
        <w:rPr>
          <w:rFonts w:ascii="Verdana" w:eastAsia="Verdana" w:hAnsi="Verdana" w:cs="Verdana"/>
          <w:lang w:val="es-ES"/>
        </w:rPr>
        <w:t>a las reglas de derecho público pertinentes (…)”</w:t>
      </w:r>
      <w:r>
        <w:rPr>
          <w:rFonts w:ascii="Verdana" w:eastAsia="Verdana" w:hAnsi="Verdana" w:cs="Verdana"/>
          <w:vertAlign w:val="superscript"/>
          <w:lang w:val="es-ES"/>
        </w:rPr>
        <w:footnoteReference w:id="6"/>
      </w:r>
      <w:r>
        <w:rPr>
          <w:rFonts w:ascii="Verdana" w:eastAsia="Verdana" w:hAnsi="Verdana" w:cs="Verdana"/>
          <w:lang w:val="es-ES"/>
        </w:rPr>
        <w:t xml:space="preserve">. </w:t>
      </w:r>
    </w:p>
    <w:p w14:paraId="44F81E89" w14:textId="77777777" w:rsidR="00B570E4" w:rsidRDefault="00B570E4" w:rsidP="00B570E4">
      <w:pPr>
        <w:widowControl w:val="0"/>
        <w:autoSpaceDE w:val="0"/>
        <w:autoSpaceDN w:val="0"/>
        <w:spacing w:after="0" w:line="276" w:lineRule="auto"/>
        <w:ind w:right="51" w:firstLine="709"/>
        <w:jc w:val="both"/>
        <w:rPr>
          <w:rFonts w:ascii="Verdana" w:hAnsi="Verdana" w:cs="Arial"/>
        </w:rPr>
      </w:pPr>
      <w:r>
        <w:rPr>
          <w:rFonts w:ascii="Verdana" w:hAnsi="Verdana" w:cs="Arial"/>
        </w:rPr>
        <w:t>De acuerdo con la jurisprudencia, lo anterior se justifica en el principio de igualdad, ya que, si el Estado desarrolla actividades similares a los particulares, debe actuar no solo desprovisto de poderes exorbitantes sino también con la misma eficacia y eficiencia que los sujetos de derecho privado. No en vano:</w:t>
      </w:r>
    </w:p>
    <w:p w14:paraId="7DB8529F" w14:textId="77777777" w:rsidR="00B570E4" w:rsidRDefault="00B570E4" w:rsidP="00B570E4">
      <w:pPr>
        <w:spacing w:after="0" w:line="276" w:lineRule="auto"/>
        <w:ind w:firstLine="709"/>
        <w:jc w:val="both"/>
        <w:rPr>
          <w:rFonts w:ascii="Verdana" w:eastAsia="Calibri" w:hAnsi="Verdana" w:cs="Arial"/>
          <w:color w:val="000000" w:themeColor="text1"/>
        </w:rPr>
      </w:pPr>
    </w:p>
    <w:p w14:paraId="23468A56" w14:textId="77777777" w:rsidR="00B570E4" w:rsidRDefault="00B570E4" w:rsidP="00B570E4">
      <w:pPr>
        <w:spacing w:after="0" w:line="240" w:lineRule="auto"/>
        <w:ind w:left="709" w:right="709"/>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 xml:space="preserve">“La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w:t>
      </w:r>
      <w:r>
        <w:rPr>
          <w:rFonts w:ascii="Verdana" w:eastAsia="Calibri" w:hAnsi="Verdana" w:cs="Arial"/>
          <w:color w:val="000000" w:themeColor="text1"/>
          <w:sz w:val="20"/>
          <w:szCs w:val="20"/>
        </w:rPr>
        <w:lastRenderedPageBreak/>
        <w:t>similares, sin tener prerrogativas exorbitantes que atenten contra el derecho a la igualdad ni estar sujetas a procedimientos administrativos que entraben sus actuaciones y las pongan en situación de desventaja frente a sus competidores.</w:t>
      </w:r>
    </w:p>
    <w:p w14:paraId="6435C05C" w14:textId="77777777" w:rsidR="00B570E4" w:rsidRDefault="00B570E4" w:rsidP="00B570E4">
      <w:pPr>
        <w:spacing w:after="0" w:line="240" w:lineRule="auto"/>
        <w:ind w:left="709" w:right="709"/>
        <w:jc w:val="both"/>
        <w:rPr>
          <w:rFonts w:ascii="Verdana" w:eastAsia="Calibri" w:hAnsi="Verdana" w:cs="Arial"/>
          <w:color w:val="000000" w:themeColor="text1"/>
          <w:sz w:val="20"/>
          <w:szCs w:val="20"/>
        </w:rPr>
      </w:pPr>
    </w:p>
    <w:p w14:paraId="7D216F52" w14:textId="77777777" w:rsidR="00B570E4" w:rsidRDefault="00B570E4" w:rsidP="00B570E4">
      <w:pPr>
        <w:spacing w:after="0" w:line="240" w:lineRule="auto"/>
        <w:ind w:left="709" w:right="709"/>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 xml:space="preserve">Se trata pues, de que sus actividades de explotación industrial o comercial se desarrollen con las </w:t>
      </w:r>
      <w:proofErr w:type="gramStart"/>
      <w:r>
        <w:rPr>
          <w:rFonts w:ascii="Verdana" w:eastAsia="Calibri" w:hAnsi="Verdana" w:cs="Arial"/>
          <w:color w:val="000000" w:themeColor="text1"/>
          <w:sz w:val="20"/>
          <w:szCs w:val="20"/>
        </w:rPr>
        <w:t>mismas oportunidades y las mismas ventajas</w:t>
      </w:r>
      <w:proofErr w:type="gramEnd"/>
      <w:r>
        <w:rPr>
          <w:rFonts w:ascii="Verdana" w:eastAsia="Calibri" w:hAnsi="Verdana" w:cs="Arial"/>
          <w:color w:val="000000" w:themeColor="text1"/>
          <w:sz w:val="20"/>
          <w:szCs w:val="20"/>
        </w:rPr>
        <w:t xml:space="preserve"> o desventajas que las adelantadas por aquellos, sin que influya para nada su investidura de entidad estatal; que puedan actuar como particulares, frente a las exigencias de la economía y del mercado.”</w:t>
      </w:r>
    </w:p>
    <w:p w14:paraId="06B89E32" w14:textId="77777777" w:rsidR="00B570E4" w:rsidRDefault="00B570E4" w:rsidP="00B570E4">
      <w:pPr>
        <w:widowControl w:val="0"/>
        <w:autoSpaceDE w:val="0"/>
        <w:autoSpaceDN w:val="0"/>
        <w:spacing w:after="0" w:line="276" w:lineRule="auto"/>
        <w:ind w:right="51" w:firstLine="709"/>
        <w:jc w:val="both"/>
        <w:rPr>
          <w:rFonts w:ascii="Verdana" w:eastAsia="Verdana" w:hAnsi="Verdana" w:cs="Verdana"/>
        </w:rPr>
      </w:pPr>
    </w:p>
    <w:p w14:paraId="73998BF3" w14:textId="77777777" w:rsidR="00B570E4" w:rsidRDefault="00B570E4" w:rsidP="00B570E4">
      <w:pPr>
        <w:widowControl w:val="0"/>
        <w:autoSpaceDE w:val="0"/>
        <w:autoSpaceDN w:val="0"/>
        <w:spacing w:after="120" w:line="276" w:lineRule="auto"/>
        <w:ind w:right="51" w:firstLine="709"/>
        <w:jc w:val="both"/>
        <w:rPr>
          <w:rFonts w:ascii="Verdana" w:eastAsia="Verdana" w:hAnsi="Verdana" w:cs="Verdana"/>
          <w:lang w:val="es-ES"/>
        </w:rPr>
      </w:pPr>
      <w:r>
        <w:rPr>
          <w:rFonts w:ascii="Verdana" w:eastAsia="Verdana" w:hAnsi="Verdana" w:cs="Verdana"/>
          <w:lang w:val="es-ES"/>
        </w:rPr>
        <w:t>Ahora bien, es importante destacar, entonces, que el artículo 14 de la Ley 1150 de 2007,</w:t>
      </w:r>
      <w:r>
        <w:rPr>
          <w:rFonts w:ascii="Verdana" w:eastAsia="Verdana" w:hAnsi="Verdana" w:cs="Verdana"/>
          <w:spacing w:val="-11"/>
          <w:lang w:val="es-ES"/>
        </w:rPr>
        <w:t xml:space="preserve"> </w:t>
      </w:r>
      <w:r>
        <w:rPr>
          <w:rFonts w:ascii="Verdana" w:eastAsia="Verdana" w:hAnsi="Verdana" w:cs="Verdana"/>
          <w:lang w:val="es-ES"/>
        </w:rPr>
        <w:t>modificado</w:t>
      </w:r>
      <w:r>
        <w:rPr>
          <w:rFonts w:ascii="Verdana" w:eastAsia="Verdana" w:hAnsi="Verdana" w:cs="Verdana"/>
          <w:spacing w:val="-10"/>
          <w:lang w:val="es-ES"/>
        </w:rPr>
        <w:t xml:space="preserve"> </w:t>
      </w:r>
      <w:r>
        <w:rPr>
          <w:rFonts w:ascii="Verdana" w:eastAsia="Verdana" w:hAnsi="Verdana" w:cs="Verdana"/>
          <w:lang w:val="es-ES"/>
        </w:rPr>
        <w:t>por</w:t>
      </w:r>
      <w:r>
        <w:rPr>
          <w:rFonts w:ascii="Verdana" w:eastAsia="Verdana" w:hAnsi="Verdana" w:cs="Verdana"/>
          <w:spacing w:val="-10"/>
          <w:lang w:val="es-ES"/>
        </w:rPr>
        <w:t xml:space="preserve"> </w:t>
      </w:r>
      <w:r>
        <w:rPr>
          <w:rFonts w:ascii="Verdana" w:eastAsia="Verdana" w:hAnsi="Verdana" w:cs="Verdana"/>
          <w:lang w:val="es-ES"/>
        </w:rPr>
        <w:t>el</w:t>
      </w:r>
      <w:r>
        <w:rPr>
          <w:rFonts w:ascii="Verdana" w:eastAsia="Verdana" w:hAnsi="Verdana" w:cs="Verdana"/>
          <w:spacing w:val="-11"/>
          <w:lang w:val="es-ES"/>
        </w:rPr>
        <w:t xml:space="preserve"> </w:t>
      </w:r>
      <w:r>
        <w:rPr>
          <w:rFonts w:ascii="Verdana" w:eastAsia="Verdana" w:hAnsi="Verdana" w:cs="Verdana"/>
          <w:lang w:val="es-ES"/>
        </w:rPr>
        <w:t>artículo</w:t>
      </w:r>
      <w:r>
        <w:rPr>
          <w:rFonts w:ascii="Verdana" w:eastAsia="Verdana" w:hAnsi="Verdana" w:cs="Verdana"/>
          <w:spacing w:val="-10"/>
          <w:lang w:val="es-ES"/>
        </w:rPr>
        <w:t xml:space="preserve"> </w:t>
      </w:r>
      <w:r>
        <w:rPr>
          <w:rFonts w:ascii="Verdana" w:eastAsia="Verdana" w:hAnsi="Verdana" w:cs="Verdana"/>
          <w:lang w:val="es-ES"/>
        </w:rPr>
        <w:t>93</w:t>
      </w:r>
      <w:r>
        <w:rPr>
          <w:rFonts w:ascii="Verdana" w:eastAsia="Verdana" w:hAnsi="Verdana" w:cs="Verdana"/>
          <w:spacing w:val="-11"/>
          <w:lang w:val="es-ES"/>
        </w:rPr>
        <w:t xml:space="preserve"> </w:t>
      </w:r>
      <w:r>
        <w:rPr>
          <w:rFonts w:ascii="Verdana" w:eastAsia="Verdana" w:hAnsi="Verdana" w:cs="Verdana"/>
          <w:lang w:val="es-ES"/>
        </w:rPr>
        <w:t>de</w:t>
      </w:r>
      <w:r>
        <w:rPr>
          <w:rFonts w:ascii="Verdana" w:eastAsia="Verdana" w:hAnsi="Verdana" w:cs="Verdana"/>
          <w:spacing w:val="-12"/>
          <w:lang w:val="es-ES"/>
        </w:rPr>
        <w:t xml:space="preserve"> </w:t>
      </w:r>
      <w:r>
        <w:rPr>
          <w:rFonts w:ascii="Verdana" w:eastAsia="Verdana" w:hAnsi="Verdana" w:cs="Verdana"/>
          <w:lang w:val="es-ES"/>
        </w:rPr>
        <w:t>la</w:t>
      </w:r>
      <w:r>
        <w:rPr>
          <w:rFonts w:ascii="Verdana" w:eastAsia="Verdana" w:hAnsi="Verdana" w:cs="Verdana"/>
          <w:spacing w:val="-13"/>
          <w:lang w:val="es-ES"/>
        </w:rPr>
        <w:t xml:space="preserve"> </w:t>
      </w:r>
      <w:r>
        <w:rPr>
          <w:rFonts w:ascii="Verdana" w:eastAsia="Verdana" w:hAnsi="Verdana" w:cs="Verdana"/>
          <w:lang w:val="es-ES"/>
        </w:rPr>
        <w:t>Ley</w:t>
      </w:r>
      <w:r>
        <w:rPr>
          <w:rFonts w:ascii="Verdana" w:eastAsia="Verdana" w:hAnsi="Verdana" w:cs="Verdana"/>
          <w:spacing w:val="-11"/>
          <w:lang w:val="es-ES"/>
        </w:rPr>
        <w:t xml:space="preserve"> </w:t>
      </w:r>
      <w:r>
        <w:rPr>
          <w:rFonts w:ascii="Verdana" w:eastAsia="Verdana" w:hAnsi="Verdana" w:cs="Verdana"/>
          <w:lang w:val="es-ES"/>
        </w:rPr>
        <w:t>1474</w:t>
      </w:r>
      <w:r>
        <w:rPr>
          <w:rFonts w:ascii="Verdana" w:eastAsia="Verdana" w:hAnsi="Verdana" w:cs="Verdana"/>
          <w:spacing w:val="-11"/>
          <w:lang w:val="es-ES"/>
        </w:rPr>
        <w:t xml:space="preserve"> </w:t>
      </w:r>
      <w:r>
        <w:rPr>
          <w:rFonts w:ascii="Verdana" w:eastAsia="Verdana" w:hAnsi="Verdana" w:cs="Verdana"/>
          <w:lang w:val="es-ES"/>
        </w:rPr>
        <w:t>de</w:t>
      </w:r>
      <w:r>
        <w:rPr>
          <w:rFonts w:ascii="Verdana" w:eastAsia="Verdana" w:hAnsi="Verdana" w:cs="Verdana"/>
          <w:spacing w:val="-12"/>
          <w:lang w:val="es-ES"/>
        </w:rPr>
        <w:t xml:space="preserve"> </w:t>
      </w:r>
      <w:r>
        <w:rPr>
          <w:rFonts w:ascii="Verdana" w:eastAsia="Verdana" w:hAnsi="Verdana" w:cs="Verdana"/>
          <w:lang w:val="es-ES"/>
        </w:rPr>
        <w:t>2011,</w:t>
      </w:r>
      <w:r>
        <w:rPr>
          <w:rFonts w:ascii="Verdana" w:eastAsia="Verdana" w:hAnsi="Verdana" w:cs="Verdana"/>
          <w:spacing w:val="-11"/>
          <w:lang w:val="es-ES"/>
        </w:rPr>
        <w:t xml:space="preserve"> </w:t>
      </w:r>
      <w:r>
        <w:rPr>
          <w:rFonts w:ascii="Verdana" w:eastAsia="Verdana" w:hAnsi="Verdana" w:cs="Verdana"/>
          <w:lang w:val="es-ES"/>
        </w:rPr>
        <w:t>esclareció</w:t>
      </w:r>
      <w:r>
        <w:rPr>
          <w:rFonts w:ascii="Verdana" w:eastAsia="Verdana" w:hAnsi="Verdana" w:cs="Verdana"/>
          <w:spacing w:val="-10"/>
          <w:lang w:val="es-ES"/>
        </w:rPr>
        <w:t xml:space="preserve"> </w:t>
      </w:r>
      <w:r>
        <w:rPr>
          <w:rFonts w:ascii="Verdana" w:eastAsia="Verdana" w:hAnsi="Verdana" w:cs="Verdana"/>
          <w:lang w:val="es-ES"/>
        </w:rPr>
        <w:t>las</w:t>
      </w:r>
      <w:r>
        <w:rPr>
          <w:rFonts w:ascii="Verdana" w:eastAsia="Verdana" w:hAnsi="Verdana" w:cs="Verdana"/>
          <w:spacing w:val="-11"/>
          <w:lang w:val="es-ES"/>
        </w:rPr>
        <w:t xml:space="preserve"> </w:t>
      </w:r>
      <w:r>
        <w:rPr>
          <w:rFonts w:ascii="Verdana" w:eastAsia="Verdana" w:hAnsi="Verdana" w:cs="Verdana"/>
          <w:lang w:val="es-ES"/>
        </w:rPr>
        <w:t>dudas que producía el confuso artículo 93 de la Ley 489 de 1998 a propósito del régimen contractual de estas entidades. Por lo tanto, las Empresas Industriales y Comerciales del Estado, las Sociedades de Economía Mixta, sus filiales y las Sociedades entre Entidades Públicas en las que el Estado tenga participación superior al cincuenta por ciento (50%), están sometidas, por regla general, al Estatuto</w:t>
      </w:r>
      <w:r>
        <w:rPr>
          <w:rFonts w:ascii="Verdana" w:eastAsia="Verdana" w:hAnsi="Verdana" w:cs="Verdana"/>
          <w:spacing w:val="-8"/>
          <w:lang w:val="es-ES"/>
        </w:rPr>
        <w:t xml:space="preserve"> </w:t>
      </w:r>
      <w:r>
        <w:rPr>
          <w:rFonts w:ascii="Verdana" w:eastAsia="Verdana" w:hAnsi="Verdana" w:cs="Verdana"/>
          <w:lang w:val="es-ES"/>
        </w:rPr>
        <w:t>General</w:t>
      </w:r>
      <w:r>
        <w:rPr>
          <w:rFonts w:ascii="Verdana" w:eastAsia="Verdana" w:hAnsi="Verdana" w:cs="Verdana"/>
          <w:spacing w:val="-9"/>
          <w:lang w:val="es-ES"/>
        </w:rPr>
        <w:t xml:space="preserve"> </w:t>
      </w:r>
      <w:r>
        <w:rPr>
          <w:rFonts w:ascii="Verdana" w:eastAsia="Verdana" w:hAnsi="Verdana" w:cs="Verdana"/>
          <w:lang w:val="es-ES"/>
        </w:rPr>
        <w:t>de</w:t>
      </w:r>
      <w:r>
        <w:rPr>
          <w:rFonts w:ascii="Verdana" w:eastAsia="Verdana" w:hAnsi="Verdana" w:cs="Verdana"/>
          <w:spacing w:val="-10"/>
          <w:lang w:val="es-ES"/>
        </w:rPr>
        <w:t xml:space="preserve"> </w:t>
      </w:r>
      <w:r>
        <w:rPr>
          <w:rFonts w:ascii="Verdana" w:eastAsia="Verdana" w:hAnsi="Verdana" w:cs="Verdana"/>
          <w:lang w:val="es-ES"/>
        </w:rPr>
        <w:t>Contratación</w:t>
      </w:r>
      <w:r>
        <w:rPr>
          <w:rFonts w:ascii="Verdana" w:eastAsia="Verdana" w:hAnsi="Verdana" w:cs="Verdana"/>
          <w:spacing w:val="-9"/>
          <w:lang w:val="es-ES"/>
        </w:rPr>
        <w:t xml:space="preserve"> </w:t>
      </w:r>
      <w:r>
        <w:rPr>
          <w:rFonts w:ascii="Verdana" w:eastAsia="Verdana" w:hAnsi="Verdana" w:cs="Verdana"/>
          <w:lang w:val="es-ES"/>
        </w:rPr>
        <w:t>de</w:t>
      </w:r>
      <w:r>
        <w:rPr>
          <w:rFonts w:ascii="Verdana" w:eastAsia="Verdana" w:hAnsi="Verdana" w:cs="Verdana"/>
          <w:spacing w:val="-10"/>
          <w:lang w:val="es-ES"/>
        </w:rPr>
        <w:t xml:space="preserve"> </w:t>
      </w:r>
      <w:r>
        <w:rPr>
          <w:rFonts w:ascii="Verdana" w:eastAsia="Verdana" w:hAnsi="Verdana" w:cs="Verdana"/>
          <w:lang w:val="es-ES"/>
        </w:rPr>
        <w:t>la</w:t>
      </w:r>
      <w:r>
        <w:rPr>
          <w:rFonts w:ascii="Verdana" w:eastAsia="Verdana" w:hAnsi="Verdana" w:cs="Verdana"/>
          <w:spacing w:val="-11"/>
          <w:lang w:val="es-ES"/>
        </w:rPr>
        <w:t xml:space="preserve"> </w:t>
      </w:r>
      <w:r>
        <w:rPr>
          <w:rFonts w:ascii="Verdana" w:eastAsia="Verdana" w:hAnsi="Verdana" w:cs="Verdana"/>
          <w:lang w:val="es-ES"/>
        </w:rPr>
        <w:t>Administración</w:t>
      </w:r>
      <w:r>
        <w:rPr>
          <w:rFonts w:ascii="Verdana" w:eastAsia="Verdana" w:hAnsi="Verdana" w:cs="Verdana"/>
          <w:spacing w:val="-9"/>
          <w:lang w:val="es-ES"/>
        </w:rPr>
        <w:t xml:space="preserve"> </w:t>
      </w:r>
      <w:r>
        <w:rPr>
          <w:rFonts w:ascii="Verdana" w:eastAsia="Verdana" w:hAnsi="Verdana" w:cs="Verdana"/>
          <w:lang w:val="es-ES"/>
        </w:rPr>
        <w:t>Pública,</w:t>
      </w:r>
      <w:r>
        <w:rPr>
          <w:rFonts w:ascii="Verdana" w:eastAsia="Verdana" w:hAnsi="Verdana" w:cs="Verdana"/>
          <w:spacing w:val="-9"/>
          <w:lang w:val="es-ES"/>
        </w:rPr>
        <w:t xml:space="preserve"> </w:t>
      </w:r>
      <w:r>
        <w:rPr>
          <w:rFonts w:ascii="Verdana" w:eastAsia="Verdana" w:hAnsi="Verdana" w:cs="Verdana"/>
          <w:lang w:val="es-ES"/>
        </w:rPr>
        <w:t>excepto</w:t>
      </w:r>
      <w:r>
        <w:rPr>
          <w:rFonts w:ascii="Verdana" w:eastAsia="Verdana" w:hAnsi="Verdana" w:cs="Verdana"/>
          <w:spacing w:val="-8"/>
          <w:lang w:val="es-ES"/>
        </w:rPr>
        <w:t xml:space="preserve"> </w:t>
      </w:r>
      <w:r>
        <w:rPr>
          <w:rFonts w:ascii="Verdana" w:eastAsia="Verdana" w:hAnsi="Verdana" w:cs="Verdana"/>
          <w:lang w:val="es-ES"/>
        </w:rPr>
        <w:t xml:space="preserve">aquellas Empresas Industriales y Comerciales del Estado que: i) desarrollen actividades comerciales en competencia con el sector privado y/o público, nacional o internacional o </w:t>
      </w:r>
      <w:proofErr w:type="spellStart"/>
      <w:r>
        <w:rPr>
          <w:rFonts w:ascii="Verdana" w:eastAsia="Verdana" w:hAnsi="Verdana" w:cs="Verdana"/>
          <w:lang w:val="es-ES"/>
        </w:rPr>
        <w:t>ii</w:t>
      </w:r>
      <w:proofErr w:type="spellEnd"/>
      <w:r>
        <w:rPr>
          <w:rFonts w:ascii="Verdana" w:eastAsia="Verdana" w:hAnsi="Verdana" w:cs="Verdana"/>
          <w:lang w:val="es-ES"/>
        </w:rPr>
        <w:t>) desarrollen actividades en mercados regulados, eventos en los cuales</w:t>
      </w:r>
      <w:r>
        <w:rPr>
          <w:rFonts w:ascii="Verdana" w:eastAsia="Verdana" w:hAnsi="Verdana" w:cs="Verdana"/>
          <w:spacing w:val="-19"/>
          <w:lang w:val="es-ES"/>
        </w:rPr>
        <w:t xml:space="preserve"> </w:t>
      </w:r>
      <w:r>
        <w:rPr>
          <w:rFonts w:ascii="Verdana" w:eastAsia="Verdana" w:hAnsi="Verdana" w:cs="Verdana"/>
          <w:lang w:val="es-ES"/>
        </w:rPr>
        <w:t>ellas</w:t>
      </w:r>
      <w:r>
        <w:rPr>
          <w:rFonts w:ascii="Verdana" w:eastAsia="Verdana" w:hAnsi="Verdana" w:cs="Verdana"/>
          <w:spacing w:val="-19"/>
          <w:lang w:val="es-ES"/>
        </w:rPr>
        <w:t xml:space="preserve"> </w:t>
      </w:r>
      <w:r>
        <w:rPr>
          <w:rFonts w:ascii="Verdana" w:eastAsia="Verdana" w:hAnsi="Verdana" w:cs="Verdana"/>
          <w:lang w:val="es-ES"/>
        </w:rPr>
        <w:t>se</w:t>
      </w:r>
      <w:r>
        <w:rPr>
          <w:rFonts w:ascii="Verdana" w:eastAsia="Verdana" w:hAnsi="Verdana" w:cs="Verdana"/>
          <w:spacing w:val="-20"/>
          <w:lang w:val="es-ES"/>
        </w:rPr>
        <w:t xml:space="preserve"> </w:t>
      </w:r>
      <w:r>
        <w:rPr>
          <w:rFonts w:ascii="Verdana" w:eastAsia="Verdana" w:hAnsi="Verdana" w:cs="Verdana"/>
          <w:lang w:val="es-ES"/>
        </w:rPr>
        <w:t>rigen</w:t>
      </w:r>
      <w:r>
        <w:rPr>
          <w:rFonts w:ascii="Verdana" w:eastAsia="Verdana" w:hAnsi="Verdana" w:cs="Verdana"/>
          <w:spacing w:val="-14"/>
          <w:lang w:val="es-ES"/>
        </w:rPr>
        <w:t xml:space="preserve"> </w:t>
      </w:r>
      <w:r>
        <w:rPr>
          <w:rFonts w:ascii="Verdana" w:eastAsia="Verdana" w:hAnsi="Verdana" w:cs="Verdana"/>
          <w:lang w:val="es-ES"/>
        </w:rPr>
        <w:t>por</w:t>
      </w:r>
      <w:r>
        <w:rPr>
          <w:rFonts w:ascii="Verdana" w:eastAsia="Verdana" w:hAnsi="Verdana" w:cs="Verdana"/>
          <w:spacing w:val="-18"/>
          <w:lang w:val="es-ES"/>
        </w:rPr>
        <w:t xml:space="preserve"> </w:t>
      </w:r>
      <w:r>
        <w:rPr>
          <w:rFonts w:ascii="Verdana" w:eastAsia="Verdana" w:hAnsi="Verdana" w:cs="Verdana"/>
          <w:lang w:val="es-ES"/>
        </w:rPr>
        <w:t>las</w:t>
      </w:r>
      <w:r>
        <w:rPr>
          <w:rFonts w:ascii="Verdana" w:eastAsia="Verdana" w:hAnsi="Verdana" w:cs="Verdana"/>
          <w:spacing w:val="-19"/>
          <w:lang w:val="es-ES"/>
        </w:rPr>
        <w:t xml:space="preserve"> </w:t>
      </w:r>
      <w:r>
        <w:rPr>
          <w:rFonts w:ascii="Verdana" w:eastAsia="Verdana" w:hAnsi="Verdana" w:cs="Verdana"/>
          <w:lang w:val="es-ES"/>
        </w:rPr>
        <w:t>disposiciones</w:t>
      </w:r>
      <w:r>
        <w:rPr>
          <w:rFonts w:ascii="Verdana" w:eastAsia="Verdana" w:hAnsi="Verdana" w:cs="Verdana"/>
          <w:spacing w:val="-19"/>
          <w:lang w:val="es-ES"/>
        </w:rPr>
        <w:t xml:space="preserve"> </w:t>
      </w:r>
      <w:r>
        <w:rPr>
          <w:rFonts w:ascii="Verdana" w:eastAsia="Verdana" w:hAnsi="Verdana" w:cs="Verdana"/>
          <w:lang w:val="es-ES"/>
        </w:rPr>
        <w:t>que</w:t>
      </w:r>
      <w:r>
        <w:rPr>
          <w:rFonts w:ascii="Verdana" w:eastAsia="Verdana" w:hAnsi="Verdana" w:cs="Verdana"/>
          <w:spacing w:val="-15"/>
          <w:lang w:val="es-ES"/>
        </w:rPr>
        <w:t xml:space="preserve"> </w:t>
      </w:r>
      <w:r>
        <w:rPr>
          <w:rFonts w:ascii="Verdana" w:eastAsia="Verdana" w:hAnsi="Verdana" w:cs="Verdana"/>
          <w:lang w:val="es-ES"/>
        </w:rPr>
        <w:t>regulen</w:t>
      </w:r>
      <w:r>
        <w:rPr>
          <w:rFonts w:ascii="Verdana" w:eastAsia="Verdana" w:hAnsi="Verdana" w:cs="Verdana"/>
          <w:spacing w:val="-19"/>
          <w:lang w:val="es-ES"/>
        </w:rPr>
        <w:t xml:space="preserve"> </w:t>
      </w:r>
      <w:r>
        <w:rPr>
          <w:rFonts w:ascii="Verdana" w:eastAsia="Verdana" w:hAnsi="Verdana" w:cs="Verdana"/>
          <w:lang w:val="es-ES"/>
        </w:rPr>
        <w:t>su</w:t>
      </w:r>
      <w:r>
        <w:rPr>
          <w:rFonts w:ascii="Verdana" w:eastAsia="Verdana" w:hAnsi="Verdana" w:cs="Verdana"/>
          <w:spacing w:val="-18"/>
          <w:lang w:val="es-ES"/>
        </w:rPr>
        <w:t xml:space="preserve"> </w:t>
      </w:r>
      <w:r>
        <w:rPr>
          <w:rFonts w:ascii="Verdana" w:eastAsia="Verdana" w:hAnsi="Verdana" w:cs="Verdana"/>
          <w:lang w:val="es-ES"/>
        </w:rPr>
        <w:t>actividad.</w:t>
      </w:r>
    </w:p>
    <w:p w14:paraId="649AD46C" w14:textId="77777777" w:rsidR="00B570E4" w:rsidRPr="00912014" w:rsidRDefault="00B570E4" w:rsidP="00B570E4">
      <w:pPr>
        <w:spacing w:after="120" w:line="276" w:lineRule="auto"/>
        <w:ind w:firstLine="709"/>
        <w:jc w:val="both"/>
        <w:rPr>
          <w:rFonts w:ascii="Verdana" w:eastAsia="Calibri" w:hAnsi="Verdana" w:cs="Arial"/>
          <w:color w:val="000000"/>
          <w:lang w:val="es-ES_tradnl" w:eastAsia="es-ES_tradnl"/>
        </w:rPr>
      </w:pPr>
      <w:r>
        <w:rPr>
          <w:rFonts w:ascii="Verdana" w:eastAsia="Calibri" w:hAnsi="Verdana" w:cs="Arial"/>
          <w:color w:val="000000"/>
          <w:lang w:val="es-ES_tradnl" w:eastAsia="es-ES_tradnl"/>
        </w:rPr>
        <w:t>Respecto de las Sociedades de Economía Mixta, l</w:t>
      </w:r>
      <w:r w:rsidRPr="007D55EC">
        <w:rPr>
          <w:rFonts w:ascii="Verdana" w:eastAsia="Calibri" w:hAnsi="Verdana" w:cs="Arial"/>
          <w:color w:val="000000"/>
          <w:lang w:val="es-ES_tradnl" w:eastAsia="es-ES_tradnl"/>
        </w:rPr>
        <w:t>o anterior se complementa con el parágrafo único del artículo 97 de la Ley 489 de 1998</w:t>
      </w:r>
      <w:r w:rsidRPr="007D55EC">
        <w:rPr>
          <w:rFonts w:ascii="Verdana" w:eastAsia="Calibri" w:hAnsi="Verdana" w:cs="Arial"/>
          <w:color w:val="000000"/>
          <w:vertAlign w:val="superscript"/>
          <w:lang w:val="es-ES_tradnl" w:eastAsia="es-ES_tradnl"/>
        </w:rPr>
        <w:footnoteReference w:id="7"/>
      </w:r>
      <w:r w:rsidRPr="007D55EC">
        <w:rPr>
          <w:rFonts w:ascii="Verdana" w:eastAsia="Calibri" w:hAnsi="Verdana" w:cs="Arial"/>
          <w:color w:val="000000"/>
          <w:lang w:val="es-ES_tradnl" w:eastAsia="es-ES_tradnl"/>
        </w:rPr>
        <w:t xml:space="preserve">, en la medida que dicho parágrafo remite al régimen de las actividades y los servidores públicos de las empresas industriales y comerciales en aquellos eventos en los que </w:t>
      </w:r>
      <w:r w:rsidRPr="007D55EC">
        <w:rPr>
          <w:rFonts w:ascii="Verdana" w:hAnsi="Verdana" w:cs="Arial"/>
          <w:lang w:eastAsia="es-MX"/>
        </w:rPr>
        <w:t xml:space="preserve">las </w:t>
      </w:r>
      <w:r>
        <w:rPr>
          <w:rFonts w:ascii="Verdana" w:hAnsi="Verdana" w:cs="Arial"/>
          <w:lang w:eastAsia="es-MX"/>
        </w:rPr>
        <w:t>Sociedades de Economía Mixta</w:t>
      </w:r>
      <w:r w:rsidRPr="007D55EC">
        <w:rPr>
          <w:rFonts w:ascii="Verdana" w:hAnsi="Verdana" w:cs="Arial"/>
          <w:lang w:eastAsia="es-MX"/>
        </w:rPr>
        <w:t xml:space="preserve"> tienen un aporte de la Nación, de entidades territoriales y de entidades descentralizadas, igual o superior al noventa (90%) del capital social. Tal como se infiere del artículo 14 de la Ley 1150 de 2007 tratándose del régimen jurídico aplicable en materia de contratos aplican las mismas reglas tanto para </w:t>
      </w:r>
      <w:r>
        <w:rPr>
          <w:rFonts w:ascii="Verdana" w:hAnsi="Verdana" w:cs="Arial"/>
          <w:lang w:eastAsia="es-MX"/>
        </w:rPr>
        <w:t>Empresas Industriales y Comerciales del Estado</w:t>
      </w:r>
      <w:r w:rsidRPr="007D55EC">
        <w:rPr>
          <w:rFonts w:ascii="Verdana" w:hAnsi="Verdana" w:cs="Arial"/>
          <w:lang w:eastAsia="es-MX"/>
        </w:rPr>
        <w:t xml:space="preserve"> como para </w:t>
      </w:r>
      <w:r>
        <w:rPr>
          <w:rFonts w:ascii="Verdana" w:hAnsi="Verdana" w:cs="Arial"/>
          <w:lang w:eastAsia="es-MX"/>
        </w:rPr>
        <w:t>Sociedades de Economía Mixta</w:t>
      </w:r>
      <w:r w:rsidRPr="007D55EC">
        <w:rPr>
          <w:rFonts w:ascii="Verdana" w:hAnsi="Verdana" w:cs="Arial"/>
          <w:lang w:eastAsia="es-MX"/>
        </w:rPr>
        <w:t xml:space="preserve"> en las que el Estado tenga una participación mayor al cincuenta por ciento (50%).</w:t>
      </w:r>
    </w:p>
    <w:p w14:paraId="22D429D9" w14:textId="77777777" w:rsidR="00B570E4" w:rsidRPr="00D3378D" w:rsidRDefault="00B570E4" w:rsidP="00B570E4">
      <w:pPr>
        <w:spacing w:after="120" w:line="276" w:lineRule="auto"/>
        <w:jc w:val="both"/>
        <w:rPr>
          <w:rFonts w:ascii="Verdana" w:hAnsi="Verdana" w:cs="Arial"/>
          <w:lang w:val="es-ES"/>
        </w:rPr>
      </w:pPr>
      <w:proofErr w:type="spellStart"/>
      <w:r w:rsidRPr="13F13DAC">
        <w:rPr>
          <w:rFonts w:ascii="Verdana" w:eastAsia="Calibri" w:hAnsi="Verdana" w:cs="Arial"/>
          <w:lang w:val="es-ES" w:eastAsia="es-ES"/>
        </w:rPr>
        <w:lastRenderedPageBreak/>
        <w:t>ii</w:t>
      </w:r>
      <w:proofErr w:type="spellEnd"/>
      <w:r w:rsidRPr="13F13DAC">
        <w:rPr>
          <w:rFonts w:ascii="Verdana" w:eastAsia="Calibri" w:hAnsi="Verdana" w:cs="Arial"/>
          <w:lang w:val="es-ES" w:eastAsia="es-ES"/>
        </w:rPr>
        <w:t xml:space="preserve">. Ahora bien, en relación con la exigencia del RUP, es pertinente indicar que </w:t>
      </w:r>
      <w:r w:rsidRPr="13F13DAC">
        <w:rPr>
          <w:rFonts w:ascii="Verdana" w:hAnsi="Verdana" w:cs="Arial"/>
          <w:lang w:val="es-ES"/>
        </w:rPr>
        <w:t>aunque el artículo 6 de la Ley 1150 de 2007, modificado por el artículo 221 del Decreto 19 de 2012, establece la regla general de que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 asimismo incorpora algunas excepciones en el segundo inciso. Sin embargo, tales excepciones a la obligación de inscribirse en el RUP son taxativas y se rigen por una interpretación restrictiva. Así lo establece el artículo 2.2.1.1.1.5.1 del Decreto 1082 de 2015, al disponer que la inscripción en el RUP es imperativa para los sujetos mencionados en el primer inciso del artículo 6 de la Ley 1150 de 2007, “[…] salvo las excepciones previstas de forma taxativa en la ley”.</w:t>
      </w:r>
    </w:p>
    <w:p w14:paraId="405631EA" w14:textId="77777777" w:rsidR="00B570E4" w:rsidRPr="00D3378D" w:rsidRDefault="00B570E4" w:rsidP="00B570E4">
      <w:pPr>
        <w:spacing w:after="120" w:line="276" w:lineRule="auto"/>
        <w:ind w:firstLine="709"/>
        <w:jc w:val="both"/>
        <w:rPr>
          <w:rFonts w:ascii="Verdana" w:hAnsi="Verdana" w:cs="Arial"/>
          <w:lang w:val="es-ES"/>
        </w:rPr>
      </w:pPr>
      <w:r w:rsidRPr="13F13DAC">
        <w:rPr>
          <w:rFonts w:ascii="Verdana" w:hAnsi="Verdana" w:cs="Arial"/>
          <w:lang w:val="es-ES"/>
        </w:rPr>
        <w:t xml:space="preserve">En este sentido, </w:t>
      </w:r>
      <w:bookmarkStart w:id="3" w:name="_Hlk135067620"/>
      <w:r w:rsidRPr="13F13DAC">
        <w:rPr>
          <w:rFonts w:ascii="Verdana" w:hAnsi="Verdana" w:cs="Arial"/>
          <w:lang w:val="es-ES"/>
        </w:rPr>
        <w:t xml:space="preserve">las Empresas Industriales y Comerciales del Estado que pretendan participar y las Sociedades de Economía Mixta, en calidad de oferentes, en los procesos de selección abiertos por las entidades estatales que se rigen por el Estatuto General de Contratación de la Administración Pública, en principio, deben estar inscritas en el RUP, salvo que el contrato que vayan a celebrar, como contratistas, esté exceptuado por el segundo inciso del artículo 6 de la Ley 1150 de 2007. Por ejemplo, si la Empresa Industrial y Comercial del Estado quiere participar en un procedimiento de licitación pública convocado por una entidad estatal sometida al Estatuto General de Contratación de la Administración Pública, aquella debe estar inscrita en el RUP. En cambio, si desea participar en un procedimiento de selección de </w:t>
      </w:r>
      <w:r w:rsidRPr="13F13DAC">
        <w:rPr>
          <w:rFonts w:ascii="Verdana" w:hAnsi="Verdana" w:cs="Arial"/>
          <w:i/>
          <w:lang w:val="es-ES"/>
        </w:rPr>
        <w:t>mínima cuantía</w:t>
      </w:r>
      <w:r w:rsidRPr="13F13DAC">
        <w:rPr>
          <w:rFonts w:ascii="Verdana" w:hAnsi="Verdana" w:cs="Arial"/>
          <w:lang w:val="es-ES"/>
        </w:rPr>
        <w:t xml:space="preserve"> o celebrar un contrato interadministrativo de manera </w:t>
      </w:r>
      <w:r w:rsidRPr="13F13DAC">
        <w:rPr>
          <w:rFonts w:ascii="Verdana" w:hAnsi="Verdana" w:cs="Arial"/>
          <w:i/>
          <w:lang w:val="es-ES"/>
        </w:rPr>
        <w:t>directa</w:t>
      </w:r>
      <w:r w:rsidRPr="13F13DAC">
        <w:rPr>
          <w:rFonts w:ascii="Verdana" w:hAnsi="Verdana" w:cs="Arial"/>
          <w:lang w:val="es-ES"/>
        </w:rPr>
        <w:t>, no está obligada a estar inscrita en el RUP, porque el segundo inciso del artículo 6 de la Ley 1150 de 2007 dispone que “No se requerirá de este registro, ni de clasificación, en los casos de contratación directa; […]; contratos de mínima cuantía; […]”, entre otros eventos.</w:t>
      </w:r>
      <w:bookmarkEnd w:id="3"/>
    </w:p>
    <w:p w14:paraId="45C5ADCE" w14:textId="77777777" w:rsidR="00B570E4" w:rsidRPr="00D3378D" w:rsidRDefault="00B570E4" w:rsidP="00B570E4">
      <w:pPr>
        <w:spacing w:after="120" w:line="276" w:lineRule="auto"/>
        <w:ind w:firstLine="709"/>
        <w:jc w:val="both"/>
        <w:rPr>
          <w:rFonts w:ascii="Verdana" w:hAnsi="Verdana" w:cs="Arial"/>
          <w:lang w:val="es-ES"/>
        </w:rPr>
      </w:pPr>
      <w:r w:rsidRPr="13F13DAC">
        <w:rPr>
          <w:rFonts w:ascii="Verdana" w:hAnsi="Verdana" w:cs="Arial"/>
          <w:lang w:val="es-ES"/>
        </w:rPr>
        <w:t xml:space="preserve">Por ello, las Empresas Industriales y Comerciales del Estado, que tengan el propósito de actuar como oferentes y eventuales contratistas de las entidades estatales que se rigen por la Ley 80 de 1993, la Ley 1150 de 2007 y demás disposiciones normativas complementarias, deben –salvo excepción legal– estar inscritas en el RUP, pues dichas empresas son personas jurídicas domiciliadas en Colombia. Esto por cuanto una empresa industrial y comercial del Estado es una entidad descentralizada por servicios y, en consecuencia, reúne los tres </w:t>
      </w:r>
      <w:r w:rsidRPr="13F13DAC">
        <w:rPr>
          <w:rFonts w:ascii="Verdana" w:hAnsi="Verdana" w:cs="Arial"/>
          <w:lang w:val="es-ES"/>
        </w:rPr>
        <w:lastRenderedPageBreak/>
        <w:t xml:space="preserve">atributos principales de la descentralización: i) personería jurídica, </w:t>
      </w:r>
      <w:proofErr w:type="spellStart"/>
      <w:r w:rsidRPr="13F13DAC">
        <w:rPr>
          <w:rFonts w:ascii="Verdana" w:hAnsi="Verdana" w:cs="Arial"/>
          <w:lang w:val="es-ES"/>
        </w:rPr>
        <w:t>ii</w:t>
      </w:r>
      <w:proofErr w:type="spellEnd"/>
      <w:r w:rsidRPr="13F13DAC">
        <w:rPr>
          <w:rFonts w:ascii="Verdana" w:hAnsi="Verdana" w:cs="Arial"/>
          <w:lang w:val="es-ES"/>
        </w:rPr>
        <w:t xml:space="preserve">) autonomía administrativa y financiera, y </w:t>
      </w:r>
      <w:proofErr w:type="spellStart"/>
      <w:r w:rsidRPr="13F13DAC">
        <w:rPr>
          <w:rFonts w:ascii="Verdana" w:hAnsi="Verdana" w:cs="Arial"/>
          <w:lang w:val="es-ES"/>
        </w:rPr>
        <w:t>iii</w:t>
      </w:r>
      <w:proofErr w:type="spellEnd"/>
      <w:r w:rsidRPr="13F13DAC">
        <w:rPr>
          <w:rFonts w:ascii="Verdana" w:hAnsi="Verdana" w:cs="Arial"/>
          <w:lang w:val="es-ES"/>
        </w:rPr>
        <w:t xml:space="preserve">) patrimonio propio. En efecto, el artículo 85 de la Ley 489 de 1998 expresa que: </w:t>
      </w:r>
    </w:p>
    <w:p w14:paraId="4BA9A2D5" w14:textId="77777777" w:rsidR="00B570E4" w:rsidRPr="00D3378D" w:rsidRDefault="00B570E4" w:rsidP="00B570E4">
      <w:pPr>
        <w:spacing w:after="0" w:line="276" w:lineRule="auto"/>
        <w:ind w:firstLine="709"/>
        <w:jc w:val="both"/>
        <w:rPr>
          <w:rFonts w:ascii="Verdana" w:hAnsi="Verdana" w:cs="Arial"/>
          <w:lang w:val="es-ES_tradnl"/>
        </w:rPr>
      </w:pPr>
    </w:p>
    <w:p w14:paraId="45D8ADE7" w14:textId="77777777" w:rsidR="00B570E4" w:rsidRPr="001E68A8" w:rsidRDefault="00B570E4" w:rsidP="00B570E4">
      <w:pPr>
        <w:spacing w:after="120" w:line="240" w:lineRule="auto"/>
        <w:ind w:left="709" w:right="709"/>
        <w:jc w:val="both"/>
        <w:rPr>
          <w:rFonts w:ascii="Verdana" w:hAnsi="Verdana" w:cs="Arial"/>
          <w:sz w:val="20"/>
          <w:szCs w:val="20"/>
          <w:lang w:val="es-ES_tradnl"/>
        </w:rPr>
      </w:pPr>
      <w:r w:rsidRPr="001E68A8">
        <w:rPr>
          <w:rFonts w:ascii="Verdana" w:hAnsi="Verdana" w:cs="Arial"/>
          <w:sz w:val="20"/>
          <w:szCs w:val="20"/>
          <w:lang w:val="es-ES_tradnl"/>
        </w:rPr>
        <w:t xml:space="preserve">“Las </w:t>
      </w:r>
      <w:r>
        <w:rPr>
          <w:rFonts w:ascii="Verdana" w:hAnsi="Verdana" w:cs="Arial"/>
          <w:sz w:val="20"/>
          <w:szCs w:val="20"/>
          <w:lang w:val="es-ES_tradnl"/>
        </w:rPr>
        <w:t>Empresas Industriales y Comerciales del Estado</w:t>
      </w:r>
      <w:r w:rsidRPr="001E68A8">
        <w:rPr>
          <w:rFonts w:ascii="Verdana" w:hAnsi="Verdana" w:cs="Arial"/>
          <w:sz w:val="20"/>
          <w:szCs w:val="20"/>
          <w:lang w:val="es-ES_tradnl"/>
        </w:rPr>
        <w:t xml:space="preserve"> son organismos creados por la ley o autorizados por ésta, que desarrollan actividades de naturaleza industrial o comercial y de gestión económica conforme a las reglas del Derecho Privado, salvo las excepciones que consagra la ley, y que reúnen las siguientes características:</w:t>
      </w:r>
    </w:p>
    <w:p w14:paraId="24945FAB" w14:textId="77777777" w:rsidR="00B570E4" w:rsidRPr="001E68A8" w:rsidRDefault="00B570E4" w:rsidP="00B570E4">
      <w:pPr>
        <w:spacing w:after="120" w:line="240" w:lineRule="auto"/>
        <w:ind w:left="709" w:right="709"/>
        <w:jc w:val="both"/>
        <w:rPr>
          <w:rFonts w:ascii="Verdana" w:hAnsi="Verdana" w:cs="Arial"/>
          <w:sz w:val="20"/>
          <w:szCs w:val="20"/>
          <w:lang w:val="es-ES_tradnl"/>
        </w:rPr>
      </w:pPr>
      <w:r w:rsidRPr="001E68A8">
        <w:rPr>
          <w:rFonts w:ascii="Verdana" w:hAnsi="Verdana" w:cs="Arial"/>
          <w:sz w:val="20"/>
          <w:szCs w:val="20"/>
          <w:lang w:val="es-ES_tradnl"/>
        </w:rPr>
        <w:t>a) Personería jurídica;</w:t>
      </w:r>
    </w:p>
    <w:p w14:paraId="6B26FA69" w14:textId="77777777" w:rsidR="00B570E4" w:rsidRPr="001E68A8" w:rsidRDefault="00B570E4" w:rsidP="00B570E4">
      <w:pPr>
        <w:spacing w:after="120" w:line="240" w:lineRule="auto"/>
        <w:ind w:left="709" w:right="709"/>
        <w:jc w:val="both"/>
        <w:rPr>
          <w:rFonts w:ascii="Verdana" w:hAnsi="Verdana" w:cs="Arial"/>
          <w:sz w:val="20"/>
          <w:szCs w:val="20"/>
          <w:lang w:val="es-ES_tradnl"/>
        </w:rPr>
      </w:pPr>
      <w:r w:rsidRPr="001E68A8">
        <w:rPr>
          <w:rFonts w:ascii="Verdana" w:hAnsi="Verdana" w:cs="Arial"/>
          <w:sz w:val="20"/>
          <w:szCs w:val="20"/>
          <w:lang w:val="es-ES_tradnl"/>
        </w:rPr>
        <w:t>b) Autonomía administrativa y financiera;</w:t>
      </w:r>
    </w:p>
    <w:p w14:paraId="51617F6F" w14:textId="77777777" w:rsidR="00B570E4" w:rsidRPr="001E68A8" w:rsidRDefault="00B570E4" w:rsidP="00B570E4">
      <w:pPr>
        <w:spacing w:after="0" w:line="240" w:lineRule="auto"/>
        <w:ind w:left="709" w:right="709"/>
        <w:jc w:val="both"/>
        <w:rPr>
          <w:rFonts w:ascii="Verdana" w:hAnsi="Verdana" w:cs="Arial"/>
          <w:sz w:val="20"/>
          <w:szCs w:val="20"/>
          <w:lang w:val="es-ES_tradnl"/>
        </w:rPr>
      </w:pPr>
      <w:r w:rsidRPr="001E68A8">
        <w:rPr>
          <w:rFonts w:ascii="Verdana" w:hAnsi="Verdana" w:cs="Arial"/>
          <w:sz w:val="20"/>
          <w:szCs w:val="20"/>
          <w:lang w:val="es-ES_tradnl"/>
        </w:rPr>
        <w:t>c) Capital independiente, constituido totalmente con bienes o fondos públicos comunes, los productos de ellos, o el rendimiento de tasas que perciban por las funciones o servicios, y contribuciones de destinación especial en los casos autorizados por la Constitución.</w:t>
      </w:r>
    </w:p>
    <w:p w14:paraId="2462B7BE" w14:textId="77777777" w:rsidR="00B570E4" w:rsidRPr="001E68A8" w:rsidRDefault="00B570E4" w:rsidP="00B570E4">
      <w:pPr>
        <w:spacing w:after="0" w:line="240" w:lineRule="auto"/>
        <w:ind w:left="709" w:right="709"/>
        <w:jc w:val="both"/>
        <w:rPr>
          <w:rFonts w:ascii="Verdana" w:hAnsi="Verdana" w:cs="Arial"/>
          <w:sz w:val="20"/>
          <w:szCs w:val="20"/>
          <w:lang w:val="es-ES_tradnl"/>
        </w:rPr>
      </w:pPr>
      <w:r w:rsidRPr="001E68A8">
        <w:rPr>
          <w:rFonts w:ascii="Verdana" w:hAnsi="Verdana" w:cs="Arial"/>
          <w:sz w:val="20"/>
          <w:szCs w:val="20"/>
          <w:lang w:val="es-ES_tradnl"/>
        </w:rPr>
        <w:t>[…]”.</w:t>
      </w:r>
    </w:p>
    <w:p w14:paraId="7A2FB582" w14:textId="77777777" w:rsidR="00B570E4" w:rsidRPr="00D3378D" w:rsidRDefault="00B570E4" w:rsidP="00B570E4">
      <w:pPr>
        <w:spacing w:after="0" w:line="276" w:lineRule="auto"/>
        <w:ind w:firstLine="709"/>
        <w:jc w:val="both"/>
        <w:rPr>
          <w:rFonts w:ascii="Verdana" w:hAnsi="Verdana" w:cs="Arial"/>
          <w:lang w:val="es-ES_tradnl"/>
        </w:rPr>
      </w:pPr>
    </w:p>
    <w:p w14:paraId="135332FE" w14:textId="77777777" w:rsidR="00B570E4" w:rsidRPr="00D3378D" w:rsidRDefault="00B570E4" w:rsidP="00B570E4">
      <w:pPr>
        <w:spacing w:after="120" w:line="276" w:lineRule="auto"/>
        <w:ind w:firstLine="709"/>
        <w:jc w:val="both"/>
        <w:rPr>
          <w:rFonts w:ascii="Verdana" w:hAnsi="Verdana" w:cs="Arial"/>
          <w:lang w:val="es-ES"/>
        </w:rPr>
      </w:pPr>
      <w:r w:rsidRPr="13F13DAC">
        <w:rPr>
          <w:rFonts w:ascii="Verdana" w:hAnsi="Verdana" w:cs="Arial"/>
          <w:lang w:val="es-ES"/>
        </w:rPr>
        <w:t xml:space="preserve">Por consiguiente, si no cabe duda de que las Empresas Industriales y Comerciales del Estado son personas jurídicas domiciliadas en Colombia, están dentro del alcance de la regla general prevista en el primer inciso del artículo 6 de la Ley 1150 de 2007, que como se indicó, exige la inscripción en el RUP a las personas jurídicas domiciliadas en el país. Tal inciso no distingue entre personas jurídicas </w:t>
      </w:r>
      <w:r w:rsidRPr="13F13DAC">
        <w:rPr>
          <w:rFonts w:ascii="Verdana" w:hAnsi="Verdana" w:cs="Arial"/>
          <w:i/>
          <w:lang w:val="es-ES"/>
        </w:rPr>
        <w:t>de derecho público</w:t>
      </w:r>
      <w:r w:rsidRPr="13F13DAC">
        <w:rPr>
          <w:rFonts w:ascii="Verdana" w:hAnsi="Verdana" w:cs="Arial"/>
          <w:lang w:val="es-ES"/>
        </w:rPr>
        <w:t xml:space="preserve"> y </w:t>
      </w:r>
      <w:r w:rsidRPr="13F13DAC">
        <w:rPr>
          <w:rFonts w:ascii="Verdana" w:hAnsi="Verdana" w:cs="Arial"/>
          <w:i/>
          <w:lang w:val="es-ES"/>
        </w:rPr>
        <w:t>de derecho privado</w:t>
      </w:r>
      <w:r w:rsidRPr="13F13DAC">
        <w:rPr>
          <w:rFonts w:ascii="Verdana" w:hAnsi="Verdana" w:cs="Arial"/>
          <w:lang w:val="es-ES"/>
        </w:rPr>
        <w:t xml:space="preserve">. En consecuencia, no podría decirse que como las Empresas Industriales y Comerciales del Estado son personas jurídicas de derecho público, no están obligadas a inscribirse en el RUP. En otras palabras, dichas empresas pueden actuar como oferentes en los procesos de selección, pero cuando asuman dicha calidad, deberán estar inscritos en el RUP salvo excepción legal. </w:t>
      </w:r>
    </w:p>
    <w:p w14:paraId="79D7EA00" w14:textId="77777777" w:rsidR="00B570E4" w:rsidRPr="00D3378D" w:rsidRDefault="00B570E4" w:rsidP="00B570E4">
      <w:pPr>
        <w:spacing w:after="120" w:line="276" w:lineRule="auto"/>
        <w:ind w:firstLine="709"/>
        <w:jc w:val="both"/>
        <w:rPr>
          <w:rFonts w:ascii="Verdana" w:hAnsi="Verdana" w:cs="Arial"/>
          <w:lang w:val="es-ES_tradnl"/>
        </w:rPr>
      </w:pPr>
      <w:r w:rsidRPr="00D3378D">
        <w:rPr>
          <w:rFonts w:ascii="Verdana" w:hAnsi="Verdana" w:cs="Arial"/>
          <w:lang w:val="es-ES_tradnl"/>
        </w:rPr>
        <w:t xml:space="preserve">Ahora bien, el segundo inciso del artículo 6 de la Ley 1150 de 2007 consagra una excepción al deber de inscripción en el RUP, que menciona a las </w:t>
      </w:r>
      <w:r>
        <w:rPr>
          <w:rFonts w:ascii="Verdana" w:hAnsi="Verdana" w:cs="Arial"/>
          <w:lang w:val="es-ES_tradnl"/>
        </w:rPr>
        <w:t>Empresas Industriales y Comerciales del Estado y a las Sociedades de Economía Mixta</w:t>
      </w:r>
      <w:r w:rsidRPr="00D3378D">
        <w:rPr>
          <w:rFonts w:ascii="Verdana" w:hAnsi="Verdana" w:cs="Arial"/>
          <w:lang w:val="es-ES_tradnl"/>
        </w:rPr>
        <w:t xml:space="preserve">, en los siguientes términos: “No se requerirá de este registro, ni de clasificación, en […] </w:t>
      </w:r>
      <w:r w:rsidRPr="00300A4B">
        <w:rPr>
          <w:rFonts w:ascii="Verdana" w:hAnsi="Verdana" w:cs="Arial"/>
          <w:i/>
          <w:iCs/>
          <w:lang w:val="es-ES_tradnl"/>
        </w:rPr>
        <w:t xml:space="preserve">los actos y contratos que tengan por objeto directo las actividades comerciales e industriales propias de las </w:t>
      </w:r>
      <w:r>
        <w:rPr>
          <w:rFonts w:ascii="Verdana" w:hAnsi="Verdana" w:cs="Arial"/>
          <w:i/>
          <w:iCs/>
          <w:lang w:val="es-ES_tradnl"/>
        </w:rPr>
        <w:t>Empresas Industriales y Comerciales del Estado y las Sociedades de Economía Mixta</w:t>
      </w:r>
      <w:r w:rsidRPr="00D3378D">
        <w:rPr>
          <w:rFonts w:ascii="Verdana" w:hAnsi="Verdana" w:cs="Arial"/>
          <w:lang w:val="es-ES_tradnl"/>
        </w:rPr>
        <w:t xml:space="preserve">”. </w:t>
      </w:r>
      <w:r>
        <w:rPr>
          <w:rFonts w:ascii="Verdana" w:hAnsi="Verdana" w:cs="Arial"/>
          <w:lang w:val="es-ES_tradnl"/>
        </w:rPr>
        <w:t>Sin embargo</w:t>
      </w:r>
      <w:r w:rsidRPr="00D3378D">
        <w:rPr>
          <w:rFonts w:ascii="Verdana" w:hAnsi="Verdana" w:cs="Arial"/>
          <w:lang w:val="es-ES_tradnl"/>
        </w:rPr>
        <w:t>,</w:t>
      </w:r>
      <w:r>
        <w:rPr>
          <w:rFonts w:ascii="Verdana" w:hAnsi="Verdana" w:cs="Arial"/>
          <w:lang w:val="es-ES_tradnl"/>
        </w:rPr>
        <w:t xml:space="preserve"> el alcance de t</w:t>
      </w:r>
      <w:r w:rsidRPr="00D3378D">
        <w:rPr>
          <w:rFonts w:ascii="Verdana" w:hAnsi="Verdana" w:cs="Arial"/>
          <w:lang w:val="es-ES_tradnl"/>
        </w:rPr>
        <w:t xml:space="preserve">al excepción debe interpretarse en armonía con la causal de contratación de selección abreviada contenida en el artículo 2, numeral 2, literal g) de la misma ley, que está redactada en los mismos términos, pues dice que </w:t>
      </w:r>
      <w:r w:rsidRPr="00D3378D">
        <w:rPr>
          <w:rFonts w:ascii="Verdana" w:hAnsi="Verdana" w:cs="Arial"/>
          <w:lang w:val="es-ES_tradnl"/>
        </w:rPr>
        <w:lastRenderedPageBreak/>
        <w:t xml:space="preserve">debe implementarse tal modalidad de selección para “Los actos y contratos que tengan por objeto directo las actividades comerciales e industriales propias de las Empresas Industriales y Comerciales Estatales </w:t>
      </w:r>
      <w:r>
        <w:rPr>
          <w:rFonts w:ascii="Verdana" w:hAnsi="Verdana" w:cs="Arial"/>
          <w:lang w:val="es-ES_tradnl"/>
        </w:rPr>
        <w:t xml:space="preserve"> y de las Sociedades de Economía Mixta </w:t>
      </w:r>
      <w:r w:rsidRPr="00D3378D">
        <w:rPr>
          <w:rFonts w:ascii="Verdana" w:hAnsi="Verdana" w:cs="Arial"/>
          <w:lang w:val="es-ES_tradnl"/>
        </w:rPr>
        <w:t xml:space="preserve">[…]”. </w:t>
      </w:r>
    </w:p>
    <w:p w14:paraId="6B38F6E3" w14:textId="77777777" w:rsidR="00B570E4" w:rsidRPr="00D3378D" w:rsidRDefault="00B570E4" w:rsidP="00B570E4">
      <w:pPr>
        <w:spacing w:after="120" w:line="276" w:lineRule="auto"/>
        <w:ind w:firstLine="709"/>
        <w:jc w:val="both"/>
        <w:rPr>
          <w:rFonts w:ascii="Verdana" w:hAnsi="Verdana" w:cs="Arial"/>
          <w:lang w:val="es-ES_tradnl"/>
        </w:rPr>
      </w:pPr>
      <w:r w:rsidRPr="00D3378D">
        <w:rPr>
          <w:rFonts w:ascii="Verdana" w:hAnsi="Verdana" w:cs="Arial"/>
          <w:lang w:val="es-ES_tradnl"/>
        </w:rPr>
        <w:t xml:space="preserve">Obsérvese que el artículo precitado utiliza, textualmente, la misma oración. Esto significa que, cuando el legislador utilizó dicha frase, lo hizo concibiendo a las </w:t>
      </w:r>
      <w:r>
        <w:rPr>
          <w:rFonts w:ascii="Verdana" w:hAnsi="Verdana" w:cs="Arial"/>
          <w:lang w:val="es-ES_tradnl"/>
        </w:rPr>
        <w:t>Empresas Industriales y Comerciales del Estado y las de economía mixta</w:t>
      </w:r>
      <w:r w:rsidRPr="00D3378D">
        <w:rPr>
          <w:rFonts w:ascii="Verdana" w:hAnsi="Verdana" w:cs="Arial"/>
          <w:lang w:val="es-ES_tradnl"/>
        </w:rPr>
        <w:t xml:space="preserve"> como </w:t>
      </w:r>
      <w:r w:rsidRPr="00D3378D">
        <w:rPr>
          <w:rFonts w:ascii="Verdana" w:hAnsi="Verdana" w:cs="Arial"/>
          <w:i/>
          <w:iCs/>
          <w:lang w:val="es-ES_tradnl"/>
        </w:rPr>
        <w:t>contratantes</w:t>
      </w:r>
      <w:r w:rsidRPr="00D3378D">
        <w:rPr>
          <w:rFonts w:ascii="Verdana" w:hAnsi="Verdana" w:cs="Arial"/>
          <w:lang w:val="es-ES_tradnl"/>
        </w:rPr>
        <w:t xml:space="preserve"> y no como </w:t>
      </w:r>
      <w:r w:rsidRPr="00D3378D">
        <w:rPr>
          <w:rFonts w:ascii="Verdana" w:hAnsi="Verdana" w:cs="Arial"/>
          <w:i/>
          <w:iCs/>
          <w:lang w:val="es-ES_tradnl"/>
        </w:rPr>
        <w:t>contratistas</w:t>
      </w:r>
      <w:r w:rsidRPr="00D3378D">
        <w:rPr>
          <w:rFonts w:ascii="Verdana" w:hAnsi="Verdana" w:cs="Arial"/>
          <w:lang w:val="es-ES_tradnl"/>
        </w:rPr>
        <w:t>, pues las causales de selección establecidas en el artículo 2 de la Ley 1150 de 2007 se dirigen a las entidades estatales contratantes, es decir, a los órganos del Estado señalados en el artículo 2 de la Ley 80 de 1993 que pretendan convocar un procedimiento de selección plural –licitación pública, selección abreviada, concurso de méritos, mínima cuantía– o de contratación directa.</w:t>
      </w:r>
    </w:p>
    <w:p w14:paraId="03644A18" w14:textId="77777777" w:rsidR="00B570E4" w:rsidRDefault="00B570E4" w:rsidP="00B570E4">
      <w:pPr>
        <w:spacing w:after="120" w:line="276" w:lineRule="auto"/>
        <w:ind w:firstLine="709"/>
        <w:jc w:val="both"/>
        <w:rPr>
          <w:rFonts w:ascii="Verdana" w:hAnsi="Verdana" w:cs="Arial"/>
          <w:lang w:val="es-ES_tradnl"/>
        </w:rPr>
      </w:pPr>
      <w:r w:rsidRPr="00D3378D">
        <w:rPr>
          <w:rFonts w:ascii="Verdana" w:hAnsi="Verdana" w:cs="Arial"/>
          <w:lang w:val="es-ES_tradnl"/>
        </w:rPr>
        <w:t xml:space="preserve">Bajo este entendido, cuando el segundo inciso del artículo 6 de la Ley 1150 de 2007 indica que “No se requerirá de este registro, ni de clasificación, en […] los actos y contratos que tengan por objeto directo las actividades comerciales e industriales propias de las </w:t>
      </w:r>
      <w:r>
        <w:rPr>
          <w:rFonts w:ascii="Verdana" w:hAnsi="Verdana" w:cs="Arial"/>
          <w:lang w:val="es-ES_tradnl"/>
        </w:rPr>
        <w:t>Empresas Industriales y Comerciales del Estado y las Sociedades de Economía Mixta</w:t>
      </w:r>
      <w:r w:rsidRPr="00D3378D">
        <w:rPr>
          <w:rFonts w:ascii="Verdana" w:hAnsi="Verdana" w:cs="Arial"/>
          <w:lang w:val="es-ES_tradnl"/>
        </w:rPr>
        <w:t xml:space="preserve">”, debe interpretarse, en armonía con el artículo 2, numeral 2, literal g) de la Ley 1150 de 2007, </w:t>
      </w:r>
      <w:r>
        <w:rPr>
          <w:rFonts w:ascii="Verdana" w:hAnsi="Verdana" w:cs="Arial"/>
          <w:lang w:val="es-ES_tradnl"/>
        </w:rPr>
        <w:t xml:space="preserve">en el entendido en </w:t>
      </w:r>
      <w:r w:rsidRPr="00D3378D">
        <w:rPr>
          <w:rFonts w:ascii="Verdana" w:hAnsi="Verdana" w:cs="Arial"/>
          <w:lang w:val="es-ES_tradnl"/>
        </w:rPr>
        <w:t>que si una empresa industrial y comercial del Estado</w:t>
      </w:r>
      <w:r>
        <w:rPr>
          <w:rFonts w:ascii="Verdana" w:hAnsi="Verdana" w:cs="Arial"/>
          <w:lang w:val="es-ES_tradnl"/>
        </w:rPr>
        <w:t xml:space="preserve"> y las Sociedades de Economía Mixta</w:t>
      </w:r>
      <w:r w:rsidRPr="00D3378D">
        <w:rPr>
          <w:rFonts w:ascii="Verdana" w:hAnsi="Verdana" w:cs="Arial"/>
          <w:lang w:val="es-ES_tradnl"/>
        </w:rPr>
        <w:t xml:space="preserve"> sometida</w:t>
      </w:r>
      <w:r>
        <w:rPr>
          <w:rFonts w:ascii="Verdana" w:hAnsi="Verdana" w:cs="Arial"/>
          <w:lang w:val="es-ES_tradnl"/>
        </w:rPr>
        <w:t>s</w:t>
      </w:r>
      <w:r w:rsidRPr="00D3378D">
        <w:rPr>
          <w:rFonts w:ascii="Verdana" w:hAnsi="Verdana" w:cs="Arial"/>
          <w:lang w:val="es-ES_tradnl"/>
        </w:rPr>
        <w:t xml:space="preserve"> al Estatuto General de Contratación de la Administración Pública –en virtud del artículo 2, numeral 1, literal a) de la Ley 80 de 1993–</w:t>
      </w:r>
      <w:r w:rsidRPr="00D3378D">
        <w:rPr>
          <w:rStyle w:val="Refdenotaalpie"/>
          <w:rFonts w:ascii="Verdana" w:hAnsi="Verdana" w:cs="Arial"/>
          <w:lang w:val="es-ES_tradnl"/>
        </w:rPr>
        <w:footnoteReference w:id="8"/>
      </w:r>
      <w:r w:rsidRPr="00D3378D">
        <w:rPr>
          <w:rFonts w:ascii="Verdana" w:hAnsi="Verdana" w:cs="Arial"/>
          <w:lang w:val="es-ES_tradnl"/>
        </w:rPr>
        <w:t xml:space="preserve"> abre un proceso de selección abreviada, actuando en calidad de contratante, no puede exigir que los oferentes estén inscritos en el RUP, como requisito habilitante. </w:t>
      </w:r>
    </w:p>
    <w:p w14:paraId="397B364A" w14:textId="77777777" w:rsidR="00B570E4" w:rsidRPr="00D3378D" w:rsidRDefault="00B570E4" w:rsidP="00B570E4">
      <w:pPr>
        <w:spacing w:after="120" w:line="276" w:lineRule="auto"/>
        <w:ind w:firstLine="709"/>
        <w:jc w:val="both"/>
        <w:rPr>
          <w:rFonts w:ascii="Verdana" w:hAnsi="Verdana" w:cs="Arial"/>
          <w:lang w:val="es-ES_tradnl"/>
        </w:rPr>
      </w:pPr>
      <w:r w:rsidRPr="00D3378D">
        <w:rPr>
          <w:rFonts w:ascii="Verdana" w:hAnsi="Verdana" w:cs="Arial"/>
          <w:lang w:val="es-ES_tradnl"/>
        </w:rPr>
        <w:t xml:space="preserve">En tal caso, la </w:t>
      </w:r>
      <w:r>
        <w:rPr>
          <w:rFonts w:ascii="Verdana" w:hAnsi="Verdana" w:cs="Arial"/>
          <w:lang w:val="es-ES_tradnl"/>
        </w:rPr>
        <w:t>E</w:t>
      </w:r>
      <w:r w:rsidRPr="00D3378D">
        <w:rPr>
          <w:rFonts w:ascii="Verdana" w:hAnsi="Verdana" w:cs="Arial"/>
          <w:lang w:val="es-ES_tradnl"/>
        </w:rPr>
        <w:t xml:space="preserve">mpresa </w:t>
      </w:r>
      <w:r>
        <w:rPr>
          <w:rFonts w:ascii="Verdana" w:hAnsi="Verdana" w:cs="Arial"/>
          <w:lang w:val="es-ES_tradnl"/>
        </w:rPr>
        <w:t>I</w:t>
      </w:r>
      <w:r w:rsidRPr="00D3378D">
        <w:rPr>
          <w:rFonts w:ascii="Verdana" w:hAnsi="Verdana" w:cs="Arial"/>
          <w:lang w:val="es-ES_tradnl"/>
        </w:rPr>
        <w:t xml:space="preserve">ndustrial y </w:t>
      </w:r>
      <w:r>
        <w:rPr>
          <w:rFonts w:ascii="Verdana" w:hAnsi="Verdana" w:cs="Arial"/>
          <w:lang w:val="es-ES_tradnl"/>
        </w:rPr>
        <w:t>C</w:t>
      </w:r>
      <w:r w:rsidRPr="00D3378D">
        <w:rPr>
          <w:rFonts w:ascii="Verdana" w:hAnsi="Verdana" w:cs="Arial"/>
          <w:lang w:val="es-ES_tradnl"/>
        </w:rPr>
        <w:t>omercial del Estado</w:t>
      </w:r>
      <w:r>
        <w:rPr>
          <w:rFonts w:ascii="Verdana" w:hAnsi="Verdana" w:cs="Arial"/>
          <w:lang w:val="es-ES_tradnl"/>
        </w:rPr>
        <w:t xml:space="preserve"> y la Sociedad de Economía Mixta</w:t>
      </w:r>
      <w:r w:rsidRPr="00D3378D">
        <w:rPr>
          <w:rFonts w:ascii="Verdana" w:hAnsi="Verdana" w:cs="Arial"/>
          <w:lang w:val="es-ES_tradnl"/>
        </w:rPr>
        <w:t xml:space="preserve"> que efectúa</w:t>
      </w:r>
      <w:r>
        <w:rPr>
          <w:rFonts w:ascii="Verdana" w:hAnsi="Verdana" w:cs="Arial"/>
          <w:lang w:val="es-ES_tradnl"/>
        </w:rPr>
        <w:t>n</w:t>
      </w:r>
      <w:r w:rsidRPr="00D3378D">
        <w:rPr>
          <w:rFonts w:ascii="Verdana" w:hAnsi="Verdana" w:cs="Arial"/>
          <w:lang w:val="es-ES_tradnl"/>
        </w:rPr>
        <w:t xml:space="preserve"> la convocatoria pública –es decir, a través del acto administrativo de apertura de la selección abreviada–, debe</w:t>
      </w:r>
      <w:r>
        <w:rPr>
          <w:rFonts w:ascii="Verdana" w:hAnsi="Verdana" w:cs="Arial"/>
          <w:lang w:val="es-ES_tradnl"/>
        </w:rPr>
        <w:t>n</w:t>
      </w:r>
      <w:r w:rsidRPr="00D3378D">
        <w:rPr>
          <w:rFonts w:ascii="Verdana" w:hAnsi="Verdana" w:cs="Arial"/>
          <w:lang w:val="es-ES_tradnl"/>
        </w:rPr>
        <w:t xml:space="preserve"> aplicar lo dispuesto en la parte final del segundo inciso del artículo 6 de la Ley 1150 de 2007. En efecto, allí se establece que </w:t>
      </w:r>
      <w:r>
        <w:rPr>
          <w:rFonts w:ascii="Verdana" w:hAnsi="Verdana" w:cs="Arial"/>
          <w:lang w:val="es-ES_tradnl"/>
        </w:rPr>
        <w:t xml:space="preserve">a estas </w:t>
      </w:r>
      <w:r w:rsidRPr="00D3378D">
        <w:rPr>
          <w:rFonts w:ascii="Verdana" w:hAnsi="Verdana" w:cs="Arial"/>
          <w:lang w:val="es-ES_tradnl"/>
        </w:rPr>
        <w:t>le corresponde en ese evento “[…] cumplir con la labor de verificación de las condiciones de los proponentes”. Así lo ha interpretado la doctrina:</w:t>
      </w:r>
    </w:p>
    <w:p w14:paraId="46DE77DE" w14:textId="77777777" w:rsidR="00B570E4" w:rsidRPr="00D3378D" w:rsidRDefault="00B570E4" w:rsidP="00B570E4">
      <w:pPr>
        <w:spacing w:after="0"/>
        <w:ind w:left="709" w:right="709"/>
        <w:jc w:val="both"/>
        <w:rPr>
          <w:rFonts w:ascii="Verdana" w:hAnsi="Verdana" w:cs="Arial"/>
          <w:lang w:val="es-ES_tradnl"/>
        </w:rPr>
      </w:pPr>
    </w:p>
    <w:p w14:paraId="5FA96852" w14:textId="77777777" w:rsidR="00B570E4" w:rsidRPr="00D3378D" w:rsidRDefault="00B570E4" w:rsidP="00B570E4">
      <w:pPr>
        <w:spacing w:after="0" w:line="240" w:lineRule="auto"/>
        <w:ind w:left="709" w:right="709"/>
        <w:jc w:val="both"/>
        <w:rPr>
          <w:rFonts w:ascii="Verdana" w:hAnsi="Verdana" w:cs="Arial"/>
          <w:lang w:val="es-ES"/>
        </w:rPr>
      </w:pPr>
      <w:r w:rsidRPr="13F13DAC">
        <w:rPr>
          <w:rFonts w:ascii="Verdana" w:hAnsi="Verdana" w:cs="Arial"/>
          <w:sz w:val="20"/>
          <w:szCs w:val="20"/>
          <w:lang w:val="es-ES"/>
        </w:rPr>
        <w:t>Lo anterior traduce que: (i) el oferente y contratista que caiga respecto de alguno de esos eventos, no necesita estar inscrito en el RUP sino que puede presentar la oferta y/o celebrar el contrato sin ese requisito; (</w:t>
      </w:r>
      <w:proofErr w:type="spellStart"/>
      <w:r w:rsidRPr="13F13DAC">
        <w:rPr>
          <w:rFonts w:ascii="Verdana" w:hAnsi="Verdana" w:cs="Arial"/>
          <w:sz w:val="20"/>
          <w:szCs w:val="20"/>
          <w:lang w:val="es-ES"/>
        </w:rPr>
        <w:t>ii</w:t>
      </w:r>
      <w:proofErr w:type="spellEnd"/>
      <w:r w:rsidRPr="13F13DAC">
        <w:rPr>
          <w:rFonts w:ascii="Verdana" w:hAnsi="Verdana" w:cs="Arial"/>
          <w:sz w:val="20"/>
          <w:szCs w:val="20"/>
          <w:lang w:val="es-ES"/>
        </w:rPr>
        <w:t>) en tales eventos la entidad no podrá exigir la previa inscripción so pena de violar la ley; (</w:t>
      </w:r>
      <w:proofErr w:type="spellStart"/>
      <w:r w:rsidRPr="13F13DAC">
        <w:rPr>
          <w:rFonts w:ascii="Verdana" w:hAnsi="Verdana" w:cs="Arial"/>
          <w:sz w:val="20"/>
          <w:szCs w:val="20"/>
          <w:lang w:val="es-ES"/>
        </w:rPr>
        <w:t>iii</w:t>
      </w:r>
      <w:proofErr w:type="spellEnd"/>
      <w:r w:rsidRPr="13F13DAC">
        <w:rPr>
          <w:rFonts w:ascii="Verdana" w:hAnsi="Verdana" w:cs="Arial"/>
          <w:sz w:val="20"/>
          <w:szCs w:val="20"/>
          <w:lang w:val="es-ES"/>
        </w:rPr>
        <w:t>) en los pliegos de condiciones de los procesos de selección que tengan por objeto alguno de ellos, se debe regular lo concerniente a los requisitos habilitantes y la manera de su acreditación, indicando los documentos precisos y concretos, así como su forma de presentación, por tratarse de los únicos casos en que el pliego puede solicitar documentos distintos al certificado de inscripción en el RUP para comprobar lo atinente a dichos requisitos (capacidad jurídica, experiencia, capacidad financiera y de organización). Esto es que será la entidad estatal contratante la que cumple en cada proceso de selección la función verificadora que está normalmente a cargo de las cámaras de comercio</w:t>
      </w:r>
      <w:r w:rsidRPr="13F13DAC">
        <w:rPr>
          <w:rStyle w:val="Refdenotaalpie"/>
          <w:rFonts w:ascii="Verdana" w:hAnsi="Verdana" w:cs="Arial"/>
          <w:lang w:val="es-ES"/>
        </w:rPr>
        <w:footnoteReference w:id="9"/>
      </w:r>
      <w:r w:rsidRPr="13F13DAC">
        <w:rPr>
          <w:rFonts w:ascii="Verdana" w:hAnsi="Verdana" w:cs="Arial"/>
          <w:lang w:val="es-ES"/>
        </w:rPr>
        <w:t>.</w:t>
      </w:r>
    </w:p>
    <w:p w14:paraId="0114087B" w14:textId="77777777" w:rsidR="00B570E4" w:rsidRDefault="00B570E4" w:rsidP="00B570E4">
      <w:pPr>
        <w:spacing w:after="0" w:line="276" w:lineRule="auto"/>
        <w:jc w:val="both"/>
        <w:rPr>
          <w:rFonts w:ascii="Verdana" w:hAnsi="Verdana" w:cs="Arial"/>
          <w:lang w:val="es-ES_tradnl"/>
        </w:rPr>
      </w:pPr>
    </w:p>
    <w:p w14:paraId="7895FF5E" w14:textId="77777777" w:rsidR="00B570E4" w:rsidRPr="00D3378D" w:rsidRDefault="00B570E4" w:rsidP="00B570E4">
      <w:pPr>
        <w:spacing w:after="120" w:line="276" w:lineRule="auto"/>
        <w:ind w:firstLine="709"/>
        <w:jc w:val="both"/>
        <w:rPr>
          <w:rFonts w:ascii="Verdana" w:hAnsi="Verdana" w:cs="Arial"/>
          <w:lang w:val="es-ES"/>
        </w:rPr>
      </w:pPr>
      <w:r w:rsidRPr="13F13DAC">
        <w:rPr>
          <w:rFonts w:ascii="Verdana" w:hAnsi="Verdana" w:cs="Arial"/>
          <w:lang w:val="es-ES"/>
        </w:rPr>
        <w:t xml:space="preserve">Situación distinta se presenta si una Empresa Industrial y Comercial del Estado o una Sociedad de Economía Mixta actuarán como </w:t>
      </w:r>
      <w:r w:rsidRPr="13F13DAC">
        <w:rPr>
          <w:rFonts w:ascii="Verdana" w:hAnsi="Verdana" w:cs="Arial"/>
          <w:i/>
          <w:lang w:val="es-ES"/>
        </w:rPr>
        <w:t>oferentes</w:t>
      </w:r>
      <w:r w:rsidRPr="13F13DAC">
        <w:rPr>
          <w:rFonts w:ascii="Verdana" w:hAnsi="Verdana" w:cs="Arial"/>
          <w:lang w:val="es-ES"/>
        </w:rPr>
        <w:t xml:space="preserve"> y eventuales </w:t>
      </w:r>
      <w:r w:rsidRPr="13F13DAC">
        <w:rPr>
          <w:rFonts w:ascii="Verdana" w:hAnsi="Verdana" w:cs="Arial"/>
          <w:i/>
          <w:lang w:val="es-ES"/>
        </w:rPr>
        <w:t>contratistas</w:t>
      </w:r>
      <w:r w:rsidRPr="13F13DAC">
        <w:rPr>
          <w:rFonts w:ascii="Verdana" w:hAnsi="Verdana" w:cs="Arial"/>
          <w:lang w:val="es-ES"/>
        </w:rPr>
        <w:t xml:space="preserve"> de una entidad estatal sometida al Estatuto General de Contratación de la Administración Pública. Si para el procedimiento contractual en el que estas entidades presentaran su oferta no cabe ninguna de las excepciones del artículo 6, inciso 2, de la Ley 1150 de 2007, entonces debe estar inscrita en el RUP como requisito para participar. </w:t>
      </w:r>
    </w:p>
    <w:p w14:paraId="2D72AB31" w14:textId="77777777" w:rsidR="00B570E4" w:rsidRDefault="00B570E4" w:rsidP="00B570E4">
      <w:pPr>
        <w:spacing w:after="120" w:line="276" w:lineRule="auto"/>
        <w:ind w:firstLine="709"/>
        <w:jc w:val="both"/>
        <w:rPr>
          <w:rFonts w:ascii="Verdana" w:hAnsi="Verdana" w:cs="Arial"/>
          <w:color w:val="000000" w:themeColor="text1"/>
        </w:rPr>
      </w:pPr>
      <w:r w:rsidRPr="00D3378D">
        <w:rPr>
          <w:rFonts w:ascii="Verdana" w:hAnsi="Verdana" w:cs="Arial"/>
          <w:lang w:val="es-ES_tradnl"/>
        </w:rPr>
        <w:t xml:space="preserve">En </w:t>
      </w:r>
      <w:r>
        <w:rPr>
          <w:rFonts w:ascii="Verdana" w:hAnsi="Verdana" w:cs="Arial"/>
          <w:lang w:val="es-ES_tradnl"/>
        </w:rPr>
        <w:t xml:space="preserve">este sentido, se concluye que el alcance del </w:t>
      </w:r>
      <w:r w:rsidRPr="00D3378D">
        <w:rPr>
          <w:rFonts w:ascii="Verdana" w:hAnsi="Verdana" w:cs="Arial"/>
          <w:lang w:val="es-ES_tradnl"/>
        </w:rPr>
        <w:t xml:space="preserve">inciso </w:t>
      </w:r>
      <w:r>
        <w:rPr>
          <w:rFonts w:ascii="Verdana" w:hAnsi="Verdana" w:cs="Arial"/>
          <w:lang w:val="es-ES_tradnl"/>
        </w:rPr>
        <w:t xml:space="preserve">2 </w:t>
      </w:r>
      <w:r w:rsidRPr="00D3378D">
        <w:rPr>
          <w:rFonts w:ascii="Verdana" w:hAnsi="Verdana" w:cs="Arial"/>
          <w:lang w:val="es-ES_tradnl"/>
        </w:rPr>
        <w:t>del artículo 6 de la Ley 1150 de 2007</w:t>
      </w:r>
      <w:r>
        <w:rPr>
          <w:rFonts w:ascii="Verdana" w:hAnsi="Verdana" w:cs="Arial"/>
          <w:lang w:val="es-ES_tradnl"/>
        </w:rPr>
        <w:t xml:space="preserve">, se encuentra determinado por el </w:t>
      </w:r>
      <w:r w:rsidRPr="00D3378D">
        <w:rPr>
          <w:rFonts w:ascii="Verdana" w:hAnsi="Verdana" w:cs="Arial"/>
          <w:lang w:val="es-ES_tradnl"/>
        </w:rPr>
        <w:t>artículo 2, numeral 2, literal g) de la Ley 1150 de 2007</w:t>
      </w:r>
      <w:r>
        <w:rPr>
          <w:rFonts w:ascii="Verdana" w:hAnsi="Verdana" w:cs="Arial"/>
          <w:lang w:val="es-ES_tradnl"/>
        </w:rPr>
        <w:t xml:space="preserve">, en el entendido en que su aplicación procede cuando a </w:t>
      </w:r>
      <w:r w:rsidRPr="00D3378D">
        <w:rPr>
          <w:rFonts w:ascii="Verdana" w:hAnsi="Verdana" w:cs="Arial"/>
          <w:lang w:val="es-ES_tradnl"/>
        </w:rPr>
        <w:t xml:space="preserve">las </w:t>
      </w:r>
      <w:r>
        <w:rPr>
          <w:rFonts w:ascii="Verdana" w:hAnsi="Verdana" w:cs="Arial"/>
          <w:lang w:val="es-ES_tradnl"/>
        </w:rPr>
        <w:t xml:space="preserve">Empresas Industriales y Comerciales del Estado y las Sociedades de Economía Mixta se encuentran </w:t>
      </w:r>
      <w:r>
        <w:rPr>
          <w:rFonts w:ascii="Verdana" w:eastAsia="Verdana" w:hAnsi="Verdana" w:cs="Verdana"/>
          <w:lang w:val="es-ES"/>
        </w:rPr>
        <w:t>sometidas al Estatuto</w:t>
      </w:r>
      <w:r>
        <w:rPr>
          <w:rFonts w:ascii="Verdana" w:eastAsia="Verdana" w:hAnsi="Verdana" w:cs="Verdana"/>
          <w:spacing w:val="-8"/>
          <w:lang w:val="es-ES"/>
        </w:rPr>
        <w:t xml:space="preserve"> </w:t>
      </w:r>
      <w:r>
        <w:rPr>
          <w:rFonts w:ascii="Verdana" w:eastAsia="Verdana" w:hAnsi="Verdana" w:cs="Verdana"/>
          <w:lang w:val="es-ES"/>
        </w:rPr>
        <w:t>General</w:t>
      </w:r>
      <w:r>
        <w:rPr>
          <w:rFonts w:ascii="Verdana" w:eastAsia="Verdana" w:hAnsi="Verdana" w:cs="Verdana"/>
          <w:spacing w:val="-9"/>
          <w:lang w:val="es-ES"/>
        </w:rPr>
        <w:t xml:space="preserve"> </w:t>
      </w:r>
      <w:r>
        <w:rPr>
          <w:rFonts w:ascii="Verdana" w:eastAsia="Verdana" w:hAnsi="Verdana" w:cs="Verdana"/>
          <w:lang w:val="es-ES"/>
        </w:rPr>
        <w:t>de</w:t>
      </w:r>
      <w:r>
        <w:rPr>
          <w:rFonts w:ascii="Verdana" w:eastAsia="Verdana" w:hAnsi="Verdana" w:cs="Verdana"/>
          <w:spacing w:val="-10"/>
          <w:lang w:val="es-ES"/>
        </w:rPr>
        <w:t xml:space="preserve"> </w:t>
      </w:r>
      <w:r>
        <w:rPr>
          <w:rFonts w:ascii="Verdana" w:eastAsia="Verdana" w:hAnsi="Verdana" w:cs="Verdana"/>
          <w:lang w:val="es-ES"/>
        </w:rPr>
        <w:t>Contratación</w:t>
      </w:r>
      <w:r>
        <w:rPr>
          <w:rFonts w:ascii="Verdana" w:eastAsia="Verdana" w:hAnsi="Verdana" w:cs="Verdana"/>
          <w:spacing w:val="-9"/>
          <w:lang w:val="es-ES"/>
        </w:rPr>
        <w:t xml:space="preserve"> </w:t>
      </w:r>
      <w:r>
        <w:rPr>
          <w:rFonts w:ascii="Verdana" w:eastAsia="Verdana" w:hAnsi="Verdana" w:cs="Verdana"/>
          <w:lang w:val="es-ES"/>
        </w:rPr>
        <w:t>de</w:t>
      </w:r>
      <w:r>
        <w:rPr>
          <w:rFonts w:ascii="Verdana" w:eastAsia="Verdana" w:hAnsi="Verdana" w:cs="Verdana"/>
          <w:spacing w:val="-10"/>
          <w:lang w:val="es-ES"/>
        </w:rPr>
        <w:t xml:space="preserve"> </w:t>
      </w:r>
      <w:r>
        <w:rPr>
          <w:rFonts w:ascii="Verdana" w:eastAsia="Verdana" w:hAnsi="Verdana" w:cs="Verdana"/>
          <w:lang w:val="es-ES"/>
        </w:rPr>
        <w:t>la</w:t>
      </w:r>
      <w:r>
        <w:rPr>
          <w:rFonts w:ascii="Verdana" w:eastAsia="Verdana" w:hAnsi="Verdana" w:cs="Verdana"/>
          <w:spacing w:val="-11"/>
          <w:lang w:val="es-ES"/>
        </w:rPr>
        <w:t xml:space="preserve"> </w:t>
      </w:r>
      <w:r>
        <w:rPr>
          <w:rFonts w:ascii="Verdana" w:eastAsia="Verdana" w:hAnsi="Verdana" w:cs="Verdana"/>
          <w:lang w:val="es-ES"/>
        </w:rPr>
        <w:t>Administración</w:t>
      </w:r>
      <w:r>
        <w:rPr>
          <w:rFonts w:ascii="Verdana" w:eastAsia="Verdana" w:hAnsi="Verdana" w:cs="Verdana"/>
          <w:spacing w:val="-9"/>
          <w:lang w:val="es-ES"/>
        </w:rPr>
        <w:t xml:space="preserve"> </w:t>
      </w:r>
      <w:r>
        <w:rPr>
          <w:rFonts w:ascii="Verdana" w:eastAsia="Verdana" w:hAnsi="Verdana" w:cs="Verdana"/>
          <w:lang w:val="es-ES"/>
        </w:rPr>
        <w:t xml:space="preserve">Pública y estas actúan como contratantes. Por tanto, al encontrarse sometidas al EGCAP deberán acudir a la causal de contratación de selección abreviada para la celebración de los contratos que tengan por objeto directo las actividades comerciales e industriales propias de la </w:t>
      </w:r>
      <w:r>
        <w:rPr>
          <w:rFonts w:ascii="Verdana" w:hAnsi="Verdana" w:cs="Arial"/>
          <w:lang w:val="es-ES_tradnl"/>
        </w:rPr>
        <w:t xml:space="preserve">Empresas Industriales y Comerciales del Estado y las Sociedades de Economía Mixta, </w:t>
      </w:r>
      <w:r w:rsidRPr="00F67526">
        <w:rPr>
          <w:rFonts w:ascii="Verdana" w:hAnsi="Verdana" w:cs="Arial"/>
          <w:color w:val="000000" w:themeColor="text1"/>
        </w:rPr>
        <w:t>con excepción de los contratos que a título enunciativo identifica el artículo </w:t>
      </w:r>
      <w:hyperlink r:id="rId11" w:anchor="32" w:history="1">
        <w:r w:rsidRPr="00F67526">
          <w:rPr>
            <w:rStyle w:val="Hipervnculo"/>
            <w:rFonts w:ascii="Verdana" w:hAnsi="Verdana" w:cs="Arial"/>
            <w:color w:val="000000" w:themeColor="text1"/>
            <w:u w:val="none"/>
          </w:rPr>
          <w:t>32</w:t>
        </w:r>
      </w:hyperlink>
      <w:r w:rsidRPr="00F67526">
        <w:rPr>
          <w:rFonts w:ascii="Verdana" w:hAnsi="Verdana" w:cs="Arial"/>
          <w:color w:val="000000" w:themeColor="text1"/>
        </w:rPr>
        <w:t> de la Ley 80 de 1993.</w:t>
      </w:r>
      <w:r>
        <w:rPr>
          <w:rFonts w:ascii="Verdana" w:hAnsi="Verdana" w:cs="Arial"/>
          <w:color w:val="000000" w:themeColor="text1"/>
        </w:rPr>
        <w:t xml:space="preserve"> Teniendo en cuenta que la norma se refiere de forma general a </w:t>
      </w:r>
      <w:r w:rsidRPr="0021379B">
        <w:rPr>
          <w:rFonts w:ascii="Verdana" w:hAnsi="Verdana" w:cs="Arial"/>
          <w:i/>
          <w:iCs/>
          <w:color w:val="000000" w:themeColor="text1"/>
        </w:rPr>
        <w:t>los actividades comerciales e industriales</w:t>
      </w:r>
      <w:r>
        <w:rPr>
          <w:rFonts w:ascii="Verdana" w:hAnsi="Verdana" w:cs="Arial"/>
          <w:color w:val="000000" w:themeColor="text1"/>
        </w:rPr>
        <w:t xml:space="preserve"> propias de</w:t>
      </w:r>
      <w:r w:rsidRPr="00252BB9">
        <w:rPr>
          <w:rFonts w:ascii="Verdana" w:eastAsia="Verdana" w:hAnsi="Verdana" w:cs="Verdana"/>
          <w:lang w:val="es-ES"/>
        </w:rPr>
        <w:t xml:space="preserve"> </w:t>
      </w:r>
      <w:r>
        <w:rPr>
          <w:rFonts w:ascii="Verdana" w:eastAsia="Verdana" w:hAnsi="Verdana" w:cs="Verdana"/>
          <w:lang w:val="es-ES"/>
        </w:rPr>
        <w:t xml:space="preserve">las </w:t>
      </w:r>
      <w:r>
        <w:rPr>
          <w:rFonts w:ascii="Verdana" w:hAnsi="Verdana" w:cs="Arial"/>
          <w:lang w:val="es-ES_tradnl"/>
        </w:rPr>
        <w:t>Empresas Industriales y Comerciales del Estado y las Sociedades de Economía Mixta</w:t>
      </w:r>
      <w:r>
        <w:rPr>
          <w:rFonts w:ascii="Verdana" w:hAnsi="Verdana" w:cs="Arial"/>
          <w:color w:val="000000" w:themeColor="text1"/>
        </w:rPr>
        <w:t xml:space="preserve">, se colige que se </w:t>
      </w:r>
      <w:r>
        <w:rPr>
          <w:rFonts w:ascii="Verdana" w:hAnsi="Verdana" w:cs="Arial"/>
          <w:color w:val="000000" w:themeColor="text1"/>
        </w:rPr>
        <w:lastRenderedPageBreak/>
        <w:t>trata de todas aquellas actividades de tal naturaleza que desarrollan en el marco de su objeto social. En tal caso, no podrán solicitar la presentación del RUP por cuanto estos actos y contratos se encuentran cobijados por la excepción del inciso 2 del artículo 6 de la Ley 1150 de 2007.</w:t>
      </w:r>
    </w:p>
    <w:p w14:paraId="231E475A" w14:textId="77777777" w:rsidR="00B570E4" w:rsidRPr="00203320" w:rsidRDefault="00B570E4" w:rsidP="00B570E4">
      <w:pPr>
        <w:spacing w:after="120" w:line="276" w:lineRule="auto"/>
        <w:ind w:firstLine="709"/>
        <w:jc w:val="both"/>
        <w:rPr>
          <w:rFonts w:ascii="Verdana" w:eastAsia="Verdana" w:hAnsi="Verdana" w:cs="Verdana"/>
          <w:lang w:val="es-ES"/>
        </w:rPr>
      </w:pPr>
      <w:r>
        <w:rPr>
          <w:rFonts w:ascii="Verdana" w:eastAsia="Verdana" w:hAnsi="Verdana" w:cs="Verdana"/>
          <w:lang w:val="es-ES"/>
        </w:rPr>
        <w:t>En suma, a cada Entidad Estatal le corresponde</w:t>
      </w:r>
      <w:r>
        <w:rPr>
          <w:rFonts w:ascii="Verdana" w:eastAsia="Verdana" w:hAnsi="Verdana" w:cs="Verdana"/>
          <w:spacing w:val="-12"/>
          <w:lang w:val="es-ES"/>
        </w:rPr>
        <w:t xml:space="preserve"> </w:t>
      </w:r>
      <w:r>
        <w:rPr>
          <w:rFonts w:ascii="Verdana" w:eastAsia="Verdana" w:hAnsi="Verdana" w:cs="Verdana"/>
          <w:lang w:val="es-ES"/>
        </w:rPr>
        <w:t>analizar</w:t>
      </w:r>
      <w:r>
        <w:rPr>
          <w:rFonts w:ascii="Verdana" w:eastAsia="Verdana" w:hAnsi="Verdana" w:cs="Verdana"/>
          <w:spacing w:val="-10"/>
          <w:lang w:val="es-ES"/>
        </w:rPr>
        <w:t xml:space="preserve"> </w:t>
      </w:r>
      <w:r>
        <w:rPr>
          <w:rFonts w:ascii="Verdana" w:eastAsia="Verdana" w:hAnsi="Verdana" w:cs="Verdana"/>
          <w:lang w:val="es-ES"/>
        </w:rPr>
        <w:t>si</w:t>
      </w:r>
      <w:r>
        <w:rPr>
          <w:rFonts w:ascii="Verdana" w:eastAsia="Verdana" w:hAnsi="Verdana" w:cs="Verdana"/>
          <w:spacing w:val="-11"/>
          <w:lang w:val="es-ES"/>
        </w:rPr>
        <w:t xml:space="preserve"> </w:t>
      </w:r>
      <w:r>
        <w:rPr>
          <w:rFonts w:ascii="Verdana" w:eastAsia="Verdana" w:hAnsi="Verdana" w:cs="Verdana"/>
          <w:lang w:val="es-ES"/>
        </w:rPr>
        <w:t>se</w:t>
      </w:r>
      <w:r>
        <w:rPr>
          <w:rFonts w:ascii="Verdana" w:eastAsia="Verdana" w:hAnsi="Verdana" w:cs="Verdana"/>
          <w:spacing w:val="-12"/>
          <w:lang w:val="es-ES"/>
        </w:rPr>
        <w:t xml:space="preserve"> </w:t>
      </w:r>
      <w:r>
        <w:rPr>
          <w:rFonts w:ascii="Verdana" w:eastAsia="Verdana" w:hAnsi="Verdana" w:cs="Verdana"/>
          <w:lang w:val="es-ES"/>
        </w:rPr>
        <w:t>encuentra</w:t>
      </w:r>
      <w:r>
        <w:rPr>
          <w:rFonts w:ascii="Verdana" w:eastAsia="Verdana" w:hAnsi="Verdana" w:cs="Verdana"/>
          <w:spacing w:val="-13"/>
          <w:lang w:val="es-ES"/>
        </w:rPr>
        <w:t xml:space="preserve"> </w:t>
      </w:r>
      <w:r>
        <w:rPr>
          <w:rFonts w:ascii="Verdana" w:eastAsia="Verdana" w:hAnsi="Verdana" w:cs="Verdana"/>
          <w:lang w:val="es-ES"/>
        </w:rPr>
        <w:t>en</w:t>
      </w:r>
      <w:r>
        <w:rPr>
          <w:rFonts w:ascii="Verdana" w:eastAsia="Verdana" w:hAnsi="Verdana" w:cs="Verdana"/>
          <w:spacing w:val="-11"/>
          <w:lang w:val="es-ES"/>
        </w:rPr>
        <w:t xml:space="preserve"> </w:t>
      </w:r>
      <w:r>
        <w:rPr>
          <w:rFonts w:ascii="Verdana" w:eastAsia="Verdana" w:hAnsi="Verdana" w:cs="Verdana"/>
          <w:lang w:val="es-ES"/>
        </w:rPr>
        <w:t>alguno</w:t>
      </w:r>
      <w:r>
        <w:rPr>
          <w:rFonts w:ascii="Verdana" w:eastAsia="Verdana" w:hAnsi="Verdana" w:cs="Verdana"/>
          <w:spacing w:val="-10"/>
          <w:lang w:val="es-ES"/>
        </w:rPr>
        <w:t xml:space="preserve"> </w:t>
      </w:r>
      <w:r>
        <w:rPr>
          <w:rFonts w:ascii="Verdana" w:eastAsia="Verdana" w:hAnsi="Verdana" w:cs="Verdana"/>
          <w:lang w:val="es-ES"/>
        </w:rPr>
        <w:t>de</w:t>
      </w:r>
      <w:r>
        <w:rPr>
          <w:rFonts w:ascii="Verdana" w:eastAsia="Verdana" w:hAnsi="Verdana" w:cs="Verdana"/>
          <w:spacing w:val="-12"/>
          <w:lang w:val="es-ES"/>
        </w:rPr>
        <w:t xml:space="preserve"> </w:t>
      </w:r>
      <w:r>
        <w:rPr>
          <w:rFonts w:ascii="Verdana" w:eastAsia="Verdana" w:hAnsi="Verdana" w:cs="Verdana"/>
          <w:lang w:val="es-ES"/>
        </w:rPr>
        <w:t>los</w:t>
      </w:r>
      <w:r>
        <w:rPr>
          <w:rFonts w:ascii="Verdana" w:eastAsia="Verdana" w:hAnsi="Verdana" w:cs="Verdana"/>
          <w:spacing w:val="-11"/>
          <w:lang w:val="es-ES"/>
        </w:rPr>
        <w:t xml:space="preserve"> </w:t>
      </w:r>
      <w:r>
        <w:rPr>
          <w:rFonts w:ascii="Verdana" w:eastAsia="Verdana" w:hAnsi="Verdana" w:cs="Verdana"/>
          <w:lang w:val="es-ES"/>
        </w:rPr>
        <w:t>supuestos</w:t>
      </w:r>
      <w:r>
        <w:rPr>
          <w:rFonts w:ascii="Verdana" w:eastAsia="Verdana" w:hAnsi="Verdana" w:cs="Verdana"/>
          <w:spacing w:val="-11"/>
          <w:lang w:val="es-ES"/>
        </w:rPr>
        <w:t xml:space="preserve"> </w:t>
      </w:r>
      <w:r>
        <w:rPr>
          <w:rFonts w:ascii="Verdana" w:eastAsia="Verdana" w:hAnsi="Verdana" w:cs="Verdana"/>
          <w:lang w:val="es-ES"/>
        </w:rPr>
        <w:t>establecidos</w:t>
      </w:r>
      <w:r>
        <w:rPr>
          <w:rFonts w:ascii="Verdana" w:eastAsia="Verdana" w:hAnsi="Verdana" w:cs="Verdana"/>
          <w:spacing w:val="-11"/>
          <w:lang w:val="es-ES"/>
        </w:rPr>
        <w:t xml:space="preserve"> </w:t>
      </w:r>
      <w:r>
        <w:rPr>
          <w:rFonts w:ascii="Verdana" w:eastAsia="Verdana" w:hAnsi="Verdana" w:cs="Verdana"/>
          <w:lang w:val="es-ES"/>
        </w:rPr>
        <w:t>en el artículo 14</w:t>
      </w:r>
      <w:r>
        <w:rPr>
          <w:rFonts w:ascii="Verdana" w:eastAsia="Verdana" w:hAnsi="Verdana" w:cs="Verdana"/>
          <w:spacing w:val="-1"/>
          <w:lang w:val="es-ES"/>
        </w:rPr>
        <w:t xml:space="preserve"> </w:t>
      </w:r>
      <w:r>
        <w:rPr>
          <w:rFonts w:ascii="Verdana" w:eastAsia="Verdana" w:hAnsi="Verdana" w:cs="Verdana"/>
          <w:lang w:val="es-ES"/>
        </w:rPr>
        <w:t>de la Ley</w:t>
      </w:r>
      <w:r>
        <w:rPr>
          <w:rFonts w:ascii="Verdana" w:eastAsia="Verdana" w:hAnsi="Verdana" w:cs="Verdana"/>
          <w:spacing w:val="-2"/>
          <w:lang w:val="es-ES"/>
        </w:rPr>
        <w:t xml:space="preserve"> </w:t>
      </w:r>
      <w:r>
        <w:rPr>
          <w:rFonts w:ascii="Verdana" w:eastAsia="Verdana" w:hAnsi="Verdana" w:cs="Verdana"/>
          <w:lang w:val="es-ES"/>
        </w:rPr>
        <w:t>1150 de 2007, para definir si</w:t>
      </w:r>
      <w:r>
        <w:rPr>
          <w:rFonts w:ascii="Verdana" w:eastAsia="Verdana" w:hAnsi="Verdana" w:cs="Verdana"/>
          <w:spacing w:val="-1"/>
          <w:lang w:val="es-ES"/>
        </w:rPr>
        <w:t xml:space="preserve"> </w:t>
      </w:r>
      <w:r>
        <w:rPr>
          <w:rFonts w:ascii="Verdana" w:eastAsia="Verdana" w:hAnsi="Verdana" w:cs="Verdana"/>
          <w:lang w:val="es-ES"/>
        </w:rPr>
        <w:t>su</w:t>
      </w:r>
      <w:r>
        <w:rPr>
          <w:rFonts w:ascii="Verdana" w:eastAsia="Verdana" w:hAnsi="Verdana" w:cs="Verdana"/>
          <w:spacing w:val="-1"/>
          <w:lang w:val="es-ES"/>
        </w:rPr>
        <w:t xml:space="preserve"> </w:t>
      </w:r>
      <w:r>
        <w:rPr>
          <w:rFonts w:ascii="Verdana" w:eastAsia="Verdana" w:hAnsi="Verdana" w:cs="Verdana"/>
          <w:lang w:val="es-ES"/>
        </w:rPr>
        <w:t>régimen contractual es el Estatuto General de Contratación de la Administración Pública o si están exceptuadas</w:t>
      </w:r>
      <w:r>
        <w:rPr>
          <w:rFonts w:ascii="Verdana" w:eastAsia="Verdana" w:hAnsi="Verdana" w:cs="Verdana"/>
          <w:spacing w:val="-20"/>
          <w:lang w:val="es-ES"/>
        </w:rPr>
        <w:t xml:space="preserve"> </w:t>
      </w:r>
      <w:r>
        <w:rPr>
          <w:rFonts w:ascii="Verdana" w:eastAsia="Verdana" w:hAnsi="Verdana" w:cs="Verdana"/>
          <w:lang w:val="es-ES"/>
        </w:rPr>
        <w:t>de</w:t>
      </w:r>
      <w:r>
        <w:rPr>
          <w:rFonts w:ascii="Verdana" w:eastAsia="Verdana" w:hAnsi="Verdana" w:cs="Verdana"/>
          <w:spacing w:val="-17"/>
          <w:lang w:val="es-ES"/>
        </w:rPr>
        <w:t xml:space="preserve"> </w:t>
      </w:r>
      <w:r>
        <w:rPr>
          <w:rFonts w:ascii="Verdana" w:eastAsia="Verdana" w:hAnsi="Verdana" w:cs="Verdana"/>
          <w:lang w:val="es-ES"/>
        </w:rPr>
        <w:t>él y, por</w:t>
      </w:r>
      <w:r>
        <w:rPr>
          <w:rFonts w:ascii="Verdana" w:eastAsia="Verdana" w:hAnsi="Verdana" w:cs="Verdana"/>
          <w:spacing w:val="-3"/>
          <w:lang w:val="es-ES"/>
        </w:rPr>
        <w:t xml:space="preserve"> </w:t>
      </w:r>
      <w:r>
        <w:rPr>
          <w:rFonts w:ascii="Verdana" w:eastAsia="Verdana" w:hAnsi="Verdana" w:cs="Verdana"/>
          <w:lang w:val="es-ES"/>
        </w:rPr>
        <w:t>tanto, si</w:t>
      </w:r>
      <w:r>
        <w:rPr>
          <w:rFonts w:ascii="Verdana" w:eastAsia="Verdana" w:hAnsi="Verdana" w:cs="Verdana"/>
          <w:spacing w:val="-4"/>
          <w:lang w:val="es-ES"/>
        </w:rPr>
        <w:t xml:space="preserve"> </w:t>
      </w:r>
      <w:r>
        <w:rPr>
          <w:rFonts w:ascii="Verdana" w:eastAsia="Verdana" w:hAnsi="Verdana" w:cs="Verdana"/>
          <w:lang w:val="es-ES"/>
        </w:rPr>
        <w:t>se rigen por un</w:t>
      </w:r>
      <w:r>
        <w:rPr>
          <w:rFonts w:ascii="Verdana" w:eastAsia="Verdana" w:hAnsi="Verdana" w:cs="Verdana"/>
          <w:spacing w:val="-4"/>
          <w:lang w:val="es-ES"/>
        </w:rPr>
        <w:t xml:space="preserve"> </w:t>
      </w:r>
      <w:r>
        <w:rPr>
          <w:rFonts w:ascii="Verdana" w:eastAsia="Verdana" w:hAnsi="Verdana" w:cs="Verdana"/>
          <w:lang w:val="es-ES"/>
        </w:rPr>
        <w:t>régimen especial, como</w:t>
      </w:r>
      <w:r>
        <w:rPr>
          <w:rFonts w:ascii="Verdana" w:eastAsia="Verdana" w:hAnsi="Verdana" w:cs="Verdana"/>
          <w:spacing w:val="-3"/>
          <w:lang w:val="es-ES"/>
        </w:rPr>
        <w:t xml:space="preserve"> </w:t>
      </w:r>
      <w:r>
        <w:rPr>
          <w:rFonts w:ascii="Verdana" w:eastAsia="Verdana" w:hAnsi="Verdana" w:cs="Verdana"/>
          <w:lang w:val="es-ES"/>
        </w:rPr>
        <w:t xml:space="preserve">sería el derecho privado. En caso de que la Empresa Industrial y Comercial del Estado y la Sociedad de Economía Mixta se rijan por el Estatuto General de Contratación de la Administración Pública le resultará aplicable el Decreto 1082 de 2015 y por ende adelantará el procedimiento de contratación en los términos del </w:t>
      </w:r>
      <w:r w:rsidRPr="00D3378D">
        <w:rPr>
          <w:rFonts w:ascii="Verdana" w:hAnsi="Verdana" w:cs="Arial"/>
          <w:lang w:val="es-ES_tradnl"/>
        </w:rPr>
        <w:t>artículo 2, numeral 2, literal g) de la Ley 1150 de 2007</w:t>
      </w:r>
      <w:r>
        <w:rPr>
          <w:rFonts w:ascii="Verdana" w:hAnsi="Verdana" w:cs="Arial"/>
          <w:lang w:val="es-ES_tradnl"/>
        </w:rPr>
        <w:t xml:space="preserve"> aplicando el alcance interpretativo del </w:t>
      </w:r>
      <w:r w:rsidRPr="00D3378D">
        <w:rPr>
          <w:rFonts w:ascii="Verdana" w:hAnsi="Verdana" w:cs="Arial"/>
          <w:lang w:val="es-ES_tradnl"/>
        </w:rPr>
        <w:t xml:space="preserve">inciso </w:t>
      </w:r>
      <w:r>
        <w:rPr>
          <w:rFonts w:ascii="Verdana" w:hAnsi="Verdana" w:cs="Arial"/>
          <w:lang w:val="es-ES_tradnl"/>
        </w:rPr>
        <w:t xml:space="preserve">2 </w:t>
      </w:r>
      <w:r w:rsidRPr="00D3378D">
        <w:rPr>
          <w:rFonts w:ascii="Verdana" w:hAnsi="Verdana" w:cs="Arial"/>
          <w:lang w:val="es-ES_tradnl"/>
        </w:rPr>
        <w:t>del artículo 6 de la Ley 1150 de 2007</w:t>
      </w:r>
      <w:r>
        <w:rPr>
          <w:rFonts w:ascii="Verdana" w:eastAsia="Verdana" w:hAnsi="Verdana" w:cs="Verdana"/>
          <w:lang w:val="es-ES"/>
        </w:rPr>
        <w:t>, por lo que no será exigible el RUP en estos casos.</w:t>
      </w:r>
    </w:p>
    <w:p w14:paraId="5BA40549" w14:textId="77777777" w:rsidR="00B570E4" w:rsidRPr="00D20014" w:rsidRDefault="00B570E4" w:rsidP="00B570E4">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20014">
        <w:rPr>
          <w:rFonts w:ascii="Verdana" w:eastAsia="Century Gothic" w:hAnsi="Verdana" w:cs="Century Gothic"/>
          <w:b/>
          <w:bCs/>
        </w:rPr>
        <w:t>Referencias normativas, jurisprudenciales y otras fuentes:</w:t>
      </w:r>
    </w:p>
    <w:p w14:paraId="3E6BA733" w14:textId="77777777" w:rsidR="00B570E4" w:rsidRPr="00D20014" w:rsidRDefault="00B570E4" w:rsidP="00B570E4">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570E4" w:rsidRPr="00D20014" w14:paraId="3275151C" w14:textId="77777777" w:rsidTr="00BB539A">
        <w:trPr>
          <w:trHeight w:val="440"/>
        </w:trPr>
        <w:tc>
          <w:tcPr>
            <w:tcW w:w="8647" w:type="dxa"/>
          </w:tcPr>
          <w:p w14:paraId="42FA15A9" w14:textId="77777777" w:rsidR="00B570E4" w:rsidRDefault="00B570E4" w:rsidP="00BB539A">
            <w:pPr>
              <w:widowControl w:val="0"/>
              <w:numPr>
                <w:ilvl w:val="0"/>
                <w:numId w:val="17"/>
              </w:numPr>
              <w:autoSpaceDE w:val="0"/>
              <w:autoSpaceDN w:val="0"/>
              <w:spacing w:line="276" w:lineRule="auto"/>
              <w:ind w:left="720"/>
              <w:jc w:val="both"/>
              <w:rPr>
                <w:rFonts w:ascii="Verdana" w:eastAsia="Calibri" w:hAnsi="Verdana" w:cs="Arial"/>
              </w:rPr>
            </w:pPr>
            <w:r>
              <w:rPr>
                <w:rFonts w:ascii="Verdana" w:eastAsia="Calibri" w:hAnsi="Verdana" w:cs="Arial"/>
              </w:rPr>
              <w:t>Ley 80 de 1993, artículo 2 y 3.</w:t>
            </w:r>
          </w:p>
          <w:p w14:paraId="0F1DCED6" w14:textId="77777777" w:rsidR="00B570E4" w:rsidRPr="005654AD" w:rsidRDefault="00B570E4" w:rsidP="00BB539A">
            <w:pPr>
              <w:widowControl w:val="0"/>
              <w:numPr>
                <w:ilvl w:val="0"/>
                <w:numId w:val="17"/>
              </w:numPr>
              <w:autoSpaceDE w:val="0"/>
              <w:autoSpaceDN w:val="0"/>
              <w:spacing w:line="276" w:lineRule="auto"/>
              <w:ind w:left="720"/>
              <w:jc w:val="both"/>
              <w:rPr>
                <w:rFonts w:ascii="Verdana" w:eastAsia="Calibri" w:hAnsi="Verdana" w:cs="Arial"/>
              </w:rPr>
            </w:pPr>
            <w:r>
              <w:rPr>
                <w:rFonts w:ascii="Verdana" w:eastAsia="Calibri" w:hAnsi="Verdana" w:cs="Arial"/>
              </w:rPr>
              <w:t xml:space="preserve">Ley 1150 de 2007, </w:t>
            </w:r>
            <w:r w:rsidRPr="00D3378D">
              <w:rPr>
                <w:rFonts w:ascii="Verdana" w:hAnsi="Verdana" w:cs="Arial"/>
                <w:lang w:val="es-ES_tradnl"/>
              </w:rPr>
              <w:t>artículo</w:t>
            </w:r>
            <w:r>
              <w:rPr>
                <w:rFonts w:ascii="Verdana" w:hAnsi="Verdana" w:cs="Arial"/>
                <w:lang w:val="es-ES_tradnl"/>
              </w:rPr>
              <w:t>s</w:t>
            </w:r>
            <w:r w:rsidRPr="00D3378D">
              <w:rPr>
                <w:rFonts w:ascii="Verdana" w:hAnsi="Verdana" w:cs="Arial"/>
                <w:lang w:val="es-ES_tradnl"/>
              </w:rPr>
              <w:t xml:space="preserve"> 2, numeral 2, literal g)</w:t>
            </w:r>
            <w:r>
              <w:rPr>
                <w:rFonts w:ascii="Verdana" w:hAnsi="Verdana" w:cs="Arial"/>
                <w:lang w:val="es-ES_tradnl"/>
              </w:rPr>
              <w:t>, 6 y 14.</w:t>
            </w:r>
          </w:p>
          <w:p w14:paraId="0594A470" w14:textId="77777777" w:rsidR="00B570E4" w:rsidRPr="007B2598" w:rsidRDefault="00B570E4" w:rsidP="00BB539A">
            <w:pPr>
              <w:widowControl w:val="0"/>
              <w:numPr>
                <w:ilvl w:val="0"/>
                <w:numId w:val="17"/>
              </w:numPr>
              <w:autoSpaceDE w:val="0"/>
              <w:autoSpaceDN w:val="0"/>
              <w:spacing w:line="276" w:lineRule="auto"/>
              <w:ind w:left="720"/>
              <w:jc w:val="both"/>
              <w:rPr>
                <w:rFonts w:ascii="Verdana" w:eastAsia="Calibri" w:hAnsi="Verdana" w:cs="Arial"/>
              </w:rPr>
            </w:pPr>
            <w:r w:rsidRPr="007D55EC">
              <w:rPr>
                <w:rFonts w:ascii="Verdana" w:eastAsia="Calibri" w:hAnsi="Verdana" w:cs="Arial"/>
                <w:color w:val="000000"/>
                <w:lang w:val="es-ES_tradnl" w:eastAsia="es-ES_tradnl"/>
              </w:rPr>
              <w:t>Ley 489 de 1998</w:t>
            </w:r>
            <w:r>
              <w:rPr>
                <w:rFonts w:ascii="Verdana" w:eastAsia="Calibri" w:hAnsi="Verdana" w:cs="Arial"/>
                <w:color w:val="000000"/>
                <w:lang w:val="es-ES_tradnl" w:eastAsia="es-ES_tradnl"/>
              </w:rPr>
              <w:t>, artículo 97</w:t>
            </w:r>
          </w:p>
        </w:tc>
      </w:tr>
    </w:tbl>
    <w:p w14:paraId="50B7A465" w14:textId="77777777" w:rsidR="00B570E4" w:rsidRPr="00D20014" w:rsidRDefault="00B570E4" w:rsidP="00B570E4">
      <w:pPr>
        <w:widowControl w:val="0"/>
        <w:autoSpaceDE w:val="0"/>
        <w:autoSpaceDN w:val="0"/>
        <w:spacing w:after="0" w:line="276" w:lineRule="auto"/>
        <w:jc w:val="both"/>
        <w:rPr>
          <w:rFonts w:ascii="Verdana" w:eastAsia="Aptos" w:hAnsi="Verdana" w:cs="Arial"/>
        </w:rPr>
      </w:pPr>
    </w:p>
    <w:p w14:paraId="302A8CA3" w14:textId="77777777" w:rsidR="00B570E4" w:rsidRPr="00D20014" w:rsidRDefault="00B570E4" w:rsidP="00B570E4">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20014">
        <w:rPr>
          <w:rFonts w:ascii="Verdana" w:eastAsia="Century Gothic" w:hAnsi="Verdana" w:cs="Century Gothic"/>
          <w:b/>
          <w:bCs/>
        </w:rPr>
        <w:t>Doctrina de la Agencia Nacional de Contratación Pública:</w:t>
      </w:r>
    </w:p>
    <w:p w14:paraId="6B6209CD" w14:textId="77777777" w:rsidR="00B570E4" w:rsidRPr="00D20014" w:rsidRDefault="00B570E4" w:rsidP="00B570E4">
      <w:pPr>
        <w:widowControl w:val="0"/>
        <w:autoSpaceDE w:val="0"/>
        <w:autoSpaceDN w:val="0"/>
        <w:spacing w:after="0" w:line="276" w:lineRule="auto"/>
        <w:jc w:val="both"/>
        <w:rPr>
          <w:rFonts w:ascii="Verdana" w:eastAsia="Aptos" w:hAnsi="Verdana" w:cs="Arial"/>
        </w:rPr>
      </w:pPr>
    </w:p>
    <w:p w14:paraId="2B1EED58" w14:textId="77777777" w:rsidR="00B570E4" w:rsidRPr="00F214C5" w:rsidRDefault="00B570E4" w:rsidP="00B570E4">
      <w:pPr>
        <w:spacing w:after="0" w:line="276" w:lineRule="auto"/>
        <w:jc w:val="both"/>
        <w:rPr>
          <w:rFonts w:ascii="Verdana" w:eastAsia="Calibri" w:hAnsi="Verdana" w:cs="Times New Roman"/>
          <w:color w:val="000000"/>
        </w:rPr>
      </w:pPr>
      <w:r>
        <w:rPr>
          <w:rFonts w:ascii="Verdana" w:eastAsia="Calibri" w:hAnsi="Verdana" w:cs="Times New Roman"/>
          <w:color w:val="000000"/>
        </w:rPr>
        <w:t xml:space="preserve">La Agencia Nacional de Contratación Pública − Colombia Compra Eficiente se pronunció sobre la naturaleza jurídica y el régimen de contratación de las Empresas Industriales y Comerciales del Estado en los conceptos 2201913000009314 del 17 de diciembre de 2019 –dentro del radicado 4201913000001662–, C-251 del 27 de mayo de 2020, C–253 de 2 de junio de 2021 , C-280 del 6 de julio de 2020, C-616 de 3 de noviembre de 2021, C-176 del 6 de abril de 2022 , C-857 de 13 diciembre de 2022, C-501 de 30 de septiembre de 2024, C-424 del 13 de mayo de 2025 y 973 de 2025. Asimismo, </w:t>
      </w:r>
      <w:r w:rsidRPr="00D20014">
        <w:rPr>
          <w:rFonts w:ascii="Verdana" w:eastAsia="Times New Roman" w:hAnsi="Verdana" w:cs="Arial"/>
          <w:lang w:val="es-ES_tradnl" w:eastAsia="es-ES_tradnl"/>
        </w:rPr>
        <w:t xml:space="preserve">se ha pronunciado sobre </w:t>
      </w:r>
      <w:r w:rsidRPr="00D20014">
        <w:rPr>
          <w:rFonts w:ascii="Verdana" w:eastAsia="Times New Roman" w:hAnsi="Verdana" w:cs="Arial"/>
          <w:lang w:eastAsia="es-ES_tradnl"/>
        </w:rPr>
        <w:t>el alcance del</w:t>
      </w:r>
      <w:r>
        <w:rPr>
          <w:rFonts w:ascii="Verdana" w:eastAsia="Times New Roman" w:hAnsi="Verdana" w:cs="Arial"/>
          <w:lang w:eastAsia="es-ES_tradnl"/>
        </w:rPr>
        <w:t xml:space="preserve"> inciso segundo del artículo 6 de la Ley 1150 de 2007 respecto de las Empresas Industriales y Comerciales del Estado y las Sociedades de Economía Mixta en los conceptos </w:t>
      </w:r>
      <w:r w:rsidRPr="00D9087C">
        <w:rPr>
          <w:rFonts w:ascii="Verdana" w:hAnsi="Verdana" w:cs="Arial"/>
          <w:color w:val="000000" w:themeColor="text1"/>
          <w:lang w:val="es-ES_tradnl"/>
        </w:rPr>
        <w:t>C-133 del 7 de abril de 2021 y C-416 del 18 de agosto de 2021 y C-205 del 20 de junio de 2023</w:t>
      </w:r>
      <w:r w:rsidRPr="00D9087C">
        <w:rPr>
          <w:rFonts w:ascii="Verdana" w:hAnsi="Verdana"/>
        </w:rPr>
        <w:t xml:space="preserve">. </w:t>
      </w:r>
      <w:r w:rsidRPr="00D9087C">
        <w:rPr>
          <w:rFonts w:ascii="Verdana" w:eastAsia="Aptos" w:hAnsi="Verdana" w:cs="Arial"/>
          <w:shd w:val="clear" w:color="auto" w:fill="FFFFFF"/>
          <w:lang w:val="es-ES"/>
        </w:rPr>
        <w:t>Es</w:t>
      </w:r>
      <w:r w:rsidRPr="00D9087C">
        <w:rPr>
          <w:rFonts w:ascii="Verdana" w:eastAsia="Aptos" w:hAnsi="Verdana" w:cs="Times New Roman"/>
        </w:rPr>
        <w:t xml:space="preserve">tos </w:t>
      </w:r>
      <w:r w:rsidRPr="00D9087C">
        <w:rPr>
          <w:rFonts w:ascii="Verdana" w:eastAsia="Aptos" w:hAnsi="Verdana" w:cs="Times New Roman"/>
        </w:rPr>
        <w:lastRenderedPageBreak/>
        <w:t>conceptos se encuentran disponibles para consulta en el Sistema de relatoría</w:t>
      </w:r>
      <w:r w:rsidRPr="00D20014">
        <w:rPr>
          <w:rFonts w:ascii="Verdana" w:eastAsia="Aptos" w:hAnsi="Verdana" w:cs="Times New Roman"/>
        </w:rPr>
        <w:t xml:space="preserve"> de la Agencia, al cual se puede acceder a través del siguiente enlace:</w:t>
      </w:r>
      <w:r w:rsidRPr="00D20014">
        <w:rPr>
          <w:rFonts w:ascii="Verdana" w:eastAsia="Aptos" w:hAnsi="Verdana" w:cs="Arial"/>
          <w:shd w:val="clear" w:color="auto" w:fill="FFFFFF"/>
          <w:lang w:val="es-ES"/>
        </w:rPr>
        <w:t xml:space="preserve"> </w:t>
      </w:r>
      <w:hyperlink r:id="rId12" w:history="1">
        <w:r w:rsidRPr="00D20014">
          <w:rPr>
            <w:rFonts w:ascii="Verdana" w:eastAsia="Aptos" w:hAnsi="Verdana" w:cs="Arial"/>
            <w:color w:val="0000FF"/>
            <w:u w:val="single"/>
            <w:shd w:val="clear" w:color="auto" w:fill="FFFFFF"/>
            <w:lang w:val="es-ES"/>
          </w:rPr>
          <w:t>https://relatoria.colombiacompra.gov.co/busqueda/conceptos</w:t>
        </w:r>
      </w:hyperlink>
      <w:r w:rsidRPr="00D20014">
        <w:rPr>
          <w:rFonts w:ascii="Verdana" w:eastAsia="Aptos" w:hAnsi="Verdana" w:cs="Arial"/>
          <w:color w:val="FF0000"/>
          <w:shd w:val="clear" w:color="auto" w:fill="FFFFFF"/>
          <w:lang w:val="es-ES"/>
        </w:rPr>
        <w:t xml:space="preserve">. </w:t>
      </w:r>
    </w:p>
    <w:p w14:paraId="5C8403C9" w14:textId="77777777" w:rsidR="00B570E4" w:rsidRPr="00D20014" w:rsidRDefault="00B570E4" w:rsidP="00B570E4">
      <w:pPr>
        <w:spacing w:after="0" w:line="240" w:lineRule="auto"/>
        <w:jc w:val="both"/>
        <w:rPr>
          <w:rFonts w:ascii="Verdana" w:eastAsia="Calibri" w:hAnsi="Verdana" w:cs="Arial"/>
          <w:color w:val="000000"/>
          <w:shd w:val="clear" w:color="auto" w:fill="FFFFFF"/>
        </w:rPr>
      </w:pPr>
    </w:p>
    <w:p w14:paraId="4F922669" w14:textId="77777777" w:rsidR="00B570E4" w:rsidRPr="0097735F" w:rsidRDefault="00B570E4" w:rsidP="00B570E4">
      <w:pPr>
        <w:shd w:val="clear" w:color="auto" w:fill="FFFFFF"/>
        <w:spacing w:after="0" w:line="276" w:lineRule="auto"/>
        <w:jc w:val="both"/>
        <w:rPr>
          <w:rFonts w:ascii="Verdana" w:hAnsi="Verdana"/>
          <w:color w:val="467886"/>
          <w:u w:val="single"/>
        </w:rPr>
      </w:pPr>
      <w:r w:rsidRPr="0097735F">
        <w:rPr>
          <w:rFonts w:ascii="Verdana" w:hAnsi="Verdana"/>
          <w:color w:val="000000"/>
        </w:rPr>
        <w:t>Te informamos que ya se encuentra disponible la </w:t>
      </w:r>
      <w:r w:rsidRPr="0097735F">
        <w:rPr>
          <w:rFonts w:ascii="Verdana" w:hAnsi="Verdana"/>
          <w:b/>
          <w:bCs/>
          <w:color w:val="000000"/>
        </w:rPr>
        <w:t>Guía de lineamientos de transparencia y selección objetiva para el departamento de La Guajira – Objetivo sexto constitucional de la Sentencia T-302 del 2017. </w:t>
      </w:r>
      <w:r w:rsidRPr="0097735F">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7735F">
        <w:rPr>
          <w:rFonts w:ascii="Verdana" w:hAnsi="Verdana"/>
          <w:color w:val="000000"/>
        </w:rPr>
        <w:t>Wayúu</w:t>
      </w:r>
      <w:proofErr w:type="spellEnd"/>
      <w:r w:rsidRPr="0097735F">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97735F">
          <w:rPr>
            <w:rFonts w:ascii="Verdana" w:hAnsi="Verdana"/>
            <w:color w:val="0000FF"/>
            <w:u w:val="single"/>
          </w:rPr>
          <w:t>Guía de lineamientos de transparencia y selección objetiva para el departamento de La Guajira – Objetivo sexto constitucional de la Sentencia T-302 del 2017</w:t>
        </w:r>
      </w:hyperlink>
      <w:r w:rsidRPr="0097735F">
        <w:rPr>
          <w:rFonts w:ascii="Verdana" w:hAnsi="Verdana"/>
          <w:color w:val="000000"/>
          <w:u w:val="single"/>
        </w:rPr>
        <w:t>".</w:t>
      </w:r>
    </w:p>
    <w:p w14:paraId="34D875AB" w14:textId="77777777" w:rsidR="00B570E4" w:rsidRPr="00D20014" w:rsidRDefault="00B570E4" w:rsidP="00B570E4">
      <w:pPr>
        <w:widowControl w:val="0"/>
        <w:autoSpaceDE w:val="0"/>
        <w:autoSpaceDN w:val="0"/>
        <w:spacing w:after="0" w:line="276" w:lineRule="auto"/>
        <w:jc w:val="both"/>
        <w:rPr>
          <w:rFonts w:ascii="Verdana" w:eastAsia="Aptos" w:hAnsi="Verdana" w:cs="Arial"/>
          <w:color w:val="FF0000"/>
          <w:shd w:val="clear" w:color="auto" w:fill="FFFFFF"/>
          <w:lang w:val="es-ES"/>
        </w:rPr>
      </w:pPr>
    </w:p>
    <w:p w14:paraId="6F26EDB2" w14:textId="77777777" w:rsidR="00B570E4" w:rsidRPr="00D20014" w:rsidRDefault="00B570E4" w:rsidP="00B570E4">
      <w:pPr>
        <w:widowControl w:val="0"/>
        <w:autoSpaceDE w:val="0"/>
        <w:autoSpaceDN w:val="0"/>
        <w:spacing w:after="0" w:line="276" w:lineRule="auto"/>
        <w:jc w:val="both"/>
        <w:rPr>
          <w:rFonts w:ascii="Verdana" w:eastAsia="Aptos" w:hAnsi="Verdana" w:cs="Arial"/>
          <w:lang w:val="es-ES_tradnl"/>
        </w:rPr>
      </w:pPr>
      <w:r w:rsidRPr="00D20014">
        <w:rPr>
          <w:rFonts w:ascii="Verdana" w:eastAsia="Aptos" w:hAnsi="Verdana" w:cs="Arial"/>
        </w:rPr>
        <w:t xml:space="preserve">Este concepto tiene el alcance previsto en el artículo 28 del Código de Procedimiento Administrativo y de lo Contencioso Administrativo </w:t>
      </w:r>
      <w:r w:rsidRPr="00D20014">
        <w:rPr>
          <w:rFonts w:ascii="Verdana" w:eastAsia="Aptos" w:hAnsi="Verdana" w:cs="Arial"/>
          <w:lang w:val="es-ES_tradnl"/>
        </w:rPr>
        <w:t>y las expresiones aquí utilizadas con mayúscula inicial deben ser entendidas con el significado que les otorga el artículo 2.2.1.1.1.3.1. del Decreto 1082 de 2015.</w:t>
      </w:r>
    </w:p>
    <w:p w14:paraId="4379B7EE" w14:textId="77777777" w:rsidR="00B570E4" w:rsidRPr="00D20014" w:rsidRDefault="00B570E4" w:rsidP="00B570E4">
      <w:pPr>
        <w:widowControl w:val="0"/>
        <w:autoSpaceDE w:val="0"/>
        <w:autoSpaceDN w:val="0"/>
        <w:spacing w:after="0" w:line="276" w:lineRule="auto"/>
        <w:jc w:val="both"/>
        <w:rPr>
          <w:rFonts w:ascii="Verdana" w:eastAsia="Aptos" w:hAnsi="Verdana" w:cs="Arial"/>
        </w:rPr>
      </w:pPr>
    </w:p>
    <w:p w14:paraId="2F91FF73" w14:textId="77777777" w:rsidR="00B570E4" w:rsidRDefault="00B570E4" w:rsidP="00B570E4">
      <w:pPr>
        <w:spacing w:after="0" w:line="276" w:lineRule="auto"/>
        <w:jc w:val="both"/>
        <w:rPr>
          <w:rFonts w:ascii="Verdana" w:hAnsi="Verdana"/>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F01BE64" w14:textId="46F8EDA8" w:rsidR="00B570E4" w:rsidRPr="00AC6E46" w:rsidRDefault="00ED0467" w:rsidP="00B570E4">
      <w:pPr>
        <w:spacing w:line="276" w:lineRule="auto"/>
        <w:jc w:val="center"/>
        <w:rPr>
          <w:rFonts w:ascii="Verdana" w:hAnsi="Verdana"/>
          <w:noProof/>
        </w:rPr>
      </w:pPr>
      <w:r>
        <w:rPr>
          <w:rFonts w:ascii="Verdana" w:hAnsi="Verdana"/>
          <w:noProof/>
        </w:rPr>
        <w:drawing>
          <wp:inline distT="0" distB="0" distL="0" distR="0" wp14:anchorId="56C214DB" wp14:editId="50E1A2FD">
            <wp:extent cx="3639058" cy="1343212"/>
            <wp:effectExtent l="0" t="0" r="0" b="0"/>
            <wp:docPr id="45430823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308234"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570E4" w:rsidRPr="00593A5F" w14:paraId="4324611A" w14:textId="77777777" w:rsidTr="00BB539A">
        <w:trPr>
          <w:trHeight w:val="315"/>
        </w:trPr>
        <w:tc>
          <w:tcPr>
            <w:tcW w:w="893" w:type="dxa"/>
            <w:vAlign w:val="center"/>
            <w:hideMark/>
          </w:tcPr>
          <w:p w14:paraId="50F1AD1D" w14:textId="77777777" w:rsidR="00B570E4" w:rsidRPr="003751C7" w:rsidRDefault="00B570E4" w:rsidP="00BB539A">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28B0082" w14:textId="77777777" w:rsidR="00B570E4" w:rsidRPr="007911EE" w:rsidRDefault="00B570E4" w:rsidP="00BB539A">
            <w:pPr>
              <w:contextualSpacing/>
              <w:rPr>
                <w:rFonts w:ascii="Verdana" w:hAnsi="Verdana"/>
                <w:sz w:val="16"/>
                <w:szCs w:val="16"/>
              </w:rPr>
            </w:pPr>
            <w:r>
              <w:rPr>
                <w:rFonts w:ascii="Verdana" w:hAnsi="Verdana"/>
                <w:sz w:val="16"/>
                <w:szCs w:val="16"/>
              </w:rPr>
              <w:t>Gloria Elizabeth Arango Builes</w:t>
            </w:r>
          </w:p>
          <w:p w14:paraId="099F664E" w14:textId="77777777" w:rsidR="00B570E4" w:rsidRPr="007911EE" w:rsidRDefault="00B570E4" w:rsidP="00BB539A">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B570E4" w:rsidRPr="00593A5F" w14:paraId="76C44E39" w14:textId="77777777" w:rsidTr="00BB539A">
        <w:trPr>
          <w:trHeight w:val="330"/>
        </w:trPr>
        <w:tc>
          <w:tcPr>
            <w:tcW w:w="893" w:type="dxa"/>
            <w:vAlign w:val="center"/>
            <w:hideMark/>
          </w:tcPr>
          <w:p w14:paraId="65AE0712" w14:textId="77777777" w:rsidR="00B570E4" w:rsidRPr="003751C7" w:rsidRDefault="00B570E4" w:rsidP="00BB539A">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523B91" w14:textId="77777777" w:rsidR="00B570E4" w:rsidRDefault="00B570E4" w:rsidP="00BB539A">
            <w:pPr>
              <w:spacing w:line="276" w:lineRule="auto"/>
              <w:contextualSpacing/>
              <w:jc w:val="both"/>
              <w:rPr>
                <w:rFonts w:ascii="Verdana" w:hAnsi="Verdana"/>
                <w:sz w:val="16"/>
                <w:szCs w:val="16"/>
              </w:rPr>
            </w:pPr>
            <w:r>
              <w:rPr>
                <w:rFonts w:ascii="Verdana" w:hAnsi="Verdana"/>
                <w:sz w:val="16"/>
                <w:szCs w:val="16"/>
              </w:rPr>
              <w:t xml:space="preserve">Juan Carlos González Vásquez </w:t>
            </w:r>
          </w:p>
          <w:p w14:paraId="4DC41772" w14:textId="77777777" w:rsidR="00B570E4" w:rsidRPr="007911EE" w:rsidRDefault="00B570E4" w:rsidP="00BB539A">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B570E4" w:rsidRPr="00593A5F" w14:paraId="5EA81536" w14:textId="77777777" w:rsidTr="00BB539A">
        <w:trPr>
          <w:trHeight w:val="330"/>
        </w:trPr>
        <w:tc>
          <w:tcPr>
            <w:tcW w:w="893" w:type="dxa"/>
            <w:vAlign w:val="center"/>
          </w:tcPr>
          <w:p w14:paraId="63F9CA6E" w14:textId="77777777" w:rsidR="00B570E4" w:rsidRPr="003751C7" w:rsidRDefault="00B570E4" w:rsidP="00BB539A">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0D7C331" w14:textId="77777777" w:rsidR="00B570E4" w:rsidRPr="00EB1CF7" w:rsidRDefault="00B570E4" w:rsidP="00BB539A">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7067F17C" w14:textId="77777777" w:rsidR="00B570E4" w:rsidRDefault="00B570E4" w:rsidP="00BB539A">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 xml:space="preserve"> ANCP – CCE</w:t>
            </w:r>
          </w:p>
        </w:tc>
      </w:tr>
    </w:tbl>
    <w:p w14:paraId="7142A509" w14:textId="77777777" w:rsidR="00B570E4" w:rsidRPr="00EA6F8B" w:rsidRDefault="00B570E4" w:rsidP="00B570E4"/>
    <w:p w14:paraId="24C2441B" w14:textId="77777777" w:rsidR="00B570E4" w:rsidRPr="00EA7EA8" w:rsidRDefault="00B570E4" w:rsidP="00B570E4"/>
    <w:sectPr w:rsidR="00B570E4" w:rsidRPr="00EA7EA8"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08C44A" w14:textId="77777777" w:rsidR="00EF0F1D" w:rsidRDefault="00EF0F1D" w:rsidP="004A1847">
      <w:pPr>
        <w:spacing w:after="0" w:line="240" w:lineRule="auto"/>
      </w:pPr>
      <w:r>
        <w:separator/>
      </w:r>
    </w:p>
  </w:endnote>
  <w:endnote w:type="continuationSeparator" w:id="0">
    <w:p w14:paraId="301FAC46" w14:textId="77777777" w:rsidR="00EF0F1D" w:rsidRDefault="00EF0F1D" w:rsidP="004A1847">
      <w:pPr>
        <w:spacing w:after="0" w:line="240" w:lineRule="auto"/>
      </w:pPr>
      <w:r>
        <w:continuationSeparator/>
      </w:r>
    </w:p>
  </w:endnote>
  <w:endnote w:type="continuationNotice" w:id="1">
    <w:p w14:paraId="6692840A" w14:textId="77777777" w:rsidR="00EF0F1D" w:rsidRDefault="00EF0F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2F8053" w14:textId="77777777" w:rsidR="00EF0F1D" w:rsidRDefault="00EF0F1D" w:rsidP="004A1847">
      <w:pPr>
        <w:spacing w:after="0" w:line="240" w:lineRule="auto"/>
      </w:pPr>
      <w:r>
        <w:separator/>
      </w:r>
    </w:p>
  </w:footnote>
  <w:footnote w:type="continuationSeparator" w:id="0">
    <w:p w14:paraId="3F303594" w14:textId="77777777" w:rsidR="00EF0F1D" w:rsidRDefault="00EF0F1D" w:rsidP="004A1847">
      <w:pPr>
        <w:spacing w:after="0" w:line="240" w:lineRule="auto"/>
      </w:pPr>
      <w:r>
        <w:continuationSeparator/>
      </w:r>
    </w:p>
  </w:footnote>
  <w:footnote w:type="continuationNotice" w:id="1">
    <w:p w14:paraId="684F9A93" w14:textId="77777777" w:rsidR="00EF0F1D" w:rsidRDefault="00EF0F1D">
      <w:pPr>
        <w:spacing w:after="0" w:line="240" w:lineRule="auto"/>
      </w:pPr>
    </w:p>
  </w:footnote>
  <w:footnote w:id="2">
    <w:p w14:paraId="6E7A1A95" w14:textId="77777777" w:rsidR="00B570E4" w:rsidRPr="000B6999" w:rsidRDefault="00B570E4" w:rsidP="00B570E4">
      <w:pPr>
        <w:pStyle w:val="Textonotapie"/>
        <w:ind w:firstLine="708"/>
        <w:jc w:val="both"/>
        <w:rPr>
          <w:rFonts w:ascii="Verdana" w:hAnsi="Verdana" w:cs="Arial"/>
          <w:sz w:val="16"/>
          <w:szCs w:val="16"/>
        </w:rPr>
      </w:pPr>
      <w:r w:rsidRPr="000B6999">
        <w:rPr>
          <w:rStyle w:val="Refdenotaalpie"/>
          <w:rFonts w:ascii="Verdana" w:hAnsi="Verdana" w:cs="Arial"/>
          <w:sz w:val="16"/>
          <w:szCs w:val="16"/>
        </w:rPr>
        <w:footnoteRef/>
      </w:r>
      <w:r w:rsidRPr="000B6999">
        <w:rPr>
          <w:rFonts w:ascii="Verdana" w:hAnsi="Verdana" w:cs="Arial"/>
          <w:sz w:val="16"/>
          <w:szCs w:val="16"/>
        </w:rPr>
        <w:t xml:space="preserve"> Ley 489 de 1998: “Artículo 85. Empresas industriales y comerciales del Estado. Las empresas industriales y comerciales del Estado son organismos creados por la ley o autorizados por ésta, que desarrollan actividades de naturaleza industrial o comercial y de gestión económica conforme a las reglas del Derecho Privado, salvo las excepciones que consagra la ley, y que reúnen las siguientes características: </w:t>
      </w:r>
    </w:p>
    <w:p w14:paraId="5D5AC0A3" w14:textId="77777777" w:rsidR="00B570E4" w:rsidRPr="000B6999" w:rsidRDefault="00B570E4" w:rsidP="00B570E4">
      <w:pPr>
        <w:pStyle w:val="Textonotapie"/>
        <w:ind w:firstLine="708"/>
        <w:jc w:val="both"/>
        <w:rPr>
          <w:rFonts w:ascii="Verdana" w:hAnsi="Verdana" w:cs="Arial"/>
          <w:sz w:val="16"/>
          <w:szCs w:val="16"/>
        </w:rPr>
      </w:pPr>
      <w:r w:rsidRPr="000B6999">
        <w:rPr>
          <w:rFonts w:ascii="Verdana" w:hAnsi="Verdana" w:cs="Arial"/>
          <w:sz w:val="16"/>
          <w:szCs w:val="16"/>
        </w:rPr>
        <w:t xml:space="preserve">a) Personería jurídica; </w:t>
      </w:r>
    </w:p>
    <w:p w14:paraId="7D9D0673" w14:textId="77777777" w:rsidR="00B570E4" w:rsidRPr="000B6999" w:rsidRDefault="00B570E4" w:rsidP="00B570E4">
      <w:pPr>
        <w:pStyle w:val="Textonotapie"/>
        <w:ind w:firstLine="708"/>
        <w:jc w:val="both"/>
        <w:rPr>
          <w:rFonts w:ascii="Verdana" w:hAnsi="Verdana" w:cs="Arial"/>
          <w:sz w:val="16"/>
          <w:szCs w:val="16"/>
        </w:rPr>
      </w:pPr>
      <w:r w:rsidRPr="000B6999">
        <w:rPr>
          <w:rFonts w:ascii="Verdana" w:hAnsi="Verdana" w:cs="Arial"/>
          <w:sz w:val="16"/>
          <w:szCs w:val="16"/>
        </w:rPr>
        <w:t xml:space="preserve">b) Autonomía administrativa y financiera; </w:t>
      </w:r>
    </w:p>
    <w:p w14:paraId="0C0D76CC" w14:textId="77777777" w:rsidR="00B570E4" w:rsidRPr="000B6999" w:rsidRDefault="00B570E4" w:rsidP="00B570E4">
      <w:pPr>
        <w:pStyle w:val="Textonotapie"/>
        <w:ind w:firstLine="708"/>
        <w:jc w:val="both"/>
        <w:rPr>
          <w:rFonts w:ascii="Verdana" w:hAnsi="Verdana" w:cs="Arial"/>
          <w:sz w:val="16"/>
          <w:szCs w:val="16"/>
        </w:rPr>
      </w:pPr>
      <w:r w:rsidRPr="000B6999">
        <w:rPr>
          <w:rFonts w:ascii="Verdana" w:hAnsi="Verdana" w:cs="Arial"/>
          <w:sz w:val="16"/>
          <w:szCs w:val="16"/>
        </w:rPr>
        <w:t xml:space="preserve">c) Capital independiente, constituido totalmente con bienes o fondos públicos comunes, los productos de ellos, o el rendimiento de tasas que perciban por las funciones o servicios, y contribuciones de destinación especial en los casos autorizados por la Constitución. </w:t>
      </w:r>
    </w:p>
    <w:p w14:paraId="7B931DE3" w14:textId="77777777" w:rsidR="00B570E4" w:rsidRPr="000B6999" w:rsidRDefault="00B570E4" w:rsidP="00B570E4">
      <w:pPr>
        <w:pStyle w:val="Textonotapie"/>
        <w:ind w:firstLine="708"/>
        <w:jc w:val="both"/>
        <w:rPr>
          <w:rFonts w:ascii="Verdana" w:hAnsi="Verdana" w:cs="Arial"/>
          <w:sz w:val="16"/>
          <w:szCs w:val="16"/>
        </w:rPr>
      </w:pPr>
      <w:r w:rsidRPr="000B6999">
        <w:rPr>
          <w:rFonts w:ascii="Verdana" w:hAnsi="Verdana" w:cs="Arial"/>
          <w:sz w:val="16"/>
          <w:szCs w:val="16"/>
        </w:rPr>
        <w:t xml:space="preserve">El capital de las empresas industriales y comerciales del Estado podrá estar representado en cuotas o acciones de igual valor nominal. </w:t>
      </w:r>
    </w:p>
    <w:p w14:paraId="55EE8CFE" w14:textId="77777777" w:rsidR="00B570E4" w:rsidRPr="000B6999" w:rsidRDefault="00B570E4" w:rsidP="00B570E4">
      <w:pPr>
        <w:pStyle w:val="Textonotapie"/>
        <w:ind w:firstLine="708"/>
        <w:jc w:val="both"/>
        <w:rPr>
          <w:rFonts w:ascii="Verdana" w:hAnsi="Verdana" w:cs="Arial"/>
          <w:sz w:val="16"/>
          <w:szCs w:val="16"/>
        </w:rPr>
      </w:pPr>
      <w:r w:rsidRPr="000B6999">
        <w:rPr>
          <w:rFonts w:ascii="Verdana" w:hAnsi="Verdana" w:cs="Arial"/>
          <w:sz w:val="16"/>
          <w:szCs w:val="16"/>
        </w:rPr>
        <w:t xml:space="preserve">A las empresas industriales y comerciales del Estado y a las sociedades de economía mixta se les aplicará en lo pertinente los artículos 19, numerales 2°, 4°, 5°, 6°, 12, 13, 17, 27, numerales 2°, 3°, 4°, 5°, y 7°, y 183 de la Ley 142 de 1994. </w:t>
      </w:r>
    </w:p>
    <w:p w14:paraId="3BA3CC1B" w14:textId="77777777" w:rsidR="00B570E4" w:rsidRPr="000B6999" w:rsidRDefault="00B570E4" w:rsidP="00B570E4">
      <w:pPr>
        <w:pStyle w:val="Textonotapie"/>
        <w:ind w:firstLine="708"/>
        <w:jc w:val="both"/>
        <w:rPr>
          <w:rFonts w:ascii="Verdana" w:hAnsi="Verdana" w:cs="Arial"/>
          <w:sz w:val="16"/>
          <w:szCs w:val="16"/>
        </w:rPr>
      </w:pPr>
      <w:r w:rsidRPr="000B6999">
        <w:rPr>
          <w:rFonts w:ascii="Verdana" w:hAnsi="Verdana" w:cs="Arial"/>
          <w:sz w:val="16"/>
          <w:szCs w:val="16"/>
        </w:rPr>
        <w:t xml:space="preserve">Parágrafo. Las disposiciones legales que protegen el secreto industrial y la información comercial se aplicarán a aquellos secretos e informaciones de esa naturaleza que desarrollen y posean las empresas industriales y comerciales del Estado”. </w:t>
      </w:r>
    </w:p>
  </w:footnote>
  <w:footnote w:id="3">
    <w:p w14:paraId="15DA0DDD" w14:textId="77777777" w:rsidR="00B570E4" w:rsidRPr="000B6999" w:rsidRDefault="00B570E4" w:rsidP="00B570E4">
      <w:pPr>
        <w:spacing w:after="0" w:line="240" w:lineRule="auto"/>
        <w:ind w:right="49" w:firstLine="709"/>
        <w:contextualSpacing/>
        <w:jc w:val="both"/>
        <w:rPr>
          <w:rFonts w:ascii="Verdana" w:hAnsi="Verdana"/>
          <w:sz w:val="16"/>
          <w:szCs w:val="16"/>
        </w:rPr>
      </w:pPr>
      <w:r w:rsidRPr="000B6999">
        <w:rPr>
          <w:rStyle w:val="Refdenotaalpie"/>
          <w:rFonts w:ascii="Verdana" w:hAnsi="Verdana"/>
          <w:sz w:val="16"/>
          <w:szCs w:val="16"/>
        </w:rPr>
        <w:footnoteRef/>
      </w:r>
      <w:r w:rsidRPr="000B6999">
        <w:rPr>
          <w:rFonts w:ascii="Verdana" w:hAnsi="Verdana"/>
          <w:sz w:val="16"/>
          <w:szCs w:val="16"/>
        </w:rPr>
        <w:t xml:space="preserve"> El estatuto estableció como regla general para la selección del contratista la licitación pública o el concurso público, con algunas excepciones en las cuales la selección se haría mediante el procedimiento de contratación directa, entre ellas, la prevista en el literal m) del numeral 1 del artículo 24: “m) Los actos y contratos que tengan por objeto directo las actividades comerciales e industriales propias de las empresas industriales</w:t>
      </w:r>
      <w:r w:rsidRPr="000B6999">
        <w:rPr>
          <w:rFonts w:ascii="Verdana" w:hAnsi="Verdana"/>
          <w:spacing w:val="-15"/>
          <w:sz w:val="16"/>
          <w:szCs w:val="16"/>
        </w:rPr>
        <w:t xml:space="preserve"> </w:t>
      </w:r>
      <w:r w:rsidRPr="000B6999">
        <w:rPr>
          <w:rFonts w:ascii="Verdana" w:hAnsi="Verdana"/>
          <w:sz w:val="16"/>
          <w:szCs w:val="16"/>
        </w:rPr>
        <w:t>y comerciales estatales y de las sociedades de economía mixta, con excepción de los contratos que a título enunciativo identifica el artículo 32 de esta ley”, o sea, los de obra, consultoría, prestación de servicios,</w:t>
      </w:r>
      <w:r w:rsidRPr="000B6999">
        <w:rPr>
          <w:rFonts w:ascii="Verdana" w:hAnsi="Verdana"/>
          <w:spacing w:val="-7"/>
          <w:sz w:val="16"/>
          <w:szCs w:val="16"/>
        </w:rPr>
        <w:t xml:space="preserve"> </w:t>
      </w:r>
      <w:r w:rsidRPr="000B6999">
        <w:rPr>
          <w:rFonts w:ascii="Verdana" w:hAnsi="Verdana"/>
          <w:sz w:val="16"/>
          <w:szCs w:val="16"/>
        </w:rPr>
        <w:t>concesión,</w:t>
      </w:r>
      <w:r w:rsidRPr="000B6999">
        <w:rPr>
          <w:rFonts w:ascii="Verdana" w:hAnsi="Verdana"/>
          <w:spacing w:val="-7"/>
          <w:sz w:val="16"/>
          <w:szCs w:val="16"/>
        </w:rPr>
        <w:t xml:space="preserve"> </w:t>
      </w:r>
      <w:r w:rsidRPr="000B6999">
        <w:rPr>
          <w:rFonts w:ascii="Verdana" w:hAnsi="Verdana"/>
          <w:sz w:val="16"/>
          <w:szCs w:val="16"/>
        </w:rPr>
        <w:t>encargos</w:t>
      </w:r>
      <w:r w:rsidRPr="000B6999">
        <w:rPr>
          <w:rFonts w:ascii="Verdana" w:hAnsi="Verdana"/>
          <w:spacing w:val="-7"/>
          <w:sz w:val="16"/>
          <w:szCs w:val="16"/>
        </w:rPr>
        <w:t xml:space="preserve"> </w:t>
      </w:r>
      <w:r w:rsidRPr="000B6999">
        <w:rPr>
          <w:rFonts w:ascii="Verdana" w:hAnsi="Verdana"/>
          <w:sz w:val="16"/>
          <w:szCs w:val="16"/>
        </w:rPr>
        <w:t>fiduciarios</w:t>
      </w:r>
      <w:r w:rsidRPr="000B6999">
        <w:rPr>
          <w:rFonts w:ascii="Verdana" w:hAnsi="Verdana"/>
          <w:spacing w:val="-7"/>
          <w:sz w:val="16"/>
          <w:szCs w:val="16"/>
        </w:rPr>
        <w:t xml:space="preserve"> </w:t>
      </w:r>
      <w:r w:rsidRPr="000B6999">
        <w:rPr>
          <w:rFonts w:ascii="Verdana" w:hAnsi="Verdana"/>
          <w:sz w:val="16"/>
          <w:szCs w:val="16"/>
        </w:rPr>
        <w:t>y</w:t>
      </w:r>
      <w:r w:rsidRPr="000B6999">
        <w:rPr>
          <w:rFonts w:ascii="Verdana" w:hAnsi="Verdana"/>
          <w:spacing w:val="-8"/>
          <w:sz w:val="16"/>
          <w:szCs w:val="16"/>
        </w:rPr>
        <w:t xml:space="preserve"> </w:t>
      </w:r>
      <w:r w:rsidRPr="000B6999">
        <w:rPr>
          <w:rFonts w:ascii="Verdana" w:hAnsi="Verdana"/>
          <w:sz w:val="16"/>
          <w:szCs w:val="16"/>
        </w:rPr>
        <w:t>fiducia</w:t>
      </w:r>
      <w:r w:rsidRPr="000B6999">
        <w:rPr>
          <w:rFonts w:ascii="Verdana" w:hAnsi="Verdana"/>
          <w:spacing w:val="-9"/>
          <w:sz w:val="16"/>
          <w:szCs w:val="16"/>
        </w:rPr>
        <w:t xml:space="preserve"> </w:t>
      </w:r>
      <w:r w:rsidRPr="000B6999">
        <w:rPr>
          <w:rFonts w:ascii="Verdana" w:hAnsi="Verdana"/>
          <w:sz w:val="16"/>
          <w:szCs w:val="16"/>
        </w:rPr>
        <w:t>pública,</w:t>
      </w:r>
      <w:r w:rsidRPr="000B6999">
        <w:rPr>
          <w:rFonts w:ascii="Verdana" w:hAnsi="Verdana"/>
          <w:spacing w:val="-7"/>
          <w:sz w:val="16"/>
          <w:szCs w:val="16"/>
        </w:rPr>
        <w:t xml:space="preserve"> </w:t>
      </w:r>
      <w:r w:rsidRPr="000B6999">
        <w:rPr>
          <w:rFonts w:ascii="Verdana" w:hAnsi="Verdana"/>
          <w:sz w:val="16"/>
          <w:szCs w:val="16"/>
        </w:rPr>
        <w:t>que</w:t>
      </w:r>
      <w:r w:rsidRPr="000B6999">
        <w:rPr>
          <w:rFonts w:ascii="Verdana" w:hAnsi="Verdana"/>
          <w:spacing w:val="-13"/>
          <w:sz w:val="16"/>
          <w:szCs w:val="16"/>
        </w:rPr>
        <w:t xml:space="preserve"> </w:t>
      </w:r>
      <w:r w:rsidRPr="000B6999">
        <w:rPr>
          <w:rFonts w:ascii="Verdana" w:hAnsi="Verdana"/>
          <w:sz w:val="16"/>
          <w:szCs w:val="16"/>
        </w:rPr>
        <w:t>se</w:t>
      </w:r>
      <w:r w:rsidRPr="000B6999">
        <w:rPr>
          <w:rFonts w:ascii="Verdana" w:hAnsi="Verdana"/>
          <w:spacing w:val="-8"/>
          <w:sz w:val="16"/>
          <w:szCs w:val="16"/>
        </w:rPr>
        <w:t xml:space="preserve"> </w:t>
      </w:r>
      <w:r w:rsidRPr="000B6999">
        <w:rPr>
          <w:rFonts w:ascii="Verdana" w:hAnsi="Verdana"/>
          <w:sz w:val="16"/>
          <w:szCs w:val="16"/>
        </w:rPr>
        <w:t>regirían</w:t>
      </w:r>
      <w:r w:rsidRPr="000B6999">
        <w:rPr>
          <w:rFonts w:ascii="Verdana" w:hAnsi="Verdana"/>
          <w:spacing w:val="-9"/>
          <w:sz w:val="16"/>
          <w:szCs w:val="16"/>
        </w:rPr>
        <w:t xml:space="preserve"> </w:t>
      </w:r>
      <w:r w:rsidRPr="000B6999">
        <w:rPr>
          <w:rFonts w:ascii="Verdana" w:hAnsi="Verdana"/>
          <w:sz w:val="16"/>
          <w:szCs w:val="16"/>
        </w:rPr>
        <w:t>por</w:t>
      </w:r>
      <w:r w:rsidRPr="000B6999">
        <w:rPr>
          <w:rFonts w:ascii="Verdana" w:hAnsi="Verdana"/>
          <w:spacing w:val="-7"/>
          <w:sz w:val="16"/>
          <w:szCs w:val="16"/>
        </w:rPr>
        <w:t xml:space="preserve"> </w:t>
      </w:r>
      <w:r w:rsidRPr="000B6999">
        <w:rPr>
          <w:rFonts w:ascii="Verdana" w:hAnsi="Verdana"/>
          <w:sz w:val="16"/>
          <w:szCs w:val="16"/>
        </w:rPr>
        <w:t>la</w:t>
      </w:r>
      <w:r w:rsidRPr="000B6999">
        <w:rPr>
          <w:rFonts w:ascii="Verdana" w:hAnsi="Verdana"/>
          <w:spacing w:val="-9"/>
          <w:sz w:val="16"/>
          <w:szCs w:val="16"/>
        </w:rPr>
        <w:t xml:space="preserve"> </w:t>
      </w:r>
      <w:r w:rsidRPr="000B6999">
        <w:rPr>
          <w:rFonts w:ascii="Verdana" w:hAnsi="Verdana"/>
          <w:sz w:val="16"/>
          <w:szCs w:val="16"/>
        </w:rPr>
        <w:t>regla</w:t>
      </w:r>
      <w:r w:rsidRPr="000B6999">
        <w:rPr>
          <w:rFonts w:ascii="Verdana" w:hAnsi="Verdana"/>
          <w:spacing w:val="-9"/>
          <w:sz w:val="16"/>
          <w:szCs w:val="16"/>
        </w:rPr>
        <w:t xml:space="preserve"> </w:t>
      </w:r>
      <w:r w:rsidRPr="000B6999">
        <w:rPr>
          <w:rFonts w:ascii="Verdana" w:hAnsi="Verdana"/>
          <w:sz w:val="16"/>
          <w:szCs w:val="16"/>
        </w:rPr>
        <w:t>general,</w:t>
      </w:r>
      <w:r w:rsidRPr="000B6999">
        <w:rPr>
          <w:rFonts w:ascii="Verdana" w:hAnsi="Verdana"/>
          <w:spacing w:val="-7"/>
          <w:sz w:val="16"/>
          <w:szCs w:val="16"/>
        </w:rPr>
        <w:t xml:space="preserve"> </w:t>
      </w:r>
      <w:r w:rsidRPr="000B6999">
        <w:rPr>
          <w:rFonts w:ascii="Verdana" w:hAnsi="Verdana"/>
          <w:sz w:val="16"/>
          <w:szCs w:val="16"/>
        </w:rPr>
        <w:t>salvo</w:t>
      </w:r>
      <w:r w:rsidRPr="000B6999">
        <w:rPr>
          <w:rFonts w:ascii="Verdana" w:hAnsi="Verdana"/>
          <w:spacing w:val="-10"/>
          <w:sz w:val="16"/>
          <w:szCs w:val="16"/>
        </w:rPr>
        <w:t xml:space="preserve"> </w:t>
      </w:r>
      <w:r w:rsidRPr="000B6999">
        <w:rPr>
          <w:rFonts w:ascii="Verdana" w:hAnsi="Verdana"/>
          <w:sz w:val="16"/>
          <w:szCs w:val="16"/>
        </w:rPr>
        <w:t>los</w:t>
      </w:r>
      <w:r w:rsidRPr="000B6999">
        <w:rPr>
          <w:rFonts w:ascii="Verdana" w:hAnsi="Verdana"/>
          <w:spacing w:val="-7"/>
          <w:sz w:val="16"/>
          <w:szCs w:val="16"/>
        </w:rPr>
        <w:t xml:space="preserve"> </w:t>
      </w:r>
      <w:r w:rsidRPr="000B6999">
        <w:rPr>
          <w:rFonts w:ascii="Verdana" w:hAnsi="Verdana"/>
          <w:sz w:val="16"/>
          <w:szCs w:val="16"/>
        </w:rPr>
        <w:t>casos de</w:t>
      </w:r>
      <w:r w:rsidRPr="000B6999">
        <w:rPr>
          <w:rFonts w:ascii="Verdana" w:hAnsi="Verdana"/>
          <w:spacing w:val="-2"/>
          <w:sz w:val="16"/>
          <w:szCs w:val="16"/>
        </w:rPr>
        <w:t xml:space="preserve"> </w:t>
      </w:r>
      <w:r w:rsidRPr="000B6999">
        <w:rPr>
          <w:rFonts w:ascii="Verdana" w:hAnsi="Verdana"/>
          <w:sz w:val="16"/>
          <w:szCs w:val="16"/>
        </w:rPr>
        <w:t>menor cuantía –previstos en el ordinal a), numeral 1 del artículo 24, original, de la Ley 80 de 1993</w:t>
      </w:r>
      <w:r w:rsidRPr="000B6999">
        <w:rPr>
          <w:rFonts w:ascii="Verdana" w:hAnsi="Verdana"/>
          <w:spacing w:val="-15"/>
          <w:sz w:val="16"/>
          <w:szCs w:val="16"/>
        </w:rPr>
        <w:t xml:space="preserve"> </w:t>
      </w:r>
      <w:r w:rsidRPr="000B6999">
        <w:rPr>
          <w:rFonts w:ascii="Verdana" w:hAnsi="Verdana"/>
          <w:sz w:val="16"/>
          <w:szCs w:val="16"/>
        </w:rPr>
        <w:t>–. Además,</w:t>
      </w:r>
      <w:r w:rsidRPr="000B6999">
        <w:rPr>
          <w:rFonts w:ascii="Verdana" w:hAnsi="Verdana"/>
          <w:spacing w:val="-1"/>
          <w:sz w:val="16"/>
          <w:szCs w:val="16"/>
        </w:rPr>
        <w:t xml:space="preserve"> </w:t>
      </w:r>
      <w:r w:rsidRPr="000B6999">
        <w:rPr>
          <w:rFonts w:ascii="Verdana" w:hAnsi="Verdana"/>
          <w:sz w:val="16"/>
          <w:szCs w:val="16"/>
        </w:rPr>
        <w:t>en</w:t>
      </w:r>
      <w:r w:rsidRPr="000B6999">
        <w:rPr>
          <w:rFonts w:ascii="Verdana" w:hAnsi="Verdana"/>
          <w:spacing w:val="-5"/>
          <w:sz w:val="16"/>
          <w:szCs w:val="16"/>
        </w:rPr>
        <w:t xml:space="preserve"> </w:t>
      </w:r>
      <w:r w:rsidRPr="000B6999">
        <w:rPr>
          <w:rFonts w:ascii="Verdana" w:hAnsi="Verdana"/>
          <w:sz w:val="16"/>
          <w:szCs w:val="16"/>
        </w:rPr>
        <w:t>el</w:t>
      </w:r>
      <w:r w:rsidRPr="000B6999">
        <w:rPr>
          <w:rFonts w:ascii="Verdana" w:hAnsi="Verdana"/>
          <w:spacing w:val="-2"/>
          <w:sz w:val="16"/>
          <w:szCs w:val="16"/>
        </w:rPr>
        <w:t xml:space="preserve"> </w:t>
      </w:r>
      <w:r w:rsidRPr="000B6999">
        <w:rPr>
          <w:rFonts w:ascii="Verdana" w:hAnsi="Verdana"/>
          <w:sz w:val="16"/>
          <w:szCs w:val="16"/>
        </w:rPr>
        <w:t>parágrafo</w:t>
      </w:r>
      <w:r w:rsidRPr="000B6999">
        <w:rPr>
          <w:rFonts w:ascii="Verdana" w:hAnsi="Verdana"/>
          <w:spacing w:val="-5"/>
          <w:sz w:val="16"/>
          <w:szCs w:val="16"/>
        </w:rPr>
        <w:t xml:space="preserve"> </w:t>
      </w:r>
      <w:r w:rsidRPr="000B6999">
        <w:rPr>
          <w:rFonts w:ascii="Verdana" w:hAnsi="Verdana"/>
          <w:sz w:val="16"/>
          <w:szCs w:val="16"/>
        </w:rPr>
        <w:t>del</w:t>
      </w:r>
      <w:r w:rsidRPr="000B6999">
        <w:rPr>
          <w:rFonts w:ascii="Verdana" w:hAnsi="Verdana"/>
          <w:spacing w:val="-2"/>
          <w:sz w:val="16"/>
          <w:szCs w:val="16"/>
        </w:rPr>
        <w:t xml:space="preserve"> </w:t>
      </w:r>
      <w:r w:rsidRPr="000B6999">
        <w:rPr>
          <w:rFonts w:ascii="Verdana" w:hAnsi="Verdana"/>
          <w:sz w:val="16"/>
          <w:szCs w:val="16"/>
        </w:rPr>
        <w:t>artículo</w:t>
      </w:r>
      <w:r w:rsidRPr="000B6999">
        <w:rPr>
          <w:rFonts w:ascii="Verdana" w:hAnsi="Verdana"/>
          <w:spacing w:val="-5"/>
          <w:sz w:val="16"/>
          <w:szCs w:val="16"/>
        </w:rPr>
        <w:t xml:space="preserve"> </w:t>
      </w:r>
      <w:r w:rsidRPr="000B6999">
        <w:rPr>
          <w:rFonts w:ascii="Verdana" w:hAnsi="Verdana"/>
          <w:sz w:val="16"/>
          <w:szCs w:val="16"/>
        </w:rPr>
        <w:t>14</w:t>
      </w:r>
      <w:r w:rsidRPr="000B6999">
        <w:rPr>
          <w:rFonts w:ascii="Verdana" w:hAnsi="Verdana"/>
          <w:spacing w:val="-5"/>
          <w:sz w:val="16"/>
          <w:szCs w:val="16"/>
        </w:rPr>
        <w:t xml:space="preserve"> </w:t>
      </w:r>
      <w:r w:rsidRPr="000B6999">
        <w:rPr>
          <w:rFonts w:ascii="Verdana" w:hAnsi="Verdana"/>
          <w:sz w:val="16"/>
          <w:szCs w:val="16"/>
        </w:rPr>
        <w:t>de</w:t>
      </w:r>
      <w:r w:rsidRPr="000B6999">
        <w:rPr>
          <w:rFonts w:ascii="Verdana" w:hAnsi="Verdana"/>
          <w:spacing w:val="-3"/>
          <w:sz w:val="16"/>
          <w:szCs w:val="16"/>
        </w:rPr>
        <w:t xml:space="preserve"> </w:t>
      </w:r>
      <w:r w:rsidRPr="000B6999">
        <w:rPr>
          <w:rFonts w:ascii="Verdana" w:hAnsi="Verdana"/>
          <w:sz w:val="16"/>
          <w:szCs w:val="16"/>
        </w:rPr>
        <w:t>la</w:t>
      </w:r>
      <w:r w:rsidRPr="000B6999">
        <w:rPr>
          <w:rFonts w:ascii="Verdana" w:hAnsi="Verdana"/>
          <w:spacing w:val="-4"/>
          <w:sz w:val="16"/>
          <w:szCs w:val="16"/>
        </w:rPr>
        <w:t xml:space="preserve"> </w:t>
      </w:r>
      <w:r w:rsidRPr="000B6999">
        <w:rPr>
          <w:rFonts w:ascii="Verdana" w:hAnsi="Verdana"/>
          <w:sz w:val="16"/>
          <w:szCs w:val="16"/>
        </w:rPr>
        <w:t>Ley</w:t>
      </w:r>
      <w:r w:rsidRPr="000B6999">
        <w:rPr>
          <w:rFonts w:ascii="Verdana" w:hAnsi="Verdana"/>
          <w:spacing w:val="-3"/>
          <w:sz w:val="16"/>
          <w:szCs w:val="16"/>
        </w:rPr>
        <w:t xml:space="preserve"> </w:t>
      </w:r>
      <w:r w:rsidRPr="000B6999">
        <w:rPr>
          <w:rFonts w:ascii="Verdana" w:hAnsi="Verdana"/>
          <w:sz w:val="16"/>
          <w:szCs w:val="16"/>
        </w:rPr>
        <w:t>80</w:t>
      </w:r>
      <w:r w:rsidRPr="000B6999">
        <w:rPr>
          <w:rFonts w:ascii="Verdana" w:hAnsi="Verdana"/>
          <w:spacing w:val="-5"/>
          <w:sz w:val="16"/>
          <w:szCs w:val="16"/>
        </w:rPr>
        <w:t xml:space="preserve"> </w:t>
      </w:r>
      <w:r w:rsidRPr="000B6999">
        <w:rPr>
          <w:rFonts w:ascii="Verdana" w:hAnsi="Verdana"/>
          <w:sz w:val="16"/>
          <w:szCs w:val="16"/>
        </w:rPr>
        <w:t>de</w:t>
      </w:r>
      <w:r w:rsidRPr="000B6999">
        <w:rPr>
          <w:rFonts w:ascii="Verdana" w:hAnsi="Verdana"/>
          <w:spacing w:val="-3"/>
          <w:sz w:val="16"/>
          <w:szCs w:val="16"/>
        </w:rPr>
        <w:t xml:space="preserve"> </w:t>
      </w:r>
      <w:r w:rsidRPr="000B6999">
        <w:rPr>
          <w:rFonts w:ascii="Verdana" w:hAnsi="Verdana"/>
          <w:sz w:val="16"/>
          <w:szCs w:val="16"/>
        </w:rPr>
        <w:t>1993,</w:t>
      </w:r>
      <w:r w:rsidRPr="000B6999">
        <w:rPr>
          <w:rFonts w:ascii="Verdana" w:hAnsi="Verdana"/>
          <w:spacing w:val="-1"/>
          <w:sz w:val="16"/>
          <w:szCs w:val="16"/>
        </w:rPr>
        <w:t xml:space="preserve"> </w:t>
      </w:r>
      <w:r w:rsidRPr="000B6999">
        <w:rPr>
          <w:rFonts w:ascii="Verdana" w:hAnsi="Verdana"/>
          <w:sz w:val="16"/>
          <w:szCs w:val="16"/>
        </w:rPr>
        <w:t>se</w:t>
      </w:r>
      <w:r w:rsidRPr="000B6999">
        <w:rPr>
          <w:rFonts w:ascii="Verdana" w:hAnsi="Verdana"/>
          <w:spacing w:val="-3"/>
          <w:sz w:val="16"/>
          <w:szCs w:val="16"/>
        </w:rPr>
        <w:t xml:space="preserve"> </w:t>
      </w:r>
      <w:r w:rsidRPr="000B6999">
        <w:rPr>
          <w:rFonts w:ascii="Verdana" w:hAnsi="Verdana"/>
          <w:sz w:val="16"/>
          <w:szCs w:val="16"/>
        </w:rPr>
        <w:t>señaló</w:t>
      </w:r>
      <w:r w:rsidRPr="000B6999">
        <w:rPr>
          <w:rFonts w:ascii="Verdana" w:hAnsi="Verdana"/>
          <w:spacing w:val="-5"/>
          <w:sz w:val="16"/>
          <w:szCs w:val="16"/>
        </w:rPr>
        <w:t xml:space="preserve"> </w:t>
      </w:r>
      <w:r w:rsidRPr="000B6999">
        <w:rPr>
          <w:rFonts w:ascii="Verdana" w:hAnsi="Verdana"/>
          <w:sz w:val="16"/>
          <w:szCs w:val="16"/>
        </w:rPr>
        <w:t>que</w:t>
      </w:r>
      <w:r w:rsidRPr="000B6999">
        <w:rPr>
          <w:rFonts w:ascii="Verdana" w:hAnsi="Verdana"/>
          <w:spacing w:val="-3"/>
          <w:sz w:val="16"/>
          <w:szCs w:val="16"/>
        </w:rPr>
        <w:t xml:space="preserve"> </w:t>
      </w:r>
      <w:r w:rsidRPr="000B6999">
        <w:rPr>
          <w:rFonts w:ascii="Verdana" w:hAnsi="Verdana"/>
          <w:sz w:val="16"/>
          <w:szCs w:val="16"/>
        </w:rPr>
        <w:t>“en</w:t>
      </w:r>
      <w:r w:rsidRPr="000B6999">
        <w:rPr>
          <w:rFonts w:ascii="Verdana" w:hAnsi="Verdana"/>
          <w:spacing w:val="-5"/>
          <w:sz w:val="16"/>
          <w:szCs w:val="16"/>
        </w:rPr>
        <w:t xml:space="preserve"> </w:t>
      </w:r>
      <w:r w:rsidRPr="000B6999">
        <w:rPr>
          <w:rFonts w:ascii="Verdana" w:hAnsi="Verdana"/>
          <w:sz w:val="16"/>
          <w:szCs w:val="16"/>
        </w:rPr>
        <w:t>los</w:t>
      </w:r>
      <w:r w:rsidRPr="000B6999">
        <w:rPr>
          <w:rFonts w:ascii="Verdana" w:hAnsi="Verdana"/>
          <w:spacing w:val="-2"/>
          <w:sz w:val="16"/>
          <w:szCs w:val="16"/>
        </w:rPr>
        <w:t xml:space="preserve"> </w:t>
      </w:r>
      <w:r w:rsidRPr="000B6999">
        <w:rPr>
          <w:rFonts w:ascii="Verdana" w:hAnsi="Verdana"/>
          <w:sz w:val="16"/>
          <w:szCs w:val="16"/>
        </w:rPr>
        <w:t>contratos</w:t>
      </w:r>
      <w:r w:rsidRPr="000B6999">
        <w:rPr>
          <w:rFonts w:ascii="Verdana" w:hAnsi="Verdana"/>
          <w:spacing w:val="-2"/>
          <w:sz w:val="16"/>
          <w:szCs w:val="16"/>
        </w:rPr>
        <w:t xml:space="preserve"> </w:t>
      </w:r>
      <w:r w:rsidRPr="000B6999">
        <w:rPr>
          <w:rFonts w:ascii="Verdana" w:hAnsi="Verdana"/>
          <w:sz w:val="16"/>
          <w:szCs w:val="16"/>
        </w:rPr>
        <w:t>que</w:t>
      </w:r>
      <w:r w:rsidRPr="000B6999">
        <w:rPr>
          <w:rFonts w:ascii="Verdana" w:hAnsi="Verdana"/>
          <w:spacing w:val="-3"/>
          <w:sz w:val="16"/>
          <w:szCs w:val="16"/>
        </w:rPr>
        <w:t xml:space="preserve"> </w:t>
      </w:r>
      <w:r w:rsidRPr="000B6999">
        <w:rPr>
          <w:rFonts w:ascii="Verdana" w:hAnsi="Verdana"/>
          <w:sz w:val="16"/>
          <w:szCs w:val="16"/>
        </w:rPr>
        <w:t>tengan</w:t>
      </w:r>
      <w:r w:rsidRPr="000B6999">
        <w:rPr>
          <w:rFonts w:ascii="Verdana" w:hAnsi="Verdana"/>
          <w:spacing w:val="-4"/>
          <w:sz w:val="16"/>
          <w:szCs w:val="16"/>
        </w:rPr>
        <w:t xml:space="preserve"> </w:t>
      </w:r>
      <w:r w:rsidRPr="000B6999">
        <w:rPr>
          <w:rFonts w:ascii="Verdana" w:hAnsi="Verdana"/>
          <w:sz w:val="16"/>
          <w:szCs w:val="16"/>
        </w:rPr>
        <w:t>por objeto</w:t>
      </w:r>
      <w:r w:rsidRPr="000B6999">
        <w:rPr>
          <w:rFonts w:ascii="Verdana" w:hAnsi="Verdana"/>
          <w:spacing w:val="-1"/>
          <w:sz w:val="16"/>
          <w:szCs w:val="16"/>
        </w:rPr>
        <w:t xml:space="preserve"> </w:t>
      </w:r>
      <w:r w:rsidRPr="000B6999">
        <w:rPr>
          <w:rFonts w:ascii="Verdana" w:hAnsi="Verdana"/>
          <w:sz w:val="16"/>
          <w:szCs w:val="16"/>
        </w:rPr>
        <w:t>actividades comerciales o</w:t>
      </w:r>
      <w:r w:rsidRPr="000B6999">
        <w:rPr>
          <w:rFonts w:ascii="Verdana" w:hAnsi="Verdana"/>
          <w:spacing w:val="-1"/>
          <w:sz w:val="16"/>
          <w:szCs w:val="16"/>
        </w:rPr>
        <w:t xml:space="preserve"> </w:t>
      </w:r>
      <w:r w:rsidRPr="000B6999">
        <w:rPr>
          <w:rFonts w:ascii="Verdana" w:hAnsi="Verdana"/>
          <w:sz w:val="16"/>
          <w:szCs w:val="16"/>
        </w:rPr>
        <w:t>industriales de las entidades</w:t>
      </w:r>
      <w:r w:rsidRPr="000B6999">
        <w:rPr>
          <w:rFonts w:ascii="Verdana" w:hAnsi="Verdana"/>
          <w:spacing w:val="-3"/>
          <w:sz w:val="16"/>
          <w:szCs w:val="16"/>
        </w:rPr>
        <w:t xml:space="preserve"> </w:t>
      </w:r>
      <w:r w:rsidRPr="000B6999">
        <w:rPr>
          <w:rFonts w:ascii="Verdana" w:hAnsi="Verdana"/>
          <w:sz w:val="16"/>
          <w:szCs w:val="16"/>
        </w:rPr>
        <w:t>estatales que no</w:t>
      </w:r>
      <w:r w:rsidRPr="000B6999">
        <w:rPr>
          <w:rFonts w:ascii="Verdana" w:hAnsi="Verdana"/>
          <w:spacing w:val="-1"/>
          <w:sz w:val="16"/>
          <w:szCs w:val="16"/>
        </w:rPr>
        <w:t xml:space="preserve"> </w:t>
      </w:r>
      <w:r w:rsidRPr="000B6999">
        <w:rPr>
          <w:rFonts w:ascii="Verdana" w:hAnsi="Verdana"/>
          <w:sz w:val="16"/>
          <w:szCs w:val="16"/>
        </w:rPr>
        <w:t xml:space="preserve">correspondan a las señaladas en el numeral 2º de este artículo (…) se prescindirá de la utilización de las cláusulas o estipulaciones </w:t>
      </w:r>
      <w:r w:rsidRPr="000B6999">
        <w:rPr>
          <w:rFonts w:ascii="Verdana" w:hAnsi="Verdana"/>
          <w:spacing w:val="-2"/>
          <w:sz w:val="16"/>
          <w:szCs w:val="16"/>
        </w:rPr>
        <w:t>excepcionales”.</w:t>
      </w:r>
    </w:p>
  </w:footnote>
  <w:footnote w:id="4">
    <w:p w14:paraId="695299E5" w14:textId="77777777" w:rsidR="00B570E4" w:rsidRPr="000B6999" w:rsidRDefault="00B570E4" w:rsidP="00B570E4">
      <w:pPr>
        <w:tabs>
          <w:tab w:val="left" w:pos="142"/>
          <w:tab w:val="left" w:pos="8789"/>
        </w:tabs>
        <w:spacing w:after="0" w:line="240" w:lineRule="auto"/>
        <w:ind w:right="49" w:firstLine="709"/>
        <w:contextualSpacing/>
        <w:jc w:val="both"/>
        <w:rPr>
          <w:rFonts w:ascii="Verdana" w:hAnsi="Verdana"/>
          <w:sz w:val="16"/>
          <w:szCs w:val="16"/>
        </w:rPr>
      </w:pPr>
      <w:r w:rsidRPr="000B6999">
        <w:rPr>
          <w:rStyle w:val="Refdenotaalpie"/>
          <w:rFonts w:ascii="Verdana" w:hAnsi="Verdana"/>
          <w:sz w:val="16"/>
          <w:szCs w:val="16"/>
        </w:rPr>
        <w:footnoteRef/>
      </w:r>
      <w:r w:rsidRPr="000B6999">
        <w:rPr>
          <w:rFonts w:ascii="Verdana" w:hAnsi="Verdana"/>
          <w:sz w:val="16"/>
          <w:szCs w:val="16"/>
        </w:rPr>
        <w:t xml:space="preserve"> </w:t>
      </w:r>
      <w:bookmarkStart w:id="2" w:name="_Hlk199860326"/>
      <w:r w:rsidRPr="000B6999">
        <w:rPr>
          <w:rFonts w:ascii="Verdana" w:hAnsi="Verdana"/>
          <w:sz w:val="16"/>
          <w:szCs w:val="16"/>
        </w:rPr>
        <w:t>Sin perjuicio</w:t>
      </w:r>
      <w:r w:rsidRPr="000B6999">
        <w:rPr>
          <w:rFonts w:ascii="Verdana" w:hAnsi="Verdana"/>
          <w:spacing w:val="-1"/>
          <w:sz w:val="16"/>
          <w:szCs w:val="16"/>
        </w:rPr>
        <w:t xml:space="preserve"> </w:t>
      </w:r>
      <w:r w:rsidRPr="000B6999">
        <w:rPr>
          <w:rFonts w:ascii="Verdana" w:hAnsi="Verdana"/>
          <w:sz w:val="16"/>
          <w:szCs w:val="16"/>
        </w:rPr>
        <w:t>de la regla indicada, es importante</w:t>
      </w:r>
      <w:r w:rsidRPr="000B6999">
        <w:rPr>
          <w:rFonts w:ascii="Verdana" w:hAnsi="Verdana"/>
          <w:spacing w:val="-4"/>
          <w:sz w:val="16"/>
          <w:szCs w:val="16"/>
        </w:rPr>
        <w:t xml:space="preserve"> </w:t>
      </w:r>
      <w:r w:rsidRPr="000B6999">
        <w:rPr>
          <w:rFonts w:ascii="Verdana" w:hAnsi="Verdana"/>
          <w:sz w:val="16"/>
          <w:szCs w:val="16"/>
        </w:rPr>
        <w:t>señalar que el literal</w:t>
      </w:r>
      <w:r w:rsidRPr="000B6999">
        <w:rPr>
          <w:rFonts w:ascii="Verdana" w:hAnsi="Verdana"/>
          <w:spacing w:val="-3"/>
          <w:sz w:val="16"/>
          <w:szCs w:val="16"/>
        </w:rPr>
        <w:t xml:space="preserve"> </w:t>
      </w:r>
      <w:r w:rsidRPr="000B6999">
        <w:rPr>
          <w:rFonts w:ascii="Verdana" w:hAnsi="Verdana"/>
          <w:sz w:val="16"/>
          <w:szCs w:val="16"/>
        </w:rPr>
        <w:t>g, numeral 2, artículo</w:t>
      </w:r>
      <w:r w:rsidRPr="000B6999">
        <w:rPr>
          <w:rFonts w:ascii="Verdana" w:hAnsi="Verdana"/>
          <w:spacing w:val="-1"/>
          <w:sz w:val="16"/>
          <w:szCs w:val="16"/>
        </w:rPr>
        <w:t xml:space="preserve"> </w:t>
      </w:r>
      <w:r w:rsidRPr="000B6999">
        <w:rPr>
          <w:rFonts w:ascii="Verdana" w:hAnsi="Verdana"/>
          <w:sz w:val="16"/>
          <w:szCs w:val="16"/>
        </w:rPr>
        <w:t>2</w:t>
      </w:r>
      <w:r w:rsidRPr="000B6999">
        <w:rPr>
          <w:rFonts w:ascii="Verdana" w:hAnsi="Verdana"/>
          <w:spacing w:val="-1"/>
          <w:sz w:val="16"/>
          <w:szCs w:val="16"/>
        </w:rPr>
        <w:t xml:space="preserve"> </w:t>
      </w:r>
      <w:r w:rsidRPr="000B6999">
        <w:rPr>
          <w:rFonts w:ascii="Verdana" w:hAnsi="Verdana"/>
          <w:sz w:val="16"/>
          <w:szCs w:val="16"/>
        </w:rPr>
        <w:t>de la Ley 1150 de 2007, prevé como causal de selección abreviada: “Los actos y contratos que tengan por objeto directo</w:t>
      </w:r>
      <w:r w:rsidRPr="000B6999">
        <w:rPr>
          <w:rFonts w:ascii="Verdana" w:hAnsi="Verdana"/>
          <w:spacing w:val="-10"/>
          <w:sz w:val="16"/>
          <w:szCs w:val="16"/>
        </w:rPr>
        <w:t xml:space="preserve"> </w:t>
      </w:r>
      <w:r w:rsidRPr="000B6999">
        <w:rPr>
          <w:rFonts w:ascii="Verdana" w:hAnsi="Verdana"/>
          <w:sz w:val="16"/>
          <w:szCs w:val="16"/>
        </w:rPr>
        <w:t>las</w:t>
      </w:r>
      <w:r w:rsidRPr="000B6999">
        <w:rPr>
          <w:rFonts w:ascii="Verdana" w:hAnsi="Verdana"/>
          <w:spacing w:val="-7"/>
          <w:sz w:val="16"/>
          <w:szCs w:val="16"/>
        </w:rPr>
        <w:t xml:space="preserve"> </w:t>
      </w:r>
      <w:r w:rsidRPr="000B6999">
        <w:rPr>
          <w:rFonts w:ascii="Verdana" w:hAnsi="Verdana"/>
          <w:sz w:val="16"/>
          <w:szCs w:val="16"/>
        </w:rPr>
        <w:t>actividades</w:t>
      </w:r>
      <w:r w:rsidRPr="000B6999">
        <w:rPr>
          <w:rFonts w:ascii="Verdana" w:hAnsi="Verdana"/>
          <w:spacing w:val="-7"/>
          <w:sz w:val="16"/>
          <w:szCs w:val="16"/>
        </w:rPr>
        <w:t xml:space="preserve"> </w:t>
      </w:r>
      <w:r w:rsidRPr="000B6999">
        <w:rPr>
          <w:rFonts w:ascii="Verdana" w:hAnsi="Verdana"/>
          <w:sz w:val="16"/>
          <w:szCs w:val="16"/>
        </w:rPr>
        <w:t>comerciales</w:t>
      </w:r>
      <w:r w:rsidRPr="000B6999">
        <w:rPr>
          <w:rFonts w:ascii="Verdana" w:hAnsi="Verdana"/>
          <w:spacing w:val="-7"/>
          <w:sz w:val="16"/>
          <w:szCs w:val="16"/>
        </w:rPr>
        <w:t xml:space="preserve"> </w:t>
      </w:r>
      <w:r w:rsidRPr="000B6999">
        <w:rPr>
          <w:rFonts w:ascii="Verdana" w:hAnsi="Verdana"/>
          <w:sz w:val="16"/>
          <w:szCs w:val="16"/>
        </w:rPr>
        <w:t>e</w:t>
      </w:r>
      <w:r w:rsidRPr="000B6999">
        <w:rPr>
          <w:rFonts w:ascii="Verdana" w:hAnsi="Verdana"/>
          <w:spacing w:val="-8"/>
          <w:sz w:val="16"/>
          <w:szCs w:val="16"/>
        </w:rPr>
        <w:t xml:space="preserve"> </w:t>
      </w:r>
      <w:r w:rsidRPr="000B6999">
        <w:rPr>
          <w:rFonts w:ascii="Verdana" w:hAnsi="Verdana"/>
          <w:sz w:val="16"/>
          <w:szCs w:val="16"/>
        </w:rPr>
        <w:t>industriales</w:t>
      </w:r>
      <w:r w:rsidRPr="000B6999">
        <w:rPr>
          <w:rFonts w:ascii="Verdana" w:hAnsi="Verdana"/>
          <w:spacing w:val="-7"/>
          <w:sz w:val="16"/>
          <w:szCs w:val="16"/>
        </w:rPr>
        <w:t xml:space="preserve"> </w:t>
      </w:r>
      <w:r w:rsidRPr="000B6999">
        <w:rPr>
          <w:rFonts w:ascii="Verdana" w:hAnsi="Verdana"/>
          <w:sz w:val="16"/>
          <w:szCs w:val="16"/>
        </w:rPr>
        <w:t>propias</w:t>
      </w:r>
      <w:r w:rsidRPr="000B6999">
        <w:rPr>
          <w:rFonts w:ascii="Verdana" w:hAnsi="Verdana"/>
          <w:spacing w:val="-7"/>
          <w:sz w:val="16"/>
          <w:szCs w:val="16"/>
        </w:rPr>
        <w:t xml:space="preserve"> </w:t>
      </w:r>
      <w:r w:rsidRPr="000B6999">
        <w:rPr>
          <w:rFonts w:ascii="Verdana" w:hAnsi="Verdana"/>
          <w:sz w:val="16"/>
          <w:szCs w:val="16"/>
        </w:rPr>
        <w:t>de</w:t>
      </w:r>
      <w:r w:rsidRPr="000B6999">
        <w:rPr>
          <w:rFonts w:ascii="Verdana" w:hAnsi="Verdana"/>
          <w:spacing w:val="-8"/>
          <w:sz w:val="16"/>
          <w:szCs w:val="16"/>
        </w:rPr>
        <w:t xml:space="preserve"> </w:t>
      </w:r>
      <w:r w:rsidRPr="000B6999">
        <w:rPr>
          <w:rFonts w:ascii="Verdana" w:hAnsi="Verdana"/>
          <w:sz w:val="16"/>
          <w:szCs w:val="16"/>
        </w:rPr>
        <w:t>las</w:t>
      </w:r>
      <w:r w:rsidRPr="000B6999">
        <w:rPr>
          <w:rFonts w:ascii="Verdana" w:hAnsi="Verdana"/>
          <w:spacing w:val="-7"/>
          <w:sz w:val="16"/>
          <w:szCs w:val="16"/>
        </w:rPr>
        <w:t xml:space="preserve"> </w:t>
      </w:r>
      <w:r w:rsidRPr="000B6999">
        <w:rPr>
          <w:rFonts w:ascii="Verdana" w:hAnsi="Verdana"/>
          <w:sz w:val="16"/>
          <w:szCs w:val="16"/>
        </w:rPr>
        <w:t>Empresas</w:t>
      </w:r>
      <w:r w:rsidRPr="000B6999">
        <w:rPr>
          <w:rFonts w:ascii="Verdana" w:hAnsi="Verdana"/>
          <w:spacing w:val="-7"/>
          <w:sz w:val="16"/>
          <w:szCs w:val="16"/>
        </w:rPr>
        <w:t xml:space="preserve"> </w:t>
      </w:r>
      <w:r w:rsidRPr="000B6999">
        <w:rPr>
          <w:rFonts w:ascii="Verdana" w:hAnsi="Verdana"/>
          <w:sz w:val="16"/>
          <w:szCs w:val="16"/>
        </w:rPr>
        <w:t>Industriales</w:t>
      </w:r>
      <w:r w:rsidRPr="000B6999">
        <w:rPr>
          <w:rFonts w:ascii="Verdana" w:hAnsi="Verdana"/>
          <w:spacing w:val="-7"/>
          <w:sz w:val="16"/>
          <w:szCs w:val="16"/>
        </w:rPr>
        <w:t xml:space="preserve"> </w:t>
      </w:r>
      <w:r w:rsidRPr="000B6999">
        <w:rPr>
          <w:rFonts w:ascii="Verdana" w:hAnsi="Verdana"/>
          <w:sz w:val="16"/>
          <w:szCs w:val="16"/>
        </w:rPr>
        <w:t>y</w:t>
      </w:r>
      <w:r w:rsidRPr="000B6999">
        <w:rPr>
          <w:rFonts w:ascii="Verdana" w:hAnsi="Verdana"/>
          <w:spacing w:val="-8"/>
          <w:sz w:val="16"/>
          <w:szCs w:val="16"/>
        </w:rPr>
        <w:t xml:space="preserve"> </w:t>
      </w:r>
      <w:r w:rsidRPr="000B6999">
        <w:rPr>
          <w:rFonts w:ascii="Verdana" w:hAnsi="Verdana"/>
          <w:sz w:val="16"/>
          <w:szCs w:val="16"/>
        </w:rPr>
        <w:t>Comerciales</w:t>
      </w:r>
      <w:r w:rsidRPr="000B6999">
        <w:rPr>
          <w:rFonts w:ascii="Verdana" w:hAnsi="Verdana"/>
          <w:spacing w:val="-7"/>
          <w:sz w:val="16"/>
          <w:szCs w:val="16"/>
        </w:rPr>
        <w:t xml:space="preserve"> </w:t>
      </w:r>
      <w:r w:rsidRPr="000B6999">
        <w:rPr>
          <w:rFonts w:ascii="Verdana" w:hAnsi="Verdana"/>
          <w:sz w:val="16"/>
          <w:szCs w:val="16"/>
        </w:rPr>
        <w:t>Estatales y de las Sociedades de Economía Mixta, con excepción de los contratos que a título enunciativo identifica el artículo</w:t>
      </w:r>
      <w:r w:rsidRPr="000B6999">
        <w:rPr>
          <w:rFonts w:ascii="Verdana" w:hAnsi="Verdana"/>
          <w:spacing w:val="-15"/>
          <w:sz w:val="16"/>
          <w:szCs w:val="16"/>
        </w:rPr>
        <w:t xml:space="preserve"> </w:t>
      </w:r>
      <w:r w:rsidRPr="000B6999">
        <w:rPr>
          <w:rFonts w:ascii="Verdana" w:hAnsi="Verdana"/>
          <w:sz w:val="16"/>
          <w:szCs w:val="16"/>
        </w:rPr>
        <w:t>32</w:t>
      </w:r>
      <w:r w:rsidRPr="000B6999">
        <w:rPr>
          <w:rFonts w:ascii="Verdana" w:hAnsi="Verdana"/>
          <w:spacing w:val="-14"/>
          <w:sz w:val="16"/>
          <w:szCs w:val="16"/>
        </w:rPr>
        <w:t xml:space="preserve"> </w:t>
      </w:r>
      <w:r w:rsidRPr="000B6999">
        <w:rPr>
          <w:rFonts w:ascii="Verdana" w:hAnsi="Verdana"/>
          <w:sz w:val="16"/>
          <w:szCs w:val="16"/>
        </w:rPr>
        <w:t>de</w:t>
      </w:r>
      <w:r w:rsidRPr="000B6999">
        <w:rPr>
          <w:rFonts w:ascii="Verdana" w:hAnsi="Verdana"/>
          <w:spacing w:val="-14"/>
          <w:sz w:val="16"/>
          <w:szCs w:val="16"/>
        </w:rPr>
        <w:t xml:space="preserve"> </w:t>
      </w:r>
      <w:r w:rsidRPr="000B6999">
        <w:rPr>
          <w:rFonts w:ascii="Verdana" w:hAnsi="Verdana"/>
          <w:sz w:val="16"/>
          <w:szCs w:val="16"/>
        </w:rPr>
        <w:t>la</w:t>
      </w:r>
      <w:r w:rsidRPr="000B6999">
        <w:rPr>
          <w:rFonts w:ascii="Verdana" w:hAnsi="Verdana"/>
          <w:spacing w:val="-14"/>
          <w:sz w:val="16"/>
          <w:szCs w:val="16"/>
        </w:rPr>
        <w:t xml:space="preserve"> </w:t>
      </w:r>
      <w:r w:rsidRPr="000B6999">
        <w:rPr>
          <w:rFonts w:ascii="Verdana" w:hAnsi="Verdana"/>
          <w:sz w:val="16"/>
          <w:szCs w:val="16"/>
        </w:rPr>
        <w:t>Ley</w:t>
      </w:r>
      <w:r w:rsidRPr="000B6999">
        <w:rPr>
          <w:rFonts w:ascii="Verdana" w:hAnsi="Verdana"/>
          <w:spacing w:val="-14"/>
          <w:sz w:val="16"/>
          <w:szCs w:val="16"/>
        </w:rPr>
        <w:t xml:space="preserve"> </w:t>
      </w:r>
      <w:r w:rsidRPr="000B6999">
        <w:rPr>
          <w:rFonts w:ascii="Verdana" w:hAnsi="Verdana"/>
          <w:sz w:val="16"/>
          <w:szCs w:val="16"/>
        </w:rPr>
        <w:t>80</w:t>
      </w:r>
      <w:r w:rsidRPr="000B6999">
        <w:rPr>
          <w:rFonts w:ascii="Verdana" w:hAnsi="Verdana"/>
          <w:spacing w:val="-14"/>
          <w:sz w:val="16"/>
          <w:szCs w:val="16"/>
        </w:rPr>
        <w:t xml:space="preserve"> </w:t>
      </w:r>
      <w:r w:rsidRPr="000B6999">
        <w:rPr>
          <w:rFonts w:ascii="Verdana" w:hAnsi="Verdana"/>
          <w:sz w:val="16"/>
          <w:szCs w:val="16"/>
        </w:rPr>
        <w:t>de</w:t>
      </w:r>
      <w:r w:rsidRPr="000B6999">
        <w:rPr>
          <w:rFonts w:ascii="Verdana" w:hAnsi="Verdana"/>
          <w:spacing w:val="-14"/>
          <w:sz w:val="16"/>
          <w:szCs w:val="16"/>
        </w:rPr>
        <w:t xml:space="preserve"> </w:t>
      </w:r>
      <w:r w:rsidRPr="000B6999">
        <w:rPr>
          <w:rFonts w:ascii="Verdana" w:hAnsi="Verdana"/>
          <w:sz w:val="16"/>
          <w:szCs w:val="16"/>
        </w:rPr>
        <w:t>1993</w:t>
      </w:r>
      <w:r w:rsidRPr="000B6999">
        <w:rPr>
          <w:rFonts w:ascii="Verdana" w:hAnsi="Verdana"/>
          <w:spacing w:val="-14"/>
          <w:sz w:val="16"/>
          <w:szCs w:val="16"/>
        </w:rPr>
        <w:t xml:space="preserve"> </w:t>
      </w:r>
      <w:r w:rsidRPr="000B6999">
        <w:rPr>
          <w:rFonts w:ascii="Verdana" w:hAnsi="Verdana"/>
          <w:sz w:val="16"/>
          <w:szCs w:val="16"/>
        </w:rPr>
        <w:t>[obra,</w:t>
      </w:r>
      <w:r w:rsidRPr="000B6999">
        <w:rPr>
          <w:rFonts w:ascii="Verdana" w:hAnsi="Verdana"/>
          <w:spacing w:val="-14"/>
          <w:sz w:val="16"/>
          <w:szCs w:val="16"/>
        </w:rPr>
        <w:t xml:space="preserve"> </w:t>
      </w:r>
      <w:r w:rsidRPr="000B6999">
        <w:rPr>
          <w:rFonts w:ascii="Verdana" w:hAnsi="Verdana"/>
          <w:sz w:val="16"/>
          <w:szCs w:val="16"/>
        </w:rPr>
        <w:t>concesión,</w:t>
      </w:r>
      <w:r w:rsidRPr="000B6999">
        <w:rPr>
          <w:rFonts w:ascii="Verdana" w:hAnsi="Verdana"/>
          <w:spacing w:val="-14"/>
          <w:sz w:val="16"/>
          <w:szCs w:val="16"/>
        </w:rPr>
        <w:t xml:space="preserve"> </w:t>
      </w:r>
      <w:r w:rsidRPr="000B6999">
        <w:rPr>
          <w:rFonts w:ascii="Verdana" w:hAnsi="Verdana"/>
          <w:sz w:val="16"/>
          <w:szCs w:val="16"/>
        </w:rPr>
        <w:t>prestación</w:t>
      </w:r>
      <w:r w:rsidRPr="000B6999">
        <w:rPr>
          <w:rFonts w:ascii="Verdana" w:hAnsi="Verdana"/>
          <w:spacing w:val="-14"/>
          <w:sz w:val="16"/>
          <w:szCs w:val="16"/>
        </w:rPr>
        <w:t xml:space="preserve"> </w:t>
      </w:r>
      <w:r w:rsidRPr="000B6999">
        <w:rPr>
          <w:rFonts w:ascii="Verdana" w:hAnsi="Verdana"/>
          <w:sz w:val="16"/>
          <w:szCs w:val="16"/>
        </w:rPr>
        <w:t>de</w:t>
      </w:r>
      <w:r w:rsidRPr="000B6999">
        <w:rPr>
          <w:rFonts w:ascii="Verdana" w:hAnsi="Verdana"/>
          <w:spacing w:val="-14"/>
          <w:sz w:val="16"/>
          <w:szCs w:val="16"/>
        </w:rPr>
        <w:t xml:space="preserve"> </w:t>
      </w:r>
      <w:r w:rsidRPr="000B6999">
        <w:rPr>
          <w:rFonts w:ascii="Verdana" w:hAnsi="Verdana"/>
          <w:sz w:val="16"/>
          <w:szCs w:val="16"/>
        </w:rPr>
        <w:t>servicios,</w:t>
      </w:r>
      <w:r w:rsidRPr="000B6999">
        <w:rPr>
          <w:rFonts w:ascii="Verdana" w:hAnsi="Verdana"/>
          <w:spacing w:val="-14"/>
          <w:sz w:val="16"/>
          <w:szCs w:val="16"/>
        </w:rPr>
        <w:t xml:space="preserve"> </w:t>
      </w:r>
      <w:r w:rsidRPr="000B6999">
        <w:rPr>
          <w:rFonts w:ascii="Verdana" w:hAnsi="Verdana"/>
          <w:sz w:val="16"/>
          <w:szCs w:val="16"/>
        </w:rPr>
        <w:t>consultoría,</w:t>
      </w:r>
      <w:r w:rsidRPr="000B6999">
        <w:rPr>
          <w:rFonts w:ascii="Verdana" w:hAnsi="Verdana"/>
          <w:spacing w:val="-14"/>
          <w:sz w:val="16"/>
          <w:szCs w:val="16"/>
        </w:rPr>
        <w:t xml:space="preserve"> </w:t>
      </w:r>
      <w:r w:rsidRPr="000B6999">
        <w:rPr>
          <w:rFonts w:ascii="Verdana" w:hAnsi="Verdana"/>
          <w:sz w:val="16"/>
          <w:szCs w:val="16"/>
        </w:rPr>
        <w:t>fiducia</w:t>
      </w:r>
      <w:r w:rsidRPr="000B6999">
        <w:rPr>
          <w:rFonts w:ascii="Verdana" w:hAnsi="Verdana"/>
          <w:spacing w:val="-14"/>
          <w:sz w:val="16"/>
          <w:szCs w:val="16"/>
        </w:rPr>
        <w:t xml:space="preserve"> </w:t>
      </w:r>
      <w:r w:rsidRPr="000B6999">
        <w:rPr>
          <w:rFonts w:ascii="Verdana" w:hAnsi="Verdana"/>
          <w:sz w:val="16"/>
          <w:szCs w:val="16"/>
        </w:rPr>
        <w:t>pública]”.</w:t>
      </w:r>
      <w:r w:rsidRPr="000B6999">
        <w:rPr>
          <w:rFonts w:ascii="Verdana" w:hAnsi="Verdana"/>
          <w:spacing w:val="-15"/>
          <w:sz w:val="16"/>
          <w:szCs w:val="16"/>
        </w:rPr>
        <w:t xml:space="preserve"> </w:t>
      </w:r>
      <w:r w:rsidRPr="000B6999">
        <w:rPr>
          <w:rFonts w:ascii="Verdana" w:hAnsi="Verdana"/>
          <w:sz w:val="16"/>
          <w:szCs w:val="16"/>
        </w:rPr>
        <w:t>g)</w:t>
      </w:r>
      <w:r w:rsidRPr="000B6999">
        <w:rPr>
          <w:rFonts w:ascii="Verdana" w:hAnsi="Verdana"/>
          <w:spacing w:val="23"/>
          <w:sz w:val="16"/>
          <w:szCs w:val="16"/>
        </w:rPr>
        <w:t xml:space="preserve"> </w:t>
      </w:r>
      <w:r w:rsidRPr="000B6999">
        <w:rPr>
          <w:rFonts w:ascii="Verdana" w:hAnsi="Verdana"/>
          <w:sz w:val="16"/>
          <w:szCs w:val="16"/>
        </w:rPr>
        <w:t>Los actos y contratos que tengan por objeto directo las actividades comerciales e industriales propias de las Empresas Industriales y Comerciales Estatales y de las Sociedades de Economía Mixta, con excepción de los contratos</w:t>
      </w:r>
      <w:r w:rsidRPr="000B6999">
        <w:rPr>
          <w:rFonts w:ascii="Verdana" w:hAnsi="Verdana"/>
          <w:spacing w:val="-6"/>
          <w:sz w:val="16"/>
          <w:szCs w:val="16"/>
        </w:rPr>
        <w:t xml:space="preserve"> </w:t>
      </w:r>
      <w:r w:rsidRPr="000B6999">
        <w:rPr>
          <w:rFonts w:ascii="Verdana" w:hAnsi="Verdana"/>
          <w:sz w:val="16"/>
          <w:szCs w:val="16"/>
        </w:rPr>
        <w:t>que</w:t>
      </w:r>
      <w:r w:rsidRPr="000B6999">
        <w:rPr>
          <w:rFonts w:ascii="Verdana" w:hAnsi="Verdana"/>
          <w:spacing w:val="-7"/>
          <w:sz w:val="16"/>
          <w:szCs w:val="16"/>
        </w:rPr>
        <w:t xml:space="preserve"> </w:t>
      </w:r>
      <w:r w:rsidRPr="000B6999">
        <w:rPr>
          <w:rFonts w:ascii="Verdana" w:hAnsi="Verdana"/>
          <w:sz w:val="16"/>
          <w:szCs w:val="16"/>
        </w:rPr>
        <w:t>a</w:t>
      </w:r>
      <w:r w:rsidRPr="000B6999">
        <w:rPr>
          <w:rFonts w:ascii="Verdana" w:hAnsi="Verdana"/>
          <w:spacing w:val="-3"/>
          <w:sz w:val="16"/>
          <w:szCs w:val="16"/>
        </w:rPr>
        <w:t xml:space="preserve"> </w:t>
      </w:r>
      <w:r w:rsidRPr="000B6999">
        <w:rPr>
          <w:rFonts w:ascii="Verdana" w:hAnsi="Verdana"/>
          <w:sz w:val="16"/>
          <w:szCs w:val="16"/>
        </w:rPr>
        <w:t>título</w:t>
      </w:r>
      <w:r w:rsidRPr="000B6999">
        <w:rPr>
          <w:rFonts w:ascii="Verdana" w:hAnsi="Verdana"/>
          <w:spacing w:val="-9"/>
          <w:sz w:val="16"/>
          <w:szCs w:val="16"/>
        </w:rPr>
        <w:t xml:space="preserve"> </w:t>
      </w:r>
      <w:r w:rsidRPr="000B6999">
        <w:rPr>
          <w:rFonts w:ascii="Verdana" w:hAnsi="Verdana"/>
          <w:sz w:val="16"/>
          <w:szCs w:val="16"/>
        </w:rPr>
        <w:t>enunciativo</w:t>
      </w:r>
      <w:r w:rsidRPr="000B6999">
        <w:rPr>
          <w:rFonts w:ascii="Verdana" w:hAnsi="Verdana"/>
          <w:spacing w:val="-9"/>
          <w:sz w:val="16"/>
          <w:szCs w:val="16"/>
        </w:rPr>
        <w:t xml:space="preserve"> </w:t>
      </w:r>
      <w:r w:rsidRPr="000B6999">
        <w:rPr>
          <w:rFonts w:ascii="Verdana" w:hAnsi="Verdana"/>
          <w:sz w:val="16"/>
          <w:szCs w:val="16"/>
        </w:rPr>
        <w:t>identifica</w:t>
      </w:r>
      <w:r w:rsidRPr="000B6999">
        <w:rPr>
          <w:rFonts w:ascii="Verdana" w:hAnsi="Verdana"/>
          <w:spacing w:val="-8"/>
          <w:sz w:val="16"/>
          <w:szCs w:val="16"/>
        </w:rPr>
        <w:t xml:space="preserve"> </w:t>
      </w:r>
      <w:r w:rsidRPr="000B6999">
        <w:rPr>
          <w:rFonts w:ascii="Verdana" w:hAnsi="Verdana"/>
          <w:sz w:val="16"/>
          <w:szCs w:val="16"/>
        </w:rPr>
        <w:t>el</w:t>
      </w:r>
      <w:r w:rsidRPr="000B6999">
        <w:rPr>
          <w:rFonts w:ascii="Verdana" w:hAnsi="Verdana"/>
          <w:spacing w:val="-1"/>
          <w:sz w:val="16"/>
          <w:szCs w:val="16"/>
        </w:rPr>
        <w:t xml:space="preserve"> </w:t>
      </w:r>
      <w:r w:rsidRPr="000B6999">
        <w:rPr>
          <w:rFonts w:ascii="Verdana" w:hAnsi="Verdana"/>
          <w:sz w:val="16"/>
          <w:szCs w:val="16"/>
        </w:rPr>
        <w:t>artículo</w:t>
      </w:r>
      <w:r w:rsidRPr="000B6999">
        <w:rPr>
          <w:rFonts w:ascii="Verdana" w:hAnsi="Verdana"/>
          <w:spacing w:val="-9"/>
          <w:sz w:val="16"/>
          <w:szCs w:val="16"/>
        </w:rPr>
        <w:t xml:space="preserve"> </w:t>
      </w:r>
      <w:r w:rsidRPr="000B6999">
        <w:rPr>
          <w:rFonts w:ascii="Verdana" w:hAnsi="Verdana"/>
          <w:sz w:val="16"/>
          <w:szCs w:val="16"/>
        </w:rPr>
        <w:t>32</w:t>
      </w:r>
      <w:r w:rsidRPr="000B6999">
        <w:rPr>
          <w:rFonts w:ascii="Verdana" w:hAnsi="Verdana"/>
          <w:spacing w:val="-4"/>
          <w:sz w:val="16"/>
          <w:szCs w:val="16"/>
        </w:rPr>
        <w:t xml:space="preserve"> </w:t>
      </w:r>
      <w:r w:rsidRPr="000B6999">
        <w:rPr>
          <w:rFonts w:ascii="Verdana" w:hAnsi="Verdana"/>
          <w:sz w:val="16"/>
          <w:szCs w:val="16"/>
        </w:rPr>
        <w:t>de</w:t>
      </w:r>
      <w:r w:rsidRPr="000B6999">
        <w:rPr>
          <w:rFonts w:ascii="Verdana" w:hAnsi="Verdana"/>
          <w:spacing w:val="-7"/>
          <w:sz w:val="16"/>
          <w:szCs w:val="16"/>
        </w:rPr>
        <w:t xml:space="preserve"> </w:t>
      </w:r>
      <w:r w:rsidRPr="000B6999">
        <w:rPr>
          <w:rFonts w:ascii="Verdana" w:hAnsi="Verdana"/>
          <w:sz w:val="16"/>
          <w:szCs w:val="16"/>
        </w:rPr>
        <w:t>la Ley</w:t>
      </w:r>
      <w:r w:rsidRPr="000B6999">
        <w:rPr>
          <w:rFonts w:ascii="Verdana" w:hAnsi="Verdana"/>
          <w:spacing w:val="-7"/>
          <w:sz w:val="16"/>
          <w:szCs w:val="16"/>
        </w:rPr>
        <w:t xml:space="preserve"> </w:t>
      </w:r>
      <w:r w:rsidRPr="000B6999">
        <w:rPr>
          <w:rFonts w:ascii="Verdana" w:hAnsi="Verdana"/>
          <w:sz w:val="16"/>
          <w:szCs w:val="16"/>
        </w:rPr>
        <w:t>80</w:t>
      </w:r>
      <w:r w:rsidRPr="000B6999">
        <w:rPr>
          <w:rFonts w:ascii="Verdana" w:hAnsi="Verdana"/>
          <w:spacing w:val="-4"/>
          <w:sz w:val="16"/>
          <w:szCs w:val="16"/>
        </w:rPr>
        <w:t xml:space="preserve"> </w:t>
      </w:r>
      <w:r w:rsidRPr="000B6999">
        <w:rPr>
          <w:rFonts w:ascii="Verdana" w:hAnsi="Verdana"/>
          <w:sz w:val="16"/>
          <w:szCs w:val="16"/>
        </w:rPr>
        <w:t>de</w:t>
      </w:r>
      <w:r w:rsidRPr="000B6999">
        <w:rPr>
          <w:rFonts w:ascii="Verdana" w:hAnsi="Verdana"/>
          <w:spacing w:val="-2"/>
          <w:sz w:val="16"/>
          <w:szCs w:val="16"/>
        </w:rPr>
        <w:t xml:space="preserve"> </w:t>
      </w:r>
      <w:r w:rsidRPr="000B6999">
        <w:rPr>
          <w:rFonts w:ascii="Verdana" w:hAnsi="Verdana"/>
          <w:sz w:val="16"/>
          <w:szCs w:val="16"/>
        </w:rPr>
        <w:t>1993.</w:t>
      </w:r>
      <w:bookmarkEnd w:id="2"/>
    </w:p>
  </w:footnote>
  <w:footnote w:id="5">
    <w:p w14:paraId="20E6D264" w14:textId="77777777" w:rsidR="00B570E4" w:rsidRPr="000B6999" w:rsidRDefault="00B570E4" w:rsidP="00B570E4">
      <w:pPr>
        <w:pStyle w:val="Textonotapie"/>
        <w:ind w:right="49" w:firstLine="709"/>
        <w:contextualSpacing/>
        <w:jc w:val="both"/>
        <w:rPr>
          <w:rFonts w:ascii="Verdana" w:hAnsi="Verdana"/>
          <w:sz w:val="16"/>
          <w:szCs w:val="16"/>
        </w:rPr>
      </w:pPr>
      <w:r w:rsidRPr="000B6999">
        <w:rPr>
          <w:rStyle w:val="Refdenotaalpie"/>
          <w:rFonts w:ascii="Verdana" w:hAnsi="Verdana"/>
          <w:sz w:val="16"/>
          <w:szCs w:val="16"/>
        </w:rPr>
        <w:footnoteRef/>
      </w:r>
      <w:r w:rsidRPr="000B6999">
        <w:rPr>
          <w:rFonts w:ascii="Verdana" w:hAnsi="Verdana"/>
          <w:sz w:val="16"/>
          <w:szCs w:val="16"/>
        </w:rPr>
        <w:t xml:space="preserve"> El artículo</w:t>
      </w:r>
      <w:r w:rsidRPr="000B6999">
        <w:rPr>
          <w:rFonts w:ascii="Verdana" w:hAnsi="Verdana"/>
          <w:spacing w:val="-2"/>
          <w:sz w:val="16"/>
          <w:szCs w:val="16"/>
        </w:rPr>
        <w:t xml:space="preserve"> </w:t>
      </w:r>
      <w:r w:rsidRPr="000B6999">
        <w:rPr>
          <w:rFonts w:ascii="Verdana" w:hAnsi="Verdana"/>
          <w:sz w:val="16"/>
          <w:szCs w:val="16"/>
        </w:rPr>
        <w:t>14</w:t>
      </w:r>
      <w:r w:rsidRPr="000B6999">
        <w:rPr>
          <w:rFonts w:ascii="Verdana" w:hAnsi="Verdana"/>
          <w:spacing w:val="-2"/>
          <w:sz w:val="16"/>
          <w:szCs w:val="16"/>
        </w:rPr>
        <w:t xml:space="preserve"> </w:t>
      </w:r>
      <w:r w:rsidRPr="000B6999">
        <w:rPr>
          <w:rFonts w:ascii="Verdana" w:hAnsi="Verdana"/>
          <w:sz w:val="16"/>
          <w:szCs w:val="16"/>
        </w:rPr>
        <w:t>original de la</w:t>
      </w:r>
      <w:r w:rsidRPr="000B6999">
        <w:rPr>
          <w:rFonts w:ascii="Verdana" w:hAnsi="Verdana"/>
          <w:spacing w:val="-1"/>
          <w:sz w:val="16"/>
          <w:szCs w:val="16"/>
        </w:rPr>
        <w:t xml:space="preserve"> </w:t>
      </w:r>
      <w:r w:rsidRPr="000B6999">
        <w:rPr>
          <w:rFonts w:ascii="Verdana" w:hAnsi="Verdana"/>
          <w:sz w:val="16"/>
          <w:szCs w:val="16"/>
        </w:rPr>
        <w:t>Ley 1150</w:t>
      </w:r>
      <w:r w:rsidRPr="000B6999">
        <w:rPr>
          <w:rFonts w:ascii="Verdana" w:hAnsi="Verdana"/>
          <w:spacing w:val="-2"/>
          <w:sz w:val="16"/>
          <w:szCs w:val="16"/>
        </w:rPr>
        <w:t xml:space="preserve"> </w:t>
      </w:r>
      <w:r w:rsidRPr="000B6999">
        <w:rPr>
          <w:rFonts w:ascii="Verdana" w:hAnsi="Verdana"/>
          <w:sz w:val="16"/>
          <w:szCs w:val="16"/>
        </w:rPr>
        <w:t>de 2007</w:t>
      </w:r>
      <w:r w:rsidRPr="000B6999">
        <w:rPr>
          <w:rFonts w:ascii="Verdana" w:hAnsi="Verdana"/>
          <w:spacing w:val="-2"/>
          <w:sz w:val="16"/>
          <w:szCs w:val="16"/>
        </w:rPr>
        <w:t xml:space="preserve"> </w:t>
      </w:r>
      <w:r w:rsidRPr="000B6999">
        <w:rPr>
          <w:rFonts w:ascii="Verdana" w:hAnsi="Verdana"/>
          <w:sz w:val="16"/>
          <w:szCs w:val="16"/>
        </w:rPr>
        <w:t>excluía</w:t>
      </w:r>
      <w:r w:rsidRPr="000B6999">
        <w:rPr>
          <w:rFonts w:ascii="Verdana" w:hAnsi="Verdana"/>
          <w:spacing w:val="-1"/>
          <w:sz w:val="16"/>
          <w:szCs w:val="16"/>
        </w:rPr>
        <w:t xml:space="preserve"> </w:t>
      </w:r>
      <w:r w:rsidRPr="000B6999">
        <w:rPr>
          <w:rFonts w:ascii="Verdana" w:hAnsi="Verdana"/>
          <w:sz w:val="16"/>
          <w:szCs w:val="16"/>
        </w:rPr>
        <w:t>además aquellas cuya</w:t>
      </w:r>
      <w:r w:rsidRPr="000B6999">
        <w:rPr>
          <w:rFonts w:ascii="Verdana" w:hAnsi="Verdana"/>
          <w:spacing w:val="-1"/>
          <w:sz w:val="16"/>
          <w:szCs w:val="16"/>
        </w:rPr>
        <w:t xml:space="preserve"> </w:t>
      </w:r>
      <w:r w:rsidRPr="000B6999">
        <w:rPr>
          <w:rFonts w:ascii="Verdana" w:hAnsi="Verdana"/>
          <w:sz w:val="16"/>
          <w:szCs w:val="16"/>
        </w:rPr>
        <w:t>actividad</w:t>
      </w:r>
      <w:r w:rsidRPr="000B6999">
        <w:rPr>
          <w:rFonts w:ascii="Verdana" w:hAnsi="Verdana"/>
          <w:spacing w:val="-5"/>
          <w:sz w:val="16"/>
          <w:szCs w:val="16"/>
        </w:rPr>
        <w:t xml:space="preserve"> </w:t>
      </w:r>
      <w:r w:rsidRPr="000B6999">
        <w:rPr>
          <w:rFonts w:ascii="Verdana" w:hAnsi="Verdana"/>
          <w:sz w:val="16"/>
          <w:szCs w:val="16"/>
        </w:rPr>
        <w:t>se realizaba en</w:t>
      </w:r>
      <w:r w:rsidRPr="000B6999">
        <w:rPr>
          <w:rFonts w:ascii="Verdana" w:hAnsi="Verdana"/>
          <w:spacing w:val="-6"/>
          <w:sz w:val="16"/>
          <w:szCs w:val="16"/>
        </w:rPr>
        <w:t xml:space="preserve"> </w:t>
      </w:r>
      <w:r w:rsidRPr="000B6999">
        <w:rPr>
          <w:rFonts w:ascii="Verdana" w:hAnsi="Verdana"/>
          <w:sz w:val="16"/>
          <w:szCs w:val="16"/>
        </w:rPr>
        <w:t>“mercados</w:t>
      </w:r>
      <w:r w:rsidRPr="000B6999">
        <w:rPr>
          <w:rFonts w:ascii="Verdana" w:hAnsi="Verdana"/>
          <w:spacing w:val="-3"/>
          <w:sz w:val="16"/>
          <w:szCs w:val="16"/>
        </w:rPr>
        <w:t xml:space="preserve"> </w:t>
      </w:r>
      <w:r w:rsidRPr="000B6999">
        <w:rPr>
          <w:rFonts w:ascii="Verdana" w:hAnsi="Verdana"/>
          <w:sz w:val="16"/>
          <w:szCs w:val="16"/>
        </w:rPr>
        <w:t>monopolísticos”,</w:t>
      </w:r>
      <w:r w:rsidRPr="000B6999">
        <w:rPr>
          <w:rFonts w:ascii="Verdana" w:hAnsi="Verdana"/>
          <w:spacing w:val="-2"/>
          <w:sz w:val="16"/>
          <w:szCs w:val="16"/>
        </w:rPr>
        <w:t xml:space="preserve"> </w:t>
      </w:r>
      <w:r w:rsidRPr="000B6999">
        <w:rPr>
          <w:rFonts w:ascii="Verdana" w:hAnsi="Verdana"/>
          <w:sz w:val="16"/>
          <w:szCs w:val="16"/>
        </w:rPr>
        <w:t>pero,</w:t>
      </w:r>
      <w:r w:rsidRPr="000B6999">
        <w:rPr>
          <w:rFonts w:ascii="Verdana" w:hAnsi="Verdana"/>
          <w:spacing w:val="-2"/>
          <w:sz w:val="16"/>
          <w:szCs w:val="16"/>
        </w:rPr>
        <w:t xml:space="preserve"> </w:t>
      </w:r>
      <w:r w:rsidRPr="000B6999">
        <w:rPr>
          <w:rFonts w:ascii="Verdana" w:hAnsi="Verdana"/>
          <w:sz w:val="16"/>
          <w:szCs w:val="16"/>
        </w:rPr>
        <w:t>con</w:t>
      </w:r>
      <w:r w:rsidRPr="000B6999">
        <w:rPr>
          <w:rFonts w:ascii="Verdana" w:hAnsi="Verdana"/>
          <w:spacing w:val="-5"/>
          <w:sz w:val="16"/>
          <w:szCs w:val="16"/>
        </w:rPr>
        <w:t xml:space="preserve"> </w:t>
      </w:r>
      <w:r w:rsidRPr="000B6999">
        <w:rPr>
          <w:rFonts w:ascii="Verdana" w:hAnsi="Verdana"/>
          <w:sz w:val="16"/>
          <w:szCs w:val="16"/>
        </w:rPr>
        <w:t>buen</w:t>
      </w:r>
      <w:r w:rsidRPr="000B6999">
        <w:rPr>
          <w:rFonts w:ascii="Verdana" w:hAnsi="Verdana"/>
          <w:spacing w:val="-6"/>
          <w:sz w:val="16"/>
          <w:szCs w:val="16"/>
        </w:rPr>
        <w:t xml:space="preserve"> </w:t>
      </w:r>
      <w:r w:rsidRPr="000B6999">
        <w:rPr>
          <w:rFonts w:ascii="Verdana" w:hAnsi="Verdana"/>
          <w:sz w:val="16"/>
          <w:szCs w:val="16"/>
        </w:rPr>
        <w:t>tino,</w:t>
      </w:r>
      <w:r w:rsidRPr="000B6999">
        <w:rPr>
          <w:rFonts w:ascii="Verdana" w:hAnsi="Verdana"/>
          <w:spacing w:val="-2"/>
          <w:sz w:val="16"/>
          <w:szCs w:val="16"/>
        </w:rPr>
        <w:t xml:space="preserve"> </w:t>
      </w:r>
      <w:r w:rsidRPr="000B6999">
        <w:rPr>
          <w:rFonts w:ascii="Verdana" w:hAnsi="Verdana"/>
          <w:sz w:val="16"/>
          <w:szCs w:val="16"/>
        </w:rPr>
        <w:t>se</w:t>
      </w:r>
      <w:r w:rsidRPr="000B6999">
        <w:rPr>
          <w:rFonts w:ascii="Verdana" w:hAnsi="Verdana"/>
          <w:spacing w:val="-4"/>
          <w:sz w:val="16"/>
          <w:szCs w:val="16"/>
        </w:rPr>
        <w:t xml:space="preserve"> </w:t>
      </w:r>
      <w:r w:rsidRPr="000B6999">
        <w:rPr>
          <w:rFonts w:ascii="Verdana" w:hAnsi="Verdana"/>
          <w:sz w:val="16"/>
          <w:szCs w:val="16"/>
        </w:rPr>
        <w:t>eliminó</w:t>
      </w:r>
      <w:r w:rsidRPr="000B6999">
        <w:rPr>
          <w:rFonts w:ascii="Verdana" w:hAnsi="Verdana"/>
          <w:spacing w:val="-6"/>
          <w:sz w:val="16"/>
          <w:szCs w:val="16"/>
        </w:rPr>
        <w:t xml:space="preserve"> </w:t>
      </w:r>
      <w:r w:rsidRPr="000B6999">
        <w:rPr>
          <w:rFonts w:ascii="Verdana" w:hAnsi="Verdana"/>
          <w:sz w:val="16"/>
          <w:szCs w:val="16"/>
        </w:rPr>
        <w:t>en</w:t>
      </w:r>
      <w:r w:rsidRPr="000B6999">
        <w:rPr>
          <w:rFonts w:ascii="Verdana" w:hAnsi="Verdana"/>
          <w:spacing w:val="-6"/>
          <w:sz w:val="16"/>
          <w:szCs w:val="16"/>
        </w:rPr>
        <w:t xml:space="preserve"> </w:t>
      </w:r>
      <w:r w:rsidRPr="000B6999">
        <w:rPr>
          <w:rFonts w:ascii="Verdana" w:hAnsi="Verdana"/>
          <w:sz w:val="16"/>
          <w:szCs w:val="16"/>
        </w:rPr>
        <w:t>el</w:t>
      </w:r>
      <w:r w:rsidRPr="000B6999">
        <w:rPr>
          <w:rFonts w:ascii="Verdana" w:hAnsi="Verdana"/>
          <w:spacing w:val="-3"/>
          <w:sz w:val="16"/>
          <w:szCs w:val="16"/>
        </w:rPr>
        <w:t xml:space="preserve"> </w:t>
      </w:r>
      <w:r w:rsidRPr="000B6999">
        <w:rPr>
          <w:rFonts w:ascii="Verdana" w:hAnsi="Verdana"/>
          <w:sz w:val="16"/>
          <w:szCs w:val="16"/>
        </w:rPr>
        <w:t>artículo</w:t>
      </w:r>
      <w:r w:rsidRPr="000B6999">
        <w:rPr>
          <w:rFonts w:ascii="Verdana" w:hAnsi="Verdana"/>
          <w:spacing w:val="-6"/>
          <w:sz w:val="16"/>
          <w:szCs w:val="16"/>
        </w:rPr>
        <w:t xml:space="preserve"> </w:t>
      </w:r>
      <w:r w:rsidRPr="000B6999">
        <w:rPr>
          <w:rFonts w:ascii="Verdana" w:hAnsi="Verdana"/>
          <w:sz w:val="16"/>
          <w:szCs w:val="16"/>
        </w:rPr>
        <w:t>93</w:t>
      </w:r>
      <w:r w:rsidRPr="000B6999">
        <w:rPr>
          <w:rFonts w:ascii="Verdana" w:hAnsi="Verdana"/>
          <w:spacing w:val="-6"/>
          <w:sz w:val="16"/>
          <w:szCs w:val="16"/>
        </w:rPr>
        <w:t xml:space="preserve"> </w:t>
      </w:r>
      <w:r w:rsidRPr="000B6999">
        <w:rPr>
          <w:rFonts w:ascii="Verdana" w:hAnsi="Verdana"/>
          <w:sz w:val="16"/>
          <w:szCs w:val="16"/>
        </w:rPr>
        <w:t>de</w:t>
      </w:r>
      <w:r w:rsidRPr="000B6999">
        <w:rPr>
          <w:rFonts w:ascii="Verdana" w:hAnsi="Verdana"/>
          <w:spacing w:val="-4"/>
          <w:sz w:val="16"/>
          <w:szCs w:val="16"/>
        </w:rPr>
        <w:t xml:space="preserve"> </w:t>
      </w:r>
      <w:r w:rsidRPr="000B6999">
        <w:rPr>
          <w:rFonts w:ascii="Verdana" w:hAnsi="Verdana"/>
          <w:sz w:val="16"/>
          <w:szCs w:val="16"/>
        </w:rPr>
        <w:t>la</w:t>
      </w:r>
      <w:r w:rsidRPr="000B6999">
        <w:rPr>
          <w:rFonts w:ascii="Verdana" w:hAnsi="Verdana"/>
          <w:spacing w:val="-5"/>
          <w:sz w:val="16"/>
          <w:szCs w:val="16"/>
        </w:rPr>
        <w:t xml:space="preserve"> </w:t>
      </w:r>
      <w:r w:rsidRPr="000B6999">
        <w:rPr>
          <w:rFonts w:ascii="Verdana" w:hAnsi="Verdana"/>
          <w:sz w:val="16"/>
          <w:szCs w:val="16"/>
        </w:rPr>
        <w:t>Ley</w:t>
      </w:r>
      <w:r w:rsidRPr="000B6999">
        <w:rPr>
          <w:rFonts w:ascii="Verdana" w:hAnsi="Verdana"/>
          <w:spacing w:val="-4"/>
          <w:sz w:val="16"/>
          <w:szCs w:val="16"/>
        </w:rPr>
        <w:t xml:space="preserve"> </w:t>
      </w:r>
      <w:r w:rsidRPr="000B6999">
        <w:rPr>
          <w:rFonts w:ascii="Verdana" w:hAnsi="Verdana"/>
          <w:sz w:val="16"/>
          <w:szCs w:val="16"/>
        </w:rPr>
        <w:t>1474</w:t>
      </w:r>
      <w:r w:rsidRPr="000B6999">
        <w:rPr>
          <w:rFonts w:ascii="Verdana" w:hAnsi="Verdana"/>
          <w:spacing w:val="-6"/>
          <w:sz w:val="16"/>
          <w:szCs w:val="16"/>
        </w:rPr>
        <w:t xml:space="preserve"> </w:t>
      </w:r>
      <w:r w:rsidRPr="000B6999">
        <w:rPr>
          <w:rFonts w:ascii="Verdana" w:hAnsi="Verdana"/>
          <w:sz w:val="16"/>
          <w:szCs w:val="16"/>
        </w:rPr>
        <w:t>de</w:t>
      </w:r>
      <w:r w:rsidRPr="000B6999">
        <w:rPr>
          <w:rFonts w:ascii="Verdana" w:hAnsi="Verdana"/>
          <w:spacing w:val="-4"/>
          <w:sz w:val="16"/>
          <w:szCs w:val="16"/>
        </w:rPr>
        <w:t xml:space="preserve"> </w:t>
      </w:r>
      <w:r w:rsidRPr="000B6999">
        <w:rPr>
          <w:rFonts w:ascii="Verdana" w:hAnsi="Verdana"/>
          <w:sz w:val="16"/>
          <w:szCs w:val="16"/>
        </w:rPr>
        <w:t>2011,</w:t>
      </w:r>
      <w:r w:rsidRPr="000B6999">
        <w:rPr>
          <w:rFonts w:ascii="Verdana" w:hAnsi="Verdana"/>
          <w:spacing w:val="-2"/>
          <w:sz w:val="16"/>
          <w:szCs w:val="16"/>
        </w:rPr>
        <w:t xml:space="preserve"> </w:t>
      </w:r>
      <w:r w:rsidRPr="000B6999">
        <w:rPr>
          <w:rFonts w:ascii="Verdana" w:hAnsi="Verdana"/>
          <w:sz w:val="16"/>
          <w:szCs w:val="16"/>
        </w:rPr>
        <w:t>pues en ese caso no se está en presencia de los fundamentos que soportan la excepción de no aplicar el Estatuto General de Contratación de la Administración Pública, cual es la “competencia y el libre juego del mercado”.</w:t>
      </w:r>
    </w:p>
  </w:footnote>
  <w:footnote w:id="6">
    <w:p w14:paraId="522204E4" w14:textId="77777777" w:rsidR="00B570E4" w:rsidRPr="000B6999" w:rsidRDefault="00B570E4" w:rsidP="00B570E4">
      <w:pPr>
        <w:pStyle w:val="Textonotapie"/>
        <w:tabs>
          <w:tab w:val="left" w:pos="993"/>
        </w:tabs>
        <w:ind w:right="333" w:firstLine="709"/>
        <w:contextualSpacing/>
        <w:jc w:val="both"/>
        <w:rPr>
          <w:rFonts w:ascii="Verdana" w:hAnsi="Verdana"/>
          <w:spacing w:val="-7"/>
          <w:sz w:val="16"/>
          <w:szCs w:val="16"/>
        </w:rPr>
      </w:pPr>
      <w:r w:rsidRPr="000B6999">
        <w:rPr>
          <w:rStyle w:val="Refdenotaalpie"/>
          <w:rFonts w:ascii="Verdana" w:hAnsi="Verdana"/>
          <w:sz w:val="16"/>
          <w:szCs w:val="16"/>
        </w:rPr>
        <w:footnoteRef/>
      </w:r>
      <w:r w:rsidRPr="000B6999">
        <w:rPr>
          <w:rFonts w:ascii="Verdana" w:hAnsi="Verdana"/>
          <w:sz w:val="16"/>
          <w:szCs w:val="16"/>
        </w:rPr>
        <w:t xml:space="preserve"> Consejo</w:t>
      </w:r>
      <w:r w:rsidRPr="000B6999">
        <w:rPr>
          <w:rFonts w:ascii="Verdana" w:hAnsi="Verdana"/>
          <w:spacing w:val="-8"/>
          <w:sz w:val="16"/>
          <w:szCs w:val="16"/>
        </w:rPr>
        <w:t xml:space="preserve"> </w:t>
      </w:r>
      <w:r w:rsidRPr="000B6999">
        <w:rPr>
          <w:rFonts w:ascii="Verdana" w:hAnsi="Verdana"/>
          <w:sz w:val="16"/>
          <w:szCs w:val="16"/>
        </w:rPr>
        <w:t>de</w:t>
      </w:r>
      <w:r w:rsidRPr="000B6999">
        <w:rPr>
          <w:rFonts w:ascii="Verdana" w:hAnsi="Verdana"/>
          <w:spacing w:val="-10"/>
          <w:sz w:val="16"/>
          <w:szCs w:val="16"/>
        </w:rPr>
        <w:t xml:space="preserve"> </w:t>
      </w:r>
      <w:r w:rsidRPr="000B6999">
        <w:rPr>
          <w:rFonts w:ascii="Verdana" w:hAnsi="Verdana"/>
          <w:sz w:val="16"/>
          <w:szCs w:val="16"/>
        </w:rPr>
        <w:t>Estado.</w:t>
      </w:r>
      <w:r w:rsidRPr="000B6999">
        <w:rPr>
          <w:rFonts w:ascii="Verdana" w:hAnsi="Verdana"/>
          <w:spacing w:val="-9"/>
          <w:sz w:val="16"/>
          <w:szCs w:val="16"/>
        </w:rPr>
        <w:t xml:space="preserve"> </w:t>
      </w:r>
      <w:r w:rsidRPr="000B6999">
        <w:rPr>
          <w:rFonts w:ascii="Verdana" w:hAnsi="Verdana"/>
          <w:sz w:val="16"/>
          <w:szCs w:val="16"/>
        </w:rPr>
        <w:t>Sección</w:t>
      </w:r>
      <w:r w:rsidRPr="000B6999">
        <w:rPr>
          <w:rFonts w:ascii="Verdana" w:hAnsi="Verdana"/>
          <w:spacing w:val="-10"/>
          <w:sz w:val="16"/>
          <w:szCs w:val="16"/>
        </w:rPr>
        <w:t xml:space="preserve"> </w:t>
      </w:r>
      <w:r w:rsidRPr="000B6999">
        <w:rPr>
          <w:rFonts w:ascii="Verdana" w:hAnsi="Verdana"/>
          <w:sz w:val="16"/>
          <w:szCs w:val="16"/>
        </w:rPr>
        <w:t>Tercera,</w:t>
      </w:r>
      <w:r w:rsidRPr="000B6999">
        <w:rPr>
          <w:rFonts w:ascii="Verdana" w:hAnsi="Verdana"/>
          <w:spacing w:val="-9"/>
          <w:sz w:val="16"/>
          <w:szCs w:val="16"/>
        </w:rPr>
        <w:t xml:space="preserve"> </w:t>
      </w:r>
      <w:r w:rsidRPr="000B6999">
        <w:rPr>
          <w:rFonts w:ascii="Verdana" w:hAnsi="Verdana"/>
          <w:sz w:val="16"/>
          <w:szCs w:val="16"/>
        </w:rPr>
        <w:t>Sentencia</w:t>
      </w:r>
      <w:r w:rsidRPr="000B6999">
        <w:rPr>
          <w:rFonts w:ascii="Verdana" w:hAnsi="Verdana"/>
          <w:spacing w:val="-10"/>
          <w:sz w:val="16"/>
          <w:szCs w:val="16"/>
        </w:rPr>
        <w:t xml:space="preserve"> </w:t>
      </w:r>
      <w:r w:rsidRPr="000B6999">
        <w:rPr>
          <w:rFonts w:ascii="Verdana" w:hAnsi="Verdana"/>
          <w:sz w:val="16"/>
          <w:szCs w:val="16"/>
        </w:rPr>
        <w:t>del</w:t>
      </w:r>
      <w:r w:rsidRPr="000B6999">
        <w:rPr>
          <w:rFonts w:ascii="Verdana" w:hAnsi="Verdana"/>
          <w:spacing w:val="-9"/>
          <w:sz w:val="16"/>
          <w:szCs w:val="16"/>
        </w:rPr>
        <w:t xml:space="preserve"> </w:t>
      </w:r>
      <w:r w:rsidRPr="000B6999">
        <w:rPr>
          <w:rFonts w:ascii="Verdana" w:hAnsi="Verdana"/>
          <w:sz w:val="16"/>
          <w:szCs w:val="16"/>
        </w:rPr>
        <w:t>19</w:t>
      </w:r>
      <w:r w:rsidRPr="000B6999">
        <w:rPr>
          <w:rFonts w:ascii="Verdana" w:hAnsi="Verdana"/>
          <w:spacing w:val="-11"/>
          <w:sz w:val="16"/>
          <w:szCs w:val="16"/>
        </w:rPr>
        <w:t xml:space="preserve"> </w:t>
      </w:r>
      <w:r w:rsidRPr="000B6999">
        <w:rPr>
          <w:rFonts w:ascii="Verdana" w:hAnsi="Verdana"/>
          <w:sz w:val="16"/>
          <w:szCs w:val="16"/>
        </w:rPr>
        <w:t>de</w:t>
      </w:r>
      <w:r w:rsidRPr="000B6999">
        <w:rPr>
          <w:rFonts w:ascii="Verdana" w:hAnsi="Verdana"/>
          <w:spacing w:val="-5"/>
          <w:sz w:val="16"/>
          <w:szCs w:val="16"/>
        </w:rPr>
        <w:t xml:space="preserve"> </w:t>
      </w:r>
      <w:r w:rsidRPr="000B6999">
        <w:rPr>
          <w:rFonts w:ascii="Verdana" w:hAnsi="Verdana"/>
          <w:sz w:val="16"/>
          <w:szCs w:val="16"/>
        </w:rPr>
        <w:t>agosto</w:t>
      </w:r>
      <w:r w:rsidRPr="000B6999">
        <w:rPr>
          <w:rFonts w:ascii="Verdana" w:hAnsi="Verdana"/>
          <w:spacing w:val="-11"/>
          <w:sz w:val="16"/>
          <w:szCs w:val="16"/>
        </w:rPr>
        <w:t xml:space="preserve"> </w:t>
      </w:r>
      <w:r w:rsidRPr="000B6999">
        <w:rPr>
          <w:rFonts w:ascii="Verdana" w:hAnsi="Verdana"/>
          <w:sz w:val="16"/>
          <w:szCs w:val="16"/>
        </w:rPr>
        <w:t>de</w:t>
      </w:r>
      <w:r w:rsidRPr="000B6999">
        <w:rPr>
          <w:rFonts w:ascii="Verdana" w:hAnsi="Verdana"/>
          <w:spacing w:val="-10"/>
          <w:sz w:val="16"/>
          <w:szCs w:val="16"/>
        </w:rPr>
        <w:t xml:space="preserve"> </w:t>
      </w:r>
      <w:r w:rsidRPr="000B6999">
        <w:rPr>
          <w:rFonts w:ascii="Verdana" w:hAnsi="Verdana"/>
          <w:sz w:val="16"/>
          <w:szCs w:val="16"/>
        </w:rPr>
        <w:t>2004</w:t>
      </w:r>
      <w:r w:rsidRPr="000B6999">
        <w:rPr>
          <w:rFonts w:ascii="Verdana" w:hAnsi="Verdana"/>
          <w:spacing w:val="-7"/>
          <w:sz w:val="16"/>
          <w:szCs w:val="16"/>
        </w:rPr>
        <w:t xml:space="preserve"> </w:t>
      </w:r>
      <w:r w:rsidRPr="000B6999">
        <w:rPr>
          <w:rFonts w:ascii="Verdana" w:hAnsi="Verdana"/>
          <w:sz w:val="16"/>
          <w:szCs w:val="16"/>
        </w:rPr>
        <w:t>Exp.</w:t>
      </w:r>
      <w:r w:rsidRPr="000B6999">
        <w:rPr>
          <w:rFonts w:ascii="Verdana" w:hAnsi="Verdana"/>
          <w:spacing w:val="-9"/>
          <w:sz w:val="16"/>
          <w:szCs w:val="16"/>
        </w:rPr>
        <w:t xml:space="preserve"> </w:t>
      </w:r>
      <w:r w:rsidRPr="000B6999">
        <w:rPr>
          <w:rFonts w:ascii="Verdana" w:hAnsi="Verdana"/>
          <w:sz w:val="16"/>
          <w:szCs w:val="16"/>
        </w:rPr>
        <w:t>12.342,</w:t>
      </w:r>
      <w:r w:rsidRPr="000B6999">
        <w:rPr>
          <w:rFonts w:ascii="Verdana" w:hAnsi="Verdana"/>
          <w:spacing w:val="-9"/>
          <w:sz w:val="16"/>
          <w:szCs w:val="16"/>
        </w:rPr>
        <w:t xml:space="preserve"> </w:t>
      </w:r>
      <w:r w:rsidRPr="000B6999">
        <w:rPr>
          <w:rFonts w:ascii="Verdana" w:hAnsi="Verdana"/>
          <w:sz w:val="16"/>
          <w:szCs w:val="16"/>
        </w:rPr>
        <w:t>reiterada</w:t>
      </w:r>
      <w:r w:rsidRPr="000B6999">
        <w:rPr>
          <w:rFonts w:ascii="Verdana" w:hAnsi="Verdana"/>
          <w:spacing w:val="-10"/>
          <w:sz w:val="16"/>
          <w:szCs w:val="16"/>
        </w:rPr>
        <w:t xml:space="preserve"> </w:t>
      </w:r>
      <w:r w:rsidRPr="000B6999">
        <w:rPr>
          <w:rFonts w:ascii="Verdana" w:hAnsi="Verdana"/>
          <w:sz w:val="16"/>
          <w:szCs w:val="16"/>
        </w:rPr>
        <w:t>en sentencia de 6 de febrero de 2006, Exp. 13.414.</w:t>
      </w:r>
    </w:p>
  </w:footnote>
  <w:footnote w:id="7">
    <w:p w14:paraId="7E22925D" w14:textId="77777777" w:rsidR="00B570E4" w:rsidRPr="000B6999" w:rsidRDefault="00B570E4" w:rsidP="00B570E4">
      <w:pPr>
        <w:pStyle w:val="Textonotapie"/>
        <w:ind w:firstLine="709"/>
        <w:jc w:val="both"/>
        <w:rPr>
          <w:rFonts w:ascii="Verdana" w:hAnsi="Verdana"/>
          <w:sz w:val="16"/>
          <w:szCs w:val="16"/>
          <w:lang w:val="es-CO"/>
        </w:rPr>
      </w:pPr>
      <w:r w:rsidRPr="000B6999">
        <w:rPr>
          <w:rStyle w:val="Refdenotaalpie"/>
          <w:rFonts w:ascii="Verdana" w:hAnsi="Verdana"/>
          <w:sz w:val="16"/>
          <w:szCs w:val="16"/>
        </w:rPr>
        <w:footnoteRef/>
      </w:r>
      <w:r w:rsidRPr="000B6999">
        <w:rPr>
          <w:rFonts w:ascii="Verdana" w:hAnsi="Verdana"/>
          <w:sz w:val="16"/>
          <w:szCs w:val="16"/>
        </w:rPr>
        <w:t xml:space="preserve"> </w:t>
      </w:r>
      <w:r w:rsidRPr="000B6999">
        <w:rPr>
          <w:rFonts w:ascii="Verdana" w:eastAsia="Calibri" w:hAnsi="Verdana" w:cs="Arial"/>
          <w:color w:val="000000"/>
          <w:sz w:val="16"/>
          <w:szCs w:val="16"/>
          <w:lang w:val="es-ES_tradnl" w:eastAsia="es-ES_tradnl"/>
        </w:rPr>
        <w:t>“</w:t>
      </w:r>
      <w:r w:rsidRPr="000B6999">
        <w:rPr>
          <w:rFonts w:ascii="Verdana" w:hAnsi="Verdana" w:cs="Arial"/>
          <w:sz w:val="16"/>
          <w:szCs w:val="16"/>
          <w:lang w:eastAsia="es-MX"/>
        </w:rPr>
        <w:t>Los regímenes de las actividades y de los servidores de las sociedades de economía mixta en las cuales el aporte de la Nación, de entidades territoriales y de entidades descentralizadas, sea igual o superior al noventa (90%) del capital social es el de las empresas industriales y comerciales del Estado”.</w:t>
      </w:r>
    </w:p>
  </w:footnote>
  <w:footnote w:id="8">
    <w:p w14:paraId="0F55FD70" w14:textId="77777777" w:rsidR="00B570E4" w:rsidRPr="000B6999" w:rsidRDefault="00B570E4" w:rsidP="00B570E4">
      <w:pPr>
        <w:pStyle w:val="Textonotapie"/>
        <w:ind w:firstLine="709"/>
        <w:jc w:val="both"/>
        <w:rPr>
          <w:rFonts w:ascii="Verdana" w:hAnsi="Verdana" w:cs="Arial"/>
          <w:color w:val="000000" w:themeColor="text1"/>
          <w:sz w:val="16"/>
          <w:szCs w:val="16"/>
          <w:lang w:val="es-ES"/>
        </w:rPr>
      </w:pPr>
      <w:r w:rsidRPr="000B6999">
        <w:rPr>
          <w:rStyle w:val="Refdenotaalpie"/>
          <w:rFonts w:ascii="Verdana" w:hAnsi="Verdana" w:cs="Arial"/>
          <w:color w:val="000000" w:themeColor="text1"/>
          <w:sz w:val="16"/>
          <w:szCs w:val="16"/>
        </w:rPr>
        <w:footnoteRef/>
      </w:r>
      <w:r w:rsidRPr="000B6999">
        <w:rPr>
          <w:rFonts w:ascii="Verdana" w:hAnsi="Verdana" w:cs="Arial"/>
          <w:color w:val="000000" w:themeColor="text1"/>
          <w:sz w:val="16"/>
          <w:szCs w:val="16"/>
        </w:rPr>
        <w:t xml:space="preserve"> </w:t>
      </w:r>
      <w:r w:rsidRPr="000B6999">
        <w:rPr>
          <w:rFonts w:ascii="Verdana" w:hAnsi="Verdana" w:cs="Arial"/>
          <w:color w:val="000000" w:themeColor="text1"/>
          <w:sz w:val="16"/>
          <w:szCs w:val="16"/>
          <w:lang w:val="es-ES"/>
        </w:rPr>
        <w:t>Evento especial es el de las empresas industriales y comerciales del Estado que actúan en competencia con el sector público o privado, del nivel nacional o internacional, o que ejercen su actividad en un mercado regulado, pues en este caso, al tenor del artículo 14 de la Ley 1150 de 2007, se encuentran exceptuadas de la aplicación del Estatuto General de Contratación de la Administración Pública.</w:t>
      </w:r>
    </w:p>
  </w:footnote>
  <w:footnote w:id="9">
    <w:p w14:paraId="70E86AB5" w14:textId="77777777" w:rsidR="00B570E4" w:rsidRPr="000B6999" w:rsidRDefault="00B570E4" w:rsidP="00B570E4">
      <w:pPr>
        <w:pStyle w:val="Textonotapie"/>
        <w:ind w:firstLine="709"/>
        <w:jc w:val="both"/>
        <w:rPr>
          <w:rFonts w:ascii="Verdana" w:hAnsi="Verdana" w:cs="Arial"/>
          <w:color w:val="000000" w:themeColor="text1"/>
          <w:sz w:val="16"/>
          <w:szCs w:val="16"/>
          <w:lang w:val="es-ES"/>
        </w:rPr>
      </w:pPr>
      <w:r w:rsidRPr="000B6999">
        <w:rPr>
          <w:rStyle w:val="Refdenotaalpie"/>
          <w:rFonts w:ascii="Verdana" w:hAnsi="Verdana" w:cs="Arial"/>
          <w:color w:val="000000" w:themeColor="text1"/>
          <w:sz w:val="16"/>
          <w:szCs w:val="16"/>
        </w:rPr>
        <w:footnoteRef/>
      </w:r>
      <w:r w:rsidRPr="000B6999">
        <w:rPr>
          <w:rFonts w:ascii="Verdana" w:hAnsi="Verdana" w:cs="Arial"/>
          <w:color w:val="000000" w:themeColor="text1"/>
          <w:sz w:val="16"/>
          <w:szCs w:val="16"/>
        </w:rPr>
        <w:t xml:space="preserve"> </w:t>
      </w:r>
      <w:r w:rsidRPr="000B6999">
        <w:rPr>
          <w:rFonts w:ascii="Verdana" w:hAnsi="Verdana" w:cs="Arial"/>
          <w:color w:val="000000" w:themeColor="text1"/>
          <w:sz w:val="16"/>
          <w:szCs w:val="16"/>
          <w:lang w:val="es-ES"/>
        </w:rPr>
        <w:t>DÁVILA VINUEZA, Luis Guillermo. Régimen jurídico de la contratación estatal, 3ª ed. Bogotá: Legis, 2016. p. 200.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B72E8"/>
    <w:rsid w:val="000D0334"/>
    <w:rsid w:val="000F6486"/>
    <w:rsid w:val="00125105"/>
    <w:rsid w:val="00127233"/>
    <w:rsid w:val="001D6C0C"/>
    <w:rsid w:val="001E4177"/>
    <w:rsid w:val="001F7DC6"/>
    <w:rsid w:val="002421BB"/>
    <w:rsid w:val="00256688"/>
    <w:rsid w:val="0025796E"/>
    <w:rsid w:val="002707A2"/>
    <w:rsid w:val="00294F54"/>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D77D2"/>
    <w:rsid w:val="004F21C4"/>
    <w:rsid w:val="004F685F"/>
    <w:rsid w:val="005566E8"/>
    <w:rsid w:val="00574867"/>
    <w:rsid w:val="00591460"/>
    <w:rsid w:val="005A6800"/>
    <w:rsid w:val="005C13D5"/>
    <w:rsid w:val="005C3777"/>
    <w:rsid w:val="005C5CDC"/>
    <w:rsid w:val="005D476C"/>
    <w:rsid w:val="006219F8"/>
    <w:rsid w:val="006302F7"/>
    <w:rsid w:val="00665D70"/>
    <w:rsid w:val="006900D9"/>
    <w:rsid w:val="006A760C"/>
    <w:rsid w:val="00706233"/>
    <w:rsid w:val="00706C16"/>
    <w:rsid w:val="0074564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3235"/>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36443"/>
    <w:rsid w:val="00AB0ADB"/>
    <w:rsid w:val="00B00C0E"/>
    <w:rsid w:val="00B01B1A"/>
    <w:rsid w:val="00B44A47"/>
    <w:rsid w:val="00B570E4"/>
    <w:rsid w:val="00B72CD3"/>
    <w:rsid w:val="00B72FFF"/>
    <w:rsid w:val="00BC3D36"/>
    <w:rsid w:val="00BD7F72"/>
    <w:rsid w:val="00C04FB3"/>
    <w:rsid w:val="00C330EB"/>
    <w:rsid w:val="00C66FCE"/>
    <w:rsid w:val="00C754BE"/>
    <w:rsid w:val="00C76B1C"/>
    <w:rsid w:val="00CB6357"/>
    <w:rsid w:val="00CC1B26"/>
    <w:rsid w:val="00D256C6"/>
    <w:rsid w:val="00D423A2"/>
    <w:rsid w:val="00D520D8"/>
    <w:rsid w:val="00D63AC2"/>
    <w:rsid w:val="00D7383B"/>
    <w:rsid w:val="00DA231B"/>
    <w:rsid w:val="00DA5D0A"/>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0467"/>
    <w:rsid w:val="00EE1AA8"/>
    <w:rsid w:val="00EF0F1D"/>
    <w:rsid w:val="00EF3F2C"/>
    <w:rsid w:val="00F31EDC"/>
    <w:rsid w:val="00F462B3"/>
    <w:rsid w:val="00F5664F"/>
    <w:rsid w:val="00F666C4"/>
    <w:rsid w:val="00F76AFC"/>
    <w:rsid w:val="00FA47C0"/>
    <w:rsid w:val="00FB5DD1"/>
    <w:rsid w:val="00FC2B5D"/>
    <w:rsid w:val="00FF1449"/>
    <w:rsid w:val="11F8851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570E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570E4"/>
    <w:rPr>
      <w:rFonts w:ascii="Geomanist Light" w:hAnsi="Geomanist Light"/>
      <w:lang w:val="es-ES"/>
    </w:rPr>
  </w:style>
  <w:style w:type="paragraph" w:styleId="Textocomentario">
    <w:name w:val="annotation text"/>
    <w:basedOn w:val="Normal"/>
    <w:link w:val="TextocomentarioCar"/>
    <w:uiPriority w:val="99"/>
    <w:semiHidden/>
    <w:unhideWhenUsed/>
    <w:rsid w:val="005A6800"/>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A6800"/>
    <w:rPr>
      <w:sz w:val="20"/>
      <w:szCs w:val="20"/>
    </w:rPr>
  </w:style>
  <w:style w:type="character" w:styleId="Refdecomentario">
    <w:name w:val="annotation reference"/>
    <w:basedOn w:val="Fuentedeprrafopredeter"/>
    <w:uiPriority w:val="99"/>
    <w:semiHidden/>
    <w:unhideWhenUsed/>
    <w:rsid w:val="005A6800"/>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ecretariasenado.gov.co/senado/basedoc/ley_0080_1993.html"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CA06E61-A546-4FC5-80CF-B7BB18EACF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9d85dbaf-23eb-4e57-a637-93dcacc8b1a1"/>
    <ds:schemaRef ds:uri="http://purl.org/dc/terms/"/>
    <ds:schemaRef ds:uri="a6cb9e4b-f1d1-4245-83ec-6cad768d538a"/>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5297</Words>
  <Characters>29135</Characters>
  <Application>Microsoft Office Word</Application>
  <DocSecurity>0</DocSecurity>
  <Lines>242</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2025-09-23T18:55:00Z</dcterms:created>
  <dcterms:modified xsi:type="dcterms:W3CDTF">2025-09-23T18:55:00Z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