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15E5E" w14:textId="77777777" w:rsidR="00874920" w:rsidRPr="009B46EA" w:rsidRDefault="00874920" w:rsidP="00874920">
      <w:pPr>
        <w:pStyle w:val="Textoindependiente"/>
        <w:ind w:right="102"/>
        <w:jc w:val="both"/>
        <w:rPr>
          <w:rFonts w:cs="Arial"/>
          <w:b/>
          <w:color w:val="000000" w:themeColor="text1"/>
          <w:lang w:val="es-ES_tradnl"/>
        </w:rPr>
      </w:pPr>
      <w:bookmarkStart w:id="0" w:name="_Hlk143780582"/>
      <w:r w:rsidRPr="009B46EA">
        <w:rPr>
          <w:rFonts w:cs="Arial"/>
          <w:b/>
          <w:color w:val="000000" w:themeColor="text1"/>
          <w:lang w:val="es-ES_tradnl"/>
        </w:rPr>
        <w:t xml:space="preserve">DECRETO 092 DE 2017 – Finalidad – Clases de contratos </w:t>
      </w:r>
    </w:p>
    <w:p w14:paraId="358E0F05" w14:textId="77777777" w:rsidR="00874920" w:rsidRPr="009B46EA" w:rsidRDefault="00874920" w:rsidP="00874920">
      <w:pPr>
        <w:pStyle w:val="Textoindependiente"/>
        <w:ind w:right="102"/>
        <w:jc w:val="both"/>
        <w:rPr>
          <w:rFonts w:cs="Arial"/>
          <w:color w:val="000000" w:themeColor="text1"/>
          <w:sz w:val="20"/>
          <w:szCs w:val="20"/>
          <w:lang w:val="es-ES_tradnl"/>
        </w:rPr>
      </w:pPr>
    </w:p>
    <w:p w14:paraId="25E3089C" w14:textId="77777777" w:rsidR="00874920" w:rsidRPr="009B46EA" w:rsidRDefault="00874920" w:rsidP="00874920">
      <w:pPr>
        <w:spacing w:after="0" w:line="240" w:lineRule="auto"/>
        <w:jc w:val="both"/>
        <w:rPr>
          <w:rFonts w:ascii="Verdana" w:eastAsia="Arial" w:hAnsi="Verdana" w:cs="Arial"/>
          <w:color w:val="000000" w:themeColor="text1"/>
          <w:sz w:val="20"/>
          <w:szCs w:val="20"/>
          <w:lang w:val="es-ES_tradnl"/>
        </w:rPr>
      </w:pPr>
      <w:r w:rsidRPr="009B46EA">
        <w:rPr>
          <w:rFonts w:ascii="Verdana" w:eastAsia="Arial" w:hAnsi="Verdana" w:cs="Arial"/>
          <w:color w:val="000000" w:themeColor="text1"/>
          <w:sz w:val="20"/>
          <w:szCs w:val="20"/>
          <w:lang w:val="es-ES_tradnl"/>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9B46EA">
        <w:rPr>
          <w:rFonts w:ascii="Verdana" w:eastAsia="Arial" w:hAnsi="Verdana" w:cs="Arial"/>
          <w:color w:val="000000" w:themeColor="text1"/>
          <w:sz w:val="20"/>
          <w:szCs w:val="20"/>
          <w:lang w:val="es-ES_tradnl"/>
        </w:rPr>
        <w:t>ii</w:t>
      </w:r>
      <w:proofErr w:type="spellEnd"/>
      <w:r w:rsidRPr="009B46EA">
        <w:rPr>
          <w:rFonts w:ascii="Verdana" w:eastAsia="Arial" w:hAnsi="Verdana" w:cs="Arial"/>
          <w:color w:val="000000" w:themeColor="text1"/>
          <w:sz w:val="20"/>
          <w:szCs w:val="20"/>
          <w:lang w:val="es-ES_tradnl"/>
        </w:rPr>
        <w:t>) los convenios de asociación, para el desarrollo conjunto de actividades relacionadas con las funciones de las entidades estatales, en desarrollo del artículo 96 de la Ley 489 de 1998.</w:t>
      </w:r>
    </w:p>
    <w:p w14:paraId="11CE21B1" w14:textId="77777777" w:rsidR="00874920" w:rsidRPr="009B46EA" w:rsidRDefault="00874920" w:rsidP="00874920">
      <w:pPr>
        <w:spacing w:after="0" w:line="240" w:lineRule="auto"/>
        <w:jc w:val="both"/>
        <w:rPr>
          <w:rFonts w:ascii="Verdana" w:eastAsia="Calibri" w:hAnsi="Verdana" w:cs="Arial"/>
          <w:b/>
          <w:color w:val="000000" w:themeColor="text1"/>
          <w:lang w:val="es-ES_tradnl"/>
        </w:rPr>
      </w:pPr>
    </w:p>
    <w:p w14:paraId="2BEF2EB0" w14:textId="77777777" w:rsidR="00874920" w:rsidRPr="009B46EA" w:rsidRDefault="00874920" w:rsidP="00874920">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CONTRATACIÓN CON ESAL – Contrato de colaboración – Objeto – Alcance </w:t>
      </w:r>
    </w:p>
    <w:p w14:paraId="11DECFEF" w14:textId="77777777" w:rsidR="00874920" w:rsidRPr="009B46EA" w:rsidRDefault="00874920" w:rsidP="00874920">
      <w:pPr>
        <w:spacing w:after="0" w:line="240" w:lineRule="auto"/>
        <w:jc w:val="both"/>
        <w:rPr>
          <w:rFonts w:ascii="Verdana" w:eastAsia="Calibri" w:hAnsi="Verdana" w:cs="Arial"/>
          <w:bCs/>
          <w:color w:val="000000" w:themeColor="text1"/>
          <w:sz w:val="20"/>
          <w:szCs w:val="20"/>
          <w:lang w:val="es-ES_tradnl"/>
        </w:rPr>
      </w:pPr>
    </w:p>
    <w:p w14:paraId="2BDBCDEE" w14:textId="77777777" w:rsidR="00874920" w:rsidRPr="009B46EA" w:rsidRDefault="00874920" w:rsidP="00874920">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Los contratos del artículo 355 de la Constitución Política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w:t>
      </w:r>
    </w:p>
    <w:p w14:paraId="2A77EF97" w14:textId="77777777" w:rsidR="00874920" w:rsidRPr="009B46EA" w:rsidRDefault="00874920" w:rsidP="00874920">
      <w:pPr>
        <w:spacing w:after="0" w:line="240" w:lineRule="auto"/>
        <w:jc w:val="both"/>
        <w:rPr>
          <w:rFonts w:ascii="Verdana" w:hAnsi="Verdana" w:cs="Arial"/>
          <w:color w:val="000000" w:themeColor="text1"/>
          <w:sz w:val="21"/>
          <w:szCs w:val="21"/>
          <w:lang w:val="es-ES_tradnl"/>
        </w:rPr>
      </w:pPr>
    </w:p>
    <w:p w14:paraId="562F3C4F" w14:textId="77777777" w:rsidR="00874920" w:rsidRPr="009B46EA" w:rsidRDefault="00874920" w:rsidP="00874920">
      <w:pPr>
        <w:spacing w:after="0" w:line="240" w:lineRule="auto"/>
        <w:jc w:val="both"/>
        <w:rPr>
          <w:rFonts w:ascii="Verdana" w:eastAsia="Calibri" w:hAnsi="Verdana" w:cs="Arial"/>
          <w:b/>
          <w:color w:val="000000" w:themeColor="text1"/>
          <w:lang w:val="es-ES_tradnl"/>
        </w:rPr>
      </w:pPr>
      <w:bookmarkStart w:id="1" w:name="_Hlk109118876"/>
      <w:r w:rsidRPr="009B46EA">
        <w:rPr>
          <w:rFonts w:ascii="Verdana" w:eastAsia="Calibri" w:hAnsi="Verdana" w:cs="Arial"/>
          <w:b/>
          <w:color w:val="000000" w:themeColor="text1"/>
          <w:lang w:val="es-ES_tradnl"/>
        </w:rPr>
        <w:t>CONTRATACIÓN CON ESAL –</w:t>
      </w:r>
      <w:bookmarkEnd w:id="1"/>
      <w:r w:rsidRPr="009B46EA">
        <w:rPr>
          <w:rFonts w:ascii="Verdana" w:eastAsia="Calibri" w:hAnsi="Verdana" w:cs="Arial"/>
          <w:b/>
          <w:color w:val="000000" w:themeColor="text1"/>
          <w:lang w:val="es-ES_tradnl"/>
        </w:rPr>
        <w:t xml:space="preserve"> Contrato de asociación – Objeto – Alcance </w:t>
      </w:r>
    </w:p>
    <w:p w14:paraId="6D299556" w14:textId="77777777" w:rsidR="00874920" w:rsidRPr="009B46EA" w:rsidRDefault="00874920" w:rsidP="00874920">
      <w:pPr>
        <w:spacing w:after="0" w:line="240" w:lineRule="auto"/>
        <w:jc w:val="both"/>
        <w:rPr>
          <w:rFonts w:ascii="Verdana" w:eastAsia="Calibri" w:hAnsi="Verdana" w:cs="Arial"/>
          <w:b/>
          <w:color w:val="000000" w:themeColor="text1"/>
          <w:lang w:val="es-ES_tradnl"/>
        </w:rPr>
      </w:pPr>
    </w:p>
    <w:p w14:paraId="6F5300FF" w14:textId="77777777" w:rsidR="00874920" w:rsidRPr="009B46EA" w:rsidRDefault="00874920" w:rsidP="00874920">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De otro lado, los convenios de asociación «[t]</w:t>
      </w:r>
      <w:proofErr w:type="spellStart"/>
      <w:r w:rsidRPr="009B46EA">
        <w:rPr>
          <w:rFonts w:ascii="Verdana" w:hAnsi="Verdana" w:cs="Arial"/>
          <w:color w:val="000000" w:themeColor="text1"/>
          <w:sz w:val="20"/>
          <w:szCs w:val="20"/>
          <w:lang w:val="es-ES_tradnl"/>
        </w:rPr>
        <w:t>ienen</w:t>
      </w:r>
      <w:proofErr w:type="spellEnd"/>
      <w:r w:rsidRPr="009B46EA">
        <w:rPr>
          <w:rFonts w:ascii="Verdana" w:hAnsi="Verdana" w:cs="Arial"/>
          <w:color w:val="000000" w:themeColor="text1"/>
          <w:sz w:val="20"/>
          <w:szCs w:val="20"/>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w:t>
      </w:r>
      <w:proofErr w:type="gramStart"/>
      <w:r w:rsidRPr="009B46EA">
        <w:rPr>
          <w:rFonts w:ascii="Verdana" w:hAnsi="Verdana" w:cs="Arial"/>
          <w:color w:val="000000" w:themeColor="text1"/>
          <w:sz w:val="20"/>
          <w:szCs w:val="20"/>
          <w:lang w:val="es-ES_tradnl"/>
        </w:rPr>
        <w:t>y</w:t>
      </w:r>
      <w:proofErr w:type="gramEnd"/>
      <w:r w:rsidRPr="009B46EA">
        <w:rPr>
          <w:rFonts w:ascii="Verdana" w:hAnsi="Verdana" w:cs="Arial"/>
          <w:color w:val="000000" w:themeColor="text1"/>
          <w:sz w:val="20"/>
          <w:szCs w:val="20"/>
          <w:lang w:val="es-ES_tradnl"/>
        </w:rPr>
        <w:t xml:space="preserve"> por tanto, la entidad no instruye al contratista para desarrollar los programas o actividades previstas, sino que se asocia con él para el cumplimiento de objetivos comunes.</w:t>
      </w:r>
    </w:p>
    <w:p w14:paraId="5E5A211C" w14:textId="77777777" w:rsidR="00874920" w:rsidRPr="009B46EA" w:rsidRDefault="00874920" w:rsidP="00874920">
      <w:pPr>
        <w:spacing w:after="0" w:line="240" w:lineRule="auto"/>
        <w:jc w:val="both"/>
        <w:rPr>
          <w:rFonts w:ascii="Verdana" w:hAnsi="Verdana" w:cs="Arial"/>
          <w:color w:val="000000" w:themeColor="text1"/>
          <w:sz w:val="20"/>
          <w:szCs w:val="20"/>
          <w:lang w:val="es-ES_tradnl"/>
        </w:rPr>
      </w:pPr>
    </w:p>
    <w:p w14:paraId="5FB510C7" w14:textId="04811856" w:rsidR="00874920" w:rsidRPr="00874920" w:rsidRDefault="00874920" w:rsidP="00874920">
      <w:pPr>
        <w:pStyle w:val="Textoindependiente"/>
        <w:spacing w:before="163"/>
        <w:ind w:left="0"/>
        <w:rPr>
          <w:lang w:val="es-ES_tradnl"/>
        </w:rPr>
      </w:pPr>
    </w:p>
    <w:p w14:paraId="5D4B709C" w14:textId="2EA68E7A" w:rsidR="00874920" w:rsidRDefault="00874920" w:rsidP="00874920">
      <w:pPr>
        <w:pStyle w:val="Textoindependiente"/>
        <w:spacing w:before="163"/>
        <w:ind w:left="0"/>
      </w:pPr>
    </w:p>
    <w:p w14:paraId="5D2ECE76" w14:textId="21C712DD" w:rsidR="00874920" w:rsidRDefault="00874920" w:rsidP="00874920">
      <w:pPr>
        <w:pStyle w:val="Textoindependiente"/>
        <w:spacing w:before="163"/>
        <w:ind w:left="0"/>
      </w:pPr>
    </w:p>
    <w:p w14:paraId="6BA624FC" w14:textId="6CBB8136" w:rsidR="00874920" w:rsidRDefault="00874920" w:rsidP="00874920">
      <w:pPr>
        <w:pStyle w:val="Textoindependiente"/>
        <w:spacing w:before="163"/>
        <w:ind w:left="0"/>
      </w:pPr>
    </w:p>
    <w:p w14:paraId="101CAC4B" w14:textId="79A9B89B" w:rsidR="00874920" w:rsidRDefault="00874920" w:rsidP="00874920">
      <w:pPr>
        <w:pStyle w:val="Textoindependiente"/>
        <w:spacing w:before="163"/>
        <w:ind w:left="0"/>
      </w:pPr>
    </w:p>
    <w:p w14:paraId="260DE5FA" w14:textId="77777777" w:rsidR="00874920" w:rsidRDefault="00874920" w:rsidP="00874920">
      <w:pPr>
        <w:pStyle w:val="Textoindependiente"/>
        <w:spacing w:before="163"/>
        <w:ind w:left="0"/>
      </w:pPr>
    </w:p>
    <w:p w14:paraId="47FCE25A" w14:textId="0E4DCEDD" w:rsidR="00874920" w:rsidRDefault="00874920" w:rsidP="00874920">
      <w:pPr>
        <w:pStyle w:val="Textoindependiente"/>
        <w:spacing w:before="163"/>
        <w:ind w:left="0"/>
      </w:pPr>
      <w:r>
        <w:rPr>
          <w:noProof/>
        </w:rPr>
        <w:lastRenderedPageBreak/>
        <w:drawing>
          <wp:anchor distT="0" distB="0" distL="0" distR="0" simplePos="0" relativeHeight="251659264" behindDoc="0" locked="0" layoutInCell="1" allowOverlap="1" wp14:anchorId="4B8467C4" wp14:editId="72DE72E5">
            <wp:simplePos x="0" y="0"/>
            <wp:positionH relativeFrom="page">
              <wp:posOffset>4038600</wp:posOffset>
            </wp:positionH>
            <wp:positionV relativeFrom="paragraph">
              <wp:posOffset>133350</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2400300" cy="615950"/>
                    </a:xfrm>
                    <a:prstGeom prst="rect">
                      <a:avLst/>
                    </a:prstGeom>
                  </pic:spPr>
                </pic:pic>
              </a:graphicData>
            </a:graphic>
          </wp:anchor>
        </w:drawing>
      </w:r>
      <w:r>
        <w:t>Bogotá</w:t>
      </w:r>
      <w:r>
        <w:rPr>
          <w:spacing w:val="-9"/>
        </w:rPr>
        <w:t xml:space="preserve"> </w:t>
      </w:r>
      <w:r>
        <w:t>D.C.,</w:t>
      </w:r>
      <w:r>
        <w:rPr>
          <w:spacing w:val="-6"/>
        </w:rPr>
        <w:t xml:space="preserve"> </w:t>
      </w:r>
      <w:r>
        <w:t>24</w:t>
      </w:r>
      <w:r>
        <w:rPr>
          <w:spacing w:val="-5"/>
        </w:rPr>
        <w:t xml:space="preserve"> </w:t>
      </w:r>
      <w:proofErr w:type="gramStart"/>
      <w:r>
        <w:t>Septiembre</w:t>
      </w:r>
      <w:proofErr w:type="gramEnd"/>
      <w:r>
        <w:rPr>
          <w:spacing w:val="-6"/>
        </w:rPr>
        <w:t xml:space="preserve"> </w:t>
      </w:r>
      <w:r>
        <w:rPr>
          <w:spacing w:val="-4"/>
        </w:rPr>
        <w:t>2025</w:t>
      </w:r>
    </w:p>
    <w:p w14:paraId="5FCADBF9" w14:textId="77777777" w:rsidR="00E245AB" w:rsidRPr="00E95B38" w:rsidRDefault="00E245AB" w:rsidP="005021F9">
      <w:pPr>
        <w:spacing w:after="0" w:line="240" w:lineRule="auto"/>
        <w:rPr>
          <w:rFonts w:ascii="Verdana" w:hAnsi="Verdana"/>
        </w:rPr>
      </w:pPr>
    </w:p>
    <w:p w14:paraId="25393E47" w14:textId="77777777" w:rsidR="005400A9" w:rsidRPr="00E95B38" w:rsidRDefault="005400A9" w:rsidP="005021F9">
      <w:pPr>
        <w:spacing w:after="0" w:line="240" w:lineRule="auto"/>
        <w:rPr>
          <w:rFonts w:ascii="Verdana" w:eastAsia="Calibri" w:hAnsi="Verdana" w:cs="Arial"/>
          <w:lang w:val="es-ES" w:eastAsia="es-ES"/>
        </w:rPr>
      </w:pPr>
      <w:r w:rsidRPr="00E95B38">
        <w:rPr>
          <w:rFonts w:ascii="Verdana" w:eastAsia="Calibri" w:hAnsi="Verdana" w:cs="Arial"/>
          <w:lang w:val="es-ES" w:eastAsia="es-ES"/>
        </w:rPr>
        <w:t>Señora</w:t>
      </w:r>
    </w:p>
    <w:p w14:paraId="2016E331" w14:textId="77777777" w:rsidR="005400A9" w:rsidRPr="00E95B38" w:rsidRDefault="005400A9" w:rsidP="005021F9">
      <w:pPr>
        <w:spacing w:after="0" w:line="240" w:lineRule="auto"/>
        <w:rPr>
          <w:rFonts w:ascii="Verdana" w:eastAsia="Calibri" w:hAnsi="Verdana" w:cs="Arial"/>
          <w:b/>
          <w:bCs/>
          <w:lang w:val="es-ES" w:eastAsia="es-ES"/>
        </w:rPr>
      </w:pPr>
      <w:proofErr w:type="spellStart"/>
      <w:r w:rsidRPr="00E95B38">
        <w:rPr>
          <w:rFonts w:ascii="Verdana" w:eastAsia="Calibri" w:hAnsi="Verdana" w:cs="Arial"/>
          <w:b/>
          <w:bCs/>
          <w:lang w:val="es-ES" w:eastAsia="es-ES"/>
        </w:rPr>
        <w:t>Moredy</w:t>
      </w:r>
      <w:proofErr w:type="spellEnd"/>
      <w:r w:rsidRPr="00E95B38">
        <w:rPr>
          <w:rFonts w:ascii="Verdana" w:eastAsia="Calibri" w:hAnsi="Verdana" w:cs="Arial"/>
          <w:b/>
          <w:bCs/>
          <w:lang w:val="es-ES" w:eastAsia="es-ES"/>
        </w:rPr>
        <w:t xml:space="preserve"> Camacho García </w:t>
      </w:r>
    </w:p>
    <w:p w14:paraId="29168786" w14:textId="77777777" w:rsidR="005400A9" w:rsidRPr="00E95B38" w:rsidRDefault="005400A9" w:rsidP="005021F9">
      <w:pPr>
        <w:spacing w:after="0" w:line="240" w:lineRule="auto"/>
        <w:rPr>
          <w:rFonts w:ascii="Verdana" w:eastAsia="Calibri" w:hAnsi="Verdana" w:cs="Arial"/>
          <w:lang w:val="es-ES" w:eastAsia="es-ES"/>
        </w:rPr>
      </w:pPr>
      <w:hyperlink r:id="rId11" w:history="1">
        <w:r w:rsidRPr="00E95B38">
          <w:rPr>
            <w:rStyle w:val="Hipervnculo"/>
            <w:rFonts w:ascii="Verdana" w:eastAsia="Calibri" w:hAnsi="Verdana" w:cs="Arial"/>
            <w:lang w:val="es-ES" w:eastAsia="es-ES"/>
          </w:rPr>
          <w:t>moreya20@gmail.com</w:t>
        </w:r>
      </w:hyperlink>
      <w:r w:rsidRPr="00E95B38">
        <w:rPr>
          <w:rFonts w:ascii="Verdana" w:eastAsia="Calibri" w:hAnsi="Verdana" w:cs="Arial"/>
          <w:lang w:val="es-ES" w:eastAsia="es-ES"/>
        </w:rPr>
        <w:t xml:space="preserve"> </w:t>
      </w:r>
    </w:p>
    <w:p w14:paraId="6059E669" w14:textId="77777777" w:rsidR="005400A9" w:rsidRPr="00E95B38" w:rsidRDefault="005400A9" w:rsidP="005021F9">
      <w:pPr>
        <w:spacing w:after="0" w:line="240" w:lineRule="auto"/>
        <w:rPr>
          <w:rFonts w:ascii="Verdana" w:eastAsia="Calibri" w:hAnsi="Verdana" w:cs="Arial"/>
          <w:b/>
          <w:bCs/>
          <w:lang w:val="es-ES" w:eastAsia="es-ES"/>
        </w:rPr>
      </w:pPr>
      <w:r w:rsidRPr="00E95B38">
        <w:rPr>
          <w:rFonts w:ascii="Verdana" w:eastAsia="Calibri" w:hAnsi="Verdana" w:cs="Arial"/>
          <w:lang w:val="es-ES" w:eastAsia="es-ES"/>
        </w:rPr>
        <w:t>Arauquita, Arauca</w:t>
      </w:r>
    </w:p>
    <w:p w14:paraId="73E935F7" w14:textId="77777777" w:rsidR="005400A9" w:rsidRPr="00E95B38" w:rsidRDefault="005400A9" w:rsidP="005021F9">
      <w:pPr>
        <w:spacing w:after="0" w:line="240" w:lineRule="auto"/>
        <w:rPr>
          <w:rFonts w:ascii="Verdana" w:eastAsia="Calibri" w:hAnsi="Verdana" w:cs="Arial"/>
          <w:b/>
          <w:bCs/>
          <w:color w:val="000000"/>
          <w:lang w:val="es-ES_tradnl" w:eastAsia="es-ES_tradnl"/>
        </w:rPr>
      </w:pPr>
    </w:p>
    <w:p w14:paraId="54C82D2E" w14:textId="77777777" w:rsidR="005400A9" w:rsidRPr="00E95B38" w:rsidRDefault="005400A9" w:rsidP="005021F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400A9" w:rsidRPr="00E95B38" w14:paraId="636EFBFD" w14:textId="77777777" w:rsidTr="00AB39C9">
        <w:trPr>
          <w:trHeight w:val="208"/>
        </w:trPr>
        <w:tc>
          <w:tcPr>
            <w:tcW w:w="2689" w:type="dxa"/>
          </w:tcPr>
          <w:p w14:paraId="1E7A1F7F" w14:textId="77777777" w:rsidR="005400A9" w:rsidRPr="00E95B38" w:rsidRDefault="005400A9" w:rsidP="005021F9">
            <w:pPr>
              <w:jc w:val="both"/>
              <w:rPr>
                <w:rFonts w:ascii="Verdana" w:eastAsia="Calibri" w:hAnsi="Verdana" w:cs="Arial"/>
                <w:b/>
                <w:bCs/>
                <w:color w:val="7030A0"/>
                <w:lang w:val="es-ES_tradnl" w:eastAsia="es-ES_tradnl"/>
              </w:rPr>
            </w:pPr>
          </w:p>
        </w:tc>
        <w:tc>
          <w:tcPr>
            <w:tcW w:w="6100" w:type="dxa"/>
          </w:tcPr>
          <w:p w14:paraId="2F4D02F1" w14:textId="77777777" w:rsidR="005400A9" w:rsidRPr="00AB39C9" w:rsidRDefault="005400A9" w:rsidP="005021F9">
            <w:pPr>
              <w:jc w:val="both"/>
              <w:rPr>
                <w:rFonts w:ascii="Verdana" w:eastAsia="Calibri" w:hAnsi="Verdana" w:cs="Arial"/>
                <w:b/>
                <w:bCs/>
                <w:lang w:val="es-ES" w:eastAsia="es-ES"/>
              </w:rPr>
            </w:pPr>
            <w:r w:rsidRPr="00E95B38">
              <w:rPr>
                <w:rFonts w:ascii="Verdana" w:eastAsia="Calibri" w:hAnsi="Verdana" w:cs="Arial"/>
                <w:b/>
                <w:bCs/>
                <w:lang w:val="es-ES" w:eastAsia="es-ES"/>
              </w:rPr>
              <w:t>Concepto C- 1142 de 2025</w:t>
            </w:r>
          </w:p>
          <w:p w14:paraId="4E17002F" w14:textId="77777777" w:rsidR="005400A9" w:rsidRPr="00E95B38" w:rsidRDefault="005400A9" w:rsidP="005021F9">
            <w:pPr>
              <w:jc w:val="both"/>
              <w:rPr>
                <w:rFonts w:ascii="Verdana" w:eastAsia="Calibri" w:hAnsi="Verdana" w:cs="Arial"/>
                <w:b/>
                <w:bCs/>
                <w:color w:val="7030A0"/>
                <w:lang w:val="es-ES" w:eastAsia="es-ES"/>
              </w:rPr>
            </w:pPr>
          </w:p>
        </w:tc>
      </w:tr>
      <w:tr w:rsidR="005400A9" w:rsidRPr="00E95B38" w14:paraId="67BA7563" w14:textId="77777777" w:rsidTr="00881EEC">
        <w:trPr>
          <w:trHeight w:val="884"/>
        </w:trPr>
        <w:tc>
          <w:tcPr>
            <w:tcW w:w="2689" w:type="dxa"/>
          </w:tcPr>
          <w:p w14:paraId="33C60ED9" w14:textId="77777777" w:rsidR="005400A9" w:rsidRPr="00E95B38" w:rsidRDefault="005400A9" w:rsidP="005021F9">
            <w:pPr>
              <w:jc w:val="both"/>
              <w:rPr>
                <w:rFonts w:ascii="Verdana" w:eastAsia="Calibri" w:hAnsi="Verdana" w:cs="Arial"/>
                <w:color w:val="000000" w:themeColor="text1"/>
                <w:lang w:val="es-ES_tradnl" w:eastAsia="es-ES_tradnl"/>
              </w:rPr>
            </w:pPr>
            <w:r w:rsidRPr="00E95B38">
              <w:rPr>
                <w:rFonts w:ascii="Verdana" w:eastAsia="Calibri" w:hAnsi="Verdana" w:cs="Arial"/>
                <w:b/>
                <w:color w:val="000000" w:themeColor="text1"/>
                <w:lang w:val="es-ES_tradnl" w:eastAsia="es-ES_tradnl"/>
              </w:rPr>
              <w:t>Temas:</w:t>
            </w:r>
            <w:r w:rsidRPr="00E95B38">
              <w:rPr>
                <w:rFonts w:ascii="Verdana" w:eastAsia="Calibri" w:hAnsi="Verdana" w:cs="Arial"/>
                <w:color w:val="000000" w:themeColor="text1"/>
                <w:lang w:val="es-ES_tradnl" w:eastAsia="es-ES_tradnl"/>
              </w:rPr>
              <w:t xml:space="preserve">                   </w:t>
            </w:r>
          </w:p>
        </w:tc>
        <w:tc>
          <w:tcPr>
            <w:tcW w:w="6100" w:type="dxa"/>
          </w:tcPr>
          <w:p w14:paraId="503470ED" w14:textId="41D3F440" w:rsidR="005400A9" w:rsidRPr="00E95B38" w:rsidRDefault="005400A9" w:rsidP="005021F9">
            <w:pPr>
              <w:jc w:val="both"/>
              <w:rPr>
                <w:rFonts w:ascii="Verdana" w:hAnsi="Verdana"/>
              </w:rPr>
            </w:pPr>
            <w:r w:rsidRPr="00E95B38">
              <w:rPr>
                <w:rFonts w:ascii="Verdana" w:eastAsia="Calibri" w:hAnsi="Verdana" w:cs="Arial"/>
                <w:color w:val="000000" w:themeColor="text1"/>
                <w:lang w:val="es-ES" w:eastAsia="es-ES"/>
              </w:rPr>
              <w:t>C</w:t>
            </w:r>
            <w:r w:rsidRPr="00E95B38">
              <w:rPr>
                <w:rFonts w:ascii="Verdana" w:hAnsi="Verdana"/>
                <w:lang w:val="es-ES_tradnl"/>
              </w:rPr>
              <w:t xml:space="preserve">ONTRATOS CON ESAL </w:t>
            </w:r>
            <w:r w:rsidRPr="00E95B38">
              <w:rPr>
                <w:rFonts w:ascii="Verdana" w:eastAsia="Calibri" w:hAnsi="Verdana"/>
                <w:lang w:val="es-ES_tradnl"/>
              </w:rPr>
              <w:t>–</w:t>
            </w:r>
            <w:r w:rsidRPr="00E95B38">
              <w:rPr>
                <w:rFonts w:ascii="Verdana" w:hAnsi="Verdana"/>
                <w:lang w:val="es-ES_tradnl"/>
              </w:rPr>
              <w:t xml:space="preserve"> Artículo 355 </w:t>
            </w:r>
            <w:r w:rsidRPr="00E95B38">
              <w:rPr>
                <w:rFonts w:ascii="Verdana" w:eastAsia="Calibri" w:hAnsi="Verdana"/>
                <w:lang w:val="es-ES_tradnl"/>
              </w:rPr>
              <w:t>–</w:t>
            </w:r>
            <w:r w:rsidRPr="00E95B38">
              <w:rPr>
                <w:rFonts w:ascii="Verdana" w:hAnsi="Verdana"/>
                <w:lang w:val="es-ES_tradnl"/>
              </w:rPr>
              <w:t xml:space="preserve"> Constitución </w:t>
            </w:r>
            <w:r w:rsidRPr="00E95B38">
              <w:rPr>
                <w:rFonts w:ascii="Verdana" w:eastAsia="Calibri" w:hAnsi="Verdana"/>
                <w:lang w:val="es-ES_tradnl"/>
              </w:rPr>
              <w:t xml:space="preserve">– Fundamento / </w:t>
            </w:r>
            <w:r w:rsidRPr="00E95B38">
              <w:rPr>
                <w:rFonts w:ascii="Verdana" w:hAnsi="Verdana"/>
                <w:lang w:val="es-ES_tradnl"/>
              </w:rPr>
              <w:t xml:space="preserve">TIPOS DE CONTRATOS </w:t>
            </w:r>
            <w:r w:rsidRPr="00E95B38">
              <w:rPr>
                <w:rFonts w:ascii="Verdana" w:eastAsia="Calibri" w:hAnsi="Verdana"/>
                <w:lang w:val="es-ES_tradnl"/>
              </w:rPr>
              <w:t>–</w:t>
            </w:r>
            <w:r w:rsidRPr="00E95B38">
              <w:rPr>
                <w:rFonts w:ascii="Verdana" w:hAnsi="Verdana"/>
                <w:lang w:val="es-ES_tradnl"/>
              </w:rPr>
              <w:t xml:space="preserve"> Constitución Política – Artículo 355 </w:t>
            </w:r>
            <w:r w:rsidRPr="00E95B38">
              <w:rPr>
                <w:rFonts w:ascii="Verdana" w:eastAsia="Calibri" w:hAnsi="Verdana"/>
                <w:lang w:val="es-ES_tradnl"/>
              </w:rPr>
              <w:t>–</w:t>
            </w:r>
            <w:r w:rsidRPr="00E95B38">
              <w:rPr>
                <w:rFonts w:ascii="Verdana" w:hAnsi="Verdana"/>
                <w:lang w:val="es-ES_tradnl"/>
              </w:rPr>
              <w:t xml:space="preserve"> Ley 489 de 1998 – Artículo 96 / </w:t>
            </w:r>
            <w:r w:rsidRPr="00E95B38">
              <w:rPr>
                <w:rFonts w:ascii="Verdana" w:eastAsia="Calibri" w:hAnsi="Verdana" w:cs="Arial"/>
                <w:bCs/>
              </w:rPr>
              <w:t xml:space="preserve">SUPERVISIÓN – </w:t>
            </w:r>
            <w:r w:rsidR="001B5CB3" w:rsidRPr="00AB39C9">
              <w:rPr>
                <w:rFonts w:ascii="Verdana" w:eastAsia="Calibri" w:hAnsi="Verdana" w:cs="Arial"/>
                <w:bCs/>
              </w:rPr>
              <w:t>Definición – Marco N</w:t>
            </w:r>
            <w:r w:rsidRPr="00AB39C9">
              <w:rPr>
                <w:rFonts w:ascii="Verdana" w:eastAsia="Calibri" w:hAnsi="Verdana" w:cs="Arial"/>
                <w:bCs/>
              </w:rPr>
              <w:t xml:space="preserve">ormativo </w:t>
            </w:r>
            <w:r w:rsidR="001B5CB3">
              <w:rPr>
                <w:rFonts w:ascii="Verdana" w:eastAsia="Calibri" w:hAnsi="Verdana" w:cs="Arial"/>
                <w:bCs/>
              </w:rPr>
              <w:t>–</w:t>
            </w:r>
            <w:r w:rsidRPr="00AB39C9">
              <w:rPr>
                <w:rFonts w:ascii="Verdana" w:eastAsia="Calibri" w:hAnsi="Verdana" w:cs="Arial"/>
                <w:bCs/>
              </w:rPr>
              <w:t xml:space="preserve"> </w:t>
            </w:r>
            <w:r w:rsidR="001B5CB3">
              <w:rPr>
                <w:rFonts w:ascii="Verdana" w:eastAsia="Calibri" w:hAnsi="Verdana" w:cs="Arial"/>
                <w:bCs/>
              </w:rPr>
              <w:t>Ley</w:t>
            </w:r>
            <w:r w:rsidRPr="00E95B38">
              <w:rPr>
                <w:rFonts w:ascii="Verdana" w:eastAsia="Calibri" w:hAnsi="Verdana" w:cs="Arial"/>
                <w:bCs/>
              </w:rPr>
              <w:t xml:space="preserve"> </w:t>
            </w:r>
            <w:r w:rsidRPr="00E95B38">
              <w:rPr>
                <w:rFonts w:ascii="Verdana" w:hAnsi="Verdana"/>
              </w:rPr>
              <w:t xml:space="preserve">1474 de 2011. </w:t>
            </w:r>
          </w:p>
          <w:p w14:paraId="06DD02A0" w14:textId="77777777" w:rsidR="005400A9" w:rsidRPr="00E95B38" w:rsidRDefault="005400A9" w:rsidP="005021F9">
            <w:pPr>
              <w:jc w:val="both"/>
              <w:rPr>
                <w:rFonts w:ascii="Verdana" w:eastAsia="Calibri" w:hAnsi="Verdana" w:cs="Arial"/>
                <w:color w:val="000000" w:themeColor="text1"/>
                <w:lang w:val="es-ES" w:eastAsia="es-ES"/>
              </w:rPr>
            </w:pPr>
          </w:p>
        </w:tc>
      </w:tr>
      <w:tr w:rsidR="005400A9" w:rsidRPr="00E95B38" w14:paraId="788936FD" w14:textId="77777777" w:rsidTr="00881EEC">
        <w:tc>
          <w:tcPr>
            <w:tcW w:w="2689" w:type="dxa"/>
          </w:tcPr>
          <w:p w14:paraId="773638D1" w14:textId="77777777" w:rsidR="005400A9" w:rsidRPr="00E95B38" w:rsidRDefault="005400A9" w:rsidP="005021F9">
            <w:pPr>
              <w:jc w:val="both"/>
              <w:rPr>
                <w:rFonts w:ascii="Verdana" w:eastAsia="Calibri" w:hAnsi="Verdana" w:cs="Arial"/>
                <w:b/>
                <w:color w:val="000000" w:themeColor="text1"/>
                <w:lang w:val="es-ES_tradnl" w:eastAsia="es-ES_tradnl"/>
              </w:rPr>
            </w:pPr>
            <w:r w:rsidRPr="00E95B38">
              <w:rPr>
                <w:rFonts w:ascii="Verdana" w:eastAsia="Calibri" w:hAnsi="Verdana" w:cs="Arial"/>
                <w:b/>
                <w:color w:val="000000" w:themeColor="text1"/>
                <w:lang w:val="es-ES_tradnl" w:eastAsia="es-ES_tradnl"/>
              </w:rPr>
              <w:t>Radicación:</w:t>
            </w:r>
            <w:r w:rsidRPr="00E95B38">
              <w:rPr>
                <w:rFonts w:ascii="Verdana" w:eastAsia="Calibri" w:hAnsi="Verdana" w:cs="Arial"/>
                <w:color w:val="000000" w:themeColor="text1"/>
                <w:lang w:val="es-ES_tradnl" w:eastAsia="es-ES_tradnl"/>
              </w:rPr>
              <w:t xml:space="preserve">               </w:t>
            </w:r>
          </w:p>
        </w:tc>
        <w:tc>
          <w:tcPr>
            <w:tcW w:w="6100" w:type="dxa"/>
          </w:tcPr>
          <w:p w14:paraId="762EB2AB" w14:textId="77777777" w:rsidR="005400A9" w:rsidRPr="00E95B38" w:rsidRDefault="005400A9" w:rsidP="005021F9">
            <w:pPr>
              <w:jc w:val="both"/>
              <w:rPr>
                <w:rFonts w:ascii="Verdana" w:eastAsia="Calibri" w:hAnsi="Verdana" w:cs="Arial"/>
                <w:color w:val="000000" w:themeColor="text1"/>
                <w:lang w:val="es-ES_tradnl" w:eastAsia="es-ES_tradnl"/>
              </w:rPr>
            </w:pPr>
            <w:r w:rsidRPr="00E95B38">
              <w:rPr>
                <w:rFonts w:ascii="Verdana" w:eastAsia="Calibri" w:hAnsi="Verdana" w:cs="Arial"/>
                <w:color w:val="000000" w:themeColor="text1"/>
                <w:lang w:val="es-ES_tradnl" w:eastAsia="es-ES_tradnl"/>
              </w:rPr>
              <w:t xml:space="preserve">Respuesta a consulta con radicado No. </w:t>
            </w:r>
            <w:r w:rsidRPr="00E95B38">
              <w:rPr>
                <w:rFonts w:ascii="Verdana" w:hAnsi="Verdana" w:cs="Segoe UI"/>
                <w:color w:val="000000" w:themeColor="text1"/>
                <w:shd w:val="clear" w:color="auto" w:fill="FFFFFF"/>
              </w:rPr>
              <w:t>1_2025_08_14_008542</w:t>
            </w:r>
          </w:p>
        </w:tc>
      </w:tr>
    </w:tbl>
    <w:p w14:paraId="430F8544" w14:textId="77777777" w:rsidR="005400A9" w:rsidRPr="00E95B38" w:rsidRDefault="005400A9" w:rsidP="005021F9">
      <w:pPr>
        <w:spacing w:after="0" w:line="240" w:lineRule="auto"/>
        <w:jc w:val="both"/>
        <w:rPr>
          <w:rFonts w:ascii="Verdana" w:eastAsia="Calibri" w:hAnsi="Verdana" w:cs="Arial"/>
          <w:color w:val="000000"/>
          <w:lang w:val="es-ES_tradnl" w:eastAsia="es-ES_tradnl"/>
        </w:rPr>
      </w:pPr>
    </w:p>
    <w:p w14:paraId="45785732" w14:textId="77777777" w:rsidR="005400A9" w:rsidRPr="00E95B38" w:rsidRDefault="005400A9" w:rsidP="005021F9">
      <w:pPr>
        <w:spacing w:after="0" w:line="240" w:lineRule="auto"/>
        <w:jc w:val="both"/>
        <w:rPr>
          <w:rFonts w:ascii="Verdana" w:eastAsia="Calibri" w:hAnsi="Verdana" w:cs="Arial"/>
          <w:color w:val="000000"/>
          <w:lang w:val="es-ES_tradnl" w:eastAsia="es-ES_tradnl"/>
        </w:rPr>
      </w:pPr>
    </w:p>
    <w:p w14:paraId="34B5FCAB" w14:textId="77777777" w:rsidR="005400A9" w:rsidRPr="00E95B38" w:rsidRDefault="005400A9" w:rsidP="00AB39C9">
      <w:pPr>
        <w:spacing w:after="0" w:line="240" w:lineRule="auto"/>
        <w:jc w:val="both"/>
        <w:rPr>
          <w:rFonts w:ascii="Verdana" w:eastAsia="Calibri" w:hAnsi="Verdana" w:cs="Arial"/>
          <w:color w:val="000000" w:themeColor="text1"/>
          <w:lang w:val="es-ES" w:eastAsia="es-ES"/>
        </w:rPr>
      </w:pPr>
      <w:r w:rsidRPr="00E95B38">
        <w:rPr>
          <w:rFonts w:ascii="Verdana" w:eastAsia="Calibri" w:hAnsi="Verdana" w:cs="Arial"/>
          <w:color w:val="000000" w:themeColor="text1"/>
          <w:lang w:val="es-ES" w:eastAsia="es-ES"/>
        </w:rPr>
        <w:t xml:space="preserve">Estimada señora Camacho: </w:t>
      </w:r>
    </w:p>
    <w:p w14:paraId="44AB0E5A" w14:textId="77777777" w:rsidR="005400A9" w:rsidRPr="00E95B38" w:rsidRDefault="005400A9" w:rsidP="005400A9">
      <w:pPr>
        <w:tabs>
          <w:tab w:val="left" w:pos="3768"/>
        </w:tabs>
        <w:spacing w:after="0" w:line="276" w:lineRule="auto"/>
        <w:jc w:val="both"/>
        <w:rPr>
          <w:rFonts w:ascii="Verdana" w:eastAsia="Calibri" w:hAnsi="Verdana" w:cs="Arial"/>
          <w:color w:val="000000" w:themeColor="text1"/>
          <w:lang w:val="es-ES" w:eastAsia="es-ES"/>
        </w:rPr>
      </w:pPr>
      <w:r w:rsidRPr="00E95B38">
        <w:rPr>
          <w:rFonts w:ascii="Verdana" w:eastAsia="Calibri" w:hAnsi="Verdana" w:cs="Arial"/>
          <w:color w:val="000000" w:themeColor="text1"/>
          <w:lang w:val="es-ES" w:eastAsia="es-ES"/>
        </w:rPr>
        <w:tab/>
      </w:r>
    </w:p>
    <w:p w14:paraId="7152718D" w14:textId="77777777" w:rsidR="005400A9" w:rsidRPr="00E95B38" w:rsidRDefault="005400A9" w:rsidP="005400A9">
      <w:pPr>
        <w:spacing w:after="0" w:line="276" w:lineRule="auto"/>
        <w:jc w:val="both"/>
        <w:rPr>
          <w:rFonts w:ascii="Verdana" w:eastAsia="Calibri" w:hAnsi="Verdana" w:cs="Arial"/>
          <w:color w:val="000000" w:themeColor="text1"/>
          <w:lang w:val="es-ES" w:eastAsia="es-ES"/>
        </w:rPr>
      </w:pPr>
      <w:r w:rsidRPr="00E95B38">
        <w:rPr>
          <w:rFonts w:ascii="Verdana" w:eastAsia="Calibri" w:hAnsi="Verdana" w:cs="Arial"/>
          <w:color w:val="000000" w:themeColor="text1"/>
          <w:lang w:val="es-ES" w:eastAsia="es-ES"/>
        </w:rPr>
        <w:t>En ejercicio de la competencia otorgada por los artículos 3, numeral 5º, y 11, numeral 8º, del Decreto Ley 4170 de 2011,</w:t>
      </w:r>
      <w:r w:rsidRPr="00E95B38">
        <w:rPr>
          <w:rFonts w:ascii="Verdana" w:eastAsia="Arial MT" w:hAnsi="Verdana" w:cs="Arial MT"/>
          <w:color w:val="000000" w:themeColor="text1"/>
          <w:lang w:val="es-ES" w:eastAsia="es-ES"/>
        </w:rPr>
        <w:t xml:space="preserve"> </w:t>
      </w:r>
      <w:r w:rsidRPr="00E95B38">
        <w:rPr>
          <w:rFonts w:ascii="Verdana" w:hAnsi="Verdana" w:cs="Arial"/>
          <w:color w:val="000000" w:themeColor="text1"/>
        </w:rPr>
        <w:t xml:space="preserve">así como lo establecido en el artículo 4 de la Resolución 1707 de 2018 expedida por esta Entidad, </w:t>
      </w:r>
      <w:r w:rsidRPr="00E95B38">
        <w:rPr>
          <w:rFonts w:ascii="Verdana" w:eastAsia="Calibri" w:hAnsi="Verdana" w:cs="Arial"/>
          <w:color w:val="000000" w:themeColor="text1"/>
          <w:lang w:val="es-ES" w:eastAsia="es-ES"/>
        </w:rPr>
        <w:t xml:space="preserve">la Agencia Nacional de Contratación Pública – Colombia Compra Eficiente– responde su solicitud de consulta de fecha 14 de agosto de 2025, en la cual manifiesta lo siguiente: </w:t>
      </w:r>
    </w:p>
    <w:p w14:paraId="491B0DD6" w14:textId="77777777" w:rsidR="005400A9" w:rsidRPr="00E95B38" w:rsidRDefault="005400A9" w:rsidP="005400A9">
      <w:pPr>
        <w:spacing w:after="0" w:line="276" w:lineRule="auto"/>
        <w:jc w:val="both"/>
        <w:rPr>
          <w:rFonts w:ascii="Verdana" w:eastAsia="Calibri" w:hAnsi="Verdana" w:cs="Arial"/>
          <w:color w:val="000000" w:themeColor="text1"/>
          <w:lang w:val="es-ES" w:eastAsia="es-ES"/>
        </w:rPr>
      </w:pPr>
    </w:p>
    <w:p w14:paraId="2D51A031" w14:textId="77777777" w:rsidR="005400A9" w:rsidRPr="00E95B38" w:rsidRDefault="005400A9" w:rsidP="00AB39C9">
      <w:pPr>
        <w:pStyle w:val="query-text-line"/>
        <w:spacing w:before="0" w:beforeAutospacing="0" w:after="0" w:afterAutospacing="0" w:line="276" w:lineRule="auto"/>
        <w:ind w:left="709" w:right="709"/>
        <w:jc w:val="both"/>
        <w:rPr>
          <w:rFonts w:ascii="Verdana" w:hAnsi="Verdana"/>
          <w:sz w:val="22"/>
          <w:szCs w:val="22"/>
        </w:rPr>
      </w:pPr>
      <w:bookmarkStart w:id="2" w:name="_Hlk95313578"/>
      <w:r w:rsidRPr="00E95B38">
        <w:rPr>
          <w:rFonts w:ascii="Verdana" w:eastAsia="Century Gothic" w:hAnsi="Verdana" w:cs="Century Gothic"/>
          <w:color w:val="7030A0"/>
          <w:sz w:val="22"/>
          <w:szCs w:val="22"/>
          <w:lang w:val="es-ES"/>
        </w:rPr>
        <w:t>“</w:t>
      </w:r>
      <w:bookmarkEnd w:id="2"/>
      <w:r w:rsidRPr="00E95B38">
        <w:rPr>
          <w:rFonts w:ascii="Verdana" w:hAnsi="Verdana"/>
          <w:sz w:val="22"/>
          <w:szCs w:val="22"/>
        </w:rPr>
        <w:t xml:space="preserve">Me permito solicitar muy respetuosamente orientación sobre el procedimiento que se debe adelantar para la contratación con Entidades Sin Ánimo de Lucro (ESAL). Se solicita que se precise:  Marco Legal aplicable para la contratación con ESAL, Modalidades de contratación procedentes y requisitos específicos, Documentación y criterios de verificación que deben considerarse para acreditar la idoneidad de la entidad. Procedimientos de supervisión y seguimiento a la ejecución contractual”. </w:t>
      </w:r>
    </w:p>
    <w:p w14:paraId="2648E82A" w14:textId="77777777" w:rsidR="005400A9" w:rsidRPr="00E95B38" w:rsidRDefault="005400A9" w:rsidP="005400A9">
      <w:pPr>
        <w:pStyle w:val="Prrafodelista"/>
        <w:tabs>
          <w:tab w:val="left" w:pos="142"/>
          <w:tab w:val="left" w:pos="284"/>
        </w:tabs>
        <w:spacing w:line="276" w:lineRule="auto"/>
        <w:ind w:left="0"/>
        <w:jc w:val="both"/>
        <w:rPr>
          <w:rFonts w:ascii="Verdana" w:eastAsia="Century Gothic" w:hAnsi="Verdana" w:cs="Century Gothic"/>
          <w:b/>
          <w:bCs/>
        </w:rPr>
      </w:pPr>
    </w:p>
    <w:p w14:paraId="55FF5711" w14:textId="77777777" w:rsidR="005400A9" w:rsidRPr="00E95B38" w:rsidRDefault="005400A9" w:rsidP="005400A9">
      <w:pPr>
        <w:spacing w:after="120" w:line="276" w:lineRule="auto"/>
        <w:ind w:firstLine="709"/>
        <w:jc w:val="both"/>
        <w:rPr>
          <w:rFonts w:ascii="Verdana" w:eastAsia="Calibri" w:hAnsi="Verdana" w:cs="Arial"/>
          <w:color w:val="000000"/>
          <w:lang w:val="es-ES_tradnl" w:eastAsia="es-ES_tradnl"/>
        </w:rPr>
      </w:pPr>
      <w:r w:rsidRPr="00E95B3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E95B38">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95B38">
        <w:rPr>
          <w:rFonts w:ascii="Verdana" w:eastAsia="Calibri" w:hAnsi="Verdana" w:cs="Arial"/>
          <w:color w:val="000000"/>
          <w:lang w:val="es-ES_tradnl" w:eastAsia="es-ES_tradnl"/>
        </w:rPr>
        <w:tab/>
      </w:r>
    </w:p>
    <w:p w14:paraId="3FBC0FC7" w14:textId="77777777" w:rsidR="005400A9" w:rsidRPr="00E95B38" w:rsidRDefault="005400A9" w:rsidP="005400A9">
      <w:pPr>
        <w:spacing w:after="0" w:line="276" w:lineRule="auto"/>
        <w:ind w:firstLine="709"/>
        <w:jc w:val="both"/>
        <w:rPr>
          <w:rFonts w:ascii="Verdana" w:eastAsia="Calibri" w:hAnsi="Verdana" w:cs="Arial"/>
          <w:color w:val="000000"/>
          <w:lang w:val="es-ES" w:eastAsia="es-ES"/>
        </w:rPr>
      </w:pPr>
      <w:r w:rsidRPr="00E95B38">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los problema</w:t>
      </w:r>
      <w:r w:rsidRPr="00E95B38">
        <w:rPr>
          <w:rFonts w:ascii="Verdana" w:eastAsia="Calibri" w:hAnsi="Verdana" w:cs="Arial"/>
          <w:color w:val="7030A0"/>
          <w:lang w:val="es-ES" w:eastAsia="es-ES"/>
        </w:rPr>
        <w:t xml:space="preserve">s </w:t>
      </w:r>
      <w:r w:rsidRPr="00E95B38">
        <w:rPr>
          <w:rFonts w:ascii="Verdana" w:eastAsia="Calibri" w:hAnsi="Verdana" w:cs="Arial"/>
          <w:color w:val="000000"/>
          <w:lang w:val="es-ES" w:eastAsia="es-ES"/>
        </w:rPr>
        <w:t>jurídicos</w:t>
      </w:r>
      <w:r w:rsidRPr="00E95B38">
        <w:rPr>
          <w:rFonts w:ascii="Verdana" w:eastAsia="Calibri" w:hAnsi="Verdana" w:cs="Arial"/>
          <w:color w:val="7030A0"/>
          <w:lang w:val="es-ES" w:eastAsia="es-ES"/>
        </w:rPr>
        <w:t xml:space="preserve"> </w:t>
      </w:r>
      <w:r w:rsidRPr="00E95B38">
        <w:rPr>
          <w:rFonts w:ascii="Verdana" w:eastAsia="Calibri" w:hAnsi="Verdana" w:cs="Arial"/>
          <w:color w:val="000000"/>
          <w:lang w:val="es-ES" w:eastAsia="es-ES"/>
        </w:rPr>
        <w:t xml:space="preserve">de su consulta. </w:t>
      </w:r>
    </w:p>
    <w:p w14:paraId="2CB60EA6" w14:textId="77777777" w:rsidR="005400A9" w:rsidRPr="00E95B38" w:rsidRDefault="005400A9" w:rsidP="005400A9">
      <w:pPr>
        <w:spacing w:after="0" w:line="276" w:lineRule="auto"/>
        <w:ind w:firstLine="709"/>
        <w:jc w:val="both"/>
        <w:rPr>
          <w:rFonts w:ascii="Verdana" w:eastAsia="Calibri" w:hAnsi="Verdana" w:cs="Arial"/>
          <w:color w:val="000000"/>
          <w:lang w:val="es-ES" w:eastAsia="es-ES"/>
        </w:rPr>
      </w:pPr>
    </w:p>
    <w:p w14:paraId="5F5CC979" w14:textId="77777777" w:rsidR="005400A9" w:rsidRPr="00E95B38" w:rsidRDefault="005400A9" w:rsidP="00781A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95B38">
        <w:rPr>
          <w:rFonts w:ascii="Verdana" w:eastAsia="Century Gothic" w:hAnsi="Verdana" w:cs="Century Gothic"/>
          <w:b/>
          <w:bCs/>
        </w:rPr>
        <w:t>Problema planteado:</w:t>
      </w:r>
    </w:p>
    <w:p w14:paraId="05AA18A1" w14:textId="77777777" w:rsidR="005400A9" w:rsidRPr="00E95B38" w:rsidRDefault="005400A9" w:rsidP="005400A9">
      <w:pPr>
        <w:tabs>
          <w:tab w:val="left" w:pos="426"/>
        </w:tabs>
        <w:spacing w:after="0" w:line="276" w:lineRule="auto"/>
        <w:jc w:val="both"/>
        <w:rPr>
          <w:rFonts w:ascii="Verdana" w:eastAsia="Century Gothic" w:hAnsi="Verdana" w:cs="Century Gothic"/>
          <w:color w:val="000000" w:themeColor="text1"/>
          <w:lang w:val="es-ES"/>
        </w:rPr>
      </w:pPr>
    </w:p>
    <w:p w14:paraId="697F7AA7" w14:textId="77777777" w:rsidR="005400A9" w:rsidRPr="00E95B38" w:rsidRDefault="005400A9" w:rsidP="005021F9">
      <w:pPr>
        <w:pStyle w:val="NormalWeb"/>
        <w:spacing w:before="0" w:beforeAutospacing="0" w:after="0" w:afterAutospacing="0" w:line="276" w:lineRule="auto"/>
        <w:jc w:val="both"/>
        <w:rPr>
          <w:rFonts w:ascii="Verdana" w:hAnsi="Verdana"/>
          <w:sz w:val="22"/>
          <w:szCs w:val="22"/>
          <w:lang w:eastAsia="es-MX"/>
        </w:rPr>
      </w:pPr>
      <w:r w:rsidRPr="00E95B38">
        <w:rPr>
          <w:rFonts w:ascii="Verdana" w:eastAsia="Century Gothic" w:hAnsi="Verdana" w:cs="Century Gothic"/>
          <w:color w:val="000000" w:themeColor="text1"/>
          <w:sz w:val="22"/>
          <w:szCs w:val="22"/>
        </w:rPr>
        <w:t xml:space="preserve">De acuerdo con el contenido de su solicitud, esta Agencia resolverá los siguientes problemas jurídicos: </w:t>
      </w:r>
      <w:r w:rsidRPr="00E95B38">
        <w:rPr>
          <w:rFonts w:ascii="Verdana" w:eastAsia="Century Gothic" w:hAnsi="Verdana" w:cs="Century Gothic"/>
          <w:i/>
          <w:iCs/>
          <w:color w:val="000000" w:themeColor="text1"/>
          <w:sz w:val="22"/>
          <w:szCs w:val="22"/>
        </w:rPr>
        <w:t>i)</w:t>
      </w:r>
      <w:r w:rsidRPr="00E95B38">
        <w:rPr>
          <w:rFonts w:ascii="Verdana" w:eastAsia="Century Gothic" w:hAnsi="Verdana" w:cs="Century Gothic"/>
          <w:color w:val="000000" w:themeColor="text1"/>
          <w:sz w:val="22"/>
          <w:szCs w:val="22"/>
        </w:rPr>
        <w:t xml:space="preserve"> ¿</w:t>
      </w:r>
      <w:r w:rsidRPr="00E95B38">
        <w:rPr>
          <w:rFonts w:ascii="Verdana" w:hAnsi="Verdana"/>
          <w:sz w:val="22"/>
          <w:szCs w:val="22"/>
          <w:lang w:eastAsia="es-MX"/>
        </w:rPr>
        <w:t xml:space="preserve">cuál es el procedimiento que debe adelantar una entidad estatal para seleccionar una ESAL, abarcando las modalidades de contratación aplicables y los criterios y documentación necesarios para verificar su reconocida idoneidad? </w:t>
      </w:r>
      <w:proofErr w:type="spellStart"/>
      <w:r w:rsidRPr="00E95B38">
        <w:rPr>
          <w:rFonts w:ascii="Verdana" w:hAnsi="Verdana"/>
          <w:i/>
          <w:iCs/>
          <w:sz w:val="22"/>
          <w:szCs w:val="22"/>
          <w:lang w:eastAsia="es-MX"/>
        </w:rPr>
        <w:t>ii</w:t>
      </w:r>
      <w:proofErr w:type="spellEnd"/>
      <w:r w:rsidRPr="00E95B38">
        <w:rPr>
          <w:rFonts w:ascii="Verdana" w:hAnsi="Verdana"/>
          <w:i/>
          <w:iCs/>
          <w:sz w:val="22"/>
          <w:szCs w:val="22"/>
          <w:lang w:eastAsia="es-MX"/>
        </w:rPr>
        <w:t xml:space="preserve">) </w:t>
      </w:r>
      <w:r w:rsidRPr="00E95B38">
        <w:rPr>
          <w:rFonts w:ascii="Verdana" w:hAnsi="Verdana"/>
          <w:sz w:val="22"/>
          <w:szCs w:val="22"/>
          <w:lang w:eastAsia="es-MX"/>
        </w:rPr>
        <w:t>¿cuál es el marco normativo que rige la supervisión cuando una ESAL, es la contratista?</w:t>
      </w:r>
    </w:p>
    <w:p w14:paraId="387E0F3F" w14:textId="77777777" w:rsidR="005021F9" w:rsidRPr="00E95B38" w:rsidRDefault="005021F9" w:rsidP="00781AF3">
      <w:pPr>
        <w:pStyle w:val="NormalWeb"/>
        <w:spacing w:before="0" w:beforeAutospacing="0" w:after="0" w:afterAutospacing="0" w:line="276" w:lineRule="auto"/>
        <w:jc w:val="both"/>
        <w:rPr>
          <w:rFonts w:ascii="Verdana" w:hAnsi="Verdana"/>
          <w:sz w:val="22"/>
          <w:szCs w:val="22"/>
          <w:lang w:eastAsia="es-MX"/>
        </w:rPr>
      </w:pPr>
    </w:p>
    <w:p w14:paraId="5A915246" w14:textId="77777777" w:rsidR="005400A9" w:rsidRPr="00E95B38" w:rsidRDefault="005400A9" w:rsidP="005400A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95B38">
        <w:rPr>
          <w:rFonts w:ascii="Verdana" w:eastAsia="Century Gothic" w:hAnsi="Verdana" w:cs="Century Gothic"/>
          <w:b/>
          <w:bCs/>
        </w:rPr>
        <w:t>Respuesta:</w:t>
      </w:r>
    </w:p>
    <w:p w14:paraId="140E4011" w14:textId="77777777" w:rsidR="005400A9" w:rsidRPr="00E95B38" w:rsidRDefault="005400A9" w:rsidP="005400A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400A9" w:rsidRPr="00E95B38" w14:paraId="39D6D3E6" w14:textId="77777777" w:rsidTr="00881EEC">
        <w:tc>
          <w:tcPr>
            <w:tcW w:w="8828" w:type="dxa"/>
          </w:tcPr>
          <w:p w14:paraId="56C68143" w14:textId="77777777" w:rsidR="004267BF" w:rsidRPr="002C4FBD" w:rsidRDefault="004267BF" w:rsidP="00781AF3">
            <w:pPr>
              <w:spacing w:after="120" w:line="276" w:lineRule="auto"/>
              <w:jc w:val="both"/>
              <w:rPr>
                <w:rFonts w:ascii="Verdana" w:eastAsia="Calibri" w:hAnsi="Verdana" w:cs="Arial"/>
                <w:lang w:val="es-ES"/>
              </w:rPr>
            </w:pPr>
            <w:r w:rsidRPr="002C4FBD">
              <w:rPr>
                <w:rFonts w:ascii="Verdana" w:eastAsia="Calibri" w:hAnsi="Verdana" w:cs="Arial"/>
                <w:lang w:val="es-ES"/>
              </w:rPr>
              <w:t xml:space="preserve">De un lado, los </w:t>
            </w:r>
            <w:r w:rsidRPr="002C4FBD">
              <w:rPr>
                <w:rFonts w:ascii="Verdana" w:eastAsia="Calibri" w:hAnsi="Verdana" w:cs="Arial"/>
                <w:i/>
                <w:iCs/>
                <w:lang w:val="es-ES"/>
              </w:rPr>
              <w:t>contratos del artículo 355 de la Constitución Política</w:t>
            </w:r>
            <w:r w:rsidRPr="002C4FBD">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Por lo anterior,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w:t>
            </w:r>
            <w:r w:rsidRPr="002C4FBD">
              <w:rPr>
                <w:rFonts w:ascii="Verdana" w:eastAsia="Calibri" w:hAnsi="Verdana" w:cs="Arial"/>
                <w:lang w:val="es-ES"/>
              </w:rPr>
              <w:lastRenderedPageBreak/>
              <w:t xml:space="preserve">el artículo 4 del Decreto 092 de 2017, por regla general, la entidad debe adelantar un proceso competitivo para seleccionar la ESAL contratista. </w:t>
            </w:r>
          </w:p>
          <w:p w14:paraId="1859D03E" w14:textId="77777777" w:rsidR="004267BF" w:rsidRPr="002C4FBD" w:rsidRDefault="004267BF" w:rsidP="004267BF">
            <w:pPr>
              <w:spacing w:after="120" w:line="276" w:lineRule="auto"/>
              <w:ind w:firstLine="709"/>
              <w:jc w:val="both"/>
              <w:rPr>
                <w:rFonts w:ascii="Verdana" w:eastAsia="Calibri" w:hAnsi="Verdana" w:cs="Arial"/>
                <w:lang w:val="es-MX" w:eastAsia="es-ES_tradnl"/>
              </w:rPr>
            </w:pPr>
            <w:r w:rsidRPr="002C4FBD">
              <w:rPr>
                <w:rFonts w:ascii="Verdana" w:eastAsia="Calibri" w:hAnsi="Verdana" w:cs="Arial"/>
                <w:lang w:val="es-ES"/>
              </w:rPr>
              <w:t xml:space="preserve">De otro lado, los </w:t>
            </w:r>
            <w:r w:rsidRPr="002C4FBD">
              <w:rPr>
                <w:rFonts w:ascii="Verdana" w:eastAsia="Calibri" w:hAnsi="Verdana" w:cs="Arial"/>
                <w:i/>
                <w:iCs/>
                <w:lang w:val="es-ES"/>
              </w:rPr>
              <w:t>convenios de asociación</w:t>
            </w:r>
            <w:r w:rsidRPr="002C4FBD">
              <w:rPr>
                <w:rFonts w:ascii="Verdana" w:eastAsia="Calibri" w:hAnsi="Verdana" w:cs="Arial"/>
                <w:lang w:val="es-ES"/>
              </w:rPr>
              <w:t xml:space="preserve"> “[…] [t]</w:t>
            </w:r>
            <w:proofErr w:type="spellStart"/>
            <w:r w:rsidRPr="002C4FBD">
              <w:rPr>
                <w:rFonts w:ascii="Verdana" w:eastAsia="Calibri" w:hAnsi="Verdana" w:cs="Arial"/>
                <w:lang w:val="es-ES"/>
              </w:rPr>
              <w:t>ienen</w:t>
            </w:r>
            <w:proofErr w:type="spellEnd"/>
            <w:r w:rsidRPr="002C4FBD">
              <w:rPr>
                <w:rFonts w:ascii="Verdana" w:eastAsia="Calibri" w:hAnsi="Verdana" w:cs="Arial"/>
                <w:lang w:val="es-ES"/>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2C4FBD">
              <w:rPr>
                <w:rFonts w:ascii="Verdana" w:hAnsi="Verdana" w:cs="Arial"/>
                <w:vertAlign w:val="superscript"/>
                <w:lang w:val="es-ES"/>
              </w:rPr>
              <w:footnoteReference w:id="1"/>
            </w:r>
            <w:r w:rsidRPr="002C4FBD">
              <w:rPr>
                <w:rFonts w:ascii="Verdana" w:eastAsia="Calibri" w:hAnsi="Verdana" w:cs="Arial"/>
                <w:lang w:val="es-ES"/>
              </w:rPr>
              <w:t xml:space="preserve">. </w:t>
            </w:r>
            <w:r w:rsidRPr="002C4FBD">
              <w:rPr>
                <w:rFonts w:ascii="Verdana" w:eastAsia="Calibri" w:hAnsi="Verdana" w:cs="Arial"/>
                <w:lang w:val="es-MX" w:eastAsia="es-ES_tradnl"/>
              </w:rPr>
              <w:t xml:space="preserve">De conformidad con el inciso segundo del artículo 96 de la Ley 489 de 1998, en estos convenios debe determinarse “con precisión su objeto, término, obligaciones de las partes, </w:t>
            </w:r>
            <w:r w:rsidRPr="002C4FBD">
              <w:rPr>
                <w:rFonts w:ascii="Verdana" w:eastAsia="Calibri" w:hAnsi="Verdana" w:cs="Arial"/>
                <w:i/>
                <w:iCs/>
                <w:lang w:val="es-MX" w:eastAsia="es-ES_tradnl"/>
              </w:rPr>
              <w:t>aportes</w:t>
            </w:r>
            <w:r w:rsidRPr="002C4FBD">
              <w:rPr>
                <w:rFonts w:ascii="Verdana" w:eastAsia="Calibri" w:hAnsi="Verdana" w:cs="Arial"/>
                <w:lang w:val="es-MX" w:eastAsia="es-ES_tradnl"/>
              </w:rPr>
              <w:t xml:space="preserve">, coordinación y todos aquellos aspectos que se consideren pertinentes”. Dentro de estos elementos se resalta la exigencia de aportes, que debe interpretarse en el sentido de que las ESAL deben realizar aportes a los convenios que suscriban, los cuales pueden ser en dinero, en porcentajes inferiores o superiores al treinta por ciento (30%), o en especie, los cuales deben servir al desarrollo de los objetivos comunes de la asociación. </w:t>
            </w:r>
          </w:p>
          <w:p w14:paraId="4152123D" w14:textId="6341A140" w:rsidR="000928EF" w:rsidRPr="002C4FBD" w:rsidRDefault="000928EF" w:rsidP="000928EF">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De acuerdo con el artículo 5 del Decreto 092 de 2017, </w:t>
            </w:r>
            <w:r w:rsidRPr="002C4FBD">
              <w:rPr>
                <w:rFonts w:ascii="Verdana" w:eastAsia="Calibri" w:hAnsi="Verdana" w:cs="Arial"/>
                <w:lang w:val="es-ES"/>
              </w:rPr>
              <w:t>los convenios de asociación “[…] no estarán sujetos a competencia cuando la entidad sin ánimo de lucro comprometa recursos en dinero para la ejecución de esas actividades en una proporción no inferior al 30% del valor total del convenio”, las Entidades Estatales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 asegurarse que no haya otras ESAL que ofrezcan su compromiso de recursos en dinero en una proporción no inferior al 30% del valor total del convenio. Cuando la entidad encuentre que más de una ESAL le ofrece al menos el 30% de recursos en dinero para el convenio de asociación, debe seleccionar objetivamente con cual asociarse”.</w:t>
            </w:r>
          </w:p>
          <w:p w14:paraId="0492757F" w14:textId="77777777" w:rsidR="000928EF" w:rsidRPr="002C4FBD" w:rsidRDefault="000928EF" w:rsidP="000928EF">
            <w:pPr>
              <w:spacing w:after="120" w:line="276" w:lineRule="auto"/>
              <w:ind w:firstLine="708"/>
              <w:jc w:val="both"/>
              <w:rPr>
                <w:rFonts w:ascii="Verdana" w:eastAsia="Calibri" w:hAnsi="Verdana" w:cs="Arial"/>
                <w:lang w:val="es-MX" w:eastAsia="es-ES_tradnl"/>
              </w:rPr>
            </w:pPr>
            <w:r w:rsidRPr="002C4FBD">
              <w:rPr>
                <w:rFonts w:ascii="Verdana" w:eastAsia="Calibri" w:hAnsi="Verdana" w:cs="Arial"/>
                <w:lang w:val="es-MX" w:eastAsia="es-ES_tradnl"/>
              </w:rPr>
              <w:t xml:space="preserve">La noción </w:t>
            </w:r>
            <w:r w:rsidRPr="002C4FBD">
              <w:rPr>
                <w:rFonts w:ascii="Verdana" w:eastAsia="Calibri" w:hAnsi="Verdana" w:cs="Arial"/>
                <w:i/>
                <w:iCs/>
                <w:lang w:val="es-MX" w:eastAsia="es-ES_tradnl"/>
              </w:rPr>
              <w:t>“seleccionar de forma objetiva”</w:t>
            </w:r>
            <w:r w:rsidRPr="002C4FBD">
              <w:rPr>
                <w:rFonts w:ascii="Verdana" w:eastAsia="Calibri" w:hAnsi="Verdana" w:cs="Arial"/>
                <w:lang w:val="es-MX" w:eastAsia="es-ES_tradnl"/>
              </w:rPr>
              <w:t xml:space="preserve">, contenida en la disposición </w:t>
            </w:r>
            <w:r w:rsidRPr="002C4FBD">
              <w:rPr>
                <w:rFonts w:ascii="Verdana" w:eastAsia="Calibri" w:hAnsi="Verdana" w:cs="Arial"/>
                <w:i/>
                <w:iCs/>
                <w:lang w:val="es-MX" w:eastAsia="es-ES_tradnl"/>
              </w:rPr>
              <w:t xml:space="preserve">sub examine </w:t>
            </w:r>
            <w:r w:rsidRPr="002C4FBD">
              <w:rPr>
                <w:rFonts w:ascii="Verdana" w:eastAsia="Calibri" w:hAnsi="Verdana" w:cs="Arial"/>
                <w:lang w:val="es-MX" w:eastAsia="es-ES_tradnl"/>
              </w:rPr>
              <w:t xml:space="preserve">no puede ser entendida como una remisión total a las Leyes 80 de 1993 y 1150 de 2007. A lo que se refiere la norma es a que la Entidad Estatal debe diseñar herramientas que permitan una comparación objetiva de las ESAL para seleccionar objetivamente a aquella que tenga las mejores condiciones para alcanzar el resultado esperado con el proyecto de </w:t>
            </w:r>
            <w:r w:rsidRPr="002C4FBD">
              <w:rPr>
                <w:rFonts w:ascii="Verdana" w:eastAsia="Calibri" w:hAnsi="Verdana" w:cs="Arial"/>
                <w:lang w:val="es-MX" w:eastAsia="es-ES_tradnl"/>
              </w:rPr>
              <w:lastRenderedPageBreak/>
              <w:t>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092 de 2017.</w:t>
            </w:r>
          </w:p>
          <w:p w14:paraId="01B2399F" w14:textId="77777777" w:rsidR="000928EF" w:rsidRPr="002C4FBD" w:rsidRDefault="000928EF" w:rsidP="000928EF">
            <w:pPr>
              <w:spacing w:after="120" w:line="276" w:lineRule="auto"/>
              <w:ind w:firstLine="708"/>
              <w:jc w:val="both"/>
              <w:textAlignment w:val="baseline"/>
              <w:rPr>
                <w:rFonts w:ascii="Verdana" w:eastAsia="Calibri" w:hAnsi="Verdana" w:cs="Arial"/>
                <w:lang w:val="es-MX" w:eastAsia="es-ES_tradnl"/>
              </w:rPr>
            </w:pPr>
            <w:r w:rsidRPr="002C4FBD">
              <w:rPr>
                <w:rFonts w:ascii="Verdana" w:eastAsia="Arial" w:hAnsi="Verdana" w:cs="Arial"/>
                <w:lang w:val="es-ES" w:eastAsia="es-ES_tradnl"/>
              </w:rPr>
              <w:t>En suma, las Entidades Estatales son autónomas en la configuración del proceso competitivo en desarrollo del artículo 5 del Decreto 092 de 2017. En todo caso, el proceso competitivo que definan las Entidades Estatales para sus convenios de asociación debe garantizar la libre concurrencia, la pluralidad de interesados y la comparación objetiva de las ofertas. Este procedimiento puede ser análogo a otros donde existe competencia, como la licitación pública</w:t>
            </w:r>
            <w:r w:rsidRPr="002C4FBD">
              <w:rPr>
                <w:rFonts w:ascii="Verdana" w:eastAsia="Calibri" w:hAnsi="Verdana" w:cs="Arial"/>
                <w:lang w:val="es-MX" w:eastAsia="es-ES_tradnl"/>
              </w:rPr>
              <w:t>.</w:t>
            </w:r>
          </w:p>
          <w:p w14:paraId="306550BB" w14:textId="1E8198E4" w:rsidR="005400A9" w:rsidRPr="00E95B38" w:rsidRDefault="003A5A84" w:rsidP="00781AF3">
            <w:pPr>
              <w:spacing w:after="120" w:line="276" w:lineRule="auto"/>
              <w:jc w:val="both"/>
              <w:rPr>
                <w:rFonts w:ascii="Verdana" w:hAnsi="Verdana"/>
              </w:rPr>
            </w:pPr>
            <w:r>
              <w:rPr>
                <w:rFonts w:ascii="Verdana" w:hAnsi="Verdana"/>
              </w:rPr>
              <w:t xml:space="preserve">     </w:t>
            </w:r>
            <w:r w:rsidR="00AA2E18" w:rsidRPr="00E95B38">
              <w:rPr>
                <w:rFonts w:ascii="Verdana" w:eastAsia="Times New Roman" w:hAnsi="Verdana" w:cs="Times New Roman"/>
                <w:lang w:eastAsia="es-MX"/>
              </w:rPr>
              <w:t xml:space="preserve">      Por último, es importante aclarar que no existe una norma especial que regule de manera diferenciada la supervisión de los contratos celebrados con Entidades Sin Ánimo de Lucro (ESAL).</w:t>
            </w:r>
            <w:r w:rsidR="00AA2E18">
              <w:rPr>
                <w:rFonts w:ascii="Verdana" w:eastAsia="Times New Roman" w:hAnsi="Verdana" w:cs="Times New Roman"/>
                <w:lang w:eastAsia="es-MX"/>
              </w:rPr>
              <w:t xml:space="preserve"> De acuerdo con el artículo 8 del Decreto 092 de 2017, “</w:t>
            </w:r>
            <w:r w:rsidR="00AA2E18" w:rsidRPr="00AB1F9C">
              <w:rPr>
                <w:rFonts w:ascii="Verdana" w:eastAsia="Times New Roman" w:hAnsi="Verdana" w:cs="Times New Roman"/>
                <w:lang w:eastAsia="es-MX"/>
              </w:rPr>
              <w:t>La contratación a la que hace referencia el presente decreto está sujeta a las normas generales aplicables a la contratación pública excepto en lo reglamentado en el presente decreto</w:t>
            </w:r>
            <w:r w:rsidR="00AA2E18">
              <w:rPr>
                <w:rFonts w:ascii="Verdana" w:eastAsia="Times New Roman" w:hAnsi="Verdana" w:cs="Times New Roman"/>
                <w:lang w:eastAsia="es-MX"/>
              </w:rPr>
              <w:t>”</w:t>
            </w:r>
            <w:r w:rsidR="00AA2E18" w:rsidRPr="00AB1F9C">
              <w:rPr>
                <w:rFonts w:ascii="Verdana" w:eastAsia="Times New Roman" w:hAnsi="Verdana" w:cs="Times New Roman"/>
                <w:lang w:eastAsia="es-MX"/>
              </w:rPr>
              <w:t>.</w:t>
            </w:r>
            <w:r w:rsidR="00AA2E18">
              <w:rPr>
                <w:rFonts w:ascii="Verdana" w:eastAsia="Times New Roman" w:hAnsi="Verdana" w:cs="Times New Roman"/>
                <w:lang w:eastAsia="es-MX"/>
              </w:rPr>
              <w:t xml:space="preserve"> </w:t>
            </w:r>
            <w:r w:rsidR="00AA2E18" w:rsidRPr="00E95B38">
              <w:rPr>
                <w:rFonts w:ascii="Verdana" w:eastAsia="Times New Roman" w:hAnsi="Verdana" w:cs="Times New Roman"/>
                <w:lang w:eastAsia="es-MX"/>
              </w:rPr>
              <w:t>Por lo tanto, la vigilancia de estos contratos se rige por el procedimiento en la Ley 1474 de 2011 (Estatuto Anticorrupción)</w:t>
            </w:r>
            <w:r w:rsidR="00AA2E18">
              <w:rPr>
                <w:rFonts w:ascii="Verdana" w:eastAsia="Times New Roman" w:hAnsi="Verdana" w:cs="Times New Roman"/>
                <w:lang w:eastAsia="es-MX"/>
              </w:rPr>
              <w:t>, la Ley 80 de 1993 y la Ley 1150 de 207, así como las normas que las desarrollen, complementen o modifiquen.</w:t>
            </w:r>
            <w:r>
              <w:rPr>
                <w:rFonts w:ascii="Verdana" w:eastAsia="Times New Roman" w:hAnsi="Verdana" w:cs="Times New Roman"/>
                <w:lang w:eastAsia="es-MX"/>
              </w:rPr>
              <w:t xml:space="preserve"> </w:t>
            </w:r>
          </w:p>
        </w:tc>
      </w:tr>
    </w:tbl>
    <w:p w14:paraId="018C00B7" w14:textId="77777777" w:rsidR="005400A9" w:rsidRPr="00E95B38" w:rsidRDefault="005400A9" w:rsidP="005400A9">
      <w:pPr>
        <w:tabs>
          <w:tab w:val="left" w:pos="142"/>
          <w:tab w:val="left" w:pos="284"/>
        </w:tabs>
        <w:spacing w:after="0" w:line="276" w:lineRule="auto"/>
        <w:jc w:val="both"/>
        <w:rPr>
          <w:rFonts w:ascii="Verdana" w:eastAsia="Century Gothic" w:hAnsi="Verdana" w:cs="Century Gothic"/>
          <w:b/>
          <w:bCs/>
          <w:lang w:val="es-ES"/>
        </w:rPr>
      </w:pPr>
    </w:p>
    <w:p w14:paraId="73041E01" w14:textId="77777777" w:rsidR="005400A9" w:rsidRPr="00E95B38" w:rsidRDefault="005400A9" w:rsidP="005400A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95B38">
        <w:rPr>
          <w:rFonts w:ascii="Verdana" w:eastAsia="Century Gothic" w:hAnsi="Verdana" w:cs="Century Gothic"/>
          <w:b/>
          <w:bCs/>
        </w:rPr>
        <w:t>Razones de la respuesta:</w:t>
      </w:r>
    </w:p>
    <w:p w14:paraId="00000F0B" w14:textId="77777777" w:rsidR="005400A9" w:rsidRPr="00E95B38" w:rsidRDefault="005400A9" w:rsidP="005400A9">
      <w:pPr>
        <w:spacing w:after="0" w:line="276" w:lineRule="auto"/>
        <w:jc w:val="both"/>
        <w:rPr>
          <w:rFonts w:ascii="Verdana" w:eastAsia="Calibri" w:hAnsi="Verdana" w:cs="Arial"/>
          <w:color w:val="7030A0"/>
          <w:lang w:val="es-ES"/>
        </w:rPr>
      </w:pPr>
    </w:p>
    <w:p w14:paraId="1D4DCF9F" w14:textId="77777777" w:rsidR="005400A9" w:rsidRPr="00E95B38" w:rsidRDefault="005400A9" w:rsidP="005400A9">
      <w:pPr>
        <w:spacing w:after="0" w:line="276" w:lineRule="auto"/>
        <w:jc w:val="both"/>
        <w:rPr>
          <w:rFonts w:ascii="Verdana" w:eastAsia="Calibri" w:hAnsi="Verdana" w:cs="Arial"/>
          <w:lang w:val="es-ES"/>
        </w:rPr>
      </w:pPr>
      <w:r w:rsidRPr="00E95B38">
        <w:rPr>
          <w:rFonts w:ascii="Verdana" w:eastAsia="Calibri" w:hAnsi="Verdana" w:cs="Arial"/>
          <w:lang w:val="es-ES"/>
        </w:rPr>
        <w:t xml:space="preserve">Lo anterior se sustenta en las siguientes consideraciones: </w:t>
      </w:r>
    </w:p>
    <w:p w14:paraId="4D22CA33" w14:textId="77777777" w:rsidR="005400A9" w:rsidRPr="00E95B38" w:rsidRDefault="005400A9" w:rsidP="005400A9">
      <w:pPr>
        <w:spacing w:after="0" w:line="276" w:lineRule="auto"/>
        <w:jc w:val="both"/>
        <w:rPr>
          <w:rFonts w:ascii="Verdana" w:eastAsia="Calibri" w:hAnsi="Verdana" w:cs="Arial"/>
          <w:color w:val="7030A0"/>
          <w:lang w:val="es-ES"/>
        </w:rPr>
      </w:pPr>
    </w:p>
    <w:p w14:paraId="4AB3DA12" w14:textId="77777777" w:rsidR="005400A9" w:rsidRPr="00E95B38" w:rsidRDefault="005400A9" w:rsidP="00781AF3">
      <w:pPr>
        <w:widowControl w:val="0"/>
        <w:autoSpaceDE w:val="0"/>
        <w:autoSpaceDN w:val="0"/>
        <w:spacing w:after="120" w:line="276" w:lineRule="auto"/>
        <w:jc w:val="both"/>
        <w:rPr>
          <w:rFonts w:ascii="Verdana" w:hAnsi="Verdana" w:cs="Arial"/>
        </w:rPr>
      </w:pPr>
      <w:bookmarkStart w:id="3" w:name="OLE_LINK8"/>
      <w:r w:rsidRPr="00E95B38">
        <w:rPr>
          <w:rFonts w:ascii="Verdana" w:eastAsia="Calibri" w:hAnsi="Verdana" w:cs="Arial"/>
          <w:color w:val="000000" w:themeColor="text1"/>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entidades sin ánimo de lucro – en adelante ESAL – con el fin de impulsar programas y actividades de interés público acordes con el Plan Nacional de Desarrollo y los planes seccionales de desarrollo</w:t>
      </w:r>
      <w:r w:rsidRPr="00E95B38">
        <w:rPr>
          <w:rFonts w:ascii="Verdana" w:hAnsi="Verdana"/>
          <w:vertAlign w:val="superscript"/>
        </w:rPr>
        <w:footnoteReference w:id="2"/>
      </w:r>
      <w:r w:rsidRPr="00E95B38">
        <w:rPr>
          <w:rFonts w:ascii="Verdana" w:eastAsia="Calibri" w:hAnsi="Verdana" w:cs="Arial"/>
          <w:color w:val="000000" w:themeColor="text1"/>
        </w:rPr>
        <w:t xml:space="preserve">. </w:t>
      </w:r>
      <w:bookmarkStart w:id="4" w:name="_Hlk164688501"/>
      <w:r w:rsidRPr="00E95B38">
        <w:rPr>
          <w:rFonts w:ascii="Verdana" w:eastAsia="Calibri" w:hAnsi="Verdana" w:cs="Arial"/>
          <w:color w:val="000000" w:themeColor="text1"/>
        </w:rPr>
        <w:t xml:space="preserve">En concordancia con lo anterior, el artículo 96 </w:t>
      </w:r>
      <w:r w:rsidRPr="00E95B38">
        <w:rPr>
          <w:rFonts w:ascii="Verdana" w:eastAsia="Calibri" w:hAnsi="Verdana" w:cs="Arial"/>
          <w:color w:val="000000" w:themeColor="text1"/>
        </w:rPr>
        <w:lastRenderedPageBreak/>
        <w:t>de la Ley 489 de 1998</w:t>
      </w:r>
      <w:r w:rsidRPr="00E95B38">
        <w:rPr>
          <w:rFonts w:ascii="Verdana" w:hAnsi="Verdana"/>
          <w:vertAlign w:val="superscript"/>
        </w:rPr>
        <w:footnoteReference w:id="3"/>
      </w:r>
      <w:r w:rsidRPr="00E95B38">
        <w:rPr>
          <w:rFonts w:ascii="Verdana" w:eastAsia="Calibri" w:hAnsi="Verdana" w:cs="Arial"/>
          <w:color w:val="000000" w:themeColor="text1"/>
        </w:rPr>
        <w:t xml:space="preserve">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bookmarkEnd w:id="4"/>
      <w:r w:rsidRPr="00E95B38">
        <w:rPr>
          <w:rFonts w:ascii="Verdana" w:eastAsia="Calibri" w:hAnsi="Verdana" w:cs="Arial"/>
          <w:color w:val="000000" w:themeColor="text1"/>
        </w:rPr>
        <w:t>.</w:t>
      </w:r>
    </w:p>
    <w:p w14:paraId="56BC5DDD" w14:textId="5651E38C" w:rsidR="005400A9" w:rsidRPr="00E95B38" w:rsidRDefault="0021273F" w:rsidP="00781AF3">
      <w:pPr>
        <w:spacing w:after="120" w:line="276" w:lineRule="auto"/>
        <w:jc w:val="both"/>
        <w:rPr>
          <w:rFonts w:ascii="Verdana" w:eastAsia="Calibri" w:hAnsi="Verdana" w:cs="Arial"/>
          <w:color w:val="000000"/>
        </w:rPr>
      </w:pPr>
      <w:r>
        <w:rPr>
          <w:rFonts w:ascii="Verdana" w:eastAsia="Calibri" w:hAnsi="Verdana" w:cs="Arial"/>
          <w:color w:val="000000" w:themeColor="text1"/>
        </w:rPr>
        <w:tab/>
      </w:r>
      <w:bookmarkStart w:id="6" w:name="_Hlk38819155"/>
      <w:r w:rsidR="005400A9" w:rsidRPr="00E95B38">
        <w:rPr>
          <w:rFonts w:ascii="Verdana" w:hAnsi="Verdana" w:cs="Arial"/>
          <w:lang w:val="es-MX"/>
        </w:rPr>
        <w:t>Por su parte, el Gobierno Nacional, en desarrollo del artículo 355 de la Constitución Política</w:t>
      </w:r>
      <w:r w:rsidR="00116110">
        <w:rPr>
          <w:rFonts w:ascii="Verdana" w:hAnsi="Verdana" w:cs="Arial"/>
          <w:lang w:val="es-MX"/>
        </w:rPr>
        <w:t xml:space="preserve"> y el artículo 96 de la Ley </w:t>
      </w:r>
      <w:r w:rsidR="00CF7832">
        <w:rPr>
          <w:rFonts w:ascii="Verdana" w:hAnsi="Verdana" w:cs="Arial"/>
          <w:lang w:val="es-MX"/>
        </w:rPr>
        <w:t>489</w:t>
      </w:r>
      <w:r w:rsidR="005400A9" w:rsidRPr="00E95B38">
        <w:rPr>
          <w:rFonts w:ascii="Verdana" w:hAnsi="Verdana" w:cs="Arial"/>
          <w:lang w:val="es-MX"/>
        </w:rPr>
        <w:t>, expidió el Decreto 092 de 2017, q</w:t>
      </w:r>
      <w:r w:rsidR="005400A9" w:rsidRPr="00E95B38">
        <w:rPr>
          <w:rFonts w:ascii="Verdana" w:eastAsia="Calibri" w:hAnsi="Verdana" w:cs="Arial"/>
          <w:lang w:val="es-MX"/>
        </w:rPr>
        <w:t xml:space="preserve">ue dispone las reglas para las contrataciones que realicen las Entidades Estatales con las ESAL. </w:t>
      </w:r>
      <w:r w:rsidR="005400A9" w:rsidRPr="00E95B38">
        <w:rPr>
          <w:rFonts w:ascii="Verdana" w:eastAsia="Calibri" w:hAnsi="Verdana" w:cs="Arial"/>
        </w:rPr>
        <w:t>E</w:t>
      </w:r>
      <w:r w:rsidR="005400A9" w:rsidRPr="00E95B38">
        <w:rPr>
          <w:rFonts w:ascii="Verdana" w:eastAsia="Calibri" w:hAnsi="Verdana" w:cs="Arial"/>
          <w:color w:val="000000" w:themeColor="text1"/>
        </w:rPr>
        <w:t xml:space="preserve">l Decreto regula dos (2) eventos: i) </w:t>
      </w:r>
      <w:r w:rsidR="005400A9" w:rsidRPr="00E95B38">
        <w:rPr>
          <w:rFonts w:ascii="Verdana" w:eastAsia="Calibri" w:hAnsi="Verdana" w:cs="Arial"/>
        </w:rPr>
        <w:t xml:space="preserve">los </w:t>
      </w:r>
      <w:r w:rsidR="005400A9" w:rsidRPr="00E95B38">
        <w:rPr>
          <w:rFonts w:ascii="Verdana" w:eastAsia="Calibri" w:hAnsi="Verdana" w:cs="Arial"/>
          <w:i/>
          <w:iCs/>
        </w:rPr>
        <w:t>contratos de colaboración</w:t>
      </w:r>
      <w:r w:rsidR="005400A9" w:rsidRPr="00E95B38">
        <w:rPr>
          <w:rFonts w:ascii="Verdana" w:eastAsia="Calibri" w:hAnsi="Verdana" w:cs="Arial"/>
        </w:rPr>
        <w:t xml:space="preserve"> o de interés público, con el fin impulsar programas y actividades de interés público de acuerdo con el Plan Nacional o los planes seccionales de desarrollo, en los términos del artículo 355 de la Constitución Política</w:t>
      </w:r>
      <w:r w:rsidR="005400A9" w:rsidRPr="00E95B38">
        <w:rPr>
          <w:rFonts w:ascii="Verdana" w:eastAsia="Calibri" w:hAnsi="Verdana" w:cs="Arial"/>
          <w:color w:val="000000" w:themeColor="text1"/>
        </w:rPr>
        <w:t xml:space="preserve"> y; </w:t>
      </w:r>
      <w:proofErr w:type="spellStart"/>
      <w:r w:rsidR="005400A9" w:rsidRPr="00E95B38">
        <w:rPr>
          <w:rFonts w:ascii="Verdana" w:eastAsia="Calibri" w:hAnsi="Verdana" w:cs="Arial"/>
          <w:color w:val="000000" w:themeColor="text1"/>
        </w:rPr>
        <w:t>ii</w:t>
      </w:r>
      <w:proofErr w:type="spellEnd"/>
      <w:r w:rsidR="005400A9" w:rsidRPr="00E95B38">
        <w:rPr>
          <w:rFonts w:ascii="Verdana" w:eastAsia="Calibri" w:hAnsi="Verdana" w:cs="Arial"/>
          <w:color w:val="000000" w:themeColor="text1"/>
        </w:rPr>
        <w:t xml:space="preserve">) los </w:t>
      </w:r>
      <w:r w:rsidR="005400A9" w:rsidRPr="00E95B38">
        <w:rPr>
          <w:rFonts w:ascii="Verdana" w:eastAsia="Calibri" w:hAnsi="Verdana" w:cs="Arial"/>
          <w:i/>
          <w:iCs/>
          <w:color w:val="000000" w:themeColor="text1"/>
        </w:rPr>
        <w:t>convenios de asociación</w:t>
      </w:r>
      <w:r w:rsidR="005400A9" w:rsidRPr="00E95B38">
        <w:rPr>
          <w:rFonts w:ascii="Verdana" w:eastAsia="Calibri" w:hAnsi="Verdana" w:cs="Arial"/>
          <w:color w:val="000000" w:themeColor="text1"/>
        </w:rPr>
        <w:t xml:space="preserve">, para el desarrollo conjunto de actividades relacionadas con las funciones de las Entidades Estatales, en desarrollo del artículo 96 de la Ley 489 de 1998. </w:t>
      </w:r>
      <w:r w:rsidR="005400A9" w:rsidRPr="00E95B38">
        <w:rPr>
          <w:rFonts w:ascii="Verdana" w:eastAsia="Calibri" w:hAnsi="Verdana" w:cs="Arial"/>
          <w:color w:val="000000"/>
          <w:lang w:val="es-MX"/>
        </w:rPr>
        <w:t xml:space="preserve">Los primeros están regulados en el artículo 2 del Decreto 092 de 2017, mientras que los segundos en los artículos 5, 6, 7 y 8 </w:t>
      </w:r>
      <w:r w:rsidR="005400A9" w:rsidRPr="00E95B38">
        <w:rPr>
          <w:rFonts w:ascii="Verdana" w:eastAsia="Calibri" w:hAnsi="Verdana" w:cs="Arial"/>
          <w:i/>
          <w:iCs/>
          <w:color w:val="000000"/>
          <w:lang w:val="es-MX"/>
        </w:rPr>
        <w:t>ibidem</w:t>
      </w:r>
      <w:r w:rsidR="005400A9" w:rsidRPr="00E95B38">
        <w:rPr>
          <w:rFonts w:ascii="Verdana" w:eastAsia="Calibri" w:hAnsi="Verdana" w:cs="Arial"/>
          <w:color w:val="000000"/>
          <w:lang w:val="es-MX"/>
        </w:rPr>
        <w:t xml:space="preserve">. </w:t>
      </w:r>
    </w:p>
    <w:p w14:paraId="5A708250" w14:textId="5901060F" w:rsidR="005400A9" w:rsidRPr="00E95B38" w:rsidRDefault="00233C87" w:rsidP="00781AF3">
      <w:pPr>
        <w:spacing w:after="120" w:line="276" w:lineRule="auto"/>
        <w:jc w:val="both"/>
        <w:rPr>
          <w:rFonts w:ascii="Verdana" w:eastAsia="Calibri" w:hAnsi="Verdana" w:cs="Arial"/>
          <w:color w:val="000000" w:themeColor="text1"/>
        </w:rPr>
      </w:pPr>
      <w:r>
        <w:rPr>
          <w:rFonts w:ascii="Verdana" w:eastAsia="Calibri" w:hAnsi="Verdana" w:cs="Arial"/>
          <w:color w:val="000000"/>
        </w:rPr>
        <w:tab/>
      </w:r>
      <w:bookmarkEnd w:id="6"/>
      <w:r w:rsidR="005400A9" w:rsidRPr="00E95B38">
        <w:rPr>
          <w:rFonts w:ascii="Verdana" w:eastAsia="Calibri" w:hAnsi="Verdana" w:cs="Arial"/>
          <w:color w:val="000000" w:themeColor="text1"/>
        </w:rPr>
        <w:t xml:space="preserve">Respecto de los </w:t>
      </w:r>
      <w:r w:rsidR="005400A9" w:rsidRPr="00E95B38">
        <w:rPr>
          <w:rFonts w:ascii="Verdana" w:eastAsia="Calibri" w:hAnsi="Verdana" w:cs="Arial"/>
          <w:i/>
          <w:iCs/>
          <w:color w:val="000000" w:themeColor="text1"/>
        </w:rPr>
        <w:t>contratos de colaboración o del artículo 355 de la Constitución Política</w:t>
      </w:r>
      <w:r w:rsidR="005400A9" w:rsidRPr="00E95B38">
        <w:rPr>
          <w:rFonts w:ascii="Verdana" w:eastAsia="Calibri" w:hAnsi="Verdana" w:cs="Arial"/>
          <w:color w:val="000000" w:themeColor="text1"/>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esta y la ESAL, toda vez que el beneficio directo lo recibirán, en últimas, los sectores de este tipo de acciones de fomento. </w:t>
      </w:r>
    </w:p>
    <w:p w14:paraId="370394A8" w14:textId="0015075C" w:rsidR="005400A9" w:rsidRPr="00E95B38" w:rsidRDefault="005400A9" w:rsidP="00781AF3">
      <w:pPr>
        <w:spacing w:after="120" w:line="276" w:lineRule="auto"/>
        <w:ind w:firstLine="708"/>
        <w:jc w:val="both"/>
        <w:rPr>
          <w:rFonts w:ascii="Verdana" w:eastAsia="Calibri" w:hAnsi="Verdana" w:cs="Arial"/>
          <w:color w:val="000000" w:themeColor="text1"/>
        </w:rPr>
      </w:pPr>
      <w:r w:rsidRPr="00E95B38">
        <w:rPr>
          <w:rFonts w:ascii="Verdana" w:eastAsia="Calibri" w:hAnsi="Verdana" w:cs="Arial"/>
          <w:color w:val="000000" w:themeColor="text1"/>
        </w:rPr>
        <w:t xml:space="preserve">De otro lado, los </w:t>
      </w:r>
      <w:r w:rsidRPr="00E95B38">
        <w:rPr>
          <w:rFonts w:ascii="Verdana" w:eastAsia="Calibri" w:hAnsi="Verdana" w:cs="Arial"/>
          <w:i/>
          <w:iCs/>
          <w:color w:val="000000" w:themeColor="text1"/>
        </w:rPr>
        <w:t>convenios de asociación</w:t>
      </w:r>
      <w:r w:rsidRPr="00E95B38">
        <w:rPr>
          <w:rFonts w:ascii="Verdana" w:eastAsia="Calibri" w:hAnsi="Verdana" w:cs="Arial"/>
          <w:color w:val="000000" w:themeColor="text1"/>
        </w:rPr>
        <w:t xml:space="preserve"> “[…] [t]</w:t>
      </w:r>
      <w:proofErr w:type="spellStart"/>
      <w:r w:rsidRPr="00E95B38">
        <w:rPr>
          <w:rFonts w:ascii="Verdana" w:eastAsia="Calibri" w:hAnsi="Verdana" w:cs="Arial"/>
          <w:color w:val="000000" w:themeColor="text1"/>
        </w:rPr>
        <w:t>ienen</w:t>
      </w:r>
      <w:proofErr w:type="spellEnd"/>
      <w:r w:rsidRPr="00E95B38">
        <w:rPr>
          <w:rFonts w:ascii="Verdana" w:eastAsia="Calibri" w:hAnsi="Verdana" w:cs="Arial"/>
          <w:color w:val="000000" w:themeColor="text1"/>
        </w:rPr>
        <w:t xml:space="preserve"> como finalidad que la entidad estatal, cualquiera que sea su naturaleza y orden administrativo, se asocien con personas jurídicas particulares para el desarrollo conjunto de actividades relacionadas con los cometidos y funciones asignadas a aquellas </w:t>
      </w:r>
      <w:r w:rsidRPr="00E95B38">
        <w:rPr>
          <w:rFonts w:ascii="Verdana" w:eastAsia="Calibri" w:hAnsi="Verdana" w:cs="Arial"/>
          <w:color w:val="000000" w:themeColor="text1"/>
        </w:rPr>
        <w:lastRenderedPageBreak/>
        <w:t>conforme a la Constitución y a la Ley”</w:t>
      </w:r>
      <w:r w:rsidRPr="00E95B38">
        <w:rPr>
          <w:rFonts w:ascii="Verdana" w:hAnsi="Verdana"/>
          <w:vertAlign w:val="superscript"/>
        </w:rPr>
        <w:footnoteReference w:id="4"/>
      </w:r>
      <w:r w:rsidRPr="00E95B38">
        <w:rPr>
          <w:rFonts w:ascii="Verdana" w:eastAsia="Calibri" w:hAnsi="Verdana" w:cs="Arial"/>
          <w:color w:val="000000" w:themeColor="text1"/>
        </w:rPr>
        <w:t>. En estos convenios – al igual que en los contratos de colaboración antes explicados – no existe contraprestación o pago, sino aportes, los cuales están dirigidos, exclusivamente, a lograr la ejecución del convenio no a remunerar la actividad o actuaciones del asociado.</w:t>
      </w:r>
    </w:p>
    <w:p w14:paraId="5B130B6E" w14:textId="1BE613EE" w:rsidR="005400A9" w:rsidRPr="00E95B38" w:rsidRDefault="005400A9" w:rsidP="00781AF3">
      <w:pPr>
        <w:spacing w:after="0" w:line="276" w:lineRule="auto"/>
        <w:ind w:firstLine="708"/>
        <w:jc w:val="both"/>
        <w:textAlignment w:val="baseline"/>
        <w:rPr>
          <w:rFonts w:ascii="Verdana" w:eastAsia="Calibri" w:hAnsi="Verdana" w:cs="Arial"/>
          <w:color w:val="000000"/>
          <w:lang w:val="es-MX"/>
        </w:rPr>
      </w:pPr>
      <w:r w:rsidRPr="00E95B38">
        <w:rPr>
          <w:rFonts w:ascii="Verdana" w:eastAsia="Calibri" w:hAnsi="Verdana" w:cs="Arial"/>
          <w:color w:val="000000"/>
          <w:lang w:val="es-MX"/>
        </w:rPr>
        <w:t xml:space="preserve">Ahora bien, teniendo en cuenta las consideraciones que realiza en su consulta, </w:t>
      </w:r>
      <w:r w:rsidRPr="00E95B38">
        <w:rPr>
          <w:rFonts w:ascii="Verdana" w:hAnsi="Verdana" w:cs="Arial"/>
          <w:color w:val="000000" w:themeColor="text1"/>
        </w:rPr>
        <w:t xml:space="preserve">es importante aclarar que los negocios jurídicos que regula el </w:t>
      </w:r>
      <w:bookmarkStart w:id="7" w:name="_Hlk173773826"/>
      <w:r w:rsidRPr="00E95B38">
        <w:rPr>
          <w:rFonts w:ascii="Verdana" w:hAnsi="Verdana" w:cs="Arial"/>
          <w:color w:val="000000" w:themeColor="text1"/>
        </w:rPr>
        <w:t>Decreto 092 de 2017</w:t>
      </w:r>
      <w:bookmarkEnd w:id="7"/>
      <w:r w:rsidRPr="00E95B38">
        <w:rPr>
          <w:rFonts w:ascii="Verdana" w:hAnsi="Verdana" w:cs="Arial"/>
          <w:color w:val="000000" w:themeColor="text1"/>
        </w:rPr>
        <w:t xml:space="preserve"> “[…] son esencialmente distintos a los contratos para la adquisición y aprovisionamiento de bienes, obras o servicios regulados por el estatuto de contratación y [, como tal,] no hacen parte del sistema de compra pública. […]</w:t>
      </w:r>
      <w:r w:rsidRPr="00E95B38">
        <w:rPr>
          <w:rStyle w:val="Refdenotaalpie"/>
          <w:rFonts w:ascii="Verdana" w:hAnsi="Verdana" w:cs="Arial"/>
          <w:color w:val="000000" w:themeColor="text1"/>
        </w:rPr>
        <w:footnoteReference w:id="5"/>
      </w:r>
      <w:r w:rsidRPr="00E95B38">
        <w:rPr>
          <w:rFonts w:ascii="Verdana" w:hAnsi="Verdana" w:cs="Arial"/>
          <w:color w:val="000000" w:themeColor="text1"/>
        </w:rPr>
        <w:t>. 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E95B38">
        <w:rPr>
          <w:rStyle w:val="Refdenotaalpie"/>
          <w:rFonts w:ascii="Verdana" w:hAnsi="Verdana" w:cs="Arial"/>
          <w:color w:val="000000" w:themeColor="text1"/>
        </w:rPr>
        <w:footnoteReference w:id="6"/>
      </w:r>
      <w:r w:rsidRPr="00E95B38">
        <w:rPr>
          <w:rFonts w:ascii="Verdana" w:hAnsi="Verdana" w:cs="Arial"/>
          <w:color w:val="000000" w:themeColor="text1"/>
        </w:rPr>
        <w:t>. Así lo consideró la Sala de Consulta y Servicio Civil del Consejo de Estado</w:t>
      </w:r>
      <w:r w:rsidRPr="00E95B38">
        <w:rPr>
          <w:rStyle w:val="Refdenotaalpie"/>
          <w:rFonts w:ascii="Verdana" w:hAnsi="Verdana" w:cs="Arial"/>
          <w:color w:val="000000" w:themeColor="text1"/>
        </w:rPr>
        <w:footnoteReference w:id="7"/>
      </w:r>
      <w:r w:rsidRPr="00E95B38">
        <w:rPr>
          <w:rFonts w:ascii="Verdana" w:hAnsi="Verdana" w:cs="Arial"/>
          <w:color w:val="000000" w:themeColor="text1"/>
        </w:rPr>
        <w:t>:</w:t>
      </w:r>
    </w:p>
    <w:p w14:paraId="04AA5ACC" w14:textId="77777777" w:rsidR="005400A9" w:rsidRPr="00E95B38" w:rsidRDefault="005400A9" w:rsidP="005400A9">
      <w:pPr>
        <w:pStyle w:val="Sinespaciado"/>
        <w:spacing w:line="276" w:lineRule="auto"/>
        <w:ind w:left="357"/>
        <w:jc w:val="both"/>
        <w:rPr>
          <w:rFonts w:ascii="Verdana" w:hAnsi="Verdana" w:cs="Arial"/>
          <w:color w:val="000000" w:themeColor="text1"/>
          <w:sz w:val="22"/>
        </w:rPr>
      </w:pPr>
    </w:p>
    <w:p w14:paraId="166A03CD" w14:textId="77777777" w:rsidR="005400A9" w:rsidRPr="00781AF3" w:rsidRDefault="005400A9" w:rsidP="00A215B2">
      <w:pPr>
        <w:pStyle w:val="Prrafodelista"/>
        <w:spacing w:after="0" w:line="240" w:lineRule="auto"/>
        <w:ind w:left="709" w:right="709"/>
        <w:contextualSpacing w:val="0"/>
        <w:jc w:val="both"/>
        <w:rPr>
          <w:rFonts w:ascii="Verdana" w:eastAsia="Calibri" w:hAnsi="Verdana" w:cs="Arial"/>
          <w:color w:val="000000" w:themeColor="text1"/>
          <w:sz w:val="20"/>
          <w:szCs w:val="20"/>
        </w:rPr>
      </w:pPr>
      <w:r w:rsidRPr="00781AF3">
        <w:rPr>
          <w:rFonts w:ascii="Verdana" w:eastAsia="Calibri" w:hAnsi="Verdana" w:cs="Arial"/>
          <w:color w:val="000000" w:themeColor="text1"/>
          <w:sz w:val="20"/>
          <w:szCs w:val="20"/>
        </w:rPr>
        <w:t xml:space="preserve">“Como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w:t>
      </w:r>
      <w:proofErr w:type="gramStart"/>
      <w:r w:rsidRPr="00781AF3">
        <w:rPr>
          <w:rFonts w:ascii="Verdana" w:eastAsia="Calibri" w:hAnsi="Verdana" w:cs="Arial"/>
          <w:color w:val="000000" w:themeColor="text1"/>
          <w:sz w:val="20"/>
          <w:szCs w:val="20"/>
        </w:rPr>
        <w:t>y</w:t>
      </w:r>
      <w:proofErr w:type="gramEnd"/>
      <w:r w:rsidRPr="00781AF3">
        <w:rPr>
          <w:rFonts w:ascii="Verdana" w:eastAsia="Calibri" w:hAnsi="Verdana" w:cs="Arial"/>
          <w:color w:val="000000" w:themeColor="text1"/>
          <w:sz w:val="20"/>
          <w:szCs w:val="20"/>
        </w:rPr>
        <w:t xml:space="preserve"> por lo tanto, se tipifican dentro de cualquiera de las modalidades de contratación de la ley 80 de 1.993, debiendo sujetarse a los procedimientos allí previstos, en especial los de escogencia del contratista.</w:t>
      </w:r>
    </w:p>
    <w:p w14:paraId="7C209215" w14:textId="77777777" w:rsidR="005400A9" w:rsidRPr="00781AF3" w:rsidRDefault="005400A9" w:rsidP="00A215B2">
      <w:pPr>
        <w:pStyle w:val="Prrafodelista"/>
        <w:spacing w:after="0" w:line="240" w:lineRule="auto"/>
        <w:ind w:left="709" w:right="709"/>
        <w:contextualSpacing w:val="0"/>
        <w:jc w:val="both"/>
        <w:rPr>
          <w:rFonts w:ascii="Verdana" w:eastAsia="Calibri" w:hAnsi="Verdana" w:cs="Arial"/>
          <w:color w:val="000000" w:themeColor="text1"/>
          <w:sz w:val="20"/>
          <w:szCs w:val="20"/>
        </w:rPr>
      </w:pPr>
    </w:p>
    <w:p w14:paraId="08911BD4" w14:textId="77777777" w:rsidR="005400A9" w:rsidRPr="00781AF3" w:rsidRDefault="005400A9" w:rsidP="00A215B2">
      <w:pPr>
        <w:pStyle w:val="Prrafodelista"/>
        <w:spacing w:after="0" w:line="240" w:lineRule="auto"/>
        <w:ind w:left="709" w:right="709"/>
        <w:contextualSpacing w:val="0"/>
        <w:jc w:val="both"/>
        <w:rPr>
          <w:rFonts w:ascii="Verdana" w:eastAsia="Calibri" w:hAnsi="Verdana" w:cs="Arial"/>
          <w:color w:val="000000" w:themeColor="text1"/>
          <w:sz w:val="20"/>
          <w:szCs w:val="20"/>
        </w:rPr>
      </w:pPr>
      <w:r w:rsidRPr="00781AF3">
        <w:rPr>
          <w:rFonts w:ascii="Verdana" w:eastAsia="Calibri" w:hAnsi="Verdana" w:cs="Arial"/>
          <w:color w:val="000000" w:themeColor="text1"/>
          <w:sz w:val="20"/>
          <w:szCs w:val="20"/>
        </w:rPr>
        <w:t xml:space="preserve">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w:t>
      </w:r>
      <w:proofErr w:type="gramStart"/>
      <w:r w:rsidRPr="00781AF3">
        <w:rPr>
          <w:rFonts w:ascii="Verdana" w:eastAsia="Calibri" w:hAnsi="Verdana" w:cs="Arial"/>
          <w:color w:val="000000" w:themeColor="text1"/>
          <w:sz w:val="20"/>
          <w:szCs w:val="20"/>
        </w:rPr>
        <w:t>sería</w:t>
      </w:r>
      <w:proofErr w:type="gramEnd"/>
      <w:r w:rsidRPr="00781AF3">
        <w:rPr>
          <w:rFonts w:ascii="Verdana" w:eastAsia="Calibri" w:hAnsi="Verdana" w:cs="Arial"/>
          <w:color w:val="000000" w:themeColor="text1"/>
          <w:sz w:val="20"/>
          <w:szCs w:val="20"/>
        </w:rPr>
        <w:t xml:space="preserve"> por ejemplo, contratos de prestación de servicios o de obra pública”.</w:t>
      </w:r>
    </w:p>
    <w:p w14:paraId="41E55295" w14:textId="77777777" w:rsidR="005400A9" w:rsidRPr="00E95B38" w:rsidRDefault="005400A9" w:rsidP="00781AF3">
      <w:pPr>
        <w:pStyle w:val="Prrafodelista"/>
        <w:spacing w:after="0" w:line="276" w:lineRule="auto"/>
        <w:ind w:left="0"/>
        <w:contextualSpacing w:val="0"/>
        <w:jc w:val="both"/>
        <w:rPr>
          <w:rFonts w:ascii="Verdana" w:eastAsia="Calibri" w:hAnsi="Verdana" w:cs="Arial"/>
          <w:color w:val="000000" w:themeColor="text1"/>
        </w:rPr>
      </w:pPr>
      <w:bookmarkStart w:id="8" w:name="_Hlk95756200"/>
    </w:p>
    <w:p w14:paraId="159DEB4F" w14:textId="77777777" w:rsidR="005400A9" w:rsidRPr="00E95B38" w:rsidRDefault="005400A9" w:rsidP="005400A9">
      <w:pPr>
        <w:spacing w:after="0" w:line="276" w:lineRule="auto"/>
        <w:ind w:firstLine="708"/>
        <w:jc w:val="both"/>
        <w:rPr>
          <w:rFonts w:ascii="Verdana" w:eastAsia="Calibri" w:hAnsi="Verdana" w:cs="Arial"/>
          <w:color w:val="000000" w:themeColor="text1"/>
        </w:rPr>
      </w:pPr>
      <w:r w:rsidRPr="00E95B38">
        <w:rPr>
          <w:rFonts w:ascii="Verdana" w:eastAsia="Calibri" w:hAnsi="Verdana" w:cs="Arial"/>
          <w:color w:val="000000" w:themeColor="text1"/>
        </w:rPr>
        <w:t xml:space="preserve">De acuerdo con lo expuesto, no todas las actividades que las Entidades Estatales deben desarrollar para alcanzar sus objetivos misionales deben ejecutarse a través de la celebración de contratos del artículo 355 superior o convenios de asociación. Al respecto, debe tenerse en cuenta que lo que determina la aplicación del Decreto 092 de 2017 no es únicamente el carácter de las ESAL sino el objeto del contrato o convenio que la entidad pretende adelantar. Por tanto, el hecho de que se trate de una ESAL no implica que necesariamente deba celebrarse un contrato de colaboración o un convenio de asociación. </w:t>
      </w:r>
      <w:bookmarkEnd w:id="8"/>
      <w:r w:rsidRPr="00E95B38">
        <w:rPr>
          <w:rFonts w:ascii="Verdana" w:eastAsia="Calibri" w:hAnsi="Verdana" w:cs="Arial"/>
          <w:color w:val="000000" w:themeColor="text1"/>
        </w:rPr>
        <w:t xml:space="preserve">Así lo reconoció la </w:t>
      </w:r>
      <w:bookmarkStart w:id="9" w:name="_Hlk173774576"/>
      <w:r w:rsidRPr="00E95B38">
        <w:rPr>
          <w:rFonts w:ascii="Verdana" w:eastAsia="Calibri" w:hAnsi="Verdana" w:cs="Arial"/>
          <w:color w:val="000000" w:themeColor="text1"/>
        </w:rPr>
        <w:t>Corte Constitucional, en la sentencia C-287 del 18 de abril de 2012</w:t>
      </w:r>
      <w:bookmarkEnd w:id="9"/>
      <w:r w:rsidRPr="00E95B38">
        <w:rPr>
          <w:rFonts w:ascii="Verdana" w:eastAsia="Calibri" w:hAnsi="Verdana" w:cs="Arial"/>
          <w:color w:val="000000" w:themeColor="text1"/>
        </w:rPr>
        <w:t>, en la que sostuvo lo siguiente:</w:t>
      </w:r>
    </w:p>
    <w:p w14:paraId="6658EC9F" w14:textId="77777777" w:rsidR="005400A9" w:rsidRPr="00E95B38" w:rsidRDefault="005400A9" w:rsidP="00781AF3">
      <w:pPr>
        <w:pStyle w:val="Prrafodelista"/>
        <w:spacing w:after="0" w:line="276" w:lineRule="auto"/>
        <w:ind w:left="0"/>
        <w:contextualSpacing w:val="0"/>
        <w:jc w:val="both"/>
        <w:rPr>
          <w:rFonts w:ascii="Verdana" w:eastAsia="Calibri" w:hAnsi="Verdana" w:cs="Arial"/>
          <w:color w:val="000000" w:themeColor="text1"/>
        </w:rPr>
      </w:pPr>
    </w:p>
    <w:p w14:paraId="7C7A6F11" w14:textId="77777777" w:rsidR="005400A9" w:rsidRPr="00781AF3" w:rsidRDefault="005400A9" w:rsidP="00A215B2">
      <w:pPr>
        <w:pStyle w:val="Prrafodelista"/>
        <w:spacing w:after="0" w:line="240" w:lineRule="auto"/>
        <w:ind w:left="709" w:right="709"/>
        <w:jc w:val="both"/>
        <w:rPr>
          <w:rFonts w:ascii="Verdana" w:eastAsia="Calibri" w:hAnsi="Verdana" w:cs="Arial"/>
          <w:color w:val="000000" w:themeColor="text1"/>
          <w:sz w:val="20"/>
          <w:szCs w:val="20"/>
        </w:rPr>
      </w:pPr>
      <w:r w:rsidRPr="00781AF3">
        <w:rPr>
          <w:rFonts w:ascii="Verdana" w:eastAsia="Calibri" w:hAnsi="Verdana"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0003E12E" w14:textId="77777777" w:rsidR="005400A9" w:rsidRPr="00781AF3" w:rsidRDefault="005400A9" w:rsidP="00A215B2">
      <w:pPr>
        <w:pStyle w:val="Prrafodelista"/>
        <w:spacing w:after="0" w:line="240" w:lineRule="auto"/>
        <w:ind w:left="709" w:right="709"/>
        <w:jc w:val="both"/>
        <w:rPr>
          <w:rFonts w:ascii="Verdana" w:eastAsia="Calibri" w:hAnsi="Verdana" w:cs="Arial"/>
          <w:color w:val="000000" w:themeColor="text1"/>
          <w:sz w:val="20"/>
          <w:szCs w:val="20"/>
        </w:rPr>
      </w:pPr>
    </w:p>
    <w:p w14:paraId="2FE25AE2" w14:textId="77777777" w:rsidR="005400A9" w:rsidRPr="00781AF3" w:rsidRDefault="005400A9" w:rsidP="00A215B2">
      <w:pPr>
        <w:pStyle w:val="Prrafodelista"/>
        <w:spacing w:after="0" w:line="240" w:lineRule="auto"/>
        <w:ind w:left="709" w:right="709"/>
        <w:jc w:val="both"/>
        <w:rPr>
          <w:rFonts w:ascii="Verdana" w:eastAsia="Calibri" w:hAnsi="Verdana" w:cs="Arial"/>
          <w:color w:val="000000" w:themeColor="text1"/>
          <w:sz w:val="20"/>
          <w:szCs w:val="20"/>
        </w:rPr>
      </w:pPr>
      <w:r w:rsidRPr="00781AF3">
        <w:rPr>
          <w:rFonts w:ascii="Verdana" w:eastAsia="Calibri" w:hAnsi="Verdana" w:cs="Arial"/>
          <w:i/>
          <w:color w:val="000000" w:themeColor="text1"/>
          <w:sz w:val="20"/>
          <w:szCs w:val="20"/>
        </w:rPr>
        <w:t xml:space="preserve">Sin embargo, el hecho que no persigan una finalidad </w:t>
      </w:r>
      <w:proofErr w:type="gramStart"/>
      <w:r w:rsidRPr="00781AF3">
        <w:rPr>
          <w:rFonts w:ascii="Verdana" w:eastAsia="Calibri" w:hAnsi="Verdana" w:cs="Arial"/>
          <w:i/>
          <w:color w:val="000000" w:themeColor="text1"/>
          <w:sz w:val="20"/>
          <w:szCs w:val="20"/>
        </w:rPr>
        <w:t>lucrativa,</w:t>
      </w:r>
      <w:proofErr w:type="gramEnd"/>
      <w:r w:rsidRPr="00781AF3">
        <w:rPr>
          <w:rFonts w:ascii="Verdana" w:eastAsia="Calibri" w:hAnsi="Verdana" w:cs="Arial"/>
          <w:i/>
          <w:color w:val="000000" w:themeColor="text1"/>
          <w:sz w:val="20"/>
          <w:szCs w:val="20"/>
        </w:rPr>
        <w:t xml:space="preserve"> no significa que no desarrollen actividades que generen utilidades, lo que pasa es </w:t>
      </w:r>
      <w:proofErr w:type="gramStart"/>
      <w:r w:rsidRPr="00781AF3">
        <w:rPr>
          <w:rFonts w:ascii="Verdana" w:eastAsia="Calibri" w:hAnsi="Verdana" w:cs="Arial"/>
          <w:i/>
          <w:color w:val="000000" w:themeColor="text1"/>
          <w:sz w:val="20"/>
          <w:szCs w:val="20"/>
        </w:rPr>
        <w:t>que</w:t>
      </w:r>
      <w:proofErr w:type="gramEnd"/>
      <w:r w:rsidRPr="00781AF3">
        <w:rPr>
          <w:rFonts w:ascii="Verdana" w:eastAsia="Calibri" w:hAnsi="Verdana" w:cs="Arial"/>
          <w:i/>
          <w:color w:val="000000" w:themeColor="text1"/>
          <w:sz w:val="20"/>
          <w:szCs w:val="20"/>
        </w:rPr>
        <w:t xml:space="preserve"> a diferencia de las sociedades, el lucro o ganancia obtenida no se reparte entre sus </w:t>
      </w:r>
      <w:proofErr w:type="gramStart"/>
      <w:r w:rsidRPr="00781AF3">
        <w:rPr>
          <w:rFonts w:ascii="Verdana" w:eastAsia="Calibri" w:hAnsi="Verdana" w:cs="Arial"/>
          <w:i/>
          <w:color w:val="000000" w:themeColor="text1"/>
          <w:sz w:val="20"/>
          <w:szCs w:val="20"/>
        </w:rPr>
        <w:t>miembros</w:t>
      </w:r>
      <w:proofErr w:type="gramEnd"/>
      <w:r w:rsidRPr="00781AF3">
        <w:rPr>
          <w:rFonts w:ascii="Verdana" w:eastAsia="Calibri" w:hAnsi="Verdana" w:cs="Arial"/>
          <w:i/>
          <w:color w:val="000000" w:themeColor="text1"/>
          <w:sz w:val="20"/>
          <w:szCs w:val="20"/>
        </w:rPr>
        <w:t xml:space="preserve"> sino que se integra al patrimonio de la asociación para la obtención del fin deseado</w:t>
      </w:r>
      <w:r w:rsidRPr="00781AF3">
        <w:rPr>
          <w:rFonts w:ascii="Verdana" w:eastAsia="Calibri" w:hAnsi="Verdana" w:cs="Arial"/>
          <w:color w:val="000000" w:themeColor="text1"/>
          <w:sz w:val="20"/>
          <w:szCs w:val="20"/>
        </w:rPr>
        <w:t xml:space="preserve">.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w:t>
      </w:r>
      <w:proofErr w:type="gramStart"/>
      <w:r w:rsidRPr="00781AF3">
        <w:rPr>
          <w:rFonts w:ascii="Verdana" w:eastAsia="Calibri" w:hAnsi="Verdana" w:cs="Arial"/>
          <w:color w:val="000000" w:themeColor="text1"/>
          <w:sz w:val="20"/>
          <w:szCs w:val="20"/>
        </w:rPr>
        <w:t>del mismo</w:t>
      </w:r>
      <w:proofErr w:type="gramEnd"/>
      <w:r w:rsidRPr="00781AF3">
        <w:rPr>
          <w:rFonts w:ascii="Verdana" w:eastAsia="Calibri" w:hAnsi="Verdana" w:cs="Arial"/>
          <w:color w:val="000000" w:themeColor="text1"/>
          <w:sz w:val="20"/>
          <w:szCs w:val="20"/>
        </w:rPr>
        <w:t xml:space="preserve"> en el momento de su disolución o liquidación”. [Énfasis fuera del texto original]</w:t>
      </w:r>
    </w:p>
    <w:p w14:paraId="19C55A49" w14:textId="77777777" w:rsidR="005400A9" w:rsidRPr="00E95B38" w:rsidRDefault="005400A9" w:rsidP="005400A9">
      <w:pPr>
        <w:pStyle w:val="Prrafodelista"/>
        <w:spacing w:after="0" w:line="276" w:lineRule="auto"/>
        <w:ind w:left="357"/>
        <w:contextualSpacing w:val="0"/>
        <w:jc w:val="both"/>
        <w:rPr>
          <w:rFonts w:ascii="Verdana" w:eastAsia="Calibri" w:hAnsi="Verdana" w:cs="Arial"/>
          <w:color w:val="000000" w:themeColor="text1"/>
        </w:rPr>
      </w:pPr>
    </w:p>
    <w:p w14:paraId="43255D13" w14:textId="77777777" w:rsidR="005400A9" w:rsidRPr="00E95B38" w:rsidRDefault="005400A9" w:rsidP="00781AF3">
      <w:pPr>
        <w:spacing w:after="120" w:line="276" w:lineRule="auto"/>
        <w:ind w:firstLine="708"/>
        <w:jc w:val="both"/>
        <w:rPr>
          <w:rFonts w:ascii="Verdana" w:eastAsia="Calibri" w:hAnsi="Verdana" w:cs="Arial"/>
          <w:color w:val="000000" w:themeColor="text1"/>
        </w:rPr>
      </w:pPr>
      <w:r w:rsidRPr="00E95B38">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0B708D17" w14:textId="4FB70737" w:rsidR="005400A9" w:rsidRDefault="00CF7832" w:rsidP="00F665DC">
      <w:pPr>
        <w:shd w:val="clear" w:color="auto" w:fill="FFFFFF"/>
        <w:spacing w:after="0" w:line="276" w:lineRule="auto"/>
        <w:ind w:firstLine="708"/>
        <w:jc w:val="both"/>
        <w:rPr>
          <w:rFonts w:ascii="Verdana" w:eastAsia="Times New Roman" w:hAnsi="Verdana"/>
          <w:lang w:eastAsia="es-MX"/>
        </w:rPr>
      </w:pPr>
      <w:r>
        <w:rPr>
          <w:rFonts w:ascii="Verdana" w:eastAsia="Calibri" w:hAnsi="Verdana" w:cs="Arial"/>
          <w:color w:val="000000" w:themeColor="text1"/>
        </w:rPr>
        <w:lastRenderedPageBreak/>
        <w:t>S</w:t>
      </w:r>
      <w:r w:rsidR="008217EF">
        <w:rPr>
          <w:rFonts w:ascii="Verdana" w:eastAsia="Calibri" w:hAnsi="Verdana" w:cs="Arial"/>
          <w:color w:val="000000" w:themeColor="text1"/>
        </w:rPr>
        <w:t xml:space="preserve">iguiendo con </w:t>
      </w:r>
      <w:r w:rsidR="005400A9" w:rsidRPr="00E95B38">
        <w:rPr>
          <w:rFonts w:ascii="Verdana" w:eastAsia="Calibri" w:hAnsi="Verdana" w:cs="Arial"/>
          <w:color w:val="000000" w:themeColor="text1"/>
        </w:rPr>
        <w:t>los planteamientos de su consulta se tiene que</w:t>
      </w:r>
      <w:r w:rsidR="008217EF">
        <w:rPr>
          <w:rFonts w:ascii="Verdana" w:eastAsia="Calibri" w:hAnsi="Verdana" w:cs="Arial"/>
          <w:color w:val="000000" w:themeColor="text1"/>
        </w:rPr>
        <w:t>,</w:t>
      </w:r>
      <w:r w:rsidR="005400A9" w:rsidRPr="00E95B38">
        <w:rPr>
          <w:rFonts w:ascii="Verdana" w:eastAsia="Calibri" w:hAnsi="Verdana" w:cs="Arial"/>
          <w:color w:val="000000" w:themeColor="text1"/>
        </w:rPr>
        <w:t xml:space="preserve"> </w:t>
      </w:r>
      <w:r w:rsidR="005400A9" w:rsidRPr="00E95B38">
        <w:rPr>
          <w:rFonts w:ascii="Verdana" w:eastAsia="Times New Roman" w:hAnsi="Verdana"/>
          <w:lang w:eastAsia="es-MX"/>
        </w:rPr>
        <w:t>para una debida gestión contractual con Entidades Sin Ánimo de Lucro (ESAL), conforme al Decreto 092 de 2017, la acreditación de idoneidad</w:t>
      </w:r>
      <w:r w:rsidR="00F665DC">
        <w:rPr>
          <w:rFonts w:ascii="Verdana" w:eastAsia="Times New Roman" w:hAnsi="Verdana"/>
          <w:lang w:eastAsia="es-MX"/>
        </w:rPr>
        <w:t xml:space="preserve"> debe ceñirse a los establecido en</w:t>
      </w:r>
      <w:r w:rsidR="005400A9" w:rsidRPr="00E95B38">
        <w:rPr>
          <w:rFonts w:ascii="Verdana" w:eastAsia="Times New Roman" w:hAnsi="Verdana"/>
          <w:lang w:eastAsia="es-MX"/>
        </w:rPr>
        <w:t xml:space="preserve"> el artículo 3</w:t>
      </w:r>
      <w:r w:rsidR="00F665DC">
        <w:rPr>
          <w:rFonts w:ascii="Verdana" w:eastAsia="Times New Roman" w:hAnsi="Verdana"/>
          <w:lang w:eastAsia="es-MX"/>
        </w:rPr>
        <w:t xml:space="preserve"> ibidem, que señala</w:t>
      </w:r>
      <w:r w:rsidR="005400A9" w:rsidRPr="00E95B38">
        <w:rPr>
          <w:rFonts w:ascii="Verdana" w:eastAsia="Times New Roman" w:hAnsi="Verdana"/>
          <w:lang w:eastAsia="es-MX"/>
        </w:rPr>
        <w:t>:</w:t>
      </w:r>
    </w:p>
    <w:p w14:paraId="1E8F0DA6" w14:textId="77777777" w:rsidR="00F665DC" w:rsidRPr="00E95B38" w:rsidRDefault="00F665DC" w:rsidP="00781AF3">
      <w:pPr>
        <w:shd w:val="clear" w:color="auto" w:fill="FFFFFF"/>
        <w:spacing w:after="0" w:line="276" w:lineRule="auto"/>
        <w:ind w:firstLine="708"/>
        <w:jc w:val="both"/>
        <w:rPr>
          <w:rFonts w:ascii="Verdana" w:eastAsia="Times New Roman" w:hAnsi="Verdana" w:cs="Times New Roman"/>
          <w:b/>
          <w:bCs/>
          <w:color w:val="333333"/>
          <w:lang w:eastAsia="es-MX"/>
        </w:rPr>
      </w:pPr>
    </w:p>
    <w:p w14:paraId="77E16BCA" w14:textId="77777777" w:rsidR="005400A9" w:rsidRPr="00781AF3" w:rsidRDefault="005400A9" w:rsidP="00A215B2">
      <w:pPr>
        <w:shd w:val="clear" w:color="auto" w:fill="FFFFFF"/>
        <w:spacing w:line="240" w:lineRule="auto"/>
        <w:ind w:left="709" w:right="709"/>
        <w:jc w:val="both"/>
        <w:rPr>
          <w:rFonts w:ascii="Verdana" w:eastAsia="Times New Roman" w:hAnsi="Verdana" w:cs="Times New Roman"/>
          <w:color w:val="333333"/>
          <w:sz w:val="20"/>
          <w:szCs w:val="20"/>
          <w:lang w:eastAsia="es-MX"/>
        </w:rPr>
      </w:pPr>
      <w:r w:rsidRPr="00781AF3">
        <w:rPr>
          <w:rFonts w:ascii="Verdana" w:eastAsia="Times New Roman" w:hAnsi="Verdana" w:cs="Times New Roman"/>
          <w:color w:val="333333"/>
          <w:sz w:val="20"/>
          <w:szCs w:val="20"/>
          <w:lang w:eastAsia="es-MX"/>
        </w:rPr>
        <w:t>“La entidad sin ánimo de lucro es de reconocida idoneidad cuando es adecuada y apropiada para desarrollar las actividades que son objeto del Proceso de Contratación y cuenta con experiencia en el objeto a contratar. En consecuencia, el objeto estatutario de la entidad sin ánimo de lucro le deberá permitir a esta desarrollar el objeto del Proceso de Contratación que adelantará la Entidad Estatal del Gobierno nacional, departamental, distrital y municipal.</w:t>
      </w:r>
    </w:p>
    <w:p w14:paraId="1DF12CAE" w14:textId="3B9CAE0F" w:rsidR="005400A9" w:rsidRPr="00E95B38" w:rsidRDefault="005400A9" w:rsidP="00781AF3">
      <w:pPr>
        <w:spacing w:after="120" w:line="276" w:lineRule="auto"/>
        <w:jc w:val="both"/>
        <w:rPr>
          <w:rFonts w:ascii="Verdana" w:eastAsia="Times New Roman" w:hAnsi="Verdana" w:cs="Times New Roman"/>
          <w:lang w:eastAsia="es-MX"/>
        </w:rPr>
      </w:pPr>
      <w:r w:rsidRPr="00E95B38">
        <w:rPr>
          <w:rFonts w:ascii="Verdana" w:eastAsia="Times New Roman" w:hAnsi="Verdana" w:cs="Times New Roman"/>
          <w:color w:val="333333"/>
          <w:lang w:eastAsia="es-MX"/>
        </w:rPr>
        <w:t xml:space="preserve">   </w:t>
      </w:r>
      <w:r w:rsidR="00CF7832">
        <w:rPr>
          <w:rFonts w:ascii="Verdana" w:eastAsia="Times New Roman" w:hAnsi="Verdana" w:cs="Times New Roman"/>
          <w:color w:val="333333"/>
          <w:lang w:eastAsia="es-MX"/>
        </w:rPr>
        <w:tab/>
      </w:r>
      <w:r w:rsidRPr="00E95B38">
        <w:rPr>
          <w:rFonts w:ascii="Verdana" w:eastAsia="Times New Roman" w:hAnsi="Verdana" w:cs="Times New Roman"/>
          <w:color w:val="333333"/>
          <w:lang w:eastAsia="es-MX"/>
        </w:rPr>
        <w:t xml:space="preserve">En este sentido, “la reconocida idoneidad”, deviene del estudio </w:t>
      </w:r>
      <w:r w:rsidRPr="00E95B38">
        <w:rPr>
          <w:rFonts w:ascii="Verdana" w:eastAsia="Times New Roman" w:hAnsi="Verdana" w:cs="Times New Roman"/>
          <w:lang w:eastAsia="es-MX"/>
        </w:rPr>
        <w:t xml:space="preserve">de un análisis objetivo y riguroso por parte de la entidad estatal, debidamente documentado en los estudios previos. Para ello, se deben verificar tres </w:t>
      </w:r>
      <w:r w:rsidRPr="00E95B38">
        <w:rPr>
          <w:rFonts w:ascii="Verdana" w:eastAsia="Times New Roman" w:hAnsi="Verdana"/>
          <w:lang w:eastAsia="es-MX"/>
        </w:rPr>
        <w:t xml:space="preserve">(3) elementos </w:t>
      </w:r>
      <w:r w:rsidRPr="00E95B38">
        <w:rPr>
          <w:rFonts w:ascii="Verdana" w:eastAsia="Times New Roman" w:hAnsi="Verdana" w:cs="Times New Roman"/>
          <w:lang w:eastAsia="es-MX"/>
        </w:rPr>
        <w:t>esenciales:</w:t>
      </w:r>
      <w:r w:rsidRPr="00E95B38">
        <w:rPr>
          <w:rFonts w:ascii="Verdana" w:eastAsia="Times New Roman" w:hAnsi="Verdana"/>
          <w:lang w:eastAsia="es-MX"/>
        </w:rPr>
        <w:t xml:space="preserve"> </w:t>
      </w:r>
      <w:r w:rsidRPr="00E95B38">
        <w:rPr>
          <w:rFonts w:ascii="Verdana" w:eastAsia="Times New Roman" w:hAnsi="Verdana"/>
          <w:i/>
          <w:iCs/>
          <w:lang w:eastAsia="es-MX"/>
        </w:rPr>
        <w:t>i)</w:t>
      </w:r>
      <w:r w:rsidRPr="00E95B38">
        <w:rPr>
          <w:rFonts w:ascii="Verdana" w:eastAsia="Times New Roman" w:hAnsi="Verdana"/>
          <w:lang w:eastAsia="es-MX"/>
        </w:rPr>
        <w:t xml:space="preserve"> la capacidad jurídica, </w:t>
      </w:r>
      <w:proofErr w:type="spellStart"/>
      <w:r w:rsidRPr="00E95B38">
        <w:rPr>
          <w:rFonts w:ascii="Verdana" w:eastAsia="Times New Roman" w:hAnsi="Verdana"/>
          <w:i/>
          <w:iCs/>
          <w:lang w:eastAsia="es-MX"/>
        </w:rPr>
        <w:t>ii</w:t>
      </w:r>
      <w:proofErr w:type="spellEnd"/>
      <w:r w:rsidRPr="00E95B38">
        <w:rPr>
          <w:rFonts w:ascii="Verdana" w:eastAsia="Times New Roman" w:hAnsi="Verdana"/>
          <w:i/>
          <w:iCs/>
          <w:lang w:eastAsia="es-MX"/>
        </w:rPr>
        <w:t xml:space="preserve">) la </w:t>
      </w:r>
      <w:r w:rsidRPr="00E95B38">
        <w:rPr>
          <w:rFonts w:ascii="Verdana" w:eastAsia="Times New Roman" w:hAnsi="Verdana" w:cs="Times New Roman"/>
          <w:i/>
          <w:iCs/>
          <w:lang w:eastAsia="es-MX"/>
        </w:rPr>
        <w:t>Capacidad Financiera y Organizacional</w:t>
      </w:r>
      <w:r w:rsidRPr="00E95B38">
        <w:rPr>
          <w:rFonts w:ascii="Verdana" w:eastAsia="Times New Roman" w:hAnsi="Verdana"/>
          <w:i/>
          <w:iCs/>
          <w:lang w:eastAsia="es-MX"/>
        </w:rPr>
        <w:t xml:space="preserve"> </w:t>
      </w:r>
      <w:proofErr w:type="spellStart"/>
      <w:r w:rsidRPr="00E95B38">
        <w:rPr>
          <w:rFonts w:ascii="Verdana" w:eastAsia="Times New Roman" w:hAnsi="Verdana"/>
          <w:i/>
          <w:iCs/>
          <w:lang w:eastAsia="es-MX"/>
        </w:rPr>
        <w:t>iii</w:t>
      </w:r>
      <w:proofErr w:type="spellEnd"/>
      <w:r w:rsidRPr="00E95B38">
        <w:rPr>
          <w:rFonts w:ascii="Verdana" w:eastAsia="Times New Roman" w:hAnsi="Verdana"/>
          <w:i/>
          <w:iCs/>
          <w:lang w:eastAsia="es-MX"/>
        </w:rPr>
        <w:t>)</w:t>
      </w:r>
      <w:r w:rsidRPr="00E95B38">
        <w:rPr>
          <w:rFonts w:ascii="Verdana" w:eastAsia="Times New Roman" w:hAnsi="Verdana" w:cs="Times New Roman"/>
          <w:lang w:eastAsia="es-MX"/>
        </w:rPr>
        <w:t xml:space="preserve"> Capacidad Técnica y Experiencia</w:t>
      </w:r>
      <w:r w:rsidRPr="00E95B38">
        <w:rPr>
          <w:rFonts w:ascii="Verdana" w:eastAsia="Times New Roman" w:hAnsi="Verdana"/>
          <w:lang w:eastAsia="es-MX"/>
        </w:rPr>
        <w:t>. Frente al primer elemento se tiene que</w:t>
      </w:r>
      <w:r w:rsidRPr="00E95B38">
        <w:rPr>
          <w:rFonts w:ascii="Verdana" w:eastAsia="Times New Roman" w:hAnsi="Verdana"/>
          <w:b/>
          <w:bCs/>
          <w:lang w:eastAsia="es-MX"/>
        </w:rPr>
        <w:t xml:space="preserve"> </w:t>
      </w:r>
      <w:r w:rsidRPr="00E95B38">
        <w:rPr>
          <w:rFonts w:ascii="Verdana" w:eastAsia="Times New Roman" w:hAnsi="Verdana" w:cs="Times New Roman"/>
          <w:lang w:eastAsia="es-MX"/>
        </w:rPr>
        <w:t>la entidad debe confirmar que la ESAL existe legalmente y que su objeto social le permite ejecutar las actividades del contrato; respecto al segundo, se debe evaluar si la ESAL cuenta con la solidez económica y la estructura administrativa para gestionar los recursos y ejecutar el contrato de manera eficiente, y frente al tercer elemento: se debe dar la verificación de que la ESAL "sabe hacer" el trabajo. Debe demostrar su experiencia y contar con los medios y el personal para ejecutar el objeto contractual.</w:t>
      </w:r>
    </w:p>
    <w:p w14:paraId="484BD246" w14:textId="77777777" w:rsidR="005400A9" w:rsidRPr="00E95B38" w:rsidRDefault="005400A9" w:rsidP="00781AF3">
      <w:pPr>
        <w:shd w:val="clear" w:color="auto" w:fill="FFFFFF"/>
        <w:spacing w:after="120" w:line="276" w:lineRule="auto"/>
        <w:jc w:val="both"/>
        <w:rPr>
          <w:rFonts w:ascii="Verdana" w:eastAsia="Times New Roman" w:hAnsi="Verdana" w:cs="Times New Roman"/>
          <w:color w:val="333333"/>
          <w:lang w:eastAsia="es-MX"/>
        </w:rPr>
      </w:pPr>
      <w:r w:rsidRPr="00E95B38">
        <w:rPr>
          <w:rFonts w:ascii="Verdana" w:eastAsia="Times New Roman" w:hAnsi="Verdana" w:cs="Times New Roman"/>
          <w:lang w:eastAsia="es-MX"/>
        </w:rPr>
        <w:t xml:space="preserve">       </w:t>
      </w:r>
      <w:r w:rsidRPr="00E95B38">
        <w:rPr>
          <w:rFonts w:ascii="Verdana" w:eastAsia="Times New Roman" w:hAnsi="Verdana"/>
          <w:color w:val="333333"/>
          <w:lang w:eastAsia="es-MX"/>
        </w:rPr>
        <w:t>En todo caso</w:t>
      </w:r>
      <w:r w:rsidRPr="00E95B38">
        <w:rPr>
          <w:rFonts w:ascii="Verdana" w:eastAsia="Times New Roman" w:hAnsi="Verdana" w:cs="Times New Roman"/>
          <w:color w:val="333333"/>
          <w:lang w:eastAsia="es-MX"/>
        </w:rPr>
        <w:t>, la Entidad Estatal debe definir en los Documentos del Proceso las características que debe acreditar la entidad sin ánimo de lucro. Para el efecto, deberá tomar en consideración las pautas y criterios establecidos en la guía</w:t>
      </w:r>
      <w:r w:rsidRPr="00E95B38">
        <w:rPr>
          <w:rFonts w:ascii="Verdana" w:hAnsi="Verdana"/>
        </w:rPr>
        <w:t xml:space="preserve"> para la contratación con entidades privadas sin ánimo de lucro y de reconocida idoneidad</w:t>
      </w:r>
      <w:r w:rsidRPr="00E95B38">
        <w:rPr>
          <w:rFonts w:ascii="Verdana" w:eastAsia="Times New Roman" w:hAnsi="Verdana" w:cs="Times New Roman"/>
          <w:color w:val="333333"/>
          <w:lang w:eastAsia="es-MX"/>
        </w:rPr>
        <w:t xml:space="preserve">, expedida por esta Agencia Nacional de Contratación Pública -Colombia Compra Eficiente, criterios en los cuales se tiene en cuenta las normas de trasparencia y acceso a la información aplicable a las entidades privadas sin ánimo de lucro que contratan con cargo a recursos de origen público y las mejores prácticas en materia de prohibiciones, inhabilidades, incompatibilidades y conflictos de interés. </w:t>
      </w:r>
    </w:p>
    <w:p w14:paraId="0DB900AB" w14:textId="191758DE" w:rsidR="00A92069" w:rsidRPr="00B631FD" w:rsidRDefault="003F694D" w:rsidP="00781AF3">
      <w:pPr>
        <w:spacing w:after="120" w:line="276" w:lineRule="auto"/>
        <w:ind w:firstLine="708"/>
        <w:jc w:val="both"/>
        <w:rPr>
          <w:rFonts w:ascii="Verdana" w:eastAsia="Calibri" w:hAnsi="Verdana" w:cs="Arial"/>
        </w:rPr>
      </w:pPr>
      <w:r>
        <w:rPr>
          <w:rFonts w:ascii="Verdana" w:eastAsia="Times New Roman" w:hAnsi="Verdana" w:cs="Times New Roman"/>
          <w:color w:val="333333"/>
          <w:lang w:eastAsia="es-MX"/>
        </w:rPr>
        <w:t xml:space="preserve">Respecto a la forma de selección de la ESAL debe señalarse que, </w:t>
      </w:r>
      <w:r>
        <w:rPr>
          <w:rFonts w:ascii="Verdana" w:eastAsia="Calibri" w:hAnsi="Verdana" w:cs="Arial"/>
          <w:color w:val="000000" w:themeColor="text1"/>
        </w:rPr>
        <w:t>p</w:t>
      </w:r>
      <w:r w:rsidR="00A92069" w:rsidRPr="00B631FD">
        <w:rPr>
          <w:rFonts w:ascii="Verdana" w:eastAsia="Calibri" w:hAnsi="Verdana" w:cs="Arial"/>
          <w:color w:val="000000" w:themeColor="text1"/>
        </w:rPr>
        <w:t xml:space="preserve">ara celebrar </w:t>
      </w:r>
      <w:r w:rsidR="00561E14">
        <w:rPr>
          <w:rFonts w:ascii="Verdana" w:eastAsia="Calibri" w:hAnsi="Verdana" w:cs="Arial"/>
          <w:color w:val="000000" w:themeColor="text1"/>
        </w:rPr>
        <w:t xml:space="preserve">los contratos de colaboración, </w:t>
      </w:r>
      <w:r w:rsidR="00A92069" w:rsidRPr="00B631FD">
        <w:rPr>
          <w:rFonts w:ascii="Verdana" w:eastAsia="Calibri" w:hAnsi="Verdana" w:cs="Arial"/>
          <w:color w:val="000000" w:themeColor="text1"/>
        </w:rPr>
        <w:t xml:space="preserve">según lo establece el artículo 4 del </w:t>
      </w:r>
      <w:r w:rsidR="00A92069" w:rsidRPr="00B631FD">
        <w:rPr>
          <w:rFonts w:ascii="Verdana" w:eastAsia="Calibri" w:hAnsi="Verdana" w:cs="Arial"/>
          <w:color w:val="000000" w:themeColor="text1"/>
        </w:rPr>
        <w:lastRenderedPageBreak/>
        <w:t xml:space="preserve">Decreto 092 de 2017, por regla general, la entidad debe adelantar un proceso competitivo para seleccionar la ESAL contratista. </w:t>
      </w:r>
    </w:p>
    <w:p w14:paraId="73C7480C" w14:textId="00012C6C" w:rsidR="00A92069" w:rsidRPr="00B631FD" w:rsidRDefault="00A92069" w:rsidP="00781AF3">
      <w:pPr>
        <w:spacing w:after="120" w:line="276" w:lineRule="auto"/>
        <w:ind w:firstLine="708"/>
        <w:jc w:val="both"/>
        <w:rPr>
          <w:rFonts w:ascii="Verdana" w:eastAsia="Calibri" w:hAnsi="Verdana" w:cs="Arial"/>
        </w:rPr>
      </w:pPr>
      <w:r w:rsidRPr="00B631FD">
        <w:rPr>
          <w:rFonts w:ascii="Verdana" w:eastAsia="Calibri" w:hAnsi="Verdana" w:cs="Arial"/>
          <w:color w:val="000000" w:themeColor="text1"/>
        </w:rPr>
        <w:t xml:space="preserve">De otro lado, </w:t>
      </w:r>
      <w:r w:rsidR="009618E9">
        <w:rPr>
          <w:rFonts w:ascii="Verdana" w:eastAsia="Calibri" w:hAnsi="Verdana" w:cs="Arial"/>
          <w:color w:val="000000" w:themeColor="text1"/>
        </w:rPr>
        <w:t>d</w:t>
      </w:r>
      <w:r w:rsidRPr="00B631FD">
        <w:rPr>
          <w:rFonts w:ascii="Verdana" w:eastAsia="Calibri" w:hAnsi="Verdana" w:cs="Arial"/>
          <w:color w:val="000000"/>
          <w:lang w:val="es-MX" w:eastAsia="es-ES_tradnl"/>
        </w:rPr>
        <w:t xml:space="preserve">e conformidad con el inciso segundo del artículo 96 de la Ley 489 de 1998, en </w:t>
      </w:r>
      <w:r w:rsidRPr="00B631FD">
        <w:rPr>
          <w:rFonts w:ascii="Verdana" w:eastAsia="Calibri" w:hAnsi="Verdana" w:cs="Arial"/>
          <w:color w:val="000000"/>
          <w:lang w:eastAsia="es-ES_tradnl"/>
        </w:rPr>
        <w:t>los</w:t>
      </w:r>
      <w:r w:rsidRPr="00B631FD">
        <w:rPr>
          <w:rFonts w:ascii="Verdana" w:eastAsia="Calibri" w:hAnsi="Verdana" w:cs="Arial"/>
          <w:color w:val="000000"/>
          <w:lang w:val="es-MX" w:eastAsia="es-ES_tradnl"/>
        </w:rPr>
        <w:t xml:space="preserve"> convenios</w:t>
      </w:r>
      <w:r w:rsidRPr="00B631FD">
        <w:rPr>
          <w:rFonts w:ascii="Verdana" w:eastAsia="Calibri" w:hAnsi="Verdana" w:cs="Arial"/>
          <w:color w:val="000000"/>
          <w:lang w:eastAsia="es-ES_tradnl"/>
        </w:rPr>
        <w:t xml:space="preserve"> de asociación</w:t>
      </w:r>
      <w:r w:rsidRPr="00B631FD">
        <w:rPr>
          <w:rFonts w:ascii="Verdana" w:eastAsia="Calibri" w:hAnsi="Verdana" w:cs="Arial"/>
          <w:color w:val="000000"/>
          <w:lang w:val="es-MX" w:eastAsia="es-ES_tradnl"/>
        </w:rPr>
        <w:t xml:space="preserve">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treinta por ciento (30%)</w:t>
      </w:r>
      <w:r w:rsidRPr="00B631FD">
        <w:rPr>
          <w:rFonts w:ascii="Verdana" w:eastAsia="Calibri" w:hAnsi="Verdana" w:cs="Arial"/>
          <w:color w:val="000000"/>
          <w:lang w:eastAsia="es-ES_tradnl"/>
        </w:rPr>
        <w:t xml:space="preserve"> del valor total</w:t>
      </w:r>
      <w:r w:rsidRPr="00B631FD">
        <w:rPr>
          <w:rFonts w:ascii="Verdana" w:eastAsia="Calibri" w:hAnsi="Verdana" w:cs="Arial"/>
          <w:color w:val="000000"/>
          <w:lang w:val="es-MX" w:eastAsia="es-ES_tradnl"/>
        </w:rPr>
        <w:t xml:space="preserve">, o en especie, los cuales deben servir al desarrollo de los objetivos comunes de la asociación. </w:t>
      </w:r>
    </w:p>
    <w:p w14:paraId="5F6D4106" w14:textId="5933F74C" w:rsidR="00A92069" w:rsidRPr="00B631FD" w:rsidRDefault="009618E9" w:rsidP="00781AF3">
      <w:pPr>
        <w:spacing w:after="120" w:line="276" w:lineRule="auto"/>
        <w:ind w:firstLine="708"/>
        <w:jc w:val="both"/>
        <w:textAlignment w:val="baseline"/>
        <w:rPr>
          <w:rFonts w:ascii="Verdana" w:eastAsia="Calibri" w:hAnsi="Verdana" w:cs="Arial"/>
          <w:lang w:val="es-ES_tradnl" w:eastAsia="es-ES_tradnl"/>
        </w:rPr>
      </w:pPr>
      <w:bookmarkStart w:id="10" w:name="_Hlk173067283"/>
      <w:r>
        <w:rPr>
          <w:rFonts w:ascii="Verdana" w:eastAsia="Calibri" w:hAnsi="Verdana" w:cs="Arial"/>
          <w:lang w:val="es-ES_tradnl" w:eastAsia="es-ES_tradnl"/>
        </w:rPr>
        <w:t>E</w:t>
      </w:r>
      <w:r w:rsidR="00A92069" w:rsidRPr="00B631FD">
        <w:rPr>
          <w:rFonts w:ascii="Verdana" w:eastAsia="Calibri" w:hAnsi="Verdana" w:cs="Arial"/>
          <w:lang w:val="es-ES_tradnl" w:eastAsia="es-ES_tradnl"/>
        </w:rPr>
        <w:t xml:space="preserve">l </w:t>
      </w:r>
      <w:bookmarkStart w:id="11" w:name="_Hlk173065372"/>
      <w:r w:rsidR="00A92069" w:rsidRPr="00B631FD">
        <w:rPr>
          <w:rFonts w:ascii="Verdana" w:eastAsia="Calibri" w:hAnsi="Verdana" w:cs="Arial"/>
          <w:lang w:val="es-ES_tradnl" w:eastAsia="es-ES_tradnl"/>
        </w:rPr>
        <w:t>artículo 5</w:t>
      </w:r>
      <w:bookmarkEnd w:id="11"/>
      <w:r w:rsidR="00A92069" w:rsidRPr="00B631FD">
        <w:rPr>
          <w:rFonts w:ascii="Verdana" w:eastAsia="Calibri" w:hAnsi="Verdana" w:cs="Arial"/>
          <w:lang w:val="es-ES_tradnl" w:eastAsia="es-ES_tradnl"/>
        </w:rPr>
        <w:t xml:space="preserve"> del Decreto 092 de 2017</w:t>
      </w:r>
      <w:r w:rsidR="00A92069" w:rsidRPr="00CE6097">
        <w:rPr>
          <w:vertAlign w:val="superscript"/>
          <w:lang w:eastAsia="es-ES_tradnl"/>
        </w:rPr>
        <w:footnoteReference w:id="8"/>
      </w:r>
      <w:r w:rsidR="00A92069" w:rsidRPr="00B631FD">
        <w:rPr>
          <w:rFonts w:ascii="Verdana" w:eastAsia="Calibri" w:hAnsi="Verdana" w:cs="Arial"/>
          <w:lang w:val="es-ES_tradnl" w:eastAsia="es-ES_tradnl"/>
        </w:rPr>
        <w:t xml:space="preserve"> establece que, </w:t>
      </w:r>
      <w:bookmarkStart w:id="12" w:name="_Hlk77927493"/>
      <w:r w:rsidR="00A92069" w:rsidRPr="00B631FD">
        <w:rPr>
          <w:rFonts w:ascii="Verdana" w:eastAsia="Calibri" w:hAnsi="Verdana" w:cs="Arial"/>
          <w:lang w:eastAsia="es-ES_tradnl"/>
        </w:rPr>
        <w:t>el proceso para la escogencia de la ESAL, por regla general, debe estar sujeto a competencia, salvo en aquellos casos en los que una ESAL manifieste su compromiso de aportar recursos en dinero por un valor igual o superior al treinta por ciento (30%) del valor total del convenio, siempre y cuando no existan otras ESAL que ofrezcan aportes en monto igual o superior a dicho porcentaje</w:t>
      </w:r>
      <w:bookmarkEnd w:id="12"/>
      <w:r w:rsidR="00A92069" w:rsidRPr="00B631FD">
        <w:rPr>
          <w:rFonts w:ascii="Verdana" w:eastAsia="Calibri" w:hAnsi="Verdana" w:cs="Arial"/>
          <w:lang w:eastAsia="es-ES_tradnl"/>
        </w:rPr>
        <w:t xml:space="preserve">, pues en este evento también se tendría que realizar un proceso competitivo. </w:t>
      </w:r>
    </w:p>
    <w:bookmarkEnd w:id="10"/>
    <w:p w14:paraId="106AE24F" w14:textId="77777777" w:rsidR="00A92069" w:rsidRPr="00B631FD" w:rsidRDefault="00A92069" w:rsidP="00781AF3">
      <w:pPr>
        <w:spacing w:after="120" w:line="276" w:lineRule="auto"/>
        <w:ind w:firstLine="708"/>
        <w:jc w:val="both"/>
        <w:textAlignment w:val="baseline"/>
        <w:rPr>
          <w:rFonts w:ascii="Verdana" w:eastAsia="Calibri" w:hAnsi="Verdana" w:cs="Arial"/>
          <w:lang w:val="es-ES_tradnl" w:eastAsia="es-ES_tradnl"/>
        </w:rPr>
      </w:pPr>
      <w:r w:rsidRPr="00B631FD">
        <w:rPr>
          <w:rFonts w:ascii="Verdana" w:eastAsia="Calibri" w:hAnsi="Verdana" w:cs="Arial"/>
          <w:lang w:val="es-ES_tradnl" w:eastAsia="es-ES_tradnl"/>
        </w:rPr>
        <w:t>Tal como lo indicó esta Agencia en la “Guía para la contratación con entidades privadas sin ánimo de lucro y de reconocida idoneidad”, el artículo 5 del Decreto 092 de 2017 “[…] busca reconocer el esfuerzo de la ESAL para conseguir recursos propios o de cooperación para el desarrollo conjunto de actividades de las Entidades Estatales en el marco del artículo 96 de la Ley 489 de 1998 y eximirla de competencia cuando aporta 30% o más de los recursos requeridos”.</w:t>
      </w:r>
    </w:p>
    <w:p w14:paraId="6F78A06D" w14:textId="77777777" w:rsidR="00A92069" w:rsidRPr="004F2020" w:rsidRDefault="00A92069" w:rsidP="00781AF3">
      <w:pPr>
        <w:pStyle w:val="Prrafodelista"/>
        <w:spacing w:after="120" w:line="276" w:lineRule="auto"/>
        <w:ind w:left="0"/>
        <w:contextualSpacing w:val="0"/>
        <w:rPr>
          <w:rFonts w:ascii="Verdana" w:eastAsia="Calibri" w:hAnsi="Verdana" w:cs="Arial"/>
          <w:lang w:val="es-ES_tradnl" w:eastAsia="es-ES_tradnl"/>
        </w:rPr>
      </w:pPr>
    </w:p>
    <w:p w14:paraId="01AF6A7D" w14:textId="77777777" w:rsidR="00A92069" w:rsidRPr="00B631FD" w:rsidRDefault="00A92069" w:rsidP="00781AF3">
      <w:pPr>
        <w:spacing w:after="0" w:line="276" w:lineRule="auto"/>
        <w:ind w:firstLine="708"/>
        <w:jc w:val="both"/>
        <w:textAlignment w:val="baseline"/>
        <w:rPr>
          <w:rFonts w:ascii="Verdana" w:eastAsia="Calibri" w:hAnsi="Verdana" w:cs="Arial"/>
          <w:lang w:val="es-ES_tradnl" w:eastAsia="es-ES_tradnl"/>
        </w:rPr>
      </w:pPr>
      <w:r w:rsidRPr="00B631FD">
        <w:rPr>
          <w:rFonts w:ascii="Verdana" w:eastAsia="Calibri" w:hAnsi="Verdana" w:cs="Arial"/>
          <w:lang w:val="es-ES_tradnl" w:eastAsia="es-ES_tradnl"/>
        </w:rPr>
        <w:t>En similar sentido, el doctrinante Mauricio Rodríguez Tamayo manifiesta que:</w:t>
      </w:r>
    </w:p>
    <w:p w14:paraId="4194FEAC" w14:textId="77777777" w:rsidR="00A92069" w:rsidRPr="004F2020" w:rsidRDefault="00A92069" w:rsidP="00A92069">
      <w:pPr>
        <w:pStyle w:val="Prrafodelista"/>
        <w:spacing w:after="0" w:line="276" w:lineRule="auto"/>
        <w:ind w:left="360"/>
        <w:contextualSpacing w:val="0"/>
        <w:jc w:val="both"/>
        <w:textAlignment w:val="baseline"/>
        <w:rPr>
          <w:rFonts w:ascii="Verdana" w:eastAsia="Calibri" w:hAnsi="Verdana" w:cs="Arial"/>
          <w:lang w:val="es-ES_tradnl" w:eastAsia="es-ES_tradnl"/>
        </w:rPr>
      </w:pPr>
    </w:p>
    <w:p w14:paraId="0BFAEE59" w14:textId="77777777" w:rsidR="00A92069" w:rsidRPr="004F2020" w:rsidRDefault="00A92069" w:rsidP="00A92069">
      <w:pPr>
        <w:pStyle w:val="Prrafodelista"/>
        <w:autoSpaceDE w:val="0"/>
        <w:autoSpaceDN w:val="0"/>
        <w:adjustRightInd w:val="0"/>
        <w:spacing w:after="0" w:line="240" w:lineRule="auto"/>
        <w:ind w:left="709" w:right="709"/>
        <w:jc w:val="both"/>
        <w:rPr>
          <w:rFonts w:ascii="Verdana" w:eastAsia="Times New Roman" w:hAnsi="Verdana" w:cs="Arial"/>
          <w:sz w:val="20"/>
          <w:szCs w:val="20"/>
          <w:lang w:eastAsia="es-ES_tradnl"/>
        </w:rPr>
      </w:pPr>
      <w:r w:rsidRPr="004F2020">
        <w:rPr>
          <w:rFonts w:ascii="Verdana" w:eastAsia="Times New Roman" w:hAnsi="Verdana" w:cs="Arial"/>
          <w:sz w:val="20"/>
          <w:szCs w:val="20"/>
          <w:lang w:val="es-ES_tradnl" w:eastAsia="es-ES_tradnl"/>
        </w:rPr>
        <w:t>“El Decreto 092 de 2017 permite la escogencia directa de una ESAL, para la suscripción de un convenio de asociación solo cuando el privado s</w:t>
      </w:r>
      <w:r w:rsidRPr="004F2020">
        <w:rPr>
          <w:rFonts w:ascii="Verdana" w:eastAsia="Times New Roman" w:hAnsi="Verdana" w:cs="Arial"/>
          <w:sz w:val="20"/>
          <w:szCs w:val="20"/>
          <w:lang w:eastAsia="es-ES_tradnl"/>
        </w:rPr>
        <w:t xml:space="preserve">in ánimo de lucro aporta no menos de 30% en dinero del valor total del </w:t>
      </w:r>
      <w:r w:rsidRPr="004F2020">
        <w:rPr>
          <w:rFonts w:ascii="Verdana" w:eastAsia="Times New Roman" w:hAnsi="Verdana" w:cs="Arial"/>
          <w:sz w:val="20"/>
          <w:szCs w:val="20"/>
          <w:lang w:eastAsia="es-ES_tradnl"/>
        </w:rPr>
        <w:lastRenderedPageBreak/>
        <w:t>convenio. Por supuesto, es necesario acreditar la idoneidad necesaria de la ESAL, para que participe junto con el Estado en la atención y prestación de servicios públicos de naturaleza estatal.</w:t>
      </w:r>
    </w:p>
    <w:p w14:paraId="349678FE" w14:textId="77777777" w:rsidR="00A92069" w:rsidRPr="004F2020" w:rsidRDefault="00A92069" w:rsidP="00A92069">
      <w:pPr>
        <w:pStyle w:val="Prrafodelista"/>
        <w:autoSpaceDE w:val="0"/>
        <w:autoSpaceDN w:val="0"/>
        <w:adjustRightInd w:val="0"/>
        <w:spacing w:after="0" w:line="240" w:lineRule="auto"/>
        <w:ind w:left="709" w:right="709"/>
        <w:jc w:val="both"/>
        <w:rPr>
          <w:rFonts w:ascii="Verdana" w:eastAsia="Times New Roman" w:hAnsi="Verdana" w:cs="Arial"/>
          <w:sz w:val="20"/>
          <w:szCs w:val="20"/>
          <w:lang w:eastAsia="es-ES_tradnl"/>
        </w:rPr>
      </w:pPr>
    </w:p>
    <w:p w14:paraId="0BAC65A5" w14:textId="77777777" w:rsidR="00A92069" w:rsidRPr="004F2020" w:rsidRDefault="00A92069" w:rsidP="00A92069">
      <w:pPr>
        <w:pStyle w:val="Prrafodelista"/>
        <w:autoSpaceDE w:val="0"/>
        <w:autoSpaceDN w:val="0"/>
        <w:adjustRightInd w:val="0"/>
        <w:spacing w:after="0" w:line="240" w:lineRule="auto"/>
        <w:ind w:left="709" w:right="709"/>
        <w:jc w:val="both"/>
        <w:rPr>
          <w:rFonts w:ascii="Verdana" w:eastAsia="Times New Roman" w:hAnsi="Verdana" w:cs="Arial"/>
          <w:sz w:val="20"/>
          <w:szCs w:val="20"/>
          <w:lang w:eastAsia="es-ES_tradnl"/>
        </w:rPr>
      </w:pPr>
      <w:r w:rsidRPr="004F2020">
        <w:rPr>
          <w:rFonts w:ascii="Verdana" w:eastAsia="Times New Roman" w:hAnsi="Verdana" w:cs="Arial"/>
          <w:sz w:val="20"/>
          <w:szCs w:val="20"/>
          <w:lang w:eastAsia="es-ES_tradnl"/>
        </w:rPr>
        <w:t xml:space="preserve">Se podrá contratar directamente por esta causal siempre que esté acreditada cualquiera de las siguientes circunstancias: […] </w:t>
      </w:r>
      <w:proofErr w:type="spellStart"/>
      <w:r w:rsidRPr="004F2020">
        <w:rPr>
          <w:rFonts w:ascii="Verdana" w:eastAsia="Times New Roman" w:hAnsi="Verdana" w:cs="Arial"/>
          <w:sz w:val="20"/>
          <w:szCs w:val="20"/>
          <w:lang w:eastAsia="es-ES_tradnl"/>
        </w:rPr>
        <w:t>ii</w:t>
      </w:r>
      <w:proofErr w:type="spellEnd"/>
      <w:r w:rsidRPr="004F2020">
        <w:rPr>
          <w:rFonts w:ascii="Verdana" w:eastAsia="Times New Roman" w:hAnsi="Verdana" w:cs="Arial"/>
          <w:sz w:val="20"/>
          <w:szCs w:val="20"/>
          <w:lang w:eastAsia="es-ES_tradnl"/>
        </w:rPr>
        <w:t>) se celebran convenios de asociación a los que hace referencia el artículo 96 de la Ley 489 de 1998 y la ESAL compromete recursos en dinero en una proporción no inferior a 30% del valor total del convenio”</w:t>
      </w:r>
      <w:r w:rsidRPr="004F2020">
        <w:rPr>
          <w:rFonts w:ascii="Verdana" w:hAnsi="Verdana"/>
          <w:sz w:val="20"/>
          <w:szCs w:val="20"/>
          <w:vertAlign w:val="superscript"/>
          <w:lang w:eastAsia="es-ES_tradnl"/>
        </w:rPr>
        <w:footnoteReference w:id="9"/>
      </w:r>
      <w:r w:rsidRPr="004F2020">
        <w:rPr>
          <w:rFonts w:ascii="Verdana" w:eastAsia="Times New Roman" w:hAnsi="Verdana" w:cs="Arial"/>
          <w:sz w:val="20"/>
          <w:szCs w:val="20"/>
          <w:lang w:eastAsia="es-ES_tradnl"/>
        </w:rPr>
        <w:t>.</w:t>
      </w:r>
    </w:p>
    <w:p w14:paraId="6FC41559" w14:textId="77777777" w:rsidR="00A92069" w:rsidRPr="00D17CC8" w:rsidRDefault="00A92069" w:rsidP="00A92069">
      <w:pPr>
        <w:pStyle w:val="Prrafodelista"/>
        <w:spacing w:after="0" w:line="276" w:lineRule="auto"/>
        <w:ind w:left="360"/>
        <w:contextualSpacing w:val="0"/>
        <w:jc w:val="both"/>
        <w:textAlignment w:val="baseline"/>
        <w:rPr>
          <w:rFonts w:ascii="Verdana" w:eastAsia="Calibri" w:hAnsi="Verdana" w:cs="Arial"/>
          <w:lang w:val="es-ES_tradnl" w:eastAsia="es-ES_tradnl"/>
        </w:rPr>
      </w:pPr>
    </w:p>
    <w:p w14:paraId="5073F031" w14:textId="77777777" w:rsidR="00A92069" w:rsidRPr="00B631FD" w:rsidRDefault="00A92069" w:rsidP="00781AF3">
      <w:pPr>
        <w:spacing w:after="120" w:line="276" w:lineRule="auto"/>
        <w:ind w:firstLine="708"/>
        <w:jc w:val="both"/>
        <w:textAlignment w:val="baseline"/>
        <w:rPr>
          <w:rFonts w:ascii="Verdana" w:eastAsia="Calibri" w:hAnsi="Verdana" w:cs="Arial"/>
          <w:lang w:val="es-ES_tradnl" w:eastAsia="es-ES_tradnl"/>
        </w:rPr>
      </w:pPr>
      <w:r w:rsidRPr="00B631FD">
        <w:rPr>
          <w:rFonts w:ascii="Verdana" w:eastAsia="Calibri" w:hAnsi="Verdana" w:cs="Arial"/>
          <w:lang w:val="es-ES_tradnl" w:eastAsia="es-ES_tradnl"/>
        </w:rPr>
        <w:t xml:space="preserve">Ahora bien, es importante resaltar que, </w:t>
      </w:r>
      <w:bookmarkStart w:id="14" w:name="_Hlk173070078"/>
      <w:r w:rsidRPr="00B631FD">
        <w:rPr>
          <w:rFonts w:ascii="Verdana" w:eastAsia="Calibri" w:hAnsi="Verdana" w:cs="Arial"/>
          <w:lang w:val="es-ES_tradnl" w:eastAsia="es-ES_tradnl"/>
        </w:rPr>
        <w:t xml:space="preserve">según el mismo artículo 5, </w:t>
      </w:r>
      <w:r w:rsidRPr="00B631FD">
        <w:rPr>
          <w:rFonts w:ascii="Verdana" w:eastAsia="Calibri" w:hAnsi="Verdana" w:cs="Arial"/>
          <w:i/>
          <w:iCs/>
          <w:lang w:val="es-ES_tradnl" w:eastAsia="es-ES_tradnl"/>
        </w:rPr>
        <w:t>si hay más de una ESAL</w:t>
      </w:r>
      <w:r w:rsidRPr="00B631FD">
        <w:rPr>
          <w:rFonts w:ascii="Verdana" w:eastAsia="Calibri" w:hAnsi="Verdana" w:cs="Arial"/>
          <w:lang w:val="es-ES_tradnl" w:eastAsia="es-ES_tradnl"/>
        </w:rPr>
        <w:t xml:space="preserve"> que ofrezca su compromiso de recursos en dinero para el desarrollo conjunto de actividades relacionadas con los cometidos y funciones asignadas por ley a una Entidad Estatal, en una proporción no inferior al treinta por ciento (30%) del valor total del convenio, esta última debe seleccionar de forma objetiva a tal entidad y justificar los criterios para tal selección. En este evento, la Entidad Estatal debe diseñar herramientas que permitan una comparación objetiva de las ESAL para seleccionar objetivamente a aquella que tenga las mejores condiciones para alcanzar el resultado esperado con el proyecto de cooperación. </w:t>
      </w:r>
      <w:bookmarkEnd w:id="14"/>
    </w:p>
    <w:p w14:paraId="43E76307" w14:textId="77777777" w:rsidR="00A92069" w:rsidRPr="00B631FD" w:rsidRDefault="00A92069" w:rsidP="00781AF3">
      <w:pPr>
        <w:spacing w:after="120" w:line="276" w:lineRule="auto"/>
        <w:ind w:firstLine="708"/>
        <w:jc w:val="both"/>
        <w:rPr>
          <w:rFonts w:ascii="Verdana" w:eastAsia="Calibri" w:hAnsi="Verdana" w:cs="Arial"/>
        </w:rPr>
      </w:pPr>
      <w:r w:rsidRPr="00B631FD">
        <w:rPr>
          <w:rFonts w:ascii="Verdana" w:eastAsia="Calibri" w:hAnsi="Verdana" w:cs="Arial"/>
          <w:color w:val="000000"/>
          <w:lang w:val="es-MX" w:eastAsia="es-ES_tradnl"/>
        </w:rPr>
        <w:t xml:space="preserve">La noción </w:t>
      </w:r>
      <w:r w:rsidRPr="00B631FD">
        <w:rPr>
          <w:rFonts w:ascii="Verdana" w:eastAsia="Calibri" w:hAnsi="Verdana" w:cs="Arial"/>
          <w:i/>
          <w:iCs/>
          <w:color w:val="000000"/>
          <w:lang w:val="es-MX" w:eastAsia="es-ES_tradnl"/>
        </w:rPr>
        <w:t>“seleccionar de forma objetiva”</w:t>
      </w:r>
      <w:r w:rsidRPr="00B631FD">
        <w:rPr>
          <w:rFonts w:ascii="Verdana" w:eastAsia="Calibri" w:hAnsi="Verdana" w:cs="Arial"/>
          <w:color w:val="000000"/>
          <w:lang w:val="es-MX" w:eastAsia="es-ES_tradnl"/>
        </w:rPr>
        <w:t xml:space="preserve">, contenida en la disposición </w:t>
      </w:r>
      <w:r w:rsidRPr="00B631FD">
        <w:rPr>
          <w:rFonts w:ascii="Verdana" w:eastAsia="Calibri" w:hAnsi="Verdana" w:cs="Arial"/>
          <w:i/>
          <w:iCs/>
          <w:color w:val="000000"/>
          <w:lang w:val="es-MX" w:eastAsia="es-ES_tradnl"/>
        </w:rPr>
        <w:t xml:space="preserve">sub examine </w:t>
      </w:r>
      <w:r w:rsidRPr="00B631FD">
        <w:rPr>
          <w:rFonts w:ascii="Verdana" w:eastAsia="Calibri" w:hAnsi="Verdana" w:cs="Arial"/>
          <w:color w:val="000000"/>
          <w:lang w:val="es-MX" w:eastAsia="es-ES_tradnl"/>
        </w:rPr>
        <w:t xml:space="preserve">no puede ser entendida como una remisión total a las Leyes 80 de 1993 y 1150 de 2007 respecto a los criterios habilitantes de las modalidades de selección o de adjudicación. A lo que se refiere la norma es a que la Entidad Estatal debe diseñar herramientas propias a </w:t>
      </w:r>
      <w:r w:rsidRPr="00B631FD">
        <w:rPr>
          <w:rFonts w:ascii="Verdana" w:eastAsia="Calibri" w:hAnsi="Verdana" w:cs="Arial"/>
          <w:lang w:val="es-ES_tradnl" w:eastAsia="es-ES_tradnl"/>
        </w:rPr>
        <w:t>la contratación con Entidades Privadas Sin Ánimo de Lucro y de Reconocida Idoneidad</w:t>
      </w:r>
      <w:r w:rsidRPr="00B631FD">
        <w:rPr>
          <w:rFonts w:ascii="Verdana" w:eastAsia="Calibri" w:hAnsi="Verdana" w:cs="Arial"/>
          <w:color w:val="000000"/>
          <w:lang w:val="es-MX" w:eastAsia="es-ES_tradnl"/>
        </w:rPr>
        <w:t xml:space="preserve">  que permitan una comparación objetiva de las ESAL y con ello puedan seleccionar objetivamente a aquella que tenga las mejores condiciones para alcanzar el resultado esperado,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092 de 2017.</w:t>
      </w:r>
    </w:p>
    <w:p w14:paraId="7EF36295" w14:textId="77777777" w:rsidR="00A92069" w:rsidRPr="00B631FD" w:rsidRDefault="00A92069" w:rsidP="00781AF3">
      <w:pPr>
        <w:spacing w:after="120" w:line="276" w:lineRule="auto"/>
        <w:ind w:firstLine="708"/>
        <w:jc w:val="both"/>
        <w:rPr>
          <w:rFonts w:ascii="Verdana" w:eastAsia="Calibri" w:hAnsi="Verdana" w:cs="Arial"/>
        </w:rPr>
      </w:pPr>
      <w:r w:rsidRPr="00B631FD">
        <w:rPr>
          <w:rFonts w:ascii="Verdana" w:eastAsia="Arial" w:hAnsi="Verdana" w:cs="Arial"/>
          <w:color w:val="000000"/>
          <w:lang w:eastAsia="es-ES_tradnl"/>
        </w:rPr>
        <w:t xml:space="preserve">En suma, las Entidades Estatales son autónomas en la configuración del proceso competitivo en desarrollo del artículo 5 del Decreto 092 de 2017. En </w:t>
      </w:r>
      <w:r w:rsidRPr="00B631FD">
        <w:rPr>
          <w:rFonts w:ascii="Verdana" w:eastAsia="Arial" w:hAnsi="Verdana" w:cs="Arial"/>
          <w:color w:val="000000"/>
          <w:lang w:eastAsia="es-ES_tradnl"/>
        </w:rPr>
        <w:lastRenderedPageBreak/>
        <w:t>todo caso, el proceso competitivo que definan las Entidades Estatales para sus convenios de asociación debe garantizar la libre concurrencia, la pluralidad de interesados y la comparación objetiva de las ofertas. Este procedimiento puede ser análogo a otros donde existe competencia, como la licitación pública</w:t>
      </w:r>
      <w:r w:rsidRPr="00B631FD">
        <w:rPr>
          <w:rFonts w:ascii="Verdana" w:eastAsia="Calibri" w:hAnsi="Verdana" w:cs="Arial"/>
          <w:color w:val="000000"/>
          <w:lang w:val="es-MX" w:eastAsia="es-ES_tradnl"/>
        </w:rPr>
        <w:t>.</w:t>
      </w:r>
    </w:p>
    <w:p w14:paraId="30E73878" w14:textId="77777777" w:rsidR="00A92069" w:rsidRPr="00B631FD" w:rsidRDefault="00A92069" w:rsidP="00781AF3">
      <w:pPr>
        <w:spacing w:after="120" w:line="276" w:lineRule="auto"/>
        <w:ind w:firstLine="708"/>
        <w:jc w:val="both"/>
        <w:rPr>
          <w:rFonts w:ascii="Verdana" w:eastAsia="Calibri" w:hAnsi="Verdana" w:cs="Arial"/>
        </w:rPr>
      </w:pPr>
      <w:bookmarkStart w:id="15" w:name="_Hlk173070229"/>
      <w:r w:rsidRPr="00B631FD">
        <w:rPr>
          <w:rFonts w:ascii="Verdana" w:eastAsia="Calibri" w:hAnsi="Verdana" w:cs="Arial"/>
          <w:color w:val="000000"/>
          <w:lang w:eastAsia="es-ES_tradnl"/>
        </w:rPr>
        <w:t>En este punto, es menester advertir que, el artículo 5 de del Decreto 092 de 2017 no prohíbe la celebración de convenios en que la ESAL aporte menos del treinta por ciento (30%) o cuando aporten recursos en especie. En efecto, solo indica que en esos casos la Entidad Estatal debe acudir al proceso competitivo para seleccionar a la ESAL con la cual celebrará el respectivo convenio.</w:t>
      </w:r>
    </w:p>
    <w:bookmarkEnd w:id="15"/>
    <w:p w14:paraId="6B3C2835" w14:textId="77777777" w:rsidR="00A92069" w:rsidRPr="00B631FD" w:rsidRDefault="00A92069" w:rsidP="00781AF3">
      <w:pPr>
        <w:spacing w:after="120" w:line="276" w:lineRule="auto"/>
        <w:ind w:firstLine="708"/>
        <w:jc w:val="both"/>
        <w:rPr>
          <w:rFonts w:ascii="Verdana" w:eastAsia="Calibri" w:hAnsi="Verdana" w:cs="Arial"/>
        </w:rPr>
      </w:pPr>
      <w:r w:rsidRPr="00B631FD">
        <w:rPr>
          <w:rFonts w:ascii="Verdana" w:eastAsia="Calibri" w:hAnsi="Verdana" w:cs="Arial"/>
        </w:rPr>
        <w:t xml:space="preserve">En relación con los aportes que debe comprometer la ESAL para no someter a un proceso competitivo la selección de la ESAL ha surgido el interrogante si los aportes en especie se deben tener en cuenta para el cálculo del treinta por ciento (30%) del aporte. Sobre este segundo problema jurídico, la Agencia Nacional de Contratación Pública – Colombia Compra Eficiente ha considerado que, “el treinta por ciento (30%) señalado en el artículo 5 del Decreto 092 de 2017, que debe aportar la ESAL a efectos de poder celebrar el convenio sin acudir a un proceso competitivo, debe calcularse respecto del monto total de los recursos </w:t>
      </w:r>
      <w:r w:rsidRPr="00B631FD">
        <w:rPr>
          <w:rFonts w:ascii="Verdana" w:eastAsia="Calibri" w:hAnsi="Verdana" w:cs="Arial"/>
          <w:i/>
          <w:iCs/>
        </w:rPr>
        <w:t xml:space="preserve">en dinero </w:t>
      </w:r>
      <w:r w:rsidRPr="00B631FD">
        <w:rPr>
          <w:rFonts w:ascii="Verdana" w:eastAsia="Calibri" w:hAnsi="Verdana" w:cs="Arial"/>
        </w:rPr>
        <w:t xml:space="preserve">requeridos para la ejecución proyecto, el cual corresponderá al valor por el que se celebrará el </w:t>
      </w:r>
      <w:r w:rsidRPr="00B631FD">
        <w:rPr>
          <w:rFonts w:ascii="Verdana" w:eastAsia="Calibri" w:hAnsi="Verdana" w:cs="Arial"/>
          <w:i/>
          <w:iCs/>
        </w:rPr>
        <w:t>convenio de asociación”</w:t>
      </w:r>
      <w:r w:rsidRPr="00D17CC8">
        <w:rPr>
          <w:rStyle w:val="Refdenotaalpie"/>
          <w:rFonts w:ascii="Verdana" w:eastAsia="Calibri" w:hAnsi="Verdana" w:cs="Arial"/>
          <w:i/>
          <w:iCs/>
        </w:rPr>
        <w:footnoteReference w:id="10"/>
      </w:r>
      <w:r w:rsidRPr="00B631FD">
        <w:rPr>
          <w:rFonts w:ascii="Verdana" w:eastAsia="Calibri" w:hAnsi="Verdana" w:cs="Arial"/>
        </w:rPr>
        <w:t xml:space="preserve">. </w:t>
      </w:r>
    </w:p>
    <w:p w14:paraId="01576E6D" w14:textId="77777777" w:rsidR="00A92069" w:rsidRPr="00B631FD" w:rsidRDefault="00A92069" w:rsidP="00781AF3">
      <w:pPr>
        <w:spacing w:after="120" w:line="276" w:lineRule="auto"/>
        <w:ind w:firstLine="708"/>
        <w:jc w:val="both"/>
        <w:rPr>
          <w:rFonts w:ascii="Verdana" w:eastAsia="Calibri" w:hAnsi="Verdana" w:cs="Arial"/>
        </w:rPr>
      </w:pPr>
      <w:r w:rsidRPr="00B631FD">
        <w:rPr>
          <w:rFonts w:ascii="Verdana" w:eastAsia="Calibri" w:hAnsi="Verdana" w:cs="Arial"/>
        </w:rPr>
        <w:t>En ese sentido, “si, por ejemplo, para desarrollar un proyecto conjunto con una ESAL se requiere un total de $100.000.000, para poder celebrar el convenio de asociación sin proceso competitivo, la Entidad Estatal deberá asociarse con una ESAL dispuesta a aportar por lo menos una suma de $30.000.000, equivalente al treinta por ciento (30%) del que sería el valor del eventual convenio. De esta manera, los eventuales aportes en especie no podrán tenerse en cuenta para calcular el referido porcentaje, el cual debe ser en dinero”</w:t>
      </w:r>
      <w:r w:rsidRPr="00D17CC8">
        <w:rPr>
          <w:rStyle w:val="Refdenotaalpie"/>
          <w:rFonts w:ascii="Verdana" w:eastAsia="Calibri" w:hAnsi="Verdana" w:cs="Arial"/>
          <w:i/>
          <w:iCs/>
        </w:rPr>
        <w:footnoteReference w:id="11"/>
      </w:r>
      <w:r w:rsidRPr="00B631FD">
        <w:rPr>
          <w:rFonts w:ascii="Verdana" w:eastAsia="Calibri" w:hAnsi="Verdana" w:cs="Arial"/>
        </w:rPr>
        <w:t xml:space="preserve">. </w:t>
      </w:r>
    </w:p>
    <w:p w14:paraId="6D82E7F5" w14:textId="77777777" w:rsidR="00A92069" w:rsidRPr="00B631FD" w:rsidRDefault="00A92069" w:rsidP="00781AF3">
      <w:pPr>
        <w:spacing w:after="120" w:line="276" w:lineRule="auto"/>
        <w:ind w:firstLine="708"/>
        <w:jc w:val="both"/>
        <w:rPr>
          <w:rFonts w:ascii="Verdana" w:eastAsia="Calibri" w:hAnsi="Verdana" w:cs="Arial"/>
        </w:rPr>
      </w:pPr>
      <w:r w:rsidRPr="00B631FD">
        <w:rPr>
          <w:rFonts w:ascii="Verdana" w:eastAsia="Calibri" w:hAnsi="Verdana" w:cs="Arial"/>
          <w:lang w:eastAsia="es-ES"/>
        </w:rPr>
        <w:t xml:space="preserve">En ese contexto, cuando el aporte de la ESAL al convenio de asociación, que se realizará con una Entidad Estatal bajo los términos del artículo 5 del Decreto 092 de 2017, no sea en dinero sino en especie, esto es, con bienes </w:t>
      </w:r>
      <w:r w:rsidRPr="00B631FD">
        <w:rPr>
          <w:rFonts w:ascii="Verdana" w:eastAsia="Calibri" w:hAnsi="Verdana" w:cs="Arial"/>
          <w:lang w:eastAsia="es-ES"/>
        </w:rPr>
        <w:lastRenderedPageBreak/>
        <w:t xml:space="preserve">tangibles e intangibles distintos al dinero o que no sean equivalentes a este, en los términos indicados en el párrafo anterior, </w:t>
      </w:r>
      <w:r w:rsidRPr="00B631FD">
        <w:rPr>
          <w:rFonts w:ascii="Verdana" w:eastAsia="Calibri" w:hAnsi="Verdana" w:cs="Arial"/>
          <w:i/>
          <w:lang w:eastAsia="es-ES"/>
        </w:rPr>
        <w:t>no</w:t>
      </w:r>
      <w:r w:rsidRPr="00B631FD">
        <w:rPr>
          <w:rFonts w:ascii="Verdana" w:eastAsia="Calibri" w:hAnsi="Verdana" w:cs="Arial"/>
          <w:lang w:eastAsia="es-ES"/>
        </w:rPr>
        <w:t xml:space="preserve"> se aplicará la regla que determina que si el aporte de recursos en dinero es igual o superior a un treinta por ciento (30%) del valor del convenio, este se podrá celebrar de forma directa, por lo que deberá adelantarse un proceso competitivo. No obstante, </w:t>
      </w:r>
      <w:r w:rsidRPr="00B631FD">
        <w:rPr>
          <w:rFonts w:ascii="Verdana" w:eastAsia="Calibri" w:hAnsi="Verdana" w:cs="Arial"/>
          <w:lang w:val="es-ES_tradnl" w:eastAsia="es-ES_tradnl"/>
        </w:rPr>
        <w:t xml:space="preserve">debe insistirse </w:t>
      </w:r>
      <w:r w:rsidRPr="00B631FD">
        <w:rPr>
          <w:rFonts w:ascii="Verdana" w:eastAsia="Calibri" w:hAnsi="Verdana" w:cs="Arial"/>
          <w:lang w:eastAsia="es-ES"/>
        </w:rPr>
        <w:t>que esto no significa que no puedan hacerse aportes en especie, sino que como mínimo debe realizarse un aporte en dinero del treinta por ciento (30%) del valor del convenio de asociación para que pueda aplicar la selección directa de la ESAL, siempre que no haya otra ESAL que realice el mismo ofrecimiento</w:t>
      </w:r>
      <w:r w:rsidRPr="00D17CC8">
        <w:rPr>
          <w:rStyle w:val="Refdenotaalpie"/>
          <w:rFonts w:ascii="Verdana" w:eastAsia="Calibri" w:hAnsi="Verdana" w:cs="Arial"/>
          <w:i/>
          <w:iCs/>
        </w:rPr>
        <w:footnoteReference w:id="12"/>
      </w:r>
      <w:r w:rsidRPr="00B631FD">
        <w:rPr>
          <w:rFonts w:ascii="Verdana" w:eastAsia="Calibri" w:hAnsi="Verdana" w:cs="Arial"/>
          <w:lang w:eastAsia="es-ES"/>
        </w:rPr>
        <w:t xml:space="preserve">. </w:t>
      </w:r>
    </w:p>
    <w:p w14:paraId="520A61DE" w14:textId="77777777" w:rsidR="00A92069" w:rsidRDefault="00A92069" w:rsidP="00781AF3">
      <w:pPr>
        <w:spacing w:after="120" w:line="276" w:lineRule="auto"/>
        <w:ind w:firstLine="708"/>
        <w:jc w:val="both"/>
        <w:rPr>
          <w:rFonts w:ascii="Verdana" w:eastAsia="Calibri" w:hAnsi="Verdana" w:cs="Arial"/>
          <w:lang w:val="es-ES_tradnl" w:eastAsia="es-ES_tradnl"/>
        </w:rPr>
      </w:pPr>
      <w:r w:rsidRPr="00B631FD">
        <w:rPr>
          <w:rFonts w:ascii="Verdana" w:eastAsia="Calibri" w:hAnsi="Verdana" w:cs="Arial"/>
          <w:lang w:val="es-ES_tradnl" w:eastAsia="es-ES_tradnl"/>
        </w:rPr>
        <w:t>De este modo, en los convenios de asociación la ESAL debe aportar un treinta por ciento (30%) total del convenio en dinero para que no proceda el proceso competitivo, el cual podrá tener origen en recursos propios o en recursos de cooperación internacional cuya destinación permita la ejecución y el logro de los objetivos comunes del convenio celebrado con la Entidad Estatal asociada, sin perjuicio de que haya otros aportes en especie que se pacten para la ejecución de las actividades y finalidades de este</w:t>
      </w:r>
      <w:r w:rsidRPr="00D17CC8">
        <w:rPr>
          <w:rStyle w:val="Refdenotaalpie"/>
          <w:rFonts w:ascii="Verdana" w:eastAsia="Calibri" w:hAnsi="Verdana" w:cs="Arial"/>
          <w:i/>
          <w:iCs/>
        </w:rPr>
        <w:footnoteReference w:id="13"/>
      </w:r>
      <w:r w:rsidRPr="00B631FD">
        <w:rPr>
          <w:rFonts w:ascii="Verdana" w:eastAsia="Calibri" w:hAnsi="Verdana" w:cs="Arial"/>
          <w:lang w:val="es-ES_tradnl" w:eastAsia="es-ES_tradnl"/>
        </w:rPr>
        <w:t xml:space="preserve">.  </w:t>
      </w:r>
    </w:p>
    <w:p w14:paraId="452ECE7B" w14:textId="451BFA53" w:rsidR="005400A9" w:rsidRPr="00E95B38" w:rsidRDefault="005400A9" w:rsidP="00781AF3">
      <w:pPr>
        <w:spacing w:after="120" w:line="276" w:lineRule="auto"/>
        <w:jc w:val="both"/>
        <w:rPr>
          <w:rFonts w:ascii="Verdana" w:eastAsia="Times New Roman" w:hAnsi="Verdana" w:cs="Times New Roman"/>
          <w:color w:val="333333"/>
          <w:lang w:eastAsia="es-MX"/>
        </w:rPr>
      </w:pPr>
      <w:r w:rsidRPr="00E95B38">
        <w:rPr>
          <w:rFonts w:ascii="Verdana" w:hAnsi="Verdana"/>
        </w:rPr>
        <w:t xml:space="preserve">        Finalmente, respecto al </w:t>
      </w:r>
      <w:r w:rsidR="00AA2E18">
        <w:rPr>
          <w:rFonts w:ascii="Verdana" w:hAnsi="Verdana"/>
          <w:color w:val="000000"/>
        </w:rPr>
        <w:t>p</w:t>
      </w:r>
      <w:r w:rsidRPr="00E95B38">
        <w:rPr>
          <w:rFonts w:ascii="Verdana" w:hAnsi="Verdana"/>
          <w:color w:val="000000"/>
        </w:rPr>
        <w:t>rocedimientos de supervisión y seguimiento a la ejecución contractual en los procesos de contratación con una ESAL, es importante definir qué se entiende por la figura de la Supervisión</w:t>
      </w:r>
      <w:r w:rsidR="00C17AC1">
        <w:rPr>
          <w:rFonts w:ascii="Verdana" w:hAnsi="Verdana"/>
          <w:color w:val="000000"/>
        </w:rPr>
        <w:t xml:space="preserve">. </w:t>
      </w:r>
      <w:r w:rsidR="00C17AC1">
        <w:rPr>
          <w:rFonts w:ascii="Verdana" w:eastAsia="Times New Roman" w:hAnsi="Verdana" w:cs="Times New Roman"/>
          <w:color w:val="333333"/>
          <w:lang w:eastAsia="es-MX"/>
        </w:rPr>
        <w:t>E</w:t>
      </w:r>
      <w:r w:rsidRPr="00E95B38">
        <w:rPr>
          <w:rFonts w:ascii="Verdana" w:eastAsia="Times New Roman" w:hAnsi="Verdana" w:cs="Times New Roman"/>
          <w:color w:val="333333"/>
          <w:lang w:eastAsia="es-MX"/>
        </w:rPr>
        <w:t xml:space="preserve">n este punto, esta Agencia de Contratación Colombia Compra Eficiente  ha sostenido que: </w:t>
      </w:r>
      <w:r w:rsidRPr="00E95B38">
        <w:rPr>
          <w:rFonts w:ascii="Verdana" w:hAnsi="Verdana" w:cs="Arial"/>
          <w:bCs/>
          <w:color w:val="000000" w:themeColor="text1"/>
        </w:rPr>
        <w:t>“el seguimiento de la ejecución del contrato para su dirección, control y vigilancia del correcto cumplimiento del objeto es un deber legal que 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w:t>
      </w:r>
    </w:p>
    <w:p w14:paraId="2FB42B90" w14:textId="77777777" w:rsidR="005400A9" w:rsidRPr="00E95B38" w:rsidRDefault="005400A9" w:rsidP="00C17AC1">
      <w:pPr>
        <w:shd w:val="clear" w:color="auto" w:fill="FFFFFF"/>
        <w:spacing w:after="0" w:line="276" w:lineRule="auto"/>
        <w:ind w:firstLine="708"/>
        <w:jc w:val="both"/>
        <w:rPr>
          <w:rFonts w:ascii="Verdana" w:eastAsia="Times New Roman" w:hAnsi="Verdana" w:cs="Times New Roman"/>
          <w:color w:val="333333"/>
          <w:lang w:eastAsia="es-MX"/>
        </w:rPr>
      </w:pPr>
      <w:r w:rsidRPr="00E95B38">
        <w:rPr>
          <w:rFonts w:ascii="Verdana" w:eastAsia="Times New Roman" w:hAnsi="Verdana" w:cs="Times New Roman"/>
          <w:color w:val="333333"/>
          <w:lang w:eastAsia="es-MX"/>
        </w:rPr>
        <w:lastRenderedPageBreak/>
        <w:t xml:space="preserve">Así las cosas, la figura de la interventoría reviste las siguientes características: </w:t>
      </w:r>
    </w:p>
    <w:p w14:paraId="30C9DFEA" w14:textId="77777777" w:rsidR="00C17AC1" w:rsidRPr="00E95B38" w:rsidRDefault="00C17AC1" w:rsidP="00781AF3">
      <w:pPr>
        <w:shd w:val="clear" w:color="auto" w:fill="FFFFFF"/>
        <w:spacing w:after="0" w:line="276" w:lineRule="auto"/>
        <w:ind w:firstLine="708"/>
        <w:jc w:val="both"/>
        <w:rPr>
          <w:rFonts w:ascii="Verdana" w:eastAsia="Times New Roman" w:hAnsi="Verdana" w:cs="Times New Roman"/>
          <w:color w:val="333333"/>
          <w:lang w:eastAsia="es-MX"/>
        </w:rPr>
      </w:pPr>
    </w:p>
    <w:p w14:paraId="2DF7F5DA" w14:textId="77777777" w:rsidR="005400A9" w:rsidRPr="00E95B38" w:rsidRDefault="005400A9" w:rsidP="005400A9">
      <w:pPr>
        <w:shd w:val="clear" w:color="auto" w:fill="FFFFFF"/>
        <w:spacing w:after="0" w:line="276" w:lineRule="auto"/>
        <w:ind w:left="709" w:right="709"/>
        <w:jc w:val="both"/>
        <w:rPr>
          <w:rFonts w:ascii="Verdana" w:eastAsia="Times New Roman" w:hAnsi="Verdana" w:cs="Times New Roman"/>
          <w:color w:val="333333"/>
          <w:lang w:eastAsia="es-MX"/>
        </w:rPr>
      </w:pPr>
      <w:r w:rsidRPr="00E95B38">
        <w:rPr>
          <w:rFonts w:ascii="Verdana" w:eastAsia="Times New Roman" w:hAnsi="Verdana" w:cs="Times New Roman"/>
          <w:color w:val="333333"/>
          <w:lang w:eastAsia="es-MX"/>
        </w:rPr>
        <w:t>“-La labor de supervisión siempre existirá en relación con cualquier contrato estatal (a diferencia de la interventoría que depende del análisis de su necesidad y extensión ).</w:t>
      </w:r>
    </w:p>
    <w:p w14:paraId="1C9F6B10" w14:textId="77777777" w:rsidR="005400A9" w:rsidRPr="00E95B38" w:rsidRDefault="005400A9" w:rsidP="005400A9">
      <w:pPr>
        <w:shd w:val="clear" w:color="auto" w:fill="FFFFFF"/>
        <w:spacing w:after="0" w:line="276" w:lineRule="auto"/>
        <w:ind w:left="709" w:right="709"/>
        <w:jc w:val="both"/>
        <w:rPr>
          <w:rFonts w:ascii="Verdana" w:eastAsia="Times New Roman" w:hAnsi="Verdana" w:cs="Times New Roman"/>
          <w:color w:val="333333"/>
          <w:lang w:eastAsia="es-MX"/>
        </w:rPr>
      </w:pPr>
      <w:r w:rsidRPr="00E95B38">
        <w:rPr>
          <w:rFonts w:ascii="Verdana" w:eastAsia="Times New Roman" w:hAnsi="Verdana" w:cs="Times New Roman"/>
          <w:color w:val="333333"/>
          <w:lang w:eastAsia="es-MX"/>
        </w:rPr>
        <w:t>- No requiere conocimientos especializados.</w:t>
      </w:r>
    </w:p>
    <w:p w14:paraId="2ADB0780" w14:textId="77777777" w:rsidR="005400A9" w:rsidRPr="00E95B38" w:rsidRDefault="005400A9" w:rsidP="005400A9">
      <w:pPr>
        <w:shd w:val="clear" w:color="auto" w:fill="FFFFFF"/>
        <w:spacing w:after="0" w:line="276" w:lineRule="auto"/>
        <w:ind w:left="709" w:right="709"/>
        <w:jc w:val="both"/>
        <w:rPr>
          <w:rFonts w:ascii="Verdana" w:eastAsia="Times New Roman" w:hAnsi="Verdana" w:cs="Times New Roman"/>
          <w:color w:val="333333"/>
          <w:lang w:eastAsia="es-MX"/>
        </w:rPr>
      </w:pPr>
      <w:r w:rsidRPr="00E95B38">
        <w:rPr>
          <w:rFonts w:ascii="Verdana" w:eastAsia="Times New Roman" w:hAnsi="Verdana" w:cs="Times New Roman"/>
          <w:color w:val="333333"/>
          <w:lang w:eastAsia="es-MX"/>
        </w:rPr>
        <w:t>- Se ejerce por la entidad estatal por conducto de la designación de servidores públicos idóneos para cumplir la función.</w:t>
      </w:r>
    </w:p>
    <w:p w14:paraId="2FBB864E" w14:textId="77777777" w:rsidR="005400A9" w:rsidRPr="00E95B38" w:rsidRDefault="005400A9" w:rsidP="005400A9">
      <w:pPr>
        <w:shd w:val="clear" w:color="auto" w:fill="FFFFFF"/>
        <w:spacing w:after="0" w:line="276" w:lineRule="auto"/>
        <w:ind w:left="709" w:right="709"/>
        <w:jc w:val="both"/>
        <w:rPr>
          <w:rFonts w:ascii="Verdana" w:eastAsia="Times New Roman" w:hAnsi="Verdana" w:cs="Times New Roman"/>
          <w:color w:val="333333"/>
          <w:lang w:eastAsia="es-MX"/>
        </w:rPr>
      </w:pPr>
      <w:r w:rsidRPr="00E95B38">
        <w:rPr>
          <w:rFonts w:ascii="Verdana" w:eastAsia="Times New Roman" w:hAnsi="Verdana" w:cs="Times New Roman"/>
          <w:color w:val="333333"/>
          <w:lang w:eastAsia="es-MX"/>
        </w:rPr>
        <w:t>- Puede recibir apoyo de personal contratado para tal fin mediante contrato de prestación de servicios”.</w:t>
      </w:r>
    </w:p>
    <w:p w14:paraId="204ED7D7" w14:textId="77777777" w:rsidR="00AA2E18" w:rsidRPr="00E95B38" w:rsidRDefault="00AA2E18" w:rsidP="005400A9">
      <w:pPr>
        <w:shd w:val="clear" w:color="auto" w:fill="FFFFFF"/>
        <w:spacing w:after="0" w:line="276" w:lineRule="auto"/>
        <w:ind w:left="709" w:right="709"/>
        <w:jc w:val="both"/>
        <w:rPr>
          <w:rFonts w:ascii="Verdana" w:eastAsia="Times New Roman" w:hAnsi="Verdana" w:cs="Times New Roman"/>
          <w:color w:val="333333"/>
          <w:lang w:eastAsia="es-MX"/>
        </w:rPr>
      </w:pPr>
    </w:p>
    <w:p w14:paraId="78EF7E34" w14:textId="74FCAF59" w:rsidR="005400A9" w:rsidRPr="00E95B38" w:rsidRDefault="005400A9" w:rsidP="00781AF3">
      <w:pPr>
        <w:spacing w:after="120" w:line="276" w:lineRule="auto"/>
        <w:jc w:val="both"/>
        <w:rPr>
          <w:rFonts w:ascii="Verdana" w:eastAsia="Times New Roman" w:hAnsi="Verdana" w:cs="Times New Roman"/>
          <w:lang w:eastAsia="es-MX"/>
        </w:rPr>
      </w:pPr>
      <w:r w:rsidRPr="00E95B38">
        <w:rPr>
          <w:rFonts w:ascii="Verdana" w:eastAsia="Times New Roman" w:hAnsi="Verdana" w:cs="Times New Roman"/>
          <w:lang w:eastAsia="es-MX"/>
        </w:rPr>
        <w:t xml:space="preserve">      Por </w:t>
      </w:r>
      <w:r w:rsidR="00AB1F9C" w:rsidRPr="00E95B38">
        <w:rPr>
          <w:rFonts w:ascii="Verdana" w:eastAsia="Times New Roman" w:hAnsi="Verdana" w:cs="Times New Roman"/>
          <w:lang w:eastAsia="es-MX"/>
        </w:rPr>
        <w:t>último,</w:t>
      </w:r>
      <w:r w:rsidRPr="00E95B38">
        <w:rPr>
          <w:rFonts w:ascii="Verdana" w:eastAsia="Times New Roman" w:hAnsi="Verdana" w:cs="Times New Roman"/>
          <w:lang w:eastAsia="es-MX"/>
        </w:rPr>
        <w:t xml:space="preserve"> es importante aclarar que no existe una norma especial que regule de manera diferenciada la supervisión de los contratos celebrados con Entidades Sin Ánimo de Lucro (ESAL). </w:t>
      </w:r>
      <w:r w:rsidR="00AB1F9C">
        <w:rPr>
          <w:rFonts w:ascii="Verdana" w:eastAsia="Times New Roman" w:hAnsi="Verdana" w:cs="Times New Roman"/>
          <w:lang w:eastAsia="es-MX"/>
        </w:rPr>
        <w:t>De acuerdo con el artículo 8 del Decreto 092 de 2017, “</w:t>
      </w:r>
      <w:r w:rsidR="00AB1F9C" w:rsidRPr="00AB1F9C">
        <w:rPr>
          <w:rFonts w:ascii="Verdana" w:eastAsia="Times New Roman" w:hAnsi="Verdana" w:cs="Times New Roman"/>
          <w:lang w:eastAsia="es-MX"/>
        </w:rPr>
        <w:t>La contratación a la que hace referencia el presente decreto está sujeta a las normas generales aplicables a la contratación pública excepto en lo reglamentado en el presente decreto</w:t>
      </w:r>
      <w:r w:rsidR="00AB1F9C">
        <w:rPr>
          <w:rFonts w:ascii="Verdana" w:eastAsia="Times New Roman" w:hAnsi="Verdana" w:cs="Times New Roman"/>
          <w:lang w:eastAsia="es-MX"/>
        </w:rPr>
        <w:t>”</w:t>
      </w:r>
      <w:r w:rsidR="00AB1F9C" w:rsidRPr="00AB1F9C">
        <w:rPr>
          <w:rFonts w:ascii="Verdana" w:eastAsia="Times New Roman" w:hAnsi="Verdana" w:cs="Times New Roman"/>
          <w:lang w:eastAsia="es-MX"/>
        </w:rPr>
        <w:t>.</w:t>
      </w:r>
      <w:r w:rsidRPr="00E95B38">
        <w:rPr>
          <w:rFonts w:ascii="Verdana" w:eastAsia="Times New Roman" w:hAnsi="Verdana" w:cs="Times New Roman"/>
          <w:lang w:eastAsia="es-MX"/>
        </w:rPr>
        <w:t xml:space="preserve"> Por lo tanto, la vigilancia de estos contratos se rige por el procedimiento en la Ley 1474 de 2011 (Estatuto Anticorrupción), así como por las pautas que se establecen a través del </w:t>
      </w:r>
      <w:r w:rsidRPr="00E95B38">
        <w:rPr>
          <w:rFonts w:ascii="Verdana" w:hAnsi="Verdana"/>
        </w:rPr>
        <w:t>Manual de Supervisión e Interventoría</w:t>
      </w:r>
      <w:r w:rsidR="00AB1F9C">
        <w:rPr>
          <w:rFonts w:ascii="Verdana" w:eastAsia="Times New Roman" w:hAnsi="Verdana" w:cs="Times New Roman"/>
          <w:lang w:eastAsia="es-MX"/>
        </w:rPr>
        <w:t>.</w:t>
      </w:r>
    </w:p>
    <w:bookmarkEnd w:id="3"/>
    <w:p w14:paraId="3F3FA570" w14:textId="77777777" w:rsidR="00F30E58" w:rsidRPr="00DB4737" w:rsidRDefault="00F30E58" w:rsidP="00F30E58">
      <w:pPr>
        <w:spacing w:after="120" w:line="276" w:lineRule="auto"/>
        <w:ind w:firstLine="709"/>
        <w:jc w:val="both"/>
        <w:rPr>
          <w:rFonts w:ascii="Verdana" w:eastAsia="Calibri" w:hAnsi="Verdana" w:cs="Times New Roman"/>
          <w:lang w:val="es-ES"/>
        </w:rPr>
      </w:pPr>
      <w:r>
        <w:rPr>
          <w:rFonts w:ascii="Verdana" w:eastAsia="Calibri" w:hAnsi="Verdana" w:cs="Arial"/>
          <w:lang w:val="es-ES" w:eastAsia="es-ES"/>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07BA987A" w14:textId="77777777" w:rsidR="00F30E58" w:rsidRPr="00B631FD" w:rsidRDefault="00F30E58" w:rsidP="00A215B2">
      <w:pPr>
        <w:spacing w:after="0" w:line="276" w:lineRule="auto"/>
        <w:ind w:firstLine="708"/>
        <w:jc w:val="both"/>
        <w:rPr>
          <w:rFonts w:ascii="Verdana" w:eastAsia="Calibri" w:hAnsi="Verdana" w:cs="Arial"/>
        </w:rPr>
      </w:pP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w:t>
      </w:r>
      <w:r w:rsidRPr="00DB4737">
        <w:rPr>
          <w:rFonts w:ascii="Verdana" w:eastAsia="Calibri" w:hAnsi="Verdana" w:cs="Times New Roman"/>
          <w:lang w:val="es-ES"/>
        </w:rPr>
        <w:lastRenderedPageBreak/>
        <w:t>contractual, sin que sea atribución de la Agencia Nacional de Contratación Pública – Colombia Compra Eficiente, validar sus actuaciones.</w:t>
      </w:r>
    </w:p>
    <w:p w14:paraId="4966A811" w14:textId="77777777" w:rsidR="00F30E58" w:rsidRDefault="00F30E58" w:rsidP="00A215B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6C99105" w14:textId="44AA03F5" w:rsidR="005400A9" w:rsidRPr="00E95B38" w:rsidRDefault="005400A9" w:rsidP="005400A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95B38">
        <w:rPr>
          <w:rFonts w:ascii="Verdana" w:eastAsia="Century Gothic" w:hAnsi="Verdana" w:cs="Century Gothic"/>
          <w:b/>
          <w:bCs/>
        </w:rPr>
        <w:t>Referencias normativas, jurisprudenciales y otras fuentes:</w:t>
      </w:r>
    </w:p>
    <w:p w14:paraId="4DCD3785" w14:textId="77777777" w:rsidR="005400A9" w:rsidRPr="00E95B38" w:rsidRDefault="005400A9" w:rsidP="005400A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400A9" w:rsidRPr="00E95B38" w14:paraId="08E0088E" w14:textId="77777777" w:rsidTr="00881EEC">
        <w:trPr>
          <w:trHeight w:val="508"/>
        </w:trPr>
        <w:tc>
          <w:tcPr>
            <w:tcW w:w="8647" w:type="dxa"/>
          </w:tcPr>
          <w:p w14:paraId="6A6EA551" w14:textId="4A2D32CF" w:rsidR="005400A9" w:rsidRPr="00E95B38" w:rsidRDefault="005400A9" w:rsidP="00A215B2">
            <w:pPr>
              <w:pStyle w:val="Prrafodelista"/>
              <w:numPr>
                <w:ilvl w:val="0"/>
                <w:numId w:val="17"/>
              </w:numPr>
              <w:spacing w:line="276" w:lineRule="auto"/>
              <w:contextualSpacing w:val="0"/>
              <w:jc w:val="both"/>
              <w:rPr>
                <w:rFonts w:ascii="Verdana" w:eastAsia="Calibri" w:hAnsi="Verdana" w:cs="Arial"/>
                <w:color w:val="000000" w:themeColor="text1"/>
              </w:rPr>
            </w:pPr>
            <w:r w:rsidRPr="00E95B38">
              <w:rPr>
                <w:rFonts w:ascii="Verdana" w:eastAsia="Calibri" w:hAnsi="Verdana" w:cs="Arial"/>
                <w:color w:val="000000" w:themeColor="text1"/>
              </w:rPr>
              <w:t xml:space="preserve">Ley 489 de 1998: Artículo 96. </w:t>
            </w:r>
          </w:p>
          <w:p w14:paraId="31C8F370" w14:textId="77777777" w:rsidR="005400A9" w:rsidRPr="00E95B38" w:rsidRDefault="005400A9" w:rsidP="00A215B2">
            <w:pPr>
              <w:pStyle w:val="Prrafodelista"/>
              <w:numPr>
                <w:ilvl w:val="0"/>
                <w:numId w:val="17"/>
              </w:numPr>
              <w:spacing w:line="276" w:lineRule="auto"/>
              <w:contextualSpacing w:val="0"/>
              <w:jc w:val="both"/>
              <w:rPr>
                <w:rFonts w:ascii="Verdana" w:hAnsi="Verdana" w:cs="Arial"/>
                <w:color w:val="000000" w:themeColor="text1"/>
              </w:rPr>
            </w:pPr>
            <w:r w:rsidRPr="00E95B38">
              <w:rPr>
                <w:rFonts w:ascii="Verdana" w:hAnsi="Verdana" w:cs="Arial"/>
                <w:color w:val="000000" w:themeColor="text1"/>
              </w:rPr>
              <w:t>Decreto 092 de 2017: Artículo 1 y 2.</w:t>
            </w:r>
          </w:p>
          <w:p w14:paraId="31163CAD" w14:textId="77777777" w:rsidR="005400A9" w:rsidRPr="00E95B38" w:rsidRDefault="005400A9" w:rsidP="00A215B2">
            <w:pPr>
              <w:pStyle w:val="Prrafodelista"/>
              <w:numPr>
                <w:ilvl w:val="0"/>
                <w:numId w:val="17"/>
              </w:numPr>
              <w:spacing w:line="276" w:lineRule="auto"/>
              <w:contextualSpacing w:val="0"/>
              <w:jc w:val="both"/>
              <w:rPr>
                <w:rFonts w:ascii="Verdana" w:eastAsia="Calibri" w:hAnsi="Verdana" w:cs="Arial"/>
                <w:color w:val="000000" w:themeColor="text1"/>
              </w:rPr>
            </w:pPr>
            <w:r w:rsidRPr="00E95B38">
              <w:rPr>
                <w:rFonts w:ascii="Verdana" w:eastAsia="Calibri" w:hAnsi="Verdana" w:cs="Arial"/>
                <w:color w:val="000000" w:themeColor="text1"/>
              </w:rPr>
              <w:t xml:space="preserve">Corte Constitucional. Sentencia C-287 del 18 de abril de 2012. </w:t>
            </w:r>
          </w:p>
          <w:p w14:paraId="3D228281" w14:textId="77777777" w:rsidR="005400A9" w:rsidRPr="00E95B38" w:rsidRDefault="005400A9" w:rsidP="00A215B2">
            <w:pPr>
              <w:pStyle w:val="Prrafodelista"/>
              <w:widowControl w:val="0"/>
              <w:numPr>
                <w:ilvl w:val="0"/>
                <w:numId w:val="17"/>
              </w:numPr>
              <w:autoSpaceDE w:val="0"/>
              <w:autoSpaceDN w:val="0"/>
              <w:spacing w:line="276" w:lineRule="auto"/>
              <w:contextualSpacing w:val="0"/>
              <w:jc w:val="both"/>
              <w:rPr>
                <w:rFonts w:ascii="Verdana" w:hAnsi="Verdana" w:cs="Arial"/>
              </w:rPr>
            </w:pPr>
            <w:hyperlink r:id="rId12" w:history="1">
              <w:r w:rsidRPr="00E95B38">
                <w:rPr>
                  <w:rStyle w:val="Hipervnculo"/>
                  <w:rFonts w:ascii="Verdana" w:hAnsi="Verdana"/>
                </w:rPr>
                <w:t>https://www.colombiacompra.gov.co/sites/cce_public/files/cce_documents/cce_guia_esal.pdf</w:t>
              </w:r>
            </w:hyperlink>
            <w:r w:rsidRPr="00E95B38">
              <w:rPr>
                <w:rFonts w:ascii="Verdana" w:hAnsi="Verdana"/>
              </w:rPr>
              <w:t xml:space="preserve"> </w:t>
            </w:r>
          </w:p>
          <w:p w14:paraId="7583B8A5" w14:textId="77777777" w:rsidR="007A3F91" w:rsidRPr="007A3F91" w:rsidRDefault="007A3F91" w:rsidP="00A215B2">
            <w:pPr>
              <w:pStyle w:val="Prrafodelista"/>
              <w:numPr>
                <w:ilvl w:val="0"/>
                <w:numId w:val="17"/>
              </w:numPr>
              <w:spacing w:line="276" w:lineRule="auto"/>
              <w:contextualSpacing w:val="0"/>
              <w:jc w:val="both"/>
              <w:rPr>
                <w:rFonts w:ascii="Verdana" w:hAnsi="Verdana" w:cs="Arial"/>
                <w:color w:val="000000" w:themeColor="text1"/>
              </w:rPr>
            </w:pPr>
            <w:r w:rsidRPr="007A3F91">
              <w:rPr>
                <w:rFonts w:ascii="Verdana" w:hAnsi="Verdana" w:cs="Arial"/>
                <w:color w:val="000000" w:themeColor="text1"/>
              </w:rPr>
              <w:t xml:space="preserve">Consejo de Estado. Sala de Consulta y del Servicio Civil. Concepto del 24 de febrero de 2005. Radicado No. 1626. Consejera Ponente: Dra. Gloria Duque Hernández. </w:t>
            </w:r>
          </w:p>
          <w:p w14:paraId="691FED50" w14:textId="1A2B6209" w:rsidR="005400A9" w:rsidRPr="00EA6923" w:rsidRDefault="005400A9" w:rsidP="00A215B2">
            <w:pPr>
              <w:pStyle w:val="Prrafodelista"/>
              <w:widowControl w:val="0"/>
              <w:numPr>
                <w:ilvl w:val="0"/>
                <w:numId w:val="17"/>
              </w:numPr>
              <w:autoSpaceDE w:val="0"/>
              <w:autoSpaceDN w:val="0"/>
              <w:spacing w:line="276" w:lineRule="auto"/>
              <w:jc w:val="both"/>
              <w:rPr>
                <w:rFonts w:ascii="Verdana" w:hAnsi="Verdana"/>
              </w:rPr>
            </w:pPr>
            <w:r w:rsidRPr="00E95B38">
              <w:rPr>
                <w:rFonts w:ascii="Verdana" w:eastAsia="Calibri" w:hAnsi="Verdana" w:cs="Arial"/>
                <w:lang w:val="es-ES_tradnl" w:eastAsia="es-ES_tradnl"/>
              </w:rPr>
              <w:t xml:space="preserve">Guía para la contratación con entidades privadas sin ánimo de lucro y de reconocida idoneidad. Disponible en: </w:t>
            </w:r>
            <w:hyperlink r:id="rId13" w:history="1">
              <w:r w:rsidRPr="00E95B38">
                <w:rPr>
                  <w:rStyle w:val="Hipervnculo"/>
                  <w:rFonts w:ascii="Verdana" w:eastAsia="Calibri" w:hAnsi="Verdana" w:cs="Arial"/>
                  <w:lang w:val="es-ES_tradnl" w:eastAsia="es-ES_tradnl"/>
                </w:rPr>
                <w:t>https://www.colombiacompra.gov.co/sites/cce_public/files/cce_documents/cce_guia_esal.pdf</w:t>
              </w:r>
            </w:hyperlink>
          </w:p>
        </w:tc>
      </w:tr>
    </w:tbl>
    <w:p w14:paraId="15B4F80B" w14:textId="77777777" w:rsidR="005400A9" w:rsidRPr="00E95B38" w:rsidRDefault="005400A9" w:rsidP="005400A9">
      <w:pPr>
        <w:widowControl w:val="0"/>
        <w:autoSpaceDE w:val="0"/>
        <w:autoSpaceDN w:val="0"/>
        <w:spacing w:after="0" w:line="276" w:lineRule="auto"/>
        <w:jc w:val="both"/>
        <w:rPr>
          <w:rFonts w:ascii="Verdana" w:hAnsi="Verdana" w:cs="Arial"/>
        </w:rPr>
      </w:pPr>
    </w:p>
    <w:p w14:paraId="5A9C8A46" w14:textId="77777777" w:rsidR="005400A9" w:rsidRPr="00E95B38" w:rsidRDefault="005400A9" w:rsidP="005400A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95B38">
        <w:rPr>
          <w:rFonts w:ascii="Verdana" w:eastAsia="Century Gothic" w:hAnsi="Verdana" w:cs="Century Gothic"/>
          <w:b/>
          <w:bCs/>
        </w:rPr>
        <w:t>Doctrina de la Agencia Nacional de Contratación Pública:</w:t>
      </w:r>
    </w:p>
    <w:p w14:paraId="427175D2" w14:textId="77777777" w:rsidR="005400A9" w:rsidRPr="00E95B38" w:rsidRDefault="005400A9" w:rsidP="005400A9">
      <w:pPr>
        <w:widowControl w:val="0"/>
        <w:autoSpaceDE w:val="0"/>
        <w:autoSpaceDN w:val="0"/>
        <w:spacing w:after="0" w:line="276" w:lineRule="auto"/>
        <w:jc w:val="both"/>
        <w:rPr>
          <w:rFonts w:ascii="Verdana" w:hAnsi="Verdana" w:cs="Arial"/>
        </w:rPr>
      </w:pPr>
    </w:p>
    <w:p w14:paraId="15C1E3B1" w14:textId="77777777" w:rsidR="005400A9" w:rsidRPr="00E95B38" w:rsidRDefault="005400A9" w:rsidP="005400A9">
      <w:pPr>
        <w:widowControl w:val="0"/>
        <w:autoSpaceDE w:val="0"/>
        <w:autoSpaceDN w:val="0"/>
        <w:spacing w:after="0" w:line="276" w:lineRule="auto"/>
        <w:jc w:val="both"/>
        <w:rPr>
          <w:rFonts w:ascii="Verdana" w:eastAsia="Calibri" w:hAnsi="Verdana" w:cs="Arial"/>
          <w:color w:val="000000" w:themeColor="text1"/>
          <w:lang w:val="es-ES" w:eastAsia="es-ES"/>
        </w:rPr>
      </w:pPr>
      <w:r w:rsidRPr="00E95B38">
        <w:rPr>
          <w:rFonts w:ascii="Verdana" w:eastAsia="Calibri" w:hAnsi="Verdana" w:cs="Arial"/>
          <w:color w:val="000000" w:themeColor="text1"/>
          <w:lang w:val="es-ES" w:eastAsia="es-ES"/>
        </w:rPr>
        <w:t xml:space="preserve">La Agencia Nacional de Contratación Pública – Colombia Compra Eficiente analizó el régimen de los convenios de asociación regulados en el artículo 355 de la Constitución y en el Decreto 092 de 2017, entre otros, en los conceptos con radicado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C-379 del 26 de julio de 2021, C-548 del 05 de octubre de 2021, C-092 del 09 de marzo de 2022, C-106 del 30 de marzo de 2022,C-274 del 05 de mayo de 2022, C-058 del 6 de mayo de 2024, C-061 del 9 de mayo de 2024, C-141 del 29 de julio de 2024, C – 1038 de 4 de </w:t>
      </w:r>
      <w:r w:rsidRPr="00E95B38">
        <w:rPr>
          <w:rFonts w:ascii="Verdana" w:eastAsia="Calibri" w:hAnsi="Verdana" w:cs="Arial"/>
          <w:color w:val="000000" w:themeColor="text1"/>
          <w:lang w:val="es-ES" w:eastAsia="es-ES"/>
        </w:rPr>
        <w:lastRenderedPageBreak/>
        <w:t xml:space="preserve">septiembre de 2025. </w:t>
      </w:r>
    </w:p>
    <w:p w14:paraId="4A48AE14" w14:textId="77777777" w:rsidR="005400A9" w:rsidRPr="00E95B38" w:rsidRDefault="005400A9" w:rsidP="005400A9">
      <w:pPr>
        <w:widowControl w:val="0"/>
        <w:autoSpaceDE w:val="0"/>
        <w:autoSpaceDN w:val="0"/>
        <w:spacing w:after="0" w:line="276" w:lineRule="auto"/>
        <w:jc w:val="both"/>
        <w:rPr>
          <w:rFonts w:ascii="Verdana" w:eastAsia="Calibri" w:hAnsi="Verdana" w:cs="Arial"/>
          <w:bCs/>
          <w:color w:val="000000" w:themeColor="text1"/>
          <w:lang w:val="es-ES_tradnl" w:eastAsia="es-ES_tradnl"/>
        </w:rPr>
      </w:pPr>
    </w:p>
    <w:p w14:paraId="614B189E" w14:textId="77777777" w:rsidR="005400A9" w:rsidRPr="00E95B38" w:rsidRDefault="005400A9" w:rsidP="005400A9">
      <w:pPr>
        <w:widowControl w:val="0"/>
        <w:autoSpaceDE w:val="0"/>
        <w:autoSpaceDN w:val="0"/>
        <w:spacing w:after="0" w:line="276" w:lineRule="auto"/>
        <w:jc w:val="both"/>
        <w:rPr>
          <w:rFonts w:ascii="Verdana" w:eastAsia="Arial" w:hAnsi="Verdana" w:cs="Arial"/>
          <w:lang w:val="es-MX" w:eastAsia="es-ES"/>
        </w:rPr>
      </w:pPr>
      <w:r w:rsidRPr="00E95B38">
        <w:rPr>
          <w:rFonts w:ascii="Verdana" w:eastAsia="Calibri" w:hAnsi="Verdana" w:cs="Arial"/>
          <w:bCs/>
          <w:color w:val="000000" w:themeColor="text1"/>
          <w:lang w:val="es-ES_tradnl" w:eastAsia="es-ES_tradnl"/>
        </w:rPr>
        <w:t>Así mismo, explicó los convenios de asociación entre Entidades Públicas y particulares regulados en el artículo 96 de la Ley 489 de 1998, entre otros, en los conceptos 4201912000007899 del 27 de diciembre de 2019, 4201912000007901 del 27 de diciembre de 2019, C-055 del 28 de enero de 2020, C-086 del 16 de marzo de 2020, C-101 del 16 de marzo de 2020, C-228 del 17 de marzo de 2020, C-014 del 24 de marzo de 2020, C-416 del 30 de junio de 2020, C-483 del 06 de agosto de 2020, C-579 del 4 de septiembre de 2020, C-594 del 7 de septiembre de 2020, C-670 del 30 de noviembre de 2020, C-758 del 4 de enero de 2021, C-057 del 10 de marzo de 2021, C-379 de 26 de julio de 2021, C-524 de 13 de otubre de 2021, C-594 del 28 de otubre de 2021, C-609 del 29 de otubre de 2021, C-638 del 15 de diciembre de 2021, C-670 de 28 de diciembre de 2021, C-051 del 7 de marzo de 2022, C-145 del 28 de marzo de 2022, C-274 del 05 de mayo de 2022, C-292 del 11 de mayo de 2022, C-273 del 6 de mayo de 2022, C-560 de 7 de septiembre de 2022, C-771 del 29 de diciembre de 2022, C-041 del 12 de abril de 2023, C-132 del 12 de abril de 2023, C-259 del 4 de julio de 2023, C-351 del 6 de septiembre de 2023, C-418 del 10 de octubre de 2023, C-045 del 24 de abril de 2024, C-071 del 28 de mayo de 2024, C-096 del 27 de junio de 2024, C-115 del 16 de julio de 2024, C-073 del 22 de julio de 2024 y C-108 del 06 de agosto de 2024 entre otros</w:t>
      </w:r>
      <w:r w:rsidRPr="00E95B38">
        <w:rPr>
          <w:rFonts w:ascii="Verdana" w:eastAsia="Calibri" w:hAnsi="Verdana" w:cs="Arial"/>
          <w:shd w:val="clear" w:color="auto" w:fill="FFFFFF"/>
        </w:rPr>
        <w:t>.</w:t>
      </w:r>
      <w:r w:rsidRPr="00E95B38">
        <w:rPr>
          <w:rFonts w:ascii="Verdana" w:eastAsia="Calibri" w:hAnsi="Verdana" w:cs="Times New Roman"/>
        </w:rPr>
        <w:t xml:space="preserve"> Estos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8FC600F" w14:textId="77777777" w:rsidR="005400A9" w:rsidRPr="00E95B38" w:rsidRDefault="005400A9" w:rsidP="005400A9">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Pr="00E95B38">
          <w:rPr>
            <w:rStyle w:val="Hipervnculo"/>
            <w:rFonts w:ascii="Verdana" w:eastAsia="Calibri" w:hAnsi="Verdana" w:cs="Times New Roman"/>
            <w:lang w:val="es-ES"/>
          </w:rPr>
          <w:t>https://relatoria.colombiacompra.gov.co/busqueda/conceptos</w:t>
        </w:r>
      </w:hyperlink>
      <w:r w:rsidRPr="00E95B38">
        <w:rPr>
          <w:rFonts w:ascii="Verdana" w:eastAsia="Calibri" w:hAnsi="Verdana" w:cs="Times New Roman"/>
        </w:rPr>
        <w:t>.</w:t>
      </w:r>
    </w:p>
    <w:p w14:paraId="24FDE030" w14:textId="77777777" w:rsidR="005400A9" w:rsidRPr="00E95B38" w:rsidRDefault="005400A9" w:rsidP="005400A9">
      <w:pPr>
        <w:widowControl w:val="0"/>
        <w:autoSpaceDE w:val="0"/>
        <w:autoSpaceDN w:val="0"/>
        <w:spacing w:after="0" w:line="276" w:lineRule="auto"/>
        <w:jc w:val="both"/>
        <w:rPr>
          <w:rFonts w:ascii="Verdana" w:hAnsi="Verdana" w:cs="Arial"/>
          <w:color w:val="000000" w:themeColor="text1"/>
          <w:shd w:val="clear" w:color="auto" w:fill="FFFFFF"/>
        </w:rPr>
      </w:pPr>
    </w:p>
    <w:p w14:paraId="3A8E68E1" w14:textId="77777777" w:rsidR="005400A9" w:rsidRPr="00E95B38" w:rsidRDefault="005400A9" w:rsidP="005400A9">
      <w:pPr>
        <w:widowControl w:val="0"/>
        <w:autoSpaceDE w:val="0"/>
        <w:autoSpaceDN w:val="0"/>
        <w:spacing w:after="0" w:line="276" w:lineRule="auto"/>
        <w:jc w:val="both"/>
        <w:rPr>
          <w:rFonts w:ascii="Verdana" w:hAnsi="Verdana"/>
        </w:rPr>
      </w:pPr>
      <w:r w:rsidRPr="00E95B38">
        <w:rPr>
          <w:rFonts w:ascii="Verdana" w:hAnsi="Verdana" w:cs="Arial"/>
          <w:color w:val="000000" w:themeColor="text1"/>
          <w:shd w:val="clear" w:color="auto" w:fill="FFFFFF"/>
        </w:rPr>
        <w:t xml:space="preserve">También, te contamos que ya publicamos la nueva </w:t>
      </w:r>
      <w:r w:rsidRPr="00E95B38">
        <w:rPr>
          <w:rFonts w:ascii="Verdana" w:hAnsi="Verdana" w:cs="Arial"/>
          <w:b/>
          <w:bCs/>
          <w:color w:val="000000" w:themeColor="text1"/>
          <w:shd w:val="clear" w:color="auto" w:fill="FFFFFF"/>
        </w:rPr>
        <w:t>Guía de Contratación Pública Sostenible y Socialmente Responsable</w:t>
      </w:r>
      <w:r w:rsidRPr="00E95B38">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E95B38">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E95B38">
        <w:rPr>
          <w:rFonts w:ascii="Verdana" w:hAnsi="Verdana"/>
        </w:rPr>
        <w:t>.</w:t>
      </w:r>
    </w:p>
    <w:p w14:paraId="045A589B" w14:textId="77777777" w:rsidR="005400A9" w:rsidRPr="00E95B38" w:rsidRDefault="005400A9" w:rsidP="005400A9">
      <w:pPr>
        <w:widowControl w:val="0"/>
        <w:autoSpaceDE w:val="0"/>
        <w:autoSpaceDN w:val="0"/>
        <w:spacing w:after="0" w:line="276" w:lineRule="auto"/>
        <w:jc w:val="both"/>
        <w:rPr>
          <w:rFonts w:ascii="Verdana" w:hAnsi="Verdana"/>
        </w:rPr>
      </w:pPr>
    </w:p>
    <w:p w14:paraId="1905F61F" w14:textId="77777777" w:rsidR="005400A9" w:rsidRPr="00E95B38" w:rsidRDefault="005400A9" w:rsidP="005400A9">
      <w:pPr>
        <w:widowControl w:val="0"/>
        <w:autoSpaceDE w:val="0"/>
        <w:autoSpaceDN w:val="0"/>
        <w:spacing w:after="0" w:line="276" w:lineRule="auto"/>
        <w:jc w:val="both"/>
        <w:rPr>
          <w:rFonts w:ascii="Verdana" w:hAnsi="Verdana" w:cs="Arial"/>
          <w:lang w:val="es-ES_tradnl"/>
        </w:rPr>
      </w:pPr>
      <w:r w:rsidRPr="00E95B38">
        <w:rPr>
          <w:rFonts w:ascii="Verdana" w:hAnsi="Verdana" w:cs="Arial"/>
        </w:rPr>
        <w:t xml:space="preserve">Este concepto tiene el alcance previsto en el artículo 28 del Código de </w:t>
      </w:r>
      <w:r w:rsidRPr="00E95B38">
        <w:rPr>
          <w:rFonts w:ascii="Verdana" w:hAnsi="Verdana" w:cs="Arial"/>
        </w:rPr>
        <w:lastRenderedPageBreak/>
        <w:t xml:space="preserve">Procedimiento Administrativo y de lo Contencioso Administrativo </w:t>
      </w:r>
      <w:r w:rsidRPr="00E95B38">
        <w:rPr>
          <w:rFonts w:ascii="Verdana" w:hAnsi="Verdana" w:cs="Arial"/>
          <w:lang w:val="es-ES_tradnl"/>
        </w:rPr>
        <w:t>y las expresiones aquí utilizadas con mayúscula inicial deben ser entendidas con el significado que les otorga el artículo 2.2.1.1.1.3.1. del Decreto 1082 de 2015.</w:t>
      </w:r>
    </w:p>
    <w:p w14:paraId="14BFC580" w14:textId="77777777" w:rsidR="005400A9" w:rsidRPr="00E95B38" w:rsidRDefault="005400A9" w:rsidP="005400A9">
      <w:pPr>
        <w:widowControl w:val="0"/>
        <w:autoSpaceDE w:val="0"/>
        <w:autoSpaceDN w:val="0"/>
        <w:spacing w:after="0" w:line="276" w:lineRule="auto"/>
        <w:jc w:val="both"/>
        <w:rPr>
          <w:rFonts w:ascii="Verdana" w:hAnsi="Verdana" w:cs="Arial"/>
        </w:rPr>
      </w:pPr>
    </w:p>
    <w:p w14:paraId="1C0888DB" w14:textId="77777777" w:rsidR="005400A9" w:rsidRPr="00E95B38" w:rsidRDefault="005400A9" w:rsidP="005400A9">
      <w:pPr>
        <w:spacing w:after="0" w:line="276" w:lineRule="auto"/>
        <w:jc w:val="both"/>
        <w:rPr>
          <w:rFonts w:ascii="Verdana" w:hAnsi="Verdana" w:cs="Arial"/>
          <w:lang w:eastAsia="es-CO"/>
        </w:rPr>
      </w:pPr>
      <w:r w:rsidRPr="00E95B38">
        <w:rPr>
          <w:rFonts w:ascii="Verdana" w:eastAsia="Times New Roman" w:hAnsi="Verdana" w:cs="Arial"/>
          <w:lang w:eastAsia="es-CO"/>
        </w:rPr>
        <w:t>Atentamente,</w:t>
      </w:r>
      <w:r w:rsidRPr="00E95B38">
        <w:rPr>
          <w:rFonts w:ascii="Verdana" w:hAnsi="Verdana" w:cs="Arial"/>
          <w:lang w:eastAsia="es-CO"/>
        </w:rPr>
        <w:t xml:space="preserve"> </w:t>
      </w:r>
    </w:p>
    <w:p w14:paraId="0E770CBB" w14:textId="7361FBE0" w:rsidR="005400A9" w:rsidRPr="00E95B38" w:rsidRDefault="00874920" w:rsidP="005400A9">
      <w:pPr>
        <w:spacing w:line="276" w:lineRule="auto"/>
        <w:jc w:val="center"/>
        <w:rPr>
          <w:rFonts w:ascii="Verdana" w:hAnsi="Verdana" w:cs="Arial"/>
          <w:color w:val="000000"/>
          <w:lang w:val="es-ES_tradnl" w:eastAsia="es-CO"/>
        </w:rPr>
      </w:pPr>
      <w:r>
        <w:rPr>
          <w:noProof/>
        </w:rPr>
        <w:drawing>
          <wp:inline distT="0" distB="0" distL="0" distR="0" wp14:anchorId="1108C839" wp14:editId="18F5F253">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400A9" w:rsidRPr="003A5A84" w14:paraId="1D9E8FC3" w14:textId="77777777" w:rsidTr="00881EEC">
        <w:trPr>
          <w:trHeight w:val="315"/>
        </w:trPr>
        <w:tc>
          <w:tcPr>
            <w:tcW w:w="893" w:type="dxa"/>
            <w:vAlign w:val="center"/>
            <w:hideMark/>
          </w:tcPr>
          <w:p w14:paraId="3B4445B1" w14:textId="77777777" w:rsidR="005400A9" w:rsidRPr="003A5A84" w:rsidRDefault="005400A9" w:rsidP="00881EEC">
            <w:pPr>
              <w:contextualSpacing/>
              <w:rPr>
                <w:rFonts w:ascii="Verdana" w:hAnsi="Verdana" w:cs="Arial"/>
                <w:sz w:val="16"/>
                <w:szCs w:val="16"/>
                <w:lang w:val="es-ES" w:eastAsia="es-ES"/>
              </w:rPr>
            </w:pPr>
            <w:r w:rsidRPr="003A5A8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5326A8C" w14:textId="77777777" w:rsidR="005400A9" w:rsidRPr="003A5A84" w:rsidRDefault="005400A9" w:rsidP="00881EEC">
            <w:pPr>
              <w:contextualSpacing/>
              <w:rPr>
                <w:rStyle w:val="normaltextrun"/>
                <w:rFonts w:ascii="Verdana" w:eastAsia="Arial" w:hAnsi="Verdana" w:cs="Arial"/>
                <w:sz w:val="16"/>
                <w:szCs w:val="16"/>
              </w:rPr>
            </w:pPr>
            <w:r w:rsidRPr="003A5A84">
              <w:rPr>
                <w:rStyle w:val="normaltextrun"/>
                <w:rFonts w:ascii="Verdana" w:eastAsia="Arial" w:hAnsi="Verdana" w:cs="Arial"/>
                <w:sz w:val="16"/>
                <w:szCs w:val="16"/>
              </w:rPr>
              <w:t>Andrea del Pilar Garzón Sánchez.</w:t>
            </w:r>
          </w:p>
          <w:p w14:paraId="3A2E4F22" w14:textId="77777777" w:rsidR="005400A9" w:rsidRPr="003A5A84" w:rsidRDefault="005400A9" w:rsidP="00881EEC">
            <w:pPr>
              <w:contextualSpacing/>
              <w:rPr>
                <w:rFonts w:ascii="Verdana" w:eastAsia="Arial" w:hAnsi="Verdana" w:cs="Arial"/>
                <w:color w:val="7030A0"/>
                <w:sz w:val="16"/>
                <w:szCs w:val="16"/>
              </w:rPr>
            </w:pPr>
            <w:r w:rsidRPr="003A5A84">
              <w:rPr>
                <w:rStyle w:val="normaltextrun"/>
                <w:rFonts w:ascii="Verdana" w:eastAsia="Arial" w:hAnsi="Verdana" w:cs="Arial"/>
                <w:sz w:val="16"/>
                <w:szCs w:val="16"/>
              </w:rPr>
              <w:t>Contratista de la Subdirección de Gestión Contractual</w:t>
            </w:r>
          </w:p>
        </w:tc>
      </w:tr>
      <w:tr w:rsidR="005400A9" w:rsidRPr="003A5A84" w14:paraId="123F472C" w14:textId="77777777" w:rsidTr="00881EEC">
        <w:trPr>
          <w:trHeight w:val="330"/>
        </w:trPr>
        <w:tc>
          <w:tcPr>
            <w:tcW w:w="893" w:type="dxa"/>
            <w:vAlign w:val="center"/>
            <w:hideMark/>
          </w:tcPr>
          <w:p w14:paraId="66FDFF75" w14:textId="77777777" w:rsidR="005400A9" w:rsidRPr="00B845C1" w:rsidRDefault="005400A9" w:rsidP="00881EEC">
            <w:pPr>
              <w:contextualSpacing/>
              <w:rPr>
                <w:rFonts w:ascii="Verdana" w:hAnsi="Verdana" w:cs="Arial"/>
                <w:sz w:val="16"/>
                <w:szCs w:val="16"/>
                <w:lang w:val="es-ES" w:eastAsia="es-ES"/>
              </w:rPr>
            </w:pPr>
            <w:r w:rsidRPr="00B845C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93E209E" w14:textId="2FB93721" w:rsidR="005400A9" w:rsidRPr="00B845C1" w:rsidRDefault="005400A9" w:rsidP="00881EEC">
            <w:pPr>
              <w:pStyle w:val="paragraph"/>
              <w:spacing w:before="0" w:beforeAutospacing="0" w:after="0" w:afterAutospacing="0"/>
              <w:contextualSpacing/>
              <w:textAlignment w:val="baseline"/>
              <w:rPr>
                <w:rStyle w:val="normaltextrun"/>
                <w:rFonts w:ascii="Verdana" w:hAnsi="Verdana" w:cs="Arial"/>
                <w:sz w:val="16"/>
                <w:szCs w:val="16"/>
                <w:lang w:val="es-ES"/>
              </w:rPr>
            </w:pPr>
            <w:r w:rsidRPr="00B845C1">
              <w:rPr>
                <w:rStyle w:val="normaltextrun"/>
                <w:rFonts w:ascii="Verdana" w:hAnsi="Verdana" w:cs="Arial"/>
                <w:sz w:val="16"/>
                <w:szCs w:val="16"/>
                <w:lang w:val="es-ES"/>
              </w:rPr>
              <w:t xml:space="preserve">Diana Lucia Saavedra </w:t>
            </w:r>
            <w:r w:rsidR="00B845C1" w:rsidRPr="00B845C1">
              <w:rPr>
                <w:rStyle w:val="normaltextrun"/>
                <w:rFonts w:ascii="Verdana" w:hAnsi="Verdana" w:cs="Arial"/>
                <w:sz w:val="16"/>
                <w:szCs w:val="16"/>
                <w:lang w:val="es-ES"/>
              </w:rPr>
              <w:t>Castañeda</w:t>
            </w:r>
          </w:p>
          <w:p w14:paraId="1F762391" w14:textId="77777777" w:rsidR="005400A9" w:rsidRPr="00B845C1" w:rsidRDefault="005400A9" w:rsidP="00881EEC">
            <w:pPr>
              <w:pStyle w:val="paragraph"/>
              <w:spacing w:before="0" w:beforeAutospacing="0" w:after="0" w:afterAutospacing="0"/>
              <w:contextualSpacing/>
              <w:textAlignment w:val="baseline"/>
              <w:rPr>
                <w:rFonts w:ascii="Verdana" w:hAnsi="Verdana" w:cs="Segoe UI"/>
                <w:sz w:val="16"/>
                <w:szCs w:val="16"/>
              </w:rPr>
            </w:pPr>
            <w:r w:rsidRPr="00B845C1">
              <w:rPr>
                <w:rStyle w:val="normaltextrun"/>
                <w:rFonts w:ascii="Verdana" w:hAnsi="Verdana" w:cs="Arial"/>
                <w:sz w:val="16"/>
                <w:szCs w:val="16"/>
                <w:lang w:val="es-ES"/>
              </w:rPr>
              <w:t>Contratista de la Subdirección de Gestión Contractual</w:t>
            </w:r>
            <w:r w:rsidRPr="00B845C1">
              <w:rPr>
                <w:rStyle w:val="eop"/>
                <w:rFonts w:ascii="Verdana" w:hAnsi="Verdana" w:cs="Arial"/>
                <w:sz w:val="16"/>
                <w:szCs w:val="16"/>
              </w:rPr>
              <w:t> </w:t>
            </w:r>
          </w:p>
        </w:tc>
      </w:tr>
      <w:tr w:rsidR="005400A9" w:rsidRPr="003A5A84" w14:paraId="0F724611" w14:textId="77777777" w:rsidTr="00881EEC">
        <w:trPr>
          <w:trHeight w:val="300"/>
        </w:trPr>
        <w:tc>
          <w:tcPr>
            <w:tcW w:w="893" w:type="dxa"/>
            <w:vAlign w:val="center"/>
          </w:tcPr>
          <w:p w14:paraId="209A2021" w14:textId="77777777" w:rsidR="005400A9" w:rsidRPr="003A5A84" w:rsidRDefault="005400A9" w:rsidP="00881EEC">
            <w:pPr>
              <w:contextualSpacing/>
              <w:rPr>
                <w:rFonts w:ascii="Verdana" w:hAnsi="Verdana" w:cs="Arial"/>
                <w:sz w:val="16"/>
                <w:szCs w:val="16"/>
                <w:lang w:val="es-ES" w:eastAsia="es-ES"/>
              </w:rPr>
            </w:pPr>
            <w:r w:rsidRPr="003A5A8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3CF4DDB" w14:textId="77777777" w:rsidR="005400A9" w:rsidRPr="003A5A84" w:rsidRDefault="005400A9" w:rsidP="00881EEC">
            <w:pPr>
              <w:contextualSpacing/>
              <w:rPr>
                <w:rFonts w:ascii="Verdana" w:eastAsia="Calibri" w:hAnsi="Verdana" w:cs="Arial"/>
                <w:sz w:val="16"/>
                <w:szCs w:val="16"/>
                <w:lang w:val="pt-BR" w:eastAsia="es-ES"/>
              </w:rPr>
            </w:pPr>
            <w:r w:rsidRPr="003A5A84">
              <w:rPr>
                <w:rFonts w:ascii="Verdana" w:eastAsia="Calibri" w:hAnsi="Verdana" w:cs="Arial"/>
                <w:sz w:val="16"/>
                <w:szCs w:val="16"/>
                <w:lang w:val="pt-BR" w:eastAsia="es-ES"/>
              </w:rPr>
              <w:t xml:space="preserve">Carolina Quintero </w:t>
            </w:r>
            <w:proofErr w:type="spellStart"/>
            <w:r w:rsidRPr="003A5A84">
              <w:rPr>
                <w:rFonts w:ascii="Verdana" w:eastAsia="Calibri" w:hAnsi="Verdana" w:cs="Arial"/>
                <w:sz w:val="16"/>
                <w:szCs w:val="16"/>
                <w:lang w:val="pt-BR" w:eastAsia="es-ES"/>
              </w:rPr>
              <w:t>Gacharná</w:t>
            </w:r>
            <w:proofErr w:type="spellEnd"/>
          </w:p>
          <w:p w14:paraId="52EAA96B" w14:textId="77777777" w:rsidR="005400A9" w:rsidRPr="003A5A84" w:rsidRDefault="005400A9" w:rsidP="00881EEC">
            <w:pPr>
              <w:contextualSpacing/>
              <w:rPr>
                <w:rFonts w:ascii="Verdana" w:eastAsia="Calibri" w:hAnsi="Verdana" w:cs="Arial"/>
                <w:sz w:val="16"/>
                <w:szCs w:val="16"/>
                <w:lang w:val="pt-BR" w:eastAsia="es-ES"/>
              </w:rPr>
            </w:pPr>
            <w:r w:rsidRPr="003A5A84">
              <w:rPr>
                <w:rFonts w:ascii="Verdana" w:eastAsia="Calibri" w:hAnsi="Verdana" w:cs="Arial"/>
                <w:sz w:val="16"/>
                <w:szCs w:val="16"/>
                <w:lang w:eastAsia="es-ES"/>
              </w:rPr>
              <w:t>Subdirectora</w:t>
            </w:r>
            <w:r w:rsidRPr="003A5A84">
              <w:rPr>
                <w:rFonts w:ascii="Verdana" w:eastAsia="Calibri" w:hAnsi="Verdana" w:cs="Arial"/>
                <w:sz w:val="16"/>
                <w:szCs w:val="16"/>
                <w:lang w:val="pt-BR" w:eastAsia="es-ES"/>
              </w:rPr>
              <w:t xml:space="preserve"> de Gestión </w:t>
            </w:r>
            <w:proofErr w:type="spellStart"/>
            <w:r w:rsidRPr="003A5A84">
              <w:rPr>
                <w:rFonts w:ascii="Verdana" w:eastAsia="Calibri" w:hAnsi="Verdana" w:cs="Arial"/>
                <w:sz w:val="16"/>
                <w:szCs w:val="16"/>
                <w:lang w:val="pt-BR" w:eastAsia="es-ES"/>
              </w:rPr>
              <w:t>Contractual</w:t>
            </w:r>
            <w:proofErr w:type="spellEnd"/>
            <w:r w:rsidRPr="003A5A84">
              <w:rPr>
                <w:rFonts w:ascii="Verdana" w:eastAsia="Calibri" w:hAnsi="Verdana" w:cs="Arial"/>
                <w:sz w:val="16"/>
                <w:szCs w:val="16"/>
                <w:lang w:val="pt-BR" w:eastAsia="es-ES"/>
              </w:rPr>
              <w:t xml:space="preserve"> ANCP – CCE</w:t>
            </w:r>
          </w:p>
        </w:tc>
      </w:tr>
    </w:tbl>
    <w:p w14:paraId="2DF6A5A3" w14:textId="77777777" w:rsidR="005400A9" w:rsidRPr="00E95B38" w:rsidRDefault="005400A9" w:rsidP="005400A9">
      <w:pPr>
        <w:spacing w:line="276" w:lineRule="auto"/>
        <w:rPr>
          <w:rFonts w:ascii="Verdana" w:hAnsi="Verdana"/>
        </w:rPr>
      </w:pPr>
    </w:p>
    <w:bookmarkEnd w:id="0"/>
    <w:p w14:paraId="0465BA6D" w14:textId="77777777" w:rsidR="00E245AB" w:rsidRPr="00E95B38" w:rsidRDefault="00E245AB" w:rsidP="00E245AB">
      <w:pPr>
        <w:spacing w:after="0"/>
        <w:rPr>
          <w:rFonts w:ascii="Verdana" w:hAnsi="Verdana"/>
        </w:rPr>
      </w:pPr>
    </w:p>
    <w:sectPr w:rsidR="00E245AB" w:rsidRPr="00E95B38"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E45B2E" w14:textId="77777777" w:rsidR="00383DB6" w:rsidRDefault="00383DB6" w:rsidP="004A1847">
      <w:pPr>
        <w:spacing w:after="0" w:line="240" w:lineRule="auto"/>
      </w:pPr>
      <w:r>
        <w:separator/>
      </w:r>
    </w:p>
  </w:endnote>
  <w:endnote w:type="continuationSeparator" w:id="0">
    <w:p w14:paraId="398F87D4" w14:textId="77777777" w:rsidR="00383DB6" w:rsidRDefault="00383DB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030DAB" w14:textId="77777777" w:rsidR="00383DB6" w:rsidRDefault="00383DB6" w:rsidP="004A1847">
      <w:pPr>
        <w:spacing w:after="0" w:line="240" w:lineRule="auto"/>
      </w:pPr>
      <w:r>
        <w:separator/>
      </w:r>
    </w:p>
  </w:footnote>
  <w:footnote w:type="continuationSeparator" w:id="0">
    <w:p w14:paraId="4FDBB5B1" w14:textId="77777777" w:rsidR="00383DB6" w:rsidRDefault="00383DB6" w:rsidP="004A1847">
      <w:pPr>
        <w:spacing w:after="0" w:line="240" w:lineRule="auto"/>
      </w:pPr>
      <w:r>
        <w:continuationSeparator/>
      </w:r>
    </w:p>
  </w:footnote>
  <w:footnote w:id="1">
    <w:p w14:paraId="48969963" w14:textId="77777777" w:rsidR="004267BF" w:rsidRPr="00DC5F95" w:rsidRDefault="004267BF" w:rsidP="004267BF">
      <w:pPr>
        <w:pStyle w:val="Textonotapie"/>
        <w:ind w:firstLine="709"/>
        <w:jc w:val="both"/>
        <w:rPr>
          <w:rFonts w:ascii="Verdana" w:hAnsi="Verdana" w:cs="Arial"/>
          <w:color w:val="000000" w:themeColor="text1"/>
          <w:sz w:val="16"/>
          <w:szCs w:val="16"/>
        </w:rPr>
      </w:pPr>
      <w:r w:rsidRPr="00DC5F95">
        <w:rPr>
          <w:rStyle w:val="Refdenotaalpie"/>
          <w:rFonts w:ascii="Verdana" w:hAnsi="Verdana" w:cs="Arial"/>
          <w:color w:val="000000" w:themeColor="text1"/>
          <w:sz w:val="16"/>
          <w:szCs w:val="16"/>
        </w:rPr>
        <w:footnoteRef/>
      </w:r>
      <w:r w:rsidRPr="00DC5F95">
        <w:rPr>
          <w:rFonts w:ascii="Verdana" w:hAnsi="Verdana" w:cs="Arial"/>
          <w:color w:val="000000" w:themeColor="text1"/>
          <w:sz w:val="16"/>
          <w:szCs w:val="16"/>
        </w:rPr>
        <w:t xml:space="preserve"> Concepto del 3 de septiembre de 2019, con radicado No. 2201913000006512.</w:t>
      </w:r>
    </w:p>
    <w:p w14:paraId="54875403" w14:textId="77777777" w:rsidR="004267BF" w:rsidRPr="00DC5F95" w:rsidRDefault="004267BF" w:rsidP="004267BF">
      <w:pPr>
        <w:pStyle w:val="Textonotapie"/>
        <w:ind w:firstLine="709"/>
        <w:jc w:val="both"/>
        <w:rPr>
          <w:rFonts w:ascii="Verdana" w:hAnsi="Verdana" w:cs="Arial"/>
          <w:color w:val="000000" w:themeColor="text1"/>
          <w:sz w:val="16"/>
          <w:szCs w:val="16"/>
        </w:rPr>
      </w:pPr>
    </w:p>
  </w:footnote>
  <w:footnote w:id="2">
    <w:p w14:paraId="0768922B" w14:textId="77777777" w:rsidR="005400A9" w:rsidRPr="007012E5" w:rsidRDefault="005400A9" w:rsidP="005400A9">
      <w:pPr>
        <w:pStyle w:val="Textonotapie"/>
        <w:ind w:firstLine="709"/>
        <w:contextualSpacing/>
        <w:jc w:val="both"/>
        <w:rPr>
          <w:rFonts w:ascii="Verdana" w:hAnsi="Verdana" w:cs="Arial"/>
          <w:color w:val="000000" w:themeColor="text1"/>
          <w:sz w:val="16"/>
          <w:szCs w:val="16"/>
        </w:rPr>
      </w:pPr>
      <w:r w:rsidRPr="007012E5">
        <w:rPr>
          <w:rStyle w:val="Refdenotaalpie"/>
          <w:rFonts w:ascii="Verdana" w:hAnsi="Verdana" w:cs="Arial"/>
          <w:color w:val="000000" w:themeColor="text1"/>
          <w:sz w:val="16"/>
          <w:szCs w:val="16"/>
        </w:rPr>
        <w:footnoteRef/>
      </w:r>
      <w:r w:rsidRPr="007012E5">
        <w:rPr>
          <w:rFonts w:ascii="Verdana" w:hAnsi="Verdana" w:cs="Arial"/>
          <w:color w:val="000000" w:themeColor="text1"/>
          <w:sz w:val="16"/>
          <w:szCs w:val="16"/>
        </w:rPr>
        <w:t xml:space="preserve"> Sobre esta norma, consultar los conceptos del 8 de octubre de 2019, con radicado No. 2201913000007532, y del 20 de diciembre de 2019, con radicado No. 4201913000008240.</w:t>
      </w:r>
    </w:p>
    <w:p w14:paraId="51BC408E" w14:textId="77777777" w:rsidR="005400A9" w:rsidRPr="007012E5" w:rsidRDefault="005400A9" w:rsidP="005400A9">
      <w:pPr>
        <w:pStyle w:val="Textonotapie"/>
        <w:ind w:firstLine="709"/>
        <w:contextualSpacing/>
        <w:jc w:val="both"/>
        <w:rPr>
          <w:rFonts w:ascii="Verdana" w:hAnsi="Verdana" w:cs="Arial"/>
          <w:color w:val="000000" w:themeColor="text1"/>
          <w:sz w:val="16"/>
          <w:szCs w:val="16"/>
          <w:lang w:val="es-ES"/>
        </w:rPr>
      </w:pPr>
    </w:p>
  </w:footnote>
  <w:footnote w:id="3">
    <w:p w14:paraId="3E05659F" w14:textId="77777777" w:rsidR="005400A9" w:rsidRPr="007012E5" w:rsidRDefault="005400A9" w:rsidP="005400A9">
      <w:pPr>
        <w:pStyle w:val="Textonotapie"/>
        <w:ind w:firstLine="709"/>
        <w:contextualSpacing/>
        <w:jc w:val="both"/>
        <w:rPr>
          <w:rFonts w:ascii="Verdana" w:hAnsi="Verdana" w:cs="Arial"/>
          <w:color w:val="000000" w:themeColor="text1"/>
          <w:sz w:val="16"/>
          <w:szCs w:val="16"/>
        </w:rPr>
      </w:pPr>
      <w:r w:rsidRPr="007012E5">
        <w:rPr>
          <w:rStyle w:val="Refdenotaalpie"/>
          <w:rFonts w:ascii="Verdana" w:hAnsi="Verdana" w:cs="Arial"/>
          <w:color w:val="000000" w:themeColor="text1"/>
          <w:sz w:val="16"/>
          <w:szCs w:val="16"/>
        </w:rPr>
        <w:footnoteRef/>
      </w:r>
      <w:r w:rsidRPr="007012E5">
        <w:rPr>
          <w:rFonts w:ascii="Verdana" w:hAnsi="Verdana" w:cs="Arial"/>
          <w:color w:val="000000" w:themeColor="text1"/>
          <w:sz w:val="16"/>
          <w:szCs w:val="16"/>
        </w:rPr>
        <w:t xml:space="preserve"> Al respecto, la Ley 489 de 1998 dispone que “Art</w:t>
      </w:r>
      <w:r>
        <w:rPr>
          <w:rFonts w:ascii="Verdana" w:hAnsi="Verdana" w:cs="Arial"/>
          <w:color w:val="000000" w:themeColor="text1"/>
          <w:sz w:val="16"/>
          <w:szCs w:val="16"/>
        </w:rPr>
        <w:t>ículo</w:t>
      </w:r>
      <w:r w:rsidRPr="007012E5">
        <w:rPr>
          <w:rFonts w:ascii="Verdana" w:hAnsi="Verdana" w:cs="Arial"/>
          <w:color w:val="000000" w:themeColor="text1"/>
          <w:sz w:val="16"/>
          <w:szCs w:val="16"/>
        </w:rPr>
        <w:t xml:space="preserve">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70185D06" w14:textId="77777777" w:rsidR="005400A9" w:rsidRPr="007012E5" w:rsidRDefault="005400A9" w:rsidP="005400A9">
      <w:pPr>
        <w:pStyle w:val="Textonotapie"/>
        <w:ind w:firstLine="709"/>
        <w:contextualSpacing/>
        <w:jc w:val="both"/>
        <w:rPr>
          <w:rFonts w:ascii="Verdana" w:hAnsi="Verdana" w:cs="Arial"/>
          <w:color w:val="000000" w:themeColor="text1"/>
          <w:sz w:val="16"/>
          <w:szCs w:val="16"/>
        </w:rPr>
      </w:pPr>
    </w:p>
    <w:p w14:paraId="71B5AE55" w14:textId="77777777" w:rsidR="005400A9" w:rsidRPr="007012E5" w:rsidRDefault="005400A9" w:rsidP="005400A9">
      <w:pPr>
        <w:pStyle w:val="Textonotapie"/>
        <w:ind w:firstLine="709"/>
        <w:contextualSpacing/>
        <w:jc w:val="both"/>
        <w:rPr>
          <w:rFonts w:ascii="Verdana" w:hAnsi="Verdana" w:cs="Arial"/>
          <w:color w:val="000000" w:themeColor="text1"/>
          <w:sz w:val="16"/>
          <w:szCs w:val="16"/>
        </w:rPr>
      </w:pPr>
      <w:r w:rsidRPr="007012E5">
        <w:rPr>
          <w:rFonts w:ascii="Verdana" w:hAnsi="Verdana" w:cs="Arial"/>
          <w:color w:val="000000" w:themeColor="text1"/>
          <w:sz w:val="16"/>
          <w:szCs w:val="16"/>
        </w:rPr>
        <w:t xml:space="preserve">Los convenios de asociación a que se refiere el presente artículo </w:t>
      </w:r>
      <w:bookmarkStart w:id="5" w:name="_Hlk36023315"/>
      <w:r w:rsidRPr="007012E5">
        <w:rPr>
          <w:rFonts w:ascii="Verdana" w:hAnsi="Verdana" w:cs="Arial"/>
          <w:color w:val="000000" w:themeColor="text1"/>
          <w:sz w:val="16"/>
          <w:szCs w:val="16"/>
        </w:rPr>
        <w:t>se celebrarán de conformidad con lo dispuesto en el artículo 355 de la Constitución Política</w:t>
      </w:r>
      <w:bookmarkEnd w:id="5"/>
      <w:r w:rsidRPr="007012E5">
        <w:rPr>
          <w:rFonts w:ascii="Verdana" w:hAnsi="Verdana" w:cs="Arial"/>
          <w:color w:val="000000" w:themeColor="text1"/>
          <w:sz w:val="16"/>
          <w:szCs w:val="16"/>
        </w:rPr>
        <w:t>, en ellos se determinará con precisión su objeto, término, obligaciones de las partes, aportes, coordinación y todos aquellos aspectos que se consideren pertinentes”.</w:t>
      </w:r>
    </w:p>
    <w:p w14:paraId="61EDD628" w14:textId="77777777" w:rsidR="005400A9" w:rsidRPr="007012E5" w:rsidRDefault="005400A9" w:rsidP="005400A9">
      <w:pPr>
        <w:pStyle w:val="Textonotapie"/>
        <w:ind w:firstLine="709"/>
        <w:contextualSpacing/>
        <w:jc w:val="both"/>
        <w:rPr>
          <w:rFonts w:ascii="Verdana" w:hAnsi="Verdana" w:cs="Arial"/>
          <w:color w:val="000000" w:themeColor="text1"/>
          <w:sz w:val="16"/>
          <w:szCs w:val="16"/>
          <w:lang w:val="es-ES"/>
        </w:rPr>
      </w:pPr>
      <w:r w:rsidRPr="007012E5">
        <w:rPr>
          <w:rFonts w:ascii="Verdana" w:hAnsi="Verdana" w:cs="Arial"/>
          <w:color w:val="000000" w:themeColor="text1"/>
          <w:sz w:val="16"/>
          <w:szCs w:val="16"/>
        </w:rPr>
        <w:t xml:space="preserve"> </w:t>
      </w:r>
    </w:p>
  </w:footnote>
  <w:footnote w:id="4">
    <w:p w14:paraId="7C3DB04B" w14:textId="77777777" w:rsidR="005400A9" w:rsidRPr="007012E5" w:rsidRDefault="005400A9" w:rsidP="00A215B2">
      <w:pPr>
        <w:pStyle w:val="Textonotapie"/>
        <w:ind w:firstLine="709"/>
        <w:contextualSpacing/>
        <w:jc w:val="both"/>
        <w:rPr>
          <w:rFonts w:ascii="Verdana" w:hAnsi="Verdana" w:cs="Arial"/>
          <w:color w:val="000000" w:themeColor="text1"/>
          <w:sz w:val="16"/>
          <w:szCs w:val="16"/>
        </w:rPr>
      </w:pPr>
      <w:r w:rsidRPr="007012E5">
        <w:rPr>
          <w:rStyle w:val="Refdenotaalpie"/>
          <w:rFonts w:ascii="Verdana" w:hAnsi="Verdana" w:cs="Arial"/>
          <w:color w:val="000000" w:themeColor="text1"/>
          <w:sz w:val="16"/>
          <w:szCs w:val="16"/>
        </w:rPr>
        <w:footnoteRef/>
      </w:r>
      <w:r w:rsidRPr="007012E5">
        <w:rPr>
          <w:rFonts w:ascii="Verdana" w:hAnsi="Verdana" w:cs="Arial"/>
          <w:color w:val="000000" w:themeColor="text1"/>
          <w:sz w:val="16"/>
          <w:szCs w:val="16"/>
        </w:rPr>
        <w:t xml:space="preserve"> </w:t>
      </w:r>
      <w:r>
        <w:rPr>
          <w:rFonts w:ascii="Verdana" w:hAnsi="Verdana" w:cs="Arial"/>
          <w:color w:val="000000" w:themeColor="text1"/>
          <w:sz w:val="16"/>
          <w:szCs w:val="16"/>
        </w:rPr>
        <w:t xml:space="preserve">Agencia Nacional de Contratación Pública – Colombia Compra Eficiente. </w:t>
      </w:r>
      <w:r w:rsidRPr="007012E5">
        <w:rPr>
          <w:rFonts w:ascii="Verdana" w:hAnsi="Verdana" w:cs="Arial"/>
          <w:color w:val="000000" w:themeColor="text1"/>
          <w:sz w:val="16"/>
          <w:szCs w:val="16"/>
        </w:rPr>
        <w:t>Concepto del 3 de septiembre de 2019, con radicado No. 2201913000006512.</w:t>
      </w:r>
    </w:p>
    <w:p w14:paraId="65A11F6F" w14:textId="77777777" w:rsidR="005400A9" w:rsidRPr="007012E5" w:rsidRDefault="005400A9" w:rsidP="005400A9">
      <w:pPr>
        <w:pStyle w:val="Textonotapie"/>
        <w:ind w:firstLine="709"/>
        <w:contextualSpacing/>
        <w:jc w:val="both"/>
        <w:rPr>
          <w:rFonts w:ascii="Verdana" w:hAnsi="Verdana" w:cs="Arial"/>
          <w:color w:val="000000" w:themeColor="text1"/>
          <w:sz w:val="16"/>
          <w:szCs w:val="16"/>
        </w:rPr>
      </w:pPr>
    </w:p>
  </w:footnote>
  <w:footnote w:id="5">
    <w:p w14:paraId="713FDEA1" w14:textId="77777777" w:rsidR="005400A9" w:rsidRPr="007012E5" w:rsidRDefault="005400A9" w:rsidP="00A215B2">
      <w:pPr>
        <w:pStyle w:val="Textonotapie"/>
        <w:ind w:firstLine="709"/>
        <w:contextualSpacing/>
        <w:jc w:val="both"/>
        <w:rPr>
          <w:rFonts w:ascii="Verdana" w:hAnsi="Verdana" w:cs="Arial"/>
          <w:color w:val="000000" w:themeColor="text1"/>
          <w:sz w:val="16"/>
          <w:szCs w:val="16"/>
        </w:rPr>
      </w:pPr>
      <w:r w:rsidRPr="007012E5">
        <w:rPr>
          <w:rStyle w:val="Refdenotaalpie"/>
          <w:rFonts w:ascii="Verdana" w:hAnsi="Verdana" w:cs="Arial"/>
          <w:color w:val="000000" w:themeColor="text1"/>
          <w:sz w:val="16"/>
          <w:szCs w:val="16"/>
        </w:rPr>
        <w:footnoteRef/>
      </w:r>
      <w:r w:rsidRPr="007012E5">
        <w:rPr>
          <w:rFonts w:ascii="Verdana" w:hAnsi="Verdana" w:cs="Arial"/>
          <w:color w:val="000000" w:themeColor="text1"/>
          <w:sz w:val="16"/>
          <w:szCs w:val="16"/>
        </w:rPr>
        <w:t xml:space="preserve"> </w:t>
      </w:r>
      <w:r>
        <w:rPr>
          <w:rFonts w:ascii="Verdana" w:hAnsi="Verdana" w:cs="Arial"/>
          <w:color w:val="000000" w:themeColor="text1"/>
          <w:sz w:val="16"/>
          <w:szCs w:val="16"/>
        </w:rPr>
        <w:t xml:space="preserve">Agencia Nacional de Contratación Pública – Colombia Compra Eficiente. </w:t>
      </w:r>
      <w:r w:rsidRPr="007012E5">
        <w:rPr>
          <w:rFonts w:ascii="Verdana" w:hAnsi="Verdana" w:cs="Arial"/>
          <w:color w:val="000000" w:themeColor="text1"/>
          <w:sz w:val="16"/>
          <w:szCs w:val="16"/>
        </w:rPr>
        <w:t>Concepto del 21 de agosto de 2019, dictado dentro del radicado No. 2201913000006047.</w:t>
      </w:r>
    </w:p>
    <w:p w14:paraId="3A4CC99D" w14:textId="77777777" w:rsidR="005400A9" w:rsidRPr="007012E5" w:rsidRDefault="005400A9" w:rsidP="00A215B2">
      <w:pPr>
        <w:pStyle w:val="Textonotapie"/>
        <w:ind w:firstLine="709"/>
        <w:contextualSpacing/>
        <w:jc w:val="both"/>
        <w:rPr>
          <w:rFonts w:ascii="Verdana" w:hAnsi="Verdana" w:cs="Arial"/>
          <w:color w:val="000000" w:themeColor="text1"/>
          <w:sz w:val="16"/>
          <w:szCs w:val="16"/>
        </w:rPr>
      </w:pPr>
    </w:p>
  </w:footnote>
  <w:footnote w:id="6">
    <w:p w14:paraId="2EDF60EE" w14:textId="77777777" w:rsidR="005400A9" w:rsidRPr="007012E5" w:rsidRDefault="005400A9" w:rsidP="00A215B2">
      <w:pPr>
        <w:pStyle w:val="Textonotapie"/>
        <w:ind w:firstLine="709"/>
        <w:contextualSpacing/>
        <w:jc w:val="both"/>
        <w:rPr>
          <w:rFonts w:ascii="Verdana" w:hAnsi="Verdana" w:cs="Arial"/>
          <w:color w:val="000000" w:themeColor="text1"/>
          <w:sz w:val="16"/>
          <w:szCs w:val="16"/>
        </w:rPr>
      </w:pPr>
      <w:r w:rsidRPr="007012E5">
        <w:rPr>
          <w:rStyle w:val="Refdenotaalpie"/>
          <w:rFonts w:ascii="Verdana" w:hAnsi="Verdana" w:cs="Arial"/>
          <w:color w:val="000000" w:themeColor="text1"/>
          <w:sz w:val="16"/>
          <w:szCs w:val="16"/>
        </w:rPr>
        <w:footnoteRef/>
      </w:r>
      <w:r w:rsidRPr="007012E5">
        <w:rPr>
          <w:rFonts w:ascii="Verdana" w:hAnsi="Verdana" w:cs="Arial"/>
          <w:color w:val="000000" w:themeColor="text1"/>
          <w:sz w:val="16"/>
          <w:szCs w:val="16"/>
        </w:rPr>
        <w:t xml:space="preserve"> </w:t>
      </w:r>
      <w:r>
        <w:rPr>
          <w:rFonts w:ascii="Verdana" w:hAnsi="Verdana" w:cs="Arial"/>
          <w:color w:val="000000" w:themeColor="text1"/>
          <w:sz w:val="16"/>
          <w:szCs w:val="16"/>
        </w:rPr>
        <w:t>Agencia Nacional de Contratación Pública – Colombia Compra Eficiente.</w:t>
      </w:r>
      <w:r w:rsidRPr="007012E5">
        <w:rPr>
          <w:rFonts w:ascii="Verdana" w:hAnsi="Verdana" w:cs="Arial"/>
          <w:color w:val="000000" w:themeColor="text1"/>
          <w:sz w:val="16"/>
          <w:szCs w:val="16"/>
        </w:rPr>
        <w:t xml:space="preserve"> Concepto del 21 de agosto de 2019, dictado dentro del radicado No. 2201913000006047.</w:t>
      </w:r>
    </w:p>
    <w:p w14:paraId="4A965C95" w14:textId="77777777" w:rsidR="005400A9" w:rsidRPr="007012E5" w:rsidRDefault="005400A9" w:rsidP="00A215B2">
      <w:pPr>
        <w:pStyle w:val="Textonotapie"/>
        <w:ind w:firstLine="709"/>
        <w:contextualSpacing/>
        <w:jc w:val="both"/>
        <w:rPr>
          <w:rFonts w:ascii="Verdana" w:hAnsi="Verdana" w:cs="Arial"/>
          <w:color w:val="000000" w:themeColor="text1"/>
          <w:sz w:val="16"/>
          <w:szCs w:val="16"/>
        </w:rPr>
      </w:pPr>
    </w:p>
  </w:footnote>
  <w:footnote w:id="7">
    <w:p w14:paraId="056A9CF8" w14:textId="77777777" w:rsidR="005400A9" w:rsidRDefault="005400A9" w:rsidP="007A3F91">
      <w:pPr>
        <w:spacing w:after="0" w:line="240" w:lineRule="auto"/>
        <w:ind w:firstLine="709"/>
        <w:contextualSpacing/>
        <w:jc w:val="both"/>
        <w:rPr>
          <w:rFonts w:ascii="Verdana" w:hAnsi="Verdana" w:cs="Arial"/>
          <w:color w:val="000000" w:themeColor="text1"/>
          <w:sz w:val="16"/>
          <w:szCs w:val="16"/>
        </w:rPr>
      </w:pPr>
      <w:r w:rsidRPr="007012E5">
        <w:rPr>
          <w:rStyle w:val="Refdenotaalpie"/>
          <w:rFonts w:ascii="Verdana" w:hAnsi="Verdana" w:cs="Arial"/>
          <w:color w:val="000000" w:themeColor="text1"/>
          <w:sz w:val="16"/>
          <w:szCs w:val="16"/>
        </w:rPr>
        <w:footnoteRef/>
      </w:r>
      <w:r w:rsidRPr="007012E5">
        <w:rPr>
          <w:rFonts w:ascii="Verdana" w:hAnsi="Verdana" w:cs="Arial"/>
          <w:color w:val="000000" w:themeColor="text1"/>
          <w:sz w:val="16"/>
          <w:szCs w:val="16"/>
        </w:rPr>
        <w:t xml:space="preserve"> Consejo de Estado. Sala de Consulta y del Servicio Civil. Concepto del 24 de febrero de 2005. Radicado No. 1626. Consejera Ponente: Dra. Gloria Duque Hernández. </w:t>
      </w:r>
    </w:p>
    <w:p w14:paraId="78C98B8F" w14:textId="77777777" w:rsidR="005400A9" w:rsidRPr="007012E5" w:rsidRDefault="005400A9" w:rsidP="00EA6923">
      <w:pPr>
        <w:spacing w:after="0" w:line="240" w:lineRule="auto"/>
        <w:ind w:firstLine="709"/>
        <w:contextualSpacing/>
        <w:jc w:val="both"/>
        <w:rPr>
          <w:rFonts w:ascii="Verdana" w:hAnsi="Verdana"/>
          <w:sz w:val="16"/>
          <w:szCs w:val="16"/>
        </w:rPr>
      </w:pPr>
    </w:p>
  </w:footnote>
  <w:footnote w:id="8">
    <w:p w14:paraId="04DFDD1E" w14:textId="77777777" w:rsidR="00A92069" w:rsidRPr="009A2D37" w:rsidRDefault="00A92069" w:rsidP="00A215B2">
      <w:pPr>
        <w:pStyle w:val="Textonotapie"/>
        <w:ind w:firstLine="709"/>
        <w:contextualSpacing/>
        <w:jc w:val="both"/>
        <w:rPr>
          <w:rFonts w:ascii="Verdana" w:hAnsi="Verdana" w:cs="Arial"/>
          <w:color w:val="000000"/>
          <w:sz w:val="16"/>
          <w:szCs w:val="16"/>
        </w:rPr>
      </w:pPr>
      <w:r w:rsidRPr="009A2D37">
        <w:rPr>
          <w:rStyle w:val="Refdenotaalpie"/>
          <w:rFonts w:ascii="Verdana" w:hAnsi="Verdana" w:cs="Arial"/>
          <w:color w:val="000000"/>
          <w:sz w:val="16"/>
          <w:szCs w:val="16"/>
        </w:rPr>
        <w:footnoteRef/>
      </w:r>
      <w:r w:rsidRPr="009A2D37">
        <w:rPr>
          <w:rFonts w:ascii="Verdana" w:hAnsi="Verdana" w:cs="Arial"/>
          <w:color w:val="000000"/>
          <w:sz w:val="16"/>
          <w:szCs w:val="16"/>
        </w:rPr>
        <w:t xml:space="preserve"> Decreto 1082</w:t>
      </w:r>
      <w:r>
        <w:rPr>
          <w:rFonts w:ascii="Verdana" w:hAnsi="Verdana" w:cs="Arial"/>
          <w:color w:val="000000"/>
          <w:sz w:val="16"/>
          <w:szCs w:val="16"/>
        </w:rPr>
        <w:t>. A</w:t>
      </w:r>
      <w:r w:rsidRPr="009A2D37">
        <w:rPr>
          <w:rFonts w:ascii="Verdana" w:hAnsi="Verdana" w:cs="Arial"/>
          <w:color w:val="000000"/>
          <w:sz w:val="16"/>
          <w:szCs w:val="16"/>
        </w:rPr>
        <w:t>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p w14:paraId="1B326BB7" w14:textId="77777777" w:rsidR="00A92069" w:rsidRPr="009A2D37" w:rsidRDefault="00A92069" w:rsidP="00A215B2">
      <w:pPr>
        <w:pStyle w:val="Textonotapie"/>
        <w:ind w:firstLine="709"/>
        <w:contextualSpacing/>
        <w:jc w:val="both"/>
        <w:rPr>
          <w:rFonts w:ascii="Verdana" w:hAnsi="Verdana" w:cs="Arial"/>
          <w:color w:val="000000"/>
          <w:sz w:val="16"/>
          <w:szCs w:val="16"/>
        </w:rPr>
      </w:pPr>
    </w:p>
  </w:footnote>
  <w:footnote w:id="9">
    <w:p w14:paraId="785B1E93" w14:textId="77777777" w:rsidR="00A92069" w:rsidRPr="009A2D37" w:rsidRDefault="00A92069" w:rsidP="00A215B2">
      <w:pPr>
        <w:pStyle w:val="Textonotapie"/>
        <w:ind w:firstLine="709"/>
        <w:contextualSpacing/>
        <w:jc w:val="both"/>
        <w:rPr>
          <w:rFonts w:ascii="Verdana" w:hAnsi="Verdana" w:cs="Arial"/>
          <w:sz w:val="16"/>
          <w:szCs w:val="16"/>
        </w:rPr>
      </w:pPr>
      <w:r w:rsidRPr="009A2D37">
        <w:rPr>
          <w:rStyle w:val="Refdenotaalpie"/>
          <w:rFonts w:ascii="Verdana" w:hAnsi="Verdana" w:cs="Arial"/>
          <w:sz w:val="16"/>
          <w:szCs w:val="16"/>
        </w:rPr>
        <w:footnoteRef/>
      </w:r>
      <w:r w:rsidRPr="009A2D37">
        <w:rPr>
          <w:rFonts w:ascii="Verdana" w:hAnsi="Verdana" w:cs="Arial"/>
          <w:sz w:val="16"/>
          <w:szCs w:val="16"/>
        </w:rPr>
        <w:t xml:space="preserve"> </w:t>
      </w:r>
      <w:bookmarkStart w:id="13" w:name="_Hlk203203092"/>
      <w:r w:rsidRPr="009A2D37">
        <w:rPr>
          <w:rFonts w:ascii="Verdana" w:hAnsi="Verdana" w:cs="Arial"/>
          <w:sz w:val="16"/>
          <w:szCs w:val="16"/>
        </w:rPr>
        <w:t xml:space="preserve">RODRÍGUEZ TAMAYO, Mauricio. Contratación pública con Entidades sin ánimo de lucro. Bogotá: Legis Editores, 2017. </w:t>
      </w:r>
      <w:r>
        <w:rPr>
          <w:rFonts w:ascii="Verdana" w:hAnsi="Verdana" w:cs="Arial"/>
          <w:sz w:val="16"/>
          <w:szCs w:val="16"/>
        </w:rPr>
        <w:t>Página</w:t>
      </w:r>
      <w:r w:rsidRPr="009A2D37">
        <w:rPr>
          <w:rFonts w:ascii="Verdana" w:hAnsi="Verdana" w:cs="Arial"/>
          <w:sz w:val="16"/>
          <w:szCs w:val="16"/>
        </w:rPr>
        <w:t xml:space="preserve"> 28. </w:t>
      </w:r>
      <w:bookmarkEnd w:id="13"/>
    </w:p>
    <w:p w14:paraId="5AB0D819" w14:textId="77777777" w:rsidR="00A92069" w:rsidRPr="009A2D37" w:rsidRDefault="00A92069" w:rsidP="00A215B2">
      <w:pPr>
        <w:pStyle w:val="Textonotapie"/>
        <w:ind w:firstLine="709"/>
        <w:contextualSpacing/>
        <w:jc w:val="both"/>
        <w:rPr>
          <w:rFonts w:ascii="Verdana" w:hAnsi="Verdana" w:cs="Arial"/>
          <w:sz w:val="16"/>
          <w:szCs w:val="16"/>
        </w:rPr>
      </w:pPr>
    </w:p>
  </w:footnote>
  <w:footnote w:id="10">
    <w:p w14:paraId="4D5F2A19" w14:textId="77777777" w:rsidR="00A92069" w:rsidRDefault="00A92069" w:rsidP="00A215B2">
      <w:pPr>
        <w:pStyle w:val="Textonotapie"/>
        <w:ind w:firstLine="709"/>
        <w:contextualSpacing/>
        <w:rPr>
          <w:rFonts w:ascii="Verdana" w:hAnsi="Verdana"/>
          <w:sz w:val="16"/>
          <w:szCs w:val="16"/>
        </w:rPr>
      </w:pPr>
      <w:r w:rsidRPr="009A2D37">
        <w:rPr>
          <w:rStyle w:val="Refdenotaalpie"/>
          <w:rFonts w:ascii="Verdana" w:hAnsi="Verdana"/>
          <w:sz w:val="16"/>
          <w:szCs w:val="16"/>
        </w:rPr>
        <w:footnoteRef/>
      </w:r>
      <w:r w:rsidRPr="009A2D37">
        <w:rPr>
          <w:rFonts w:ascii="Verdana" w:hAnsi="Verdana"/>
          <w:sz w:val="16"/>
          <w:szCs w:val="16"/>
        </w:rPr>
        <w:t xml:space="preserve"> </w:t>
      </w:r>
      <w:r>
        <w:rPr>
          <w:rFonts w:ascii="Verdana" w:hAnsi="Verdana"/>
          <w:sz w:val="16"/>
          <w:szCs w:val="16"/>
        </w:rPr>
        <w:t xml:space="preserve">Agencia Nacional de Contratación Pública – Colombia Compra Eficiente. </w:t>
      </w:r>
      <w:r w:rsidRPr="009A2D37">
        <w:rPr>
          <w:rFonts w:ascii="Verdana" w:hAnsi="Verdana"/>
          <w:sz w:val="16"/>
          <w:szCs w:val="16"/>
        </w:rPr>
        <w:t>Concepto C-560 de</w:t>
      </w:r>
      <w:r>
        <w:rPr>
          <w:rFonts w:ascii="Verdana" w:hAnsi="Verdana"/>
          <w:sz w:val="16"/>
          <w:szCs w:val="16"/>
        </w:rPr>
        <w:t>l 7 de septiembre de</w:t>
      </w:r>
      <w:r w:rsidRPr="009A2D37">
        <w:rPr>
          <w:rFonts w:ascii="Verdana" w:hAnsi="Verdana"/>
          <w:sz w:val="16"/>
          <w:szCs w:val="16"/>
        </w:rPr>
        <w:t xml:space="preserve"> 2022.</w:t>
      </w:r>
    </w:p>
    <w:p w14:paraId="56DED3F4" w14:textId="77777777" w:rsidR="00A92069" w:rsidRPr="009A2D37" w:rsidRDefault="00A92069" w:rsidP="00A215B2">
      <w:pPr>
        <w:pStyle w:val="Textonotapie"/>
        <w:ind w:firstLine="709"/>
        <w:contextualSpacing/>
        <w:rPr>
          <w:rFonts w:ascii="Verdana" w:hAnsi="Verdana"/>
          <w:sz w:val="16"/>
          <w:szCs w:val="16"/>
        </w:rPr>
      </w:pPr>
    </w:p>
  </w:footnote>
  <w:footnote w:id="11">
    <w:p w14:paraId="3D760D6F" w14:textId="77777777" w:rsidR="00A92069" w:rsidRDefault="00A92069" w:rsidP="00A215B2">
      <w:pPr>
        <w:pStyle w:val="Textonotapie"/>
        <w:ind w:firstLine="709"/>
        <w:contextualSpacing/>
        <w:rPr>
          <w:rFonts w:ascii="Verdana" w:hAnsi="Verdana"/>
          <w:sz w:val="16"/>
          <w:szCs w:val="16"/>
        </w:rPr>
      </w:pPr>
      <w:r w:rsidRPr="009A2D37">
        <w:rPr>
          <w:rStyle w:val="Refdenotaalpie"/>
          <w:rFonts w:ascii="Verdana" w:hAnsi="Verdana"/>
          <w:sz w:val="16"/>
          <w:szCs w:val="16"/>
        </w:rPr>
        <w:footnoteRef/>
      </w:r>
      <w:r w:rsidRPr="009A2D37">
        <w:rPr>
          <w:rFonts w:ascii="Verdana" w:hAnsi="Verdana"/>
          <w:sz w:val="16"/>
          <w:szCs w:val="16"/>
        </w:rPr>
        <w:t xml:space="preserve"> </w:t>
      </w:r>
      <w:r>
        <w:rPr>
          <w:rFonts w:ascii="Verdana" w:hAnsi="Verdana"/>
          <w:sz w:val="16"/>
          <w:szCs w:val="16"/>
        </w:rPr>
        <w:t xml:space="preserve">Agencia Nacional de Contratación Pública – Colombia Compra Eficiente. </w:t>
      </w:r>
      <w:r w:rsidRPr="009A2D37">
        <w:rPr>
          <w:rFonts w:ascii="Verdana" w:hAnsi="Verdana"/>
          <w:sz w:val="16"/>
          <w:szCs w:val="16"/>
        </w:rPr>
        <w:t>Concepto C-560 de</w:t>
      </w:r>
      <w:r>
        <w:rPr>
          <w:rFonts w:ascii="Verdana" w:hAnsi="Verdana"/>
          <w:sz w:val="16"/>
          <w:szCs w:val="16"/>
        </w:rPr>
        <w:t>l 7 de septiembre de</w:t>
      </w:r>
      <w:r w:rsidRPr="009A2D37">
        <w:rPr>
          <w:rFonts w:ascii="Verdana" w:hAnsi="Verdana"/>
          <w:sz w:val="16"/>
          <w:szCs w:val="16"/>
        </w:rPr>
        <w:t xml:space="preserve"> 2022.</w:t>
      </w:r>
    </w:p>
    <w:p w14:paraId="74EE3456" w14:textId="77777777" w:rsidR="00A92069" w:rsidRPr="009A2D37" w:rsidRDefault="00A92069" w:rsidP="00A215B2">
      <w:pPr>
        <w:pStyle w:val="Textonotapie"/>
        <w:ind w:firstLine="709"/>
        <w:contextualSpacing/>
        <w:rPr>
          <w:rFonts w:ascii="Verdana" w:hAnsi="Verdana"/>
          <w:sz w:val="16"/>
          <w:szCs w:val="16"/>
        </w:rPr>
      </w:pPr>
    </w:p>
  </w:footnote>
  <w:footnote w:id="12">
    <w:p w14:paraId="715ABF59" w14:textId="77777777" w:rsidR="00A92069" w:rsidRDefault="00A92069" w:rsidP="00A215B2">
      <w:pPr>
        <w:pStyle w:val="Textonotapie"/>
        <w:ind w:firstLine="709"/>
        <w:contextualSpacing/>
        <w:rPr>
          <w:rFonts w:ascii="Verdana" w:hAnsi="Verdana"/>
          <w:sz w:val="16"/>
          <w:szCs w:val="16"/>
        </w:rPr>
      </w:pPr>
      <w:r w:rsidRPr="009A2D37">
        <w:rPr>
          <w:rStyle w:val="Refdenotaalpie"/>
          <w:rFonts w:ascii="Verdana" w:hAnsi="Verdana"/>
          <w:sz w:val="16"/>
          <w:szCs w:val="16"/>
        </w:rPr>
        <w:footnoteRef/>
      </w:r>
      <w:r w:rsidRPr="009A2D37">
        <w:rPr>
          <w:rFonts w:ascii="Verdana" w:hAnsi="Verdana"/>
          <w:sz w:val="16"/>
          <w:szCs w:val="16"/>
        </w:rPr>
        <w:t xml:space="preserve"> </w:t>
      </w:r>
      <w:r>
        <w:rPr>
          <w:rFonts w:ascii="Verdana" w:hAnsi="Verdana"/>
          <w:sz w:val="16"/>
          <w:szCs w:val="16"/>
        </w:rPr>
        <w:t xml:space="preserve">Agencia Nacional de Contratación Pública – Colombia Compra Eficiente. </w:t>
      </w:r>
      <w:r w:rsidRPr="009A2D37">
        <w:rPr>
          <w:rFonts w:ascii="Verdana" w:hAnsi="Verdana"/>
          <w:sz w:val="16"/>
          <w:szCs w:val="16"/>
        </w:rPr>
        <w:t>Concepto C-560 de</w:t>
      </w:r>
      <w:r>
        <w:rPr>
          <w:rFonts w:ascii="Verdana" w:hAnsi="Verdana"/>
          <w:sz w:val="16"/>
          <w:szCs w:val="16"/>
        </w:rPr>
        <w:t>l 7 de septiembre de</w:t>
      </w:r>
      <w:r w:rsidRPr="009A2D37">
        <w:rPr>
          <w:rFonts w:ascii="Verdana" w:hAnsi="Verdana"/>
          <w:sz w:val="16"/>
          <w:szCs w:val="16"/>
        </w:rPr>
        <w:t xml:space="preserve"> 2022.</w:t>
      </w:r>
    </w:p>
    <w:p w14:paraId="416BC021" w14:textId="77777777" w:rsidR="00A92069" w:rsidRPr="009A2D37" w:rsidRDefault="00A92069" w:rsidP="00A215B2">
      <w:pPr>
        <w:pStyle w:val="Textonotapie"/>
        <w:ind w:firstLine="709"/>
        <w:contextualSpacing/>
        <w:rPr>
          <w:rFonts w:ascii="Verdana" w:hAnsi="Verdana"/>
          <w:sz w:val="16"/>
          <w:szCs w:val="16"/>
        </w:rPr>
      </w:pPr>
    </w:p>
  </w:footnote>
  <w:footnote w:id="13">
    <w:p w14:paraId="5DB68322" w14:textId="77777777" w:rsidR="00A92069" w:rsidRDefault="00A92069" w:rsidP="00A215B2">
      <w:pPr>
        <w:pStyle w:val="Textonotapie"/>
        <w:ind w:firstLine="709"/>
        <w:contextualSpacing/>
        <w:rPr>
          <w:rFonts w:ascii="Verdana" w:hAnsi="Verdana"/>
          <w:sz w:val="16"/>
          <w:szCs w:val="16"/>
        </w:rPr>
      </w:pPr>
      <w:r w:rsidRPr="009A2D37">
        <w:rPr>
          <w:rStyle w:val="Refdenotaalpie"/>
          <w:rFonts w:ascii="Verdana" w:hAnsi="Verdana"/>
          <w:sz w:val="16"/>
          <w:szCs w:val="16"/>
        </w:rPr>
        <w:footnoteRef/>
      </w:r>
      <w:r w:rsidRPr="009A2D37">
        <w:rPr>
          <w:rFonts w:ascii="Verdana" w:hAnsi="Verdana"/>
          <w:sz w:val="16"/>
          <w:szCs w:val="16"/>
        </w:rPr>
        <w:t xml:space="preserve"> </w:t>
      </w:r>
      <w:r>
        <w:rPr>
          <w:rFonts w:ascii="Verdana" w:hAnsi="Verdana"/>
          <w:sz w:val="16"/>
          <w:szCs w:val="16"/>
        </w:rPr>
        <w:t xml:space="preserve">Agencia Nacional de Contratación Pública – Colombia Compra Eficiente. </w:t>
      </w:r>
      <w:r w:rsidRPr="009A2D37">
        <w:rPr>
          <w:rFonts w:ascii="Verdana" w:hAnsi="Verdana"/>
          <w:sz w:val="16"/>
          <w:szCs w:val="16"/>
        </w:rPr>
        <w:t>Concepto C-560 de</w:t>
      </w:r>
      <w:r>
        <w:rPr>
          <w:rFonts w:ascii="Verdana" w:hAnsi="Verdana"/>
          <w:sz w:val="16"/>
          <w:szCs w:val="16"/>
        </w:rPr>
        <w:t>l 7 de septiembre de</w:t>
      </w:r>
      <w:r w:rsidRPr="009A2D37">
        <w:rPr>
          <w:rFonts w:ascii="Verdana" w:hAnsi="Verdana"/>
          <w:sz w:val="16"/>
          <w:szCs w:val="16"/>
        </w:rPr>
        <w:t xml:space="preserve"> 2022.</w:t>
      </w:r>
    </w:p>
    <w:p w14:paraId="3DD1A4B1" w14:textId="77777777" w:rsidR="00A92069" w:rsidRPr="009A2D37" w:rsidRDefault="00A92069" w:rsidP="00A215B2">
      <w:pPr>
        <w:pStyle w:val="Textonotapie"/>
        <w:ind w:firstLine="709"/>
        <w:contextualSpacing/>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A34"/>
    <w:rsid w:val="00046945"/>
    <w:rsid w:val="00061B2A"/>
    <w:rsid w:val="00082362"/>
    <w:rsid w:val="000928EF"/>
    <w:rsid w:val="000A683E"/>
    <w:rsid w:val="000B19B9"/>
    <w:rsid w:val="000D0334"/>
    <w:rsid w:val="000F6486"/>
    <w:rsid w:val="00116110"/>
    <w:rsid w:val="00125105"/>
    <w:rsid w:val="00127233"/>
    <w:rsid w:val="001A7A7D"/>
    <w:rsid w:val="001B5CB3"/>
    <w:rsid w:val="001E4177"/>
    <w:rsid w:val="001F7DC6"/>
    <w:rsid w:val="00211D44"/>
    <w:rsid w:val="0021273F"/>
    <w:rsid w:val="0021359B"/>
    <w:rsid w:val="00233C87"/>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54098"/>
    <w:rsid w:val="00374F5E"/>
    <w:rsid w:val="00377E3E"/>
    <w:rsid w:val="00383DB6"/>
    <w:rsid w:val="003A5A84"/>
    <w:rsid w:val="003A779E"/>
    <w:rsid w:val="003D0F4D"/>
    <w:rsid w:val="003D5B0D"/>
    <w:rsid w:val="003E0499"/>
    <w:rsid w:val="003F3941"/>
    <w:rsid w:val="003F694D"/>
    <w:rsid w:val="00406575"/>
    <w:rsid w:val="00414C74"/>
    <w:rsid w:val="004267BF"/>
    <w:rsid w:val="0042722E"/>
    <w:rsid w:val="0044528D"/>
    <w:rsid w:val="004A1847"/>
    <w:rsid w:val="004A305D"/>
    <w:rsid w:val="004F21C4"/>
    <w:rsid w:val="004F685F"/>
    <w:rsid w:val="005021F9"/>
    <w:rsid w:val="0050399C"/>
    <w:rsid w:val="005400A9"/>
    <w:rsid w:val="00551B8F"/>
    <w:rsid w:val="005566E8"/>
    <w:rsid w:val="00561E14"/>
    <w:rsid w:val="00574867"/>
    <w:rsid w:val="00591460"/>
    <w:rsid w:val="005C1A5C"/>
    <w:rsid w:val="005C3777"/>
    <w:rsid w:val="005C5CDC"/>
    <w:rsid w:val="005D476C"/>
    <w:rsid w:val="006219F8"/>
    <w:rsid w:val="006302F7"/>
    <w:rsid w:val="00665D70"/>
    <w:rsid w:val="006900D9"/>
    <w:rsid w:val="006A760C"/>
    <w:rsid w:val="006D73FC"/>
    <w:rsid w:val="00706C16"/>
    <w:rsid w:val="00756841"/>
    <w:rsid w:val="007649AB"/>
    <w:rsid w:val="00771D0C"/>
    <w:rsid w:val="00781AF3"/>
    <w:rsid w:val="007833AC"/>
    <w:rsid w:val="007A3F91"/>
    <w:rsid w:val="007B268C"/>
    <w:rsid w:val="007B7171"/>
    <w:rsid w:val="007C0C0F"/>
    <w:rsid w:val="007C3DC2"/>
    <w:rsid w:val="007E5497"/>
    <w:rsid w:val="00806F5F"/>
    <w:rsid w:val="00820278"/>
    <w:rsid w:val="008217EF"/>
    <w:rsid w:val="00867F95"/>
    <w:rsid w:val="00874920"/>
    <w:rsid w:val="008843B6"/>
    <w:rsid w:val="00891928"/>
    <w:rsid w:val="00897A3A"/>
    <w:rsid w:val="008A446D"/>
    <w:rsid w:val="008D180B"/>
    <w:rsid w:val="008F0EA7"/>
    <w:rsid w:val="00923EEF"/>
    <w:rsid w:val="009419F9"/>
    <w:rsid w:val="0095685E"/>
    <w:rsid w:val="009618E9"/>
    <w:rsid w:val="00961B09"/>
    <w:rsid w:val="00965334"/>
    <w:rsid w:val="0097093E"/>
    <w:rsid w:val="009A0DFA"/>
    <w:rsid w:val="009B1874"/>
    <w:rsid w:val="009B25A8"/>
    <w:rsid w:val="009B2D26"/>
    <w:rsid w:val="009C71FA"/>
    <w:rsid w:val="009C72E7"/>
    <w:rsid w:val="009D3058"/>
    <w:rsid w:val="009F3A13"/>
    <w:rsid w:val="00A122D3"/>
    <w:rsid w:val="00A17F13"/>
    <w:rsid w:val="00A20739"/>
    <w:rsid w:val="00A215B2"/>
    <w:rsid w:val="00A33C78"/>
    <w:rsid w:val="00A84372"/>
    <w:rsid w:val="00A92069"/>
    <w:rsid w:val="00AA2E18"/>
    <w:rsid w:val="00AB0ADB"/>
    <w:rsid w:val="00AB1F9C"/>
    <w:rsid w:val="00AB39C9"/>
    <w:rsid w:val="00B00C0E"/>
    <w:rsid w:val="00B01B1A"/>
    <w:rsid w:val="00B44A47"/>
    <w:rsid w:val="00B72CD3"/>
    <w:rsid w:val="00B72FFF"/>
    <w:rsid w:val="00B845C1"/>
    <w:rsid w:val="00BC3D36"/>
    <w:rsid w:val="00BD7F72"/>
    <w:rsid w:val="00C04FB3"/>
    <w:rsid w:val="00C17AC1"/>
    <w:rsid w:val="00C330EB"/>
    <w:rsid w:val="00C754BE"/>
    <w:rsid w:val="00C76B1C"/>
    <w:rsid w:val="00C800E5"/>
    <w:rsid w:val="00CB6357"/>
    <w:rsid w:val="00CC1B26"/>
    <w:rsid w:val="00CF7832"/>
    <w:rsid w:val="00D423A2"/>
    <w:rsid w:val="00D520D8"/>
    <w:rsid w:val="00D63AC2"/>
    <w:rsid w:val="00D7383B"/>
    <w:rsid w:val="00DA231B"/>
    <w:rsid w:val="00DC39FC"/>
    <w:rsid w:val="00DF5254"/>
    <w:rsid w:val="00E16408"/>
    <w:rsid w:val="00E20894"/>
    <w:rsid w:val="00E245AB"/>
    <w:rsid w:val="00E2764C"/>
    <w:rsid w:val="00E27F2E"/>
    <w:rsid w:val="00E50AFE"/>
    <w:rsid w:val="00E56DD9"/>
    <w:rsid w:val="00E75C92"/>
    <w:rsid w:val="00E771DC"/>
    <w:rsid w:val="00E8772A"/>
    <w:rsid w:val="00E90F6B"/>
    <w:rsid w:val="00E92C27"/>
    <w:rsid w:val="00E95B38"/>
    <w:rsid w:val="00EA0E3D"/>
    <w:rsid w:val="00EA6923"/>
    <w:rsid w:val="00EC38A7"/>
    <w:rsid w:val="00EC7F2D"/>
    <w:rsid w:val="00EE1AA8"/>
    <w:rsid w:val="00EF118D"/>
    <w:rsid w:val="00F20172"/>
    <w:rsid w:val="00F30E58"/>
    <w:rsid w:val="00F31EDC"/>
    <w:rsid w:val="00F462B3"/>
    <w:rsid w:val="00F5664F"/>
    <w:rsid w:val="00F665DC"/>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5400A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400A9"/>
    <w:rPr>
      <w:rFonts w:ascii="Geomanist Light" w:hAnsi="Geomanist Light"/>
      <w:lang w:val="es-ES"/>
    </w:rPr>
  </w:style>
  <w:style w:type="paragraph" w:customStyle="1" w:styleId="query-text-line">
    <w:name w:val="query-text-line"/>
    <w:basedOn w:val="Normal"/>
    <w:rsid w:val="005400A9"/>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Sinespaciado">
    <w:name w:val="No Spacing"/>
    <w:aliases w:val="No Indent"/>
    <w:uiPriority w:val="3"/>
    <w:qFormat/>
    <w:rsid w:val="005400A9"/>
    <w:pPr>
      <w:spacing w:after="0" w:line="240" w:lineRule="auto"/>
    </w:pPr>
    <w:rPr>
      <w:sz w:val="24"/>
      <w:lang w:val="es-MX"/>
    </w:rPr>
  </w:style>
  <w:style w:type="paragraph" w:styleId="Textoindependiente">
    <w:name w:val="Body Text"/>
    <w:basedOn w:val="Normal"/>
    <w:link w:val="TextoindependienteCar"/>
    <w:uiPriority w:val="1"/>
    <w:qFormat/>
    <w:rsid w:val="00874920"/>
    <w:pPr>
      <w:widowControl w:val="0"/>
      <w:autoSpaceDE w:val="0"/>
      <w:autoSpaceDN w:val="0"/>
      <w:spacing w:after="0" w:line="240" w:lineRule="auto"/>
      <w:ind w:left="260"/>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874920"/>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ites/cce_public/files/cce_documents/cce_guia_esal.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esal.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oreya20@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documentManagement/types"/>
    <ds:schemaRef ds:uri="http://www.w3.org/XML/1998/namespace"/>
    <ds:schemaRef ds:uri="a6cb9e4b-f1d1-4245-83ec-6cad768d538a"/>
    <ds:schemaRef ds:uri="http://schemas.openxmlformats.org/package/2006/metadata/core-properties"/>
    <ds:schemaRef ds:uri="http://purl.org/dc/elements/1.1/"/>
    <ds:schemaRef ds:uri="http://schemas.microsoft.com/office/infopath/2007/PartnerControls"/>
    <ds:schemaRef ds:uri="http://purl.org/dc/terms/"/>
    <ds:schemaRef ds:uri="9d85dbaf-23eb-4e57-a637-93dcacc8b1a1"/>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462A6AB9-01F3-4EC0-85A0-E290533E1C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5781</Words>
  <Characters>31800</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2025-09-29T21:28:00Z</dcterms:created>
  <dcterms:modified xsi:type="dcterms:W3CDTF">2025-09-29T21:28:00Z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