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9F1E0" w14:textId="5A285B78" w:rsidR="006A34BA" w:rsidRDefault="006A34BA" w:rsidP="00DA2A88">
      <w:pPr>
        <w:spacing w:after="0" w:line="240" w:lineRule="auto"/>
        <w:jc w:val="both"/>
        <w:rPr>
          <w:rFonts w:ascii="Verdana" w:hAnsi="Verdana" w:cs="Arial"/>
          <w:b/>
          <w:bCs/>
          <w:color w:val="000000" w:themeColor="text1"/>
          <w:lang w:val="es-ES"/>
        </w:rPr>
      </w:pPr>
      <w:bookmarkStart w:id="0" w:name="_Hlk143780582"/>
      <w:bookmarkStart w:id="1" w:name="_Hlk202875225"/>
      <w:bookmarkStart w:id="2" w:name="_Hlk203032812"/>
      <w:bookmarkStart w:id="3" w:name="_Hlk204367265"/>
      <w:bookmarkStart w:id="4" w:name="_Hlk206116713"/>
      <w:bookmarkStart w:id="5" w:name="_Hlk209552322"/>
      <w:r w:rsidRPr="006A34BA">
        <w:rPr>
          <w:rFonts w:ascii="Verdana" w:hAnsi="Verdana" w:cs="Arial"/>
          <w:b/>
          <w:bCs/>
          <w:color w:val="000000" w:themeColor="text1"/>
          <w:lang w:val="es-ES"/>
        </w:rPr>
        <w:t>MÍNIMA CUANTÍA – Modalidad de selección</w:t>
      </w:r>
    </w:p>
    <w:p w14:paraId="0E7015CD" w14:textId="77777777" w:rsidR="006A34BA" w:rsidRDefault="006A34BA" w:rsidP="00DA2A88">
      <w:pPr>
        <w:spacing w:after="0" w:line="240" w:lineRule="auto"/>
        <w:jc w:val="both"/>
        <w:rPr>
          <w:rFonts w:ascii="Verdana" w:hAnsi="Verdana" w:cs="Arial"/>
          <w:b/>
          <w:bCs/>
          <w:color w:val="000000" w:themeColor="text1"/>
          <w:lang w:val="es-ES"/>
        </w:rPr>
      </w:pPr>
    </w:p>
    <w:p w14:paraId="3A96F7CB" w14:textId="77777777" w:rsidR="006A34BA" w:rsidRPr="006A34BA" w:rsidRDefault="006A34BA" w:rsidP="006A34BA">
      <w:pPr>
        <w:spacing w:after="0" w:line="240" w:lineRule="auto"/>
        <w:jc w:val="both"/>
        <w:rPr>
          <w:rFonts w:ascii="Verdana" w:hAnsi="Verdana" w:cs="Arial"/>
          <w:sz w:val="20"/>
          <w:szCs w:val="20"/>
          <w:lang w:val="es-ES"/>
        </w:rPr>
      </w:pPr>
      <w:r w:rsidRPr="006A34BA">
        <w:rPr>
          <w:rFonts w:ascii="Verdana" w:hAnsi="Verdana" w:cs="Arial"/>
          <w:sz w:val="20"/>
          <w:szCs w:val="20"/>
          <w:lang w:val="es-ES"/>
        </w:rPr>
        <w:t xml:space="preserve">La </w:t>
      </w:r>
      <w:r w:rsidRPr="006A34BA">
        <w:rPr>
          <w:rFonts w:ascii="Verdana" w:hAnsi="Verdana" w:cs="Arial"/>
          <w:i/>
          <w:iCs/>
          <w:sz w:val="20"/>
          <w:szCs w:val="20"/>
          <w:lang w:val="es-ES"/>
        </w:rPr>
        <w:t>mínima cuantía</w:t>
      </w:r>
      <w:r w:rsidRPr="006A34BA">
        <w:rPr>
          <w:rFonts w:ascii="Verdana" w:hAnsi="Verdana" w:cs="Arial"/>
          <w:sz w:val="20"/>
          <w:szCs w:val="20"/>
          <w:lang w:val="es-ES"/>
        </w:rPr>
        <w:t xml:space="preserve"> es una modalidad de selección en virtud de la cual la entidad realiza una convocatoria pública para recibir oferta de bienes, obras o servicios, cuyo valor no exceda el diez por ciento (10%) de la menor cuantía de la Entidad Estatal. Es decir, que será procedente cuando se cumpla este requisito, independientemente del objeto a contratar. Esta modalidad establece un procedimiento expedito y competitivo que se rige por lo dispuesto 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2CED315B" w14:textId="77777777" w:rsidR="006A34BA" w:rsidRDefault="006A34BA" w:rsidP="00DA2A88">
      <w:pPr>
        <w:spacing w:after="0" w:line="240" w:lineRule="auto"/>
        <w:jc w:val="both"/>
        <w:rPr>
          <w:rFonts w:ascii="Verdana" w:hAnsi="Verdana"/>
          <w:b/>
          <w:bCs/>
          <w:lang w:val="es-ES"/>
        </w:rPr>
      </w:pPr>
    </w:p>
    <w:p w14:paraId="0132C36E" w14:textId="13800132" w:rsidR="006A34BA" w:rsidRDefault="006A34BA" w:rsidP="00DA2A88">
      <w:pPr>
        <w:spacing w:after="0" w:line="240" w:lineRule="auto"/>
        <w:jc w:val="both"/>
        <w:rPr>
          <w:rFonts w:ascii="Verdana" w:hAnsi="Verdana" w:cs="Arial"/>
          <w:b/>
          <w:bCs/>
          <w:color w:val="000000" w:themeColor="text1"/>
          <w:lang w:val="es-ES"/>
        </w:rPr>
      </w:pPr>
      <w:r w:rsidRPr="006A34BA">
        <w:rPr>
          <w:rFonts w:ascii="Verdana" w:hAnsi="Verdana" w:cs="Arial"/>
          <w:b/>
          <w:bCs/>
          <w:color w:val="000000" w:themeColor="text1"/>
          <w:lang w:val="es-ES"/>
        </w:rPr>
        <w:t>INVITACIÓN – Características</w:t>
      </w:r>
    </w:p>
    <w:p w14:paraId="006961F8" w14:textId="77777777" w:rsidR="006A34BA" w:rsidRDefault="006A34BA" w:rsidP="00DA2A88">
      <w:pPr>
        <w:spacing w:after="0" w:line="240" w:lineRule="auto"/>
        <w:jc w:val="both"/>
        <w:rPr>
          <w:rFonts w:ascii="Verdana" w:hAnsi="Verdana" w:cs="Arial"/>
          <w:b/>
          <w:bCs/>
          <w:color w:val="000000" w:themeColor="text1"/>
          <w:lang w:val="es-ES"/>
        </w:rPr>
      </w:pPr>
    </w:p>
    <w:p w14:paraId="7B9E8AFF" w14:textId="176D9459" w:rsidR="006A34BA" w:rsidRPr="006A34BA" w:rsidRDefault="006A34BA" w:rsidP="006A34BA">
      <w:pPr>
        <w:spacing w:after="0" w:line="240" w:lineRule="auto"/>
        <w:jc w:val="both"/>
        <w:rPr>
          <w:rFonts w:ascii="Verdana" w:eastAsia="Calibri" w:hAnsi="Verdana" w:cs="Arial"/>
          <w:color w:val="000000"/>
          <w:sz w:val="20"/>
          <w:szCs w:val="20"/>
          <w:lang w:val="es-ES" w:eastAsia="es-ES"/>
        </w:rPr>
      </w:pPr>
      <w:r w:rsidRPr="006A34BA">
        <w:rPr>
          <w:rFonts w:ascii="Verdana" w:hAnsi="Verdana" w:cs="Arial"/>
          <w:sz w:val="20"/>
          <w:szCs w:val="20"/>
        </w:rPr>
        <w:t xml:space="preserve">El contenido de la invitación está definido en el artículo 2.2.1.2.1.5.2 del Decreto 1082 de 2015, por lo que debe entenderse que </w:t>
      </w:r>
      <w:r w:rsidRPr="006A34BA">
        <w:rPr>
          <w:rFonts w:ascii="Verdana" w:eastAsia="Calibri" w:hAnsi="Verdana" w:cs="Arial"/>
          <w:color w:val="000000"/>
          <w:sz w:val="20"/>
          <w:szCs w:val="20"/>
          <w:lang w:val="es-ES" w:eastAsia="es-ES"/>
        </w:rPr>
        <w:t>constituye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 En este sentido, en el marco de su discrecionalidad y del imperio de la ley, cada entidad debe establecer la forma cómo se estructura el pliego de condiciones, el cual está condicionado a la proporcionalidad de las decisiones que toma en aras de garantizar la pluralidad de oferentes y la selección objetiva</w:t>
      </w:r>
      <w:r w:rsidRPr="006A34BA">
        <w:rPr>
          <w:rFonts w:ascii="Verdana" w:eastAsia="Calibri" w:hAnsi="Verdana" w:cs="Arial"/>
          <w:color w:val="000000"/>
          <w:sz w:val="20"/>
          <w:szCs w:val="20"/>
          <w:lang w:eastAsia="es-ES"/>
        </w:rPr>
        <w:t>.</w:t>
      </w:r>
    </w:p>
    <w:p w14:paraId="38345585" w14:textId="77777777" w:rsidR="006A34BA" w:rsidRDefault="006A34BA" w:rsidP="006A34BA">
      <w:pPr>
        <w:spacing w:after="0" w:line="240" w:lineRule="auto"/>
        <w:jc w:val="both"/>
        <w:rPr>
          <w:rFonts w:ascii="Verdana" w:eastAsia="Calibri" w:hAnsi="Verdana" w:cs="Arial"/>
          <w:color w:val="000000"/>
          <w:sz w:val="20"/>
          <w:szCs w:val="20"/>
          <w:lang w:val="es-ES" w:eastAsia="es-ES_tradnl"/>
        </w:rPr>
      </w:pPr>
    </w:p>
    <w:p w14:paraId="0C474CB4" w14:textId="2D9886FE" w:rsidR="006A34BA" w:rsidRPr="006A34BA" w:rsidRDefault="006A34BA" w:rsidP="006A34BA">
      <w:pPr>
        <w:spacing w:after="0" w:line="240" w:lineRule="auto"/>
        <w:jc w:val="both"/>
        <w:rPr>
          <w:rFonts w:ascii="Verdana" w:hAnsi="Verdana" w:cs="Arial"/>
          <w:sz w:val="20"/>
          <w:szCs w:val="20"/>
        </w:rPr>
      </w:pPr>
      <w:r w:rsidRPr="006A34BA">
        <w:rPr>
          <w:rFonts w:ascii="Verdana" w:eastAsia="Calibri" w:hAnsi="Verdana" w:cs="Arial"/>
          <w:color w:val="000000"/>
          <w:sz w:val="20"/>
          <w:szCs w:val="20"/>
          <w:lang w:val="es-ES" w:eastAsia="es-ES_tradnl"/>
        </w:rPr>
        <w:t xml:space="preserve">De este modo, el pliego de condiciones o la invitación en los procesos de selección de mínima cuantía es un instrumento en el cual se materializa el principio de transparencia, pues allí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6A34BA">
        <w:rPr>
          <w:rFonts w:ascii="Verdana" w:eastAsia="Calibri" w:hAnsi="Verdana" w:cs="Arial"/>
          <w:i/>
          <w:iCs/>
          <w:color w:val="000000"/>
          <w:sz w:val="20"/>
          <w:szCs w:val="20"/>
          <w:lang w:val="es-ES" w:eastAsia="es-ES_tradnl"/>
        </w:rPr>
        <w:t>iter</w:t>
      </w:r>
      <w:proofErr w:type="spellEnd"/>
      <w:r w:rsidRPr="006A34BA">
        <w:rPr>
          <w:rFonts w:ascii="Verdana" w:eastAsia="Calibri" w:hAnsi="Verdana" w:cs="Arial"/>
          <w:color w:val="000000"/>
          <w:sz w:val="20"/>
          <w:szCs w:val="20"/>
          <w:lang w:val="es-ES" w:eastAsia="es-ES_tradnl"/>
        </w:rPr>
        <w:t xml:space="preserve"> contractual. En otras palabras, </w:t>
      </w:r>
      <w:r w:rsidRPr="006A34BA">
        <w:rPr>
          <w:rFonts w:ascii="Verdana" w:hAnsi="Verdana" w:cs="Arial"/>
          <w:sz w:val="20"/>
          <w:szCs w:val="20"/>
        </w:rPr>
        <w:t>es el documento en el que se establecen las normas que van a regular la etapa selección, a las que deberán sujetarse la administración y los oferentes a efectos de lograr una selección objetiva.</w:t>
      </w:r>
    </w:p>
    <w:p w14:paraId="681BDA55" w14:textId="77777777" w:rsidR="006A34BA" w:rsidRDefault="006A34BA" w:rsidP="006A34BA">
      <w:pPr>
        <w:spacing w:after="0" w:line="240" w:lineRule="auto"/>
        <w:jc w:val="both"/>
        <w:rPr>
          <w:rFonts w:ascii="Verdana" w:eastAsia="Calibri" w:hAnsi="Verdana" w:cs="Arial"/>
          <w:color w:val="000000"/>
          <w:sz w:val="20"/>
          <w:szCs w:val="20"/>
          <w:lang w:eastAsia="es-ES_tradnl"/>
        </w:rPr>
      </w:pPr>
    </w:p>
    <w:p w14:paraId="265656CE" w14:textId="4F7F7798" w:rsidR="006A34BA" w:rsidRPr="006A34BA" w:rsidRDefault="006A34BA" w:rsidP="006A34BA">
      <w:pPr>
        <w:spacing w:after="0" w:line="240" w:lineRule="auto"/>
        <w:jc w:val="both"/>
        <w:rPr>
          <w:rFonts w:ascii="Verdana" w:eastAsia="Calibri" w:hAnsi="Verdana" w:cs="Arial"/>
          <w:color w:val="000000"/>
          <w:sz w:val="20"/>
          <w:szCs w:val="20"/>
          <w:lang w:val="es-ES" w:eastAsia="es-ES_tradnl"/>
        </w:rPr>
      </w:pPr>
      <w:r w:rsidRPr="006A34BA">
        <w:rPr>
          <w:rFonts w:ascii="Verdana" w:eastAsia="Calibri" w:hAnsi="Verdana" w:cs="Arial"/>
          <w:color w:val="000000"/>
          <w:sz w:val="20"/>
          <w:szCs w:val="20"/>
          <w:lang w:val="es-ES" w:eastAsia="es-ES_tradnl"/>
        </w:rPr>
        <w:t>Su contenido está previsto en el numeral 5 del artículo 24 de la Ley 80 de 1993, que establece algunas directrices que deben tenerse en cuenta en su elaboración.</w:t>
      </w:r>
    </w:p>
    <w:p w14:paraId="63AE3A86" w14:textId="77777777" w:rsidR="006A34BA" w:rsidRPr="00811011" w:rsidRDefault="006A34BA" w:rsidP="00DA2A88">
      <w:pPr>
        <w:spacing w:after="0" w:line="240" w:lineRule="auto"/>
        <w:jc w:val="both"/>
        <w:rPr>
          <w:rFonts w:ascii="Verdana" w:hAnsi="Verdana"/>
          <w:b/>
          <w:bCs/>
          <w:lang w:val="es-ES"/>
        </w:rPr>
      </w:pPr>
    </w:p>
    <w:p w14:paraId="022A4802" w14:textId="2B192402" w:rsidR="00811011" w:rsidRPr="00811011" w:rsidRDefault="00811011" w:rsidP="00DA2A88">
      <w:pPr>
        <w:spacing w:after="0" w:line="240" w:lineRule="auto"/>
        <w:jc w:val="both"/>
        <w:rPr>
          <w:rFonts w:ascii="Verdana" w:hAnsi="Verdana"/>
          <w:b/>
          <w:bCs/>
          <w:lang w:val="es-ES"/>
        </w:rPr>
      </w:pPr>
      <w:r w:rsidRPr="00811011">
        <w:rPr>
          <w:rFonts w:ascii="Verdana" w:hAnsi="Verdana" w:cs="Arial"/>
          <w:b/>
          <w:bCs/>
          <w:color w:val="000000" w:themeColor="text1"/>
          <w:lang w:val="es-ES"/>
        </w:rPr>
        <w:t>INVITACIÓN – Modificación – Adendas</w:t>
      </w:r>
    </w:p>
    <w:p w14:paraId="0F7FCF8B" w14:textId="77777777" w:rsidR="006A34BA" w:rsidRDefault="006A34BA" w:rsidP="00DA2A88">
      <w:pPr>
        <w:spacing w:after="0" w:line="240" w:lineRule="auto"/>
        <w:jc w:val="both"/>
        <w:rPr>
          <w:rFonts w:ascii="Verdana" w:hAnsi="Verdana"/>
        </w:rPr>
      </w:pPr>
    </w:p>
    <w:p w14:paraId="531EE2A2" w14:textId="77777777" w:rsidR="00811011" w:rsidRPr="00811011" w:rsidRDefault="00811011" w:rsidP="00811011">
      <w:pPr>
        <w:spacing w:after="0" w:line="240" w:lineRule="auto"/>
        <w:jc w:val="both"/>
        <w:rPr>
          <w:rFonts w:ascii="Verdana" w:eastAsia="Calibri" w:hAnsi="Verdana" w:cs="Arial"/>
          <w:color w:val="000000"/>
          <w:sz w:val="20"/>
          <w:szCs w:val="20"/>
          <w:lang w:val="es-ES" w:eastAsia="es-ES_tradnl"/>
        </w:rPr>
      </w:pPr>
      <w:r w:rsidRPr="00811011">
        <w:rPr>
          <w:rFonts w:ascii="Verdana" w:eastAsia="Calibri" w:hAnsi="Verdana" w:cs="Arial"/>
          <w:color w:val="000000"/>
          <w:sz w:val="20"/>
          <w:szCs w:val="20"/>
          <w:lang w:val="es-ES" w:eastAsia="es-ES_tradnl" w:bidi="es-ES"/>
        </w:rPr>
        <w:t>Sin perjuicio de lo anterior,</w:t>
      </w:r>
      <w:r w:rsidRPr="00811011">
        <w:rPr>
          <w:rFonts w:ascii="Verdana" w:eastAsia="Calibri" w:hAnsi="Verdana" w:cs="Arial"/>
          <w:color w:val="000000"/>
          <w:sz w:val="20"/>
          <w:szCs w:val="20"/>
          <w:lang w:val="es-ES" w:eastAsia="es-ES_tradnl"/>
        </w:rPr>
        <w:t xml:space="preserve"> puede ocurrir que surja la necesidad de efectuar correcciones, aclaraciones o modificaciones a la invitación, bien sea porque las mismas tienen origen en necesidades identificadas por la entidad contratante o como consecuencia de observaciones realizadas por los interesados en el procedimiento de </w:t>
      </w:r>
      <w:r w:rsidRPr="00811011">
        <w:rPr>
          <w:rFonts w:ascii="Verdana" w:eastAsia="Calibri" w:hAnsi="Verdana" w:cs="Arial"/>
          <w:color w:val="000000"/>
          <w:sz w:val="20"/>
          <w:szCs w:val="20"/>
          <w:lang w:val="es-ES" w:eastAsia="es-ES_tradnl"/>
        </w:rPr>
        <w:lastRenderedPageBreak/>
        <w:t>selección. De esta manera, pese a la planeación previa y el cumplimiento de las disposiciones normativas aplicables, es posible que sea necesario modificar el pliego de condiciones o la invitación.</w:t>
      </w:r>
    </w:p>
    <w:p w14:paraId="62E943AE" w14:textId="77777777" w:rsidR="00811011" w:rsidRPr="00811011" w:rsidRDefault="00811011" w:rsidP="00811011">
      <w:pPr>
        <w:spacing w:after="0" w:line="240" w:lineRule="auto"/>
        <w:ind w:firstLine="709"/>
        <w:jc w:val="both"/>
        <w:rPr>
          <w:rFonts w:ascii="Verdana" w:eastAsia="Calibri" w:hAnsi="Verdana" w:cs="Arial"/>
          <w:color w:val="000000"/>
          <w:sz w:val="20"/>
          <w:szCs w:val="20"/>
          <w:lang w:val="es-ES" w:eastAsia="es-ES_tradnl"/>
        </w:rPr>
      </w:pPr>
    </w:p>
    <w:p w14:paraId="29D65A75" w14:textId="77777777" w:rsidR="00811011" w:rsidRDefault="00811011" w:rsidP="00811011">
      <w:pPr>
        <w:spacing w:after="0" w:line="240" w:lineRule="auto"/>
        <w:jc w:val="both"/>
        <w:rPr>
          <w:rFonts w:ascii="Verdana" w:eastAsia="Calibri" w:hAnsi="Verdana" w:cs="Arial"/>
          <w:i/>
          <w:color w:val="000000"/>
          <w:sz w:val="20"/>
          <w:szCs w:val="20"/>
          <w:lang w:val="es-ES" w:eastAsia="es-ES_tradnl"/>
        </w:rPr>
      </w:pPr>
      <w:r w:rsidRPr="00811011">
        <w:rPr>
          <w:rFonts w:ascii="Verdana" w:eastAsia="Calibri" w:hAnsi="Verdana" w:cs="Arial"/>
          <w:color w:val="000000"/>
          <w:sz w:val="20"/>
          <w:szCs w:val="20"/>
          <w:lang w:val="es-ES" w:eastAsia="es-ES_tradnl"/>
        </w:rPr>
        <w:t xml:space="preserve">Así, una vez publicados los pliegos de condiciones definitivos o la invitación,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811011">
        <w:rPr>
          <w:rFonts w:ascii="Verdana" w:eastAsia="Calibri" w:hAnsi="Verdana" w:cs="Arial"/>
          <w:i/>
          <w:iCs/>
          <w:color w:val="000000"/>
          <w:sz w:val="20"/>
          <w:szCs w:val="20"/>
          <w:lang w:val="es-ES" w:eastAsia="es-ES_tradnl"/>
        </w:rPr>
        <w:t>adendas</w:t>
      </w:r>
      <w:r w:rsidRPr="00811011">
        <w:rPr>
          <w:rFonts w:ascii="Verdana" w:eastAsia="Calibri" w:hAnsi="Verdana" w:cs="Arial"/>
          <w:i/>
          <w:color w:val="000000"/>
          <w:sz w:val="20"/>
          <w:szCs w:val="20"/>
          <w:lang w:val="es-ES" w:eastAsia="es-ES_tradnl"/>
        </w:rPr>
        <w:t xml:space="preserve">. </w:t>
      </w:r>
    </w:p>
    <w:p w14:paraId="4049884B" w14:textId="77777777" w:rsidR="00811011" w:rsidRDefault="00811011" w:rsidP="00811011">
      <w:pPr>
        <w:spacing w:after="0" w:line="240" w:lineRule="auto"/>
        <w:jc w:val="both"/>
        <w:rPr>
          <w:rFonts w:ascii="Verdana" w:eastAsia="Calibri" w:hAnsi="Verdana" w:cs="Arial"/>
          <w:i/>
          <w:color w:val="000000"/>
          <w:sz w:val="20"/>
          <w:szCs w:val="20"/>
          <w:lang w:val="es-ES" w:eastAsia="es-ES_tradnl"/>
        </w:rPr>
      </w:pPr>
    </w:p>
    <w:p w14:paraId="05D8D81B" w14:textId="77777777" w:rsidR="00411D4E" w:rsidRPr="00411D4E" w:rsidRDefault="00411D4E" w:rsidP="00811011">
      <w:pPr>
        <w:spacing w:after="0" w:line="240" w:lineRule="auto"/>
        <w:jc w:val="both"/>
        <w:rPr>
          <w:rFonts w:ascii="Verdana" w:hAnsi="Verdana" w:cs="Arial"/>
          <w:b/>
          <w:lang w:eastAsia="es-ES"/>
        </w:rPr>
      </w:pPr>
      <w:r w:rsidRPr="00411D4E">
        <w:rPr>
          <w:rFonts w:ascii="Verdana" w:hAnsi="Verdana" w:cs="Arial"/>
          <w:b/>
          <w:lang w:eastAsia="es-ES"/>
        </w:rPr>
        <w:t xml:space="preserve">EXPEDICIÓN DE ADENDAS – Límite temporal </w:t>
      </w:r>
    </w:p>
    <w:p w14:paraId="44B0ACA3" w14:textId="77777777" w:rsidR="00411D4E" w:rsidRDefault="00411D4E" w:rsidP="00811011">
      <w:pPr>
        <w:spacing w:after="0" w:line="240" w:lineRule="auto"/>
        <w:jc w:val="both"/>
        <w:rPr>
          <w:rFonts w:ascii="Verdana" w:hAnsi="Verdana" w:cs="Arial"/>
          <w:bCs/>
          <w:lang w:eastAsia="es-ES"/>
        </w:rPr>
      </w:pPr>
    </w:p>
    <w:p w14:paraId="38A5E65F" w14:textId="72F4ACE1" w:rsidR="00411D4E" w:rsidRDefault="00411D4E" w:rsidP="00411D4E">
      <w:pPr>
        <w:spacing w:after="0" w:line="240" w:lineRule="auto"/>
        <w:jc w:val="both"/>
        <w:rPr>
          <w:rFonts w:ascii="Verdana" w:eastAsia="Calibri" w:hAnsi="Verdana" w:cs="Arial"/>
          <w:sz w:val="20"/>
          <w:szCs w:val="20"/>
          <w:lang w:eastAsia="es-CO"/>
        </w:rPr>
      </w:pPr>
      <w:r w:rsidRPr="00411D4E">
        <w:rPr>
          <w:rFonts w:ascii="Verdana" w:eastAsia="Calibri" w:hAnsi="Verdana" w:cs="Arial"/>
          <w:sz w:val="20"/>
          <w:szCs w:val="20"/>
        </w:rPr>
        <w:t xml:space="preserve">La interpretación de esta norma supone diferenciar entre dos (2) tipos de ajustes que pueden generar la expedición de adendas: i) los referidos a las condiciones técnicas, jurídicas y económicas del pliego definitivo y, en general, a cualquier contenido distinto del cronograma del procedimiento de selección y </w:t>
      </w:r>
      <w:proofErr w:type="spellStart"/>
      <w:r w:rsidRPr="00411D4E">
        <w:rPr>
          <w:rFonts w:ascii="Verdana" w:eastAsia="Calibri" w:hAnsi="Verdana" w:cs="Arial"/>
          <w:sz w:val="20"/>
          <w:szCs w:val="20"/>
        </w:rPr>
        <w:t>ii</w:t>
      </w:r>
      <w:proofErr w:type="spellEnd"/>
      <w:r w:rsidRPr="00411D4E">
        <w:rPr>
          <w:rFonts w:ascii="Verdana" w:eastAsia="Calibri" w:hAnsi="Verdana" w:cs="Arial"/>
          <w:sz w:val="20"/>
          <w:szCs w:val="20"/>
        </w:rPr>
        <w:t xml:space="preserve">)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411D4E">
        <w:rPr>
          <w:rFonts w:ascii="Verdana" w:eastAsia="Calibri" w:hAnsi="Verdana" w:cs="Arial"/>
          <w:sz w:val="20"/>
          <w:szCs w:val="20"/>
          <w:lang w:val="es-ES"/>
        </w:rPr>
        <w:t xml:space="preserve">2.2.1.1.2.2.1. </w:t>
      </w:r>
      <w:r w:rsidRPr="00411D4E">
        <w:rPr>
          <w:rFonts w:ascii="Verdana" w:eastAsia="Arial" w:hAnsi="Verdana" w:cs="Arial"/>
          <w:sz w:val="20"/>
          <w:szCs w:val="20"/>
          <w:lang w:val="es-ES" w:eastAsia="es-ES" w:bidi="es-ES"/>
        </w:rPr>
        <w:t>del D</w:t>
      </w:r>
      <w:proofErr w:type="spellStart"/>
      <w:r w:rsidRPr="00411D4E">
        <w:rPr>
          <w:rFonts w:ascii="Verdana" w:eastAsia="Arial" w:hAnsi="Verdana" w:cs="Arial"/>
          <w:sz w:val="20"/>
          <w:szCs w:val="20"/>
          <w:lang w:eastAsia="es-ES" w:bidi="es-ES"/>
        </w:rPr>
        <w:t>ecreto</w:t>
      </w:r>
      <w:proofErr w:type="spellEnd"/>
      <w:r w:rsidRPr="00411D4E">
        <w:rPr>
          <w:rFonts w:ascii="Verdana" w:eastAsia="Arial" w:hAnsi="Verdana" w:cs="Arial"/>
          <w:sz w:val="20"/>
          <w:szCs w:val="20"/>
          <w:lang w:eastAsia="es-ES" w:bidi="es-ES"/>
        </w:rPr>
        <w:t xml:space="preserve"> 1082 de 2015. De este modo</w:t>
      </w:r>
      <w:r w:rsidRPr="00411D4E">
        <w:rPr>
          <w:rFonts w:ascii="Verdana" w:eastAsia="Calibri" w:hAnsi="Verdana" w:cs="Arial"/>
          <w:sz w:val="20"/>
          <w:szCs w:val="20"/>
          <w:lang w:eastAsia="es-CO"/>
        </w:rPr>
        <w:t xml:space="preserve">, tanto para la licitación pública, como para los demás procedimientos de selección de contratistas, las normas legales y reglamentarias prevén la posibilidad de modificar los pliegos de condiciones mediante </w:t>
      </w:r>
      <w:r w:rsidRPr="00411D4E">
        <w:rPr>
          <w:rFonts w:ascii="Verdana" w:eastAsia="Calibri" w:hAnsi="Verdana" w:cs="Arial"/>
          <w:i/>
          <w:iCs/>
          <w:sz w:val="20"/>
          <w:szCs w:val="20"/>
          <w:lang w:eastAsia="es-CO"/>
        </w:rPr>
        <w:t>adendas</w:t>
      </w:r>
      <w:r w:rsidRPr="00411D4E">
        <w:rPr>
          <w:rFonts w:ascii="Verdana" w:eastAsia="Calibri" w:hAnsi="Verdana" w:cs="Arial"/>
          <w:sz w:val="20"/>
          <w:szCs w:val="20"/>
          <w:lang w:eastAsia="es-CO"/>
        </w:rPr>
        <w:t xml:space="preserve">. </w:t>
      </w:r>
    </w:p>
    <w:p w14:paraId="7C434914" w14:textId="77777777" w:rsidR="00411D4E" w:rsidRDefault="00411D4E" w:rsidP="00411D4E">
      <w:pPr>
        <w:spacing w:after="0" w:line="240" w:lineRule="auto"/>
        <w:jc w:val="both"/>
        <w:rPr>
          <w:rFonts w:ascii="Verdana" w:eastAsia="Calibri" w:hAnsi="Verdana" w:cs="Arial"/>
          <w:sz w:val="20"/>
          <w:szCs w:val="20"/>
          <w:lang w:eastAsia="es-CO"/>
        </w:rPr>
      </w:pPr>
    </w:p>
    <w:p w14:paraId="72F4591C" w14:textId="77777777" w:rsidR="00411D4E" w:rsidRPr="00411D4E" w:rsidRDefault="00411D4E" w:rsidP="00411D4E">
      <w:pPr>
        <w:widowControl w:val="0"/>
        <w:autoSpaceDE w:val="0"/>
        <w:autoSpaceDN w:val="0"/>
        <w:spacing w:after="0" w:line="240" w:lineRule="auto"/>
        <w:ind w:right="102"/>
        <w:jc w:val="both"/>
        <w:rPr>
          <w:rFonts w:ascii="Verdana" w:eastAsia="Arial" w:hAnsi="Verdana" w:cs="Arial"/>
          <w:sz w:val="20"/>
          <w:szCs w:val="20"/>
          <w:lang w:eastAsia="es-ES" w:bidi="es-ES"/>
        </w:rPr>
      </w:pPr>
      <w:r w:rsidRPr="00411D4E">
        <w:rPr>
          <w:rFonts w:ascii="Verdana" w:eastAsia="Calibri" w:hAnsi="Verdana" w:cs="Arial"/>
          <w:sz w:val="20"/>
          <w:szCs w:val="20"/>
          <w:lang w:eastAsia="es-CO"/>
        </w:rPr>
        <w:t xml:space="preserve">Las normas prevén pues, dos límites temporales para la publicación de las adendas: i) tres (3) días hábiles antes del vencimiento del plazo para presentar ofertas para la licitación pública y </w:t>
      </w:r>
      <w:proofErr w:type="spellStart"/>
      <w:r w:rsidRPr="00411D4E">
        <w:rPr>
          <w:rFonts w:ascii="Verdana" w:eastAsia="Calibri" w:hAnsi="Verdana" w:cs="Arial"/>
          <w:sz w:val="20"/>
          <w:szCs w:val="20"/>
          <w:lang w:eastAsia="es-CO"/>
        </w:rPr>
        <w:t>ii</w:t>
      </w:r>
      <w:proofErr w:type="spellEnd"/>
      <w:r w:rsidRPr="00411D4E">
        <w:rPr>
          <w:rFonts w:ascii="Verdana" w:eastAsia="Calibri" w:hAnsi="Verdana" w:cs="Arial"/>
          <w:sz w:val="20"/>
          <w:szCs w:val="20"/>
          <w:lang w:eastAsia="es-CO"/>
        </w:rPr>
        <w:t xml:space="preserve">) un día hábil antes del vencimiento del plazo para presentar ofertas para las demás modalidades de selección. Por tanto, para los procesos que se adelantan mediante la modalidad de mínima cuantía </w:t>
      </w:r>
      <w:r w:rsidRPr="00411D4E">
        <w:rPr>
          <w:rFonts w:ascii="Verdana" w:eastAsia="Calibri" w:hAnsi="Verdana" w:cs="Arial"/>
          <w:sz w:val="20"/>
          <w:szCs w:val="20"/>
          <w:lang w:val="es-MX" w:eastAsia="es-CO"/>
        </w:rPr>
        <w:t xml:space="preserve">la entidad estatal debe respetar el término del artículo 2.2.1.1.2.2.1 y, por ende, solo puede expedir y publicar adendas que modifiquen </w:t>
      </w:r>
      <w:r w:rsidRPr="00411D4E">
        <w:rPr>
          <w:rFonts w:ascii="Verdana" w:eastAsia="Calibri" w:hAnsi="Verdana" w:cs="Arial"/>
          <w:sz w:val="20"/>
          <w:szCs w:val="20"/>
        </w:rPr>
        <w:t>condiciones técnicas, jurídicas y económicas del pliego definitivo</w:t>
      </w:r>
      <w:r w:rsidRPr="00411D4E">
        <w:rPr>
          <w:rFonts w:ascii="Verdana" w:eastAsia="Calibri" w:hAnsi="Verdana" w:cs="Arial"/>
          <w:sz w:val="20"/>
          <w:szCs w:val="20"/>
          <w:lang w:val="es-MX" w:eastAsia="es-CO"/>
        </w:rPr>
        <w:t xml:space="preserve"> o de la invitación a más tardar el día hábil anterior, hasta </w:t>
      </w:r>
      <w:r w:rsidRPr="00411D4E">
        <w:rPr>
          <w:rFonts w:ascii="Verdana" w:eastAsia="Calibri" w:hAnsi="Verdana" w:cs="Arial"/>
          <w:sz w:val="20"/>
          <w:szCs w:val="20"/>
          <w:lang w:eastAsia="es-CO"/>
        </w:rPr>
        <w:t xml:space="preserve">la hora fijada para la presentación de las ofertas del día hábil siguiente –esto es, del cierre del proceso–. Además de lo anterior, de acuerdo con dicha disposición las adendas deben publicarse en días hábiles, entre las 7:00 am y las 7:00 pm. </w:t>
      </w:r>
    </w:p>
    <w:p w14:paraId="055397D4" w14:textId="77777777" w:rsidR="00411D4E" w:rsidRPr="00411D4E" w:rsidRDefault="00411D4E" w:rsidP="00411D4E">
      <w:pPr>
        <w:spacing w:after="0" w:line="240" w:lineRule="auto"/>
        <w:jc w:val="both"/>
        <w:rPr>
          <w:rFonts w:ascii="Verdana" w:eastAsia="Arial" w:hAnsi="Verdana" w:cs="Arial"/>
          <w:sz w:val="20"/>
          <w:szCs w:val="20"/>
          <w:lang w:eastAsia="es-ES" w:bidi="es-ES"/>
        </w:rPr>
      </w:pPr>
    </w:p>
    <w:p w14:paraId="4405A04A" w14:textId="77777777" w:rsidR="00411D4E" w:rsidRPr="00411D4E" w:rsidRDefault="00411D4E" w:rsidP="00811011">
      <w:pPr>
        <w:spacing w:after="0" w:line="240" w:lineRule="auto"/>
        <w:jc w:val="both"/>
        <w:rPr>
          <w:rFonts w:ascii="Verdana" w:hAnsi="Verdana" w:cs="Arial"/>
          <w:b/>
          <w:lang w:eastAsia="es-ES"/>
        </w:rPr>
      </w:pPr>
      <w:r w:rsidRPr="00411D4E">
        <w:rPr>
          <w:rFonts w:ascii="Verdana" w:hAnsi="Verdana" w:cs="Arial"/>
          <w:b/>
          <w:lang w:eastAsia="es-ES"/>
        </w:rPr>
        <w:t xml:space="preserve">EXPEDICIÓN DE ADENDAS – Límite material </w:t>
      </w:r>
    </w:p>
    <w:p w14:paraId="71E84526" w14:textId="77777777" w:rsidR="00411D4E" w:rsidRDefault="00411D4E" w:rsidP="00811011">
      <w:pPr>
        <w:spacing w:after="0" w:line="240" w:lineRule="auto"/>
        <w:jc w:val="both"/>
        <w:rPr>
          <w:rFonts w:ascii="Verdana" w:hAnsi="Verdana" w:cs="Arial"/>
          <w:bCs/>
          <w:lang w:eastAsia="es-ES"/>
        </w:rPr>
      </w:pPr>
    </w:p>
    <w:p w14:paraId="61F6EA3B" w14:textId="0B060455" w:rsidR="00411D4E" w:rsidRPr="00411D4E" w:rsidRDefault="00411D4E" w:rsidP="00411D4E">
      <w:pPr>
        <w:widowControl w:val="0"/>
        <w:autoSpaceDE w:val="0"/>
        <w:autoSpaceDN w:val="0"/>
        <w:spacing w:after="0" w:line="240" w:lineRule="auto"/>
        <w:ind w:right="102"/>
        <w:jc w:val="both"/>
        <w:rPr>
          <w:rFonts w:ascii="Verdana" w:eastAsia="Arial" w:hAnsi="Verdana" w:cs="Arial"/>
          <w:sz w:val="20"/>
          <w:szCs w:val="20"/>
          <w:lang w:eastAsia="es-ES" w:bidi="es-ES"/>
        </w:rPr>
      </w:pPr>
      <w:r>
        <w:rPr>
          <w:rFonts w:ascii="Verdana" w:eastAsia="Calibri" w:hAnsi="Verdana" w:cs="Arial"/>
          <w:sz w:val="20"/>
          <w:szCs w:val="20"/>
          <w:lang w:eastAsia="es-CO"/>
        </w:rPr>
        <w:t xml:space="preserve">[…] </w:t>
      </w:r>
      <w:r w:rsidRPr="00411D4E">
        <w:rPr>
          <w:rFonts w:ascii="Verdana" w:eastAsia="Calibri" w:hAnsi="Verdana" w:cs="Arial"/>
          <w:sz w:val="20"/>
          <w:szCs w:val="20"/>
          <w:lang w:eastAsia="es-CO"/>
        </w:rPr>
        <w:t xml:space="preserve">las adendas solo pueden modificar aspectos de los pliegos o en la invitación que no sean sustanciales, lo que significa que pueden cambiar asuntos como el cronograma del proceso, o pueden abrir la posibilidad de que un material no previsto inicialmente sea utilizado en la elaboración de lo que la entidad requiere. En ese sentido, debe tenerse en cuenta que mediante adendas que </w:t>
      </w:r>
      <w:r w:rsidRPr="00411D4E">
        <w:rPr>
          <w:rFonts w:ascii="Verdana" w:eastAsia="Calibri" w:hAnsi="Verdana" w:cs="Arial"/>
          <w:bCs/>
          <w:sz w:val="20"/>
          <w:szCs w:val="20"/>
          <w:lang w:eastAsia="es-CO"/>
        </w:rPr>
        <w:t xml:space="preserve">no se pueden cambiar asuntos sustanciales como es el objeto del contrato, el mecanismo de selección y el </w:t>
      </w:r>
      <w:r w:rsidRPr="00411D4E">
        <w:rPr>
          <w:rFonts w:ascii="Verdana" w:eastAsia="Calibri" w:hAnsi="Verdana" w:cs="Arial"/>
          <w:bCs/>
          <w:sz w:val="20"/>
          <w:szCs w:val="20"/>
          <w:lang w:eastAsia="es-CO"/>
        </w:rPr>
        <w:lastRenderedPageBreak/>
        <w:t>presupuesto.</w:t>
      </w:r>
      <w:r w:rsidRPr="00411D4E">
        <w:rPr>
          <w:rFonts w:ascii="Verdana" w:eastAsia="Calibri" w:hAnsi="Verdana" w:cs="Arial"/>
          <w:sz w:val="20"/>
          <w:szCs w:val="20"/>
          <w:lang w:eastAsia="es-CO"/>
        </w:rPr>
        <w:t xml:space="preserve"> Adicionalmente, las adendas además deben cumplir todos los requisitos de publicidad del pliego de condiciones o de la invitación, ya que, para garantizar seguridad jurídica en el marco del proceso, las reglas no pueden variar a espaldas de los eventuales interesados. </w:t>
      </w:r>
    </w:p>
    <w:p w14:paraId="1C3CB95B" w14:textId="77777777" w:rsidR="00411D4E" w:rsidRDefault="00411D4E" w:rsidP="00811011">
      <w:pPr>
        <w:spacing w:after="0" w:line="240" w:lineRule="auto"/>
        <w:jc w:val="both"/>
        <w:rPr>
          <w:rFonts w:ascii="Verdana" w:hAnsi="Verdana" w:cs="Arial"/>
          <w:bCs/>
          <w:lang w:eastAsia="es-ES"/>
        </w:rPr>
      </w:pPr>
    </w:p>
    <w:p w14:paraId="4069EBA8" w14:textId="4F4EE119" w:rsidR="00811011" w:rsidRPr="00411D4E" w:rsidRDefault="00411D4E" w:rsidP="00811011">
      <w:pPr>
        <w:spacing w:after="0" w:line="240" w:lineRule="auto"/>
        <w:jc w:val="both"/>
        <w:rPr>
          <w:rFonts w:ascii="Verdana" w:eastAsia="Calibri" w:hAnsi="Verdana" w:cs="Arial"/>
          <w:b/>
          <w:iCs/>
          <w:color w:val="000000"/>
          <w:sz w:val="20"/>
          <w:szCs w:val="20"/>
          <w:lang w:val="es-ES" w:eastAsia="es-ES_tradnl"/>
        </w:rPr>
      </w:pPr>
      <w:r w:rsidRPr="00411D4E">
        <w:rPr>
          <w:rFonts w:ascii="Verdana" w:hAnsi="Verdana" w:cs="Arial"/>
          <w:b/>
          <w:lang w:eastAsia="es-ES"/>
        </w:rPr>
        <w:t xml:space="preserve">OBLIGATORIEDAD DE LA INVITACIÓN – Aplicación de principios de contratación estatal  </w:t>
      </w:r>
      <w:r w:rsidRPr="00411D4E">
        <w:rPr>
          <w:rFonts w:ascii="Verdana" w:hAnsi="Verdana" w:cs="Arial"/>
          <w:b/>
          <w:color w:val="000000" w:themeColor="text1"/>
          <w:lang w:val="es-ES"/>
        </w:rPr>
        <w:t xml:space="preserve"> </w:t>
      </w:r>
    </w:p>
    <w:p w14:paraId="1EC78D10" w14:textId="77777777" w:rsidR="00811011" w:rsidRPr="00811011" w:rsidRDefault="00811011" w:rsidP="00DA2A88">
      <w:pPr>
        <w:spacing w:after="0" w:line="240" w:lineRule="auto"/>
        <w:jc w:val="both"/>
        <w:rPr>
          <w:rFonts w:ascii="Verdana" w:hAnsi="Verdana"/>
          <w:lang w:val="es-ES"/>
        </w:rPr>
      </w:pPr>
    </w:p>
    <w:p w14:paraId="78FE7D44" w14:textId="12C83175" w:rsidR="00411D4E" w:rsidRPr="00411D4E" w:rsidRDefault="00411D4E" w:rsidP="00411D4E">
      <w:pPr>
        <w:widowControl w:val="0"/>
        <w:autoSpaceDE w:val="0"/>
        <w:autoSpaceDN w:val="0"/>
        <w:spacing w:after="0" w:line="240" w:lineRule="auto"/>
        <w:ind w:right="103"/>
        <w:jc w:val="both"/>
        <w:rPr>
          <w:rFonts w:ascii="Verdana" w:hAnsi="Verdana" w:cs="Arial"/>
          <w:color w:val="000000" w:themeColor="text1"/>
          <w:sz w:val="20"/>
          <w:szCs w:val="20"/>
        </w:rPr>
      </w:pPr>
      <w:r>
        <w:rPr>
          <w:rFonts w:ascii="Verdana" w:hAnsi="Verdana" w:cs="Arial"/>
          <w:color w:val="000000" w:themeColor="text1"/>
          <w:sz w:val="20"/>
          <w:szCs w:val="20"/>
        </w:rPr>
        <w:t>[…]</w:t>
      </w:r>
      <w:r w:rsidRPr="00411D4E">
        <w:rPr>
          <w:rFonts w:ascii="Verdana" w:hAnsi="Verdana" w:cs="Arial"/>
          <w:color w:val="000000" w:themeColor="text1"/>
          <w:sz w:val="20"/>
          <w:szCs w:val="20"/>
        </w:rPr>
        <w:t xml:space="preserve"> es deber de la entidad estatal dar cumplimiento al contenido de la invitación del proceso de selección en la modalidad de mínima cuantía, así como el procedimiento y cronograma definido de acuerdo con lo dispuesto en el artículo </w:t>
      </w:r>
      <w:r w:rsidRPr="00411D4E">
        <w:rPr>
          <w:rFonts w:ascii="Verdana" w:hAnsi="Verdana" w:cs="Arial"/>
          <w:sz w:val="20"/>
          <w:szCs w:val="20"/>
        </w:rPr>
        <w:t xml:space="preserve">2.2.1.2.1.5.2 del Decreto 1082 de 2015. Adicionalmente es importante resaltar que los términos definidos en la invitación resultan perentorios y de obligatorio cumplimiento, y su desconocimiento afectaría la aplicación y garantía de los principios de contratación estatal, en especial el principio de transparencia y de responsabilidad definidos en el artículo 24 numerales 2, 3, 7 y 8 así como el artículo 26 numerales 1 y 2. </w:t>
      </w:r>
      <w:r w:rsidRPr="00411D4E">
        <w:rPr>
          <w:rFonts w:ascii="Verdana" w:hAnsi="Verdana" w:cs="Arial"/>
          <w:color w:val="000000" w:themeColor="text1"/>
          <w:sz w:val="20"/>
          <w:szCs w:val="20"/>
        </w:rPr>
        <w:t>Adicionalmente resulta necesario recordar que de acuerdo con lo establecido en el numeral 8 del artículo 24 de la Ley 80 de 1993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w:t>
      </w:r>
    </w:p>
    <w:p w14:paraId="0332CAE8" w14:textId="77777777" w:rsidR="00411D4E" w:rsidRDefault="00411D4E" w:rsidP="00411D4E">
      <w:pPr>
        <w:spacing w:after="0" w:line="240" w:lineRule="auto"/>
        <w:jc w:val="both"/>
        <w:rPr>
          <w:rFonts w:ascii="Verdana" w:hAnsi="Verdana" w:cs="Arial"/>
          <w:color w:val="000000" w:themeColor="text1"/>
          <w:sz w:val="20"/>
          <w:szCs w:val="20"/>
        </w:rPr>
      </w:pPr>
    </w:p>
    <w:p w14:paraId="4B5375B2" w14:textId="77777777" w:rsidR="00811011" w:rsidRDefault="00811011" w:rsidP="00DA2A88">
      <w:pPr>
        <w:spacing w:after="0" w:line="240" w:lineRule="auto"/>
        <w:jc w:val="both"/>
        <w:rPr>
          <w:rFonts w:ascii="Verdana" w:hAnsi="Verdana" w:cs="Arial"/>
          <w:color w:val="000000" w:themeColor="text1"/>
          <w:sz w:val="20"/>
          <w:szCs w:val="20"/>
        </w:rPr>
      </w:pPr>
    </w:p>
    <w:p w14:paraId="0C53F679" w14:textId="77777777" w:rsidR="00411D4E" w:rsidRDefault="00411D4E" w:rsidP="00DA2A88">
      <w:pPr>
        <w:spacing w:after="0" w:line="240" w:lineRule="auto"/>
        <w:jc w:val="both"/>
        <w:rPr>
          <w:rFonts w:ascii="Verdana" w:hAnsi="Verdana" w:cs="Arial"/>
          <w:color w:val="000000" w:themeColor="text1"/>
          <w:sz w:val="20"/>
          <w:szCs w:val="20"/>
        </w:rPr>
      </w:pPr>
    </w:p>
    <w:p w14:paraId="3B8D711D" w14:textId="77777777" w:rsidR="00411D4E" w:rsidRDefault="00411D4E" w:rsidP="00DA2A88">
      <w:pPr>
        <w:spacing w:after="0" w:line="240" w:lineRule="auto"/>
        <w:jc w:val="both"/>
        <w:rPr>
          <w:rFonts w:ascii="Verdana" w:hAnsi="Verdana" w:cs="Arial"/>
          <w:color w:val="000000" w:themeColor="text1"/>
          <w:sz w:val="20"/>
          <w:szCs w:val="20"/>
        </w:rPr>
      </w:pPr>
    </w:p>
    <w:p w14:paraId="778F6218" w14:textId="77777777" w:rsidR="00411D4E" w:rsidRDefault="00411D4E" w:rsidP="00DA2A88">
      <w:pPr>
        <w:spacing w:after="0" w:line="240" w:lineRule="auto"/>
        <w:jc w:val="both"/>
        <w:rPr>
          <w:rFonts w:ascii="Verdana" w:hAnsi="Verdana" w:cs="Arial"/>
          <w:color w:val="000000" w:themeColor="text1"/>
          <w:sz w:val="20"/>
          <w:szCs w:val="20"/>
        </w:rPr>
      </w:pPr>
    </w:p>
    <w:p w14:paraId="3BDB65C4" w14:textId="77777777" w:rsidR="00411D4E" w:rsidRDefault="00411D4E" w:rsidP="00DA2A88">
      <w:pPr>
        <w:spacing w:after="0" w:line="240" w:lineRule="auto"/>
        <w:jc w:val="both"/>
        <w:rPr>
          <w:rFonts w:ascii="Verdana" w:hAnsi="Verdana" w:cs="Arial"/>
          <w:color w:val="000000" w:themeColor="text1"/>
          <w:sz w:val="20"/>
          <w:szCs w:val="20"/>
        </w:rPr>
      </w:pPr>
    </w:p>
    <w:p w14:paraId="10BA24AA" w14:textId="77777777" w:rsidR="00411D4E" w:rsidRDefault="00411D4E" w:rsidP="00DA2A88">
      <w:pPr>
        <w:spacing w:after="0" w:line="240" w:lineRule="auto"/>
        <w:jc w:val="both"/>
        <w:rPr>
          <w:rFonts w:ascii="Verdana" w:hAnsi="Verdana" w:cs="Arial"/>
          <w:color w:val="000000" w:themeColor="text1"/>
          <w:sz w:val="20"/>
          <w:szCs w:val="20"/>
        </w:rPr>
      </w:pPr>
    </w:p>
    <w:p w14:paraId="0E0EA474" w14:textId="77777777" w:rsidR="00411D4E" w:rsidRDefault="00411D4E" w:rsidP="00DA2A88">
      <w:pPr>
        <w:spacing w:after="0" w:line="240" w:lineRule="auto"/>
        <w:jc w:val="both"/>
        <w:rPr>
          <w:rFonts w:ascii="Verdana" w:hAnsi="Verdana" w:cs="Arial"/>
          <w:color w:val="000000" w:themeColor="text1"/>
          <w:sz w:val="20"/>
          <w:szCs w:val="20"/>
        </w:rPr>
      </w:pPr>
    </w:p>
    <w:p w14:paraId="22A5CE58" w14:textId="77777777" w:rsidR="00411D4E" w:rsidRDefault="00411D4E" w:rsidP="00DA2A88">
      <w:pPr>
        <w:spacing w:after="0" w:line="240" w:lineRule="auto"/>
        <w:jc w:val="both"/>
        <w:rPr>
          <w:rFonts w:ascii="Verdana" w:hAnsi="Verdana" w:cs="Arial"/>
          <w:color w:val="000000" w:themeColor="text1"/>
          <w:sz w:val="20"/>
          <w:szCs w:val="20"/>
        </w:rPr>
      </w:pPr>
    </w:p>
    <w:p w14:paraId="1FE59DC1" w14:textId="77777777" w:rsidR="00411D4E" w:rsidRDefault="00411D4E" w:rsidP="00DA2A88">
      <w:pPr>
        <w:spacing w:after="0" w:line="240" w:lineRule="auto"/>
        <w:jc w:val="both"/>
        <w:rPr>
          <w:rFonts w:ascii="Verdana" w:hAnsi="Verdana" w:cs="Arial"/>
          <w:color w:val="000000" w:themeColor="text1"/>
          <w:sz w:val="20"/>
          <w:szCs w:val="20"/>
        </w:rPr>
      </w:pPr>
    </w:p>
    <w:p w14:paraId="5B43EC8F" w14:textId="77777777" w:rsidR="00411D4E" w:rsidRDefault="00411D4E" w:rsidP="00DA2A88">
      <w:pPr>
        <w:spacing w:after="0" w:line="240" w:lineRule="auto"/>
        <w:jc w:val="both"/>
        <w:rPr>
          <w:rFonts w:ascii="Verdana" w:hAnsi="Verdana" w:cs="Arial"/>
          <w:color w:val="000000" w:themeColor="text1"/>
          <w:sz w:val="20"/>
          <w:szCs w:val="20"/>
        </w:rPr>
      </w:pPr>
    </w:p>
    <w:p w14:paraId="70F25472" w14:textId="77777777" w:rsidR="00411D4E" w:rsidRDefault="00411D4E" w:rsidP="00DA2A88">
      <w:pPr>
        <w:spacing w:after="0" w:line="240" w:lineRule="auto"/>
        <w:jc w:val="both"/>
        <w:rPr>
          <w:rFonts w:ascii="Verdana" w:hAnsi="Verdana" w:cs="Arial"/>
          <w:color w:val="000000" w:themeColor="text1"/>
          <w:sz w:val="20"/>
          <w:szCs w:val="20"/>
        </w:rPr>
      </w:pPr>
    </w:p>
    <w:p w14:paraId="2CDA26C5" w14:textId="77777777" w:rsidR="00411D4E" w:rsidRDefault="00411D4E" w:rsidP="00DA2A88">
      <w:pPr>
        <w:spacing w:after="0" w:line="240" w:lineRule="auto"/>
        <w:jc w:val="both"/>
        <w:rPr>
          <w:rFonts w:ascii="Verdana" w:hAnsi="Verdana" w:cs="Arial"/>
          <w:color w:val="000000" w:themeColor="text1"/>
          <w:sz w:val="20"/>
          <w:szCs w:val="20"/>
        </w:rPr>
      </w:pPr>
    </w:p>
    <w:p w14:paraId="60DCF860" w14:textId="77777777" w:rsidR="00411D4E" w:rsidRDefault="00411D4E" w:rsidP="00DA2A88">
      <w:pPr>
        <w:spacing w:after="0" w:line="240" w:lineRule="auto"/>
        <w:jc w:val="both"/>
        <w:rPr>
          <w:rFonts w:ascii="Verdana" w:hAnsi="Verdana" w:cs="Arial"/>
          <w:color w:val="000000" w:themeColor="text1"/>
          <w:sz w:val="20"/>
          <w:szCs w:val="20"/>
        </w:rPr>
      </w:pPr>
    </w:p>
    <w:p w14:paraId="3C7F691F" w14:textId="77777777" w:rsidR="00411D4E" w:rsidRDefault="00411D4E" w:rsidP="00DA2A88">
      <w:pPr>
        <w:spacing w:after="0" w:line="240" w:lineRule="auto"/>
        <w:jc w:val="both"/>
        <w:rPr>
          <w:rFonts w:ascii="Verdana" w:hAnsi="Verdana" w:cs="Arial"/>
          <w:color w:val="000000" w:themeColor="text1"/>
          <w:sz w:val="20"/>
          <w:szCs w:val="20"/>
        </w:rPr>
      </w:pPr>
    </w:p>
    <w:p w14:paraId="6E9E0498" w14:textId="77777777" w:rsidR="00411D4E" w:rsidRDefault="00411D4E" w:rsidP="00DA2A88">
      <w:pPr>
        <w:spacing w:after="0" w:line="240" w:lineRule="auto"/>
        <w:jc w:val="both"/>
        <w:rPr>
          <w:rFonts w:ascii="Verdana" w:hAnsi="Verdana" w:cs="Arial"/>
          <w:color w:val="000000" w:themeColor="text1"/>
          <w:sz w:val="20"/>
          <w:szCs w:val="20"/>
        </w:rPr>
      </w:pPr>
    </w:p>
    <w:p w14:paraId="40CBE81C" w14:textId="77777777" w:rsidR="00411D4E" w:rsidRDefault="00411D4E" w:rsidP="00DA2A88">
      <w:pPr>
        <w:spacing w:after="0" w:line="240" w:lineRule="auto"/>
        <w:jc w:val="both"/>
        <w:rPr>
          <w:rFonts w:ascii="Verdana" w:hAnsi="Verdana" w:cs="Arial"/>
          <w:color w:val="000000" w:themeColor="text1"/>
          <w:sz w:val="20"/>
          <w:szCs w:val="20"/>
        </w:rPr>
      </w:pPr>
    </w:p>
    <w:p w14:paraId="79343699" w14:textId="77777777" w:rsidR="00411D4E" w:rsidRDefault="00411D4E" w:rsidP="00DA2A88">
      <w:pPr>
        <w:spacing w:after="0" w:line="240" w:lineRule="auto"/>
        <w:jc w:val="both"/>
        <w:rPr>
          <w:rFonts w:ascii="Verdana" w:hAnsi="Verdana" w:cs="Arial"/>
          <w:color w:val="000000" w:themeColor="text1"/>
          <w:sz w:val="20"/>
          <w:szCs w:val="20"/>
        </w:rPr>
      </w:pPr>
    </w:p>
    <w:p w14:paraId="4948B21D" w14:textId="77777777" w:rsidR="00411D4E" w:rsidRDefault="00411D4E" w:rsidP="00DA2A88">
      <w:pPr>
        <w:spacing w:after="0" w:line="240" w:lineRule="auto"/>
        <w:jc w:val="both"/>
        <w:rPr>
          <w:rFonts w:ascii="Verdana" w:hAnsi="Verdana" w:cs="Arial"/>
          <w:color w:val="000000" w:themeColor="text1"/>
          <w:sz w:val="20"/>
          <w:szCs w:val="20"/>
        </w:rPr>
      </w:pPr>
    </w:p>
    <w:p w14:paraId="0038CC94" w14:textId="77777777" w:rsidR="00411D4E" w:rsidRDefault="00411D4E" w:rsidP="00DA2A88">
      <w:pPr>
        <w:spacing w:after="0" w:line="240" w:lineRule="auto"/>
        <w:jc w:val="both"/>
        <w:rPr>
          <w:rFonts w:ascii="Verdana" w:hAnsi="Verdana" w:cs="Arial"/>
          <w:color w:val="000000" w:themeColor="text1"/>
          <w:sz w:val="20"/>
          <w:szCs w:val="20"/>
        </w:rPr>
      </w:pPr>
    </w:p>
    <w:p w14:paraId="733C669E" w14:textId="77777777" w:rsidR="00411D4E" w:rsidRDefault="00411D4E" w:rsidP="00DA2A88">
      <w:pPr>
        <w:spacing w:after="0" w:line="240" w:lineRule="auto"/>
        <w:jc w:val="both"/>
        <w:rPr>
          <w:rFonts w:ascii="Verdana" w:hAnsi="Verdana" w:cs="Arial"/>
          <w:color w:val="000000" w:themeColor="text1"/>
          <w:sz w:val="20"/>
          <w:szCs w:val="20"/>
        </w:rPr>
      </w:pPr>
    </w:p>
    <w:p w14:paraId="124112E7" w14:textId="77777777" w:rsidR="00411D4E" w:rsidRDefault="00411D4E" w:rsidP="00DA2A88">
      <w:pPr>
        <w:spacing w:after="0" w:line="240" w:lineRule="auto"/>
        <w:jc w:val="both"/>
        <w:rPr>
          <w:rFonts w:ascii="Verdana" w:hAnsi="Verdana"/>
        </w:rPr>
      </w:pPr>
    </w:p>
    <w:p w14:paraId="618465D6" w14:textId="77777777" w:rsidR="00811011" w:rsidRDefault="00811011" w:rsidP="00DA2A88">
      <w:pPr>
        <w:spacing w:after="0" w:line="240" w:lineRule="auto"/>
        <w:jc w:val="both"/>
        <w:rPr>
          <w:rFonts w:ascii="Verdana" w:hAnsi="Verdana"/>
        </w:rPr>
      </w:pPr>
    </w:p>
    <w:p w14:paraId="54C2F949" w14:textId="77777777" w:rsidR="00811011" w:rsidRDefault="00811011" w:rsidP="00DA2A88">
      <w:pPr>
        <w:spacing w:after="0" w:line="240" w:lineRule="auto"/>
        <w:jc w:val="both"/>
        <w:rPr>
          <w:rFonts w:ascii="Verdana" w:hAnsi="Verdana"/>
        </w:rPr>
      </w:pPr>
    </w:p>
    <w:p w14:paraId="40E79B1F" w14:textId="77777777" w:rsidR="00811011" w:rsidRDefault="00811011" w:rsidP="00DA2A88">
      <w:pPr>
        <w:spacing w:after="0" w:line="240" w:lineRule="auto"/>
        <w:jc w:val="both"/>
        <w:rPr>
          <w:rFonts w:ascii="Verdana" w:hAnsi="Verdana"/>
        </w:rPr>
      </w:pPr>
    </w:p>
    <w:p w14:paraId="257E0FB0" w14:textId="30B0F3A5" w:rsidR="00DA2A88" w:rsidRPr="00FF007A" w:rsidRDefault="00DA2A88" w:rsidP="00DA2A88">
      <w:pPr>
        <w:spacing w:after="0" w:line="240" w:lineRule="auto"/>
        <w:jc w:val="both"/>
        <w:rPr>
          <w:rFonts w:ascii="Verdana" w:hAnsi="Verdana"/>
        </w:rPr>
      </w:pPr>
      <w:r w:rsidRPr="00FF007A">
        <w:rPr>
          <w:rFonts w:ascii="Verdana" w:hAnsi="Verdana"/>
        </w:rPr>
        <w:lastRenderedPageBreak/>
        <w:t xml:space="preserve">Bogotá D.C., </w:t>
      </w:r>
      <w:r w:rsidR="006A34BA">
        <w:rPr>
          <w:rFonts w:ascii="Verdana" w:hAnsi="Verdana"/>
        </w:rPr>
        <w:t xml:space="preserve">23 de septiembre de 2025 </w:t>
      </w:r>
      <w:r w:rsidRPr="00FF007A">
        <w:rPr>
          <w:rFonts w:ascii="Verdana" w:hAnsi="Verdana"/>
        </w:rPr>
        <w:tab/>
      </w:r>
    </w:p>
    <w:p w14:paraId="702C90E7" w14:textId="77777777" w:rsidR="00DA2A88" w:rsidRPr="00FF007A" w:rsidRDefault="00DA2A88" w:rsidP="00DA2A88">
      <w:pPr>
        <w:spacing w:after="0" w:line="240" w:lineRule="auto"/>
        <w:jc w:val="both"/>
        <w:rPr>
          <w:rFonts w:ascii="Verdana" w:eastAsia="Calibri" w:hAnsi="Verdana" w:cs="Arial"/>
          <w:lang w:eastAsia="es-ES"/>
        </w:rPr>
      </w:pPr>
      <w:bookmarkStart w:id="6" w:name="_Hlk197462763"/>
      <w:bookmarkStart w:id="7" w:name="_Hlk197529996"/>
    </w:p>
    <w:p w14:paraId="373DC84F" w14:textId="4AB5244B" w:rsidR="006A34BA" w:rsidRDefault="006A34BA" w:rsidP="006A34BA">
      <w:pPr>
        <w:spacing w:after="0" w:line="240" w:lineRule="auto"/>
        <w:jc w:val="right"/>
        <w:rPr>
          <w:rFonts w:ascii="Verdana" w:eastAsia="Calibri" w:hAnsi="Verdana" w:cs="Arial"/>
          <w:lang w:eastAsia="es-ES"/>
        </w:rPr>
      </w:pPr>
      <w:r w:rsidRPr="006A34BA">
        <w:rPr>
          <w:rFonts w:ascii="Verdana" w:eastAsia="Calibri" w:hAnsi="Verdana" w:cs="Arial"/>
          <w:lang w:eastAsia="es-ES"/>
        </w:rPr>
        <w:drawing>
          <wp:inline distT="0" distB="0" distL="0" distR="0" wp14:anchorId="223E24F1" wp14:editId="6B7081DD">
            <wp:extent cx="2354239" cy="722123"/>
            <wp:effectExtent l="0" t="0" r="8255" b="1905"/>
            <wp:docPr id="3277113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1134" name="Imagen 1" descr="Texto&#10;&#10;El contenido generado por IA puede ser incorrecto."/>
                    <pic:cNvPicPr/>
                  </pic:nvPicPr>
                  <pic:blipFill>
                    <a:blip r:embed="rId11"/>
                    <a:stretch>
                      <a:fillRect/>
                    </a:stretch>
                  </pic:blipFill>
                  <pic:spPr>
                    <a:xfrm>
                      <a:off x="0" y="0"/>
                      <a:ext cx="2405583" cy="737872"/>
                    </a:xfrm>
                    <a:prstGeom prst="rect">
                      <a:avLst/>
                    </a:prstGeom>
                  </pic:spPr>
                </pic:pic>
              </a:graphicData>
            </a:graphic>
          </wp:inline>
        </w:drawing>
      </w:r>
    </w:p>
    <w:p w14:paraId="78BFD012" w14:textId="583A5F5B" w:rsidR="00DA2A88" w:rsidRPr="00FF007A" w:rsidRDefault="00DA2A88" w:rsidP="00DA2A88">
      <w:pPr>
        <w:spacing w:after="0" w:line="240" w:lineRule="auto"/>
        <w:jc w:val="both"/>
        <w:rPr>
          <w:rFonts w:ascii="Verdana" w:eastAsia="Calibri" w:hAnsi="Verdana" w:cs="Arial"/>
          <w:lang w:eastAsia="es-ES"/>
        </w:rPr>
      </w:pPr>
      <w:r w:rsidRPr="00FF007A">
        <w:rPr>
          <w:rFonts w:ascii="Verdana" w:eastAsia="Calibri" w:hAnsi="Verdana" w:cs="Arial"/>
          <w:lang w:eastAsia="es-ES"/>
        </w:rPr>
        <w:t>Señora</w:t>
      </w:r>
    </w:p>
    <w:p w14:paraId="719E40F1" w14:textId="77777777" w:rsidR="00DA2A88" w:rsidRDefault="00DA2A88" w:rsidP="00DA2A88">
      <w:pPr>
        <w:spacing w:after="0" w:line="240" w:lineRule="auto"/>
        <w:jc w:val="both"/>
        <w:rPr>
          <w:rFonts w:ascii="Verdana" w:eastAsia="Calibri" w:hAnsi="Verdana" w:cs="Arial"/>
          <w:b/>
          <w:lang w:eastAsia="es-ES_tradnl"/>
        </w:rPr>
      </w:pPr>
      <w:r w:rsidRPr="00090A4C">
        <w:rPr>
          <w:rFonts w:ascii="Verdana" w:eastAsia="Calibri" w:hAnsi="Verdana" w:cs="Arial"/>
          <w:b/>
          <w:lang w:eastAsia="es-ES_tradnl"/>
        </w:rPr>
        <w:t>Claudia Patricia Velasco Capacho</w:t>
      </w:r>
    </w:p>
    <w:p w14:paraId="5F2E47DF" w14:textId="77777777" w:rsidR="00DA2A88" w:rsidRDefault="00DA2A88" w:rsidP="00DA2A88">
      <w:pPr>
        <w:spacing w:after="0" w:line="240" w:lineRule="auto"/>
        <w:jc w:val="both"/>
        <w:rPr>
          <w:rFonts w:ascii="Verdana" w:eastAsia="Calibri" w:hAnsi="Verdana" w:cs="Arial"/>
          <w:b/>
          <w:lang w:eastAsia="es-ES_tradnl"/>
        </w:rPr>
      </w:pPr>
      <w:hyperlink r:id="rId12" w:history="1">
        <w:r w:rsidRPr="00B334A2">
          <w:rPr>
            <w:rStyle w:val="Hipervnculo"/>
            <w:rFonts w:ascii="Verdana" w:eastAsia="Calibri" w:hAnsi="Verdana" w:cs="Arial"/>
            <w:b/>
            <w:lang w:eastAsia="es-ES_tradnl"/>
          </w:rPr>
          <w:t>claudiapvc56@hotmail.com</w:t>
        </w:r>
      </w:hyperlink>
    </w:p>
    <w:p w14:paraId="0D882CA0" w14:textId="77777777" w:rsidR="00DA2A88" w:rsidRDefault="00DA2A88" w:rsidP="00DA2A88">
      <w:pPr>
        <w:spacing w:after="0" w:line="240" w:lineRule="auto"/>
        <w:jc w:val="both"/>
        <w:rPr>
          <w:rFonts w:ascii="Verdana" w:hAnsi="Verdana"/>
        </w:rPr>
      </w:pPr>
      <w:r>
        <w:rPr>
          <w:rFonts w:ascii="Verdana" w:hAnsi="Verdana"/>
        </w:rPr>
        <w:t xml:space="preserve">Pamplona – Norte de Santander </w:t>
      </w:r>
    </w:p>
    <w:p w14:paraId="3C24BE35" w14:textId="77777777" w:rsidR="00DA2A88" w:rsidRPr="00FF007A" w:rsidRDefault="00DA2A88" w:rsidP="00DA2A88">
      <w:pPr>
        <w:spacing w:after="0" w:line="240" w:lineRule="auto"/>
        <w:jc w:val="both"/>
        <w:rPr>
          <w:rFonts w:ascii="Verdana" w:eastAsia="Calibri" w:hAnsi="Verdana" w:cs="Arial"/>
          <w:bCs/>
          <w:lang w:eastAsia="es-ES_tradnl"/>
        </w:rPr>
      </w:pPr>
    </w:p>
    <w:p w14:paraId="68A1C70D" w14:textId="77777777" w:rsidR="00DA2A88" w:rsidRPr="00FF007A" w:rsidRDefault="00DA2A88" w:rsidP="00DA2A88">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A2A88" w:rsidRPr="00FF007A" w14:paraId="1E5FEFD9" w14:textId="77777777" w:rsidTr="00F977DF">
        <w:trPr>
          <w:trHeight w:val="162"/>
        </w:trPr>
        <w:tc>
          <w:tcPr>
            <w:tcW w:w="3119" w:type="dxa"/>
          </w:tcPr>
          <w:p w14:paraId="215E28B9" w14:textId="77777777" w:rsidR="00DA2A88" w:rsidRPr="00FF007A" w:rsidRDefault="00DA2A88" w:rsidP="00F977DF">
            <w:pPr>
              <w:jc w:val="both"/>
              <w:rPr>
                <w:rFonts w:ascii="Verdana" w:eastAsia="Calibri" w:hAnsi="Verdana" w:cs="Arial"/>
                <w:b/>
                <w:bCs/>
                <w:color w:val="7030A0"/>
                <w:lang w:eastAsia="es-ES_tradnl"/>
              </w:rPr>
            </w:pPr>
          </w:p>
        </w:tc>
        <w:tc>
          <w:tcPr>
            <w:tcW w:w="5670" w:type="dxa"/>
          </w:tcPr>
          <w:p w14:paraId="344D035F" w14:textId="77777777" w:rsidR="00DA2A88" w:rsidRPr="00FF007A" w:rsidRDefault="00DA2A88" w:rsidP="00F977DF">
            <w:pPr>
              <w:jc w:val="both"/>
              <w:rPr>
                <w:rFonts w:ascii="Verdana" w:eastAsia="Calibri" w:hAnsi="Verdana" w:cs="Arial"/>
                <w:b/>
                <w:bCs/>
                <w:lang w:eastAsia="es-ES"/>
              </w:rPr>
            </w:pPr>
            <w:r w:rsidRPr="00FF007A">
              <w:rPr>
                <w:rFonts w:ascii="Verdana" w:eastAsia="Calibri" w:hAnsi="Verdana" w:cs="Arial"/>
                <w:b/>
                <w:bCs/>
                <w:lang w:eastAsia="es-ES"/>
              </w:rPr>
              <w:t>Concepto C-11</w:t>
            </w:r>
            <w:r>
              <w:rPr>
                <w:rFonts w:ascii="Verdana" w:eastAsia="Calibri" w:hAnsi="Verdana" w:cs="Arial"/>
                <w:b/>
                <w:bCs/>
                <w:lang w:eastAsia="es-ES"/>
              </w:rPr>
              <w:t>45</w:t>
            </w:r>
            <w:r w:rsidRPr="00FF007A">
              <w:rPr>
                <w:rFonts w:ascii="Verdana" w:eastAsia="Calibri" w:hAnsi="Verdana" w:cs="Arial"/>
                <w:b/>
                <w:bCs/>
                <w:lang w:eastAsia="es-ES"/>
              </w:rPr>
              <w:t xml:space="preserve"> de 2025</w:t>
            </w:r>
          </w:p>
          <w:p w14:paraId="098715E7" w14:textId="77777777" w:rsidR="00DA2A88" w:rsidRPr="00FF007A" w:rsidRDefault="00DA2A88" w:rsidP="00F977DF">
            <w:pPr>
              <w:jc w:val="both"/>
              <w:rPr>
                <w:rFonts w:ascii="Verdana" w:eastAsia="Calibri" w:hAnsi="Verdana" w:cs="Arial"/>
                <w:b/>
                <w:bCs/>
                <w:color w:val="7030A0"/>
                <w:lang w:eastAsia="es-ES"/>
              </w:rPr>
            </w:pPr>
          </w:p>
        </w:tc>
      </w:tr>
      <w:tr w:rsidR="00DA2A88" w:rsidRPr="00FF007A" w14:paraId="788838AD" w14:textId="77777777" w:rsidTr="00F977DF">
        <w:trPr>
          <w:trHeight w:val="884"/>
        </w:trPr>
        <w:tc>
          <w:tcPr>
            <w:tcW w:w="3119" w:type="dxa"/>
          </w:tcPr>
          <w:p w14:paraId="618122C2" w14:textId="77777777" w:rsidR="00DA2A88" w:rsidRPr="00FF007A" w:rsidRDefault="00DA2A88" w:rsidP="00F977DF">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321F5EE5" w14:textId="77777777" w:rsidR="00DA2A88" w:rsidRPr="00AA15A4" w:rsidRDefault="00DA2A88" w:rsidP="00F977DF">
            <w:pPr>
              <w:spacing w:line="276" w:lineRule="auto"/>
              <w:jc w:val="both"/>
              <w:rPr>
                <w:rFonts w:ascii="Verdana" w:hAnsi="Verdana" w:cs="Arial"/>
                <w:color w:val="000000" w:themeColor="text1"/>
                <w:lang w:val="es-ES"/>
              </w:rPr>
            </w:pPr>
            <w:r>
              <w:rPr>
                <w:rFonts w:ascii="Verdana" w:hAnsi="Verdana" w:cs="Arial"/>
                <w:color w:val="000000" w:themeColor="text1"/>
                <w:lang w:val="es-ES"/>
              </w:rPr>
              <w:t xml:space="preserve">MÍNIMA CUANTÍA – Modalidad de selección / INVITACIÓN – Características / INVITACIÓN – Modificación – Adendas / </w:t>
            </w:r>
            <w:r w:rsidRPr="00A277EA">
              <w:rPr>
                <w:rFonts w:ascii="Verdana" w:hAnsi="Verdana" w:cs="Arial"/>
                <w:bCs/>
                <w:lang w:eastAsia="es-ES"/>
              </w:rPr>
              <w:t>EXPEDICIÓN DE ADENDAS – Límite temporal / EXPEDICIÓN DE ADENDAS – Límite material</w:t>
            </w:r>
            <w:r>
              <w:rPr>
                <w:rFonts w:ascii="Verdana" w:hAnsi="Verdana" w:cs="Arial"/>
                <w:bCs/>
                <w:lang w:eastAsia="es-ES"/>
              </w:rPr>
              <w:t xml:space="preserve"> / OBLIGATORIEDAD DE LA INVITACIÓN – Aplicación de principios de contratación estatal  </w:t>
            </w:r>
            <w:r>
              <w:rPr>
                <w:rFonts w:ascii="Verdana" w:hAnsi="Verdana" w:cs="Arial"/>
                <w:color w:val="000000" w:themeColor="text1"/>
                <w:lang w:val="es-ES"/>
              </w:rPr>
              <w:t xml:space="preserve"> </w:t>
            </w:r>
          </w:p>
        </w:tc>
      </w:tr>
      <w:tr w:rsidR="00DA2A88" w:rsidRPr="00FF007A" w14:paraId="29DE1EBB" w14:textId="77777777" w:rsidTr="00F977DF">
        <w:tc>
          <w:tcPr>
            <w:tcW w:w="3119" w:type="dxa"/>
          </w:tcPr>
          <w:p w14:paraId="1CF33B9D" w14:textId="77777777" w:rsidR="00DA2A88" w:rsidRPr="00FF007A" w:rsidRDefault="00DA2A88" w:rsidP="00F977DF">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3A42A5C4" w14:textId="77777777" w:rsidR="00DA2A88" w:rsidRPr="00FF007A" w:rsidRDefault="00DA2A88" w:rsidP="00F977DF">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090A4C">
              <w:rPr>
                <w:rFonts w:ascii="Verdana" w:eastAsia="Calibri" w:hAnsi="Verdana" w:cs="Arial"/>
                <w:lang w:eastAsia="es-ES_tradnl"/>
              </w:rPr>
              <w:t>1_2025_08_15_008558</w:t>
            </w:r>
          </w:p>
        </w:tc>
      </w:tr>
    </w:tbl>
    <w:p w14:paraId="494DAD32" w14:textId="77777777" w:rsidR="00DA2A88" w:rsidRPr="00FF007A" w:rsidRDefault="00DA2A88" w:rsidP="00DA2A88">
      <w:pPr>
        <w:spacing w:after="0" w:line="276" w:lineRule="auto"/>
        <w:jc w:val="both"/>
        <w:rPr>
          <w:rFonts w:ascii="Verdana" w:eastAsia="Calibri" w:hAnsi="Verdana" w:cs="Arial"/>
          <w:lang w:eastAsia="es-ES_tradnl"/>
        </w:rPr>
      </w:pPr>
    </w:p>
    <w:p w14:paraId="43FA3905" w14:textId="43E22AC3" w:rsidR="00DA2A88" w:rsidRPr="00FF007A" w:rsidRDefault="00DA2A88" w:rsidP="00DA2A88">
      <w:pPr>
        <w:spacing w:after="0" w:line="276" w:lineRule="auto"/>
        <w:jc w:val="both"/>
        <w:rPr>
          <w:rFonts w:ascii="Verdana" w:eastAsia="Calibri" w:hAnsi="Verdana" w:cs="Arial"/>
          <w:lang w:eastAsia="es-ES"/>
        </w:rPr>
      </w:pPr>
      <w:r w:rsidRPr="00FF007A">
        <w:rPr>
          <w:rFonts w:ascii="Verdana" w:eastAsia="Calibri" w:hAnsi="Verdana" w:cs="Arial"/>
          <w:lang w:eastAsia="es-ES"/>
        </w:rPr>
        <w:t xml:space="preserve">Estimada señora </w:t>
      </w:r>
      <w:r w:rsidR="00AB6B5C">
        <w:rPr>
          <w:rFonts w:ascii="Verdana" w:eastAsia="Calibri" w:hAnsi="Verdana" w:cs="Arial"/>
          <w:lang w:eastAsia="es-ES"/>
        </w:rPr>
        <w:t>Claudia Patricia</w:t>
      </w:r>
      <w:r w:rsidRPr="00FF007A">
        <w:rPr>
          <w:rFonts w:ascii="Verdana" w:eastAsia="Calibri" w:hAnsi="Verdana" w:cs="Arial"/>
          <w:lang w:eastAsia="es-ES"/>
        </w:rPr>
        <w:t xml:space="preserve">: </w:t>
      </w:r>
    </w:p>
    <w:p w14:paraId="716A5732" w14:textId="77777777" w:rsidR="00DA2A88" w:rsidRPr="00FF007A" w:rsidRDefault="00DA2A88" w:rsidP="00DA2A88">
      <w:pPr>
        <w:tabs>
          <w:tab w:val="left" w:pos="3768"/>
        </w:tabs>
        <w:spacing w:after="0" w:line="240" w:lineRule="auto"/>
        <w:jc w:val="both"/>
        <w:rPr>
          <w:rFonts w:ascii="Verdana" w:eastAsia="Calibri" w:hAnsi="Verdana" w:cs="Arial"/>
          <w:lang w:eastAsia="es-ES"/>
        </w:rPr>
      </w:pPr>
    </w:p>
    <w:p w14:paraId="17A005F6" w14:textId="77777777" w:rsidR="00DA2A88" w:rsidRPr="00FF007A" w:rsidRDefault="00DA2A88" w:rsidP="00DA2A88">
      <w:pPr>
        <w:tabs>
          <w:tab w:val="left" w:pos="3768"/>
        </w:tabs>
        <w:spacing w:after="0" w:line="276" w:lineRule="auto"/>
        <w:jc w:val="both"/>
        <w:rPr>
          <w:rFonts w:ascii="Verdana" w:eastAsia="Calibri" w:hAnsi="Verdana" w:cs="Arial"/>
          <w:lang w:eastAsia="es-ES"/>
        </w:rPr>
      </w:pPr>
      <w:r w:rsidRPr="00FF007A">
        <w:rPr>
          <w:rFonts w:ascii="Verdana" w:eastAsia="Calibri" w:hAnsi="Verdana" w:cs="Arial"/>
          <w:lang w:eastAsia="es-ES"/>
        </w:rPr>
        <w:t>En ejercicio de la competencia otorgada por los artículos 3, numeral 5º, y 11, numeral 8º, del Decreto Ley 4170 de 2011,</w:t>
      </w:r>
      <w:r w:rsidRPr="00FF007A">
        <w:rPr>
          <w:rFonts w:ascii="Verdana" w:eastAsia="Arial MT" w:hAnsi="Verdana" w:cs="Arial MT"/>
          <w:lang w:eastAsia="es-ES"/>
        </w:rPr>
        <w:t xml:space="preserve"> </w:t>
      </w:r>
      <w:r w:rsidRPr="00FF007A">
        <w:rPr>
          <w:rFonts w:ascii="Verdana" w:hAnsi="Verdana" w:cs="Arial"/>
        </w:rPr>
        <w:t xml:space="preserve">así como lo establecido en el artículo 4 de la Resolución 1707 de 2018 expedida por esta Entidad, </w:t>
      </w:r>
      <w:r w:rsidRPr="00FF007A">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15</w:t>
      </w:r>
      <w:r w:rsidRPr="00FF007A">
        <w:rPr>
          <w:rFonts w:ascii="Verdana" w:eastAsia="Calibri" w:hAnsi="Verdana" w:cs="Arial"/>
          <w:lang w:eastAsia="es-ES"/>
        </w:rPr>
        <w:t xml:space="preserve"> de agosto de 2025, en la cual manifiesta lo siguiente: </w:t>
      </w:r>
    </w:p>
    <w:p w14:paraId="71117E50" w14:textId="77777777" w:rsidR="00DA2A88" w:rsidRPr="00FF007A" w:rsidRDefault="00DA2A88" w:rsidP="00DA2A88">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4727BBFF" w14:textId="77777777" w:rsidR="00DA2A88" w:rsidRPr="00FF007A" w:rsidRDefault="00DA2A88" w:rsidP="00DA2A88">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FF007A">
        <w:rPr>
          <w:rFonts w:ascii="Verdana" w:eastAsia="Century Gothic" w:hAnsi="Verdana" w:cs="Century Gothic"/>
          <w:sz w:val="20"/>
          <w:szCs w:val="20"/>
        </w:rPr>
        <w:t xml:space="preserve">“(…) </w:t>
      </w:r>
      <w:bookmarkEnd w:id="8"/>
      <w:bookmarkEnd w:id="9"/>
      <w:r w:rsidRPr="00090A4C">
        <w:rPr>
          <w:rFonts w:ascii="Verdana" w:eastAsia="Century Gothic" w:hAnsi="Verdana" w:cs="Century Gothic"/>
          <w:sz w:val="20"/>
          <w:szCs w:val="20"/>
        </w:rPr>
        <w:t xml:space="preserve">El Decreto 1082 de 2015 establece el procedimiento que debe </w:t>
      </w:r>
      <w:r>
        <w:rPr>
          <w:rFonts w:ascii="Verdana" w:eastAsia="Century Gothic" w:hAnsi="Verdana" w:cs="Century Gothic"/>
          <w:sz w:val="20"/>
          <w:szCs w:val="20"/>
        </w:rPr>
        <w:t xml:space="preserve">(sic) </w:t>
      </w:r>
      <w:r w:rsidRPr="00090A4C">
        <w:rPr>
          <w:rFonts w:ascii="Verdana" w:eastAsia="Century Gothic" w:hAnsi="Verdana" w:cs="Century Gothic"/>
          <w:sz w:val="20"/>
          <w:szCs w:val="20"/>
        </w:rPr>
        <w:t xml:space="preserve">seguir las entidades </w:t>
      </w:r>
      <w:proofErr w:type="spellStart"/>
      <w:r w:rsidRPr="00090A4C">
        <w:rPr>
          <w:rFonts w:ascii="Verdana" w:eastAsia="Century Gothic" w:hAnsi="Verdana" w:cs="Century Gothic"/>
          <w:sz w:val="20"/>
          <w:szCs w:val="20"/>
        </w:rPr>
        <w:t>publicas</w:t>
      </w:r>
      <w:proofErr w:type="spellEnd"/>
      <w:r>
        <w:rPr>
          <w:rFonts w:ascii="Verdana" w:eastAsia="Century Gothic" w:hAnsi="Verdana" w:cs="Century Gothic"/>
          <w:sz w:val="20"/>
          <w:szCs w:val="20"/>
        </w:rPr>
        <w:t xml:space="preserve"> (sic)</w:t>
      </w:r>
      <w:r w:rsidRPr="00090A4C">
        <w:rPr>
          <w:rFonts w:ascii="Verdana" w:eastAsia="Century Gothic" w:hAnsi="Verdana" w:cs="Century Gothic"/>
          <w:sz w:val="20"/>
          <w:szCs w:val="20"/>
        </w:rPr>
        <w:t xml:space="preserve"> para los procesos de mínima cuantía, en especial establece que debe contener el documento de Invitación Publica </w:t>
      </w:r>
      <w:r>
        <w:rPr>
          <w:rFonts w:ascii="Verdana" w:eastAsia="Century Gothic" w:hAnsi="Verdana" w:cs="Century Gothic"/>
          <w:sz w:val="20"/>
          <w:szCs w:val="20"/>
        </w:rPr>
        <w:t xml:space="preserve">(sic) </w:t>
      </w:r>
      <w:r w:rsidRPr="00090A4C">
        <w:rPr>
          <w:rFonts w:ascii="Verdana" w:eastAsia="Century Gothic" w:hAnsi="Verdana" w:cs="Century Gothic"/>
          <w:sz w:val="20"/>
          <w:szCs w:val="20"/>
        </w:rPr>
        <w:t xml:space="preserve">dentro del cual se establece el CRONOGRAMA DEL PROCESO. Teniendo en cuenta lo expuesto mi pregunta es: ¿Cómo oferente interesado y que presento propuesta en procesos de mínima cuantía, que se debe hacer cuando la entidad contratante, NO cumple con el CRONOGRAMA DEL PROCESO? Por </w:t>
      </w:r>
      <w:proofErr w:type="gramStart"/>
      <w:r w:rsidRPr="00090A4C">
        <w:rPr>
          <w:rFonts w:ascii="Verdana" w:eastAsia="Century Gothic" w:hAnsi="Verdana" w:cs="Century Gothic"/>
          <w:sz w:val="20"/>
          <w:szCs w:val="20"/>
        </w:rPr>
        <w:t>ejemplo</w:t>
      </w:r>
      <w:proofErr w:type="gramEnd"/>
      <w:r w:rsidRPr="00090A4C">
        <w:rPr>
          <w:rFonts w:ascii="Verdana" w:eastAsia="Century Gothic" w:hAnsi="Verdana" w:cs="Century Gothic"/>
          <w:sz w:val="20"/>
          <w:szCs w:val="20"/>
        </w:rPr>
        <w:t xml:space="preserve"> dentro de los cronogramas se establece fecha y hora para PUBLICACION DEL INFORME DE EVALUACION </w:t>
      </w:r>
      <w:r w:rsidRPr="00090A4C">
        <w:rPr>
          <w:rFonts w:ascii="Verdana" w:eastAsia="Century Gothic" w:hAnsi="Verdana" w:cs="Century Gothic"/>
          <w:sz w:val="20"/>
          <w:szCs w:val="20"/>
        </w:rPr>
        <w:lastRenderedPageBreak/>
        <w:t>y la entidad contratante no realiza dicha publicación, ni expide ADENDA para ampliar el CRONOGRAMA</w:t>
      </w:r>
      <w:r w:rsidRPr="00FF007A">
        <w:rPr>
          <w:rFonts w:ascii="Verdana" w:eastAsia="Century Gothic" w:hAnsi="Verdana" w:cs="Century Gothic"/>
          <w:sz w:val="20"/>
          <w:szCs w:val="20"/>
        </w:rPr>
        <w:t xml:space="preserve"> </w:t>
      </w:r>
      <w:r w:rsidRPr="00FF007A">
        <w:rPr>
          <w:rFonts w:ascii="Verdana" w:hAnsi="Verdana"/>
          <w:sz w:val="20"/>
          <w:szCs w:val="20"/>
        </w:rPr>
        <w:t>(…)”.</w:t>
      </w:r>
    </w:p>
    <w:p w14:paraId="5A640611" w14:textId="77777777" w:rsidR="00DA2A88" w:rsidRPr="00FF007A" w:rsidRDefault="00DA2A88" w:rsidP="00DA2A88">
      <w:pPr>
        <w:spacing w:after="0" w:line="240" w:lineRule="auto"/>
        <w:ind w:left="709" w:right="709"/>
        <w:jc w:val="both"/>
        <w:rPr>
          <w:rFonts w:ascii="Verdana" w:hAnsi="Verdana"/>
          <w:sz w:val="20"/>
          <w:szCs w:val="20"/>
        </w:rPr>
      </w:pPr>
    </w:p>
    <w:p w14:paraId="4A49B19C" w14:textId="77777777" w:rsidR="00DA2A88" w:rsidRPr="00FF007A" w:rsidRDefault="00DA2A88" w:rsidP="00DA2A88">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82F9C0C" w14:textId="77777777" w:rsidR="00DA2A88" w:rsidRPr="00983C76" w:rsidRDefault="00DA2A88" w:rsidP="00DA2A88">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25821AD4" w14:textId="77777777" w:rsidR="00DA2A88" w:rsidRPr="00FF007A" w:rsidRDefault="00DA2A88" w:rsidP="00DA2A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FF007A">
        <w:rPr>
          <w:rFonts w:ascii="Verdana" w:eastAsia="Century Gothic" w:hAnsi="Verdana" w:cs="Century Gothic"/>
          <w:b/>
          <w:bCs/>
          <w:lang w:val="es-CO"/>
        </w:rPr>
        <w:t>Problema planteado:</w:t>
      </w:r>
    </w:p>
    <w:p w14:paraId="0B4BFFC6" w14:textId="77777777" w:rsidR="00DA2A88" w:rsidRPr="00FF007A" w:rsidRDefault="00DA2A88" w:rsidP="00DA2A88">
      <w:pPr>
        <w:spacing w:after="0" w:line="240" w:lineRule="auto"/>
        <w:jc w:val="both"/>
        <w:rPr>
          <w:rFonts w:ascii="Verdana" w:eastAsia="Calibri" w:hAnsi="Verdana" w:cs="Arial"/>
          <w:color w:val="000000"/>
          <w:lang w:eastAsia="es-ES"/>
        </w:rPr>
      </w:pPr>
    </w:p>
    <w:p w14:paraId="7DA010B7" w14:textId="0D8855F4" w:rsidR="00DA2A88" w:rsidRPr="00FF007A" w:rsidRDefault="00DA2A88" w:rsidP="00DA2A88">
      <w:pPr>
        <w:spacing w:after="120"/>
        <w:jc w:val="both"/>
        <w:rPr>
          <w:rFonts w:ascii="Verdana" w:eastAsia="Calibri" w:hAnsi="Verdana" w:cs="Arial"/>
          <w:color w:val="000000"/>
          <w:lang w:eastAsia="es-ES"/>
        </w:rPr>
      </w:pPr>
      <w:r w:rsidRPr="2046F149">
        <w:rPr>
          <w:rFonts w:ascii="Verdana" w:eastAsia="Calibri" w:hAnsi="Verdana" w:cs="Arial"/>
          <w:color w:val="000000" w:themeColor="text1"/>
          <w:lang w:eastAsia="es-ES"/>
        </w:rPr>
        <w:t>De acuerdo con el contenido de su solicitud, esta Agencia resolverá el siguiente problema jurídico ¿</w:t>
      </w:r>
      <w:r w:rsidR="0191EAB3" w:rsidRPr="2046F149">
        <w:rPr>
          <w:rFonts w:ascii="Verdana" w:eastAsia="Calibri" w:hAnsi="Verdana" w:cs="Arial"/>
          <w:color w:val="000000" w:themeColor="text1"/>
          <w:lang w:eastAsia="es-ES"/>
        </w:rPr>
        <w:t>Cuál es el documento donde constan los requisitos para la selección de contratistas en un proceso de m</w:t>
      </w:r>
      <w:r w:rsidR="718D7E2B" w:rsidRPr="2046F149">
        <w:rPr>
          <w:rFonts w:ascii="Verdana" w:eastAsia="Calibri" w:hAnsi="Verdana" w:cs="Arial"/>
          <w:color w:val="000000" w:themeColor="text1"/>
          <w:lang w:eastAsia="es-ES"/>
        </w:rPr>
        <w:t>í</w:t>
      </w:r>
      <w:r w:rsidR="0191EAB3" w:rsidRPr="2046F149">
        <w:rPr>
          <w:rFonts w:ascii="Verdana" w:eastAsia="Calibri" w:hAnsi="Verdana" w:cs="Arial"/>
          <w:color w:val="000000" w:themeColor="text1"/>
          <w:lang w:eastAsia="es-ES"/>
        </w:rPr>
        <w:t>ni</w:t>
      </w:r>
      <w:r w:rsidR="509CEC34" w:rsidRPr="2046F149">
        <w:rPr>
          <w:rFonts w:ascii="Verdana" w:eastAsia="Calibri" w:hAnsi="Verdana" w:cs="Arial"/>
          <w:color w:val="000000" w:themeColor="text1"/>
          <w:lang w:eastAsia="es-ES"/>
        </w:rPr>
        <w:t>m</w:t>
      </w:r>
      <w:r w:rsidR="0191EAB3" w:rsidRPr="2046F149">
        <w:rPr>
          <w:rFonts w:ascii="Verdana" w:eastAsia="Calibri" w:hAnsi="Verdana" w:cs="Arial"/>
          <w:color w:val="000000" w:themeColor="text1"/>
          <w:lang w:eastAsia="es-ES"/>
        </w:rPr>
        <w:t xml:space="preserve">a cuantía </w:t>
      </w:r>
      <w:r w:rsidR="5B94F2BA" w:rsidRPr="2046F149">
        <w:rPr>
          <w:rFonts w:ascii="Verdana" w:eastAsia="Calibri" w:hAnsi="Verdana" w:cs="Arial"/>
          <w:color w:val="000000" w:themeColor="text1"/>
          <w:lang w:eastAsia="es-ES"/>
        </w:rPr>
        <w:t xml:space="preserve">y </w:t>
      </w:r>
      <w:r w:rsidR="17ECBA39" w:rsidRPr="2046F149">
        <w:rPr>
          <w:rFonts w:ascii="Verdana" w:eastAsia="Calibri" w:hAnsi="Verdana" w:cs="Arial"/>
          <w:color w:val="000000" w:themeColor="text1"/>
          <w:lang w:eastAsia="es-ES"/>
        </w:rPr>
        <w:t>cuáles</w:t>
      </w:r>
      <w:r w:rsidR="5B94F2BA" w:rsidRPr="2046F149">
        <w:rPr>
          <w:rFonts w:ascii="Verdana" w:eastAsia="Calibri" w:hAnsi="Verdana" w:cs="Arial"/>
          <w:color w:val="000000" w:themeColor="text1"/>
          <w:lang w:eastAsia="es-ES"/>
        </w:rPr>
        <w:t xml:space="preserve"> son las sanciones </w:t>
      </w:r>
      <w:r w:rsidR="00037CDD" w:rsidRPr="2046F149">
        <w:rPr>
          <w:rFonts w:ascii="Verdana" w:eastAsia="Calibri" w:hAnsi="Verdana" w:cs="Arial"/>
          <w:color w:val="000000" w:themeColor="text1"/>
          <w:lang w:eastAsia="es-ES"/>
        </w:rPr>
        <w:t>en caso de que</w:t>
      </w:r>
      <w:r w:rsidR="5B94F2BA" w:rsidRPr="2046F149">
        <w:rPr>
          <w:rFonts w:ascii="Verdana" w:eastAsia="Calibri" w:hAnsi="Verdana" w:cs="Arial"/>
          <w:color w:val="000000" w:themeColor="text1"/>
          <w:lang w:eastAsia="es-ES"/>
        </w:rPr>
        <w:t xml:space="preserve"> no se </w:t>
      </w:r>
      <w:r w:rsidR="78562087" w:rsidRPr="2046F149">
        <w:rPr>
          <w:rFonts w:ascii="Verdana" w:eastAsia="Calibri" w:hAnsi="Verdana" w:cs="Arial"/>
          <w:color w:val="000000" w:themeColor="text1"/>
          <w:lang w:eastAsia="es-ES"/>
        </w:rPr>
        <w:t>cumplan</w:t>
      </w:r>
      <w:r w:rsidR="5B94F2BA" w:rsidRPr="2046F149">
        <w:rPr>
          <w:rFonts w:ascii="Verdana" w:eastAsia="Calibri" w:hAnsi="Verdana" w:cs="Arial"/>
          <w:color w:val="000000" w:themeColor="text1"/>
          <w:lang w:eastAsia="es-ES"/>
        </w:rPr>
        <w:t xml:space="preserve"> los </w:t>
      </w:r>
      <w:r w:rsidR="3275FD84" w:rsidRPr="2046F149">
        <w:rPr>
          <w:rFonts w:ascii="Verdana" w:eastAsia="Calibri" w:hAnsi="Verdana" w:cs="Arial"/>
          <w:color w:val="000000" w:themeColor="text1"/>
          <w:lang w:eastAsia="es-ES"/>
        </w:rPr>
        <w:t>requisitos</w:t>
      </w:r>
      <w:r w:rsidR="5B94F2BA" w:rsidRPr="2046F149">
        <w:rPr>
          <w:rFonts w:ascii="Verdana" w:eastAsia="Calibri" w:hAnsi="Verdana" w:cs="Arial"/>
          <w:color w:val="000000" w:themeColor="text1"/>
          <w:lang w:eastAsia="es-ES"/>
        </w:rPr>
        <w:t xml:space="preserve"> de participación</w:t>
      </w:r>
      <w:r w:rsidR="32FCCA2A" w:rsidRPr="2046F149">
        <w:rPr>
          <w:rFonts w:ascii="Verdana" w:eastAsia="Calibri" w:hAnsi="Verdana" w:cs="Arial"/>
          <w:color w:val="000000" w:themeColor="text1"/>
          <w:lang w:eastAsia="es-ES"/>
        </w:rPr>
        <w:t xml:space="preserve"> allí previstos,</w:t>
      </w:r>
      <w:r w:rsidR="5B94F2BA" w:rsidRPr="2046F149">
        <w:rPr>
          <w:rFonts w:ascii="Verdana" w:eastAsia="Calibri" w:hAnsi="Verdana" w:cs="Arial"/>
          <w:color w:val="000000" w:themeColor="text1"/>
          <w:lang w:eastAsia="es-ES"/>
        </w:rPr>
        <w:t xml:space="preserve"> </w:t>
      </w:r>
      <w:r w:rsidR="7A4884E6" w:rsidRPr="2046F149">
        <w:rPr>
          <w:rFonts w:ascii="Verdana" w:eastAsia="Calibri" w:hAnsi="Verdana" w:cs="Arial"/>
          <w:color w:val="000000" w:themeColor="text1"/>
          <w:lang w:eastAsia="es-ES"/>
        </w:rPr>
        <w:t>incluyendo</w:t>
      </w:r>
      <w:r w:rsidR="5B94F2BA" w:rsidRPr="2046F149">
        <w:rPr>
          <w:rFonts w:ascii="Verdana" w:eastAsia="Calibri" w:hAnsi="Verdana" w:cs="Arial"/>
          <w:color w:val="000000" w:themeColor="text1"/>
          <w:lang w:eastAsia="es-ES"/>
        </w:rPr>
        <w:t xml:space="preserve"> el cronograma del proceso?</w:t>
      </w:r>
      <w:r w:rsidRPr="2046F149">
        <w:rPr>
          <w:rFonts w:ascii="Verdana" w:eastAsia="Calibri" w:hAnsi="Verdana" w:cs="Arial"/>
          <w:color w:val="000000" w:themeColor="text1"/>
          <w:lang w:eastAsia="es-ES"/>
        </w:rPr>
        <w:t xml:space="preserve"> </w:t>
      </w:r>
    </w:p>
    <w:p w14:paraId="00AE28C2" w14:textId="77777777" w:rsidR="00DA2A88" w:rsidRPr="00FF007A" w:rsidRDefault="00DA2A88" w:rsidP="00DA2A88">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345E39B9" w14:textId="77777777" w:rsidR="00DA2A88" w:rsidRPr="00FF007A" w:rsidRDefault="00DA2A88" w:rsidP="00DA2A88">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A2A88" w:rsidRPr="00FF007A" w14:paraId="7190AD46" w14:textId="77777777" w:rsidTr="00F977DF">
        <w:tc>
          <w:tcPr>
            <w:tcW w:w="8828" w:type="dxa"/>
          </w:tcPr>
          <w:p w14:paraId="1DD93E3C" w14:textId="77777777" w:rsidR="00DA2A88" w:rsidRDefault="00DA2A88" w:rsidP="00F977DF">
            <w:pPr>
              <w:spacing w:before="120" w:after="120" w:line="276" w:lineRule="auto"/>
              <w:ind w:firstLine="709"/>
              <w:jc w:val="both"/>
              <w:rPr>
                <w:rFonts w:ascii="Verdana" w:hAnsi="Verdana" w:cs="Arial"/>
                <w:lang w:val="es-ES"/>
              </w:rPr>
            </w:pPr>
            <w:r>
              <w:rPr>
                <w:rFonts w:ascii="Verdana" w:hAnsi="Verdana" w:cs="Arial"/>
                <w:lang w:val="es-ES"/>
              </w:rPr>
              <w:t>L</w:t>
            </w:r>
            <w:r w:rsidRPr="002167F7">
              <w:rPr>
                <w:rFonts w:ascii="Verdana" w:hAnsi="Verdana" w:cs="Arial"/>
                <w:lang w:val="es-ES"/>
              </w:rPr>
              <w:t xml:space="preserve">a </w:t>
            </w:r>
            <w:r w:rsidRPr="002167F7">
              <w:rPr>
                <w:rFonts w:ascii="Verdana" w:hAnsi="Verdana" w:cs="Arial"/>
                <w:i/>
                <w:iCs/>
                <w:lang w:val="es-ES"/>
              </w:rPr>
              <w:t>mínima cuantía</w:t>
            </w:r>
            <w:r w:rsidRPr="002167F7">
              <w:rPr>
                <w:rFonts w:ascii="Verdana" w:hAnsi="Verdana" w:cs="Arial"/>
                <w:lang w:val="es-ES"/>
              </w:rPr>
              <w:t xml:space="preserve"> </w:t>
            </w:r>
            <w:r>
              <w:rPr>
                <w:rFonts w:ascii="Verdana" w:hAnsi="Verdana" w:cs="Arial"/>
                <w:lang w:val="es-ES"/>
              </w:rPr>
              <w:t>es una modalidad de selección en virtud de la cual la entidad realiza una convocatoria pública para recibir oferta de bienes, obras o servicios, cuyo valor</w:t>
            </w:r>
            <w:r w:rsidRPr="002167F7">
              <w:rPr>
                <w:rFonts w:ascii="Verdana" w:hAnsi="Verdana" w:cs="Arial"/>
                <w:lang w:val="es-ES"/>
              </w:rPr>
              <w:t xml:space="preserve"> no exceda el diez por ciento (10%) de la menor cuantía de la Entidad Estatal. Es decir, que </w:t>
            </w:r>
            <w:r>
              <w:rPr>
                <w:rFonts w:ascii="Verdana" w:hAnsi="Verdana" w:cs="Arial"/>
                <w:lang w:val="es-ES"/>
              </w:rPr>
              <w:t xml:space="preserve">será procedente </w:t>
            </w:r>
            <w:r w:rsidRPr="002167F7">
              <w:rPr>
                <w:rFonts w:ascii="Verdana" w:hAnsi="Verdana" w:cs="Arial"/>
                <w:lang w:val="es-ES"/>
              </w:rPr>
              <w:t xml:space="preserve">cuando se cumpla este requisito, independientemente del objeto a contratar. </w:t>
            </w:r>
            <w:r>
              <w:rPr>
                <w:rFonts w:ascii="Verdana" w:hAnsi="Verdana" w:cs="Arial"/>
                <w:lang w:val="es-ES"/>
              </w:rPr>
              <w:t>E</w:t>
            </w:r>
            <w:r w:rsidRPr="002167F7">
              <w:rPr>
                <w:rFonts w:ascii="Verdana" w:hAnsi="Verdana" w:cs="Arial"/>
                <w:lang w:val="es-ES"/>
              </w:rPr>
              <w:t xml:space="preserve">sta modalidad establece un procedimiento expedito y competitivo </w:t>
            </w:r>
            <w:r>
              <w:rPr>
                <w:rFonts w:ascii="Verdana" w:hAnsi="Verdana" w:cs="Arial"/>
                <w:lang w:val="es-ES"/>
              </w:rPr>
              <w:t xml:space="preserve">que se rige por lo dispuesto </w:t>
            </w:r>
            <w:r w:rsidRPr="002167F7">
              <w:rPr>
                <w:rFonts w:ascii="Verdana" w:hAnsi="Verdana" w:cs="Arial"/>
                <w:lang w:val="es-ES"/>
              </w:rPr>
              <w:t>en los artículos 2.2.1.2.1.5.1. a 2.2.1.2.1.5.6.  del Decreto 1082 de 2015</w:t>
            </w:r>
            <w:r>
              <w:rPr>
                <w:rFonts w:ascii="Verdana" w:hAnsi="Verdana" w:cs="Arial"/>
                <w:lang w:val="es-ES"/>
              </w:rPr>
              <w:t>.</w:t>
            </w:r>
          </w:p>
          <w:p w14:paraId="3235427A" w14:textId="77777777" w:rsidR="00DA2A88" w:rsidRDefault="00DA2A88" w:rsidP="00F977DF">
            <w:pPr>
              <w:spacing w:before="120" w:after="120" w:line="276" w:lineRule="auto"/>
              <w:ind w:firstLine="709"/>
              <w:jc w:val="both"/>
              <w:rPr>
                <w:rFonts w:ascii="Verdana" w:hAnsi="Verdana" w:cs="Arial"/>
              </w:rPr>
            </w:pPr>
            <w:r>
              <w:rPr>
                <w:rFonts w:ascii="Verdana" w:hAnsi="Verdana" w:cs="Arial"/>
              </w:rPr>
              <w:lastRenderedPageBreak/>
              <w:t xml:space="preserve">El contenido de la invitación está definido en el artículo 2.2.1.2.1.5.2 del Decreto 1082 de 2015, por lo que debe entenderse que </w:t>
            </w:r>
            <w:r>
              <w:rPr>
                <w:rFonts w:ascii="Verdana" w:eastAsia="Calibri" w:hAnsi="Verdana" w:cs="Arial"/>
                <w:color w:val="000000"/>
                <w:lang w:val="es-ES" w:eastAsia="es-ES_tradnl"/>
              </w:rPr>
              <w:t xml:space="preserve">constituye </w:t>
            </w:r>
            <w:r w:rsidRPr="00A277EA">
              <w:rPr>
                <w:rFonts w:ascii="Verdana" w:eastAsia="Calibri" w:hAnsi="Verdana" w:cs="Arial"/>
                <w:color w:val="000000"/>
                <w:lang w:val="es-ES" w:eastAsia="es-ES_tradnl"/>
              </w:rPr>
              <w:t>la hoja de ruta o plan sobre el cual se diseña, estructura y concreta el procedimiento de selección de contratistas.</w:t>
            </w:r>
            <w:r>
              <w:rPr>
                <w:rFonts w:ascii="Verdana" w:eastAsia="Calibri" w:hAnsi="Verdana" w:cs="Arial"/>
                <w:color w:val="000000"/>
                <w:lang w:val="es-ES" w:eastAsia="es-ES_tradnl"/>
              </w:rPr>
              <w:t xml:space="preserve"> En otras palabras, </w:t>
            </w:r>
            <w:r w:rsidRPr="002379AA">
              <w:rPr>
                <w:rFonts w:ascii="Verdana" w:hAnsi="Verdana" w:cs="Arial"/>
              </w:rPr>
              <w:t>es el documento en el que se establecen las normas que van a regular la etapa selección, a las que deberán sujetarse la administración y los oferentes a efectos de lograr una selección objetiva</w:t>
            </w:r>
            <w:r>
              <w:rPr>
                <w:rFonts w:ascii="Verdana" w:hAnsi="Verdana" w:cs="Arial"/>
              </w:rPr>
              <w:t>.</w:t>
            </w:r>
          </w:p>
          <w:p w14:paraId="404406C5" w14:textId="27BDDB7F" w:rsidR="00DA2A88" w:rsidRDefault="00DA2A88" w:rsidP="00F977DF">
            <w:pPr>
              <w:spacing w:before="120" w:after="120" w:line="276" w:lineRule="auto"/>
              <w:ind w:firstLine="709"/>
              <w:jc w:val="both"/>
              <w:rPr>
                <w:rFonts w:ascii="Verdana" w:eastAsia="Calibri" w:hAnsi="Verdana" w:cs="Arial"/>
                <w:color w:val="000000"/>
                <w:lang w:val="es-ES" w:eastAsia="es-ES"/>
              </w:rPr>
            </w:pPr>
            <w:r w:rsidRPr="2046F149">
              <w:rPr>
                <w:rFonts w:ascii="Verdana" w:eastAsia="Calibri" w:hAnsi="Verdana" w:cs="Arial"/>
                <w:color w:val="000000" w:themeColor="text1"/>
                <w:lang w:val="es-ES" w:eastAsia="es-ES"/>
              </w:rPr>
              <w:t xml:space="preserve">De conformidad con lo anterior, resulta claro que las entidades estatales, en virtud de la autonomía de la voluntad y de la amplia discrecionalidad que se les reconoce, tienen la facultad de configurar las reglas y exigencias de los pliegos de condiciones o de la invitación de manera libre, dentro de los parámetros y límites </w:t>
            </w:r>
            <w:r w:rsidRPr="2046F149">
              <w:rPr>
                <w:rFonts w:ascii="Verdana" w:eastAsia="Calibri" w:hAnsi="Verdana" w:cs="Arial"/>
                <w:color w:val="000000" w:themeColor="text1"/>
                <w:lang w:val="es-ES" w:eastAsia="es-ES" w:bidi="es-ES"/>
              </w:rPr>
              <w:t xml:space="preserve">establecidos por el ordenamiento </w:t>
            </w:r>
            <w:r w:rsidR="5387EB35" w:rsidRPr="6CCF4ABA">
              <w:rPr>
                <w:rFonts w:ascii="Verdana" w:eastAsia="Calibri" w:hAnsi="Verdana" w:cs="Arial"/>
                <w:color w:val="000000" w:themeColor="text1"/>
                <w:lang w:val="es-ES" w:eastAsia="es-ES" w:bidi="es-ES"/>
              </w:rPr>
              <w:t>legal</w:t>
            </w:r>
            <w:r w:rsidRPr="2046F149">
              <w:rPr>
                <w:rFonts w:ascii="Verdana" w:eastAsia="Calibri" w:hAnsi="Verdana" w:cs="Arial"/>
                <w:color w:val="000000" w:themeColor="text1"/>
                <w:lang w:val="es-ES" w:eastAsia="es-ES"/>
              </w:rPr>
              <w:t>, con fundamento en los estudios realizados en la fase de planeación.</w:t>
            </w:r>
          </w:p>
          <w:p w14:paraId="0CC4777E" w14:textId="77777777" w:rsidR="00DA2A88" w:rsidRDefault="00DA2A88" w:rsidP="00F977DF">
            <w:pPr>
              <w:spacing w:before="120" w:after="120" w:line="276" w:lineRule="auto"/>
              <w:ind w:firstLine="709"/>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bidi="es-ES"/>
              </w:rPr>
              <w:t>Sin perjuicio de lo anterior,</w:t>
            </w:r>
            <w:r w:rsidRPr="00A277EA">
              <w:rPr>
                <w:rFonts w:ascii="Verdana" w:eastAsia="Calibri" w:hAnsi="Verdana" w:cs="Arial"/>
                <w:color w:val="000000"/>
                <w:lang w:val="es-ES" w:eastAsia="es-ES_tradnl"/>
              </w:rPr>
              <w:t xml:space="preserve"> puede ocurrir que surja la necesidad de efectuar correcciones, aclaraciones o modificaciones </w:t>
            </w:r>
            <w:r>
              <w:rPr>
                <w:rFonts w:ascii="Verdana" w:eastAsia="Calibri" w:hAnsi="Verdana" w:cs="Arial"/>
                <w:color w:val="000000"/>
                <w:lang w:val="es-ES" w:eastAsia="es-ES_tradnl"/>
              </w:rPr>
              <w:t>a la invitación</w:t>
            </w:r>
            <w:r w:rsidRPr="00A277EA">
              <w:rPr>
                <w:rFonts w:ascii="Verdana" w:eastAsia="Calibri" w:hAnsi="Verdana" w:cs="Arial"/>
                <w:color w:val="000000"/>
                <w:lang w:val="es-ES" w:eastAsia="es-ES_tradnl"/>
              </w:rPr>
              <w:t>, bien sea porque las mismas tienen origen en necesidades identificadas por la entidad contratante o como consecuencia de observaciones realizadas por los interesados en el procedimiento de selección</w:t>
            </w:r>
            <w:r>
              <w:rPr>
                <w:rFonts w:ascii="Verdana" w:eastAsia="Calibri" w:hAnsi="Verdana" w:cs="Arial"/>
                <w:color w:val="000000"/>
                <w:lang w:val="es-ES" w:eastAsia="es-ES_tradnl"/>
              </w:rPr>
              <w:t xml:space="preserve"> a través de las adendas.</w:t>
            </w:r>
          </w:p>
          <w:p w14:paraId="6828D651" w14:textId="77777777" w:rsidR="00DA2A88" w:rsidRPr="00A277EA" w:rsidRDefault="00DA2A88" w:rsidP="00F977DF">
            <w:pPr>
              <w:spacing w:after="120" w:line="276" w:lineRule="auto"/>
              <w:ind w:firstLine="708"/>
              <w:jc w:val="both"/>
              <w:rPr>
                <w:rFonts w:ascii="Verdana" w:eastAsia="Arial" w:hAnsi="Verdana" w:cs="Arial"/>
                <w:lang w:eastAsia="es-ES" w:bidi="es-ES"/>
              </w:rPr>
            </w:pPr>
            <w:r w:rsidRPr="00DF6552">
              <w:rPr>
                <w:rFonts w:ascii="Verdana" w:eastAsia="Calibri" w:hAnsi="Verdana" w:cs="Arial"/>
                <w:color w:val="000000"/>
                <w:lang w:val="es-ES" w:eastAsia="es-ES_tradnl"/>
              </w:rPr>
              <w:t xml:space="preserve">El artículo </w:t>
            </w:r>
            <w:r w:rsidRPr="00DF6552">
              <w:rPr>
                <w:rFonts w:ascii="Verdana" w:eastAsia="Calibri" w:hAnsi="Verdana" w:cs="Arial"/>
                <w:lang w:val="es-ES"/>
              </w:rPr>
              <w:t xml:space="preserve">2.2.1.1.2.2.1 del Decreto 1082 de 2015 diferencia dos tipos de ajustes que pueden generar la expedición de adendas: </w:t>
            </w:r>
            <w:r w:rsidRPr="00DF6552">
              <w:rPr>
                <w:rFonts w:ascii="Verdana" w:eastAsia="Calibri" w:hAnsi="Verdana" w:cs="Arial"/>
              </w:rPr>
              <w:t>i</w:t>
            </w:r>
            <w:r w:rsidRPr="00A277EA">
              <w:rPr>
                <w:rFonts w:ascii="Verdana" w:eastAsia="Calibri" w:hAnsi="Verdana" w:cs="Arial"/>
              </w:rPr>
              <w:t xml:space="preserve">) los referidos a las condiciones técnicas, jurídicas y económicas del pliego definitivo y, en general, a cualquier contenido distinto del cronograma del procedimiento de selección y </w:t>
            </w:r>
            <w:proofErr w:type="spellStart"/>
            <w:r w:rsidRPr="00A277EA">
              <w:rPr>
                <w:rFonts w:ascii="Verdana" w:eastAsia="Calibri" w:hAnsi="Verdana" w:cs="Arial"/>
              </w:rPr>
              <w:t>ii</w:t>
            </w:r>
            <w:proofErr w:type="spellEnd"/>
            <w:r w:rsidRPr="00A277EA">
              <w:rPr>
                <w:rFonts w:ascii="Verdana" w:eastAsia="Calibri" w:hAnsi="Verdana" w:cs="Arial"/>
              </w:rPr>
              <w:t xml:space="preserve">)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A277EA">
              <w:rPr>
                <w:rFonts w:ascii="Verdana" w:eastAsia="Calibri" w:hAnsi="Verdana" w:cs="Arial"/>
                <w:lang w:val="es-ES"/>
              </w:rPr>
              <w:t xml:space="preserve">2.2.1.1.2.2.1. </w:t>
            </w:r>
            <w:r w:rsidRPr="00A277EA">
              <w:rPr>
                <w:rFonts w:ascii="Verdana" w:eastAsia="Arial" w:hAnsi="Verdana" w:cs="Arial"/>
                <w:lang w:val="es-ES" w:eastAsia="es-ES" w:bidi="es-ES"/>
              </w:rPr>
              <w:t>del D</w:t>
            </w:r>
            <w:proofErr w:type="spellStart"/>
            <w:r w:rsidRPr="00A277EA">
              <w:rPr>
                <w:rFonts w:ascii="Verdana" w:eastAsia="Arial" w:hAnsi="Verdana" w:cs="Arial"/>
                <w:lang w:eastAsia="es-ES" w:bidi="es-ES"/>
              </w:rPr>
              <w:t>ecreto</w:t>
            </w:r>
            <w:proofErr w:type="spellEnd"/>
            <w:r w:rsidRPr="00A277EA">
              <w:rPr>
                <w:rFonts w:ascii="Verdana" w:eastAsia="Arial" w:hAnsi="Verdana" w:cs="Arial"/>
                <w:lang w:eastAsia="es-ES" w:bidi="es-ES"/>
              </w:rPr>
              <w:t xml:space="preserve"> 1082 de 2015. De este modo</w:t>
            </w:r>
            <w:r w:rsidRPr="00A277EA">
              <w:rPr>
                <w:rFonts w:ascii="Verdana" w:eastAsia="Calibri" w:hAnsi="Verdana" w:cs="Arial"/>
                <w:lang w:eastAsia="es-CO"/>
              </w:rPr>
              <w:t xml:space="preserve">, tanto para la licitación pública, como para los demás procedimientos de selección de contratistas, las normas legales y reglamentarias prevén la posibilidad de modificar los pliegos de condiciones mediante </w:t>
            </w:r>
            <w:r w:rsidRPr="00A277EA">
              <w:rPr>
                <w:rFonts w:ascii="Verdana" w:eastAsia="Calibri" w:hAnsi="Verdana" w:cs="Arial"/>
                <w:i/>
                <w:iCs/>
                <w:lang w:eastAsia="es-CO"/>
              </w:rPr>
              <w:t>adendas</w:t>
            </w:r>
            <w:r w:rsidRPr="00A277EA">
              <w:rPr>
                <w:rFonts w:ascii="Verdana" w:eastAsia="Calibri" w:hAnsi="Verdana" w:cs="Arial"/>
                <w:lang w:eastAsia="es-CO"/>
              </w:rPr>
              <w:t xml:space="preserve">. </w:t>
            </w:r>
          </w:p>
          <w:p w14:paraId="01B2CE73" w14:textId="0D14E814" w:rsidR="00DA2A88" w:rsidRPr="00A277EA" w:rsidRDefault="00DA2A88" w:rsidP="00F977DF">
            <w:pPr>
              <w:widowControl w:val="0"/>
              <w:autoSpaceDE w:val="0"/>
              <w:autoSpaceDN w:val="0"/>
              <w:spacing w:after="120" w:line="276" w:lineRule="auto"/>
              <w:ind w:right="103" w:firstLine="708"/>
              <w:jc w:val="both"/>
              <w:rPr>
                <w:rFonts w:ascii="Verdana" w:hAnsi="Verdana" w:cs="Arial"/>
                <w:color w:val="000000" w:themeColor="text1"/>
              </w:rPr>
            </w:pPr>
            <w:r w:rsidRPr="2046F149">
              <w:rPr>
                <w:rFonts w:ascii="Verdana" w:eastAsia="Calibri" w:hAnsi="Verdana" w:cs="Arial"/>
                <w:color w:val="000000" w:themeColor="text1"/>
                <w:lang w:val="es-ES" w:eastAsia="es-ES"/>
              </w:rPr>
              <w:t xml:space="preserve"> </w:t>
            </w:r>
            <w:r>
              <w:rPr>
                <w:rFonts w:ascii="Verdana" w:hAnsi="Verdana" w:cs="Arial"/>
                <w:color w:val="000000" w:themeColor="text1"/>
              </w:rPr>
              <w:t xml:space="preserve">Empero, es deber de la entidad estatal dar cumplimiento al contenido </w:t>
            </w:r>
            <w:r>
              <w:rPr>
                <w:rFonts w:ascii="Verdana" w:hAnsi="Verdana" w:cs="Arial"/>
                <w:color w:val="000000" w:themeColor="text1"/>
              </w:rPr>
              <w:lastRenderedPageBreak/>
              <w:t xml:space="preserve">de la invitación del proceso de selección en la modalidad de mínima cuantía, así como el procedimiento y cronograma definido de acuerdo con lo dispuesto en el artículo </w:t>
            </w:r>
            <w:r>
              <w:rPr>
                <w:rFonts w:ascii="Verdana" w:hAnsi="Verdana" w:cs="Arial"/>
              </w:rPr>
              <w:t xml:space="preserve">2.2.1.2.1.5.2 del Decreto 1082 de 2015. Adicionalmente es importante resaltar que los términos definidos en la invitación resultan perentorios y de obligatorio cumplimiento, y </w:t>
            </w:r>
            <w:r w:rsidR="28700AD3" w:rsidRPr="2046F149">
              <w:rPr>
                <w:rFonts w:ascii="Verdana" w:hAnsi="Verdana" w:cs="Arial"/>
              </w:rPr>
              <w:t>su</w:t>
            </w:r>
            <w:r w:rsidRPr="2046F149">
              <w:rPr>
                <w:rFonts w:ascii="Verdana" w:hAnsi="Verdana" w:cs="Arial"/>
              </w:rPr>
              <w:t xml:space="preserve"> </w:t>
            </w:r>
            <w:r>
              <w:rPr>
                <w:rFonts w:ascii="Verdana" w:hAnsi="Verdana" w:cs="Arial"/>
              </w:rPr>
              <w:t xml:space="preserve">desconocimiento afectaría la aplicación y garantía de los principios de contratación estatal, en especial el principio de transparencia y de responsabilidad definidos en el artículo 24 numerales 2, 3, 7 y 8 así como el artículo 26 numerales 1 y 2. </w:t>
            </w:r>
            <w:r>
              <w:rPr>
                <w:rFonts w:ascii="Verdana" w:hAnsi="Verdana" w:cs="Arial"/>
                <w:color w:val="000000" w:themeColor="text1"/>
              </w:rPr>
              <w:t>Adicionalmente resulta necesario recordar que de acuerdo con lo establecido en el numeral 8 del artículo 24 de la Ley 80 de 1993 “</w:t>
            </w:r>
            <w:r w:rsidRPr="00A767E9">
              <w:rPr>
                <w:rFonts w:ascii="Verdana" w:hAnsi="Verdana" w:cs="Arial"/>
                <w:color w:val="000000" w:themeColor="text1"/>
              </w:rPr>
              <w:t>Las autoridades no actuarán con desviación o abuso de poder y ejercerán sus competencias exclusivamente para los fines previstos en la ley. Igualmente, les será prohibido eludir los procedimientos de selección objetiva y los demás requisitos previstos en el presente estatuto</w:t>
            </w:r>
            <w:r>
              <w:rPr>
                <w:rFonts w:ascii="Verdana" w:hAnsi="Verdana" w:cs="Arial"/>
                <w:color w:val="000000" w:themeColor="text1"/>
              </w:rPr>
              <w:t>”</w:t>
            </w:r>
            <w:r w:rsidRPr="00A767E9">
              <w:rPr>
                <w:rFonts w:ascii="Verdana" w:hAnsi="Verdana" w:cs="Arial"/>
                <w:color w:val="000000" w:themeColor="text1"/>
              </w:rPr>
              <w:t>. </w:t>
            </w:r>
          </w:p>
          <w:p w14:paraId="43A6D045" w14:textId="77777777" w:rsidR="00DA2A88" w:rsidRPr="00592094" w:rsidRDefault="00DA2A88" w:rsidP="00F977DF">
            <w:pPr>
              <w:spacing w:line="276" w:lineRule="auto"/>
              <w:ind w:firstLine="709"/>
              <w:jc w:val="both"/>
              <w:rPr>
                <w:rFonts w:ascii="Verdana" w:hAnsi="Verdana" w:cs="Arial"/>
                <w:color w:val="000000" w:themeColor="text1"/>
              </w:rPr>
            </w:pPr>
            <w:r>
              <w:rPr>
                <w:rFonts w:ascii="Verdana" w:hAnsi="Verdana" w:cs="Arial"/>
                <w:color w:val="000000" w:themeColor="text1"/>
              </w:rPr>
              <w:t>De acuerdo con lo anterior,</w:t>
            </w:r>
            <w:r w:rsidRPr="00A277EA">
              <w:rPr>
                <w:rFonts w:ascii="Verdana" w:hAnsi="Verdana" w:cs="Arial"/>
                <w:color w:val="000000" w:themeColor="text1"/>
              </w:rPr>
              <w:t> debe advertirse que el análisis requerido para calificar conductas con presunta incidencia disciplinaria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r>
              <w:rPr>
                <w:rFonts w:ascii="Verdana" w:hAnsi="Verdana" w:cs="Arial"/>
                <w:color w:val="000000" w:themeColor="text1"/>
              </w:rPr>
              <w:t>.</w:t>
            </w:r>
          </w:p>
        </w:tc>
      </w:tr>
    </w:tbl>
    <w:p w14:paraId="56544ED7" w14:textId="77777777" w:rsidR="00DA2A88" w:rsidRPr="00FF007A" w:rsidRDefault="00DA2A88" w:rsidP="00DA2A88">
      <w:pPr>
        <w:tabs>
          <w:tab w:val="left" w:pos="142"/>
          <w:tab w:val="left" w:pos="284"/>
        </w:tabs>
        <w:spacing w:after="0" w:line="276" w:lineRule="auto"/>
        <w:jc w:val="both"/>
        <w:rPr>
          <w:rFonts w:ascii="Verdana" w:eastAsia="Century Gothic" w:hAnsi="Verdana" w:cs="Century Gothic"/>
          <w:b/>
          <w:bCs/>
        </w:rPr>
      </w:pPr>
    </w:p>
    <w:p w14:paraId="7B61640B" w14:textId="77777777" w:rsidR="00DA2A88" w:rsidRPr="00FF007A" w:rsidRDefault="00DA2A88" w:rsidP="00DA2A88">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6248074F" w14:textId="77777777" w:rsidR="00DA2A88" w:rsidRPr="00FF007A" w:rsidRDefault="00DA2A88" w:rsidP="00DA2A88">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04D51B9" w14:textId="77777777" w:rsidR="00DA2A88" w:rsidRDefault="00DA2A88" w:rsidP="00DA2A88">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3144C887" w14:textId="77777777" w:rsidR="00DA2A88" w:rsidRPr="002167F7" w:rsidRDefault="00DA2A88" w:rsidP="00DA2A88">
      <w:pPr>
        <w:spacing w:before="120" w:after="120" w:line="276" w:lineRule="auto"/>
        <w:ind w:right="49" w:firstLine="708"/>
        <w:jc w:val="both"/>
        <w:rPr>
          <w:rFonts w:ascii="Verdana" w:eastAsia="Calibri" w:hAnsi="Verdana" w:cs="Arial"/>
          <w:color w:val="000000" w:themeColor="text1"/>
          <w:lang w:val="es-ES"/>
        </w:rPr>
      </w:pPr>
      <w:r>
        <w:rPr>
          <w:rFonts w:ascii="Verdana" w:eastAsia="Times New Roman" w:hAnsi="Verdana" w:cs="Arial"/>
          <w:lang w:val="es-ES" w:eastAsia="es-MX"/>
        </w:rPr>
        <w:t>E</w:t>
      </w:r>
      <w:r w:rsidRPr="002167F7">
        <w:rPr>
          <w:rFonts w:ascii="Verdana" w:eastAsia="Times New Roman" w:hAnsi="Verdana" w:cs="Arial"/>
          <w:lang w:val="es-ES" w:eastAsia="es-MX"/>
        </w:rPr>
        <w:t>l artículo 2 de la Ley 1150 de 2007 establece las modalidades de selección aplicables a las entidades sometidas al EGCAP, indicando que la escogencia del contratista se efectuará por regla general bajo la modalidad de licitación pública, con las excepciones que señalan los numerales 2, 3 y 4 de dicho artículo. En efecto, las Entidades Estatales deben adelantar su</w:t>
      </w:r>
      <w:r>
        <w:rPr>
          <w:rFonts w:ascii="Verdana" w:eastAsia="Times New Roman" w:hAnsi="Verdana" w:cs="Arial"/>
          <w:lang w:val="es-ES" w:eastAsia="es-MX"/>
        </w:rPr>
        <w:t>s</w:t>
      </w:r>
      <w:r w:rsidRPr="002167F7">
        <w:rPr>
          <w:rFonts w:ascii="Verdana" w:eastAsia="Times New Roman" w:hAnsi="Verdana" w:cs="Arial"/>
          <w:lang w:val="es-ES" w:eastAsia="es-MX"/>
        </w:rPr>
        <w:t xml:space="preserve"> procesos de contratación, por regla general, mediante la modalidad de licitación pública. De esta forma, salvo que se configure alguno de los supuestos que la norma establece para que sea procedente un procedimiento distinto, la entidad deberá adelantar su contratación mediante dicha modalidad de selección. </w:t>
      </w:r>
    </w:p>
    <w:p w14:paraId="36CD9DDD" w14:textId="77777777" w:rsidR="00DA2A88" w:rsidRDefault="00DA2A88" w:rsidP="00DA2A88">
      <w:pPr>
        <w:spacing w:after="120" w:line="276" w:lineRule="auto"/>
        <w:ind w:firstLine="709"/>
        <w:jc w:val="both"/>
        <w:rPr>
          <w:rFonts w:ascii="Verdana" w:hAnsi="Verdana" w:cs="Arial"/>
          <w:lang w:val="es-ES"/>
        </w:rPr>
      </w:pPr>
      <w:r>
        <w:rPr>
          <w:rFonts w:ascii="Verdana" w:hAnsi="Verdana" w:cs="Arial"/>
          <w:lang w:val="es-ES"/>
        </w:rPr>
        <w:lastRenderedPageBreak/>
        <w:t>L</w:t>
      </w:r>
      <w:r w:rsidRPr="002167F7">
        <w:rPr>
          <w:rFonts w:ascii="Verdana" w:hAnsi="Verdana" w:cs="Arial"/>
          <w:lang w:val="es-ES"/>
        </w:rPr>
        <w:t xml:space="preserve">a </w:t>
      </w:r>
      <w:r w:rsidRPr="002167F7">
        <w:rPr>
          <w:rFonts w:ascii="Verdana" w:hAnsi="Verdana" w:cs="Arial"/>
          <w:i/>
          <w:iCs/>
          <w:lang w:val="es-ES"/>
        </w:rPr>
        <w:t>mínima cuantía</w:t>
      </w:r>
      <w:r w:rsidRPr="002167F7">
        <w:rPr>
          <w:rFonts w:ascii="Verdana" w:hAnsi="Verdana" w:cs="Arial"/>
          <w:lang w:val="es-ES"/>
        </w:rPr>
        <w:t xml:space="preserve"> </w:t>
      </w:r>
      <w:r>
        <w:rPr>
          <w:rFonts w:ascii="Verdana" w:hAnsi="Verdana" w:cs="Arial"/>
          <w:lang w:val="es-ES"/>
        </w:rPr>
        <w:t>es una modalidad de selección en virtud de la cual la entidad realiza una convocatoria pública para recibir oferta de bienes, obras o servicios, cuyo valor</w:t>
      </w:r>
      <w:r w:rsidRPr="002167F7">
        <w:rPr>
          <w:rFonts w:ascii="Verdana" w:hAnsi="Verdana" w:cs="Arial"/>
          <w:lang w:val="es-ES"/>
        </w:rPr>
        <w:t xml:space="preserve"> no exceda el diez por ciento (10%) de la menor cuantía de la Entidad Estatal. Es decir, que </w:t>
      </w:r>
      <w:r>
        <w:rPr>
          <w:rFonts w:ascii="Verdana" w:hAnsi="Verdana" w:cs="Arial"/>
          <w:lang w:val="es-ES"/>
        </w:rPr>
        <w:t xml:space="preserve">será procedente </w:t>
      </w:r>
      <w:r w:rsidRPr="002167F7">
        <w:rPr>
          <w:rFonts w:ascii="Verdana" w:hAnsi="Verdana" w:cs="Arial"/>
          <w:lang w:val="es-ES"/>
        </w:rPr>
        <w:t xml:space="preserve">cuando se cumpla este requisito, independientemente del objeto a contratar. </w:t>
      </w:r>
      <w:r>
        <w:rPr>
          <w:rFonts w:ascii="Verdana" w:hAnsi="Verdana" w:cs="Arial"/>
          <w:lang w:val="es-ES"/>
        </w:rPr>
        <w:t>E</w:t>
      </w:r>
      <w:r w:rsidRPr="002167F7">
        <w:rPr>
          <w:rFonts w:ascii="Verdana" w:hAnsi="Verdana" w:cs="Arial"/>
          <w:lang w:val="es-ES"/>
        </w:rPr>
        <w:t xml:space="preserve">sta modalidad establece un procedimiento expedito y competitivo </w:t>
      </w:r>
      <w:r>
        <w:rPr>
          <w:rFonts w:ascii="Verdana" w:hAnsi="Verdana" w:cs="Arial"/>
          <w:lang w:val="es-ES"/>
        </w:rPr>
        <w:t xml:space="preserve">que se rige por lo dispuesto </w:t>
      </w:r>
      <w:r w:rsidRPr="002167F7">
        <w:rPr>
          <w:rFonts w:ascii="Verdana" w:hAnsi="Verdana" w:cs="Arial"/>
          <w:lang w:val="es-ES"/>
        </w:rPr>
        <w:t xml:space="preserve">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092DFFB4" w14:textId="2746FA50" w:rsidR="00DA2A88" w:rsidRPr="00D67821" w:rsidRDefault="00DA2A88" w:rsidP="00DA2A88">
      <w:pPr>
        <w:spacing w:after="120" w:line="276" w:lineRule="auto"/>
        <w:ind w:firstLine="709"/>
        <w:jc w:val="both"/>
        <w:rPr>
          <w:rFonts w:ascii="Verdana" w:eastAsia="Calibri" w:hAnsi="Verdana" w:cs="Arial"/>
          <w:color w:val="000000"/>
          <w:lang w:val="es-ES" w:eastAsia="es-ES"/>
        </w:rPr>
      </w:pPr>
      <w:r>
        <w:rPr>
          <w:rFonts w:ascii="Verdana" w:hAnsi="Verdana" w:cs="Arial"/>
        </w:rPr>
        <w:t xml:space="preserve">El contenido de la invitación está definido en el artículo 2.2.1.2.1.5.2 del Decreto 1082 de 2015, por lo que debe entenderse que </w:t>
      </w:r>
      <w:r w:rsidRPr="2046F149">
        <w:rPr>
          <w:rFonts w:ascii="Verdana" w:eastAsia="Calibri" w:hAnsi="Verdana" w:cs="Arial"/>
          <w:color w:val="000000"/>
          <w:lang w:val="es-ES" w:eastAsia="es-ES"/>
        </w:rPr>
        <w:t>constituye la hoja de ruta o plan</w:t>
      </w:r>
      <w:r w:rsidRPr="2046F149">
        <w:rPr>
          <w:rFonts w:ascii="Verdana" w:eastAsia="Calibri" w:hAnsi="Verdana" w:cs="Arial"/>
          <w:color w:val="000000"/>
          <w:vertAlign w:val="superscript"/>
          <w:lang w:val="es-ES" w:eastAsia="es-ES"/>
        </w:rPr>
        <w:footnoteReference w:id="1"/>
      </w:r>
      <w:r w:rsidRPr="2046F149">
        <w:rPr>
          <w:rFonts w:ascii="Verdana" w:eastAsia="Calibri" w:hAnsi="Verdana" w:cs="Arial"/>
          <w:color w:val="000000"/>
          <w:lang w:val="es-ES" w:eastAsia="es-ES"/>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2046F149">
        <w:rPr>
          <w:rFonts w:ascii="Verdana" w:eastAsia="Calibri" w:hAnsi="Verdana" w:cs="Arial"/>
          <w:color w:val="000000"/>
          <w:vertAlign w:val="superscript"/>
          <w:lang w:val="es-ES" w:eastAsia="es-ES"/>
        </w:rPr>
        <w:footnoteReference w:id="2"/>
      </w:r>
      <w:r w:rsidRPr="2046F149">
        <w:rPr>
          <w:rFonts w:ascii="Verdana" w:eastAsia="Calibri" w:hAnsi="Verdana" w:cs="Arial"/>
          <w:color w:val="000000"/>
          <w:lang w:val="es-ES" w:eastAsia="es-ES"/>
        </w:rPr>
        <w:t>. En este sentido, en el marco de su discrecionalidad</w:t>
      </w:r>
      <w:r w:rsidR="44E59442" w:rsidRPr="2046F149">
        <w:rPr>
          <w:rFonts w:ascii="Verdana" w:eastAsia="Calibri" w:hAnsi="Verdana" w:cs="Arial"/>
          <w:color w:val="000000"/>
          <w:lang w:val="es-ES" w:eastAsia="es-ES"/>
        </w:rPr>
        <w:t xml:space="preserve"> y del imperio de la ley</w:t>
      </w:r>
      <w:r w:rsidRPr="2046F149">
        <w:rPr>
          <w:rFonts w:ascii="Verdana" w:eastAsia="Calibri" w:hAnsi="Verdana" w:cs="Arial"/>
          <w:color w:val="000000"/>
          <w:lang w:val="es-ES" w:eastAsia="es-ES"/>
        </w:rPr>
        <w:t>, cada entidad debe establecer la forma cómo se estructura el pliego de condiciones, el cual está condicionado a la proporcionalidad de las decisiones que toma en aras de garantizar la pluralidad de oferentes y la selección objetiva</w:t>
      </w:r>
      <w:r w:rsidRPr="2046F149">
        <w:rPr>
          <w:rFonts w:ascii="Verdana" w:eastAsia="Calibri" w:hAnsi="Verdana" w:cs="Arial"/>
          <w:color w:val="000000"/>
          <w:lang w:eastAsia="es-ES"/>
        </w:rPr>
        <w:t>.</w:t>
      </w:r>
    </w:p>
    <w:p w14:paraId="44B75CC1" w14:textId="77777777" w:rsidR="00DA2A88" w:rsidRPr="002379AA" w:rsidRDefault="00DA2A88" w:rsidP="00DA2A88">
      <w:pPr>
        <w:spacing w:after="120" w:line="276" w:lineRule="auto"/>
        <w:ind w:firstLine="709"/>
        <w:jc w:val="both"/>
        <w:rPr>
          <w:rFonts w:ascii="Verdana" w:hAnsi="Verdana" w:cs="Arial"/>
        </w:rPr>
      </w:pPr>
      <w:r w:rsidRPr="00A277EA">
        <w:rPr>
          <w:rFonts w:ascii="Verdana" w:eastAsia="Calibri" w:hAnsi="Verdana" w:cs="Arial"/>
          <w:color w:val="000000"/>
          <w:lang w:val="es-ES" w:eastAsia="es-ES_tradnl"/>
        </w:rPr>
        <w:t xml:space="preserve">De este modo, el pliego de condiciones </w:t>
      </w:r>
      <w:r>
        <w:rPr>
          <w:rFonts w:ascii="Verdana" w:eastAsia="Calibri" w:hAnsi="Verdana" w:cs="Arial"/>
          <w:color w:val="000000"/>
          <w:lang w:val="es-ES" w:eastAsia="es-ES_tradnl"/>
        </w:rPr>
        <w:t xml:space="preserve">o la invitación en los procesos de selección de mínima cuantía </w:t>
      </w:r>
      <w:r w:rsidRPr="00A277EA">
        <w:rPr>
          <w:rFonts w:ascii="Verdana" w:eastAsia="Calibri" w:hAnsi="Verdana" w:cs="Arial"/>
          <w:color w:val="000000"/>
          <w:lang w:val="es-ES" w:eastAsia="es-ES_tradnl"/>
        </w:rPr>
        <w:t xml:space="preserve">es un instrumento en el cual se materializa el principio de transparencia, pues </w:t>
      </w:r>
      <w:r>
        <w:rPr>
          <w:rFonts w:ascii="Verdana" w:eastAsia="Calibri" w:hAnsi="Verdana" w:cs="Arial"/>
          <w:color w:val="000000"/>
          <w:lang w:val="es-ES" w:eastAsia="es-ES_tradnl"/>
        </w:rPr>
        <w:t xml:space="preserve">allí </w:t>
      </w:r>
      <w:r w:rsidRPr="00A277EA">
        <w:rPr>
          <w:rFonts w:ascii="Verdana" w:eastAsia="Calibri" w:hAnsi="Verdana" w:cs="Arial"/>
          <w:color w:val="000000"/>
          <w:lang w:val="es-ES" w:eastAsia="es-ES_tradnl"/>
        </w:rPr>
        <w:t xml:space="preserve">se fijan las reglas de escogencia del contratista del Estado, para la selección objetiva de la mejor oferta, la adjudicación y la posterior celebración y ejecución del contrato, lo cual lo convierte en una reglamentación de todo el </w:t>
      </w:r>
      <w:proofErr w:type="spellStart"/>
      <w:r w:rsidRPr="00A277EA">
        <w:rPr>
          <w:rFonts w:ascii="Verdana" w:eastAsia="Calibri" w:hAnsi="Verdana" w:cs="Arial"/>
          <w:i/>
          <w:iCs/>
          <w:color w:val="000000"/>
          <w:lang w:val="es-ES" w:eastAsia="es-ES_tradnl"/>
        </w:rPr>
        <w:t>iter</w:t>
      </w:r>
      <w:proofErr w:type="spellEnd"/>
      <w:r w:rsidRPr="00A277EA">
        <w:rPr>
          <w:rFonts w:ascii="Verdana" w:eastAsia="Calibri" w:hAnsi="Verdana" w:cs="Arial"/>
          <w:color w:val="000000"/>
          <w:lang w:val="es-ES" w:eastAsia="es-ES_tradnl"/>
        </w:rPr>
        <w:t xml:space="preserve"> contractual. </w:t>
      </w:r>
      <w:r>
        <w:rPr>
          <w:rFonts w:ascii="Verdana" w:eastAsia="Calibri" w:hAnsi="Verdana" w:cs="Arial"/>
          <w:color w:val="000000"/>
          <w:lang w:val="es-ES" w:eastAsia="es-ES_tradnl"/>
        </w:rPr>
        <w:t xml:space="preserve">En otras palabras, </w:t>
      </w:r>
      <w:r w:rsidRPr="002379AA">
        <w:rPr>
          <w:rFonts w:ascii="Verdana" w:hAnsi="Verdana" w:cs="Arial"/>
        </w:rPr>
        <w:t xml:space="preserve">es el documento en el que se establecen las normas que van a regular la etapa </w:t>
      </w:r>
      <w:r w:rsidRPr="002379AA">
        <w:rPr>
          <w:rFonts w:ascii="Verdana" w:hAnsi="Verdana" w:cs="Arial"/>
        </w:rPr>
        <w:lastRenderedPageBreak/>
        <w:t>selección, a las que deberán sujetarse la administración y los oferentes a efectos de lograr una selección objetiva</w:t>
      </w:r>
      <w:r w:rsidRPr="002379AA">
        <w:rPr>
          <w:rFonts w:ascii="Verdana" w:hAnsi="Verdana" w:cs="Arial"/>
          <w:vertAlign w:val="superscript"/>
        </w:rPr>
        <w:footnoteReference w:id="3"/>
      </w:r>
      <w:r w:rsidRPr="002379AA">
        <w:rPr>
          <w:rFonts w:ascii="Verdana" w:hAnsi="Verdana" w:cs="Arial"/>
        </w:rPr>
        <w:t>.</w:t>
      </w:r>
    </w:p>
    <w:p w14:paraId="496E3313" w14:textId="77777777" w:rsidR="00DA2A88" w:rsidRDefault="00DA2A88" w:rsidP="00DA2A88">
      <w:pPr>
        <w:spacing w:after="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Su contenido</w:t>
      </w:r>
      <w:r w:rsidRPr="00A277EA">
        <w:rPr>
          <w:rFonts w:ascii="Verdana" w:eastAsia="Calibri" w:hAnsi="Verdana" w:cs="Arial"/>
          <w:color w:val="000000"/>
          <w:vertAlign w:val="superscript"/>
          <w:lang w:val="es-ES" w:eastAsia="es-ES_tradnl"/>
        </w:rPr>
        <w:footnoteReference w:id="4"/>
      </w:r>
      <w:r w:rsidRPr="00A277EA">
        <w:rPr>
          <w:rFonts w:ascii="Verdana" w:eastAsia="Calibri" w:hAnsi="Verdana" w:cs="Arial"/>
          <w:color w:val="000000"/>
          <w:lang w:val="es-ES" w:eastAsia="es-ES_tradnl"/>
        </w:rPr>
        <w:t xml:space="preserve"> está previsto en el numeral 5 del artículo 24 de la Ley 80 de 1993, que establece algunas directrices que deben tenerse en cuenta en su elaboración</w:t>
      </w:r>
      <w:r>
        <w:rPr>
          <w:rStyle w:val="Refdenotaalpie"/>
          <w:rFonts w:ascii="Verdana" w:eastAsia="Calibri" w:hAnsi="Verdana" w:cs="Arial"/>
          <w:color w:val="000000"/>
          <w:lang w:val="es-ES" w:eastAsia="es-ES_tradnl"/>
        </w:rPr>
        <w:footnoteReference w:id="5"/>
      </w:r>
      <w:r>
        <w:rPr>
          <w:rFonts w:ascii="Verdana" w:eastAsia="Calibri" w:hAnsi="Verdana" w:cs="Arial"/>
          <w:color w:val="000000"/>
          <w:lang w:val="es-ES" w:eastAsia="es-ES_tradnl"/>
        </w:rPr>
        <w:t>.</w:t>
      </w:r>
    </w:p>
    <w:p w14:paraId="23AA4D60" w14:textId="77777777" w:rsidR="00DA2A88" w:rsidRDefault="00DA2A88" w:rsidP="00DA2A88">
      <w:pPr>
        <w:spacing w:after="0" w:line="240" w:lineRule="auto"/>
        <w:ind w:firstLine="709"/>
        <w:jc w:val="both"/>
        <w:rPr>
          <w:rFonts w:ascii="Verdana" w:eastAsia="Calibri" w:hAnsi="Verdana" w:cs="Arial"/>
          <w:color w:val="000000"/>
          <w:lang w:val="es-ES" w:eastAsia="es-ES_tradnl"/>
        </w:rPr>
      </w:pPr>
    </w:p>
    <w:p w14:paraId="54F5F687" w14:textId="0A345D25" w:rsidR="00037CDD" w:rsidRDefault="00DA2A88" w:rsidP="00411D4E">
      <w:pPr>
        <w:spacing w:after="0" w:line="276" w:lineRule="auto"/>
        <w:ind w:firstLine="708"/>
        <w:jc w:val="both"/>
        <w:rPr>
          <w:rFonts w:ascii="Verdana" w:eastAsia="Calibri" w:hAnsi="Verdana" w:cs="Arial"/>
          <w:color w:val="000000"/>
          <w:lang w:val="es-ES" w:eastAsia="es-ES"/>
        </w:rPr>
      </w:pPr>
      <w:r w:rsidRPr="6CCF4ABA">
        <w:rPr>
          <w:rFonts w:ascii="Verdana" w:eastAsia="Calibri" w:hAnsi="Verdana" w:cs="Arial"/>
          <w:color w:val="000000"/>
          <w:lang w:val="es-ES" w:eastAsia="es-ES"/>
        </w:rPr>
        <w:t xml:space="preserve">De conformidad con lo anterior, resulta claro que las entidades estatales, en virtud de la autonomía de la voluntad y de la amplia discrecionalidad que se les reconoce, tienen la facultad de configurar las reglas y exigencias de los pliegos de condiciones o de la invitación de manera libre, dentro de los parámetros y límites </w:t>
      </w:r>
      <w:r w:rsidRPr="6CCF4ABA">
        <w:rPr>
          <w:rFonts w:ascii="Verdana" w:eastAsia="Calibri" w:hAnsi="Verdana" w:cs="Arial"/>
          <w:color w:val="000000"/>
          <w:lang w:val="es-ES" w:eastAsia="es-ES" w:bidi="es-ES"/>
        </w:rPr>
        <w:t xml:space="preserve">establecidos por el ordenamiento </w:t>
      </w:r>
      <w:r w:rsidR="00DF6552" w:rsidRPr="6CCF4ABA">
        <w:rPr>
          <w:rFonts w:ascii="Verdana" w:eastAsia="Calibri" w:hAnsi="Verdana" w:cs="Arial"/>
          <w:color w:val="000000"/>
          <w:lang w:val="es-ES" w:eastAsia="es-ES" w:bidi="es-ES"/>
        </w:rPr>
        <w:t>legal</w:t>
      </w:r>
      <w:r w:rsidRPr="6CCF4ABA">
        <w:rPr>
          <w:rFonts w:ascii="Verdana" w:eastAsia="Calibri" w:hAnsi="Verdana" w:cs="Arial"/>
          <w:color w:val="000000"/>
          <w:vertAlign w:val="superscript"/>
          <w:lang w:val="es-ES" w:eastAsia="es-ES" w:bidi="es-ES"/>
        </w:rPr>
        <w:footnoteReference w:id="6"/>
      </w:r>
      <w:r w:rsidRPr="6CCF4ABA">
        <w:rPr>
          <w:rFonts w:ascii="Verdana" w:eastAsia="Calibri" w:hAnsi="Verdana" w:cs="Arial"/>
          <w:color w:val="000000"/>
          <w:lang w:val="es-ES" w:eastAsia="es-ES"/>
        </w:rPr>
        <w:t>, con fundamento en los estudios realizados en la fase de planeación</w:t>
      </w:r>
      <w:r w:rsidRPr="6CCF4ABA">
        <w:rPr>
          <w:rFonts w:ascii="Verdana" w:eastAsia="Calibri" w:hAnsi="Verdana" w:cs="Arial"/>
          <w:color w:val="000000"/>
          <w:vertAlign w:val="superscript"/>
          <w:lang w:val="es-ES" w:eastAsia="es-ES"/>
        </w:rPr>
        <w:footnoteReference w:id="7"/>
      </w:r>
      <w:r w:rsidRPr="6CCF4ABA">
        <w:rPr>
          <w:rFonts w:ascii="Verdana" w:eastAsia="Calibri" w:hAnsi="Verdana" w:cs="Arial"/>
          <w:color w:val="000000"/>
          <w:lang w:val="es-ES" w:eastAsia="es-ES"/>
        </w:rPr>
        <w:t>. Además, tienen la carga de elaborarlos de manera idónea, objetiva, clara, precisa y completa, tal como se deduce de la disposición citada.</w:t>
      </w:r>
    </w:p>
    <w:p w14:paraId="6550E16F" w14:textId="56DF70C4" w:rsidR="00DA2A88" w:rsidRDefault="00DA2A88" w:rsidP="00FC1084">
      <w:pPr>
        <w:spacing w:after="0" w:line="276" w:lineRule="auto"/>
        <w:ind w:firstLine="709"/>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bidi="es-ES"/>
        </w:rPr>
        <w:lastRenderedPageBreak/>
        <w:t>Sin perjuicio de lo anterior,</w:t>
      </w:r>
      <w:r w:rsidRPr="00A277EA">
        <w:rPr>
          <w:rFonts w:ascii="Verdana" w:eastAsia="Calibri" w:hAnsi="Verdana" w:cs="Arial"/>
          <w:color w:val="000000"/>
          <w:lang w:val="es-ES" w:eastAsia="es-ES_tradnl"/>
        </w:rPr>
        <w:t xml:space="preserve"> puede ocurrir que surja la necesidad de efectuar correcciones, aclaraciones o modificaciones </w:t>
      </w:r>
      <w:r>
        <w:rPr>
          <w:rFonts w:ascii="Verdana" w:eastAsia="Calibri" w:hAnsi="Verdana" w:cs="Arial"/>
          <w:color w:val="000000"/>
          <w:lang w:val="es-ES" w:eastAsia="es-ES_tradnl"/>
        </w:rPr>
        <w:t>a la invitación</w:t>
      </w:r>
      <w:r w:rsidRPr="00A277EA">
        <w:rPr>
          <w:rFonts w:ascii="Verdana" w:eastAsia="Calibri" w:hAnsi="Verdana" w:cs="Arial"/>
          <w:color w:val="000000"/>
          <w:lang w:val="es-ES" w:eastAsia="es-ES_tradnl"/>
        </w:rPr>
        <w:t>, bien sea porque las mismas tienen origen en necesidades identificadas por la entidad contratante o como consecuencia de observaciones realizadas por los interesados en el procedimiento de selección. De esta manera, pese a la planeación previa y el cumplimiento de las disposiciones normativas aplicables, es posible que sea necesario modificar el pliego de condiciones</w:t>
      </w:r>
      <w:r>
        <w:rPr>
          <w:rFonts w:ascii="Verdana" w:eastAsia="Calibri" w:hAnsi="Verdana" w:cs="Arial"/>
          <w:color w:val="000000"/>
          <w:lang w:val="es-ES" w:eastAsia="es-ES_tradnl"/>
        </w:rPr>
        <w:t xml:space="preserve"> o la invitación</w:t>
      </w:r>
      <w:r w:rsidRPr="00A277EA">
        <w:rPr>
          <w:rFonts w:ascii="Verdana" w:eastAsia="Calibri" w:hAnsi="Verdana" w:cs="Arial"/>
          <w:color w:val="000000"/>
          <w:lang w:val="es-ES" w:eastAsia="es-ES_tradnl"/>
        </w:rPr>
        <w:t>.</w:t>
      </w:r>
    </w:p>
    <w:p w14:paraId="6AE54F7D" w14:textId="77777777" w:rsidR="00DA2A88" w:rsidRPr="00A277EA" w:rsidRDefault="00DA2A88" w:rsidP="00DA2A88">
      <w:pPr>
        <w:spacing w:after="0" w:line="240" w:lineRule="auto"/>
        <w:ind w:firstLine="709"/>
        <w:jc w:val="both"/>
        <w:rPr>
          <w:rFonts w:ascii="Verdana" w:eastAsia="Calibri" w:hAnsi="Verdana" w:cs="Arial"/>
          <w:color w:val="000000"/>
          <w:lang w:val="es-ES" w:eastAsia="es-ES_tradnl"/>
        </w:rPr>
      </w:pPr>
    </w:p>
    <w:p w14:paraId="7A276B63" w14:textId="77777777" w:rsidR="00DA2A88" w:rsidRPr="00A277EA" w:rsidRDefault="00DA2A88" w:rsidP="00DA2A88">
      <w:pPr>
        <w:spacing w:after="120" w:line="276" w:lineRule="auto"/>
        <w:ind w:firstLine="708"/>
        <w:jc w:val="both"/>
        <w:rPr>
          <w:rFonts w:ascii="Verdana" w:eastAsia="Calibri" w:hAnsi="Verdana" w:cs="Arial"/>
          <w:i/>
          <w:color w:val="000000"/>
          <w:lang w:val="es-ES" w:eastAsia="es-ES_tradnl"/>
        </w:rPr>
      </w:pPr>
      <w:r w:rsidRPr="00A277EA">
        <w:rPr>
          <w:rFonts w:ascii="Verdana" w:eastAsia="Calibri" w:hAnsi="Verdana" w:cs="Arial"/>
          <w:color w:val="000000"/>
          <w:lang w:val="es-ES" w:eastAsia="es-ES_tradnl"/>
        </w:rPr>
        <w:t>Así, una vez publicados los pliegos de condiciones definitivos</w:t>
      </w:r>
      <w:r>
        <w:rPr>
          <w:rFonts w:ascii="Verdana" w:eastAsia="Calibri" w:hAnsi="Verdana" w:cs="Arial"/>
          <w:color w:val="000000"/>
          <w:lang w:val="es-ES" w:eastAsia="es-ES_tradnl"/>
        </w:rPr>
        <w:t xml:space="preserve"> o la invitación</w:t>
      </w:r>
      <w:r w:rsidRPr="00A277EA">
        <w:rPr>
          <w:rFonts w:ascii="Verdana" w:eastAsia="Calibri" w:hAnsi="Verdana" w:cs="Arial"/>
          <w:color w:val="000000"/>
          <w:lang w:val="es-ES" w:eastAsia="es-ES_tradnl"/>
        </w:rPr>
        <w:t xml:space="preserve">,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A277EA">
        <w:rPr>
          <w:rFonts w:ascii="Verdana" w:eastAsia="Calibri" w:hAnsi="Verdana" w:cs="Arial"/>
          <w:i/>
          <w:iCs/>
          <w:color w:val="000000"/>
          <w:lang w:val="es-ES" w:eastAsia="es-ES_tradnl"/>
        </w:rPr>
        <w:t>adendas</w:t>
      </w:r>
      <w:r w:rsidRPr="00A277EA">
        <w:rPr>
          <w:rFonts w:ascii="Verdana" w:eastAsia="Calibri" w:hAnsi="Verdana" w:cs="Arial"/>
          <w:i/>
          <w:color w:val="000000"/>
          <w:lang w:val="es-ES" w:eastAsia="es-ES_tradnl"/>
        </w:rPr>
        <w:t xml:space="preserve">. </w:t>
      </w:r>
    </w:p>
    <w:p w14:paraId="554FB444" w14:textId="77777777" w:rsidR="00DA2A88" w:rsidRPr="00A277EA" w:rsidRDefault="00DA2A88" w:rsidP="00DA2A88">
      <w:pPr>
        <w:spacing w:after="120" w:line="276" w:lineRule="auto"/>
        <w:ind w:firstLine="709"/>
        <w:jc w:val="both"/>
        <w:rPr>
          <w:rFonts w:ascii="Verdana" w:eastAsia="Calibri" w:hAnsi="Verdana" w:cs="Arial"/>
          <w:color w:val="000000"/>
          <w:lang w:val="es-ES" w:eastAsia="es-ES_tradnl"/>
        </w:rPr>
      </w:pPr>
      <w:r w:rsidRPr="00A277EA">
        <w:rPr>
          <w:rFonts w:ascii="Verdana" w:eastAsia="Calibri" w:hAnsi="Verdana" w:cs="Arial"/>
          <w:iCs/>
          <w:color w:val="000000"/>
          <w:lang w:val="es-ES" w:eastAsia="es-ES_tradnl"/>
        </w:rPr>
        <w:t>C</w:t>
      </w:r>
      <w:r w:rsidRPr="00A277EA">
        <w:rPr>
          <w:rFonts w:ascii="Verdana" w:eastAsia="Calibri" w:hAnsi="Verdana" w:cs="Arial"/>
          <w:color w:val="000000"/>
          <w:lang w:val="es-ES" w:eastAsia="es-ES_tradnl"/>
        </w:rPr>
        <w:t xml:space="preserve">omo lo ha reconocido la jurisprudencia del Consejo de Estado, dichas modificaciones pueden realizarse por medio de cualquier otro documento que contenga la manifestación de voluntad de la entidad de aclarar, añadir, adicionar, reemplazar o cambiar un aspecto o condición incluida en los documentos del procedimiento de contratación, con independencia de que dicho documento sea titulado o rotulado como </w:t>
      </w:r>
      <w:r w:rsidRPr="00A277EA">
        <w:rPr>
          <w:rFonts w:ascii="Verdana" w:eastAsia="Calibri" w:hAnsi="Verdana" w:cs="Arial"/>
          <w:i/>
          <w:iCs/>
          <w:color w:val="000000"/>
          <w:lang w:val="es-ES" w:eastAsia="es-ES_tradnl"/>
        </w:rPr>
        <w:t>adenda</w:t>
      </w:r>
      <w:r w:rsidRPr="00A277EA">
        <w:rPr>
          <w:rFonts w:ascii="Verdana" w:eastAsia="Calibri" w:hAnsi="Verdana" w:cs="Arial"/>
          <w:color w:val="000000"/>
          <w:lang w:val="es-ES" w:eastAsia="es-ES_tradnl"/>
        </w:rPr>
        <w:t xml:space="preserve">, </w:t>
      </w:r>
      <w:r w:rsidRPr="00A277EA">
        <w:rPr>
          <w:rFonts w:ascii="Verdana" w:eastAsia="Calibri" w:hAnsi="Verdana" w:cs="Arial"/>
          <w:color w:val="000000"/>
          <w:lang w:val="es-ES" w:eastAsia="es-ES_tradnl" w:bidi="es-ES"/>
        </w:rPr>
        <w:t>siempre que mediante dicho documento se modifiquen los pliegos de condiciones</w:t>
      </w:r>
      <w:r w:rsidRPr="00A277EA">
        <w:rPr>
          <w:rFonts w:ascii="Verdana" w:eastAsia="Calibri" w:hAnsi="Verdana" w:cs="Arial"/>
          <w:color w:val="000000"/>
          <w:vertAlign w:val="superscript"/>
          <w:lang w:val="es-ES" w:eastAsia="es-ES_tradnl"/>
        </w:rPr>
        <w:footnoteReference w:id="8"/>
      </w:r>
      <w:r w:rsidRPr="00A277EA">
        <w:rPr>
          <w:rFonts w:ascii="Verdana" w:eastAsia="Calibri" w:hAnsi="Verdana" w:cs="Arial"/>
          <w:color w:val="000000"/>
          <w:lang w:val="es-ES" w:eastAsia="es-ES_tradnl"/>
        </w:rPr>
        <w:t>.</w:t>
      </w:r>
      <w:r w:rsidRPr="00A277EA">
        <w:rPr>
          <w:rFonts w:ascii="Verdana" w:eastAsia="Arial" w:hAnsi="Verdana" w:cs="Arial"/>
          <w:lang w:eastAsia="es-ES" w:bidi="es-ES"/>
        </w:rPr>
        <w:t xml:space="preserve"> </w:t>
      </w:r>
    </w:p>
    <w:p w14:paraId="00F573D3" w14:textId="3446CAE3" w:rsidR="00DA2A88" w:rsidRPr="00A277EA" w:rsidRDefault="00DA2A88" w:rsidP="00DA2A88">
      <w:pPr>
        <w:widowControl w:val="0"/>
        <w:autoSpaceDE w:val="0"/>
        <w:autoSpaceDN w:val="0"/>
        <w:spacing w:before="1" w:after="0" w:line="276" w:lineRule="auto"/>
        <w:ind w:right="108" w:firstLine="709"/>
        <w:jc w:val="both"/>
        <w:rPr>
          <w:rFonts w:ascii="Verdana" w:eastAsia="Arial" w:hAnsi="Verdana" w:cs="Arial"/>
          <w:lang w:val="es-ES" w:eastAsia="es-ES" w:bidi="es-ES"/>
        </w:rPr>
      </w:pPr>
      <w:r w:rsidRPr="00A277EA">
        <w:rPr>
          <w:rFonts w:ascii="Verdana" w:eastAsia="Arial" w:hAnsi="Verdana" w:cs="Arial"/>
          <w:lang w:val="es-ES" w:eastAsia="es-ES" w:bidi="es-ES"/>
        </w:rPr>
        <w:lastRenderedPageBreak/>
        <w:t>De acuerdo con lo anterior, en relación con las adendas resulta necesario acudir al artículo 30, numeral 5, de la Ley 80 de 1993 –modificado por el artículo 89 de la Ley 1474 de 2011–, que dispone:</w:t>
      </w:r>
    </w:p>
    <w:p w14:paraId="31C69A8D" w14:textId="77777777" w:rsidR="00FC1084" w:rsidRDefault="00FC1084" w:rsidP="00FC1084">
      <w:pPr>
        <w:widowControl w:val="0"/>
        <w:autoSpaceDE w:val="0"/>
        <w:autoSpaceDN w:val="0"/>
        <w:spacing w:after="0" w:line="240" w:lineRule="auto"/>
        <w:ind w:left="709" w:right="646"/>
        <w:jc w:val="both"/>
        <w:rPr>
          <w:rFonts w:ascii="Verdana" w:eastAsia="Arial" w:hAnsi="Verdana" w:cs="Arial"/>
          <w:sz w:val="20"/>
          <w:szCs w:val="20"/>
          <w:lang w:val="es-ES" w:eastAsia="es-ES" w:bidi="es-ES"/>
        </w:rPr>
      </w:pPr>
    </w:p>
    <w:p w14:paraId="6369050C" w14:textId="7BEC42AB" w:rsidR="00DA2A88" w:rsidRPr="00A277EA" w:rsidRDefault="00DA2A88" w:rsidP="00DA2A88">
      <w:pPr>
        <w:widowControl w:val="0"/>
        <w:autoSpaceDE w:val="0"/>
        <w:autoSpaceDN w:val="0"/>
        <w:spacing w:before="1" w:after="240" w:line="240" w:lineRule="auto"/>
        <w:ind w:left="708" w:right="644"/>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A277EA">
        <w:rPr>
          <w:rFonts w:ascii="Verdana" w:eastAsia="Arial" w:hAnsi="Verdana" w:cs="Arial"/>
          <w:sz w:val="20"/>
          <w:szCs w:val="20"/>
          <w:lang w:val="es-ES" w:eastAsia="es-ES" w:bidi="es-ES"/>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4EF37B52" w14:textId="77777777" w:rsidR="00DA2A88" w:rsidRPr="00A277EA" w:rsidRDefault="00DA2A88" w:rsidP="00DA2A88">
      <w:pPr>
        <w:widowControl w:val="0"/>
        <w:autoSpaceDE w:val="0"/>
        <w:autoSpaceDN w:val="0"/>
        <w:spacing w:after="0" w:line="240" w:lineRule="auto"/>
        <w:ind w:left="709" w:right="646"/>
        <w:jc w:val="both"/>
        <w:rPr>
          <w:rFonts w:ascii="Verdana" w:eastAsia="Arial" w:hAnsi="Verdana" w:cs="Arial"/>
          <w:sz w:val="20"/>
          <w:szCs w:val="20"/>
          <w:lang w:val="es-ES" w:eastAsia="es-ES" w:bidi="es-ES"/>
        </w:rPr>
      </w:pPr>
      <w:r w:rsidRPr="00A277EA">
        <w:rPr>
          <w:rFonts w:ascii="Verdana" w:eastAsia="Arial" w:hAnsi="Verdana" w:cs="Arial"/>
          <w:sz w:val="20"/>
          <w:szCs w:val="20"/>
          <w:lang w:val="es-ES" w:eastAsia="es-ES" w:bidi="es-ES"/>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A277EA">
        <w:rPr>
          <w:rFonts w:ascii="Verdana" w:eastAsia="Arial" w:hAnsi="Verdana" w:cs="Arial"/>
          <w:sz w:val="20"/>
          <w:szCs w:val="20"/>
          <w:lang w:val="es-ES" w:eastAsia="es-ES" w:bidi="es-ES"/>
        </w:rPr>
        <w:t>del mismo</w:t>
      </w:r>
      <w:proofErr w:type="gramEnd"/>
      <w:r w:rsidRPr="00A277EA">
        <w:rPr>
          <w:rFonts w:ascii="Verdana" w:eastAsia="Arial" w:hAnsi="Verdana" w:cs="Arial"/>
          <w:sz w:val="20"/>
          <w:szCs w:val="20"/>
          <w:lang w:val="es-ES" w:eastAsia="es-ES" w:bidi="es-ES"/>
        </w:rPr>
        <w:t>. La publicación de estas adendas sólo se podrá realizar en días hábiles y horarios laborales.</w:t>
      </w:r>
    </w:p>
    <w:p w14:paraId="6DCED58C" w14:textId="77777777" w:rsidR="00DA2A88" w:rsidRPr="00A277EA" w:rsidRDefault="00DA2A88" w:rsidP="00DA2A88">
      <w:pPr>
        <w:widowControl w:val="0"/>
        <w:autoSpaceDE w:val="0"/>
        <w:autoSpaceDN w:val="0"/>
        <w:spacing w:after="0" w:line="276" w:lineRule="auto"/>
        <w:ind w:right="102" w:firstLine="709"/>
        <w:jc w:val="both"/>
        <w:rPr>
          <w:rFonts w:ascii="Verdana" w:eastAsia="Arial" w:hAnsi="Verdana" w:cs="Arial"/>
          <w:lang w:val="es-ES" w:eastAsia="es-ES" w:bidi="es-ES"/>
        </w:rPr>
      </w:pPr>
    </w:p>
    <w:p w14:paraId="32E3571E" w14:textId="77777777" w:rsidR="00DA2A88" w:rsidRPr="00A277EA" w:rsidRDefault="00DA2A88" w:rsidP="00DA2A88">
      <w:pPr>
        <w:widowControl w:val="0"/>
        <w:autoSpaceDE w:val="0"/>
        <w:autoSpaceDN w:val="0"/>
        <w:spacing w:after="0" w:line="276" w:lineRule="auto"/>
        <w:ind w:firstLine="709"/>
        <w:jc w:val="both"/>
        <w:rPr>
          <w:rFonts w:ascii="Verdana" w:eastAsia="Arial" w:hAnsi="Verdana" w:cs="Arial"/>
          <w:lang w:val="es-ES" w:eastAsia="es-ES" w:bidi="es-ES"/>
        </w:rPr>
      </w:pPr>
      <w:r w:rsidRPr="00A277EA">
        <w:rPr>
          <w:rFonts w:ascii="Verdana" w:eastAsia="Arial" w:hAnsi="Verdana" w:cs="Arial"/>
          <w:lang w:val="es-ES" w:eastAsia="es-ES" w:bidi="es-ES"/>
        </w:rPr>
        <w:t>En armonía con la disposición anterior, el artículo 2.2.1.1.2.2.1. del Decreto 1082 de 2015, establece:</w:t>
      </w:r>
    </w:p>
    <w:p w14:paraId="5691EC18" w14:textId="77777777" w:rsidR="00DA2A88" w:rsidRPr="00A277EA" w:rsidRDefault="00DA2A88" w:rsidP="00DA2A88">
      <w:pPr>
        <w:spacing w:after="0" w:line="240" w:lineRule="auto"/>
        <w:jc w:val="both"/>
        <w:textAlignment w:val="baseline"/>
        <w:rPr>
          <w:rFonts w:ascii="Verdana" w:eastAsia="Calibri" w:hAnsi="Verdana" w:cs="Segoe UI"/>
          <w:sz w:val="18"/>
          <w:szCs w:val="18"/>
          <w:lang w:val="es-ES" w:eastAsia="es-CO"/>
        </w:rPr>
      </w:pPr>
      <w:r w:rsidRPr="00A277EA">
        <w:rPr>
          <w:rFonts w:ascii="Verdana" w:eastAsia="Calibri" w:hAnsi="Verdana" w:cs="Arial"/>
          <w:sz w:val="20"/>
          <w:szCs w:val="20"/>
          <w:lang w:val="es-ES" w:eastAsia="es-CO"/>
        </w:rPr>
        <w:t> </w:t>
      </w:r>
    </w:p>
    <w:p w14:paraId="371B3886" w14:textId="77777777" w:rsidR="00DA2A88" w:rsidRPr="00A277EA" w:rsidRDefault="00DA2A88" w:rsidP="00DA2A88">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Artículo 2.2.1.1.2.2.1. Modificación de los pliegos de condiciones. La Entidad Estatal puede modificar los pliegos de condiciones a través de Adendas expedidas antes del vencimiento del plazo para presentar ofertas. </w:t>
      </w:r>
    </w:p>
    <w:p w14:paraId="2A54446C" w14:textId="77777777" w:rsidR="00DA2A88" w:rsidRPr="00A277EA" w:rsidRDefault="00DA2A88" w:rsidP="00DA2A88">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 </w:t>
      </w:r>
    </w:p>
    <w:p w14:paraId="7DD1B19B" w14:textId="77777777" w:rsidR="00DA2A88" w:rsidRPr="00A277EA" w:rsidRDefault="00DA2A88" w:rsidP="00DA2A88">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sz w:val="20"/>
          <w:szCs w:val="20"/>
          <w:lang w:val="es-ES"/>
        </w:rPr>
        <w:t>La Entidad Estatal puede expedir Adendas para modificar el Cronograma una vez vencido el término para la presentación de las ofertas y antes de la adjudicación del contrato. </w:t>
      </w:r>
    </w:p>
    <w:p w14:paraId="7097875C" w14:textId="77777777" w:rsidR="00DA2A88" w:rsidRPr="00A277EA" w:rsidRDefault="00DA2A88" w:rsidP="00DA2A88">
      <w:pPr>
        <w:spacing w:after="0" w:line="240" w:lineRule="auto"/>
        <w:ind w:right="709"/>
        <w:jc w:val="both"/>
        <w:textAlignment w:val="baseline"/>
        <w:rPr>
          <w:rFonts w:ascii="Verdana" w:eastAsia="Calibri" w:hAnsi="Verdana" w:cs="Arial"/>
          <w:sz w:val="20"/>
          <w:szCs w:val="20"/>
          <w:lang w:val="es-ES"/>
        </w:rPr>
      </w:pPr>
    </w:p>
    <w:p w14:paraId="0030BE99" w14:textId="77777777" w:rsidR="00DA2A88" w:rsidRPr="00A277EA" w:rsidRDefault="00DA2A88" w:rsidP="00DA2A88">
      <w:pPr>
        <w:spacing w:after="0" w:line="240" w:lineRule="auto"/>
        <w:ind w:left="709" w:right="709"/>
        <w:jc w:val="both"/>
        <w:textAlignment w:val="baseline"/>
        <w:rPr>
          <w:rFonts w:ascii="Verdana" w:eastAsia="Calibri" w:hAnsi="Verdana" w:cs="Arial"/>
          <w:sz w:val="20"/>
          <w:szCs w:val="20"/>
          <w:lang w:val="es-ES"/>
        </w:rPr>
      </w:pPr>
      <w:r w:rsidRPr="00A277EA">
        <w:rPr>
          <w:rFonts w:ascii="Verdana" w:eastAsia="Calibri" w:hAnsi="Verdana" w:cs="Arial"/>
          <w:i/>
          <w:iCs/>
          <w:sz w:val="20"/>
          <w:szCs w:val="20"/>
          <w:lang w:val="es-ES"/>
        </w:rPr>
        <w:t xml:space="preserve">La Entidad Estatal debe publicar las Adendas en los días hábiles, entre las 7:00 a. m. y las 7:00 p. m., a más tardar el día hábil anterior al vencimiento del plazo para presentar ofertas a la hora fijada para tal </w:t>
      </w:r>
      <w:r w:rsidRPr="00A277EA">
        <w:rPr>
          <w:rFonts w:ascii="Verdana" w:eastAsia="Calibri" w:hAnsi="Verdana" w:cs="Arial"/>
          <w:i/>
          <w:iCs/>
          <w:sz w:val="20"/>
          <w:szCs w:val="20"/>
          <w:lang w:val="es-ES"/>
        </w:rPr>
        <w:lastRenderedPageBreak/>
        <w:t>presentación, salvo en la licitación pública pues de conformidad con la ley la publicación debe hacerse con tres (3) días de anticipación</w:t>
      </w:r>
      <w:r w:rsidRPr="00A277EA">
        <w:rPr>
          <w:rFonts w:ascii="Verdana" w:eastAsia="Calibri" w:hAnsi="Verdana" w:cs="Arial"/>
          <w:sz w:val="20"/>
          <w:szCs w:val="20"/>
          <w:lang w:val="es-ES"/>
        </w:rPr>
        <w:t xml:space="preserve"> (Cursiva fuera del original).</w:t>
      </w:r>
    </w:p>
    <w:p w14:paraId="690CB5E4" w14:textId="77777777" w:rsidR="00DA2A88" w:rsidRPr="00A277EA" w:rsidRDefault="00DA2A88" w:rsidP="00DA2A88">
      <w:pPr>
        <w:spacing w:after="0" w:line="240" w:lineRule="auto"/>
        <w:jc w:val="both"/>
        <w:textAlignment w:val="baseline"/>
        <w:rPr>
          <w:rFonts w:ascii="Verdana" w:eastAsia="Calibri" w:hAnsi="Verdana" w:cs="Arial"/>
          <w:lang w:val="es-ES"/>
        </w:rPr>
      </w:pPr>
      <w:r w:rsidRPr="00A277EA">
        <w:rPr>
          <w:rFonts w:ascii="Verdana" w:eastAsia="Calibri" w:hAnsi="Verdana" w:cs="Times New Roman"/>
          <w:lang w:val="es-ES"/>
        </w:rPr>
        <w:t> </w:t>
      </w:r>
    </w:p>
    <w:p w14:paraId="27AAE285" w14:textId="77777777" w:rsidR="00DA2A88" w:rsidRPr="00A277EA" w:rsidRDefault="00DA2A88" w:rsidP="00DA2A88">
      <w:pPr>
        <w:spacing w:after="120" w:line="276" w:lineRule="auto"/>
        <w:ind w:firstLine="708"/>
        <w:jc w:val="both"/>
        <w:rPr>
          <w:rFonts w:ascii="Verdana" w:eastAsia="Arial" w:hAnsi="Verdana" w:cs="Arial"/>
          <w:lang w:eastAsia="es-ES" w:bidi="es-ES"/>
        </w:rPr>
      </w:pPr>
      <w:r w:rsidRPr="00A277EA">
        <w:rPr>
          <w:rFonts w:ascii="Verdana" w:eastAsia="Calibri" w:hAnsi="Verdana" w:cs="Arial"/>
        </w:rPr>
        <w:t xml:space="preserve">La interpretación de esta norma supone diferenciar entre dos (2) tipos de ajustes que pueden generar la expedición de </w:t>
      </w:r>
      <w:bookmarkStart w:id="10" w:name="_Hlk113271930"/>
      <w:r w:rsidRPr="00A277EA">
        <w:rPr>
          <w:rFonts w:ascii="Verdana" w:eastAsia="Calibri" w:hAnsi="Verdana" w:cs="Arial"/>
        </w:rPr>
        <w:t>adendas: i) los referidos a las condiciones técnicas, jurídicas y económicas del pliego definitivo</w:t>
      </w:r>
      <w:bookmarkEnd w:id="10"/>
      <w:r w:rsidRPr="00A277EA">
        <w:rPr>
          <w:rFonts w:ascii="Verdana" w:eastAsia="Calibri" w:hAnsi="Verdana" w:cs="Arial"/>
        </w:rPr>
        <w:t xml:space="preserve"> y, en general, a cualquier contenido distinto del cronograma del procedimiento de selección y </w:t>
      </w:r>
      <w:proofErr w:type="spellStart"/>
      <w:r w:rsidRPr="00A277EA">
        <w:rPr>
          <w:rFonts w:ascii="Verdana" w:eastAsia="Calibri" w:hAnsi="Verdana" w:cs="Arial"/>
        </w:rPr>
        <w:t>ii</w:t>
      </w:r>
      <w:proofErr w:type="spellEnd"/>
      <w:r w:rsidRPr="00A277EA">
        <w:rPr>
          <w:rFonts w:ascii="Verdana" w:eastAsia="Calibri" w:hAnsi="Verdana" w:cs="Arial"/>
        </w:rPr>
        <w:t>)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w:t>
      </w:r>
      <w:r w:rsidRPr="00A277EA">
        <w:rPr>
          <w:rFonts w:ascii="Verdana" w:eastAsia="Calibri" w:hAnsi="Verdana" w:cs="Arial"/>
          <w:vertAlign w:val="superscript"/>
        </w:rPr>
        <w:footnoteReference w:id="9"/>
      </w:r>
      <w:r w:rsidRPr="00A277EA">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A277EA">
        <w:rPr>
          <w:rFonts w:ascii="Verdana" w:eastAsia="Calibri" w:hAnsi="Verdana" w:cs="Arial"/>
          <w:lang w:val="es-ES"/>
        </w:rPr>
        <w:t xml:space="preserve">2.2.1.1.2.2.1. </w:t>
      </w:r>
      <w:r w:rsidRPr="00A277EA">
        <w:rPr>
          <w:rFonts w:ascii="Verdana" w:eastAsia="Arial" w:hAnsi="Verdana" w:cs="Arial"/>
          <w:lang w:val="es-ES" w:eastAsia="es-ES" w:bidi="es-ES"/>
        </w:rPr>
        <w:t>del D</w:t>
      </w:r>
      <w:proofErr w:type="spellStart"/>
      <w:r w:rsidRPr="00A277EA">
        <w:rPr>
          <w:rFonts w:ascii="Verdana" w:eastAsia="Arial" w:hAnsi="Verdana" w:cs="Arial"/>
          <w:lang w:eastAsia="es-ES" w:bidi="es-ES"/>
        </w:rPr>
        <w:t>ecreto</w:t>
      </w:r>
      <w:proofErr w:type="spellEnd"/>
      <w:r w:rsidRPr="00A277EA">
        <w:rPr>
          <w:rFonts w:ascii="Verdana" w:eastAsia="Arial" w:hAnsi="Verdana" w:cs="Arial"/>
          <w:lang w:eastAsia="es-ES" w:bidi="es-ES"/>
        </w:rPr>
        <w:t xml:space="preserve"> 1082 de 2015. De este modo</w:t>
      </w:r>
      <w:r w:rsidRPr="00A277EA">
        <w:rPr>
          <w:rFonts w:ascii="Verdana" w:eastAsia="Calibri" w:hAnsi="Verdana" w:cs="Arial"/>
          <w:lang w:eastAsia="es-CO"/>
        </w:rPr>
        <w:t xml:space="preserve">, tanto para la licitación pública, como para los demás procedimientos de selección de contratistas, las normas legales y reglamentarias prevén la posibilidad de modificar los pliegos de condiciones mediante </w:t>
      </w:r>
      <w:r w:rsidRPr="00A277EA">
        <w:rPr>
          <w:rFonts w:ascii="Verdana" w:eastAsia="Calibri" w:hAnsi="Verdana" w:cs="Arial"/>
          <w:i/>
          <w:iCs/>
          <w:lang w:eastAsia="es-CO"/>
        </w:rPr>
        <w:t>adendas</w:t>
      </w:r>
      <w:r w:rsidRPr="00A277EA">
        <w:rPr>
          <w:rFonts w:ascii="Verdana" w:eastAsia="Calibri" w:hAnsi="Verdana" w:cs="Arial"/>
          <w:lang w:eastAsia="es-CO"/>
        </w:rPr>
        <w:t xml:space="preserve">. </w:t>
      </w:r>
      <w:bookmarkStart w:id="11" w:name="_Hlk113273292"/>
    </w:p>
    <w:p w14:paraId="61C0BF63" w14:textId="77777777" w:rsidR="00DA2A88" w:rsidRPr="004B284F" w:rsidRDefault="00DA2A88" w:rsidP="00DA2A88">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lang w:eastAsia="es-CO"/>
        </w:rPr>
        <w:t xml:space="preserve">Las normas prevén pues, dos límites temporales para la publicación de las adendas: i) tres (3) días hábiles antes del vencimiento del plazo para presentar ofertas para la licitación pública y </w:t>
      </w:r>
      <w:proofErr w:type="spellStart"/>
      <w:r w:rsidRPr="00A277EA">
        <w:rPr>
          <w:rFonts w:ascii="Verdana" w:eastAsia="Calibri" w:hAnsi="Verdana" w:cs="Arial"/>
          <w:lang w:eastAsia="es-CO"/>
        </w:rPr>
        <w:t>ii</w:t>
      </w:r>
      <w:proofErr w:type="spellEnd"/>
      <w:r w:rsidRPr="00A277EA">
        <w:rPr>
          <w:rFonts w:ascii="Verdana" w:eastAsia="Calibri" w:hAnsi="Verdana" w:cs="Arial"/>
          <w:lang w:eastAsia="es-CO"/>
        </w:rPr>
        <w:t xml:space="preserve">) un día hábil antes del vencimiento del plazo para presentar ofertas para las demás modalidades de selección. </w:t>
      </w:r>
      <w:bookmarkEnd w:id="11"/>
      <w:r w:rsidRPr="00A277EA">
        <w:rPr>
          <w:rFonts w:ascii="Verdana" w:eastAsia="Calibri" w:hAnsi="Verdana" w:cs="Arial"/>
          <w:lang w:eastAsia="es-CO"/>
        </w:rPr>
        <w:t xml:space="preserve">Por tanto, para los procesos que se adelantan mediante la modalidad de </w:t>
      </w:r>
      <w:r>
        <w:rPr>
          <w:rFonts w:ascii="Verdana" w:eastAsia="Calibri" w:hAnsi="Verdana" w:cs="Arial"/>
          <w:lang w:eastAsia="es-CO"/>
        </w:rPr>
        <w:t>mínima cuantía</w:t>
      </w:r>
      <w:r w:rsidRPr="00A277EA">
        <w:rPr>
          <w:rFonts w:ascii="Verdana" w:eastAsia="Calibri" w:hAnsi="Verdana" w:cs="Arial"/>
          <w:lang w:eastAsia="es-CO"/>
        </w:rPr>
        <w:t xml:space="preserve"> </w:t>
      </w:r>
      <w:r w:rsidRPr="00A277EA">
        <w:rPr>
          <w:rFonts w:ascii="Verdana" w:eastAsia="Calibri" w:hAnsi="Verdana" w:cs="Arial"/>
          <w:lang w:val="es-MX" w:eastAsia="es-CO"/>
        </w:rPr>
        <w:t xml:space="preserve">la entidad estatal debe respetar el término del artículo 2.2.1.1.2.2.1 y, por ende, solo puede expedir y publicar adendas que modifiquen </w:t>
      </w:r>
      <w:r w:rsidRPr="00A277EA">
        <w:rPr>
          <w:rFonts w:ascii="Verdana" w:eastAsia="Calibri" w:hAnsi="Verdana" w:cs="Arial"/>
        </w:rPr>
        <w:t>condiciones técnicas, jurídicas y económicas del pliego definitivo</w:t>
      </w:r>
      <w:r w:rsidRPr="00A277EA">
        <w:rPr>
          <w:rFonts w:ascii="Verdana" w:eastAsia="Calibri" w:hAnsi="Verdana" w:cs="Arial"/>
          <w:lang w:val="es-MX" w:eastAsia="es-CO"/>
        </w:rPr>
        <w:t xml:space="preserve"> </w:t>
      </w:r>
      <w:r>
        <w:rPr>
          <w:rFonts w:ascii="Verdana" w:eastAsia="Calibri" w:hAnsi="Verdana" w:cs="Arial"/>
          <w:lang w:val="es-MX" w:eastAsia="es-CO"/>
        </w:rPr>
        <w:t xml:space="preserve">o de la invitación </w:t>
      </w:r>
      <w:r w:rsidRPr="00A277EA">
        <w:rPr>
          <w:rFonts w:ascii="Verdana" w:eastAsia="Calibri" w:hAnsi="Verdana" w:cs="Arial"/>
          <w:lang w:val="es-MX" w:eastAsia="es-CO"/>
        </w:rPr>
        <w:t xml:space="preserve">a más tardar el día hábil anterior, hasta </w:t>
      </w:r>
      <w:r w:rsidRPr="00A277EA">
        <w:rPr>
          <w:rFonts w:ascii="Verdana" w:eastAsia="Calibri" w:hAnsi="Verdana" w:cs="Arial"/>
          <w:lang w:eastAsia="es-CO"/>
        </w:rPr>
        <w:t xml:space="preserve">la hora fijada para la presentación de las ofertas del día hábil siguiente –esto es, del cierre del proceso–. Además de lo anterior, de acuerdo con dicha disposición las adendas </w:t>
      </w:r>
      <w:r w:rsidRPr="00A277EA">
        <w:rPr>
          <w:rFonts w:ascii="Verdana" w:eastAsia="Calibri" w:hAnsi="Verdana" w:cs="Arial"/>
          <w:lang w:eastAsia="es-CO"/>
        </w:rPr>
        <w:lastRenderedPageBreak/>
        <w:t xml:space="preserve">deben publicarse en días hábiles, entre las 7:00 am y las 7:00 pm. </w:t>
      </w:r>
    </w:p>
    <w:p w14:paraId="3A7B2636" w14:textId="676729F6" w:rsidR="00DA2A88" w:rsidRPr="00A277EA" w:rsidRDefault="00DA2A88" w:rsidP="00DA2A88">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bCs/>
        </w:rPr>
        <w:t xml:space="preserve">De acuerdo con lo expuesto, el pliego de condiciones </w:t>
      </w:r>
      <w:r>
        <w:rPr>
          <w:rFonts w:ascii="Verdana" w:eastAsia="Calibri" w:hAnsi="Verdana" w:cs="Arial"/>
          <w:bCs/>
        </w:rPr>
        <w:t xml:space="preserve">o la invitación </w:t>
      </w:r>
      <w:r w:rsidRPr="00A277EA">
        <w:rPr>
          <w:rFonts w:ascii="Verdana" w:eastAsia="Calibri" w:hAnsi="Verdana" w:cs="Arial"/>
          <w:bCs/>
        </w:rPr>
        <w:t>es el núcleo esencial del proceso de contratación,</w:t>
      </w:r>
      <w:r w:rsidRPr="6CCF4ABA">
        <w:rPr>
          <w:rFonts w:ascii="Verdana" w:eastAsia="Calibri" w:hAnsi="Verdana" w:cs="Arial"/>
          <w:lang w:eastAsia="es-CO"/>
        </w:rPr>
        <w:t xml:space="preserve"> </w:t>
      </w:r>
      <w:r w:rsidRPr="00A277EA">
        <w:rPr>
          <w:rFonts w:ascii="Verdana" w:eastAsia="Calibri" w:hAnsi="Verdana" w:cs="Arial"/>
          <w:lang w:eastAsia="es-CO"/>
        </w:rPr>
        <w:t>tiene una vocación de ser un documento definitivo, en la medida en que su contenido proporciona seguridad jurídica a los agentes intervinientes en el proceso de selección. Sin embargo, al ser el documento que desarrolla las condiciones de participación y el contenido del contrato a suscribir puede suscitar dudas o presentar imprecisiones, por lo cual éstos pueden modificarse más adelante en el curso del proceso mediante adendas.</w:t>
      </w:r>
    </w:p>
    <w:p w14:paraId="2175B904" w14:textId="77777777" w:rsidR="00DA2A88" w:rsidRPr="00A277EA" w:rsidRDefault="00DA2A88" w:rsidP="00DA2A88">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Calibri" w:hAnsi="Verdana" w:cs="Arial"/>
          <w:lang w:eastAsia="es-CO"/>
        </w:rPr>
        <w:t xml:space="preserve">Sin perjuicio de esto, es preciso advertir que, las adendas solo pueden modificar aspectos de los pliegos </w:t>
      </w:r>
      <w:r>
        <w:rPr>
          <w:rFonts w:ascii="Verdana" w:eastAsia="Calibri" w:hAnsi="Verdana" w:cs="Arial"/>
          <w:lang w:eastAsia="es-CO"/>
        </w:rPr>
        <w:t xml:space="preserve">o en la invitación </w:t>
      </w:r>
      <w:r w:rsidRPr="00A277EA">
        <w:rPr>
          <w:rFonts w:ascii="Verdana" w:eastAsia="Calibri" w:hAnsi="Verdana" w:cs="Arial"/>
          <w:lang w:eastAsia="es-CO"/>
        </w:rPr>
        <w:t xml:space="preserve">que no sean sustanciales, lo que significa que pueden cambiar asuntos como el cronograma del proceso, o pueden abrir la posibilidad de que un material no previsto inicialmente sea utilizado en la elaboración de lo que la entidad requiere. En ese sentido, debe tenerse en cuenta que mediante adendas que </w:t>
      </w:r>
      <w:r w:rsidRPr="00A277EA">
        <w:rPr>
          <w:rFonts w:ascii="Verdana" w:eastAsia="Calibri" w:hAnsi="Verdana" w:cs="Arial"/>
          <w:bCs/>
          <w:lang w:eastAsia="es-CO"/>
        </w:rPr>
        <w:t xml:space="preserve">no se pueden cambiar asuntos sustanciales como </w:t>
      </w:r>
      <w:r>
        <w:rPr>
          <w:rFonts w:ascii="Verdana" w:eastAsia="Calibri" w:hAnsi="Verdana" w:cs="Arial"/>
          <w:bCs/>
          <w:lang w:eastAsia="es-CO"/>
        </w:rPr>
        <w:t>es</w:t>
      </w:r>
      <w:r w:rsidRPr="00A277EA">
        <w:rPr>
          <w:rFonts w:ascii="Verdana" w:eastAsia="Calibri" w:hAnsi="Verdana" w:cs="Arial"/>
          <w:bCs/>
          <w:lang w:eastAsia="es-CO"/>
        </w:rPr>
        <w:t xml:space="preserve"> el objeto del contrato, el mecanismo de selección y el presupuesto.</w:t>
      </w:r>
      <w:r w:rsidRPr="00A277EA">
        <w:rPr>
          <w:rFonts w:ascii="Verdana" w:eastAsia="Calibri" w:hAnsi="Verdana" w:cs="Arial"/>
          <w:lang w:eastAsia="es-CO"/>
        </w:rPr>
        <w:t xml:space="preserve"> Adicionalmente, las adendas además deben cumplir todos los requisitos de publicidad del pliego de condiciones</w:t>
      </w:r>
      <w:r>
        <w:rPr>
          <w:rFonts w:ascii="Verdana" w:eastAsia="Calibri" w:hAnsi="Verdana" w:cs="Arial"/>
          <w:lang w:eastAsia="es-CO"/>
        </w:rPr>
        <w:t xml:space="preserve"> o de la invitación</w:t>
      </w:r>
      <w:r w:rsidRPr="00A277EA">
        <w:rPr>
          <w:rFonts w:ascii="Verdana" w:eastAsia="Calibri" w:hAnsi="Verdana" w:cs="Arial"/>
          <w:lang w:eastAsia="es-CO"/>
        </w:rPr>
        <w:t xml:space="preserve">, ya que, para garantizar seguridad jurídica en el marco del proceso, las reglas no pueden variar a espaldas de los eventuales interesados. </w:t>
      </w:r>
    </w:p>
    <w:p w14:paraId="3C47884C" w14:textId="77777777" w:rsidR="00DA2A88" w:rsidRPr="00A277EA" w:rsidRDefault="00DA2A88" w:rsidP="00DA2A88">
      <w:pPr>
        <w:widowControl w:val="0"/>
        <w:autoSpaceDE w:val="0"/>
        <w:autoSpaceDN w:val="0"/>
        <w:spacing w:after="120" w:line="276" w:lineRule="auto"/>
        <w:ind w:right="103" w:firstLine="708"/>
        <w:jc w:val="both"/>
        <w:rPr>
          <w:rFonts w:ascii="Verdana" w:eastAsia="Arial" w:hAnsi="Verdana" w:cs="Arial"/>
          <w:lang w:eastAsia="es-ES" w:bidi="es-ES"/>
        </w:rPr>
      </w:pPr>
      <w:r w:rsidRPr="00A277EA">
        <w:rPr>
          <w:rFonts w:ascii="Verdana" w:eastAsia="Arial" w:hAnsi="Verdana" w:cs="Arial"/>
          <w:lang w:eastAsia="es-ES" w:bidi="es-ES"/>
        </w:rPr>
        <w:t xml:space="preserve">Sobre el asunto, el Consejo de Estado ha señalado que con </w:t>
      </w:r>
      <w:r w:rsidRPr="00A277EA">
        <w:rPr>
          <w:rFonts w:ascii="Verdana" w:eastAsia="Calibri" w:hAnsi="Verdana" w:cs="Arial"/>
          <w:lang w:eastAsia="es-CO"/>
        </w:rPr>
        <w:t>la finalidad de expedir reglas claras y precisas, la entidad con posterioridad a la publicación del proyecto de pliegos o el pliego de condiciones definitivo</w:t>
      </w:r>
      <w:r>
        <w:rPr>
          <w:rFonts w:ascii="Verdana" w:eastAsia="Calibri" w:hAnsi="Verdana" w:cs="Arial"/>
          <w:lang w:eastAsia="es-CO"/>
        </w:rPr>
        <w:t xml:space="preserve"> o de la invitación</w:t>
      </w:r>
      <w:r w:rsidRPr="00A277EA">
        <w:rPr>
          <w:rFonts w:ascii="Verdana" w:eastAsia="Calibri" w:hAnsi="Verdana" w:cs="Arial"/>
          <w:lang w:eastAsia="es-CO"/>
        </w:rPr>
        <w:t>, puede realizar modificaciones y aclaraciones que no afecten la esencia o sustancia del proceso de selección, siempre en pro de garantizar el correcto desarrollo del proceso de selección, y en consonancia de los principios de la función administrativa y los contenidos en la Ley 80 de 1993. Lo anterior además por cuanto, permitir la modificación por fuera de los límites temporales y materiales anteriormente descritos, abriría la puerta a la modificación incesante y con ello a la falta de claridad sobre la comprensión de las reglas del proceso, lo cual podría dar pie a la generación de yerros, que deban ser interpretados en contra la entidad, dada las reglas interpretativas que rigen los contratos</w:t>
      </w:r>
      <w:r w:rsidRPr="00A277EA">
        <w:rPr>
          <w:rFonts w:ascii="Verdana" w:eastAsia="Calibri" w:hAnsi="Verdana" w:cs="Arial"/>
          <w:vertAlign w:val="superscript"/>
          <w:lang w:eastAsia="es-CO"/>
        </w:rPr>
        <w:footnoteReference w:id="10"/>
      </w:r>
      <w:r w:rsidRPr="00A277EA">
        <w:rPr>
          <w:rFonts w:ascii="Verdana" w:eastAsia="Calibri" w:hAnsi="Verdana" w:cs="Arial"/>
          <w:lang w:eastAsia="es-CO"/>
        </w:rPr>
        <w:t>.</w:t>
      </w:r>
    </w:p>
    <w:p w14:paraId="1F44AE24" w14:textId="77777777" w:rsidR="00DA2A88" w:rsidRDefault="00DA2A88" w:rsidP="00DA2A88">
      <w:pPr>
        <w:widowControl w:val="0"/>
        <w:autoSpaceDE w:val="0"/>
        <w:autoSpaceDN w:val="0"/>
        <w:spacing w:after="120" w:line="276" w:lineRule="auto"/>
        <w:ind w:right="103" w:firstLine="708"/>
        <w:jc w:val="both"/>
        <w:rPr>
          <w:rFonts w:ascii="Verdana" w:hAnsi="Verdana" w:cs="Arial"/>
          <w:color w:val="000000" w:themeColor="text1"/>
        </w:rPr>
      </w:pPr>
      <w:r>
        <w:rPr>
          <w:rFonts w:ascii="Verdana" w:hAnsi="Verdana" w:cs="Arial"/>
          <w:bCs/>
          <w:color w:val="000000" w:themeColor="text1"/>
          <w:lang w:eastAsia="es-MX"/>
        </w:rPr>
        <w:lastRenderedPageBreak/>
        <w:t>De esta forma,</w:t>
      </w:r>
      <w:r w:rsidRPr="00A277EA">
        <w:rPr>
          <w:rFonts w:ascii="Verdana" w:hAnsi="Verdana" w:cs="Arial"/>
          <w:color w:val="000000" w:themeColor="text1"/>
        </w:rPr>
        <w:t xml:space="preserve"> si bien no es posible la utilización de adendas que permitan la modificación de ciertos aspectos dentro del proceso de selección, cuando se ha superado el término previsto en la legislación, esto no es impedimento, para que en el evento de presentarse circunstancias que no modifican sustancialmente las características del proceso, se pueda acudir a la figura del saneamiento o en su defecto, cuando se trate de un asunto netamente formal o de digitación, expedir el respectivo acto administrativo de corrección, dada la naturaleza del pliego de condiciones.</w:t>
      </w:r>
    </w:p>
    <w:p w14:paraId="28D96F73" w14:textId="0CFEFFCA" w:rsidR="00DA2A88" w:rsidRPr="00A277EA" w:rsidRDefault="00DA2A88" w:rsidP="00DA2A88">
      <w:pPr>
        <w:widowControl w:val="0"/>
        <w:autoSpaceDE w:val="0"/>
        <w:autoSpaceDN w:val="0"/>
        <w:spacing w:after="120" w:line="276" w:lineRule="auto"/>
        <w:ind w:right="103" w:firstLine="708"/>
        <w:jc w:val="both"/>
        <w:rPr>
          <w:rFonts w:ascii="Verdana" w:hAnsi="Verdana" w:cs="Arial"/>
          <w:color w:val="000000" w:themeColor="text1"/>
        </w:rPr>
      </w:pPr>
      <w:r>
        <w:rPr>
          <w:rFonts w:ascii="Verdana" w:hAnsi="Verdana" w:cs="Arial"/>
          <w:color w:val="000000" w:themeColor="text1"/>
        </w:rPr>
        <w:t xml:space="preserve">Empero, es deber de la entidad estatal dar cumplimiento al contenido de la invitación del proceso de selección en la modalidad de mínima cuantía, así como el procedimiento y cronograma definido de acuerdo con lo dispuesto en el artículo </w:t>
      </w:r>
      <w:r>
        <w:rPr>
          <w:rFonts w:ascii="Verdana" w:hAnsi="Verdana" w:cs="Arial"/>
        </w:rPr>
        <w:t>2.2.1.2.1.5.2 del Decreto 1082 de 2015. Adicionalmente es importante resaltar que los términos definidos en la invitación resultan perentorios y de obligatorio cumplimiento, y</w:t>
      </w:r>
      <w:r w:rsidR="00DF6552">
        <w:rPr>
          <w:rFonts w:ascii="Verdana" w:hAnsi="Verdana" w:cs="Arial"/>
        </w:rPr>
        <w:t xml:space="preserve"> su</w:t>
      </w:r>
      <w:r>
        <w:rPr>
          <w:rFonts w:ascii="Verdana" w:hAnsi="Verdana" w:cs="Arial"/>
        </w:rPr>
        <w:t xml:space="preserve"> desconocimiento afectaría la aplicación y garantía de los principios de contratación estatal, en especial el principio de transparencia y de responsabilidad definidos en el artículo 24 numerales 2, 3, 7 y 8 así como el artículo 26 numerales 1 y 2. </w:t>
      </w:r>
      <w:r>
        <w:rPr>
          <w:rFonts w:ascii="Verdana" w:hAnsi="Verdana" w:cs="Arial"/>
          <w:color w:val="000000" w:themeColor="text1"/>
        </w:rPr>
        <w:t>Adicionalmente resulta necesario recordar que de acuerdo con lo establecido en el numeral 8 del artículo 24 de la Ley 80 de 1993 “</w:t>
      </w:r>
      <w:r w:rsidRPr="00A767E9">
        <w:rPr>
          <w:rFonts w:ascii="Verdana" w:hAnsi="Verdana" w:cs="Arial"/>
          <w:color w:val="000000" w:themeColor="text1"/>
        </w:rPr>
        <w:t>Las autoridades no actuarán con desviación o abuso de poder y ejercerán sus competencias exclusivamente para los fines previstos en la ley. Igualmente, les será prohibido eludir los procedimientos de selección objetiva y los demás requisitos previstos en el presente estatuto</w:t>
      </w:r>
      <w:r>
        <w:rPr>
          <w:rFonts w:ascii="Verdana" w:hAnsi="Verdana" w:cs="Arial"/>
          <w:color w:val="000000" w:themeColor="text1"/>
        </w:rPr>
        <w:t>”</w:t>
      </w:r>
      <w:r w:rsidRPr="00A767E9">
        <w:rPr>
          <w:rFonts w:ascii="Verdana" w:hAnsi="Verdana" w:cs="Arial"/>
          <w:color w:val="000000" w:themeColor="text1"/>
        </w:rPr>
        <w:t>. </w:t>
      </w:r>
    </w:p>
    <w:p w14:paraId="3895567C" w14:textId="77777777" w:rsidR="00DA2A88" w:rsidRDefault="00DA2A88" w:rsidP="00DA2A88">
      <w:pPr>
        <w:spacing w:after="0" w:line="276" w:lineRule="auto"/>
        <w:ind w:firstLine="708"/>
        <w:jc w:val="both"/>
        <w:rPr>
          <w:rFonts w:ascii="Verdana" w:hAnsi="Verdana" w:cs="Arial"/>
          <w:color w:val="000000" w:themeColor="text1"/>
        </w:rPr>
      </w:pPr>
      <w:r>
        <w:rPr>
          <w:rFonts w:ascii="Verdana" w:hAnsi="Verdana" w:cs="Arial"/>
          <w:color w:val="000000" w:themeColor="text1"/>
        </w:rPr>
        <w:t>De acuerdo con lo anterior,</w:t>
      </w:r>
      <w:r w:rsidRPr="00A277EA">
        <w:rPr>
          <w:rFonts w:ascii="Verdana" w:hAnsi="Verdana" w:cs="Arial"/>
          <w:color w:val="000000" w:themeColor="text1"/>
        </w:rPr>
        <w:t> debe advertirse que el análisis requerido para calificar conductas con presunta incidencia disciplinaria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r>
        <w:rPr>
          <w:rFonts w:ascii="Verdana" w:hAnsi="Verdana" w:cs="Arial"/>
          <w:color w:val="000000" w:themeColor="text1"/>
        </w:rPr>
        <w:t>.</w:t>
      </w:r>
    </w:p>
    <w:p w14:paraId="5423A65E" w14:textId="77777777" w:rsidR="00DA2A88" w:rsidRDefault="00DA2A88" w:rsidP="00DA2A88">
      <w:pPr>
        <w:spacing w:after="0" w:line="240" w:lineRule="auto"/>
        <w:ind w:firstLine="709"/>
        <w:jc w:val="both"/>
        <w:rPr>
          <w:rFonts w:ascii="Verdana" w:hAnsi="Verdana" w:cs="Arial"/>
          <w:color w:val="000000" w:themeColor="text1"/>
        </w:rPr>
      </w:pPr>
    </w:p>
    <w:p w14:paraId="76B23D63" w14:textId="77777777" w:rsidR="00DA2A88" w:rsidRPr="00A277EA" w:rsidRDefault="00DA2A88" w:rsidP="00DA2A88">
      <w:pPr>
        <w:spacing w:after="0" w:line="276" w:lineRule="auto"/>
        <w:ind w:firstLine="708"/>
        <w:jc w:val="both"/>
        <w:rPr>
          <w:rFonts w:ascii="Verdana" w:eastAsia="Calibri" w:hAnsi="Verdana" w:cs="Arial"/>
          <w:lang w:val="es-ES" w:eastAsia="es-ES"/>
        </w:rPr>
      </w:pPr>
      <w:r w:rsidRPr="00A277EA">
        <w:rPr>
          <w:rFonts w:ascii="Verdana" w:hAnsi="Verdana" w:cs="Arial"/>
          <w:color w:val="000000" w:themeColor="text1"/>
        </w:rPr>
        <w:t xml:space="preserve">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w:t>
      </w:r>
      <w:r w:rsidRPr="00A277EA">
        <w:rPr>
          <w:rFonts w:ascii="Verdana" w:hAnsi="Verdana" w:cs="Arial"/>
          <w:color w:val="000000" w:themeColor="text1"/>
        </w:rPr>
        <w:lastRenderedPageBreak/>
        <w:t>Colombia Compra Eficiente validar sus actuaciones frente a las autoridades que cumplen funciones de control y vigilancia.</w:t>
      </w:r>
    </w:p>
    <w:p w14:paraId="7AD13751" w14:textId="77777777" w:rsidR="00037CDD" w:rsidRPr="00D90EA6" w:rsidRDefault="00037CDD" w:rsidP="00DA2A88">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5E1AB28B" w14:textId="77777777" w:rsidR="00DA2A88" w:rsidRPr="00FF007A" w:rsidRDefault="00DA2A88" w:rsidP="00DA2A88">
      <w:pPr>
        <w:tabs>
          <w:tab w:val="left" w:pos="142"/>
          <w:tab w:val="left" w:pos="284"/>
        </w:tabs>
        <w:spacing w:after="0" w:line="240" w:lineRule="auto"/>
        <w:rPr>
          <w:rFonts w:ascii="Verdana" w:eastAsia="Century Gothic" w:hAnsi="Verdana" w:cs="Century Gothic"/>
          <w:b/>
          <w:bCs/>
        </w:rPr>
      </w:pPr>
      <w:bookmarkStart w:id="12" w:name="_Hlk204854194"/>
      <w:r w:rsidRPr="00FF007A">
        <w:rPr>
          <w:rFonts w:ascii="Verdana" w:eastAsia="Century Gothic" w:hAnsi="Verdana" w:cs="Century Gothic"/>
          <w:b/>
          <w:bCs/>
        </w:rPr>
        <w:t>4. Referencias normativas:</w:t>
      </w:r>
    </w:p>
    <w:bookmarkEnd w:id="12"/>
    <w:p w14:paraId="414057A9" w14:textId="77777777" w:rsidR="00DA2A88" w:rsidRPr="00FF007A" w:rsidRDefault="00DA2A88" w:rsidP="00DA2A8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2A88" w:rsidRPr="00FF007A" w14:paraId="2E6970F2" w14:textId="77777777" w:rsidTr="00F977DF">
        <w:trPr>
          <w:trHeight w:val="870"/>
          <w:jc w:val="center"/>
        </w:trPr>
        <w:tc>
          <w:tcPr>
            <w:tcW w:w="8647" w:type="dxa"/>
          </w:tcPr>
          <w:p w14:paraId="5C6FCE14"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4841AD62"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80 de 1993. Artículo 24 numeral 5, 26, 30.</w:t>
            </w:r>
          </w:p>
          <w:p w14:paraId="1AA55375"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1474 de 2011. Artículo 89.  </w:t>
            </w:r>
          </w:p>
          <w:p w14:paraId="537F7496" w14:textId="77777777" w:rsidR="00DA2A88" w:rsidRPr="00592094" w:rsidRDefault="00DA2A88" w:rsidP="00F977D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Decreto 1082 de 2015. Artículos: </w:t>
            </w:r>
            <w:r w:rsidRPr="00A277EA">
              <w:rPr>
                <w:rFonts w:ascii="Verdana" w:eastAsia="Arial" w:hAnsi="Verdana" w:cs="Arial"/>
                <w:lang w:eastAsia="es-ES" w:bidi="es-ES"/>
              </w:rPr>
              <w:t>2.2.1.1.2.2.1.</w:t>
            </w:r>
            <w:r>
              <w:rPr>
                <w:rFonts w:ascii="Verdana" w:eastAsia="Arial" w:hAnsi="Verdana" w:cs="Arial"/>
                <w:lang w:eastAsia="es-ES" w:bidi="es-ES"/>
              </w:rPr>
              <w:t>,</w:t>
            </w:r>
            <w:r w:rsidRPr="00A277EA">
              <w:rPr>
                <w:rFonts w:ascii="Verdana" w:eastAsia="Arial" w:hAnsi="Verdana" w:cs="Arial"/>
                <w:lang w:eastAsia="es-ES" w:bidi="es-ES"/>
              </w:rPr>
              <w:t xml:space="preserve"> </w:t>
            </w:r>
            <w:r w:rsidRPr="002167F7">
              <w:rPr>
                <w:rFonts w:ascii="Verdana" w:hAnsi="Verdana" w:cs="Arial"/>
              </w:rPr>
              <w:t>2.2.1.2.1.5.1. a 2.2.1.2.1.5.6</w:t>
            </w:r>
            <w:r>
              <w:rPr>
                <w:rFonts w:ascii="Verdana" w:hAnsi="Verdana" w:cs="Arial"/>
              </w:rPr>
              <w:t>.</w:t>
            </w:r>
          </w:p>
          <w:p w14:paraId="5BA88A76"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sidRPr="00592094">
              <w:rPr>
                <w:rFonts w:ascii="Verdana" w:eastAsia="Arial MT" w:hAnsi="Verdana" w:cs="Arial"/>
                <w:lang w:val="es-CO" w:eastAsia="es-ES" w:bidi="es-ES"/>
              </w:rPr>
              <w:t xml:space="preserve">Consejo de Estado. Sala de lo Contencioso Administrativo. Sección Tercera. Sentencia de 30 de noviembre de 2006. </w:t>
            </w:r>
            <w:proofErr w:type="spellStart"/>
            <w:r w:rsidRPr="00592094">
              <w:rPr>
                <w:rFonts w:ascii="Verdana" w:eastAsia="Arial MT" w:hAnsi="Verdana" w:cs="Arial"/>
                <w:lang w:val="es-CO" w:eastAsia="es-ES" w:bidi="es-ES"/>
              </w:rPr>
              <w:t>Exp</w:t>
            </w:r>
            <w:proofErr w:type="spellEnd"/>
            <w:r w:rsidRPr="00592094">
              <w:rPr>
                <w:rFonts w:ascii="Verdana" w:eastAsia="Arial MT" w:hAnsi="Verdana" w:cs="Arial"/>
                <w:lang w:val="es-CO" w:eastAsia="es-ES" w:bidi="es-ES"/>
              </w:rPr>
              <w:t>. 18.059. M.P. Alier Hernández Enríquez.</w:t>
            </w:r>
          </w:p>
          <w:p w14:paraId="6BD4C740"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sidRPr="00592094">
              <w:rPr>
                <w:rFonts w:ascii="Verdana" w:eastAsia="Arial MT" w:hAnsi="Verdana" w:cs="Arial"/>
                <w:lang w:val="es-CO" w:eastAsia="es-ES" w:bidi="es-ES"/>
              </w:rPr>
              <w:t xml:space="preserve">Consejo de Estado. Sala de lo Contencioso Administrativo. Sección Tercera. Subsección A. Sentencia del 16 de septiembre de 2013. </w:t>
            </w:r>
            <w:proofErr w:type="spellStart"/>
            <w:r w:rsidRPr="00592094">
              <w:rPr>
                <w:rFonts w:ascii="Verdana" w:eastAsia="Arial MT" w:hAnsi="Verdana" w:cs="Arial"/>
                <w:lang w:val="es-CO" w:eastAsia="es-ES" w:bidi="es-ES"/>
              </w:rPr>
              <w:t>Exp</w:t>
            </w:r>
            <w:proofErr w:type="spellEnd"/>
            <w:r w:rsidRPr="00592094">
              <w:rPr>
                <w:rFonts w:ascii="Verdana" w:eastAsia="Arial MT" w:hAnsi="Verdana" w:cs="Arial"/>
                <w:lang w:val="es-CO" w:eastAsia="es-ES" w:bidi="es-ES"/>
              </w:rPr>
              <w:t>. 30.571. C.P. Mauricio Fajardo Gómez</w:t>
            </w:r>
            <w:r>
              <w:rPr>
                <w:rFonts w:ascii="Verdana" w:eastAsia="Arial MT" w:hAnsi="Verdana" w:cs="Arial"/>
                <w:lang w:val="es-CO" w:eastAsia="es-ES" w:bidi="es-ES"/>
              </w:rPr>
              <w:t>.</w:t>
            </w:r>
          </w:p>
          <w:p w14:paraId="5CECE227" w14:textId="77777777" w:rsidR="00DA2A88" w:rsidRPr="00592094" w:rsidRDefault="00DA2A88" w:rsidP="00F977DF">
            <w:pPr>
              <w:pStyle w:val="Prrafodelista"/>
              <w:numPr>
                <w:ilvl w:val="0"/>
                <w:numId w:val="17"/>
              </w:numPr>
              <w:spacing w:line="276" w:lineRule="auto"/>
              <w:jc w:val="both"/>
              <w:rPr>
                <w:rFonts w:ascii="Verdana" w:eastAsia="Arial MT" w:hAnsi="Verdana" w:cs="Arial"/>
                <w:lang w:val="es-CO" w:eastAsia="es-ES" w:bidi="es-ES"/>
              </w:rPr>
            </w:pPr>
            <w:r w:rsidRPr="00D614FF">
              <w:rPr>
                <w:rFonts w:ascii="Verdana" w:eastAsia="Arial MT" w:hAnsi="Verdana" w:cs="Arial"/>
                <w:lang w:val="es-CO" w:eastAsia="es-ES" w:bidi="es-ES"/>
              </w:rPr>
              <w:t xml:space="preserve">Consejo de Estado. Sala de lo Contencioso Administrativo. Sección Tercera. Sentencia de 20 de febrero de 2014. </w:t>
            </w:r>
            <w:proofErr w:type="spellStart"/>
            <w:r w:rsidRPr="00D614FF">
              <w:rPr>
                <w:rFonts w:ascii="Verdana" w:eastAsia="Arial MT" w:hAnsi="Verdana" w:cs="Arial"/>
                <w:lang w:val="es-CO" w:eastAsia="es-ES" w:bidi="es-ES"/>
              </w:rPr>
              <w:t>Exp</w:t>
            </w:r>
            <w:proofErr w:type="spellEnd"/>
            <w:r w:rsidRPr="00D614FF">
              <w:rPr>
                <w:rFonts w:ascii="Verdana" w:eastAsia="Arial MT" w:hAnsi="Verdana" w:cs="Arial"/>
                <w:lang w:val="es-CO" w:eastAsia="es-ES" w:bidi="es-ES"/>
              </w:rPr>
              <w:t>. 28.342. M.P Stella Conto Diaz Del Castillo.</w:t>
            </w:r>
          </w:p>
          <w:p w14:paraId="06ACCE69" w14:textId="77777777" w:rsidR="00DA2A88" w:rsidRDefault="00DA2A88" w:rsidP="00F977DF">
            <w:pPr>
              <w:pStyle w:val="Prrafodelista"/>
              <w:numPr>
                <w:ilvl w:val="0"/>
                <w:numId w:val="17"/>
              </w:numPr>
              <w:spacing w:line="276" w:lineRule="auto"/>
              <w:jc w:val="both"/>
              <w:rPr>
                <w:rFonts w:ascii="Verdana" w:eastAsia="Arial MT" w:hAnsi="Verdana" w:cs="Arial"/>
                <w:lang w:val="es-CO" w:eastAsia="es-ES" w:bidi="es-ES"/>
              </w:rPr>
            </w:pPr>
            <w:r w:rsidRPr="00592094">
              <w:rPr>
                <w:rFonts w:ascii="Verdana" w:eastAsia="Arial MT" w:hAnsi="Verdana" w:cs="Arial"/>
                <w:lang w:val="es-CO" w:eastAsia="es-ES" w:bidi="es-ES"/>
              </w:rPr>
              <w:t xml:space="preserve">OSPINA MENA, Jesús Marino. Régimen de la Contratación Estatal. Un salto a la contratación líquida. Bogotá: Ed. 1ª. </w:t>
            </w:r>
            <w:proofErr w:type="spellStart"/>
            <w:r w:rsidRPr="00592094">
              <w:rPr>
                <w:rFonts w:ascii="Verdana" w:eastAsia="Arial MT" w:hAnsi="Verdana" w:cs="Arial"/>
                <w:lang w:val="es-CO" w:eastAsia="es-ES" w:bidi="es-ES"/>
              </w:rPr>
              <w:t>Diké</w:t>
            </w:r>
            <w:proofErr w:type="spellEnd"/>
            <w:r w:rsidRPr="00592094">
              <w:rPr>
                <w:rFonts w:ascii="Verdana" w:eastAsia="Arial MT" w:hAnsi="Verdana" w:cs="Arial"/>
                <w:lang w:val="es-CO" w:eastAsia="es-ES" w:bidi="es-ES"/>
              </w:rPr>
              <w:t xml:space="preserve">, 2020. </w:t>
            </w:r>
          </w:p>
          <w:p w14:paraId="2E773643" w14:textId="77777777" w:rsidR="00DA2A88" w:rsidRPr="00D437AC" w:rsidRDefault="00DA2A88" w:rsidP="00F977DF">
            <w:pPr>
              <w:pStyle w:val="Prrafodelista"/>
              <w:numPr>
                <w:ilvl w:val="0"/>
                <w:numId w:val="17"/>
              </w:numPr>
              <w:spacing w:line="276" w:lineRule="auto"/>
              <w:jc w:val="both"/>
              <w:rPr>
                <w:rFonts w:ascii="Verdana" w:eastAsia="Arial MT" w:hAnsi="Verdana" w:cs="Arial"/>
                <w:lang w:val="es-CO" w:eastAsia="es-ES" w:bidi="es-ES"/>
              </w:rPr>
            </w:pPr>
            <w:r w:rsidRPr="00592094">
              <w:rPr>
                <w:rFonts w:ascii="Verdana" w:eastAsia="Arial MT" w:hAnsi="Verdana" w:cs="Arial"/>
                <w:lang w:val="es-CO" w:eastAsia="es-ES" w:bidi="es-ES"/>
              </w:rPr>
              <w:t>GONZÁLEZ LÓPEZ, Edgar. El pliego de condiciones en la contratación. La reforma consagrada en la Ley 1150 de 2007 y sus decretos reglamentarios. Universidad Externado de Colombia. Primera edición, 2010</w:t>
            </w:r>
            <w:r>
              <w:rPr>
                <w:rFonts w:ascii="Verdana" w:eastAsia="Arial MT" w:hAnsi="Verdana" w:cs="Arial"/>
                <w:lang w:val="es-CO" w:eastAsia="es-ES" w:bidi="es-ES"/>
              </w:rPr>
              <w:t>.</w:t>
            </w:r>
          </w:p>
        </w:tc>
      </w:tr>
    </w:tbl>
    <w:p w14:paraId="1E1ECE21" w14:textId="77777777" w:rsidR="00DA2A88" w:rsidRPr="00FF007A" w:rsidRDefault="00DA2A88" w:rsidP="00DA2A88">
      <w:pPr>
        <w:widowControl w:val="0"/>
        <w:autoSpaceDE w:val="0"/>
        <w:autoSpaceDN w:val="0"/>
        <w:spacing w:after="0" w:line="276" w:lineRule="auto"/>
        <w:jc w:val="both"/>
        <w:rPr>
          <w:rFonts w:ascii="Verdana" w:hAnsi="Verdana" w:cs="Arial"/>
        </w:rPr>
      </w:pPr>
    </w:p>
    <w:p w14:paraId="1ED69624" w14:textId="77777777" w:rsidR="00DA2A88" w:rsidRPr="00FF007A" w:rsidRDefault="00DA2A88" w:rsidP="00DA2A88">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294AA7DD" w14:textId="77777777" w:rsidR="00DA2A88" w:rsidRPr="00FF007A" w:rsidRDefault="00DA2A88" w:rsidP="00DA2A88">
      <w:pPr>
        <w:widowControl w:val="0"/>
        <w:autoSpaceDE w:val="0"/>
        <w:autoSpaceDN w:val="0"/>
        <w:spacing w:after="0" w:line="240" w:lineRule="auto"/>
        <w:jc w:val="both"/>
        <w:rPr>
          <w:rStyle w:val="normaltextrun"/>
          <w:rFonts w:ascii="Verdana" w:hAnsi="Verdana" w:cs="Arial"/>
          <w:shd w:val="clear" w:color="auto" w:fill="FFFFFF"/>
        </w:rPr>
      </w:pPr>
    </w:p>
    <w:p w14:paraId="30169963" w14:textId="77777777" w:rsidR="00DA2A88" w:rsidRPr="00FF007A" w:rsidRDefault="00DA2A88" w:rsidP="00DA2A88">
      <w:pPr>
        <w:widowControl w:val="0"/>
        <w:autoSpaceDE w:val="0"/>
        <w:autoSpaceDN w:val="0"/>
        <w:spacing w:after="120" w:line="276" w:lineRule="auto"/>
        <w:jc w:val="both"/>
        <w:rPr>
          <w:rFonts w:ascii="Verdana" w:eastAsia="Calibri" w:hAnsi="Verdana" w:cs="Arial"/>
          <w:color w:val="000000" w:themeColor="text1"/>
          <w:lang w:eastAsia="es-ES_tradnl"/>
        </w:rPr>
      </w:pPr>
      <w:r w:rsidRPr="00A277EA">
        <w:rPr>
          <w:rFonts w:ascii="Verdana" w:hAnsi="Verdana" w:cs="Arial"/>
          <w:shd w:val="clear" w:color="auto" w:fill="FFFFFF"/>
          <w:lang w:val="es-ES"/>
        </w:rPr>
        <w:t xml:space="preserve">Sobre </w:t>
      </w:r>
      <w:r>
        <w:rPr>
          <w:rFonts w:ascii="Verdana" w:hAnsi="Verdana" w:cs="Arial"/>
          <w:shd w:val="clear" w:color="auto" w:fill="FFFFFF"/>
          <w:lang w:val="es-ES"/>
        </w:rPr>
        <w:t xml:space="preserve">la naturaleza de los pliego de condiciones </w:t>
      </w:r>
      <w:r w:rsidRPr="00A277EA">
        <w:rPr>
          <w:rFonts w:ascii="Verdana" w:hAnsi="Verdana" w:cs="Arial"/>
          <w:shd w:val="clear" w:color="auto" w:fill="FFFFFF"/>
          <w:lang w:val="es-ES"/>
        </w:rPr>
        <w:t>o documentos equivalentes</w:t>
      </w:r>
      <w:r>
        <w:rPr>
          <w:rFonts w:ascii="Verdana" w:hAnsi="Verdana" w:cs="Arial"/>
          <w:shd w:val="clear" w:color="auto" w:fill="FFFFFF"/>
          <w:lang w:val="es-ES"/>
        </w:rPr>
        <w:t xml:space="preserve"> y la fa</w:t>
      </w:r>
      <w:r w:rsidRPr="00A277EA">
        <w:rPr>
          <w:rFonts w:ascii="Verdana" w:hAnsi="Verdana" w:cs="Arial"/>
          <w:shd w:val="clear" w:color="auto" w:fill="FFFFFF"/>
          <w:lang w:val="es-ES"/>
        </w:rPr>
        <w:t>cultad que tienen las entidades estatales para modificar</w:t>
      </w:r>
      <w:r>
        <w:rPr>
          <w:rFonts w:ascii="Verdana" w:hAnsi="Verdana" w:cs="Arial"/>
          <w:shd w:val="clear" w:color="auto" w:fill="FFFFFF"/>
          <w:lang w:val="es-ES"/>
        </w:rPr>
        <w:t xml:space="preserve">los, </w:t>
      </w:r>
      <w:r w:rsidRPr="00A277EA">
        <w:rPr>
          <w:rFonts w:ascii="Verdana" w:hAnsi="Verdana" w:cs="Arial"/>
          <w:shd w:val="clear" w:color="auto" w:fill="FFFFFF"/>
          <w:lang w:val="es-ES"/>
        </w:rPr>
        <w:t>se pronunció esta Subdirección en los conceptos con radicado No. 2201913000006236 de 26 de agosto de 2019, C–465 del 27 de julio de 2020, C–500 del 3 de agosto de 2020, C–557 del 21 de agosto de 2020, C-674 del 18 de noviembre de 2020, C-419 del 12 de agosto de 2021, C-744 del 4 de febrero de 2022, C-647 del 5 de octubre de 2022, C-788 de</w:t>
      </w:r>
      <w:r>
        <w:rPr>
          <w:rFonts w:ascii="Verdana" w:hAnsi="Verdana" w:cs="Arial"/>
          <w:shd w:val="clear" w:color="auto" w:fill="FFFFFF"/>
          <w:lang w:val="es-ES"/>
        </w:rPr>
        <w:t xml:space="preserve">l 22 de noviembre de </w:t>
      </w:r>
      <w:r w:rsidRPr="00A277EA">
        <w:rPr>
          <w:rFonts w:ascii="Verdana" w:hAnsi="Verdana" w:cs="Arial"/>
          <w:shd w:val="clear" w:color="auto" w:fill="FFFFFF"/>
          <w:lang w:val="es-ES"/>
        </w:rPr>
        <w:t>2022, C-888 del 21 de diciembre de 2022, C-393 del 9 de septiembre de 2024</w:t>
      </w:r>
      <w:r>
        <w:rPr>
          <w:rFonts w:ascii="Verdana" w:hAnsi="Verdana" w:cs="Arial"/>
          <w:shd w:val="clear" w:color="auto" w:fill="FFFFFF"/>
          <w:lang w:val="es-ES"/>
        </w:rPr>
        <w:t>,</w:t>
      </w:r>
      <w:r w:rsidRPr="00A277EA">
        <w:rPr>
          <w:rFonts w:ascii="Verdana" w:hAnsi="Verdana" w:cs="Arial"/>
          <w:shd w:val="clear" w:color="auto" w:fill="FFFFFF"/>
          <w:lang w:val="es-ES"/>
        </w:rPr>
        <w:t xml:space="preserve"> C-782 del 18 de noviembre de 202</w:t>
      </w:r>
      <w:r>
        <w:rPr>
          <w:rFonts w:ascii="Verdana" w:hAnsi="Verdana" w:cs="Arial"/>
          <w:shd w:val="clear" w:color="auto" w:fill="FFFFFF"/>
          <w:lang w:val="es-ES"/>
        </w:rPr>
        <w:t xml:space="preserve">4, </w:t>
      </w:r>
      <w:r w:rsidRPr="00A277EA">
        <w:rPr>
          <w:rFonts w:ascii="Verdana" w:hAnsi="Verdana" w:cs="Arial"/>
          <w:shd w:val="clear" w:color="auto" w:fill="FFFFFF"/>
          <w:lang w:val="es-ES"/>
        </w:rPr>
        <w:t>C-607 del 26 de junio de 2025</w:t>
      </w:r>
      <w:r w:rsidRPr="00E40D80">
        <w:rPr>
          <w:rFonts w:ascii="Verdana" w:hAnsi="Verdana" w:cs="Arial"/>
          <w:shd w:val="clear" w:color="auto" w:fill="FFFFFF"/>
        </w:rPr>
        <w:t>,</w:t>
      </w:r>
      <w:r>
        <w:rPr>
          <w:rFonts w:ascii="Verdana" w:hAnsi="Verdana" w:cs="Arial"/>
          <w:shd w:val="clear" w:color="auto" w:fill="FFFFFF"/>
        </w:rPr>
        <w:t xml:space="preserve"> C- 746 del 18 de julio de 2025 </w:t>
      </w:r>
      <w:r w:rsidRPr="00FF007A">
        <w:rPr>
          <w:rFonts w:ascii="Verdana" w:hAnsi="Verdana" w:cs="Arial"/>
          <w:shd w:val="clear" w:color="auto" w:fill="FFFFFF"/>
        </w:rPr>
        <w:t xml:space="preserve">entre otros. Sobre la aplicación de esta ley y la contratación del PIC se refirió en los conceptos </w:t>
      </w:r>
      <w:r w:rsidRPr="00FF007A">
        <w:rPr>
          <w:rFonts w:ascii="Verdana" w:hAnsi="Verdana" w:cs="Arial"/>
          <w:shd w:val="clear" w:color="auto" w:fill="FFFFFF"/>
        </w:rPr>
        <w:lastRenderedPageBreak/>
        <w:t>C‒044 del 04 de marzo de 2022, C‒158 del 04 de abril de 2022</w:t>
      </w:r>
      <w:r>
        <w:rPr>
          <w:rFonts w:ascii="Verdana" w:hAnsi="Verdana" w:cs="Arial"/>
          <w:shd w:val="clear" w:color="auto" w:fill="FFFFFF"/>
        </w:rPr>
        <w:t xml:space="preserve">, </w:t>
      </w:r>
      <w:r w:rsidRPr="00FF007A">
        <w:rPr>
          <w:rFonts w:ascii="Verdana" w:hAnsi="Verdana" w:cs="Arial"/>
          <w:shd w:val="clear" w:color="auto" w:fill="FFFFFF"/>
        </w:rPr>
        <w:t>C‒364 del 20 de mayo de 2022</w:t>
      </w:r>
      <w:r w:rsidRPr="00FF007A">
        <w:rPr>
          <w:rFonts w:ascii="Verdana" w:hAnsi="Verdana" w:cs="Arial"/>
        </w:rPr>
        <w:t>,</w:t>
      </w:r>
      <w:r>
        <w:rPr>
          <w:rFonts w:ascii="Verdana" w:hAnsi="Verdana" w:cs="Arial"/>
        </w:rPr>
        <w:t xml:space="preserve"> C-979 de 25 de agosto de 2025,</w:t>
      </w:r>
      <w:r w:rsidRPr="00FF007A">
        <w:rPr>
          <w:rFonts w:ascii="Verdana" w:hAnsi="Verdana" w:cs="Arial"/>
        </w:rPr>
        <w:t xml:space="preserve"> entre otros. 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3"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6E07251B" w14:textId="77777777" w:rsidR="00DA2A88" w:rsidRPr="00FF007A" w:rsidRDefault="00DA2A88" w:rsidP="00DA2A88">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3277B37" w14:textId="77777777" w:rsidR="00DA2A88" w:rsidRPr="00FF007A" w:rsidRDefault="00DA2A88" w:rsidP="00DA2A88">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3CAEB0F1" w14:textId="77777777" w:rsidR="00DA2A88" w:rsidRPr="00FF007A" w:rsidRDefault="00DA2A88" w:rsidP="00DA2A88">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14C6DDBA" w14:textId="77777777" w:rsidR="00DA2A88" w:rsidRPr="00FF007A" w:rsidRDefault="00DA2A88" w:rsidP="00DA2A88">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2C34E9AF" w14:textId="77777777" w:rsidR="00DA2A88" w:rsidRPr="00FF007A" w:rsidRDefault="00DA2A88" w:rsidP="00DA2A88">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4" w:history="1">
        <w:r w:rsidRPr="00FF007A">
          <w:rPr>
            <w:rStyle w:val="Hipervnculo"/>
            <w:rFonts w:ascii="Verdana" w:hAnsi="Verdana"/>
            <w:lang w:val="es-CO"/>
          </w:rPr>
          <w:t>www.colombiacompra.gov.co</w:t>
        </w:r>
      </w:hyperlink>
    </w:p>
    <w:p w14:paraId="04F5B27F" w14:textId="77777777" w:rsidR="00DA2A88" w:rsidRPr="00FF007A" w:rsidRDefault="00DA2A88" w:rsidP="00DA2A88">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60CD7665" w14:textId="77777777" w:rsidR="00DA2A88" w:rsidRPr="00FF007A" w:rsidRDefault="00DA2A88" w:rsidP="00DA2A88">
      <w:pPr>
        <w:spacing w:after="0" w:line="276" w:lineRule="auto"/>
        <w:jc w:val="both"/>
        <w:rPr>
          <w:rFonts w:ascii="Verdana" w:hAnsi="Verdana"/>
        </w:rPr>
      </w:pPr>
    </w:p>
    <w:p w14:paraId="4543ECBD" w14:textId="77777777" w:rsidR="00DA2A88" w:rsidRPr="00FF007A" w:rsidRDefault="00DA2A88" w:rsidP="00DA2A88">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59DDE5A7" w14:textId="77777777" w:rsidR="00DA2A88" w:rsidRPr="00FF007A" w:rsidRDefault="00DA2A88" w:rsidP="00DA2A88">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30C00D16" w14:textId="77777777" w:rsidR="00DA2A88" w:rsidRPr="00FF007A" w:rsidRDefault="00DA2A88" w:rsidP="00DA2A88">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1952DE66" w14:textId="77777777" w:rsidR="00DA2A88" w:rsidRPr="00FF007A" w:rsidRDefault="00DA2A88" w:rsidP="00DA2A88">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B2AA72E" w14:textId="77777777" w:rsidR="00DA2A88" w:rsidRPr="00FF007A" w:rsidRDefault="00DA2A88" w:rsidP="00DA2A88">
      <w:pPr>
        <w:spacing w:after="0" w:line="276" w:lineRule="auto"/>
        <w:jc w:val="both"/>
        <w:rPr>
          <w:rFonts w:ascii="Verdana" w:eastAsia="Calibri" w:hAnsi="Verdana" w:cs="Times New Roman"/>
        </w:rPr>
      </w:pPr>
    </w:p>
    <w:p w14:paraId="4E5C450F" w14:textId="77777777" w:rsidR="00DA2A88" w:rsidRPr="00FF007A" w:rsidRDefault="00DA2A88" w:rsidP="00DA2A88">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44D236E0" w14:textId="76D82B2C" w:rsidR="00DA2A88" w:rsidRPr="00FF007A" w:rsidRDefault="006A34BA" w:rsidP="00DA2A88">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DFD29FF" wp14:editId="3415D552">
            <wp:extent cx="3151331" cy="1484762"/>
            <wp:effectExtent l="0" t="0" r="0" b="127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5"/>
                    <a:stretch>
                      <a:fillRect/>
                    </a:stretch>
                  </pic:blipFill>
                  <pic:spPr>
                    <a:xfrm>
                      <a:off x="0" y="0"/>
                      <a:ext cx="3158998" cy="1488374"/>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A2A88" w:rsidRPr="00FF007A" w14:paraId="16B9F11B" w14:textId="77777777" w:rsidTr="00F977DF">
        <w:trPr>
          <w:trHeight w:val="315"/>
        </w:trPr>
        <w:tc>
          <w:tcPr>
            <w:tcW w:w="893" w:type="dxa"/>
            <w:vAlign w:val="center"/>
            <w:hideMark/>
          </w:tcPr>
          <w:p w14:paraId="4F9014D4" w14:textId="77777777" w:rsidR="00DA2A88" w:rsidRPr="00FF007A" w:rsidRDefault="00DA2A88" w:rsidP="00F977DF">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57BE09B" w14:textId="77777777" w:rsidR="00DA2A88" w:rsidRPr="00FF007A" w:rsidRDefault="00DA2A88" w:rsidP="00F977DF">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5C64811C" w14:textId="77777777" w:rsidR="00DA2A88" w:rsidRPr="00FF007A" w:rsidRDefault="00DA2A88" w:rsidP="00F977DF">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DA2A88" w:rsidRPr="00FF007A" w14:paraId="30997ADF" w14:textId="77777777" w:rsidTr="00F977DF">
        <w:trPr>
          <w:trHeight w:val="330"/>
        </w:trPr>
        <w:tc>
          <w:tcPr>
            <w:tcW w:w="893" w:type="dxa"/>
            <w:vAlign w:val="center"/>
            <w:hideMark/>
          </w:tcPr>
          <w:p w14:paraId="76635BCB" w14:textId="77777777" w:rsidR="00DA2A88" w:rsidRPr="00FF007A" w:rsidRDefault="00DA2A88" w:rsidP="00F977DF">
            <w:pPr>
              <w:contextualSpacing/>
              <w:rPr>
                <w:rFonts w:ascii="Verdana" w:hAnsi="Verdana" w:cs="Arial"/>
                <w:sz w:val="16"/>
                <w:szCs w:val="16"/>
                <w:lang w:eastAsia="es-ES"/>
              </w:rPr>
            </w:pPr>
            <w:r w:rsidRPr="00FF007A">
              <w:rPr>
                <w:rFonts w:ascii="Verdana" w:hAnsi="Verdana" w:cs="Arial"/>
                <w:sz w:val="16"/>
                <w:szCs w:val="16"/>
                <w:lang w:eastAsia="es-ES"/>
              </w:rPr>
              <w:lastRenderedPageBreak/>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CC5636B" w14:textId="77777777" w:rsidR="00DA2A88" w:rsidRPr="00FF007A" w:rsidRDefault="00DA2A88" w:rsidP="00F977DF">
            <w:pPr>
              <w:pStyle w:val="paragraph"/>
              <w:spacing w:before="0" w:beforeAutospacing="0" w:after="0" w:afterAutospacing="0"/>
              <w:contextualSpacing/>
              <w:textAlignment w:val="baseline"/>
              <w:rPr>
                <w:rStyle w:val="normaltextrun"/>
                <w:rFonts w:ascii="Verdana" w:hAnsi="Verdana"/>
                <w:sz w:val="16"/>
                <w:szCs w:val="16"/>
              </w:rPr>
            </w:pPr>
            <w:r w:rsidRPr="00FF007A">
              <w:rPr>
                <w:rStyle w:val="normaltextrun"/>
                <w:rFonts w:ascii="Verdana" w:hAnsi="Verdana"/>
                <w:sz w:val="16"/>
                <w:szCs w:val="16"/>
              </w:rPr>
              <w:t>Juan Carlos González Vásquez</w:t>
            </w:r>
          </w:p>
          <w:p w14:paraId="1B83F6A3" w14:textId="77777777" w:rsidR="00DA2A88" w:rsidRPr="00FF007A" w:rsidRDefault="00DA2A88" w:rsidP="00F977DF">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DA2A88" w:rsidRPr="00FF007A" w14:paraId="04330C63" w14:textId="77777777" w:rsidTr="00F977DF">
        <w:trPr>
          <w:trHeight w:val="300"/>
        </w:trPr>
        <w:tc>
          <w:tcPr>
            <w:tcW w:w="893" w:type="dxa"/>
            <w:vAlign w:val="center"/>
          </w:tcPr>
          <w:p w14:paraId="0B0B8492" w14:textId="77777777" w:rsidR="00DA2A88" w:rsidRPr="00FF007A" w:rsidRDefault="00DA2A88" w:rsidP="00F977DF">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3E99A6C" w14:textId="77777777" w:rsidR="00DA2A88" w:rsidRPr="00FF007A" w:rsidRDefault="00DA2A88" w:rsidP="00F977DF">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43D602B7" w14:textId="77777777" w:rsidR="00DA2A88" w:rsidRPr="00FF007A" w:rsidRDefault="00DA2A88" w:rsidP="00F977DF">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356EE6A4" w14:textId="77777777" w:rsidR="00DA2A88" w:rsidRPr="00DA731C" w:rsidRDefault="00DA2A88" w:rsidP="00DA2A88"/>
    <w:bookmarkEnd w:id="5"/>
    <w:p w14:paraId="0F293BF4" w14:textId="2CDAF46D" w:rsidR="00127233" w:rsidRPr="00983447" w:rsidRDefault="00127233" w:rsidP="00983447"/>
    <w:sectPr w:rsidR="00127233" w:rsidRPr="0098344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A7C19" w14:textId="77777777" w:rsidR="00C62C0B" w:rsidRDefault="00C62C0B" w:rsidP="004A1847">
      <w:pPr>
        <w:spacing w:after="0" w:line="240" w:lineRule="auto"/>
      </w:pPr>
      <w:r>
        <w:separator/>
      </w:r>
    </w:p>
  </w:endnote>
  <w:endnote w:type="continuationSeparator" w:id="0">
    <w:p w14:paraId="53C4DB3A" w14:textId="77777777" w:rsidR="00C62C0B" w:rsidRDefault="00C62C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DF077" w14:textId="77777777" w:rsidR="00C62C0B" w:rsidRDefault="00C62C0B" w:rsidP="004A1847">
      <w:pPr>
        <w:spacing w:after="0" w:line="240" w:lineRule="auto"/>
      </w:pPr>
      <w:r>
        <w:separator/>
      </w:r>
    </w:p>
  </w:footnote>
  <w:footnote w:type="continuationSeparator" w:id="0">
    <w:p w14:paraId="67C4BB1C" w14:textId="77777777" w:rsidR="00C62C0B" w:rsidRDefault="00C62C0B" w:rsidP="004A1847">
      <w:pPr>
        <w:spacing w:after="0" w:line="240" w:lineRule="auto"/>
      </w:pPr>
      <w:r>
        <w:continuationSeparator/>
      </w:r>
    </w:p>
  </w:footnote>
  <w:footnote w:id="1">
    <w:p w14:paraId="21800221" w14:textId="77777777" w:rsidR="00DA2A88" w:rsidRPr="00DF6552" w:rsidRDefault="00DA2A88" w:rsidP="00DA2A88">
      <w:pPr>
        <w:pStyle w:val="Textonotapie"/>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OSPINA MENA, Jesús Marino. Régimen de la Contratación Estatal. Un salto a la contratación líquida. Bogotá: Ed. 1ª. </w:t>
      </w:r>
      <w:proofErr w:type="spellStart"/>
      <w:r w:rsidRPr="00DF6552">
        <w:rPr>
          <w:rFonts w:ascii="Verdana" w:hAnsi="Verdana" w:cs="Arial"/>
          <w:sz w:val="16"/>
          <w:szCs w:val="16"/>
        </w:rPr>
        <w:t>Diké</w:t>
      </w:r>
      <w:proofErr w:type="spellEnd"/>
      <w:r w:rsidRPr="00DF6552">
        <w:rPr>
          <w:rFonts w:ascii="Verdana" w:hAnsi="Verdana" w:cs="Arial"/>
          <w:sz w:val="16"/>
          <w:szCs w:val="16"/>
        </w:rPr>
        <w:t>, 2020. p. 383.</w:t>
      </w:r>
    </w:p>
    <w:p w14:paraId="46DE6CCD" w14:textId="77777777" w:rsidR="00DA2A88" w:rsidRPr="00DF6552" w:rsidRDefault="00DA2A88" w:rsidP="00DA2A88">
      <w:pPr>
        <w:pStyle w:val="Textonotapie"/>
        <w:ind w:firstLine="708"/>
        <w:jc w:val="both"/>
        <w:rPr>
          <w:rFonts w:ascii="Verdana" w:hAnsi="Verdana" w:cs="Arial"/>
          <w:sz w:val="16"/>
          <w:szCs w:val="16"/>
        </w:rPr>
      </w:pPr>
    </w:p>
  </w:footnote>
  <w:footnote w:id="2">
    <w:p w14:paraId="5E00D2E1" w14:textId="77777777" w:rsidR="00DA2A88" w:rsidRPr="00DF6552" w:rsidRDefault="00DA2A88" w:rsidP="00DA2A88">
      <w:pPr>
        <w:pStyle w:val="Textonotapie"/>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Consejo de Estado. Sala de lo Contencioso Administrativo. Sección Tercera. Sentencia de 30 de noviembre de 2006. </w:t>
      </w:r>
      <w:proofErr w:type="spellStart"/>
      <w:r w:rsidRPr="00DF6552">
        <w:rPr>
          <w:rFonts w:ascii="Verdana" w:hAnsi="Verdana" w:cs="Arial"/>
          <w:sz w:val="16"/>
          <w:szCs w:val="16"/>
        </w:rPr>
        <w:t>Exp</w:t>
      </w:r>
      <w:proofErr w:type="spellEnd"/>
      <w:r w:rsidRPr="00DF6552">
        <w:rPr>
          <w:rFonts w:ascii="Verdana" w:hAnsi="Verdana" w:cs="Arial"/>
          <w:sz w:val="16"/>
          <w:szCs w:val="16"/>
        </w:rPr>
        <w:t>. 18.059. M.P. Alier Hernández Enríquez.</w:t>
      </w:r>
    </w:p>
    <w:p w14:paraId="60A6FCD8" w14:textId="77777777" w:rsidR="00DA2A88" w:rsidRPr="00DF6552" w:rsidRDefault="00DA2A88" w:rsidP="00DA2A88">
      <w:pPr>
        <w:pStyle w:val="Textonotapie"/>
        <w:ind w:firstLine="708"/>
        <w:jc w:val="both"/>
        <w:rPr>
          <w:rFonts w:ascii="Verdana" w:hAnsi="Verdana" w:cs="Arial"/>
          <w:sz w:val="16"/>
          <w:szCs w:val="16"/>
        </w:rPr>
      </w:pPr>
    </w:p>
  </w:footnote>
  <w:footnote w:id="3">
    <w:p w14:paraId="627EDF88" w14:textId="5632FD36" w:rsidR="00DA2A88" w:rsidRDefault="00DA2A88" w:rsidP="00411D4E">
      <w:pPr>
        <w:pStyle w:val="Textonotapie"/>
        <w:ind w:firstLine="708"/>
        <w:contextualSpacing/>
        <w:jc w:val="both"/>
        <w:rPr>
          <w:rFonts w:ascii="Verdana" w:hAnsi="Verdana" w:cs="Arial"/>
          <w:sz w:val="16"/>
          <w:szCs w:val="16"/>
        </w:rPr>
      </w:pPr>
      <w:r w:rsidRPr="00EB1FFD">
        <w:rPr>
          <w:rStyle w:val="Refdenotaalpie"/>
          <w:rFonts w:ascii="Verdana" w:hAnsi="Verdana" w:cs="Arial"/>
          <w:sz w:val="16"/>
          <w:szCs w:val="16"/>
        </w:rPr>
        <w:footnoteRef/>
      </w:r>
      <w:r w:rsidRPr="00EB1FFD">
        <w:rPr>
          <w:rFonts w:ascii="Verdana" w:hAnsi="Verdana" w:cs="Arial"/>
          <w:sz w:val="16"/>
          <w:szCs w:val="16"/>
        </w:rPr>
        <w:t xml:space="preserve"> GONZÁLEZ LÓPEZ, Edgar</w:t>
      </w:r>
      <w:r w:rsidRPr="00EB1FFD">
        <w:rPr>
          <w:rFonts w:ascii="Verdana" w:hAnsi="Verdana" w:cs="Arial"/>
          <w:i/>
          <w:sz w:val="16"/>
          <w:szCs w:val="16"/>
        </w:rPr>
        <w:t xml:space="preserve">. </w:t>
      </w:r>
      <w:r w:rsidRPr="00EB1FFD">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p w14:paraId="23238E3F" w14:textId="77777777" w:rsidR="00411D4E" w:rsidRPr="00DF6552" w:rsidRDefault="00411D4E" w:rsidP="00411D4E">
      <w:pPr>
        <w:pStyle w:val="Textonotapie"/>
        <w:ind w:firstLine="708"/>
        <w:contextualSpacing/>
        <w:jc w:val="both"/>
        <w:rPr>
          <w:rFonts w:ascii="Verdana" w:hAnsi="Verdana" w:cs="Arial"/>
          <w:sz w:val="16"/>
          <w:szCs w:val="16"/>
        </w:rPr>
      </w:pPr>
    </w:p>
  </w:footnote>
  <w:footnote w:id="4">
    <w:p w14:paraId="38523F85" w14:textId="77777777" w:rsidR="00DA2A88" w:rsidRPr="00FC1084" w:rsidRDefault="00DA2A88" w:rsidP="00DA2A88">
      <w:pPr>
        <w:pStyle w:val="Textonotapie"/>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los dispuesto en el artículo 2.2.1.1.2.1.3. del Decreto 1082 de 2015 sobre el contenido del pliego de condiciones, donde se desarrolla de forma más exhaustiva cada uno de sus componentes mínimos.</w:t>
      </w:r>
    </w:p>
    <w:p w14:paraId="465BB1D3" w14:textId="77777777" w:rsidR="00DA2A88" w:rsidRPr="00FC1084" w:rsidRDefault="00DA2A88" w:rsidP="00DA2A88">
      <w:pPr>
        <w:pStyle w:val="Textonotapie"/>
        <w:ind w:firstLine="708"/>
        <w:jc w:val="both"/>
        <w:rPr>
          <w:rFonts w:ascii="Verdana" w:hAnsi="Verdana" w:cs="Arial"/>
          <w:sz w:val="16"/>
          <w:szCs w:val="16"/>
        </w:rPr>
      </w:pPr>
    </w:p>
  </w:footnote>
  <w:footnote w:id="5">
    <w:p w14:paraId="46C1C3B1" w14:textId="77777777" w:rsidR="00DA2A88" w:rsidRPr="00FC1084" w:rsidRDefault="00DA2A88" w:rsidP="00DA2A88">
      <w:pPr>
        <w:pStyle w:val="Textonotapie"/>
        <w:ind w:firstLine="709"/>
        <w:jc w:val="both"/>
        <w:rPr>
          <w:rFonts w:ascii="Verdana" w:hAnsi="Verdana"/>
          <w:sz w:val="16"/>
          <w:szCs w:val="16"/>
        </w:rPr>
      </w:pPr>
      <w:r w:rsidRPr="00FC1084">
        <w:rPr>
          <w:rStyle w:val="Refdenotaalpie"/>
          <w:rFonts w:ascii="Verdana" w:hAnsi="Verdana"/>
          <w:sz w:val="16"/>
          <w:szCs w:val="16"/>
        </w:rPr>
        <w:footnoteRef/>
      </w:r>
      <w:r w:rsidRPr="00FC1084">
        <w:rPr>
          <w:rFonts w:ascii="Verdana" w:hAnsi="Verdana"/>
          <w:sz w:val="16"/>
          <w:szCs w:val="16"/>
        </w:rPr>
        <w:t xml:space="preserve"> Ley 80 de 1993. Artículo 24. </w:t>
      </w:r>
    </w:p>
    <w:p w14:paraId="127D478D" w14:textId="77777777" w:rsidR="00DA2A88" w:rsidRPr="00FC1084" w:rsidRDefault="00DA2A88" w:rsidP="00DA2A88">
      <w:pPr>
        <w:pStyle w:val="Textonotapie"/>
        <w:ind w:firstLine="709"/>
        <w:jc w:val="both"/>
        <w:rPr>
          <w:rFonts w:ascii="Verdana" w:hAnsi="Verdana"/>
          <w:sz w:val="16"/>
          <w:szCs w:val="16"/>
        </w:rPr>
      </w:pPr>
    </w:p>
    <w:p w14:paraId="6B2EB56D"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 5o. En los pliegos de condiciones:</w:t>
      </w:r>
    </w:p>
    <w:p w14:paraId="79F30231" w14:textId="77777777" w:rsidR="00DA2A88" w:rsidRPr="00FC1084" w:rsidRDefault="00DA2A88" w:rsidP="00DA2A88">
      <w:pPr>
        <w:pStyle w:val="Textonotapie"/>
        <w:ind w:firstLine="709"/>
        <w:jc w:val="both"/>
        <w:rPr>
          <w:rFonts w:ascii="Verdana" w:hAnsi="Verdana"/>
          <w:sz w:val="16"/>
          <w:szCs w:val="16"/>
        </w:rPr>
      </w:pPr>
    </w:p>
    <w:p w14:paraId="7AA80BB5"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a)</w:t>
      </w:r>
      <w:r w:rsidRPr="00FC1084">
        <w:rPr>
          <w:rFonts w:ascii="Verdana" w:hAnsi="Verdana"/>
          <w:sz w:val="16"/>
          <w:szCs w:val="16"/>
        </w:rPr>
        <w:tab/>
        <w:t>Se indicarán los requisitos objetivos necesarios para participar en el correspondiente proceso de selección.</w:t>
      </w:r>
    </w:p>
    <w:p w14:paraId="1BD60CFA"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b)</w:t>
      </w:r>
      <w:r w:rsidRPr="00FC1084">
        <w:rPr>
          <w:rFonts w:ascii="Verdana" w:hAnsi="Verdana"/>
          <w:sz w:val="16"/>
          <w:szCs w:val="16"/>
        </w:rPr>
        <w:tab/>
        <w:t>Se definirán reglas objetivas, justas, claras y completas que permitan la confección de ofrecimientos de la misma índole, aseguren una escogencia objetiva y eviten las declaratorias de desierta de la licitación.</w:t>
      </w:r>
    </w:p>
    <w:p w14:paraId="7DBC8DC9"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c)</w:t>
      </w:r>
      <w:r w:rsidRPr="00FC1084">
        <w:rPr>
          <w:rFonts w:ascii="Verdana" w:hAnsi="Verdana"/>
          <w:sz w:val="16"/>
          <w:szCs w:val="16"/>
        </w:rPr>
        <w:tab/>
        <w:t>Se definirán con precisión las condiciones de costo y calidad de los bienes, obras o servicios necesarios para la ejecución del objeto del contrato.</w:t>
      </w:r>
    </w:p>
    <w:p w14:paraId="45985659"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d)</w:t>
      </w:r>
      <w:r w:rsidRPr="00FC1084">
        <w:rPr>
          <w:rFonts w:ascii="Verdana" w:hAnsi="Verdana"/>
          <w:sz w:val="16"/>
          <w:szCs w:val="16"/>
        </w:rPr>
        <w:tab/>
        <w:t>No se incluirán condiciones y exigencias de imposible cumplimiento, ni exenciones de la responsabilidad derivada de los datos, informes y documentos que se suministren.</w:t>
      </w:r>
    </w:p>
    <w:p w14:paraId="003577C4"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e)</w:t>
      </w:r>
      <w:r w:rsidRPr="00FC1084">
        <w:rPr>
          <w:rFonts w:ascii="Verdana" w:hAnsi="Verdana"/>
          <w:sz w:val="16"/>
          <w:szCs w:val="16"/>
        </w:rPr>
        <w:tab/>
        <w:t>Se definirán reglas que no induzcan a error a los proponentes y contratistas y que impidan la Formulación de ofrecimientos de extensión ilimitada o que dependan de la voluntad exclusiva de la entidad.</w:t>
      </w:r>
    </w:p>
    <w:p w14:paraId="1E404F1B" w14:textId="77777777" w:rsidR="00DA2A88" w:rsidRPr="00FC1084" w:rsidRDefault="00DA2A88" w:rsidP="00DA2A88">
      <w:pPr>
        <w:pStyle w:val="Textonotapie"/>
        <w:ind w:firstLine="709"/>
        <w:jc w:val="both"/>
        <w:rPr>
          <w:rFonts w:ascii="Verdana" w:hAnsi="Verdana"/>
          <w:sz w:val="16"/>
          <w:szCs w:val="16"/>
        </w:rPr>
      </w:pPr>
      <w:r w:rsidRPr="00FC1084">
        <w:rPr>
          <w:rFonts w:ascii="Verdana" w:hAnsi="Verdana"/>
          <w:sz w:val="16"/>
          <w:szCs w:val="16"/>
        </w:rPr>
        <w:t>f)</w:t>
      </w:r>
      <w:r w:rsidRPr="00FC1084">
        <w:rPr>
          <w:rFonts w:ascii="Verdana" w:hAnsi="Verdana"/>
          <w:sz w:val="16"/>
          <w:szCs w:val="16"/>
        </w:rPr>
        <w:tab/>
        <w:t>Se definirá el plazo para la liquidación del contrato, cuando a ello hubiere lugar, teniendo en cuenta su objeto, naturaleza y cuantía.</w:t>
      </w:r>
    </w:p>
    <w:p w14:paraId="24277B6E" w14:textId="77777777" w:rsidR="00DA2A88" w:rsidRPr="00FC1084" w:rsidRDefault="00DA2A88" w:rsidP="00DA2A88">
      <w:pPr>
        <w:pStyle w:val="Textonotapie"/>
        <w:ind w:firstLine="709"/>
        <w:jc w:val="both"/>
        <w:rPr>
          <w:sz w:val="16"/>
          <w:szCs w:val="16"/>
        </w:rPr>
      </w:pPr>
      <w:r w:rsidRPr="00FC1084">
        <w:rPr>
          <w:rFonts w:ascii="Verdana" w:hAnsi="Verdana"/>
          <w:sz w:val="16"/>
          <w:szCs w:val="16"/>
        </w:rPr>
        <w:t>g)</w:t>
      </w:r>
      <w:r w:rsidRPr="00FC1084">
        <w:rPr>
          <w:rFonts w:ascii="Verdana" w:hAnsi="Verdana"/>
          <w:sz w:val="16"/>
          <w:szCs w:val="16"/>
        </w:rPr>
        <w:tab/>
        <w:t>Serán ineficaces de pleno derecho las estipulaciones de los pliegos y de los contratos que contravengan lo dispuesto en este numeral, o dispongan renuncias a reclamaciones por la ocurrencia de los hechos aquí enunciados”.</w:t>
      </w:r>
      <w:r w:rsidRPr="00FC1084">
        <w:rPr>
          <w:sz w:val="16"/>
          <w:szCs w:val="16"/>
        </w:rPr>
        <w:t xml:space="preserve"> </w:t>
      </w:r>
    </w:p>
    <w:p w14:paraId="13EFB0F9" w14:textId="77777777" w:rsidR="00DA2A88" w:rsidRPr="00FC1084" w:rsidRDefault="00DA2A88" w:rsidP="00DA2A88">
      <w:pPr>
        <w:pStyle w:val="Textonotapie"/>
        <w:ind w:firstLine="709"/>
        <w:jc w:val="both"/>
        <w:rPr>
          <w:sz w:val="16"/>
          <w:szCs w:val="16"/>
        </w:rPr>
      </w:pPr>
    </w:p>
  </w:footnote>
  <w:footnote w:id="6">
    <w:p w14:paraId="19B6EACD" w14:textId="77777777" w:rsidR="00DA2A88" w:rsidRPr="00FC1084" w:rsidRDefault="00DA2A88" w:rsidP="00DA2A88">
      <w:pPr>
        <w:pStyle w:val="Textonotapie"/>
        <w:ind w:firstLine="708"/>
        <w:jc w:val="both"/>
        <w:rPr>
          <w:rFonts w:ascii="Verdana" w:hAnsi="Verdana" w:cs="Arial"/>
          <w:color w:val="000000" w:themeColor="text1"/>
          <w:sz w:val="16"/>
          <w:szCs w:val="16"/>
        </w:rPr>
      </w:pPr>
      <w:r w:rsidRPr="00FC1084">
        <w:rPr>
          <w:rStyle w:val="Refdenotaalpie"/>
          <w:rFonts w:ascii="Verdana" w:hAnsi="Verdana" w:cs="Arial"/>
          <w:color w:val="000000" w:themeColor="text1"/>
          <w:sz w:val="16"/>
          <w:szCs w:val="16"/>
        </w:rPr>
        <w:footnoteRef/>
      </w:r>
      <w:r w:rsidRPr="00FC1084">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p w14:paraId="554DC53A" w14:textId="77777777" w:rsidR="00DA2A88" w:rsidRPr="00FC1084" w:rsidRDefault="00DA2A88" w:rsidP="00DA2A88">
      <w:pPr>
        <w:pStyle w:val="Textonotapie"/>
        <w:ind w:firstLine="708"/>
        <w:jc w:val="both"/>
        <w:rPr>
          <w:rFonts w:ascii="Verdana" w:hAnsi="Verdana" w:cs="Arial"/>
          <w:color w:val="000000" w:themeColor="text1"/>
          <w:sz w:val="16"/>
          <w:szCs w:val="16"/>
        </w:rPr>
      </w:pPr>
    </w:p>
  </w:footnote>
  <w:footnote w:id="7">
    <w:p w14:paraId="195A8B06" w14:textId="77777777" w:rsidR="00DA2A88" w:rsidRPr="00FC1084" w:rsidRDefault="00DA2A88" w:rsidP="00DA2A88">
      <w:pPr>
        <w:pStyle w:val="Textonotapie"/>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 que ocurre en los procedimientos de selección regidos por los documentos tipo, donde se reduce, en buena medida, dicha discrecionalidad.</w:t>
      </w:r>
    </w:p>
  </w:footnote>
  <w:footnote w:id="8">
    <w:p w14:paraId="419422C5" w14:textId="77777777" w:rsidR="00DA2A88" w:rsidRPr="00FC1084" w:rsidRDefault="00DA2A88" w:rsidP="00DA2A88">
      <w:pPr>
        <w:spacing w:after="0" w:line="240" w:lineRule="auto"/>
        <w:ind w:firstLine="720"/>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Consejo de Estado. Sala de lo Contencioso Administrativo. Sección Tercera. Subsección A. Sentencia del 16 de septiembre de 2013. </w:t>
      </w:r>
      <w:proofErr w:type="spellStart"/>
      <w:r w:rsidRPr="00FC1084">
        <w:rPr>
          <w:rFonts w:ascii="Verdana" w:hAnsi="Verdana" w:cs="Arial"/>
          <w:sz w:val="16"/>
          <w:szCs w:val="16"/>
        </w:rPr>
        <w:t>Exp</w:t>
      </w:r>
      <w:proofErr w:type="spellEnd"/>
      <w:r w:rsidRPr="00FC1084">
        <w:rPr>
          <w:rFonts w:ascii="Verdana" w:hAnsi="Verdana" w:cs="Arial"/>
          <w:sz w:val="16"/>
          <w:szCs w:val="16"/>
        </w:rPr>
        <w:t>. 30.571. C.P. Mauricio Fajardo Gómez. En dicha providencia el Consejo de Estado se pronunció sobre la fuerza vinculante de las respuestas a las observaciones presentadas por los interesados, expresando lo siguiente:</w:t>
      </w:r>
    </w:p>
    <w:p w14:paraId="6B06C53E" w14:textId="77777777" w:rsidR="00DA2A88" w:rsidRPr="00FC1084" w:rsidRDefault="00DA2A88" w:rsidP="00DA2A88">
      <w:pPr>
        <w:widowControl w:val="0"/>
        <w:autoSpaceDE w:val="0"/>
        <w:autoSpaceDN w:val="0"/>
        <w:spacing w:after="0" w:line="240" w:lineRule="auto"/>
        <w:ind w:firstLine="708"/>
        <w:jc w:val="both"/>
        <w:rPr>
          <w:rFonts w:ascii="Verdana" w:eastAsia="Arial" w:hAnsi="Verdana" w:cs="Arial"/>
          <w:sz w:val="16"/>
          <w:szCs w:val="16"/>
          <w:lang w:val="es-ES"/>
        </w:rPr>
      </w:pPr>
      <w:r w:rsidRPr="00FC1084">
        <w:rPr>
          <w:rFonts w:ascii="Verdana" w:eastAsia="Arial" w:hAnsi="Verdana" w:cs="Arial"/>
          <w:sz w:val="16"/>
          <w:szCs w:val="16"/>
        </w:rPr>
        <w:t>“</w:t>
      </w:r>
      <w:r w:rsidRPr="00FC1084">
        <w:rPr>
          <w:rFonts w:ascii="Verdana" w:eastAsia="Arial" w:hAnsi="Verdana" w:cs="Arial"/>
          <w:sz w:val="16"/>
          <w:szCs w:val="16"/>
          <w:lang w:val="es-ES"/>
        </w:rPr>
        <w:t xml:space="preserve">5.2. </w:t>
      </w:r>
      <w:r w:rsidRPr="00FC1084">
        <w:rPr>
          <w:rFonts w:ascii="Verdana" w:eastAsia="Arial" w:hAnsi="Verdana" w:cs="Arial"/>
          <w:sz w:val="16"/>
          <w:szCs w:val="16"/>
          <w:u w:val="single"/>
          <w:lang w:val="es-ES"/>
        </w:rPr>
        <w:t>De la fuerza vinculante de las respuestas a las solicitudes de aclaraciones en relación con los términos de referencia</w:t>
      </w:r>
      <w:r w:rsidRPr="00FC1084">
        <w:rPr>
          <w:rFonts w:ascii="Verdana" w:eastAsia="Arial" w:hAnsi="Verdana" w:cs="Arial"/>
          <w:sz w:val="16"/>
          <w:szCs w:val="16"/>
          <w:lang w:val="es-ES"/>
        </w:rPr>
        <w:t>.</w:t>
      </w:r>
    </w:p>
    <w:p w14:paraId="7DC9C804" w14:textId="77777777" w:rsidR="00DA2A88" w:rsidRPr="00FC1084" w:rsidRDefault="00DA2A88" w:rsidP="00DA2A88">
      <w:pPr>
        <w:widowControl w:val="0"/>
        <w:autoSpaceDE w:val="0"/>
        <w:autoSpaceDN w:val="0"/>
        <w:spacing w:after="0" w:line="240" w:lineRule="auto"/>
        <w:ind w:firstLine="708"/>
        <w:jc w:val="both"/>
        <w:rPr>
          <w:rFonts w:ascii="Verdana" w:eastAsia="Arial" w:hAnsi="Verdana" w:cs="Arial"/>
          <w:sz w:val="16"/>
          <w:szCs w:val="16"/>
          <w:lang w:val="es-ES"/>
        </w:rPr>
      </w:pPr>
      <w:r w:rsidRPr="00FC1084">
        <w:rPr>
          <w:rFonts w:ascii="Verdana" w:eastAsia="Arial" w:hAnsi="Verdana" w:cs="Arial"/>
          <w:sz w:val="16"/>
          <w:szCs w:val="16"/>
          <w:lang w:val="es-ES"/>
        </w:rPr>
        <w:t xml:space="preserve">Ahora bien, cuando la Administración no cumple a cabalidad las cargas de claridad y precisión que deben informar la elaboración de los pliegos de condiciones o los términos de referencia, al punto que una vez publicados susciten entre los respectivos interesados en participar en el procedimiento de selección, dudas o inquietudes fundadas y reiterativas respecto de determinados ítems o elementos integrantes del mismo, la Administración está en la obligación de absolverlas con absoluta nitidez, del tal modo que zanje cualquier dualidad interpretativa que frente al mismo hubiere lugar. En tal virtud ante cualquier respuesta a una inquietud surgida del pliego de condiciones o términos de referencia que le confiera un significado definitivo y trascendente que antes de resolver el interrogante y de cara a su imprecisión no tenía, a juicio de la Sala, la Administración no puede quedar relevada de su estricta observancia pretextando que la susodicha aclaración no tiene fuerza vinculante por no estar contenida en un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xml:space="preserve">. </w:t>
      </w:r>
    </w:p>
    <w:p w14:paraId="410B4241" w14:textId="77777777" w:rsidR="00DA2A88" w:rsidRPr="00FC1084" w:rsidRDefault="00DA2A88" w:rsidP="00DA2A88">
      <w:pPr>
        <w:widowControl w:val="0"/>
        <w:autoSpaceDE w:val="0"/>
        <w:autoSpaceDN w:val="0"/>
        <w:spacing w:after="0" w:line="240" w:lineRule="auto"/>
        <w:ind w:firstLine="708"/>
        <w:jc w:val="both"/>
        <w:rPr>
          <w:rFonts w:ascii="Verdana" w:eastAsia="Arial" w:hAnsi="Verdana" w:cs="Arial"/>
          <w:sz w:val="16"/>
          <w:szCs w:val="16"/>
          <w:lang w:val="es-ES"/>
        </w:rPr>
      </w:pPr>
      <w:r w:rsidRPr="00FC1084">
        <w:rPr>
          <w:rFonts w:ascii="Verdana" w:eastAsia="Arial" w:hAnsi="Verdana" w:cs="Arial"/>
          <w:sz w:val="16"/>
          <w:szCs w:val="16"/>
          <w:lang w:val="es-ES"/>
        </w:rPr>
        <w:t xml:space="preserve">A propósito de la formalidad del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xml:space="preserve"> a la que alude la parte demandada apelante, sea esta la oportunidad para precisar </w:t>
      </w:r>
      <w:proofErr w:type="gramStart"/>
      <w:r w:rsidRPr="00FC1084">
        <w:rPr>
          <w:rFonts w:ascii="Verdana" w:eastAsia="Arial" w:hAnsi="Verdana" w:cs="Arial"/>
          <w:sz w:val="16"/>
          <w:szCs w:val="16"/>
          <w:lang w:val="es-ES"/>
        </w:rPr>
        <w:t>que</w:t>
      </w:r>
      <w:proofErr w:type="gramEnd"/>
      <w:r w:rsidRPr="00FC1084">
        <w:rPr>
          <w:rFonts w:ascii="Verdana" w:eastAsia="Arial" w:hAnsi="Verdana" w:cs="Arial"/>
          <w:sz w:val="16"/>
          <w:szCs w:val="16"/>
          <w:lang w:val="es-ES"/>
        </w:rPr>
        <w:t xml:space="preserve"> si bien normativamente se ha establecido que cualquier modificación al pliego de condiciones o términos de referencia está llamada a implementarse a través de </w:t>
      </w:r>
      <w:proofErr w:type="spellStart"/>
      <w:proofErr w:type="gramStart"/>
      <w:r w:rsidRPr="00FC1084">
        <w:rPr>
          <w:rFonts w:ascii="Verdana" w:eastAsia="Arial" w:hAnsi="Verdana" w:cs="Arial"/>
          <w:sz w:val="16"/>
          <w:szCs w:val="16"/>
          <w:lang w:val="es-ES"/>
        </w:rPr>
        <w:t>adendos</w:t>
      </w:r>
      <w:proofErr w:type="spellEnd"/>
      <w:r w:rsidRPr="00FC1084">
        <w:rPr>
          <w:rFonts w:ascii="Verdana" w:eastAsia="Arial" w:hAnsi="Verdana" w:cs="Arial"/>
          <w:sz w:val="16"/>
          <w:szCs w:val="16"/>
          <w:lang w:val="es-ES"/>
        </w:rPr>
        <w:t xml:space="preserve"> ,</w:t>
      </w:r>
      <w:proofErr w:type="gramEnd"/>
      <w:r w:rsidRPr="00FC1084">
        <w:rPr>
          <w:rFonts w:ascii="Verdana" w:eastAsia="Arial" w:hAnsi="Verdana" w:cs="Arial"/>
          <w:sz w:val="16"/>
          <w:szCs w:val="16"/>
          <w:lang w:val="es-ES"/>
        </w:rPr>
        <w:t xml:space="preserve"> lo cierto es que la norma no estableció algún tipo de exigencia formal para su expedición.</w:t>
      </w:r>
    </w:p>
    <w:p w14:paraId="67F99ABE" w14:textId="77777777" w:rsidR="00DA2A88" w:rsidRPr="00FC1084" w:rsidRDefault="00DA2A88" w:rsidP="00DA2A88">
      <w:pPr>
        <w:widowControl w:val="0"/>
        <w:autoSpaceDE w:val="0"/>
        <w:autoSpaceDN w:val="0"/>
        <w:spacing w:after="0" w:line="240" w:lineRule="auto"/>
        <w:ind w:firstLine="708"/>
        <w:jc w:val="both"/>
        <w:rPr>
          <w:rFonts w:ascii="Verdana" w:eastAsia="Arial" w:hAnsi="Verdana" w:cs="Arial"/>
          <w:sz w:val="16"/>
          <w:szCs w:val="16"/>
          <w:lang w:val="es-ES"/>
        </w:rPr>
      </w:pPr>
      <w:r w:rsidRPr="00FC1084">
        <w:rPr>
          <w:rFonts w:ascii="Verdana" w:eastAsia="Arial" w:hAnsi="Verdana" w:cs="Arial"/>
          <w:sz w:val="16"/>
          <w:szCs w:val="16"/>
          <w:lang w:val="es-ES"/>
        </w:rPr>
        <w:t xml:space="preserve">Una vez consultado el significado literal de la palabra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xml:space="preserve"> se encuentra que corresponde a un “Conjunto de textos que se añaden a una obra escrita ya terminada o a una de sus partes para completarla y actualizarla.”  De ahí que constituirá un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todo lo que adicione, agregue o complete el texto inicial, es decir que contenga una previsión que el documento original no tenía.</w:t>
      </w:r>
    </w:p>
    <w:p w14:paraId="6DB250C6" w14:textId="77777777" w:rsidR="00DA2A88" w:rsidRPr="00FC1084" w:rsidRDefault="00DA2A88" w:rsidP="00DA2A88">
      <w:pPr>
        <w:widowControl w:val="0"/>
        <w:autoSpaceDE w:val="0"/>
        <w:autoSpaceDN w:val="0"/>
        <w:spacing w:after="0" w:line="240" w:lineRule="auto"/>
        <w:ind w:firstLine="708"/>
        <w:jc w:val="both"/>
        <w:rPr>
          <w:rFonts w:ascii="Verdana" w:eastAsia="Arial" w:hAnsi="Verdana" w:cs="Arial"/>
          <w:sz w:val="16"/>
          <w:szCs w:val="16"/>
          <w:lang w:val="es-ES"/>
        </w:rPr>
      </w:pPr>
      <w:r w:rsidRPr="00FC1084">
        <w:rPr>
          <w:rFonts w:ascii="Verdana" w:eastAsia="Arial" w:hAnsi="Verdana" w:cs="Arial"/>
          <w:sz w:val="16"/>
          <w:szCs w:val="16"/>
          <w:lang w:val="es-ES"/>
        </w:rPr>
        <w:t>Siguiendo el lineamiento expuesto, en criterio de la Sala, independientemente de que el contenido de la modificación se encuentre comprendido en un documento que no tenga el rótulo de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 oferentes.</w:t>
      </w:r>
    </w:p>
    <w:p w14:paraId="6CD1AF64" w14:textId="77777777" w:rsidR="00DA2A88" w:rsidRPr="00FC1084" w:rsidRDefault="00DA2A88" w:rsidP="00DA2A88">
      <w:pPr>
        <w:spacing w:after="0" w:line="240" w:lineRule="auto"/>
        <w:ind w:firstLine="720"/>
        <w:jc w:val="both"/>
        <w:rPr>
          <w:rFonts w:ascii="Verdana" w:hAnsi="Verdana" w:cs="Arial"/>
          <w:sz w:val="16"/>
          <w:szCs w:val="16"/>
        </w:rPr>
      </w:pPr>
      <w:r w:rsidRPr="00FC1084">
        <w:rPr>
          <w:rFonts w:ascii="Verdana" w:eastAsia="Arial" w:hAnsi="Verdana" w:cs="Arial"/>
          <w:sz w:val="16"/>
          <w:szCs w:val="16"/>
          <w:lang w:val="es-ES"/>
        </w:rPr>
        <w:t xml:space="preserve">En ese orden de ideas, sea que se llame </w:t>
      </w:r>
      <w:proofErr w:type="spellStart"/>
      <w:r w:rsidRPr="00FC1084">
        <w:rPr>
          <w:rFonts w:ascii="Verdana" w:eastAsia="Arial" w:hAnsi="Verdana" w:cs="Arial"/>
          <w:sz w:val="16"/>
          <w:szCs w:val="16"/>
          <w:lang w:val="es-ES"/>
        </w:rPr>
        <w:t>adendo</w:t>
      </w:r>
      <w:proofErr w:type="spellEnd"/>
      <w:r w:rsidRPr="00FC1084">
        <w:rPr>
          <w:rFonts w:ascii="Verdana" w:eastAsia="Arial" w:hAnsi="Verdana" w:cs="Arial"/>
          <w:sz w:val="16"/>
          <w:szCs w:val="16"/>
          <w:lang w:val="es-ES"/>
        </w:rPr>
        <w:t>,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 condiciones”.</w:t>
      </w:r>
    </w:p>
  </w:footnote>
  <w:footnote w:id="9">
    <w:p w14:paraId="43428C15" w14:textId="77777777" w:rsidR="00DA2A88" w:rsidRPr="00EB1FFD" w:rsidRDefault="00DA2A88" w:rsidP="00DA2A88">
      <w:pPr>
        <w:pStyle w:val="Textonotapie"/>
        <w:ind w:firstLine="708"/>
        <w:jc w:val="both"/>
        <w:rPr>
          <w:rFonts w:ascii="Arial" w:hAnsi="Arial" w:cs="Arial"/>
          <w:color w:val="000000"/>
          <w:sz w:val="16"/>
          <w:szCs w:val="16"/>
          <w:lang w:val="es-ES"/>
        </w:rPr>
      </w:pPr>
      <w:r w:rsidRPr="00EB1FFD">
        <w:rPr>
          <w:rStyle w:val="Refdenotaalpie"/>
          <w:rFonts w:ascii="Verdana" w:hAnsi="Verdana" w:cs="Arial"/>
          <w:color w:val="000000"/>
          <w:sz w:val="16"/>
          <w:szCs w:val="16"/>
        </w:rPr>
        <w:footnoteRef/>
      </w:r>
      <w:r w:rsidRPr="00EB1FFD">
        <w:rPr>
          <w:rFonts w:ascii="Verdana" w:hAnsi="Verdana" w:cs="Arial"/>
          <w:color w:val="000000"/>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10">
    <w:p w14:paraId="6B04EC1A" w14:textId="77777777" w:rsidR="00DA2A88" w:rsidRPr="00EB1FFD" w:rsidRDefault="00DA2A88" w:rsidP="00DA2A88">
      <w:pPr>
        <w:pStyle w:val="Textonotapie"/>
        <w:ind w:firstLine="709"/>
        <w:jc w:val="both"/>
        <w:rPr>
          <w:rFonts w:ascii="Verdana" w:hAnsi="Verdana"/>
          <w:sz w:val="16"/>
          <w:szCs w:val="16"/>
          <w:lang w:val="es-CO"/>
        </w:rPr>
      </w:pPr>
      <w:r w:rsidRPr="00EB1FFD">
        <w:rPr>
          <w:rStyle w:val="Refdenotaalpie"/>
          <w:rFonts w:ascii="Verdana" w:hAnsi="Verdana"/>
          <w:sz w:val="16"/>
          <w:szCs w:val="16"/>
        </w:rPr>
        <w:footnoteRef/>
      </w:r>
      <w:r w:rsidRPr="00EB1FFD">
        <w:rPr>
          <w:rFonts w:ascii="Verdana" w:hAnsi="Verdana"/>
          <w:sz w:val="16"/>
          <w:szCs w:val="16"/>
        </w:rPr>
        <w:t xml:space="preserve"> Consejo de Estado. Sala de lo Contencioso Administrativo. Sección Tercera. Sentencia de 20 de febrero de 2014. </w:t>
      </w:r>
      <w:proofErr w:type="spellStart"/>
      <w:r w:rsidRPr="00EB1FFD">
        <w:rPr>
          <w:rFonts w:ascii="Verdana" w:hAnsi="Verdana"/>
          <w:sz w:val="16"/>
          <w:szCs w:val="16"/>
        </w:rPr>
        <w:t>Exp</w:t>
      </w:r>
      <w:proofErr w:type="spellEnd"/>
      <w:r w:rsidRPr="00EB1FFD">
        <w:rPr>
          <w:rFonts w:ascii="Verdana" w:hAnsi="Verdana"/>
          <w:sz w:val="16"/>
          <w:szCs w:val="16"/>
        </w:rPr>
        <w:t>. 28.342. M.P Stella Conto Diaz Del Castillo.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11.15pt;height:1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CDD"/>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76114"/>
    <w:rsid w:val="002951A0"/>
    <w:rsid w:val="002962BC"/>
    <w:rsid w:val="002A093D"/>
    <w:rsid w:val="002A0DD0"/>
    <w:rsid w:val="002A49AC"/>
    <w:rsid w:val="002A64FD"/>
    <w:rsid w:val="002C7A84"/>
    <w:rsid w:val="002E4FD9"/>
    <w:rsid w:val="00322A85"/>
    <w:rsid w:val="00324168"/>
    <w:rsid w:val="003448F4"/>
    <w:rsid w:val="00347C0B"/>
    <w:rsid w:val="00374F5E"/>
    <w:rsid w:val="00377E3E"/>
    <w:rsid w:val="003A779E"/>
    <w:rsid w:val="003D0F4D"/>
    <w:rsid w:val="003D5B0D"/>
    <w:rsid w:val="003E0499"/>
    <w:rsid w:val="003F3941"/>
    <w:rsid w:val="00406575"/>
    <w:rsid w:val="00411D4E"/>
    <w:rsid w:val="00414C74"/>
    <w:rsid w:val="0042722E"/>
    <w:rsid w:val="0044528D"/>
    <w:rsid w:val="004A1847"/>
    <w:rsid w:val="004A305D"/>
    <w:rsid w:val="004F21C4"/>
    <w:rsid w:val="004F685F"/>
    <w:rsid w:val="00517847"/>
    <w:rsid w:val="005516A0"/>
    <w:rsid w:val="005566E8"/>
    <w:rsid w:val="00574867"/>
    <w:rsid w:val="00591460"/>
    <w:rsid w:val="005C3777"/>
    <w:rsid w:val="005C5CDC"/>
    <w:rsid w:val="005D476C"/>
    <w:rsid w:val="006219F8"/>
    <w:rsid w:val="006302F7"/>
    <w:rsid w:val="00665D70"/>
    <w:rsid w:val="00671C43"/>
    <w:rsid w:val="006900D9"/>
    <w:rsid w:val="006A34BA"/>
    <w:rsid w:val="006A760C"/>
    <w:rsid w:val="006C20FE"/>
    <w:rsid w:val="00706C16"/>
    <w:rsid w:val="00756841"/>
    <w:rsid w:val="007649AB"/>
    <w:rsid w:val="00771D0C"/>
    <w:rsid w:val="007833AC"/>
    <w:rsid w:val="007B268C"/>
    <w:rsid w:val="007B7171"/>
    <w:rsid w:val="007C0C0F"/>
    <w:rsid w:val="007C3DC2"/>
    <w:rsid w:val="007E5497"/>
    <w:rsid w:val="00806F5F"/>
    <w:rsid w:val="00811011"/>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3447"/>
    <w:rsid w:val="009A0DFA"/>
    <w:rsid w:val="009B25A8"/>
    <w:rsid w:val="009B2D26"/>
    <w:rsid w:val="009C71FA"/>
    <w:rsid w:val="009C72E7"/>
    <w:rsid w:val="009D3058"/>
    <w:rsid w:val="009F3A13"/>
    <w:rsid w:val="00A122D3"/>
    <w:rsid w:val="00A17F13"/>
    <w:rsid w:val="00A20739"/>
    <w:rsid w:val="00A33C78"/>
    <w:rsid w:val="00AB0ADB"/>
    <w:rsid w:val="00AB6B5C"/>
    <w:rsid w:val="00B00C0E"/>
    <w:rsid w:val="00B01B1A"/>
    <w:rsid w:val="00B44A47"/>
    <w:rsid w:val="00B62E32"/>
    <w:rsid w:val="00B72CD3"/>
    <w:rsid w:val="00B72FFF"/>
    <w:rsid w:val="00BC2E72"/>
    <w:rsid w:val="00BC3D36"/>
    <w:rsid w:val="00BD7F72"/>
    <w:rsid w:val="00C04FB3"/>
    <w:rsid w:val="00C330EB"/>
    <w:rsid w:val="00C62C0B"/>
    <w:rsid w:val="00C754BE"/>
    <w:rsid w:val="00C76B1C"/>
    <w:rsid w:val="00CB6357"/>
    <w:rsid w:val="00CC1B26"/>
    <w:rsid w:val="00D423A2"/>
    <w:rsid w:val="00D520D8"/>
    <w:rsid w:val="00D63AC2"/>
    <w:rsid w:val="00D7383B"/>
    <w:rsid w:val="00DA231B"/>
    <w:rsid w:val="00DA2A88"/>
    <w:rsid w:val="00DC39FC"/>
    <w:rsid w:val="00DF5254"/>
    <w:rsid w:val="00DF6552"/>
    <w:rsid w:val="00E16408"/>
    <w:rsid w:val="00E20894"/>
    <w:rsid w:val="00E245AB"/>
    <w:rsid w:val="00E2764C"/>
    <w:rsid w:val="00E27F2E"/>
    <w:rsid w:val="00E50AFE"/>
    <w:rsid w:val="00E75C92"/>
    <w:rsid w:val="00E771DC"/>
    <w:rsid w:val="00E8772A"/>
    <w:rsid w:val="00E90F6B"/>
    <w:rsid w:val="00E92C27"/>
    <w:rsid w:val="00E93115"/>
    <w:rsid w:val="00EA0E3D"/>
    <w:rsid w:val="00EB1FFD"/>
    <w:rsid w:val="00EC38A7"/>
    <w:rsid w:val="00EE1AA8"/>
    <w:rsid w:val="00F31EDC"/>
    <w:rsid w:val="00F462B3"/>
    <w:rsid w:val="00F5664F"/>
    <w:rsid w:val="00F666C4"/>
    <w:rsid w:val="00F76AFC"/>
    <w:rsid w:val="00FA47C0"/>
    <w:rsid w:val="00FB5DD1"/>
    <w:rsid w:val="00FC1084"/>
    <w:rsid w:val="00FC2B5D"/>
    <w:rsid w:val="00FF1449"/>
    <w:rsid w:val="0191EAB3"/>
    <w:rsid w:val="0B00B397"/>
    <w:rsid w:val="17ECBA39"/>
    <w:rsid w:val="2046F149"/>
    <w:rsid w:val="21899D44"/>
    <w:rsid w:val="28700AD3"/>
    <w:rsid w:val="2FCBA066"/>
    <w:rsid w:val="3275FD84"/>
    <w:rsid w:val="32FCCA2A"/>
    <w:rsid w:val="36AD8871"/>
    <w:rsid w:val="39358CF7"/>
    <w:rsid w:val="40B8489B"/>
    <w:rsid w:val="44E59442"/>
    <w:rsid w:val="509CEC34"/>
    <w:rsid w:val="5387EB35"/>
    <w:rsid w:val="5B94F2BA"/>
    <w:rsid w:val="6099A704"/>
    <w:rsid w:val="60FAB631"/>
    <w:rsid w:val="6B72706B"/>
    <w:rsid w:val="6CCF4ABA"/>
    <w:rsid w:val="718D7E2B"/>
    <w:rsid w:val="71A62436"/>
    <w:rsid w:val="78562087"/>
    <w:rsid w:val="7A4884E6"/>
    <w:rsid w:val="7F03A4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A2A8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A2A8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audiapvc56@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D07E56F-1314-425E-B10C-112AC8DD7FB1}"/>
</file>

<file path=customXml/itemProps3.xml><?xml version="1.0" encoding="utf-8"?>
<ds:datastoreItem xmlns:ds="http://schemas.openxmlformats.org/officeDocument/2006/customXml" ds:itemID="{20847F41-7653-4614-9C99-C5295A170549}">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17</Pages>
  <Words>5340</Words>
  <Characters>28623</Characters>
  <Application>Microsoft Office Word</Application>
  <DocSecurity>0</DocSecurity>
  <Lines>561</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2025-09-23T12:23:00Z</dcterms:created>
  <dcterms:modified xsi:type="dcterms:W3CDTF">2025-09-24T01:54:00Z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