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51B38" w14:textId="7802299E" w:rsidR="00AF1E4F" w:rsidRPr="00AF1E4F" w:rsidRDefault="00AF1E4F" w:rsidP="00E27077">
      <w:pPr>
        <w:spacing w:after="0"/>
        <w:rPr>
          <w:rFonts w:ascii="Verdana" w:hAnsi="Verdana" w:cs="Arial"/>
          <w:b/>
          <w:color w:val="000000" w:themeColor="text1"/>
          <w:lang w:val="es-ES_tradnl"/>
        </w:rPr>
      </w:pPr>
      <w:bookmarkStart w:id="0" w:name="_Hlk143780582"/>
      <w:r w:rsidRPr="00AF1E4F">
        <w:rPr>
          <w:rFonts w:ascii="Verdana" w:hAnsi="Verdana" w:cs="Arial"/>
          <w:b/>
          <w:color w:val="000000" w:themeColor="text1"/>
          <w:lang w:val="es-ES_tradnl"/>
        </w:rPr>
        <w:t xml:space="preserve">PRINCIPIO DE PUBLICIDAD – Noción – SECOP </w:t>
      </w:r>
    </w:p>
    <w:p w14:paraId="0FEF9FE3" w14:textId="77777777" w:rsidR="00AF1E4F" w:rsidRDefault="00AF1E4F" w:rsidP="00E27077">
      <w:pPr>
        <w:spacing w:after="0"/>
        <w:rPr>
          <w:rFonts w:ascii="Verdana" w:eastAsia="Times New Roman" w:hAnsi="Verdana" w:cs="Arial"/>
          <w:lang w:val="es-ES_tradnl" w:eastAsia="es-ES_tradnl"/>
          <w14:ligatures w14:val="standardContextual"/>
        </w:rPr>
      </w:pPr>
    </w:p>
    <w:p w14:paraId="3910C582" w14:textId="4902D163" w:rsidR="00AF1E4F" w:rsidRDefault="00AF1E4F" w:rsidP="00AF1E4F">
      <w:pPr>
        <w:spacing w:after="0"/>
        <w:jc w:val="both"/>
        <w:rPr>
          <w:rFonts w:ascii="Verdana" w:hAnsi="Verdana" w:cs="Arial"/>
          <w:bCs/>
          <w:color w:val="000000" w:themeColor="text1"/>
          <w:lang w:val="es-ES_tradnl"/>
        </w:rPr>
      </w:pPr>
      <w:r>
        <w:rPr>
          <w:rFonts w:ascii="Verdana" w:eastAsia="Times New Roman" w:hAnsi="Verdana" w:cs="Arial"/>
          <w:lang w:val="es-ES_tradnl" w:eastAsia="es-ES_tradnl"/>
          <w14:ligatures w14:val="standardContextual"/>
        </w:rPr>
        <w:t>e</w:t>
      </w:r>
      <w:r w:rsidRPr="005817C0">
        <w:rPr>
          <w:rFonts w:ascii="Verdana" w:eastAsia="Times New Roman" w:hAnsi="Verdana" w:cs="Arial"/>
          <w:lang w:val="es-ES_tradnl" w:eastAsia="es-ES_tradnl"/>
          <w14:ligatures w14:val="standardContextual"/>
        </w:rPr>
        <w:t xml:space="preserv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w:t>
      </w:r>
      <w:r w:rsidRPr="00330EF6">
        <w:rPr>
          <w:rFonts w:ascii="Verdana" w:eastAsia="Times New Roman" w:hAnsi="Verdana" w:cs="Arial"/>
          <w:lang w:val="es-ES_tradnl" w:eastAsia="es-ES_tradnl"/>
          <w14:ligatures w14:val="standardContextual"/>
        </w:rPr>
        <w:t>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p>
    <w:p w14:paraId="6C921126" w14:textId="77777777" w:rsidR="00AF1E4F" w:rsidRDefault="00AF1E4F" w:rsidP="00E27077">
      <w:pPr>
        <w:spacing w:after="0"/>
        <w:rPr>
          <w:rFonts w:ascii="Verdana" w:hAnsi="Verdana" w:cs="Arial"/>
          <w:bCs/>
          <w:color w:val="000000" w:themeColor="text1"/>
          <w:lang w:val="es-ES_tradnl"/>
        </w:rPr>
      </w:pPr>
    </w:p>
    <w:p w14:paraId="14D94E9A" w14:textId="5375E2FE" w:rsidR="00AF1E4F" w:rsidRPr="00AF1E4F" w:rsidRDefault="00AF1E4F" w:rsidP="00E27077">
      <w:pPr>
        <w:spacing w:after="0"/>
        <w:rPr>
          <w:rFonts w:ascii="Verdana" w:hAnsi="Verdana"/>
          <w:b/>
        </w:rPr>
      </w:pPr>
      <w:r w:rsidRPr="00AF1E4F">
        <w:rPr>
          <w:rFonts w:ascii="Verdana" w:hAnsi="Verdana" w:cs="Arial"/>
          <w:b/>
          <w:color w:val="000000" w:themeColor="text1"/>
          <w:lang w:val="es-ES_tradnl"/>
        </w:rPr>
        <w:t xml:space="preserve">DEBER DE PUBLICACIÓN – Publicación aviso limitación a </w:t>
      </w:r>
      <w:proofErr w:type="spellStart"/>
      <w:r w:rsidRPr="00AF1E4F">
        <w:rPr>
          <w:rFonts w:ascii="Verdana" w:hAnsi="Verdana" w:cs="Arial"/>
          <w:b/>
          <w:color w:val="000000" w:themeColor="text1"/>
          <w:lang w:val="es-ES_tradnl"/>
        </w:rPr>
        <w:t>Mipymes</w:t>
      </w:r>
      <w:proofErr w:type="spellEnd"/>
      <w:r w:rsidRPr="00AF1E4F">
        <w:rPr>
          <w:rFonts w:ascii="Verdana" w:hAnsi="Verdana" w:cs="Arial"/>
          <w:b/>
          <w:color w:val="000000" w:themeColor="text1"/>
          <w:lang w:val="es-ES_tradnl"/>
        </w:rPr>
        <w:t xml:space="preserve"> – Documentos del proceso</w:t>
      </w:r>
    </w:p>
    <w:p w14:paraId="47A39558" w14:textId="0C2798E9" w:rsidR="00AF1E4F" w:rsidRDefault="00AF1E4F" w:rsidP="00E27077">
      <w:pPr>
        <w:spacing w:after="0"/>
        <w:rPr>
          <w:rFonts w:ascii="Verdana" w:hAnsi="Verdana"/>
        </w:rPr>
      </w:pPr>
    </w:p>
    <w:p w14:paraId="42F8E9C9" w14:textId="77777777" w:rsidR="00AF1E4F" w:rsidRPr="00B83613" w:rsidRDefault="00AF1E4F" w:rsidP="00AF1E4F">
      <w:pPr>
        <w:widowControl w:val="0"/>
        <w:autoSpaceDE w:val="0"/>
        <w:autoSpaceDN w:val="0"/>
        <w:spacing w:after="120" w:line="276" w:lineRule="auto"/>
        <w:jc w:val="both"/>
        <w:rPr>
          <w:rFonts w:ascii="Verdana" w:hAnsi="Verdana"/>
        </w:rPr>
      </w:pPr>
      <w:r w:rsidRPr="00B83613">
        <w:rPr>
          <w:rFonts w:ascii="Verdana" w:hAnsi="Verdana"/>
        </w:rPr>
        <w:t xml:space="preserve">el deber de publicar los documentos relacionados con la contratación no se encuentra regulado solamente por las normas del EGCAP. Esto, por cuanto la Ley 1712 de 2014, normativa de la transparencia y del derecho de acceso a la información pública, señala en el literal g) del artículo 11 que todo sujeto obligado debe publicar sus procedimientos, lineamientos, políticas en materia de adquisiciones y compras, así como todos los datos de adjudicación y ejecución de sus contratos. Dicha obligación, en principio, fue reglamentada por el Decreto 103 de 2015, hoy compilado en el Decreto 1081 de 2015.  Este último señala, en el artículo 2.1.1.2.1.7, que las entidades deberán publicar en el SECOP la información de su gestión contractual. </w:t>
      </w:r>
    </w:p>
    <w:p w14:paraId="6621E33B" w14:textId="77777777" w:rsidR="00AF1E4F" w:rsidRDefault="00AF1E4F" w:rsidP="00E27077">
      <w:pPr>
        <w:spacing w:after="0"/>
        <w:rPr>
          <w:rFonts w:ascii="Verdana" w:hAnsi="Verdana"/>
        </w:rPr>
      </w:pPr>
    </w:p>
    <w:p w14:paraId="74D675B0" w14:textId="550EF9A9" w:rsidR="00AF1E4F" w:rsidRPr="005E4C0B" w:rsidRDefault="00AF1E4F" w:rsidP="00AF1E4F">
      <w:pPr>
        <w:widowControl w:val="0"/>
        <w:autoSpaceDE w:val="0"/>
        <w:autoSpaceDN w:val="0"/>
        <w:spacing w:after="120" w:line="276" w:lineRule="auto"/>
        <w:jc w:val="both"/>
        <w:rPr>
          <w:rFonts w:ascii="Verdana" w:hAnsi="Verdana"/>
        </w:rPr>
      </w:pPr>
      <w:r>
        <w:rPr>
          <w:rFonts w:ascii="Verdana" w:hAnsi="Verdana"/>
        </w:rPr>
        <w:t xml:space="preserve">[…] se resalta </w:t>
      </w:r>
      <w:proofErr w:type="gramStart"/>
      <w:r>
        <w:rPr>
          <w:rFonts w:ascii="Verdana" w:hAnsi="Verdana"/>
        </w:rPr>
        <w:t>que</w:t>
      </w:r>
      <w:proofErr w:type="gramEnd"/>
      <w:r>
        <w:rPr>
          <w:rFonts w:ascii="Verdana" w:hAnsi="Verdana"/>
        </w:rPr>
        <w:t xml:space="preserve"> en la reglamentación de la modalidad de mínima cuantía, en el numeral 4 del artículo 2.2.1.2.1.5.2. del Decreto 1082 de 2015, se </w:t>
      </w:r>
      <w:r w:rsidRPr="005E4C0B">
        <w:rPr>
          <w:rFonts w:ascii="Verdana" w:hAnsi="Verdana"/>
        </w:rPr>
        <w:t>establece que la Entidad Estatal incluirá en el cronograma del proceso “</w:t>
      </w:r>
      <w:proofErr w:type="spellStart"/>
      <w:r w:rsidRPr="005E4C0B">
        <w:rPr>
          <w:rFonts w:ascii="Verdana" w:hAnsi="Verdana"/>
          <w:shd w:val="clear" w:color="auto" w:fill="FFFFFF"/>
        </w:rPr>
        <w:t>iii</w:t>
      </w:r>
      <w:proofErr w:type="spellEnd"/>
      <w:r w:rsidRPr="005E4C0B">
        <w:rPr>
          <w:rFonts w:ascii="Verdana" w:hAnsi="Verdana"/>
          <w:shd w:val="clear" w:color="auto" w:fill="FFFFFF"/>
        </w:rPr>
        <w:t xml:space="preserve">) El momento en que publicará un aviso en el SECOP precisando si el proceso efectivamente se limitó a </w:t>
      </w:r>
      <w:proofErr w:type="spellStart"/>
      <w:r w:rsidRPr="005E4C0B">
        <w:rPr>
          <w:rFonts w:ascii="Verdana" w:hAnsi="Verdana"/>
          <w:shd w:val="clear" w:color="auto" w:fill="FFFFFF"/>
        </w:rPr>
        <w:t>Mipyme</w:t>
      </w:r>
      <w:proofErr w:type="spellEnd"/>
      <w:r w:rsidRPr="005E4C0B">
        <w:rPr>
          <w:rFonts w:ascii="Verdana" w:hAnsi="Verdana"/>
          <w:shd w:val="clear" w:color="auto" w:fill="FFFFFF"/>
        </w:rPr>
        <w:t xml:space="preserve"> o si podrá participar cualquier otro interesado.”</w:t>
      </w:r>
    </w:p>
    <w:p w14:paraId="7FE3DED1" w14:textId="77777777" w:rsidR="00AF1E4F" w:rsidRDefault="00AF1E4F" w:rsidP="00E27077">
      <w:pPr>
        <w:spacing w:after="0"/>
        <w:rPr>
          <w:rFonts w:ascii="Verdana" w:hAnsi="Verdana"/>
        </w:rPr>
      </w:pPr>
    </w:p>
    <w:p w14:paraId="54BF6064" w14:textId="77777777" w:rsidR="00AF1E4F" w:rsidRDefault="00AF1E4F" w:rsidP="00E27077">
      <w:pPr>
        <w:spacing w:after="0"/>
        <w:rPr>
          <w:rFonts w:ascii="Verdana" w:hAnsi="Verdana"/>
        </w:rPr>
      </w:pPr>
    </w:p>
    <w:p w14:paraId="0A4CFED7" w14:textId="77777777" w:rsidR="00AF1E4F" w:rsidRDefault="00AF1E4F" w:rsidP="00E27077">
      <w:pPr>
        <w:spacing w:after="0"/>
        <w:rPr>
          <w:rFonts w:ascii="Verdana" w:hAnsi="Verdana"/>
        </w:rPr>
      </w:pPr>
    </w:p>
    <w:p w14:paraId="1502564C" w14:textId="77777777" w:rsidR="00AF1E4F" w:rsidRDefault="00AF1E4F" w:rsidP="00E27077">
      <w:pPr>
        <w:spacing w:after="0"/>
        <w:rPr>
          <w:rFonts w:ascii="Verdana" w:hAnsi="Verdana"/>
        </w:rPr>
      </w:pPr>
    </w:p>
    <w:p w14:paraId="67EA2609" w14:textId="77777777" w:rsidR="00AF1E4F" w:rsidRDefault="00AF1E4F" w:rsidP="00E27077">
      <w:pPr>
        <w:spacing w:after="0"/>
        <w:rPr>
          <w:rFonts w:ascii="Verdana" w:hAnsi="Verdana"/>
        </w:rPr>
      </w:pPr>
    </w:p>
    <w:p w14:paraId="5A553979" w14:textId="77777777" w:rsidR="00AF1E4F" w:rsidRDefault="00AF1E4F" w:rsidP="00E27077">
      <w:pPr>
        <w:spacing w:after="0"/>
        <w:rPr>
          <w:rFonts w:ascii="Verdana" w:hAnsi="Verdana"/>
        </w:rPr>
      </w:pPr>
    </w:p>
    <w:p w14:paraId="6CE6FCB4" w14:textId="77777777" w:rsidR="00AF1E4F" w:rsidRDefault="00AF1E4F" w:rsidP="00E27077">
      <w:pPr>
        <w:spacing w:after="0"/>
        <w:rPr>
          <w:rFonts w:ascii="Verdana" w:hAnsi="Verdana"/>
        </w:rPr>
      </w:pPr>
    </w:p>
    <w:p w14:paraId="71947197" w14:textId="77777777" w:rsidR="00AF1E4F" w:rsidRDefault="00AF1E4F" w:rsidP="00E27077">
      <w:pPr>
        <w:spacing w:after="0"/>
        <w:rPr>
          <w:rFonts w:ascii="Verdana" w:hAnsi="Verdana"/>
        </w:rPr>
      </w:pPr>
    </w:p>
    <w:p w14:paraId="4BBDE5E5" w14:textId="39012200" w:rsidR="00E27077" w:rsidRPr="0044528D" w:rsidRDefault="00AF1E4F" w:rsidP="00E27077">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DCFD1F7" wp14:editId="378ECA25">
            <wp:simplePos x="0" y="0"/>
            <wp:positionH relativeFrom="column">
              <wp:posOffset>3284745</wp:posOffset>
            </wp:positionH>
            <wp:positionV relativeFrom="paragraph">
              <wp:posOffset>-1270</wp:posOffset>
            </wp:positionV>
            <wp:extent cx="2536466" cy="815292"/>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536466" cy="815292"/>
                    </a:xfrm>
                    <a:prstGeom prst="rect">
                      <a:avLst/>
                    </a:prstGeom>
                  </pic:spPr>
                </pic:pic>
              </a:graphicData>
            </a:graphic>
            <wp14:sizeRelH relativeFrom="page">
              <wp14:pctWidth>0</wp14:pctWidth>
            </wp14:sizeRelH>
            <wp14:sizeRelV relativeFrom="page">
              <wp14:pctHeight>0</wp14:pctHeight>
            </wp14:sizeRelV>
          </wp:anchor>
        </w:drawing>
      </w:r>
      <w:r w:rsidR="00E27077" w:rsidRPr="0044528D">
        <w:rPr>
          <w:rFonts w:ascii="Verdana" w:hAnsi="Verdana"/>
        </w:rPr>
        <w:t xml:space="preserve">Bogotá D.C., </w:t>
      </w:r>
      <w:r>
        <w:rPr>
          <w:rFonts w:ascii="Verdana" w:hAnsi="Verdana"/>
        </w:rPr>
        <w:t xml:space="preserve">26 </w:t>
      </w:r>
      <w:proofErr w:type="gramStart"/>
      <w:r>
        <w:rPr>
          <w:rFonts w:ascii="Verdana" w:hAnsi="Verdana"/>
        </w:rPr>
        <w:t>Septiembre</w:t>
      </w:r>
      <w:proofErr w:type="gramEnd"/>
      <w:r>
        <w:rPr>
          <w:rFonts w:ascii="Verdana" w:hAnsi="Verdana"/>
        </w:rPr>
        <w:t xml:space="preserve"> 2025  </w:t>
      </w:r>
      <w:r w:rsidR="00E27077" w:rsidRPr="0044528D">
        <w:rPr>
          <w:rFonts w:ascii="Verdana" w:hAnsi="Verdana"/>
        </w:rPr>
        <w:tab/>
      </w:r>
    </w:p>
    <w:p w14:paraId="4F294E3E" w14:textId="77777777" w:rsidR="00E27077" w:rsidRPr="0044528D" w:rsidRDefault="00E27077" w:rsidP="00E27077">
      <w:pPr>
        <w:spacing w:after="0"/>
        <w:rPr>
          <w:rFonts w:ascii="Verdana" w:hAnsi="Verdana"/>
        </w:rPr>
      </w:pPr>
    </w:p>
    <w:p w14:paraId="7EAB885F" w14:textId="77777777" w:rsidR="00E27077" w:rsidRPr="0044528D" w:rsidRDefault="00E27077" w:rsidP="00E27077">
      <w:pPr>
        <w:spacing w:after="0"/>
        <w:rPr>
          <w:rFonts w:ascii="Verdana" w:hAnsi="Verdana"/>
        </w:rPr>
      </w:pPr>
    </w:p>
    <w:bookmarkEnd w:id="0"/>
    <w:p w14:paraId="159B9B47" w14:textId="77777777" w:rsidR="00E27077" w:rsidRDefault="00E27077" w:rsidP="00E27077">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0DA0A287" w14:textId="77777777" w:rsidR="00E27077" w:rsidRPr="00C53B42" w:rsidRDefault="00E27077" w:rsidP="00E27077">
      <w:pPr>
        <w:spacing w:after="0" w:line="240" w:lineRule="auto"/>
        <w:rPr>
          <w:rFonts w:ascii="Verdana" w:eastAsia="Calibri" w:hAnsi="Verdana" w:cs="Arial"/>
          <w:b/>
          <w:lang w:val="es-ES" w:eastAsia="es-ES"/>
        </w:rPr>
      </w:pPr>
      <w:r>
        <w:rPr>
          <w:rFonts w:ascii="Verdana" w:eastAsia="Calibri" w:hAnsi="Verdana" w:cs="Arial"/>
          <w:b/>
          <w:lang w:val="es-ES" w:eastAsia="es-ES"/>
        </w:rPr>
        <w:t>Claudia Patricia Velasco Capacho</w:t>
      </w:r>
    </w:p>
    <w:p w14:paraId="6687BD34" w14:textId="77777777" w:rsidR="00E27077" w:rsidRPr="00C53B42" w:rsidRDefault="00E27077" w:rsidP="00E27077">
      <w:pPr>
        <w:spacing w:after="0" w:line="240" w:lineRule="auto"/>
        <w:rPr>
          <w:rFonts w:ascii="Verdana" w:hAnsi="Verdana" w:cs="ArialMT"/>
        </w:rPr>
      </w:pPr>
      <w:hyperlink r:id="rId11" w:history="1">
        <w:r w:rsidRPr="00780F1E">
          <w:rPr>
            <w:rStyle w:val="Hipervnculo"/>
            <w:rFonts w:ascii="Verdana" w:hAnsi="Verdana" w:cs="ArialMT"/>
          </w:rPr>
          <w:t>claudiapvc56@hotmail.com</w:t>
        </w:r>
      </w:hyperlink>
      <w:r>
        <w:rPr>
          <w:rFonts w:ascii="Verdana" w:hAnsi="Verdana" w:cs="ArialMT"/>
        </w:rPr>
        <w:t xml:space="preserve"> </w:t>
      </w:r>
      <w:r w:rsidRPr="00C53B42">
        <w:rPr>
          <w:rFonts w:ascii="Verdana" w:hAnsi="Verdana" w:cs="ArialMT"/>
        </w:rPr>
        <w:t xml:space="preserve">  </w:t>
      </w:r>
    </w:p>
    <w:p w14:paraId="00725B85" w14:textId="77777777" w:rsidR="00E27077" w:rsidRPr="00C53B42" w:rsidRDefault="00E27077" w:rsidP="00E27077">
      <w:pPr>
        <w:spacing w:after="0" w:line="240" w:lineRule="auto"/>
        <w:rPr>
          <w:rFonts w:ascii="Verdana" w:hAnsi="Verdana" w:cs="ArialMT"/>
        </w:rPr>
      </w:pPr>
      <w:r>
        <w:rPr>
          <w:rFonts w:ascii="Verdana" w:eastAsia="Calibri" w:hAnsi="Verdana" w:cs="Arial"/>
          <w:lang w:val="es-ES" w:eastAsia="es-ES"/>
        </w:rPr>
        <w:t>Pamplona, Norte de Santander</w:t>
      </w:r>
    </w:p>
    <w:p w14:paraId="3E2DB8CF" w14:textId="77777777" w:rsidR="00E27077" w:rsidRPr="00C53B42" w:rsidRDefault="00E27077" w:rsidP="00E27077">
      <w:pPr>
        <w:spacing w:after="0" w:line="240" w:lineRule="auto"/>
        <w:rPr>
          <w:rFonts w:ascii="Verdana" w:eastAsia="Calibri" w:hAnsi="Verdana" w:cs="Arial"/>
          <w:b/>
          <w:bCs/>
          <w:color w:val="000000"/>
          <w:lang w:val="es-ES_tradnl" w:eastAsia="es-ES_tradnl"/>
        </w:rPr>
      </w:pPr>
    </w:p>
    <w:p w14:paraId="7B17BF94" w14:textId="77777777" w:rsidR="00E27077" w:rsidRPr="00C53B42" w:rsidRDefault="00E27077" w:rsidP="00E2707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E27077" w:rsidRPr="00C53B42" w14:paraId="667E9454" w14:textId="77777777" w:rsidTr="00D653ED">
        <w:trPr>
          <w:trHeight w:val="218"/>
        </w:trPr>
        <w:tc>
          <w:tcPr>
            <w:tcW w:w="2175" w:type="dxa"/>
          </w:tcPr>
          <w:p w14:paraId="591D8906" w14:textId="77777777" w:rsidR="00E27077" w:rsidRPr="00C53B42" w:rsidRDefault="00E27077" w:rsidP="00D653ED">
            <w:pPr>
              <w:jc w:val="both"/>
              <w:rPr>
                <w:rFonts w:ascii="Verdana" w:eastAsia="Calibri" w:hAnsi="Verdana" w:cs="Arial"/>
                <w:b/>
                <w:bCs/>
                <w:color w:val="7030A0"/>
                <w:lang w:val="es-ES_tradnl" w:eastAsia="es-ES_tradnl"/>
              </w:rPr>
            </w:pPr>
          </w:p>
        </w:tc>
        <w:tc>
          <w:tcPr>
            <w:tcW w:w="6614" w:type="dxa"/>
            <w:hideMark/>
          </w:tcPr>
          <w:p w14:paraId="5D1E998C" w14:textId="77777777" w:rsidR="00E27077" w:rsidRPr="00C53B42" w:rsidRDefault="00E27077" w:rsidP="00D653ED">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1146</w:t>
            </w:r>
            <w:r w:rsidRPr="00C53B42">
              <w:rPr>
                <w:rFonts w:ascii="Verdana" w:eastAsia="Calibri" w:hAnsi="Verdana" w:cs="Arial"/>
                <w:b/>
                <w:bCs/>
                <w:lang w:val="es-ES" w:eastAsia="es-ES"/>
              </w:rPr>
              <w:t xml:space="preserve"> de 2025</w:t>
            </w:r>
          </w:p>
          <w:p w14:paraId="79F57F0D" w14:textId="77777777" w:rsidR="00E27077" w:rsidRPr="00C53B42" w:rsidRDefault="00E27077" w:rsidP="00D653ED">
            <w:pPr>
              <w:jc w:val="both"/>
              <w:rPr>
                <w:rFonts w:ascii="Verdana" w:eastAsia="Calibri" w:hAnsi="Verdana" w:cs="Arial"/>
                <w:b/>
                <w:bCs/>
                <w:lang w:val="es-ES" w:eastAsia="es-ES"/>
              </w:rPr>
            </w:pPr>
          </w:p>
          <w:p w14:paraId="5A1804D7" w14:textId="77777777" w:rsidR="00E27077" w:rsidRPr="00C53B42" w:rsidRDefault="00E27077" w:rsidP="00D653ED">
            <w:pPr>
              <w:jc w:val="both"/>
              <w:rPr>
                <w:rFonts w:ascii="Verdana" w:eastAsia="Calibri" w:hAnsi="Verdana" w:cs="Arial"/>
                <w:b/>
                <w:bCs/>
                <w:lang w:val="es-ES" w:eastAsia="es-ES"/>
              </w:rPr>
            </w:pPr>
          </w:p>
        </w:tc>
      </w:tr>
      <w:tr w:rsidR="00E27077" w:rsidRPr="00C53B42" w14:paraId="66FD1041" w14:textId="77777777" w:rsidTr="00D653ED">
        <w:trPr>
          <w:trHeight w:val="884"/>
        </w:trPr>
        <w:tc>
          <w:tcPr>
            <w:tcW w:w="2175" w:type="dxa"/>
            <w:hideMark/>
          </w:tcPr>
          <w:p w14:paraId="210D4DC2" w14:textId="77777777" w:rsidR="00E27077" w:rsidRPr="00C53B42" w:rsidRDefault="00E27077" w:rsidP="00D653ED">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166CCCE4" w14:textId="77777777" w:rsidR="00E27077" w:rsidRPr="00C53B42" w:rsidRDefault="00E27077" w:rsidP="00D653ED">
            <w:pPr>
              <w:jc w:val="both"/>
              <w:rPr>
                <w:rFonts w:ascii="Verdana" w:eastAsia="Calibri" w:hAnsi="Verdana" w:cs="Arial"/>
                <w:lang w:val="es-ES" w:eastAsia="es-ES"/>
              </w:rPr>
            </w:pPr>
            <w:r w:rsidRPr="005E4C0B">
              <w:rPr>
                <w:rFonts w:ascii="Verdana" w:hAnsi="Verdana" w:cs="Arial"/>
                <w:bCs/>
                <w:color w:val="000000" w:themeColor="text1"/>
                <w:lang w:val="es-ES_tradnl"/>
              </w:rPr>
              <w:t xml:space="preserve">PRINCIPIO DE PUBLICIDAD – Noción – SECOP – </w:t>
            </w:r>
            <w:r>
              <w:rPr>
                <w:rFonts w:ascii="Verdana" w:hAnsi="Verdana" w:cs="Arial"/>
                <w:bCs/>
                <w:color w:val="000000" w:themeColor="text1"/>
                <w:lang w:val="es-ES_tradnl"/>
              </w:rPr>
              <w:t xml:space="preserve">/ DEBER DE PUBLICACIÓN – </w:t>
            </w:r>
            <w:r w:rsidRPr="005E4C0B">
              <w:rPr>
                <w:rFonts w:ascii="Verdana" w:hAnsi="Verdana" w:cs="Arial"/>
                <w:bCs/>
                <w:color w:val="000000" w:themeColor="text1"/>
                <w:lang w:val="es-ES_tradnl"/>
              </w:rPr>
              <w:t>Publicación</w:t>
            </w:r>
            <w:r>
              <w:rPr>
                <w:rFonts w:ascii="Verdana" w:hAnsi="Verdana" w:cs="Arial"/>
                <w:bCs/>
                <w:color w:val="000000" w:themeColor="text1"/>
                <w:lang w:val="es-ES_tradnl"/>
              </w:rPr>
              <w:t xml:space="preserve"> aviso limitación a </w:t>
            </w:r>
            <w:proofErr w:type="spellStart"/>
            <w:r>
              <w:rPr>
                <w:rFonts w:ascii="Verdana" w:hAnsi="Verdana" w:cs="Arial"/>
                <w:bCs/>
                <w:color w:val="000000" w:themeColor="text1"/>
                <w:lang w:val="es-ES_tradnl"/>
              </w:rPr>
              <w:t>Mipymes</w:t>
            </w:r>
            <w:proofErr w:type="spellEnd"/>
            <w:r w:rsidRPr="005E4C0B">
              <w:rPr>
                <w:rFonts w:ascii="Verdana" w:hAnsi="Verdana" w:cs="Arial"/>
                <w:bCs/>
                <w:color w:val="000000" w:themeColor="text1"/>
                <w:lang w:val="es-ES_tradnl"/>
              </w:rPr>
              <w:t xml:space="preserve"> – Documentos </w:t>
            </w:r>
            <w:r>
              <w:rPr>
                <w:rFonts w:ascii="Verdana" w:hAnsi="Verdana" w:cs="Arial"/>
                <w:bCs/>
                <w:color w:val="000000" w:themeColor="text1"/>
                <w:lang w:val="es-ES_tradnl"/>
              </w:rPr>
              <w:t>del proceso</w:t>
            </w:r>
            <w:r w:rsidRPr="005E4C0B">
              <w:rPr>
                <w:rFonts w:ascii="Verdana" w:hAnsi="Verdana" w:cs="Arial"/>
                <w:bCs/>
                <w:color w:val="000000" w:themeColor="text1"/>
                <w:lang w:val="es-ES_tradnl"/>
              </w:rPr>
              <w:t xml:space="preserve"> </w:t>
            </w:r>
          </w:p>
        </w:tc>
      </w:tr>
      <w:tr w:rsidR="00E27077" w14:paraId="394CDA89" w14:textId="77777777" w:rsidTr="00D653ED">
        <w:tc>
          <w:tcPr>
            <w:tcW w:w="2175" w:type="dxa"/>
            <w:hideMark/>
          </w:tcPr>
          <w:p w14:paraId="15658E1E" w14:textId="77777777" w:rsidR="00E27077" w:rsidRPr="00C53B42" w:rsidRDefault="00E27077" w:rsidP="00D653ED">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7409DC14" w14:textId="77777777" w:rsidR="00E27077" w:rsidRPr="00C53B42" w:rsidRDefault="00E27077" w:rsidP="00D653ED">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3C646C">
              <w:rPr>
                <w:rFonts w:ascii="Verdana" w:eastAsia="Calibri" w:hAnsi="Verdana" w:cs="Arial"/>
                <w:lang w:val="es-ES_tradnl" w:eastAsia="es-ES_tradnl"/>
              </w:rPr>
              <w:t>1_2025_08_15_008562</w:t>
            </w:r>
          </w:p>
        </w:tc>
      </w:tr>
    </w:tbl>
    <w:p w14:paraId="54688991" w14:textId="77777777" w:rsidR="00E27077" w:rsidRDefault="00E27077" w:rsidP="00E27077">
      <w:pPr>
        <w:spacing w:after="0" w:line="240" w:lineRule="auto"/>
        <w:jc w:val="both"/>
        <w:rPr>
          <w:rFonts w:ascii="Verdana" w:eastAsia="Calibri" w:hAnsi="Verdana" w:cs="Arial"/>
          <w:color w:val="000000"/>
          <w:lang w:val="es-ES_tradnl" w:eastAsia="es-ES_tradnl"/>
        </w:rPr>
      </w:pPr>
    </w:p>
    <w:p w14:paraId="49726AAC" w14:textId="77777777" w:rsidR="00E27077" w:rsidRDefault="00E27077" w:rsidP="00E27077">
      <w:pPr>
        <w:spacing w:after="0" w:line="240" w:lineRule="auto"/>
        <w:jc w:val="both"/>
        <w:rPr>
          <w:rFonts w:ascii="Verdana" w:eastAsia="Calibri" w:hAnsi="Verdana" w:cs="Arial"/>
          <w:color w:val="000000"/>
          <w:lang w:val="es-ES_tradnl" w:eastAsia="es-ES_tradnl"/>
        </w:rPr>
      </w:pPr>
    </w:p>
    <w:p w14:paraId="45733102" w14:textId="77777777" w:rsidR="00E27077" w:rsidRDefault="00E27077" w:rsidP="00E27077">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Velasco,</w:t>
      </w:r>
    </w:p>
    <w:p w14:paraId="6F2C0279" w14:textId="77777777" w:rsidR="00E27077" w:rsidRDefault="00E27077" w:rsidP="00E2707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667D99E" w14:textId="77777777" w:rsidR="00E27077" w:rsidRDefault="00E27077" w:rsidP="00E27077">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15 de agosto de 2025, en la cual manifiesta lo siguiente: </w:t>
      </w:r>
    </w:p>
    <w:p w14:paraId="5914270A" w14:textId="77777777" w:rsidR="00E27077" w:rsidRDefault="00E27077" w:rsidP="00E2707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52A7DA7" w14:textId="77777777" w:rsidR="00E27077" w:rsidRDefault="00E27077" w:rsidP="00E27077">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3C646C">
        <w:rPr>
          <w:rFonts w:ascii="Verdana" w:eastAsia="Century Gothic" w:hAnsi="Verdana" w:cs="Century Gothic"/>
          <w:sz w:val="20"/>
          <w:szCs w:val="20"/>
          <w:lang w:val="es-ES"/>
        </w:rPr>
        <w:t>En los procesos de MINIMA de conformidad con la LEY 2069 DE 2020, DECRETO</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1082 DE 2015 y DECRETO 1860 DE 2021, se indica la posibilidad de que empresas</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comerciales presenten manifestación de interés de limitar la convocatoria a</w:t>
      </w:r>
      <w:r>
        <w:rPr>
          <w:rFonts w:ascii="Verdana" w:eastAsia="Century Gothic" w:hAnsi="Verdana" w:cs="Century Gothic"/>
          <w:sz w:val="20"/>
          <w:szCs w:val="20"/>
          <w:lang w:val="es-ES"/>
        </w:rPr>
        <w:t xml:space="preserve"> </w:t>
      </w:r>
      <w:proofErr w:type="spellStart"/>
      <w:r w:rsidRPr="003C646C">
        <w:rPr>
          <w:rFonts w:ascii="Verdana" w:eastAsia="Century Gothic" w:hAnsi="Verdana" w:cs="Century Gothic"/>
          <w:sz w:val="20"/>
          <w:szCs w:val="20"/>
          <w:lang w:val="es-ES"/>
        </w:rPr>
        <w:t>Mipymes</w:t>
      </w:r>
      <w:proofErr w:type="spellEnd"/>
      <w:r w:rsidRPr="003C646C">
        <w:rPr>
          <w:rFonts w:ascii="Verdana" w:eastAsia="Century Gothic" w:hAnsi="Verdana" w:cs="Century Gothic"/>
          <w:sz w:val="20"/>
          <w:szCs w:val="20"/>
          <w:lang w:val="es-ES"/>
        </w:rPr>
        <w:t>, así mismo establece que la entidad contratante debe realizar la</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 xml:space="preserve">publicación del AVISO informando si el proceso se </w:t>
      </w:r>
      <w:proofErr w:type="spellStart"/>
      <w:r w:rsidRPr="003C646C">
        <w:rPr>
          <w:rFonts w:ascii="Verdana" w:eastAsia="Century Gothic" w:hAnsi="Verdana" w:cs="Century Gothic"/>
          <w:sz w:val="20"/>
          <w:szCs w:val="20"/>
          <w:lang w:val="es-ES"/>
        </w:rPr>
        <w:t>limito</w:t>
      </w:r>
      <w:proofErr w:type="spellEnd"/>
      <w:r w:rsidRPr="003C646C">
        <w:rPr>
          <w:rFonts w:ascii="Verdana" w:eastAsia="Century Gothic" w:hAnsi="Verdana" w:cs="Century Gothic"/>
          <w:sz w:val="20"/>
          <w:szCs w:val="20"/>
          <w:lang w:val="es-ES"/>
        </w:rPr>
        <w:t xml:space="preserve"> o </w:t>
      </w:r>
      <w:proofErr w:type="spellStart"/>
      <w:r w:rsidRPr="003C646C">
        <w:rPr>
          <w:rFonts w:ascii="Verdana" w:eastAsia="Century Gothic" w:hAnsi="Verdana" w:cs="Century Gothic"/>
          <w:sz w:val="20"/>
          <w:szCs w:val="20"/>
          <w:lang w:val="es-ES"/>
        </w:rPr>
        <w:t>Mipymes</w:t>
      </w:r>
      <w:proofErr w:type="spellEnd"/>
      <w:r w:rsidRPr="003C646C">
        <w:rPr>
          <w:rFonts w:ascii="Verdana" w:eastAsia="Century Gothic" w:hAnsi="Verdana" w:cs="Century Gothic"/>
          <w:sz w:val="20"/>
          <w:szCs w:val="20"/>
          <w:lang w:val="es-ES"/>
        </w:rPr>
        <w:t xml:space="preserve"> o si podrá</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participar cualquier interesado. Mi pregunta es: ¿La entidad contratante tiene</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OBLIGACION DE PUBLICAR solo el AVISO o la entidad contratante tiene la</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obligación de PUBLICAR el AVISO junto con los documentos que presentaron los</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 xml:space="preserve">oferentes que manifestaron su interés de limitar la convocatoria a </w:t>
      </w:r>
      <w:proofErr w:type="spellStart"/>
      <w:r w:rsidRPr="003C646C">
        <w:rPr>
          <w:rFonts w:ascii="Verdana" w:eastAsia="Century Gothic" w:hAnsi="Verdana" w:cs="Century Gothic"/>
          <w:sz w:val="20"/>
          <w:szCs w:val="20"/>
          <w:lang w:val="es-ES"/>
        </w:rPr>
        <w:t>Mipymes</w:t>
      </w:r>
      <w:proofErr w:type="spellEnd"/>
      <w:r w:rsidRPr="003C646C">
        <w:rPr>
          <w:rFonts w:ascii="Verdana" w:eastAsia="Century Gothic" w:hAnsi="Verdana" w:cs="Century Gothic"/>
          <w:sz w:val="20"/>
          <w:szCs w:val="20"/>
          <w:lang w:val="es-ES"/>
        </w:rPr>
        <w:t>? No se</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 xml:space="preserve">supone </w:t>
      </w:r>
      <w:proofErr w:type="gramStart"/>
      <w:r w:rsidRPr="003C646C">
        <w:rPr>
          <w:rFonts w:ascii="Verdana" w:eastAsia="Century Gothic" w:hAnsi="Verdana" w:cs="Century Gothic"/>
          <w:sz w:val="20"/>
          <w:szCs w:val="20"/>
          <w:lang w:val="es-ES"/>
        </w:rPr>
        <w:t>que</w:t>
      </w:r>
      <w:proofErr w:type="gramEnd"/>
      <w:r w:rsidRPr="003C646C">
        <w:rPr>
          <w:rFonts w:ascii="Verdana" w:eastAsia="Century Gothic" w:hAnsi="Verdana" w:cs="Century Gothic"/>
          <w:sz w:val="20"/>
          <w:szCs w:val="20"/>
          <w:lang w:val="es-ES"/>
        </w:rPr>
        <w:t xml:space="preserve"> en virtud del PRINCIPIO DE PUBLICIDAD, las entidades </w:t>
      </w:r>
      <w:proofErr w:type="spellStart"/>
      <w:r w:rsidRPr="003C646C">
        <w:rPr>
          <w:rFonts w:ascii="Verdana" w:eastAsia="Century Gothic" w:hAnsi="Verdana" w:cs="Century Gothic"/>
          <w:sz w:val="20"/>
          <w:szCs w:val="20"/>
          <w:lang w:val="es-ES"/>
        </w:rPr>
        <w:t>publicas</w:t>
      </w:r>
      <w:proofErr w:type="spellEnd"/>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tienen la obligación de publicar la TOTALIDAD de documentos del proceso</w:t>
      </w:r>
      <w:r>
        <w:rPr>
          <w:rFonts w:ascii="Verdana" w:eastAsia="Century Gothic" w:hAnsi="Verdana" w:cs="Century Gothic"/>
          <w:sz w:val="20"/>
          <w:szCs w:val="20"/>
          <w:lang w:val="es-ES"/>
        </w:rPr>
        <w:t xml:space="preserve"> </w:t>
      </w:r>
      <w:r w:rsidRPr="003C646C">
        <w:rPr>
          <w:rFonts w:ascii="Verdana" w:eastAsia="Century Gothic" w:hAnsi="Verdana" w:cs="Century Gothic"/>
          <w:sz w:val="20"/>
          <w:szCs w:val="20"/>
          <w:lang w:val="es-ES"/>
        </w:rPr>
        <w:t xml:space="preserve">contractual de </w:t>
      </w:r>
      <w:proofErr w:type="spellStart"/>
      <w:r w:rsidRPr="003C646C">
        <w:rPr>
          <w:rFonts w:ascii="Verdana" w:eastAsia="Century Gothic" w:hAnsi="Verdana" w:cs="Century Gothic"/>
          <w:sz w:val="20"/>
          <w:szCs w:val="20"/>
          <w:lang w:val="es-ES"/>
        </w:rPr>
        <w:t>minima</w:t>
      </w:r>
      <w:proofErr w:type="spellEnd"/>
      <w:r w:rsidRPr="003C646C">
        <w:rPr>
          <w:rFonts w:ascii="Verdana" w:eastAsia="Century Gothic" w:hAnsi="Verdana" w:cs="Century Gothic"/>
          <w:sz w:val="20"/>
          <w:szCs w:val="20"/>
          <w:lang w:val="es-ES"/>
        </w:rPr>
        <w:t xml:space="preserve"> </w:t>
      </w:r>
      <w:proofErr w:type="spellStart"/>
      <w:r w:rsidRPr="003C646C">
        <w:rPr>
          <w:rFonts w:ascii="Verdana" w:eastAsia="Century Gothic" w:hAnsi="Verdana" w:cs="Century Gothic"/>
          <w:sz w:val="20"/>
          <w:szCs w:val="20"/>
          <w:lang w:val="es-ES"/>
        </w:rPr>
        <w:t>cuantia</w:t>
      </w:r>
      <w:proofErr w:type="spellEnd"/>
      <w:r w:rsidRPr="003C646C">
        <w:rPr>
          <w:rFonts w:ascii="Verdana" w:eastAsia="Century Gothic" w:hAnsi="Verdana" w:cs="Century Gothic"/>
          <w:sz w:val="20"/>
          <w:szCs w:val="20"/>
          <w:lang w:val="es-ES"/>
        </w:rPr>
        <w:t>.</w:t>
      </w:r>
      <w:r>
        <w:rPr>
          <w:rFonts w:ascii="Verdana" w:eastAsia="Century Gothic" w:hAnsi="Verdana" w:cs="Century Gothic"/>
          <w:sz w:val="20"/>
          <w:szCs w:val="20"/>
          <w:lang w:val="es-ES"/>
        </w:rPr>
        <w:t>”</w:t>
      </w:r>
    </w:p>
    <w:p w14:paraId="7A235365" w14:textId="77777777" w:rsidR="00E27077" w:rsidRPr="00924340" w:rsidRDefault="00E27077" w:rsidP="00E27077">
      <w:pPr>
        <w:autoSpaceDE w:val="0"/>
        <w:autoSpaceDN w:val="0"/>
        <w:adjustRightInd w:val="0"/>
        <w:spacing w:after="0" w:line="276" w:lineRule="auto"/>
        <w:ind w:left="851" w:right="616"/>
        <w:jc w:val="both"/>
        <w:rPr>
          <w:rFonts w:ascii="Verdana" w:eastAsia="Century Gothic" w:hAnsi="Verdana" w:cs="Century Gothic"/>
          <w:b/>
        </w:rPr>
      </w:pPr>
    </w:p>
    <w:p w14:paraId="384340E7" w14:textId="77777777" w:rsidR="00E27077" w:rsidRDefault="00E27077" w:rsidP="00E27077">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71DB776" w14:textId="77777777" w:rsidR="00E27077" w:rsidRDefault="00E27077" w:rsidP="00E27077">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A13DFAB" w14:textId="77777777" w:rsidR="00E27077" w:rsidRDefault="00E27077" w:rsidP="00E27077">
      <w:pPr>
        <w:spacing w:after="0" w:line="276" w:lineRule="auto"/>
        <w:ind w:firstLine="709"/>
        <w:jc w:val="both"/>
        <w:rPr>
          <w:rFonts w:ascii="Verdana" w:eastAsia="Calibri" w:hAnsi="Verdana" w:cs="Arial"/>
          <w:color w:val="000000"/>
          <w:lang w:val="es-ES" w:eastAsia="es-ES"/>
        </w:rPr>
      </w:pPr>
    </w:p>
    <w:p w14:paraId="077866A3" w14:textId="77777777" w:rsidR="00E27077" w:rsidRDefault="00E27077" w:rsidP="00E270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31062194" w14:textId="77777777" w:rsidR="00E27077" w:rsidRDefault="00E27077" w:rsidP="00E27077">
      <w:pPr>
        <w:tabs>
          <w:tab w:val="left" w:pos="426"/>
        </w:tabs>
        <w:spacing w:after="0" w:line="276" w:lineRule="auto"/>
        <w:jc w:val="both"/>
        <w:rPr>
          <w:rFonts w:ascii="Verdana" w:eastAsia="Century Gothic" w:hAnsi="Verdana" w:cs="Century Gothic"/>
          <w:lang w:val="es-ES"/>
        </w:rPr>
      </w:pPr>
    </w:p>
    <w:p w14:paraId="5343049B" w14:textId="77777777" w:rsidR="00E27077" w:rsidRDefault="00E27077" w:rsidP="00E2707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w:t>
      </w:r>
      <w:r>
        <w:rPr>
          <w:rFonts w:ascii="Verdana" w:eastAsia="Century Gothic" w:hAnsi="Verdana" w:cs="Century Gothic"/>
        </w:rPr>
        <w:t xml:space="preserve">las Entidades contratantes tienen el deber de publicar tanto el aviso de limitación a </w:t>
      </w:r>
      <w:proofErr w:type="spellStart"/>
      <w:r>
        <w:rPr>
          <w:rFonts w:ascii="Verdana" w:eastAsia="Century Gothic" w:hAnsi="Verdana" w:cs="Century Gothic"/>
        </w:rPr>
        <w:t>Mipymes</w:t>
      </w:r>
      <w:proofErr w:type="spellEnd"/>
      <w:r>
        <w:rPr>
          <w:rFonts w:ascii="Verdana" w:eastAsia="Century Gothic" w:hAnsi="Verdana" w:cs="Century Gothic"/>
        </w:rPr>
        <w:t xml:space="preserve"> del procedimiento de mínima cuantía como las solicitudes de limitación de la convocatoria presentadas por los oferentes interesados</w:t>
      </w:r>
      <w:r w:rsidRPr="005649AA">
        <w:rPr>
          <w:rFonts w:ascii="Verdana" w:eastAsia="Century Gothic" w:hAnsi="Verdana" w:cs="Century Gothic"/>
        </w:rPr>
        <w:t>?</w:t>
      </w:r>
    </w:p>
    <w:p w14:paraId="4D147FFB" w14:textId="77777777" w:rsidR="00E27077" w:rsidRDefault="00E27077" w:rsidP="00E27077">
      <w:pPr>
        <w:spacing w:after="0" w:line="276" w:lineRule="auto"/>
        <w:jc w:val="both"/>
        <w:rPr>
          <w:rFonts w:ascii="Verdana" w:eastAsia="Calibri" w:hAnsi="Verdana" w:cs="Arial"/>
          <w:color w:val="7030A0"/>
          <w:lang w:val="es-ES"/>
        </w:rPr>
      </w:pPr>
    </w:p>
    <w:p w14:paraId="267E9993" w14:textId="77777777" w:rsidR="00E27077" w:rsidRDefault="00E27077" w:rsidP="00E270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61D66AA0" w14:textId="77777777" w:rsidR="00E27077" w:rsidRDefault="00E27077" w:rsidP="00E2707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7077" w:rsidRPr="00DE5508" w14:paraId="7D6122DC" w14:textId="77777777" w:rsidTr="00D653ED">
        <w:tc>
          <w:tcPr>
            <w:tcW w:w="8828" w:type="dxa"/>
            <w:tcBorders>
              <w:top w:val="dotted" w:sz="4" w:space="0" w:color="auto"/>
              <w:left w:val="dotted" w:sz="4" w:space="0" w:color="auto"/>
              <w:bottom w:val="dotted" w:sz="4" w:space="0" w:color="auto"/>
              <w:right w:val="dotted" w:sz="4" w:space="0" w:color="auto"/>
            </w:tcBorders>
          </w:tcPr>
          <w:p w14:paraId="79C56E3D" w14:textId="77777777" w:rsidR="00E27077" w:rsidRDefault="00E27077" w:rsidP="00D653ED">
            <w:pPr>
              <w:spacing w:line="276" w:lineRule="auto"/>
              <w:jc w:val="both"/>
              <w:rPr>
                <w:rFonts w:ascii="Verdana" w:eastAsia="Calibri" w:hAnsi="Verdana" w:cs="Arial"/>
              </w:rPr>
            </w:pPr>
            <w:r>
              <w:rPr>
                <w:rFonts w:ascii="Verdana" w:eastAsia="Calibri" w:hAnsi="Verdana" w:cs="Arial"/>
              </w:rPr>
              <w:t xml:space="preserve">Sí. </w:t>
            </w:r>
            <w:r w:rsidRPr="004A1D83">
              <w:rPr>
                <w:rFonts w:ascii="Verdana" w:eastAsia="Calibri" w:hAnsi="Verdana" w:cs="Arial"/>
              </w:rPr>
              <w:t xml:space="preserve">Las Entidades Estatales, conforme al artículo 2.2.1.1.1.7.1 del Decreto 1082 de 2015, tienen la obligación de publicar en el Sistema Electrónico para la Contratación Pública –SECOP– “[…] los Documentos del Proceso y los actos administrativos del Proceso de Contratación […]”. La expresión Documentos del Proceso, está definida en el artículo 2.2.1.1.1.3.1 del referido decreto,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26230C81" w14:textId="77777777" w:rsidR="00E27077" w:rsidRDefault="00E27077" w:rsidP="00D653ED">
            <w:pPr>
              <w:spacing w:line="276" w:lineRule="auto"/>
              <w:ind w:firstLine="738"/>
              <w:jc w:val="both"/>
              <w:rPr>
                <w:rFonts w:ascii="Verdana" w:eastAsia="Calibri" w:hAnsi="Verdana" w:cs="Arial"/>
              </w:rPr>
            </w:pPr>
            <w:r w:rsidRPr="004A1D83">
              <w:rPr>
                <w:rFonts w:ascii="Verdana" w:eastAsia="Calibri" w:hAnsi="Verdana" w:cs="Arial"/>
              </w:rPr>
              <w:lastRenderedPageBreak/>
              <w:t>En ese sentido, la interpretación sistemática de los preceptos del Decreto 1082 de 2015</w:t>
            </w:r>
            <w:r>
              <w:rPr>
                <w:rFonts w:ascii="Verdana" w:eastAsia="Calibri" w:hAnsi="Verdana" w:cs="Arial"/>
              </w:rPr>
              <w:t xml:space="preserve"> y </w:t>
            </w:r>
            <w:r w:rsidRPr="00642EA6">
              <w:rPr>
                <w:rFonts w:ascii="Verdana" w:eastAsia="Calibri" w:hAnsi="Verdana" w:cs="Arial"/>
                <w:shd w:val="clear" w:color="auto" w:fill="FFFFFF"/>
              </w:rPr>
              <w:t>la Ley 1712 de 2014 –ley estatutaria que regula la transparencia y el derecho de acceso a la información y a los documentos públicos–</w:t>
            </w:r>
            <w:r>
              <w:rPr>
                <w:rFonts w:ascii="Verdana" w:eastAsia="Calibri" w:hAnsi="Verdana" w:cs="Arial"/>
                <w:shd w:val="clear" w:color="auto" w:fill="FFFFFF"/>
              </w:rPr>
              <w:t xml:space="preserve">, que </w:t>
            </w:r>
            <w:r w:rsidRPr="00642EA6">
              <w:rPr>
                <w:rFonts w:ascii="Verdana" w:eastAsia="Calibri" w:hAnsi="Verdana" w:cs="Arial"/>
                <w:shd w:val="clear" w:color="auto" w:fill="FFFFFF"/>
              </w:rPr>
              <w:t>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w:t>
            </w:r>
            <w:r>
              <w:rPr>
                <w:rFonts w:ascii="Verdana" w:eastAsia="Calibri" w:hAnsi="Verdana" w:cs="Arial"/>
                <w:color w:val="000000"/>
                <w:lang w:val="es-ES_tradnl"/>
              </w:rPr>
              <w:t>,</w:t>
            </w:r>
            <w:r w:rsidRPr="00642EA6">
              <w:rPr>
                <w:rFonts w:ascii="Verdana" w:eastAsia="Calibri" w:hAnsi="Verdana" w:cs="Arial"/>
                <w:color w:val="000000"/>
                <w:lang w:val="es-ES_tradnl"/>
              </w:rPr>
              <w:t xml:space="preserve"> </w:t>
            </w:r>
            <w:r>
              <w:rPr>
                <w:rFonts w:ascii="Verdana" w:eastAsia="Calibri" w:hAnsi="Verdana" w:cs="Arial"/>
              </w:rPr>
              <w:t xml:space="preserve"> </w:t>
            </w:r>
            <w:r w:rsidRPr="004A1D83">
              <w:rPr>
                <w:rFonts w:ascii="Verdana" w:eastAsia="Calibri" w:hAnsi="Verdana" w:cs="Arial"/>
              </w:rPr>
              <w:t xml:space="preserve">las Entidades Estatales tienen la obligación de publicar todos los documentos que expidan con ocasión del Proceso de Contratación, es decir que todos los documentos emitidos por la entidad durante las etapas precontractual, de ejecución y </w:t>
            </w:r>
            <w:proofErr w:type="spellStart"/>
            <w:r w:rsidRPr="004A1D83">
              <w:rPr>
                <w:rFonts w:ascii="Verdana" w:eastAsia="Calibri" w:hAnsi="Verdana" w:cs="Arial"/>
              </w:rPr>
              <w:t>postcontractual</w:t>
            </w:r>
            <w:proofErr w:type="spellEnd"/>
            <w:r w:rsidRPr="004A1D83">
              <w:rPr>
                <w:rFonts w:ascii="Verdana" w:eastAsia="Calibri" w:hAnsi="Verdana" w:cs="Arial"/>
              </w:rPr>
              <w:t xml:space="preserve"> deberán ser publicados en el SECOP ll.</w:t>
            </w:r>
          </w:p>
          <w:p w14:paraId="29A36B89" w14:textId="77777777" w:rsidR="00E27077" w:rsidRPr="00DE5508" w:rsidRDefault="00E27077" w:rsidP="00D653ED">
            <w:pPr>
              <w:widowControl w:val="0"/>
              <w:autoSpaceDE w:val="0"/>
              <w:autoSpaceDN w:val="0"/>
              <w:spacing w:after="120" w:line="276" w:lineRule="auto"/>
              <w:ind w:firstLine="738"/>
              <w:jc w:val="both"/>
              <w:rPr>
                <w:rFonts w:ascii="Verdana" w:hAnsi="Verdana"/>
              </w:rPr>
            </w:pPr>
            <w:r w:rsidRPr="00B83613">
              <w:rPr>
                <w:rFonts w:ascii="Verdana" w:hAnsi="Verdana"/>
              </w:rPr>
              <w:t>Bajo esa premisa, en consideración a que los documentos de solicitud de limitación de la convocatoria para la participación de las MiPymes son documentos que hacen parte de la gestión contractual, particularmente, de la etapa previa de planeación y/o selección, deberán ser publicados en el SECOP en los términos del artículo 2.2.1.1.1.7.1. del Decreto 1082 de 2015</w:t>
            </w:r>
            <w:r>
              <w:rPr>
                <w:rFonts w:ascii="Verdana" w:hAnsi="Verdana"/>
              </w:rPr>
              <w:t>.</w:t>
            </w:r>
          </w:p>
        </w:tc>
      </w:tr>
    </w:tbl>
    <w:p w14:paraId="128345B0" w14:textId="77777777" w:rsidR="00E27077" w:rsidRPr="00DE5508" w:rsidRDefault="00E27077" w:rsidP="00E27077">
      <w:pPr>
        <w:tabs>
          <w:tab w:val="left" w:pos="142"/>
          <w:tab w:val="left" w:pos="284"/>
        </w:tabs>
        <w:spacing w:after="0" w:line="276" w:lineRule="auto"/>
        <w:jc w:val="both"/>
        <w:rPr>
          <w:rFonts w:ascii="Verdana" w:eastAsia="Century Gothic" w:hAnsi="Verdana" w:cs="Century Gothic"/>
          <w:b/>
          <w:bCs/>
          <w:lang w:val="es-ES"/>
        </w:rPr>
      </w:pPr>
    </w:p>
    <w:p w14:paraId="51153CD7" w14:textId="77777777" w:rsidR="00E27077" w:rsidRDefault="00E27077" w:rsidP="00E270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6CBDE05" w14:textId="77777777" w:rsidR="00E27077" w:rsidRDefault="00E27077" w:rsidP="00E27077">
      <w:pPr>
        <w:spacing w:after="0" w:line="276" w:lineRule="auto"/>
        <w:jc w:val="both"/>
        <w:rPr>
          <w:rFonts w:ascii="Verdana" w:eastAsia="Calibri" w:hAnsi="Verdana" w:cs="Arial"/>
          <w:color w:val="7030A0"/>
          <w:lang w:val="es-ES"/>
        </w:rPr>
      </w:pPr>
    </w:p>
    <w:p w14:paraId="46113E75" w14:textId="77777777" w:rsidR="00E27077" w:rsidRDefault="00E27077" w:rsidP="00E27077">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1E95E3C6" w14:textId="77777777" w:rsidR="00E27077" w:rsidRDefault="00E27077" w:rsidP="00E27077">
      <w:pPr>
        <w:spacing w:after="0" w:line="276" w:lineRule="auto"/>
        <w:jc w:val="both"/>
        <w:rPr>
          <w:rFonts w:ascii="Verdana" w:eastAsia="Calibri" w:hAnsi="Verdana" w:cs="Arial"/>
          <w:lang w:val="es-ES"/>
        </w:rPr>
      </w:pPr>
    </w:p>
    <w:p w14:paraId="774FF187" w14:textId="77777777" w:rsidR="00E27077" w:rsidRDefault="00E27077" w:rsidP="00E27077">
      <w:pPr>
        <w:spacing w:before="120" w:after="120" w:line="276" w:lineRule="auto"/>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Para empezar, e</w:t>
      </w:r>
      <w:r w:rsidRPr="005817C0">
        <w:rPr>
          <w:rFonts w:ascii="Verdana" w:eastAsia="Times New Roman" w:hAnsi="Verdana" w:cs="Arial"/>
          <w:lang w:val="es-ES_tradnl" w:eastAsia="es-ES_tradnl"/>
          <w14:ligatures w14:val="standardContextual"/>
        </w:rPr>
        <w:t xml:space="preserv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w:t>
      </w:r>
      <w:r w:rsidRPr="00330EF6">
        <w:rPr>
          <w:rFonts w:ascii="Verdana" w:eastAsia="Times New Roman" w:hAnsi="Verdana" w:cs="Arial"/>
          <w:lang w:val="es-ES_tradnl" w:eastAsia="es-ES_tradnl"/>
          <w14:ligatures w14:val="standardContextual"/>
        </w:rPr>
        <w:t>información oficial de la contratación realizada con dineros públicos, para lo cual establecerá los patrones a que haya lugar y se encargará de su difusión a través de canales electrónicos”</w:t>
      </w:r>
      <w:r w:rsidRPr="00330EF6">
        <w:rPr>
          <w:rFonts w:ascii="Verdana" w:eastAsia="Times New Roman" w:hAnsi="Verdana" w:cs="Arial"/>
          <w:vertAlign w:val="superscript"/>
          <w:lang w:val="es-ES_tradnl" w:eastAsia="es-ES_tradnl"/>
          <w14:ligatures w14:val="standardContextual"/>
        </w:rPr>
        <w:footnoteReference w:id="1"/>
      </w:r>
      <w:r w:rsidRPr="00330EF6">
        <w:rPr>
          <w:rFonts w:ascii="Verdana" w:eastAsia="Times New Roman" w:hAnsi="Verdana" w:cs="Arial"/>
          <w:lang w:val="es-ES_tradnl" w:eastAsia="es-ES_tradnl"/>
          <w14:ligatures w14:val="standardContextual"/>
        </w:rPr>
        <w:t>.</w:t>
      </w:r>
    </w:p>
    <w:p w14:paraId="50F1B6A3" w14:textId="77777777" w:rsidR="00E27077" w:rsidRPr="00642EA6" w:rsidRDefault="00E27077" w:rsidP="00E27077">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shd w:val="clear" w:color="auto" w:fill="FFFFFF"/>
        </w:rPr>
        <w:lastRenderedPageBreak/>
        <w:t>En ese sentido, la Ley 1712 de 2014 –ley estatutaria que regula la transparencia y el derecho de acceso a la información y a los documentos públicos–; 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42EA6">
        <w:rPr>
          <w:rFonts w:ascii="Aptos" w:eastAsia="Aptos" w:hAnsi="Aptos" w:cs="Times New Roman"/>
          <w:color w:val="000000"/>
          <w:vertAlign w:val="superscript"/>
          <w:lang w:val="es-ES_tradnl"/>
        </w:rPr>
        <w:footnoteReference w:id="2"/>
      </w:r>
      <w:r w:rsidRPr="00642EA6">
        <w:rPr>
          <w:rFonts w:ascii="Verdana" w:eastAsia="Calibri" w:hAnsi="Verdana" w:cs="Arial"/>
          <w:color w:val="000000"/>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642EA6">
        <w:rPr>
          <w:rFonts w:ascii="Aptos" w:eastAsia="Aptos" w:hAnsi="Aptos" w:cs="Times New Roman"/>
          <w:color w:val="000000"/>
          <w:vertAlign w:val="superscript"/>
          <w:lang w:val="es-ES_tradnl"/>
        </w:rPr>
        <w:footnoteReference w:id="3"/>
      </w:r>
      <w:r w:rsidRPr="00642EA6">
        <w:rPr>
          <w:rFonts w:ascii="Verdana" w:eastAsia="Calibri" w:hAnsi="Verdana" w:cs="Arial"/>
          <w:color w:val="000000"/>
          <w:lang w:val="es-ES_tradnl"/>
        </w:rPr>
        <w:t>, deben publicar la información relativa a su contratación. Esta obligación fue desarrollada por el Decreto Único Reglamentario 1082 de 2015</w:t>
      </w:r>
      <w:r w:rsidRPr="00642EA6">
        <w:rPr>
          <w:rFonts w:ascii="Aptos" w:eastAsia="Aptos" w:hAnsi="Aptos" w:cs="Times New Roman"/>
          <w:color w:val="000000"/>
          <w:vertAlign w:val="superscript"/>
          <w:lang w:val="es-ES_tradnl"/>
        </w:rPr>
        <w:footnoteReference w:id="4"/>
      </w:r>
      <w:r w:rsidRPr="00642EA6">
        <w:rPr>
          <w:rFonts w:ascii="Verdana" w:eastAsia="Calibri" w:hAnsi="Verdana" w:cs="Arial"/>
          <w:color w:val="000000"/>
          <w:lang w:val="es-ES_tradnl"/>
        </w:rPr>
        <w:t>, el cual dispuso que la publicación de la información contractual de los sujetos obligados, que contratan con cargo a recursos públicos, debe hacerse en el SECOP.</w:t>
      </w:r>
    </w:p>
    <w:p w14:paraId="63F868F3" w14:textId="77777777" w:rsidR="00E27077" w:rsidRPr="00642EA6" w:rsidRDefault="00E27077" w:rsidP="00E27077">
      <w:pPr>
        <w:spacing w:before="120" w:after="0" w:line="276" w:lineRule="auto"/>
        <w:ind w:firstLine="708"/>
        <w:contextualSpacing/>
        <w:jc w:val="both"/>
        <w:rPr>
          <w:rFonts w:ascii="Verdana" w:eastAsia="Times New Roman" w:hAnsi="Verdana" w:cs="Arial"/>
          <w:color w:val="000000"/>
          <w:szCs w:val="24"/>
          <w:lang w:val="es-ES_tradnl" w:eastAsia="es-ES_tradnl"/>
        </w:rPr>
      </w:pPr>
      <w:r w:rsidRPr="00642EA6">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r w:rsidRPr="00642EA6">
        <w:rPr>
          <w:rFonts w:ascii="Verdana" w:eastAsia="Calibri" w:hAnsi="Verdana" w:cs="Arial"/>
          <w:color w:val="000000"/>
          <w:szCs w:val="24"/>
          <w:lang w:val="es-ES_tradnl" w:eastAsia="es-ES_tradnl"/>
        </w:rPr>
        <w:t xml:space="preserve">El derecho de acceso a la información pública o de interés público permite a toda persona, sin necesidad de acreditar calidad, interés o condición </w:t>
      </w:r>
      <w:r w:rsidRPr="00642EA6">
        <w:rPr>
          <w:rFonts w:ascii="Verdana" w:eastAsia="Calibri" w:hAnsi="Verdana" w:cs="Arial"/>
          <w:color w:val="000000"/>
          <w:szCs w:val="24"/>
          <w:lang w:val="es-ES_tradnl" w:eastAsia="es-ES_tradnl"/>
        </w:rPr>
        <w:lastRenderedPageBreak/>
        <w:t>particular, conocer la existencia de información pública, acceder a la misma y difundirla o publicarla, según su interés</w:t>
      </w:r>
      <w:r w:rsidRPr="00642EA6">
        <w:rPr>
          <w:rFonts w:ascii="Aptos" w:eastAsia="Calibri" w:hAnsi="Aptos" w:cs="Times New Roman"/>
          <w:vertAlign w:val="superscript"/>
          <w:lang w:val="es-ES_tradnl" w:eastAsia="es-ES_tradnl"/>
        </w:rPr>
        <w:footnoteReference w:id="5"/>
      </w:r>
      <w:r w:rsidRPr="00642EA6">
        <w:rPr>
          <w:rFonts w:ascii="Verdana" w:eastAsia="Calibri" w:hAnsi="Verdana" w:cs="Arial"/>
          <w:color w:val="000000"/>
          <w:szCs w:val="24"/>
          <w:lang w:val="es-ES_tradnl" w:eastAsia="es-ES_tradnl"/>
        </w:rPr>
        <w:t>.</w:t>
      </w:r>
    </w:p>
    <w:p w14:paraId="4BDF1508" w14:textId="77777777" w:rsidR="00E27077" w:rsidRPr="00BE02D2" w:rsidRDefault="00E27077" w:rsidP="00E27077">
      <w:pPr>
        <w:spacing w:after="0" w:line="276" w:lineRule="auto"/>
        <w:jc w:val="both"/>
        <w:rPr>
          <w:rFonts w:ascii="Verdana" w:eastAsia="Calibri" w:hAnsi="Verdana" w:cs="Arial"/>
          <w:lang w:val="es-ES"/>
        </w:rPr>
      </w:pPr>
      <w:r>
        <w:rPr>
          <w:rFonts w:ascii="Verdana" w:eastAsia="Calibri" w:hAnsi="Verdana" w:cs="Arial"/>
          <w:shd w:val="clear" w:color="auto" w:fill="FFFFFF"/>
        </w:rPr>
        <w:tab/>
      </w:r>
      <w:r w:rsidRPr="00642EA6">
        <w:rPr>
          <w:rFonts w:ascii="Verdana" w:eastAsia="Calibri"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r>
        <w:rPr>
          <w:rFonts w:ascii="Verdana" w:eastAsia="Calibri" w:hAnsi="Verdana" w:cs="Arial"/>
          <w:lang w:val="es-ES"/>
        </w:rPr>
        <w:t xml:space="preserve"> </w:t>
      </w:r>
      <w:r w:rsidRPr="00501703">
        <w:rPr>
          <w:rFonts w:ascii="Verdana" w:eastAsia="Aptos" w:hAnsi="Verdana" w:cs="Arial"/>
          <w:lang w:val="es-ES_tradnl" w:eastAsia="es-MX"/>
        </w:rPr>
        <w:t>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4836BD2E" w14:textId="77777777" w:rsidR="00E27077" w:rsidRPr="00B83613" w:rsidRDefault="00E27077" w:rsidP="00E27077">
      <w:pPr>
        <w:widowControl w:val="0"/>
        <w:autoSpaceDE w:val="0"/>
        <w:autoSpaceDN w:val="0"/>
        <w:spacing w:after="120" w:line="276" w:lineRule="auto"/>
        <w:ind w:firstLine="708"/>
        <w:jc w:val="both"/>
        <w:rPr>
          <w:rFonts w:ascii="Verdana" w:hAnsi="Verdana"/>
        </w:rPr>
      </w:pPr>
      <w:r w:rsidRPr="00B83613">
        <w:rPr>
          <w:rFonts w:ascii="Verdana" w:hAnsi="Verdana"/>
        </w:rPr>
        <w:t xml:space="preserve">Cabe resaltar que el deber de publicar los documentos relacionados con la contratación no se encuentra regulado solamente por las normas del EGCAP. Esto, por cuanto la Ley 1712 de 2014, normativa de la transparencia y del derecho de acceso a la información pública, señala en el literal g) del artículo 11 que todo sujeto obligado debe publicar sus procedimientos, lineamientos, políticas en materia de adquisiciones y compras, así como todos los datos de adjudicación y ejecución de sus contratos. Dicha obligación, en principio, fue reglamentada por el Decreto 103 de 2015, hoy compilado en el Decreto 1081 de 2015.  Este último señala, en el artículo 2.1.1.2.1.7, que las entidades deberán publicar en el SECOP la información de su gestión contractual. </w:t>
      </w:r>
    </w:p>
    <w:p w14:paraId="77046F6A" w14:textId="77777777" w:rsidR="00E27077" w:rsidRDefault="00E27077" w:rsidP="00E27077">
      <w:pPr>
        <w:widowControl w:val="0"/>
        <w:autoSpaceDE w:val="0"/>
        <w:autoSpaceDN w:val="0"/>
        <w:spacing w:after="120" w:line="276" w:lineRule="auto"/>
        <w:ind w:firstLine="708"/>
        <w:jc w:val="both"/>
        <w:rPr>
          <w:rFonts w:ascii="Verdana" w:hAnsi="Verdana"/>
        </w:rPr>
      </w:pPr>
      <w:r w:rsidRPr="00B83613">
        <w:rPr>
          <w:rFonts w:ascii="Verdana" w:hAnsi="Verdana"/>
        </w:rPr>
        <w:t>De este modo, la publicación que corresponde a las entidades estatales, como sujetos obligados en el marco de la Ley 1712 de 2014, se extienda a todo el desarrollo del procedimiento, desde la etapa de planeación hasta el vencimiento de las garantías, incluyendo cada actuación que se produzca en ese lapso. Esto quiere decir que las entidades estatales, además de los documentos y actos administrativos -de trámite o definitivos– que expiden durante los procedimientos de contratación (en cumplimiento de la Ley 1150 de 2007 y del Decreto 1082 de 2015), deben publicar los documentos que los impulsan y materializan, incluso los que no produce la entidad, pero que hacen parte del procedimiento.</w:t>
      </w:r>
    </w:p>
    <w:p w14:paraId="00333052" w14:textId="77777777" w:rsidR="00E27077" w:rsidRPr="005E4C0B" w:rsidRDefault="00E27077" w:rsidP="00E27077">
      <w:pPr>
        <w:widowControl w:val="0"/>
        <w:autoSpaceDE w:val="0"/>
        <w:autoSpaceDN w:val="0"/>
        <w:spacing w:after="120" w:line="276" w:lineRule="auto"/>
        <w:ind w:firstLine="708"/>
        <w:jc w:val="both"/>
        <w:rPr>
          <w:rFonts w:ascii="Verdana" w:hAnsi="Verdana"/>
        </w:rPr>
      </w:pPr>
      <w:r>
        <w:rPr>
          <w:rFonts w:ascii="Verdana" w:hAnsi="Verdana"/>
        </w:rPr>
        <w:t xml:space="preserve">Adicionalmente, se resalta </w:t>
      </w:r>
      <w:proofErr w:type="gramStart"/>
      <w:r>
        <w:rPr>
          <w:rFonts w:ascii="Verdana" w:hAnsi="Verdana"/>
        </w:rPr>
        <w:t>que</w:t>
      </w:r>
      <w:proofErr w:type="gramEnd"/>
      <w:r>
        <w:rPr>
          <w:rFonts w:ascii="Verdana" w:hAnsi="Verdana"/>
        </w:rPr>
        <w:t xml:space="preserve"> en la reglamentación de la modalidad de mínima cuantía, en el numeral 4 del artículo 2.2.1.2.1.5.2. del Decreto 1082 de </w:t>
      </w:r>
      <w:r>
        <w:rPr>
          <w:rFonts w:ascii="Verdana" w:hAnsi="Verdana"/>
        </w:rPr>
        <w:lastRenderedPageBreak/>
        <w:t xml:space="preserve">2015, se </w:t>
      </w:r>
      <w:r w:rsidRPr="005E4C0B">
        <w:rPr>
          <w:rFonts w:ascii="Verdana" w:hAnsi="Verdana"/>
        </w:rPr>
        <w:t>establece que la Entidad Estatal incluirá en el cronograma del proceso “</w:t>
      </w:r>
      <w:proofErr w:type="spellStart"/>
      <w:r w:rsidRPr="005E4C0B">
        <w:rPr>
          <w:rFonts w:ascii="Verdana" w:hAnsi="Verdana"/>
          <w:shd w:val="clear" w:color="auto" w:fill="FFFFFF"/>
        </w:rPr>
        <w:t>iii</w:t>
      </w:r>
      <w:proofErr w:type="spellEnd"/>
      <w:r w:rsidRPr="005E4C0B">
        <w:rPr>
          <w:rFonts w:ascii="Verdana" w:hAnsi="Verdana"/>
          <w:shd w:val="clear" w:color="auto" w:fill="FFFFFF"/>
        </w:rPr>
        <w:t xml:space="preserve">) El momento en que publicará un aviso en el SECOP precisando si el proceso efectivamente se limitó a </w:t>
      </w:r>
      <w:proofErr w:type="spellStart"/>
      <w:r w:rsidRPr="005E4C0B">
        <w:rPr>
          <w:rFonts w:ascii="Verdana" w:hAnsi="Verdana"/>
          <w:shd w:val="clear" w:color="auto" w:fill="FFFFFF"/>
        </w:rPr>
        <w:t>Mipyme</w:t>
      </w:r>
      <w:proofErr w:type="spellEnd"/>
      <w:r w:rsidRPr="005E4C0B">
        <w:rPr>
          <w:rFonts w:ascii="Verdana" w:hAnsi="Verdana"/>
          <w:shd w:val="clear" w:color="auto" w:fill="FFFFFF"/>
        </w:rPr>
        <w:t xml:space="preserve"> o si podrá participar cualquier otro interesado.”</w:t>
      </w:r>
    </w:p>
    <w:p w14:paraId="46D1622D" w14:textId="77777777" w:rsidR="00E27077" w:rsidRDefault="00E27077" w:rsidP="00E27077">
      <w:pPr>
        <w:widowControl w:val="0"/>
        <w:autoSpaceDE w:val="0"/>
        <w:autoSpaceDN w:val="0"/>
        <w:spacing w:after="120" w:line="276" w:lineRule="auto"/>
        <w:ind w:firstLine="708"/>
        <w:jc w:val="both"/>
        <w:rPr>
          <w:rFonts w:ascii="Verdana" w:hAnsi="Verdana"/>
        </w:rPr>
      </w:pPr>
      <w:r w:rsidRPr="005E4C0B">
        <w:rPr>
          <w:rFonts w:ascii="Verdana" w:hAnsi="Verdana"/>
        </w:rPr>
        <w:t xml:space="preserve">En otras palabras, al no existir efectos derogatorios o subrogatorios entre las disposiciones </w:t>
      </w:r>
      <w:r w:rsidRPr="00B83613">
        <w:rPr>
          <w:rFonts w:ascii="Verdana" w:hAnsi="Verdana"/>
        </w:rPr>
        <w:t>del EGCAP y la normativa de la transparencia y el acceso a la información pública, las disposiciones de ambos regímenes deben ser interpretadas de manera complementaria. Bajo esa premisa, en consideración a que los documentos de solicitud de limitación de la convocatoria para la participación de las MiPymes son documentos que hacen parte de la gestión contractual, particularmente, de la etapa previa de planeación y/o selección, deberán ser publicados en el SECOP en los términos del artículo 2.2.1.1.1.7.1. del Decreto 1082 de 2015</w:t>
      </w:r>
      <w:r>
        <w:rPr>
          <w:rFonts w:ascii="Verdana" w:hAnsi="Verdana"/>
        </w:rPr>
        <w:t>.</w:t>
      </w:r>
    </w:p>
    <w:p w14:paraId="69B02E84" w14:textId="77777777" w:rsidR="00E27077" w:rsidRPr="00E61635" w:rsidRDefault="00E27077" w:rsidP="00E27077">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6F561D6" w14:textId="77777777" w:rsidR="00E27077" w:rsidRDefault="00E27077" w:rsidP="00E27077">
      <w:pPr>
        <w:widowControl w:val="0"/>
        <w:autoSpaceDE w:val="0"/>
        <w:autoSpaceDN w:val="0"/>
        <w:spacing w:after="0" w:line="276" w:lineRule="auto"/>
        <w:jc w:val="both"/>
        <w:rPr>
          <w:rFonts w:ascii="Verdana" w:hAnsi="Verdana" w:cs="Arial"/>
        </w:rPr>
      </w:pPr>
    </w:p>
    <w:p w14:paraId="2EB70717" w14:textId="77777777" w:rsidR="00E27077" w:rsidRDefault="00E27077" w:rsidP="00E270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E97C79C" w14:textId="77777777" w:rsidR="00E27077" w:rsidRDefault="00E27077" w:rsidP="00E27077">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27077" w14:paraId="74DC89C0" w14:textId="77777777" w:rsidTr="00D653ED">
        <w:trPr>
          <w:trHeight w:val="870"/>
        </w:trPr>
        <w:tc>
          <w:tcPr>
            <w:tcW w:w="8647" w:type="dxa"/>
            <w:tcBorders>
              <w:top w:val="dotted" w:sz="4" w:space="0" w:color="auto"/>
              <w:left w:val="dotted" w:sz="4" w:space="0" w:color="auto"/>
              <w:bottom w:val="dotted" w:sz="4" w:space="0" w:color="auto"/>
              <w:right w:val="dotted" w:sz="4" w:space="0" w:color="auto"/>
            </w:tcBorders>
            <w:hideMark/>
          </w:tcPr>
          <w:p w14:paraId="5FD185BC" w14:textId="77777777" w:rsidR="00E27077" w:rsidRDefault="00E27077" w:rsidP="00E27077">
            <w:pPr>
              <w:pStyle w:val="Prrafodelista"/>
              <w:numPr>
                <w:ilvl w:val="0"/>
                <w:numId w:val="17"/>
              </w:numPr>
              <w:spacing w:before="120" w:line="276" w:lineRule="auto"/>
              <w:jc w:val="both"/>
              <w:rPr>
                <w:rFonts w:ascii="Verdana" w:eastAsia="Times New Roman" w:hAnsi="Verdana" w:cs="Arial"/>
                <w:color w:val="000000" w:themeColor="text1"/>
                <w:lang w:eastAsia="es-ES_tradnl"/>
              </w:rPr>
            </w:pPr>
            <w:r w:rsidRPr="00615FF2">
              <w:rPr>
                <w:rFonts w:ascii="Verdana" w:eastAsia="Times New Roman" w:hAnsi="Verdana" w:cs="Arial"/>
                <w:color w:val="000000" w:themeColor="text1"/>
                <w:lang w:eastAsia="es-ES_tradnl"/>
              </w:rPr>
              <w:t>Ley 1150 de 2007, artículo 3 y 13</w:t>
            </w:r>
          </w:p>
          <w:p w14:paraId="040463E1" w14:textId="77777777" w:rsidR="00E27077" w:rsidRDefault="00E27077" w:rsidP="00E27077">
            <w:pPr>
              <w:pStyle w:val="Prrafodelista"/>
              <w:numPr>
                <w:ilvl w:val="0"/>
                <w:numId w:val="17"/>
              </w:numPr>
              <w:spacing w:before="120" w:line="276" w:lineRule="auto"/>
              <w:jc w:val="both"/>
              <w:rPr>
                <w:rFonts w:ascii="Verdana" w:eastAsia="Times New Roman" w:hAnsi="Verdana" w:cs="Arial"/>
                <w:color w:val="000000" w:themeColor="text1"/>
                <w:lang w:eastAsia="es-ES_tradnl"/>
              </w:rPr>
            </w:pPr>
            <w:r>
              <w:rPr>
                <w:rFonts w:ascii="Verdana" w:eastAsia="Times New Roman" w:hAnsi="Verdana" w:cs="Arial"/>
                <w:color w:val="000000" w:themeColor="text1"/>
                <w:lang w:eastAsia="es-ES_tradnl"/>
              </w:rPr>
              <w:t>Ley 1712 de 2014, artículo 9 y 11</w:t>
            </w:r>
          </w:p>
          <w:p w14:paraId="37785567" w14:textId="77777777" w:rsidR="00E27077" w:rsidRDefault="00E27077" w:rsidP="00E27077">
            <w:pPr>
              <w:pStyle w:val="Prrafodelista"/>
              <w:numPr>
                <w:ilvl w:val="0"/>
                <w:numId w:val="17"/>
              </w:numPr>
              <w:spacing w:before="120" w:line="276" w:lineRule="auto"/>
              <w:jc w:val="both"/>
              <w:rPr>
                <w:rFonts w:ascii="Verdana" w:eastAsia="Times New Roman" w:hAnsi="Verdana" w:cs="Arial"/>
                <w:color w:val="000000" w:themeColor="text1"/>
                <w:lang w:eastAsia="es-ES_tradnl"/>
              </w:rPr>
            </w:pPr>
            <w:r>
              <w:rPr>
                <w:rFonts w:ascii="Verdana" w:eastAsia="Times New Roman" w:hAnsi="Verdana" w:cs="Arial"/>
                <w:color w:val="000000" w:themeColor="text1"/>
                <w:lang w:eastAsia="es-ES_tradnl"/>
              </w:rPr>
              <w:t>Decreto 1081 de 2015, Artículo 2.1.1.2.1.7.</w:t>
            </w:r>
          </w:p>
          <w:p w14:paraId="1E711FC5" w14:textId="77777777" w:rsidR="00E27077" w:rsidRPr="005E4C0B" w:rsidRDefault="00E27077" w:rsidP="00E27077">
            <w:pPr>
              <w:pStyle w:val="Prrafodelista"/>
              <w:numPr>
                <w:ilvl w:val="0"/>
                <w:numId w:val="17"/>
              </w:numPr>
              <w:spacing w:before="120" w:line="276" w:lineRule="auto"/>
              <w:jc w:val="both"/>
              <w:rPr>
                <w:rFonts w:ascii="Verdana" w:eastAsia="Times New Roman" w:hAnsi="Verdana" w:cs="Arial"/>
                <w:color w:val="000000" w:themeColor="text1"/>
                <w:lang w:eastAsia="es-ES_tradnl"/>
              </w:rPr>
            </w:pPr>
            <w:r>
              <w:rPr>
                <w:rFonts w:ascii="Verdana" w:eastAsia="Times New Roman" w:hAnsi="Verdana" w:cs="Arial"/>
                <w:color w:val="000000" w:themeColor="text1"/>
                <w:lang w:eastAsia="es-ES_tradnl"/>
              </w:rPr>
              <w:t xml:space="preserve">Decreto 1082 de 2015, Artículo 2.2.1.1.1.7.1., </w:t>
            </w:r>
            <w:r>
              <w:rPr>
                <w:rFonts w:ascii="Verdana" w:hAnsi="Verdana"/>
              </w:rPr>
              <w:t>2.2.1.2.1.5.2.</w:t>
            </w:r>
          </w:p>
        </w:tc>
      </w:tr>
    </w:tbl>
    <w:p w14:paraId="4B9D8C00" w14:textId="77777777" w:rsidR="00E27077" w:rsidRDefault="00E27077" w:rsidP="00E27077">
      <w:pPr>
        <w:widowControl w:val="0"/>
        <w:autoSpaceDE w:val="0"/>
        <w:autoSpaceDN w:val="0"/>
        <w:spacing w:after="0" w:line="276" w:lineRule="auto"/>
        <w:jc w:val="both"/>
        <w:rPr>
          <w:rFonts w:ascii="Verdana" w:hAnsi="Verdana" w:cs="Arial"/>
        </w:rPr>
      </w:pPr>
    </w:p>
    <w:p w14:paraId="7610C293" w14:textId="77777777" w:rsidR="00E27077" w:rsidRDefault="00E27077" w:rsidP="00E270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C0574CA" w14:textId="77777777" w:rsidR="00E27077" w:rsidRDefault="00E27077" w:rsidP="00E27077">
      <w:pPr>
        <w:widowControl w:val="0"/>
        <w:autoSpaceDE w:val="0"/>
        <w:autoSpaceDN w:val="0"/>
        <w:spacing w:after="0" w:line="276" w:lineRule="auto"/>
        <w:jc w:val="both"/>
        <w:rPr>
          <w:rFonts w:ascii="Verdana" w:hAnsi="Verdana" w:cs="Arial"/>
        </w:rPr>
      </w:pPr>
    </w:p>
    <w:p w14:paraId="785E5F18" w14:textId="77777777" w:rsidR="00E27077" w:rsidRPr="00FE3C84" w:rsidRDefault="00E27077" w:rsidP="00E27077">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el deber de publicidad</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C-479 del 26 de mayo de 2025, </w:t>
      </w:r>
      <w:r w:rsidRPr="00CF7C16">
        <w:rPr>
          <w:rFonts w:ascii="Verdana" w:hAnsi="Verdana" w:cs="Arial"/>
          <w:shd w:val="clear" w:color="auto" w:fill="FFFFFF"/>
          <w:lang w:val="es-ES"/>
        </w:rPr>
        <w:t>C-</w:t>
      </w:r>
      <w:r>
        <w:rPr>
          <w:rFonts w:ascii="Verdana" w:hAnsi="Verdana" w:cs="Arial"/>
          <w:shd w:val="clear" w:color="auto" w:fill="FFFFFF"/>
          <w:lang w:val="es-ES"/>
        </w:rPr>
        <w:t>480 del 21 de mayo de 2025,</w:t>
      </w:r>
      <w:r w:rsidRPr="00CF7C16">
        <w:rPr>
          <w:rFonts w:ascii="Verdana" w:hAnsi="Verdana" w:cs="Arial"/>
          <w:shd w:val="clear" w:color="auto" w:fill="FFFFFF"/>
          <w:lang w:val="es-ES"/>
        </w:rPr>
        <w:t xml:space="preserve"> </w:t>
      </w:r>
      <w:r>
        <w:rPr>
          <w:rFonts w:ascii="Verdana" w:hAnsi="Verdana" w:cs="Arial"/>
          <w:shd w:val="clear" w:color="auto" w:fill="FFFFFF"/>
          <w:lang w:val="es-ES"/>
        </w:rPr>
        <w:t xml:space="preserve">C-495 del 30 de mayo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w:t>
      </w:r>
      <w:r>
        <w:rPr>
          <w:rFonts w:ascii="Verdana" w:hAnsi="Verdana"/>
        </w:rPr>
        <w:t xml:space="preserve">tos y otros conceptos se encuentran </w:t>
      </w:r>
      <w:r>
        <w:rPr>
          <w:rFonts w:ascii="Verdana" w:hAnsi="Verdana"/>
        </w:rPr>
        <w:lastRenderedPageBreak/>
        <w:t>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57730358" w14:textId="77777777" w:rsidR="00E27077" w:rsidRDefault="00E27077" w:rsidP="00E2707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25428E6" w14:textId="77777777" w:rsidR="00E27077" w:rsidRPr="005D0607" w:rsidRDefault="00E27077" w:rsidP="00E27077">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B778BC">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78BC">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B778BC">
        <w:rPr>
          <w:rFonts w:ascii="Verdana" w:hAnsi="Verdana"/>
          <w:color w:val="467886"/>
          <w:u w:val="single"/>
          <w:bdr w:val="none" w:sz="0" w:space="0" w:color="auto" w:frame="1"/>
        </w:rPr>
        <w:t>"</w:t>
      </w:r>
    </w:p>
    <w:p w14:paraId="21B1E8E8" w14:textId="77777777" w:rsidR="00E27077" w:rsidRDefault="00E27077" w:rsidP="00E27077">
      <w:pPr>
        <w:spacing w:after="0" w:line="276" w:lineRule="auto"/>
        <w:jc w:val="both"/>
        <w:rPr>
          <w:rFonts w:ascii="Verdana" w:hAnsi="Verdana"/>
        </w:rPr>
      </w:pPr>
    </w:p>
    <w:p w14:paraId="4140CEBE" w14:textId="77777777" w:rsidR="00E27077" w:rsidRDefault="00E27077" w:rsidP="00E27077">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E482D48" w14:textId="77777777" w:rsidR="00E27077" w:rsidRDefault="00E27077" w:rsidP="00E27077">
      <w:pPr>
        <w:spacing w:after="0" w:line="276" w:lineRule="auto"/>
        <w:jc w:val="both"/>
        <w:rPr>
          <w:rFonts w:ascii="Verdana" w:hAnsi="Verdana"/>
        </w:rPr>
      </w:pPr>
    </w:p>
    <w:p w14:paraId="61FE1053" w14:textId="77777777" w:rsidR="00E27077" w:rsidRDefault="00E27077" w:rsidP="00E27077">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AC53304" w14:textId="77777777" w:rsidR="00E27077" w:rsidRDefault="00E27077" w:rsidP="00E27077">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2A430BC1" w14:textId="77777777" w:rsidR="00E27077" w:rsidRDefault="00E27077" w:rsidP="00E27077">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926A2C8" w14:textId="77777777" w:rsidR="00E27077" w:rsidRDefault="00E27077" w:rsidP="00E27077">
      <w:pPr>
        <w:widowControl w:val="0"/>
        <w:autoSpaceDE w:val="0"/>
        <w:autoSpaceDN w:val="0"/>
        <w:spacing w:after="0" w:line="276" w:lineRule="auto"/>
        <w:jc w:val="both"/>
        <w:rPr>
          <w:rFonts w:ascii="Verdana" w:hAnsi="Verdana" w:cs="Arial"/>
        </w:rPr>
      </w:pPr>
    </w:p>
    <w:p w14:paraId="0A3FD14A" w14:textId="77777777" w:rsidR="00E27077" w:rsidRDefault="00E27077" w:rsidP="00E27077">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4D4CB64F" w14:textId="77777777" w:rsidR="00E27077" w:rsidRDefault="00E27077" w:rsidP="00E27077">
      <w:pPr>
        <w:widowControl w:val="0"/>
        <w:autoSpaceDE w:val="0"/>
        <w:autoSpaceDN w:val="0"/>
        <w:spacing w:after="0" w:line="276" w:lineRule="auto"/>
        <w:jc w:val="both"/>
        <w:rPr>
          <w:rFonts w:ascii="Verdana" w:hAnsi="Verdana" w:cs="Arial"/>
        </w:rPr>
      </w:pPr>
    </w:p>
    <w:p w14:paraId="12FAD7E8" w14:textId="77777777" w:rsidR="00E27077" w:rsidRDefault="00E27077" w:rsidP="00E27077">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C39A5A4" w14:textId="2D95AF75" w:rsidR="00E27077" w:rsidRDefault="00AF1E4F" w:rsidP="00E27077">
      <w:pPr>
        <w:spacing w:line="276" w:lineRule="auto"/>
        <w:jc w:val="center"/>
        <w:rPr>
          <w:rFonts w:ascii="Verdana" w:hAnsi="Verdana" w:cs="Arial"/>
          <w:color w:val="000000"/>
          <w:lang w:val="es-ES_tradnl" w:eastAsia="es-CO"/>
        </w:rPr>
      </w:pPr>
      <w:r>
        <w:rPr>
          <w:noProof/>
        </w:rPr>
        <w:drawing>
          <wp:inline distT="0" distB="0" distL="0" distR="0" wp14:anchorId="6278D473" wp14:editId="507B326B">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27077" w14:paraId="64F52E11" w14:textId="77777777" w:rsidTr="00D653ED">
        <w:trPr>
          <w:trHeight w:val="315"/>
        </w:trPr>
        <w:tc>
          <w:tcPr>
            <w:tcW w:w="893" w:type="dxa"/>
            <w:vAlign w:val="center"/>
            <w:hideMark/>
          </w:tcPr>
          <w:p w14:paraId="0A944D90" w14:textId="77777777" w:rsidR="00E27077" w:rsidRDefault="00E27077" w:rsidP="00D653ED">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6703DA3" w14:textId="77777777" w:rsidR="00E27077" w:rsidRDefault="00E27077" w:rsidP="00D653ED">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4AF99C7C" w14:textId="77777777" w:rsidR="00E27077" w:rsidRDefault="00E27077" w:rsidP="00D653ED">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E27077" w14:paraId="60F7F57C" w14:textId="77777777" w:rsidTr="00D653ED">
        <w:trPr>
          <w:trHeight w:val="330"/>
        </w:trPr>
        <w:tc>
          <w:tcPr>
            <w:tcW w:w="893" w:type="dxa"/>
            <w:vAlign w:val="center"/>
            <w:hideMark/>
          </w:tcPr>
          <w:p w14:paraId="2CF52708" w14:textId="77777777" w:rsidR="00E27077" w:rsidRDefault="00E27077" w:rsidP="00D653ED">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E7241D" w14:textId="77777777" w:rsidR="00E27077" w:rsidRDefault="00E27077" w:rsidP="00D653ED">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 xml:space="preserve">Juan Carlos González Vásquez </w:t>
            </w:r>
          </w:p>
          <w:p w14:paraId="65614DF1" w14:textId="77777777" w:rsidR="00E27077" w:rsidRDefault="00E27077" w:rsidP="00D653ED">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E27077" w14:paraId="6DB1016D" w14:textId="77777777" w:rsidTr="00D653ED">
        <w:trPr>
          <w:trHeight w:val="300"/>
        </w:trPr>
        <w:tc>
          <w:tcPr>
            <w:tcW w:w="893" w:type="dxa"/>
            <w:vAlign w:val="center"/>
            <w:hideMark/>
          </w:tcPr>
          <w:p w14:paraId="23917535" w14:textId="77777777" w:rsidR="00E27077" w:rsidRDefault="00E27077" w:rsidP="00D653ED">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4A3FF5" w14:textId="77777777" w:rsidR="00E27077" w:rsidRDefault="00E27077" w:rsidP="00D653ED">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21845B58" w14:textId="77777777" w:rsidR="00E27077" w:rsidRDefault="00E27077" w:rsidP="00D653ED">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3A90B739" w14:textId="77777777" w:rsidR="00E27077" w:rsidRPr="001249F1" w:rsidRDefault="00E27077" w:rsidP="00E27077"/>
    <w:p w14:paraId="5CD1CCAA" w14:textId="77777777" w:rsidR="00E27077" w:rsidRPr="0044528D" w:rsidRDefault="00E27077" w:rsidP="00E27077">
      <w:pPr>
        <w:spacing w:after="0"/>
        <w:rPr>
          <w:rFonts w:ascii="Verdana" w:eastAsia="Times New Roman" w:hAnsi="Verdana" w:cs="Segoe UI"/>
          <w:b/>
          <w:bCs/>
          <w:color w:val="46589C"/>
          <w:lang w:val="es-ES" w:eastAsia="es-CO"/>
        </w:rPr>
      </w:pPr>
    </w:p>
    <w:p w14:paraId="0F293BF4" w14:textId="52CF8E0B" w:rsidR="00127233" w:rsidRPr="00E27077" w:rsidRDefault="00127233" w:rsidP="00E27077"/>
    <w:sectPr w:rsidR="00127233" w:rsidRPr="00E2707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B6B86" w14:textId="77777777" w:rsidR="002F7D8C" w:rsidRDefault="002F7D8C" w:rsidP="004A1847">
      <w:pPr>
        <w:spacing w:after="0" w:line="240" w:lineRule="auto"/>
      </w:pPr>
      <w:r>
        <w:separator/>
      </w:r>
    </w:p>
  </w:endnote>
  <w:endnote w:type="continuationSeparator" w:id="0">
    <w:p w14:paraId="34F917A8" w14:textId="77777777" w:rsidR="002F7D8C" w:rsidRDefault="002F7D8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F3C25" w14:textId="77777777" w:rsidR="002F7D8C" w:rsidRDefault="002F7D8C" w:rsidP="004A1847">
      <w:pPr>
        <w:spacing w:after="0" w:line="240" w:lineRule="auto"/>
      </w:pPr>
      <w:r>
        <w:separator/>
      </w:r>
    </w:p>
  </w:footnote>
  <w:footnote w:type="continuationSeparator" w:id="0">
    <w:p w14:paraId="167A6CF8" w14:textId="77777777" w:rsidR="002F7D8C" w:rsidRDefault="002F7D8C" w:rsidP="004A1847">
      <w:pPr>
        <w:spacing w:after="0" w:line="240" w:lineRule="auto"/>
      </w:pPr>
      <w:r>
        <w:continuationSeparator/>
      </w:r>
    </w:p>
  </w:footnote>
  <w:footnote w:id="1">
    <w:p w14:paraId="2E310650" w14:textId="77777777" w:rsidR="00E27077" w:rsidRPr="00C92145" w:rsidRDefault="00E27077" w:rsidP="00E27077">
      <w:pPr>
        <w:pStyle w:val="Textonotapie"/>
        <w:ind w:firstLine="709"/>
        <w:jc w:val="both"/>
        <w:rPr>
          <w:rFonts w:ascii="Verdana" w:hAnsi="Verdana" w:cs="Arial"/>
          <w:color w:val="000000" w:themeColor="text1"/>
          <w:sz w:val="14"/>
          <w:szCs w:val="14"/>
        </w:rPr>
      </w:pPr>
      <w:r w:rsidRPr="00C92145">
        <w:rPr>
          <w:rStyle w:val="Refdenotaalpie"/>
          <w:rFonts w:ascii="Verdana" w:hAnsi="Verdana" w:cs="Arial"/>
          <w:color w:val="000000" w:themeColor="text1"/>
          <w:sz w:val="14"/>
          <w:szCs w:val="14"/>
        </w:rPr>
        <w:footnoteRef/>
      </w:r>
      <w:r w:rsidRPr="00C92145">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29CC02E1" w14:textId="77777777" w:rsidR="00E27077" w:rsidRPr="00C92145" w:rsidRDefault="00E27077" w:rsidP="00E27077">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Lo anterior, sin perjuicio de las publicaciones previstas en el numeral 3 del artículo 30 de la Ley 80 de 1993.</w:t>
      </w:r>
    </w:p>
    <w:p w14:paraId="12974716" w14:textId="77777777" w:rsidR="00E27077" w:rsidRPr="00C92145" w:rsidRDefault="00E27077" w:rsidP="00E27077">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508EC632" w14:textId="77777777" w:rsidR="00E27077" w:rsidRPr="00C92145" w:rsidRDefault="00E27077" w:rsidP="00E27077">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w:t>
      </w:r>
    </w:p>
    <w:p w14:paraId="105656A4" w14:textId="77777777" w:rsidR="00E27077" w:rsidRPr="00C92145" w:rsidRDefault="00E27077" w:rsidP="00E27077">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5B468953" w14:textId="77777777" w:rsidR="00E27077" w:rsidRPr="00C92145" w:rsidRDefault="00E27077" w:rsidP="00E27077">
      <w:pPr>
        <w:pStyle w:val="Textonotapie"/>
        <w:ind w:firstLine="709"/>
        <w:jc w:val="both"/>
        <w:rPr>
          <w:rFonts w:ascii="Verdana" w:hAnsi="Verdana" w:cs="Arial"/>
          <w:color w:val="000000" w:themeColor="text1"/>
          <w:sz w:val="14"/>
          <w:szCs w:val="14"/>
          <w:lang w:val="es-CO"/>
        </w:rPr>
      </w:pPr>
    </w:p>
  </w:footnote>
  <w:footnote w:id="2">
    <w:p w14:paraId="3C0F1463" w14:textId="77777777" w:rsidR="00E27077" w:rsidRPr="005C10BE" w:rsidRDefault="00E27077" w:rsidP="00E27077">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298DEEA3" w14:textId="77777777" w:rsidR="00E27077" w:rsidRPr="005C10BE" w:rsidRDefault="00E27077" w:rsidP="00E27077">
      <w:pPr>
        <w:pStyle w:val="Textonotapie"/>
        <w:ind w:firstLine="709"/>
        <w:jc w:val="both"/>
        <w:rPr>
          <w:rFonts w:ascii="Verdana" w:hAnsi="Verdana" w:cs="Arial"/>
          <w:color w:val="000000"/>
          <w:sz w:val="16"/>
          <w:szCs w:val="16"/>
          <w:lang w:val="es-CO"/>
        </w:rPr>
      </w:pPr>
    </w:p>
  </w:footnote>
  <w:footnote w:id="3">
    <w:p w14:paraId="4508A06E" w14:textId="77777777" w:rsidR="00E27077" w:rsidRPr="005C10BE" w:rsidRDefault="00E27077" w:rsidP="00E27077">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76FF8528" w14:textId="77777777" w:rsidR="00E27077" w:rsidRPr="005C10BE" w:rsidRDefault="00E27077" w:rsidP="00E27077">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43A450A2" w14:textId="77777777" w:rsidR="00E27077" w:rsidRPr="005C10BE" w:rsidRDefault="00E27077" w:rsidP="00E27077">
      <w:pPr>
        <w:pStyle w:val="Textonotapie"/>
        <w:ind w:firstLine="709"/>
        <w:jc w:val="both"/>
        <w:rPr>
          <w:rFonts w:ascii="Verdana" w:hAnsi="Verdana" w:cs="Arial"/>
          <w:color w:val="000000"/>
          <w:sz w:val="16"/>
          <w:szCs w:val="16"/>
          <w:lang w:val="es-CO"/>
        </w:rPr>
      </w:pPr>
    </w:p>
  </w:footnote>
  <w:footnote w:id="4">
    <w:p w14:paraId="11B62F7F" w14:textId="77777777" w:rsidR="00E27077" w:rsidRPr="005C10BE" w:rsidRDefault="00E27077" w:rsidP="00E27077">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548CA0B" w14:textId="77777777" w:rsidR="00E27077" w:rsidRPr="005C10BE" w:rsidRDefault="00E27077" w:rsidP="00E27077">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247BD699" w14:textId="77777777" w:rsidR="00E27077" w:rsidRPr="005C10BE" w:rsidRDefault="00E27077" w:rsidP="00E27077">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3DE473D0" w14:textId="77777777" w:rsidR="00E27077" w:rsidRPr="005C10BE" w:rsidRDefault="00E27077" w:rsidP="00E27077">
      <w:pPr>
        <w:pStyle w:val="Textonotapie"/>
        <w:ind w:firstLine="709"/>
        <w:jc w:val="both"/>
        <w:rPr>
          <w:rFonts w:ascii="Verdana" w:eastAsia="Times New Roman" w:hAnsi="Verdana" w:cs="Arial"/>
          <w:color w:val="000000"/>
          <w:sz w:val="16"/>
          <w:szCs w:val="16"/>
          <w:lang w:val="es-ES" w:eastAsia="es-ES"/>
        </w:rPr>
      </w:pPr>
    </w:p>
  </w:footnote>
  <w:footnote w:id="5">
    <w:p w14:paraId="003BD04D" w14:textId="77777777" w:rsidR="00E27077" w:rsidRPr="005C10BE" w:rsidRDefault="00E27077" w:rsidP="00E27077">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C</w:t>
      </w:r>
      <w:r w:rsidRPr="005C10BE">
        <w:rPr>
          <w:rFonts w:ascii="Verdana" w:eastAsia="Times New Roman" w:hAnsi="Verdana" w:cs="Arial"/>
          <w:color w:val="000000"/>
          <w:sz w:val="16"/>
          <w:szCs w:val="16"/>
          <w:lang w:val="es-ES" w:eastAsia="es-ES"/>
        </w:rPr>
        <w:t>orte Constitucional. Sentencia C‒274 de 9 de mayo de 2013. M.P. Mar</w:t>
      </w:r>
      <w:r w:rsidRPr="005C10BE">
        <w:rPr>
          <w:rFonts w:ascii="Verdana" w:eastAsia="Times New Roman" w:hAnsi="Verdana" w:cs="Century Gothic"/>
          <w:color w:val="000000"/>
          <w:sz w:val="16"/>
          <w:szCs w:val="16"/>
          <w:lang w:val="es-ES" w:eastAsia="es-ES"/>
        </w:rPr>
        <w:t>í</w:t>
      </w:r>
      <w:r w:rsidRPr="005C10BE">
        <w:rPr>
          <w:rFonts w:ascii="Verdana" w:eastAsia="Times New Roman" w:hAnsi="Verdana" w:cs="Arial"/>
          <w:color w:val="000000"/>
          <w:sz w:val="16"/>
          <w:szCs w:val="16"/>
          <w:lang w:val="es-ES" w:eastAsia="es-ES"/>
        </w:rPr>
        <w:t xml:space="preserve">a Victoria Calle Correa. </w:t>
      </w:r>
    </w:p>
    <w:p w14:paraId="11B2D65E" w14:textId="77777777" w:rsidR="00E27077" w:rsidRPr="005C10BE" w:rsidRDefault="00E27077" w:rsidP="00E27077">
      <w:pPr>
        <w:pStyle w:val="Textonotapie"/>
        <w:ind w:firstLine="709"/>
        <w:jc w:val="both"/>
        <w:rPr>
          <w:rFonts w:ascii="Verdana" w:hAnsi="Verdana" w:cs="Arial"/>
          <w:color w:val="000000"/>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903642">
    <w:abstractNumId w:val="7"/>
  </w:num>
  <w:num w:numId="2" w16cid:durableId="426508618">
    <w:abstractNumId w:val="2"/>
  </w:num>
  <w:num w:numId="3" w16cid:durableId="1705910669">
    <w:abstractNumId w:val="5"/>
  </w:num>
  <w:num w:numId="4" w16cid:durableId="17609814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26255806">
    <w:abstractNumId w:val="2"/>
  </w:num>
  <w:num w:numId="6" w16cid:durableId="2007587282">
    <w:abstractNumId w:val="13"/>
  </w:num>
  <w:num w:numId="7" w16cid:durableId="1284118138">
    <w:abstractNumId w:val="6"/>
  </w:num>
  <w:num w:numId="8" w16cid:durableId="137035814">
    <w:abstractNumId w:val="12"/>
  </w:num>
  <w:num w:numId="9" w16cid:durableId="1123961258">
    <w:abstractNumId w:val="8"/>
  </w:num>
  <w:num w:numId="10" w16cid:durableId="203838140">
    <w:abstractNumId w:val="11"/>
  </w:num>
  <w:num w:numId="11" w16cid:durableId="1507553974">
    <w:abstractNumId w:val="9"/>
  </w:num>
  <w:num w:numId="12" w16cid:durableId="755443445">
    <w:abstractNumId w:val="1"/>
  </w:num>
  <w:num w:numId="13" w16cid:durableId="1452360933">
    <w:abstractNumId w:val="4"/>
  </w:num>
  <w:num w:numId="14" w16cid:durableId="1367684095">
    <w:abstractNumId w:val="14"/>
  </w:num>
  <w:num w:numId="15" w16cid:durableId="370766823">
    <w:abstractNumId w:val="10"/>
  </w:num>
  <w:num w:numId="16" w16cid:durableId="30713081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827781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A6701"/>
    <w:rsid w:val="002C7A84"/>
    <w:rsid w:val="002E4FD9"/>
    <w:rsid w:val="002F7D8C"/>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46120"/>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C47A3"/>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F1E4F"/>
    <w:rsid w:val="00B00C0E"/>
    <w:rsid w:val="00B01B1A"/>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077"/>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91A47"/>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0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27077"/>
    <w:rPr>
      <w:rFonts w:ascii="Geomanist Light" w:hAnsi="Geomanist Light"/>
      <w:lang w:val="es-ES"/>
    </w:rPr>
  </w:style>
  <w:style w:type="paragraph" w:customStyle="1" w:styleId="Appelnotedebasde">
    <w:name w:val="Appel note de bas de..."/>
    <w:basedOn w:val="Normal"/>
    <w:link w:val="Refdenotaalpie"/>
    <w:uiPriority w:val="99"/>
    <w:rsid w:val="00E2707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laudiapvc56@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9d85dbaf-23eb-4e57-a637-93dcacc8b1a1"/>
    <ds:schemaRef ds:uri="http://schemas.microsoft.com/office/2006/metadata/properties"/>
    <ds:schemaRef ds:uri="http://schemas.microsoft.com/office/2006/documentManagement/types"/>
    <ds:schemaRef ds:uri="http://purl.org/dc/elements/1.1/"/>
    <ds:schemaRef ds:uri="http://schemas.microsoft.com/office/infopath/2007/PartnerControls"/>
    <ds:schemaRef ds:uri="a6cb9e4b-f1d1-4245-83ec-6cad768d538a"/>
    <ds:schemaRef ds:uri="http://purl.org/dc/dcmitype/"/>
    <ds:schemaRef ds:uri="http://schemas.openxmlformats.org/package/2006/metadata/core-properties"/>
    <ds:schemaRef ds:uri="http://www.w3.org/XML/1998/namespace"/>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E49D43B-DAF8-4FB9-ADF7-FB08B17487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2558</Words>
  <Characters>14069</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2025-09-30T13:26:00Z</dcterms:created>
  <dcterms:modified xsi:type="dcterms:W3CDTF">2025-09-30T13:26:00Z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