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BF8BDA" w14:textId="77777777" w:rsidR="003E4F32" w:rsidRPr="003E4F32" w:rsidRDefault="003E4F32" w:rsidP="003E4F32">
      <w:pPr>
        <w:spacing w:after="0" w:line="240" w:lineRule="auto"/>
        <w:jc w:val="both"/>
        <w:rPr>
          <w:rFonts w:ascii="Verdana" w:hAnsi="Verdana"/>
          <w:b/>
          <w:lang w:val="es-ES"/>
        </w:rPr>
      </w:pPr>
      <w:bookmarkStart w:id="0" w:name="_Hlk143780582"/>
      <w:r w:rsidRPr="003E4F32">
        <w:rPr>
          <w:rFonts w:ascii="Verdana" w:hAnsi="Verdana"/>
          <w:b/>
          <w:lang w:val="es-ES"/>
        </w:rPr>
        <w:t xml:space="preserve">CONTRATOS Y CONVENIOS INTERADMINISTRATIVOS – Noción – Diferencias </w:t>
      </w:r>
    </w:p>
    <w:p w14:paraId="3D1A6C82" w14:textId="6B9F5622" w:rsidR="003E4F32" w:rsidRDefault="003E4F32" w:rsidP="003E4F32">
      <w:pPr>
        <w:spacing w:after="0" w:line="240" w:lineRule="auto"/>
        <w:jc w:val="both"/>
        <w:rPr>
          <w:rFonts w:ascii="Verdana" w:hAnsi="Verdana"/>
          <w:b/>
          <w:lang w:val="es-ES"/>
        </w:rPr>
      </w:pPr>
    </w:p>
    <w:p w14:paraId="6C3853AB" w14:textId="5988FE23" w:rsidR="003E4F32" w:rsidRDefault="003E4F32" w:rsidP="003E4F32">
      <w:pPr>
        <w:spacing w:after="0" w:line="240" w:lineRule="auto"/>
        <w:jc w:val="both"/>
        <w:rPr>
          <w:rFonts w:ascii="Verdana" w:hAnsi="Verdana"/>
          <w:sz w:val="20"/>
        </w:rPr>
      </w:pPr>
      <w:r w:rsidRPr="003E4F32">
        <w:rPr>
          <w:rFonts w:ascii="Verdana" w:hAnsi="Verdana"/>
          <w:sz w:val="20"/>
        </w:rPr>
        <w:t>La tipología del contrato interadministrativo fue creada en la Ley 80 de 1993, y el Decreto 1082 de 2015 la califica como aquella contratación entre Entidades Estatales. De acuerdo con lo anterior, el contrato o el convenio interadministrativo es el acuerdo donde concurre la voluntad de dos o más personas jurídicas de derecho público con la finalidad de cumplir, en el marco de sus objetivos misionales y sus competencias, con los fines del Estado. Es decir, los contratos o convenios interadministrativos están determinados por un criterio orgánico, al ser necesario que los extremos de la relación contractual sean Entidades Estatales.</w:t>
      </w:r>
    </w:p>
    <w:p w14:paraId="3A2C8DCA" w14:textId="77777777" w:rsidR="003E4F32" w:rsidRPr="003E4F32" w:rsidRDefault="003E4F32" w:rsidP="003E4F32">
      <w:pPr>
        <w:spacing w:after="0" w:line="240" w:lineRule="auto"/>
        <w:jc w:val="both"/>
        <w:rPr>
          <w:rFonts w:ascii="Verdana" w:hAnsi="Verdana"/>
          <w:sz w:val="20"/>
        </w:rPr>
      </w:pPr>
    </w:p>
    <w:p w14:paraId="47EEBF4E" w14:textId="77777777" w:rsidR="003E4F32" w:rsidRPr="003E4F32" w:rsidRDefault="003E4F32" w:rsidP="003E4F32">
      <w:pPr>
        <w:spacing w:after="0" w:line="240" w:lineRule="auto"/>
        <w:jc w:val="both"/>
        <w:rPr>
          <w:rFonts w:ascii="Verdana" w:hAnsi="Verdana"/>
          <w:sz w:val="20"/>
        </w:rPr>
      </w:pPr>
      <w:r w:rsidRPr="003E4F32">
        <w:rPr>
          <w:rFonts w:ascii="Verdana" w:hAnsi="Verdana"/>
          <w:sz w:val="20"/>
        </w:rPr>
        <w:t>Si bien los contratos interadministrativos están previstos en la Ley 80 de 1993, en la Ley 1150 de 2007 y en el Decreto en el 1082 de 2015, no quiere decir que solo puedan celebrarse entre Entidades Estatales que apliquen el régimen de contratación allí previsto, pues bien puede una Entidad Estatal sometida a la Ley 80 de 1993 celebrar esta clase de negocios jurídicos con una Entidad Estatal de régimen especial y no por ello dejará de ser un contrato o convenio interadministrativo.</w:t>
      </w:r>
    </w:p>
    <w:p w14:paraId="5AB85414" w14:textId="77777777" w:rsidR="003E4F32" w:rsidRPr="003E4F32" w:rsidRDefault="003E4F32" w:rsidP="003E4F32">
      <w:pPr>
        <w:spacing w:after="0" w:line="240" w:lineRule="auto"/>
        <w:jc w:val="both"/>
        <w:rPr>
          <w:rFonts w:ascii="Verdana" w:hAnsi="Verdana"/>
          <w:b/>
        </w:rPr>
      </w:pPr>
    </w:p>
    <w:p w14:paraId="7AD6B825" w14:textId="77777777" w:rsidR="003E4F32" w:rsidRPr="003E4F32" w:rsidRDefault="003E4F32" w:rsidP="003E4F32">
      <w:pPr>
        <w:spacing w:after="0" w:line="240" w:lineRule="auto"/>
        <w:jc w:val="both"/>
        <w:rPr>
          <w:rFonts w:ascii="Verdana" w:hAnsi="Verdana"/>
          <w:b/>
          <w:lang w:val="es-ES"/>
        </w:rPr>
      </w:pPr>
      <w:r w:rsidRPr="003E4F32">
        <w:rPr>
          <w:rFonts w:ascii="Verdana" w:hAnsi="Verdana"/>
          <w:b/>
          <w:lang w:val="es-ES"/>
        </w:rPr>
        <w:t xml:space="preserve">CONVENIO INTERADMINISTRATIVO – Naturaleza – Inaplicabilidad – Ley 80 de 1993 </w:t>
      </w:r>
    </w:p>
    <w:p w14:paraId="1C184393" w14:textId="6810285A" w:rsidR="003E4F32" w:rsidRDefault="003E4F32" w:rsidP="003E4F32">
      <w:pPr>
        <w:spacing w:after="0" w:line="240" w:lineRule="auto"/>
        <w:jc w:val="both"/>
        <w:rPr>
          <w:rFonts w:ascii="Verdana" w:hAnsi="Verdana"/>
          <w:b/>
          <w:lang w:val="es-ES"/>
        </w:rPr>
      </w:pPr>
    </w:p>
    <w:p w14:paraId="1D20C08F" w14:textId="07411223" w:rsidR="003E4F32" w:rsidRPr="003E4F32" w:rsidRDefault="003E4F32" w:rsidP="003E4F32">
      <w:pPr>
        <w:spacing w:after="0" w:line="240" w:lineRule="auto"/>
        <w:jc w:val="both"/>
        <w:rPr>
          <w:rFonts w:ascii="Verdana" w:hAnsi="Verdana"/>
          <w:sz w:val="20"/>
        </w:rPr>
      </w:pPr>
      <w:r w:rsidRPr="003E4F32">
        <w:rPr>
          <w:rFonts w:ascii="Verdana" w:hAnsi="Verdana"/>
          <w:sz w:val="20"/>
        </w:rPr>
        <w:t xml:space="preserve">Bajo esta postura del Consejo de Estado, se determina que el convenio interadministrativo es el negocio jurídico en el cual convergen dos entidades públicas, cuyo objeto se relaciona con la coordinación o cooperación para el cumplimiento de los fines comunes de las partes. Por otro lado, el contrato interadministrativo es un negocio jurídico, cuyo objeto está relacionado con la prestación de bienes y servicios, en el que una de las partes actúa como contratante y otra como contratista. </w:t>
      </w:r>
    </w:p>
    <w:p w14:paraId="0C87E10E" w14:textId="77777777" w:rsidR="003E4F32" w:rsidRPr="003E4F32" w:rsidRDefault="003E4F32" w:rsidP="003E4F32">
      <w:pPr>
        <w:spacing w:after="0" w:line="240" w:lineRule="auto"/>
        <w:jc w:val="both"/>
        <w:rPr>
          <w:rFonts w:ascii="Verdana" w:hAnsi="Verdana"/>
          <w:sz w:val="20"/>
        </w:rPr>
      </w:pPr>
    </w:p>
    <w:p w14:paraId="4EE8E427" w14:textId="24C28344" w:rsidR="003E4F32" w:rsidRPr="003E4F32" w:rsidRDefault="003E4F32" w:rsidP="003E4F32">
      <w:pPr>
        <w:spacing w:after="0" w:line="240" w:lineRule="auto"/>
        <w:jc w:val="both"/>
        <w:rPr>
          <w:rFonts w:ascii="Verdana" w:hAnsi="Verdana"/>
          <w:sz w:val="20"/>
        </w:rPr>
      </w:pPr>
      <w:r w:rsidRPr="003E4F32">
        <w:rPr>
          <w:rFonts w:ascii="Verdana" w:hAnsi="Verdana"/>
          <w:sz w:val="20"/>
        </w:rPr>
        <w:t>Ahora bien, esta distinción conceptual entre contratos y convenios interadministrativos resulta relevante para precisar ámbito de aplicación de las instituciones del EGCAP. Al respecto, el Consejo ha destacado la finalidad asociativa de los convenios interadministrativos, los cuales se caracterizan por la autorregulación de sus propias estipulaciones, que son el resultado de la autonomía de la voluntad de las entidades que actúan como colaboradoras o cooperantes, sin que pueda aludirse a la preponderancia de ciertos regímenes, por lo que no es procedente la aplicación automática del régimen contractual de los contratos estatales.</w:t>
      </w:r>
    </w:p>
    <w:p w14:paraId="55329601" w14:textId="77777777" w:rsidR="003E4F32" w:rsidRPr="003E4F32" w:rsidRDefault="003E4F32" w:rsidP="003E4F32">
      <w:pPr>
        <w:spacing w:after="0" w:line="240" w:lineRule="auto"/>
        <w:jc w:val="both"/>
        <w:rPr>
          <w:rFonts w:ascii="Verdana" w:hAnsi="Verdana"/>
          <w:b/>
          <w:lang w:val="es-ES"/>
        </w:rPr>
      </w:pPr>
    </w:p>
    <w:p w14:paraId="693345DA" w14:textId="77777777" w:rsidR="003E4F32" w:rsidRPr="003E4F32" w:rsidRDefault="003E4F32" w:rsidP="003E4F32">
      <w:pPr>
        <w:spacing w:after="0" w:line="240" w:lineRule="auto"/>
        <w:jc w:val="both"/>
        <w:rPr>
          <w:rFonts w:ascii="Verdana" w:hAnsi="Verdana"/>
          <w:b/>
          <w:bCs/>
          <w:lang w:val="es-ES_tradnl"/>
        </w:rPr>
      </w:pPr>
      <w:r w:rsidRPr="003E4F32">
        <w:rPr>
          <w:rFonts w:ascii="Verdana" w:hAnsi="Verdana"/>
          <w:b/>
          <w:bCs/>
          <w:lang w:val="es-ES_tradnl"/>
        </w:rPr>
        <w:t xml:space="preserve">ADMINISTRACIÓN DELEGADA – Noción – Definición – Mandato – Administración y pago </w:t>
      </w:r>
    </w:p>
    <w:p w14:paraId="28CE9F06" w14:textId="6C9E307C" w:rsidR="003E4F32" w:rsidRDefault="003E4F32" w:rsidP="003E4F32">
      <w:pPr>
        <w:spacing w:after="0" w:line="240" w:lineRule="auto"/>
        <w:jc w:val="both"/>
        <w:rPr>
          <w:rFonts w:ascii="Verdana" w:hAnsi="Verdana"/>
          <w:b/>
          <w:bCs/>
          <w:lang w:val="es-ES_tradnl"/>
        </w:rPr>
      </w:pPr>
    </w:p>
    <w:p w14:paraId="4EA88144" w14:textId="04AD2615" w:rsidR="00D51FF9" w:rsidRPr="00F67D84" w:rsidRDefault="00D51FF9" w:rsidP="00D51FF9">
      <w:pPr>
        <w:spacing w:after="0" w:line="240" w:lineRule="auto"/>
        <w:jc w:val="both"/>
        <w:rPr>
          <w:rFonts w:ascii="Verdana" w:eastAsia="Calibri" w:hAnsi="Verdana" w:cs="Times New Roman"/>
          <w:sz w:val="20"/>
          <w:szCs w:val="20"/>
          <w:lang w:val="es-ES_tradnl"/>
        </w:rPr>
      </w:pPr>
      <w:r w:rsidRPr="00B57A1B">
        <w:rPr>
          <w:rFonts w:ascii="Verdana" w:eastAsia="Calibri" w:hAnsi="Verdana" w:cs="Arial"/>
          <w:color w:val="000000" w:themeColor="text1"/>
          <w:lang w:val="es-ES_tradnl"/>
        </w:rPr>
        <w:t xml:space="preserve">Independientemente del régimen contractual aplicable, de acuerdo con la jurisprudencia del Consejo de Estado, la “administración delegada” se ha entendido, por lo menos, de dos maneras: i) como un mandato, es decir, como un negocio jurídico mediante el cual el contratista actúa en nombre y representación de la entidad contratante, y en contraprestación, la parte </w:t>
      </w:r>
      <w:r w:rsidRPr="00B57A1B">
        <w:rPr>
          <w:rFonts w:ascii="Verdana" w:eastAsia="Calibri" w:hAnsi="Verdana" w:cs="Arial"/>
          <w:color w:val="000000" w:themeColor="text1"/>
          <w:lang w:val="es-ES_tradnl"/>
        </w:rPr>
        <w:lastRenderedPageBreak/>
        <w:t xml:space="preserve">contratante delegante paga el costo real del objeto del contrato, adicionando un porcentaje por concepto de administración y utilidad del contratista; o </w:t>
      </w:r>
      <w:proofErr w:type="spellStart"/>
      <w:r w:rsidRPr="00B57A1B">
        <w:rPr>
          <w:rFonts w:ascii="Verdana" w:eastAsia="Calibri" w:hAnsi="Verdana" w:cs="Arial"/>
          <w:color w:val="000000" w:themeColor="text1"/>
          <w:lang w:val="es-ES_tradnl"/>
        </w:rPr>
        <w:t>ii</w:t>
      </w:r>
      <w:proofErr w:type="spellEnd"/>
      <w:r w:rsidRPr="00B57A1B">
        <w:rPr>
          <w:rFonts w:ascii="Verdana" w:eastAsia="Calibri" w:hAnsi="Verdana" w:cs="Arial"/>
          <w:color w:val="000000" w:themeColor="text1"/>
          <w:lang w:val="es-ES_tradnl"/>
        </w:rPr>
        <w:t>) como una modalidad de administración y pago, no necesariamente asociada al mandato.</w:t>
      </w:r>
    </w:p>
    <w:p w14:paraId="28D9AF8C" w14:textId="77777777" w:rsidR="00D51FF9" w:rsidRDefault="00D51FF9" w:rsidP="00D51FF9">
      <w:pPr>
        <w:spacing w:after="0" w:line="240" w:lineRule="auto"/>
        <w:jc w:val="both"/>
        <w:rPr>
          <w:rFonts w:ascii="Verdana" w:eastAsia="Calibri" w:hAnsi="Verdana" w:cs="Times New Roman"/>
          <w:sz w:val="20"/>
          <w:szCs w:val="20"/>
          <w:lang w:val="es-ES_tradnl"/>
        </w:rPr>
      </w:pPr>
    </w:p>
    <w:p w14:paraId="6C911B67" w14:textId="3C5520D7" w:rsidR="00D51FF9" w:rsidRPr="00D51FF9" w:rsidRDefault="00D51FF9" w:rsidP="00D51FF9">
      <w:pPr>
        <w:spacing w:after="0" w:line="240" w:lineRule="auto"/>
        <w:jc w:val="both"/>
        <w:rPr>
          <w:rFonts w:ascii="Verdana" w:eastAsia="Calibri" w:hAnsi="Verdana" w:cs="Times New Roman"/>
          <w:sz w:val="20"/>
          <w:szCs w:val="20"/>
          <w:lang w:val="es-ES"/>
        </w:rPr>
      </w:pPr>
      <w:r w:rsidRPr="00D51FF9">
        <w:rPr>
          <w:rFonts w:ascii="Verdana" w:eastAsia="Calibri" w:hAnsi="Verdana" w:cs="Times New Roman"/>
          <w:sz w:val="20"/>
          <w:szCs w:val="20"/>
          <w:lang w:val="es-ES_tradnl"/>
        </w:rPr>
        <w:t>En ese contexto, el artículo 40 de la Ley 80 de 1993 dispuso que podrán incluirse las modalidades, condiciones y, en general, las cláusulas o estipulaciones que las partes consideren necesarias y convenientes, de acuerdo con las normas civiles, comerciales, que correspondan a su esencia y naturaleza, siempre que no sean contrarias a la Constitución, la ley, el orden público y a los principios y finalidades de esta Ley y a los de la buena administración.</w:t>
      </w:r>
      <w:r w:rsidRPr="00D51FF9">
        <w:rPr>
          <w:rFonts w:ascii="Verdana" w:eastAsia="Calibri" w:hAnsi="Verdana" w:cs="Times New Roman"/>
          <w:sz w:val="20"/>
          <w:szCs w:val="20"/>
        </w:rPr>
        <w:t xml:space="preserve"> </w:t>
      </w:r>
      <w:r w:rsidRPr="00D51FF9">
        <w:rPr>
          <w:rFonts w:ascii="Verdana" w:eastAsia="Calibri" w:hAnsi="Verdana" w:cs="Times New Roman"/>
          <w:sz w:val="20"/>
          <w:szCs w:val="20"/>
          <w:lang w:val="es-ES"/>
        </w:rPr>
        <w:t xml:space="preserve">En consecuencia, el principio de autonomía de la voluntad de las partes, reconocido en los artículos 13, 32 y 40 de la Ley 80 de 1993, así como en el artículo 1602 del Código Civil, es viable que las Entidades Estatales celebren contratos en los que se pacte la administración delegada de los recursos, como forma de administración o modalidad de pago, incluso con o sin representación. </w:t>
      </w:r>
    </w:p>
    <w:p w14:paraId="0BB6FA77" w14:textId="1604615D" w:rsidR="003E4F32" w:rsidRPr="00D51FF9" w:rsidRDefault="003E4F32" w:rsidP="003E4F32">
      <w:pPr>
        <w:spacing w:after="0" w:line="240" w:lineRule="auto"/>
        <w:jc w:val="both"/>
        <w:rPr>
          <w:rFonts w:ascii="Verdana" w:hAnsi="Verdana"/>
          <w:b/>
          <w:bCs/>
          <w:lang w:val="es-ES"/>
        </w:rPr>
      </w:pPr>
    </w:p>
    <w:p w14:paraId="28B23B4E" w14:textId="3BF4392E" w:rsidR="003E4F32" w:rsidRPr="003E4F32" w:rsidRDefault="003E4F32" w:rsidP="003E4F32">
      <w:pPr>
        <w:spacing w:after="0" w:line="240" w:lineRule="auto"/>
        <w:jc w:val="both"/>
        <w:rPr>
          <w:rFonts w:ascii="Verdana" w:hAnsi="Verdana"/>
          <w:b/>
          <w:bCs/>
          <w:lang w:val="es-ES_tradnl"/>
        </w:rPr>
      </w:pPr>
      <w:r w:rsidRPr="003E4F32">
        <w:rPr>
          <w:rFonts w:ascii="Verdana" w:hAnsi="Verdana"/>
          <w:b/>
          <w:bCs/>
          <w:lang w:val="es-ES_tradnl"/>
        </w:rPr>
        <w:t xml:space="preserve">ADMINISTRACIÓN DELEGADA – Procedencia – Convenios Interadministrativos - </w:t>
      </w:r>
      <w:r w:rsidR="00D51FF9">
        <w:rPr>
          <w:rFonts w:ascii="Verdana" w:hAnsi="Verdana"/>
          <w:b/>
          <w:bCs/>
          <w:lang w:val="es-ES_tradnl"/>
        </w:rPr>
        <w:t>Contratos Interadministrativos</w:t>
      </w:r>
      <w:r w:rsidRPr="003E4F32">
        <w:rPr>
          <w:rFonts w:ascii="Verdana" w:hAnsi="Verdana"/>
          <w:b/>
          <w:bCs/>
          <w:lang w:val="es-ES_tradnl"/>
        </w:rPr>
        <w:t xml:space="preserve"> </w:t>
      </w:r>
    </w:p>
    <w:p w14:paraId="39586E4B" w14:textId="77777777" w:rsidR="003E4F32" w:rsidRPr="003E4F32" w:rsidRDefault="003E4F32" w:rsidP="003E4F32">
      <w:pPr>
        <w:spacing w:after="0" w:line="240" w:lineRule="auto"/>
        <w:jc w:val="both"/>
        <w:rPr>
          <w:rFonts w:ascii="Verdana" w:hAnsi="Verdana"/>
          <w:b/>
          <w:lang w:val="es-ES_tradnl"/>
        </w:rPr>
      </w:pPr>
    </w:p>
    <w:p w14:paraId="040A8E53" w14:textId="77777777" w:rsidR="00D51FF9" w:rsidRDefault="00D51FF9" w:rsidP="00D51FF9">
      <w:pPr>
        <w:spacing w:after="0"/>
        <w:jc w:val="both"/>
        <w:rPr>
          <w:rFonts w:ascii="Verdana" w:hAnsi="Verdana"/>
          <w:sz w:val="20"/>
          <w:lang w:val="es-ES_tradnl"/>
        </w:rPr>
      </w:pPr>
      <w:r w:rsidRPr="00D51FF9">
        <w:rPr>
          <w:rFonts w:ascii="Verdana" w:hAnsi="Verdana"/>
          <w:sz w:val="20"/>
          <w:lang w:val="es-ES_tradnl"/>
        </w:rPr>
        <w:t xml:space="preserve">En el caso de los convenios interadministrativos es importante precisar que, si bien no hay aplicación automática del Estatuto General de Contratación de la Administración, no significa que en el marco de la autonomía de la voluntad no se estipulen diferentes formas de vinculación de las partes, donde pueden configurar condiciones y cláusulas de mandatos con o sin representación bajo la forma de una administración delegada. En este aspecto, puede estipularse que una de las entidades cooperantes actué como la ejecutora de las principales obligaciones del convenio. En este caso, una de las entidades cooperantes puede encargarse de la administración y ejecución del convenio, sin que pueda estipularse categorías conceptuales como la utilidad o costos por concepto de pago de honorarios. </w:t>
      </w:r>
    </w:p>
    <w:p w14:paraId="3454D04D" w14:textId="104361C5" w:rsidR="00D51FF9" w:rsidRPr="00D51FF9" w:rsidRDefault="00D51FF9" w:rsidP="00D51FF9">
      <w:pPr>
        <w:spacing w:after="0"/>
        <w:jc w:val="both"/>
        <w:rPr>
          <w:rFonts w:ascii="Verdana" w:hAnsi="Verdana"/>
          <w:sz w:val="20"/>
          <w:lang w:val="es-ES_tradnl"/>
        </w:rPr>
      </w:pPr>
      <w:r w:rsidRPr="00D51FF9">
        <w:rPr>
          <w:rFonts w:ascii="Verdana" w:hAnsi="Verdana"/>
          <w:sz w:val="20"/>
          <w:lang w:val="es-ES_tradnl"/>
        </w:rPr>
        <w:t xml:space="preserve"> </w:t>
      </w:r>
    </w:p>
    <w:p w14:paraId="34C7EBDF" w14:textId="77777777" w:rsidR="00D51FF9" w:rsidRPr="00D51FF9" w:rsidRDefault="00D51FF9" w:rsidP="00D51FF9">
      <w:pPr>
        <w:spacing w:after="0"/>
        <w:jc w:val="both"/>
        <w:rPr>
          <w:rFonts w:ascii="Verdana" w:hAnsi="Verdana"/>
          <w:sz w:val="20"/>
        </w:rPr>
      </w:pPr>
      <w:r w:rsidRPr="00D51FF9">
        <w:rPr>
          <w:rFonts w:ascii="Verdana" w:hAnsi="Verdana"/>
          <w:sz w:val="20"/>
          <w:lang w:val="es-ES_tradnl"/>
        </w:rPr>
        <w:t xml:space="preserve">En los convenios interadministrativos bajo la forma de una administración delegada como mandato pueden incluirse </w:t>
      </w:r>
      <w:r w:rsidRPr="00D51FF9">
        <w:rPr>
          <w:rFonts w:ascii="Verdana" w:hAnsi="Verdana"/>
          <w:sz w:val="20"/>
          <w:lang w:val="es-ES"/>
        </w:rPr>
        <w:t>los costos directos y los costos administrativos</w:t>
      </w:r>
      <w:r w:rsidRPr="00D51FF9">
        <w:rPr>
          <w:rFonts w:ascii="Verdana" w:hAnsi="Verdana"/>
          <w:sz w:val="20"/>
          <w:lang w:val="es-ES_tradnl"/>
        </w:rPr>
        <w:t xml:space="preserve">, que son aquellos </w:t>
      </w:r>
      <w:r w:rsidRPr="00D51FF9">
        <w:rPr>
          <w:rFonts w:ascii="Verdana" w:hAnsi="Verdana"/>
          <w:sz w:val="20"/>
        </w:rPr>
        <w:t>gastos que están directamente relacionados con la gestión, seguimiento y administración del convenio. De esta manera, si los costos de honorarios de un contador, así como los costos de legalización e impuestos están vinculados con la ejecución del convenio, podrían incluirse dentro del rubro de costos administrativos. Estos costos deberán incluirse en el ejercicio de planeación que realice las entidades cooperantes y estar debidamente justificados.</w:t>
      </w:r>
    </w:p>
    <w:p w14:paraId="6FC92F56" w14:textId="77777777" w:rsidR="003E4F32" w:rsidRPr="00D51FF9" w:rsidRDefault="003E4F32" w:rsidP="00D51FF9">
      <w:pPr>
        <w:spacing w:after="0"/>
        <w:jc w:val="both"/>
        <w:rPr>
          <w:rFonts w:ascii="Verdana" w:hAnsi="Verdana"/>
          <w:sz w:val="20"/>
        </w:rPr>
      </w:pPr>
    </w:p>
    <w:p w14:paraId="0A107380" w14:textId="77777777" w:rsidR="003E4F32" w:rsidRPr="00D51FF9" w:rsidRDefault="003E4F32" w:rsidP="00D51FF9">
      <w:pPr>
        <w:spacing w:after="0"/>
        <w:jc w:val="both"/>
        <w:rPr>
          <w:rFonts w:ascii="Verdana" w:hAnsi="Verdana"/>
          <w:sz w:val="20"/>
        </w:rPr>
      </w:pPr>
    </w:p>
    <w:p w14:paraId="4F162BC7" w14:textId="7022F545" w:rsidR="003E4F32" w:rsidRDefault="003E4F32" w:rsidP="00041256">
      <w:pPr>
        <w:spacing w:after="0"/>
        <w:rPr>
          <w:rFonts w:ascii="Verdana" w:hAnsi="Verdana"/>
        </w:rPr>
      </w:pPr>
    </w:p>
    <w:p w14:paraId="082859B2" w14:textId="60849961" w:rsidR="00D51FF9" w:rsidRDefault="00D51FF9" w:rsidP="00041256">
      <w:pPr>
        <w:spacing w:after="0"/>
        <w:rPr>
          <w:rFonts w:ascii="Verdana" w:hAnsi="Verdana"/>
        </w:rPr>
      </w:pPr>
    </w:p>
    <w:p w14:paraId="59FD069D" w14:textId="2DCEC2F8" w:rsidR="00D51FF9" w:rsidRDefault="00D51FF9" w:rsidP="00041256">
      <w:pPr>
        <w:spacing w:after="0"/>
        <w:rPr>
          <w:rFonts w:ascii="Verdana" w:hAnsi="Verdana"/>
        </w:rPr>
      </w:pPr>
    </w:p>
    <w:p w14:paraId="701A76AA" w14:textId="514D9855" w:rsidR="00D51FF9" w:rsidRDefault="00D51FF9" w:rsidP="00041256">
      <w:pPr>
        <w:spacing w:after="0"/>
        <w:rPr>
          <w:rFonts w:ascii="Verdana" w:hAnsi="Verdana"/>
        </w:rPr>
      </w:pPr>
    </w:p>
    <w:p w14:paraId="28D9DE61" w14:textId="77777777" w:rsidR="00D51FF9" w:rsidRDefault="00D51FF9" w:rsidP="00041256">
      <w:pPr>
        <w:spacing w:after="0"/>
        <w:rPr>
          <w:rFonts w:ascii="Verdana" w:hAnsi="Verdana"/>
        </w:rPr>
      </w:pPr>
    </w:p>
    <w:p w14:paraId="5EAB8F32" w14:textId="51A84E79" w:rsidR="00041256" w:rsidRPr="0044528D" w:rsidRDefault="003E4F32" w:rsidP="00041256">
      <w:pPr>
        <w:spacing w:after="0"/>
        <w:rPr>
          <w:rFonts w:ascii="Verdana" w:hAnsi="Verdana"/>
        </w:rPr>
      </w:pPr>
      <w:r>
        <w:rPr>
          <w:rFonts w:ascii="Verdana" w:hAnsi="Verdana"/>
        </w:rPr>
        <w:lastRenderedPageBreak/>
        <w:t>Bogotá D.C., 23 de septiembre de 2025</w:t>
      </w:r>
      <w:r w:rsidR="00041256" w:rsidRPr="0044528D">
        <w:rPr>
          <w:rFonts w:ascii="Verdana" w:hAnsi="Verdana"/>
        </w:rPr>
        <w:tab/>
      </w:r>
    </w:p>
    <w:p w14:paraId="76A1489A" w14:textId="40D7685A" w:rsidR="00041256" w:rsidRPr="00B57A1B" w:rsidRDefault="003E4F32" w:rsidP="00041256">
      <w:pPr>
        <w:spacing w:after="0"/>
        <w:rPr>
          <w:rFonts w:ascii="Verdana" w:hAnsi="Verdana"/>
        </w:rPr>
      </w:pPr>
      <w:r w:rsidRPr="003E4F32">
        <w:rPr>
          <w:rFonts w:ascii="Verdana" w:hAnsi="Verdana"/>
          <w:noProof/>
          <w:lang w:val="en-US"/>
        </w:rPr>
        <w:drawing>
          <wp:anchor distT="0" distB="0" distL="114300" distR="114300" simplePos="0" relativeHeight="251658240" behindDoc="0" locked="0" layoutInCell="1" allowOverlap="1" wp14:anchorId="621957AE" wp14:editId="4842071A">
            <wp:simplePos x="0" y="0"/>
            <wp:positionH relativeFrom="margin">
              <wp:posOffset>2701925</wp:posOffset>
            </wp:positionH>
            <wp:positionV relativeFrom="paragraph">
              <wp:posOffset>31115</wp:posOffset>
            </wp:positionV>
            <wp:extent cx="2910205" cy="802640"/>
            <wp:effectExtent l="0" t="0" r="4445"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910205" cy="80264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46B3B2D" w14:textId="3668191C" w:rsidR="00041256" w:rsidRPr="00B57A1B" w:rsidRDefault="00041256" w:rsidP="00041256">
      <w:pPr>
        <w:spacing w:after="0"/>
        <w:rPr>
          <w:rFonts w:ascii="Verdana" w:hAnsi="Verdana"/>
        </w:rPr>
      </w:pPr>
    </w:p>
    <w:p w14:paraId="40C9F14F" w14:textId="77777777" w:rsidR="00041256" w:rsidRPr="00B57A1B" w:rsidRDefault="00041256" w:rsidP="00041256">
      <w:pPr>
        <w:spacing w:after="0" w:line="240" w:lineRule="auto"/>
        <w:rPr>
          <w:rFonts w:ascii="Verdana" w:eastAsia="Calibri" w:hAnsi="Verdana" w:cs="Times New Roman"/>
          <w:lang w:val="es-MX"/>
        </w:rPr>
      </w:pPr>
      <w:r w:rsidRPr="00B57A1B">
        <w:rPr>
          <w:rFonts w:ascii="Verdana" w:eastAsia="Calibri" w:hAnsi="Verdana" w:cs="Times New Roman"/>
          <w:lang w:val="es-MX"/>
        </w:rPr>
        <w:t>Señor</w:t>
      </w:r>
    </w:p>
    <w:p w14:paraId="1E3B33E0" w14:textId="77777777" w:rsidR="00041256" w:rsidRPr="00B57A1B" w:rsidRDefault="00041256" w:rsidP="00041256">
      <w:pPr>
        <w:spacing w:after="0" w:line="256" w:lineRule="auto"/>
        <w:rPr>
          <w:rFonts w:ascii="Verdana" w:eastAsia="Calibri" w:hAnsi="Verdana" w:cs="Times New Roman"/>
          <w:b/>
          <w:highlight w:val="yellow"/>
        </w:rPr>
      </w:pPr>
      <w:r w:rsidRPr="00B57A1B">
        <w:rPr>
          <w:rFonts w:ascii="Verdana" w:eastAsia="Calibri" w:hAnsi="Verdana" w:cs="Times New Roman"/>
          <w:b/>
        </w:rPr>
        <w:t>Pedro Alonso Ariza Rubiano</w:t>
      </w:r>
    </w:p>
    <w:p w14:paraId="6041D97C" w14:textId="77777777" w:rsidR="00041256" w:rsidRPr="00B57A1B" w:rsidRDefault="00041256" w:rsidP="00041256">
      <w:pPr>
        <w:spacing w:after="0" w:line="256" w:lineRule="auto"/>
        <w:rPr>
          <w:rFonts w:ascii="Verdana" w:eastAsia="Calibri" w:hAnsi="Verdana" w:cs="Times New Roman"/>
          <w:highlight w:val="yellow"/>
        </w:rPr>
      </w:pPr>
      <w:hyperlink r:id="rId12" w:history="1">
        <w:r w:rsidRPr="00B57A1B">
          <w:rPr>
            <w:rFonts w:ascii="Verdana" w:eastAsia="Calibri" w:hAnsi="Verdana" w:cs="Times New Roman"/>
            <w:color w:val="0000FF"/>
            <w:u w:val="single"/>
          </w:rPr>
          <w:t>pedaleja@hotmail.com</w:t>
        </w:r>
      </w:hyperlink>
      <w:r w:rsidRPr="00B57A1B">
        <w:rPr>
          <w:rFonts w:ascii="Verdana" w:eastAsia="Calibri" w:hAnsi="Verdana" w:cs="Times New Roman"/>
        </w:rPr>
        <w:t xml:space="preserve"> </w:t>
      </w:r>
    </w:p>
    <w:p w14:paraId="59416454" w14:textId="77777777" w:rsidR="00041256" w:rsidRPr="00B57A1B" w:rsidRDefault="00041256" w:rsidP="00041256">
      <w:pPr>
        <w:spacing w:after="0" w:line="256" w:lineRule="auto"/>
        <w:rPr>
          <w:rFonts w:ascii="Verdana" w:eastAsia="Calibri" w:hAnsi="Verdana" w:cs="Times New Roman"/>
        </w:rPr>
      </w:pPr>
      <w:r w:rsidRPr="00B57A1B">
        <w:rPr>
          <w:rFonts w:ascii="Verdana" w:eastAsia="Calibri" w:hAnsi="Verdana" w:cs="Times New Roman"/>
        </w:rPr>
        <w:t>Bucaramanga-Santander</w:t>
      </w:r>
    </w:p>
    <w:p w14:paraId="3CB2D524" w14:textId="77777777" w:rsidR="00041256" w:rsidRPr="00B57A1B" w:rsidRDefault="00041256" w:rsidP="00041256">
      <w:pPr>
        <w:spacing w:after="0" w:line="256" w:lineRule="auto"/>
        <w:rPr>
          <w:rFonts w:ascii="Verdana" w:eastAsia="Calibri" w:hAnsi="Verdana" w:cs="Times New Roman"/>
        </w:rPr>
      </w:pPr>
    </w:p>
    <w:p w14:paraId="33A78BC3" w14:textId="77777777" w:rsidR="00041256" w:rsidRPr="00B57A1B" w:rsidRDefault="00041256" w:rsidP="00041256">
      <w:pPr>
        <w:spacing w:after="0" w:line="256" w:lineRule="auto"/>
        <w:rPr>
          <w:rFonts w:ascii="Verdana" w:eastAsia="Calibri" w:hAnsi="Verdana" w:cs="Times New Roman"/>
        </w:rPr>
      </w:pPr>
    </w:p>
    <w:p w14:paraId="3DA98ED5" w14:textId="77777777" w:rsidR="00041256" w:rsidRPr="00B57A1B" w:rsidRDefault="00041256" w:rsidP="00041256">
      <w:pPr>
        <w:spacing w:after="0" w:line="256" w:lineRule="auto"/>
        <w:rPr>
          <w:rFonts w:ascii="Verdana" w:eastAsia="Calibri" w:hAnsi="Verdana" w:cs="Times New Roman"/>
          <w:b/>
          <w:bCs/>
          <w:lang w:val="es-ES"/>
        </w:rPr>
      </w:pPr>
      <w:r w:rsidRPr="00B57A1B">
        <w:rPr>
          <w:rFonts w:ascii="Verdana" w:eastAsia="Calibri" w:hAnsi="Verdana" w:cs="Times New Roman"/>
          <w:b/>
          <w:bCs/>
          <w:lang w:val="es-ES"/>
        </w:rPr>
        <w:t xml:space="preserve">                                    Concepto C–1152 de 2025</w:t>
      </w:r>
    </w:p>
    <w:p w14:paraId="2CD956CC" w14:textId="77777777" w:rsidR="00041256" w:rsidRPr="00B57A1B" w:rsidRDefault="00041256" w:rsidP="00041256">
      <w:pPr>
        <w:spacing w:after="0" w:line="256" w:lineRule="auto"/>
        <w:rPr>
          <w:rFonts w:ascii="Verdana" w:eastAsia="Calibri" w:hAnsi="Verdana" w:cs="Times New Roman"/>
          <w:lang w:val="es-ES_tradnl"/>
        </w:rPr>
      </w:pPr>
    </w:p>
    <w:tbl>
      <w:tblPr>
        <w:tblStyle w:val="Tablaconcuadrcula1"/>
        <w:tblW w:w="1516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41"/>
        <w:gridCol w:w="6237"/>
      </w:tblGrid>
      <w:tr w:rsidR="00041256" w:rsidRPr="00B57A1B" w14:paraId="0A111C5F" w14:textId="77777777" w:rsidTr="00A21520">
        <w:trPr>
          <w:trHeight w:val="645"/>
        </w:trPr>
        <w:tc>
          <w:tcPr>
            <w:tcW w:w="2685" w:type="dxa"/>
            <w:hideMark/>
          </w:tcPr>
          <w:p w14:paraId="28E3ACA6" w14:textId="77777777" w:rsidR="00041256" w:rsidRPr="00B57A1B" w:rsidRDefault="00041256" w:rsidP="00A21520">
            <w:pPr>
              <w:spacing w:line="256" w:lineRule="auto"/>
              <w:rPr>
                <w:rFonts w:ascii="Verdana" w:hAnsi="Verdana"/>
                <w:b/>
                <w:bCs/>
                <w:lang w:val="es-ES_tradnl"/>
              </w:rPr>
            </w:pPr>
            <w:r w:rsidRPr="00B57A1B">
              <w:rPr>
                <w:rFonts w:ascii="Verdana" w:hAnsi="Verdana"/>
                <w:b/>
                <w:bCs/>
                <w:lang w:val="es-ES_tradnl"/>
              </w:rPr>
              <w:t xml:space="preserve">Temas:                   </w:t>
            </w:r>
          </w:p>
        </w:tc>
        <w:tc>
          <w:tcPr>
            <w:tcW w:w="6241" w:type="dxa"/>
            <w:hideMark/>
          </w:tcPr>
          <w:p w14:paraId="41631C4B" w14:textId="77777777" w:rsidR="00041256" w:rsidRPr="00B57A1B" w:rsidRDefault="00041256" w:rsidP="00A21520">
            <w:pPr>
              <w:spacing w:line="276" w:lineRule="auto"/>
              <w:jc w:val="both"/>
              <w:rPr>
                <w:rFonts w:ascii="Verdana" w:hAnsi="Verdana" w:cs="Arial"/>
                <w:bCs/>
                <w:lang w:val="es-ES_tradnl" w:eastAsia="es-ES"/>
              </w:rPr>
            </w:pPr>
            <w:r w:rsidRPr="00B57A1B">
              <w:rPr>
                <w:rFonts w:ascii="Verdana" w:hAnsi="Verdana" w:cs="Arial"/>
                <w:lang w:val="es-ES" w:eastAsia="es-ES"/>
              </w:rPr>
              <w:t xml:space="preserve">CONTRATOS Y CONVENIOS INTERADMINISTRATIVOS – Noción – Diferencias / CONVENIO INTERADMINISTRATIVO – Naturaleza – Inaplicabilidad – Ley 80 de 1993 / </w:t>
            </w:r>
            <w:r w:rsidRPr="00B57A1B">
              <w:rPr>
                <w:rFonts w:ascii="Verdana" w:hAnsi="Verdana" w:cs="Arial"/>
                <w:bCs/>
                <w:lang w:val="es-ES_tradnl" w:eastAsia="es-ES"/>
              </w:rPr>
              <w:t xml:space="preserve">ADMINISTRACIÓN DELEGADA – Noción – Definición – Mandato – Administración y pago / ADMINISTRACIÓN DELEGADA – Procedencia – </w:t>
            </w:r>
            <w:r>
              <w:rPr>
                <w:rFonts w:ascii="Verdana" w:hAnsi="Verdana" w:cs="Arial"/>
                <w:bCs/>
                <w:lang w:val="es-ES_tradnl" w:eastAsia="es-ES"/>
              </w:rPr>
              <w:t xml:space="preserve">Convenios Interadministrativos - </w:t>
            </w:r>
            <w:r w:rsidRPr="00B57A1B">
              <w:rPr>
                <w:rFonts w:ascii="Verdana" w:hAnsi="Verdana" w:cs="Arial"/>
                <w:bCs/>
                <w:lang w:val="es-ES_tradnl" w:eastAsia="es-ES"/>
              </w:rPr>
              <w:t xml:space="preserve">Contratos Interadministrativos. </w:t>
            </w:r>
          </w:p>
          <w:p w14:paraId="124147BC" w14:textId="77777777" w:rsidR="00041256" w:rsidRPr="00B57A1B" w:rsidRDefault="00041256" w:rsidP="00A21520">
            <w:pPr>
              <w:spacing w:line="276" w:lineRule="auto"/>
              <w:jc w:val="both"/>
              <w:rPr>
                <w:rFonts w:ascii="Verdana" w:hAnsi="Verdana" w:cs="Arial"/>
                <w:lang w:val="es-ES" w:eastAsia="es-ES"/>
              </w:rPr>
            </w:pPr>
          </w:p>
        </w:tc>
        <w:tc>
          <w:tcPr>
            <w:tcW w:w="6237" w:type="dxa"/>
          </w:tcPr>
          <w:p w14:paraId="6D69ACA5" w14:textId="77777777" w:rsidR="00041256" w:rsidRPr="00B57A1B" w:rsidRDefault="00041256" w:rsidP="00A21520">
            <w:pPr>
              <w:spacing w:line="256" w:lineRule="auto"/>
              <w:rPr>
                <w:rFonts w:ascii="Verdana" w:hAnsi="Verdana"/>
              </w:rPr>
            </w:pPr>
          </w:p>
        </w:tc>
      </w:tr>
      <w:tr w:rsidR="00041256" w:rsidRPr="00B57A1B" w14:paraId="24A4EC2A" w14:textId="77777777" w:rsidTr="00A21520">
        <w:tc>
          <w:tcPr>
            <w:tcW w:w="2685" w:type="dxa"/>
          </w:tcPr>
          <w:p w14:paraId="4D7A27AD" w14:textId="77777777" w:rsidR="00041256" w:rsidRPr="00B57A1B" w:rsidRDefault="00041256" w:rsidP="00A21520">
            <w:pPr>
              <w:spacing w:line="256" w:lineRule="auto"/>
              <w:rPr>
                <w:rFonts w:ascii="Verdana" w:hAnsi="Verdana"/>
                <w:lang w:val="es-ES_tradnl"/>
              </w:rPr>
            </w:pPr>
          </w:p>
          <w:p w14:paraId="6250F668" w14:textId="77777777" w:rsidR="00041256" w:rsidRPr="00B57A1B" w:rsidRDefault="00041256" w:rsidP="00A21520">
            <w:pPr>
              <w:spacing w:line="256" w:lineRule="auto"/>
              <w:rPr>
                <w:rFonts w:ascii="Verdana" w:hAnsi="Verdana"/>
                <w:b/>
                <w:bCs/>
                <w:lang w:val="es-ES_tradnl"/>
              </w:rPr>
            </w:pPr>
            <w:r w:rsidRPr="00B57A1B">
              <w:rPr>
                <w:rFonts w:ascii="Verdana" w:hAnsi="Verdana"/>
                <w:b/>
                <w:bCs/>
                <w:lang w:val="es-ES_tradnl"/>
              </w:rPr>
              <w:t xml:space="preserve">Radicación:               </w:t>
            </w:r>
          </w:p>
        </w:tc>
        <w:tc>
          <w:tcPr>
            <w:tcW w:w="6241" w:type="dxa"/>
          </w:tcPr>
          <w:p w14:paraId="5709D676" w14:textId="77777777" w:rsidR="00041256" w:rsidRPr="00B57A1B" w:rsidRDefault="00041256" w:rsidP="00A21520">
            <w:pPr>
              <w:spacing w:line="257" w:lineRule="auto"/>
              <w:rPr>
                <w:rFonts w:ascii="Verdana" w:hAnsi="Verdana"/>
                <w:lang w:val="es-ES_tradnl"/>
              </w:rPr>
            </w:pPr>
          </w:p>
          <w:p w14:paraId="2F754F2D" w14:textId="77777777" w:rsidR="00041256" w:rsidRPr="00B57A1B" w:rsidRDefault="00041256" w:rsidP="00A21520">
            <w:pPr>
              <w:spacing w:line="257" w:lineRule="auto"/>
              <w:jc w:val="both"/>
              <w:rPr>
                <w:rFonts w:ascii="Verdana" w:hAnsi="Verdana"/>
              </w:rPr>
            </w:pPr>
            <w:r w:rsidRPr="00B57A1B">
              <w:rPr>
                <w:rFonts w:ascii="Verdana" w:hAnsi="Verdana"/>
                <w:lang w:val="es-ES_tradnl"/>
              </w:rPr>
              <w:t xml:space="preserve">Respuesta a consulta con radicado No. </w:t>
            </w:r>
            <w:r w:rsidRPr="00B57A1B">
              <w:rPr>
                <w:rFonts w:ascii="Verdana" w:hAnsi="Verdana"/>
              </w:rPr>
              <w:t>1_2025_08_18_008643</w:t>
            </w:r>
          </w:p>
          <w:p w14:paraId="426B30D0" w14:textId="77777777" w:rsidR="00041256" w:rsidRPr="00B57A1B" w:rsidRDefault="00041256" w:rsidP="00A21520">
            <w:pPr>
              <w:spacing w:line="257" w:lineRule="auto"/>
              <w:jc w:val="both"/>
              <w:rPr>
                <w:rFonts w:ascii="Verdana" w:hAnsi="Verdana"/>
              </w:rPr>
            </w:pPr>
          </w:p>
          <w:p w14:paraId="253C6FA2" w14:textId="77777777" w:rsidR="00041256" w:rsidRPr="00B57A1B" w:rsidRDefault="00041256" w:rsidP="00A21520">
            <w:pPr>
              <w:spacing w:line="257" w:lineRule="auto"/>
              <w:jc w:val="both"/>
              <w:rPr>
                <w:rFonts w:ascii="Verdana" w:hAnsi="Verdana"/>
              </w:rPr>
            </w:pPr>
          </w:p>
        </w:tc>
        <w:tc>
          <w:tcPr>
            <w:tcW w:w="6237" w:type="dxa"/>
          </w:tcPr>
          <w:p w14:paraId="1A936C0D" w14:textId="77777777" w:rsidR="00041256" w:rsidRPr="00B57A1B" w:rsidRDefault="00041256" w:rsidP="00A21520">
            <w:pPr>
              <w:spacing w:line="256" w:lineRule="auto"/>
              <w:rPr>
                <w:rFonts w:ascii="Verdana" w:hAnsi="Verdana"/>
                <w:lang w:val="es-ES_tradnl"/>
              </w:rPr>
            </w:pPr>
          </w:p>
        </w:tc>
      </w:tr>
    </w:tbl>
    <w:p w14:paraId="6604DEFF" w14:textId="77777777" w:rsidR="00041256" w:rsidRPr="00B57A1B" w:rsidRDefault="00041256" w:rsidP="00041256">
      <w:pPr>
        <w:spacing w:after="0" w:line="256" w:lineRule="auto"/>
        <w:rPr>
          <w:rFonts w:ascii="Verdana" w:eastAsia="Calibri" w:hAnsi="Verdana" w:cs="Times New Roman"/>
          <w:lang w:val="es-ES"/>
        </w:rPr>
      </w:pPr>
      <w:r w:rsidRPr="00B57A1B">
        <w:rPr>
          <w:rFonts w:ascii="Verdana" w:eastAsia="Calibri" w:hAnsi="Verdana" w:cs="Times New Roman"/>
          <w:lang w:val="es-ES"/>
        </w:rPr>
        <w:t>Estimado</w:t>
      </w:r>
      <w:r>
        <w:rPr>
          <w:rFonts w:ascii="Verdana" w:eastAsia="Calibri" w:hAnsi="Verdana" w:cs="Times New Roman"/>
          <w:lang w:val="es-ES"/>
        </w:rPr>
        <w:t xml:space="preserve"> Señor Ariza</w:t>
      </w:r>
      <w:r w:rsidRPr="00B57A1B">
        <w:rPr>
          <w:rFonts w:ascii="Verdana" w:eastAsia="Calibri" w:hAnsi="Verdana" w:cs="Times New Roman"/>
          <w:lang w:val="es-ES"/>
        </w:rPr>
        <w:t xml:space="preserve">: </w:t>
      </w:r>
    </w:p>
    <w:p w14:paraId="63EBD160" w14:textId="77777777" w:rsidR="00041256" w:rsidRPr="00B57A1B" w:rsidRDefault="00041256" w:rsidP="00041256">
      <w:pPr>
        <w:spacing w:after="0" w:line="256" w:lineRule="auto"/>
        <w:rPr>
          <w:rFonts w:ascii="Verdana" w:eastAsia="Calibri" w:hAnsi="Verdana" w:cs="Times New Roman"/>
          <w:lang w:val="es-ES"/>
        </w:rPr>
      </w:pPr>
    </w:p>
    <w:p w14:paraId="68CC2990" w14:textId="77777777" w:rsidR="00041256" w:rsidRPr="00B57A1B" w:rsidRDefault="00041256" w:rsidP="00041256">
      <w:pPr>
        <w:spacing w:after="120" w:line="276" w:lineRule="auto"/>
        <w:jc w:val="both"/>
        <w:rPr>
          <w:rFonts w:ascii="Verdana" w:eastAsia="Calibri" w:hAnsi="Verdana" w:cs="Times New Roman"/>
          <w:bCs/>
          <w:lang w:bidi="es-ES"/>
        </w:rPr>
      </w:pPr>
      <w:r w:rsidRPr="00B57A1B">
        <w:rPr>
          <w:rFonts w:ascii="Verdana" w:eastAsia="Calibri" w:hAnsi="Verdana" w:cs="Times New Roman"/>
          <w:bCs/>
          <w:lang w:val="es-ES" w:bidi="es-ES"/>
        </w:rPr>
        <w:t xml:space="preserve">En ejercicio de la competencia otorgada por los artículos 3, numeral 5º, y 11, numeral 8º, del Decreto Ley 4170 de 2011, </w:t>
      </w:r>
      <w:r w:rsidRPr="00B57A1B">
        <w:rPr>
          <w:rFonts w:ascii="Verdana" w:eastAsia="Calibri" w:hAnsi="Verdana" w:cs="Times New Roman"/>
          <w:bCs/>
        </w:rPr>
        <w:t xml:space="preserve">así como lo establecido por la Resolución 469 de 2025 expedida por esta Entidad, </w:t>
      </w:r>
      <w:r w:rsidRPr="00B57A1B">
        <w:rPr>
          <w:rFonts w:ascii="Verdana" w:eastAsia="Calibri" w:hAnsi="Verdana" w:cs="Times New Roman"/>
          <w:bCs/>
          <w:lang w:val="es-ES" w:bidi="es-ES"/>
        </w:rPr>
        <w:t>la Agencia Nacional de Contratación Pública – Colombia Compra Eficiente– responde la solicitud del 18 de agosto, en la cual manifiesta: “</w:t>
      </w:r>
      <w:r w:rsidRPr="00B57A1B">
        <w:rPr>
          <w:rFonts w:ascii="Verdana" w:eastAsia="Calibri" w:hAnsi="Verdana" w:cs="Times New Roman"/>
          <w:bCs/>
          <w:lang w:bidi="es-ES"/>
        </w:rPr>
        <w:t>¿Es posible la existencia de un convenio interadministrativo de contrato de mandato sin representación bajo administración delegada de recursos?”</w:t>
      </w:r>
    </w:p>
    <w:p w14:paraId="7B636368" w14:textId="77777777" w:rsidR="00041256" w:rsidRPr="00B57A1B" w:rsidRDefault="00041256" w:rsidP="00041256">
      <w:pPr>
        <w:spacing w:after="120" w:line="276" w:lineRule="auto"/>
        <w:ind w:firstLine="709"/>
        <w:jc w:val="both"/>
        <w:rPr>
          <w:rFonts w:ascii="Verdana" w:eastAsia="Calibri" w:hAnsi="Verdana" w:cs="Times New Roman"/>
          <w:lang w:val="es-ES"/>
        </w:rPr>
      </w:pPr>
      <w:r w:rsidRPr="00B57A1B">
        <w:rPr>
          <w:rFonts w:ascii="Verdana" w:eastAsia="Calibri" w:hAnsi="Verdana" w:cs="Times New Roman"/>
          <w:lang w:val="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w:t>
      </w:r>
      <w:r w:rsidRPr="00B57A1B">
        <w:rPr>
          <w:rFonts w:ascii="Verdana" w:eastAsia="Calibri" w:hAnsi="Verdana" w:cs="Times New Roman"/>
          <w:lang w:val="es-ES"/>
        </w:rPr>
        <w:lastRenderedPageBreak/>
        <w:t>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2EE994C7" w14:textId="77777777" w:rsidR="00041256" w:rsidRPr="00B57A1B" w:rsidRDefault="00041256" w:rsidP="00041256">
      <w:pPr>
        <w:spacing w:after="120" w:line="276" w:lineRule="auto"/>
        <w:ind w:firstLine="708"/>
        <w:jc w:val="both"/>
        <w:rPr>
          <w:rFonts w:ascii="Verdana" w:eastAsia="Calibri" w:hAnsi="Verdana" w:cs="Times New Roman"/>
          <w:lang w:val="es-ES"/>
        </w:rPr>
      </w:pPr>
      <w:r w:rsidRPr="00B57A1B">
        <w:rPr>
          <w:rFonts w:ascii="Verdana" w:eastAsia="Calibri" w:hAnsi="Verdana" w:cs="Times New Roman"/>
          <w:lang w:val="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51FD63D8" w14:textId="77777777" w:rsidR="00041256" w:rsidRPr="00B57A1B" w:rsidRDefault="00041256" w:rsidP="00041256">
      <w:pPr>
        <w:spacing w:after="0" w:line="256" w:lineRule="auto"/>
        <w:rPr>
          <w:rFonts w:ascii="Verdana" w:eastAsia="Calibri" w:hAnsi="Verdana" w:cs="Times New Roman"/>
          <w:lang w:val="es-ES"/>
        </w:rPr>
      </w:pPr>
    </w:p>
    <w:p w14:paraId="00EC2F3D" w14:textId="77777777" w:rsidR="00041256" w:rsidRPr="00B57A1B" w:rsidRDefault="00041256" w:rsidP="00041256">
      <w:pPr>
        <w:numPr>
          <w:ilvl w:val="0"/>
          <w:numId w:val="19"/>
        </w:numPr>
        <w:spacing w:after="0" w:line="256" w:lineRule="auto"/>
        <w:contextualSpacing/>
        <w:rPr>
          <w:rFonts w:ascii="Verdana" w:eastAsia="Calibri" w:hAnsi="Verdana" w:cs="Times New Roman"/>
          <w:b/>
          <w:bCs/>
          <w:lang w:val="es-ES"/>
        </w:rPr>
      </w:pPr>
      <w:r w:rsidRPr="00B57A1B">
        <w:rPr>
          <w:rFonts w:ascii="Verdana" w:eastAsia="Calibri" w:hAnsi="Verdana" w:cs="Times New Roman"/>
          <w:b/>
          <w:bCs/>
          <w:lang w:val="es-ES"/>
        </w:rPr>
        <w:t>Problema planteado:</w:t>
      </w:r>
    </w:p>
    <w:p w14:paraId="7FDCDB7F" w14:textId="77777777" w:rsidR="00041256" w:rsidRPr="00B57A1B" w:rsidRDefault="00041256" w:rsidP="00041256">
      <w:pPr>
        <w:spacing w:after="0" w:line="256" w:lineRule="auto"/>
        <w:rPr>
          <w:rFonts w:ascii="Verdana" w:eastAsia="Calibri" w:hAnsi="Verdana" w:cs="Times New Roman"/>
        </w:rPr>
      </w:pPr>
    </w:p>
    <w:p w14:paraId="56DD9B03" w14:textId="77777777" w:rsidR="00041256" w:rsidRPr="00B57A1B" w:rsidRDefault="00041256" w:rsidP="00041256">
      <w:pPr>
        <w:spacing w:after="0" w:line="276" w:lineRule="auto"/>
        <w:jc w:val="both"/>
        <w:rPr>
          <w:rFonts w:ascii="Verdana" w:eastAsia="Calibri" w:hAnsi="Verdana" w:cs="Times New Roman"/>
          <w:iCs/>
        </w:rPr>
      </w:pPr>
      <w:r w:rsidRPr="00B57A1B">
        <w:rPr>
          <w:rFonts w:ascii="Verdana" w:eastAsia="Calibri" w:hAnsi="Verdana" w:cs="Times New Roman"/>
        </w:rPr>
        <w:t>De acuerdo con el contenido de su solicitud, esta Agencia procede a resolver el problema</w:t>
      </w:r>
      <w:r w:rsidRPr="00B57A1B">
        <w:rPr>
          <w:rFonts w:ascii="Verdana" w:eastAsia="Calibri" w:hAnsi="Verdana" w:cs="Times New Roman"/>
          <w:iCs/>
          <w:lang w:val="es-ES"/>
        </w:rPr>
        <w:t>a jurídico</w:t>
      </w:r>
      <w:r>
        <w:rPr>
          <w:rFonts w:ascii="Verdana" w:eastAsia="Calibri" w:hAnsi="Verdana" w:cs="Times New Roman"/>
          <w:iCs/>
          <w:lang w:val="es-ES"/>
        </w:rPr>
        <w:t xml:space="preserve">: </w:t>
      </w:r>
      <w:r w:rsidRPr="00B57A1B">
        <w:rPr>
          <w:rFonts w:ascii="Verdana" w:eastAsia="Calibri" w:hAnsi="Verdana" w:cs="Times New Roman"/>
          <w:iCs/>
          <w:lang w:val="es-ES"/>
        </w:rPr>
        <w:t>¿</w:t>
      </w:r>
      <w:r>
        <w:rPr>
          <w:rFonts w:ascii="Verdana" w:eastAsia="Calibri" w:hAnsi="Verdana" w:cs="Times New Roman"/>
          <w:iCs/>
          <w:lang w:val="es-ES"/>
        </w:rPr>
        <w:t xml:space="preserve">Es jurídicamente viable la celebración de un convenio interadministrativo con un objeto tendiente a la constitución de un </w:t>
      </w:r>
      <w:r w:rsidRPr="00B57A1B">
        <w:rPr>
          <w:rFonts w:ascii="Verdana" w:eastAsia="Calibri" w:hAnsi="Verdana" w:cs="Times New Roman"/>
          <w:bCs/>
          <w:iCs/>
        </w:rPr>
        <w:t xml:space="preserve">mandato sin representación bajo </w:t>
      </w:r>
      <w:r>
        <w:rPr>
          <w:rFonts w:ascii="Verdana" w:eastAsia="Calibri" w:hAnsi="Verdana" w:cs="Times New Roman"/>
          <w:bCs/>
          <w:iCs/>
        </w:rPr>
        <w:t xml:space="preserve">la figura </w:t>
      </w:r>
      <w:r w:rsidRPr="00B57A1B">
        <w:rPr>
          <w:rFonts w:ascii="Verdana" w:eastAsia="Calibri" w:hAnsi="Verdana" w:cs="Times New Roman"/>
          <w:bCs/>
          <w:iCs/>
        </w:rPr>
        <w:t>administración delegada de recursos?</w:t>
      </w:r>
    </w:p>
    <w:p w14:paraId="0E909B7C" w14:textId="77777777" w:rsidR="00041256" w:rsidRPr="00B57A1B" w:rsidRDefault="00041256" w:rsidP="00041256">
      <w:pPr>
        <w:spacing w:after="0" w:line="276" w:lineRule="auto"/>
        <w:jc w:val="both"/>
        <w:rPr>
          <w:rFonts w:ascii="Verdana" w:eastAsia="Calibri" w:hAnsi="Verdana" w:cs="Times New Roman"/>
          <w:i/>
          <w:iCs/>
          <w:lang w:val="es-ES"/>
        </w:rPr>
      </w:pPr>
    </w:p>
    <w:p w14:paraId="5CA98BE8" w14:textId="77777777" w:rsidR="00041256" w:rsidRPr="00B57A1B" w:rsidRDefault="00041256" w:rsidP="00041256">
      <w:pPr>
        <w:numPr>
          <w:ilvl w:val="0"/>
          <w:numId w:val="19"/>
        </w:numPr>
        <w:spacing w:after="0" w:line="256" w:lineRule="auto"/>
        <w:contextualSpacing/>
        <w:rPr>
          <w:rFonts w:ascii="Verdana" w:eastAsia="Calibri" w:hAnsi="Verdana" w:cs="Times New Roman"/>
          <w:b/>
          <w:bCs/>
          <w:lang w:val="es-ES"/>
        </w:rPr>
      </w:pPr>
      <w:r w:rsidRPr="00B57A1B">
        <w:rPr>
          <w:rFonts w:ascii="Verdana" w:eastAsia="Calibri" w:hAnsi="Verdana" w:cs="Times New Roman"/>
          <w:b/>
          <w:bCs/>
          <w:lang w:val="es-ES"/>
        </w:rPr>
        <w:t>Respuesta:</w:t>
      </w:r>
    </w:p>
    <w:p w14:paraId="6F693565" w14:textId="77777777" w:rsidR="00041256" w:rsidRPr="00B57A1B" w:rsidRDefault="00041256" w:rsidP="00041256">
      <w:pPr>
        <w:spacing w:after="0" w:line="276" w:lineRule="auto"/>
        <w:rPr>
          <w:rFonts w:ascii="Verdana" w:eastAsia="Calibri" w:hAnsi="Verdana" w:cs="Times New Roman"/>
          <w:b/>
          <w:bCs/>
          <w:lang w:val="es-ES"/>
        </w:rPr>
      </w:pPr>
    </w:p>
    <w:tbl>
      <w:tblPr>
        <w:tblStyle w:val="Tablaconcuadrcula"/>
        <w:tblW w:w="8784"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784"/>
      </w:tblGrid>
      <w:tr w:rsidR="00041256" w:rsidRPr="00B57A1B" w14:paraId="1D5FF10F" w14:textId="77777777" w:rsidTr="00A21520">
        <w:trPr>
          <w:trHeight w:val="345"/>
          <w:jc w:val="center"/>
        </w:trPr>
        <w:tc>
          <w:tcPr>
            <w:tcW w:w="8784" w:type="dxa"/>
            <w:tcBorders>
              <w:bottom w:val="single" w:sz="4" w:space="0" w:color="auto"/>
            </w:tcBorders>
          </w:tcPr>
          <w:p w14:paraId="32325608" w14:textId="77777777" w:rsidR="00041256" w:rsidRPr="00B57A1B" w:rsidRDefault="00041256" w:rsidP="00A21520">
            <w:pPr>
              <w:widowControl w:val="0"/>
              <w:autoSpaceDE w:val="0"/>
              <w:autoSpaceDN w:val="0"/>
              <w:spacing w:before="120" w:after="120" w:line="276" w:lineRule="auto"/>
              <w:jc w:val="both"/>
              <w:rPr>
                <w:rFonts w:ascii="Verdana" w:eastAsia="Arial MT" w:hAnsi="Verdana" w:cs="Arial MT"/>
              </w:rPr>
            </w:pPr>
            <w:r w:rsidRPr="00B57A1B">
              <w:rPr>
                <w:rFonts w:ascii="Verdana" w:eastAsia="Calibri" w:hAnsi="Verdana" w:cs="Times New Roman"/>
              </w:rPr>
              <w:t xml:space="preserve">En cuanto al problema jurídico, objeto de consulta, </w:t>
            </w:r>
            <w:r w:rsidRPr="00B57A1B">
              <w:rPr>
                <w:rFonts w:ascii="Verdana" w:eastAsia="Arial MT" w:hAnsi="Verdana" w:cs="Arial MT"/>
              </w:rPr>
              <w:t>la naturaleza colaborativa de los convenios interadministrativos implica que a estos no les aplican de manera automática o implícita las reglas y condiciones dispuestas en el Estatuto General de Contratación de la Administración Pública. Estos negocios jurídicos se caracterizan por estar sujetos a la autorregulación establecida a través de sus propias estipulaciones, que son el resultado de la autonomía de la voluntad de las entidades que actúan como colaboradoras o cooperantes. En efecto, en los convenios interadministrativos puros o genuinos, el valor del negocio jurídico es determinado por los aportes en dinero y/o en especie requeridos para ejecutar el objeto, los cuales pueden ser realizados por ambos cooperantes en los montos que estos estipulen.</w:t>
            </w:r>
          </w:p>
          <w:p w14:paraId="501B51F0" w14:textId="77777777" w:rsidR="00041256" w:rsidRPr="00B57A1B" w:rsidRDefault="00041256" w:rsidP="00A21520">
            <w:pPr>
              <w:widowControl w:val="0"/>
              <w:autoSpaceDE w:val="0"/>
              <w:autoSpaceDN w:val="0"/>
              <w:spacing w:before="120" w:after="120" w:line="276" w:lineRule="auto"/>
              <w:ind w:firstLine="708"/>
              <w:jc w:val="both"/>
              <w:rPr>
                <w:rFonts w:ascii="Verdana" w:eastAsia="Calibri" w:hAnsi="Verdana" w:cs="Arial"/>
                <w:color w:val="000000" w:themeColor="text1"/>
                <w:lang w:val="es-ES"/>
              </w:rPr>
            </w:pPr>
            <w:r w:rsidRPr="13F25A5A">
              <w:rPr>
                <w:rFonts w:ascii="Verdana" w:eastAsia="Calibri" w:hAnsi="Verdana" w:cs="Arial"/>
                <w:color w:val="000000" w:themeColor="text1"/>
                <w:lang w:val="es-ES"/>
              </w:rPr>
              <w:t xml:space="preserve">Teniendo en cuenta estas particularidades, la “administración delegada” se ha entendido, por lo menos, de dos maneras: i) como un mandato, es decir, como un negocio jurídico mediante el cual el contratista actúa en nombre y </w:t>
            </w:r>
            <w:r w:rsidRPr="13F25A5A">
              <w:rPr>
                <w:rFonts w:ascii="Verdana" w:eastAsia="Calibri" w:hAnsi="Verdana" w:cs="Arial"/>
                <w:color w:val="000000" w:themeColor="text1"/>
                <w:lang w:val="es-ES"/>
              </w:rPr>
              <w:lastRenderedPageBreak/>
              <w:t xml:space="preserve">representación de la entidad contratante, y en contraprestación, la parte contratante delegante paga el costo real del objeto del contrato, adicionando un porcentaje por concepto de administración y utilidad del contratista; o </w:t>
            </w:r>
            <w:proofErr w:type="spellStart"/>
            <w:r w:rsidRPr="13F25A5A">
              <w:rPr>
                <w:rFonts w:ascii="Verdana" w:eastAsia="Calibri" w:hAnsi="Verdana" w:cs="Arial"/>
                <w:color w:val="000000" w:themeColor="text1"/>
                <w:lang w:val="es-ES"/>
              </w:rPr>
              <w:t>ii</w:t>
            </w:r>
            <w:proofErr w:type="spellEnd"/>
            <w:r w:rsidRPr="13F25A5A">
              <w:rPr>
                <w:rFonts w:ascii="Verdana" w:eastAsia="Calibri" w:hAnsi="Verdana" w:cs="Arial"/>
                <w:color w:val="000000" w:themeColor="text1"/>
                <w:lang w:val="es-ES"/>
              </w:rPr>
              <w:t xml:space="preserve">) como una modalidad de administración y pago, no necesariamente asociada al mandato. </w:t>
            </w:r>
          </w:p>
          <w:p w14:paraId="432346A5" w14:textId="77777777" w:rsidR="00041256" w:rsidRDefault="00041256" w:rsidP="00A21520">
            <w:pPr>
              <w:spacing w:after="120" w:line="276" w:lineRule="auto"/>
              <w:ind w:firstLine="709"/>
              <w:jc w:val="both"/>
              <w:rPr>
                <w:rFonts w:ascii="Verdana" w:eastAsia="Calibri" w:hAnsi="Verdana" w:cs="Arial"/>
                <w:color w:val="000000" w:themeColor="text1"/>
                <w:lang w:val="es-ES_tradnl"/>
              </w:rPr>
            </w:pPr>
            <w:r w:rsidRPr="00B57A1B">
              <w:rPr>
                <w:rFonts w:ascii="Verdana" w:eastAsia="Calibri" w:hAnsi="Verdana" w:cs="Arial"/>
                <w:color w:val="000000" w:themeColor="text1"/>
                <w:lang w:val="es-ES_tradnl"/>
              </w:rPr>
              <w:t xml:space="preserve">En </w:t>
            </w:r>
            <w:r>
              <w:rPr>
                <w:rFonts w:ascii="Verdana" w:eastAsia="Calibri" w:hAnsi="Verdana" w:cs="Arial"/>
                <w:color w:val="000000" w:themeColor="text1"/>
                <w:lang w:val="es-ES_tradnl"/>
              </w:rPr>
              <w:t xml:space="preserve">el caso de </w:t>
            </w:r>
            <w:r w:rsidRPr="00B57A1B">
              <w:rPr>
                <w:rFonts w:ascii="Verdana" w:eastAsia="Calibri" w:hAnsi="Verdana" w:cs="Arial"/>
                <w:color w:val="000000" w:themeColor="text1"/>
                <w:lang w:val="es-ES_tradnl"/>
              </w:rPr>
              <w:t>los convenios interadministrativos</w:t>
            </w:r>
            <w:r>
              <w:rPr>
                <w:rFonts w:ascii="Verdana" w:eastAsia="Calibri" w:hAnsi="Verdana" w:cs="Arial"/>
                <w:color w:val="000000" w:themeColor="text1"/>
                <w:lang w:val="es-ES_tradnl"/>
              </w:rPr>
              <w:t xml:space="preserve"> es importante precisar que, si bien no hay aplicación automática del Estatuto General de Contratación de la Administración, no significa que en el marco de la autonomía de la voluntad no se estipulen diferentes formas de vinculación de las partes, donde pueden configurar condiciones y cláusulas de mandatos con o sin representación bajo la forma de una administración delegada. En este aspecto, puede estipularse que </w:t>
            </w:r>
            <w:r w:rsidRPr="00B57A1B">
              <w:rPr>
                <w:rFonts w:ascii="Verdana" w:eastAsia="Calibri" w:hAnsi="Verdana" w:cs="Arial"/>
                <w:color w:val="000000" w:themeColor="text1"/>
                <w:lang w:val="es-ES_tradnl"/>
              </w:rPr>
              <w:t xml:space="preserve">una de las entidades cooperantes actué como la ejecutora de las principales obligaciones del convenio. En este caso, una de las entidades cooperantes puede encargarse de </w:t>
            </w:r>
            <w:r>
              <w:rPr>
                <w:rFonts w:ascii="Verdana" w:eastAsia="Calibri" w:hAnsi="Verdana" w:cs="Arial"/>
                <w:color w:val="000000" w:themeColor="text1"/>
                <w:lang w:val="es-ES_tradnl"/>
              </w:rPr>
              <w:t>la administración y ejecución del convenio, sin que pueda estipularse categorías conceptuales como la utilidad o costos por concepto de pago de honorarios.</w:t>
            </w:r>
          </w:p>
          <w:p w14:paraId="3B59F558" w14:textId="77777777" w:rsidR="00041256" w:rsidRPr="007F0E97" w:rsidRDefault="00041256" w:rsidP="00A21520">
            <w:pPr>
              <w:spacing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lang w:val="es-ES_tradnl"/>
              </w:rPr>
              <w:t xml:space="preserve">En los convenios interadministrativos bajo la forma de una administración delegada como mandato pueden incluirse </w:t>
            </w:r>
            <w:r>
              <w:rPr>
                <w:rFonts w:ascii="Verdana" w:eastAsia="Calibri" w:hAnsi="Verdana" w:cs="Arial"/>
                <w:color w:val="000000" w:themeColor="text1"/>
                <w:lang w:val="es-ES"/>
              </w:rPr>
              <w:t>los costos directos y</w:t>
            </w:r>
            <w:r w:rsidRPr="00AF3B7F">
              <w:rPr>
                <w:rFonts w:ascii="Verdana" w:eastAsia="Calibri" w:hAnsi="Verdana" w:cs="Arial"/>
                <w:color w:val="000000" w:themeColor="text1"/>
                <w:lang w:val="es-ES"/>
              </w:rPr>
              <w:t xml:space="preserve"> los costos administrativos</w:t>
            </w:r>
            <w:r>
              <w:rPr>
                <w:rFonts w:ascii="Verdana" w:eastAsia="Calibri" w:hAnsi="Verdana" w:cs="Arial"/>
                <w:color w:val="000000" w:themeColor="text1"/>
                <w:lang w:val="es-ES_tradnl"/>
              </w:rPr>
              <w:t xml:space="preserve">, que son aquellos </w:t>
            </w:r>
            <w:r w:rsidRPr="00AF3B7F">
              <w:rPr>
                <w:rFonts w:ascii="Verdana" w:eastAsia="Calibri" w:hAnsi="Verdana" w:cs="Arial"/>
                <w:color w:val="000000" w:themeColor="text1"/>
              </w:rPr>
              <w:t xml:space="preserve">gastos que </w:t>
            </w:r>
            <w:r>
              <w:rPr>
                <w:rFonts w:ascii="Verdana" w:eastAsia="Calibri" w:hAnsi="Verdana" w:cs="Arial"/>
                <w:color w:val="000000" w:themeColor="text1"/>
              </w:rPr>
              <w:t xml:space="preserve">están </w:t>
            </w:r>
            <w:r w:rsidRPr="00AF3B7F">
              <w:rPr>
                <w:rFonts w:ascii="Verdana" w:eastAsia="Calibri" w:hAnsi="Verdana" w:cs="Arial"/>
                <w:color w:val="000000" w:themeColor="text1"/>
              </w:rPr>
              <w:t xml:space="preserve">directamente relacionados con la gestión, seguimiento y administración del convenio. </w:t>
            </w:r>
            <w:r w:rsidRPr="00FC0901">
              <w:rPr>
                <w:rFonts w:ascii="Verdana" w:eastAsia="Calibri" w:hAnsi="Verdana" w:cs="Arial"/>
                <w:color w:val="000000" w:themeColor="text1"/>
              </w:rPr>
              <w:t xml:space="preserve">De esta manera, si los costos de honorarios de un contador, así como los costos de legalización e impuestos </w:t>
            </w:r>
            <w:r>
              <w:rPr>
                <w:rFonts w:ascii="Verdana" w:eastAsia="Calibri" w:hAnsi="Verdana" w:cs="Arial"/>
                <w:color w:val="000000" w:themeColor="text1"/>
              </w:rPr>
              <w:t>están vinculados</w:t>
            </w:r>
            <w:r w:rsidRPr="00FC0901">
              <w:rPr>
                <w:rFonts w:ascii="Verdana" w:eastAsia="Calibri" w:hAnsi="Verdana" w:cs="Arial"/>
                <w:color w:val="000000" w:themeColor="text1"/>
              </w:rPr>
              <w:t xml:space="preserve"> con la ejecución del convenio, podrían incluirse dentro del ru</w:t>
            </w:r>
            <w:r>
              <w:rPr>
                <w:rFonts w:ascii="Verdana" w:eastAsia="Calibri" w:hAnsi="Verdana" w:cs="Arial"/>
                <w:color w:val="000000" w:themeColor="text1"/>
              </w:rPr>
              <w:t>bro de costos administrativos</w:t>
            </w:r>
            <w:r w:rsidRPr="00FC0901">
              <w:rPr>
                <w:rFonts w:ascii="Verdana" w:eastAsia="Calibri" w:hAnsi="Verdana" w:cs="Arial"/>
                <w:color w:val="000000" w:themeColor="text1"/>
              </w:rPr>
              <w:t>.</w:t>
            </w:r>
            <w:r>
              <w:rPr>
                <w:rFonts w:ascii="Verdana" w:eastAsia="Calibri" w:hAnsi="Verdana" w:cs="Arial"/>
                <w:color w:val="000000" w:themeColor="text1"/>
              </w:rPr>
              <w:t xml:space="preserve"> </w:t>
            </w:r>
            <w:r w:rsidRPr="00FC0901">
              <w:rPr>
                <w:rFonts w:ascii="Verdana" w:eastAsia="Calibri" w:hAnsi="Verdana" w:cs="Arial"/>
                <w:color w:val="000000" w:themeColor="text1"/>
              </w:rPr>
              <w:t xml:space="preserve">Estos costos deberán incluirse en el ejercicio de planeación que realice </w:t>
            </w:r>
            <w:r>
              <w:rPr>
                <w:rFonts w:ascii="Verdana" w:eastAsia="Calibri" w:hAnsi="Verdana" w:cs="Arial"/>
                <w:color w:val="000000" w:themeColor="text1"/>
              </w:rPr>
              <w:t xml:space="preserve">las entidades cooperantes </w:t>
            </w:r>
            <w:r w:rsidRPr="00FC0901">
              <w:rPr>
                <w:rFonts w:ascii="Verdana" w:eastAsia="Calibri" w:hAnsi="Verdana" w:cs="Arial"/>
                <w:color w:val="000000" w:themeColor="text1"/>
              </w:rPr>
              <w:t>y estar debidamente justificados.</w:t>
            </w:r>
            <w:r>
              <w:rPr>
                <w:rFonts w:ascii="Verdana" w:eastAsia="Calibri" w:hAnsi="Verdana" w:cs="Arial"/>
                <w:color w:val="000000" w:themeColor="text1"/>
              </w:rPr>
              <w:t xml:space="preserve"> </w:t>
            </w:r>
          </w:p>
          <w:p w14:paraId="0525FCCD" w14:textId="77777777" w:rsidR="00041256" w:rsidRPr="00B57A1B" w:rsidRDefault="00041256" w:rsidP="00A21520">
            <w:pPr>
              <w:widowControl w:val="0"/>
              <w:autoSpaceDE w:val="0"/>
              <w:autoSpaceDN w:val="0"/>
              <w:spacing w:after="120" w:line="276" w:lineRule="auto"/>
              <w:ind w:firstLine="708"/>
              <w:jc w:val="both"/>
              <w:rPr>
                <w:rFonts w:ascii="Verdana" w:eastAsia="Calibri" w:hAnsi="Verdana" w:cs="Arial"/>
              </w:rPr>
            </w:pPr>
            <w:r w:rsidRPr="00B57A1B">
              <w:rPr>
                <w:rFonts w:ascii="Verdana" w:eastAsia="Calibri" w:hAnsi="Verdana" w:cs="Arial"/>
              </w:rPr>
              <w:t>En todo caso, las afirmaciones aquí realizadas no pueden interpretarse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tc>
      </w:tr>
    </w:tbl>
    <w:p w14:paraId="04AF82DA" w14:textId="77777777" w:rsidR="00041256" w:rsidRDefault="00041256" w:rsidP="00041256">
      <w:pPr>
        <w:spacing w:after="0" w:line="276" w:lineRule="auto"/>
        <w:jc w:val="both"/>
        <w:rPr>
          <w:rFonts w:ascii="Verdana" w:eastAsia="Calibri" w:hAnsi="Verdana" w:cs="Arial"/>
          <w:bCs/>
          <w:color w:val="000000" w:themeColor="text1"/>
        </w:rPr>
      </w:pPr>
    </w:p>
    <w:p w14:paraId="5C3B93B9" w14:textId="77777777" w:rsidR="00041256" w:rsidRPr="00B57A1B" w:rsidRDefault="00041256" w:rsidP="00041256">
      <w:pPr>
        <w:spacing w:after="0" w:line="276" w:lineRule="auto"/>
        <w:jc w:val="both"/>
        <w:rPr>
          <w:rFonts w:ascii="Verdana" w:eastAsia="Calibri" w:hAnsi="Verdana" w:cs="Arial"/>
          <w:bCs/>
          <w:color w:val="000000" w:themeColor="text1"/>
        </w:rPr>
      </w:pPr>
    </w:p>
    <w:p w14:paraId="749F18B0" w14:textId="77777777" w:rsidR="00041256" w:rsidRPr="00B57A1B" w:rsidRDefault="00041256" w:rsidP="00041256">
      <w:pPr>
        <w:numPr>
          <w:ilvl w:val="0"/>
          <w:numId w:val="19"/>
        </w:numPr>
        <w:tabs>
          <w:tab w:val="left" w:pos="2268"/>
        </w:tabs>
        <w:spacing w:after="0" w:line="256" w:lineRule="auto"/>
        <w:rPr>
          <w:rFonts w:ascii="Verdana" w:eastAsia="Calibri" w:hAnsi="Verdana" w:cs="Times New Roman"/>
          <w:b/>
          <w:bCs/>
          <w:lang w:val="es-ES"/>
        </w:rPr>
      </w:pPr>
      <w:r w:rsidRPr="00B57A1B">
        <w:rPr>
          <w:rFonts w:ascii="Verdana" w:eastAsia="Calibri" w:hAnsi="Verdana" w:cs="Times New Roman"/>
          <w:b/>
          <w:bCs/>
          <w:lang w:val="es-ES"/>
        </w:rPr>
        <w:t>Razones de la respuesta:</w:t>
      </w:r>
    </w:p>
    <w:p w14:paraId="16831B24" w14:textId="77777777" w:rsidR="00041256" w:rsidRPr="00B57A1B" w:rsidRDefault="00041256" w:rsidP="00041256">
      <w:pPr>
        <w:spacing w:after="0" w:line="256" w:lineRule="auto"/>
        <w:rPr>
          <w:rFonts w:ascii="Verdana" w:eastAsia="Calibri" w:hAnsi="Verdana" w:cs="Times New Roman"/>
          <w:b/>
          <w:bCs/>
          <w:lang w:val="es-ES"/>
        </w:rPr>
      </w:pPr>
    </w:p>
    <w:p w14:paraId="3EB4E9A7" w14:textId="77777777" w:rsidR="00041256" w:rsidRPr="00B57A1B" w:rsidRDefault="00041256" w:rsidP="00041256">
      <w:pPr>
        <w:spacing w:after="0" w:line="276" w:lineRule="auto"/>
        <w:jc w:val="both"/>
        <w:rPr>
          <w:rFonts w:ascii="Verdana" w:eastAsia="Calibri" w:hAnsi="Verdana" w:cs="Arial"/>
          <w:lang w:val="es-ES"/>
        </w:rPr>
      </w:pPr>
      <w:r w:rsidRPr="00B57A1B">
        <w:rPr>
          <w:rFonts w:ascii="Verdana" w:eastAsia="Calibri" w:hAnsi="Verdana" w:cs="Arial"/>
          <w:lang w:val="es-ES"/>
        </w:rPr>
        <w:t xml:space="preserve">Lo anterior se sustenta en las siguientes consideraciones: </w:t>
      </w:r>
    </w:p>
    <w:p w14:paraId="3D7480A3" w14:textId="77777777" w:rsidR="00041256" w:rsidRPr="00B57A1B" w:rsidRDefault="00041256" w:rsidP="00041256">
      <w:pPr>
        <w:spacing w:after="120" w:line="276" w:lineRule="auto"/>
        <w:jc w:val="both"/>
        <w:rPr>
          <w:rFonts w:ascii="Verdana" w:eastAsia="Times New Roman" w:hAnsi="Verdana" w:cs="Arial"/>
          <w:color w:val="000000"/>
          <w:lang w:val="es-ES" w:eastAsia="es-ES"/>
        </w:rPr>
      </w:pPr>
      <w:bookmarkStart w:id="1" w:name="_Hlk78820161"/>
    </w:p>
    <w:p w14:paraId="3977C64E" w14:textId="77777777" w:rsidR="00041256" w:rsidRPr="00B57A1B" w:rsidRDefault="00041256" w:rsidP="00041256">
      <w:pPr>
        <w:tabs>
          <w:tab w:val="left" w:pos="7851"/>
        </w:tabs>
        <w:spacing w:after="120" w:line="276" w:lineRule="auto"/>
        <w:jc w:val="both"/>
        <w:rPr>
          <w:rFonts w:ascii="Arial" w:hAnsi="Arial" w:cs="Arial"/>
          <w:b/>
        </w:rPr>
      </w:pPr>
      <w:r w:rsidRPr="00B57A1B">
        <w:rPr>
          <w:rFonts w:ascii="Verdana" w:eastAsia="Times New Roman" w:hAnsi="Verdana" w:cs="Arial"/>
          <w:color w:val="000000"/>
          <w:lang w:val="es-ES" w:eastAsia="es-ES"/>
        </w:rPr>
        <w:lastRenderedPageBreak/>
        <w:t xml:space="preserve">i. </w:t>
      </w:r>
      <w:proofErr w:type="spellStart"/>
      <w:r w:rsidRPr="00B57A1B">
        <w:rPr>
          <w:rFonts w:ascii="Verdana" w:eastAsia="Times New Roman" w:hAnsi="Verdana" w:cs="Arial"/>
          <w:color w:val="000000"/>
          <w:lang w:eastAsia="es-ES"/>
        </w:rPr>
        <w:t>iii</w:t>
      </w:r>
      <w:proofErr w:type="spellEnd"/>
      <w:r w:rsidRPr="00B57A1B">
        <w:rPr>
          <w:rFonts w:ascii="Verdana" w:eastAsia="Times New Roman" w:hAnsi="Verdana" w:cs="Arial"/>
          <w:color w:val="000000"/>
          <w:lang w:eastAsia="es-ES"/>
        </w:rPr>
        <w:t xml:space="preserve">. </w:t>
      </w:r>
      <w:r w:rsidRPr="00B57A1B">
        <w:rPr>
          <w:rFonts w:ascii="Verdana" w:eastAsiaTheme="minorEastAsia" w:hAnsi="Verdana" w:cs="Arial"/>
          <w:lang w:eastAsia="es-CO"/>
        </w:rPr>
        <w:t>La tipología del contrato interadministrativo fue creada en la Ley 80 de 1993, y el Decreto 1082 de 2015 la califica como aquella contratación entre Entidades Estatales</w:t>
      </w:r>
      <w:r w:rsidRPr="00B57A1B">
        <w:rPr>
          <w:rFonts w:ascii="Verdana" w:hAnsi="Verdana"/>
          <w:vertAlign w:val="superscript"/>
          <w:lang w:eastAsia="es-CO"/>
        </w:rPr>
        <w:footnoteReference w:id="2"/>
      </w:r>
      <w:r w:rsidRPr="00B57A1B">
        <w:rPr>
          <w:rFonts w:ascii="Verdana" w:eastAsiaTheme="minorEastAsia" w:hAnsi="Verdana" w:cs="Arial"/>
          <w:lang w:eastAsia="es-CO"/>
        </w:rPr>
        <w:t>. De acuerdo con lo anterior, el contrato o el convenio interadministrativo es el acuerdo donde concurre la voluntad de dos o más personas jurídicas de derecho público con la finalidad de cumplir, en el marco de sus objetivos misionales y sus competencias, con los fines del Estado. Es decir, los contratos o convenios interadministrativos están determinados por un criterio orgánico, al ser necesario que los extremos de la relación contractual sean Entidades</w:t>
      </w:r>
      <w:r w:rsidRPr="00B57A1B">
        <w:rPr>
          <w:rFonts w:ascii="Verdana" w:eastAsiaTheme="minorEastAsia" w:hAnsi="Verdana" w:cs="Arial"/>
          <w:spacing w:val="-6"/>
          <w:lang w:eastAsia="es-CO"/>
        </w:rPr>
        <w:t xml:space="preserve"> </w:t>
      </w:r>
      <w:r w:rsidRPr="00B57A1B">
        <w:rPr>
          <w:rFonts w:ascii="Verdana" w:eastAsiaTheme="minorEastAsia" w:hAnsi="Verdana" w:cs="Arial"/>
          <w:lang w:eastAsia="es-CO"/>
        </w:rPr>
        <w:t>Estatales.</w:t>
      </w:r>
    </w:p>
    <w:p w14:paraId="42FF770D" w14:textId="77777777" w:rsidR="00041256" w:rsidRPr="00B57A1B" w:rsidRDefault="00041256" w:rsidP="00041256">
      <w:pPr>
        <w:spacing w:after="120" w:line="276" w:lineRule="auto"/>
        <w:ind w:firstLine="707"/>
        <w:jc w:val="both"/>
        <w:rPr>
          <w:rFonts w:ascii="Verdana" w:eastAsiaTheme="minorEastAsia" w:hAnsi="Verdana" w:cs="Arial"/>
          <w:lang w:eastAsia="es-CO"/>
        </w:rPr>
      </w:pPr>
      <w:r w:rsidRPr="00B57A1B">
        <w:rPr>
          <w:rFonts w:ascii="Verdana" w:eastAsiaTheme="minorEastAsia" w:hAnsi="Verdana" w:cs="Arial"/>
          <w:lang w:eastAsia="es-CO"/>
        </w:rPr>
        <w:t>Si bien los contratos interadministrativos están previstos en la Ley 80 de 1993, en la Ley 1150 de 2007 y en el Decreto en el 1082 de 2015, no quiere decir que solo puedan celebrarse entre Entidades Estatales que apliquen el régimen de contratación allí previsto, pues bien puede una Entidad Estatal sometida a la Ley 80 de 1993 celebrar esta clase de negocios jurídicos con una Entidad Estatal de régimen especial y no por ello dejará de ser un contrato o convenio interadministrativo.</w:t>
      </w:r>
    </w:p>
    <w:p w14:paraId="5D8709F5" w14:textId="77777777" w:rsidR="00041256" w:rsidRPr="00B57A1B" w:rsidRDefault="00041256" w:rsidP="00041256">
      <w:pPr>
        <w:spacing w:after="120" w:line="276" w:lineRule="auto"/>
        <w:ind w:firstLine="707"/>
        <w:jc w:val="both"/>
        <w:rPr>
          <w:rFonts w:ascii="Verdana" w:eastAsiaTheme="minorEastAsia" w:hAnsi="Verdana" w:cs="Arial"/>
          <w:lang w:eastAsia="es-CO"/>
        </w:rPr>
      </w:pPr>
      <w:r w:rsidRPr="00B57A1B">
        <w:rPr>
          <w:rFonts w:ascii="Verdana" w:eastAsiaTheme="minorEastAsia" w:hAnsi="Verdana" w:cs="Arial"/>
          <w:lang w:eastAsia="es-CO"/>
        </w:rPr>
        <w:t>Un contrato interadministrativo no está determinado por la modalidad de selección utilizada para celebrarlo. La Ley 1150 de 2007 dispone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con pluralidad de oferentes</w:t>
      </w:r>
      <w:r w:rsidRPr="00B57A1B">
        <w:rPr>
          <w:rFonts w:ascii="Verdana" w:eastAsiaTheme="minorEastAsia" w:hAnsi="Verdana" w:cs="Arial"/>
          <w:vertAlign w:val="superscript"/>
          <w:lang w:eastAsia="es-CO"/>
        </w:rPr>
        <w:footnoteReference w:id="3"/>
      </w:r>
      <w:r w:rsidRPr="00B57A1B">
        <w:rPr>
          <w:rFonts w:ascii="Verdana" w:eastAsiaTheme="minorEastAsia" w:hAnsi="Verdana" w:cs="Arial"/>
          <w:lang w:eastAsia="es-CO"/>
        </w:rPr>
        <w:t>. Nótese que, en este caso, lo que cambia es la modalidad de selección y no la naturaleza de contrato</w:t>
      </w:r>
      <w:r w:rsidRPr="00B57A1B">
        <w:rPr>
          <w:rFonts w:ascii="Verdana" w:eastAsiaTheme="minorEastAsia" w:hAnsi="Verdana" w:cs="Arial"/>
          <w:spacing w:val="-18"/>
          <w:lang w:eastAsia="es-CO"/>
        </w:rPr>
        <w:t xml:space="preserve"> </w:t>
      </w:r>
      <w:r w:rsidRPr="00B57A1B">
        <w:rPr>
          <w:rFonts w:ascii="Verdana" w:eastAsiaTheme="minorEastAsia" w:hAnsi="Verdana" w:cs="Arial"/>
          <w:lang w:eastAsia="es-CO"/>
        </w:rPr>
        <w:t>interadministrativo.</w:t>
      </w:r>
    </w:p>
    <w:p w14:paraId="2095ECD9" w14:textId="77777777" w:rsidR="00041256" w:rsidRPr="00B57A1B" w:rsidRDefault="00041256" w:rsidP="00041256">
      <w:pPr>
        <w:spacing w:after="120" w:line="276" w:lineRule="auto"/>
        <w:ind w:firstLine="709"/>
        <w:jc w:val="both"/>
        <w:rPr>
          <w:rFonts w:ascii="Verdana" w:eastAsiaTheme="minorEastAsia" w:hAnsi="Verdana" w:cs="Arial"/>
          <w:lang w:eastAsia="es-CO"/>
        </w:rPr>
      </w:pPr>
      <w:r w:rsidRPr="00B57A1B">
        <w:rPr>
          <w:rFonts w:ascii="Verdana" w:eastAsiaTheme="minorEastAsia" w:hAnsi="Verdana" w:cs="Arial"/>
          <w:lang w:eastAsia="es-CO"/>
        </w:rPr>
        <w:t xml:space="preserve">La Corte Constitucional, en Sentencia C-671 de 2015, expresó que “Lo que hace interadministrativo a un contrato o convenio no es el procedimiento de selección aplicable, sino la calidad de los sujetos contratantes, esto es que las dos partes de la relación jurídica contractual formen parte de la administración </w:t>
      </w:r>
      <w:r w:rsidRPr="00B57A1B">
        <w:rPr>
          <w:rFonts w:ascii="Verdana" w:eastAsiaTheme="minorEastAsia" w:hAnsi="Verdana" w:cs="Arial"/>
          <w:lang w:eastAsia="es-CO"/>
        </w:rPr>
        <w:lastRenderedPageBreak/>
        <w:t>pública”</w:t>
      </w:r>
      <w:r w:rsidRPr="00B57A1B">
        <w:rPr>
          <w:rFonts w:ascii="Verdana" w:eastAsiaTheme="minorEastAsia" w:hAnsi="Verdana" w:cs="Arial"/>
          <w:vertAlign w:val="superscript"/>
          <w:lang w:eastAsia="es-CO"/>
        </w:rPr>
        <w:footnoteReference w:id="4"/>
      </w:r>
      <w:r w:rsidRPr="00B57A1B">
        <w:rPr>
          <w:rFonts w:ascii="Verdana" w:eastAsiaTheme="minorEastAsia" w:hAnsi="Verdana" w:cs="Arial"/>
          <w:lang w:eastAsia="es-CO"/>
        </w:rPr>
        <w:t xml:space="preserve">. Así las cosas, esta clase de acuerdos de voluntades se definen por un criterio orgánico, por lo que uno de sus elementos esenciales es que en los extremos de la relación jurídico negocial concurran personas de derecho público. </w:t>
      </w:r>
    </w:p>
    <w:p w14:paraId="32AC0970" w14:textId="77777777" w:rsidR="00041256" w:rsidRPr="00B57A1B" w:rsidRDefault="00041256" w:rsidP="00041256">
      <w:pPr>
        <w:spacing w:after="0" w:line="276" w:lineRule="auto"/>
        <w:ind w:firstLine="709"/>
        <w:jc w:val="both"/>
        <w:rPr>
          <w:rFonts w:ascii="Verdana" w:eastAsiaTheme="minorEastAsia" w:hAnsi="Verdana" w:cs="Arial"/>
          <w:lang w:eastAsia="es-CO"/>
        </w:rPr>
      </w:pPr>
      <w:r w:rsidRPr="00B57A1B">
        <w:rPr>
          <w:rFonts w:ascii="Verdana" w:eastAsiaTheme="minorEastAsia" w:hAnsi="Verdana" w:cs="Arial"/>
          <w:lang w:eastAsia="es-CO"/>
        </w:rPr>
        <w:t xml:space="preserve">Es decir, lo que hace que un contrato o convenio sea interadministrativo es la naturaleza de las partes, independiente del régimen jurídico aplicable. Sin embargo, en los últimos se está diferenciando los conceptos “contrato interadministrativo” y “convenio interadministrativo” como dos instituciones jurídicas independientes con producción de efectos jurídicos distintos. Al respecto, el Consejo de Estado distingue las dos instituciones, de la siguiente forma: </w:t>
      </w:r>
    </w:p>
    <w:p w14:paraId="0CF2E7E8" w14:textId="77777777" w:rsidR="00041256" w:rsidRPr="00B57A1B" w:rsidRDefault="00041256" w:rsidP="00041256">
      <w:pPr>
        <w:spacing w:after="0" w:line="276" w:lineRule="auto"/>
        <w:ind w:firstLine="709"/>
        <w:jc w:val="both"/>
        <w:rPr>
          <w:rFonts w:ascii="Verdana" w:eastAsiaTheme="minorEastAsia" w:hAnsi="Verdana" w:cs="Arial"/>
          <w:lang w:eastAsia="es-CO"/>
        </w:rPr>
      </w:pPr>
    </w:p>
    <w:p w14:paraId="5DB75711" w14:textId="77777777" w:rsidR="00041256" w:rsidRPr="00B57A1B" w:rsidRDefault="00041256" w:rsidP="00041256">
      <w:pPr>
        <w:spacing w:after="0" w:line="240" w:lineRule="auto"/>
        <w:ind w:left="709" w:right="709"/>
        <w:jc w:val="both"/>
        <w:rPr>
          <w:rFonts w:ascii="Verdana" w:eastAsiaTheme="minorEastAsia" w:hAnsi="Verdana" w:cs="Arial"/>
          <w:sz w:val="21"/>
          <w:szCs w:val="21"/>
          <w:lang w:eastAsia="es-CO"/>
        </w:rPr>
      </w:pPr>
      <w:r w:rsidRPr="00B57A1B">
        <w:rPr>
          <w:rFonts w:ascii="Verdana" w:eastAsiaTheme="minorEastAsia" w:hAnsi="Verdana" w:cs="Arial"/>
          <w:sz w:val="21"/>
          <w:szCs w:val="21"/>
          <w:lang w:eastAsia="es-CO"/>
        </w:rPr>
        <w:t>"Si bien las nociones 'contrato' y 'convenio' interadministrativo tienen notas comunes como la de ser acuerdos de voluntades generadores de obligaciones entre entidades estatales, también resulta incontrovertible que tienen naturaleza, finalidad y características disímiles como son:</w:t>
      </w:r>
    </w:p>
    <w:p w14:paraId="5D941252" w14:textId="77777777" w:rsidR="00041256" w:rsidRPr="00B57A1B" w:rsidRDefault="00041256" w:rsidP="00041256">
      <w:pPr>
        <w:numPr>
          <w:ilvl w:val="0"/>
          <w:numId w:val="40"/>
        </w:numPr>
        <w:spacing w:after="0" w:line="240" w:lineRule="auto"/>
        <w:ind w:left="709" w:right="709"/>
        <w:contextualSpacing/>
        <w:jc w:val="both"/>
        <w:rPr>
          <w:rFonts w:ascii="Verdana" w:eastAsiaTheme="minorEastAsia" w:hAnsi="Verdana" w:cs="Arial"/>
          <w:sz w:val="21"/>
          <w:szCs w:val="21"/>
          <w:lang w:val="es-ES" w:eastAsia="es-CO"/>
        </w:rPr>
      </w:pPr>
      <w:r w:rsidRPr="00B57A1B">
        <w:rPr>
          <w:rFonts w:ascii="Verdana" w:eastAsiaTheme="minorEastAsia" w:hAnsi="Verdana" w:cs="Arial"/>
          <w:sz w:val="21"/>
          <w:szCs w:val="21"/>
          <w:lang w:val="es-ES" w:eastAsia="es-CO"/>
        </w:rPr>
        <w:t xml:space="preserve">El objeto de los contratos lo constituyen obligaciones de contenido patrimonial y, por </w:t>
      </w:r>
      <w:r w:rsidRPr="00B57A1B">
        <w:rPr>
          <w:rFonts w:ascii="Verdana" w:eastAsiaTheme="minorEastAsia" w:hAnsi="Verdana" w:cs="Arial"/>
          <w:sz w:val="21"/>
          <w:szCs w:val="21"/>
          <w:lang w:eastAsia="es-CO"/>
        </w:rPr>
        <w:t>lo mismo, son onerosos, lo que implica el gravamen de cada parte en beneficio de la otra. En el contrato, como verdadero acuerdo de voluntades productor de efectos jurídicos, las partes actúan con intereses disímiles y contrapuestos; la entidad estatal contratante en un interés público, la entidad estatal contratista en su propio interés específico económico o de índole privado (es claro que una entidad estatal, puede y debe obtener ganancias, o generar valor respecto de su patrimonio, productos o actividad, si así lo autoriza su objeto social, o las funciones que le haya otorgado la ley);</w:t>
      </w:r>
    </w:p>
    <w:p w14:paraId="148FCA41" w14:textId="77777777" w:rsidR="00041256" w:rsidRPr="00B57A1B" w:rsidRDefault="00041256" w:rsidP="00041256">
      <w:pPr>
        <w:numPr>
          <w:ilvl w:val="0"/>
          <w:numId w:val="40"/>
        </w:numPr>
        <w:spacing w:after="0" w:line="240" w:lineRule="auto"/>
        <w:ind w:left="709" w:right="709"/>
        <w:contextualSpacing/>
        <w:jc w:val="both"/>
        <w:rPr>
          <w:rFonts w:ascii="Verdana" w:eastAsiaTheme="minorEastAsia" w:hAnsi="Verdana" w:cs="Arial"/>
          <w:sz w:val="21"/>
          <w:szCs w:val="21"/>
          <w:lang w:val="es-ES" w:eastAsia="es-CO"/>
        </w:rPr>
      </w:pPr>
      <w:r w:rsidRPr="00B57A1B">
        <w:rPr>
          <w:rFonts w:ascii="Verdana" w:eastAsiaTheme="minorEastAsia" w:hAnsi="Verdana" w:cs="Arial"/>
          <w:sz w:val="21"/>
          <w:szCs w:val="21"/>
          <w:lang w:eastAsia="es-CO"/>
        </w:rPr>
        <w:t>Los convenios no tienen un interés puramente económico (es decir, destinados a obtener una ganancia) y su objeto es ejecutar actividades que contribuyen directamente al fin común de los sujetos vinculados al convenio; es decir, las partes tienen intereses convergentes, coincidentes o comunes (cumplimiento de funciones administrativas o prestación de servicios a su cargo que coinciden con el interés general) y cooperan para alcanzar en forma eficaz la finalidad estatal prevista en la Constitución o la ley sin que por esto se reciba por ninguna de ellas el pago de un precio o contraprestación;</w:t>
      </w:r>
    </w:p>
    <w:p w14:paraId="6B4ED9C1" w14:textId="77777777" w:rsidR="00041256" w:rsidRPr="00B57A1B" w:rsidRDefault="00041256" w:rsidP="00041256">
      <w:pPr>
        <w:numPr>
          <w:ilvl w:val="0"/>
          <w:numId w:val="40"/>
        </w:numPr>
        <w:spacing w:after="0" w:line="240" w:lineRule="auto"/>
        <w:ind w:left="709" w:right="709"/>
        <w:contextualSpacing/>
        <w:jc w:val="both"/>
        <w:rPr>
          <w:rFonts w:ascii="Verdana" w:eastAsiaTheme="minorEastAsia" w:hAnsi="Verdana" w:cs="Arial"/>
          <w:sz w:val="21"/>
          <w:szCs w:val="21"/>
          <w:lang w:val="es-ES" w:eastAsia="es-CO"/>
        </w:rPr>
      </w:pPr>
      <w:r w:rsidRPr="00B57A1B">
        <w:rPr>
          <w:rFonts w:ascii="Verdana" w:eastAsiaTheme="minorEastAsia" w:hAnsi="Verdana" w:cs="Arial"/>
          <w:sz w:val="21"/>
          <w:szCs w:val="21"/>
          <w:lang w:eastAsia="es-CO"/>
        </w:rPr>
        <w:t xml:space="preserve">Los intereses de los que son titulares las partes (entidades públicas contrayentes) y las finalidades que persiguen alcanzar, en virtud del ánimo de cooperación, indican que en los convenios las partes se relacionan en un paralelismo de intereses bajo un ámbito o posición de igualdad o equivalencia, en tanto que los contratos, dados los intereses y finalidades analizadas, se desarrollan en un ámbito de preeminencia </w:t>
      </w:r>
      <w:r w:rsidRPr="00B57A1B">
        <w:rPr>
          <w:rFonts w:ascii="Verdana" w:eastAsiaTheme="minorEastAsia" w:hAnsi="Verdana" w:cs="Arial"/>
          <w:sz w:val="21"/>
          <w:szCs w:val="21"/>
          <w:lang w:eastAsia="es-CO"/>
        </w:rPr>
        <w:lastRenderedPageBreak/>
        <w:t>o  superioridad jurídica de la entidad estatal contratante respecto de la entidad contratista y, por lo mismo, podrá haber prerrogativas a favor de una de las partes. De esta manera, en el contrato 'se puede identificar contratante y contratista, y el segundo, aunque persona pública, tiene intereses y está en un mercado de forma similar a como lo hace un particular”</w:t>
      </w:r>
      <w:r w:rsidRPr="00B57A1B">
        <w:rPr>
          <w:rFonts w:ascii="Verdana" w:eastAsiaTheme="minorEastAsia" w:hAnsi="Verdana" w:cs="Arial"/>
          <w:sz w:val="21"/>
          <w:szCs w:val="21"/>
          <w:vertAlign w:val="superscript"/>
          <w:lang w:eastAsia="es-CO"/>
        </w:rPr>
        <w:footnoteReference w:id="5"/>
      </w:r>
      <w:r w:rsidRPr="00B57A1B">
        <w:rPr>
          <w:rFonts w:ascii="Verdana" w:eastAsiaTheme="minorEastAsia" w:hAnsi="Verdana" w:cs="Arial"/>
          <w:sz w:val="21"/>
          <w:szCs w:val="21"/>
          <w:lang w:eastAsia="es-CO"/>
        </w:rPr>
        <w:t>.</w:t>
      </w:r>
    </w:p>
    <w:p w14:paraId="4B04BF84" w14:textId="77777777" w:rsidR="00041256" w:rsidRPr="00B57A1B" w:rsidRDefault="00041256" w:rsidP="00041256">
      <w:pPr>
        <w:spacing w:after="0" w:line="276" w:lineRule="auto"/>
        <w:ind w:right="709"/>
        <w:jc w:val="both"/>
        <w:rPr>
          <w:rFonts w:ascii="Verdana" w:eastAsia="Times New Roman" w:hAnsi="Verdana" w:cs="Arial"/>
          <w:lang w:eastAsia="es-ES_tradnl"/>
        </w:rPr>
      </w:pPr>
    </w:p>
    <w:p w14:paraId="10341548" w14:textId="77777777" w:rsidR="00041256" w:rsidRPr="00B57A1B" w:rsidRDefault="00041256" w:rsidP="00041256">
      <w:pPr>
        <w:spacing w:after="0" w:line="276" w:lineRule="auto"/>
        <w:ind w:firstLine="709"/>
        <w:jc w:val="both"/>
        <w:rPr>
          <w:rFonts w:ascii="Verdana" w:eastAsiaTheme="minorEastAsia" w:hAnsi="Verdana" w:cs="Arial"/>
          <w:lang w:eastAsia="es-CO"/>
        </w:rPr>
      </w:pPr>
      <w:r w:rsidRPr="00B57A1B">
        <w:rPr>
          <w:rFonts w:ascii="Verdana" w:eastAsiaTheme="minorEastAsia" w:hAnsi="Verdana" w:cs="Arial"/>
          <w:lang w:eastAsia="es-CO"/>
        </w:rPr>
        <w:t xml:space="preserve">Bajo esta postura del Consejo de Estado, se determina que el convenio interadministrativo es el negocio jurídico en el cual convergen dos entidades públicas, cuyo objeto se relaciona con la coordinación o cooperación para el cumplimiento de los fines comunes de las partes. Por otro lado, el contrato interadministrativo es un negocio jurídico, cuyo objeto está relacionado con la prestación de bienes y servicios, en el que una de las partes actúa como contratante y otra como contratista. Al respecto, la doctrina expresa: </w:t>
      </w:r>
    </w:p>
    <w:p w14:paraId="392114F8" w14:textId="77777777" w:rsidR="00041256" w:rsidRPr="00B57A1B" w:rsidRDefault="00041256" w:rsidP="00041256">
      <w:pPr>
        <w:spacing w:after="0" w:line="276" w:lineRule="auto"/>
        <w:ind w:firstLine="709"/>
        <w:jc w:val="both"/>
        <w:rPr>
          <w:rFonts w:ascii="Verdana" w:eastAsiaTheme="minorEastAsia" w:hAnsi="Verdana" w:cs="Arial"/>
          <w:lang w:eastAsia="es-CO"/>
        </w:rPr>
      </w:pPr>
    </w:p>
    <w:p w14:paraId="452E2F35" w14:textId="77777777" w:rsidR="00041256" w:rsidRPr="00B57A1B" w:rsidRDefault="00041256" w:rsidP="00041256">
      <w:pPr>
        <w:spacing w:after="0" w:line="240" w:lineRule="auto"/>
        <w:ind w:left="709" w:right="709"/>
        <w:jc w:val="both"/>
        <w:rPr>
          <w:rFonts w:ascii="Verdana" w:eastAsiaTheme="minorEastAsia" w:hAnsi="Verdana" w:cs="Arial"/>
          <w:lang w:eastAsia="es-CO"/>
        </w:rPr>
      </w:pPr>
      <w:r w:rsidRPr="00B57A1B">
        <w:rPr>
          <w:rFonts w:ascii="Verdana" w:eastAsiaTheme="minorEastAsia" w:hAnsi="Verdana" w:cs="Arial"/>
          <w:sz w:val="21"/>
          <w:szCs w:val="21"/>
          <w:lang w:eastAsia="es-CO"/>
        </w:rPr>
        <w:t>“De acuerdo con todo lo anteriormente expuesto, podemos manifestar que el convenio interadministrativo es el negocio jurídico en el cual están presentes dos entidades públicas en desarrollo de relaciones interadministrativas cuyo objeto es coordinar, cooperar, colaborar o distribuir competencias en la realización de funciones administrativas de interés común a los sujetos negociales.</w:t>
      </w:r>
    </w:p>
    <w:p w14:paraId="17D5D82D" w14:textId="77777777" w:rsidR="00041256" w:rsidRPr="00B57A1B" w:rsidRDefault="00041256" w:rsidP="00041256">
      <w:pPr>
        <w:spacing w:after="0" w:line="240" w:lineRule="auto"/>
        <w:ind w:left="709" w:right="709"/>
        <w:jc w:val="both"/>
        <w:rPr>
          <w:rFonts w:ascii="Verdana" w:eastAsiaTheme="minorEastAsia" w:hAnsi="Verdana" w:cs="Arial"/>
          <w:sz w:val="21"/>
          <w:szCs w:val="21"/>
          <w:lang w:eastAsia="es-CO"/>
        </w:rPr>
      </w:pPr>
      <w:r w:rsidRPr="00B57A1B">
        <w:rPr>
          <w:rFonts w:ascii="Verdana" w:eastAsiaTheme="minorEastAsia" w:hAnsi="Verdana" w:cs="Arial"/>
          <w:sz w:val="21"/>
          <w:szCs w:val="21"/>
          <w:lang w:eastAsia="es-CO"/>
        </w:rPr>
        <w:t>[…]</w:t>
      </w:r>
    </w:p>
    <w:p w14:paraId="01D2FA9D" w14:textId="77777777" w:rsidR="00041256" w:rsidRPr="00B57A1B" w:rsidRDefault="00041256" w:rsidP="00041256">
      <w:pPr>
        <w:autoSpaceDE w:val="0"/>
        <w:autoSpaceDN w:val="0"/>
        <w:adjustRightInd w:val="0"/>
        <w:spacing w:after="0" w:line="240" w:lineRule="auto"/>
        <w:ind w:left="709" w:right="709"/>
        <w:jc w:val="both"/>
        <w:rPr>
          <w:rFonts w:ascii="Verdana" w:hAnsi="Verdana" w:cs="Weiss"/>
          <w:sz w:val="21"/>
          <w:szCs w:val="21"/>
        </w:rPr>
      </w:pPr>
      <w:r w:rsidRPr="00B57A1B">
        <w:rPr>
          <w:rFonts w:ascii="Verdana" w:hAnsi="Verdana" w:cs="Weiss"/>
          <w:sz w:val="21"/>
          <w:szCs w:val="21"/>
        </w:rPr>
        <w:t>El contrato interadministrativo, por su parte, es también celebrado entre dos entidades públicas con capacidad de tener relaciones interadministrativas, con la particularidad de que el contrato es negocio jurídico generador de obligaciones al cual acuden las partes con diversidad de intereses. En el contrato se pueden identificar contratante y contratista, y el segundo, aunque persona pública, tiene intereses y está en un mercado de forma similar a como lo hace el particular”</w:t>
      </w:r>
      <w:r w:rsidRPr="00B57A1B">
        <w:rPr>
          <w:rFonts w:ascii="Verdana" w:hAnsi="Verdana" w:cs="Weiss"/>
          <w:sz w:val="21"/>
          <w:szCs w:val="21"/>
          <w:vertAlign w:val="superscript"/>
        </w:rPr>
        <w:footnoteReference w:id="6"/>
      </w:r>
      <w:r w:rsidRPr="00B57A1B">
        <w:rPr>
          <w:rFonts w:ascii="Verdana" w:hAnsi="Verdana" w:cs="Weiss"/>
          <w:sz w:val="21"/>
          <w:szCs w:val="21"/>
        </w:rPr>
        <w:t>.</w:t>
      </w:r>
    </w:p>
    <w:p w14:paraId="15E4F85C" w14:textId="77777777" w:rsidR="00041256" w:rsidRPr="00B57A1B" w:rsidRDefault="00041256" w:rsidP="00041256">
      <w:pPr>
        <w:spacing w:after="120" w:line="276" w:lineRule="auto"/>
        <w:jc w:val="both"/>
        <w:rPr>
          <w:rFonts w:ascii="Verdana" w:eastAsiaTheme="minorEastAsia" w:hAnsi="Verdana" w:cs="Arial"/>
          <w:lang w:eastAsia="es-CO"/>
        </w:rPr>
      </w:pPr>
    </w:p>
    <w:p w14:paraId="0C18920E" w14:textId="77777777" w:rsidR="00041256" w:rsidRPr="00B57A1B" w:rsidRDefault="00041256" w:rsidP="00041256">
      <w:pPr>
        <w:spacing w:after="0" w:line="276" w:lineRule="auto"/>
        <w:ind w:firstLine="709"/>
        <w:jc w:val="both"/>
        <w:rPr>
          <w:rFonts w:ascii="Verdana" w:eastAsiaTheme="minorEastAsia" w:hAnsi="Verdana" w:cs="Arial"/>
          <w:lang w:eastAsia="es-CO"/>
        </w:rPr>
      </w:pPr>
      <w:r w:rsidRPr="00B57A1B">
        <w:rPr>
          <w:rFonts w:ascii="Verdana" w:eastAsiaTheme="minorEastAsia" w:hAnsi="Verdana" w:cs="Arial"/>
          <w:lang w:eastAsia="es-CO"/>
        </w:rPr>
        <w:t xml:space="preserve">Ahora bien, esta distinción conceptual entre contratos y convenios interadministrativos resulta relevante para precisar ámbito de aplicación de las instituciones del EGCAP. Al respecto, el Consejo ha destacado la finalidad </w:t>
      </w:r>
      <w:r w:rsidRPr="00B57A1B">
        <w:rPr>
          <w:rFonts w:ascii="Verdana" w:eastAsiaTheme="minorEastAsia" w:hAnsi="Verdana" w:cs="Arial"/>
          <w:lang w:eastAsia="es-CO"/>
        </w:rPr>
        <w:lastRenderedPageBreak/>
        <w:t>asociativa de los convenios interadministrativos, los cuales se caracterizan por la autorregulación de sus propias estipulaciones, que son el resultado de la autonomía de la voluntad de las entidades que actúan como colaboradoras o cooperantes, sin que pueda aludirse a la preponderancia de ciertos regímenes, por lo que no es procedente la aplicación automática del régimen contractual de los contratos estatales</w:t>
      </w:r>
      <w:r w:rsidRPr="00B57A1B">
        <w:rPr>
          <w:rFonts w:ascii="Verdana" w:eastAsiaTheme="minorEastAsia" w:hAnsi="Verdana" w:cs="Arial"/>
          <w:vertAlign w:val="superscript"/>
          <w:lang w:eastAsia="es-CO"/>
        </w:rPr>
        <w:footnoteReference w:id="7"/>
      </w:r>
      <w:r w:rsidRPr="00B57A1B">
        <w:rPr>
          <w:rFonts w:ascii="Verdana" w:eastAsiaTheme="minorEastAsia" w:hAnsi="Verdana" w:cs="Arial"/>
          <w:lang w:eastAsia="es-CO"/>
        </w:rPr>
        <w:t xml:space="preserve">. De esta manera, el Consejo de Estado expresa:  </w:t>
      </w:r>
    </w:p>
    <w:p w14:paraId="25A7E925" w14:textId="77777777" w:rsidR="00041256" w:rsidRPr="00B57A1B" w:rsidRDefault="00041256" w:rsidP="00041256">
      <w:pPr>
        <w:widowControl w:val="0"/>
        <w:autoSpaceDE w:val="0"/>
        <w:autoSpaceDN w:val="0"/>
        <w:spacing w:after="120" w:line="276" w:lineRule="auto"/>
        <w:jc w:val="both"/>
        <w:rPr>
          <w:rFonts w:ascii="Verdana" w:eastAsia="Arial MT" w:hAnsi="Verdana" w:cs="Arial MT"/>
        </w:rPr>
      </w:pPr>
    </w:p>
    <w:p w14:paraId="35A803EA" w14:textId="77777777" w:rsidR="00041256" w:rsidRPr="00B57A1B" w:rsidRDefault="00041256" w:rsidP="00041256">
      <w:pPr>
        <w:widowControl w:val="0"/>
        <w:autoSpaceDE w:val="0"/>
        <w:autoSpaceDN w:val="0"/>
        <w:spacing w:after="0" w:line="240" w:lineRule="auto"/>
        <w:ind w:left="709" w:right="709"/>
        <w:jc w:val="both"/>
        <w:rPr>
          <w:rFonts w:ascii="Verdana" w:eastAsia="Arial MT" w:hAnsi="Verdana" w:cs="Arial MT"/>
          <w:i/>
          <w:iCs/>
          <w:sz w:val="21"/>
          <w:szCs w:val="21"/>
        </w:rPr>
      </w:pPr>
      <w:r w:rsidRPr="00B57A1B">
        <w:rPr>
          <w:rFonts w:ascii="Verdana" w:eastAsia="Arial MT" w:hAnsi="Verdana" w:cs="Arial MT"/>
          <w:i/>
          <w:iCs/>
          <w:sz w:val="21"/>
          <w:szCs w:val="21"/>
        </w:rPr>
        <w:t xml:space="preserve">“La finalidad asociativa de los “convenios interadministrativos” previstos en el artículo 95 de la Ley 489 de 1998, en el plano de derecho público en el que se enmarcan, impide una aplicación automática del régimen contractual de los contratos estatales, imbuido por lo demás por las disposiciones civiles y comerciales, salvo las materias especialmente reguladas en el EGCAP. </w:t>
      </w:r>
    </w:p>
    <w:p w14:paraId="09AAE8D3" w14:textId="77777777" w:rsidR="00041256" w:rsidRPr="00B57A1B" w:rsidRDefault="00041256" w:rsidP="00041256">
      <w:pPr>
        <w:widowControl w:val="0"/>
        <w:autoSpaceDE w:val="0"/>
        <w:autoSpaceDN w:val="0"/>
        <w:spacing w:after="0" w:line="240" w:lineRule="auto"/>
        <w:ind w:left="709" w:right="709"/>
        <w:jc w:val="both"/>
        <w:rPr>
          <w:rFonts w:ascii="Verdana" w:eastAsia="Arial MT" w:hAnsi="Verdana" w:cs="Arial MT"/>
          <w:sz w:val="21"/>
          <w:szCs w:val="21"/>
        </w:rPr>
      </w:pPr>
    </w:p>
    <w:p w14:paraId="7CB29EB2" w14:textId="77777777" w:rsidR="00041256" w:rsidRPr="00B57A1B" w:rsidRDefault="00041256" w:rsidP="00041256">
      <w:pPr>
        <w:widowControl w:val="0"/>
        <w:autoSpaceDE w:val="0"/>
        <w:autoSpaceDN w:val="0"/>
        <w:spacing w:after="0" w:line="240" w:lineRule="auto"/>
        <w:ind w:left="709" w:right="709"/>
        <w:jc w:val="both"/>
        <w:rPr>
          <w:rFonts w:ascii="Verdana" w:eastAsia="Arial MT" w:hAnsi="Verdana" w:cs="Arial MT"/>
          <w:i/>
          <w:iCs/>
          <w:sz w:val="21"/>
          <w:szCs w:val="21"/>
        </w:rPr>
      </w:pPr>
      <w:r w:rsidRPr="00B57A1B">
        <w:rPr>
          <w:rFonts w:ascii="Verdana" w:eastAsia="Arial MT" w:hAnsi="Verdana" w:cs="Arial MT"/>
          <w:i/>
          <w:iCs/>
          <w:sz w:val="21"/>
          <w:szCs w:val="21"/>
        </w:rPr>
        <w:t xml:space="preserve">En ese sentido, más allá de la concurrencia de voluntades, se trata de la asunción de objetivos comunes orientados predominantemente por una finalidad de derecho público que, además de que justifica la existencia de dichos convenios, rebasa o excede el sentido tradicional del concepto de “contrato”, por lo que, en cuanto a la normativa aplicable se refiere y en el estado actual de las cosas, aquellos deben interpretarse de forma tal que la regulación del EGCAP y del derecho privado sea de aplicación supletoria, esto es, solo en la medida en que exista una verdadera laguna o falta de regulación normativa y/o convencional. </w:t>
      </w:r>
    </w:p>
    <w:p w14:paraId="6B7F0DC5" w14:textId="77777777" w:rsidR="00041256" w:rsidRPr="00B57A1B" w:rsidRDefault="00041256" w:rsidP="00041256">
      <w:pPr>
        <w:widowControl w:val="0"/>
        <w:autoSpaceDE w:val="0"/>
        <w:autoSpaceDN w:val="0"/>
        <w:spacing w:after="0" w:line="240" w:lineRule="auto"/>
        <w:ind w:left="709" w:right="709"/>
        <w:jc w:val="both"/>
        <w:rPr>
          <w:rFonts w:ascii="Verdana" w:eastAsia="Arial MT" w:hAnsi="Verdana" w:cs="Arial MT"/>
          <w:sz w:val="21"/>
          <w:szCs w:val="21"/>
        </w:rPr>
      </w:pPr>
    </w:p>
    <w:p w14:paraId="04402931" w14:textId="77777777" w:rsidR="00041256" w:rsidRPr="00B57A1B" w:rsidRDefault="00041256" w:rsidP="00041256">
      <w:pPr>
        <w:widowControl w:val="0"/>
        <w:autoSpaceDE w:val="0"/>
        <w:autoSpaceDN w:val="0"/>
        <w:spacing w:after="0" w:line="240" w:lineRule="auto"/>
        <w:ind w:left="709" w:right="709"/>
        <w:jc w:val="both"/>
        <w:rPr>
          <w:rFonts w:ascii="Verdana" w:eastAsia="Arial MT" w:hAnsi="Verdana" w:cs="Arial MT"/>
          <w:sz w:val="21"/>
          <w:szCs w:val="21"/>
          <w:lang w:val="es-ES"/>
        </w:rPr>
      </w:pPr>
      <w:r w:rsidRPr="00B57A1B">
        <w:rPr>
          <w:rFonts w:ascii="Verdana" w:eastAsia="Arial MT" w:hAnsi="Verdana" w:cs="Arial MT"/>
          <w:i/>
          <w:iCs/>
          <w:sz w:val="21"/>
          <w:szCs w:val="21"/>
        </w:rPr>
        <w:t>Además, de acuerdo con la Corte Constitucional, el diseño de las normas contenidas en el EGCAP primordialmente ha estado orientado por un criterio del “contrato estatal” como instrumento de aprovisionamiento de bienes y servicios por parte de los órganos públicos para la consecución de los fines del Estado, razón por la cual una aplicación irrestricta de las normas de dicho estatuto, así concebidas, frente a convenios que, según la Corte Constitucional, están ideados esencialmente para concretar la coordinación de las actuaciones entre las autoridades administrativas, conduciría a resultados que malogren y/o desincentiven la cooperación entre ellas, producto de las incompatibilidades que puedan presentarse”</w:t>
      </w:r>
      <w:r w:rsidRPr="00B57A1B">
        <w:rPr>
          <w:rFonts w:ascii="Verdana" w:eastAsia="Arial MT" w:hAnsi="Verdana" w:cs="Arial MT"/>
          <w:i/>
          <w:iCs/>
          <w:sz w:val="21"/>
          <w:szCs w:val="21"/>
          <w:vertAlign w:val="superscript"/>
        </w:rPr>
        <w:footnoteReference w:id="8"/>
      </w:r>
      <w:r w:rsidRPr="00B57A1B">
        <w:rPr>
          <w:rFonts w:ascii="Verdana" w:eastAsia="Arial MT" w:hAnsi="Verdana" w:cs="Arial MT"/>
          <w:i/>
          <w:iCs/>
          <w:sz w:val="21"/>
          <w:szCs w:val="21"/>
        </w:rPr>
        <w:t>.</w:t>
      </w:r>
    </w:p>
    <w:p w14:paraId="2C79028F" w14:textId="77777777" w:rsidR="00041256" w:rsidRPr="00B57A1B" w:rsidRDefault="00041256" w:rsidP="00041256">
      <w:pPr>
        <w:spacing w:after="0" w:line="276" w:lineRule="auto"/>
        <w:ind w:firstLine="708"/>
        <w:jc w:val="both"/>
        <w:rPr>
          <w:rFonts w:ascii="Verdana" w:eastAsiaTheme="minorEastAsia" w:hAnsi="Verdana" w:cs="Arial"/>
          <w:lang w:val="es-ES" w:eastAsia="es-CO"/>
        </w:rPr>
      </w:pPr>
    </w:p>
    <w:p w14:paraId="396405E9" w14:textId="77777777" w:rsidR="00041256" w:rsidRPr="00B57A1B" w:rsidRDefault="00041256" w:rsidP="00041256">
      <w:pPr>
        <w:spacing w:after="0" w:line="276" w:lineRule="auto"/>
        <w:ind w:firstLine="708"/>
        <w:jc w:val="both"/>
        <w:rPr>
          <w:rFonts w:ascii="Verdana" w:eastAsiaTheme="minorEastAsia" w:hAnsi="Verdana" w:cs="Arial"/>
          <w:lang w:eastAsia="es-CO"/>
        </w:rPr>
      </w:pPr>
      <w:r w:rsidRPr="00B57A1B">
        <w:rPr>
          <w:rFonts w:ascii="Verdana" w:eastAsiaTheme="minorEastAsia" w:hAnsi="Verdana" w:cs="Arial"/>
          <w:lang w:eastAsia="es-CO"/>
        </w:rPr>
        <w:lastRenderedPageBreak/>
        <w:t xml:space="preserve">Teniendo en cuenta, este entendimiento sobre los convenios </w:t>
      </w:r>
      <w:proofErr w:type="gramStart"/>
      <w:r w:rsidRPr="00B57A1B">
        <w:rPr>
          <w:rFonts w:ascii="Verdana" w:eastAsiaTheme="minorEastAsia" w:hAnsi="Verdana" w:cs="Arial"/>
          <w:lang w:eastAsia="es-CO"/>
        </w:rPr>
        <w:t>interadministrativos,</w:t>
      </w:r>
      <w:proofErr w:type="gramEnd"/>
      <w:r w:rsidRPr="00B57A1B">
        <w:rPr>
          <w:rFonts w:ascii="Verdana" w:eastAsiaTheme="minorEastAsia" w:hAnsi="Verdana" w:cs="Arial"/>
          <w:lang w:eastAsia="es-CO"/>
        </w:rPr>
        <w:t xml:space="preserve"> es necesario analizar la posibilidad de revisar o reajustar el valor del convenio, tema que se analizará en el próximo acápite, teniendo en cuenta el desarrollo jurisprudencial reciente del Consejo de Estado, en la que se ha expresado que dicho tipo contractual no le aplica la Ley 80 de 1993. </w:t>
      </w:r>
    </w:p>
    <w:p w14:paraId="4D438CF1" w14:textId="77777777" w:rsidR="00041256" w:rsidRPr="00B57A1B" w:rsidRDefault="00041256" w:rsidP="00041256">
      <w:pPr>
        <w:spacing w:after="120" w:line="276" w:lineRule="auto"/>
        <w:jc w:val="both"/>
        <w:rPr>
          <w:rFonts w:ascii="Verdana" w:eastAsiaTheme="minorEastAsia" w:hAnsi="Verdana" w:cs="Arial"/>
          <w:lang w:eastAsia="es-CO"/>
        </w:rPr>
      </w:pPr>
    </w:p>
    <w:p w14:paraId="3382D677" w14:textId="77777777" w:rsidR="00041256" w:rsidRPr="00B57A1B" w:rsidRDefault="00041256" w:rsidP="00041256">
      <w:pPr>
        <w:spacing w:after="0" w:line="276" w:lineRule="auto"/>
        <w:jc w:val="both"/>
        <w:rPr>
          <w:rFonts w:ascii="Verdana" w:eastAsia="Calibri" w:hAnsi="Verdana" w:cs="Arial"/>
          <w:color w:val="000000" w:themeColor="text1"/>
          <w:lang w:val="es-ES_tradnl"/>
        </w:rPr>
      </w:pPr>
      <w:proofErr w:type="spellStart"/>
      <w:r w:rsidRPr="00B57A1B">
        <w:rPr>
          <w:rFonts w:ascii="Verdana" w:eastAsiaTheme="minorEastAsia" w:hAnsi="Verdana" w:cs="Arial"/>
          <w:lang w:eastAsia="es-CO"/>
        </w:rPr>
        <w:t>ii</w:t>
      </w:r>
      <w:proofErr w:type="spellEnd"/>
      <w:r w:rsidRPr="00B57A1B">
        <w:rPr>
          <w:rFonts w:ascii="Verdana" w:eastAsiaTheme="minorEastAsia" w:hAnsi="Verdana" w:cs="Arial"/>
          <w:lang w:eastAsia="es-CO"/>
        </w:rPr>
        <w:t>.</w:t>
      </w:r>
      <w:r w:rsidRPr="00B57A1B">
        <w:rPr>
          <w:rFonts w:ascii="Verdana" w:eastAsia="Calibri" w:hAnsi="Verdana" w:cs="Arial"/>
          <w:lang w:val="es-ES"/>
        </w:rPr>
        <w:t xml:space="preserve"> </w:t>
      </w:r>
      <w:r w:rsidRPr="00B57A1B">
        <w:rPr>
          <w:rFonts w:ascii="Verdana" w:eastAsia="Calibri" w:hAnsi="Verdana" w:cs="Arial"/>
          <w:color w:val="000000" w:themeColor="text1"/>
          <w:lang w:val="es-ES_tradnl"/>
        </w:rPr>
        <w:t xml:space="preserve">Independientemente del régimen contractual aplicable, de acuerdo con la jurisprudencia del Consejo de Estado, la “administración delegada” se ha entendido, por lo menos, de dos maneras: i) como un mandato, es decir, como un negocio jurídico mediante el cual el contratista actúa en nombre y representación de la entidad contratante, y en contraprestación, la parte contratante delegante paga el costo real del objeto del contrato, adicionando un porcentaje por concepto de administración y utilidad del contratista; o </w:t>
      </w:r>
      <w:proofErr w:type="spellStart"/>
      <w:r w:rsidRPr="00B57A1B">
        <w:rPr>
          <w:rFonts w:ascii="Verdana" w:eastAsia="Calibri" w:hAnsi="Verdana" w:cs="Arial"/>
          <w:color w:val="000000" w:themeColor="text1"/>
          <w:lang w:val="es-ES_tradnl"/>
        </w:rPr>
        <w:t>ii</w:t>
      </w:r>
      <w:proofErr w:type="spellEnd"/>
      <w:r w:rsidRPr="00B57A1B">
        <w:rPr>
          <w:rFonts w:ascii="Verdana" w:eastAsia="Calibri" w:hAnsi="Verdana" w:cs="Arial"/>
          <w:color w:val="000000" w:themeColor="text1"/>
          <w:lang w:val="es-ES_tradnl"/>
        </w:rPr>
        <w:t>) como una modalidad de administración y pago, no necesariamente asociada al mandato. En un primer momento el Consejo de Estado, se refirió a la administración delegada como modalidad de pago en los contratos de obra pública, indicando que:</w:t>
      </w:r>
    </w:p>
    <w:p w14:paraId="3D6A4FB3" w14:textId="77777777" w:rsidR="00041256" w:rsidRPr="00B57A1B" w:rsidRDefault="00041256" w:rsidP="00041256">
      <w:pPr>
        <w:spacing w:after="0" w:line="276" w:lineRule="auto"/>
        <w:jc w:val="both"/>
        <w:rPr>
          <w:rFonts w:ascii="Verdana" w:eastAsia="Calibri" w:hAnsi="Verdana" w:cs="Arial"/>
          <w:color w:val="000000" w:themeColor="text1"/>
          <w:lang w:val="es-ES_tradnl"/>
        </w:rPr>
      </w:pPr>
    </w:p>
    <w:p w14:paraId="32804FE8" w14:textId="77777777" w:rsidR="00041256" w:rsidRPr="00B57A1B" w:rsidRDefault="00041256" w:rsidP="00041256">
      <w:pPr>
        <w:spacing w:after="120" w:line="240" w:lineRule="auto"/>
        <w:ind w:left="709" w:right="709"/>
        <w:jc w:val="both"/>
        <w:rPr>
          <w:rFonts w:ascii="Verdana" w:hAnsi="Verdana" w:cs="Arial"/>
          <w:color w:val="000000" w:themeColor="text1"/>
          <w:sz w:val="21"/>
          <w:szCs w:val="21"/>
          <w:lang w:val="es-ES_tradnl"/>
        </w:rPr>
      </w:pPr>
      <w:r w:rsidRPr="00B57A1B">
        <w:rPr>
          <w:rFonts w:ascii="Verdana" w:eastAsia="Calibri" w:hAnsi="Verdana" w:cs="Arial"/>
          <w:bCs/>
          <w:sz w:val="21"/>
          <w:szCs w:val="21"/>
        </w:rPr>
        <w:t>“</w:t>
      </w:r>
      <w:r w:rsidRPr="00B57A1B">
        <w:rPr>
          <w:rFonts w:ascii="Verdana" w:hAnsi="Verdana" w:cs="Arial"/>
          <w:color w:val="000000" w:themeColor="text1"/>
          <w:sz w:val="21"/>
          <w:szCs w:val="21"/>
          <w:lang w:val="es-ES_tradnl"/>
        </w:rPr>
        <w:t xml:space="preserve">El contrato de obra pública por administración delegada no constituye una figura nueva en el derecho colombiano como que de él ya se ocupaba tanto el artículo 85 del decreto 150 de 1976, como los artículos 90 a 100 del decreto 222 de 1983. Este negocio jurídico es entendido como aquel en el que el contratista, por cuenta y riesgo de la entidad pública contratante se encarga de la ejecución del objeto convenido, o lo que es igual, bajo este sistema el contratista actúa a nombre y por cuenta del contratante delegante. </w:t>
      </w:r>
    </w:p>
    <w:p w14:paraId="7F8654DD" w14:textId="77777777" w:rsidR="00041256" w:rsidRPr="00B57A1B" w:rsidRDefault="00041256" w:rsidP="00041256">
      <w:pPr>
        <w:spacing w:after="0" w:line="240" w:lineRule="auto"/>
        <w:ind w:left="709" w:right="709"/>
        <w:jc w:val="both"/>
        <w:rPr>
          <w:rFonts w:ascii="Verdana" w:hAnsi="Verdana" w:cs="Arial"/>
          <w:color w:val="000000" w:themeColor="text1"/>
          <w:sz w:val="21"/>
          <w:szCs w:val="21"/>
          <w:lang w:val="es-ES_tradnl"/>
        </w:rPr>
      </w:pPr>
      <w:r w:rsidRPr="00B57A1B">
        <w:rPr>
          <w:rFonts w:ascii="Verdana" w:hAnsi="Verdana" w:cs="Arial"/>
          <w:color w:val="000000" w:themeColor="text1"/>
          <w:sz w:val="21"/>
          <w:szCs w:val="21"/>
          <w:lang w:val="es-ES_tradnl"/>
        </w:rPr>
        <w:t>Bajo este sistema la administración paga el costo real de la obra, más determinado porcentaje como retribución al contratista por concepto de honorarios de administración (en los que se incluyen costos de personal, oficinas, vehículos, desplazamientos etc.) y la utilidad</w:t>
      </w:r>
      <w:r w:rsidRPr="00B57A1B">
        <w:rPr>
          <w:rFonts w:ascii="Verdana" w:eastAsia="Calibri" w:hAnsi="Verdana" w:cs="Arial"/>
          <w:bCs/>
          <w:iCs/>
          <w:sz w:val="21"/>
          <w:szCs w:val="21"/>
        </w:rPr>
        <w:t>”</w:t>
      </w:r>
      <w:r w:rsidRPr="00B57A1B">
        <w:rPr>
          <w:rFonts w:ascii="Verdana" w:hAnsi="Verdana" w:cs="Arial"/>
          <w:color w:val="000000" w:themeColor="text1"/>
          <w:sz w:val="21"/>
          <w:szCs w:val="21"/>
          <w:vertAlign w:val="superscript"/>
          <w:lang w:val="es-ES_tradnl"/>
        </w:rPr>
        <w:footnoteReference w:id="9"/>
      </w:r>
      <w:r w:rsidRPr="00B57A1B">
        <w:rPr>
          <w:rFonts w:ascii="Verdana" w:eastAsia="Calibri" w:hAnsi="Verdana" w:cs="Arial"/>
          <w:bCs/>
          <w:iCs/>
          <w:sz w:val="21"/>
          <w:szCs w:val="21"/>
        </w:rPr>
        <w:t>.</w:t>
      </w:r>
      <w:r w:rsidRPr="00B57A1B">
        <w:rPr>
          <w:rFonts w:ascii="Verdana" w:hAnsi="Verdana" w:cs="Arial"/>
          <w:color w:val="000000" w:themeColor="text1"/>
          <w:sz w:val="21"/>
          <w:szCs w:val="21"/>
          <w:lang w:val="es-ES_tradnl"/>
        </w:rPr>
        <w:t xml:space="preserve"> </w:t>
      </w:r>
    </w:p>
    <w:p w14:paraId="5F729D77" w14:textId="77777777" w:rsidR="00041256" w:rsidRPr="00B57A1B" w:rsidRDefault="00041256" w:rsidP="00041256">
      <w:pPr>
        <w:spacing w:after="0" w:line="276" w:lineRule="auto"/>
        <w:ind w:firstLine="708"/>
        <w:jc w:val="both"/>
        <w:rPr>
          <w:rFonts w:ascii="Verdana" w:eastAsia="Calibri" w:hAnsi="Verdana" w:cs="Arial"/>
          <w:color w:val="000000" w:themeColor="text1"/>
          <w:lang w:val="es-ES_tradnl"/>
        </w:rPr>
      </w:pPr>
    </w:p>
    <w:p w14:paraId="4B0FCFBF" w14:textId="77777777" w:rsidR="00041256" w:rsidRPr="00B57A1B" w:rsidRDefault="00041256" w:rsidP="00041256">
      <w:pPr>
        <w:spacing w:after="0" w:line="276" w:lineRule="auto"/>
        <w:ind w:firstLine="708"/>
        <w:jc w:val="both"/>
        <w:rPr>
          <w:rFonts w:ascii="Verdana" w:hAnsi="Verdana" w:cs="Arial"/>
        </w:rPr>
      </w:pPr>
      <w:r w:rsidRPr="00B57A1B">
        <w:rPr>
          <w:rFonts w:ascii="Verdana" w:eastAsia="Calibri" w:hAnsi="Verdana" w:cs="Arial"/>
          <w:color w:val="000000" w:themeColor="text1"/>
          <w:lang w:val="es-ES_tradnl"/>
        </w:rPr>
        <w:t xml:space="preserve">Posteriormente, la Sección Cuarta del Consejo de Estado reiteró que la </w:t>
      </w:r>
      <w:r w:rsidRPr="00B57A1B">
        <w:rPr>
          <w:rFonts w:ascii="Verdana" w:hAnsi="Verdana" w:cs="Arial"/>
        </w:rPr>
        <w:t xml:space="preserve">referencia conceptual más descriptiva de los contratos de administración delegada es la que contenían los Estatutos de Contratación Pública contenida en los Decretos 1518 de 1965, 150 de 1976 y 222 de 1983, este último derogado por el artículo 81 de la Ley 80 de 1993, en el que la obra es ejecutada por cuenta </w:t>
      </w:r>
      <w:r w:rsidRPr="00B57A1B">
        <w:rPr>
          <w:rFonts w:ascii="Verdana" w:hAnsi="Verdana" w:cs="Arial"/>
        </w:rPr>
        <w:lastRenderedPageBreak/>
        <w:t xml:space="preserve">y riesgo de la entidad contratante, pero a través de un contratista que sólo es delegado o representante de aquélla, a cambio de unos honorarios previamente pactados, señalando que: </w:t>
      </w:r>
    </w:p>
    <w:p w14:paraId="38A1B358" w14:textId="77777777" w:rsidR="00041256" w:rsidRPr="00B57A1B" w:rsidRDefault="00041256" w:rsidP="00041256">
      <w:pPr>
        <w:spacing w:after="0" w:line="276" w:lineRule="auto"/>
        <w:ind w:firstLine="708"/>
        <w:jc w:val="both"/>
        <w:rPr>
          <w:rFonts w:ascii="Verdana" w:hAnsi="Verdana" w:cs="Arial"/>
        </w:rPr>
      </w:pPr>
    </w:p>
    <w:p w14:paraId="2E6A1275" w14:textId="77777777" w:rsidR="00041256" w:rsidRPr="00B57A1B" w:rsidRDefault="00041256" w:rsidP="00041256">
      <w:pPr>
        <w:spacing w:after="0" w:line="240" w:lineRule="auto"/>
        <w:ind w:left="709" w:right="709"/>
        <w:jc w:val="both"/>
        <w:rPr>
          <w:rFonts w:ascii="Verdana" w:hAnsi="Verdana" w:cs="Arial"/>
          <w:sz w:val="21"/>
          <w:szCs w:val="21"/>
        </w:rPr>
      </w:pPr>
      <w:r w:rsidRPr="00B57A1B">
        <w:rPr>
          <w:rFonts w:ascii="Verdana" w:eastAsia="Calibri" w:hAnsi="Verdana" w:cs="Arial"/>
          <w:bCs/>
          <w:sz w:val="21"/>
          <w:szCs w:val="21"/>
        </w:rPr>
        <w:t>“</w:t>
      </w:r>
      <w:r w:rsidRPr="00B57A1B">
        <w:rPr>
          <w:rFonts w:ascii="Verdana" w:hAnsi="Verdana" w:cs="Arial"/>
          <w:sz w:val="21"/>
          <w:szCs w:val="21"/>
        </w:rPr>
        <w:t>Como tal, el contrato abarca dos grupos de obligaciones principales, las  propias del contrato de ‘arrendamiento para la confección de una obra material’, regulado por los artículos 2053 a 2062 del Código Civil, cuyo objeto principal es la ejecución de la obra contratada dentro de las especificaciones y los plazos convenidos; y las que atañen a las relaciones establecidas entre el propietario y el constructor en lo que concierne a la administración de los fondos que deben invertirse para la ejecución de dicha obra, regidos por las normas del Código Civil que regulan el contrato de mandato (arts. 2142 a 2199), en cuanto no pugnen con las estipulaciones hechas por los contratantes y con las características especiales del contrato</w:t>
      </w:r>
      <w:r w:rsidRPr="00B57A1B">
        <w:rPr>
          <w:rFonts w:ascii="Verdana" w:eastAsia="Calibri" w:hAnsi="Verdana" w:cs="Arial"/>
          <w:bCs/>
          <w:iCs/>
          <w:sz w:val="21"/>
          <w:szCs w:val="21"/>
        </w:rPr>
        <w:t>”</w:t>
      </w:r>
      <w:r w:rsidRPr="00B57A1B">
        <w:rPr>
          <w:rFonts w:ascii="Verdana" w:eastAsia="Calibri" w:hAnsi="Verdana" w:cs="Arial"/>
          <w:color w:val="000000" w:themeColor="text1"/>
          <w:sz w:val="21"/>
          <w:szCs w:val="21"/>
          <w:vertAlign w:val="superscript"/>
          <w:lang w:val="es-ES_tradnl"/>
        </w:rPr>
        <w:footnoteReference w:id="10"/>
      </w:r>
      <w:r w:rsidRPr="00B57A1B">
        <w:rPr>
          <w:rFonts w:ascii="Verdana" w:eastAsia="Calibri" w:hAnsi="Verdana" w:cs="Arial"/>
          <w:bCs/>
          <w:iCs/>
          <w:sz w:val="21"/>
          <w:szCs w:val="21"/>
        </w:rPr>
        <w:t>.</w:t>
      </w:r>
    </w:p>
    <w:p w14:paraId="3652E407" w14:textId="77777777" w:rsidR="00041256" w:rsidRPr="00B57A1B" w:rsidRDefault="00041256" w:rsidP="00041256">
      <w:pPr>
        <w:spacing w:after="0" w:line="276" w:lineRule="auto"/>
        <w:ind w:firstLine="708"/>
        <w:jc w:val="both"/>
        <w:rPr>
          <w:rFonts w:ascii="Verdana" w:hAnsi="Verdana" w:cs="Arial"/>
        </w:rPr>
      </w:pPr>
    </w:p>
    <w:p w14:paraId="2502ABFF" w14:textId="77777777" w:rsidR="00041256" w:rsidRPr="00B57A1B" w:rsidRDefault="00041256" w:rsidP="00041256">
      <w:pPr>
        <w:spacing w:after="120" w:line="276" w:lineRule="auto"/>
        <w:ind w:firstLine="708"/>
        <w:jc w:val="both"/>
        <w:rPr>
          <w:rFonts w:ascii="Verdana" w:hAnsi="Verdana" w:cs="Arial"/>
          <w:color w:val="000000" w:themeColor="text1"/>
          <w:lang w:val="es-ES_tradnl"/>
        </w:rPr>
      </w:pPr>
      <w:r w:rsidRPr="00B57A1B">
        <w:rPr>
          <w:rFonts w:ascii="Verdana" w:hAnsi="Verdana" w:cs="Arial"/>
        </w:rPr>
        <w:t xml:space="preserve">En este punto, es importante resaltar que, </w:t>
      </w:r>
      <w:r w:rsidRPr="00B57A1B">
        <w:rPr>
          <w:rFonts w:ascii="Verdana" w:eastAsia="Arial" w:hAnsi="Verdana" w:cs="Arial"/>
          <w:lang w:val="es-ES"/>
        </w:rPr>
        <w:t xml:space="preserve">la forma de pactar la metodología de ejecución y el precio de las obras públicas en el marco de los contratos estatales, las partes pueden emplear distintos sistemas, como, por ejemplo, i) el “precio global” –en el que se paga “a mano alzada” el objeto del contrato–; </w:t>
      </w:r>
      <w:proofErr w:type="spellStart"/>
      <w:r w:rsidRPr="00B57A1B">
        <w:rPr>
          <w:rFonts w:ascii="Verdana" w:eastAsia="Arial" w:hAnsi="Verdana" w:cs="Arial"/>
          <w:lang w:val="es-ES"/>
        </w:rPr>
        <w:t>ii</w:t>
      </w:r>
      <w:proofErr w:type="spellEnd"/>
      <w:r w:rsidRPr="00B57A1B">
        <w:rPr>
          <w:rFonts w:ascii="Verdana" w:eastAsia="Arial" w:hAnsi="Verdana" w:cs="Arial"/>
          <w:lang w:val="es-ES"/>
        </w:rPr>
        <w:t xml:space="preserve">) los “precios unitarios” –en los cuales se suelen detallar los costos directos, diferenciándolos de los costos indirectos de administración (A), imprevistos (I) y utilidades (U)–, o </w:t>
      </w:r>
      <w:proofErr w:type="spellStart"/>
      <w:r w:rsidRPr="00B57A1B">
        <w:rPr>
          <w:rFonts w:ascii="Verdana" w:eastAsia="Arial" w:hAnsi="Verdana" w:cs="Arial"/>
          <w:lang w:val="es-ES"/>
        </w:rPr>
        <w:t>iii</w:t>
      </w:r>
      <w:proofErr w:type="spellEnd"/>
      <w:r w:rsidRPr="00B57A1B">
        <w:rPr>
          <w:rFonts w:ascii="Verdana" w:eastAsia="Arial" w:hAnsi="Verdana" w:cs="Arial"/>
          <w:lang w:val="es-ES"/>
        </w:rPr>
        <w:t>) la “administración delegada”, que consiste en la modalidad en virtud de la cual el contratista recibe unos recursos destinados a cubrir los costos de un determinado proyecto –siendo lo más común que se aplique en la ejecución de obras públicas– (recursos de inversión o entregados en administración), por cuya labor obtendrá, a título de pago, unos honorarios por la administración que</w:t>
      </w:r>
      <w:r w:rsidRPr="00B57A1B">
        <w:rPr>
          <w:rFonts w:ascii="Verdana" w:hAnsi="Verdana" w:cs="Arial"/>
          <w:color w:val="000000" w:themeColor="text1"/>
          <w:lang w:val="es-ES_tradnl"/>
        </w:rPr>
        <w:t xml:space="preserve"> se realiza por </w:t>
      </w:r>
      <w:r w:rsidRPr="00B57A1B">
        <w:rPr>
          <w:rFonts w:ascii="Verdana" w:eastAsia="Calibri" w:hAnsi="Verdana" w:cs="Arial"/>
          <w:bCs/>
        </w:rPr>
        <w:t>“</w:t>
      </w:r>
      <w:r w:rsidRPr="00B57A1B">
        <w:rPr>
          <w:rFonts w:ascii="Verdana" w:hAnsi="Verdana" w:cs="Arial"/>
          <w:color w:val="000000" w:themeColor="text1"/>
          <w:lang w:val="es-ES_tradnl"/>
        </w:rPr>
        <w:t>cuenta y riesgo del contratante</w:t>
      </w:r>
      <w:r w:rsidRPr="00B57A1B">
        <w:rPr>
          <w:rFonts w:ascii="Verdana" w:eastAsia="Calibri" w:hAnsi="Verdana" w:cs="Arial"/>
          <w:bCs/>
        </w:rPr>
        <w:t>”</w:t>
      </w:r>
      <w:r w:rsidRPr="00B57A1B">
        <w:rPr>
          <w:rFonts w:ascii="Verdana" w:hAnsi="Verdana" w:cs="Arial"/>
          <w:i/>
          <w:iCs/>
          <w:color w:val="000000" w:themeColor="text1"/>
          <w:lang w:val="es-ES_tradnl"/>
        </w:rPr>
        <w:t>,</w:t>
      </w:r>
      <w:r w:rsidRPr="00B57A1B">
        <w:rPr>
          <w:rFonts w:ascii="Verdana" w:hAnsi="Verdana" w:cs="Arial"/>
          <w:color w:val="000000" w:themeColor="text1"/>
          <w:lang w:val="es-ES_tradnl"/>
        </w:rPr>
        <w:t xml:space="preserve"> por lo cual coloca al contratista en la posición de un representante que no necesariamente contrae obligaciones a nombre propio sino del contratante.</w:t>
      </w:r>
    </w:p>
    <w:p w14:paraId="728D2C1A" w14:textId="77777777" w:rsidR="00041256" w:rsidRPr="00B57A1B" w:rsidRDefault="00041256" w:rsidP="00041256">
      <w:pPr>
        <w:spacing w:after="120" w:line="276" w:lineRule="auto"/>
        <w:jc w:val="both"/>
        <w:rPr>
          <w:rFonts w:ascii="Verdana" w:eastAsia="Calibri" w:hAnsi="Verdana" w:cs="Arial"/>
          <w:color w:val="000000" w:themeColor="text1"/>
          <w:lang w:val="es-ES_tradnl"/>
        </w:rPr>
      </w:pPr>
      <w:r w:rsidRPr="00B57A1B">
        <w:rPr>
          <w:rFonts w:ascii="Verdana" w:eastAsia="Arial" w:hAnsi="Verdana" w:cs="Arial"/>
          <w:lang w:val="es-ES_tradnl"/>
        </w:rPr>
        <w:tab/>
        <w:t xml:space="preserve">No obstante, en la misma providencia de la </w:t>
      </w:r>
      <w:r w:rsidRPr="00B57A1B">
        <w:rPr>
          <w:rFonts w:ascii="Verdana" w:eastAsia="Calibri" w:hAnsi="Verdana" w:cs="Arial"/>
          <w:color w:val="000000" w:themeColor="text1"/>
          <w:lang w:val="es-ES_tradnl"/>
        </w:rPr>
        <w:t>Sección Cuarta de la Sala de lo Contencioso Administrativo del Consejo de Estado, previamente citada, se indicó también que la “administración delegada”</w:t>
      </w:r>
      <w:r w:rsidRPr="00B57A1B">
        <w:rPr>
          <w:rFonts w:ascii="Verdana" w:eastAsia="Arial" w:hAnsi="Verdana" w:cs="Arial"/>
          <w:lang w:val="es-ES"/>
        </w:rPr>
        <w:t xml:space="preserve"> comparte la misma esencia de la relación contractual propia del mandato, en el entendido de que el contratista representa, administra y gestiona el contrato. Por ello, el contratista recibe como valor del contrato los recursos de inversión o entregados en administración y los </w:t>
      </w:r>
      <w:r w:rsidRPr="00B57A1B">
        <w:rPr>
          <w:rFonts w:ascii="Verdana" w:eastAsia="Arial" w:hAnsi="Verdana" w:cs="Arial"/>
          <w:lang w:val="es-ES"/>
        </w:rPr>
        <w:lastRenderedPageBreak/>
        <w:t>honorarios, imponiéndosele, en virtud del principio de transparencia, el deber de identificar con claridad cada uno de estos valores y de rendirle cuentas a la entidad contratante, como a los órganos de control, si estos lo solicitan.</w:t>
      </w:r>
    </w:p>
    <w:p w14:paraId="2CE1D2D0" w14:textId="77777777" w:rsidR="00041256" w:rsidRPr="00B57A1B" w:rsidRDefault="00041256" w:rsidP="00041256">
      <w:pPr>
        <w:spacing w:after="120" w:line="276" w:lineRule="auto"/>
        <w:ind w:firstLine="708"/>
        <w:jc w:val="both"/>
        <w:rPr>
          <w:rFonts w:ascii="Verdana" w:eastAsia="Times New Roman" w:hAnsi="Verdana" w:cs="Arial"/>
          <w:lang w:eastAsia="es-ES"/>
        </w:rPr>
      </w:pPr>
      <w:r w:rsidRPr="00B57A1B">
        <w:rPr>
          <w:rFonts w:ascii="Verdana" w:eastAsia="Calibri" w:hAnsi="Verdana" w:cs="Arial"/>
          <w:lang w:val="es-ES_tradnl"/>
        </w:rPr>
        <w:t xml:space="preserve">Posteriormente, la Sala de Consulta y Servicio Civil del Consejo de Estado indicó que </w:t>
      </w:r>
      <w:r w:rsidRPr="00B57A1B">
        <w:rPr>
          <w:rFonts w:ascii="Verdana" w:eastAsia="Times New Roman" w:hAnsi="Verdana" w:cs="Arial"/>
          <w:lang w:eastAsia="es-ES"/>
        </w:rPr>
        <w:t>los contratos de administración delegada, se puede pactar la ejecución de un proyecto en su totalidad, donde la Entidad Estatal mantiene la titularidad de éste y de los dineros destinados para su ejecución, mientras que el contratista sólo los administra y ejecuta a cambio de una contraprestación, que cuando se entrega a título de pago, se desplaza al patrimonio del contratista sin ningún condicionamiento</w:t>
      </w:r>
      <w:r w:rsidRPr="00B57A1B">
        <w:rPr>
          <w:rFonts w:ascii="Verdana" w:eastAsia="Calibri" w:hAnsi="Verdana" w:cs="Arial"/>
          <w:vertAlign w:val="superscript"/>
          <w:lang w:val="es-ES_tradnl"/>
        </w:rPr>
        <w:footnoteReference w:id="11"/>
      </w:r>
      <w:r w:rsidRPr="00B57A1B">
        <w:rPr>
          <w:rFonts w:ascii="Verdana" w:eastAsia="Times New Roman" w:hAnsi="Verdana" w:cs="Arial"/>
          <w:lang w:eastAsia="es-ES"/>
        </w:rPr>
        <w:t xml:space="preserve">. </w:t>
      </w:r>
    </w:p>
    <w:p w14:paraId="6E6148A8" w14:textId="77777777" w:rsidR="00041256" w:rsidRPr="00B57A1B" w:rsidRDefault="00041256" w:rsidP="00041256">
      <w:pPr>
        <w:widowControl w:val="0"/>
        <w:tabs>
          <w:tab w:val="left" w:pos="0"/>
        </w:tabs>
        <w:autoSpaceDE w:val="0"/>
        <w:autoSpaceDN w:val="0"/>
        <w:spacing w:after="120" w:line="276" w:lineRule="auto"/>
        <w:jc w:val="both"/>
        <w:rPr>
          <w:rFonts w:ascii="Verdana" w:eastAsia="Arial" w:hAnsi="Verdana" w:cs="Arial"/>
          <w:bCs/>
          <w:lang w:val="es-ES"/>
        </w:rPr>
      </w:pPr>
      <w:r w:rsidRPr="00B57A1B">
        <w:rPr>
          <w:rFonts w:ascii="Verdana" w:eastAsia="Arial" w:hAnsi="Verdana" w:cs="Arial"/>
          <w:bCs/>
          <w:color w:val="4472C4" w:themeColor="accent1"/>
          <w:lang w:val="es-ES"/>
        </w:rPr>
        <w:tab/>
      </w:r>
      <w:r w:rsidRPr="00B57A1B">
        <w:rPr>
          <w:rFonts w:ascii="Verdana" w:eastAsia="Arial" w:hAnsi="Verdana" w:cs="Arial"/>
          <w:bCs/>
          <w:lang w:val="es-ES"/>
        </w:rPr>
        <w:t xml:space="preserve">Teniendo en cuenta que converge una nueva postura del Consejo de Estado sobre la noción de la </w:t>
      </w:r>
      <w:r w:rsidRPr="00B57A1B">
        <w:rPr>
          <w:rFonts w:ascii="Verdana" w:eastAsia="Calibri" w:hAnsi="Verdana" w:cs="Arial"/>
          <w:lang w:val="es-ES_tradnl"/>
        </w:rPr>
        <w:t>“administración delegada”</w:t>
      </w:r>
      <w:r w:rsidRPr="00B57A1B">
        <w:rPr>
          <w:rFonts w:ascii="Verdana" w:eastAsia="Arial" w:hAnsi="Verdana" w:cs="Arial"/>
          <w:bCs/>
          <w:lang w:val="es-ES"/>
        </w:rPr>
        <w:t>, es preciso citar la sentencia del 20 de noviembre de 2020, que reiteró que si bien las normas del mandato se integren al contenido del contrato de obra por administración delegada no quiere decir que el contratista obre en nombre y representación del contratante frente a terceros</w:t>
      </w:r>
      <w:r w:rsidRPr="00B57A1B">
        <w:rPr>
          <w:rFonts w:ascii="Verdana" w:eastAsia="Arial" w:hAnsi="Verdana" w:cs="Arial"/>
          <w:bCs/>
          <w:vertAlign w:val="superscript"/>
          <w:lang w:val="es-ES"/>
        </w:rPr>
        <w:footnoteReference w:id="12"/>
      </w:r>
      <w:r w:rsidRPr="00B57A1B">
        <w:rPr>
          <w:rFonts w:ascii="Verdana" w:eastAsia="Arial" w:hAnsi="Verdana" w:cs="Arial"/>
          <w:bCs/>
          <w:lang w:val="es-ES"/>
        </w:rPr>
        <w:t xml:space="preserve">. Sobre el tema, la providencia reiteró que la representación no es un elemento de la esencia de este negocio jurídico, como se deduce del artículo 2177 del Código Civil, que prescribe que el </w:t>
      </w:r>
      <w:r w:rsidRPr="00B57A1B">
        <w:rPr>
          <w:rFonts w:ascii="Verdana" w:eastAsia="Calibri" w:hAnsi="Verdana" w:cs="Arial"/>
          <w:lang w:val="es-ES_tradnl"/>
        </w:rPr>
        <w:t>“</w:t>
      </w:r>
      <w:r w:rsidRPr="00B57A1B">
        <w:rPr>
          <w:rFonts w:ascii="Verdana" w:eastAsia="Arial" w:hAnsi="Verdana" w:cs="Arial"/>
          <w:bCs/>
          <w:lang w:val="es-ES"/>
        </w:rPr>
        <w:t>mandatario puede, en el ejercicio de su cargo, contratar a su propio nombre, caso en el cual no obliga respecto de terceros al mandante</w:t>
      </w:r>
      <w:r w:rsidRPr="00B57A1B">
        <w:rPr>
          <w:rFonts w:ascii="Verdana" w:eastAsia="Calibri" w:hAnsi="Verdana" w:cs="Arial"/>
          <w:lang w:val="es-ES_tradnl"/>
        </w:rPr>
        <w:t>”</w:t>
      </w:r>
      <w:r w:rsidRPr="00B57A1B">
        <w:rPr>
          <w:rFonts w:ascii="Verdana" w:eastAsia="Arial" w:hAnsi="Verdana" w:cs="Arial"/>
          <w:bCs/>
          <w:lang w:val="es-ES"/>
        </w:rPr>
        <w:t xml:space="preserve">.  De igual forma, el inciso segundo del artículo 1262 del Código de Comercio también contempla que </w:t>
      </w:r>
      <w:r w:rsidRPr="00B57A1B">
        <w:rPr>
          <w:rFonts w:ascii="Verdana" w:eastAsia="Calibri" w:hAnsi="Verdana" w:cs="Arial"/>
          <w:lang w:val="es-ES_tradnl"/>
        </w:rPr>
        <w:t>“</w:t>
      </w:r>
      <w:r w:rsidRPr="00B57A1B">
        <w:rPr>
          <w:rFonts w:ascii="Verdana" w:eastAsia="Arial" w:hAnsi="Verdana" w:cs="Arial"/>
          <w:bCs/>
          <w:lang w:val="es-ES"/>
        </w:rPr>
        <w:t>el mandato puede conllevar o no la representación del mandante</w:t>
      </w:r>
      <w:r w:rsidRPr="00B57A1B">
        <w:rPr>
          <w:rFonts w:ascii="Verdana" w:eastAsia="Calibri" w:hAnsi="Verdana" w:cs="Arial"/>
          <w:lang w:val="es-ES_tradnl"/>
        </w:rPr>
        <w:t>”</w:t>
      </w:r>
      <w:r w:rsidRPr="00B57A1B">
        <w:rPr>
          <w:rFonts w:ascii="Verdana" w:eastAsia="Arial" w:hAnsi="Verdana" w:cs="Arial"/>
          <w:bCs/>
          <w:lang w:val="es-ES"/>
        </w:rPr>
        <w:t xml:space="preserve">. </w:t>
      </w:r>
    </w:p>
    <w:p w14:paraId="252D3FBB" w14:textId="77777777" w:rsidR="00041256" w:rsidRPr="00B57A1B" w:rsidRDefault="00041256" w:rsidP="00041256">
      <w:pPr>
        <w:spacing w:after="120" w:line="276" w:lineRule="auto"/>
        <w:ind w:firstLine="708"/>
        <w:jc w:val="both"/>
        <w:rPr>
          <w:rFonts w:ascii="Verdana" w:eastAsia="Times New Roman" w:hAnsi="Verdana" w:cs="Arial"/>
          <w:bCs/>
          <w:lang w:val="es-ES" w:eastAsia="es-ES"/>
        </w:rPr>
      </w:pPr>
      <w:r w:rsidRPr="00B57A1B">
        <w:rPr>
          <w:rFonts w:ascii="Verdana" w:eastAsia="Times New Roman" w:hAnsi="Verdana" w:cs="Arial"/>
          <w:bCs/>
          <w:lang w:val="es-ES" w:eastAsia="es-ES"/>
        </w:rPr>
        <w:t>En ese sentido, la providencia en cita indicó que el elemento esencial que se debe observar del contrato de mandato es que el mandatario obra por cuenta del mandante en cumplimiento de su gestión. Esto quiere decir que, los efectos patrimoniales de los actos que ejecute el mandatario en su administración se radican en cabeza del mandante siempre que no se exceda en los límites de su encargo, como se deduce de los artículos 2186 del Código Civil y 1266 del Código de Comercio</w:t>
      </w:r>
      <w:r w:rsidRPr="00B57A1B">
        <w:rPr>
          <w:rFonts w:ascii="Verdana" w:eastAsia="Times New Roman" w:hAnsi="Verdana" w:cs="Arial"/>
          <w:bCs/>
          <w:vertAlign w:val="superscript"/>
          <w:lang w:val="es-ES" w:eastAsia="es-ES"/>
        </w:rPr>
        <w:footnoteReference w:id="13"/>
      </w:r>
      <w:r w:rsidRPr="00B57A1B">
        <w:rPr>
          <w:rFonts w:ascii="Verdana" w:eastAsia="Times New Roman" w:hAnsi="Verdana" w:cs="Arial"/>
          <w:bCs/>
          <w:lang w:val="es-ES" w:eastAsia="es-ES"/>
        </w:rPr>
        <w:t xml:space="preserve">. </w:t>
      </w:r>
    </w:p>
    <w:p w14:paraId="53F2B596" w14:textId="77777777" w:rsidR="00041256" w:rsidRPr="00B57A1B" w:rsidRDefault="00041256" w:rsidP="00041256">
      <w:pPr>
        <w:spacing w:after="120" w:line="276" w:lineRule="auto"/>
        <w:ind w:firstLine="708"/>
        <w:jc w:val="both"/>
        <w:rPr>
          <w:rFonts w:ascii="Verdana" w:eastAsia="Times New Roman" w:hAnsi="Verdana" w:cs="Arial"/>
          <w:bCs/>
          <w:lang w:val="es-ES" w:eastAsia="es-ES"/>
        </w:rPr>
      </w:pPr>
      <w:r w:rsidRPr="00B57A1B">
        <w:rPr>
          <w:rFonts w:ascii="Verdana" w:eastAsia="Times New Roman" w:hAnsi="Verdana" w:cs="Arial"/>
          <w:bCs/>
          <w:lang w:val="es-ES" w:eastAsia="es-ES"/>
        </w:rPr>
        <w:lastRenderedPageBreak/>
        <w:t>Al respecto, la Corte Suprema de Justicia ha dicho que el mandato puede constituir representación o no, y que cuando las partes optan que se ejerza sin representación conlleva que “entre mandante y terceros no surjan vínculos jurídicos y carezcan, por ende, de legitimación para emprender acciones judiciales entre sí. No obstante, esto no quiere decir que el sustituido se mantenga totalmente al margen de la situación y que los resultados del negocio no lo alcancen: […] aunque obra frente a terceros en nombre propio, sigue haciéndolo por cuenta ajena, la del mandante, y a riesgo de éste, cual lo define el reseñado artículo 1262 del Código de Comercio, de modo que sobre su patrimonio habrán de recaer, en últimas, los resultados del acto”</w:t>
      </w:r>
      <w:r w:rsidRPr="00B57A1B">
        <w:rPr>
          <w:rFonts w:ascii="Verdana" w:eastAsia="Times New Roman" w:hAnsi="Verdana" w:cs="Arial"/>
          <w:bCs/>
          <w:vertAlign w:val="superscript"/>
          <w:lang w:val="es-ES" w:eastAsia="es-ES"/>
        </w:rPr>
        <w:footnoteReference w:id="14"/>
      </w:r>
      <w:r w:rsidRPr="00B57A1B">
        <w:rPr>
          <w:rFonts w:ascii="Verdana" w:eastAsia="Times New Roman" w:hAnsi="Verdana" w:cs="Arial"/>
          <w:bCs/>
          <w:lang w:val="es-ES" w:eastAsia="es-ES"/>
        </w:rPr>
        <w:t xml:space="preserve">. </w:t>
      </w:r>
    </w:p>
    <w:p w14:paraId="212D0E5D" w14:textId="77777777" w:rsidR="00041256" w:rsidRPr="00B57A1B" w:rsidRDefault="00041256" w:rsidP="00041256">
      <w:pPr>
        <w:spacing w:after="120" w:line="276" w:lineRule="auto"/>
        <w:ind w:firstLine="708"/>
        <w:jc w:val="both"/>
        <w:rPr>
          <w:rFonts w:ascii="Verdana" w:hAnsi="Verdana" w:cs="Arial"/>
          <w:lang w:val="es-ES"/>
        </w:rPr>
      </w:pPr>
      <w:r w:rsidRPr="00B57A1B">
        <w:rPr>
          <w:rFonts w:ascii="Verdana" w:eastAsia="Arial" w:hAnsi="Verdana" w:cs="Arial"/>
          <w:lang w:val="es-ES"/>
        </w:rPr>
        <w:t xml:space="preserve">Finalmente, </w:t>
      </w:r>
      <w:r w:rsidRPr="00B57A1B">
        <w:rPr>
          <w:rFonts w:ascii="Verdana" w:eastAsia="Times New Roman" w:hAnsi="Verdana" w:cs="Arial"/>
          <w:lang w:val="es-ES" w:eastAsia="es-CO"/>
        </w:rPr>
        <w:t>el Consejo de Estado en sentencia del 15 de octubre de 2021</w:t>
      </w:r>
      <w:r w:rsidRPr="00B57A1B">
        <w:rPr>
          <w:rFonts w:ascii="Verdana" w:eastAsia="Times New Roman" w:hAnsi="Verdana" w:cs="Arial"/>
          <w:vertAlign w:val="superscript"/>
          <w:lang w:val="es-ES" w:eastAsia="es-CO"/>
        </w:rPr>
        <w:footnoteReference w:id="15"/>
      </w:r>
      <w:r w:rsidRPr="00B57A1B">
        <w:rPr>
          <w:rFonts w:ascii="Verdana" w:eastAsia="Times New Roman" w:hAnsi="Verdana" w:cs="Arial"/>
          <w:lang w:val="es-ES" w:eastAsia="es-CO"/>
        </w:rPr>
        <w:t xml:space="preserve">, precisó que la  </w:t>
      </w:r>
      <w:r w:rsidRPr="00B57A1B">
        <w:rPr>
          <w:rFonts w:ascii="Verdana" w:eastAsia="Calibri" w:hAnsi="Verdana" w:cs="Arial"/>
          <w:lang w:val="es-ES_tradnl"/>
        </w:rPr>
        <w:t xml:space="preserve">“administración delegada” </w:t>
      </w:r>
      <w:r w:rsidRPr="00B57A1B">
        <w:rPr>
          <w:rFonts w:ascii="Verdana" w:eastAsia="Times New Roman" w:hAnsi="Verdana" w:cs="Arial"/>
          <w:lang w:val="es-ES" w:eastAsia="es-CO"/>
        </w:rPr>
        <w:t xml:space="preserve">involucra la realización o ejecución de la obra encomendada junto con la administración de los fondos, por lo que el administrador delegado ejerce las funciones propias de un intermediario al realizar su gestión por cuenta y riesgo del mandante, propietario de la obra, pero, a su vez, despliega las obligaciones propias del contrato de confección de obra material, cuyo objeto es la ejecución de la obra contratada dentro de las especificaciones y plazos convenidos. </w:t>
      </w:r>
    </w:p>
    <w:p w14:paraId="588CDB94" w14:textId="77777777" w:rsidR="00041256" w:rsidRPr="00B57A1B" w:rsidRDefault="00041256" w:rsidP="00041256">
      <w:pPr>
        <w:spacing w:after="120" w:line="276" w:lineRule="auto"/>
        <w:ind w:firstLine="709"/>
        <w:jc w:val="both"/>
        <w:rPr>
          <w:rFonts w:ascii="Verdana" w:eastAsia="Arial" w:hAnsi="Verdana" w:cs="Arial"/>
          <w:lang w:val="es-ES"/>
        </w:rPr>
      </w:pPr>
      <w:r w:rsidRPr="00B57A1B">
        <w:rPr>
          <w:rFonts w:ascii="Verdana" w:eastAsia="Calibri" w:hAnsi="Verdana" w:cs="Arial"/>
          <w:color w:val="000000" w:themeColor="text1"/>
          <w:lang w:val="es-ES_tradnl"/>
        </w:rPr>
        <w:t>En ese contexto, el artículo 40 de la Ley 80 de 1993 dispuso que podrán incluirse las modalidades, condiciones y, en general, las cláusulas o estipulaciones que las partes consideren necesarias y convenientes, de acuerdo con las normas civiles, comerciales, que correspondan a su esencia y naturaleza, siempre que no sean contrarias a la Constitución, la ley, el orden público y a los principios y finalidades de esta Ley y a los de la buena administración.</w:t>
      </w:r>
      <w:r w:rsidRPr="00B57A1B">
        <w:rPr>
          <w:rFonts w:ascii="Verdana" w:eastAsia="Calibri" w:hAnsi="Verdana" w:cs="Arial"/>
          <w:color w:val="000000" w:themeColor="text1"/>
        </w:rPr>
        <w:t xml:space="preserve"> </w:t>
      </w:r>
      <w:r w:rsidRPr="00B57A1B">
        <w:rPr>
          <w:rFonts w:ascii="Verdana" w:eastAsia="Arial" w:hAnsi="Verdana" w:cs="Arial"/>
          <w:lang w:val="es-ES"/>
        </w:rPr>
        <w:t xml:space="preserve">En consecuencia, el principio de autonomía de la voluntad de las partes, reconocido en los artículos 13, 32 y 40 de la Ley 80 de 1993, así como en el artículo 1602 del Código Civil, es viable que las Entidades Estatales celebren contratos en los que se pacte la administración delegada de los recursos, como forma de administración o modalidad de pago, incluso con o sin representación. </w:t>
      </w:r>
    </w:p>
    <w:p w14:paraId="2ED095C8" w14:textId="77777777" w:rsidR="00041256" w:rsidRDefault="00041256" w:rsidP="00041256">
      <w:pPr>
        <w:spacing w:after="120" w:line="276" w:lineRule="auto"/>
        <w:ind w:firstLine="709"/>
        <w:jc w:val="both"/>
        <w:rPr>
          <w:rFonts w:ascii="Verdana" w:eastAsia="Calibri" w:hAnsi="Verdana" w:cs="Arial"/>
          <w:color w:val="000000" w:themeColor="text1"/>
          <w:lang w:val="es-ES_tradnl"/>
        </w:rPr>
      </w:pPr>
      <w:r w:rsidRPr="00B57A1B">
        <w:rPr>
          <w:rFonts w:ascii="Verdana" w:eastAsia="Calibri" w:hAnsi="Verdana" w:cs="Arial"/>
          <w:color w:val="000000" w:themeColor="text1"/>
          <w:lang w:val="es-ES_tradnl"/>
        </w:rPr>
        <w:t xml:space="preserve">En </w:t>
      </w:r>
      <w:r>
        <w:rPr>
          <w:rFonts w:ascii="Verdana" w:eastAsia="Calibri" w:hAnsi="Verdana" w:cs="Arial"/>
          <w:color w:val="000000" w:themeColor="text1"/>
          <w:lang w:val="es-ES_tradnl"/>
        </w:rPr>
        <w:t xml:space="preserve">el caso de </w:t>
      </w:r>
      <w:r w:rsidRPr="00B57A1B">
        <w:rPr>
          <w:rFonts w:ascii="Verdana" w:eastAsia="Calibri" w:hAnsi="Verdana" w:cs="Arial"/>
          <w:color w:val="000000" w:themeColor="text1"/>
          <w:lang w:val="es-ES_tradnl"/>
        </w:rPr>
        <w:t>los convenios interadministrativos</w:t>
      </w:r>
      <w:r>
        <w:rPr>
          <w:rFonts w:ascii="Verdana" w:eastAsia="Calibri" w:hAnsi="Verdana" w:cs="Arial"/>
          <w:color w:val="000000" w:themeColor="text1"/>
          <w:lang w:val="es-ES_tradnl"/>
        </w:rPr>
        <w:t xml:space="preserve"> es importante precisar que, si bien no hay aplicación automática del Estatuto General de Contratación de la Administración, no significa que en el marco de la autonomía de la voluntad no se estipulen diferentes formas de vinculación de las partes, donde pueden </w:t>
      </w:r>
      <w:r>
        <w:rPr>
          <w:rFonts w:ascii="Verdana" w:eastAsia="Calibri" w:hAnsi="Verdana" w:cs="Arial"/>
          <w:color w:val="000000" w:themeColor="text1"/>
          <w:lang w:val="es-ES_tradnl"/>
        </w:rPr>
        <w:lastRenderedPageBreak/>
        <w:t xml:space="preserve">configurar condiciones y cláusulas de mandatos con o sin representación bajo la forma de una administración delegada. En este aspecto, puede estipularse que </w:t>
      </w:r>
      <w:r w:rsidRPr="00B57A1B">
        <w:rPr>
          <w:rFonts w:ascii="Verdana" w:eastAsia="Calibri" w:hAnsi="Verdana" w:cs="Arial"/>
          <w:color w:val="000000" w:themeColor="text1"/>
          <w:lang w:val="es-ES_tradnl"/>
        </w:rPr>
        <w:t xml:space="preserve">una de las entidades cooperantes actué como la ejecutora de las principales obligaciones del convenio. En este caso, una de las entidades cooperantes puede encargarse de </w:t>
      </w:r>
      <w:r>
        <w:rPr>
          <w:rFonts w:ascii="Verdana" w:eastAsia="Calibri" w:hAnsi="Verdana" w:cs="Arial"/>
          <w:color w:val="000000" w:themeColor="text1"/>
          <w:lang w:val="es-ES_tradnl"/>
        </w:rPr>
        <w:t xml:space="preserve">la administración y ejecución del convenio, sin que pueda estipularse categorías conceptuales como la utilidad o costos por concepto de pago de honorarios.  </w:t>
      </w:r>
    </w:p>
    <w:p w14:paraId="130EEB68" w14:textId="77777777" w:rsidR="00041256" w:rsidRPr="00FC0901" w:rsidRDefault="00041256" w:rsidP="00041256">
      <w:pPr>
        <w:spacing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lang w:val="es-ES_tradnl"/>
        </w:rPr>
        <w:t xml:space="preserve">En los convenios interadministrativos bajo la forma de una administración delegada como mandato pueden incluirse </w:t>
      </w:r>
      <w:r>
        <w:rPr>
          <w:rFonts w:ascii="Verdana" w:eastAsia="Calibri" w:hAnsi="Verdana" w:cs="Arial"/>
          <w:color w:val="000000" w:themeColor="text1"/>
          <w:lang w:val="es-ES"/>
        </w:rPr>
        <w:t>los costos directos y</w:t>
      </w:r>
      <w:r w:rsidRPr="00AF3B7F">
        <w:rPr>
          <w:rFonts w:ascii="Verdana" w:eastAsia="Calibri" w:hAnsi="Verdana" w:cs="Arial"/>
          <w:color w:val="000000" w:themeColor="text1"/>
          <w:lang w:val="es-ES"/>
        </w:rPr>
        <w:t xml:space="preserve"> los costos administrativos</w:t>
      </w:r>
      <w:r>
        <w:rPr>
          <w:rFonts w:ascii="Verdana" w:eastAsia="Calibri" w:hAnsi="Verdana" w:cs="Arial"/>
          <w:color w:val="000000" w:themeColor="text1"/>
          <w:lang w:val="es-ES_tradnl"/>
        </w:rPr>
        <w:t xml:space="preserve">, que son aquellos </w:t>
      </w:r>
      <w:r w:rsidRPr="00AF3B7F">
        <w:rPr>
          <w:rFonts w:ascii="Verdana" w:eastAsia="Calibri" w:hAnsi="Verdana" w:cs="Arial"/>
          <w:color w:val="000000" w:themeColor="text1"/>
        </w:rPr>
        <w:t xml:space="preserve">gastos que </w:t>
      </w:r>
      <w:r>
        <w:rPr>
          <w:rFonts w:ascii="Verdana" w:eastAsia="Calibri" w:hAnsi="Verdana" w:cs="Arial"/>
          <w:color w:val="000000" w:themeColor="text1"/>
        </w:rPr>
        <w:t xml:space="preserve">están </w:t>
      </w:r>
      <w:r w:rsidRPr="00AF3B7F">
        <w:rPr>
          <w:rFonts w:ascii="Verdana" w:eastAsia="Calibri" w:hAnsi="Verdana" w:cs="Arial"/>
          <w:color w:val="000000" w:themeColor="text1"/>
        </w:rPr>
        <w:t xml:space="preserve">directamente relacionados con la gestión, seguimiento y administración del convenio. </w:t>
      </w:r>
      <w:r w:rsidRPr="00FC0901">
        <w:rPr>
          <w:rFonts w:ascii="Verdana" w:eastAsia="Calibri" w:hAnsi="Verdana" w:cs="Arial"/>
          <w:color w:val="000000" w:themeColor="text1"/>
        </w:rPr>
        <w:t xml:space="preserve">De esta manera, si los costos de honorarios de un contador, así como los costos de legalización e impuestos </w:t>
      </w:r>
      <w:r>
        <w:rPr>
          <w:rFonts w:ascii="Verdana" w:eastAsia="Calibri" w:hAnsi="Verdana" w:cs="Arial"/>
          <w:color w:val="000000" w:themeColor="text1"/>
        </w:rPr>
        <w:t>están vinculados</w:t>
      </w:r>
      <w:r w:rsidRPr="00FC0901">
        <w:rPr>
          <w:rFonts w:ascii="Verdana" w:eastAsia="Calibri" w:hAnsi="Verdana" w:cs="Arial"/>
          <w:color w:val="000000" w:themeColor="text1"/>
        </w:rPr>
        <w:t xml:space="preserve"> con la ejecución del convenio, podrían incluirse dentro del ru</w:t>
      </w:r>
      <w:r>
        <w:rPr>
          <w:rFonts w:ascii="Verdana" w:eastAsia="Calibri" w:hAnsi="Verdana" w:cs="Arial"/>
          <w:color w:val="000000" w:themeColor="text1"/>
        </w:rPr>
        <w:t>bro de costos administrativos</w:t>
      </w:r>
      <w:r w:rsidRPr="00FC0901">
        <w:rPr>
          <w:rFonts w:ascii="Verdana" w:eastAsia="Calibri" w:hAnsi="Verdana" w:cs="Arial"/>
          <w:color w:val="000000" w:themeColor="text1"/>
        </w:rPr>
        <w:t>.</w:t>
      </w:r>
      <w:r>
        <w:rPr>
          <w:rFonts w:ascii="Verdana" w:eastAsia="Calibri" w:hAnsi="Verdana" w:cs="Arial"/>
          <w:color w:val="000000" w:themeColor="text1"/>
        </w:rPr>
        <w:t xml:space="preserve"> </w:t>
      </w:r>
      <w:r w:rsidRPr="00FC0901">
        <w:rPr>
          <w:rFonts w:ascii="Verdana" w:eastAsia="Calibri" w:hAnsi="Verdana" w:cs="Arial"/>
          <w:color w:val="000000" w:themeColor="text1"/>
        </w:rPr>
        <w:t xml:space="preserve">Estos costos deberán incluirse en el ejercicio de planeación que realice </w:t>
      </w:r>
      <w:r>
        <w:rPr>
          <w:rFonts w:ascii="Verdana" w:eastAsia="Calibri" w:hAnsi="Verdana" w:cs="Arial"/>
          <w:color w:val="000000" w:themeColor="text1"/>
        </w:rPr>
        <w:t xml:space="preserve">las entidades cooperantes </w:t>
      </w:r>
      <w:r w:rsidRPr="00FC0901">
        <w:rPr>
          <w:rFonts w:ascii="Verdana" w:eastAsia="Calibri" w:hAnsi="Verdana" w:cs="Arial"/>
          <w:color w:val="000000" w:themeColor="text1"/>
        </w:rPr>
        <w:t>y estar debidamente justificados.</w:t>
      </w:r>
    </w:p>
    <w:p w14:paraId="3E69AEC7" w14:textId="77777777" w:rsidR="00041256" w:rsidRPr="00B57A1B" w:rsidRDefault="00041256" w:rsidP="00041256">
      <w:pPr>
        <w:spacing w:after="120" w:line="276" w:lineRule="auto"/>
        <w:ind w:firstLine="709"/>
        <w:jc w:val="both"/>
        <w:rPr>
          <w:rFonts w:ascii="Verdana" w:eastAsia="Calibri" w:hAnsi="Verdana" w:cs="Arial"/>
          <w:color w:val="000000" w:themeColor="text1"/>
          <w:lang w:val="es-ES_tradnl"/>
        </w:rPr>
      </w:pPr>
      <w:r w:rsidRPr="00AF3B7F">
        <w:rPr>
          <w:rFonts w:ascii="Verdana" w:eastAsia="Calibri" w:hAnsi="Verdana" w:cs="Arial"/>
          <w:color w:val="000000" w:themeColor="text1"/>
        </w:rPr>
        <w:t>D</w:t>
      </w:r>
      <w:r>
        <w:rPr>
          <w:rFonts w:ascii="Verdana" w:eastAsia="Calibri" w:hAnsi="Verdana" w:cs="Arial"/>
          <w:color w:val="000000" w:themeColor="text1"/>
        </w:rPr>
        <w:t xml:space="preserve">e esta forma, puede estipularse en el marco del convenio interadministrativo diferentes aspectos a resaltar: i) los aportes en dinero o en especie de las entidades cooperantes; </w:t>
      </w:r>
      <w:proofErr w:type="spellStart"/>
      <w:r>
        <w:rPr>
          <w:rFonts w:ascii="Verdana" w:eastAsia="Calibri" w:hAnsi="Verdana" w:cs="Arial"/>
          <w:color w:val="000000" w:themeColor="text1"/>
        </w:rPr>
        <w:t>ii</w:t>
      </w:r>
      <w:proofErr w:type="spellEnd"/>
      <w:r>
        <w:rPr>
          <w:rFonts w:ascii="Verdana" w:eastAsia="Calibri" w:hAnsi="Verdana" w:cs="Arial"/>
          <w:color w:val="000000" w:themeColor="text1"/>
        </w:rPr>
        <w:t xml:space="preserve">) el valor del convenio; </w:t>
      </w:r>
      <w:proofErr w:type="spellStart"/>
      <w:r>
        <w:rPr>
          <w:rFonts w:ascii="Verdana" w:eastAsia="Calibri" w:hAnsi="Verdana" w:cs="Arial"/>
          <w:color w:val="000000" w:themeColor="text1"/>
        </w:rPr>
        <w:t>iii</w:t>
      </w:r>
      <w:proofErr w:type="spellEnd"/>
      <w:r>
        <w:rPr>
          <w:rFonts w:ascii="Verdana" w:eastAsia="Calibri" w:hAnsi="Verdana" w:cs="Arial"/>
          <w:color w:val="000000" w:themeColor="text1"/>
        </w:rPr>
        <w:t xml:space="preserve">) la entidad o entidades ejecutoras del convenio; </w:t>
      </w:r>
      <w:proofErr w:type="spellStart"/>
      <w:r>
        <w:rPr>
          <w:rFonts w:ascii="Verdana" w:eastAsia="Calibri" w:hAnsi="Verdana" w:cs="Arial"/>
          <w:color w:val="000000" w:themeColor="text1"/>
        </w:rPr>
        <w:t>iii</w:t>
      </w:r>
      <w:proofErr w:type="spellEnd"/>
      <w:r>
        <w:rPr>
          <w:rFonts w:ascii="Verdana" w:eastAsia="Calibri" w:hAnsi="Verdana" w:cs="Arial"/>
          <w:color w:val="000000" w:themeColor="text1"/>
        </w:rPr>
        <w:t xml:space="preserve">) los costos directos y costos administrativos propios del convenio, así como otras formas que se requieren para la ejecución del convenio. </w:t>
      </w:r>
      <w:r>
        <w:rPr>
          <w:rFonts w:ascii="Verdana" w:eastAsia="Calibri" w:hAnsi="Verdana" w:cs="Arial"/>
          <w:color w:val="000000" w:themeColor="text1"/>
          <w:lang w:val="es-ES_tradnl"/>
        </w:rPr>
        <w:t xml:space="preserve">En esta línea, pueden estipularse convenios interadministrativos bajo la forma de una administración delegada sin el pacto de costos por concepto de honorarios, donde la entidad como actúa como administradora y ejecutora del convenio. A </w:t>
      </w:r>
      <w:r w:rsidRPr="00B57A1B">
        <w:rPr>
          <w:rFonts w:ascii="Verdana" w:eastAsia="Calibri" w:hAnsi="Verdana" w:cs="Arial"/>
          <w:color w:val="000000" w:themeColor="text1"/>
          <w:lang w:val="es-ES_tradnl"/>
        </w:rPr>
        <w:t xml:space="preserve">diferencia de los contratos </w:t>
      </w:r>
      <w:r w:rsidRPr="00B57A1B">
        <w:rPr>
          <w:rFonts w:ascii="Verdana" w:eastAsia="Arial MT" w:hAnsi="Verdana" w:cs="Arial MT"/>
        </w:rPr>
        <w:t>interadministrativos, en tanto negocios jurídicos típicamente conmutativos, su valor está determinado por el precio al que equivale la contraprestación a recibir por la entidad contratista, a cambio del suministro del bien, obra o servicio requerido por la entidad contratante, como puede ocurrir cuando se pacte por administración delegada</w:t>
      </w:r>
      <w:r w:rsidRPr="00B57A1B">
        <w:rPr>
          <w:rFonts w:ascii="Verdana" w:eastAsia="Calibri" w:hAnsi="Verdana" w:cs="Arial"/>
          <w:color w:val="000000" w:themeColor="text1"/>
          <w:lang w:val="es-ES_tradnl"/>
        </w:rPr>
        <w:t xml:space="preserve">. De este modo, el contrato interadministrativo puede estipularse como administración o modalidad de pago, con o sin representación.  </w:t>
      </w:r>
    </w:p>
    <w:p w14:paraId="7762D265" w14:textId="77777777" w:rsidR="00041256" w:rsidRPr="00B57A1B" w:rsidRDefault="00041256" w:rsidP="00041256">
      <w:pPr>
        <w:widowControl w:val="0"/>
        <w:autoSpaceDE w:val="0"/>
        <w:autoSpaceDN w:val="0"/>
        <w:spacing w:after="120" w:line="276" w:lineRule="auto"/>
        <w:ind w:firstLine="708"/>
        <w:jc w:val="both"/>
        <w:rPr>
          <w:rFonts w:ascii="Verdana" w:eastAsia="Calibri" w:hAnsi="Verdana" w:cs="Arial"/>
        </w:rPr>
      </w:pPr>
      <w:r w:rsidRPr="00B57A1B">
        <w:rPr>
          <w:rFonts w:ascii="Verdana" w:eastAsia="Calibri" w:hAnsi="Verdana" w:cs="Arial"/>
        </w:rPr>
        <w:t>En todo caso, las afirmaciones aquí realizadas no pueden interpretarse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252E5F2F" w14:textId="77777777" w:rsidR="00041256" w:rsidRPr="00B57A1B" w:rsidRDefault="00041256" w:rsidP="00041256">
      <w:pPr>
        <w:widowControl w:val="0"/>
        <w:autoSpaceDE w:val="0"/>
        <w:autoSpaceDN w:val="0"/>
        <w:spacing w:after="0" w:line="276" w:lineRule="auto"/>
        <w:ind w:firstLine="709"/>
        <w:jc w:val="both"/>
        <w:rPr>
          <w:rFonts w:ascii="Verdana" w:eastAsia="Calibri" w:hAnsi="Verdana" w:cs="Arial"/>
        </w:rPr>
      </w:pPr>
      <w:r w:rsidRPr="00B57A1B">
        <w:rPr>
          <w:rFonts w:ascii="Verdana" w:eastAsia="Calibri" w:hAnsi="Verdana" w:cs="Arial"/>
        </w:rPr>
        <w:lastRenderedPageBreak/>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bookmarkEnd w:id="1"/>
    <w:p w14:paraId="7F065687" w14:textId="77777777" w:rsidR="00041256" w:rsidRPr="00B57A1B" w:rsidRDefault="00041256" w:rsidP="00041256">
      <w:pPr>
        <w:spacing w:after="0" w:line="276" w:lineRule="auto"/>
        <w:jc w:val="both"/>
        <w:rPr>
          <w:rFonts w:ascii="Verdana" w:eastAsia="Calibri" w:hAnsi="Verdana" w:cs="Arial"/>
          <w:lang w:eastAsia="es-MX"/>
        </w:rPr>
      </w:pPr>
    </w:p>
    <w:p w14:paraId="31326BAF" w14:textId="77777777" w:rsidR="00041256" w:rsidRPr="00B57A1B" w:rsidRDefault="00041256" w:rsidP="00041256">
      <w:pPr>
        <w:numPr>
          <w:ilvl w:val="0"/>
          <w:numId w:val="19"/>
        </w:numPr>
        <w:tabs>
          <w:tab w:val="left" w:pos="142"/>
          <w:tab w:val="left" w:pos="284"/>
        </w:tabs>
        <w:spacing w:after="0" w:line="276" w:lineRule="auto"/>
        <w:contextualSpacing/>
        <w:jc w:val="both"/>
        <w:rPr>
          <w:rFonts w:ascii="Verdana" w:eastAsia="Century Gothic" w:hAnsi="Verdana" w:cs="Century Gothic"/>
          <w:b/>
          <w:bCs/>
          <w:lang w:val="es-ES"/>
        </w:rPr>
      </w:pPr>
      <w:r w:rsidRPr="00B57A1B">
        <w:rPr>
          <w:rFonts w:ascii="Verdana" w:eastAsia="Century Gothic" w:hAnsi="Verdana" w:cs="Century Gothic"/>
          <w:b/>
          <w:bCs/>
          <w:lang w:val="es-ES"/>
        </w:rPr>
        <w:t xml:space="preserve">Referencias normativas, jurisprudenciales y otras fuentes </w:t>
      </w:r>
    </w:p>
    <w:p w14:paraId="7659EF1D" w14:textId="77777777" w:rsidR="00041256" w:rsidRPr="00B57A1B" w:rsidRDefault="00041256" w:rsidP="00041256">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041256" w:rsidRPr="00B57A1B" w14:paraId="5AC477D3" w14:textId="77777777" w:rsidTr="00A21520">
        <w:trPr>
          <w:trHeight w:val="487"/>
          <w:jc w:val="center"/>
        </w:trPr>
        <w:tc>
          <w:tcPr>
            <w:tcW w:w="8647" w:type="dxa"/>
          </w:tcPr>
          <w:p w14:paraId="733723DE" w14:textId="77777777" w:rsidR="00041256" w:rsidRPr="00B57A1B" w:rsidRDefault="00041256" w:rsidP="00041256">
            <w:pPr>
              <w:widowControl w:val="0"/>
              <w:numPr>
                <w:ilvl w:val="0"/>
                <w:numId w:val="20"/>
              </w:numPr>
              <w:autoSpaceDE w:val="0"/>
              <w:autoSpaceDN w:val="0"/>
              <w:spacing w:before="120" w:after="120" w:line="276" w:lineRule="auto"/>
              <w:ind w:left="714" w:hanging="357"/>
              <w:jc w:val="both"/>
              <w:rPr>
                <w:rFonts w:ascii="Verdana" w:eastAsia="Arial MT" w:hAnsi="Verdana" w:cs="Arial"/>
                <w:lang w:val="es-ES" w:eastAsia="es-ES" w:bidi="es-ES"/>
              </w:rPr>
            </w:pPr>
            <w:r w:rsidRPr="00B57A1B">
              <w:rPr>
                <w:rFonts w:ascii="Verdana" w:eastAsia="Arial MT" w:hAnsi="Verdana" w:cs="Arial"/>
                <w:lang w:val="es-ES" w:eastAsia="es-ES" w:bidi="es-ES"/>
              </w:rPr>
              <w:t xml:space="preserve">Código Civil, artículo 1602. </w:t>
            </w:r>
          </w:p>
          <w:p w14:paraId="2567F110" w14:textId="77777777" w:rsidR="00041256" w:rsidRPr="00B57A1B" w:rsidRDefault="00041256" w:rsidP="00041256">
            <w:pPr>
              <w:widowControl w:val="0"/>
              <w:numPr>
                <w:ilvl w:val="0"/>
                <w:numId w:val="20"/>
              </w:numPr>
              <w:autoSpaceDE w:val="0"/>
              <w:autoSpaceDN w:val="0"/>
              <w:spacing w:before="120" w:after="120" w:line="276" w:lineRule="auto"/>
              <w:ind w:left="714" w:hanging="357"/>
              <w:jc w:val="both"/>
              <w:rPr>
                <w:rFonts w:ascii="Verdana" w:eastAsia="Arial MT" w:hAnsi="Verdana" w:cs="Arial"/>
                <w:lang w:val="es-ES" w:eastAsia="es-ES" w:bidi="es-ES"/>
              </w:rPr>
            </w:pPr>
            <w:r w:rsidRPr="00B57A1B">
              <w:rPr>
                <w:rFonts w:ascii="Verdana" w:eastAsia="Arial MT" w:hAnsi="Verdana" w:cs="Arial"/>
                <w:lang w:val="es-ES" w:eastAsia="es-ES" w:bidi="es-ES"/>
              </w:rPr>
              <w:t xml:space="preserve">Ley 80 de 1993, artículos 39, 41.  </w:t>
            </w:r>
          </w:p>
          <w:p w14:paraId="1F97BE91" w14:textId="77777777" w:rsidR="00041256" w:rsidRPr="00B57A1B" w:rsidRDefault="00041256" w:rsidP="00041256">
            <w:pPr>
              <w:widowControl w:val="0"/>
              <w:numPr>
                <w:ilvl w:val="0"/>
                <w:numId w:val="20"/>
              </w:numPr>
              <w:autoSpaceDE w:val="0"/>
              <w:autoSpaceDN w:val="0"/>
              <w:spacing w:before="120" w:after="120" w:line="276" w:lineRule="auto"/>
              <w:ind w:left="714" w:hanging="357"/>
              <w:jc w:val="both"/>
              <w:rPr>
                <w:rFonts w:ascii="Verdana" w:eastAsia="Arial MT" w:hAnsi="Verdana" w:cs="Arial"/>
                <w:lang w:val="es-ES" w:eastAsia="es-ES" w:bidi="es-ES"/>
              </w:rPr>
            </w:pPr>
            <w:r w:rsidRPr="00B57A1B">
              <w:rPr>
                <w:rFonts w:ascii="Verdana" w:eastAsia="Arial MT" w:hAnsi="Verdana" w:cs="Arial"/>
                <w:lang w:val="es-ES" w:eastAsia="es-ES" w:bidi="es-ES"/>
              </w:rPr>
              <w:t xml:space="preserve">Ley 1150 de 2007, artículo 2. </w:t>
            </w:r>
          </w:p>
          <w:p w14:paraId="1B768CA8" w14:textId="77777777" w:rsidR="00041256" w:rsidRPr="00B57A1B" w:rsidRDefault="00041256" w:rsidP="00041256">
            <w:pPr>
              <w:widowControl w:val="0"/>
              <w:numPr>
                <w:ilvl w:val="0"/>
                <w:numId w:val="20"/>
              </w:numPr>
              <w:autoSpaceDE w:val="0"/>
              <w:autoSpaceDN w:val="0"/>
              <w:spacing w:before="120" w:after="120" w:line="276" w:lineRule="auto"/>
              <w:ind w:left="714" w:hanging="357"/>
              <w:jc w:val="both"/>
              <w:rPr>
                <w:rFonts w:ascii="Verdana" w:eastAsia="Arial MT" w:hAnsi="Verdana" w:cs="Arial"/>
                <w:lang w:val="es-ES" w:eastAsia="es-ES" w:bidi="es-ES"/>
              </w:rPr>
            </w:pPr>
            <w:r w:rsidRPr="00B57A1B">
              <w:rPr>
                <w:rFonts w:ascii="Verdana" w:eastAsia="Arial MT" w:hAnsi="Verdana" w:cs="Arial"/>
                <w:lang w:val="es-ES" w:eastAsia="es-ES" w:bidi="es-ES"/>
              </w:rPr>
              <w:t>Decreto 1082 de 2015, a</w:t>
            </w:r>
            <w:proofErr w:type="spellStart"/>
            <w:r w:rsidRPr="00B57A1B">
              <w:rPr>
                <w:rFonts w:ascii="Verdana" w:eastAsia="Arial MT" w:hAnsi="Verdana" w:cs="Arial"/>
                <w:lang w:eastAsia="es-ES" w:bidi="es-ES"/>
              </w:rPr>
              <w:t>rtículos</w:t>
            </w:r>
            <w:proofErr w:type="spellEnd"/>
            <w:r w:rsidRPr="00B57A1B">
              <w:rPr>
                <w:rFonts w:ascii="Verdana" w:eastAsia="Arial MT" w:hAnsi="Verdana" w:cs="Arial"/>
                <w:lang w:eastAsia="es-ES" w:bidi="es-ES"/>
              </w:rPr>
              <w:t xml:space="preserve"> </w:t>
            </w:r>
            <w:r w:rsidRPr="00B57A1B">
              <w:rPr>
                <w:rFonts w:ascii="Verdana" w:eastAsia="Calibri" w:hAnsi="Verdana" w:cs="Arial"/>
              </w:rPr>
              <w:t xml:space="preserve">2.2.1.2.1.4.1, </w:t>
            </w:r>
            <w:r w:rsidRPr="00B57A1B">
              <w:rPr>
                <w:rFonts w:ascii="Verdana" w:eastAsia="Arial MT" w:hAnsi="Verdana" w:cs="Arial"/>
                <w:lang w:eastAsia="es-ES" w:bidi="es-ES"/>
              </w:rPr>
              <w:t>2.2.1.2.1.4.4.</w:t>
            </w:r>
          </w:p>
          <w:p w14:paraId="2DFEC38D" w14:textId="77777777" w:rsidR="00041256" w:rsidRPr="00B57A1B" w:rsidRDefault="00041256" w:rsidP="00041256">
            <w:pPr>
              <w:widowControl w:val="0"/>
              <w:numPr>
                <w:ilvl w:val="0"/>
                <w:numId w:val="20"/>
              </w:numPr>
              <w:autoSpaceDE w:val="0"/>
              <w:autoSpaceDN w:val="0"/>
              <w:spacing w:before="120" w:after="120" w:line="276" w:lineRule="auto"/>
              <w:jc w:val="both"/>
              <w:rPr>
                <w:rFonts w:ascii="Verdana" w:eastAsia="Arial MT" w:hAnsi="Verdana" w:cs="Arial"/>
                <w:lang w:val="es-ES" w:eastAsia="es-ES" w:bidi="es-ES"/>
              </w:rPr>
            </w:pPr>
            <w:r w:rsidRPr="00B57A1B">
              <w:rPr>
                <w:rFonts w:ascii="Verdana" w:eastAsia="Arial MT" w:hAnsi="Verdana" w:cs="Arial"/>
                <w:lang w:val="es-ES" w:eastAsia="es-ES" w:bidi="es-ES"/>
              </w:rPr>
              <w:t xml:space="preserve">CONSEJO DE ESTADO. Sección Tercera. Sentencia del 06 de junio de 2007. C.P. Ruth Stella Correa Palacio. </w:t>
            </w:r>
            <w:proofErr w:type="spellStart"/>
            <w:r w:rsidRPr="00B57A1B">
              <w:rPr>
                <w:rFonts w:ascii="Verdana" w:eastAsia="Arial MT" w:hAnsi="Verdana" w:cs="Arial"/>
                <w:lang w:val="es-ES" w:eastAsia="es-ES" w:bidi="es-ES"/>
              </w:rPr>
              <w:t>Exp</w:t>
            </w:r>
            <w:proofErr w:type="spellEnd"/>
            <w:r w:rsidRPr="00B57A1B">
              <w:rPr>
                <w:rFonts w:ascii="Verdana" w:eastAsia="Arial MT" w:hAnsi="Verdana" w:cs="Arial"/>
                <w:lang w:val="es-ES" w:eastAsia="es-ES" w:bidi="es-ES"/>
              </w:rPr>
              <w:t>. 17.253.</w:t>
            </w:r>
          </w:p>
          <w:p w14:paraId="21A0CCBE" w14:textId="77777777" w:rsidR="00041256" w:rsidRPr="00B57A1B" w:rsidRDefault="00041256" w:rsidP="00041256">
            <w:pPr>
              <w:widowControl w:val="0"/>
              <w:numPr>
                <w:ilvl w:val="0"/>
                <w:numId w:val="20"/>
              </w:numPr>
              <w:autoSpaceDE w:val="0"/>
              <w:autoSpaceDN w:val="0"/>
              <w:spacing w:before="120" w:after="120" w:line="276" w:lineRule="auto"/>
              <w:jc w:val="both"/>
              <w:rPr>
                <w:rFonts w:ascii="Verdana" w:eastAsia="Arial MT" w:hAnsi="Verdana" w:cs="Arial"/>
                <w:lang w:val="es-ES" w:eastAsia="es-ES" w:bidi="es-ES"/>
              </w:rPr>
            </w:pPr>
            <w:r w:rsidRPr="00B57A1B">
              <w:rPr>
                <w:rFonts w:ascii="Verdana" w:eastAsia="Arial MT" w:hAnsi="Verdana" w:cs="Arial"/>
                <w:lang w:val="es-ES" w:eastAsia="es-ES" w:bidi="es-ES"/>
              </w:rPr>
              <w:t xml:space="preserve">CONSEJO DE ESTADO, Sección Tercera, Subsección A. Sentencia del 23 de junio de 2010. C.P. Mauricio Fajardo Gómez. </w:t>
            </w:r>
            <w:proofErr w:type="spellStart"/>
            <w:r w:rsidRPr="00B57A1B">
              <w:rPr>
                <w:rFonts w:ascii="Verdana" w:eastAsia="Arial MT" w:hAnsi="Verdana" w:cs="Arial"/>
                <w:lang w:val="es-ES" w:eastAsia="es-ES" w:bidi="es-ES"/>
              </w:rPr>
              <w:t>Exp</w:t>
            </w:r>
            <w:proofErr w:type="spellEnd"/>
            <w:r w:rsidRPr="00B57A1B">
              <w:rPr>
                <w:rFonts w:ascii="Verdana" w:eastAsia="Arial MT" w:hAnsi="Verdana" w:cs="Arial"/>
                <w:lang w:val="es-ES" w:eastAsia="es-ES" w:bidi="es-ES"/>
              </w:rPr>
              <w:t xml:space="preserve"> 17860. </w:t>
            </w:r>
          </w:p>
          <w:p w14:paraId="30DB6AAB" w14:textId="77777777" w:rsidR="00041256" w:rsidRPr="00B57A1B" w:rsidRDefault="00041256" w:rsidP="00041256">
            <w:pPr>
              <w:widowControl w:val="0"/>
              <w:numPr>
                <w:ilvl w:val="0"/>
                <w:numId w:val="20"/>
              </w:numPr>
              <w:autoSpaceDE w:val="0"/>
              <w:autoSpaceDN w:val="0"/>
              <w:spacing w:before="120" w:after="120" w:line="276" w:lineRule="auto"/>
              <w:jc w:val="both"/>
              <w:rPr>
                <w:rFonts w:ascii="Verdana" w:eastAsia="Arial MT" w:hAnsi="Verdana" w:cs="Arial"/>
                <w:lang w:val="es-ES" w:eastAsia="es-ES" w:bidi="es-ES"/>
              </w:rPr>
            </w:pPr>
            <w:r w:rsidRPr="00B57A1B">
              <w:rPr>
                <w:rFonts w:ascii="Verdana" w:eastAsia="Arial MT" w:hAnsi="Verdana" w:cs="Arial"/>
                <w:lang w:val="es-ES" w:eastAsia="es-ES" w:bidi="es-ES"/>
              </w:rPr>
              <w:t xml:space="preserve">CONSEJO DE ESTADO. Sección Cuarta. Sentencia del 16 de septiembre de 2010. C.P. Carmen Teresa Ortiz. </w:t>
            </w:r>
            <w:proofErr w:type="spellStart"/>
            <w:r w:rsidRPr="00B57A1B">
              <w:rPr>
                <w:rFonts w:ascii="Verdana" w:eastAsia="Arial MT" w:hAnsi="Verdana" w:cs="Arial"/>
                <w:lang w:val="es-ES" w:eastAsia="es-ES" w:bidi="es-ES"/>
              </w:rPr>
              <w:t>Exp</w:t>
            </w:r>
            <w:proofErr w:type="spellEnd"/>
            <w:r w:rsidRPr="00B57A1B">
              <w:rPr>
                <w:rFonts w:ascii="Verdana" w:eastAsia="Arial MT" w:hAnsi="Verdana" w:cs="Arial"/>
                <w:lang w:val="es-ES" w:eastAsia="es-ES" w:bidi="es-ES"/>
              </w:rPr>
              <w:t>. 16605.</w:t>
            </w:r>
          </w:p>
          <w:p w14:paraId="6C97ED32" w14:textId="77777777" w:rsidR="00041256" w:rsidRPr="00B57A1B" w:rsidRDefault="00041256" w:rsidP="00041256">
            <w:pPr>
              <w:widowControl w:val="0"/>
              <w:numPr>
                <w:ilvl w:val="0"/>
                <w:numId w:val="20"/>
              </w:numPr>
              <w:autoSpaceDE w:val="0"/>
              <w:autoSpaceDN w:val="0"/>
              <w:spacing w:before="120" w:after="120" w:line="276" w:lineRule="auto"/>
              <w:jc w:val="both"/>
              <w:rPr>
                <w:rFonts w:ascii="Verdana" w:eastAsia="Arial MT" w:hAnsi="Verdana" w:cs="Arial"/>
                <w:lang w:val="es-ES" w:eastAsia="es-ES" w:bidi="es-ES"/>
              </w:rPr>
            </w:pPr>
            <w:r w:rsidRPr="00B57A1B">
              <w:rPr>
                <w:rFonts w:ascii="Verdana" w:eastAsia="Arial MT" w:hAnsi="Verdana" w:cs="Arial"/>
                <w:lang w:val="es-ES" w:eastAsia="es-ES" w:bidi="es-ES"/>
              </w:rPr>
              <w:t xml:space="preserve">CONSEJO DE ESTADO, Sala de Consulta y Servicio Civil. Concepto no. 2257 del 26 de julio de 2016, C.P. Álvaro </w:t>
            </w:r>
            <w:proofErr w:type="spellStart"/>
            <w:r w:rsidRPr="00B57A1B">
              <w:rPr>
                <w:rFonts w:ascii="Verdana" w:eastAsia="Arial MT" w:hAnsi="Verdana" w:cs="Arial"/>
                <w:lang w:val="es-ES" w:eastAsia="es-ES" w:bidi="es-ES"/>
              </w:rPr>
              <w:t>Namén</w:t>
            </w:r>
            <w:proofErr w:type="spellEnd"/>
            <w:r w:rsidRPr="00B57A1B">
              <w:rPr>
                <w:rFonts w:ascii="Verdana" w:eastAsia="Arial MT" w:hAnsi="Verdana" w:cs="Arial"/>
                <w:lang w:val="es-ES" w:eastAsia="es-ES" w:bidi="es-ES"/>
              </w:rPr>
              <w:t xml:space="preserve"> Vargas.</w:t>
            </w:r>
          </w:p>
          <w:p w14:paraId="1B739785" w14:textId="77777777" w:rsidR="00041256" w:rsidRPr="00B57A1B" w:rsidRDefault="00041256" w:rsidP="00041256">
            <w:pPr>
              <w:widowControl w:val="0"/>
              <w:numPr>
                <w:ilvl w:val="0"/>
                <w:numId w:val="20"/>
              </w:numPr>
              <w:autoSpaceDE w:val="0"/>
              <w:autoSpaceDN w:val="0"/>
              <w:spacing w:before="120" w:after="120" w:line="276" w:lineRule="auto"/>
              <w:jc w:val="both"/>
              <w:rPr>
                <w:rFonts w:ascii="Verdana" w:eastAsia="Arial MT" w:hAnsi="Verdana" w:cs="Arial"/>
                <w:lang w:val="es-ES" w:eastAsia="es-ES" w:bidi="es-ES"/>
              </w:rPr>
            </w:pPr>
            <w:r w:rsidRPr="00B57A1B">
              <w:rPr>
                <w:rFonts w:ascii="Verdana" w:eastAsia="Arial MT" w:hAnsi="Verdana" w:cs="Arial"/>
                <w:lang w:val="es-ES" w:eastAsia="es-ES" w:bidi="es-ES"/>
              </w:rPr>
              <w:t>CONSEJO DE ESTADO. Sala de Consulta y Servicio Civil. Concepto del 8 de marzo de 2017. C.P. Edgar González López. Rad. 2298.</w:t>
            </w:r>
          </w:p>
          <w:p w14:paraId="3C8882A3" w14:textId="77777777" w:rsidR="00041256" w:rsidRPr="00B57A1B" w:rsidRDefault="00041256" w:rsidP="00041256">
            <w:pPr>
              <w:widowControl w:val="0"/>
              <w:numPr>
                <w:ilvl w:val="0"/>
                <w:numId w:val="20"/>
              </w:numPr>
              <w:autoSpaceDE w:val="0"/>
              <w:autoSpaceDN w:val="0"/>
              <w:spacing w:before="120" w:after="120" w:line="276" w:lineRule="auto"/>
              <w:jc w:val="both"/>
              <w:rPr>
                <w:rFonts w:ascii="Verdana" w:eastAsia="Arial MT" w:hAnsi="Verdana" w:cs="Arial"/>
                <w:lang w:val="es-ES" w:eastAsia="es-ES" w:bidi="es-ES"/>
              </w:rPr>
            </w:pPr>
            <w:r w:rsidRPr="00B57A1B">
              <w:rPr>
                <w:rFonts w:ascii="Verdana" w:eastAsia="Arial MT" w:hAnsi="Verdana" w:cs="Arial"/>
                <w:lang w:val="es-ES" w:eastAsia="es-ES" w:bidi="es-ES"/>
              </w:rPr>
              <w:t xml:space="preserve">CONSEJO DE ESTADO. Sección Tercera. Subsección A. Sentencia del 1 de octubre de 2018. C.P. Marta Nubia Velásquez Rico. </w:t>
            </w:r>
            <w:proofErr w:type="spellStart"/>
            <w:r w:rsidRPr="00B57A1B">
              <w:rPr>
                <w:rFonts w:ascii="Verdana" w:eastAsia="Arial MT" w:hAnsi="Verdana" w:cs="Arial"/>
                <w:lang w:val="es-ES" w:eastAsia="es-ES" w:bidi="es-ES"/>
              </w:rPr>
              <w:t>Exp</w:t>
            </w:r>
            <w:proofErr w:type="spellEnd"/>
            <w:r w:rsidRPr="00B57A1B">
              <w:rPr>
                <w:rFonts w:ascii="Verdana" w:eastAsia="Arial MT" w:hAnsi="Verdana" w:cs="Arial"/>
                <w:lang w:val="es-ES" w:eastAsia="es-ES" w:bidi="es-ES"/>
              </w:rPr>
              <w:t>. 57.897.</w:t>
            </w:r>
          </w:p>
          <w:p w14:paraId="5C087F54" w14:textId="77777777" w:rsidR="00041256" w:rsidRPr="00B57A1B" w:rsidRDefault="00041256" w:rsidP="00041256">
            <w:pPr>
              <w:widowControl w:val="0"/>
              <w:numPr>
                <w:ilvl w:val="0"/>
                <w:numId w:val="20"/>
              </w:numPr>
              <w:autoSpaceDE w:val="0"/>
              <w:autoSpaceDN w:val="0"/>
              <w:spacing w:before="120" w:after="120" w:line="276" w:lineRule="auto"/>
              <w:jc w:val="both"/>
              <w:rPr>
                <w:rFonts w:ascii="Verdana" w:eastAsia="Arial MT" w:hAnsi="Verdana" w:cs="Arial"/>
                <w:lang w:val="es-ES" w:eastAsia="es-ES" w:bidi="es-ES"/>
              </w:rPr>
            </w:pPr>
            <w:r w:rsidRPr="00B57A1B">
              <w:rPr>
                <w:rFonts w:ascii="Verdana" w:eastAsia="Arial MT" w:hAnsi="Verdana" w:cs="Arial"/>
                <w:lang w:val="es-ES" w:eastAsia="es-ES" w:bidi="es-ES"/>
              </w:rPr>
              <w:t>CONSEJO DE ESTADO. Sección Tercera, Subsección A. Sentencia del 14 de junio de 2019, C.P.: Marta Nubia Velásquez Rico. Rad.: 25000-23-37-000-2010-02552-01 (AP)</w:t>
            </w:r>
          </w:p>
          <w:p w14:paraId="4D09AABB" w14:textId="77777777" w:rsidR="00041256" w:rsidRPr="00B57A1B" w:rsidRDefault="00041256" w:rsidP="00041256">
            <w:pPr>
              <w:widowControl w:val="0"/>
              <w:numPr>
                <w:ilvl w:val="0"/>
                <w:numId w:val="20"/>
              </w:numPr>
              <w:autoSpaceDE w:val="0"/>
              <w:autoSpaceDN w:val="0"/>
              <w:spacing w:before="120" w:after="120" w:line="276" w:lineRule="auto"/>
              <w:jc w:val="both"/>
              <w:rPr>
                <w:rFonts w:ascii="Verdana" w:eastAsia="Arial MT" w:hAnsi="Verdana" w:cs="Arial"/>
                <w:lang w:val="es-ES" w:eastAsia="es-ES" w:bidi="es-ES"/>
              </w:rPr>
            </w:pPr>
            <w:r w:rsidRPr="00B57A1B">
              <w:rPr>
                <w:rFonts w:ascii="Verdana" w:eastAsia="Arial MT" w:hAnsi="Verdana" w:cs="Arial"/>
                <w:lang w:val="es-ES" w:eastAsia="es-ES" w:bidi="es-ES"/>
              </w:rPr>
              <w:t xml:space="preserve">CONSEJO DE ESTADO. Sección Tercera. Subsección A. Sentencia del 20 de noviembre de 2020. C.P. José Roberto Sáchica Méndez. </w:t>
            </w:r>
            <w:proofErr w:type="spellStart"/>
            <w:r w:rsidRPr="00B57A1B">
              <w:rPr>
                <w:rFonts w:ascii="Verdana" w:eastAsia="Arial MT" w:hAnsi="Verdana" w:cs="Arial"/>
                <w:lang w:val="es-ES" w:eastAsia="es-ES" w:bidi="es-ES"/>
              </w:rPr>
              <w:t>Exp</w:t>
            </w:r>
            <w:proofErr w:type="spellEnd"/>
            <w:r w:rsidRPr="00B57A1B">
              <w:rPr>
                <w:rFonts w:ascii="Verdana" w:eastAsia="Arial MT" w:hAnsi="Verdana" w:cs="Arial"/>
                <w:lang w:val="es-ES" w:eastAsia="es-ES" w:bidi="es-ES"/>
              </w:rPr>
              <w:t xml:space="preserve">. </w:t>
            </w:r>
            <w:r w:rsidRPr="00B57A1B">
              <w:rPr>
                <w:rFonts w:ascii="Verdana" w:eastAsia="Arial MT" w:hAnsi="Verdana" w:cs="Arial"/>
                <w:lang w:val="es-ES" w:eastAsia="es-ES" w:bidi="es-ES"/>
              </w:rPr>
              <w:lastRenderedPageBreak/>
              <w:t>47201.</w:t>
            </w:r>
          </w:p>
          <w:p w14:paraId="06E7B362" w14:textId="77777777" w:rsidR="00041256" w:rsidRPr="00B57A1B" w:rsidRDefault="00041256" w:rsidP="00041256">
            <w:pPr>
              <w:widowControl w:val="0"/>
              <w:numPr>
                <w:ilvl w:val="0"/>
                <w:numId w:val="20"/>
              </w:numPr>
              <w:autoSpaceDE w:val="0"/>
              <w:autoSpaceDN w:val="0"/>
              <w:spacing w:before="120" w:after="120" w:line="276" w:lineRule="auto"/>
              <w:jc w:val="both"/>
              <w:rPr>
                <w:rFonts w:ascii="Verdana" w:eastAsia="Arial MT" w:hAnsi="Verdana" w:cs="Arial"/>
                <w:lang w:val="es-ES" w:eastAsia="es-ES" w:bidi="es-ES"/>
              </w:rPr>
            </w:pPr>
            <w:r w:rsidRPr="00B57A1B">
              <w:rPr>
                <w:rFonts w:ascii="Verdana" w:eastAsia="Arial MT" w:hAnsi="Verdana" w:cs="Arial"/>
                <w:lang w:val="es-ES" w:eastAsia="es-ES" w:bidi="es-ES"/>
              </w:rPr>
              <w:t xml:space="preserve">CONSEJO DE ESTADO. Sección Cuarta. Sentencia del 15 de octubre de 2021. C.P. Myriam Stella Gutiérrez Argüello. </w:t>
            </w:r>
            <w:proofErr w:type="spellStart"/>
            <w:r w:rsidRPr="00B57A1B">
              <w:rPr>
                <w:rFonts w:ascii="Verdana" w:eastAsia="Arial MT" w:hAnsi="Verdana" w:cs="Arial"/>
                <w:lang w:val="es-ES" w:eastAsia="es-ES" w:bidi="es-ES"/>
              </w:rPr>
              <w:t>Exp</w:t>
            </w:r>
            <w:proofErr w:type="spellEnd"/>
            <w:r w:rsidRPr="00B57A1B">
              <w:rPr>
                <w:rFonts w:ascii="Verdana" w:eastAsia="Arial MT" w:hAnsi="Verdana" w:cs="Arial"/>
                <w:lang w:val="es-ES" w:eastAsia="es-ES" w:bidi="es-ES"/>
              </w:rPr>
              <w:t xml:space="preserve">. 24376. </w:t>
            </w:r>
          </w:p>
          <w:p w14:paraId="01D97C37" w14:textId="77777777" w:rsidR="00041256" w:rsidRPr="00B57A1B" w:rsidRDefault="00041256" w:rsidP="00041256">
            <w:pPr>
              <w:widowControl w:val="0"/>
              <w:numPr>
                <w:ilvl w:val="0"/>
                <w:numId w:val="20"/>
              </w:numPr>
              <w:autoSpaceDE w:val="0"/>
              <w:autoSpaceDN w:val="0"/>
              <w:spacing w:before="120" w:after="120" w:line="276" w:lineRule="auto"/>
              <w:jc w:val="both"/>
              <w:rPr>
                <w:rFonts w:ascii="Verdana" w:eastAsia="Arial MT" w:hAnsi="Verdana" w:cs="Arial"/>
                <w:lang w:val="es-ES" w:eastAsia="es-ES" w:bidi="es-ES"/>
              </w:rPr>
            </w:pPr>
            <w:r w:rsidRPr="00B57A1B">
              <w:rPr>
                <w:rFonts w:ascii="Verdana" w:eastAsia="Arial MT" w:hAnsi="Verdana" w:cs="Arial"/>
                <w:lang w:val="es-ES" w:eastAsia="es-ES" w:bidi="es-ES"/>
              </w:rPr>
              <w:t xml:space="preserve">CONSEJO DE ESTADO. Sección Tercera, Subsección A. Sentencia del 16 de agosto de 2022, C.P.: María Adriana Marín. </w:t>
            </w:r>
            <w:proofErr w:type="spellStart"/>
            <w:r w:rsidRPr="00B57A1B">
              <w:rPr>
                <w:rFonts w:ascii="Verdana" w:eastAsia="Arial MT" w:hAnsi="Verdana" w:cs="Arial"/>
                <w:lang w:val="es-ES" w:eastAsia="es-ES" w:bidi="es-ES"/>
              </w:rPr>
              <w:t>Exp</w:t>
            </w:r>
            <w:proofErr w:type="spellEnd"/>
            <w:r w:rsidRPr="00B57A1B">
              <w:rPr>
                <w:rFonts w:ascii="Verdana" w:eastAsia="Arial MT" w:hAnsi="Verdana" w:cs="Arial"/>
                <w:lang w:val="es-ES" w:eastAsia="es-ES" w:bidi="es-ES"/>
              </w:rPr>
              <w:t>. 60434.</w:t>
            </w:r>
          </w:p>
          <w:p w14:paraId="0F7EF3A5" w14:textId="77777777" w:rsidR="00041256" w:rsidRPr="00B57A1B" w:rsidRDefault="00041256" w:rsidP="00041256">
            <w:pPr>
              <w:widowControl w:val="0"/>
              <w:numPr>
                <w:ilvl w:val="0"/>
                <w:numId w:val="20"/>
              </w:numPr>
              <w:autoSpaceDE w:val="0"/>
              <w:autoSpaceDN w:val="0"/>
              <w:spacing w:before="120" w:after="120" w:line="276" w:lineRule="auto"/>
              <w:jc w:val="both"/>
              <w:rPr>
                <w:rFonts w:ascii="Verdana" w:eastAsia="Arial MT" w:hAnsi="Verdana" w:cs="Arial"/>
                <w:lang w:val="es-ES" w:eastAsia="es-ES" w:bidi="es-ES"/>
              </w:rPr>
            </w:pPr>
            <w:r w:rsidRPr="00B57A1B">
              <w:rPr>
                <w:rFonts w:ascii="Verdana" w:eastAsia="Arial MT" w:hAnsi="Verdana" w:cs="Arial"/>
                <w:lang w:val="es-ES" w:eastAsia="es-ES" w:bidi="es-ES"/>
              </w:rPr>
              <w:t xml:space="preserve">CONSEJO DE ESTADO. Sección Tercera. Subsección B. Auto del 4 de octubre de 2024. C.P. Fredy Ibarra Martínez. </w:t>
            </w:r>
            <w:proofErr w:type="spellStart"/>
            <w:r w:rsidRPr="00B57A1B">
              <w:rPr>
                <w:rFonts w:ascii="Verdana" w:eastAsia="Arial MT" w:hAnsi="Verdana" w:cs="Arial"/>
                <w:lang w:val="es-ES" w:eastAsia="es-ES" w:bidi="es-ES"/>
              </w:rPr>
              <w:t>Exp</w:t>
            </w:r>
            <w:proofErr w:type="spellEnd"/>
            <w:r w:rsidRPr="00B57A1B">
              <w:rPr>
                <w:rFonts w:ascii="Verdana" w:eastAsia="Arial MT" w:hAnsi="Verdana" w:cs="Arial"/>
                <w:lang w:val="es-ES" w:eastAsia="es-ES" w:bidi="es-ES"/>
              </w:rPr>
              <w:t>. 70.313.</w:t>
            </w:r>
          </w:p>
          <w:p w14:paraId="1455B41F" w14:textId="77777777" w:rsidR="00041256" w:rsidRPr="00B57A1B" w:rsidRDefault="00041256" w:rsidP="00041256">
            <w:pPr>
              <w:widowControl w:val="0"/>
              <w:numPr>
                <w:ilvl w:val="0"/>
                <w:numId w:val="20"/>
              </w:numPr>
              <w:autoSpaceDE w:val="0"/>
              <w:autoSpaceDN w:val="0"/>
              <w:spacing w:before="120" w:after="120" w:line="276" w:lineRule="auto"/>
              <w:jc w:val="both"/>
              <w:rPr>
                <w:rFonts w:ascii="Verdana" w:eastAsia="Arial MT" w:hAnsi="Verdana" w:cs="Arial"/>
                <w:lang w:val="es-ES" w:eastAsia="es-ES" w:bidi="es-ES"/>
              </w:rPr>
            </w:pPr>
            <w:r w:rsidRPr="00B57A1B">
              <w:rPr>
                <w:rFonts w:ascii="Verdana" w:eastAsia="Arial MT" w:hAnsi="Verdana" w:cs="Arial"/>
                <w:lang w:val="es-ES" w:eastAsia="es-ES" w:bidi="es-ES"/>
              </w:rPr>
              <w:t xml:space="preserve">CONSEJO DE ESTADO. Sección Tercera, Subsección A. Sentencia del 25 de mayo de 2025. C.P. María Adriana Marín Hernández. </w:t>
            </w:r>
            <w:proofErr w:type="spellStart"/>
            <w:r w:rsidRPr="00B57A1B">
              <w:rPr>
                <w:rFonts w:ascii="Verdana" w:eastAsia="Arial MT" w:hAnsi="Verdana" w:cs="Arial"/>
                <w:lang w:val="es-ES" w:eastAsia="es-ES" w:bidi="es-ES"/>
              </w:rPr>
              <w:t>Exp</w:t>
            </w:r>
            <w:proofErr w:type="spellEnd"/>
            <w:r w:rsidRPr="00B57A1B">
              <w:rPr>
                <w:rFonts w:ascii="Verdana" w:eastAsia="Arial MT" w:hAnsi="Verdana" w:cs="Arial"/>
                <w:lang w:val="es-ES" w:eastAsia="es-ES" w:bidi="es-ES"/>
              </w:rPr>
              <w:t>. 70.504.</w:t>
            </w:r>
          </w:p>
          <w:p w14:paraId="36EBD610" w14:textId="77777777" w:rsidR="00041256" w:rsidRPr="00B57A1B" w:rsidRDefault="00041256" w:rsidP="00041256">
            <w:pPr>
              <w:widowControl w:val="0"/>
              <w:numPr>
                <w:ilvl w:val="0"/>
                <w:numId w:val="20"/>
              </w:numPr>
              <w:autoSpaceDE w:val="0"/>
              <w:autoSpaceDN w:val="0"/>
              <w:spacing w:before="120" w:after="120" w:line="276" w:lineRule="auto"/>
              <w:jc w:val="both"/>
              <w:rPr>
                <w:rFonts w:ascii="Verdana" w:eastAsia="Arial MT" w:hAnsi="Verdana" w:cs="Arial"/>
                <w:lang w:val="es-ES" w:eastAsia="es-ES" w:bidi="es-ES"/>
              </w:rPr>
            </w:pPr>
            <w:r w:rsidRPr="00B57A1B">
              <w:rPr>
                <w:rFonts w:ascii="Verdana" w:eastAsia="Arial MT" w:hAnsi="Verdana" w:cs="Arial"/>
                <w:lang w:val="es-ES" w:eastAsia="es-ES" w:bidi="es-ES"/>
              </w:rPr>
              <w:t xml:space="preserve">CORTE SUPREMA DE JUSTICIA. Sala de Casación Civil. Sentencia del 17 de abril de 2007. M.P. Pedro Octavio Munar Cadena. </w:t>
            </w:r>
            <w:proofErr w:type="spellStart"/>
            <w:r w:rsidRPr="00B57A1B">
              <w:rPr>
                <w:rFonts w:ascii="Verdana" w:eastAsia="Arial MT" w:hAnsi="Verdana" w:cs="Arial"/>
                <w:lang w:val="es-ES" w:eastAsia="es-ES" w:bidi="es-ES"/>
              </w:rPr>
              <w:t>Exp</w:t>
            </w:r>
            <w:proofErr w:type="spellEnd"/>
            <w:r w:rsidRPr="00B57A1B">
              <w:rPr>
                <w:rFonts w:ascii="Verdana" w:eastAsia="Arial MT" w:hAnsi="Verdana" w:cs="Arial"/>
                <w:lang w:val="es-ES" w:eastAsia="es-ES" w:bidi="es-ES"/>
              </w:rPr>
              <w:t xml:space="preserve">. 00645.  </w:t>
            </w:r>
          </w:p>
          <w:p w14:paraId="108004A0" w14:textId="77777777" w:rsidR="00041256" w:rsidRPr="00B57A1B" w:rsidRDefault="00041256" w:rsidP="00041256">
            <w:pPr>
              <w:widowControl w:val="0"/>
              <w:numPr>
                <w:ilvl w:val="0"/>
                <w:numId w:val="20"/>
              </w:numPr>
              <w:autoSpaceDE w:val="0"/>
              <w:autoSpaceDN w:val="0"/>
              <w:spacing w:before="120" w:after="120" w:line="276" w:lineRule="auto"/>
              <w:jc w:val="both"/>
              <w:rPr>
                <w:rFonts w:ascii="Verdana" w:eastAsia="Arial MT" w:hAnsi="Verdana" w:cs="Arial"/>
                <w:lang w:val="es-ES" w:eastAsia="es-ES" w:bidi="es-ES"/>
              </w:rPr>
            </w:pPr>
            <w:r w:rsidRPr="00B57A1B">
              <w:rPr>
                <w:rFonts w:ascii="Verdana" w:eastAsia="Arial MT" w:hAnsi="Verdana" w:cs="Arial"/>
                <w:lang w:val="es-ES" w:eastAsia="es-ES" w:bidi="es-ES"/>
              </w:rPr>
              <w:t xml:space="preserve">CHAVÉZ MARÍN, Augusto Ramón. Los convenios de la Administración. Entre la gestión pública y la actividad contractual. Bogotá: Temis, 2020. </w:t>
            </w:r>
          </w:p>
          <w:p w14:paraId="1A3E1551" w14:textId="77777777" w:rsidR="00041256" w:rsidRPr="00B57A1B" w:rsidRDefault="00041256" w:rsidP="00041256">
            <w:pPr>
              <w:widowControl w:val="0"/>
              <w:numPr>
                <w:ilvl w:val="0"/>
                <w:numId w:val="20"/>
              </w:numPr>
              <w:autoSpaceDE w:val="0"/>
              <w:autoSpaceDN w:val="0"/>
              <w:spacing w:before="120" w:after="120" w:line="276" w:lineRule="auto"/>
              <w:jc w:val="both"/>
              <w:rPr>
                <w:rFonts w:ascii="Verdana" w:eastAsia="Arial MT" w:hAnsi="Verdana" w:cs="Arial"/>
                <w:lang w:val="es-ES" w:eastAsia="es-ES" w:bidi="es-ES"/>
              </w:rPr>
            </w:pPr>
            <w:r w:rsidRPr="00B57A1B">
              <w:rPr>
                <w:rFonts w:ascii="Verdana" w:eastAsia="Arial MT" w:hAnsi="Verdana" w:cs="Arial"/>
                <w:lang w:val="es-ES" w:eastAsia="es-ES" w:bidi="es-ES"/>
              </w:rPr>
              <w:t>SANTOS RODRÍGUEZ, Jorge Enrique. Consideraciones sobre los contratos y convenios interadministrativos. En: Revista Digital de Derecho Administrativo, 2008.</w:t>
            </w:r>
          </w:p>
        </w:tc>
      </w:tr>
    </w:tbl>
    <w:p w14:paraId="3E35CAB8" w14:textId="77777777" w:rsidR="00041256" w:rsidRPr="00B57A1B" w:rsidRDefault="00041256" w:rsidP="00041256">
      <w:pPr>
        <w:widowControl w:val="0"/>
        <w:autoSpaceDE w:val="0"/>
        <w:autoSpaceDN w:val="0"/>
        <w:spacing w:after="0" w:line="276" w:lineRule="auto"/>
        <w:jc w:val="both"/>
        <w:rPr>
          <w:rFonts w:ascii="Verdana" w:hAnsi="Verdana" w:cs="Arial"/>
        </w:rPr>
      </w:pPr>
    </w:p>
    <w:p w14:paraId="30AED25B" w14:textId="77777777" w:rsidR="00041256" w:rsidRPr="00B57A1B" w:rsidRDefault="00041256" w:rsidP="00041256">
      <w:pPr>
        <w:numPr>
          <w:ilvl w:val="0"/>
          <w:numId w:val="19"/>
        </w:numPr>
        <w:tabs>
          <w:tab w:val="left" w:pos="142"/>
          <w:tab w:val="left" w:pos="284"/>
        </w:tabs>
        <w:spacing w:after="0" w:line="276" w:lineRule="auto"/>
        <w:contextualSpacing/>
        <w:jc w:val="both"/>
        <w:rPr>
          <w:rFonts w:ascii="Verdana" w:eastAsia="Century Gothic" w:hAnsi="Verdana" w:cs="Century Gothic"/>
          <w:b/>
          <w:bCs/>
          <w:lang w:val="es-ES"/>
        </w:rPr>
      </w:pPr>
      <w:r w:rsidRPr="00B57A1B">
        <w:rPr>
          <w:rFonts w:ascii="Verdana" w:eastAsia="Century Gothic" w:hAnsi="Verdana" w:cs="Century Gothic"/>
          <w:b/>
          <w:bCs/>
          <w:lang w:val="es-ES"/>
        </w:rPr>
        <w:t>Doctrina de la Agencia Nacional de Contratación Pública:</w:t>
      </w:r>
    </w:p>
    <w:p w14:paraId="3DC8BAE9" w14:textId="77777777" w:rsidR="00041256" w:rsidRPr="00B57A1B" w:rsidRDefault="00041256" w:rsidP="00041256">
      <w:pPr>
        <w:widowControl w:val="0"/>
        <w:autoSpaceDE w:val="0"/>
        <w:autoSpaceDN w:val="0"/>
        <w:spacing w:after="0" w:line="276" w:lineRule="auto"/>
        <w:jc w:val="both"/>
        <w:rPr>
          <w:rFonts w:ascii="Verdana" w:hAnsi="Verdana" w:cs="Arial"/>
        </w:rPr>
      </w:pPr>
    </w:p>
    <w:p w14:paraId="58B74BEB" w14:textId="77777777" w:rsidR="00041256" w:rsidRPr="00B57A1B" w:rsidRDefault="00041256" w:rsidP="00041256">
      <w:pPr>
        <w:widowControl w:val="0"/>
        <w:autoSpaceDE w:val="0"/>
        <w:autoSpaceDN w:val="0"/>
        <w:spacing w:after="0" w:line="276" w:lineRule="auto"/>
        <w:jc w:val="both"/>
        <w:rPr>
          <w:rFonts w:ascii="Verdana" w:hAnsi="Verdana" w:cs="Arial"/>
          <w:shd w:val="clear" w:color="auto" w:fill="FFFFFF"/>
        </w:rPr>
      </w:pPr>
      <w:r w:rsidRPr="00B57A1B">
        <w:rPr>
          <w:rFonts w:ascii="Verdana" w:hAnsi="Verdana" w:cs="Arial"/>
          <w:shd w:val="clear" w:color="auto" w:fill="FFFFFF"/>
        </w:rPr>
        <w:t>Esta Subdirección se ha pronunciado sobre la diferencia entre contratos y convenios interadministrativos en el Concepto C-605 del 27 de junio de 2025, C-1046 del 9 de septiembre de 2025. Por otra parte, con respecto a contratos cuyo objeto se contempla la administración delegada de recursos, esta entidad se ha pronunciado en los Conceptos C-593 de del 9 de octubre de 2020, C-691 del 27 de noviembre de 2020, C-173 del 23 de abril de 2021, C-021 de 24 de febrero de 2023, C-160 de 2023, C-911 del 31 de diciembre de 2024, C-134 del 24 de febrero de 2025 y C-228 del 27 de marzo de 2025, C-259 del 7 de abril de 2025, C-597 del 17 de junio de 2025, C-885 del 15 de julio de 2025, entre otros. E</w:t>
      </w:r>
      <w:proofErr w:type="spellStart"/>
      <w:r w:rsidRPr="00B57A1B">
        <w:rPr>
          <w:rFonts w:ascii="Verdana" w:hAnsi="Verdana" w:cs="Arial"/>
          <w:shd w:val="clear" w:color="auto" w:fill="FFFFFF"/>
          <w:lang w:val="es-ES"/>
        </w:rPr>
        <w:t>stos</w:t>
      </w:r>
      <w:proofErr w:type="spellEnd"/>
      <w:r w:rsidRPr="00B57A1B">
        <w:rPr>
          <w:rFonts w:ascii="Verdana" w:hAnsi="Verdana" w:cs="Arial"/>
          <w:shd w:val="clear" w:color="auto" w:fill="FFFFFF"/>
          <w:lang w:val="es-ES"/>
        </w:rPr>
        <w:t xml:space="preserve"> y otros </w:t>
      </w:r>
      <w:r w:rsidRPr="00B57A1B">
        <w:rPr>
          <w:rFonts w:ascii="Verdana" w:hAnsi="Verdana"/>
        </w:rPr>
        <w:t>conceptos se encuentran disponibles para consulta en el Sistema de relatoría de la Agencia, al cual se puede acceder a través del siguiente enlace:</w:t>
      </w:r>
      <w:r w:rsidRPr="00B57A1B">
        <w:rPr>
          <w:rFonts w:ascii="Verdana" w:hAnsi="Verdana" w:cs="Arial"/>
          <w:shd w:val="clear" w:color="auto" w:fill="FFFFFF"/>
        </w:rPr>
        <w:t xml:space="preserve"> </w:t>
      </w:r>
      <w:hyperlink r:id="rId13" w:history="1">
        <w:r w:rsidRPr="00B57A1B">
          <w:rPr>
            <w:rFonts w:ascii="Verdana" w:hAnsi="Verdana" w:cs="Arial"/>
            <w:color w:val="0563C1" w:themeColor="hyperlink"/>
            <w:u w:val="single"/>
            <w:shd w:val="clear" w:color="auto" w:fill="FFFFFF"/>
          </w:rPr>
          <w:t>https://relatoria.colombiacompra.gov.co/busqueda/conceptos</w:t>
        </w:r>
      </w:hyperlink>
      <w:r w:rsidRPr="00B57A1B">
        <w:rPr>
          <w:rFonts w:ascii="Verdana" w:hAnsi="Verdana" w:cs="Arial"/>
          <w:shd w:val="clear" w:color="auto" w:fill="FFFFFF"/>
        </w:rPr>
        <w:t>.</w:t>
      </w:r>
      <w:r w:rsidRPr="00B57A1B">
        <w:rPr>
          <w:rFonts w:ascii="Verdana" w:hAnsi="Verdana" w:cs="Arial"/>
          <w:color w:val="FF0000"/>
          <w:shd w:val="clear" w:color="auto" w:fill="FFFFFF"/>
        </w:rPr>
        <w:t xml:space="preserve"> </w:t>
      </w:r>
      <w:r w:rsidRPr="00B57A1B">
        <w:rPr>
          <w:rFonts w:ascii="Verdana" w:hAnsi="Verdana" w:cs="Arial"/>
          <w:color w:val="000000" w:themeColor="text1"/>
          <w:shd w:val="clear" w:color="auto" w:fill="FFFFFF"/>
        </w:rPr>
        <w:t>  </w:t>
      </w:r>
    </w:p>
    <w:p w14:paraId="0AE856F5" w14:textId="77777777" w:rsidR="00041256" w:rsidRPr="00B57A1B" w:rsidRDefault="00041256" w:rsidP="00041256">
      <w:pPr>
        <w:spacing w:after="0"/>
        <w:jc w:val="both"/>
        <w:rPr>
          <w:rFonts w:ascii="Verdana" w:hAnsi="Verdana"/>
        </w:rPr>
      </w:pPr>
    </w:p>
    <w:p w14:paraId="0E5CADA7" w14:textId="77777777" w:rsidR="00041256" w:rsidRPr="00B57A1B" w:rsidRDefault="00041256" w:rsidP="00041256">
      <w:pPr>
        <w:spacing w:after="0" w:line="256" w:lineRule="auto"/>
        <w:jc w:val="both"/>
        <w:rPr>
          <w:rFonts w:ascii="Verdana" w:eastAsia="Calibri" w:hAnsi="Verdana" w:cs="Times New Roman"/>
        </w:rPr>
      </w:pPr>
      <w:r w:rsidRPr="00B57A1B">
        <w:rPr>
          <w:rFonts w:ascii="Verdana" w:eastAsia="Calibri" w:hAnsi="Verdana" w:cs="Times New Roman"/>
        </w:rPr>
        <w:lastRenderedPageBreak/>
        <w:t xml:space="preserve">Te informamos que ya se encuentra disponible la </w:t>
      </w:r>
      <w:r w:rsidRPr="00B57A1B">
        <w:rPr>
          <w:rFonts w:ascii="Verdana" w:eastAsia="Calibri" w:hAnsi="Verdana" w:cs="Times New Roman"/>
          <w:b/>
          <w:bCs/>
        </w:rPr>
        <w:t xml:space="preserve">Guía de lineamientos de transparencia y selección objetiva para el departamento de La Guajira – Objetivo sexto constitucional de la Sentencia T-302 del 2017. </w:t>
      </w:r>
      <w:r w:rsidRPr="00B57A1B">
        <w:rPr>
          <w:rFonts w:ascii="Verdana" w:eastAsia="Calibri" w:hAnsi="Verdana" w:cs="Times New Roman"/>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B57A1B">
        <w:rPr>
          <w:rFonts w:ascii="Verdana" w:eastAsia="Calibri" w:hAnsi="Verdana" w:cs="Times New Roman"/>
        </w:rPr>
        <w:t>Wayúu</w:t>
      </w:r>
      <w:proofErr w:type="spellEnd"/>
      <w:r w:rsidRPr="00B57A1B">
        <w:rPr>
          <w:rFonts w:ascii="Verdana" w:eastAsia="Calibri" w:hAnsi="Verdana" w:cs="Times New Roman"/>
        </w:rPr>
        <w:t xml:space="preserve">. Puede consultar la guía en el siguiente enlace: Guía de lineamientos de transparencia y selección objetiva para el departamento de La Guajira – Objetivo sexto constitucional de la Sentencia T-302 del 2017". </w:t>
      </w:r>
    </w:p>
    <w:p w14:paraId="147E9F6F" w14:textId="77777777" w:rsidR="00041256" w:rsidRPr="00B57A1B" w:rsidRDefault="00041256" w:rsidP="00041256">
      <w:pPr>
        <w:spacing w:after="0"/>
        <w:jc w:val="both"/>
        <w:rPr>
          <w:rFonts w:ascii="Verdana" w:hAnsi="Verdana"/>
        </w:rPr>
      </w:pPr>
    </w:p>
    <w:p w14:paraId="58B72EE7" w14:textId="77777777" w:rsidR="00041256" w:rsidRPr="00B57A1B" w:rsidRDefault="00041256" w:rsidP="00041256">
      <w:pPr>
        <w:spacing w:after="0"/>
        <w:jc w:val="both"/>
        <w:rPr>
          <w:rFonts w:ascii="Verdana" w:hAnsi="Verdana"/>
        </w:rPr>
      </w:pPr>
      <w:r w:rsidRPr="00B57A1B">
        <w:rPr>
          <w:rFonts w:ascii="Verdana" w:hAnsi="Verdana"/>
        </w:rPr>
        <w:t xml:space="preserve">Por último, 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068F3BFF" w14:textId="77777777" w:rsidR="00041256" w:rsidRPr="00B57A1B" w:rsidRDefault="00041256" w:rsidP="00041256">
      <w:pPr>
        <w:spacing w:after="0" w:line="240" w:lineRule="auto"/>
        <w:jc w:val="both"/>
        <w:rPr>
          <w:rFonts w:ascii="Verdana" w:hAnsi="Verdana"/>
        </w:rPr>
      </w:pPr>
    </w:p>
    <w:p w14:paraId="3FFD6494" w14:textId="77777777" w:rsidR="00041256" w:rsidRPr="00B57A1B" w:rsidRDefault="00041256" w:rsidP="00041256">
      <w:pPr>
        <w:numPr>
          <w:ilvl w:val="0"/>
          <w:numId w:val="15"/>
        </w:numPr>
        <w:spacing w:after="0" w:line="240" w:lineRule="auto"/>
        <w:contextualSpacing/>
        <w:jc w:val="both"/>
        <w:rPr>
          <w:rFonts w:ascii="Verdana" w:hAnsi="Verdana"/>
          <w:lang w:val="es-ES"/>
        </w:rPr>
      </w:pPr>
      <w:r w:rsidRPr="00B57A1B">
        <w:rPr>
          <w:rFonts w:ascii="Verdana" w:hAnsi="Verdana"/>
          <w:lang w:val="es-ES"/>
        </w:rPr>
        <w:t>Línea nacional gratuita o servicio a la ciudadanía: 01800 0520808</w:t>
      </w:r>
    </w:p>
    <w:p w14:paraId="77084B6B" w14:textId="77777777" w:rsidR="00041256" w:rsidRPr="00B57A1B" w:rsidRDefault="00041256" w:rsidP="00041256">
      <w:pPr>
        <w:numPr>
          <w:ilvl w:val="0"/>
          <w:numId w:val="15"/>
        </w:numPr>
        <w:spacing w:after="0" w:line="240" w:lineRule="auto"/>
        <w:contextualSpacing/>
        <w:jc w:val="both"/>
        <w:rPr>
          <w:rFonts w:ascii="Verdana" w:hAnsi="Verdana"/>
          <w:lang w:val="es-ES"/>
        </w:rPr>
      </w:pPr>
      <w:r w:rsidRPr="00B57A1B">
        <w:rPr>
          <w:rFonts w:ascii="Verdana" w:hAnsi="Verdana"/>
          <w:lang w:val="es-ES"/>
        </w:rPr>
        <w:t>Línea en Bogotá (Mesa de servicio): +57 601 7456788</w:t>
      </w:r>
    </w:p>
    <w:p w14:paraId="144236EB" w14:textId="77777777" w:rsidR="00041256" w:rsidRPr="00B57A1B" w:rsidRDefault="00041256" w:rsidP="00041256">
      <w:pPr>
        <w:numPr>
          <w:ilvl w:val="0"/>
          <w:numId w:val="15"/>
        </w:numPr>
        <w:spacing w:after="0" w:line="240" w:lineRule="auto"/>
        <w:contextualSpacing/>
        <w:jc w:val="both"/>
        <w:rPr>
          <w:rFonts w:ascii="Verdana" w:hAnsi="Verdana"/>
          <w:lang w:val="es-ES"/>
        </w:rPr>
      </w:pPr>
      <w:r w:rsidRPr="00B57A1B">
        <w:rPr>
          <w:rFonts w:ascii="Verdana" w:hAnsi="Verdana"/>
          <w:lang w:val="es-ES"/>
        </w:rPr>
        <w:t>Línea de servicio y atención al ciudadano: +57 601 7956600</w:t>
      </w:r>
    </w:p>
    <w:p w14:paraId="4B419057" w14:textId="77777777" w:rsidR="00041256" w:rsidRPr="00B57A1B" w:rsidRDefault="00041256" w:rsidP="00041256">
      <w:pPr>
        <w:numPr>
          <w:ilvl w:val="0"/>
          <w:numId w:val="15"/>
        </w:numPr>
        <w:spacing w:after="0" w:line="240" w:lineRule="auto"/>
        <w:contextualSpacing/>
        <w:jc w:val="both"/>
        <w:rPr>
          <w:rFonts w:ascii="Verdana" w:hAnsi="Verdana"/>
          <w:lang w:val="es-ES"/>
        </w:rPr>
      </w:pPr>
      <w:r w:rsidRPr="00B57A1B">
        <w:rPr>
          <w:rFonts w:ascii="Verdana" w:hAnsi="Verdana"/>
          <w:lang w:val="es-ES"/>
        </w:rPr>
        <w:t xml:space="preserve">Página web: </w:t>
      </w:r>
      <w:hyperlink r:id="rId14" w:history="1">
        <w:r w:rsidRPr="00B57A1B">
          <w:rPr>
            <w:rFonts w:ascii="Verdana" w:hAnsi="Verdana"/>
            <w:color w:val="0000FF"/>
            <w:u w:val="single"/>
            <w:lang w:val="es-ES"/>
          </w:rPr>
          <w:t>www.colombiacompra.gov.co</w:t>
        </w:r>
      </w:hyperlink>
    </w:p>
    <w:p w14:paraId="2D4B3193" w14:textId="77777777" w:rsidR="00041256" w:rsidRPr="00B57A1B" w:rsidRDefault="00041256" w:rsidP="00041256">
      <w:pPr>
        <w:spacing w:after="0" w:line="240" w:lineRule="auto"/>
        <w:ind w:left="785"/>
        <w:contextualSpacing/>
        <w:jc w:val="both"/>
        <w:rPr>
          <w:rFonts w:ascii="Verdana" w:hAnsi="Verdana"/>
          <w:lang w:val="es-ES"/>
        </w:rPr>
      </w:pPr>
    </w:p>
    <w:p w14:paraId="38B99152" w14:textId="77777777" w:rsidR="00041256" w:rsidRPr="00B57A1B" w:rsidRDefault="00041256" w:rsidP="00041256">
      <w:pPr>
        <w:spacing w:after="0" w:line="240" w:lineRule="auto"/>
        <w:jc w:val="both"/>
        <w:rPr>
          <w:rFonts w:ascii="Verdana" w:hAnsi="Verdana"/>
        </w:rPr>
      </w:pPr>
      <w:r w:rsidRPr="00B57A1B">
        <w:rPr>
          <w:rFonts w:ascii="Verdana" w:hAnsi="Verdana"/>
        </w:rPr>
        <w:t xml:space="preserve">Por último, lo invitamos a seguirnos en las redes sociales en las cuales se difunde información institucional: </w:t>
      </w:r>
    </w:p>
    <w:p w14:paraId="4208C41E" w14:textId="77777777" w:rsidR="00041256" w:rsidRPr="00B57A1B" w:rsidRDefault="00041256" w:rsidP="00041256">
      <w:pPr>
        <w:spacing w:after="0" w:line="240" w:lineRule="auto"/>
        <w:jc w:val="both"/>
        <w:rPr>
          <w:rFonts w:ascii="Verdana" w:hAnsi="Verdana"/>
        </w:rPr>
      </w:pPr>
    </w:p>
    <w:p w14:paraId="655877C1" w14:textId="77777777" w:rsidR="00041256" w:rsidRPr="00B57A1B" w:rsidRDefault="00041256" w:rsidP="00041256">
      <w:pPr>
        <w:spacing w:after="0" w:line="240" w:lineRule="auto"/>
        <w:jc w:val="both"/>
        <w:rPr>
          <w:rFonts w:ascii="Verdana" w:hAnsi="Verdana"/>
        </w:rPr>
      </w:pPr>
      <w:r w:rsidRPr="00B57A1B">
        <w:rPr>
          <w:rFonts w:ascii="Verdana" w:hAnsi="Verdana"/>
        </w:rPr>
        <w:t xml:space="preserve">Twitter: </w:t>
      </w:r>
      <w:r w:rsidRPr="00B57A1B">
        <w:rPr>
          <w:rFonts w:ascii="Verdana" w:hAnsi="Verdana"/>
          <w:color w:val="0000FF"/>
          <w:u w:val="single"/>
        </w:rPr>
        <w:t>@colombiacompra</w:t>
      </w:r>
      <w:r w:rsidRPr="00B57A1B">
        <w:rPr>
          <w:rFonts w:ascii="Verdana" w:hAnsi="Verdana"/>
        </w:rPr>
        <w:t xml:space="preserve"> </w:t>
      </w:r>
    </w:p>
    <w:p w14:paraId="0DF7248C" w14:textId="77777777" w:rsidR="00041256" w:rsidRPr="00B57A1B" w:rsidRDefault="00041256" w:rsidP="00041256">
      <w:pPr>
        <w:spacing w:after="0" w:line="240" w:lineRule="auto"/>
        <w:jc w:val="both"/>
        <w:rPr>
          <w:rFonts w:ascii="Verdana" w:hAnsi="Verdana"/>
        </w:rPr>
      </w:pPr>
      <w:r w:rsidRPr="00B57A1B">
        <w:rPr>
          <w:rFonts w:ascii="Verdana" w:hAnsi="Verdana"/>
        </w:rPr>
        <w:t xml:space="preserve">Facebook: </w:t>
      </w:r>
      <w:proofErr w:type="spellStart"/>
      <w:r w:rsidRPr="00B57A1B">
        <w:rPr>
          <w:rFonts w:ascii="Verdana" w:hAnsi="Verdana"/>
          <w:color w:val="0000FF"/>
          <w:u w:val="single"/>
        </w:rPr>
        <w:t>ColombiaCompraEficiente</w:t>
      </w:r>
      <w:proofErr w:type="spellEnd"/>
    </w:p>
    <w:p w14:paraId="5D41C4E2" w14:textId="77777777" w:rsidR="00041256" w:rsidRPr="00B57A1B" w:rsidRDefault="00041256" w:rsidP="00041256">
      <w:pPr>
        <w:spacing w:after="0" w:line="240" w:lineRule="auto"/>
        <w:jc w:val="both"/>
        <w:rPr>
          <w:rFonts w:ascii="Verdana" w:hAnsi="Verdana"/>
        </w:rPr>
      </w:pPr>
      <w:r w:rsidRPr="00B57A1B">
        <w:rPr>
          <w:rFonts w:ascii="Verdana" w:hAnsi="Verdana"/>
        </w:rPr>
        <w:t xml:space="preserve">LinkedIn: </w:t>
      </w:r>
      <w:r w:rsidRPr="00B57A1B">
        <w:rPr>
          <w:rFonts w:ascii="Verdana" w:hAnsi="Verdana"/>
          <w:color w:val="0000FF"/>
          <w:u w:val="single"/>
        </w:rPr>
        <w:t>Agencia Nacional de Contratación Pública - Colombia Compra Eficiente</w:t>
      </w:r>
      <w:r w:rsidRPr="00B57A1B">
        <w:rPr>
          <w:rFonts w:ascii="Verdana" w:hAnsi="Verdana"/>
        </w:rPr>
        <w:t xml:space="preserve"> Instagram: </w:t>
      </w:r>
      <w:r w:rsidRPr="00B57A1B">
        <w:rPr>
          <w:rFonts w:ascii="Verdana" w:hAnsi="Verdana"/>
          <w:color w:val="0000FF"/>
          <w:u w:val="single"/>
        </w:rPr>
        <w:t>@colombiacompraeficiente_cce</w:t>
      </w:r>
    </w:p>
    <w:p w14:paraId="3F2AEA84" w14:textId="77777777" w:rsidR="00041256" w:rsidRPr="00B57A1B" w:rsidRDefault="00041256" w:rsidP="00041256">
      <w:pPr>
        <w:spacing w:after="0" w:line="240" w:lineRule="auto"/>
        <w:jc w:val="both"/>
        <w:rPr>
          <w:rFonts w:ascii="Verdana" w:hAnsi="Verdana"/>
        </w:rPr>
      </w:pPr>
    </w:p>
    <w:p w14:paraId="6C73B0AD" w14:textId="77777777" w:rsidR="00041256" w:rsidRPr="00B57A1B" w:rsidRDefault="00041256" w:rsidP="00041256">
      <w:pPr>
        <w:spacing w:after="0" w:line="256" w:lineRule="auto"/>
        <w:jc w:val="both"/>
        <w:rPr>
          <w:rFonts w:ascii="Verdana" w:eastAsia="Calibri" w:hAnsi="Verdana" w:cs="Times New Roman"/>
          <w:bCs/>
          <w:lang w:val="es-ES_tradnl"/>
        </w:rPr>
      </w:pPr>
      <w:r w:rsidRPr="00B57A1B">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2D4DDE2D" w14:textId="77777777" w:rsidR="00041256" w:rsidRPr="00B57A1B" w:rsidRDefault="00041256" w:rsidP="00041256">
      <w:pPr>
        <w:spacing w:after="0" w:line="256" w:lineRule="auto"/>
        <w:jc w:val="both"/>
        <w:rPr>
          <w:rFonts w:ascii="Verdana" w:eastAsia="Calibri" w:hAnsi="Verdana" w:cs="Times New Roman"/>
        </w:rPr>
      </w:pPr>
    </w:p>
    <w:p w14:paraId="1F512B9B" w14:textId="77777777" w:rsidR="00041256" w:rsidRPr="00B57A1B" w:rsidRDefault="00041256" w:rsidP="00041256">
      <w:pPr>
        <w:spacing w:after="0" w:line="256" w:lineRule="auto"/>
        <w:jc w:val="both"/>
        <w:rPr>
          <w:rFonts w:ascii="Verdana" w:eastAsia="Calibri" w:hAnsi="Verdana" w:cs="Times New Roman"/>
        </w:rPr>
      </w:pPr>
      <w:r w:rsidRPr="00B57A1B">
        <w:rPr>
          <w:rFonts w:ascii="Verdana" w:eastAsia="Calibri" w:hAnsi="Verdana" w:cs="Times New Roman"/>
        </w:rPr>
        <w:t>Atentamente,</w:t>
      </w:r>
    </w:p>
    <w:p w14:paraId="69213BAD" w14:textId="11E5F258" w:rsidR="00041256" w:rsidRDefault="00041256" w:rsidP="00D51FF9">
      <w:pPr>
        <w:spacing w:after="0" w:line="256" w:lineRule="auto"/>
        <w:rPr>
          <w:rFonts w:ascii="Verdana" w:eastAsia="Times New Roman" w:hAnsi="Verdana" w:cs="Arial"/>
          <w:noProof/>
          <w:sz w:val="24"/>
          <w:szCs w:val="24"/>
          <w:lang w:val="en-US"/>
        </w:rPr>
      </w:pPr>
    </w:p>
    <w:p w14:paraId="1AD42AA9" w14:textId="6FD9FEC1" w:rsidR="00D51FF9" w:rsidRDefault="00D51FF9" w:rsidP="00041256">
      <w:pPr>
        <w:spacing w:after="0" w:line="256" w:lineRule="auto"/>
        <w:jc w:val="center"/>
        <w:rPr>
          <w:rFonts w:ascii="Verdana" w:eastAsia="Times New Roman" w:hAnsi="Verdana" w:cs="Arial"/>
          <w:noProof/>
          <w:sz w:val="24"/>
          <w:szCs w:val="24"/>
          <w:lang w:val="en-US"/>
        </w:rPr>
      </w:pPr>
      <w:r w:rsidRPr="002C3AD6">
        <w:rPr>
          <w:rFonts w:ascii="Century Gothic" w:hAnsi="Century Gothic"/>
          <w:noProof/>
          <w:lang w:val="en-US"/>
        </w:rPr>
        <w:lastRenderedPageBreak/>
        <w:drawing>
          <wp:inline distT="0" distB="0" distL="0" distR="0" wp14:anchorId="190F3697" wp14:editId="611BADDC">
            <wp:extent cx="3415006" cy="1267691"/>
            <wp:effectExtent l="0" t="0" r="0" b="8890"/>
            <wp:docPr id="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5"/>
                    <a:stretch>
                      <a:fillRect/>
                    </a:stretch>
                  </pic:blipFill>
                  <pic:spPr>
                    <a:xfrm>
                      <a:off x="0" y="0"/>
                      <a:ext cx="3452929" cy="1281769"/>
                    </a:xfrm>
                    <a:prstGeom prst="rect">
                      <a:avLst/>
                    </a:prstGeom>
                  </pic:spPr>
                </pic:pic>
              </a:graphicData>
            </a:graphic>
          </wp:inline>
        </w:drawing>
      </w:r>
    </w:p>
    <w:p w14:paraId="3AFB4041" w14:textId="655E6F22" w:rsidR="00041256" w:rsidRPr="00B57A1B" w:rsidRDefault="00041256" w:rsidP="00D51FF9">
      <w:pPr>
        <w:spacing w:after="0" w:line="256" w:lineRule="auto"/>
        <w:rPr>
          <w:rFonts w:ascii="Century Gothic" w:hAnsi="Century Gothic"/>
          <w:noProof/>
          <w:lang w:val="en-US"/>
        </w:rPr>
      </w:pP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041256" w:rsidRPr="00B57A1B" w14:paraId="0E9B926B" w14:textId="77777777" w:rsidTr="00A21520">
        <w:trPr>
          <w:trHeight w:val="409"/>
        </w:trPr>
        <w:tc>
          <w:tcPr>
            <w:tcW w:w="817" w:type="dxa"/>
            <w:tcBorders>
              <w:top w:val="nil"/>
              <w:left w:val="nil"/>
              <w:bottom w:val="nil"/>
              <w:right w:val="nil"/>
            </w:tcBorders>
            <w:vAlign w:val="center"/>
            <w:hideMark/>
          </w:tcPr>
          <w:p w14:paraId="53DCC060" w14:textId="77777777" w:rsidR="00041256" w:rsidRPr="00B57A1B" w:rsidRDefault="00041256" w:rsidP="00A21520">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Elaboró: </w:t>
            </w:r>
          </w:p>
        </w:tc>
        <w:tc>
          <w:tcPr>
            <w:tcW w:w="4937" w:type="dxa"/>
            <w:tcBorders>
              <w:top w:val="nil"/>
              <w:left w:val="nil"/>
              <w:bottom w:val="dotted" w:sz="6" w:space="0" w:color="7F7F7F" w:themeColor="text1" w:themeTint="80"/>
              <w:right w:val="nil"/>
            </w:tcBorders>
            <w:vAlign w:val="center"/>
            <w:hideMark/>
          </w:tcPr>
          <w:p w14:paraId="56CCF6A5" w14:textId="77777777" w:rsidR="00041256" w:rsidRPr="00B57A1B" w:rsidRDefault="00041256" w:rsidP="00A21520">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José Luis Sánchez Cardona</w:t>
            </w:r>
          </w:p>
          <w:p w14:paraId="101EF4A2" w14:textId="77777777" w:rsidR="00041256" w:rsidRPr="00B57A1B" w:rsidRDefault="00041256" w:rsidP="00A21520">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Contratista de la Subdirección de Gestión Contractual</w:t>
            </w:r>
          </w:p>
        </w:tc>
      </w:tr>
      <w:tr w:rsidR="00041256" w:rsidRPr="00B57A1B" w14:paraId="60AEA538" w14:textId="77777777" w:rsidTr="00A21520">
        <w:trPr>
          <w:trHeight w:val="409"/>
        </w:trPr>
        <w:tc>
          <w:tcPr>
            <w:tcW w:w="817" w:type="dxa"/>
            <w:tcBorders>
              <w:top w:val="nil"/>
              <w:left w:val="nil"/>
              <w:bottom w:val="nil"/>
              <w:right w:val="nil"/>
            </w:tcBorders>
            <w:vAlign w:val="center"/>
            <w:hideMark/>
          </w:tcPr>
          <w:p w14:paraId="014CC2C1" w14:textId="77777777" w:rsidR="00041256" w:rsidRPr="00B57A1B" w:rsidRDefault="00041256" w:rsidP="00A21520">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Revisó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78D81C35" w14:textId="77777777" w:rsidR="00041256" w:rsidRPr="00B57A1B" w:rsidRDefault="00041256" w:rsidP="00A21520">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Alejandro Sarmiento Cantillo</w:t>
            </w:r>
          </w:p>
          <w:p w14:paraId="15BF2301" w14:textId="77777777" w:rsidR="00041256" w:rsidRPr="00B57A1B" w:rsidRDefault="00041256" w:rsidP="00A21520">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Gestor T1-15 de la Subdirección de Gestión Contractual </w:t>
            </w:r>
          </w:p>
        </w:tc>
      </w:tr>
      <w:tr w:rsidR="00041256" w:rsidRPr="00B57A1B" w14:paraId="0463E399" w14:textId="77777777" w:rsidTr="00A21520">
        <w:trPr>
          <w:trHeight w:val="389"/>
        </w:trPr>
        <w:tc>
          <w:tcPr>
            <w:tcW w:w="817" w:type="dxa"/>
            <w:tcBorders>
              <w:top w:val="nil"/>
              <w:left w:val="nil"/>
              <w:bottom w:val="nil"/>
              <w:right w:val="nil"/>
            </w:tcBorders>
            <w:vAlign w:val="center"/>
            <w:hideMark/>
          </w:tcPr>
          <w:p w14:paraId="2705369A" w14:textId="77777777" w:rsidR="00041256" w:rsidRPr="00B57A1B" w:rsidRDefault="00041256" w:rsidP="00A21520">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0E0C82F2" w14:textId="77777777" w:rsidR="00041256" w:rsidRPr="00B57A1B" w:rsidRDefault="00041256" w:rsidP="00A21520">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 xml:space="preserve">Carolina Quintero </w:t>
            </w:r>
            <w:proofErr w:type="spellStart"/>
            <w:r w:rsidRPr="00B57A1B">
              <w:rPr>
                <w:rFonts w:ascii="Verdana" w:eastAsia="Calibri" w:hAnsi="Verdana" w:cs="Times New Roman"/>
                <w:sz w:val="16"/>
                <w:szCs w:val="16"/>
              </w:rPr>
              <w:t>Gacharná</w:t>
            </w:r>
            <w:proofErr w:type="spellEnd"/>
          </w:p>
          <w:p w14:paraId="11083EF4" w14:textId="77777777" w:rsidR="00041256" w:rsidRPr="00B57A1B" w:rsidRDefault="00041256" w:rsidP="00A21520">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Subdirectora de Gestión Contractual ANCP – CCE</w:t>
            </w:r>
          </w:p>
        </w:tc>
      </w:tr>
    </w:tbl>
    <w:p w14:paraId="071F069A" w14:textId="77777777" w:rsidR="00041256" w:rsidRPr="00B57A1B" w:rsidRDefault="00041256" w:rsidP="00041256"/>
    <w:bookmarkEnd w:id="0"/>
    <w:p w14:paraId="4C4D0741" w14:textId="77777777" w:rsidR="00041256" w:rsidRPr="0044528D" w:rsidRDefault="00041256" w:rsidP="00041256">
      <w:pPr>
        <w:spacing w:after="0"/>
        <w:rPr>
          <w:rFonts w:ascii="Verdana" w:hAnsi="Verdana"/>
        </w:rPr>
      </w:pPr>
    </w:p>
    <w:p w14:paraId="071E38CF" w14:textId="77777777" w:rsidR="004B7F41" w:rsidRPr="00041256" w:rsidRDefault="004B7F41" w:rsidP="00041256"/>
    <w:sectPr w:rsidR="004B7F41" w:rsidRPr="00041256"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2EBA3E" w14:textId="77777777" w:rsidR="006B7465" w:rsidRDefault="006B7465" w:rsidP="004A1847">
      <w:pPr>
        <w:spacing w:after="0" w:line="240" w:lineRule="auto"/>
      </w:pPr>
      <w:r>
        <w:separator/>
      </w:r>
    </w:p>
  </w:endnote>
  <w:endnote w:type="continuationSeparator" w:id="0">
    <w:p w14:paraId="055A55A2" w14:textId="77777777" w:rsidR="006B7465" w:rsidRDefault="006B7465" w:rsidP="004A1847">
      <w:pPr>
        <w:spacing w:after="0" w:line="240" w:lineRule="auto"/>
      </w:pPr>
      <w:r>
        <w:continuationSeparator/>
      </w:r>
    </w:p>
  </w:endnote>
  <w:endnote w:type="continuationNotice" w:id="1">
    <w:p w14:paraId="434F42D4" w14:textId="77777777" w:rsidR="006B7465" w:rsidRDefault="006B746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Arial"/>
    <w:panose1 w:val="00000000000000000000"/>
    <w:charset w:val="00"/>
    <w:family w:val="modern"/>
    <w:notTrueType/>
    <w:pitch w:val="variable"/>
    <w:sig w:usb0="A000002F" w:usb1="1000004A" w:usb2="00000000" w:usb3="00000000" w:csb0="00000193"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Weiss">
    <w:panose1 w:val="00000000000000000000"/>
    <w:charset w:val="00"/>
    <w:family w:val="roman"/>
    <w:notTrueType/>
    <w:pitch w:val="default"/>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altName w:val="Arial"/>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A72753" w:rsidRDefault="00A72753">
    <w:pPr>
      <w:pStyle w:val="Piedepgina"/>
    </w:pPr>
  </w:p>
  <w:p w14:paraId="594D6D9F" w14:textId="33540359" w:rsidR="00A72753" w:rsidRPr="00174B77" w:rsidRDefault="00A72753"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sidR="00D51FF9" w:rsidRPr="00D51FF9">
      <w:rPr>
        <w:rFonts w:ascii="Verdana" w:eastAsiaTheme="minorEastAsia" w:hAnsi="Verdana"/>
        <w:b/>
        <w:bCs/>
        <w:noProof/>
        <w:sz w:val="16"/>
        <w:szCs w:val="16"/>
      </w:rPr>
      <w:t>3</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A72753" w:rsidRDefault="00A72753"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A72753" w:rsidRPr="00E41027" w:rsidRDefault="00A72753"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A72753" w:rsidRDefault="00A72753"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Versión</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2</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465415" w14:textId="77777777" w:rsidR="006B7465" w:rsidRDefault="006B7465" w:rsidP="004A1847">
      <w:pPr>
        <w:spacing w:after="0" w:line="240" w:lineRule="auto"/>
      </w:pPr>
      <w:r>
        <w:separator/>
      </w:r>
    </w:p>
  </w:footnote>
  <w:footnote w:type="continuationSeparator" w:id="0">
    <w:p w14:paraId="187AC17F" w14:textId="77777777" w:rsidR="006B7465" w:rsidRDefault="006B7465" w:rsidP="004A1847">
      <w:pPr>
        <w:spacing w:after="0" w:line="240" w:lineRule="auto"/>
      </w:pPr>
      <w:r>
        <w:continuationSeparator/>
      </w:r>
    </w:p>
  </w:footnote>
  <w:footnote w:type="continuationNotice" w:id="1">
    <w:p w14:paraId="04D2BF1F" w14:textId="77777777" w:rsidR="006B7465" w:rsidRDefault="006B7465">
      <w:pPr>
        <w:spacing w:after="0" w:line="240" w:lineRule="auto"/>
      </w:pPr>
    </w:p>
  </w:footnote>
  <w:footnote w:id="2">
    <w:p w14:paraId="5C60F6F7" w14:textId="77777777" w:rsidR="00041256" w:rsidRPr="00C73ECC" w:rsidRDefault="00041256" w:rsidP="00041256">
      <w:pPr>
        <w:spacing w:after="0" w:line="240" w:lineRule="auto"/>
        <w:ind w:firstLine="709"/>
        <w:contextualSpacing/>
        <w:jc w:val="both"/>
        <w:rPr>
          <w:rFonts w:ascii="Verdana" w:hAnsi="Verdana" w:cs="Arial"/>
          <w:sz w:val="14"/>
          <w:szCs w:val="14"/>
        </w:rPr>
      </w:pPr>
      <w:r w:rsidRPr="00C73ECC">
        <w:rPr>
          <w:rStyle w:val="Refdenotaalpie"/>
          <w:rFonts w:ascii="Verdana" w:hAnsi="Verdana" w:cs="Arial"/>
          <w:sz w:val="14"/>
          <w:szCs w:val="14"/>
        </w:rPr>
        <w:footnoteRef/>
      </w:r>
      <w:r w:rsidRPr="00C73ECC">
        <w:rPr>
          <w:rFonts w:ascii="Verdana" w:hAnsi="Verdana" w:cs="Arial"/>
          <w:sz w:val="14"/>
          <w:szCs w:val="14"/>
        </w:rPr>
        <w:t xml:space="preserve"> Decreto 1082 de 2015: “Artículo 2.2.1.2.1.4.4. Convenios o contratos interadministrativos. La modalidad de selección para la contratación entre Entidades Estatales es la contratación directa; y en consecuencia, le es aplicable lo establecido en el artículo 2.2.1.2.1.4.1 del presente decreto.</w:t>
      </w:r>
    </w:p>
    <w:p w14:paraId="0EEF59B2" w14:textId="77777777" w:rsidR="00041256" w:rsidRPr="00C73ECC" w:rsidRDefault="00041256" w:rsidP="00041256">
      <w:pPr>
        <w:spacing w:after="0" w:line="240" w:lineRule="auto"/>
        <w:ind w:firstLine="709"/>
        <w:contextualSpacing/>
        <w:jc w:val="both"/>
        <w:rPr>
          <w:rFonts w:ascii="Verdana" w:hAnsi="Verdana" w:cs="Arial"/>
          <w:sz w:val="14"/>
          <w:szCs w:val="14"/>
        </w:rPr>
      </w:pPr>
      <w:r w:rsidRPr="00C73ECC">
        <w:rPr>
          <w:rFonts w:ascii="Verdana" w:hAnsi="Verdana" w:cs="Arial"/>
          <w:sz w:val="14"/>
          <w:szCs w:val="14"/>
        </w:rPr>
        <w:t>Cuando la totalidad del presupuesto de una Entidad Estatal hace parte del presupuesto de otra con ocasión de un convenio o contrato interadministrativo, el monto del presupuesto de la primera deberá deducirse del presupuesto de la segunda para determinar la capacidad contractual de las Entidades</w:t>
      </w:r>
      <w:r w:rsidRPr="00C73ECC">
        <w:rPr>
          <w:rFonts w:ascii="Verdana" w:hAnsi="Verdana" w:cs="Arial"/>
          <w:spacing w:val="-1"/>
          <w:sz w:val="14"/>
          <w:szCs w:val="14"/>
        </w:rPr>
        <w:t xml:space="preserve"> </w:t>
      </w:r>
      <w:r w:rsidRPr="00C73ECC">
        <w:rPr>
          <w:rFonts w:ascii="Verdana" w:hAnsi="Verdana" w:cs="Arial"/>
          <w:sz w:val="14"/>
          <w:szCs w:val="14"/>
        </w:rPr>
        <w:t>Estatales”.</w:t>
      </w:r>
    </w:p>
  </w:footnote>
  <w:footnote w:id="3">
    <w:p w14:paraId="0F50ADBA" w14:textId="77777777" w:rsidR="00041256" w:rsidRPr="00C73ECC" w:rsidRDefault="00041256" w:rsidP="00041256">
      <w:pPr>
        <w:spacing w:after="0" w:line="240" w:lineRule="auto"/>
        <w:ind w:firstLine="709"/>
        <w:contextualSpacing/>
        <w:jc w:val="both"/>
        <w:rPr>
          <w:rFonts w:ascii="Verdana" w:hAnsi="Verdana" w:cs="Arial"/>
          <w:sz w:val="14"/>
          <w:szCs w:val="14"/>
        </w:rPr>
      </w:pPr>
      <w:r w:rsidRPr="00C73ECC">
        <w:rPr>
          <w:rStyle w:val="Refdenotaalpie"/>
          <w:rFonts w:ascii="Verdana" w:hAnsi="Verdana" w:cs="Arial"/>
          <w:sz w:val="14"/>
          <w:szCs w:val="14"/>
        </w:rPr>
        <w:footnoteRef/>
      </w:r>
      <w:r w:rsidRPr="00C73ECC">
        <w:rPr>
          <w:rFonts w:ascii="Verdana" w:hAnsi="Verdana" w:cs="Arial"/>
          <w:sz w:val="14"/>
          <w:szCs w:val="14"/>
        </w:rPr>
        <w:t xml:space="preserve"> 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w:t>
      </w:r>
      <w:r w:rsidRPr="00C73ECC">
        <w:rPr>
          <w:rFonts w:ascii="Verdana" w:hAnsi="Verdana" w:cs="Arial"/>
          <w:spacing w:val="-6"/>
          <w:sz w:val="14"/>
          <w:szCs w:val="14"/>
        </w:rPr>
        <w:t xml:space="preserve"> </w:t>
      </w:r>
      <w:r w:rsidRPr="00C73ECC">
        <w:rPr>
          <w:rFonts w:ascii="Verdana" w:hAnsi="Verdana" w:cs="Arial"/>
          <w:sz w:val="14"/>
          <w:szCs w:val="14"/>
        </w:rPr>
        <w:t>artículo”.</w:t>
      </w:r>
    </w:p>
    <w:p w14:paraId="2525648E" w14:textId="77777777" w:rsidR="00041256" w:rsidRPr="00C73ECC" w:rsidRDefault="00041256" w:rsidP="00041256">
      <w:pPr>
        <w:spacing w:after="0" w:line="240" w:lineRule="auto"/>
        <w:ind w:firstLine="709"/>
        <w:contextualSpacing/>
        <w:jc w:val="both"/>
        <w:rPr>
          <w:rFonts w:ascii="Verdana" w:hAnsi="Verdana" w:cs="Arial"/>
          <w:sz w:val="14"/>
          <w:szCs w:val="14"/>
        </w:rPr>
      </w:pPr>
    </w:p>
  </w:footnote>
  <w:footnote w:id="4">
    <w:p w14:paraId="268F66F7" w14:textId="77777777" w:rsidR="00041256" w:rsidRPr="00C73ECC" w:rsidRDefault="00041256" w:rsidP="00041256">
      <w:pPr>
        <w:pStyle w:val="Textonotapie"/>
        <w:ind w:firstLine="708"/>
        <w:rPr>
          <w:sz w:val="14"/>
          <w:szCs w:val="14"/>
        </w:rPr>
      </w:pPr>
      <w:r w:rsidRPr="00C73ECC">
        <w:rPr>
          <w:rStyle w:val="Refdenotaalpie"/>
          <w:sz w:val="14"/>
          <w:szCs w:val="14"/>
        </w:rPr>
        <w:footnoteRef/>
      </w:r>
      <w:r w:rsidRPr="00C73ECC">
        <w:rPr>
          <w:sz w:val="14"/>
          <w:szCs w:val="14"/>
          <w:lang w:val="pt-BR"/>
        </w:rPr>
        <w:t xml:space="preserve"> CORTE CONSTITUCIONAL. Sentencia C-671 de 2005. </w:t>
      </w:r>
      <w:r w:rsidRPr="00C73ECC">
        <w:rPr>
          <w:sz w:val="14"/>
          <w:szCs w:val="14"/>
        </w:rPr>
        <w:t xml:space="preserve">M.P. Álvaro Tafur Galvis. </w:t>
      </w:r>
    </w:p>
  </w:footnote>
  <w:footnote w:id="5">
    <w:p w14:paraId="666DE13A" w14:textId="77777777" w:rsidR="00041256" w:rsidRPr="00C73ECC" w:rsidRDefault="00041256" w:rsidP="00041256">
      <w:pPr>
        <w:pStyle w:val="Textonotapie"/>
        <w:ind w:firstLine="708"/>
        <w:jc w:val="both"/>
        <w:rPr>
          <w:rFonts w:ascii="Verdana" w:hAnsi="Verdana"/>
          <w:sz w:val="14"/>
          <w:szCs w:val="14"/>
          <w:lang w:val="es-CO"/>
        </w:rPr>
      </w:pPr>
      <w:r w:rsidRPr="00C73ECC">
        <w:rPr>
          <w:rStyle w:val="Refdenotaalpie"/>
          <w:rFonts w:ascii="Verdana" w:hAnsi="Verdana"/>
          <w:sz w:val="14"/>
          <w:szCs w:val="14"/>
        </w:rPr>
        <w:footnoteRef/>
      </w:r>
      <w:r w:rsidRPr="00C73ECC">
        <w:rPr>
          <w:rFonts w:ascii="Verdana" w:hAnsi="Verdana"/>
          <w:sz w:val="14"/>
          <w:szCs w:val="14"/>
        </w:rPr>
        <w:t xml:space="preserve"> </w:t>
      </w:r>
      <w:r w:rsidRPr="00C73ECC">
        <w:rPr>
          <w:rFonts w:ascii="Verdana" w:hAnsi="Verdana"/>
          <w:sz w:val="14"/>
          <w:szCs w:val="14"/>
          <w:lang w:val="es-CO"/>
        </w:rPr>
        <w:t xml:space="preserve">CONSEJO DE ESTADO, Sala de Consulta y Servicio Civil. Concepto no. 2257 del 26 de julio de 2016, C.P. Álvaro Namén Vargas; CONSEJO DE ESTADO, Sección Tercera, Subsección A. Sentencia del 23 de junio de 2010. C.P. Mauricio Fajardo Gómez. Exp 17860; Sección Tercera. Auto del 4 de octubre de 2024. C.P. Fredy Ibarra Martínez. Exp </w:t>
      </w:r>
      <w:r w:rsidRPr="00C73ECC">
        <w:rPr>
          <w:rFonts w:ascii="Verdana" w:hAnsi="Verdana"/>
          <w:bCs/>
          <w:sz w:val="14"/>
          <w:szCs w:val="14"/>
        </w:rPr>
        <w:t xml:space="preserve">70313. </w:t>
      </w:r>
    </w:p>
  </w:footnote>
  <w:footnote w:id="6">
    <w:p w14:paraId="2066638F" w14:textId="77777777" w:rsidR="00041256" w:rsidRPr="00C73ECC" w:rsidRDefault="00041256" w:rsidP="00041256">
      <w:pPr>
        <w:pStyle w:val="Textonotapie"/>
        <w:ind w:firstLine="708"/>
        <w:jc w:val="both"/>
        <w:rPr>
          <w:rFonts w:ascii="Verdana" w:hAnsi="Verdana"/>
          <w:sz w:val="14"/>
          <w:szCs w:val="14"/>
          <w:lang w:val="es-CO"/>
        </w:rPr>
      </w:pPr>
      <w:r w:rsidRPr="00C73ECC">
        <w:rPr>
          <w:rStyle w:val="Refdenotaalpie"/>
          <w:rFonts w:ascii="Verdana" w:hAnsi="Verdana"/>
          <w:sz w:val="14"/>
          <w:szCs w:val="14"/>
        </w:rPr>
        <w:footnoteRef/>
      </w:r>
      <w:r w:rsidRPr="00C73ECC">
        <w:rPr>
          <w:rFonts w:ascii="Verdana" w:hAnsi="Verdana"/>
          <w:sz w:val="14"/>
          <w:szCs w:val="14"/>
        </w:rPr>
        <w:t xml:space="preserve"> SANTOS RODRÍGUEZ, Jorge Enrique. Consideraciones sobre los contratos y convenios interadministrativos. En: Revista Digital de Derecho Administrativo, 2008. p.p. 10-11. De igual forma, Augusto Ramón Chavéz Marín expresa: “</w:t>
      </w:r>
      <w:r w:rsidRPr="00C73ECC">
        <w:rPr>
          <w:rFonts w:ascii="Verdana" w:hAnsi="Verdana"/>
          <w:sz w:val="14"/>
          <w:szCs w:val="14"/>
          <w:lang w:val="es-CO"/>
        </w:rPr>
        <w:t xml:space="preserve">Los convenios interadministrativos se distinguen de los contratos interadministrativos porque estos últimos, celebrados al igual que los primeros entre personas jurídicas públicas, no tienen como objeto la realización común de intereses compartidos como ocurre con los convenios interadministrativos típicos, sino el logro de los fines estatales de alguna de las partes. En los contratos interadministrativos se busca obtener de otra persona jurídica publica la prestación de un servicio específico, la ejecución de una obra o el suministro de un bien, en fin, la realización de una actividad determinada que podría llevar a cabo un particular” (CHAVÉZ MARÍN, Augusto Ramón. Los convenios de la Administración. Entre la gestión pública y la actividad contractual. Bogotá: Temis, 2020. p. 126). </w:t>
      </w:r>
    </w:p>
  </w:footnote>
  <w:footnote w:id="7">
    <w:p w14:paraId="13063799" w14:textId="77777777" w:rsidR="00041256" w:rsidRPr="00C73ECC" w:rsidRDefault="00041256" w:rsidP="00041256">
      <w:pPr>
        <w:pStyle w:val="Textonotapie"/>
        <w:ind w:firstLine="708"/>
        <w:jc w:val="both"/>
        <w:rPr>
          <w:rFonts w:ascii="Verdana" w:hAnsi="Verdana"/>
          <w:sz w:val="14"/>
          <w:szCs w:val="14"/>
          <w:lang w:val="es-ES"/>
        </w:rPr>
      </w:pPr>
      <w:r w:rsidRPr="00C73ECC">
        <w:rPr>
          <w:rStyle w:val="Refdenotaalpie"/>
          <w:rFonts w:ascii="Verdana" w:hAnsi="Verdana"/>
          <w:sz w:val="14"/>
          <w:szCs w:val="14"/>
        </w:rPr>
        <w:footnoteRef/>
      </w:r>
      <w:r w:rsidRPr="00C73ECC">
        <w:rPr>
          <w:rFonts w:ascii="Verdana" w:hAnsi="Verdana"/>
          <w:sz w:val="14"/>
          <w:szCs w:val="14"/>
        </w:rPr>
        <w:t xml:space="preserve"> CONSEJO DE ESTADO. Sección Tercera, Subsección A. Sentencia del 25 de mayo de 2025. C.P. María Adriana Marín Hernández. Exp. 70.504; CONSEJO DE ESTADO. Sección Tercera, Subsección A. Sentencia del 16 de agosto de 2022, C.P.: María Adriana Marín. Exp. 60434.</w:t>
      </w:r>
    </w:p>
  </w:footnote>
  <w:footnote w:id="8">
    <w:p w14:paraId="708FA978" w14:textId="77777777" w:rsidR="00041256" w:rsidRPr="00C73ECC" w:rsidRDefault="00041256" w:rsidP="00041256">
      <w:pPr>
        <w:pStyle w:val="Textonotapie"/>
        <w:ind w:firstLine="708"/>
        <w:jc w:val="both"/>
        <w:rPr>
          <w:rFonts w:ascii="Verdana" w:hAnsi="Verdana"/>
          <w:sz w:val="14"/>
          <w:szCs w:val="14"/>
          <w:lang w:val="es-ES"/>
        </w:rPr>
      </w:pPr>
      <w:r w:rsidRPr="00C73ECC">
        <w:rPr>
          <w:rStyle w:val="Refdenotaalpie"/>
          <w:rFonts w:ascii="Verdana" w:hAnsi="Verdana"/>
          <w:sz w:val="14"/>
          <w:szCs w:val="14"/>
        </w:rPr>
        <w:footnoteRef/>
      </w:r>
      <w:r w:rsidRPr="00C73ECC">
        <w:rPr>
          <w:rFonts w:ascii="Verdana" w:hAnsi="Verdana"/>
          <w:sz w:val="14"/>
          <w:szCs w:val="14"/>
        </w:rPr>
        <w:t xml:space="preserve"> </w:t>
      </w:r>
      <w:r w:rsidRPr="00C73ECC">
        <w:rPr>
          <w:rFonts w:ascii="Verdana" w:hAnsi="Verdana"/>
          <w:sz w:val="14"/>
          <w:szCs w:val="14"/>
          <w:lang w:val="es-CO"/>
        </w:rPr>
        <w:t xml:space="preserve">CONSEJO DE ESTADO. Sección Tercera, Subsección A. Sentencia del 14 de junio de 2019, C.P.: Marta Nubia Velásquez Rico. Rad.: 25000-23-37-000-2010-02552-01 (AP); CONSEJO DE ESTADO. Sección Tercera, Subsección A. Sentencia del 25 de mayo de 2025. C.P. María Adriana Marín Hernández. Exp. 70.504. </w:t>
      </w:r>
    </w:p>
  </w:footnote>
  <w:footnote w:id="9">
    <w:p w14:paraId="526545F9" w14:textId="77777777" w:rsidR="00041256" w:rsidRPr="00E8735C" w:rsidRDefault="00041256" w:rsidP="00041256">
      <w:pPr>
        <w:pStyle w:val="Textonotapie"/>
        <w:ind w:firstLine="709"/>
        <w:jc w:val="both"/>
        <w:rPr>
          <w:rFonts w:ascii="Verdana" w:hAnsi="Verdana" w:cs="Arial"/>
          <w:sz w:val="16"/>
          <w:szCs w:val="16"/>
          <w:lang w:val="es-CO"/>
        </w:rPr>
      </w:pPr>
      <w:r w:rsidRPr="00E8735C">
        <w:rPr>
          <w:rStyle w:val="Refdenotaalpie"/>
          <w:rFonts w:ascii="Verdana" w:hAnsi="Verdana" w:cs="Arial"/>
          <w:sz w:val="16"/>
          <w:szCs w:val="16"/>
        </w:rPr>
        <w:footnoteRef/>
      </w:r>
      <w:r w:rsidRPr="00E8735C">
        <w:rPr>
          <w:rFonts w:ascii="Verdana" w:hAnsi="Verdana" w:cs="Arial"/>
          <w:sz w:val="16"/>
          <w:szCs w:val="16"/>
        </w:rPr>
        <w:t xml:space="preserve"> CONSEJO DE ESTADO. Sección Tercera. Sentencia del 06 de junio de 2007. </w:t>
      </w:r>
      <w:r>
        <w:rPr>
          <w:rFonts w:ascii="Verdana" w:hAnsi="Verdana" w:cs="Arial"/>
          <w:sz w:val="16"/>
          <w:szCs w:val="16"/>
        </w:rPr>
        <w:t>C.P. Ruth Stella Correa Palacio</w:t>
      </w:r>
      <w:r w:rsidRPr="00E8735C">
        <w:rPr>
          <w:rFonts w:ascii="Verdana" w:hAnsi="Verdana" w:cs="Arial"/>
          <w:sz w:val="16"/>
          <w:szCs w:val="16"/>
        </w:rPr>
        <w:t>.</w:t>
      </w:r>
      <w:r>
        <w:rPr>
          <w:rFonts w:ascii="Verdana" w:hAnsi="Verdana" w:cs="Arial"/>
          <w:sz w:val="16"/>
          <w:szCs w:val="16"/>
        </w:rPr>
        <w:t xml:space="preserve"> </w:t>
      </w:r>
      <w:r w:rsidRPr="00C77FF6">
        <w:rPr>
          <w:rFonts w:ascii="Verdana" w:hAnsi="Verdana" w:cs="Arial"/>
          <w:sz w:val="16"/>
          <w:szCs w:val="16"/>
          <w:lang w:val="es-CO"/>
        </w:rPr>
        <w:t xml:space="preserve">Exp. 17.253. </w:t>
      </w:r>
      <w:r w:rsidRPr="00E8735C">
        <w:rPr>
          <w:rFonts w:ascii="Verdana" w:hAnsi="Verdana" w:cs="Arial"/>
          <w:sz w:val="16"/>
          <w:szCs w:val="16"/>
        </w:rPr>
        <w:t xml:space="preserve">Ver también </w:t>
      </w:r>
      <w:r>
        <w:rPr>
          <w:rFonts w:ascii="Verdana" w:hAnsi="Verdana" w:cs="Arial"/>
          <w:sz w:val="16"/>
          <w:szCs w:val="16"/>
        </w:rPr>
        <w:t>C</w:t>
      </w:r>
      <w:r w:rsidRPr="00E8735C">
        <w:rPr>
          <w:rFonts w:ascii="Verdana" w:hAnsi="Verdana" w:cs="Arial"/>
          <w:sz w:val="16"/>
          <w:szCs w:val="16"/>
        </w:rPr>
        <w:t xml:space="preserve">oncepto de la Sala de Consulta de Servicio Civil del Consejo de Estado del 7 febrero de 1997. </w:t>
      </w:r>
      <w:r>
        <w:rPr>
          <w:rFonts w:ascii="Verdana" w:hAnsi="Verdana" w:cs="Arial"/>
          <w:sz w:val="16"/>
          <w:szCs w:val="16"/>
        </w:rPr>
        <w:t xml:space="preserve">C.P. </w:t>
      </w:r>
      <w:r w:rsidRPr="00E8735C">
        <w:rPr>
          <w:rFonts w:ascii="Verdana" w:hAnsi="Verdana" w:cs="Arial"/>
          <w:sz w:val="16"/>
          <w:szCs w:val="16"/>
        </w:rPr>
        <w:t>Javier Henao Hidrón Exp. 934.</w:t>
      </w:r>
    </w:p>
  </w:footnote>
  <w:footnote w:id="10">
    <w:p w14:paraId="123A3228" w14:textId="77777777" w:rsidR="00041256" w:rsidRPr="00E8735C" w:rsidRDefault="00041256" w:rsidP="00041256">
      <w:pPr>
        <w:pStyle w:val="Textonotapie"/>
        <w:ind w:firstLine="709"/>
        <w:jc w:val="both"/>
        <w:rPr>
          <w:rFonts w:ascii="Verdana" w:hAnsi="Verdana" w:cs="Arial"/>
          <w:sz w:val="16"/>
          <w:szCs w:val="16"/>
        </w:rPr>
      </w:pPr>
      <w:r w:rsidRPr="00E8735C">
        <w:rPr>
          <w:rStyle w:val="Refdenotaalpie"/>
          <w:rFonts w:ascii="Verdana" w:hAnsi="Verdana" w:cs="Arial"/>
          <w:sz w:val="16"/>
          <w:szCs w:val="16"/>
        </w:rPr>
        <w:footnoteRef/>
      </w:r>
      <w:r w:rsidRPr="00E8735C">
        <w:rPr>
          <w:rFonts w:ascii="Verdana" w:hAnsi="Verdana" w:cs="Arial"/>
          <w:sz w:val="16"/>
          <w:szCs w:val="16"/>
        </w:rPr>
        <w:t xml:space="preserve"> CONSEJO DE ESTADO</w:t>
      </w:r>
      <w:r>
        <w:rPr>
          <w:rFonts w:ascii="Verdana" w:hAnsi="Verdana" w:cs="Arial"/>
          <w:sz w:val="16"/>
          <w:szCs w:val="16"/>
        </w:rPr>
        <w:t xml:space="preserve">. </w:t>
      </w:r>
      <w:r w:rsidRPr="00E8735C">
        <w:rPr>
          <w:rFonts w:ascii="Verdana" w:hAnsi="Verdana" w:cs="Arial"/>
          <w:sz w:val="16"/>
          <w:szCs w:val="16"/>
        </w:rPr>
        <w:t>Sección Cuarta</w:t>
      </w:r>
      <w:r>
        <w:rPr>
          <w:rFonts w:ascii="Verdana" w:hAnsi="Verdana" w:cs="Arial"/>
          <w:sz w:val="16"/>
          <w:szCs w:val="16"/>
        </w:rPr>
        <w:t>. Sentencia del</w:t>
      </w:r>
      <w:r w:rsidRPr="00E8735C">
        <w:rPr>
          <w:rFonts w:ascii="Verdana" w:hAnsi="Verdana" w:cs="Arial"/>
          <w:sz w:val="16"/>
          <w:szCs w:val="16"/>
        </w:rPr>
        <w:t xml:space="preserve"> 16 de septiembre de 2010.</w:t>
      </w:r>
      <w:r>
        <w:rPr>
          <w:rFonts w:ascii="Verdana" w:hAnsi="Verdana" w:cs="Arial"/>
          <w:sz w:val="16"/>
          <w:szCs w:val="16"/>
        </w:rPr>
        <w:t xml:space="preserve">. </w:t>
      </w:r>
      <w:r w:rsidRPr="00E8735C">
        <w:rPr>
          <w:rFonts w:ascii="Verdana" w:hAnsi="Verdana" w:cs="Arial"/>
          <w:sz w:val="16"/>
          <w:szCs w:val="16"/>
        </w:rPr>
        <w:t>C</w:t>
      </w:r>
      <w:r>
        <w:rPr>
          <w:rFonts w:ascii="Verdana" w:hAnsi="Verdana" w:cs="Arial"/>
          <w:sz w:val="16"/>
          <w:szCs w:val="16"/>
        </w:rPr>
        <w:t>.</w:t>
      </w:r>
      <w:r w:rsidRPr="00E8735C">
        <w:rPr>
          <w:rFonts w:ascii="Verdana" w:hAnsi="Verdana" w:cs="Arial"/>
          <w:sz w:val="16"/>
          <w:szCs w:val="16"/>
        </w:rPr>
        <w:t xml:space="preserve">P. Carmen Teresa Ortiz. </w:t>
      </w:r>
      <w:r w:rsidRPr="00C77FF6">
        <w:rPr>
          <w:rFonts w:ascii="Verdana" w:hAnsi="Verdana" w:cs="Arial"/>
          <w:sz w:val="16"/>
          <w:szCs w:val="16"/>
          <w:lang w:val="es-CO"/>
        </w:rPr>
        <w:t>Exp. 16605</w:t>
      </w:r>
      <w:r>
        <w:rPr>
          <w:rFonts w:ascii="Verdana" w:hAnsi="Verdana" w:cs="Arial"/>
          <w:sz w:val="16"/>
          <w:szCs w:val="16"/>
          <w:lang w:val="es-CO"/>
        </w:rPr>
        <w:t xml:space="preserve">. </w:t>
      </w:r>
    </w:p>
  </w:footnote>
  <w:footnote w:id="11">
    <w:p w14:paraId="5DA2F40F" w14:textId="77777777" w:rsidR="00041256" w:rsidRPr="00E8735C" w:rsidRDefault="00041256" w:rsidP="00041256">
      <w:pPr>
        <w:pStyle w:val="Textonotapie"/>
        <w:ind w:firstLine="709"/>
        <w:jc w:val="both"/>
        <w:rPr>
          <w:rFonts w:ascii="Verdana" w:hAnsi="Verdana" w:cs="Arial"/>
          <w:sz w:val="16"/>
          <w:szCs w:val="16"/>
        </w:rPr>
      </w:pPr>
      <w:r w:rsidRPr="00E8735C">
        <w:rPr>
          <w:rStyle w:val="Refdenotaalpie"/>
          <w:rFonts w:ascii="Verdana" w:hAnsi="Verdana" w:cs="Arial"/>
          <w:sz w:val="16"/>
          <w:szCs w:val="16"/>
        </w:rPr>
        <w:footnoteRef/>
      </w:r>
      <w:r w:rsidRPr="00E8735C">
        <w:rPr>
          <w:rFonts w:ascii="Verdana" w:hAnsi="Verdana" w:cs="Arial"/>
          <w:sz w:val="16"/>
          <w:szCs w:val="16"/>
        </w:rPr>
        <w:t xml:space="preserve"> CONSEJO DE ESTADO</w:t>
      </w:r>
      <w:r>
        <w:rPr>
          <w:rFonts w:ascii="Verdana" w:hAnsi="Verdana" w:cs="Arial"/>
          <w:sz w:val="16"/>
          <w:szCs w:val="16"/>
        </w:rPr>
        <w:t>.</w:t>
      </w:r>
      <w:r w:rsidRPr="00E8735C">
        <w:rPr>
          <w:rFonts w:ascii="Verdana" w:hAnsi="Verdana" w:cs="Arial"/>
          <w:sz w:val="16"/>
          <w:szCs w:val="16"/>
        </w:rPr>
        <w:t xml:space="preserve"> Sala de Consulta y Servicio Civil</w:t>
      </w:r>
      <w:r>
        <w:rPr>
          <w:rFonts w:ascii="Verdana" w:hAnsi="Verdana" w:cs="Arial"/>
          <w:sz w:val="16"/>
          <w:szCs w:val="16"/>
        </w:rPr>
        <w:t>. C</w:t>
      </w:r>
      <w:r w:rsidRPr="00E8735C">
        <w:rPr>
          <w:rFonts w:ascii="Verdana" w:hAnsi="Verdana" w:cs="Arial"/>
          <w:sz w:val="16"/>
          <w:szCs w:val="16"/>
        </w:rPr>
        <w:t xml:space="preserve">oncepto del 8 de marzo de 2017. </w:t>
      </w:r>
      <w:r>
        <w:rPr>
          <w:rFonts w:ascii="Verdana" w:hAnsi="Verdana" w:cs="Arial"/>
          <w:sz w:val="16"/>
          <w:szCs w:val="16"/>
        </w:rPr>
        <w:t>C.P.</w:t>
      </w:r>
      <w:r w:rsidRPr="00E8735C">
        <w:rPr>
          <w:rFonts w:ascii="Verdana" w:hAnsi="Verdana" w:cs="Arial"/>
          <w:sz w:val="16"/>
          <w:szCs w:val="16"/>
        </w:rPr>
        <w:t xml:space="preserve"> Edgar González López.</w:t>
      </w:r>
      <w:r w:rsidRPr="00C77FF6">
        <w:rPr>
          <w:rFonts w:ascii="Verdana" w:hAnsi="Verdana" w:cs="Arial"/>
          <w:sz w:val="16"/>
          <w:szCs w:val="16"/>
          <w:lang w:val="es-CO"/>
        </w:rPr>
        <w:t xml:space="preserve"> Rad. 2298.</w:t>
      </w:r>
    </w:p>
  </w:footnote>
  <w:footnote w:id="12">
    <w:p w14:paraId="4F79C0E2" w14:textId="77777777" w:rsidR="00041256" w:rsidRPr="00C77FF6" w:rsidRDefault="00041256" w:rsidP="00041256">
      <w:pPr>
        <w:pStyle w:val="Textonotapie"/>
        <w:ind w:firstLine="708"/>
        <w:jc w:val="both"/>
        <w:rPr>
          <w:rFonts w:ascii="Verdana" w:hAnsi="Verdana" w:cs="Arial"/>
          <w:sz w:val="16"/>
          <w:szCs w:val="16"/>
        </w:rPr>
      </w:pPr>
      <w:r w:rsidRPr="00E8735C">
        <w:rPr>
          <w:rStyle w:val="Refdenotaalpie"/>
          <w:rFonts w:ascii="Verdana" w:hAnsi="Verdana" w:cs="Arial"/>
          <w:sz w:val="16"/>
          <w:szCs w:val="16"/>
        </w:rPr>
        <w:footnoteRef/>
      </w:r>
      <w:r w:rsidRPr="00E8735C">
        <w:rPr>
          <w:rFonts w:ascii="Verdana" w:hAnsi="Verdana" w:cs="Arial"/>
          <w:sz w:val="16"/>
          <w:szCs w:val="16"/>
        </w:rPr>
        <w:t xml:space="preserve"> CONSEJO DE ESTADO</w:t>
      </w:r>
      <w:r>
        <w:rPr>
          <w:rFonts w:ascii="Verdana" w:hAnsi="Verdana" w:cs="Arial"/>
          <w:sz w:val="16"/>
          <w:szCs w:val="16"/>
        </w:rPr>
        <w:t xml:space="preserve">. </w:t>
      </w:r>
      <w:r w:rsidRPr="00E8735C">
        <w:rPr>
          <w:rFonts w:ascii="Verdana" w:hAnsi="Verdana" w:cs="Arial"/>
          <w:sz w:val="16"/>
          <w:szCs w:val="16"/>
        </w:rPr>
        <w:t>Sección Tercera</w:t>
      </w:r>
      <w:r>
        <w:rPr>
          <w:rFonts w:ascii="Verdana" w:hAnsi="Verdana" w:cs="Arial"/>
          <w:sz w:val="16"/>
          <w:szCs w:val="16"/>
        </w:rPr>
        <w:t xml:space="preserve">. </w:t>
      </w:r>
      <w:r w:rsidRPr="00E8735C">
        <w:rPr>
          <w:rFonts w:ascii="Verdana" w:hAnsi="Verdana" w:cs="Arial"/>
          <w:sz w:val="16"/>
          <w:szCs w:val="16"/>
        </w:rPr>
        <w:t>Subsección A</w:t>
      </w:r>
      <w:r>
        <w:rPr>
          <w:rFonts w:ascii="Verdana" w:hAnsi="Verdana" w:cs="Arial"/>
          <w:sz w:val="16"/>
          <w:szCs w:val="16"/>
        </w:rPr>
        <w:t>. S</w:t>
      </w:r>
      <w:r w:rsidRPr="00E8735C">
        <w:rPr>
          <w:rFonts w:ascii="Verdana" w:hAnsi="Verdana" w:cs="Arial"/>
          <w:sz w:val="16"/>
          <w:szCs w:val="16"/>
        </w:rPr>
        <w:t>entencia del 20 de noviembre de 2020.</w:t>
      </w:r>
      <w:r>
        <w:rPr>
          <w:rFonts w:ascii="Verdana" w:hAnsi="Verdana" w:cs="Arial"/>
          <w:sz w:val="16"/>
          <w:szCs w:val="16"/>
        </w:rPr>
        <w:t xml:space="preserve"> C.P. José Roberto Sáchica Méndez.</w:t>
      </w:r>
      <w:r w:rsidRPr="00C77FF6">
        <w:rPr>
          <w:rFonts w:ascii="Verdana" w:hAnsi="Verdana" w:cs="Arial"/>
          <w:sz w:val="16"/>
          <w:szCs w:val="16"/>
        </w:rPr>
        <w:t xml:space="preserve"> Exp. 47201.</w:t>
      </w:r>
    </w:p>
  </w:footnote>
  <w:footnote w:id="13">
    <w:p w14:paraId="0CE98B5A" w14:textId="77777777" w:rsidR="00041256" w:rsidRPr="00C77FF6" w:rsidRDefault="00041256" w:rsidP="00041256">
      <w:pPr>
        <w:spacing w:after="0" w:line="240" w:lineRule="auto"/>
        <w:ind w:firstLine="708"/>
        <w:jc w:val="both"/>
        <w:rPr>
          <w:rFonts w:ascii="Verdana" w:hAnsi="Verdana" w:cs="Arial"/>
          <w:sz w:val="16"/>
          <w:szCs w:val="16"/>
        </w:rPr>
      </w:pPr>
      <w:r w:rsidRPr="00E8735C">
        <w:rPr>
          <w:rStyle w:val="Refdenotaalpie"/>
          <w:rFonts w:ascii="Verdana" w:hAnsi="Verdana" w:cs="Arial"/>
          <w:sz w:val="16"/>
          <w:szCs w:val="16"/>
        </w:rPr>
        <w:footnoteRef/>
      </w:r>
      <w:r w:rsidRPr="00E8735C">
        <w:rPr>
          <w:rFonts w:ascii="Verdana" w:hAnsi="Verdana" w:cs="Arial"/>
          <w:sz w:val="16"/>
          <w:szCs w:val="16"/>
        </w:rPr>
        <w:t xml:space="preserve"> En este sentido, la jurisprudencia de la Subsección ha destacado que “Dos de los elementos descriptores que tanto la legislación civil como la mercantil comparten en torno al mandato aluden a i) que la gestión confiada se hace por cuenta y riesgo del mandante y ii) los actos ejercidos por el mandatario no obligan al mandante si han excedido los límites del encargo”. CONSEJO DE ESTADO</w:t>
      </w:r>
      <w:r>
        <w:rPr>
          <w:rFonts w:ascii="Verdana" w:hAnsi="Verdana" w:cs="Arial"/>
          <w:sz w:val="16"/>
          <w:szCs w:val="16"/>
        </w:rPr>
        <w:t>.</w:t>
      </w:r>
      <w:r w:rsidRPr="00E8735C">
        <w:rPr>
          <w:rFonts w:ascii="Verdana" w:hAnsi="Verdana" w:cs="Arial"/>
          <w:sz w:val="16"/>
          <w:szCs w:val="16"/>
        </w:rPr>
        <w:t xml:space="preserve"> Sección Tercera</w:t>
      </w:r>
      <w:r>
        <w:rPr>
          <w:rFonts w:ascii="Verdana" w:hAnsi="Verdana" w:cs="Arial"/>
          <w:sz w:val="16"/>
          <w:szCs w:val="16"/>
        </w:rPr>
        <w:t>.</w:t>
      </w:r>
      <w:r w:rsidRPr="00E8735C">
        <w:rPr>
          <w:rFonts w:ascii="Verdana" w:hAnsi="Verdana" w:cs="Arial"/>
          <w:sz w:val="16"/>
          <w:szCs w:val="16"/>
        </w:rPr>
        <w:t xml:space="preserve"> Subsección A. Sentencia del 1 de octubre de 2018. C.P</w:t>
      </w:r>
      <w:r>
        <w:rPr>
          <w:rFonts w:ascii="Verdana" w:hAnsi="Verdana" w:cs="Arial"/>
          <w:sz w:val="16"/>
          <w:szCs w:val="16"/>
        </w:rPr>
        <w:t>.</w:t>
      </w:r>
      <w:r w:rsidRPr="00E8735C">
        <w:rPr>
          <w:rFonts w:ascii="Verdana" w:hAnsi="Verdana" w:cs="Arial"/>
          <w:sz w:val="16"/>
          <w:szCs w:val="16"/>
        </w:rPr>
        <w:t xml:space="preserve"> Marta Nubia Velásquez Rico. </w:t>
      </w:r>
      <w:r w:rsidRPr="00C77FF6">
        <w:rPr>
          <w:rFonts w:ascii="Verdana" w:hAnsi="Verdana" w:cs="Arial"/>
          <w:sz w:val="16"/>
          <w:szCs w:val="16"/>
        </w:rPr>
        <w:t>Exp. 57.897.</w:t>
      </w:r>
    </w:p>
  </w:footnote>
  <w:footnote w:id="14">
    <w:p w14:paraId="7693A8B9" w14:textId="77777777" w:rsidR="00041256" w:rsidRPr="00E8735C" w:rsidRDefault="00041256" w:rsidP="00041256">
      <w:pPr>
        <w:pStyle w:val="Textonotapie"/>
        <w:ind w:firstLine="708"/>
        <w:jc w:val="both"/>
        <w:rPr>
          <w:rFonts w:ascii="Verdana" w:hAnsi="Verdana" w:cs="Arial"/>
          <w:sz w:val="16"/>
          <w:szCs w:val="16"/>
        </w:rPr>
      </w:pPr>
      <w:r w:rsidRPr="00E8735C">
        <w:rPr>
          <w:rStyle w:val="Refdenotaalpie"/>
          <w:rFonts w:ascii="Verdana" w:hAnsi="Verdana" w:cs="Arial"/>
          <w:sz w:val="16"/>
          <w:szCs w:val="16"/>
        </w:rPr>
        <w:footnoteRef/>
      </w:r>
      <w:r w:rsidRPr="00E8735C">
        <w:rPr>
          <w:rFonts w:ascii="Verdana" w:hAnsi="Verdana" w:cs="Arial"/>
          <w:sz w:val="16"/>
          <w:szCs w:val="16"/>
        </w:rPr>
        <w:t xml:space="preserve"> CORTE SUPREMA DE JUSTICIA</w:t>
      </w:r>
      <w:r>
        <w:rPr>
          <w:rFonts w:ascii="Verdana" w:hAnsi="Verdana" w:cs="Arial"/>
          <w:sz w:val="16"/>
          <w:szCs w:val="16"/>
        </w:rPr>
        <w:t>.</w:t>
      </w:r>
      <w:r w:rsidRPr="00E8735C">
        <w:rPr>
          <w:rFonts w:ascii="Verdana" w:hAnsi="Verdana" w:cs="Arial"/>
          <w:sz w:val="16"/>
          <w:szCs w:val="16"/>
        </w:rPr>
        <w:t xml:space="preserve"> Sala de Casación Civil. Sentencia del 17 de abril de 2007. </w:t>
      </w:r>
      <w:r>
        <w:rPr>
          <w:rFonts w:ascii="Verdana" w:hAnsi="Verdana" w:cs="Arial"/>
          <w:sz w:val="16"/>
          <w:szCs w:val="16"/>
        </w:rPr>
        <w:t>M.P.</w:t>
      </w:r>
      <w:r w:rsidRPr="00E8735C">
        <w:rPr>
          <w:rFonts w:ascii="Verdana" w:hAnsi="Verdana" w:cs="Arial"/>
          <w:sz w:val="16"/>
          <w:szCs w:val="16"/>
        </w:rPr>
        <w:t xml:space="preserve"> Ped</w:t>
      </w:r>
      <w:r>
        <w:rPr>
          <w:rFonts w:ascii="Verdana" w:hAnsi="Verdana" w:cs="Arial"/>
          <w:sz w:val="16"/>
          <w:szCs w:val="16"/>
        </w:rPr>
        <w:t>r</w:t>
      </w:r>
      <w:r w:rsidRPr="00E8735C">
        <w:rPr>
          <w:rFonts w:ascii="Verdana" w:hAnsi="Verdana" w:cs="Arial"/>
          <w:sz w:val="16"/>
          <w:szCs w:val="16"/>
        </w:rPr>
        <w:t xml:space="preserve">o Octavio Munar Cadena. </w:t>
      </w:r>
      <w:r w:rsidRPr="00C77FF6">
        <w:rPr>
          <w:rFonts w:ascii="Verdana" w:hAnsi="Verdana" w:cs="Arial"/>
          <w:sz w:val="16"/>
          <w:szCs w:val="16"/>
          <w:lang w:val="es-CO"/>
        </w:rPr>
        <w:t>Exp. 00645.</w:t>
      </w:r>
      <w:r w:rsidRPr="00E8735C">
        <w:rPr>
          <w:rFonts w:ascii="Verdana" w:hAnsi="Verdana" w:cs="Arial"/>
          <w:sz w:val="16"/>
          <w:szCs w:val="16"/>
        </w:rPr>
        <w:t xml:space="preserve"> </w:t>
      </w:r>
    </w:p>
  </w:footnote>
  <w:footnote w:id="15">
    <w:p w14:paraId="19BCC7C8" w14:textId="77777777" w:rsidR="00041256" w:rsidRPr="00C77FF6" w:rsidRDefault="00041256" w:rsidP="00041256">
      <w:pPr>
        <w:spacing w:after="0"/>
        <w:ind w:firstLine="708"/>
        <w:jc w:val="both"/>
        <w:rPr>
          <w:rFonts w:ascii="Verdana" w:hAnsi="Verdana" w:cs="Arial"/>
          <w:sz w:val="16"/>
          <w:szCs w:val="16"/>
          <w:lang w:val="es-ES"/>
        </w:rPr>
      </w:pPr>
      <w:r w:rsidRPr="00E8735C">
        <w:rPr>
          <w:rStyle w:val="Refdenotaalpie"/>
          <w:rFonts w:ascii="Verdana" w:hAnsi="Verdana" w:cs="Arial"/>
          <w:sz w:val="16"/>
          <w:szCs w:val="16"/>
        </w:rPr>
        <w:footnoteRef/>
      </w:r>
      <w:r>
        <w:rPr>
          <w:rFonts w:ascii="Verdana" w:hAnsi="Verdana" w:cs="Arial"/>
          <w:sz w:val="16"/>
          <w:szCs w:val="16"/>
        </w:rPr>
        <w:t xml:space="preserve"> </w:t>
      </w:r>
      <w:r w:rsidRPr="00E8735C">
        <w:rPr>
          <w:rFonts w:ascii="Verdana" w:hAnsi="Verdana" w:cs="Arial"/>
          <w:sz w:val="16"/>
          <w:szCs w:val="16"/>
          <w:lang w:val="es-ES"/>
        </w:rPr>
        <w:t>CONSEJO DE ESTADO</w:t>
      </w:r>
      <w:r>
        <w:rPr>
          <w:rFonts w:ascii="Verdana" w:hAnsi="Verdana" w:cs="Arial"/>
          <w:sz w:val="16"/>
          <w:szCs w:val="16"/>
          <w:lang w:val="es-ES"/>
        </w:rPr>
        <w:t xml:space="preserve">. </w:t>
      </w:r>
      <w:r w:rsidRPr="00E8735C">
        <w:rPr>
          <w:rFonts w:ascii="Verdana" w:hAnsi="Verdana" w:cs="Arial"/>
          <w:sz w:val="16"/>
          <w:szCs w:val="16"/>
          <w:lang w:val="es-ES"/>
        </w:rPr>
        <w:t>Sección Cuarta</w:t>
      </w:r>
      <w:r>
        <w:rPr>
          <w:rFonts w:ascii="Verdana" w:hAnsi="Verdana" w:cs="Arial"/>
          <w:sz w:val="16"/>
          <w:szCs w:val="16"/>
          <w:lang w:val="es-ES"/>
        </w:rPr>
        <w:t>. S</w:t>
      </w:r>
      <w:r w:rsidRPr="00E8735C">
        <w:rPr>
          <w:rFonts w:ascii="Verdana" w:hAnsi="Verdana" w:cs="Arial"/>
          <w:sz w:val="16"/>
          <w:szCs w:val="16"/>
          <w:lang w:val="es-ES"/>
        </w:rPr>
        <w:t xml:space="preserve">entencia del 15 de octubre de 2021. </w:t>
      </w:r>
      <w:r>
        <w:rPr>
          <w:rFonts w:ascii="Verdana" w:hAnsi="Verdana" w:cs="Arial"/>
          <w:sz w:val="16"/>
          <w:szCs w:val="16"/>
          <w:lang w:val="es-ES"/>
        </w:rPr>
        <w:t>C.P.</w:t>
      </w:r>
      <w:r w:rsidRPr="00E8735C">
        <w:rPr>
          <w:rFonts w:ascii="Verdana" w:hAnsi="Verdana" w:cs="Arial"/>
          <w:sz w:val="16"/>
          <w:szCs w:val="16"/>
          <w:lang w:val="es-ES"/>
        </w:rPr>
        <w:t xml:space="preserve"> Myriam Stella Gutiérrez Argüello.</w:t>
      </w:r>
      <w:r>
        <w:rPr>
          <w:rFonts w:ascii="Verdana" w:hAnsi="Verdana" w:cs="Arial"/>
          <w:sz w:val="16"/>
          <w:szCs w:val="16"/>
          <w:lang w:val="es-ES"/>
        </w:rPr>
        <w:t xml:space="preserve"> </w:t>
      </w:r>
      <w:r w:rsidRPr="00C77FF6">
        <w:rPr>
          <w:rFonts w:ascii="Verdana" w:hAnsi="Verdana" w:cs="Arial"/>
          <w:sz w:val="16"/>
          <w:szCs w:val="16"/>
          <w:lang w:val="es-ES"/>
        </w:rPr>
        <w:t>Exp. 24376.</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A72753" w:rsidRDefault="00A72753">
    <w:pPr>
      <w:pStyle w:val="Encabezado"/>
    </w:pPr>
    <w:r>
      <w:rPr>
        <w:rFonts w:ascii="Geomanist Bold" w:hAnsi="Geomanist Bold"/>
        <w:b/>
        <w:bCs/>
        <w:noProof/>
        <w:color w:val="002060"/>
        <w:sz w:val="24"/>
        <w:szCs w:val="24"/>
        <w:lang w:val="en-US"/>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lang w:val="en-US"/>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A72753" w:rsidRDefault="00A72753">
    <w:pPr>
      <w:pStyle w:val="Encabezado"/>
    </w:pPr>
  </w:p>
  <w:p w14:paraId="3079FC11" w14:textId="77777777" w:rsidR="00A72753" w:rsidRDefault="00A72753" w:rsidP="004A305D">
    <w:pPr>
      <w:spacing w:after="0"/>
      <w:rPr>
        <w:rFonts w:ascii="Verdana" w:hAnsi="Verdana"/>
        <w:b/>
        <w:bCs/>
      </w:rPr>
    </w:pPr>
  </w:p>
  <w:p w14:paraId="5E18350A" w14:textId="705F7B76" w:rsidR="00A72753" w:rsidRPr="004A305D" w:rsidRDefault="00A72753" w:rsidP="00B01B1A">
    <w:pPr>
      <w:spacing w:after="0" w:line="120" w:lineRule="auto"/>
      <w:rPr>
        <w:rFonts w:ascii="Century Gothic" w:eastAsia="Geo" w:hAnsi="Century Gothic" w:cs="Geo"/>
        <w:sz w:val="16"/>
        <w:szCs w:val="16"/>
        <w:lang w:eastAsia="es-CO"/>
      </w:rPr>
    </w:pPr>
  </w:p>
  <w:p w14:paraId="1FD1C243" w14:textId="6D74A3CF" w:rsidR="00A72753" w:rsidRDefault="00A72753"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11.5pt;height:11.5pt" o:bullet="t">
        <v:imagedata r:id="rId1" o:title="mso1B13"/>
      </v:shape>
    </w:pict>
  </w:numPicBullet>
  <w:abstractNum w:abstractNumId="0" w15:restartNumberingAfterBreak="0">
    <w:nsid w:val="C106FD55"/>
    <w:multiLevelType w:val="hybridMultilevel"/>
    <w:tmpl w:val="8994ABC4"/>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FEB70DFB"/>
    <w:multiLevelType w:val="hybridMultilevel"/>
    <w:tmpl w:val="0EAD77CD"/>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3"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3520020"/>
    <w:multiLevelType w:val="hybridMultilevel"/>
    <w:tmpl w:val="D6F4F646"/>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5"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6" w15:restartNumberingAfterBreak="0">
    <w:nsid w:val="117A1800"/>
    <w:multiLevelType w:val="hybridMultilevel"/>
    <w:tmpl w:val="9C3292A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7" w15:restartNumberingAfterBreak="0">
    <w:nsid w:val="151B5B4E"/>
    <w:multiLevelType w:val="hybridMultilevel"/>
    <w:tmpl w:val="C3923F82"/>
    <w:lvl w:ilvl="0" w:tplc="ECBA3926">
      <w:start w:val="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8" w15:restartNumberingAfterBreak="0">
    <w:nsid w:val="1CAC2B7C"/>
    <w:multiLevelType w:val="hybridMultilevel"/>
    <w:tmpl w:val="6E08C6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3036501"/>
    <w:multiLevelType w:val="hybridMultilevel"/>
    <w:tmpl w:val="0C9E4C5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80B64EC"/>
    <w:multiLevelType w:val="hybridMultilevel"/>
    <w:tmpl w:val="DC66CC38"/>
    <w:lvl w:ilvl="0" w:tplc="63D44D3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2CDBF6B6"/>
    <w:multiLevelType w:val="hybridMultilevel"/>
    <w:tmpl w:val="E00CB3DE"/>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15:restartNumberingAfterBreak="0">
    <w:nsid w:val="2D5425A2"/>
    <w:multiLevelType w:val="hybridMultilevel"/>
    <w:tmpl w:val="405C6ADC"/>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0" w15:restartNumberingAfterBreak="0">
    <w:nsid w:val="39EF4B51"/>
    <w:multiLevelType w:val="hybridMultilevel"/>
    <w:tmpl w:val="8B70B36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3A4771A8"/>
    <w:multiLevelType w:val="hybridMultilevel"/>
    <w:tmpl w:val="0E1245A2"/>
    <w:lvl w:ilvl="0" w:tplc="89122320">
      <w:start w:val="1"/>
      <w:numFmt w:val="lowerRoman"/>
      <w:lvlText w:val="%1."/>
      <w:lvlJc w:val="left"/>
      <w:pPr>
        <w:ind w:left="1080" w:hanging="720"/>
      </w:pPr>
      <w:rPr>
        <w:rFonts w:eastAsia="Calibri"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5D655E8"/>
    <w:multiLevelType w:val="hybridMultilevel"/>
    <w:tmpl w:val="0C9E4C5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3" w15:restartNumberingAfterBreak="0">
    <w:nsid w:val="470783B2"/>
    <w:multiLevelType w:val="hybridMultilevel"/>
    <w:tmpl w:val="949ED623"/>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4" w15:restartNumberingAfterBreak="0">
    <w:nsid w:val="495A4E35"/>
    <w:multiLevelType w:val="hybridMultilevel"/>
    <w:tmpl w:val="2F4615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1E463C4"/>
    <w:multiLevelType w:val="hybridMultilevel"/>
    <w:tmpl w:val="2F4A9DAC"/>
    <w:lvl w:ilvl="0" w:tplc="080A0001">
      <w:start w:val="1"/>
      <w:numFmt w:val="bullet"/>
      <w:lvlText w:val=""/>
      <w:lvlJc w:val="left"/>
      <w:pPr>
        <w:ind w:left="360" w:hanging="360"/>
      </w:pPr>
      <w:rPr>
        <w:rFonts w:ascii="Symbol" w:hAnsi="Symbol" w:hint="default"/>
      </w:rPr>
    </w:lvl>
    <w:lvl w:ilvl="1" w:tplc="080A0003">
      <w:start w:val="1"/>
      <w:numFmt w:val="bullet"/>
      <w:lvlText w:val="o"/>
      <w:lvlJc w:val="left"/>
      <w:pPr>
        <w:ind w:left="1080" w:hanging="360"/>
      </w:pPr>
      <w:rPr>
        <w:rFonts w:ascii="Courier New" w:hAnsi="Courier New" w:cs="Courier New" w:hint="default"/>
      </w:rPr>
    </w:lvl>
    <w:lvl w:ilvl="2" w:tplc="080A0005">
      <w:start w:val="1"/>
      <w:numFmt w:val="bullet"/>
      <w:lvlText w:val=""/>
      <w:lvlJc w:val="left"/>
      <w:pPr>
        <w:ind w:left="1800" w:hanging="360"/>
      </w:pPr>
      <w:rPr>
        <w:rFonts w:ascii="Wingdings" w:hAnsi="Wingdings" w:hint="default"/>
      </w:rPr>
    </w:lvl>
    <w:lvl w:ilvl="3" w:tplc="080A0001">
      <w:start w:val="1"/>
      <w:numFmt w:val="bullet"/>
      <w:lvlText w:val=""/>
      <w:lvlJc w:val="left"/>
      <w:pPr>
        <w:ind w:left="2520" w:hanging="360"/>
      </w:pPr>
      <w:rPr>
        <w:rFonts w:ascii="Symbol" w:hAnsi="Symbol" w:hint="default"/>
      </w:rPr>
    </w:lvl>
    <w:lvl w:ilvl="4" w:tplc="080A0003">
      <w:start w:val="1"/>
      <w:numFmt w:val="bullet"/>
      <w:lvlText w:val="o"/>
      <w:lvlJc w:val="left"/>
      <w:pPr>
        <w:ind w:left="3240" w:hanging="360"/>
      </w:pPr>
      <w:rPr>
        <w:rFonts w:ascii="Courier New" w:hAnsi="Courier New" w:cs="Courier New" w:hint="default"/>
      </w:rPr>
    </w:lvl>
    <w:lvl w:ilvl="5" w:tplc="080A0005">
      <w:start w:val="1"/>
      <w:numFmt w:val="bullet"/>
      <w:lvlText w:val=""/>
      <w:lvlJc w:val="left"/>
      <w:pPr>
        <w:ind w:left="3960" w:hanging="360"/>
      </w:pPr>
      <w:rPr>
        <w:rFonts w:ascii="Wingdings" w:hAnsi="Wingdings" w:hint="default"/>
      </w:rPr>
    </w:lvl>
    <w:lvl w:ilvl="6" w:tplc="080A0001">
      <w:start w:val="1"/>
      <w:numFmt w:val="bullet"/>
      <w:lvlText w:val=""/>
      <w:lvlJc w:val="left"/>
      <w:pPr>
        <w:ind w:left="4680" w:hanging="360"/>
      </w:pPr>
      <w:rPr>
        <w:rFonts w:ascii="Symbol" w:hAnsi="Symbol" w:hint="default"/>
      </w:rPr>
    </w:lvl>
    <w:lvl w:ilvl="7" w:tplc="080A0003">
      <w:start w:val="1"/>
      <w:numFmt w:val="bullet"/>
      <w:lvlText w:val="o"/>
      <w:lvlJc w:val="left"/>
      <w:pPr>
        <w:ind w:left="5400" w:hanging="360"/>
      </w:pPr>
      <w:rPr>
        <w:rFonts w:ascii="Courier New" w:hAnsi="Courier New" w:cs="Courier New" w:hint="default"/>
      </w:rPr>
    </w:lvl>
    <w:lvl w:ilvl="8" w:tplc="080A0005">
      <w:start w:val="1"/>
      <w:numFmt w:val="bullet"/>
      <w:lvlText w:val=""/>
      <w:lvlJc w:val="left"/>
      <w:pPr>
        <w:ind w:left="6120" w:hanging="360"/>
      </w:pPr>
      <w:rPr>
        <w:rFonts w:ascii="Wingdings" w:hAnsi="Wingdings" w:hint="default"/>
      </w:rPr>
    </w:lvl>
  </w:abstractNum>
  <w:abstractNum w:abstractNumId="26" w15:restartNumberingAfterBreak="0">
    <w:nsid w:val="59642751"/>
    <w:multiLevelType w:val="multilevel"/>
    <w:tmpl w:val="2C12214E"/>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7" w15:restartNumberingAfterBreak="0">
    <w:nsid w:val="5AB17DA7"/>
    <w:multiLevelType w:val="hybridMultilevel"/>
    <w:tmpl w:val="920C6EDC"/>
    <w:lvl w:ilvl="0" w:tplc="A6C42E5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15:restartNumberingAfterBreak="0">
    <w:nsid w:val="5AE07B1E"/>
    <w:multiLevelType w:val="multilevel"/>
    <w:tmpl w:val="6F14CB5E"/>
    <w:lvl w:ilvl="0">
      <w:start w:val="1"/>
      <w:numFmt w:val="decimal"/>
      <w:lvlText w:val="%1."/>
      <w:lvlJc w:val="left"/>
      <w:pPr>
        <w:ind w:left="360" w:hanging="360"/>
      </w:pPr>
      <w:rPr>
        <w:rFonts w:hint="default"/>
        <w:b/>
        <w:bCs/>
      </w:rPr>
    </w:lvl>
    <w:lvl w:ilvl="1">
      <w:start w:val="1"/>
      <w:numFmt w:val="decimal"/>
      <w:isLgl/>
      <w:lvlText w:val="%1.%2"/>
      <w:lvlJc w:val="left"/>
      <w:pPr>
        <w:ind w:left="372" w:hanging="372"/>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9" w15:restartNumberingAfterBreak="0">
    <w:nsid w:val="5F5829CA"/>
    <w:multiLevelType w:val="hybridMultilevel"/>
    <w:tmpl w:val="1EA9E0D3"/>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31" w15:restartNumberingAfterBreak="0">
    <w:nsid w:val="691F10D9"/>
    <w:multiLevelType w:val="hybridMultilevel"/>
    <w:tmpl w:val="5978BC3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730C755D"/>
    <w:multiLevelType w:val="hybridMultilevel"/>
    <w:tmpl w:val="EEC2153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7C5E69C5"/>
    <w:multiLevelType w:val="hybridMultilevel"/>
    <w:tmpl w:val="D1EA8408"/>
    <w:lvl w:ilvl="0" w:tplc="04090001">
      <w:start w:val="1"/>
      <w:numFmt w:val="bullet"/>
      <w:lvlText w:val=""/>
      <w:lvlJc w:val="left"/>
      <w:pPr>
        <w:ind w:left="1428" w:hanging="360"/>
      </w:pPr>
      <w:rPr>
        <w:rFonts w:ascii="Symbol" w:hAnsi="Symbol" w:hint="default"/>
      </w:rPr>
    </w:lvl>
    <w:lvl w:ilvl="1" w:tplc="04090003" w:tentative="1">
      <w:start w:val="1"/>
      <w:numFmt w:val="bullet"/>
      <w:lvlText w:val="o"/>
      <w:lvlJc w:val="left"/>
      <w:pPr>
        <w:ind w:left="2148" w:hanging="360"/>
      </w:pPr>
      <w:rPr>
        <w:rFonts w:ascii="Courier New" w:hAnsi="Courier New" w:cs="Courier New" w:hint="default"/>
      </w:rPr>
    </w:lvl>
    <w:lvl w:ilvl="2" w:tplc="04090005" w:tentative="1">
      <w:start w:val="1"/>
      <w:numFmt w:val="bullet"/>
      <w:lvlText w:val=""/>
      <w:lvlJc w:val="left"/>
      <w:pPr>
        <w:ind w:left="2868" w:hanging="360"/>
      </w:pPr>
      <w:rPr>
        <w:rFonts w:ascii="Wingdings" w:hAnsi="Wingdings" w:hint="default"/>
      </w:rPr>
    </w:lvl>
    <w:lvl w:ilvl="3" w:tplc="04090001" w:tentative="1">
      <w:start w:val="1"/>
      <w:numFmt w:val="bullet"/>
      <w:lvlText w:val=""/>
      <w:lvlJc w:val="left"/>
      <w:pPr>
        <w:ind w:left="3588" w:hanging="360"/>
      </w:pPr>
      <w:rPr>
        <w:rFonts w:ascii="Symbol" w:hAnsi="Symbol" w:hint="default"/>
      </w:rPr>
    </w:lvl>
    <w:lvl w:ilvl="4" w:tplc="04090003" w:tentative="1">
      <w:start w:val="1"/>
      <w:numFmt w:val="bullet"/>
      <w:lvlText w:val="o"/>
      <w:lvlJc w:val="left"/>
      <w:pPr>
        <w:ind w:left="4308" w:hanging="360"/>
      </w:pPr>
      <w:rPr>
        <w:rFonts w:ascii="Courier New" w:hAnsi="Courier New" w:cs="Courier New" w:hint="default"/>
      </w:rPr>
    </w:lvl>
    <w:lvl w:ilvl="5" w:tplc="04090005" w:tentative="1">
      <w:start w:val="1"/>
      <w:numFmt w:val="bullet"/>
      <w:lvlText w:val=""/>
      <w:lvlJc w:val="left"/>
      <w:pPr>
        <w:ind w:left="5028" w:hanging="360"/>
      </w:pPr>
      <w:rPr>
        <w:rFonts w:ascii="Wingdings" w:hAnsi="Wingdings" w:hint="default"/>
      </w:rPr>
    </w:lvl>
    <w:lvl w:ilvl="6" w:tplc="04090001" w:tentative="1">
      <w:start w:val="1"/>
      <w:numFmt w:val="bullet"/>
      <w:lvlText w:val=""/>
      <w:lvlJc w:val="left"/>
      <w:pPr>
        <w:ind w:left="5748" w:hanging="360"/>
      </w:pPr>
      <w:rPr>
        <w:rFonts w:ascii="Symbol" w:hAnsi="Symbol" w:hint="default"/>
      </w:rPr>
    </w:lvl>
    <w:lvl w:ilvl="7" w:tplc="04090003" w:tentative="1">
      <w:start w:val="1"/>
      <w:numFmt w:val="bullet"/>
      <w:lvlText w:val="o"/>
      <w:lvlJc w:val="left"/>
      <w:pPr>
        <w:ind w:left="6468" w:hanging="360"/>
      </w:pPr>
      <w:rPr>
        <w:rFonts w:ascii="Courier New" w:hAnsi="Courier New" w:cs="Courier New" w:hint="default"/>
      </w:rPr>
    </w:lvl>
    <w:lvl w:ilvl="8" w:tplc="04090005" w:tentative="1">
      <w:start w:val="1"/>
      <w:numFmt w:val="bullet"/>
      <w:lvlText w:val=""/>
      <w:lvlJc w:val="left"/>
      <w:pPr>
        <w:ind w:left="7188" w:hanging="360"/>
      </w:pPr>
      <w:rPr>
        <w:rFonts w:ascii="Wingdings" w:hAnsi="Wingdings" w:hint="default"/>
      </w:rPr>
    </w:lvl>
  </w:abstractNum>
  <w:num w:numId="1" w16cid:durableId="2073650818">
    <w:abstractNumId w:val="16"/>
  </w:num>
  <w:num w:numId="2" w16cid:durableId="1740444523">
    <w:abstractNumId w:val="5"/>
  </w:num>
  <w:num w:numId="3" w16cid:durableId="1761826400">
    <w:abstractNumId w:val="14"/>
  </w:num>
  <w:num w:numId="4" w16cid:durableId="1449541601">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550920698">
    <w:abstractNumId w:val="5"/>
  </w:num>
  <w:num w:numId="6" w16cid:durableId="1119838526">
    <w:abstractNumId w:val="34"/>
  </w:num>
  <w:num w:numId="7" w16cid:durableId="1748990979">
    <w:abstractNumId w:val="15"/>
  </w:num>
  <w:num w:numId="8" w16cid:durableId="2144956049">
    <w:abstractNumId w:val="33"/>
  </w:num>
  <w:num w:numId="9" w16cid:durableId="869150998">
    <w:abstractNumId w:val="17"/>
  </w:num>
  <w:num w:numId="10" w16cid:durableId="127749358">
    <w:abstractNumId w:val="32"/>
  </w:num>
  <w:num w:numId="11" w16cid:durableId="4675506">
    <w:abstractNumId w:val="18"/>
  </w:num>
  <w:num w:numId="12" w16cid:durableId="767506214">
    <w:abstractNumId w:val="3"/>
  </w:num>
  <w:num w:numId="13" w16cid:durableId="2118287091">
    <w:abstractNumId w:val="10"/>
  </w:num>
  <w:num w:numId="14" w16cid:durableId="1441294345">
    <w:abstractNumId w:val="35"/>
  </w:num>
  <w:num w:numId="15" w16cid:durableId="86076910">
    <w:abstractNumId w:val="30"/>
  </w:num>
  <w:num w:numId="16" w16cid:durableId="1064252795">
    <w:abstractNumId w:val="2"/>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187331405">
    <w:abstractNumId w:val="6"/>
  </w:num>
  <w:num w:numId="18" w16cid:durableId="71894641">
    <w:abstractNumId w:val="28"/>
  </w:num>
  <w:num w:numId="19" w16cid:durableId="654719464">
    <w:abstractNumId w:val="13"/>
  </w:num>
  <w:num w:numId="20" w16cid:durableId="260651149">
    <w:abstractNumId w:val="19"/>
  </w:num>
  <w:num w:numId="21" w16cid:durableId="997458886">
    <w:abstractNumId w:val="37"/>
  </w:num>
  <w:num w:numId="22" w16cid:durableId="306663718">
    <w:abstractNumId w:val="22"/>
  </w:num>
  <w:num w:numId="23" w16cid:durableId="525487512">
    <w:abstractNumId w:val="9"/>
  </w:num>
  <w:num w:numId="24" w16cid:durableId="888761392">
    <w:abstractNumId w:val="20"/>
  </w:num>
  <w:num w:numId="25" w16cid:durableId="2033144821">
    <w:abstractNumId w:val="4"/>
  </w:num>
  <w:num w:numId="26" w16cid:durableId="2144616445">
    <w:abstractNumId w:val="7"/>
  </w:num>
  <w:num w:numId="27" w16cid:durableId="1759407228">
    <w:abstractNumId w:val="24"/>
  </w:num>
  <w:num w:numId="28" w16cid:durableId="1808547362">
    <w:abstractNumId w:val="8"/>
  </w:num>
  <w:num w:numId="29" w16cid:durableId="1709598511">
    <w:abstractNumId w:val="12"/>
  </w:num>
  <w:num w:numId="30" w16cid:durableId="764500601">
    <w:abstractNumId w:val="2"/>
  </w:num>
  <w:num w:numId="31" w16cid:durableId="1880124546">
    <w:abstractNumId w:val="21"/>
  </w:num>
  <w:num w:numId="32" w16cid:durableId="730923555">
    <w:abstractNumId w:val="25"/>
  </w:num>
  <w:num w:numId="33" w16cid:durableId="887689329">
    <w:abstractNumId w:val="27"/>
  </w:num>
  <w:num w:numId="34" w16cid:durableId="954597387">
    <w:abstractNumId w:val="11"/>
  </w:num>
  <w:num w:numId="35" w16cid:durableId="613286732">
    <w:abstractNumId w:val="26"/>
  </w:num>
  <w:num w:numId="36" w16cid:durableId="337778574">
    <w:abstractNumId w:val="0"/>
  </w:num>
  <w:num w:numId="37" w16cid:durableId="555042880">
    <w:abstractNumId w:val="23"/>
  </w:num>
  <w:num w:numId="38" w16cid:durableId="1158155805">
    <w:abstractNumId w:val="1"/>
  </w:num>
  <w:num w:numId="39" w16cid:durableId="1195534005">
    <w:abstractNumId w:val="29"/>
  </w:num>
  <w:num w:numId="40" w16cid:durableId="121853782">
    <w:abstractNumId w:val="36"/>
  </w:num>
  <w:num w:numId="41" w16cid:durableId="439566712">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1847"/>
    <w:rsid w:val="000039A2"/>
    <w:rsid w:val="000062F3"/>
    <w:rsid w:val="0000797D"/>
    <w:rsid w:val="0001328B"/>
    <w:rsid w:val="000224F2"/>
    <w:rsid w:val="00023C3E"/>
    <w:rsid w:val="0002653B"/>
    <w:rsid w:val="00034682"/>
    <w:rsid w:val="00035E21"/>
    <w:rsid w:val="00041256"/>
    <w:rsid w:val="00042856"/>
    <w:rsid w:val="0004434A"/>
    <w:rsid w:val="0005281E"/>
    <w:rsid w:val="00055421"/>
    <w:rsid w:val="0005682C"/>
    <w:rsid w:val="00056D71"/>
    <w:rsid w:val="00061B2A"/>
    <w:rsid w:val="00062BAF"/>
    <w:rsid w:val="000630B9"/>
    <w:rsid w:val="000643B2"/>
    <w:rsid w:val="00065E80"/>
    <w:rsid w:val="00066BB4"/>
    <w:rsid w:val="0007022C"/>
    <w:rsid w:val="00071DE6"/>
    <w:rsid w:val="000754B0"/>
    <w:rsid w:val="00077439"/>
    <w:rsid w:val="000774B8"/>
    <w:rsid w:val="00082362"/>
    <w:rsid w:val="0008328D"/>
    <w:rsid w:val="00084D78"/>
    <w:rsid w:val="0009387A"/>
    <w:rsid w:val="0009387B"/>
    <w:rsid w:val="000963C6"/>
    <w:rsid w:val="000974AC"/>
    <w:rsid w:val="0009762F"/>
    <w:rsid w:val="000A31B9"/>
    <w:rsid w:val="000A3330"/>
    <w:rsid w:val="000A36D8"/>
    <w:rsid w:val="000A3D63"/>
    <w:rsid w:val="000A683A"/>
    <w:rsid w:val="000A683E"/>
    <w:rsid w:val="000B19B9"/>
    <w:rsid w:val="000B2908"/>
    <w:rsid w:val="000B3001"/>
    <w:rsid w:val="000B6F36"/>
    <w:rsid w:val="000B7176"/>
    <w:rsid w:val="000C2889"/>
    <w:rsid w:val="000C3673"/>
    <w:rsid w:val="000C538B"/>
    <w:rsid w:val="000D0152"/>
    <w:rsid w:val="000D0334"/>
    <w:rsid w:val="000D0B4D"/>
    <w:rsid w:val="000D10DC"/>
    <w:rsid w:val="000D3B29"/>
    <w:rsid w:val="000D5184"/>
    <w:rsid w:val="000E06F4"/>
    <w:rsid w:val="000E1AC7"/>
    <w:rsid w:val="000E3596"/>
    <w:rsid w:val="000E471A"/>
    <w:rsid w:val="000E4CE4"/>
    <w:rsid w:val="000E7B67"/>
    <w:rsid w:val="000F6486"/>
    <w:rsid w:val="000F669F"/>
    <w:rsid w:val="000F67C7"/>
    <w:rsid w:val="001063B3"/>
    <w:rsid w:val="00107ACA"/>
    <w:rsid w:val="001114A9"/>
    <w:rsid w:val="00111979"/>
    <w:rsid w:val="00116537"/>
    <w:rsid w:val="00120766"/>
    <w:rsid w:val="00121359"/>
    <w:rsid w:val="00122FA6"/>
    <w:rsid w:val="001240BD"/>
    <w:rsid w:val="00125105"/>
    <w:rsid w:val="001268F7"/>
    <w:rsid w:val="00126B2B"/>
    <w:rsid w:val="00127233"/>
    <w:rsid w:val="00127ADB"/>
    <w:rsid w:val="001372FC"/>
    <w:rsid w:val="00143E81"/>
    <w:rsid w:val="00143FD9"/>
    <w:rsid w:val="00145047"/>
    <w:rsid w:val="00146C57"/>
    <w:rsid w:val="00150ADA"/>
    <w:rsid w:val="001569A8"/>
    <w:rsid w:val="0016332F"/>
    <w:rsid w:val="0016642E"/>
    <w:rsid w:val="001717E9"/>
    <w:rsid w:val="0017238A"/>
    <w:rsid w:val="001800BA"/>
    <w:rsid w:val="00180A30"/>
    <w:rsid w:val="00185EE9"/>
    <w:rsid w:val="00187F79"/>
    <w:rsid w:val="0019204C"/>
    <w:rsid w:val="00196F32"/>
    <w:rsid w:val="00197274"/>
    <w:rsid w:val="001A0B04"/>
    <w:rsid w:val="001A237A"/>
    <w:rsid w:val="001A26CF"/>
    <w:rsid w:val="001A2919"/>
    <w:rsid w:val="001B22E2"/>
    <w:rsid w:val="001B2CFE"/>
    <w:rsid w:val="001C13BD"/>
    <w:rsid w:val="001C222E"/>
    <w:rsid w:val="001C22F9"/>
    <w:rsid w:val="001C4F29"/>
    <w:rsid w:val="001D1C29"/>
    <w:rsid w:val="001D2CCC"/>
    <w:rsid w:val="001E3C06"/>
    <w:rsid w:val="001E4177"/>
    <w:rsid w:val="001E7B62"/>
    <w:rsid w:val="001F0A0F"/>
    <w:rsid w:val="001F114C"/>
    <w:rsid w:val="001F218E"/>
    <w:rsid w:val="001F4EFD"/>
    <w:rsid w:val="001F5606"/>
    <w:rsid w:val="001F5E13"/>
    <w:rsid w:val="001F684E"/>
    <w:rsid w:val="001F6D11"/>
    <w:rsid w:val="001F7BF0"/>
    <w:rsid w:val="001F7DC6"/>
    <w:rsid w:val="00202886"/>
    <w:rsid w:val="00205784"/>
    <w:rsid w:val="00206823"/>
    <w:rsid w:val="00210946"/>
    <w:rsid w:val="00213510"/>
    <w:rsid w:val="0021372A"/>
    <w:rsid w:val="00215CEF"/>
    <w:rsid w:val="00217A08"/>
    <w:rsid w:val="00220B77"/>
    <w:rsid w:val="00221D27"/>
    <w:rsid w:val="00222906"/>
    <w:rsid w:val="002249C4"/>
    <w:rsid w:val="002352F2"/>
    <w:rsid w:val="00237233"/>
    <w:rsid w:val="002421BB"/>
    <w:rsid w:val="00245707"/>
    <w:rsid w:val="00246A81"/>
    <w:rsid w:val="00251A5F"/>
    <w:rsid w:val="00252B30"/>
    <w:rsid w:val="002571BD"/>
    <w:rsid w:val="0025796E"/>
    <w:rsid w:val="002603E5"/>
    <w:rsid w:val="002638B2"/>
    <w:rsid w:val="002660F2"/>
    <w:rsid w:val="002664BB"/>
    <w:rsid w:val="002707A2"/>
    <w:rsid w:val="002732F2"/>
    <w:rsid w:val="00277150"/>
    <w:rsid w:val="00281DD5"/>
    <w:rsid w:val="002826F0"/>
    <w:rsid w:val="002835A6"/>
    <w:rsid w:val="002844ED"/>
    <w:rsid w:val="00286FAD"/>
    <w:rsid w:val="002951A0"/>
    <w:rsid w:val="002962BC"/>
    <w:rsid w:val="002A093D"/>
    <w:rsid w:val="002A0DD0"/>
    <w:rsid w:val="002A1D2F"/>
    <w:rsid w:val="002A49AC"/>
    <w:rsid w:val="002A64FD"/>
    <w:rsid w:val="002A6BBF"/>
    <w:rsid w:val="002B1E57"/>
    <w:rsid w:val="002B1F7F"/>
    <w:rsid w:val="002B290B"/>
    <w:rsid w:val="002B33B8"/>
    <w:rsid w:val="002B61F2"/>
    <w:rsid w:val="002B7AD9"/>
    <w:rsid w:val="002C110E"/>
    <w:rsid w:val="002C379A"/>
    <w:rsid w:val="002C765E"/>
    <w:rsid w:val="002C7A84"/>
    <w:rsid w:val="002D13A1"/>
    <w:rsid w:val="002D3F0D"/>
    <w:rsid w:val="002E1D98"/>
    <w:rsid w:val="002E2C3F"/>
    <w:rsid w:val="002E4FD9"/>
    <w:rsid w:val="002E5B9F"/>
    <w:rsid w:val="002E6F15"/>
    <w:rsid w:val="002F13FD"/>
    <w:rsid w:val="002F53FB"/>
    <w:rsid w:val="00303544"/>
    <w:rsid w:val="00303985"/>
    <w:rsid w:val="003039C1"/>
    <w:rsid w:val="00310DBE"/>
    <w:rsid w:val="00310E5C"/>
    <w:rsid w:val="003119D8"/>
    <w:rsid w:val="0031430F"/>
    <w:rsid w:val="00316B0B"/>
    <w:rsid w:val="00320BBD"/>
    <w:rsid w:val="003226F7"/>
    <w:rsid w:val="00322A85"/>
    <w:rsid w:val="00324168"/>
    <w:rsid w:val="00325755"/>
    <w:rsid w:val="0033032A"/>
    <w:rsid w:val="00330C97"/>
    <w:rsid w:val="00334C6A"/>
    <w:rsid w:val="00336C05"/>
    <w:rsid w:val="003409C8"/>
    <w:rsid w:val="00342675"/>
    <w:rsid w:val="00342808"/>
    <w:rsid w:val="00343512"/>
    <w:rsid w:val="003448F4"/>
    <w:rsid w:val="00345330"/>
    <w:rsid w:val="00347E58"/>
    <w:rsid w:val="00350480"/>
    <w:rsid w:val="003522B9"/>
    <w:rsid w:val="003528DF"/>
    <w:rsid w:val="00352C12"/>
    <w:rsid w:val="00354BCA"/>
    <w:rsid w:val="00354FEA"/>
    <w:rsid w:val="00362DEE"/>
    <w:rsid w:val="0036594E"/>
    <w:rsid w:val="003665EE"/>
    <w:rsid w:val="0037010E"/>
    <w:rsid w:val="003734F4"/>
    <w:rsid w:val="00374F5E"/>
    <w:rsid w:val="0037527B"/>
    <w:rsid w:val="00377E3E"/>
    <w:rsid w:val="003815B3"/>
    <w:rsid w:val="003815E8"/>
    <w:rsid w:val="00382181"/>
    <w:rsid w:val="00386D13"/>
    <w:rsid w:val="00391392"/>
    <w:rsid w:val="00392A49"/>
    <w:rsid w:val="00393812"/>
    <w:rsid w:val="0039606A"/>
    <w:rsid w:val="003A26D1"/>
    <w:rsid w:val="003A3B30"/>
    <w:rsid w:val="003A40E2"/>
    <w:rsid w:val="003A477B"/>
    <w:rsid w:val="003A779E"/>
    <w:rsid w:val="003B005A"/>
    <w:rsid w:val="003B0636"/>
    <w:rsid w:val="003B41F4"/>
    <w:rsid w:val="003B6385"/>
    <w:rsid w:val="003B78C4"/>
    <w:rsid w:val="003B7D19"/>
    <w:rsid w:val="003C3FA5"/>
    <w:rsid w:val="003D0F4D"/>
    <w:rsid w:val="003D1B5E"/>
    <w:rsid w:val="003D5B0D"/>
    <w:rsid w:val="003E0499"/>
    <w:rsid w:val="003E40F2"/>
    <w:rsid w:val="003E4F32"/>
    <w:rsid w:val="003E7EAA"/>
    <w:rsid w:val="003F1B32"/>
    <w:rsid w:val="003F2380"/>
    <w:rsid w:val="003F3941"/>
    <w:rsid w:val="00400676"/>
    <w:rsid w:val="004008A9"/>
    <w:rsid w:val="0040480E"/>
    <w:rsid w:val="00406575"/>
    <w:rsid w:val="004069AB"/>
    <w:rsid w:val="00410906"/>
    <w:rsid w:val="0041655A"/>
    <w:rsid w:val="00426FD7"/>
    <w:rsid w:val="0042722E"/>
    <w:rsid w:val="00427DA0"/>
    <w:rsid w:val="00436F71"/>
    <w:rsid w:val="00440391"/>
    <w:rsid w:val="004405A4"/>
    <w:rsid w:val="004426AD"/>
    <w:rsid w:val="00442C7F"/>
    <w:rsid w:val="0044528D"/>
    <w:rsid w:val="00446E9D"/>
    <w:rsid w:val="0044798F"/>
    <w:rsid w:val="00450920"/>
    <w:rsid w:val="004530EA"/>
    <w:rsid w:val="00454D48"/>
    <w:rsid w:val="004550FC"/>
    <w:rsid w:val="004554F9"/>
    <w:rsid w:val="0046004D"/>
    <w:rsid w:val="00461A6A"/>
    <w:rsid w:val="004633DE"/>
    <w:rsid w:val="00465E71"/>
    <w:rsid w:val="00466040"/>
    <w:rsid w:val="00470988"/>
    <w:rsid w:val="00471654"/>
    <w:rsid w:val="004734BD"/>
    <w:rsid w:val="00475854"/>
    <w:rsid w:val="00480BAF"/>
    <w:rsid w:val="00482608"/>
    <w:rsid w:val="00483749"/>
    <w:rsid w:val="00484809"/>
    <w:rsid w:val="00484BB1"/>
    <w:rsid w:val="004A0980"/>
    <w:rsid w:val="004A0B8B"/>
    <w:rsid w:val="004A1847"/>
    <w:rsid w:val="004A305D"/>
    <w:rsid w:val="004A3312"/>
    <w:rsid w:val="004A66E3"/>
    <w:rsid w:val="004B01B2"/>
    <w:rsid w:val="004B5C11"/>
    <w:rsid w:val="004B740F"/>
    <w:rsid w:val="004B7F41"/>
    <w:rsid w:val="004C1A2F"/>
    <w:rsid w:val="004C28C6"/>
    <w:rsid w:val="004C4B37"/>
    <w:rsid w:val="004D026D"/>
    <w:rsid w:val="004D0BED"/>
    <w:rsid w:val="004D23A7"/>
    <w:rsid w:val="004E221E"/>
    <w:rsid w:val="004E2892"/>
    <w:rsid w:val="004E343A"/>
    <w:rsid w:val="004E4C0B"/>
    <w:rsid w:val="004E505B"/>
    <w:rsid w:val="004E7CE7"/>
    <w:rsid w:val="004F21C4"/>
    <w:rsid w:val="004F3012"/>
    <w:rsid w:val="004F3B9E"/>
    <w:rsid w:val="004F5559"/>
    <w:rsid w:val="004F685F"/>
    <w:rsid w:val="004F7EC9"/>
    <w:rsid w:val="00504CBE"/>
    <w:rsid w:val="00505795"/>
    <w:rsid w:val="00514598"/>
    <w:rsid w:val="005163B5"/>
    <w:rsid w:val="0052543A"/>
    <w:rsid w:val="00525FDB"/>
    <w:rsid w:val="0052785C"/>
    <w:rsid w:val="00533E1B"/>
    <w:rsid w:val="00540C2D"/>
    <w:rsid w:val="0054111E"/>
    <w:rsid w:val="0054335F"/>
    <w:rsid w:val="00552502"/>
    <w:rsid w:val="00554BD4"/>
    <w:rsid w:val="005556B3"/>
    <w:rsid w:val="005559F3"/>
    <w:rsid w:val="005566E8"/>
    <w:rsid w:val="00560CB5"/>
    <w:rsid w:val="00564F8B"/>
    <w:rsid w:val="00570339"/>
    <w:rsid w:val="00570E49"/>
    <w:rsid w:val="00574122"/>
    <w:rsid w:val="00574867"/>
    <w:rsid w:val="00577D09"/>
    <w:rsid w:val="0058087F"/>
    <w:rsid w:val="0058337B"/>
    <w:rsid w:val="00591460"/>
    <w:rsid w:val="00592628"/>
    <w:rsid w:val="00597C75"/>
    <w:rsid w:val="005A0868"/>
    <w:rsid w:val="005A0CFB"/>
    <w:rsid w:val="005A282F"/>
    <w:rsid w:val="005A2AC9"/>
    <w:rsid w:val="005A6C21"/>
    <w:rsid w:val="005B2CCE"/>
    <w:rsid w:val="005B4055"/>
    <w:rsid w:val="005B58C1"/>
    <w:rsid w:val="005B6033"/>
    <w:rsid w:val="005C3777"/>
    <w:rsid w:val="005C5CDC"/>
    <w:rsid w:val="005D17C8"/>
    <w:rsid w:val="005D2B2B"/>
    <w:rsid w:val="005D476C"/>
    <w:rsid w:val="005D51C3"/>
    <w:rsid w:val="005D5F91"/>
    <w:rsid w:val="005D7B25"/>
    <w:rsid w:val="005E4601"/>
    <w:rsid w:val="005E6B74"/>
    <w:rsid w:val="005F3CE0"/>
    <w:rsid w:val="005F7C43"/>
    <w:rsid w:val="00601DFC"/>
    <w:rsid w:val="00605A00"/>
    <w:rsid w:val="00610812"/>
    <w:rsid w:val="00612CE7"/>
    <w:rsid w:val="0061496B"/>
    <w:rsid w:val="00615F46"/>
    <w:rsid w:val="0062005D"/>
    <w:rsid w:val="006219F8"/>
    <w:rsid w:val="0063165E"/>
    <w:rsid w:val="00632C08"/>
    <w:rsid w:val="0064349C"/>
    <w:rsid w:val="00644F63"/>
    <w:rsid w:val="00650FF7"/>
    <w:rsid w:val="00656421"/>
    <w:rsid w:val="00660F6A"/>
    <w:rsid w:val="00663B19"/>
    <w:rsid w:val="00665032"/>
    <w:rsid w:val="00665D70"/>
    <w:rsid w:val="00671DAC"/>
    <w:rsid w:val="006728CB"/>
    <w:rsid w:val="006747C7"/>
    <w:rsid w:val="006827AC"/>
    <w:rsid w:val="006859A3"/>
    <w:rsid w:val="00686A2E"/>
    <w:rsid w:val="0068752E"/>
    <w:rsid w:val="006900D9"/>
    <w:rsid w:val="006920AE"/>
    <w:rsid w:val="00697B17"/>
    <w:rsid w:val="006A0008"/>
    <w:rsid w:val="006A10DF"/>
    <w:rsid w:val="006A3147"/>
    <w:rsid w:val="006B14B5"/>
    <w:rsid w:val="006B23CF"/>
    <w:rsid w:val="006B25DE"/>
    <w:rsid w:val="006B4060"/>
    <w:rsid w:val="006B4CA3"/>
    <w:rsid w:val="006B7465"/>
    <w:rsid w:val="006C0240"/>
    <w:rsid w:val="006C238E"/>
    <w:rsid w:val="006C5595"/>
    <w:rsid w:val="006D12F8"/>
    <w:rsid w:val="006D2F4E"/>
    <w:rsid w:val="006D4E33"/>
    <w:rsid w:val="006E41C6"/>
    <w:rsid w:val="006E5BFF"/>
    <w:rsid w:val="006F0D40"/>
    <w:rsid w:val="006F13EA"/>
    <w:rsid w:val="006F2501"/>
    <w:rsid w:val="00700975"/>
    <w:rsid w:val="00704D9B"/>
    <w:rsid w:val="0070513C"/>
    <w:rsid w:val="00705E5F"/>
    <w:rsid w:val="00706C16"/>
    <w:rsid w:val="00711C85"/>
    <w:rsid w:val="0071458F"/>
    <w:rsid w:val="0071627C"/>
    <w:rsid w:val="00723A7F"/>
    <w:rsid w:val="00723F2B"/>
    <w:rsid w:val="007312C3"/>
    <w:rsid w:val="007374E9"/>
    <w:rsid w:val="00737C53"/>
    <w:rsid w:val="00737DFA"/>
    <w:rsid w:val="007534CA"/>
    <w:rsid w:val="00756841"/>
    <w:rsid w:val="0076066F"/>
    <w:rsid w:val="00762AA9"/>
    <w:rsid w:val="007649AB"/>
    <w:rsid w:val="007670E3"/>
    <w:rsid w:val="00771D0C"/>
    <w:rsid w:val="00771FD2"/>
    <w:rsid w:val="0078274D"/>
    <w:rsid w:val="007833AC"/>
    <w:rsid w:val="00784D58"/>
    <w:rsid w:val="00786FBF"/>
    <w:rsid w:val="00790AB7"/>
    <w:rsid w:val="007913EA"/>
    <w:rsid w:val="00791769"/>
    <w:rsid w:val="0079234D"/>
    <w:rsid w:val="00796340"/>
    <w:rsid w:val="007A23EA"/>
    <w:rsid w:val="007A5189"/>
    <w:rsid w:val="007A7C52"/>
    <w:rsid w:val="007B0D88"/>
    <w:rsid w:val="007B268C"/>
    <w:rsid w:val="007B3B85"/>
    <w:rsid w:val="007B6B04"/>
    <w:rsid w:val="007B7171"/>
    <w:rsid w:val="007B7D02"/>
    <w:rsid w:val="007C0C0F"/>
    <w:rsid w:val="007C2E67"/>
    <w:rsid w:val="007C3DC2"/>
    <w:rsid w:val="007C4E2B"/>
    <w:rsid w:val="007D0457"/>
    <w:rsid w:val="007D124A"/>
    <w:rsid w:val="007D43C9"/>
    <w:rsid w:val="007E1247"/>
    <w:rsid w:val="007E5497"/>
    <w:rsid w:val="007F28CA"/>
    <w:rsid w:val="007F52A4"/>
    <w:rsid w:val="007F60FB"/>
    <w:rsid w:val="007F7B94"/>
    <w:rsid w:val="007F7DD8"/>
    <w:rsid w:val="00800789"/>
    <w:rsid w:val="00804981"/>
    <w:rsid w:val="00806CD3"/>
    <w:rsid w:val="00806F5F"/>
    <w:rsid w:val="00811270"/>
    <w:rsid w:val="00811E4F"/>
    <w:rsid w:val="008163D7"/>
    <w:rsid w:val="00820278"/>
    <w:rsid w:val="00826415"/>
    <w:rsid w:val="00834554"/>
    <w:rsid w:val="00834B31"/>
    <w:rsid w:val="00840ADC"/>
    <w:rsid w:val="00841A23"/>
    <w:rsid w:val="00843902"/>
    <w:rsid w:val="00843928"/>
    <w:rsid w:val="00843BF7"/>
    <w:rsid w:val="008449B3"/>
    <w:rsid w:val="00846276"/>
    <w:rsid w:val="00850E23"/>
    <w:rsid w:val="00851137"/>
    <w:rsid w:val="00853978"/>
    <w:rsid w:val="0085432F"/>
    <w:rsid w:val="00856C43"/>
    <w:rsid w:val="00864209"/>
    <w:rsid w:val="00865414"/>
    <w:rsid w:val="00873217"/>
    <w:rsid w:val="0087325B"/>
    <w:rsid w:val="00877EBA"/>
    <w:rsid w:val="0088002A"/>
    <w:rsid w:val="00881ABA"/>
    <w:rsid w:val="008841E9"/>
    <w:rsid w:val="008843B6"/>
    <w:rsid w:val="008853C1"/>
    <w:rsid w:val="00886C89"/>
    <w:rsid w:val="00887569"/>
    <w:rsid w:val="00891928"/>
    <w:rsid w:val="00894B8B"/>
    <w:rsid w:val="008961BA"/>
    <w:rsid w:val="008A00A4"/>
    <w:rsid w:val="008A446D"/>
    <w:rsid w:val="008A6432"/>
    <w:rsid w:val="008A7A64"/>
    <w:rsid w:val="008A7F08"/>
    <w:rsid w:val="008B2F0E"/>
    <w:rsid w:val="008B5A2E"/>
    <w:rsid w:val="008D095B"/>
    <w:rsid w:val="008D180B"/>
    <w:rsid w:val="008D1BDB"/>
    <w:rsid w:val="008D5ACA"/>
    <w:rsid w:val="008D6CDA"/>
    <w:rsid w:val="008D7227"/>
    <w:rsid w:val="008E1F92"/>
    <w:rsid w:val="008E7333"/>
    <w:rsid w:val="008E7B09"/>
    <w:rsid w:val="008E7D4C"/>
    <w:rsid w:val="008F0EA7"/>
    <w:rsid w:val="008F1CA9"/>
    <w:rsid w:val="008F7BB9"/>
    <w:rsid w:val="00904692"/>
    <w:rsid w:val="00910097"/>
    <w:rsid w:val="00910CFB"/>
    <w:rsid w:val="00911C7C"/>
    <w:rsid w:val="0091561E"/>
    <w:rsid w:val="00920849"/>
    <w:rsid w:val="00922F57"/>
    <w:rsid w:val="00923BD0"/>
    <w:rsid w:val="00923EEF"/>
    <w:rsid w:val="009325CC"/>
    <w:rsid w:val="0093558D"/>
    <w:rsid w:val="009411F5"/>
    <w:rsid w:val="009419F9"/>
    <w:rsid w:val="0094476F"/>
    <w:rsid w:val="00945B9F"/>
    <w:rsid w:val="00950BE2"/>
    <w:rsid w:val="0095126A"/>
    <w:rsid w:val="00953AA4"/>
    <w:rsid w:val="00955305"/>
    <w:rsid w:val="00956010"/>
    <w:rsid w:val="0095685E"/>
    <w:rsid w:val="00957293"/>
    <w:rsid w:val="009572D9"/>
    <w:rsid w:val="009600D2"/>
    <w:rsid w:val="00961409"/>
    <w:rsid w:val="00961B09"/>
    <w:rsid w:val="00962300"/>
    <w:rsid w:val="00965111"/>
    <w:rsid w:val="00965334"/>
    <w:rsid w:val="0097093E"/>
    <w:rsid w:val="009725F1"/>
    <w:rsid w:val="00976025"/>
    <w:rsid w:val="00976F04"/>
    <w:rsid w:val="009800BE"/>
    <w:rsid w:val="00982E41"/>
    <w:rsid w:val="00983B79"/>
    <w:rsid w:val="00983EEA"/>
    <w:rsid w:val="00984649"/>
    <w:rsid w:val="009858BE"/>
    <w:rsid w:val="009866C1"/>
    <w:rsid w:val="00993A7C"/>
    <w:rsid w:val="009A0DFA"/>
    <w:rsid w:val="009A3C2C"/>
    <w:rsid w:val="009A4A40"/>
    <w:rsid w:val="009B2D26"/>
    <w:rsid w:val="009B3595"/>
    <w:rsid w:val="009B5228"/>
    <w:rsid w:val="009B6C8C"/>
    <w:rsid w:val="009B780F"/>
    <w:rsid w:val="009C2DD0"/>
    <w:rsid w:val="009C3AC7"/>
    <w:rsid w:val="009C71FA"/>
    <w:rsid w:val="009C72E7"/>
    <w:rsid w:val="009D0555"/>
    <w:rsid w:val="009D1086"/>
    <w:rsid w:val="009D3058"/>
    <w:rsid w:val="009D3A11"/>
    <w:rsid w:val="009D44C4"/>
    <w:rsid w:val="009D6427"/>
    <w:rsid w:val="009D67FD"/>
    <w:rsid w:val="009E4636"/>
    <w:rsid w:val="009E5A30"/>
    <w:rsid w:val="009E7C05"/>
    <w:rsid w:val="009F15A2"/>
    <w:rsid w:val="009F3831"/>
    <w:rsid w:val="009F3832"/>
    <w:rsid w:val="009F3A13"/>
    <w:rsid w:val="009F4AB2"/>
    <w:rsid w:val="009F73F7"/>
    <w:rsid w:val="00A02465"/>
    <w:rsid w:val="00A03415"/>
    <w:rsid w:val="00A04A81"/>
    <w:rsid w:val="00A0596F"/>
    <w:rsid w:val="00A122D3"/>
    <w:rsid w:val="00A145AB"/>
    <w:rsid w:val="00A14D3D"/>
    <w:rsid w:val="00A17F13"/>
    <w:rsid w:val="00A20739"/>
    <w:rsid w:val="00A211D0"/>
    <w:rsid w:val="00A23361"/>
    <w:rsid w:val="00A24433"/>
    <w:rsid w:val="00A2443A"/>
    <w:rsid w:val="00A25580"/>
    <w:rsid w:val="00A332DD"/>
    <w:rsid w:val="00A339A9"/>
    <w:rsid w:val="00A33C78"/>
    <w:rsid w:val="00A34B38"/>
    <w:rsid w:val="00A34D87"/>
    <w:rsid w:val="00A35538"/>
    <w:rsid w:val="00A3685A"/>
    <w:rsid w:val="00A3783B"/>
    <w:rsid w:val="00A37BC4"/>
    <w:rsid w:val="00A42050"/>
    <w:rsid w:val="00A43292"/>
    <w:rsid w:val="00A445C0"/>
    <w:rsid w:val="00A52D82"/>
    <w:rsid w:val="00A53F57"/>
    <w:rsid w:val="00A56959"/>
    <w:rsid w:val="00A56FCA"/>
    <w:rsid w:val="00A6004A"/>
    <w:rsid w:val="00A613C2"/>
    <w:rsid w:val="00A64336"/>
    <w:rsid w:val="00A72753"/>
    <w:rsid w:val="00A7332E"/>
    <w:rsid w:val="00A745FA"/>
    <w:rsid w:val="00A74DE6"/>
    <w:rsid w:val="00A75866"/>
    <w:rsid w:val="00A75875"/>
    <w:rsid w:val="00A8086A"/>
    <w:rsid w:val="00A80F32"/>
    <w:rsid w:val="00A828F1"/>
    <w:rsid w:val="00A830AD"/>
    <w:rsid w:val="00A87F7D"/>
    <w:rsid w:val="00A9244C"/>
    <w:rsid w:val="00A94B40"/>
    <w:rsid w:val="00A94D14"/>
    <w:rsid w:val="00A95106"/>
    <w:rsid w:val="00A95A1A"/>
    <w:rsid w:val="00AA1328"/>
    <w:rsid w:val="00AA23BB"/>
    <w:rsid w:val="00AB0ADB"/>
    <w:rsid w:val="00AB3FD1"/>
    <w:rsid w:val="00AC0DF9"/>
    <w:rsid w:val="00AC0EAB"/>
    <w:rsid w:val="00AC4701"/>
    <w:rsid w:val="00AC49A2"/>
    <w:rsid w:val="00AD73E2"/>
    <w:rsid w:val="00AE2631"/>
    <w:rsid w:val="00AE3D6C"/>
    <w:rsid w:val="00AF10F5"/>
    <w:rsid w:val="00AF1BEC"/>
    <w:rsid w:val="00AF2C90"/>
    <w:rsid w:val="00AF54CA"/>
    <w:rsid w:val="00AF7F25"/>
    <w:rsid w:val="00B009B8"/>
    <w:rsid w:val="00B01B1A"/>
    <w:rsid w:val="00B0268A"/>
    <w:rsid w:val="00B0410F"/>
    <w:rsid w:val="00B07DDD"/>
    <w:rsid w:val="00B137B3"/>
    <w:rsid w:val="00B14E03"/>
    <w:rsid w:val="00B16798"/>
    <w:rsid w:val="00B26B98"/>
    <w:rsid w:val="00B35201"/>
    <w:rsid w:val="00B35ADC"/>
    <w:rsid w:val="00B37C24"/>
    <w:rsid w:val="00B40FBC"/>
    <w:rsid w:val="00B427E2"/>
    <w:rsid w:val="00B46F27"/>
    <w:rsid w:val="00B47FD7"/>
    <w:rsid w:val="00B51F75"/>
    <w:rsid w:val="00B52169"/>
    <w:rsid w:val="00B53E27"/>
    <w:rsid w:val="00B558AF"/>
    <w:rsid w:val="00B615BA"/>
    <w:rsid w:val="00B62D8B"/>
    <w:rsid w:val="00B64355"/>
    <w:rsid w:val="00B72CD3"/>
    <w:rsid w:val="00B72FFF"/>
    <w:rsid w:val="00B76CEB"/>
    <w:rsid w:val="00B80CC6"/>
    <w:rsid w:val="00B8257D"/>
    <w:rsid w:val="00B82B8B"/>
    <w:rsid w:val="00B86FE2"/>
    <w:rsid w:val="00B91186"/>
    <w:rsid w:val="00B93423"/>
    <w:rsid w:val="00B93E58"/>
    <w:rsid w:val="00B948E8"/>
    <w:rsid w:val="00BA0A22"/>
    <w:rsid w:val="00BA2EF4"/>
    <w:rsid w:val="00BA6BE0"/>
    <w:rsid w:val="00BB22DA"/>
    <w:rsid w:val="00BB2C9D"/>
    <w:rsid w:val="00BC0036"/>
    <w:rsid w:val="00BC05A6"/>
    <w:rsid w:val="00BC24FA"/>
    <w:rsid w:val="00BC27B5"/>
    <w:rsid w:val="00BC3D36"/>
    <w:rsid w:val="00BC4B34"/>
    <w:rsid w:val="00BC7498"/>
    <w:rsid w:val="00BD3434"/>
    <w:rsid w:val="00BD424C"/>
    <w:rsid w:val="00BD4BCA"/>
    <w:rsid w:val="00BD7CC5"/>
    <w:rsid w:val="00BD7F72"/>
    <w:rsid w:val="00BE03BC"/>
    <w:rsid w:val="00BE0A18"/>
    <w:rsid w:val="00BE4ACC"/>
    <w:rsid w:val="00BF0D99"/>
    <w:rsid w:val="00BF1201"/>
    <w:rsid w:val="00BF1D4A"/>
    <w:rsid w:val="00BF230F"/>
    <w:rsid w:val="00BF26BA"/>
    <w:rsid w:val="00C002E3"/>
    <w:rsid w:val="00C012CC"/>
    <w:rsid w:val="00C04FB3"/>
    <w:rsid w:val="00C06C4F"/>
    <w:rsid w:val="00C147D0"/>
    <w:rsid w:val="00C159C1"/>
    <w:rsid w:val="00C16346"/>
    <w:rsid w:val="00C17497"/>
    <w:rsid w:val="00C21B15"/>
    <w:rsid w:val="00C21B8C"/>
    <w:rsid w:val="00C32523"/>
    <w:rsid w:val="00C3281B"/>
    <w:rsid w:val="00C330EB"/>
    <w:rsid w:val="00C34712"/>
    <w:rsid w:val="00C371C9"/>
    <w:rsid w:val="00C40E9F"/>
    <w:rsid w:val="00C41481"/>
    <w:rsid w:val="00C42469"/>
    <w:rsid w:val="00C46D91"/>
    <w:rsid w:val="00C47A07"/>
    <w:rsid w:val="00C47B74"/>
    <w:rsid w:val="00C50855"/>
    <w:rsid w:val="00C57281"/>
    <w:rsid w:val="00C577E7"/>
    <w:rsid w:val="00C57E63"/>
    <w:rsid w:val="00C65D65"/>
    <w:rsid w:val="00C66D80"/>
    <w:rsid w:val="00C67703"/>
    <w:rsid w:val="00C7173F"/>
    <w:rsid w:val="00C730B6"/>
    <w:rsid w:val="00C7352F"/>
    <w:rsid w:val="00C7482D"/>
    <w:rsid w:val="00C754BE"/>
    <w:rsid w:val="00C76466"/>
    <w:rsid w:val="00C76B1C"/>
    <w:rsid w:val="00C77FF6"/>
    <w:rsid w:val="00C82239"/>
    <w:rsid w:val="00C85844"/>
    <w:rsid w:val="00C90209"/>
    <w:rsid w:val="00C915DD"/>
    <w:rsid w:val="00C91B94"/>
    <w:rsid w:val="00C92665"/>
    <w:rsid w:val="00C95BAE"/>
    <w:rsid w:val="00CA4272"/>
    <w:rsid w:val="00CA6A9D"/>
    <w:rsid w:val="00CA7F6B"/>
    <w:rsid w:val="00CB2F3F"/>
    <w:rsid w:val="00CB6357"/>
    <w:rsid w:val="00CC0FA3"/>
    <w:rsid w:val="00CC1428"/>
    <w:rsid w:val="00CC1B26"/>
    <w:rsid w:val="00CC49F7"/>
    <w:rsid w:val="00CC54DB"/>
    <w:rsid w:val="00CC7787"/>
    <w:rsid w:val="00CD087D"/>
    <w:rsid w:val="00CD41CB"/>
    <w:rsid w:val="00CD5EE0"/>
    <w:rsid w:val="00CE02A2"/>
    <w:rsid w:val="00CE04FF"/>
    <w:rsid w:val="00CE3273"/>
    <w:rsid w:val="00CE509A"/>
    <w:rsid w:val="00CE5414"/>
    <w:rsid w:val="00CF241F"/>
    <w:rsid w:val="00CF7826"/>
    <w:rsid w:val="00D0157A"/>
    <w:rsid w:val="00D036D8"/>
    <w:rsid w:val="00D038ED"/>
    <w:rsid w:val="00D06D26"/>
    <w:rsid w:val="00D10B75"/>
    <w:rsid w:val="00D13351"/>
    <w:rsid w:val="00D15E25"/>
    <w:rsid w:val="00D17A40"/>
    <w:rsid w:val="00D20368"/>
    <w:rsid w:val="00D22361"/>
    <w:rsid w:val="00D22598"/>
    <w:rsid w:val="00D26924"/>
    <w:rsid w:val="00D35468"/>
    <w:rsid w:val="00D413F6"/>
    <w:rsid w:val="00D4231B"/>
    <w:rsid w:val="00D423A2"/>
    <w:rsid w:val="00D45E4A"/>
    <w:rsid w:val="00D51FF9"/>
    <w:rsid w:val="00D520D8"/>
    <w:rsid w:val="00D52961"/>
    <w:rsid w:val="00D55048"/>
    <w:rsid w:val="00D56C6D"/>
    <w:rsid w:val="00D57FA4"/>
    <w:rsid w:val="00D62DE7"/>
    <w:rsid w:val="00D63AC2"/>
    <w:rsid w:val="00D665B4"/>
    <w:rsid w:val="00D673D0"/>
    <w:rsid w:val="00D7080D"/>
    <w:rsid w:val="00D7156A"/>
    <w:rsid w:val="00D7383B"/>
    <w:rsid w:val="00D7609E"/>
    <w:rsid w:val="00D81A63"/>
    <w:rsid w:val="00D81D25"/>
    <w:rsid w:val="00D85C60"/>
    <w:rsid w:val="00D86C54"/>
    <w:rsid w:val="00D86E8B"/>
    <w:rsid w:val="00D91F8B"/>
    <w:rsid w:val="00D9383B"/>
    <w:rsid w:val="00D93B61"/>
    <w:rsid w:val="00D94C40"/>
    <w:rsid w:val="00DA231B"/>
    <w:rsid w:val="00DA23A0"/>
    <w:rsid w:val="00DA7F66"/>
    <w:rsid w:val="00DB186F"/>
    <w:rsid w:val="00DB77B8"/>
    <w:rsid w:val="00DC0BDA"/>
    <w:rsid w:val="00DC39FC"/>
    <w:rsid w:val="00DC4385"/>
    <w:rsid w:val="00DC484F"/>
    <w:rsid w:val="00DC4C27"/>
    <w:rsid w:val="00DC51BC"/>
    <w:rsid w:val="00DC6805"/>
    <w:rsid w:val="00DC78A7"/>
    <w:rsid w:val="00DC793F"/>
    <w:rsid w:val="00DE3067"/>
    <w:rsid w:val="00DE3BDD"/>
    <w:rsid w:val="00DE4629"/>
    <w:rsid w:val="00DE58C9"/>
    <w:rsid w:val="00DE6EAA"/>
    <w:rsid w:val="00DF11FD"/>
    <w:rsid w:val="00DF5254"/>
    <w:rsid w:val="00E052F2"/>
    <w:rsid w:val="00E12426"/>
    <w:rsid w:val="00E13584"/>
    <w:rsid w:val="00E14EB2"/>
    <w:rsid w:val="00E15B15"/>
    <w:rsid w:val="00E15DDF"/>
    <w:rsid w:val="00E16408"/>
    <w:rsid w:val="00E2086F"/>
    <w:rsid w:val="00E20894"/>
    <w:rsid w:val="00E20E4A"/>
    <w:rsid w:val="00E2397D"/>
    <w:rsid w:val="00E23B70"/>
    <w:rsid w:val="00E245AB"/>
    <w:rsid w:val="00E26239"/>
    <w:rsid w:val="00E2701B"/>
    <w:rsid w:val="00E2764C"/>
    <w:rsid w:val="00E27F2E"/>
    <w:rsid w:val="00E308A4"/>
    <w:rsid w:val="00E35539"/>
    <w:rsid w:val="00E413EA"/>
    <w:rsid w:val="00E42941"/>
    <w:rsid w:val="00E47F28"/>
    <w:rsid w:val="00E50AFE"/>
    <w:rsid w:val="00E52E49"/>
    <w:rsid w:val="00E577AC"/>
    <w:rsid w:val="00E578B6"/>
    <w:rsid w:val="00E61547"/>
    <w:rsid w:val="00E61702"/>
    <w:rsid w:val="00E75B66"/>
    <w:rsid w:val="00E75C92"/>
    <w:rsid w:val="00E761BC"/>
    <w:rsid w:val="00E76808"/>
    <w:rsid w:val="00E770CD"/>
    <w:rsid w:val="00E771DC"/>
    <w:rsid w:val="00E77478"/>
    <w:rsid w:val="00E77E1B"/>
    <w:rsid w:val="00E8013F"/>
    <w:rsid w:val="00E847D2"/>
    <w:rsid w:val="00E85AA8"/>
    <w:rsid w:val="00E870E5"/>
    <w:rsid w:val="00E8772A"/>
    <w:rsid w:val="00E90F6B"/>
    <w:rsid w:val="00E91079"/>
    <w:rsid w:val="00E92C27"/>
    <w:rsid w:val="00E92E10"/>
    <w:rsid w:val="00EA0E3D"/>
    <w:rsid w:val="00EA14C6"/>
    <w:rsid w:val="00EA1CD8"/>
    <w:rsid w:val="00EA29F8"/>
    <w:rsid w:val="00EA393B"/>
    <w:rsid w:val="00EA39A5"/>
    <w:rsid w:val="00EA65CD"/>
    <w:rsid w:val="00EB2C4B"/>
    <w:rsid w:val="00EB3BB3"/>
    <w:rsid w:val="00EB7E00"/>
    <w:rsid w:val="00EC1A2C"/>
    <w:rsid w:val="00EC1FE1"/>
    <w:rsid w:val="00EC38A7"/>
    <w:rsid w:val="00ED042A"/>
    <w:rsid w:val="00ED0D4A"/>
    <w:rsid w:val="00ED4E37"/>
    <w:rsid w:val="00EE1065"/>
    <w:rsid w:val="00EE1AA8"/>
    <w:rsid w:val="00EE6DCD"/>
    <w:rsid w:val="00EF26C3"/>
    <w:rsid w:val="00EF419E"/>
    <w:rsid w:val="00EF489F"/>
    <w:rsid w:val="00F00796"/>
    <w:rsid w:val="00F11213"/>
    <w:rsid w:val="00F11BAA"/>
    <w:rsid w:val="00F177C1"/>
    <w:rsid w:val="00F17EB6"/>
    <w:rsid w:val="00F238F2"/>
    <w:rsid w:val="00F24580"/>
    <w:rsid w:val="00F248A2"/>
    <w:rsid w:val="00F260AA"/>
    <w:rsid w:val="00F27B26"/>
    <w:rsid w:val="00F308B8"/>
    <w:rsid w:val="00F30B1C"/>
    <w:rsid w:val="00F31EDC"/>
    <w:rsid w:val="00F339F4"/>
    <w:rsid w:val="00F34D02"/>
    <w:rsid w:val="00F34E84"/>
    <w:rsid w:val="00F36DF8"/>
    <w:rsid w:val="00F36EE8"/>
    <w:rsid w:val="00F40BAD"/>
    <w:rsid w:val="00F462B3"/>
    <w:rsid w:val="00F50DC9"/>
    <w:rsid w:val="00F5184B"/>
    <w:rsid w:val="00F5491E"/>
    <w:rsid w:val="00F55081"/>
    <w:rsid w:val="00F55168"/>
    <w:rsid w:val="00F5664F"/>
    <w:rsid w:val="00F571A1"/>
    <w:rsid w:val="00F61ABB"/>
    <w:rsid w:val="00F626C4"/>
    <w:rsid w:val="00F64D9E"/>
    <w:rsid w:val="00F664EC"/>
    <w:rsid w:val="00F666C4"/>
    <w:rsid w:val="00F7684C"/>
    <w:rsid w:val="00F76AFC"/>
    <w:rsid w:val="00F80384"/>
    <w:rsid w:val="00F80CBE"/>
    <w:rsid w:val="00F85198"/>
    <w:rsid w:val="00F85237"/>
    <w:rsid w:val="00F939CB"/>
    <w:rsid w:val="00F9479C"/>
    <w:rsid w:val="00F965EE"/>
    <w:rsid w:val="00F97949"/>
    <w:rsid w:val="00FA1110"/>
    <w:rsid w:val="00FA1361"/>
    <w:rsid w:val="00FA34EC"/>
    <w:rsid w:val="00FA358D"/>
    <w:rsid w:val="00FA47C0"/>
    <w:rsid w:val="00FB4425"/>
    <w:rsid w:val="00FB5615"/>
    <w:rsid w:val="00FB5DD1"/>
    <w:rsid w:val="00FB5F87"/>
    <w:rsid w:val="00FC07B5"/>
    <w:rsid w:val="00FC2B5D"/>
    <w:rsid w:val="00FC4578"/>
    <w:rsid w:val="00FC6192"/>
    <w:rsid w:val="00FD00BB"/>
    <w:rsid w:val="00FD00E9"/>
    <w:rsid w:val="00FD03E3"/>
    <w:rsid w:val="00FD108E"/>
    <w:rsid w:val="00FD653F"/>
    <w:rsid w:val="00FE122A"/>
    <w:rsid w:val="00FE1913"/>
    <w:rsid w:val="00FE20E6"/>
    <w:rsid w:val="00FE3927"/>
    <w:rsid w:val="00FF1187"/>
    <w:rsid w:val="00FF1449"/>
    <w:rsid w:val="00FF74EA"/>
    <w:rsid w:val="0FB71FC4"/>
    <w:rsid w:val="2832C13D"/>
    <w:rsid w:val="5CEADB7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E4F32"/>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customStyle="1" w:styleId="Mencinsinresolver1">
    <w:name w:val="Mención sin resolver1"/>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08328D"/>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08328D"/>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08328D"/>
    <w:rPr>
      <w:rFonts w:ascii="Geomanist Light" w:hAnsi="Geomanist Light"/>
      <w:lang w:val="es-ES"/>
    </w:rPr>
  </w:style>
  <w:style w:type="character" w:styleId="Textoennegrita">
    <w:name w:val="Strong"/>
    <w:basedOn w:val="Fuentedeprrafopredeter"/>
    <w:uiPriority w:val="22"/>
    <w:qFormat/>
    <w:rsid w:val="0008328D"/>
    <w:rPr>
      <w:b/>
      <w:bCs/>
    </w:rPr>
  </w:style>
  <w:style w:type="paragraph" w:customStyle="1" w:styleId="fn1">
    <w:name w:val="fn1"/>
    <w:basedOn w:val="Normal"/>
    <w:next w:val="Textonotapie"/>
    <w:uiPriority w:val="99"/>
    <w:unhideWhenUsed/>
    <w:qFormat/>
    <w:rsid w:val="004F3012"/>
    <w:pPr>
      <w:spacing w:after="0" w:line="240" w:lineRule="auto"/>
    </w:pPr>
    <w:rPr>
      <w:sz w:val="20"/>
      <w:szCs w:val="20"/>
      <w:lang w:val="es-MX"/>
    </w:rPr>
  </w:style>
  <w:style w:type="paragraph" w:styleId="Textoindependiente">
    <w:name w:val="Body Text"/>
    <w:basedOn w:val="Normal"/>
    <w:link w:val="TextoindependienteCar"/>
    <w:uiPriority w:val="1"/>
    <w:qFormat/>
    <w:rsid w:val="00FF74EA"/>
    <w:pPr>
      <w:widowControl w:val="0"/>
      <w:autoSpaceDE w:val="0"/>
      <w:autoSpaceDN w:val="0"/>
      <w:spacing w:after="0" w:line="240" w:lineRule="auto"/>
    </w:pPr>
    <w:rPr>
      <w:rFonts w:ascii="Arial" w:eastAsia="Arial" w:hAnsi="Arial" w:cs="Arial"/>
      <w:lang w:val="es-ES"/>
    </w:rPr>
  </w:style>
  <w:style w:type="character" w:customStyle="1" w:styleId="TextoindependienteCar">
    <w:name w:val="Texto independiente Car"/>
    <w:basedOn w:val="Fuentedeprrafopredeter"/>
    <w:link w:val="Textoindependiente"/>
    <w:uiPriority w:val="99"/>
    <w:rsid w:val="00FF74EA"/>
    <w:rPr>
      <w:rFonts w:ascii="Arial" w:eastAsia="Arial" w:hAnsi="Arial" w:cs="Arial"/>
      <w:lang w:val="es-ES"/>
    </w:rPr>
  </w:style>
  <w:style w:type="character" w:customStyle="1" w:styleId="NormalWebCar">
    <w:name w:val="Normal (Web) Car"/>
    <w:link w:val="NormalWeb"/>
    <w:uiPriority w:val="99"/>
    <w:locked/>
    <w:rsid w:val="00FF74EA"/>
    <w:rPr>
      <w:rFonts w:ascii="Times New Roman" w:eastAsia="Times New Roman" w:hAnsi="Times New Roman" w:cs="Times New Roman"/>
      <w:sz w:val="24"/>
      <w:szCs w:val="24"/>
      <w:lang w:eastAsia="es-CO"/>
    </w:rPr>
  </w:style>
  <w:style w:type="character" w:styleId="nfasis">
    <w:name w:val="Emphasis"/>
    <w:basedOn w:val="Fuentedeprrafopredeter"/>
    <w:uiPriority w:val="20"/>
    <w:qFormat/>
    <w:rsid w:val="00A24433"/>
    <w:rPr>
      <w:i/>
      <w:iCs/>
    </w:rPr>
  </w:style>
  <w:style w:type="character" w:styleId="Refdecomentario">
    <w:name w:val="annotation reference"/>
    <w:basedOn w:val="Fuentedeprrafopredeter"/>
    <w:uiPriority w:val="99"/>
    <w:semiHidden/>
    <w:unhideWhenUsed/>
    <w:rsid w:val="0052785C"/>
    <w:rPr>
      <w:sz w:val="16"/>
      <w:szCs w:val="16"/>
    </w:rPr>
  </w:style>
  <w:style w:type="paragraph" w:styleId="Textocomentario">
    <w:name w:val="annotation text"/>
    <w:basedOn w:val="Normal"/>
    <w:link w:val="TextocomentarioCar"/>
    <w:uiPriority w:val="99"/>
    <w:unhideWhenUsed/>
    <w:rsid w:val="0052785C"/>
    <w:pPr>
      <w:spacing w:line="240" w:lineRule="auto"/>
    </w:pPr>
    <w:rPr>
      <w:sz w:val="20"/>
      <w:szCs w:val="20"/>
    </w:rPr>
  </w:style>
  <w:style w:type="character" w:customStyle="1" w:styleId="TextocomentarioCar">
    <w:name w:val="Texto comentario Car"/>
    <w:basedOn w:val="Fuentedeprrafopredeter"/>
    <w:link w:val="Textocomentario"/>
    <w:uiPriority w:val="99"/>
    <w:rsid w:val="0052785C"/>
    <w:rPr>
      <w:sz w:val="20"/>
      <w:szCs w:val="20"/>
    </w:rPr>
  </w:style>
  <w:style w:type="paragraph" w:styleId="Asuntodelcomentario">
    <w:name w:val="annotation subject"/>
    <w:basedOn w:val="Textocomentario"/>
    <w:next w:val="Textocomentario"/>
    <w:link w:val="AsuntodelcomentarioCar"/>
    <w:uiPriority w:val="99"/>
    <w:semiHidden/>
    <w:unhideWhenUsed/>
    <w:rsid w:val="0052785C"/>
    <w:rPr>
      <w:b/>
      <w:bCs/>
    </w:rPr>
  </w:style>
  <w:style w:type="character" w:customStyle="1" w:styleId="AsuntodelcomentarioCar">
    <w:name w:val="Asunto del comentario Car"/>
    <w:basedOn w:val="TextocomentarioCar"/>
    <w:link w:val="Asuntodelcomentario"/>
    <w:uiPriority w:val="99"/>
    <w:semiHidden/>
    <w:rsid w:val="0052785C"/>
    <w:rPr>
      <w:b/>
      <w:bCs/>
      <w:sz w:val="20"/>
      <w:szCs w:val="20"/>
    </w:rPr>
  </w:style>
  <w:style w:type="paragraph" w:styleId="Textodeglobo">
    <w:name w:val="Balloon Text"/>
    <w:basedOn w:val="Normal"/>
    <w:link w:val="TextodegloboCar"/>
    <w:uiPriority w:val="99"/>
    <w:semiHidden/>
    <w:unhideWhenUsed/>
    <w:rsid w:val="0012076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120766"/>
    <w:rPr>
      <w:rFonts w:ascii="Segoe UI" w:hAnsi="Segoe UI" w:cs="Segoe UI"/>
      <w:sz w:val="18"/>
      <w:szCs w:val="18"/>
    </w:rPr>
  </w:style>
  <w:style w:type="paragraph" w:styleId="Subttulo">
    <w:name w:val="Subtitle"/>
    <w:basedOn w:val="Normal"/>
    <w:next w:val="Normal"/>
    <w:link w:val="SubttuloCar"/>
    <w:uiPriority w:val="11"/>
    <w:qFormat/>
    <w:rsid w:val="00AC0DF9"/>
    <w:pPr>
      <w:numPr>
        <w:ilvl w:val="1"/>
      </w:numPr>
    </w:pPr>
    <w:rPr>
      <w:rFonts w:eastAsiaTheme="minorEastAsia"/>
      <w:color w:val="5A5A5A" w:themeColor="text1" w:themeTint="A5"/>
      <w:spacing w:val="15"/>
    </w:rPr>
  </w:style>
  <w:style w:type="character" w:customStyle="1" w:styleId="SubttuloCar">
    <w:name w:val="Subtítulo Car"/>
    <w:basedOn w:val="Fuentedeprrafopredeter"/>
    <w:link w:val="Subttulo"/>
    <w:uiPriority w:val="11"/>
    <w:rsid w:val="00AC0DF9"/>
    <w:rPr>
      <w:rFonts w:eastAsiaTheme="minorEastAsia"/>
      <w:color w:val="5A5A5A" w:themeColor="text1" w:themeTint="A5"/>
      <w:spacing w:val="15"/>
    </w:rPr>
  </w:style>
  <w:style w:type="character" w:customStyle="1" w:styleId="baj">
    <w:name w:val="b_aj"/>
    <w:basedOn w:val="Fuentedeprrafopredeter"/>
    <w:rsid w:val="00E2397D"/>
  </w:style>
  <w:style w:type="paragraph" w:customStyle="1" w:styleId="Textoindependiente1">
    <w:name w:val="Texto independiente1"/>
    <w:basedOn w:val="Normal"/>
    <w:next w:val="Textoindependiente"/>
    <w:uiPriority w:val="99"/>
    <w:unhideWhenUsed/>
    <w:rsid w:val="006B14B5"/>
    <w:pPr>
      <w:spacing w:after="120"/>
    </w:pPr>
    <w:rPr>
      <w:kern w:val="2"/>
      <w:sz w:val="24"/>
      <w:szCs w:val="24"/>
      <w14:ligatures w14:val="standardContextual"/>
    </w:rPr>
  </w:style>
  <w:style w:type="paragraph" w:customStyle="1" w:styleId="Textoindependiente2">
    <w:name w:val="Texto independiente2"/>
    <w:basedOn w:val="Normal"/>
    <w:next w:val="Textoindependiente"/>
    <w:uiPriority w:val="99"/>
    <w:semiHidden/>
    <w:unhideWhenUsed/>
    <w:rsid w:val="006B14B5"/>
    <w:pPr>
      <w:spacing w:after="1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3835437">
      <w:bodyDiv w:val="1"/>
      <w:marLeft w:val="0"/>
      <w:marRight w:val="0"/>
      <w:marTop w:val="0"/>
      <w:marBottom w:val="0"/>
      <w:divBdr>
        <w:top w:val="none" w:sz="0" w:space="0" w:color="auto"/>
        <w:left w:val="none" w:sz="0" w:space="0" w:color="auto"/>
        <w:bottom w:val="none" w:sz="0" w:space="0" w:color="auto"/>
        <w:right w:val="none" w:sz="0" w:space="0" w:color="auto"/>
      </w:divBdr>
    </w:div>
    <w:div w:id="460877566">
      <w:bodyDiv w:val="1"/>
      <w:marLeft w:val="0"/>
      <w:marRight w:val="0"/>
      <w:marTop w:val="0"/>
      <w:marBottom w:val="0"/>
      <w:divBdr>
        <w:top w:val="none" w:sz="0" w:space="0" w:color="auto"/>
        <w:left w:val="none" w:sz="0" w:space="0" w:color="auto"/>
        <w:bottom w:val="none" w:sz="0" w:space="0" w:color="auto"/>
        <w:right w:val="none" w:sz="0" w:space="0" w:color="auto"/>
      </w:divBdr>
    </w:div>
    <w:div w:id="502475250">
      <w:bodyDiv w:val="1"/>
      <w:marLeft w:val="0"/>
      <w:marRight w:val="0"/>
      <w:marTop w:val="0"/>
      <w:marBottom w:val="0"/>
      <w:divBdr>
        <w:top w:val="none" w:sz="0" w:space="0" w:color="auto"/>
        <w:left w:val="none" w:sz="0" w:space="0" w:color="auto"/>
        <w:bottom w:val="none" w:sz="0" w:space="0" w:color="auto"/>
        <w:right w:val="none" w:sz="0" w:space="0" w:color="auto"/>
      </w:divBdr>
    </w:div>
    <w:div w:id="513416965">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48189111">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823744084">
      <w:bodyDiv w:val="1"/>
      <w:marLeft w:val="0"/>
      <w:marRight w:val="0"/>
      <w:marTop w:val="0"/>
      <w:marBottom w:val="0"/>
      <w:divBdr>
        <w:top w:val="none" w:sz="0" w:space="0" w:color="auto"/>
        <w:left w:val="none" w:sz="0" w:space="0" w:color="auto"/>
        <w:bottom w:val="none" w:sz="0" w:space="0" w:color="auto"/>
        <w:right w:val="none" w:sz="0" w:space="0" w:color="auto"/>
      </w:divBdr>
      <w:divsChild>
        <w:div w:id="1665283950">
          <w:marLeft w:val="0"/>
          <w:marRight w:val="0"/>
          <w:marTop w:val="0"/>
          <w:marBottom w:val="160"/>
          <w:divBdr>
            <w:top w:val="none" w:sz="0" w:space="0" w:color="auto"/>
            <w:left w:val="none" w:sz="0" w:space="0" w:color="auto"/>
            <w:bottom w:val="none" w:sz="0" w:space="0" w:color="auto"/>
            <w:right w:val="none" w:sz="0" w:space="0" w:color="auto"/>
          </w:divBdr>
        </w:div>
        <w:div w:id="133375842">
          <w:marLeft w:val="0"/>
          <w:marRight w:val="0"/>
          <w:marTop w:val="0"/>
          <w:marBottom w:val="160"/>
          <w:divBdr>
            <w:top w:val="none" w:sz="0" w:space="0" w:color="auto"/>
            <w:left w:val="none" w:sz="0" w:space="0" w:color="auto"/>
            <w:bottom w:val="none" w:sz="0" w:space="0" w:color="auto"/>
            <w:right w:val="none" w:sz="0" w:space="0" w:color="auto"/>
          </w:divBdr>
        </w:div>
        <w:div w:id="1806265997">
          <w:marLeft w:val="0"/>
          <w:marRight w:val="0"/>
          <w:marTop w:val="0"/>
          <w:marBottom w:val="160"/>
          <w:divBdr>
            <w:top w:val="none" w:sz="0" w:space="0" w:color="auto"/>
            <w:left w:val="none" w:sz="0" w:space="0" w:color="auto"/>
            <w:bottom w:val="none" w:sz="0" w:space="0" w:color="auto"/>
            <w:right w:val="none" w:sz="0" w:space="0" w:color="auto"/>
          </w:divBdr>
        </w:div>
      </w:divsChild>
    </w:div>
    <w:div w:id="828248822">
      <w:bodyDiv w:val="1"/>
      <w:marLeft w:val="0"/>
      <w:marRight w:val="0"/>
      <w:marTop w:val="0"/>
      <w:marBottom w:val="0"/>
      <w:divBdr>
        <w:top w:val="none" w:sz="0" w:space="0" w:color="auto"/>
        <w:left w:val="none" w:sz="0" w:space="0" w:color="auto"/>
        <w:bottom w:val="none" w:sz="0" w:space="0" w:color="auto"/>
        <w:right w:val="none" w:sz="0" w:space="0" w:color="auto"/>
      </w:divBdr>
    </w:div>
    <w:div w:id="910313656">
      <w:bodyDiv w:val="1"/>
      <w:marLeft w:val="0"/>
      <w:marRight w:val="0"/>
      <w:marTop w:val="0"/>
      <w:marBottom w:val="0"/>
      <w:divBdr>
        <w:top w:val="none" w:sz="0" w:space="0" w:color="auto"/>
        <w:left w:val="none" w:sz="0" w:space="0" w:color="auto"/>
        <w:bottom w:val="none" w:sz="0" w:space="0" w:color="auto"/>
        <w:right w:val="none" w:sz="0" w:space="0" w:color="auto"/>
      </w:divBdr>
    </w:div>
    <w:div w:id="930629713">
      <w:bodyDiv w:val="1"/>
      <w:marLeft w:val="0"/>
      <w:marRight w:val="0"/>
      <w:marTop w:val="0"/>
      <w:marBottom w:val="0"/>
      <w:divBdr>
        <w:top w:val="none" w:sz="0" w:space="0" w:color="auto"/>
        <w:left w:val="none" w:sz="0" w:space="0" w:color="auto"/>
        <w:bottom w:val="none" w:sz="0" w:space="0" w:color="auto"/>
        <w:right w:val="none" w:sz="0" w:space="0" w:color="auto"/>
      </w:divBdr>
      <w:divsChild>
        <w:div w:id="1038821504">
          <w:marLeft w:val="0"/>
          <w:marRight w:val="0"/>
          <w:marTop w:val="0"/>
          <w:marBottom w:val="0"/>
          <w:divBdr>
            <w:top w:val="none" w:sz="0" w:space="0" w:color="auto"/>
            <w:left w:val="none" w:sz="0" w:space="0" w:color="auto"/>
            <w:bottom w:val="none" w:sz="0" w:space="0" w:color="auto"/>
            <w:right w:val="none" w:sz="0" w:space="0" w:color="auto"/>
          </w:divBdr>
        </w:div>
      </w:divsChild>
    </w:div>
    <w:div w:id="939751492">
      <w:bodyDiv w:val="1"/>
      <w:marLeft w:val="0"/>
      <w:marRight w:val="0"/>
      <w:marTop w:val="0"/>
      <w:marBottom w:val="0"/>
      <w:divBdr>
        <w:top w:val="none" w:sz="0" w:space="0" w:color="auto"/>
        <w:left w:val="none" w:sz="0" w:space="0" w:color="auto"/>
        <w:bottom w:val="none" w:sz="0" w:space="0" w:color="auto"/>
        <w:right w:val="none" w:sz="0" w:space="0" w:color="auto"/>
      </w:divBdr>
    </w:div>
    <w:div w:id="1002976885">
      <w:bodyDiv w:val="1"/>
      <w:marLeft w:val="0"/>
      <w:marRight w:val="0"/>
      <w:marTop w:val="0"/>
      <w:marBottom w:val="0"/>
      <w:divBdr>
        <w:top w:val="none" w:sz="0" w:space="0" w:color="auto"/>
        <w:left w:val="none" w:sz="0" w:space="0" w:color="auto"/>
        <w:bottom w:val="none" w:sz="0" w:space="0" w:color="auto"/>
        <w:right w:val="none" w:sz="0" w:space="0" w:color="auto"/>
      </w:divBdr>
    </w:div>
    <w:div w:id="1025399029">
      <w:bodyDiv w:val="1"/>
      <w:marLeft w:val="0"/>
      <w:marRight w:val="0"/>
      <w:marTop w:val="0"/>
      <w:marBottom w:val="0"/>
      <w:divBdr>
        <w:top w:val="none" w:sz="0" w:space="0" w:color="auto"/>
        <w:left w:val="none" w:sz="0" w:space="0" w:color="auto"/>
        <w:bottom w:val="none" w:sz="0" w:space="0" w:color="auto"/>
        <w:right w:val="none" w:sz="0" w:space="0" w:color="auto"/>
      </w:divBdr>
    </w:div>
    <w:div w:id="1078407130">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36013034">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311406287">
      <w:bodyDiv w:val="1"/>
      <w:marLeft w:val="0"/>
      <w:marRight w:val="0"/>
      <w:marTop w:val="0"/>
      <w:marBottom w:val="0"/>
      <w:divBdr>
        <w:top w:val="none" w:sz="0" w:space="0" w:color="auto"/>
        <w:left w:val="none" w:sz="0" w:space="0" w:color="auto"/>
        <w:bottom w:val="none" w:sz="0" w:space="0" w:color="auto"/>
        <w:right w:val="none" w:sz="0" w:space="0" w:color="auto"/>
      </w:divBdr>
    </w:div>
    <w:div w:id="1343514720">
      <w:bodyDiv w:val="1"/>
      <w:marLeft w:val="0"/>
      <w:marRight w:val="0"/>
      <w:marTop w:val="0"/>
      <w:marBottom w:val="0"/>
      <w:divBdr>
        <w:top w:val="none" w:sz="0" w:space="0" w:color="auto"/>
        <w:left w:val="none" w:sz="0" w:space="0" w:color="auto"/>
        <w:bottom w:val="none" w:sz="0" w:space="0" w:color="auto"/>
        <w:right w:val="none" w:sz="0" w:space="0" w:color="auto"/>
      </w:divBdr>
    </w:div>
    <w:div w:id="1381632463">
      <w:bodyDiv w:val="1"/>
      <w:marLeft w:val="0"/>
      <w:marRight w:val="0"/>
      <w:marTop w:val="0"/>
      <w:marBottom w:val="0"/>
      <w:divBdr>
        <w:top w:val="none" w:sz="0" w:space="0" w:color="auto"/>
        <w:left w:val="none" w:sz="0" w:space="0" w:color="auto"/>
        <w:bottom w:val="none" w:sz="0" w:space="0" w:color="auto"/>
        <w:right w:val="none" w:sz="0" w:space="0" w:color="auto"/>
      </w:divBdr>
    </w:div>
    <w:div w:id="1388527428">
      <w:bodyDiv w:val="1"/>
      <w:marLeft w:val="0"/>
      <w:marRight w:val="0"/>
      <w:marTop w:val="0"/>
      <w:marBottom w:val="0"/>
      <w:divBdr>
        <w:top w:val="none" w:sz="0" w:space="0" w:color="auto"/>
        <w:left w:val="none" w:sz="0" w:space="0" w:color="auto"/>
        <w:bottom w:val="none" w:sz="0" w:space="0" w:color="auto"/>
        <w:right w:val="none" w:sz="0" w:space="0" w:color="auto"/>
      </w:divBdr>
      <w:divsChild>
        <w:div w:id="1126967197">
          <w:marLeft w:val="0"/>
          <w:marRight w:val="0"/>
          <w:marTop w:val="0"/>
          <w:marBottom w:val="160"/>
          <w:divBdr>
            <w:top w:val="none" w:sz="0" w:space="0" w:color="auto"/>
            <w:left w:val="none" w:sz="0" w:space="0" w:color="auto"/>
            <w:bottom w:val="none" w:sz="0" w:space="0" w:color="auto"/>
            <w:right w:val="none" w:sz="0" w:space="0" w:color="auto"/>
          </w:divBdr>
        </w:div>
        <w:div w:id="1450123274">
          <w:marLeft w:val="0"/>
          <w:marRight w:val="0"/>
          <w:marTop w:val="0"/>
          <w:marBottom w:val="160"/>
          <w:divBdr>
            <w:top w:val="none" w:sz="0" w:space="0" w:color="auto"/>
            <w:left w:val="none" w:sz="0" w:space="0" w:color="auto"/>
            <w:bottom w:val="none" w:sz="0" w:space="0" w:color="auto"/>
            <w:right w:val="none" w:sz="0" w:space="0" w:color="auto"/>
          </w:divBdr>
        </w:div>
        <w:div w:id="522205550">
          <w:marLeft w:val="0"/>
          <w:marRight w:val="0"/>
          <w:marTop w:val="0"/>
          <w:marBottom w:val="160"/>
          <w:divBdr>
            <w:top w:val="none" w:sz="0" w:space="0" w:color="auto"/>
            <w:left w:val="none" w:sz="0" w:space="0" w:color="auto"/>
            <w:bottom w:val="none" w:sz="0" w:space="0" w:color="auto"/>
            <w:right w:val="none" w:sz="0" w:space="0" w:color="auto"/>
          </w:divBdr>
        </w:div>
      </w:divsChild>
    </w:div>
    <w:div w:id="1390762709">
      <w:bodyDiv w:val="1"/>
      <w:marLeft w:val="0"/>
      <w:marRight w:val="0"/>
      <w:marTop w:val="0"/>
      <w:marBottom w:val="0"/>
      <w:divBdr>
        <w:top w:val="none" w:sz="0" w:space="0" w:color="auto"/>
        <w:left w:val="none" w:sz="0" w:space="0" w:color="auto"/>
        <w:bottom w:val="none" w:sz="0" w:space="0" w:color="auto"/>
        <w:right w:val="none" w:sz="0" w:space="0" w:color="auto"/>
      </w:divBdr>
    </w:div>
    <w:div w:id="1471678187">
      <w:bodyDiv w:val="1"/>
      <w:marLeft w:val="0"/>
      <w:marRight w:val="0"/>
      <w:marTop w:val="0"/>
      <w:marBottom w:val="0"/>
      <w:divBdr>
        <w:top w:val="none" w:sz="0" w:space="0" w:color="auto"/>
        <w:left w:val="none" w:sz="0" w:space="0" w:color="auto"/>
        <w:bottom w:val="none" w:sz="0" w:space="0" w:color="auto"/>
        <w:right w:val="none" w:sz="0" w:space="0" w:color="auto"/>
      </w:divBdr>
      <w:divsChild>
        <w:div w:id="331952033">
          <w:marLeft w:val="0"/>
          <w:marRight w:val="0"/>
          <w:marTop w:val="0"/>
          <w:marBottom w:val="0"/>
          <w:divBdr>
            <w:top w:val="none" w:sz="0" w:space="0" w:color="auto"/>
            <w:left w:val="none" w:sz="0" w:space="0" w:color="auto"/>
            <w:bottom w:val="none" w:sz="0" w:space="0" w:color="auto"/>
            <w:right w:val="none" w:sz="0" w:space="0" w:color="auto"/>
          </w:divBdr>
        </w:div>
        <w:div w:id="1549146269">
          <w:marLeft w:val="0"/>
          <w:marRight w:val="0"/>
          <w:marTop w:val="0"/>
          <w:marBottom w:val="0"/>
          <w:divBdr>
            <w:top w:val="none" w:sz="0" w:space="0" w:color="auto"/>
            <w:left w:val="none" w:sz="0" w:space="0" w:color="auto"/>
            <w:bottom w:val="none" w:sz="0" w:space="0" w:color="auto"/>
            <w:right w:val="none" w:sz="0" w:space="0" w:color="auto"/>
          </w:divBdr>
        </w:div>
      </w:divsChild>
    </w:div>
    <w:div w:id="1661929042">
      <w:bodyDiv w:val="1"/>
      <w:marLeft w:val="0"/>
      <w:marRight w:val="0"/>
      <w:marTop w:val="0"/>
      <w:marBottom w:val="0"/>
      <w:divBdr>
        <w:top w:val="none" w:sz="0" w:space="0" w:color="auto"/>
        <w:left w:val="none" w:sz="0" w:space="0" w:color="auto"/>
        <w:bottom w:val="none" w:sz="0" w:space="0" w:color="auto"/>
        <w:right w:val="none" w:sz="0" w:space="0" w:color="auto"/>
      </w:divBdr>
      <w:divsChild>
        <w:div w:id="1221401708">
          <w:marLeft w:val="0"/>
          <w:marRight w:val="0"/>
          <w:marTop w:val="0"/>
          <w:marBottom w:val="160"/>
          <w:divBdr>
            <w:top w:val="none" w:sz="0" w:space="0" w:color="auto"/>
            <w:left w:val="none" w:sz="0" w:space="0" w:color="auto"/>
            <w:bottom w:val="none" w:sz="0" w:space="0" w:color="auto"/>
            <w:right w:val="none" w:sz="0" w:space="0" w:color="auto"/>
          </w:divBdr>
        </w:div>
        <w:div w:id="1959291753">
          <w:marLeft w:val="0"/>
          <w:marRight w:val="0"/>
          <w:marTop w:val="0"/>
          <w:marBottom w:val="160"/>
          <w:divBdr>
            <w:top w:val="none" w:sz="0" w:space="0" w:color="auto"/>
            <w:left w:val="none" w:sz="0" w:space="0" w:color="auto"/>
            <w:bottom w:val="none" w:sz="0" w:space="0" w:color="auto"/>
            <w:right w:val="none" w:sz="0" w:space="0" w:color="auto"/>
          </w:divBdr>
        </w:div>
        <w:div w:id="1179394306">
          <w:marLeft w:val="0"/>
          <w:marRight w:val="0"/>
          <w:marTop w:val="0"/>
          <w:marBottom w:val="160"/>
          <w:divBdr>
            <w:top w:val="none" w:sz="0" w:space="0" w:color="auto"/>
            <w:left w:val="none" w:sz="0" w:space="0" w:color="auto"/>
            <w:bottom w:val="none" w:sz="0" w:space="0" w:color="auto"/>
            <w:right w:val="none" w:sz="0" w:space="0" w:color="auto"/>
          </w:divBdr>
        </w:div>
      </w:divsChild>
    </w:div>
    <w:div w:id="1786272649">
      <w:bodyDiv w:val="1"/>
      <w:marLeft w:val="0"/>
      <w:marRight w:val="0"/>
      <w:marTop w:val="0"/>
      <w:marBottom w:val="0"/>
      <w:divBdr>
        <w:top w:val="none" w:sz="0" w:space="0" w:color="auto"/>
        <w:left w:val="none" w:sz="0" w:space="0" w:color="auto"/>
        <w:bottom w:val="none" w:sz="0" w:space="0" w:color="auto"/>
        <w:right w:val="none" w:sz="0" w:space="0" w:color="auto"/>
      </w:divBdr>
    </w:div>
    <w:div w:id="2003848616">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pedaleja@hotmail.com"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5" Type="http://schemas.openxmlformats.org/officeDocument/2006/relationships/numbering" Target="numbering.xml"/><Relationship Id="rId15" Type="http://schemas.openxmlformats.org/officeDocument/2006/relationships/image" Target="media/image3.pn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colombiacompra.gov.c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SharedWithUsers xmlns="a6cb9e4b-f1d1-4245-83ec-6cad768d538a">
      <UserInfo>
        <DisplayName>Poxta IOIP</DisplayName>
        <AccountId>719</AccountId>
        <AccountType/>
      </UserInfo>
    </SharedWithUsers>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51ACA5B-5AC0-47D0-8712-9045DEEFCD70}">
  <ds:schemaRefs>
    <ds:schemaRef ds:uri="http://schemas.openxmlformats.org/officeDocument/2006/bibliography"/>
  </ds:schemaRefs>
</ds:datastoreItem>
</file>

<file path=customXml/itemProps2.xml><?xml version="1.0" encoding="utf-8"?>
<ds:datastoreItem xmlns:ds="http://schemas.openxmlformats.org/officeDocument/2006/customXml" ds:itemID="{163618BE-28CB-4D69-955E-CDA788483BED}">
  <ds:schemaRefs>
    <ds:schemaRef ds:uri="http://schemas.microsoft.com/office/2006/documentManagement/types"/>
    <ds:schemaRef ds:uri="9d85dbaf-23eb-4e57-a637-93dcacc8b1a1"/>
    <ds:schemaRef ds:uri="http://schemas.microsoft.com/office/infopath/2007/PartnerControls"/>
    <ds:schemaRef ds:uri="http://schemas.microsoft.com/office/2006/metadata/properties"/>
    <ds:schemaRef ds:uri="http://purl.org/dc/dcmitype/"/>
    <ds:schemaRef ds:uri="http://purl.org/dc/elements/1.1/"/>
    <ds:schemaRef ds:uri="http://schemas.openxmlformats.org/package/2006/metadata/core-properties"/>
    <ds:schemaRef ds:uri="a6cb9e4b-f1d1-4245-83ec-6cad768d538a"/>
    <ds:schemaRef ds:uri="http://www.w3.org/XML/1998/namespace"/>
    <ds:schemaRef ds:uri="http://purl.org/dc/terms/"/>
  </ds:schemaRefs>
</ds:datastoreItem>
</file>

<file path=customXml/itemProps3.xml><?xml version="1.0" encoding="utf-8"?>
<ds:datastoreItem xmlns:ds="http://schemas.openxmlformats.org/officeDocument/2006/customXml" ds:itemID="{E13505DD-BD8A-4C72-9BF3-E233AAE1D48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9B0637E-D058-473B-8FE7-AA861F69C7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18</Pages>
  <Words>5979</Words>
  <Characters>32889</Characters>
  <Application>Microsoft Office Word</Application>
  <DocSecurity>0</DocSecurity>
  <Lines>274</Lines>
  <Paragraphs>77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38791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Elena Díaz Fernandez</cp:lastModifiedBy>
  <cp:revision>2</cp:revision>
  <cp:lastPrinted>2025-02-25T15:45:00Z</cp:lastPrinted>
  <dcterms:created xsi:type="dcterms:W3CDTF">2025-09-23T18:13:00Z</dcterms:created>
  <dcterms:modified xsi:type="dcterms:W3CDTF">2025-09-23T18:13:00Z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