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1386FE" w14:textId="77777777" w:rsidR="00D72CE8" w:rsidRPr="007C11D3" w:rsidRDefault="00D72CE8" w:rsidP="00D72CE8">
      <w:pPr>
        <w:spacing w:after="0" w:line="240" w:lineRule="auto"/>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t xml:space="preserve">LEY DE GARANTÍAS ELECTORALES ‒ Tipos de restricciones ‒ Ámbito temporal </w:t>
      </w:r>
    </w:p>
    <w:p w14:paraId="372EB616" w14:textId="77777777" w:rsidR="00D72CE8" w:rsidRPr="007C11D3" w:rsidRDefault="00D72CE8" w:rsidP="00D72CE8">
      <w:pPr>
        <w:spacing w:after="0" w:line="240" w:lineRule="auto"/>
        <w:rPr>
          <w:rFonts w:ascii="Verdana" w:eastAsia="Calibri" w:hAnsi="Verdana" w:cs="Arial"/>
          <w:b/>
          <w:color w:val="000000" w:themeColor="text1"/>
          <w:lang w:val="es-ES_tradnl"/>
        </w:rPr>
      </w:pPr>
    </w:p>
    <w:p w14:paraId="160C2E8E" w14:textId="77777777" w:rsidR="00D72CE8" w:rsidRPr="007C11D3" w:rsidRDefault="00D72CE8" w:rsidP="00D72CE8">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la Ley 996 de 2005 establece dos (2) tipos de restricciones en materia de contratación, las cuales coinciden parcialmente. En primer lugar,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C62B8C7" w14:textId="77777777" w:rsidR="00D72CE8" w:rsidRPr="007C11D3" w:rsidRDefault="00D72CE8" w:rsidP="00D72CE8">
      <w:pPr>
        <w:spacing w:after="0" w:line="240" w:lineRule="auto"/>
        <w:rPr>
          <w:rFonts w:ascii="Verdana" w:eastAsia="Calibri" w:hAnsi="Verdana" w:cs="Arial"/>
          <w:b/>
          <w:color w:val="000000" w:themeColor="text1"/>
          <w:lang w:val="es-ES_tradnl"/>
        </w:rPr>
      </w:pPr>
    </w:p>
    <w:p w14:paraId="2257972A" w14:textId="77777777" w:rsidR="00D72CE8" w:rsidRPr="007C11D3" w:rsidRDefault="00D72CE8" w:rsidP="00D72CE8">
      <w:pPr>
        <w:spacing w:after="0" w:line="240" w:lineRule="auto"/>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t xml:space="preserve">LEY DE GARANTÍAS ELECTORALES ─ Prohibición ‒ Contratación directa ‒ Alcance – Excepciones </w:t>
      </w:r>
    </w:p>
    <w:p w14:paraId="154EFD41" w14:textId="77777777" w:rsidR="00D72CE8" w:rsidRPr="007C11D3" w:rsidRDefault="00D72CE8" w:rsidP="00D72CE8">
      <w:pPr>
        <w:spacing w:after="0" w:line="240" w:lineRule="auto"/>
        <w:rPr>
          <w:rFonts w:ascii="Verdana" w:eastAsia="Calibri" w:hAnsi="Verdana" w:cs="Arial"/>
          <w:b/>
          <w:color w:val="000000" w:themeColor="text1"/>
          <w:lang w:val="es-ES_tradnl"/>
        </w:rPr>
      </w:pPr>
    </w:p>
    <w:p w14:paraId="125655AC" w14:textId="77777777" w:rsidR="00D72CE8" w:rsidRPr="007C11D3" w:rsidRDefault="00D72CE8" w:rsidP="00D72CE8">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xml:space="preserve">[…]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w:t>
      </w:r>
      <w:proofErr w:type="gramStart"/>
      <w:r w:rsidRPr="5B89E16D">
        <w:rPr>
          <w:rFonts w:ascii="Verdana" w:eastAsia="Calibri" w:hAnsi="Verdana" w:cs="Arial"/>
          <w:color w:val="000000" w:themeColor="text1"/>
          <w:sz w:val="20"/>
          <w:szCs w:val="20"/>
          <w:lang w:val="es-ES"/>
        </w:rPr>
        <w:t>méritos  y</w:t>
      </w:r>
      <w:proofErr w:type="gramEnd"/>
      <w:r w:rsidRPr="5B89E16D">
        <w:rPr>
          <w:rFonts w:ascii="Verdana" w:eastAsia="Calibri" w:hAnsi="Verdana" w:cs="Arial"/>
          <w:color w:val="000000" w:themeColor="text1"/>
          <w:sz w:val="20"/>
          <w:szCs w:val="20"/>
          <w:lang w:val="es-ES"/>
        </w:rPr>
        <w:t xml:space="preserve"> sistematizó las causales de contratación directa.</w:t>
      </w:r>
    </w:p>
    <w:p w14:paraId="15215DA9" w14:textId="77777777" w:rsidR="00D72CE8" w:rsidRPr="007C11D3" w:rsidRDefault="00D72CE8" w:rsidP="00D72CE8">
      <w:pPr>
        <w:spacing w:after="0" w:line="240" w:lineRule="auto"/>
        <w:jc w:val="both"/>
        <w:rPr>
          <w:rFonts w:ascii="Verdana" w:eastAsia="Calibri" w:hAnsi="Verdana" w:cs="Arial"/>
          <w:bCs/>
          <w:color w:val="000000" w:themeColor="text1"/>
          <w:sz w:val="20"/>
          <w:szCs w:val="20"/>
          <w:lang w:val="es-ES_tradnl"/>
        </w:rPr>
      </w:pPr>
    </w:p>
    <w:p w14:paraId="3C12DC62" w14:textId="77777777" w:rsidR="00D72CE8" w:rsidRPr="007C11D3" w:rsidRDefault="00D72CE8" w:rsidP="00D72CE8">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xml:space="preserve">[…]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5B89E16D">
        <w:rPr>
          <w:rFonts w:ascii="Verdana" w:eastAsia="Calibri" w:hAnsi="Verdana" w:cs="Arial"/>
          <w:color w:val="000000" w:themeColor="text1"/>
          <w:sz w:val="20"/>
          <w:szCs w:val="20"/>
          <w:lang w:val="es-ES"/>
        </w:rPr>
        <w:t>ii</w:t>
      </w:r>
      <w:proofErr w:type="spellEnd"/>
      <w:r w:rsidRPr="5B89E16D">
        <w:rPr>
          <w:rFonts w:ascii="Verdana" w:eastAsia="Calibri" w:hAnsi="Verdana" w:cs="Arial"/>
          <w:color w:val="000000" w:themeColor="text1"/>
          <w:sz w:val="20"/>
          <w:szCs w:val="20"/>
          <w:lang w:val="es-ES"/>
        </w:rPr>
        <w:t xml:space="preserve">) los contratos de crédito público; </w:t>
      </w:r>
      <w:proofErr w:type="spellStart"/>
      <w:r w:rsidRPr="5B89E16D">
        <w:rPr>
          <w:rFonts w:ascii="Verdana" w:eastAsia="Calibri" w:hAnsi="Verdana" w:cs="Arial"/>
          <w:color w:val="000000" w:themeColor="text1"/>
          <w:sz w:val="20"/>
          <w:szCs w:val="20"/>
          <w:lang w:val="es-ES"/>
        </w:rPr>
        <w:t>iii</w:t>
      </w:r>
      <w:proofErr w:type="spellEnd"/>
      <w:r w:rsidRPr="5B89E16D">
        <w:rPr>
          <w:rFonts w:ascii="Verdana" w:eastAsia="Calibri" w:hAnsi="Verdana" w:cs="Arial"/>
          <w:color w:val="000000" w:themeColor="text1"/>
          <w:sz w:val="20"/>
          <w:szCs w:val="20"/>
          <w:lang w:val="es-ES"/>
        </w:rPr>
        <w:t xml:space="preserve">) los requeridos para cubrir las emergencias educativas, sanitarias y desastres; </w:t>
      </w:r>
      <w:proofErr w:type="spellStart"/>
      <w:r w:rsidRPr="5B89E16D">
        <w:rPr>
          <w:rFonts w:ascii="Verdana" w:eastAsia="Calibri" w:hAnsi="Verdana" w:cs="Arial"/>
          <w:color w:val="000000" w:themeColor="text1"/>
          <w:sz w:val="20"/>
          <w:szCs w:val="20"/>
          <w:lang w:val="es-ES"/>
        </w:rPr>
        <w:t>iv</w:t>
      </w:r>
      <w:proofErr w:type="spellEnd"/>
      <w:r w:rsidRPr="5B89E16D">
        <w:rPr>
          <w:rFonts w:ascii="Verdana" w:eastAsia="Calibri" w:hAnsi="Verdana" w:cs="Arial"/>
          <w:color w:val="000000" w:themeColor="text1"/>
          <w:sz w:val="20"/>
          <w:szCs w:val="20"/>
          <w:lang w:val="es-ES"/>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A9D7A16" w14:textId="77777777" w:rsidR="00D72CE8" w:rsidRPr="007C11D3" w:rsidRDefault="00D72CE8" w:rsidP="00D72CE8">
      <w:pPr>
        <w:spacing w:after="0" w:line="240" w:lineRule="auto"/>
        <w:jc w:val="both"/>
        <w:rPr>
          <w:rFonts w:ascii="Verdana" w:eastAsia="Calibri" w:hAnsi="Verdana" w:cs="Arial"/>
          <w:b/>
          <w:color w:val="000000" w:themeColor="text1"/>
          <w:lang w:val="es-ES_tradnl"/>
        </w:rPr>
      </w:pPr>
    </w:p>
    <w:p w14:paraId="466179B4" w14:textId="77777777" w:rsidR="00D72CE8" w:rsidRPr="007C11D3" w:rsidRDefault="00D72CE8" w:rsidP="00D72CE8">
      <w:pPr>
        <w:spacing w:after="0" w:line="240" w:lineRule="auto"/>
        <w:jc w:val="both"/>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t>LEY DE GARANTÍAS ELECTORALES ‒ Prohibición del artículo 33 ‒ Destinatarios</w:t>
      </w:r>
    </w:p>
    <w:p w14:paraId="2486D4D2" w14:textId="77777777" w:rsidR="00D72CE8" w:rsidRPr="007C11D3" w:rsidRDefault="00D72CE8" w:rsidP="00D72CE8">
      <w:pPr>
        <w:spacing w:after="0" w:line="240" w:lineRule="auto"/>
        <w:jc w:val="both"/>
        <w:rPr>
          <w:rFonts w:ascii="Verdana" w:eastAsia="Calibri" w:hAnsi="Verdana" w:cs="Arial"/>
          <w:bCs/>
          <w:color w:val="000000" w:themeColor="text1"/>
          <w:lang w:val="es-ES_tradnl"/>
        </w:rPr>
      </w:pPr>
    </w:p>
    <w:p w14:paraId="639F3B60" w14:textId="77777777" w:rsidR="00D72CE8" w:rsidRPr="007C11D3" w:rsidRDefault="00D72CE8" w:rsidP="00D72CE8">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xml:space="preserve">El artículo 33 de la Ley 996 de 2005 señala expresamente a los destinatarios de la prohibición, en el sentido de que son </w:t>
      </w:r>
      <w:r>
        <w:rPr>
          <w:rFonts w:ascii="Verdana" w:eastAsia="Calibri" w:hAnsi="Verdana" w:cs="Arial"/>
          <w:color w:val="000000" w:themeColor="text1"/>
          <w:sz w:val="20"/>
          <w:szCs w:val="20"/>
          <w:lang w:val="es-ES"/>
        </w:rPr>
        <w:t>“</w:t>
      </w:r>
      <w:r w:rsidRPr="5B89E16D">
        <w:rPr>
          <w:rFonts w:ascii="Verdana" w:eastAsia="Calibri" w:hAnsi="Verdana" w:cs="Arial"/>
          <w:color w:val="000000" w:themeColor="text1"/>
          <w:sz w:val="20"/>
          <w:szCs w:val="20"/>
          <w:lang w:val="es-ES"/>
        </w:rPr>
        <w:t>todos los entes del Estado</w:t>
      </w:r>
      <w:r>
        <w:rPr>
          <w:rFonts w:ascii="Verdana" w:eastAsia="Calibri" w:hAnsi="Verdana" w:cs="Arial"/>
          <w:color w:val="000000" w:themeColor="text1"/>
          <w:sz w:val="20"/>
          <w:szCs w:val="20"/>
          <w:lang w:val="es-ES"/>
        </w:rPr>
        <w:t>”</w:t>
      </w:r>
      <w:r w:rsidRPr="5B89E16D">
        <w:rPr>
          <w:rFonts w:ascii="Verdana" w:eastAsia="Calibri" w:hAnsi="Verdana" w:cs="Arial"/>
          <w:color w:val="000000" w:themeColor="text1"/>
          <w:sz w:val="20"/>
          <w:szCs w:val="20"/>
          <w:lang w:val="es-ES"/>
        </w:rPr>
        <w:t xml:space="preserve">, expresión que contempla a los diferentes organismos o entidades autorizadas por la ley para suscribir contratos. En efecto, tal como lo ha sostenido el Consejo de Estado, el vocablo </w:t>
      </w:r>
      <w:r>
        <w:rPr>
          <w:rFonts w:ascii="Verdana" w:eastAsia="Calibri" w:hAnsi="Verdana" w:cs="Arial"/>
          <w:color w:val="000000" w:themeColor="text1"/>
          <w:sz w:val="20"/>
          <w:szCs w:val="20"/>
          <w:lang w:val="es-ES"/>
        </w:rPr>
        <w:t>“</w:t>
      </w:r>
      <w:r w:rsidRPr="5B89E16D">
        <w:rPr>
          <w:rFonts w:ascii="Verdana" w:eastAsia="Calibri" w:hAnsi="Verdana" w:cs="Arial"/>
          <w:color w:val="000000" w:themeColor="text1"/>
          <w:sz w:val="20"/>
          <w:szCs w:val="20"/>
          <w:lang w:val="es-ES"/>
        </w:rPr>
        <w:t>todos</w:t>
      </w:r>
      <w:r>
        <w:rPr>
          <w:rFonts w:ascii="Verdana" w:eastAsia="Calibri" w:hAnsi="Verdana" w:cs="Arial"/>
          <w:color w:val="000000" w:themeColor="text1"/>
          <w:sz w:val="20"/>
          <w:szCs w:val="20"/>
          <w:lang w:val="es-ES"/>
        </w:rPr>
        <w:t>”</w:t>
      </w:r>
      <w:r w:rsidRPr="5B89E16D">
        <w:rPr>
          <w:rFonts w:ascii="Verdana" w:eastAsia="Calibri" w:hAnsi="Verdana" w:cs="Arial"/>
          <w:color w:val="000000" w:themeColor="text1"/>
          <w:sz w:val="20"/>
          <w:szCs w:val="20"/>
          <w:lang w:val="es-ES"/>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CADC7B1" w14:textId="77777777" w:rsidR="001A712F" w:rsidRDefault="001A712F" w:rsidP="00D72CE8">
      <w:pPr>
        <w:jc w:val="both"/>
        <w:rPr>
          <w:rFonts w:ascii="Verdana" w:eastAsia="Calibri" w:hAnsi="Verdana" w:cs="Arial"/>
          <w:b/>
          <w:bCs/>
          <w:lang w:val="es-ES"/>
        </w:rPr>
      </w:pPr>
    </w:p>
    <w:p w14:paraId="335AD9DC" w14:textId="78A9C663" w:rsidR="00D72CE8" w:rsidRPr="001A712F" w:rsidRDefault="00D72CE8" w:rsidP="001A712F">
      <w:pPr>
        <w:jc w:val="both"/>
        <w:rPr>
          <w:rFonts w:ascii="Verdana" w:eastAsia="Calibri" w:hAnsi="Verdana" w:cs="Arial"/>
          <w:b/>
          <w:bCs/>
          <w:color w:val="000000" w:themeColor="text1"/>
          <w:lang w:val="es-ES_tradnl"/>
        </w:rPr>
      </w:pPr>
      <w:r w:rsidRPr="00A51781">
        <w:rPr>
          <w:rFonts w:ascii="Verdana" w:eastAsia="Calibri" w:hAnsi="Verdana" w:cs="Arial"/>
          <w:b/>
          <w:bCs/>
          <w:lang w:val="es-ES"/>
        </w:rPr>
        <w:t>UNIVERSIDADES PÚBLICAS – ESTABLECIMIENTO PÚBLICO EDUCATIVO – Diferencias – Aplicación de la Ley 996 de 2005</w:t>
      </w:r>
    </w:p>
    <w:p w14:paraId="3F648FE8" w14:textId="77777777" w:rsidR="00D72CE8" w:rsidRPr="007C11D3" w:rsidRDefault="00D72CE8" w:rsidP="00D72CE8">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w:t>
      </w:r>
      <w:r>
        <w:rPr>
          <w:rFonts w:ascii="Verdana" w:eastAsia="Calibri" w:hAnsi="Verdana" w:cs="Arial"/>
          <w:color w:val="000000" w:themeColor="text1"/>
          <w:sz w:val="20"/>
          <w:szCs w:val="20"/>
          <w:lang w:val="es-ES"/>
        </w:rPr>
        <w:t xml:space="preserve"> </w:t>
      </w:r>
      <w:r w:rsidRPr="00A51781">
        <w:rPr>
          <w:rFonts w:ascii="Verdana" w:eastAsia="Calibri" w:hAnsi="Verdana" w:cs="Arial"/>
          <w:color w:val="000000" w:themeColor="text1"/>
          <w:sz w:val="20"/>
          <w:szCs w:val="20"/>
          <w:lang w:val="es-ES"/>
        </w:rPr>
        <w:t xml:space="preserve">De acuerdo con lo explicado sobre las restricciones contractuales establecidas por la Ley 996 de 2005, resulta palmario que tanto </w:t>
      </w:r>
      <w:proofErr w:type="gramStart"/>
      <w:r w:rsidRPr="00A51781">
        <w:rPr>
          <w:rFonts w:ascii="Verdana" w:eastAsia="Calibri" w:hAnsi="Verdana" w:cs="Arial"/>
          <w:color w:val="000000" w:themeColor="text1"/>
          <w:sz w:val="20"/>
          <w:szCs w:val="20"/>
          <w:lang w:val="es-ES"/>
        </w:rPr>
        <w:t>universidades públicas como establecimientos públicos</w:t>
      </w:r>
      <w:proofErr w:type="gramEnd"/>
      <w:r w:rsidRPr="00A51781">
        <w:rPr>
          <w:rFonts w:ascii="Verdana" w:eastAsia="Calibri" w:hAnsi="Verdana" w:cs="Arial"/>
          <w:color w:val="000000" w:themeColor="text1"/>
          <w:sz w:val="20"/>
          <w:szCs w:val="20"/>
          <w:lang w:val="es-ES"/>
        </w:rPr>
        <w:t xml:space="preserve"> educativos, dada su irrefutable calidad de “entes del Estado”, se encuentran dentro del ámbito material de la restricción del artículo 33. Sin embargo, la diferencia en la naturaleza jurídica de ambos tipos de entidades hace que la conclusión sobre sobre la aplicabilidad de la restricción del artículo 38 sea una para los entes universitarios autónomos y otra para los establecimientos públicos de educación superior.</w:t>
      </w:r>
      <w:r>
        <w:rPr>
          <w:rFonts w:ascii="Verdana" w:eastAsia="Calibri" w:hAnsi="Verdana" w:cs="Arial"/>
          <w:color w:val="000000" w:themeColor="text1"/>
          <w:sz w:val="20"/>
          <w:szCs w:val="20"/>
          <w:lang w:val="es-ES"/>
        </w:rPr>
        <w:t xml:space="preserve"> </w:t>
      </w:r>
      <w:r w:rsidRPr="5B89E16D">
        <w:rPr>
          <w:rFonts w:ascii="Verdana" w:eastAsia="Calibri" w:hAnsi="Verdana" w:cs="Arial"/>
          <w:color w:val="000000" w:themeColor="text1"/>
          <w:sz w:val="20"/>
          <w:szCs w:val="20"/>
          <w:lang w:val="es-ES"/>
        </w:rPr>
        <w:t>[…]</w:t>
      </w:r>
    </w:p>
    <w:p w14:paraId="0FF19FF6" w14:textId="77777777" w:rsidR="00D72CE8" w:rsidRDefault="00D72CE8" w:rsidP="00D72CE8">
      <w:pPr>
        <w:spacing w:after="0" w:line="240" w:lineRule="auto"/>
        <w:jc w:val="both"/>
        <w:rPr>
          <w:rFonts w:ascii="Verdana" w:eastAsia="Calibri" w:hAnsi="Verdana" w:cs="Arial"/>
          <w:color w:val="000000" w:themeColor="text1"/>
          <w:sz w:val="20"/>
          <w:szCs w:val="20"/>
          <w:lang w:val="es-ES"/>
        </w:rPr>
      </w:pPr>
    </w:p>
    <w:p w14:paraId="43924A54" w14:textId="77777777" w:rsidR="00D72CE8" w:rsidRDefault="00D72CE8" w:rsidP="00D72CE8">
      <w:pPr>
        <w:rPr>
          <w:rFonts w:ascii="Verdana" w:eastAsia="Geomanist Light" w:hAnsi="Verdana" w:cs="Arial"/>
          <w:lang w:val="es-MX"/>
        </w:rPr>
      </w:pPr>
    </w:p>
    <w:p w14:paraId="5E3A4790" w14:textId="77777777" w:rsidR="00D72CE8" w:rsidRDefault="00D72CE8" w:rsidP="00D72CE8">
      <w:pPr>
        <w:rPr>
          <w:rFonts w:ascii="Verdana" w:eastAsia="Geomanist Light" w:hAnsi="Verdana" w:cs="Arial"/>
          <w:lang w:val="es-MX"/>
        </w:rPr>
      </w:pPr>
    </w:p>
    <w:p w14:paraId="7CD8515A" w14:textId="77777777" w:rsidR="00D72CE8" w:rsidRDefault="00D72CE8" w:rsidP="00D72CE8">
      <w:pPr>
        <w:rPr>
          <w:rFonts w:ascii="Verdana" w:eastAsia="Geomanist Light" w:hAnsi="Verdana" w:cs="Arial"/>
          <w:lang w:val="es-MX"/>
        </w:rPr>
      </w:pPr>
    </w:p>
    <w:p w14:paraId="11B5D512" w14:textId="77777777" w:rsidR="00D72CE8" w:rsidRDefault="00D72CE8" w:rsidP="00D72CE8">
      <w:pPr>
        <w:rPr>
          <w:rFonts w:ascii="Verdana" w:eastAsia="Geomanist Light" w:hAnsi="Verdana" w:cs="Arial"/>
          <w:lang w:val="es-MX"/>
        </w:rPr>
      </w:pPr>
    </w:p>
    <w:p w14:paraId="07BBD242" w14:textId="77777777" w:rsidR="00D72CE8" w:rsidRDefault="00D72CE8" w:rsidP="00D72CE8">
      <w:pPr>
        <w:rPr>
          <w:rFonts w:ascii="Verdana" w:eastAsia="Geomanist Light" w:hAnsi="Verdana" w:cs="Arial"/>
          <w:lang w:val="es-MX"/>
        </w:rPr>
      </w:pPr>
    </w:p>
    <w:p w14:paraId="4B7DE2BA" w14:textId="77777777" w:rsidR="00D72CE8" w:rsidRDefault="00D72CE8" w:rsidP="00D72CE8">
      <w:pPr>
        <w:rPr>
          <w:rFonts w:ascii="Verdana" w:eastAsia="Geomanist Light" w:hAnsi="Verdana" w:cs="Arial"/>
          <w:lang w:val="es-MX"/>
        </w:rPr>
      </w:pPr>
    </w:p>
    <w:p w14:paraId="376FCE9D" w14:textId="77777777" w:rsidR="00D72CE8" w:rsidRDefault="00D72CE8" w:rsidP="00D72CE8">
      <w:pPr>
        <w:rPr>
          <w:rFonts w:ascii="Verdana" w:eastAsia="Geomanist Light" w:hAnsi="Verdana" w:cs="Arial"/>
          <w:lang w:val="es-MX"/>
        </w:rPr>
      </w:pPr>
    </w:p>
    <w:p w14:paraId="57563D18" w14:textId="77777777" w:rsidR="00D72CE8" w:rsidRDefault="00D72CE8" w:rsidP="00D72CE8">
      <w:pPr>
        <w:rPr>
          <w:rFonts w:ascii="Verdana" w:eastAsia="Geomanist Light" w:hAnsi="Verdana" w:cs="Arial"/>
          <w:lang w:val="es-MX"/>
        </w:rPr>
      </w:pPr>
    </w:p>
    <w:p w14:paraId="22729651" w14:textId="77777777" w:rsidR="00D72CE8" w:rsidRDefault="00D72CE8" w:rsidP="00D72CE8">
      <w:pPr>
        <w:rPr>
          <w:rFonts w:ascii="Verdana" w:eastAsia="Geomanist Light" w:hAnsi="Verdana" w:cs="Arial"/>
          <w:lang w:val="es-MX"/>
        </w:rPr>
      </w:pPr>
    </w:p>
    <w:p w14:paraId="20FD57AD" w14:textId="77777777" w:rsidR="00D72CE8" w:rsidRDefault="00D72CE8" w:rsidP="00D72CE8">
      <w:pPr>
        <w:rPr>
          <w:rFonts w:ascii="Verdana" w:eastAsia="Geomanist Light" w:hAnsi="Verdana" w:cs="Arial"/>
          <w:lang w:val="es-MX"/>
        </w:rPr>
      </w:pPr>
    </w:p>
    <w:p w14:paraId="32194ECE" w14:textId="77777777" w:rsidR="00D72CE8" w:rsidRPr="0099286A" w:rsidRDefault="00D72CE8" w:rsidP="00D72CE8">
      <w:pPr>
        <w:rPr>
          <w:rFonts w:ascii="Verdana" w:eastAsia="Geomanist Light" w:hAnsi="Verdana" w:cs="Arial"/>
          <w:lang w:val="es-MX"/>
        </w:rPr>
      </w:pPr>
    </w:p>
    <w:p w14:paraId="3773AE2E" w14:textId="77777777" w:rsidR="001A712F" w:rsidRDefault="001A712F" w:rsidP="00D72CE8">
      <w:pPr>
        <w:rPr>
          <w:rFonts w:ascii="Verdana" w:eastAsia="Geomanist Light" w:hAnsi="Verdana" w:cs="Arial"/>
          <w:lang w:val="es-MX"/>
        </w:rPr>
      </w:pPr>
    </w:p>
    <w:p w14:paraId="20C34E4E" w14:textId="77777777" w:rsidR="001A712F" w:rsidRDefault="001A712F" w:rsidP="00D72CE8">
      <w:pPr>
        <w:rPr>
          <w:rFonts w:ascii="Verdana" w:eastAsia="Geomanist Light" w:hAnsi="Verdana" w:cs="Arial"/>
          <w:lang w:val="es-MX"/>
        </w:rPr>
      </w:pPr>
    </w:p>
    <w:p w14:paraId="0FF10F34" w14:textId="6BEDE6FC" w:rsidR="00D72CE8" w:rsidRPr="00EA7EA8" w:rsidRDefault="00D72CE8" w:rsidP="00D72CE8">
      <w:pPr>
        <w:rPr>
          <w:rFonts w:ascii="Verdana" w:eastAsia="Geomanist Light" w:hAnsi="Verdana" w:cs="Arial"/>
          <w:lang w:val="es-MX"/>
        </w:rPr>
      </w:pPr>
      <w:r w:rsidRPr="00EA7EA8">
        <w:rPr>
          <w:rFonts w:ascii="Verdana" w:eastAsia="Geomanist Light" w:hAnsi="Verdana" w:cs="Arial"/>
          <w:lang w:val="es-MX"/>
        </w:rPr>
        <w:lastRenderedPageBreak/>
        <w:t>Bogotá D.C., [Día] de [</w:t>
      </w:r>
      <w:proofErr w:type="spellStart"/>
      <w:r w:rsidRPr="00EA7EA8">
        <w:rPr>
          <w:rFonts w:ascii="Verdana" w:eastAsia="Geomanist Light" w:hAnsi="Verdana" w:cs="Arial"/>
          <w:lang w:val="es-MX"/>
        </w:rPr>
        <w:t>Mes.NombreCapitalizado</w:t>
      </w:r>
      <w:proofErr w:type="spellEnd"/>
      <w:r w:rsidRPr="00EA7EA8">
        <w:rPr>
          <w:rFonts w:ascii="Verdana" w:eastAsia="Geomanist Light" w:hAnsi="Verdana" w:cs="Arial"/>
          <w:lang w:val="es-MX"/>
        </w:rPr>
        <w:t>] de [Año]</w:t>
      </w:r>
    </w:p>
    <w:p w14:paraId="2DE0F39E" w14:textId="40DCB74B" w:rsidR="00D72CE8" w:rsidRDefault="00D72CE8" w:rsidP="00D72CE8">
      <w:pPr>
        <w:spacing w:after="0" w:line="240" w:lineRule="auto"/>
        <w:jc w:val="both"/>
        <w:rPr>
          <w:rFonts w:ascii="Verdana" w:eastAsia="Calibri" w:hAnsi="Verdana" w:cs="Arial"/>
          <w:lang w:val="es-ES"/>
        </w:rPr>
      </w:pPr>
    </w:p>
    <w:p w14:paraId="29EEB0F1" w14:textId="6E709C93" w:rsidR="00D72CE8" w:rsidRPr="00EA7EA8" w:rsidRDefault="00D72969" w:rsidP="00D72CE8">
      <w:pPr>
        <w:spacing w:after="0" w:line="240" w:lineRule="auto"/>
        <w:jc w:val="both"/>
        <w:rPr>
          <w:rFonts w:ascii="Verdana" w:eastAsia="Calibri" w:hAnsi="Verdana" w:cs="Arial"/>
          <w:lang w:val="es-ES"/>
        </w:rPr>
      </w:pPr>
      <w:r w:rsidRPr="00E81E13">
        <w:rPr>
          <w:rFonts w:ascii="Verdana" w:eastAsia="Calibri" w:hAnsi="Verdana" w:cs="Arial"/>
          <w:noProof/>
          <w:lang w:val="es-ES" w:eastAsia="es-ES"/>
        </w:rPr>
        <w:drawing>
          <wp:anchor distT="0" distB="0" distL="114300" distR="114300" simplePos="0" relativeHeight="251657216" behindDoc="1" locked="0" layoutInCell="1" allowOverlap="1" wp14:anchorId="0683513B" wp14:editId="3678CFED">
            <wp:simplePos x="0" y="0"/>
            <wp:positionH relativeFrom="margin">
              <wp:posOffset>2505710</wp:posOffset>
            </wp:positionH>
            <wp:positionV relativeFrom="paragraph">
              <wp:posOffset>5080</wp:posOffset>
            </wp:positionV>
            <wp:extent cx="3098800" cy="937895"/>
            <wp:effectExtent l="0" t="0" r="6350" b="0"/>
            <wp:wrapSquare wrapText="bothSides"/>
            <wp:docPr id="163946473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464735"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3098800" cy="937895"/>
                    </a:xfrm>
                    <a:prstGeom prst="rect">
                      <a:avLst/>
                    </a:prstGeom>
                  </pic:spPr>
                </pic:pic>
              </a:graphicData>
            </a:graphic>
            <wp14:sizeRelH relativeFrom="page">
              <wp14:pctWidth>0</wp14:pctWidth>
            </wp14:sizeRelH>
            <wp14:sizeRelV relativeFrom="page">
              <wp14:pctHeight>0</wp14:pctHeight>
            </wp14:sizeRelV>
          </wp:anchor>
        </w:drawing>
      </w:r>
    </w:p>
    <w:p w14:paraId="4506DE66" w14:textId="36397201" w:rsidR="00D72CE8" w:rsidRPr="00EA7EA8" w:rsidRDefault="00D72CE8" w:rsidP="00D72CE8">
      <w:pPr>
        <w:spacing w:after="0" w:line="240" w:lineRule="auto"/>
        <w:jc w:val="both"/>
        <w:rPr>
          <w:rFonts w:ascii="Verdana" w:eastAsia="Calibri" w:hAnsi="Verdana" w:cs="Arial"/>
          <w:lang w:val="es-ES" w:eastAsia="es-ES"/>
        </w:rPr>
      </w:pPr>
      <w:r w:rsidRPr="00EA7EA8">
        <w:rPr>
          <w:rFonts w:ascii="Verdana" w:eastAsia="Calibri" w:hAnsi="Verdana" w:cs="Arial"/>
          <w:lang w:val="es-ES" w:eastAsia="es-ES"/>
        </w:rPr>
        <w:t>Señor</w:t>
      </w:r>
    </w:p>
    <w:p w14:paraId="338EC885" w14:textId="4EFF339B" w:rsidR="00D72CE8" w:rsidRPr="00EA7EA8" w:rsidRDefault="00D72CE8" w:rsidP="00D72CE8">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Julián Garza</w:t>
      </w:r>
    </w:p>
    <w:p w14:paraId="07AF6B83" w14:textId="1470E9DE" w:rsidR="00D72CE8" w:rsidRPr="00EA7EA8" w:rsidRDefault="00D72CE8" w:rsidP="00D72CE8">
      <w:pPr>
        <w:spacing w:after="0" w:line="240" w:lineRule="auto"/>
        <w:rPr>
          <w:rFonts w:ascii="Verdana" w:eastAsia="Calibri" w:hAnsi="Verdana" w:cs="Arial"/>
          <w:u w:val="single"/>
          <w:lang w:val="es-ES" w:eastAsia="es-ES"/>
        </w:rPr>
      </w:pPr>
      <w:r>
        <w:rPr>
          <w:rFonts w:ascii="Verdana" w:eastAsia="Calibri" w:hAnsi="Verdana" w:cs="Arial"/>
          <w:lang w:val="es-ES" w:eastAsia="es-ES"/>
        </w:rPr>
        <w:t>Julian.garza@unad.edu.co</w:t>
      </w:r>
    </w:p>
    <w:p w14:paraId="6FBC4838" w14:textId="77777777" w:rsidR="00D72CE8" w:rsidRPr="00EA7EA8" w:rsidRDefault="00D72CE8" w:rsidP="00D72CE8">
      <w:pPr>
        <w:spacing w:after="0" w:line="240" w:lineRule="auto"/>
        <w:rPr>
          <w:rFonts w:ascii="Verdana" w:eastAsia="Calibri" w:hAnsi="Verdana" w:cs="Arial"/>
          <w:b/>
          <w:bCs/>
          <w:lang w:val="es-ES" w:eastAsia="es-ES"/>
        </w:rPr>
      </w:pPr>
      <w:r w:rsidRPr="00EA7EA8">
        <w:rPr>
          <w:rFonts w:ascii="Verdana" w:eastAsia="Calibri" w:hAnsi="Verdana" w:cs="Arial"/>
          <w:lang w:val="es-ES" w:eastAsia="es-ES"/>
        </w:rPr>
        <w:t>Bogotá</w:t>
      </w:r>
      <w:r>
        <w:rPr>
          <w:rFonts w:ascii="Verdana" w:eastAsia="Calibri" w:hAnsi="Verdana" w:cs="Arial"/>
          <w:lang w:val="es-ES" w:eastAsia="es-ES"/>
        </w:rPr>
        <w:t xml:space="preserve"> D.C.</w:t>
      </w:r>
      <w:r w:rsidRPr="00780323">
        <w:rPr>
          <w:rFonts w:ascii="Verdana" w:eastAsia="Calibri" w:hAnsi="Verdana" w:cs="Arial"/>
          <w:lang w:val="es-ES" w:eastAsia="es-ES"/>
        </w:rPr>
        <w:t>,</w:t>
      </w:r>
      <w:r w:rsidRPr="00EA7EA8">
        <w:rPr>
          <w:rFonts w:ascii="Verdana" w:eastAsia="Calibri" w:hAnsi="Verdana" w:cs="Arial"/>
          <w:lang w:val="es-ES" w:eastAsia="es-ES"/>
        </w:rPr>
        <w:t xml:space="preserve"> Cundinamarca</w:t>
      </w:r>
    </w:p>
    <w:p w14:paraId="252B7F10" w14:textId="77777777" w:rsidR="00D72CE8" w:rsidRPr="00EA7EA8" w:rsidRDefault="00D72CE8" w:rsidP="00D72CE8">
      <w:pPr>
        <w:spacing w:after="0" w:line="240" w:lineRule="auto"/>
        <w:rPr>
          <w:rFonts w:ascii="Verdana" w:eastAsia="Calibri" w:hAnsi="Verdana" w:cs="Arial"/>
          <w:b/>
          <w:bCs/>
          <w:lang w:val="es-ES_tradnl" w:eastAsia="es-ES_tradnl"/>
        </w:rPr>
      </w:pPr>
    </w:p>
    <w:p w14:paraId="10B63FE3" w14:textId="77777777" w:rsidR="00D72CE8" w:rsidRPr="00EA7EA8" w:rsidRDefault="00D72CE8" w:rsidP="00D72CE8">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72CE8" w:rsidRPr="00EA7EA8" w14:paraId="73C5AED2" w14:textId="77777777" w:rsidTr="009D42F9">
        <w:trPr>
          <w:trHeight w:val="190"/>
        </w:trPr>
        <w:tc>
          <w:tcPr>
            <w:tcW w:w="2689" w:type="dxa"/>
          </w:tcPr>
          <w:p w14:paraId="3ABDAE59" w14:textId="77777777" w:rsidR="00D72CE8" w:rsidRPr="00EA7EA8" w:rsidRDefault="00D72CE8" w:rsidP="009D42F9">
            <w:pPr>
              <w:jc w:val="both"/>
              <w:rPr>
                <w:rFonts w:ascii="Verdana" w:eastAsia="Calibri" w:hAnsi="Verdana" w:cs="Arial"/>
                <w:b/>
                <w:bCs/>
                <w:lang w:val="es-ES_tradnl" w:eastAsia="es-ES_tradnl"/>
              </w:rPr>
            </w:pPr>
          </w:p>
        </w:tc>
        <w:tc>
          <w:tcPr>
            <w:tcW w:w="6100" w:type="dxa"/>
          </w:tcPr>
          <w:p w14:paraId="19D65FBB" w14:textId="2303C998" w:rsidR="00D72CE8" w:rsidRPr="00780323" w:rsidRDefault="00D72CE8" w:rsidP="009D42F9">
            <w:pPr>
              <w:jc w:val="both"/>
              <w:rPr>
                <w:rFonts w:ascii="Verdana" w:eastAsia="Calibri" w:hAnsi="Verdana" w:cs="Arial"/>
                <w:b/>
                <w:bCs/>
                <w:lang w:val="es-ES" w:eastAsia="es-ES"/>
              </w:rPr>
            </w:pPr>
            <w:r w:rsidRPr="00EA7EA8">
              <w:rPr>
                <w:rFonts w:ascii="Verdana" w:eastAsia="Calibri" w:hAnsi="Verdana" w:cs="Arial"/>
                <w:b/>
                <w:bCs/>
                <w:lang w:val="es-ES" w:eastAsia="es-ES"/>
              </w:rPr>
              <w:t xml:space="preserve">Concepto C- </w:t>
            </w:r>
            <w:r>
              <w:rPr>
                <w:rFonts w:ascii="Verdana" w:eastAsia="Calibri" w:hAnsi="Verdana" w:cs="Arial"/>
                <w:b/>
                <w:bCs/>
                <w:lang w:val="es-ES" w:eastAsia="es-ES"/>
              </w:rPr>
              <w:t xml:space="preserve">1174 </w:t>
            </w:r>
            <w:r w:rsidRPr="00EA7EA8">
              <w:rPr>
                <w:rFonts w:ascii="Verdana" w:eastAsia="Calibri" w:hAnsi="Verdana" w:cs="Arial"/>
                <w:b/>
                <w:bCs/>
                <w:lang w:val="es-ES" w:eastAsia="es-ES"/>
              </w:rPr>
              <w:t>de 202</w:t>
            </w:r>
            <w:r>
              <w:rPr>
                <w:rFonts w:ascii="Verdana" w:eastAsia="Calibri" w:hAnsi="Verdana" w:cs="Arial"/>
                <w:b/>
                <w:bCs/>
                <w:lang w:val="es-ES" w:eastAsia="es-ES"/>
              </w:rPr>
              <w:t>5</w:t>
            </w:r>
          </w:p>
          <w:p w14:paraId="502342C7" w14:textId="77777777" w:rsidR="00D72CE8" w:rsidRPr="00EA7EA8" w:rsidRDefault="00D72CE8" w:rsidP="009D42F9">
            <w:pPr>
              <w:jc w:val="both"/>
              <w:rPr>
                <w:rFonts w:ascii="Verdana" w:eastAsia="Calibri" w:hAnsi="Verdana" w:cs="Arial"/>
                <w:b/>
                <w:bCs/>
                <w:lang w:val="es-ES" w:eastAsia="es-ES"/>
              </w:rPr>
            </w:pPr>
          </w:p>
        </w:tc>
      </w:tr>
      <w:tr w:rsidR="00D72CE8" w:rsidRPr="00EA7EA8" w14:paraId="0D37200C" w14:textId="77777777" w:rsidTr="009D42F9">
        <w:trPr>
          <w:trHeight w:val="884"/>
        </w:trPr>
        <w:tc>
          <w:tcPr>
            <w:tcW w:w="2689" w:type="dxa"/>
          </w:tcPr>
          <w:p w14:paraId="01D0A907" w14:textId="77777777" w:rsidR="00D72CE8" w:rsidRPr="00EA7EA8" w:rsidRDefault="00D72CE8" w:rsidP="009D42F9">
            <w:pPr>
              <w:jc w:val="both"/>
              <w:rPr>
                <w:rFonts w:ascii="Verdana" w:eastAsia="Calibri" w:hAnsi="Verdana" w:cs="Arial"/>
                <w:lang w:val="es-ES_tradnl" w:eastAsia="es-ES_tradnl"/>
              </w:rPr>
            </w:pPr>
            <w:r w:rsidRPr="00EA7EA8">
              <w:rPr>
                <w:rFonts w:ascii="Verdana" w:eastAsia="Calibri" w:hAnsi="Verdana" w:cs="Arial"/>
                <w:b/>
                <w:lang w:val="es-ES_tradnl" w:eastAsia="es-ES_tradnl"/>
              </w:rPr>
              <w:t>Temas:</w:t>
            </w:r>
            <w:r w:rsidRPr="00EA7EA8">
              <w:rPr>
                <w:rFonts w:ascii="Verdana" w:eastAsia="Calibri" w:hAnsi="Verdana" w:cs="Arial"/>
                <w:lang w:val="es-ES_tradnl" w:eastAsia="es-ES_tradnl"/>
              </w:rPr>
              <w:t xml:space="preserve">                   </w:t>
            </w:r>
          </w:p>
        </w:tc>
        <w:tc>
          <w:tcPr>
            <w:tcW w:w="6100" w:type="dxa"/>
          </w:tcPr>
          <w:p w14:paraId="3CF11309" w14:textId="77777777" w:rsidR="00D72CE8" w:rsidRDefault="00D72CE8" w:rsidP="009D42F9">
            <w:pPr>
              <w:jc w:val="both"/>
              <w:rPr>
                <w:rFonts w:ascii="Verdana" w:eastAsia="Calibri" w:hAnsi="Verdana" w:cs="Arial"/>
                <w:lang w:val="es-ES" w:eastAsia="es-ES"/>
              </w:rPr>
            </w:pPr>
            <w:r w:rsidRPr="007C11D3">
              <w:rPr>
                <w:rFonts w:ascii="Verdana" w:eastAsia="Calibri" w:hAnsi="Verdana" w:cs="Arial"/>
                <w:lang w:val="es-ES" w:eastAsia="es-ES"/>
              </w:rPr>
              <w:t xml:space="preserve">LEY DE GARANTÍAS ELECTORALES ‒ Tipos de restricciones ‒ Ámbito temporal / LEY DE GARANTÍAS ELECTORALES ─ Prohibición ‒ Contratación directa ‒ Alcance – Excepciones / LEY DE GARANTÍAS ELECTORALES ‒ Prohibición del artículo 33 ‒ Destinatarios </w:t>
            </w:r>
            <w:r w:rsidRPr="00263083">
              <w:rPr>
                <w:rFonts w:ascii="Verdana" w:eastAsia="Calibri" w:hAnsi="Verdana" w:cs="Arial"/>
                <w:lang w:val="es-ES" w:eastAsia="es-ES"/>
              </w:rPr>
              <w:t xml:space="preserve">/ </w:t>
            </w:r>
            <w:r w:rsidRPr="003D0447">
              <w:rPr>
                <w:rFonts w:ascii="Verdana" w:eastAsia="Calibri" w:hAnsi="Verdana" w:cs="Arial"/>
                <w:lang w:val="es-ES"/>
              </w:rPr>
              <w:t>UNIVERSIDADES PÚBLICAS – ESTABLECIMIENTO PÚBLICO EDUCATIVO – Diferencias – Aplicación de la Ley 996 de 2005</w:t>
            </w:r>
          </w:p>
          <w:p w14:paraId="07742188" w14:textId="77777777" w:rsidR="00D72CE8" w:rsidRPr="00EA7EA8" w:rsidRDefault="00D72CE8" w:rsidP="009D42F9">
            <w:pPr>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72CE8" w:rsidRPr="00EA7EA8" w14:paraId="62D65B56" w14:textId="77777777" w:rsidTr="009D42F9">
        <w:tc>
          <w:tcPr>
            <w:tcW w:w="2689" w:type="dxa"/>
          </w:tcPr>
          <w:p w14:paraId="16D52455" w14:textId="77777777" w:rsidR="00D72CE8" w:rsidRPr="00EA7EA8" w:rsidRDefault="00D72CE8" w:rsidP="009D42F9">
            <w:pPr>
              <w:jc w:val="both"/>
              <w:rPr>
                <w:rFonts w:ascii="Verdana" w:eastAsia="Calibri" w:hAnsi="Verdana" w:cs="Arial"/>
                <w:b/>
                <w:lang w:val="es-ES_tradnl" w:eastAsia="es-ES_tradnl"/>
              </w:rPr>
            </w:pPr>
            <w:r w:rsidRPr="00EA7EA8">
              <w:rPr>
                <w:rFonts w:ascii="Verdana" w:eastAsia="Calibri" w:hAnsi="Verdana" w:cs="Arial"/>
                <w:b/>
                <w:lang w:val="es-ES_tradnl" w:eastAsia="es-ES_tradnl"/>
              </w:rPr>
              <w:t>Radicación:</w:t>
            </w:r>
            <w:r w:rsidRPr="00EA7EA8">
              <w:rPr>
                <w:rFonts w:ascii="Verdana" w:eastAsia="Calibri" w:hAnsi="Verdana" w:cs="Arial"/>
                <w:lang w:val="es-ES_tradnl" w:eastAsia="es-ES_tradnl"/>
              </w:rPr>
              <w:t xml:space="preserve">               </w:t>
            </w:r>
          </w:p>
        </w:tc>
        <w:tc>
          <w:tcPr>
            <w:tcW w:w="6100" w:type="dxa"/>
          </w:tcPr>
          <w:p w14:paraId="09DF9EA8" w14:textId="77777777" w:rsidR="00D72CE8" w:rsidRPr="00EA7EA8" w:rsidRDefault="00D72CE8" w:rsidP="009D42F9">
            <w:pPr>
              <w:jc w:val="both"/>
              <w:rPr>
                <w:rFonts w:ascii="Verdana" w:eastAsia="Calibri" w:hAnsi="Verdana" w:cs="Arial"/>
                <w:lang w:val="es-ES_tradnl" w:eastAsia="es-ES_tradnl"/>
              </w:rPr>
            </w:pPr>
            <w:r w:rsidRPr="00EA7EA8">
              <w:rPr>
                <w:rFonts w:ascii="Verdana" w:eastAsia="Calibri" w:hAnsi="Verdana" w:cs="Arial"/>
                <w:lang w:val="es-ES_tradnl" w:eastAsia="es-ES_tradnl"/>
              </w:rPr>
              <w:t xml:space="preserve">Respuesta a consulta con radicado </w:t>
            </w:r>
            <w:r w:rsidRPr="00780323">
              <w:rPr>
                <w:rFonts w:ascii="Verdana" w:eastAsia="Calibri" w:hAnsi="Verdana" w:cs="Arial"/>
                <w:lang w:val="es-ES_tradnl" w:eastAsia="es-ES_tradnl"/>
              </w:rPr>
              <w:t xml:space="preserve">No. </w:t>
            </w:r>
            <w:r w:rsidRPr="006836C1">
              <w:rPr>
                <w:rFonts w:ascii="Verdana" w:eastAsia="Calibri" w:hAnsi="Verdana" w:cs="Arial"/>
                <w:lang w:eastAsia="es-ES_tradnl"/>
              </w:rPr>
              <w:t>1_2025_08_21_008843</w:t>
            </w:r>
          </w:p>
        </w:tc>
      </w:tr>
    </w:tbl>
    <w:p w14:paraId="547AD6F2" w14:textId="77777777" w:rsidR="00D72CE8" w:rsidRPr="00EA7EA8" w:rsidRDefault="00D72CE8" w:rsidP="00D72CE8">
      <w:pPr>
        <w:spacing w:after="0" w:line="240" w:lineRule="auto"/>
        <w:jc w:val="both"/>
        <w:rPr>
          <w:rFonts w:ascii="Verdana" w:eastAsia="Calibri" w:hAnsi="Verdana" w:cs="Arial"/>
          <w:lang w:val="es-ES_tradnl" w:eastAsia="es-ES_tradnl"/>
        </w:rPr>
      </w:pPr>
    </w:p>
    <w:p w14:paraId="0794E08D" w14:textId="77777777" w:rsidR="00D72CE8" w:rsidRPr="00EA7EA8" w:rsidRDefault="00D72CE8" w:rsidP="00D72CE8">
      <w:pPr>
        <w:spacing w:after="0" w:line="240" w:lineRule="auto"/>
        <w:jc w:val="both"/>
        <w:rPr>
          <w:rFonts w:ascii="Verdana" w:eastAsia="Calibri" w:hAnsi="Verdana" w:cs="Arial"/>
          <w:lang w:val="es-ES_tradnl" w:eastAsia="es-ES_tradnl"/>
        </w:rPr>
      </w:pPr>
    </w:p>
    <w:p w14:paraId="75774481" w14:textId="77777777" w:rsidR="00D72CE8" w:rsidRPr="00EA7EA8" w:rsidRDefault="00D72CE8" w:rsidP="00D72CE8">
      <w:pPr>
        <w:spacing w:after="0" w:line="276" w:lineRule="auto"/>
        <w:jc w:val="both"/>
        <w:rPr>
          <w:rFonts w:ascii="Verdana" w:eastAsia="Calibri" w:hAnsi="Verdana" w:cs="Arial"/>
          <w:lang w:val="es-ES" w:eastAsia="es-ES"/>
        </w:rPr>
      </w:pPr>
      <w:r w:rsidRPr="00EA7EA8">
        <w:rPr>
          <w:rFonts w:ascii="Verdana" w:eastAsia="Calibri" w:hAnsi="Verdana" w:cs="Arial"/>
          <w:lang w:val="es-ES" w:eastAsia="es-ES"/>
        </w:rPr>
        <w:t xml:space="preserve">Estimado señor </w:t>
      </w:r>
      <w:r>
        <w:rPr>
          <w:rFonts w:ascii="Verdana" w:eastAsia="Calibri" w:hAnsi="Verdana" w:cs="Arial"/>
          <w:lang w:val="es-ES" w:eastAsia="es-ES"/>
        </w:rPr>
        <w:t>Garza</w:t>
      </w:r>
      <w:r w:rsidRPr="00EA7EA8">
        <w:rPr>
          <w:rFonts w:ascii="Verdana" w:eastAsia="Calibri" w:hAnsi="Verdana" w:cs="Arial"/>
          <w:lang w:val="es-ES" w:eastAsia="es-ES"/>
        </w:rPr>
        <w:t xml:space="preserve">: </w:t>
      </w:r>
    </w:p>
    <w:p w14:paraId="7B8C0D68" w14:textId="77777777" w:rsidR="00D72CE8" w:rsidRPr="00EA7EA8" w:rsidRDefault="00D72CE8" w:rsidP="00D72CE8">
      <w:pPr>
        <w:tabs>
          <w:tab w:val="left" w:pos="3768"/>
        </w:tabs>
        <w:spacing w:after="0" w:line="276" w:lineRule="auto"/>
        <w:jc w:val="both"/>
        <w:rPr>
          <w:rFonts w:ascii="Verdana" w:eastAsia="Calibri" w:hAnsi="Verdana" w:cs="Arial"/>
          <w:lang w:val="es-ES" w:eastAsia="es-ES"/>
        </w:rPr>
      </w:pPr>
      <w:r w:rsidRPr="00EA7EA8">
        <w:rPr>
          <w:rFonts w:ascii="Verdana" w:eastAsia="Calibri" w:hAnsi="Verdana" w:cs="Arial"/>
          <w:lang w:val="es-ES" w:eastAsia="es-ES"/>
        </w:rPr>
        <w:tab/>
      </w:r>
    </w:p>
    <w:p w14:paraId="46EB5B6C" w14:textId="77777777" w:rsidR="00D72CE8" w:rsidRPr="00EA7EA8" w:rsidRDefault="00D72CE8" w:rsidP="00D72CE8">
      <w:pPr>
        <w:spacing w:after="0" w:line="276" w:lineRule="auto"/>
        <w:jc w:val="both"/>
        <w:rPr>
          <w:rFonts w:ascii="Verdana" w:eastAsia="Calibri" w:hAnsi="Verdana" w:cs="Arial"/>
          <w:lang w:val="es-ES" w:eastAsia="es-ES"/>
        </w:rPr>
      </w:pPr>
      <w:r w:rsidRPr="00EA7EA8">
        <w:rPr>
          <w:rFonts w:ascii="Verdana" w:eastAsia="Calibri" w:hAnsi="Verdana" w:cs="Arial"/>
          <w:lang w:val="es-ES" w:eastAsia="es-ES"/>
        </w:rPr>
        <w:t>En ejercicio de la competencia otorgada por los artículos 3, numeral 5º, y 11, numeral 8º, del Decreto Ley 4170 de 2011,</w:t>
      </w:r>
      <w:r w:rsidRPr="00EA7EA8">
        <w:rPr>
          <w:rFonts w:ascii="Verdana" w:eastAsia="Arial MT" w:hAnsi="Verdana" w:cs="Arial MT"/>
          <w:lang w:val="es-ES" w:eastAsia="es-ES"/>
        </w:rPr>
        <w:t xml:space="preserve"> </w:t>
      </w:r>
      <w:r w:rsidRPr="00EA7EA8">
        <w:rPr>
          <w:rFonts w:ascii="Verdana" w:hAnsi="Verdana" w:cs="Arial"/>
        </w:rPr>
        <w:t xml:space="preserve">así como lo establecido en el artículo 4 de la Resolución 1707 de 2018 expedida por esta Entidad, </w:t>
      </w:r>
      <w:r w:rsidRPr="00EA7EA8">
        <w:rPr>
          <w:rFonts w:ascii="Verdana" w:eastAsia="Calibri" w:hAnsi="Verdana" w:cs="Arial"/>
          <w:lang w:val="es-ES" w:eastAsia="es-ES"/>
        </w:rPr>
        <w:t>la Agencia Nacional de Contratación Pública – Colombia Compra Eficiente– responde su solicitud de consulta</w:t>
      </w:r>
      <w:r w:rsidRPr="00797A11">
        <w:rPr>
          <w:rFonts w:ascii="Verdana" w:eastAsia="Calibri" w:hAnsi="Verdana" w:cs="Arial"/>
          <w:lang w:val="es-ES" w:eastAsia="es-ES"/>
        </w:rPr>
        <w:t>, remitida por el Depa</w:t>
      </w:r>
      <w:r w:rsidRPr="00891B72">
        <w:rPr>
          <w:rFonts w:ascii="Verdana" w:eastAsia="Calibri" w:hAnsi="Verdana" w:cs="Arial"/>
          <w:lang w:val="es-ES" w:eastAsia="es-ES"/>
        </w:rPr>
        <w:t>rtamento Administrativo</w:t>
      </w:r>
      <w:r w:rsidRPr="00EA7EA8">
        <w:rPr>
          <w:rFonts w:ascii="Verdana" w:eastAsia="Calibri" w:hAnsi="Verdana" w:cs="Arial"/>
          <w:lang w:val="es-ES" w:eastAsia="es-ES"/>
        </w:rPr>
        <w:t xml:space="preserve"> de </w:t>
      </w:r>
      <w:r w:rsidRPr="00891B72">
        <w:rPr>
          <w:rFonts w:ascii="Verdana" w:eastAsia="Calibri" w:hAnsi="Verdana" w:cs="Arial"/>
          <w:lang w:val="es-ES" w:eastAsia="es-ES"/>
        </w:rPr>
        <w:t>la Función Pública, el</w:t>
      </w:r>
      <w:r w:rsidRPr="00EA7EA8">
        <w:rPr>
          <w:rFonts w:ascii="Verdana" w:eastAsia="Calibri" w:hAnsi="Verdana" w:cs="Arial"/>
          <w:lang w:val="es-ES" w:eastAsia="es-ES"/>
        </w:rPr>
        <w:t xml:space="preserve"> </w:t>
      </w:r>
      <w:r>
        <w:rPr>
          <w:rFonts w:ascii="Verdana" w:eastAsia="Calibri" w:hAnsi="Verdana" w:cs="Arial"/>
          <w:lang w:val="es-ES" w:eastAsia="es-ES"/>
        </w:rPr>
        <w:t>21</w:t>
      </w:r>
      <w:r w:rsidRPr="00EA7EA8">
        <w:rPr>
          <w:rFonts w:ascii="Verdana" w:eastAsia="Calibri" w:hAnsi="Verdana" w:cs="Arial"/>
          <w:lang w:val="es-ES" w:eastAsia="es-ES"/>
        </w:rPr>
        <w:t xml:space="preserve"> de </w:t>
      </w:r>
      <w:r>
        <w:rPr>
          <w:rFonts w:ascii="Verdana" w:eastAsia="Calibri" w:hAnsi="Verdana" w:cs="Arial"/>
          <w:lang w:val="es-ES" w:eastAsia="es-ES"/>
        </w:rPr>
        <w:t>agosto</w:t>
      </w:r>
      <w:r w:rsidRPr="00EA7EA8">
        <w:rPr>
          <w:rFonts w:ascii="Verdana" w:eastAsia="Calibri" w:hAnsi="Verdana" w:cs="Arial"/>
          <w:lang w:val="es-ES" w:eastAsia="es-ES"/>
        </w:rPr>
        <w:t xml:space="preserve"> de 2025, en la cual manifiesta lo siguiente: </w:t>
      </w:r>
    </w:p>
    <w:p w14:paraId="4E1F15D3" w14:textId="77777777" w:rsidR="00D72CE8" w:rsidRPr="00EA7EA8" w:rsidRDefault="00D72CE8" w:rsidP="00D72CE8">
      <w:pPr>
        <w:spacing w:after="0" w:line="276" w:lineRule="auto"/>
        <w:jc w:val="both"/>
      </w:pPr>
    </w:p>
    <w:p w14:paraId="19952675" w14:textId="77777777" w:rsidR="00D72CE8" w:rsidRPr="00D33052" w:rsidRDefault="00D72CE8" w:rsidP="00D72CE8">
      <w:pPr>
        <w:spacing w:after="0" w:line="240" w:lineRule="auto"/>
        <w:ind w:left="709" w:right="709"/>
        <w:jc w:val="both"/>
        <w:rPr>
          <w:rFonts w:ascii="Verdana" w:eastAsia="Century Gothic" w:hAnsi="Verdana" w:cs="Century Gothic"/>
          <w:sz w:val="20"/>
          <w:szCs w:val="20"/>
          <w:lang w:val="es-ES"/>
        </w:rPr>
      </w:pPr>
      <w:bookmarkStart w:id="0" w:name="_Hlk95313578"/>
      <w:r w:rsidRPr="0062317C">
        <w:rPr>
          <w:rFonts w:ascii="Verdana" w:eastAsia="Century Gothic" w:hAnsi="Verdana" w:cs="Century Gothic"/>
          <w:sz w:val="20"/>
          <w:szCs w:val="20"/>
          <w:lang w:val="es-ES"/>
        </w:rPr>
        <w:t>“</w:t>
      </w:r>
      <w:r w:rsidRPr="00D33052">
        <w:rPr>
          <w:rFonts w:ascii="Verdana" w:eastAsia="Century Gothic" w:hAnsi="Verdana" w:cs="Century Gothic"/>
          <w:sz w:val="20"/>
          <w:szCs w:val="20"/>
          <w:lang w:val="es-ES"/>
        </w:rPr>
        <w:t>En atención a la ley 966 del 2005, en su “Artículo 33. Restricciones a la contratación pública. Durante los</w:t>
      </w:r>
      <w:r>
        <w:rPr>
          <w:rFonts w:ascii="Verdana" w:eastAsia="Century Gothic" w:hAnsi="Verdana" w:cs="Century Gothic"/>
          <w:sz w:val="20"/>
          <w:szCs w:val="20"/>
          <w:lang w:val="es-ES"/>
        </w:rPr>
        <w:t xml:space="preserve"> </w:t>
      </w:r>
      <w:r w:rsidRPr="00D33052">
        <w:rPr>
          <w:rFonts w:ascii="Verdana" w:eastAsia="Century Gothic" w:hAnsi="Verdana" w:cs="Century Gothic"/>
          <w:sz w:val="20"/>
          <w:szCs w:val="20"/>
          <w:lang w:val="es-ES"/>
        </w:rPr>
        <w:t>cuatro (4) meses anteriores a la elección presidencial y hasta la realización de la elección en la segunda</w:t>
      </w:r>
    </w:p>
    <w:p w14:paraId="09F11213" w14:textId="77777777" w:rsidR="00D72CE8" w:rsidRPr="0062317C" w:rsidRDefault="00D72CE8" w:rsidP="00D72CE8">
      <w:pPr>
        <w:spacing w:after="0" w:line="240" w:lineRule="auto"/>
        <w:ind w:left="709" w:right="709"/>
        <w:jc w:val="both"/>
        <w:rPr>
          <w:rFonts w:ascii="Verdana" w:eastAsia="Century Gothic" w:hAnsi="Verdana" w:cs="Century Gothic"/>
          <w:sz w:val="20"/>
          <w:szCs w:val="20"/>
          <w:lang w:val="es-ES"/>
        </w:rPr>
      </w:pPr>
      <w:r w:rsidRPr="00D33052">
        <w:rPr>
          <w:rFonts w:ascii="Verdana" w:eastAsia="Century Gothic" w:hAnsi="Verdana" w:cs="Century Gothic"/>
          <w:sz w:val="20"/>
          <w:szCs w:val="20"/>
          <w:lang w:val="es-ES"/>
        </w:rPr>
        <w:t>vuelta, si fuere el caso, queda prohibida la contratación directa por parte de todos los entes del Estado”,</w:t>
      </w:r>
      <w:r>
        <w:rPr>
          <w:rFonts w:ascii="Verdana" w:eastAsia="Century Gothic" w:hAnsi="Verdana" w:cs="Century Gothic"/>
          <w:sz w:val="20"/>
          <w:szCs w:val="20"/>
          <w:lang w:val="es-ES"/>
        </w:rPr>
        <w:t xml:space="preserve"> </w:t>
      </w:r>
      <w:r w:rsidRPr="00D33052">
        <w:rPr>
          <w:rFonts w:ascii="Verdana" w:eastAsia="Century Gothic" w:hAnsi="Verdana" w:cs="Century Gothic"/>
          <w:sz w:val="20"/>
          <w:szCs w:val="20"/>
          <w:lang w:val="es-ES"/>
        </w:rPr>
        <w:t>de manera atenta solicitamos concepto jurídico con el fin de que se nos especifique si la restricción  de</w:t>
      </w:r>
      <w:r>
        <w:rPr>
          <w:rFonts w:ascii="Verdana" w:eastAsia="Century Gothic" w:hAnsi="Verdana" w:cs="Century Gothic"/>
          <w:sz w:val="20"/>
          <w:szCs w:val="20"/>
          <w:lang w:val="es-ES"/>
        </w:rPr>
        <w:t xml:space="preserve"> </w:t>
      </w:r>
      <w:r w:rsidRPr="00D33052">
        <w:rPr>
          <w:rFonts w:ascii="Verdana" w:eastAsia="Century Gothic" w:hAnsi="Verdana" w:cs="Century Gothic"/>
          <w:sz w:val="20"/>
          <w:szCs w:val="20"/>
          <w:lang w:val="es-ES"/>
        </w:rPr>
        <w:t>la modalidad de contratación directa aplica para nuestra universidad (Universidad Nacional Abierta y a</w:t>
      </w:r>
      <w:r>
        <w:rPr>
          <w:rFonts w:ascii="Verdana" w:eastAsia="Century Gothic" w:hAnsi="Verdana" w:cs="Century Gothic"/>
          <w:sz w:val="20"/>
          <w:szCs w:val="20"/>
          <w:lang w:val="es-ES"/>
        </w:rPr>
        <w:t xml:space="preserve"> </w:t>
      </w:r>
      <w:r w:rsidRPr="00D33052">
        <w:rPr>
          <w:rFonts w:ascii="Verdana" w:eastAsia="Century Gothic" w:hAnsi="Verdana" w:cs="Century Gothic"/>
          <w:sz w:val="20"/>
          <w:szCs w:val="20"/>
          <w:lang w:val="es-ES"/>
        </w:rPr>
        <w:t>Distancia), teniendo en cuenta que es</w:t>
      </w:r>
      <w:r>
        <w:rPr>
          <w:rFonts w:ascii="Verdana" w:eastAsia="Century Gothic" w:hAnsi="Verdana" w:cs="Century Gothic"/>
          <w:sz w:val="20"/>
          <w:szCs w:val="20"/>
          <w:lang w:val="es-ES"/>
        </w:rPr>
        <w:t xml:space="preserve"> </w:t>
      </w:r>
      <w:r w:rsidRPr="00D33052">
        <w:rPr>
          <w:rFonts w:ascii="Verdana" w:eastAsia="Century Gothic" w:hAnsi="Verdana" w:cs="Century Gothic"/>
          <w:sz w:val="20"/>
          <w:szCs w:val="20"/>
          <w:lang w:val="es-ES"/>
        </w:rPr>
        <w:lastRenderedPageBreak/>
        <w:t>una universidad pública con autonomía contractual y surgió</w:t>
      </w:r>
      <w:r>
        <w:rPr>
          <w:rFonts w:ascii="Verdana" w:eastAsia="Century Gothic" w:hAnsi="Verdana" w:cs="Century Gothic"/>
          <w:sz w:val="20"/>
          <w:szCs w:val="20"/>
          <w:lang w:val="es-ES"/>
        </w:rPr>
        <w:t xml:space="preserve"> </w:t>
      </w:r>
      <w:r w:rsidRPr="00D33052">
        <w:rPr>
          <w:rFonts w:ascii="Verdana" w:eastAsia="Century Gothic" w:hAnsi="Verdana" w:cs="Century Gothic"/>
          <w:sz w:val="20"/>
          <w:szCs w:val="20"/>
          <w:lang w:val="es-ES"/>
        </w:rPr>
        <w:t>mediante la Ley 52 de 1981, como un establecimiento público del orden nacional adscrito al Ministerio de</w:t>
      </w:r>
      <w:r>
        <w:rPr>
          <w:rFonts w:ascii="Verdana" w:eastAsia="Century Gothic" w:hAnsi="Verdana" w:cs="Century Gothic"/>
          <w:sz w:val="20"/>
          <w:szCs w:val="20"/>
          <w:lang w:val="es-ES"/>
        </w:rPr>
        <w:t xml:space="preserve"> </w:t>
      </w:r>
      <w:r w:rsidRPr="00D33052">
        <w:rPr>
          <w:rFonts w:ascii="Verdana" w:eastAsia="Century Gothic" w:hAnsi="Verdana" w:cs="Century Gothic"/>
          <w:sz w:val="20"/>
          <w:szCs w:val="20"/>
          <w:lang w:val="es-ES"/>
        </w:rPr>
        <w:t>Educación Nacional, transformada por el Congreso de la República mediante la Ley 396 del 5 de agosto</w:t>
      </w:r>
      <w:r>
        <w:rPr>
          <w:rFonts w:ascii="Verdana" w:eastAsia="Century Gothic" w:hAnsi="Verdana" w:cs="Century Gothic"/>
          <w:sz w:val="20"/>
          <w:szCs w:val="20"/>
          <w:lang w:val="es-ES"/>
        </w:rPr>
        <w:t xml:space="preserve"> </w:t>
      </w:r>
      <w:r w:rsidRPr="00D33052">
        <w:rPr>
          <w:rFonts w:ascii="Verdana" w:eastAsia="Century Gothic" w:hAnsi="Verdana" w:cs="Century Gothic"/>
          <w:sz w:val="20"/>
          <w:szCs w:val="20"/>
          <w:lang w:val="es-ES"/>
        </w:rPr>
        <w:t>de 1997 y el Decreto 2770 del 16 de agosto de 2006.</w:t>
      </w:r>
      <w:r w:rsidRPr="0062317C">
        <w:rPr>
          <w:rFonts w:ascii="Verdana" w:eastAsia="Century Gothic" w:hAnsi="Verdana" w:cs="Century Gothic"/>
          <w:sz w:val="20"/>
          <w:szCs w:val="20"/>
          <w:lang w:val="es-ES"/>
        </w:rPr>
        <w:t>”</w:t>
      </w:r>
      <w:bookmarkEnd w:id="0"/>
      <w:r w:rsidRPr="0062317C">
        <w:rPr>
          <w:rFonts w:ascii="Verdana" w:eastAsia="Century Gothic" w:hAnsi="Verdana" w:cs="Century Gothic"/>
          <w:sz w:val="20"/>
          <w:szCs w:val="20"/>
          <w:lang w:val="es-ES"/>
        </w:rPr>
        <w:t>.</w:t>
      </w:r>
    </w:p>
    <w:p w14:paraId="004F25E4" w14:textId="77777777" w:rsidR="00D72CE8" w:rsidRDefault="00D72CE8" w:rsidP="00D72CE8">
      <w:pPr>
        <w:spacing w:after="0" w:line="276" w:lineRule="auto"/>
        <w:ind w:firstLine="709"/>
        <w:jc w:val="both"/>
        <w:rPr>
          <w:rFonts w:ascii="Verdana" w:eastAsia="Calibri" w:hAnsi="Verdana" w:cs="Arial"/>
          <w:lang w:val="es-ES" w:eastAsia="es-ES"/>
        </w:rPr>
      </w:pPr>
    </w:p>
    <w:p w14:paraId="776D5E23" w14:textId="77777777" w:rsidR="00D72CE8" w:rsidRPr="00EA7EA8" w:rsidRDefault="00D72CE8" w:rsidP="00D72CE8">
      <w:pPr>
        <w:spacing w:after="120" w:line="276" w:lineRule="auto"/>
        <w:ind w:firstLine="709"/>
        <w:jc w:val="both"/>
        <w:rPr>
          <w:rFonts w:ascii="Verdana" w:eastAsia="Calibri" w:hAnsi="Verdana" w:cs="Arial"/>
          <w:szCs w:val="24"/>
          <w:lang w:val="es-ES_tradnl" w:eastAsia="es-ES_tradnl"/>
        </w:rPr>
      </w:pPr>
      <w:r w:rsidRPr="00EA7EA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 xml:space="preserve">la Agencia Nacional de Contratación Pública – </w:t>
      </w:r>
      <w:r w:rsidRPr="00EA7EA8">
        <w:rPr>
          <w:rFonts w:ascii="Verdana" w:eastAsia="Calibri" w:hAnsi="Verdana" w:cs="Arial"/>
          <w:lang w:val="es-ES" w:eastAsia="es-ES"/>
        </w:rPr>
        <w:t>Colombia</w:t>
      </w:r>
      <w:r>
        <w:rPr>
          <w:rFonts w:ascii="Verdana" w:eastAsia="Calibri" w:hAnsi="Verdana" w:cs="Arial"/>
          <w:lang w:val="es-ES" w:eastAsia="es-ES"/>
        </w:rPr>
        <w:t xml:space="preserve"> </w:t>
      </w:r>
      <w:r w:rsidRPr="00EA7EA8">
        <w:rPr>
          <w:rFonts w:ascii="Verdana" w:eastAsia="Calibri" w:hAnsi="Verdana" w:cs="Arial"/>
          <w:lang w:val="es-ES" w:eastAsia="es-ES"/>
        </w:rPr>
        <w:t xml:space="preserve">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A7EA8">
        <w:rPr>
          <w:rFonts w:ascii="Verdana" w:eastAsia="Calibri" w:hAnsi="Verdana" w:cs="Arial"/>
          <w:szCs w:val="24"/>
          <w:lang w:val="es-ES_tradnl" w:eastAsia="es-ES_tradnl"/>
        </w:rPr>
        <w:tab/>
      </w:r>
    </w:p>
    <w:p w14:paraId="39C15B67" w14:textId="77777777" w:rsidR="00D72CE8" w:rsidRPr="00EA7EA8" w:rsidRDefault="00D72CE8" w:rsidP="00D72CE8">
      <w:pPr>
        <w:spacing w:after="0" w:line="276" w:lineRule="auto"/>
        <w:ind w:firstLine="709"/>
        <w:jc w:val="both"/>
        <w:rPr>
          <w:rFonts w:ascii="Verdana" w:eastAsia="Calibri" w:hAnsi="Verdana" w:cs="Arial"/>
          <w:lang w:val="es-ES" w:eastAsia="es-ES"/>
        </w:rPr>
      </w:pPr>
      <w:r w:rsidRPr="00EA7EA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señalando</w:t>
      </w:r>
      <w:r w:rsidRPr="00EA7EA8">
        <w:rPr>
          <w:rFonts w:ascii="Verdana" w:eastAsia="Calibri" w:hAnsi="Verdana" w:cs="Arial"/>
          <w:lang w:val="es-ES" w:eastAsia="es-ES"/>
        </w:rPr>
        <w:t xml:space="preserve"> </w:t>
      </w:r>
      <w:r>
        <w:rPr>
          <w:rFonts w:ascii="Verdana" w:eastAsia="Calibri" w:hAnsi="Verdana" w:cs="Arial"/>
          <w:lang w:val="es-ES" w:eastAsia="es-ES"/>
        </w:rPr>
        <w:t>alg</w:t>
      </w:r>
      <w:r w:rsidRPr="00EA7EA8">
        <w:rPr>
          <w:rFonts w:ascii="Verdana" w:eastAsia="Calibri" w:hAnsi="Verdana" w:cs="Arial"/>
          <w:lang w:val="es-ES" w:eastAsia="es-ES"/>
        </w:rPr>
        <w:t>unas consideraciones sobre las normas generales relacionadas con l</w:t>
      </w:r>
      <w:r>
        <w:rPr>
          <w:rFonts w:ascii="Verdana" w:eastAsia="Calibri" w:hAnsi="Verdana" w:cs="Arial"/>
          <w:lang w:val="es-ES" w:eastAsia="es-ES"/>
        </w:rPr>
        <w:t>os</w:t>
      </w:r>
      <w:r w:rsidRPr="00EA7EA8">
        <w:rPr>
          <w:rFonts w:ascii="Verdana" w:eastAsia="Calibri" w:hAnsi="Verdana" w:cs="Arial"/>
          <w:lang w:val="es-ES" w:eastAsia="es-ES"/>
        </w:rPr>
        <w:t xml:space="preserve"> problema</w:t>
      </w:r>
      <w:r>
        <w:rPr>
          <w:rFonts w:ascii="Verdana" w:eastAsia="Calibri" w:hAnsi="Verdana" w:cs="Arial"/>
          <w:lang w:val="es-ES" w:eastAsia="es-ES"/>
        </w:rPr>
        <w:t>s</w:t>
      </w:r>
      <w:r w:rsidRPr="00EA7EA8">
        <w:rPr>
          <w:rFonts w:ascii="Verdana" w:eastAsia="Calibri" w:hAnsi="Verdana" w:cs="Arial"/>
          <w:lang w:val="es-ES" w:eastAsia="es-ES"/>
        </w:rPr>
        <w:t xml:space="preserve"> jurídico</w:t>
      </w:r>
      <w:r>
        <w:rPr>
          <w:rFonts w:ascii="Verdana" w:eastAsia="Calibri" w:hAnsi="Verdana" w:cs="Arial"/>
          <w:lang w:val="es-ES" w:eastAsia="es-ES"/>
        </w:rPr>
        <w:t>s</w:t>
      </w:r>
      <w:r w:rsidRPr="00EA7EA8">
        <w:rPr>
          <w:rFonts w:ascii="Verdana" w:eastAsia="Calibri" w:hAnsi="Verdana" w:cs="Arial"/>
          <w:lang w:val="es-ES" w:eastAsia="es-ES"/>
        </w:rPr>
        <w:t xml:space="preserve"> de su consulta. </w:t>
      </w:r>
    </w:p>
    <w:p w14:paraId="49DC5BDA" w14:textId="77777777" w:rsidR="00D72CE8" w:rsidRPr="00EA7EA8" w:rsidRDefault="00D72CE8" w:rsidP="00D72CE8">
      <w:pPr>
        <w:spacing w:after="0" w:line="276" w:lineRule="auto"/>
        <w:ind w:firstLine="709"/>
        <w:jc w:val="both"/>
        <w:rPr>
          <w:rFonts w:ascii="Verdana" w:eastAsia="Calibri" w:hAnsi="Verdana" w:cs="Arial"/>
          <w:lang w:val="es-ES" w:eastAsia="es-ES"/>
        </w:rPr>
      </w:pPr>
    </w:p>
    <w:p w14:paraId="25BCA771" w14:textId="77777777" w:rsidR="00D72CE8" w:rsidRPr="00EA7EA8" w:rsidRDefault="00D72CE8" w:rsidP="00D72CE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A7EA8">
        <w:rPr>
          <w:rFonts w:ascii="Verdana" w:eastAsia="Century Gothic" w:hAnsi="Verdana" w:cs="Century Gothic"/>
          <w:b/>
          <w:bCs/>
        </w:rPr>
        <w:t>Problema planteado:</w:t>
      </w:r>
    </w:p>
    <w:p w14:paraId="51706D72" w14:textId="77777777" w:rsidR="00D72CE8" w:rsidRDefault="00D72CE8" w:rsidP="00D72CE8">
      <w:pPr>
        <w:tabs>
          <w:tab w:val="left" w:pos="426"/>
        </w:tabs>
        <w:spacing w:after="0" w:line="276" w:lineRule="auto"/>
        <w:jc w:val="both"/>
        <w:rPr>
          <w:rFonts w:ascii="Verdana" w:eastAsia="Century Gothic" w:hAnsi="Verdana" w:cs="Century Gothic"/>
          <w:lang w:val="es-ES"/>
        </w:rPr>
      </w:pPr>
    </w:p>
    <w:p w14:paraId="61238E9F" w14:textId="5C1A1CD5" w:rsidR="00D72CE8" w:rsidRPr="00181439" w:rsidRDefault="00D72CE8" w:rsidP="00D72CE8">
      <w:pPr>
        <w:pStyle w:val="Prrafodelista"/>
        <w:spacing w:after="0"/>
        <w:ind w:left="0" w:right="49"/>
        <w:jc w:val="both"/>
        <w:rPr>
          <w:rFonts w:ascii="Verdana" w:eastAsia="Century Gothic" w:hAnsi="Verdana" w:cs="Century Gothic"/>
          <w:lang w:val="es-CO"/>
        </w:rPr>
      </w:pPr>
      <w:r w:rsidRPr="2D5E7496">
        <w:rPr>
          <w:rFonts w:ascii="Verdana" w:eastAsia="Century Gothic" w:hAnsi="Verdana" w:cs="Century Gothic"/>
        </w:rPr>
        <w:t xml:space="preserve">De acuerdo con el contenido de su solicitud, esta Agencia resolverá el siguiente problema jurídico: </w:t>
      </w:r>
      <w:r w:rsidRPr="2D5E7496">
        <w:rPr>
          <w:rFonts w:ascii="Verdana" w:eastAsia="Century Gothic" w:hAnsi="Verdana" w:cs="Century Gothic"/>
          <w:lang w:val="es-CO"/>
        </w:rPr>
        <w:t xml:space="preserve">¿Las restricciones a la contratación estatal previstas en el artículo 33 de la Ley 996 de 2005 (Ley de Garantías Electorales) son aplicables a las instituciones </w:t>
      </w:r>
      <w:r w:rsidR="36278CA3" w:rsidRPr="2D5E7496">
        <w:rPr>
          <w:rFonts w:ascii="Verdana" w:eastAsia="Century Gothic" w:hAnsi="Verdana" w:cs="Century Gothic"/>
          <w:lang w:val="es-CO"/>
        </w:rPr>
        <w:t xml:space="preserve">universitarias </w:t>
      </w:r>
      <w:r w:rsidRPr="2D5E7496">
        <w:rPr>
          <w:rFonts w:ascii="Verdana" w:eastAsia="Century Gothic" w:hAnsi="Verdana" w:cs="Century Gothic"/>
          <w:lang w:val="es-CO"/>
        </w:rPr>
        <w:t>de educación pública?</w:t>
      </w:r>
    </w:p>
    <w:p w14:paraId="2C234C4B" w14:textId="77777777" w:rsidR="00D72CE8" w:rsidRPr="00EA7EA8" w:rsidRDefault="00D72CE8" w:rsidP="00D72CE8">
      <w:pPr>
        <w:spacing w:after="0"/>
        <w:jc w:val="both"/>
        <w:rPr>
          <w:rFonts w:ascii="Verdana" w:eastAsia="Calibri" w:hAnsi="Verdana" w:cs="Arial"/>
          <w:lang w:val="es-ES"/>
        </w:rPr>
      </w:pPr>
    </w:p>
    <w:p w14:paraId="6132AD9D" w14:textId="77777777" w:rsidR="00D72CE8" w:rsidRPr="00EA7EA8" w:rsidRDefault="00D72CE8" w:rsidP="00D72CE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A7EA8">
        <w:rPr>
          <w:rFonts w:ascii="Verdana" w:eastAsia="Century Gothic" w:hAnsi="Verdana" w:cs="Century Gothic"/>
          <w:b/>
          <w:bCs/>
        </w:rPr>
        <w:t>Respuesta:</w:t>
      </w:r>
    </w:p>
    <w:p w14:paraId="703B4E1A" w14:textId="77777777" w:rsidR="00D72CE8" w:rsidRPr="00EA7EA8" w:rsidRDefault="00D72CE8" w:rsidP="00D72CE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72CE8" w:rsidRPr="00EA7EA8" w14:paraId="7AA8F3B8" w14:textId="77777777" w:rsidTr="2D5E7496">
        <w:tc>
          <w:tcPr>
            <w:tcW w:w="8828" w:type="dxa"/>
          </w:tcPr>
          <w:p w14:paraId="2E303521" w14:textId="43771C58" w:rsidR="00D72CE8" w:rsidRPr="003D0447" w:rsidRDefault="00D72CE8" w:rsidP="2D5E7496">
            <w:pPr>
              <w:pStyle w:val="Textoindependiente"/>
              <w:spacing w:after="120" w:line="276" w:lineRule="auto"/>
              <w:ind w:firstLine="709"/>
              <w:jc w:val="both"/>
              <w:rPr>
                <w:rFonts w:ascii="Verdana" w:hAnsi="Verdana"/>
                <w:sz w:val="22"/>
                <w:szCs w:val="22"/>
                <w:lang w:val="es-MX" w:eastAsia="es-CO"/>
              </w:rPr>
            </w:pPr>
            <w:r w:rsidRPr="2D5E7496">
              <w:rPr>
                <w:rFonts w:ascii="Verdana" w:hAnsi="Verdana"/>
                <w:sz w:val="22"/>
                <w:szCs w:val="22"/>
                <w:lang w:val="es-MX" w:eastAsia="es-CO"/>
              </w:rPr>
              <w:t xml:space="preserve">Frente al problema jurídico planteado, debe señalarse que la restricción del artículo 33 aplica a todos los “entes del Estado”, independiente de su régimen, por lo que la misma aplica tanto a las universidades públicas o entes </w:t>
            </w:r>
            <w:r w:rsidRPr="2D5E7496">
              <w:rPr>
                <w:rFonts w:ascii="Verdana" w:hAnsi="Verdana"/>
                <w:sz w:val="22"/>
                <w:szCs w:val="22"/>
                <w:lang w:val="es-MX" w:eastAsia="es-CO"/>
              </w:rPr>
              <w:lastRenderedPageBreak/>
              <w:t>universitarios autónomos, como a los establecimientos públicos de educación superior, dada su calidad de entes estatales. En consecuencia, al margen que estas entidades estén sometidas al Estatuto General de Contratación de la Administración Públicas</w:t>
            </w:r>
            <w:r w:rsidR="00B55F8F">
              <w:rPr>
                <w:rFonts w:ascii="Verdana" w:hAnsi="Verdana"/>
                <w:sz w:val="22"/>
                <w:szCs w:val="22"/>
                <w:lang w:val="es-MX" w:eastAsia="es-CO"/>
              </w:rPr>
              <w:t xml:space="preserve"> y</w:t>
            </w:r>
            <w:r w:rsidRPr="2D5E7496">
              <w:rPr>
                <w:rFonts w:ascii="Verdana" w:hAnsi="Verdana"/>
                <w:sz w:val="22"/>
                <w:szCs w:val="22"/>
                <w:lang w:val="es-MX" w:eastAsia="es-CO"/>
              </w:rPr>
              <w:t xml:space="preserve"> tengan un régimen </w:t>
            </w:r>
            <w:proofErr w:type="gramStart"/>
            <w:r w:rsidRPr="2D5E7496">
              <w:rPr>
                <w:rFonts w:ascii="Verdana" w:hAnsi="Verdana"/>
                <w:sz w:val="22"/>
                <w:szCs w:val="22"/>
                <w:lang w:val="es-MX" w:eastAsia="es-CO"/>
              </w:rPr>
              <w:t>especial ,</w:t>
            </w:r>
            <w:proofErr w:type="gramEnd"/>
            <w:r w:rsidRPr="2D5E7496">
              <w:rPr>
                <w:rFonts w:ascii="Verdana" w:hAnsi="Verdana"/>
                <w:sz w:val="22"/>
                <w:szCs w:val="22"/>
                <w:lang w:val="es-MX" w:eastAsia="es-CO"/>
              </w:rPr>
              <w:t xml:space="preserve"> tienen restringida la contratación que no sea producto de procesos con pluralidad de oferentes a partir del inicio del periodo prelectoral de los cuatro (4) meses previos a las elecciones presidenciales, salvo que se realice al amparo de las excepciones previstas en el inciso final del artículo 33 de la Ley 996 de 2005. </w:t>
            </w:r>
          </w:p>
          <w:p w14:paraId="595B19FA" w14:textId="77777777" w:rsidR="00D72CE8" w:rsidRDefault="00D72CE8" w:rsidP="2D5E7496">
            <w:pPr>
              <w:pStyle w:val="Textoindependiente"/>
              <w:spacing w:after="120" w:line="276" w:lineRule="auto"/>
              <w:ind w:firstLine="709"/>
              <w:jc w:val="both"/>
              <w:rPr>
                <w:rFonts w:ascii="Verdana" w:hAnsi="Verdana"/>
                <w:color w:val="000000" w:themeColor="text1"/>
                <w:sz w:val="22"/>
                <w:szCs w:val="22"/>
                <w:lang w:eastAsia="es-CO"/>
              </w:rPr>
            </w:pPr>
            <w:r w:rsidRPr="2D5E7496">
              <w:rPr>
                <w:rFonts w:ascii="Verdana" w:hAnsi="Verdana"/>
                <w:color w:val="000000" w:themeColor="text1"/>
                <w:sz w:val="22"/>
                <w:szCs w:val="22"/>
                <w:lang w:eastAsia="es-CO"/>
              </w:rPr>
              <w:t>De lo anterior se colige que, en virtud de la restricción establecida en el primer inciso artículo 33, las universidades y los establecimientos públicos de educación superior tienen vedada la celebración de convenios o contratos de manera directa durante las elecciones presidenciales, ya sea con otras entidades de la misma naturaleza o de carácter privado. Esto sin perjuicio de la eventual aplicación de alguna de las excepciones previstas en el inciso final de la norma, con sustento en las cuales, ambos tipos de instituciones de educación superior públicas podrían suscribir contratos de manera directa durante el periodo prelectoral señalado sin vulnerar la restricción, siempre que en efecto se configure alguno de los supuestos de hecho de las excepciones y no se contravengan otras normas jurídicas.</w:t>
            </w:r>
          </w:p>
          <w:p w14:paraId="4AEB8178" w14:textId="62856276" w:rsidR="00B55F8F" w:rsidRDefault="00B55F8F" w:rsidP="00B55F8F">
            <w:pPr>
              <w:spacing w:after="120" w:line="276" w:lineRule="auto"/>
              <w:ind w:firstLine="708"/>
              <w:jc w:val="both"/>
              <w:rPr>
                <w:rFonts w:ascii="Verdana" w:hAnsi="Verdana" w:cs="BCDHEE+Verdana"/>
                <w:color w:val="000000"/>
              </w:rPr>
            </w:pPr>
            <w:r w:rsidRPr="00DE5508">
              <w:rPr>
                <w:rFonts w:ascii="Verdana" w:hAnsi="Verdana" w:cs="BCDHEE+Verdana"/>
                <w:color w:val="000000"/>
              </w:rPr>
              <w:t>Finalmente, para las elecciones al Congreso de la República que serán el 8 de marzo de 2026,</w:t>
            </w:r>
            <w:r>
              <w:rPr>
                <w:rFonts w:ascii="Verdana" w:hAnsi="Verdana" w:cs="BCDHEE+Verdana"/>
                <w:color w:val="000000"/>
              </w:rPr>
              <w:t xml:space="preserve"> según calendario electoral fijado por </w:t>
            </w:r>
            <w:r w:rsidRPr="00DE5508">
              <w:rPr>
                <w:rFonts w:ascii="Verdana" w:hAnsi="Verdana" w:cs="BCDHEE+Verdana"/>
                <w:color w:val="000000"/>
              </w:rPr>
              <w:t xml:space="preserve">el Consejo Nacional Electoral mediante Resolución No. 2581 del 5 de marzo de 2025, de acuerdo con el artículo 38 de la Ley 996 de 2005, las restricciones que se aplican son </w:t>
            </w:r>
            <w:r w:rsidR="004D51A8">
              <w:rPr>
                <w:rFonts w:ascii="Verdana" w:hAnsi="Verdana" w:cs="BCDHEE+Verdana"/>
                <w:color w:val="000000"/>
              </w:rPr>
              <w:t xml:space="preserve">las </w:t>
            </w:r>
            <w:r w:rsidRPr="00DE5508">
              <w:rPr>
                <w:rFonts w:ascii="Verdana" w:hAnsi="Verdana" w:cs="BCDHEE+Verdana"/>
                <w:color w:val="000000"/>
              </w:rPr>
              <w:t>que prohíbe</w:t>
            </w:r>
            <w:r w:rsidR="004D51A8">
              <w:rPr>
                <w:rFonts w:ascii="Verdana" w:hAnsi="Verdana" w:cs="BCDHEE+Verdana"/>
                <w:color w:val="000000"/>
              </w:rPr>
              <w:t>n</w:t>
            </w:r>
            <w:r w:rsidRPr="00DE5508">
              <w:rPr>
                <w:rFonts w:ascii="Verdana" w:hAnsi="Verdana" w:cs="BCDHEE+Verdana"/>
                <w:color w:val="000000"/>
              </w:rPr>
              <w:t xml:space="preserve"> a los gobernadores, alcaldes municipales o distritales, secretarios, gerentes y directores de entidades descentralizadas del orden municipal, departamental o distrital </w:t>
            </w:r>
            <w:r w:rsidRPr="007A3B8C">
              <w:rPr>
                <w:rFonts w:ascii="Verdana" w:eastAsia="Arial" w:hAnsi="Verdana" w:cs="Arial"/>
                <w:color w:val="000000"/>
              </w:rPr>
              <w:t>“[…]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Arial" w:hAnsi="Verdana" w:cs="Arial"/>
                <w:color w:val="000000"/>
              </w:rPr>
              <w:t xml:space="preserve"> </w:t>
            </w:r>
            <w:r>
              <w:rPr>
                <w:rFonts w:ascii="Verdana" w:hAnsi="Verdana" w:cs="BCDHEE+Verdana"/>
                <w:color w:val="000000"/>
              </w:rPr>
              <w:t>Dichas</w:t>
            </w:r>
            <w:r w:rsidRPr="00DE5508">
              <w:rPr>
                <w:rFonts w:ascii="Verdana" w:hAnsi="Verdana" w:cs="BCDHEE+Verdana"/>
                <w:color w:val="000000"/>
              </w:rPr>
              <w:t xml:space="preserve"> restricci</w:t>
            </w:r>
            <w:r>
              <w:rPr>
                <w:rFonts w:ascii="Verdana" w:hAnsi="Verdana" w:cs="BCDHEE+Verdana"/>
                <w:color w:val="000000"/>
              </w:rPr>
              <w:t>ones</w:t>
            </w:r>
            <w:r w:rsidRPr="00DE5508">
              <w:rPr>
                <w:rFonts w:ascii="Verdana" w:hAnsi="Verdana" w:cs="BCDHEE+Verdana"/>
                <w:color w:val="000000"/>
              </w:rPr>
              <w:t xml:space="preserve"> iniciaría</w:t>
            </w:r>
            <w:r>
              <w:rPr>
                <w:rFonts w:ascii="Verdana" w:hAnsi="Verdana" w:cs="BCDHEE+Verdana"/>
                <w:color w:val="000000"/>
              </w:rPr>
              <w:t>n</w:t>
            </w:r>
            <w:r w:rsidRPr="00DE5508">
              <w:rPr>
                <w:rFonts w:ascii="Verdana" w:hAnsi="Verdana" w:cs="BCDHEE+Verdana"/>
                <w:color w:val="000000"/>
              </w:rPr>
              <w:t xml:space="preserve"> el 8 de noviembre de 2025, es decir, 4 meses antes de la fecha de las elecciones</w:t>
            </w:r>
            <w:r>
              <w:rPr>
                <w:rFonts w:ascii="Verdana" w:hAnsi="Verdana" w:cs="BCDHEE+Verdana"/>
                <w:color w:val="000000"/>
              </w:rPr>
              <w:t>.</w:t>
            </w:r>
          </w:p>
          <w:p w14:paraId="47D2C22B" w14:textId="77777777" w:rsidR="00B55F8F" w:rsidRPr="00231B17" w:rsidRDefault="00B55F8F" w:rsidP="00B55F8F">
            <w:pPr>
              <w:spacing w:after="120" w:line="276" w:lineRule="auto"/>
              <w:ind w:firstLine="708"/>
              <w:jc w:val="both"/>
              <w:rPr>
                <w:rFonts w:ascii="Verdana" w:eastAsia="Calibri" w:hAnsi="Verdana" w:cs="Arial"/>
                <w:i/>
                <w:iCs/>
                <w:lang w:eastAsia="es-MX"/>
              </w:rPr>
            </w:pPr>
            <w:r>
              <w:rPr>
                <w:rFonts w:ascii="Verdana" w:hAnsi="Verdana" w:cs="BCDHEE+Verdana"/>
                <w:color w:val="000000"/>
              </w:rPr>
              <w:t xml:space="preserve"> Por lo que, las asambleas departamentales en virtud </w:t>
            </w:r>
            <w:r w:rsidRPr="00FE3C27">
              <w:rPr>
                <w:rFonts w:ascii="Verdana" w:eastAsia="Calibri" w:hAnsi="Verdana" w:cs="Arial"/>
                <w:lang w:eastAsia="es-MX"/>
              </w:rPr>
              <w:t xml:space="preserve">del artículo 38 no podrán celebrar </w:t>
            </w:r>
            <w:r w:rsidRPr="00FE3C27">
              <w:rPr>
                <w:rFonts w:ascii="Verdana" w:eastAsia="Calibri" w:hAnsi="Verdana" w:cs="Arial"/>
                <w:i/>
                <w:iCs/>
                <w:lang w:eastAsia="es-MX"/>
              </w:rPr>
              <w:t>convenios interadministrativos</w:t>
            </w:r>
            <w:r w:rsidRPr="00FE3C27">
              <w:rPr>
                <w:rFonts w:ascii="Verdana" w:eastAsia="Calibri" w:hAnsi="Verdana" w:cs="Arial"/>
                <w:lang w:eastAsia="es-MX"/>
              </w:rPr>
              <w:t xml:space="preserve"> para la ejecución de recursos públicos si la otra parte de la relación contractual es una entidad de aquellas descritas en el parágrafo </w:t>
            </w:r>
            <w:r w:rsidRPr="00131D34">
              <w:rPr>
                <w:rFonts w:ascii="Verdana" w:eastAsia="Calibri" w:hAnsi="Verdana" w:cs="Arial"/>
                <w:i/>
                <w:iCs/>
                <w:lang w:eastAsia="es-MX"/>
              </w:rPr>
              <w:t>ibidem</w:t>
            </w:r>
            <w:r>
              <w:rPr>
                <w:rFonts w:ascii="Verdana" w:eastAsia="Calibri" w:hAnsi="Verdana" w:cs="Arial"/>
                <w:i/>
                <w:iCs/>
                <w:lang w:eastAsia="es-MX"/>
              </w:rPr>
              <w:t>.</w:t>
            </w:r>
          </w:p>
          <w:p w14:paraId="0A730C3B" w14:textId="7B6FC2D6" w:rsidR="00205FB1" w:rsidRPr="00640B1B" w:rsidRDefault="00B55F8F" w:rsidP="00B55F8F">
            <w:pPr>
              <w:pStyle w:val="Textoindependiente"/>
              <w:spacing w:after="120" w:line="276" w:lineRule="auto"/>
              <w:ind w:firstLine="709"/>
              <w:jc w:val="both"/>
              <w:rPr>
                <w:rFonts w:ascii="Verdana" w:hAnsi="Verdana"/>
                <w:color w:val="000000"/>
                <w:sz w:val="22"/>
                <w:szCs w:val="22"/>
                <w:lang w:eastAsia="es-CO"/>
              </w:rPr>
            </w:pPr>
            <w:r w:rsidRPr="00DE5508">
              <w:rPr>
                <w:rFonts w:ascii="Verdana" w:hAnsi="Verdana"/>
              </w:rPr>
              <w:t xml:space="preserve">Dentro de este marco, corresponde a cada entidad pública, en ejercicio de su </w:t>
            </w:r>
            <w:r w:rsidRPr="00DE5508">
              <w:rPr>
                <w:rFonts w:ascii="Verdana" w:hAnsi="Verdana"/>
              </w:rPr>
              <w:lastRenderedPageBreak/>
              <w:t>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3E9AD434" w14:textId="77777777" w:rsidR="00D72CE8" w:rsidRPr="00EA7EA8" w:rsidRDefault="00D72CE8" w:rsidP="00D72CE8">
      <w:pPr>
        <w:tabs>
          <w:tab w:val="left" w:pos="142"/>
          <w:tab w:val="left" w:pos="284"/>
        </w:tabs>
        <w:spacing w:after="0" w:line="276" w:lineRule="auto"/>
        <w:jc w:val="both"/>
        <w:rPr>
          <w:rFonts w:ascii="Verdana" w:eastAsia="Century Gothic" w:hAnsi="Verdana" w:cs="Century Gothic"/>
          <w:b/>
          <w:bCs/>
          <w:lang w:val="es-ES"/>
        </w:rPr>
      </w:pPr>
    </w:p>
    <w:p w14:paraId="54CB9A31" w14:textId="77777777" w:rsidR="00D72CE8" w:rsidRPr="00EA7EA8" w:rsidRDefault="00D72CE8" w:rsidP="2D5E749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2D5E7496">
        <w:rPr>
          <w:rFonts w:ascii="Verdana" w:eastAsia="Century Gothic" w:hAnsi="Verdana" w:cs="Century Gothic"/>
          <w:b/>
          <w:bCs/>
        </w:rPr>
        <w:t>Razones de la respuesta:</w:t>
      </w:r>
    </w:p>
    <w:p w14:paraId="21E738B2" w14:textId="77777777" w:rsidR="00D72CE8" w:rsidRPr="00EA7EA8" w:rsidRDefault="00D72CE8" w:rsidP="00D72CE8">
      <w:pPr>
        <w:spacing w:after="0" w:line="276" w:lineRule="auto"/>
        <w:jc w:val="both"/>
        <w:rPr>
          <w:rFonts w:ascii="Verdana" w:eastAsia="Calibri" w:hAnsi="Verdana" w:cs="Arial"/>
          <w:lang w:val="es-ES"/>
        </w:rPr>
      </w:pPr>
    </w:p>
    <w:p w14:paraId="3E76D7E9" w14:textId="77777777" w:rsidR="00D72CE8" w:rsidRPr="00EA7EA8" w:rsidRDefault="00D72CE8" w:rsidP="00D72CE8">
      <w:pPr>
        <w:spacing w:after="0" w:line="276" w:lineRule="auto"/>
        <w:jc w:val="both"/>
        <w:rPr>
          <w:rFonts w:ascii="Verdana" w:eastAsia="Calibri" w:hAnsi="Verdana" w:cs="Arial"/>
          <w:lang w:val="es-ES"/>
        </w:rPr>
      </w:pPr>
      <w:r w:rsidRPr="00EA7EA8">
        <w:rPr>
          <w:rFonts w:ascii="Verdana" w:eastAsia="Calibri" w:hAnsi="Verdana" w:cs="Arial"/>
          <w:lang w:val="es-ES"/>
        </w:rPr>
        <w:t xml:space="preserve">Lo anterior se sustenta en las siguientes consideraciones: </w:t>
      </w:r>
    </w:p>
    <w:p w14:paraId="7045D7EA" w14:textId="77777777" w:rsidR="00D72CE8" w:rsidRDefault="00D72CE8" w:rsidP="00D72CE8">
      <w:pPr>
        <w:spacing w:after="0" w:line="276" w:lineRule="auto"/>
        <w:jc w:val="both"/>
        <w:rPr>
          <w:rFonts w:ascii="Verdana" w:eastAsia="Calibri" w:hAnsi="Verdana" w:cs="Arial"/>
        </w:rPr>
      </w:pPr>
    </w:p>
    <w:p w14:paraId="123F3DE4" w14:textId="77777777" w:rsidR="00730AF7" w:rsidRDefault="00D72CE8" w:rsidP="00D72CE8">
      <w:pPr>
        <w:tabs>
          <w:tab w:val="left" w:pos="426"/>
        </w:tabs>
        <w:spacing w:after="120" w:line="276" w:lineRule="auto"/>
        <w:jc w:val="both"/>
        <w:rPr>
          <w:rFonts w:ascii="Verdana" w:eastAsia="Calibri" w:hAnsi="Verdana" w:cs="Arial"/>
          <w:bCs/>
        </w:rPr>
      </w:pPr>
      <w:r w:rsidRPr="00F10E52">
        <w:rPr>
          <w:rFonts w:ascii="Verdana" w:eastAsia="Calibri" w:hAnsi="Verdana" w:cs="Arial"/>
          <w:bCs/>
        </w:rPr>
        <w:t xml:space="preserve">El ordenamiento jurídico colombiano contempla previsiones claras para evitar la obtención de beneficios personales en asuntos propios de la administración </w:t>
      </w:r>
    </w:p>
    <w:p w14:paraId="427916C8" w14:textId="57C3EBF0" w:rsidR="00D72CE8" w:rsidRPr="00F10E52" w:rsidRDefault="00D72CE8" w:rsidP="00D72CE8">
      <w:pPr>
        <w:tabs>
          <w:tab w:val="left" w:pos="426"/>
        </w:tabs>
        <w:spacing w:after="120" w:line="276" w:lineRule="auto"/>
        <w:jc w:val="both"/>
        <w:rPr>
          <w:rFonts w:ascii="Verdana" w:eastAsia="Times New Roman" w:hAnsi="Verdana" w:cs="Arial"/>
          <w:bCs/>
          <w:lang w:eastAsia="es-CO"/>
        </w:rPr>
      </w:pPr>
      <w:r w:rsidRPr="00F10E52">
        <w:rPr>
          <w:rFonts w:ascii="Verdana" w:eastAsia="Calibri" w:hAnsi="Verdana" w:cs="Arial"/>
          <w:bCs/>
        </w:rPr>
        <w:t>pública</w:t>
      </w:r>
      <w:r w:rsidRPr="00F10E52">
        <w:rPr>
          <w:rFonts w:ascii="Verdana" w:eastAsia="Calibri" w:hAnsi="Verdana" w:cs="Arial"/>
          <w:bCs/>
          <w:i/>
          <w:iCs/>
        </w:rPr>
        <w:t xml:space="preserve">. </w:t>
      </w:r>
      <w:r w:rsidRPr="00F10E52">
        <w:rPr>
          <w:rFonts w:ascii="Verdana" w:eastAsia="Calibri" w:hAnsi="Verdana" w:cs="Arial"/>
          <w:bCs/>
        </w:rPr>
        <w:t>Por ejemplo, el artículo 127 de la Constitución Política establece una prohibición contractual a los servidores públicos y</w:t>
      </w:r>
      <w:r>
        <w:rPr>
          <w:rFonts w:ascii="Verdana" w:eastAsia="Calibri" w:hAnsi="Verdana" w:cs="Arial"/>
          <w:bCs/>
        </w:rPr>
        <w:t>,</w:t>
      </w:r>
      <w:r w:rsidRPr="00F10E52">
        <w:rPr>
          <w:rFonts w:ascii="Verdana" w:eastAsia="Calibri" w:hAnsi="Verdana" w:cs="Arial"/>
          <w:bCs/>
        </w:rPr>
        <w:t xml:space="preserve"> en cuanto</w:t>
      </w:r>
      <w:r>
        <w:rPr>
          <w:rFonts w:ascii="Verdana" w:eastAsia="Calibri" w:hAnsi="Verdana" w:cs="Arial"/>
          <w:bCs/>
        </w:rPr>
        <w:t>,</w:t>
      </w:r>
      <w:r w:rsidRPr="00F10E52">
        <w:rPr>
          <w:rFonts w:ascii="Verdana" w:eastAsia="Calibri" w:hAnsi="Verdana" w:cs="Arial"/>
          <w:bCs/>
        </w:rPr>
        <w:t xml:space="preserve"> a aspectos políticos establece restricciones a ciertos empleados del Estado, incluso en época no electoral</w:t>
      </w:r>
      <w:r w:rsidRPr="00F10E52">
        <w:rPr>
          <w:rStyle w:val="Refdenotaalpie"/>
          <w:rFonts w:ascii="Verdana" w:eastAsia="Calibri" w:hAnsi="Verdana" w:cs="Arial"/>
          <w:bCs/>
        </w:rPr>
        <w:footnoteReference w:id="2"/>
      </w:r>
      <w:r w:rsidRPr="00F10E52">
        <w:rPr>
          <w:rFonts w:ascii="Verdana" w:eastAsia="Calibri" w:hAnsi="Verdana" w:cs="Arial"/>
          <w:bCs/>
        </w:rPr>
        <w:t xml:space="preserve">. </w:t>
      </w:r>
    </w:p>
    <w:p w14:paraId="3A6BCA5A" w14:textId="77777777" w:rsidR="00D72CE8" w:rsidRDefault="00D72CE8" w:rsidP="00D72CE8">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3"/>
      </w:r>
      <w:r w:rsidRPr="00F10E52">
        <w:rPr>
          <w:rFonts w:ascii="Verdana" w:eastAsia="Times New Roman" w:hAnsi="Verdana" w:cs="Arial"/>
          <w:bCs/>
          <w:lang w:eastAsia="es-CO"/>
        </w:rPr>
        <w:t xml:space="preserve">. En esta medida, introduce limitaciones para realizar nombramientos, postulaciones, </w:t>
      </w:r>
      <w:r w:rsidRPr="00F10E52">
        <w:rPr>
          <w:rFonts w:ascii="Verdana" w:eastAsia="Times New Roman" w:hAnsi="Verdana" w:cs="Arial"/>
          <w:bCs/>
          <w:lang w:eastAsia="es-CO"/>
        </w:rPr>
        <w:lastRenderedPageBreak/>
        <w:t>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543EB46A" w14:textId="77777777" w:rsidR="00D72CE8" w:rsidRPr="00F10E52" w:rsidRDefault="00D72CE8" w:rsidP="00D72CE8">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049C188F" w14:textId="77777777" w:rsidR="00D72CE8" w:rsidRDefault="00D72CE8" w:rsidP="00D72CE8">
      <w:pPr>
        <w:spacing w:after="0" w:line="276" w:lineRule="auto"/>
        <w:ind w:left="709" w:right="709"/>
        <w:jc w:val="both"/>
        <w:rPr>
          <w:rFonts w:ascii="Verdana" w:eastAsia="Times New Roman" w:hAnsi="Verdana" w:cs="Arial"/>
          <w:lang w:val="es-ES" w:eastAsia="es-CO"/>
        </w:rPr>
      </w:pPr>
    </w:p>
    <w:p w14:paraId="7366D573" w14:textId="77777777" w:rsidR="00D72CE8" w:rsidRPr="003D0447" w:rsidRDefault="00D72CE8" w:rsidP="00D72CE8">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3D0447">
        <w:rPr>
          <w:rFonts w:ascii="Verdana" w:eastAsia="Times New Roman" w:hAnsi="Verdana" w:cs="Arial"/>
          <w:sz w:val="20"/>
          <w:szCs w:val="20"/>
          <w:lang w:val="es-ES" w:eastAsia="es-CO"/>
        </w:rPr>
        <w:t xml:space="preserve">[…] </w:t>
      </w:r>
    </w:p>
    <w:p w14:paraId="4B17A320" w14:textId="77777777" w:rsidR="00D72CE8" w:rsidRPr="009B20C5" w:rsidRDefault="00D72CE8" w:rsidP="00D72CE8">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64D9D053" w14:textId="77777777" w:rsidR="00D72CE8" w:rsidRPr="00143D05" w:rsidRDefault="00D72CE8" w:rsidP="00D72CE8">
      <w:pPr>
        <w:spacing w:after="0" w:line="240" w:lineRule="auto"/>
        <w:ind w:left="709" w:right="709"/>
        <w:jc w:val="both"/>
        <w:rPr>
          <w:rFonts w:ascii="Verdana" w:eastAsia="Times New Roman" w:hAnsi="Verdana" w:cs="Arial"/>
          <w:bCs/>
          <w:sz w:val="20"/>
          <w:szCs w:val="20"/>
          <w:lang w:eastAsia="es-CO"/>
        </w:rPr>
      </w:pPr>
    </w:p>
    <w:p w14:paraId="1319E7DB" w14:textId="77777777" w:rsidR="00D72CE8" w:rsidRPr="003D0447" w:rsidRDefault="00D72CE8" w:rsidP="00D72CE8">
      <w:pPr>
        <w:spacing w:after="0" w:line="240" w:lineRule="auto"/>
        <w:ind w:left="709" w:right="709"/>
        <w:jc w:val="both"/>
        <w:rPr>
          <w:rFonts w:ascii="Verdana" w:eastAsia="Times New Roman" w:hAnsi="Verdana" w:cs="Arial"/>
          <w:sz w:val="20"/>
          <w:szCs w:val="20"/>
          <w:lang w:eastAsia="es-CO"/>
        </w:rPr>
      </w:pPr>
      <w:r w:rsidRPr="009B20C5">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9B20C5">
        <w:rPr>
          <w:rStyle w:val="Refdenotaalpie"/>
          <w:rFonts w:ascii="Verdana" w:hAnsi="Verdana" w:cs="Arial"/>
          <w:sz w:val="20"/>
          <w:szCs w:val="20"/>
        </w:rPr>
        <w:footnoteReference w:id="4"/>
      </w:r>
      <w:r>
        <w:rPr>
          <w:rFonts w:ascii="Verdana" w:eastAsia="Times New Roman" w:hAnsi="Verdana" w:cs="Arial"/>
          <w:bCs/>
          <w:sz w:val="20"/>
          <w:szCs w:val="20"/>
          <w:lang w:eastAsia="es-CO"/>
        </w:rPr>
        <w:t xml:space="preserve"> </w:t>
      </w:r>
      <w:r w:rsidRPr="003D0447">
        <w:rPr>
          <w:rFonts w:ascii="Verdana" w:eastAsia="Times New Roman" w:hAnsi="Verdana" w:cs="Arial"/>
          <w:bCs/>
          <w:sz w:val="20"/>
          <w:szCs w:val="20"/>
          <w:lang w:eastAsia="es-CO"/>
        </w:rPr>
        <w:t>[…]</w:t>
      </w:r>
      <w:r>
        <w:rPr>
          <w:rFonts w:ascii="Verdana" w:eastAsia="Times New Roman" w:hAnsi="Verdana" w:cs="Arial"/>
          <w:bCs/>
          <w:sz w:val="20"/>
          <w:szCs w:val="20"/>
          <w:lang w:eastAsia="es-CO"/>
        </w:rPr>
        <w:t>”</w:t>
      </w:r>
      <w:r w:rsidRPr="003D0447">
        <w:rPr>
          <w:rFonts w:ascii="Verdana" w:eastAsia="Times New Roman" w:hAnsi="Verdana" w:cs="Arial"/>
          <w:bCs/>
          <w:sz w:val="20"/>
          <w:szCs w:val="20"/>
          <w:lang w:eastAsia="es-CO"/>
        </w:rPr>
        <w:t xml:space="preserve"> </w:t>
      </w:r>
    </w:p>
    <w:p w14:paraId="63E07F05" w14:textId="77777777" w:rsidR="00D72CE8" w:rsidRDefault="00D72CE8" w:rsidP="00D72CE8">
      <w:pPr>
        <w:spacing w:after="0" w:line="276" w:lineRule="auto"/>
        <w:ind w:firstLine="709"/>
        <w:jc w:val="both"/>
        <w:rPr>
          <w:rFonts w:ascii="Verdana" w:eastAsia="Times New Roman" w:hAnsi="Verdana" w:cs="Arial"/>
          <w:bCs/>
          <w:lang w:eastAsia="es-CO"/>
        </w:rPr>
      </w:pPr>
      <w:bookmarkStart w:id="1" w:name="_Hlk78818186"/>
    </w:p>
    <w:p w14:paraId="3675C114" w14:textId="77777777" w:rsidR="00D72CE8" w:rsidRDefault="00D72CE8" w:rsidP="00D72CE8">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1"/>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5E7CE312" w14:textId="77777777" w:rsidR="00D72CE8" w:rsidRPr="00F10E52" w:rsidRDefault="00D72CE8" w:rsidP="00D72CE8">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78201C53" w14:textId="77777777" w:rsidR="00D72CE8" w:rsidRPr="00F10E52" w:rsidRDefault="00D72CE8" w:rsidP="00D72CE8">
      <w:pPr>
        <w:spacing w:after="0" w:line="276" w:lineRule="auto"/>
        <w:ind w:firstLine="709"/>
        <w:jc w:val="both"/>
        <w:rPr>
          <w:rFonts w:ascii="Verdana" w:eastAsia="Times New Roman" w:hAnsi="Verdana" w:cs="Arial"/>
          <w:bCs/>
          <w:lang w:eastAsia="es-CO"/>
        </w:rPr>
      </w:pPr>
    </w:p>
    <w:p w14:paraId="02EBA6D9" w14:textId="77777777" w:rsidR="00D72CE8" w:rsidRPr="009B20C5" w:rsidRDefault="00D72CE8" w:rsidP="00D72CE8">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w:t>
      </w:r>
      <w:r w:rsidRPr="009B20C5">
        <w:rPr>
          <w:rFonts w:ascii="Verdana" w:eastAsia="Times New Roman" w:hAnsi="Verdana" w:cs="Arial"/>
          <w:bCs/>
          <w:sz w:val="20"/>
          <w:szCs w:val="20"/>
          <w:lang w:eastAsia="es-CO"/>
        </w:rPr>
        <w:lastRenderedPageBreak/>
        <w:t>régimen jurídico imperativo y de orden público, razón por la cual no son disponibles ni pueden ser derogadas, modificadas, ampliadas o adicionadas por acuerdo o convenio o acto unilateral.</w:t>
      </w:r>
    </w:p>
    <w:p w14:paraId="256C8EB4" w14:textId="77777777" w:rsidR="00D72CE8" w:rsidRPr="009B20C5" w:rsidRDefault="00D72CE8" w:rsidP="00D72CE8">
      <w:pPr>
        <w:spacing w:after="0" w:line="240" w:lineRule="auto"/>
        <w:ind w:left="709" w:right="709"/>
        <w:jc w:val="both"/>
        <w:rPr>
          <w:rFonts w:ascii="Verdana" w:eastAsia="Times New Roman" w:hAnsi="Verdana" w:cs="Arial"/>
          <w:bCs/>
          <w:sz w:val="20"/>
          <w:szCs w:val="20"/>
          <w:lang w:eastAsia="es-CO"/>
        </w:rPr>
      </w:pPr>
    </w:p>
    <w:p w14:paraId="50AB47E3" w14:textId="77777777" w:rsidR="00D72CE8" w:rsidRPr="009B20C5" w:rsidRDefault="00D72CE8" w:rsidP="00D72CE8">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9B20C5">
        <w:rPr>
          <w:rStyle w:val="Refdenotaalpie"/>
          <w:rFonts w:ascii="Verdana" w:eastAsia="Times New Roman" w:hAnsi="Verdana" w:cs="Arial"/>
          <w:bCs/>
          <w:sz w:val="20"/>
          <w:szCs w:val="20"/>
          <w:lang w:eastAsia="es-CO"/>
        </w:rPr>
        <w:footnoteReference w:id="7"/>
      </w:r>
      <w:r w:rsidRPr="009B20C5">
        <w:rPr>
          <w:rFonts w:ascii="Verdana" w:eastAsia="Times New Roman" w:hAnsi="Verdana" w:cs="Arial"/>
          <w:bCs/>
          <w:sz w:val="20"/>
          <w:szCs w:val="20"/>
          <w:lang w:eastAsia="es-CO"/>
        </w:rPr>
        <w:t>.</w:t>
      </w:r>
    </w:p>
    <w:p w14:paraId="55F1BEA8" w14:textId="77777777" w:rsidR="00D72CE8" w:rsidRPr="009B20C5" w:rsidRDefault="00D72CE8" w:rsidP="00D72CE8">
      <w:pPr>
        <w:spacing w:after="0" w:line="240" w:lineRule="auto"/>
        <w:ind w:left="709" w:right="709"/>
        <w:jc w:val="both"/>
        <w:rPr>
          <w:rFonts w:ascii="Verdana" w:eastAsia="Times New Roman" w:hAnsi="Verdana" w:cs="Arial"/>
          <w:bCs/>
          <w:sz w:val="20"/>
          <w:szCs w:val="20"/>
          <w:lang w:eastAsia="es-CO"/>
        </w:rPr>
      </w:pPr>
    </w:p>
    <w:p w14:paraId="362C2227" w14:textId="77777777" w:rsidR="00D72CE8" w:rsidRPr="00F10E52" w:rsidRDefault="00D72CE8" w:rsidP="00D72CE8">
      <w:pPr>
        <w:spacing w:after="120" w:line="276" w:lineRule="auto"/>
        <w:jc w:val="both"/>
        <w:rPr>
          <w:rFonts w:ascii="Verdana" w:eastAsia="Arial" w:hAnsi="Verdana" w:cs="Arial"/>
          <w:lang w:val="es-ES" w:eastAsia="es-ES" w:bidi="es-ES"/>
        </w:rPr>
      </w:pPr>
      <w:r w:rsidRPr="00F10E52">
        <w:rPr>
          <w:rFonts w:ascii="Verdana" w:eastAsia="Times New Roman" w:hAnsi="Verdana" w:cs="Arial"/>
          <w:bCs/>
          <w:lang w:eastAsia="es-CO"/>
        </w:rPr>
        <w:tab/>
        <w:t>De</w:t>
      </w:r>
      <w:r w:rsidRPr="00F10E52">
        <w:rPr>
          <w:rFonts w:ascii="Verdana" w:eastAsia="Arial" w:hAnsi="Verdana" w:cs="Arial"/>
          <w:lang w:val="es-ES" w:eastAsia="es-ES" w:bidi="es-ES"/>
        </w:rPr>
        <w:t xml:space="preserve"> conformidad con lo anterior, </w:t>
      </w:r>
      <w:bookmarkStart w:id="2" w:name="_Hlk77236098"/>
      <w:r w:rsidRPr="00F10E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2"/>
    </w:p>
    <w:p w14:paraId="5626F3F4" w14:textId="77777777" w:rsidR="00D72CE8" w:rsidRPr="00F10E52" w:rsidRDefault="00D72CE8" w:rsidP="00D72CE8">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sidRPr="00F10E52">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w:t>
      </w:r>
      <w:r w:rsidRPr="003D0447">
        <w:rPr>
          <w:rFonts w:ascii="Verdana" w:eastAsia="Calibri" w:hAnsi="Verdana" w:cs="Arial"/>
          <w:i/>
        </w:rPr>
        <w:t>emergencias educativas</w:t>
      </w:r>
      <w:r w:rsidRPr="00F10E52">
        <w:rPr>
          <w:rFonts w:ascii="Verdana" w:eastAsia="Calibri" w:hAnsi="Verdana" w:cs="Arial"/>
        </w:rPr>
        <w:t xml:space="preserve">, sanitarias y desastres, así como también </w:t>
      </w:r>
      <w:r w:rsidRPr="00F10E52">
        <w:rPr>
          <w:rFonts w:ascii="Verdana" w:eastAsia="Calibri" w:hAnsi="Verdana" w:cs="Arial"/>
        </w:rPr>
        <w:lastRenderedPageBreak/>
        <w:t>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2F69C3EA" w14:textId="77777777" w:rsidR="00D72CE8" w:rsidRDefault="00D72CE8" w:rsidP="00D72CE8">
      <w:pPr>
        <w:widowControl w:val="0"/>
        <w:autoSpaceDE w:val="0"/>
        <w:autoSpaceDN w:val="0"/>
        <w:spacing w:after="120" w:line="276" w:lineRule="auto"/>
        <w:ind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078DAD8C" w14:textId="77777777" w:rsidR="00D72CE8" w:rsidRPr="00F10E52" w:rsidRDefault="00D72CE8" w:rsidP="00D72CE8">
      <w:pPr>
        <w:widowControl w:val="0"/>
        <w:autoSpaceDE w:val="0"/>
        <w:autoSpaceDN w:val="0"/>
        <w:spacing w:before="120" w:after="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6147768D" w14:textId="77777777" w:rsidR="00D72CE8" w:rsidRPr="003D0447" w:rsidRDefault="00D72CE8" w:rsidP="00D72CE8">
      <w:pPr>
        <w:widowControl w:val="0"/>
        <w:autoSpaceDE w:val="0"/>
        <w:autoSpaceDN w:val="0"/>
        <w:spacing w:after="0" w:line="276" w:lineRule="auto"/>
        <w:ind w:left="709" w:right="709"/>
        <w:jc w:val="both"/>
        <w:rPr>
          <w:rFonts w:ascii="Verdana" w:eastAsia="Arial" w:hAnsi="Verdana" w:cs="Arial"/>
          <w:lang w:val="es-ES" w:eastAsia="es-ES" w:bidi="es-ES"/>
        </w:rPr>
      </w:pPr>
    </w:p>
    <w:p w14:paraId="0D9BDCE3" w14:textId="77777777" w:rsidR="00D72CE8" w:rsidRPr="009B20C5" w:rsidRDefault="00D72CE8" w:rsidP="00D72CE8">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48E0C270">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3" w:name="_Hlk76109421"/>
      <w:r w:rsidRPr="48E0C270">
        <w:rPr>
          <w:rFonts w:ascii="Verdana" w:eastAsia="Arial" w:hAnsi="Verdana" w:cs="Arial"/>
          <w:sz w:val="20"/>
          <w:szCs w:val="20"/>
          <w:lang w:eastAsia="es-ES" w:bidi="es-ES"/>
        </w:rPr>
        <w:t>se integran parcialmente</w:t>
      </w:r>
      <w:bookmarkEnd w:id="3"/>
      <w:r w:rsidRPr="48E0C270">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48E0C270">
        <w:rPr>
          <w:rFonts w:ascii="Verdana" w:eastAsia="Arial" w:hAnsi="Verdana" w:cs="Arial"/>
          <w:sz w:val="20"/>
          <w:szCs w:val="20"/>
          <w:lang w:eastAsia="es-ES" w:bidi="es-ES"/>
        </w:rPr>
        <w:t>Presidente</w:t>
      </w:r>
      <w:proofErr w:type="gramEnd"/>
      <w:r w:rsidRPr="48E0C270">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48E0C270">
        <w:rPr>
          <w:rFonts w:ascii="Verdana" w:eastAsia="Arial" w:hAnsi="Verdana" w:cs="Arial"/>
          <w:sz w:val="20"/>
          <w:szCs w:val="20"/>
          <w:vertAlign w:val="superscript"/>
          <w:lang w:eastAsia="es-ES" w:bidi="es-ES"/>
        </w:rPr>
        <w:footnoteReference w:id="8"/>
      </w:r>
    </w:p>
    <w:p w14:paraId="2F75A5E4" w14:textId="77777777" w:rsidR="00D72CE8" w:rsidRDefault="00D72CE8" w:rsidP="00D72CE8">
      <w:pPr>
        <w:spacing w:after="0" w:line="276" w:lineRule="auto"/>
        <w:ind w:firstLine="709"/>
        <w:jc w:val="both"/>
        <w:rPr>
          <w:rFonts w:ascii="Verdana" w:eastAsia="Arial" w:hAnsi="Verdana" w:cs="Arial"/>
          <w:lang w:val="es-ES" w:eastAsia="es-ES" w:bidi="es-ES"/>
        </w:rPr>
      </w:pPr>
    </w:p>
    <w:p w14:paraId="4F69E2DC" w14:textId="77777777" w:rsidR="00D72CE8" w:rsidRPr="00F10E52" w:rsidRDefault="00D72CE8" w:rsidP="00D72CE8">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4" w:name="_Hlk99438241"/>
      <w:r w:rsidRPr="00F10E52">
        <w:rPr>
          <w:rFonts w:ascii="Verdana" w:eastAsia="Arial" w:hAnsi="Verdana" w:cs="Arial"/>
          <w:lang w:val="es-ES" w:eastAsia="es-ES" w:bidi="es-ES"/>
        </w:rPr>
        <w:t xml:space="preserve">, </w:t>
      </w:r>
      <w:bookmarkStart w:id="5" w:name="_Hlk77236420"/>
      <w:bookmarkStart w:id="6" w:name="_Hlk78818435"/>
      <w:bookmarkStart w:id="7"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w:t>
      </w:r>
      <w:r w:rsidRPr="00F10E52">
        <w:rPr>
          <w:rFonts w:ascii="Verdana" w:eastAsia="Arial" w:hAnsi="Verdana" w:cs="Arial"/>
          <w:lang w:val="es-ES" w:eastAsia="es-ES" w:bidi="es-ES"/>
        </w:rPr>
        <w:lastRenderedPageBreak/>
        <w:t xml:space="preserve">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5"/>
    </w:p>
    <w:bookmarkEnd w:id="4"/>
    <w:bookmarkEnd w:id="6"/>
    <w:p w14:paraId="2C30F341" w14:textId="77777777" w:rsidR="00D72CE8" w:rsidRPr="00F10E52" w:rsidRDefault="00D72CE8" w:rsidP="00D72CE8">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7"/>
    <w:p w14:paraId="6CF0DC94" w14:textId="77777777" w:rsidR="00D72CE8" w:rsidRPr="00F10E52" w:rsidRDefault="00D72CE8" w:rsidP="00D72CE8">
      <w:pPr>
        <w:spacing w:after="12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6F4AFD0B" w14:textId="77777777" w:rsidR="00D72CE8" w:rsidRPr="003D0447" w:rsidRDefault="00D72CE8" w:rsidP="00D72CE8">
      <w:pPr>
        <w:spacing w:after="120" w:line="276" w:lineRule="auto"/>
        <w:ind w:firstLine="709"/>
        <w:jc w:val="both"/>
        <w:rPr>
          <w:rFonts w:ascii="Verdana" w:hAnsi="Verdana" w:cs="Arial"/>
          <w:b/>
          <w:color w:val="000000" w:themeColor="text1"/>
          <w:lang w:eastAsia="es-ES_tradnl"/>
        </w:rPr>
      </w:pPr>
      <w:r w:rsidRPr="003D0447">
        <w:rPr>
          <w:rFonts w:ascii="Verdana" w:hAnsi="Verdana" w:cs="Arial"/>
          <w:bCs/>
          <w:color w:val="000000"/>
          <w:lang w:val="es-ES" w:eastAsia="es-CO"/>
        </w:rPr>
        <w:t xml:space="preserve">Teniendo en cuenta la consulta planteada, </w:t>
      </w:r>
      <w:r w:rsidRPr="003D0447">
        <w:rPr>
          <w:rFonts w:ascii="Verdana" w:hAnsi="Verdana" w:cs="Arial"/>
          <w:bCs/>
          <w:color w:val="000000"/>
          <w:lang w:eastAsia="es-CO"/>
        </w:rPr>
        <w:t xml:space="preserve">es importante analizar las restricciones aplicables a cada una de estas elecciones, pues presentan importantes diferencias, como su fundamento jurídico. Con esa finalidad, en primer lugar, se analizarán las restricciones aplicables frente a las elecciones </w:t>
      </w:r>
      <w:r w:rsidRPr="003D0447">
        <w:rPr>
          <w:rFonts w:ascii="Verdana" w:hAnsi="Verdana" w:cs="Arial"/>
          <w:bCs/>
          <w:color w:val="000000"/>
          <w:lang w:eastAsia="es-CO"/>
        </w:rPr>
        <w:lastRenderedPageBreak/>
        <w:t>presidenciales, y, posteriormente, las referentes a los demás cargos de elección popular.</w:t>
      </w:r>
    </w:p>
    <w:p w14:paraId="2ADA82C3" w14:textId="77777777" w:rsidR="00D72CE8" w:rsidRPr="00F10E52" w:rsidRDefault="00D72CE8" w:rsidP="00D72CE8">
      <w:pPr>
        <w:spacing w:before="120" w:after="0" w:line="276" w:lineRule="auto"/>
        <w:ind w:firstLine="708"/>
        <w:jc w:val="both"/>
        <w:rPr>
          <w:rFonts w:ascii="Verdana" w:eastAsia="Times New Roman" w:hAnsi="Verdana" w:cs="Arial"/>
          <w:bCs/>
          <w:lang w:eastAsia="es-CO"/>
        </w:rPr>
      </w:pPr>
      <w:r>
        <w:rPr>
          <w:rFonts w:ascii="Verdana" w:eastAsia="Times New Roman" w:hAnsi="Verdana" w:cs="Arial"/>
          <w:bCs/>
          <w:lang w:val="es-ES" w:eastAsia="es-CO"/>
        </w:rPr>
        <w:t>En primer lugar, e</w:t>
      </w:r>
      <w:r w:rsidRPr="00F10E52">
        <w:rPr>
          <w:rFonts w:ascii="Verdana" w:eastAsia="Times New Roman" w:hAnsi="Verdana" w:cs="Arial"/>
          <w:bCs/>
          <w:lang w:eastAsia="x-none"/>
        </w:rPr>
        <w:t xml:space="preserve">l ámbito material de la prohibición contenida </w:t>
      </w:r>
      <w:bookmarkStart w:id="8" w:name="_Hlk75628761"/>
      <w:r w:rsidRPr="00F10E52">
        <w:rPr>
          <w:rFonts w:ascii="Verdana" w:eastAsia="Times New Roman" w:hAnsi="Verdana" w:cs="Arial"/>
          <w:bCs/>
          <w:lang w:eastAsia="x-none"/>
        </w:rPr>
        <w:t xml:space="preserve">en el artículo 33 de la </w:t>
      </w:r>
      <w:r>
        <w:rPr>
          <w:rFonts w:ascii="Verdana" w:eastAsia="Times New Roman" w:hAnsi="Verdana" w:cs="Arial"/>
          <w:bCs/>
          <w:lang w:eastAsia="x-none"/>
        </w:rPr>
        <w:t>L</w:t>
      </w:r>
      <w:r w:rsidRPr="00F10E52">
        <w:rPr>
          <w:rFonts w:ascii="Verdana" w:eastAsia="Times New Roman" w:hAnsi="Verdana" w:cs="Arial"/>
          <w:bCs/>
          <w:lang w:eastAsia="x-none"/>
        </w:rPr>
        <w:t xml:space="preserve">ey 996 de 2005 </w:t>
      </w:r>
      <w:bookmarkEnd w:id="8"/>
      <w:r w:rsidRPr="00F10E52">
        <w:rPr>
          <w:rFonts w:ascii="Verdana" w:eastAsia="Times New Roman" w:hAnsi="Verdana" w:cs="Arial"/>
          <w:bCs/>
          <w:lang w:eastAsia="x-none"/>
        </w:rPr>
        <w:t xml:space="preserve">está delimitado por la expresión </w:t>
      </w:r>
      <w:r>
        <w:rPr>
          <w:rFonts w:ascii="Verdana" w:eastAsia="Calibri" w:hAnsi="Verdana" w:cs="Arial"/>
          <w:bCs/>
        </w:rPr>
        <w:t>“</w:t>
      </w:r>
      <w:r w:rsidRPr="00F10E52">
        <w:rPr>
          <w:rFonts w:ascii="Verdana" w:eastAsia="Times New Roman" w:hAnsi="Verdana" w:cs="Arial"/>
          <w:bCs/>
          <w:lang w:eastAsia="x-none"/>
        </w:rPr>
        <w:t>queda prohibida la contratación directa</w:t>
      </w:r>
      <w:r>
        <w:rPr>
          <w:rFonts w:ascii="Verdana" w:hAnsi="Verdana" w:cs="Arial"/>
        </w:rPr>
        <w:t>”</w:t>
      </w:r>
      <w:r w:rsidRPr="00F10E52">
        <w:rPr>
          <w:rFonts w:ascii="Verdana" w:eastAsia="Times New Roman" w:hAnsi="Verdana" w:cs="Arial"/>
          <w:bCs/>
          <w:lang w:eastAsia="x-none"/>
        </w:rPr>
        <w:t>.</w:t>
      </w:r>
      <w:r w:rsidRPr="00F10E52">
        <w:rPr>
          <w:rFonts w:ascii="Verdana" w:eastAsia="Times New Roman" w:hAnsi="Verdana" w:cs="Arial"/>
          <w:lang w:eastAsia="es-CO"/>
        </w:rPr>
        <w:t xml:space="preserve"> A propósito de esta restricción de la Ley de Garantías Electorales, la Sala de Consulta y Servicio Civil del Consejo de Estado ha considerado que:</w:t>
      </w:r>
    </w:p>
    <w:p w14:paraId="1BD73EBF" w14:textId="77777777" w:rsidR="00D72CE8" w:rsidRPr="00F10E52" w:rsidRDefault="00D72CE8" w:rsidP="00D72CE8">
      <w:pPr>
        <w:spacing w:after="0" w:line="276" w:lineRule="auto"/>
        <w:ind w:left="708" w:right="709"/>
        <w:jc w:val="both"/>
        <w:rPr>
          <w:rFonts w:ascii="Verdana" w:hAnsi="Verdana" w:cs="Arial"/>
        </w:rPr>
      </w:pPr>
    </w:p>
    <w:p w14:paraId="2B8ED8F0" w14:textId="77777777" w:rsidR="00D72CE8" w:rsidRPr="009B20C5" w:rsidRDefault="00D72CE8" w:rsidP="00D72CE8">
      <w:pPr>
        <w:spacing w:after="0" w:line="240" w:lineRule="auto"/>
        <w:ind w:left="709" w:right="709"/>
        <w:jc w:val="both"/>
        <w:rPr>
          <w:rFonts w:ascii="Verdana" w:hAnsi="Verdana" w:cs="Arial"/>
          <w:sz w:val="20"/>
          <w:szCs w:val="20"/>
        </w:rPr>
      </w:pPr>
      <w:r>
        <w:rPr>
          <w:rFonts w:ascii="Verdana" w:hAnsi="Verdana" w:cs="Arial"/>
          <w:sz w:val="20"/>
          <w:szCs w:val="20"/>
        </w:rPr>
        <w:t>“</w:t>
      </w:r>
      <w:r w:rsidRPr="009B20C5">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9B20C5">
        <w:rPr>
          <w:rFonts w:ascii="Verdana" w:eastAsia="Times New Roman" w:hAnsi="Verdana" w:cs="Arial"/>
          <w:sz w:val="20"/>
          <w:szCs w:val="20"/>
          <w:vertAlign w:val="superscript"/>
          <w:lang w:eastAsia="es-CO"/>
        </w:rPr>
        <w:footnoteReference w:id="9"/>
      </w:r>
      <w:r w:rsidRPr="009B20C5">
        <w:rPr>
          <w:rFonts w:ascii="Verdana" w:hAnsi="Verdana" w:cs="Arial"/>
          <w:sz w:val="20"/>
          <w:szCs w:val="20"/>
        </w:rPr>
        <w:t>.</w:t>
      </w:r>
    </w:p>
    <w:p w14:paraId="222547D4" w14:textId="77777777" w:rsidR="00D72CE8" w:rsidRPr="009B20C5" w:rsidRDefault="00D72CE8" w:rsidP="00D72CE8">
      <w:pPr>
        <w:spacing w:after="0" w:line="240" w:lineRule="auto"/>
        <w:ind w:left="709" w:right="709"/>
        <w:jc w:val="both"/>
        <w:rPr>
          <w:rFonts w:ascii="Verdana" w:hAnsi="Verdana" w:cs="Arial"/>
          <w:sz w:val="20"/>
          <w:szCs w:val="20"/>
        </w:rPr>
      </w:pPr>
    </w:p>
    <w:p w14:paraId="0B41654A" w14:textId="77777777" w:rsidR="00D72CE8" w:rsidRPr="009B20C5" w:rsidRDefault="00D72CE8" w:rsidP="00D72CE8">
      <w:pPr>
        <w:spacing w:after="0" w:line="240" w:lineRule="auto"/>
        <w:ind w:left="709" w:right="709"/>
        <w:jc w:val="both"/>
        <w:rPr>
          <w:rFonts w:ascii="Verdana" w:hAnsi="Verdana" w:cs="Arial"/>
          <w:sz w:val="20"/>
          <w:szCs w:val="20"/>
        </w:rPr>
      </w:pPr>
      <w:r w:rsidRPr="009B20C5">
        <w:rPr>
          <w:rFonts w:ascii="Verdana" w:hAnsi="Verdana" w:cs="Arial"/>
          <w:sz w:val="20"/>
          <w:szCs w:val="20"/>
        </w:rPr>
        <w:t xml:space="preserve">Esta Sala ha entendido </w:t>
      </w:r>
      <w:proofErr w:type="gramStart"/>
      <w:r w:rsidRPr="009B20C5">
        <w:rPr>
          <w:rFonts w:ascii="Verdana" w:hAnsi="Verdana" w:cs="Arial"/>
          <w:sz w:val="20"/>
          <w:szCs w:val="20"/>
        </w:rPr>
        <w:t>que</w:t>
      </w:r>
      <w:proofErr w:type="gramEnd"/>
      <w:r w:rsidRPr="009B20C5">
        <w:rPr>
          <w:rFonts w:ascii="Verdana" w:hAnsi="Verdana" w:cs="Arial"/>
          <w:sz w:val="20"/>
          <w:szCs w:val="20"/>
        </w:rPr>
        <w:t xml:space="preserve"> para los efectos de la ley de garantías, y dada su finalidad, el enunciado ´contratación directa´ es sinónimo </w:t>
      </w:r>
      <w:bookmarkStart w:id="11" w:name="_Hlk75741738"/>
      <w:r w:rsidRPr="009B20C5">
        <w:rPr>
          <w:rFonts w:ascii="Verdana" w:hAnsi="Verdana" w:cs="Arial"/>
          <w:sz w:val="20"/>
          <w:szCs w:val="20"/>
        </w:rPr>
        <w:t xml:space="preserve">de cualquier sistema que no implique convocatoria pública y posibilidad de pluralidad de oferentes, </w:t>
      </w:r>
      <w:bookmarkEnd w:id="11"/>
      <w:r w:rsidRPr="009B20C5">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9B20C5">
        <w:rPr>
          <w:rFonts w:ascii="Verdana" w:eastAsia="Times New Roman" w:hAnsi="Verdana" w:cs="Arial"/>
          <w:sz w:val="20"/>
          <w:szCs w:val="20"/>
          <w:vertAlign w:val="superscript"/>
        </w:rPr>
        <w:footnoteReference w:id="10"/>
      </w:r>
      <w:r w:rsidRPr="009B20C5">
        <w:rPr>
          <w:rFonts w:ascii="Verdana" w:eastAsia="Times New Roman" w:hAnsi="Verdana" w:cs="Arial"/>
          <w:sz w:val="20"/>
          <w:szCs w:val="20"/>
          <w:vertAlign w:val="superscript"/>
        </w:rPr>
        <w:t>.</w:t>
      </w:r>
      <w:r w:rsidRPr="009B20C5">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9B20C5">
        <w:rPr>
          <w:rFonts w:ascii="Verdana" w:hAnsi="Verdana" w:cs="Arial"/>
          <w:sz w:val="20"/>
          <w:szCs w:val="20"/>
        </w:rPr>
        <w:t>]</w:t>
      </w:r>
      <w:r>
        <w:rPr>
          <w:rFonts w:ascii="Verdana" w:hAnsi="Verdana" w:cs="Arial"/>
          <w:sz w:val="20"/>
          <w:szCs w:val="20"/>
        </w:rPr>
        <w:t>”</w:t>
      </w:r>
      <w:r w:rsidRPr="009B20C5">
        <w:rPr>
          <w:rFonts w:ascii="Verdana" w:eastAsia="Times New Roman" w:hAnsi="Verdana" w:cs="Arial"/>
          <w:sz w:val="20"/>
          <w:szCs w:val="20"/>
          <w:vertAlign w:val="superscript"/>
          <w:lang w:eastAsia="es-CO"/>
        </w:rPr>
        <w:footnoteReference w:id="11"/>
      </w:r>
      <w:r w:rsidRPr="009B20C5">
        <w:rPr>
          <w:rFonts w:ascii="Verdana" w:hAnsi="Verdana" w:cs="Arial"/>
          <w:sz w:val="20"/>
          <w:szCs w:val="20"/>
        </w:rPr>
        <w:t xml:space="preserve"> .</w:t>
      </w:r>
    </w:p>
    <w:p w14:paraId="66D7701E" w14:textId="77777777" w:rsidR="00D72CE8" w:rsidRDefault="00D72CE8" w:rsidP="00D72CE8">
      <w:pPr>
        <w:spacing w:after="0" w:line="276" w:lineRule="auto"/>
        <w:ind w:firstLine="708"/>
        <w:jc w:val="both"/>
        <w:rPr>
          <w:rFonts w:ascii="Verdana" w:eastAsia="Times New Roman" w:hAnsi="Verdana" w:cs="Arial"/>
          <w:lang w:eastAsia="x-none"/>
        </w:rPr>
      </w:pPr>
      <w:bookmarkStart w:id="12" w:name="_Hlk94521748"/>
    </w:p>
    <w:p w14:paraId="71F51D7D" w14:textId="77777777" w:rsidR="00D72CE8" w:rsidRPr="00F10E52" w:rsidRDefault="00D72CE8" w:rsidP="00D72CE8">
      <w:pPr>
        <w:spacing w:after="120" w:line="276" w:lineRule="auto"/>
        <w:ind w:firstLine="708"/>
        <w:jc w:val="both"/>
        <w:rPr>
          <w:rFonts w:ascii="Verdana" w:eastAsia="Times New Roman" w:hAnsi="Verdana" w:cs="Arial"/>
          <w:bCs/>
          <w:lang w:eastAsia="x-none"/>
        </w:rPr>
      </w:pPr>
      <w:r w:rsidRPr="00F10E52">
        <w:rPr>
          <w:rFonts w:ascii="Verdana" w:eastAsia="Times New Roman" w:hAnsi="Verdana" w:cs="Arial"/>
          <w:lang w:eastAsia="x-none"/>
        </w:rPr>
        <w:t xml:space="preserve">De conformidad con el citado concepto, </w:t>
      </w:r>
      <w:bookmarkStart w:id="13" w:name="_Hlk78818702"/>
      <w:r w:rsidRPr="00F10E52">
        <w:rPr>
          <w:rFonts w:ascii="Verdana" w:eastAsia="Times New Roman" w:hAnsi="Verdana" w:cs="Arial"/>
          <w:lang w:eastAsia="x-none"/>
        </w:rPr>
        <w:t xml:space="preserve">la prohibición del artículo 33 de la Ley de Garantías Electorales se refiere a </w:t>
      </w:r>
      <w:bookmarkStart w:id="14" w:name="_Hlk74294635"/>
      <w:r>
        <w:rPr>
          <w:rFonts w:ascii="Verdana" w:eastAsia="Times New Roman" w:hAnsi="Verdana" w:cs="Arial"/>
          <w:lang w:eastAsia="en-GB"/>
        </w:rPr>
        <w:t>“</w:t>
      </w:r>
      <w:bookmarkEnd w:id="14"/>
      <w:r w:rsidRPr="00F10E52">
        <w:rPr>
          <w:rFonts w:ascii="Verdana" w:eastAsia="Times New Roman" w:hAnsi="Verdana" w:cs="Arial"/>
          <w:lang w:eastAsia="x-none"/>
        </w:rPr>
        <w:t>cualquier sistema que no implique convocatoria pública y posibilidad de pluralidad de oferentes</w:t>
      </w:r>
      <w:bookmarkStart w:id="15" w:name="_Hlk74404754"/>
      <w:r>
        <w:rPr>
          <w:rFonts w:ascii="Verdana" w:eastAsia="Times New Roman" w:hAnsi="Verdana" w:cs="Arial"/>
          <w:lang w:eastAsia="en-GB"/>
        </w:rPr>
        <w:t>”</w:t>
      </w:r>
      <w:bookmarkEnd w:id="15"/>
      <w:r w:rsidRPr="00F10E52">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12"/>
      <w:bookmarkEnd w:id="13"/>
      <w:r w:rsidRPr="00F10E52">
        <w:rPr>
          <w:rFonts w:ascii="Verdana" w:eastAsia="Times New Roman" w:hAnsi="Verdana" w:cs="Arial"/>
          <w:lang w:eastAsia="x-none"/>
        </w:rPr>
        <w:t xml:space="preserve">Esta posición es congruente con la expedición de la Ley 1150 de 2007 que, entre otras reformas, introdujo la selección </w:t>
      </w:r>
      <w:r w:rsidRPr="00F10E52">
        <w:rPr>
          <w:rFonts w:ascii="Verdana" w:eastAsia="Times New Roman" w:hAnsi="Verdana" w:cs="Arial"/>
          <w:lang w:eastAsia="x-none"/>
        </w:rPr>
        <w:lastRenderedPageBreak/>
        <w:t>abreviada, rediseñó el concurso de méritos</w:t>
      </w:r>
      <w:r w:rsidRPr="00F10E52">
        <w:rPr>
          <w:rFonts w:ascii="Verdana" w:eastAsia="Times New Roman" w:hAnsi="Verdana" w:cs="Arial"/>
          <w:vertAlign w:val="superscript"/>
          <w:lang w:val="en-GB" w:eastAsia="x-none"/>
        </w:rPr>
        <w:footnoteReference w:id="12"/>
      </w:r>
      <w:r w:rsidRPr="00F10E52">
        <w:rPr>
          <w:rFonts w:ascii="Verdana" w:eastAsia="Times New Roman" w:hAnsi="Verdana" w:cs="Arial"/>
          <w:lang w:eastAsia="x-none"/>
        </w:rPr>
        <w:t xml:space="preserve"> y sistematizó las causales de contratación directa</w:t>
      </w:r>
      <w:r w:rsidRPr="00F10E52">
        <w:rPr>
          <w:rFonts w:ascii="Verdana" w:eastAsia="Times New Roman" w:hAnsi="Verdana" w:cs="Arial"/>
          <w:vertAlign w:val="superscript"/>
          <w:lang w:val="en-GB" w:eastAsia="x-none"/>
        </w:rPr>
        <w:footnoteReference w:id="13"/>
      </w:r>
      <w:r w:rsidRPr="00F10E52">
        <w:rPr>
          <w:rFonts w:ascii="Verdana" w:eastAsia="Times New Roman" w:hAnsi="Verdana" w:cs="Arial"/>
          <w:lang w:eastAsia="x-none"/>
        </w:rPr>
        <w:t xml:space="preserve">. </w:t>
      </w:r>
    </w:p>
    <w:p w14:paraId="63794882" w14:textId="77777777" w:rsidR="00D72CE8" w:rsidRPr="00F10E52" w:rsidRDefault="00D72CE8" w:rsidP="00D72CE8">
      <w:pPr>
        <w:spacing w:after="120" w:line="276" w:lineRule="auto"/>
        <w:ind w:firstLine="708"/>
        <w:jc w:val="both"/>
        <w:rPr>
          <w:rFonts w:ascii="Verdana" w:eastAsia="Times New Roman" w:hAnsi="Verdana" w:cs="Arial"/>
          <w:lang w:eastAsia="x-none"/>
        </w:rPr>
      </w:pPr>
      <w:r w:rsidRPr="00F10E52">
        <w:rPr>
          <w:rFonts w:ascii="Verdana" w:eastAsia="Times New Roman" w:hAnsi="Verdana" w:cs="Arial"/>
          <w:lang w:eastAsia="x-none"/>
        </w:rPr>
        <w:t xml:space="preserve">De esta forma, se ha depurado la noción de </w:t>
      </w:r>
      <w:r>
        <w:rPr>
          <w:rFonts w:ascii="Verdana" w:eastAsia="Times New Roman" w:hAnsi="Verdana" w:cs="Arial"/>
          <w:lang w:eastAsia="en-GB"/>
        </w:rPr>
        <w:t>“</w:t>
      </w:r>
      <w:r w:rsidRPr="00F10E52">
        <w:rPr>
          <w:rFonts w:ascii="Verdana" w:eastAsia="Times New Roman" w:hAnsi="Verdana" w:cs="Arial"/>
          <w:lang w:eastAsia="x-none"/>
        </w:rPr>
        <w:t>contratación directa</w:t>
      </w:r>
      <w:r>
        <w:rPr>
          <w:rFonts w:ascii="Verdana" w:eastAsia="Times New Roman" w:hAnsi="Verdana" w:cs="Arial"/>
          <w:lang w:eastAsia="en-GB"/>
        </w:rPr>
        <w:t>”</w:t>
      </w:r>
      <w:r w:rsidRPr="00F10E52">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F10E52">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10E52">
        <w:rPr>
          <w:rFonts w:ascii="Verdana" w:eastAsia="Times New Roman" w:hAnsi="Verdana" w:cs="Arial"/>
          <w:vertAlign w:val="superscript"/>
          <w:lang w:val="en-GB" w:eastAsia="x-none"/>
        </w:rPr>
        <w:footnoteReference w:id="14"/>
      </w:r>
      <w:r w:rsidRPr="00F10E52">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F10E52">
        <w:rPr>
          <w:rFonts w:ascii="Verdana" w:eastAsia="Times New Roman" w:hAnsi="Verdana" w:cs="Arial"/>
          <w:lang w:eastAsia="x-none"/>
        </w:rPr>
        <w:t xml:space="preserve">. </w:t>
      </w:r>
    </w:p>
    <w:p w14:paraId="3EDF860F" w14:textId="77777777" w:rsidR="00D72CE8" w:rsidRPr="00F10E52" w:rsidRDefault="00D72CE8" w:rsidP="00D72CE8">
      <w:pPr>
        <w:spacing w:after="120" w:line="276" w:lineRule="auto"/>
        <w:ind w:firstLine="708"/>
        <w:jc w:val="both"/>
        <w:rPr>
          <w:rFonts w:ascii="Verdana" w:eastAsia="Times New Roman" w:hAnsi="Verdana" w:cs="Arial"/>
          <w:bCs/>
          <w:lang w:eastAsia="es-CO"/>
        </w:rPr>
      </w:pPr>
      <w:r w:rsidRPr="00F10E52">
        <w:rPr>
          <w:rFonts w:ascii="Verdana" w:eastAsia="Times New Roman" w:hAnsi="Verdana" w:cs="Arial"/>
          <w:bCs/>
          <w:lang w:eastAsia="x-none"/>
        </w:rPr>
        <w:t>E</w:t>
      </w:r>
      <w:r w:rsidRPr="00F10E52">
        <w:rPr>
          <w:rFonts w:ascii="Verdana" w:eastAsia="Times New Roman" w:hAnsi="Verdana" w:cs="Arial"/>
          <w:lang w:eastAsia="x-none"/>
        </w:rPr>
        <w:t xml:space="preserve">n efecto, vale la pena mencionar que, </w:t>
      </w:r>
      <w:bookmarkStart w:id="16" w:name="_Hlk75636073"/>
      <w:r w:rsidRPr="00F10E52">
        <w:rPr>
          <w:rFonts w:ascii="Verdana" w:eastAsia="Times New Roman"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F10E52">
        <w:rPr>
          <w:rFonts w:ascii="Verdana" w:eastAsia="Times New Roman" w:hAnsi="Verdana" w:cs="Arial"/>
          <w:lang w:eastAsia="x-none"/>
        </w:rPr>
        <w:t>contratación directa</w:t>
      </w:r>
      <w:r>
        <w:rPr>
          <w:rFonts w:ascii="Verdana" w:eastAsia="Times New Roman" w:hAnsi="Verdana" w:cs="Arial"/>
          <w:lang w:eastAsia="x-none"/>
        </w:rPr>
        <w:t>”</w:t>
      </w:r>
      <w:r w:rsidRPr="00F10E52">
        <w:rPr>
          <w:rFonts w:ascii="Verdana" w:eastAsia="Times New Roman" w:hAnsi="Verdana" w:cs="Arial"/>
          <w:lang w:eastAsia="x-none"/>
        </w:rPr>
        <w:t>, es que la convocatoria para inscribirse en forma previa se haga de manera pública, y que se permita la participación de una pluralidad de oferentes</w:t>
      </w:r>
      <w:bookmarkEnd w:id="16"/>
      <w:r w:rsidRPr="00F10E52">
        <w:rPr>
          <w:rFonts w:ascii="Verdana" w:eastAsia="Times New Roman" w:hAnsi="Verdana" w:cs="Arial"/>
          <w:vertAlign w:val="superscript"/>
          <w:lang w:eastAsia="x-none"/>
        </w:rPr>
        <w:footnoteReference w:id="15"/>
      </w:r>
      <w:r w:rsidRPr="00F10E52">
        <w:rPr>
          <w:rFonts w:ascii="Verdana" w:eastAsia="Times New Roman" w:hAnsi="Verdana" w:cs="Arial"/>
          <w:lang w:eastAsia="x-none"/>
        </w:rPr>
        <w:t xml:space="preserve">. </w:t>
      </w:r>
    </w:p>
    <w:p w14:paraId="2026B755" w14:textId="77777777" w:rsidR="00D72CE8" w:rsidRPr="00F10E52" w:rsidRDefault="00D72CE8" w:rsidP="00D72CE8">
      <w:pPr>
        <w:spacing w:after="120" w:line="276" w:lineRule="auto"/>
        <w:ind w:firstLine="708"/>
        <w:jc w:val="both"/>
        <w:rPr>
          <w:rFonts w:ascii="Verdana" w:eastAsia="Times New Roman" w:hAnsi="Verdana" w:cs="Arial"/>
          <w:bCs/>
          <w:lang w:eastAsia="es-CO"/>
        </w:rPr>
      </w:pPr>
      <w:r w:rsidRPr="00F10E52">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w:t>
      </w:r>
      <w:r>
        <w:rPr>
          <w:rFonts w:ascii="Verdana" w:eastAsia="Times New Roman" w:hAnsi="Verdana" w:cs="Arial"/>
          <w:bCs/>
          <w:lang w:eastAsia="es-CO"/>
        </w:rPr>
        <w:t xml:space="preserve"> Electorales</w:t>
      </w:r>
      <w:r w:rsidRPr="00F10E52">
        <w:rPr>
          <w:rFonts w:ascii="Verdana" w:eastAsia="Times New Roman" w:hAnsi="Verdana" w:cs="Arial"/>
          <w:bCs/>
          <w:lang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w:t>
      </w:r>
      <w:r w:rsidRPr="00F10E52">
        <w:rPr>
          <w:rFonts w:ascii="Verdana" w:eastAsia="Times New Roman" w:hAnsi="Verdana" w:cs="Arial"/>
          <w:bCs/>
          <w:lang w:eastAsia="es-CO"/>
        </w:rPr>
        <w:lastRenderedPageBreak/>
        <w:t xml:space="preserve">de la expedición de Ley 1150 de 2007, el Consejo de Estado comenzó a delimitar con mayor precisión el término de </w:t>
      </w:r>
      <w:r>
        <w:rPr>
          <w:rFonts w:ascii="Verdana" w:eastAsia="Times New Roman" w:hAnsi="Verdana" w:cs="Arial"/>
          <w:bCs/>
          <w:lang w:eastAsia="es-CO"/>
        </w:rPr>
        <w:t>“</w:t>
      </w:r>
      <w:r w:rsidRPr="00F10E52">
        <w:rPr>
          <w:rFonts w:ascii="Verdana" w:eastAsia="Times New Roman" w:hAnsi="Verdana" w:cs="Arial"/>
          <w:bCs/>
          <w:lang w:eastAsia="es-CO"/>
        </w:rPr>
        <w:t>contratación directa</w:t>
      </w:r>
      <w:r>
        <w:rPr>
          <w:rFonts w:ascii="Verdana" w:eastAsia="Times New Roman" w:hAnsi="Verdana" w:cs="Arial"/>
          <w:bCs/>
          <w:lang w:eastAsia="es-CO"/>
        </w:rPr>
        <w:t>”</w:t>
      </w:r>
      <w:r w:rsidRPr="00F10E52">
        <w:rPr>
          <w:rFonts w:ascii="Verdana" w:eastAsia="Times New Roman" w:hAnsi="Verdana" w:cs="Arial"/>
          <w:bCs/>
          <w:lang w:eastAsia="es-CO"/>
        </w:rPr>
        <w:t>.</w:t>
      </w:r>
    </w:p>
    <w:p w14:paraId="0853EF1B" w14:textId="77777777" w:rsidR="00D72CE8" w:rsidRPr="00F10E52" w:rsidRDefault="00D72CE8" w:rsidP="00D72CE8">
      <w:pPr>
        <w:spacing w:after="120" w:line="276" w:lineRule="auto"/>
        <w:ind w:firstLine="708"/>
        <w:jc w:val="both"/>
        <w:rPr>
          <w:rFonts w:ascii="Verdana" w:eastAsia="Times New Roman" w:hAnsi="Verdana" w:cs="Arial"/>
          <w:bCs/>
          <w:lang w:eastAsia="x-none"/>
        </w:rPr>
      </w:pPr>
      <w:bookmarkStart w:id="17" w:name="_Hlk78818796"/>
      <w:r w:rsidRPr="00F10E52">
        <w:rPr>
          <w:rFonts w:ascii="Verdana" w:eastAsia="Times New Roman" w:hAnsi="Verdana" w:cs="Arial"/>
          <w:bCs/>
          <w:lang w:eastAsia="x-none"/>
        </w:rPr>
        <w:t xml:space="preserve">Así las cosas, ha de entenderse que, para los efectos de la Ley de Garantías Electorales y, en particular, para la prohibición o restricción temporal contenida en su artículo 33, </w:t>
      </w:r>
      <w:r>
        <w:rPr>
          <w:rFonts w:ascii="Verdana" w:eastAsia="Times New Roman" w:hAnsi="Verdana" w:cs="Arial"/>
          <w:bCs/>
          <w:lang w:eastAsia="x-none"/>
        </w:rPr>
        <w:t>“</w:t>
      </w:r>
      <w:r w:rsidRPr="00F10E52">
        <w:rPr>
          <w:rFonts w:ascii="Verdana" w:eastAsia="Times New Roman" w:hAnsi="Verdana" w:cs="Arial"/>
          <w:bCs/>
          <w:lang w:eastAsia="x-none"/>
        </w:rPr>
        <w:t>contratación directa</w:t>
      </w:r>
      <w:r>
        <w:rPr>
          <w:rFonts w:ascii="Verdana" w:eastAsia="Times New Roman" w:hAnsi="Verdana" w:cs="Arial"/>
          <w:bCs/>
          <w:lang w:eastAsia="x-none"/>
        </w:rPr>
        <w:t>”</w:t>
      </w:r>
      <w:r w:rsidRPr="00F10E52">
        <w:rPr>
          <w:rFonts w:ascii="Verdana" w:eastAsia="Times New Roman" w:hAnsi="Verdana" w:cs="Arial"/>
          <w:bCs/>
          <w:lang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10E52">
        <w:rPr>
          <w:rFonts w:ascii="Verdana" w:eastAsia="Times New Roman" w:hAnsi="Verdana" w:cs="Arial"/>
          <w:vertAlign w:val="superscript"/>
          <w:lang w:eastAsia="x-none"/>
        </w:rPr>
        <w:footnoteReference w:id="16"/>
      </w:r>
      <w:r w:rsidRPr="00F10E52">
        <w:rPr>
          <w:rFonts w:ascii="Verdana" w:eastAsia="Times New Roman" w:hAnsi="Verdana" w:cs="Arial"/>
          <w:bCs/>
          <w:lang w:eastAsia="x-none"/>
        </w:rPr>
        <w:t>.</w:t>
      </w:r>
      <w:r w:rsidRPr="00F10E52">
        <w:rPr>
          <w:rFonts w:ascii="Verdana" w:eastAsia="Times New Roman" w:hAnsi="Verdana" w:cs="Arial"/>
          <w:vertAlign w:val="superscript"/>
          <w:lang w:eastAsia="x-none"/>
        </w:rPr>
        <w:t xml:space="preserve"> </w:t>
      </w:r>
    </w:p>
    <w:bookmarkEnd w:id="17"/>
    <w:p w14:paraId="17088D44" w14:textId="77777777" w:rsidR="00D72CE8" w:rsidRPr="00F10E52" w:rsidRDefault="00D72CE8" w:rsidP="00D72CE8">
      <w:pPr>
        <w:spacing w:after="120" w:line="276" w:lineRule="auto"/>
        <w:ind w:firstLine="708"/>
        <w:jc w:val="both"/>
        <w:rPr>
          <w:rFonts w:ascii="Verdana" w:eastAsia="Times New Roman" w:hAnsi="Verdana" w:cs="Arial"/>
          <w:lang w:eastAsia="x-none"/>
        </w:rPr>
      </w:pPr>
      <w:r w:rsidRPr="00F10E52">
        <w:rPr>
          <w:rFonts w:ascii="Verdana" w:eastAsia="Times New Roman"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F10E52">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3E2034DB" w14:textId="77777777" w:rsidR="00D72CE8" w:rsidRPr="00F10E52" w:rsidRDefault="00D72CE8" w:rsidP="00D72CE8">
      <w:pPr>
        <w:spacing w:after="120" w:line="276" w:lineRule="auto"/>
        <w:ind w:firstLine="708"/>
        <w:jc w:val="both"/>
        <w:rPr>
          <w:rFonts w:ascii="Verdana" w:eastAsia="Times New Roman" w:hAnsi="Verdana" w:cs="Arial"/>
          <w:bCs/>
          <w:lang w:eastAsia="x-none"/>
        </w:rPr>
      </w:pPr>
      <w:bookmarkStart w:id="18" w:name="_Hlk77237094"/>
      <w:r w:rsidRPr="00F10E52">
        <w:rPr>
          <w:rFonts w:ascii="Verdana" w:eastAsia="Times New Roman" w:hAnsi="Verdana" w:cs="Arial"/>
          <w:bCs/>
          <w:lang w:eastAsia="es-CO"/>
        </w:rPr>
        <w:t xml:space="preserve">Como en otras oportunidades lo ha manifestado esta Agencia, las prórrogas, modificaciones o adiciones de los contratos suscritos antes de la </w:t>
      </w:r>
      <w:proofErr w:type="gramStart"/>
      <w:r w:rsidRPr="00F10E52">
        <w:rPr>
          <w:rFonts w:ascii="Verdana" w:eastAsia="Times New Roman" w:hAnsi="Verdana" w:cs="Arial"/>
          <w:bCs/>
          <w:lang w:eastAsia="es-CO"/>
        </w:rPr>
        <w:t>entrada en vigencia</w:t>
      </w:r>
      <w:proofErr w:type="gramEnd"/>
      <w:r w:rsidRPr="00F10E52">
        <w:rPr>
          <w:rFonts w:ascii="Verdana" w:eastAsia="Times New Roman" w:hAnsi="Verdana" w:cs="Arial"/>
          <w:bCs/>
          <w:lang w:eastAsia="es-CO"/>
        </w:rPr>
        <w:t xml:space="preserve"> de las prohibiciones anotadas, así como la cesión de </w:t>
      </w:r>
      <w:proofErr w:type="gramStart"/>
      <w:r w:rsidRPr="00F10E52">
        <w:rPr>
          <w:rFonts w:ascii="Verdana" w:eastAsia="Times New Roman" w:hAnsi="Verdana" w:cs="Arial"/>
          <w:bCs/>
          <w:lang w:eastAsia="es-CO"/>
        </w:rPr>
        <w:t>los mismos</w:t>
      </w:r>
      <w:proofErr w:type="gramEnd"/>
      <w:r w:rsidRPr="00F10E52">
        <w:rPr>
          <w:rFonts w:ascii="Verdana" w:eastAsia="Times New Roman" w:hAnsi="Verdana" w:cs="Arial"/>
          <w:bCs/>
          <w:lang w:eastAsia="es-CO"/>
        </w:rPr>
        <w:t>, pueden tener lugar en el período de aplicación de la Ley de Garantías</w:t>
      </w:r>
      <w:r>
        <w:rPr>
          <w:rFonts w:ascii="Verdana" w:eastAsia="Times New Roman" w:hAnsi="Verdana" w:cs="Arial"/>
          <w:bCs/>
          <w:lang w:eastAsia="es-CO"/>
        </w:rPr>
        <w:t xml:space="preserve"> Electorales</w:t>
      </w:r>
      <w:r w:rsidRPr="00F10E52">
        <w:rPr>
          <w:rFonts w:ascii="Verdana" w:eastAsia="Times New Roman" w:hAnsi="Verdana" w:cs="Arial"/>
          <w:bCs/>
          <w:lang w:eastAsia="es-CO"/>
        </w:rPr>
        <w:t>, sin que ello haga nugatoria la restricción de la contratación directa y siempre que cumplan los principios de planeación, transparencia y responsabilidad.</w:t>
      </w:r>
      <w:bookmarkEnd w:id="18"/>
    </w:p>
    <w:p w14:paraId="74989683" w14:textId="77777777" w:rsidR="00D72CE8" w:rsidRPr="00F10E52" w:rsidRDefault="00D72CE8" w:rsidP="00D72CE8">
      <w:pPr>
        <w:spacing w:after="120" w:line="276" w:lineRule="auto"/>
        <w:ind w:firstLine="708"/>
        <w:jc w:val="both"/>
        <w:rPr>
          <w:rFonts w:ascii="Verdana" w:eastAsia="Times New Roman" w:hAnsi="Verdana" w:cs="Arial"/>
          <w:bCs/>
          <w:lang w:eastAsia="es-CO"/>
        </w:rPr>
      </w:pPr>
      <w:r w:rsidRPr="00F10E52">
        <w:rPr>
          <w:rFonts w:ascii="Verdana" w:eastAsia="Times New Roman" w:hAnsi="Verdana" w:cs="Arial"/>
          <w:bCs/>
          <w:lang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10E52">
        <w:rPr>
          <w:rFonts w:ascii="Verdana" w:eastAsia="Times New Roman" w:hAnsi="Verdana" w:cs="Arial"/>
          <w:bCs/>
          <w:lang w:eastAsia="x-none"/>
        </w:rPr>
        <w:t>ii</w:t>
      </w:r>
      <w:proofErr w:type="spellEnd"/>
      <w:r w:rsidRPr="00F10E52">
        <w:rPr>
          <w:rFonts w:ascii="Verdana" w:eastAsia="Times New Roman" w:hAnsi="Verdana" w:cs="Arial"/>
          <w:bCs/>
          <w:lang w:eastAsia="x-none"/>
        </w:rPr>
        <w:t xml:space="preserve">) los contratos de crédito público; </w:t>
      </w:r>
      <w:proofErr w:type="spellStart"/>
      <w:r w:rsidRPr="00F10E52">
        <w:rPr>
          <w:rFonts w:ascii="Verdana" w:eastAsia="Times New Roman" w:hAnsi="Verdana" w:cs="Arial"/>
          <w:bCs/>
          <w:lang w:eastAsia="x-none"/>
        </w:rPr>
        <w:t>iii</w:t>
      </w:r>
      <w:proofErr w:type="spellEnd"/>
      <w:r w:rsidRPr="00F10E52">
        <w:rPr>
          <w:rFonts w:ascii="Verdana" w:eastAsia="Times New Roman" w:hAnsi="Verdana" w:cs="Arial"/>
          <w:bCs/>
          <w:lang w:eastAsia="x-none"/>
        </w:rPr>
        <w:t xml:space="preserve">) los requeridos para cubrir las </w:t>
      </w:r>
      <w:r w:rsidRPr="003D0447">
        <w:rPr>
          <w:rFonts w:ascii="Verdana" w:eastAsia="Times New Roman" w:hAnsi="Verdana" w:cs="Arial"/>
          <w:i/>
          <w:lang w:eastAsia="x-none"/>
        </w:rPr>
        <w:t>emergencias educativas</w:t>
      </w:r>
      <w:r w:rsidRPr="00F10E52">
        <w:rPr>
          <w:rFonts w:ascii="Verdana" w:eastAsia="Times New Roman" w:hAnsi="Verdana" w:cs="Arial"/>
          <w:bCs/>
          <w:lang w:eastAsia="x-none"/>
        </w:rPr>
        <w:t xml:space="preserve">, sanitarias y desastres; </w:t>
      </w:r>
      <w:proofErr w:type="spellStart"/>
      <w:r w:rsidRPr="00F10E52">
        <w:rPr>
          <w:rFonts w:ascii="Verdana" w:eastAsia="Times New Roman" w:hAnsi="Verdana" w:cs="Arial"/>
          <w:bCs/>
          <w:lang w:eastAsia="x-none"/>
        </w:rPr>
        <w:t>iv</w:t>
      </w:r>
      <w:proofErr w:type="spellEnd"/>
      <w:r w:rsidRPr="00F10E52">
        <w:rPr>
          <w:rFonts w:ascii="Verdana" w:eastAsia="Times New Roman" w:hAnsi="Verdana" w:cs="Arial"/>
          <w:bCs/>
          <w:lang w:eastAsia="x-none"/>
        </w:rPr>
        <w:t xml:space="preserve">) los utilizados para la reconstrucción de vías, puentes, carreteras, infraestructura energética y de comunicaciones, en caso de que hayan sido objeto de atentados, acciones terroristas, desastres naturales o casos de fuerza mayor; y, v) los que deban </w:t>
      </w:r>
      <w:r w:rsidRPr="00F10E52">
        <w:rPr>
          <w:rFonts w:ascii="Verdana" w:eastAsia="Times New Roman" w:hAnsi="Verdana" w:cs="Arial"/>
          <w:bCs/>
          <w:lang w:eastAsia="x-none"/>
        </w:rPr>
        <w:lastRenderedPageBreak/>
        <w:t>realizar las entidades sanitarias y hospitalarias.</w:t>
      </w:r>
      <w:r w:rsidRPr="00F10E52">
        <w:rPr>
          <w:rFonts w:ascii="Verdana" w:eastAsia="Times New Roman" w:hAnsi="Verdana" w:cs="Arial"/>
          <w:bCs/>
          <w:lang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CD32171" w14:textId="77777777" w:rsidR="00D72CE8" w:rsidRPr="00F10E52" w:rsidRDefault="00D72CE8" w:rsidP="00D72CE8">
      <w:pPr>
        <w:spacing w:after="120" w:line="276" w:lineRule="auto"/>
        <w:ind w:firstLine="708"/>
        <w:jc w:val="both"/>
        <w:rPr>
          <w:rFonts w:ascii="Verdana" w:eastAsia="Times New Roman" w:hAnsi="Verdana" w:cs="Arial"/>
          <w:bCs/>
          <w:lang w:eastAsia="x-none"/>
        </w:rPr>
      </w:pPr>
      <w:r w:rsidRPr="00F10E52">
        <w:rPr>
          <w:rFonts w:ascii="Verdana" w:eastAsia="Times New Roman" w:hAnsi="Verdana" w:cs="Arial"/>
          <w:bCs/>
          <w:lang w:eastAsia="x-none"/>
        </w:rPr>
        <w:t>En esta labor es importante tener en cuenta, como lo anotó la Corte Constitucional, en Sentencia C-1153 de noviembre 11 de 2005</w:t>
      </w:r>
      <w:r w:rsidRPr="00F10E52">
        <w:rPr>
          <w:rStyle w:val="Refdenotaalpie"/>
          <w:rFonts w:ascii="Verdana" w:hAnsi="Verdana"/>
        </w:rPr>
        <w:t>,</w:t>
      </w:r>
      <w:r w:rsidRPr="00F10E52">
        <w:rPr>
          <w:rFonts w:ascii="Verdana" w:eastAsia="Times New Roman" w:hAnsi="Verdana" w:cs="Arial"/>
          <w:bCs/>
          <w:lang w:eastAsia="x-none"/>
        </w:rPr>
        <w:t xml:space="preserve"> </w:t>
      </w:r>
      <w:bookmarkStart w:id="19" w:name="_Hlk74309042"/>
      <w:r w:rsidRPr="00F10E52">
        <w:rPr>
          <w:rFonts w:ascii="Verdana" w:eastAsia="Times New Roman" w:hAnsi="Verdana" w:cs="Arial"/>
          <w:bCs/>
          <w:lang w:eastAsia="x-none"/>
        </w:rPr>
        <w:t xml:space="preserve">que </w:t>
      </w:r>
      <w:bookmarkEnd w:id="19"/>
      <w:r>
        <w:rPr>
          <w:rFonts w:ascii="Verdana" w:eastAsia="Times New Roman" w:hAnsi="Verdana" w:cs="Arial"/>
          <w:bCs/>
          <w:lang w:eastAsia="x-none"/>
        </w:rPr>
        <w:t>“</w:t>
      </w:r>
      <w:r w:rsidRPr="00F10E52">
        <w:rPr>
          <w:rFonts w:ascii="Verdana" w:eastAsia="Times New Roman" w:hAnsi="Verdana" w:cs="Arial"/>
          <w:bCs/>
          <w:lang w:eastAsia="x-none"/>
        </w:rPr>
        <w:t xml:space="preserve">si bien la limitación garantiza la igualdad de condiciones, también es necesario que tal limitación que pretende la igualdad </w:t>
      </w:r>
      <w:bookmarkStart w:id="20" w:name="_Hlk75768308"/>
      <w:r w:rsidRPr="00F10E52">
        <w:rPr>
          <w:rFonts w:ascii="Verdana" w:eastAsia="Times New Roman" w:hAnsi="Verdana" w:cs="Arial"/>
          <w:bCs/>
          <w:lang w:eastAsia="x-none"/>
        </w:rPr>
        <w:t>no termine yendo en detrimento de intereses públicos, cuya garantía está en cabeza del ejecutivo, como son los inmersos en las excepciones para la prohibición de contratación</w:t>
      </w:r>
      <w:r>
        <w:rPr>
          <w:rFonts w:ascii="Verdana" w:eastAsia="Times New Roman" w:hAnsi="Verdana" w:cs="Arial"/>
          <w:bCs/>
          <w:lang w:eastAsia="x-none"/>
        </w:rPr>
        <w:t>”</w:t>
      </w:r>
      <w:r w:rsidRPr="00F10E52">
        <w:rPr>
          <w:rStyle w:val="Refdenotaalpie"/>
          <w:rFonts w:ascii="Verdana" w:hAnsi="Verdana" w:cs="Arial"/>
        </w:rPr>
        <w:footnoteReference w:id="17"/>
      </w:r>
      <w:r w:rsidRPr="00F10E52">
        <w:rPr>
          <w:rFonts w:ascii="Verdana" w:eastAsia="Times New Roman" w:hAnsi="Verdana" w:cs="Arial"/>
          <w:bCs/>
          <w:lang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Start w:id="21" w:name="_Hlk75783800"/>
      <w:bookmarkEnd w:id="20"/>
    </w:p>
    <w:p w14:paraId="6AB6BDA5" w14:textId="77777777" w:rsidR="00D72CE8" w:rsidRPr="00F10E52" w:rsidRDefault="00D72CE8" w:rsidP="00D72CE8">
      <w:pPr>
        <w:spacing w:before="120" w:after="0" w:line="276" w:lineRule="auto"/>
        <w:ind w:firstLine="708"/>
        <w:jc w:val="both"/>
        <w:rPr>
          <w:rFonts w:ascii="Verdana" w:eastAsia="Times New Roman" w:hAnsi="Verdana" w:cs="Arial"/>
          <w:bCs/>
          <w:lang w:eastAsia="x-none"/>
        </w:rPr>
      </w:pPr>
      <w:bookmarkStart w:id="22" w:name="_Hlk99438356"/>
      <w:r>
        <w:rPr>
          <w:rFonts w:ascii="Verdana" w:eastAsia="Times New Roman" w:hAnsi="Verdana" w:cs="Arial"/>
          <w:bCs/>
          <w:lang w:eastAsia="x-none"/>
        </w:rPr>
        <w:t>Ahora bien, e</w:t>
      </w:r>
      <w:r w:rsidRPr="00F10E52">
        <w:rPr>
          <w:rFonts w:ascii="Verdana" w:eastAsia="Times New Roman" w:hAnsi="Verdana" w:cs="Arial"/>
          <w:bCs/>
          <w:lang w:eastAsia="x-none"/>
        </w:rPr>
        <w:t xml:space="preserve">l artículo 33 de la Ley 996 de 2005 señala expresamente a los destinatarios de la prohibición, en el sentido de que son </w:t>
      </w:r>
      <w:r>
        <w:rPr>
          <w:rFonts w:ascii="Verdana" w:eastAsia="Times New Roman" w:hAnsi="Verdana" w:cs="Arial"/>
          <w:bCs/>
          <w:lang w:eastAsia="x-none"/>
        </w:rPr>
        <w:t>“</w:t>
      </w:r>
      <w:r w:rsidRPr="00F10E52">
        <w:rPr>
          <w:rFonts w:ascii="Verdana" w:eastAsia="Times New Roman" w:hAnsi="Verdana" w:cs="Arial"/>
          <w:bCs/>
          <w:lang w:eastAsia="x-none"/>
        </w:rPr>
        <w:t>todos los entes del Estado</w:t>
      </w:r>
      <w:r>
        <w:rPr>
          <w:rFonts w:ascii="Verdana" w:eastAsia="Times New Roman" w:hAnsi="Verdana" w:cs="Arial"/>
          <w:bCs/>
          <w:lang w:eastAsia="x-none"/>
        </w:rPr>
        <w:t>”</w:t>
      </w:r>
      <w:r w:rsidRPr="00F10E52">
        <w:rPr>
          <w:rFonts w:ascii="Verdana" w:eastAsia="Times New Roman" w:hAnsi="Verdana" w:cs="Arial"/>
          <w:bCs/>
          <w:lang w:eastAsia="x-none"/>
        </w:rPr>
        <w:t>, expresión que contempla a los diferentes organismos o entidades autorizadas por la ley para suscribir contratos.</w:t>
      </w:r>
      <w:r w:rsidRPr="00F10E52">
        <w:rPr>
          <w:rFonts w:ascii="Verdana" w:hAnsi="Verdana"/>
        </w:rPr>
        <w:t xml:space="preserve"> </w:t>
      </w:r>
      <w:r w:rsidRPr="00F10E52">
        <w:rPr>
          <w:rFonts w:ascii="Verdana" w:eastAsia="Times New Roman" w:hAnsi="Verdana" w:cs="Arial"/>
          <w:bCs/>
          <w:lang w:eastAsia="x-none"/>
        </w:rPr>
        <w:t xml:space="preserve">En efecto, tal como lo ha sostenido el Consejo de Estado, el vocablo </w:t>
      </w:r>
      <w:r>
        <w:rPr>
          <w:rFonts w:ascii="Verdana" w:eastAsia="Times New Roman" w:hAnsi="Verdana" w:cs="Arial"/>
          <w:bCs/>
          <w:lang w:eastAsia="x-none"/>
        </w:rPr>
        <w:t>“</w:t>
      </w:r>
      <w:r w:rsidRPr="00F10E52">
        <w:rPr>
          <w:rFonts w:ascii="Verdana" w:eastAsia="Times New Roman" w:hAnsi="Verdana" w:cs="Arial"/>
          <w:bCs/>
          <w:lang w:eastAsia="x-none"/>
        </w:rPr>
        <w:t>todos</w:t>
      </w:r>
      <w:r>
        <w:rPr>
          <w:rFonts w:ascii="Verdana" w:eastAsia="Times New Roman" w:hAnsi="Verdana" w:cs="Arial"/>
          <w:bCs/>
          <w:lang w:eastAsia="x-none"/>
        </w:rPr>
        <w:t>”</w:t>
      </w:r>
      <w:r w:rsidRPr="00F10E52">
        <w:rPr>
          <w:rFonts w:ascii="Verdana" w:eastAsia="Times New Roman" w:hAnsi="Verdana" w:cs="Arial"/>
          <w:bCs/>
          <w:lang w:eastAsia="x-none"/>
        </w:rPr>
        <w:t xml:space="preserve"> utilizado por el legislador comprende</w:t>
      </w:r>
      <w:r w:rsidRPr="00F10E52">
        <w:rPr>
          <w:rFonts w:ascii="Verdana" w:hAnsi="Verdana"/>
        </w:rPr>
        <w:t xml:space="preserve"> </w:t>
      </w:r>
      <w:r w:rsidRPr="00F10E52">
        <w:rPr>
          <w:rFonts w:ascii="Verdana" w:eastAsia="Times New Roman" w:hAnsi="Verdana" w:cs="Arial"/>
          <w:bCs/>
          <w:lang w:eastAsia="x-none"/>
        </w:rPr>
        <w:t>a la totalidad de los entes del Estado, sin distinción del régimen jurídico, forma de organización o naturaleza, su pertenencia a una u otra rama del poder público o su autonomía</w:t>
      </w:r>
      <w:bookmarkEnd w:id="21"/>
      <w:r w:rsidRPr="00F10E52">
        <w:rPr>
          <w:rFonts w:ascii="Verdana" w:eastAsia="Times New Roman" w:hAnsi="Verdana" w:cs="Arial"/>
          <w:bCs/>
          <w:lang w:eastAsia="x-none"/>
        </w:rPr>
        <w:t xml:space="preserve">, e incluso si las entidades estatales tienen régimen especial de contratación y están exceptuadas del ámbito de aplicación del Estatuto General de Contratación de la Administración Pública. </w:t>
      </w:r>
      <w:bookmarkEnd w:id="22"/>
      <w:r w:rsidRPr="00F10E52">
        <w:rPr>
          <w:rFonts w:ascii="Verdana" w:eastAsia="Times New Roman" w:hAnsi="Verdana" w:cs="Arial"/>
          <w:bCs/>
          <w:lang w:eastAsia="x-none"/>
        </w:rPr>
        <w:t xml:space="preserve">El Consejo de Estado, en Concepto con radicado 1727 de fecha 20 de febrero de 2006, consideró que: </w:t>
      </w:r>
    </w:p>
    <w:p w14:paraId="7F965BB9" w14:textId="77777777" w:rsidR="00D72CE8" w:rsidRPr="00F10E52" w:rsidRDefault="00D72CE8" w:rsidP="00D72CE8">
      <w:pPr>
        <w:spacing w:after="0" w:line="276" w:lineRule="auto"/>
        <w:ind w:firstLine="708"/>
        <w:jc w:val="both"/>
        <w:rPr>
          <w:rFonts w:ascii="Verdana" w:eastAsia="Times New Roman" w:hAnsi="Verdana" w:cs="Arial"/>
          <w:bCs/>
          <w:lang w:eastAsia="x-none"/>
        </w:rPr>
      </w:pPr>
    </w:p>
    <w:p w14:paraId="4649C0EB" w14:textId="77777777" w:rsidR="00D72CE8" w:rsidRPr="009B20C5" w:rsidRDefault="00D72CE8" w:rsidP="00D72CE8">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x-none"/>
        </w:rPr>
        <w:t xml:space="preserve">“El artículo 33 de la ley 996 de 2005, </w:t>
      </w:r>
      <w:bookmarkStart w:id="23" w:name="_Hlk75787147"/>
      <w:r w:rsidRPr="009B20C5">
        <w:rPr>
          <w:rFonts w:ascii="Verdana" w:eastAsia="Times New Roman" w:hAnsi="Verdana" w:cs="Arial"/>
          <w:bCs/>
          <w:sz w:val="20"/>
          <w:szCs w:val="20"/>
          <w:lang w:eastAsia="x-none"/>
        </w:rPr>
        <w:t xml:space="preserve">efectivamente se aplica </w:t>
      </w:r>
      <w:bookmarkStart w:id="24" w:name="_Hlk76074089"/>
      <w:r w:rsidRPr="009B20C5">
        <w:rPr>
          <w:rFonts w:ascii="Verdana" w:eastAsia="Times New Roman" w:hAnsi="Verdana" w:cs="Arial"/>
          <w:bCs/>
          <w:sz w:val="20"/>
          <w:szCs w:val="20"/>
          <w:lang w:eastAsia="x-none"/>
        </w:rPr>
        <w:t>incluso a las entidades estatales con régimen especial de contratación y que están exceptuadas del ámbito de aplicación del Estatuto General de Contratación de la Administración Pública</w:t>
      </w:r>
      <w:bookmarkEnd w:id="24"/>
      <w:r w:rsidRPr="009B20C5">
        <w:rPr>
          <w:rFonts w:ascii="Verdana" w:eastAsia="Times New Roman" w:hAnsi="Verdana" w:cs="Arial"/>
          <w:bCs/>
          <w:sz w:val="20"/>
          <w:szCs w:val="20"/>
          <w:lang w:eastAsia="x-none"/>
        </w:rPr>
        <w:t xml:space="preserve">, como por ejemplo los prestadores de servicios públicos domiciliarios (empresas de servicios públicos oficiales y </w:t>
      </w:r>
      <w:r w:rsidRPr="009B20C5">
        <w:rPr>
          <w:rFonts w:ascii="Verdana" w:eastAsia="Times New Roman" w:hAnsi="Verdana" w:cs="Arial"/>
          <w:bCs/>
          <w:sz w:val="20"/>
          <w:szCs w:val="20"/>
          <w:lang w:eastAsia="x-none"/>
        </w:rPr>
        <w:lastRenderedPageBreak/>
        <w:t>empresas industriales y comerciales del Estado) y a los municipios prestadores directos, incluyendo las excepciones contenidas en el segundo inciso de esta norma</w:t>
      </w:r>
      <w:r>
        <w:rPr>
          <w:rFonts w:ascii="Verdana" w:eastAsia="Times New Roman" w:hAnsi="Verdana" w:cs="Arial"/>
          <w:bCs/>
          <w:sz w:val="20"/>
          <w:szCs w:val="20"/>
          <w:lang w:eastAsia="x-none"/>
        </w:rPr>
        <w:t>”</w:t>
      </w:r>
      <w:r w:rsidRPr="009B20C5">
        <w:rPr>
          <w:rStyle w:val="Refdenotaalpie"/>
          <w:rFonts w:ascii="Verdana" w:eastAsia="Times New Roman" w:hAnsi="Verdana" w:cs="Arial"/>
          <w:bCs/>
          <w:sz w:val="20"/>
          <w:szCs w:val="20"/>
          <w:lang w:eastAsia="x-none"/>
        </w:rPr>
        <w:footnoteReference w:id="18"/>
      </w:r>
      <w:r w:rsidRPr="009B20C5">
        <w:rPr>
          <w:rFonts w:ascii="Verdana" w:eastAsia="Times New Roman" w:hAnsi="Verdana" w:cs="Arial"/>
          <w:bCs/>
          <w:sz w:val="20"/>
          <w:szCs w:val="20"/>
          <w:lang w:eastAsia="x-none"/>
        </w:rPr>
        <w:t>.</w:t>
      </w:r>
      <w:r w:rsidRPr="009B20C5">
        <w:rPr>
          <w:rFonts w:ascii="Verdana" w:eastAsia="Times New Roman" w:hAnsi="Verdana" w:cs="Arial"/>
          <w:bCs/>
          <w:sz w:val="20"/>
          <w:szCs w:val="20"/>
          <w:lang w:eastAsia="es-CO"/>
        </w:rPr>
        <w:t xml:space="preserve"> </w:t>
      </w:r>
    </w:p>
    <w:p w14:paraId="167AC2D4" w14:textId="77777777" w:rsidR="00D72CE8" w:rsidRDefault="00D72CE8" w:rsidP="00D72CE8">
      <w:pPr>
        <w:spacing w:after="0" w:line="276" w:lineRule="auto"/>
        <w:ind w:firstLine="709"/>
        <w:jc w:val="both"/>
        <w:rPr>
          <w:rFonts w:ascii="Verdana" w:eastAsia="Times New Roman" w:hAnsi="Verdana" w:cs="Arial"/>
          <w:bCs/>
          <w:lang w:eastAsia="x-none"/>
        </w:rPr>
      </w:pPr>
    </w:p>
    <w:p w14:paraId="7E90EF1E" w14:textId="77777777" w:rsidR="00D72CE8" w:rsidRDefault="00D72CE8" w:rsidP="00D72CE8">
      <w:pPr>
        <w:spacing w:after="120" w:line="276" w:lineRule="auto"/>
        <w:ind w:firstLine="708"/>
        <w:jc w:val="both"/>
        <w:rPr>
          <w:rFonts w:ascii="Verdana" w:eastAsia="Times New Roman" w:hAnsi="Verdana" w:cs="Arial"/>
          <w:bCs/>
          <w:lang w:eastAsia="x-none"/>
        </w:rPr>
      </w:pPr>
      <w:bookmarkStart w:id="25" w:name="_Hlk77237229"/>
      <w:bookmarkEnd w:id="23"/>
      <w:r w:rsidRPr="00345E20">
        <w:rPr>
          <w:rFonts w:ascii="Verdana" w:hAnsi="Verdana" w:cs="Arial"/>
        </w:rPr>
        <w:t xml:space="preserve">Por lo tanto, la restricción prevista en la Ley 996 de 2005, </w:t>
      </w:r>
      <w:r w:rsidRPr="00345E20">
        <w:rPr>
          <w:rFonts w:ascii="Verdana" w:eastAsia="Times New Roman" w:hAnsi="Verdana" w:cs="Arial"/>
          <w:bCs/>
          <w:lang w:eastAsia="x-none"/>
        </w:rPr>
        <w:t>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293083FA" w14:textId="77777777" w:rsidR="0030111F" w:rsidRDefault="00D72CE8" w:rsidP="00D72CE8">
      <w:pPr>
        <w:spacing w:after="120" w:line="276" w:lineRule="auto"/>
        <w:ind w:firstLine="708"/>
        <w:jc w:val="both"/>
        <w:rPr>
          <w:rFonts w:ascii="Verdana" w:hAnsi="Verdana" w:cs="Arial"/>
          <w:bCs/>
          <w:color w:val="000000" w:themeColor="text1"/>
          <w:lang w:eastAsia="es-ES_tradnl"/>
        </w:rPr>
      </w:pPr>
      <w:r w:rsidRPr="00345E20">
        <w:rPr>
          <w:rFonts w:ascii="Verdana" w:eastAsia="Times New Roman" w:hAnsi="Verdana" w:cs="Arial"/>
          <w:bCs/>
          <w:lang w:eastAsia="x-none"/>
        </w:rPr>
        <w:t>Ahora bien, con el fin de dar respuesta a su consulta, a continuación, se analizará la a</w:t>
      </w:r>
      <w:r w:rsidRPr="003D0447">
        <w:rPr>
          <w:rFonts w:ascii="Verdana" w:hAnsi="Verdana" w:cs="Arial"/>
          <w:bCs/>
          <w:color w:val="000000" w:themeColor="text1"/>
          <w:lang w:eastAsia="es-ES_tradnl"/>
        </w:rPr>
        <w:t xml:space="preserve">plicación de la Ley de Garantías Electorales a las </w:t>
      </w:r>
      <w:proofErr w:type="gramStart"/>
      <w:r w:rsidRPr="003D0447">
        <w:rPr>
          <w:rFonts w:ascii="Verdana" w:hAnsi="Verdana" w:cs="Arial"/>
          <w:bCs/>
          <w:color w:val="000000" w:themeColor="text1"/>
          <w:lang w:eastAsia="es-ES_tradnl"/>
        </w:rPr>
        <w:t>universidades públicas y establecimientos públicos</w:t>
      </w:r>
      <w:proofErr w:type="gramEnd"/>
      <w:r w:rsidRPr="003D0447">
        <w:rPr>
          <w:rFonts w:ascii="Verdana" w:hAnsi="Verdana" w:cs="Arial"/>
          <w:bCs/>
          <w:color w:val="000000" w:themeColor="text1"/>
          <w:lang w:eastAsia="es-ES_tradnl"/>
        </w:rPr>
        <w:t xml:space="preserve"> de educación superior públicos</w:t>
      </w:r>
      <w:r w:rsidR="0030111F">
        <w:rPr>
          <w:rFonts w:ascii="Verdana" w:hAnsi="Verdana" w:cs="Arial"/>
          <w:bCs/>
          <w:color w:val="000000" w:themeColor="text1"/>
          <w:lang w:eastAsia="es-ES_tradnl"/>
        </w:rPr>
        <w:t>.</w:t>
      </w:r>
    </w:p>
    <w:p w14:paraId="0ED90553" w14:textId="39A5D030" w:rsidR="00D72CE8" w:rsidRPr="003D0447" w:rsidRDefault="00D72CE8" w:rsidP="00D72CE8">
      <w:pPr>
        <w:spacing w:after="120" w:line="276" w:lineRule="auto"/>
        <w:ind w:firstLine="708"/>
        <w:jc w:val="both"/>
        <w:rPr>
          <w:rFonts w:ascii="Verdana" w:eastAsia="Times New Roman" w:hAnsi="Verdana" w:cs="Arial"/>
          <w:bCs/>
          <w:lang w:eastAsia="x-none"/>
        </w:rPr>
      </w:pPr>
      <w:r w:rsidRPr="003D0447">
        <w:rPr>
          <w:rFonts w:ascii="Verdana" w:hAnsi="Verdana" w:cs="Arial"/>
          <w:bCs/>
          <w:color w:val="000000" w:themeColor="text1"/>
          <w:lang w:eastAsia="es-ES_tradnl"/>
        </w:rPr>
        <w:t xml:space="preserve"> </w:t>
      </w:r>
      <w:r w:rsidRPr="003D0447">
        <w:rPr>
          <w:rFonts w:ascii="Verdana" w:hAnsi="Verdana" w:cs="Arial"/>
        </w:rPr>
        <w:t>La Constitución Política de Colombia consagra en el artículo 69, por una parte, una garantía de autonomía para que las universidades establezcan sus directivas y sus estatutos de acuerdo con la ley; y por otra, la posibilidad de que cuenten con un régimen especial que corresponde dictar al Congreso</w:t>
      </w:r>
      <w:r w:rsidRPr="003D0447">
        <w:rPr>
          <w:rFonts w:ascii="Verdana" w:hAnsi="Verdana" w:cs="Arial"/>
          <w:vertAlign w:val="superscript"/>
        </w:rPr>
        <w:footnoteReference w:id="19"/>
      </w:r>
      <w:r w:rsidRPr="003D0447">
        <w:rPr>
          <w:rFonts w:ascii="Verdana" w:hAnsi="Verdana" w:cs="Arial"/>
          <w:vertAlign w:val="subscript"/>
        </w:rPr>
        <w:t>.</w:t>
      </w:r>
    </w:p>
    <w:p w14:paraId="36AE0AF5" w14:textId="77777777" w:rsidR="00D72CE8" w:rsidRPr="003D0447" w:rsidRDefault="00D72CE8" w:rsidP="00D72CE8">
      <w:pPr>
        <w:spacing w:after="120" w:line="276" w:lineRule="auto"/>
        <w:ind w:firstLine="708"/>
        <w:jc w:val="both"/>
        <w:rPr>
          <w:rFonts w:ascii="Verdana" w:hAnsi="Verdana" w:cs="Arial"/>
          <w:lang w:val="es-MX"/>
        </w:rPr>
      </w:pPr>
      <w:r w:rsidRPr="003D0447">
        <w:rPr>
          <w:rFonts w:ascii="Verdana" w:hAnsi="Verdana" w:cs="Arial"/>
          <w:lang w:val="es-MX"/>
        </w:rPr>
        <w:t>En desarrollo de lo anterior, se expidió la Ley 30 de 1992, mediante la cual se regularon aspectos como la naturaleza jurídica de las universidades estatales y oficiales, la forma de organizarse y el régimen de contratación aplicable. Así mismo, en el artículo 57 se consignó que e</w:t>
      </w:r>
      <w:r w:rsidRPr="003D0447">
        <w:rPr>
          <w:rFonts w:ascii="Verdana" w:hAnsi="Verdana" w:cs="Arial"/>
        </w:rPr>
        <w:t>l carácter especial del régimen de las universidades estatales u oficiales comprende, entre otros aspectos, el régimen de contratación</w:t>
      </w:r>
      <w:r w:rsidRPr="003D0447">
        <w:rPr>
          <w:rFonts w:ascii="Verdana" w:hAnsi="Verdana" w:cs="Arial"/>
          <w:vertAlign w:val="superscript"/>
          <w:lang w:val="es-MX"/>
        </w:rPr>
        <w:footnoteReference w:id="20"/>
      </w:r>
      <w:r w:rsidRPr="003D0447">
        <w:rPr>
          <w:rFonts w:ascii="Verdana" w:hAnsi="Verdana" w:cs="Arial"/>
        </w:rPr>
        <w:t xml:space="preserve">. En concordancia con esto, el artículo 93 </w:t>
      </w:r>
      <w:r w:rsidRPr="003D0447">
        <w:rPr>
          <w:rFonts w:ascii="Verdana" w:hAnsi="Verdana" w:cs="Arial"/>
        </w:rPr>
        <w:lastRenderedPageBreak/>
        <w:t xml:space="preserve">estableció que los contratos que </w:t>
      </w:r>
      <w:r w:rsidRPr="003D0447">
        <w:rPr>
          <w:rFonts w:ascii="Verdana" w:hAnsi="Verdana" w:cs="Arial"/>
          <w:lang w:val="es-MX"/>
        </w:rPr>
        <w:t>celebren las universidades estatales u oficiales se regirán por las normas del derecho privado</w:t>
      </w:r>
      <w:r w:rsidRPr="003D0447">
        <w:rPr>
          <w:rFonts w:ascii="Verdana" w:hAnsi="Verdana" w:cs="Arial"/>
          <w:vertAlign w:val="superscript"/>
          <w:lang w:val="es-MX"/>
        </w:rPr>
        <w:footnoteReference w:id="21"/>
      </w:r>
      <w:r w:rsidRPr="003D0447">
        <w:rPr>
          <w:rFonts w:ascii="Verdana" w:hAnsi="Verdana" w:cs="Arial"/>
          <w:lang w:val="es-MX"/>
        </w:rPr>
        <w:t xml:space="preserve">. </w:t>
      </w:r>
    </w:p>
    <w:p w14:paraId="4DE72F9F" w14:textId="77777777" w:rsidR="00D72CE8" w:rsidRPr="003D0447" w:rsidRDefault="00D72CE8" w:rsidP="00D72CE8">
      <w:pPr>
        <w:widowControl w:val="0"/>
        <w:autoSpaceDE w:val="0"/>
        <w:autoSpaceDN w:val="0"/>
        <w:spacing w:before="120" w:after="0" w:line="276" w:lineRule="auto"/>
        <w:ind w:firstLine="708"/>
        <w:jc w:val="both"/>
        <w:rPr>
          <w:rFonts w:ascii="Verdana" w:eastAsia="Arial" w:hAnsi="Verdana" w:cs="Arial"/>
          <w:lang w:val="es-ES"/>
        </w:rPr>
      </w:pPr>
      <w:r w:rsidRPr="003D0447">
        <w:rPr>
          <w:rFonts w:ascii="Verdana" w:eastAsia="Arial" w:hAnsi="Verdana" w:cs="Arial"/>
          <w:lang w:val="es-ES"/>
        </w:rPr>
        <w:t>De otro lado, la Ley 489 de 1998, al desarrollar la estructura y organización de la Administración Pública, establece que los entes universitarios hacen parte integral de esta</w:t>
      </w:r>
      <w:r w:rsidRPr="003D0447">
        <w:rPr>
          <w:rFonts w:ascii="Verdana" w:eastAsia="Arial" w:hAnsi="Verdana" w:cs="Arial"/>
          <w:vertAlign w:val="superscript"/>
          <w:lang w:val="es-ES"/>
        </w:rPr>
        <w:footnoteReference w:id="22"/>
      </w:r>
      <w:r w:rsidRPr="003D0447">
        <w:rPr>
          <w:rFonts w:ascii="Verdana" w:eastAsia="Arial" w:hAnsi="Verdana" w:cs="Arial"/>
          <w:lang w:val="es-ES"/>
        </w:rPr>
        <w:t>, catalogándolos como entidades públicas de carácter autónomo a las que aplica un régimen especial</w:t>
      </w:r>
      <w:r w:rsidRPr="003D0447">
        <w:rPr>
          <w:rFonts w:ascii="Verdana" w:eastAsia="Arial" w:hAnsi="Verdana" w:cs="Arial"/>
          <w:vertAlign w:val="superscript"/>
          <w:lang w:val="es-ES"/>
        </w:rPr>
        <w:footnoteReference w:id="23"/>
      </w:r>
      <w:r w:rsidRPr="003D0447">
        <w:rPr>
          <w:rFonts w:ascii="Verdana" w:eastAsia="Arial" w:hAnsi="Verdana" w:cs="Arial"/>
          <w:lang w:val="es-ES"/>
        </w:rPr>
        <w:t>. Al respecto, en la sentencia C-1019 de 2012, la Corte Constitucional señaló:</w:t>
      </w:r>
    </w:p>
    <w:p w14:paraId="391ABFB4" w14:textId="77777777" w:rsidR="00D72CE8" w:rsidRPr="003D0447" w:rsidRDefault="00D72CE8" w:rsidP="00D72CE8">
      <w:pPr>
        <w:widowControl w:val="0"/>
        <w:autoSpaceDE w:val="0"/>
        <w:autoSpaceDN w:val="0"/>
        <w:spacing w:after="0"/>
        <w:ind w:left="709" w:right="709"/>
        <w:jc w:val="both"/>
        <w:rPr>
          <w:rFonts w:ascii="Verdana" w:eastAsia="Arial" w:hAnsi="Verdana" w:cs="Arial"/>
          <w:sz w:val="21"/>
          <w:szCs w:val="21"/>
          <w:lang w:val="es-ES"/>
        </w:rPr>
      </w:pPr>
    </w:p>
    <w:p w14:paraId="5239272B" w14:textId="77777777" w:rsidR="00D72CE8" w:rsidRDefault="00D72CE8" w:rsidP="00D72CE8">
      <w:pPr>
        <w:widowControl w:val="0"/>
        <w:autoSpaceDE w:val="0"/>
        <w:autoSpaceDN w:val="0"/>
        <w:spacing w:after="0" w:line="240" w:lineRule="auto"/>
        <w:ind w:left="709" w:right="709"/>
        <w:jc w:val="both"/>
        <w:rPr>
          <w:rFonts w:ascii="Verdana" w:eastAsia="Arial" w:hAnsi="Verdana" w:cs="Arial"/>
          <w:sz w:val="20"/>
          <w:szCs w:val="20"/>
          <w:lang w:val="es-ES"/>
        </w:rPr>
      </w:pPr>
      <w:r w:rsidRPr="003D0447">
        <w:rPr>
          <w:rFonts w:ascii="Verdana" w:eastAsia="Arial" w:hAnsi="Verdana" w:cs="Arial"/>
          <w:sz w:val="20"/>
          <w:szCs w:val="20"/>
          <w:lang w:val="es-ES"/>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Pr="003D0447">
        <w:rPr>
          <w:rFonts w:ascii="Verdana" w:eastAsia="Arial" w:hAnsi="Verdana" w:cs="Arial"/>
          <w:spacing w:val="49"/>
          <w:sz w:val="20"/>
          <w:szCs w:val="20"/>
          <w:lang w:val="es-ES"/>
        </w:rPr>
        <w:t xml:space="preserve"> </w:t>
      </w:r>
      <w:r w:rsidRPr="003D0447">
        <w:rPr>
          <w:rFonts w:ascii="Verdana" w:eastAsia="Arial" w:hAnsi="Verdana" w:cs="Arial"/>
          <w:sz w:val="20"/>
          <w:szCs w:val="20"/>
          <w:lang w:val="es-ES"/>
        </w:rPr>
        <w:t>exige el cumplimiento de la obligación de colaboración armónica consagrado en el artículo 113 de la C.P. para el cumplimiento de las funciones del Estado.</w:t>
      </w:r>
    </w:p>
    <w:p w14:paraId="75A08119" w14:textId="77777777" w:rsidR="00D72CE8" w:rsidRPr="003D0447" w:rsidRDefault="00D72CE8" w:rsidP="00D72CE8">
      <w:pPr>
        <w:widowControl w:val="0"/>
        <w:autoSpaceDE w:val="0"/>
        <w:autoSpaceDN w:val="0"/>
        <w:spacing w:after="0" w:line="240" w:lineRule="auto"/>
        <w:ind w:left="709" w:right="709"/>
        <w:jc w:val="both"/>
        <w:rPr>
          <w:rFonts w:ascii="Verdana" w:eastAsia="Arial" w:hAnsi="Verdana" w:cs="Arial"/>
          <w:sz w:val="20"/>
          <w:szCs w:val="20"/>
          <w:lang w:val="es-ES"/>
        </w:rPr>
      </w:pPr>
    </w:p>
    <w:p w14:paraId="29858C2D" w14:textId="77777777" w:rsidR="00D72CE8" w:rsidRPr="003D0447" w:rsidRDefault="00D72CE8" w:rsidP="00D72CE8">
      <w:pPr>
        <w:widowControl w:val="0"/>
        <w:autoSpaceDE w:val="0"/>
        <w:autoSpaceDN w:val="0"/>
        <w:spacing w:after="0" w:line="240" w:lineRule="auto"/>
        <w:ind w:left="709" w:right="709"/>
        <w:jc w:val="both"/>
        <w:rPr>
          <w:rFonts w:ascii="Verdana" w:eastAsia="Arial" w:hAnsi="Verdana" w:cs="Arial"/>
          <w:sz w:val="20"/>
          <w:szCs w:val="20"/>
          <w:lang w:val="es-ES"/>
        </w:rPr>
      </w:pPr>
      <w:r w:rsidRPr="003D0447">
        <w:rPr>
          <w:rFonts w:ascii="Verdana" w:eastAsia="Arial" w:hAnsi="Verdana" w:cs="Arial"/>
          <w:sz w:val="20"/>
          <w:szCs w:val="20"/>
          <w:lang w:val="es-ES"/>
        </w:rPr>
        <w:t>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 ninguna de las ramas del poder ni pueden formar parte de la administración nacional”</w:t>
      </w:r>
      <w:r w:rsidRPr="003D0447">
        <w:rPr>
          <w:rFonts w:ascii="Verdana" w:eastAsia="Arial" w:hAnsi="Verdana" w:cs="Arial"/>
          <w:sz w:val="20"/>
          <w:szCs w:val="20"/>
          <w:vertAlign w:val="superscript"/>
          <w:lang w:val="es-ES"/>
        </w:rPr>
        <w:footnoteReference w:id="24"/>
      </w:r>
      <w:r w:rsidRPr="003D0447">
        <w:rPr>
          <w:rFonts w:ascii="Verdana" w:eastAsia="Arial" w:hAnsi="Verdana" w:cs="Arial"/>
          <w:sz w:val="20"/>
          <w:szCs w:val="20"/>
          <w:lang w:val="es-ES"/>
        </w:rPr>
        <w:t>. De esta manera se pretende preservar a las universidades públicas y oficiales, de las injerencias e interferencias arbitrarias e indebidas del poder</w:t>
      </w:r>
      <w:r w:rsidRPr="003D0447">
        <w:rPr>
          <w:rFonts w:ascii="Verdana" w:eastAsia="Arial" w:hAnsi="Verdana" w:cs="Arial"/>
          <w:spacing w:val="-6"/>
          <w:sz w:val="20"/>
          <w:szCs w:val="20"/>
          <w:lang w:val="es-ES"/>
        </w:rPr>
        <w:t xml:space="preserve"> </w:t>
      </w:r>
      <w:r w:rsidRPr="003D0447">
        <w:rPr>
          <w:rFonts w:ascii="Verdana" w:eastAsia="Arial" w:hAnsi="Verdana" w:cs="Arial"/>
          <w:sz w:val="20"/>
          <w:szCs w:val="20"/>
          <w:lang w:val="es-ES"/>
        </w:rPr>
        <w:t>político”</w:t>
      </w:r>
      <w:r w:rsidRPr="003D0447">
        <w:rPr>
          <w:rFonts w:ascii="Verdana" w:eastAsia="Arial" w:hAnsi="Verdana" w:cs="Arial"/>
          <w:sz w:val="20"/>
          <w:szCs w:val="20"/>
          <w:vertAlign w:val="superscript"/>
          <w:lang w:val="es-ES"/>
        </w:rPr>
        <w:footnoteReference w:id="25"/>
      </w:r>
      <w:r w:rsidRPr="003D0447">
        <w:rPr>
          <w:rFonts w:ascii="Verdana" w:eastAsia="Arial" w:hAnsi="Verdana" w:cs="Arial"/>
          <w:sz w:val="20"/>
          <w:szCs w:val="20"/>
          <w:lang w:val="es-ES"/>
        </w:rPr>
        <w:t>.</w:t>
      </w:r>
    </w:p>
    <w:p w14:paraId="035F6A00" w14:textId="77777777" w:rsidR="00D72CE8" w:rsidRPr="003D0447" w:rsidRDefault="00D72CE8" w:rsidP="00D72CE8">
      <w:pPr>
        <w:widowControl w:val="0"/>
        <w:autoSpaceDE w:val="0"/>
        <w:autoSpaceDN w:val="0"/>
        <w:spacing w:after="0" w:line="276" w:lineRule="auto"/>
        <w:jc w:val="both"/>
        <w:rPr>
          <w:rFonts w:ascii="Verdana" w:eastAsia="Arial" w:hAnsi="Verdana" w:cs="Arial"/>
          <w:lang w:val="es-ES"/>
        </w:rPr>
      </w:pPr>
    </w:p>
    <w:p w14:paraId="7E7238B2" w14:textId="77777777" w:rsidR="00D72CE8" w:rsidRPr="003D0447" w:rsidRDefault="00D72CE8" w:rsidP="00D72CE8">
      <w:pPr>
        <w:widowControl w:val="0"/>
        <w:autoSpaceDE w:val="0"/>
        <w:autoSpaceDN w:val="0"/>
        <w:spacing w:after="0" w:line="276" w:lineRule="auto"/>
        <w:ind w:firstLine="527"/>
        <w:jc w:val="both"/>
        <w:rPr>
          <w:rFonts w:ascii="Verdana" w:eastAsia="Arial" w:hAnsi="Verdana" w:cs="Arial"/>
          <w:lang w:val="es-ES"/>
        </w:rPr>
      </w:pPr>
      <w:r w:rsidRPr="003D0447">
        <w:rPr>
          <w:rFonts w:ascii="Verdana" w:eastAsia="Arial" w:hAnsi="Verdana" w:cs="Arial"/>
          <w:lang w:val="es-ES"/>
        </w:rPr>
        <w:t>En armonía con lo anterior, se ha considerado que los entes universitarios no son entidades que hagan parte de la rama ejecutiva, ni pueden, por tanto, considerarse entidades descentralizadas, sino que gozan de un régimen especial. Lo anterior fue señalado por el Consejo de Estado de la siguiente manera</w:t>
      </w:r>
      <w:r w:rsidRPr="003D0447">
        <w:rPr>
          <w:rFonts w:ascii="Verdana" w:eastAsia="Arial" w:hAnsi="Verdana" w:cs="Arial"/>
          <w:vertAlign w:val="superscript"/>
          <w:lang w:val="es-ES"/>
        </w:rPr>
        <w:footnoteReference w:id="26"/>
      </w:r>
      <w:r w:rsidRPr="003D0447">
        <w:rPr>
          <w:rFonts w:ascii="Verdana" w:eastAsia="Arial" w:hAnsi="Verdana" w:cs="Arial"/>
          <w:lang w:val="es-ES"/>
        </w:rPr>
        <w:t>:</w:t>
      </w:r>
    </w:p>
    <w:p w14:paraId="7EF5F56D" w14:textId="77777777" w:rsidR="00D72CE8" w:rsidRPr="003D0447" w:rsidRDefault="00D72CE8" w:rsidP="00D72CE8">
      <w:pPr>
        <w:widowControl w:val="0"/>
        <w:autoSpaceDE w:val="0"/>
        <w:autoSpaceDN w:val="0"/>
        <w:spacing w:after="0" w:line="276" w:lineRule="auto"/>
        <w:rPr>
          <w:rFonts w:ascii="Verdana" w:eastAsia="Arial" w:hAnsi="Verdana" w:cs="Arial"/>
          <w:lang w:val="es-ES"/>
        </w:rPr>
      </w:pPr>
    </w:p>
    <w:p w14:paraId="3CD56509" w14:textId="77777777" w:rsidR="00D72CE8" w:rsidRPr="003D0447" w:rsidRDefault="00D72CE8" w:rsidP="00D72CE8">
      <w:pPr>
        <w:widowControl w:val="0"/>
        <w:autoSpaceDE w:val="0"/>
        <w:autoSpaceDN w:val="0"/>
        <w:spacing w:after="0" w:line="240" w:lineRule="auto"/>
        <w:ind w:left="709" w:right="709"/>
        <w:jc w:val="both"/>
        <w:rPr>
          <w:rFonts w:ascii="Verdana" w:eastAsia="Arial" w:hAnsi="Verdana" w:cs="Arial"/>
          <w:sz w:val="20"/>
          <w:szCs w:val="20"/>
          <w:lang w:val="es-ES"/>
        </w:rPr>
      </w:pPr>
      <w:r w:rsidRPr="003D0447">
        <w:rPr>
          <w:rFonts w:ascii="Verdana" w:eastAsia="Arial" w:hAnsi="Verdana" w:cs="Arial"/>
          <w:sz w:val="20"/>
          <w:szCs w:val="20"/>
          <w:lang w:val="es-ES"/>
        </w:rPr>
        <w:t xml:space="preserve">“Ahora bien, en la disposición legal [art. 57 de la Ley 30/92] se menciona que las universidades estatales u oficiales están vinculadas al Ministerio </w:t>
      </w:r>
      <w:r w:rsidRPr="003D0447">
        <w:rPr>
          <w:rFonts w:ascii="Verdana" w:eastAsia="Arial" w:hAnsi="Verdana" w:cs="Arial"/>
          <w:sz w:val="20"/>
          <w:szCs w:val="20"/>
          <w:lang w:val="es-ES"/>
        </w:rPr>
        <w:lastRenderedPageBreak/>
        <w:t>de Educación Nacional en lo que se refiere a las políticas y planeación del sector educativo, en donde la jurisprudencia constitucional ha dejado en claro que es únicamente para efectos de coordinar y planear el desarrollo de directrices educativas, y no como organismos supeditados al poder ejecutivo, de manera que deben actuar con independencia del mismo, sin estar sujetas a un control de tutela como el concebido para los establecimientos públicos, concepto que por sí mismo niega la autonomía.</w:t>
      </w:r>
    </w:p>
    <w:p w14:paraId="6191EFA5" w14:textId="77777777" w:rsidR="00D72CE8" w:rsidRPr="003D0447" w:rsidRDefault="00D72CE8" w:rsidP="00D72CE8">
      <w:pPr>
        <w:widowControl w:val="0"/>
        <w:autoSpaceDE w:val="0"/>
        <w:autoSpaceDN w:val="0"/>
        <w:spacing w:after="0" w:line="240" w:lineRule="auto"/>
        <w:ind w:left="709" w:right="709"/>
        <w:rPr>
          <w:rFonts w:ascii="Verdana" w:eastAsia="Arial" w:hAnsi="Verdana" w:cs="Arial"/>
          <w:sz w:val="20"/>
          <w:szCs w:val="20"/>
          <w:lang w:val="es-ES"/>
        </w:rPr>
      </w:pPr>
      <w:r w:rsidRPr="003D0447">
        <w:rPr>
          <w:rFonts w:ascii="Verdana" w:eastAsia="Arial" w:hAnsi="Verdana" w:cs="Arial"/>
          <w:sz w:val="20"/>
          <w:szCs w:val="20"/>
          <w:lang w:val="es-ES"/>
        </w:rPr>
        <w:t>[…]</w:t>
      </w:r>
    </w:p>
    <w:p w14:paraId="36A383EE" w14:textId="77777777" w:rsidR="00D72CE8" w:rsidRPr="003D0447" w:rsidRDefault="00D72CE8" w:rsidP="00D72CE8">
      <w:pPr>
        <w:widowControl w:val="0"/>
        <w:autoSpaceDE w:val="0"/>
        <w:autoSpaceDN w:val="0"/>
        <w:spacing w:after="0" w:line="240" w:lineRule="auto"/>
        <w:ind w:left="709" w:right="709"/>
        <w:jc w:val="both"/>
        <w:rPr>
          <w:rFonts w:ascii="Verdana" w:eastAsia="Arial" w:hAnsi="Verdana" w:cs="Arial"/>
          <w:sz w:val="20"/>
          <w:szCs w:val="20"/>
          <w:lang w:val="es-ES"/>
        </w:rPr>
      </w:pPr>
      <w:r w:rsidRPr="003D0447">
        <w:rPr>
          <w:rFonts w:ascii="Verdana" w:eastAsia="Arial" w:hAnsi="Verdana" w:cs="Arial"/>
          <w:sz w:val="20"/>
          <w:szCs w:val="20"/>
          <w:lang w:val="es-ES"/>
        </w:rPr>
        <w:t>La situación se modificó con el actual marco constitucional en donde se estableció [art. 69] la garantía a la autonomía universitaria, para que pudieran darse sus directivas y regirse por sus propios estatutos, de acuerdo con el régimen especial que previera la Ley para las universidades del Estado, por lo cual se despojaban del control de tutela que ejercía el ejecutivo sobre ellas, con el fin de garantizar la independencia académica en la educación superior, sin ningún tipo de injerencia del poder público.</w:t>
      </w:r>
    </w:p>
    <w:p w14:paraId="3A090605" w14:textId="77777777" w:rsidR="00D72CE8" w:rsidRPr="003D0447" w:rsidRDefault="00D72CE8" w:rsidP="00D72CE8">
      <w:pPr>
        <w:widowControl w:val="0"/>
        <w:autoSpaceDE w:val="0"/>
        <w:autoSpaceDN w:val="0"/>
        <w:spacing w:after="0" w:line="240" w:lineRule="auto"/>
        <w:ind w:left="709" w:right="709"/>
        <w:jc w:val="both"/>
        <w:rPr>
          <w:rFonts w:ascii="Verdana" w:eastAsia="Arial" w:hAnsi="Verdana" w:cs="Arial"/>
          <w:sz w:val="20"/>
          <w:szCs w:val="20"/>
          <w:lang w:val="es-ES"/>
        </w:rPr>
      </w:pPr>
      <w:r w:rsidRPr="003D0447">
        <w:rPr>
          <w:rFonts w:ascii="Verdana" w:eastAsia="Arial" w:hAnsi="Verdana" w:cs="Arial"/>
          <w:sz w:val="20"/>
          <w:szCs w:val="20"/>
          <w:lang w:val="es-ES"/>
        </w:rPr>
        <w:t>Lo anterior hizo que dejaran de pertenecer a la rama ejecutiva y por supuesto no hicieran parte de las demás [legislativa y judicial], al convertirse en organismos autónomos que cumplen funciones estatales de trascendental importancia para la nación, sin perder la calidad de entidades públicas […]»</w:t>
      </w:r>
    </w:p>
    <w:p w14:paraId="0738CF60" w14:textId="77777777" w:rsidR="00D72CE8" w:rsidRPr="003D0447" w:rsidRDefault="00D72CE8" w:rsidP="00D72CE8">
      <w:pPr>
        <w:widowControl w:val="0"/>
        <w:autoSpaceDE w:val="0"/>
        <w:autoSpaceDN w:val="0"/>
        <w:spacing w:after="0" w:line="276" w:lineRule="auto"/>
        <w:jc w:val="both"/>
        <w:rPr>
          <w:rFonts w:ascii="Verdana" w:eastAsia="Arial" w:hAnsi="Verdana" w:cs="Arial"/>
          <w:lang w:val="es-ES"/>
        </w:rPr>
      </w:pPr>
    </w:p>
    <w:p w14:paraId="29785C62" w14:textId="77777777" w:rsidR="00D72CE8" w:rsidRPr="003D0447" w:rsidRDefault="00D72CE8" w:rsidP="00D72CE8">
      <w:pPr>
        <w:widowControl w:val="0"/>
        <w:autoSpaceDE w:val="0"/>
        <w:autoSpaceDN w:val="0"/>
        <w:spacing w:after="0" w:line="276" w:lineRule="auto"/>
        <w:ind w:firstLine="528"/>
        <w:jc w:val="both"/>
        <w:rPr>
          <w:rFonts w:ascii="Verdana" w:eastAsia="Arial" w:hAnsi="Verdana" w:cs="Arial"/>
          <w:lang w:val="es-ES"/>
        </w:rPr>
      </w:pPr>
      <w:r w:rsidRPr="003D0447">
        <w:rPr>
          <w:rFonts w:ascii="Verdana" w:eastAsia="Arial" w:hAnsi="Verdana" w:cs="Arial"/>
          <w:lang w:val="es-ES"/>
        </w:rPr>
        <w:t>De este modo, la diferenciación entre universidades públicas y entidades descentralizadas radica, entre otras cosas, en la autonomía de la que aquellas gozan. Esto, en la medida en que a las universidades públicas no les aplica un elemento característico de la descentralización denominado control de tutela, sobre el cual, en sentencia C–727 del 21 de junio de 2000, la Corte Constitucional señaló:</w:t>
      </w:r>
    </w:p>
    <w:p w14:paraId="097CF286" w14:textId="77777777" w:rsidR="00D72CE8" w:rsidRPr="003D0447" w:rsidRDefault="00D72CE8" w:rsidP="00D72CE8">
      <w:pPr>
        <w:widowControl w:val="0"/>
        <w:autoSpaceDE w:val="0"/>
        <w:autoSpaceDN w:val="0"/>
        <w:spacing w:after="0" w:line="276" w:lineRule="auto"/>
        <w:ind w:firstLine="528"/>
        <w:jc w:val="both"/>
        <w:rPr>
          <w:rFonts w:ascii="Verdana" w:eastAsia="Arial" w:hAnsi="Verdana" w:cs="Arial"/>
          <w:lang w:val="es-ES"/>
        </w:rPr>
      </w:pPr>
    </w:p>
    <w:p w14:paraId="1970A6C5" w14:textId="77777777" w:rsidR="00D72CE8" w:rsidRPr="003D0447" w:rsidRDefault="00D72CE8" w:rsidP="00D72CE8">
      <w:pPr>
        <w:widowControl w:val="0"/>
        <w:autoSpaceDE w:val="0"/>
        <w:autoSpaceDN w:val="0"/>
        <w:spacing w:after="0" w:line="240" w:lineRule="auto"/>
        <w:ind w:left="709" w:right="709"/>
        <w:jc w:val="both"/>
        <w:rPr>
          <w:rFonts w:ascii="Verdana" w:eastAsia="Arial" w:hAnsi="Verdana" w:cs="Arial"/>
          <w:sz w:val="20"/>
          <w:szCs w:val="20"/>
          <w:lang w:val="es-ES"/>
        </w:rPr>
      </w:pPr>
      <w:r>
        <w:rPr>
          <w:rFonts w:ascii="Verdana" w:eastAsia="Arial" w:hAnsi="Verdana" w:cs="Arial"/>
          <w:sz w:val="20"/>
          <w:szCs w:val="20"/>
          <w:lang w:val="es-ES"/>
        </w:rPr>
        <w:t>“</w:t>
      </w:r>
      <w:r w:rsidRPr="003D0447">
        <w:rPr>
          <w:rFonts w:ascii="Verdana" w:eastAsia="Arial" w:hAnsi="Verdana" w:cs="Arial"/>
          <w:sz w:val="20"/>
          <w:szCs w:val="20"/>
          <w:lang w:val="es-ES"/>
        </w:rPr>
        <w:t>La descentralización es una forma de organización administrativa propia de los Estados de forma unitaria, que atenúa la centralización permitiendo la transferencia de competencias a organismos distintos del poder central, que adquieren autonomía en la gestión de las respectivas funciones. No obstante, esta transferencia no implica la ruptura total del vínculo entre el poder central y la entidad descentralizada, sino que, en aras de garantizar el principio de coordinación que gobierna la función administrativa, dicho vínculo permanece vigente a través del llamado control de tutela, existente en nuestra organización administrativa respecto de los entes funcionalmente descentralizados, con definidos perfiles jurídicos, desde la reforma constitucional y administrativa operada en 1968</w:t>
      </w:r>
      <w:r>
        <w:rPr>
          <w:rFonts w:ascii="Verdana" w:eastAsia="Arial" w:hAnsi="Verdana" w:cs="Arial"/>
          <w:sz w:val="20"/>
          <w:szCs w:val="20"/>
          <w:lang w:val="es-ES"/>
        </w:rPr>
        <w:t>”</w:t>
      </w:r>
      <w:r w:rsidRPr="003D0447">
        <w:rPr>
          <w:rFonts w:ascii="Verdana" w:eastAsia="Arial" w:hAnsi="Verdana" w:cs="Arial"/>
          <w:sz w:val="20"/>
          <w:szCs w:val="20"/>
          <w:lang w:val="es-ES"/>
        </w:rPr>
        <w:t>.</w:t>
      </w:r>
    </w:p>
    <w:p w14:paraId="11BA8DDD" w14:textId="77777777" w:rsidR="00D72CE8" w:rsidRPr="003D0447" w:rsidRDefault="00D72CE8" w:rsidP="00D72CE8">
      <w:pPr>
        <w:widowControl w:val="0"/>
        <w:autoSpaceDE w:val="0"/>
        <w:autoSpaceDN w:val="0"/>
        <w:spacing w:after="0"/>
        <w:ind w:left="748" w:right="533"/>
        <w:jc w:val="both"/>
        <w:rPr>
          <w:rFonts w:ascii="Verdana" w:eastAsia="Arial" w:hAnsi="Verdana" w:cs="Arial"/>
          <w:lang w:val="es-ES"/>
        </w:rPr>
      </w:pPr>
    </w:p>
    <w:p w14:paraId="3CE116E6" w14:textId="77777777" w:rsidR="00D72CE8" w:rsidRPr="003D0447" w:rsidRDefault="00D72CE8" w:rsidP="00D72CE8">
      <w:pPr>
        <w:widowControl w:val="0"/>
        <w:autoSpaceDE w:val="0"/>
        <w:autoSpaceDN w:val="0"/>
        <w:spacing w:after="120" w:line="276" w:lineRule="auto"/>
        <w:ind w:firstLine="709"/>
        <w:jc w:val="both"/>
        <w:rPr>
          <w:rFonts w:ascii="Verdana" w:hAnsi="Verdana" w:cs="Arial"/>
          <w:color w:val="000000"/>
        </w:rPr>
      </w:pPr>
      <w:r w:rsidRPr="003D0447">
        <w:rPr>
          <w:rFonts w:ascii="Verdana" w:eastAsia="Arial" w:hAnsi="Verdana" w:cs="Arial"/>
          <w:lang w:val="es-ES"/>
        </w:rPr>
        <w:t xml:space="preserve">En suma, la descentralización involucra el ejercicio de un control de tutela que no puede aplicarse a los entes universitarios autónomos, motivo por el cual, si bien son entes del Estado, no son ni pueden ser asimiladas a entidades descentralizadas y tampoco encuadran en el concepto de entidad territorial. </w:t>
      </w:r>
      <w:r w:rsidRPr="003D0447">
        <w:rPr>
          <w:rFonts w:ascii="Verdana" w:hAnsi="Verdana" w:cs="Arial"/>
          <w:bCs/>
          <w:color w:val="000000" w:themeColor="text1"/>
          <w:lang w:eastAsia="es-ES_tradnl"/>
        </w:rPr>
        <w:t xml:space="preserve">No </w:t>
      </w:r>
      <w:r w:rsidRPr="003D0447">
        <w:rPr>
          <w:rFonts w:ascii="Verdana" w:hAnsi="Verdana" w:cs="Arial"/>
          <w:bCs/>
          <w:color w:val="000000" w:themeColor="text1"/>
          <w:lang w:eastAsia="es-ES_tradnl"/>
        </w:rPr>
        <w:lastRenderedPageBreak/>
        <w:t xml:space="preserve">obstante, es preciso advertir que no todas las instituciones de educación superior públicas obedecen a la naturaleza jurídica de entes universitarios autónomos o universidades públicas, comoquiera que el parágrafo 1 del artículo 57 de la Ley 30 de 1992 establece que las </w:t>
      </w:r>
      <w:r>
        <w:rPr>
          <w:rFonts w:ascii="Verdana" w:hAnsi="Verdana" w:cs="Arial"/>
          <w:bCs/>
          <w:color w:val="000000" w:themeColor="text1"/>
          <w:lang w:eastAsia="es-ES_tradnl"/>
        </w:rPr>
        <w:t>“</w:t>
      </w:r>
      <w:r w:rsidRPr="003D0447">
        <w:rPr>
          <w:rFonts w:ascii="Verdana" w:hAnsi="Verdana" w:cs="Arial"/>
          <w:color w:val="000000"/>
        </w:rPr>
        <w:t>Las instituciones estatales u oficiales de Educación Superior que no tengan el carácter de universidad […] deberán organizarse como Establecimientos Públicos del orden Nacional, Departamental, Distrital o Municipal</w:t>
      </w:r>
      <w:r>
        <w:rPr>
          <w:rFonts w:ascii="Verdana" w:hAnsi="Verdana" w:cs="Arial"/>
          <w:color w:val="000000"/>
        </w:rPr>
        <w:t>”</w:t>
      </w:r>
      <w:r w:rsidRPr="003D0447">
        <w:rPr>
          <w:rFonts w:ascii="Verdana" w:hAnsi="Verdana" w:cs="Arial"/>
          <w:color w:val="000000"/>
        </w:rPr>
        <w:t xml:space="preserve">. Esta norma además es referida en la Ley 749 de 2002 «por la cual se organiza el servicio público de la educación superior en las modalidades de formación técnica profesional y tecnológica, y se dictan otras disposiciones», en cuyo artículo 18 se prevé </w:t>
      </w:r>
      <w:r w:rsidRPr="00FD14D9">
        <w:rPr>
          <w:rFonts w:ascii="Verdana" w:hAnsi="Verdana" w:cs="Arial"/>
          <w:color w:val="000000"/>
        </w:rPr>
        <w:t>que” Las</w:t>
      </w:r>
      <w:r w:rsidRPr="003D0447">
        <w:rPr>
          <w:rFonts w:ascii="Verdana" w:hAnsi="Verdana" w:cs="Arial"/>
          <w:color w:val="000000"/>
        </w:rPr>
        <w:t xml:space="preserve"> instituciones técnicas profesionales y tecnológicas de educación superior estatales u oficiales, son establecimientos públicos de conformidad con el artículo 57 de la Ley 30 de 1992</w:t>
      </w:r>
      <w:r>
        <w:rPr>
          <w:rFonts w:ascii="Verdana" w:hAnsi="Verdana" w:cs="Arial"/>
          <w:color w:val="000000"/>
        </w:rPr>
        <w:t>”</w:t>
      </w:r>
      <w:r w:rsidRPr="003D0447">
        <w:rPr>
          <w:rFonts w:ascii="Verdana" w:hAnsi="Verdana" w:cs="Arial"/>
          <w:color w:val="000000"/>
        </w:rPr>
        <w:t>.</w:t>
      </w:r>
    </w:p>
    <w:p w14:paraId="22385790" w14:textId="77777777" w:rsidR="00D72CE8" w:rsidRPr="003D0447" w:rsidRDefault="00D72CE8" w:rsidP="00D72CE8">
      <w:pPr>
        <w:pStyle w:val="NormalWeb"/>
        <w:spacing w:before="0" w:beforeAutospacing="0" w:after="120" w:afterAutospacing="0" w:line="276" w:lineRule="auto"/>
        <w:ind w:firstLine="708"/>
        <w:jc w:val="both"/>
        <w:rPr>
          <w:rFonts w:ascii="Verdana" w:hAnsi="Verdana" w:cs="Arial"/>
          <w:color w:val="000000"/>
          <w:sz w:val="22"/>
          <w:szCs w:val="22"/>
        </w:rPr>
      </w:pPr>
      <w:r w:rsidRPr="003D0447">
        <w:rPr>
          <w:rFonts w:ascii="Verdana" w:hAnsi="Verdana" w:cs="Arial"/>
          <w:bCs/>
          <w:color w:val="000000" w:themeColor="text1"/>
          <w:sz w:val="22"/>
          <w:szCs w:val="22"/>
          <w:lang w:eastAsia="es-ES_tradnl"/>
        </w:rPr>
        <w:t xml:space="preserve">Los establecimientos públicos </w:t>
      </w:r>
      <w:r w:rsidRPr="003D0447">
        <w:rPr>
          <w:rFonts w:ascii="Verdana" w:hAnsi="Verdana" w:cs="Arial"/>
          <w:bCs/>
          <w:color w:val="000000"/>
          <w:sz w:val="22"/>
          <w:szCs w:val="22"/>
        </w:rPr>
        <w:t>son definidos</w:t>
      </w:r>
      <w:r w:rsidRPr="003D0447">
        <w:rPr>
          <w:rFonts w:ascii="Verdana" w:hAnsi="Verdana" w:cs="Arial"/>
          <w:color w:val="000000"/>
          <w:sz w:val="22"/>
          <w:szCs w:val="22"/>
        </w:rPr>
        <w:t xml:space="preserve"> por el artículo 70 de la Ley 489 de 1998 como </w:t>
      </w:r>
      <w:r>
        <w:rPr>
          <w:rFonts w:ascii="Verdana" w:hAnsi="Verdana" w:cs="Arial"/>
          <w:color w:val="000000"/>
          <w:sz w:val="22"/>
          <w:szCs w:val="22"/>
        </w:rPr>
        <w:t>“</w:t>
      </w:r>
      <w:r w:rsidRPr="003D0447">
        <w:rPr>
          <w:rFonts w:ascii="Verdana" w:hAnsi="Verdana" w:cs="Arial"/>
          <w:color w:val="000000"/>
          <w:sz w:val="22"/>
          <w:szCs w:val="22"/>
        </w:rPr>
        <w:t>[…] organismos encargados principalmente de atender funciones administrativas y de prestar servicios públicos conforme a las reglas del Derecho Público</w:t>
      </w:r>
      <w:r>
        <w:rPr>
          <w:rFonts w:ascii="Verdana" w:hAnsi="Verdana" w:cs="Arial"/>
          <w:color w:val="000000"/>
          <w:sz w:val="22"/>
          <w:szCs w:val="22"/>
        </w:rPr>
        <w:t>”</w:t>
      </w:r>
      <w:r w:rsidRPr="003D0447">
        <w:rPr>
          <w:rFonts w:ascii="Verdana" w:hAnsi="Verdana" w:cs="Arial"/>
          <w:color w:val="000000"/>
          <w:sz w:val="22"/>
          <w:szCs w:val="22"/>
        </w:rPr>
        <w:t xml:space="preserve">. Dicha norma además establece como atributos de este tipo de entidades: la personería jurídica, la autonomía administrativa y financiera y patrimonio independiente. Por su parte, el artículo 68 de la Ley 489 de 1998, al definir las entidades descentralizadas, expresamente contempla a los establecimientos públicos, lo que supone que, al margen de la autonomía de la que gozan, </w:t>
      </w:r>
      <w:r>
        <w:rPr>
          <w:rFonts w:ascii="Verdana" w:hAnsi="Verdana" w:cs="Arial"/>
          <w:color w:val="000000"/>
          <w:sz w:val="22"/>
          <w:szCs w:val="22"/>
        </w:rPr>
        <w:t>“</w:t>
      </w:r>
      <w:r w:rsidRPr="003D0447">
        <w:rPr>
          <w:rFonts w:ascii="Verdana" w:hAnsi="Verdana" w:cs="Arial"/>
          <w:color w:val="000000"/>
          <w:sz w:val="22"/>
          <w:szCs w:val="22"/>
        </w:rPr>
        <w:t>[…] están sujetas al control político y a la suprema dirección del órgano de la administración al cual están adscritas</w:t>
      </w:r>
      <w:r>
        <w:rPr>
          <w:rFonts w:ascii="Verdana" w:hAnsi="Verdana" w:cs="Arial"/>
          <w:color w:val="000000"/>
          <w:sz w:val="22"/>
          <w:szCs w:val="22"/>
        </w:rPr>
        <w:t>”</w:t>
      </w:r>
      <w:r w:rsidRPr="003D0447">
        <w:rPr>
          <w:rFonts w:ascii="Verdana" w:hAnsi="Verdana" w:cs="Arial"/>
          <w:color w:val="000000"/>
          <w:sz w:val="22"/>
          <w:szCs w:val="22"/>
        </w:rPr>
        <w:t xml:space="preserve">. De esto se colige que, a diferencia de las universidades públicas, las instituciones de educación superior constituidas como establecimientos públicos sí son consideradas entidades descentralizadas, por lo que no están excluidos del control de tutela propio de la descentralización. </w:t>
      </w:r>
    </w:p>
    <w:p w14:paraId="6683F944" w14:textId="77777777" w:rsidR="00D72CE8" w:rsidRPr="003D0447" w:rsidRDefault="00D72CE8" w:rsidP="00D72CE8">
      <w:pPr>
        <w:pStyle w:val="NormalWeb"/>
        <w:spacing w:before="0" w:beforeAutospacing="0" w:after="120" w:afterAutospacing="0" w:line="276" w:lineRule="auto"/>
        <w:ind w:firstLine="708"/>
        <w:jc w:val="both"/>
        <w:rPr>
          <w:rFonts w:ascii="Verdana" w:hAnsi="Verdana" w:cs="Arial"/>
          <w:color w:val="000000"/>
          <w:sz w:val="22"/>
          <w:szCs w:val="22"/>
        </w:rPr>
      </w:pPr>
      <w:r w:rsidRPr="003D0447">
        <w:rPr>
          <w:rFonts w:ascii="Verdana" w:hAnsi="Verdana" w:cs="Arial"/>
          <w:color w:val="000000"/>
          <w:sz w:val="22"/>
          <w:szCs w:val="22"/>
        </w:rPr>
        <w:t xml:space="preserve">En cuanto al régimen contractual de los establecimientos públicos, el artículo 81 de la Ley 489 de 1998 prevé que </w:t>
      </w:r>
      <w:r>
        <w:rPr>
          <w:rFonts w:ascii="Verdana" w:hAnsi="Verdana" w:cs="Arial"/>
          <w:color w:val="000000"/>
          <w:sz w:val="22"/>
          <w:szCs w:val="22"/>
        </w:rPr>
        <w:t>“</w:t>
      </w:r>
      <w:r w:rsidRPr="003D0447">
        <w:rPr>
          <w:rFonts w:ascii="Verdana" w:hAnsi="Verdana" w:cs="Arial"/>
          <w:color w:val="000000"/>
          <w:sz w:val="22"/>
          <w:szCs w:val="22"/>
        </w:rPr>
        <w:t>Los contratos que celebren […] se rigen por las normas del Estatuto Contractual de las entidades estatales contenido en la Ley 80 de 1993 y las disposiciones que lo complementen, adicionen o modifiquen, sin perjuicio de lo dispuesto en las normas especiales</w:t>
      </w:r>
      <w:r>
        <w:rPr>
          <w:rFonts w:ascii="Verdana" w:hAnsi="Verdana" w:cs="Arial"/>
          <w:color w:val="000000"/>
          <w:sz w:val="22"/>
          <w:szCs w:val="22"/>
        </w:rPr>
        <w:t>”</w:t>
      </w:r>
      <w:r w:rsidRPr="003D0447">
        <w:rPr>
          <w:rFonts w:ascii="Verdana" w:hAnsi="Verdana" w:cs="Arial"/>
          <w:color w:val="000000"/>
          <w:sz w:val="22"/>
          <w:szCs w:val="22"/>
        </w:rPr>
        <w:t xml:space="preserve">. </w:t>
      </w:r>
      <w:r w:rsidRPr="003D0447">
        <w:rPr>
          <w:rFonts w:ascii="Verdana" w:hAnsi="Verdana" w:cs="Arial"/>
          <w:bCs/>
          <w:color w:val="000000" w:themeColor="text1"/>
          <w:sz w:val="22"/>
          <w:szCs w:val="22"/>
          <w:lang w:eastAsia="es-ES_tradnl"/>
        </w:rPr>
        <w:t>Esto es concordante con el artículo 2-1 de la Ley 80 de 1993</w:t>
      </w:r>
      <w:r w:rsidRPr="003D0447">
        <w:rPr>
          <w:rStyle w:val="Refdenotaalpie"/>
          <w:rFonts w:ascii="Verdana" w:hAnsi="Verdana" w:cs="Arial"/>
          <w:bCs/>
          <w:color w:val="000000" w:themeColor="text1"/>
          <w:sz w:val="22"/>
          <w:szCs w:val="22"/>
          <w:lang w:eastAsia="es-ES_tradnl"/>
        </w:rPr>
        <w:footnoteReference w:id="27"/>
      </w:r>
      <w:r w:rsidRPr="003D0447">
        <w:rPr>
          <w:rFonts w:ascii="Verdana" w:hAnsi="Verdana" w:cs="Arial"/>
          <w:bCs/>
          <w:color w:val="000000" w:themeColor="text1"/>
          <w:sz w:val="22"/>
          <w:szCs w:val="22"/>
          <w:lang w:eastAsia="es-ES_tradnl"/>
        </w:rPr>
        <w:t xml:space="preserve">, que, al enlistar </w:t>
      </w:r>
      <w:r w:rsidRPr="003D0447">
        <w:rPr>
          <w:rFonts w:ascii="Verdana" w:hAnsi="Verdana" w:cs="Arial"/>
          <w:bCs/>
          <w:color w:val="000000" w:themeColor="text1"/>
          <w:sz w:val="22"/>
          <w:szCs w:val="22"/>
          <w:lang w:eastAsia="es-ES_tradnl"/>
        </w:rPr>
        <w:lastRenderedPageBreak/>
        <w:t xml:space="preserve">a los establecimientos públicos dentro de las entidades estatales, incluye a este tipo de entidades dentro del ámbito de aplicación del régimen general de contratación público. Así, el régimen contractual constituye otra importante diferencia entre las </w:t>
      </w:r>
      <w:proofErr w:type="gramStart"/>
      <w:r w:rsidRPr="003D0447">
        <w:rPr>
          <w:rFonts w:ascii="Verdana" w:hAnsi="Verdana" w:cs="Arial"/>
          <w:bCs/>
          <w:color w:val="000000" w:themeColor="text1"/>
          <w:sz w:val="22"/>
          <w:szCs w:val="22"/>
          <w:lang w:eastAsia="es-ES_tradnl"/>
        </w:rPr>
        <w:t>universidades públicas y los establecimientos públicos</w:t>
      </w:r>
      <w:proofErr w:type="gramEnd"/>
      <w:r w:rsidRPr="003D0447">
        <w:rPr>
          <w:rFonts w:ascii="Verdana" w:hAnsi="Verdana" w:cs="Arial"/>
          <w:bCs/>
          <w:color w:val="000000" w:themeColor="text1"/>
          <w:sz w:val="22"/>
          <w:szCs w:val="22"/>
          <w:lang w:eastAsia="es-ES_tradnl"/>
        </w:rPr>
        <w:t xml:space="preserve"> de educación superior, al estar las primeras sometidas a regímenes de derecho privado, en virtud de lo señalado en el artículo 93 de la Ley 30 de 1992, que únicamente se refiere a </w:t>
      </w:r>
      <w:r>
        <w:rPr>
          <w:rFonts w:ascii="Verdana" w:hAnsi="Verdana" w:cs="Arial"/>
          <w:bCs/>
          <w:color w:val="000000" w:themeColor="text1"/>
          <w:sz w:val="22"/>
          <w:szCs w:val="22"/>
          <w:lang w:eastAsia="es-ES_tradnl"/>
        </w:rPr>
        <w:t>“</w:t>
      </w:r>
      <w:r w:rsidRPr="003D0447">
        <w:rPr>
          <w:rFonts w:ascii="Verdana" w:hAnsi="Verdana" w:cs="Arial"/>
          <w:sz w:val="22"/>
          <w:szCs w:val="22"/>
        </w:rPr>
        <w:t>universidades</w:t>
      </w:r>
      <w:r w:rsidRPr="003D0447">
        <w:rPr>
          <w:rFonts w:ascii="Verdana" w:hAnsi="Verdana" w:cs="Arial"/>
          <w:bCs/>
          <w:color w:val="000000" w:themeColor="text1"/>
          <w:sz w:val="22"/>
          <w:szCs w:val="22"/>
          <w:lang w:eastAsia="es-ES_tradnl"/>
        </w:rPr>
        <w:t xml:space="preserve"> estatales u oficiales</w:t>
      </w:r>
      <w:r>
        <w:rPr>
          <w:rFonts w:ascii="Verdana" w:hAnsi="Verdana" w:cs="Arial"/>
          <w:bCs/>
          <w:color w:val="000000" w:themeColor="text1"/>
          <w:sz w:val="22"/>
          <w:szCs w:val="22"/>
          <w:lang w:eastAsia="es-ES_tradnl"/>
        </w:rPr>
        <w:t>”</w:t>
      </w:r>
      <w:r w:rsidRPr="003D0447">
        <w:rPr>
          <w:rFonts w:ascii="Verdana" w:hAnsi="Verdana" w:cs="Arial"/>
          <w:bCs/>
          <w:color w:val="000000" w:themeColor="text1"/>
          <w:sz w:val="22"/>
          <w:szCs w:val="22"/>
          <w:lang w:eastAsia="es-ES_tradnl"/>
        </w:rPr>
        <w:t>, más no a los establecimientos públicos de los que habla el artículo 57 de dicha ley en su parágrafo 1.</w:t>
      </w:r>
    </w:p>
    <w:p w14:paraId="6FFE8A41" w14:textId="77777777" w:rsidR="00D72CE8" w:rsidRPr="003D0447" w:rsidRDefault="00D72CE8" w:rsidP="00D72CE8">
      <w:pPr>
        <w:pStyle w:val="NormalWeb"/>
        <w:spacing w:before="0" w:beforeAutospacing="0" w:after="120" w:afterAutospacing="0" w:line="276" w:lineRule="auto"/>
        <w:ind w:firstLine="708"/>
        <w:jc w:val="both"/>
        <w:rPr>
          <w:rFonts w:ascii="Verdana" w:hAnsi="Verdana" w:cs="Arial"/>
          <w:color w:val="000000"/>
          <w:sz w:val="22"/>
          <w:szCs w:val="22"/>
        </w:rPr>
      </w:pPr>
      <w:r w:rsidRPr="003D0447">
        <w:rPr>
          <w:rFonts w:ascii="Verdana" w:hAnsi="Verdana" w:cs="Arial"/>
          <w:color w:val="000000"/>
          <w:sz w:val="22"/>
          <w:szCs w:val="22"/>
        </w:rPr>
        <w:t xml:space="preserve">Lo anterior resulta relevante para efectos de la consulta, en la medida en que es determinante para establecer el alcance de las prohibiciones contenidas en la Ley de Garantías Electorales, explicadas en párrafos anteriores. De acuerdo con lo explicado sobre las restricciones contractuales establecidas por la Ley 996 de </w:t>
      </w:r>
      <w:r w:rsidRPr="00FD14D9">
        <w:rPr>
          <w:rFonts w:ascii="Verdana" w:hAnsi="Verdana" w:cs="Arial"/>
          <w:color w:val="000000"/>
          <w:sz w:val="22"/>
          <w:szCs w:val="22"/>
        </w:rPr>
        <w:t>2005, resulta</w:t>
      </w:r>
      <w:r w:rsidRPr="003D0447">
        <w:rPr>
          <w:rFonts w:ascii="Verdana" w:hAnsi="Verdana" w:cs="Arial"/>
          <w:color w:val="000000"/>
          <w:sz w:val="22"/>
          <w:szCs w:val="22"/>
        </w:rPr>
        <w:t xml:space="preserve"> palmario que tanto </w:t>
      </w:r>
      <w:proofErr w:type="gramStart"/>
      <w:r w:rsidRPr="003D0447">
        <w:rPr>
          <w:rFonts w:ascii="Verdana" w:hAnsi="Verdana" w:cs="Arial"/>
          <w:color w:val="000000"/>
          <w:sz w:val="22"/>
          <w:szCs w:val="22"/>
        </w:rPr>
        <w:t>universidades públicas como establecimientos públicos</w:t>
      </w:r>
      <w:proofErr w:type="gramEnd"/>
      <w:r w:rsidRPr="003D0447">
        <w:rPr>
          <w:rFonts w:ascii="Verdana" w:hAnsi="Verdana" w:cs="Arial"/>
          <w:color w:val="000000"/>
          <w:sz w:val="22"/>
          <w:szCs w:val="22"/>
        </w:rPr>
        <w:t xml:space="preserve"> educativos, dada su irrefutable calidad de </w:t>
      </w:r>
      <w:r>
        <w:rPr>
          <w:rFonts w:ascii="Verdana" w:hAnsi="Verdana" w:cs="Arial"/>
          <w:color w:val="000000"/>
          <w:sz w:val="22"/>
          <w:szCs w:val="22"/>
        </w:rPr>
        <w:t>“</w:t>
      </w:r>
      <w:r w:rsidRPr="003D0447">
        <w:rPr>
          <w:rFonts w:ascii="Verdana" w:hAnsi="Verdana" w:cs="Arial"/>
          <w:color w:val="000000"/>
          <w:sz w:val="22"/>
          <w:szCs w:val="22"/>
        </w:rPr>
        <w:t>entes del Estado</w:t>
      </w:r>
      <w:r>
        <w:rPr>
          <w:rFonts w:ascii="Verdana" w:hAnsi="Verdana" w:cs="Arial"/>
          <w:color w:val="000000"/>
          <w:sz w:val="22"/>
          <w:szCs w:val="22"/>
        </w:rPr>
        <w:t>”</w:t>
      </w:r>
      <w:r w:rsidRPr="003D0447">
        <w:rPr>
          <w:rFonts w:ascii="Verdana" w:hAnsi="Verdana" w:cs="Arial"/>
          <w:color w:val="000000"/>
          <w:sz w:val="22"/>
          <w:szCs w:val="22"/>
        </w:rPr>
        <w:t>, se encuentran dentro del ámbito material de la restricción del artículo 33. Sin embargo, la diferencia en la naturaleza jurídica de ambos tipos de entidades hace que la conclusión sobre sobre la aplicabilidad de la restricción del artículo 38 sea una para los entes universitarios autónomos y otra para los establecimientos públicos de educación superior.</w:t>
      </w:r>
    </w:p>
    <w:p w14:paraId="130AD6AD" w14:textId="77777777" w:rsidR="00D72CE8" w:rsidRPr="003D0447" w:rsidRDefault="00D72CE8" w:rsidP="00D72CE8">
      <w:pPr>
        <w:pStyle w:val="NormalWeb"/>
        <w:spacing w:before="0" w:beforeAutospacing="0" w:after="120" w:afterAutospacing="0" w:line="276" w:lineRule="auto"/>
        <w:ind w:firstLine="708"/>
        <w:jc w:val="both"/>
        <w:rPr>
          <w:rFonts w:ascii="Verdana" w:hAnsi="Verdana" w:cs="Arial"/>
          <w:color w:val="000000"/>
          <w:sz w:val="22"/>
          <w:szCs w:val="22"/>
        </w:rPr>
      </w:pPr>
      <w:r w:rsidRPr="003D0447">
        <w:rPr>
          <w:rFonts w:ascii="Verdana" w:hAnsi="Verdana" w:cs="Arial"/>
          <w:color w:val="000000"/>
          <w:sz w:val="22"/>
          <w:szCs w:val="22"/>
        </w:rPr>
        <w:t xml:space="preserve"> Conforme se estableció </w:t>
      </w:r>
      <w:r w:rsidRPr="003D0447">
        <w:rPr>
          <w:rFonts w:ascii="Verdana" w:hAnsi="Verdana" w:cs="Arial"/>
          <w:i/>
          <w:iCs/>
          <w:color w:val="000000"/>
          <w:sz w:val="22"/>
          <w:szCs w:val="22"/>
        </w:rPr>
        <w:t>supra</w:t>
      </w:r>
      <w:r w:rsidRPr="003D0447">
        <w:rPr>
          <w:rFonts w:ascii="Verdana" w:hAnsi="Verdana" w:cs="Arial"/>
          <w:color w:val="000000"/>
          <w:sz w:val="22"/>
          <w:szCs w:val="22"/>
        </w:rPr>
        <w:t xml:space="preserve">, la restricción que deriva del primer inciso del parágrafo del artículo 38 tiene como destinatarios a los entes territoriales y sus entidades descentralizadas, lo que excluye de la prohibición a los entes universitarios autónomos que, de acuerdo con lo manifestado en el presente concepto, no son considerados entidades descentralizadas y mucho menos entidades territoriales. Caso contrario ocurre con las instituciones de educación superior constituidas como establecimientos públicos, quienes si constituyen entidades descentralizadas a luz de lo dispuesto en el artículo 68 de la Ley 489 de 1998 y de conformidad con el parágrafo 1 del artículo 57 de la Ley 30 de 1992, pueden estar inscritos en los órdenes nacional, departamental, distrital o </w:t>
      </w:r>
      <w:r w:rsidRPr="003D0447">
        <w:rPr>
          <w:rFonts w:ascii="Verdana" w:hAnsi="Verdana" w:cs="Arial"/>
          <w:color w:val="000000"/>
          <w:sz w:val="22"/>
          <w:szCs w:val="22"/>
        </w:rPr>
        <w:lastRenderedPageBreak/>
        <w:t>municipal, lo que hace forzoso concluir que establecimientos públicos educativos de estos tres últimos órdenes, si estarían cobijados por la restricción del artículo 38, al ser entidades descentralizadas del nivel territorial, sujetos a los que expresamente alude el texto de la restricción como destinatarios de la misma. del nivel territorial–departamental, municipal o distrital–.</w:t>
      </w:r>
    </w:p>
    <w:p w14:paraId="1729E467" w14:textId="6C9F13BF" w:rsidR="0074082E" w:rsidRPr="00D61E29" w:rsidRDefault="00D72CE8" w:rsidP="00960909">
      <w:pPr>
        <w:spacing w:after="0" w:line="270" w:lineRule="atLeast"/>
        <w:ind w:firstLine="708"/>
        <w:jc w:val="both"/>
        <w:rPr>
          <w:rFonts w:ascii="Verdana" w:eastAsia="Times New Roman" w:hAnsi="Verdana" w:cs="Open Sans"/>
          <w:lang w:eastAsia="es-CO"/>
        </w:rPr>
      </w:pPr>
      <w:r w:rsidRPr="003D0447">
        <w:rPr>
          <w:rFonts w:ascii="Verdana" w:hAnsi="Verdana" w:cs="Arial"/>
          <w:bCs/>
          <w:color w:val="000000" w:themeColor="text1"/>
          <w:lang w:eastAsia="es-ES_tradnl"/>
        </w:rPr>
        <w:t xml:space="preserve">Recapitulando entonces lo dicho en los dos párrafos anterior, por un lado, es posible afirmar entonces que, las universidades públicas al igual que las instituciones de educación superior con naturaleza jurídica de establecimiento público, al encontrarse dentro de los destinatarios de la prohibición establecida en el artículo 33, independientemente de sus regímenes de contratación diferentes, en principio, tienen restringida la posibilidad de celebrar contratos de manera directa, durante los cuatro (4) meses anteriores a las elecciones presidenciales, periodo que se extenderá hasta la finalización de la segunda vuelta, cuando sea este el caso.  </w:t>
      </w:r>
      <w:bookmarkEnd w:id="25"/>
      <w:r w:rsidR="0074082E" w:rsidRPr="00D61E29">
        <w:rPr>
          <w:rFonts w:ascii="Verdana" w:eastAsia="Times New Roman" w:hAnsi="Verdana" w:cs="Open Sans"/>
          <w:lang w:eastAsia="es-CO"/>
        </w:rPr>
        <w:t xml:space="preserve">Adicionalmente, el parágrafo del artículo 38 </w:t>
      </w:r>
      <w:r w:rsidR="0074082E" w:rsidRPr="00D61E29">
        <w:rPr>
          <w:rFonts w:ascii="Verdana" w:eastAsia="Calibri" w:hAnsi="Verdana" w:cs="Arial"/>
        </w:rPr>
        <w:t>prevé una restricción, aplicable respecto de cualquier tipo de contienda electoral, como sigue:</w:t>
      </w:r>
    </w:p>
    <w:p w14:paraId="3D2C104B" w14:textId="77777777" w:rsidR="0074082E" w:rsidRDefault="0074082E" w:rsidP="0074082E">
      <w:pPr>
        <w:pStyle w:val="NormalWeb"/>
        <w:spacing w:before="0" w:beforeAutospacing="0" w:after="0" w:afterAutospacing="0" w:line="270" w:lineRule="atLeast"/>
        <w:ind w:left="709" w:right="616"/>
        <w:jc w:val="both"/>
        <w:rPr>
          <w:rStyle w:val="baj"/>
          <w:rFonts w:ascii="Verdana" w:hAnsi="Verdana" w:cs="Open Sans"/>
          <w:b/>
          <w:bCs/>
          <w:sz w:val="20"/>
          <w:szCs w:val="20"/>
        </w:rPr>
      </w:pPr>
    </w:p>
    <w:p w14:paraId="5E79F505" w14:textId="77777777" w:rsidR="0074082E" w:rsidRPr="00D61E29" w:rsidRDefault="0074082E" w:rsidP="0074082E">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07B9B09D" w14:textId="77777777" w:rsidR="0074082E" w:rsidRPr="00D61E29" w:rsidRDefault="0074082E" w:rsidP="0074082E">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 xml:space="preserve">Tampoco podrán inaugurar obras públicas o </w:t>
      </w:r>
      <w:proofErr w:type="gramStart"/>
      <w:r w:rsidRPr="00D61E29">
        <w:rPr>
          <w:rFonts w:ascii="Verdana" w:hAnsi="Verdana" w:cs="Open Sans"/>
          <w:sz w:val="20"/>
          <w:szCs w:val="20"/>
        </w:rPr>
        <w:t>dar inicio a</w:t>
      </w:r>
      <w:proofErr w:type="gramEnd"/>
      <w:r w:rsidRPr="00D61E29">
        <w:rPr>
          <w:rFonts w:ascii="Verdana" w:hAnsi="Verdana" w:cs="Open Sans"/>
          <w:sz w:val="20"/>
          <w:szCs w:val="20"/>
        </w:rPr>
        <w:t xml:space="preserve">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79B92ACF" w14:textId="77777777" w:rsidR="0074082E" w:rsidRPr="00D61E29" w:rsidRDefault="0074082E" w:rsidP="0074082E">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4FAC34BE" w14:textId="77777777" w:rsidR="0074082E" w:rsidRPr="00D61E29" w:rsidRDefault="0074082E" w:rsidP="0074082E">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p>
    <w:p w14:paraId="1C704C72" w14:textId="77777777" w:rsidR="0074082E" w:rsidRDefault="0074082E" w:rsidP="0074082E">
      <w:pPr>
        <w:widowControl w:val="0"/>
        <w:autoSpaceDE w:val="0"/>
        <w:autoSpaceDN w:val="0"/>
        <w:spacing w:after="0" w:line="276" w:lineRule="auto"/>
        <w:ind w:right="113"/>
        <w:contextualSpacing/>
        <w:jc w:val="both"/>
      </w:pPr>
    </w:p>
    <w:p w14:paraId="1B3168B7" w14:textId="77777777" w:rsidR="0074082E" w:rsidRPr="00775AB1" w:rsidRDefault="0074082E" w:rsidP="0074082E">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lastRenderedPageBreak/>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26"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26"/>
    </w:p>
    <w:p w14:paraId="518AE9E7" w14:textId="77777777" w:rsidR="0074082E" w:rsidRPr="00D61E29" w:rsidRDefault="0074082E" w:rsidP="0074082E">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593C3050" w14:textId="77777777" w:rsidR="0074082E" w:rsidRPr="00D61E29" w:rsidRDefault="0074082E" w:rsidP="0074082E">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75164E64" w14:textId="77777777" w:rsidR="0074082E" w:rsidRPr="00D61E29" w:rsidRDefault="0074082E" w:rsidP="0074082E">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D61E29">
        <w:rPr>
          <w:rFonts w:ascii="Verdana" w:eastAsia="Arial" w:hAnsi="Verdana" w:cs="Arial"/>
          <w:sz w:val="20"/>
          <w:szCs w:val="20"/>
          <w:lang w:eastAsia="es-ES" w:bidi="es-ES"/>
        </w:rPr>
        <w:t>Presidente</w:t>
      </w:r>
      <w:proofErr w:type="gramEnd"/>
      <w:r w:rsidRPr="00D61E29">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28"/>
      </w:r>
    </w:p>
    <w:p w14:paraId="73CA50A8" w14:textId="77777777" w:rsidR="0074082E" w:rsidRPr="00D61E29" w:rsidRDefault="0074082E" w:rsidP="0074082E">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33852076" w14:textId="77777777" w:rsidR="0074082E" w:rsidRPr="00B3605D" w:rsidRDefault="0074082E" w:rsidP="0074082E">
      <w:pPr>
        <w:tabs>
          <w:tab w:val="left" w:pos="8080"/>
        </w:tabs>
        <w:spacing w:after="0" w:line="276" w:lineRule="auto"/>
        <w:ind w:firstLine="709"/>
        <w:jc w:val="both"/>
        <w:rPr>
          <w:rFonts w:ascii="Verdana" w:hAnsi="Verdana"/>
        </w:rPr>
      </w:pPr>
      <w:r>
        <w:rPr>
          <w:rFonts w:ascii="Verdana" w:eastAsia="Times New Roman" w:hAnsi="Verdana" w:cs="Arial"/>
          <w:lang w:val="es-ES" w:eastAsia="es-ES_tradnl"/>
        </w:rPr>
        <w:t xml:space="preserve">Adicionalmente, en relación con las modificaciones contractuales </w:t>
      </w:r>
      <w:r w:rsidRPr="00B3605D">
        <w:rPr>
          <w:rFonts w:ascii="Verdana" w:eastAsia="Times New Roman" w:hAnsi="Verdana" w:cs="Open Sans"/>
          <w:lang w:eastAsia="es-CO"/>
        </w:rPr>
        <w:t>se resalta el numeral 16.5 de la Circular Externa Única</w:t>
      </w:r>
      <w:r w:rsidRPr="00B3605D">
        <w:rPr>
          <w:rStyle w:val="Refdenotaalpie"/>
          <w:rFonts w:ascii="Verdana" w:eastAsia="Times New Roman" w:hAnsi="Verdana" w:cs="Open Sans"/>
          <w:lang w:eastAsia="es-CO"/>
        </w:rPr>
        <w:footnoteReference w:id="29"/>
      </w:r>
      <w:r w:rsidRPr="00B3605D">
        <w:rPr>
          <w:rFonts w:ascii="Verdana" w:eastAsia="Times New Roman" w:hAnsi="Verdana" w:cs="Open Sans"/>
          <w:lang w:eastAsia="es-CO"/>
        </w:rPr>
        <w:t xml:space="preserve"> de la </w:t>
      </w:r>
      <w:r w:rsidRPr="00B3605D">
        <w:rPr>
          <w:rFonts w:ascii="Verdana" w:hAnsi="Verdana"/>
        </w:rPr>
        <w:t>Agencia Nacional de Contratación Pública -Colombia Compra Eficiente, como sigue:</w:t>
      </w:r>
    </w:p>
    <w:p w14:paraId="153B2A35" w14:textId="77777777" w:rsidR="0074082E" w:rsidRPr="00C05384" w:rsidRDefault="0074082E" w:rsidP="0074082E">
      <w:pPr>
        <w:spacing w:after="0" w:line="276" w:lineRule="auto"/>
        <w:ind w:left="708" w:right="616"/>
        <w:jc w:val="both"/>
        <w:rPr>
          <w:rFonts w:ascii="Verdana" w:hAnsi="Verdana"/>
        </w:rPr>
      </w:pPr>
    </w:p>
    <w:p w14:paraId="19CEF6D8" w14:textId="77777777" w:rsidR="0074082E" w:rsidRPr="00B3605D" w:rsidRDefault="0074082E" w:rsidP="0074082E">
      <w:pPr>
        <w:spacing w:after="0" w:line="240" w:lineRule="auto"/>
        <w:ind w:left="709" w:right="709"/>
        <w:jc w:val="both"/>
        <w:rPr>
          <w:rFonts w:ascii="Verdana" w:hAnsi="Verdana"/>
          <w:sz w:val="20"/>
          <w:szCs w:val="20"/>
        </w:rPr>
      </w:pPr>
      <w:r w:rsidRPr="00B3605D">
        <w:rPr>
          <w:rFonts w:ascii="Verdana" w:hAnsi="Verdana"/>
          <w:sz w:val="20"/>
          <w:szCs w:val="20"/>
        </w:rPr>
        <w:t xml:space="preserve">La Ley de Garantías no establece restricciones para las prórrogas, modificaciones o adiciones, y la cesión de los contratos suscritos antes del periodo electoral, siempre que tales prórrogas, modificaciones, adiciones </w:t>
      </w:r>
      <w:r w:rsidRPr="00B3605D">
        <w:rPr>
          <w:rFonts w:ascii="Verdana" w:hAnsi="Verdana"/>
          <w:sz w:val="20"/>
          <w:szCs w:val="20"/>
        </w:rPr>
        <w:lastRenderedPageBreak/>
        <w:t xml:space="preserve">y cesiones cumplan los principios de planeación, transparencia y responsabilidad. </w:t>
      </w:r>
    </w:p>
    <w:p w14:paraId="33E069CD" w14:textId="77777777" w:rsidR="0074082E" w:rsidRDefault="0074082E" w:rsidP="0074082E">
      <w:pPr>
        <w:spacing w:after="0" w:line="240" w:lineRule="auto"/>
        <w:ind w:left="709" w:right="709"/>
        <w:jc w:val="both"/>
        <w:rPr>
          <w:rFonts w:ascii="Verdana" w:hAnsi="Verdana"/>
          <w:sz w:val="20"/>
          <w:szCs w:val="20"/>
        </w:rPr>
      </w:pPr>
      <w:r w:rsidRPr="00B3605D">
        <w:rPr>
          <w:rFonts w:ascii="Verdana" w:hAnsi="Verdana"/>
          <w:sz w:val="20"/>
          <w:szCs w:val="20"/>
        </w:rPr>
        <w:t>En este sentido,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4347B331" w14:textId="77777777" w:rsidR="0074082E" w:rsidRPr="00FC54ED" w:rsidRDefault="0074082E" w:rsidP="0074082E">
      <w:pPr>
        <w:spacing w:after="0" w:line="240" w:lineRule="auto"/>
        <w:ind w:left="709" w:right="709"/>
        <w:jc w:val="both"/>
        <w:rPr>
          <w:rFonts w:ascii="Verdana" w:eastAsia="Times New Roman" w:hAnsi="Verdana" w:cs="Open Sans"/>
          <w:sz w:val="20"/>
          <w:szCs w:val="20"/>
          <w:lang w:eastAsia="es-CO"/>
        </w:rPr>
      </w:pPr>
    </w:p>
    <w:p w14:paraId="30B230D9" w14:textId="77777777" w:rsidR="0074082E" w:rsidRDefault="0074082E" w:rsidP="0074082E">
      <w:pPr>
        <w:spacing w:after="120" w:line="276" w:lineRule="auto"/>
        <w:ind w:firstLine="708"/>
        <w:jc w:val="both"/>
        <w:rPr>
          <w:rFonts w:ascii="Verdana" w:eastAsia="Times New Roman" w:hAnsi="Verdana" w:cs="Arial"/>
          <w:bCs/>
          <w:lang w:val="es-MX" w:eastAsia="es-CO"/>
        </w:rPr>
      </w:pPr>
      <w:r w:rsidRPr="00B3605D">
        <w:rPr>
          <w:rFonts w:ascii="Verdana" w:eastAsia="Arial" w:hAnsi="Verdana" w:cs="Arial"/>
          <w:lang w:val="es-ES" w:eastAsia="es-ES" w:bidi="es-ES"/>
        </w:rPr>
        <w:t xml:space="preserve">En conclusión, </w:t>
      </w:r>
      <w:r w:rsidRPr="00B3605D">
        <w:rPr>
          <w:rFonts w:ascii="Verdana" w:eastAsia="Times New Roman" w:hAnsi="Verdana" w:cs="Arial"/>
          <w:bCs/>
          <w:lang w:val="es-MX" w:eastAsia="es-CO"/>
        </w:rPr>
        <w:t xml:space="preserve">como en otras oportunidades </w:t>
      </w:r>
      <w:r w:rsidRPr="00894384">
        <w:rPr>
          <w:rFonts w:ascii="Verdana" w:eastAsia="Times New Roman" w:hAnsi="Verdana" w:cs="Arial"/>
          <w:bCs/>
          <w:lang w:val="es-MX" w:eastAsia="es-CO"/>
        </w:rPr>
        <w:t>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w:t>
      </w:r>
      <w:r>
        <w:rPr>
          <w:rFonts w:ascii="Verdana" w:eastAsia="Times New Roman" w:hAnsi="Verdana" w:cs="Arial"/>
          <w:bCs/>
          <w:lang w:val="es-MX" w:eastAsia="es-CO"/>
        </w:rPr>
        <w:t xml:space="preserve"> las disposiciones que rigen dichas actuaciones así como</w:t>
      </w:r>
      <w:r w:rsidRPr="00894384">
        <w:rPr>
          <w:rFonts w:ascii="Verdana" w:eastAsia="Times New Roman" w:hAnsi="Verdana" w:cs="Arial"/>
          <w:bCs/>
          <w:lang w:val="es-MX" w:eastAsia="es-CO"/>
        </w:rPr>
        <w:t xml:space="preserve"> los principios de planeación, transparencia y responsabilidad. </w:t>
      </w:r>
    </w:p>
    <w:p w14:paraId="3F08CAB3" w14:textId="77777777" w:rsidR="0074082E" w:rsidRDefault="0074082E" w:rsidP="0074082E">
      <w:pPr>
        <w:autoSpaceDE w:val="0"/>
        <w:autoSpaceDN w:val="0"/>
        <w:adjustRightInd w:val="0"/>
        <w:spacing w:after="0" w:line="240" w:lineRule="auto"/>
        <w:ind w:firstLine="708"/>
        <w:jc w:val="both"/>
        <w:rPr>
          <w:rFonts w:ascii="Verdana" w:hAnsi="Verdana" w:cs="BCDHEE+Verdana"/>
          <w:color w:val="000000"/>
        </w:rPr>
      </w:pPr>
      <w:r w:rsidRPr="00947721">
        <w:rPr>
          <w:rFonts w:ascii="Verdana" w:hAnsi="Verdana" w:cs="BCDHEE+Verdana"/>
          <w:color w:val="000000"/>
        </w:rPr>
        <w:t xml:space="preserve">Finalmente, sobre las fechas en que aplica la Ley de garantías, se debe tener en cuenta que el Consejo Nacional Electoral mediante Resolución No. 2581 del 5 de marzo de 2025 fijó el calendario electoral para las elecciones al Congreso de la República que serán el 8 de marzo de 2026, en esa medida, de acuerdo con el artículo 38 de la Ley 996 de 2005, la restricción iniciaría el 8 de noviembre de 2025, es decir, 4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2D4DE0DB" w14:textId="77777777" w:rsidR="00D80AD7" w:rsidRPr="00947721" w:rsidRDefault="00D80AD7" w:rsidP="0074082E">
      <w:pPr>
        <w:autoSpaceDE w:val="0"/>
        <w:autoSpaceDN w:val="0"/>
        <w:adjustRightInd w:val="0"/>
        <w:spacing w:after="0" w:line="240" w:lineRule="auto"/>
        <w:ind w:firstLine="708"/>
        <w:jc w:val="both"/>
        <w:rPr>
          <w:rFonts w:ascii="Verdana" w:hAnsi="Verdana" w:cs="BCDHEE+Verdana"/>
          <w:color w:val="000000"/>
        </w:rPr>
      </w:pPr>
    </w:p>
    <w:p w14:paraId="4F551503" w14:textId="77777777" w:rsidR="0074082E" w:rsidRPr="005D7599" w:rsidRDefault="0074082E" w:rsidP="0074082E">
      <w:pPr>
        <w:spacing w:after="120" w:line="276" w:lineRule="auto"/>
        <w:ind w:firstLine="708"/>
        <w:jc w:val="both"/>
        <w:rPr>
          <w:rFonts w:ascii="Verdana" w:eastAsia="Times New Roman" w:hAnsi="Verdana" w:cs="Arial"/>
          <w:bCs/>
          <w:lang w:val="es-ES" w:eastAsia="es-CO"/>
        </w:rPr>
      </w:pPr>
      <w:r w:rsidRPr="00DE5508">
        <w:rPr>
          <w:rFonts w:ascii="Verdana" w:hAnsi="Verdana" w:cs="BCDHEE+Verdana"/>
          <w:color w:val="000000"/>
        </w:rPr>
        <w:t>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queda prohibida la contratación directa por parte de todos los entes del Estado</w:t>
      </w:r>
      <w:r>
        <w:rPr>
          <w:rFonts w:ascii="BCDHEE+Verdana" w:hAnsi="BCDHEE+Verdana" w:cs="BCDHEE+Verdana"/>
          <w:color w:val="000000"/>
        </w:rPr>
        <w:t>.</w:t>
      </w:r>
    </w:p>
    <w:p w14:paraId="31BD9A47" w14:textId="3A0C3950" w:rsidR="00D72CE8" w:rsidRDefault="0074082E" w:rsidP="00960909">
      <w:pPr>
        <w:widowControl w:val="0"/>
        <w:autoSpaceDE w:val="0"/>
        <w:autoSpaceDN w:val="0"/>
        <w:spacing w:after="0" w:line="276" w:lineRule="auto"/>
        <w:ind w:right="176" w:firstLine="708"/>
        <w:jc w:val="both"/>
        <w:rPr>
          <w:rFonts w:ascii="Verdana" w:eastAsia="Calibri" w:hAnsi="Verdana" w:cs="Arial"/>
          <w:lang w:eastAsia="es-ES"/>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xml:space="preserve">, en ejercicio de su competencia y previa valoración de los elementos fácticos y jurídicos, así </w:t>
      </w:r>
      <w:r w:rsidRPr="00E61635">
        <w:rPr>
          <w:rFonts w:ascii="Verdana" w:hAnsi="Verdana"/>
        </w:rPr>
        <w:lastRenderedPageBreak/>
        <w:t>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1D463B8" w14:textId="77777777" w:rsidR="00D72CE8" w:rsidRPr="00EA7EA8" w:rsidRDefault="00D72CE8" w:rsidP="00D72CE8">
      <w:pPr>
        <w:spacing w:after="0" w:line="276" w:lineRule="auto"/>
        <w:jc w:val="both"/>
        <w:rPr>
          <w:rFonts w:ascii="Verdana" w:eastAsia="Calibri" w:hAnsi="Verdana" w:cs="Arial"/>
        </w:rPr>
      </w:pPr>
    </w:p>
    <w:p w14:paraId="5C026016" w14:textId="77777777" w:rsidR="00D72CE8" w:rsidRPr="00D20014" w:rsidRDefault="00D72CE8" w:rsidP="00D72CE8">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Referencias normativas, jurisprudenciales y otras fuentes:</w:t>
      </w:r>
    </w:p>
    <w:p w14:paraId="622D0874" w14:textId="77777777" w:rsidR="00D72CE8" w:rsidRPr="00D20014" w:rsidRDefault="00D72CE8" w:rsidP="00D72CE8">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72CE8" w:rsidRPr="00D20014" w14:paraId="698C3681" w14:textId="77777777" w:rsidTr="009D42F9">
        <w:trPr>
          <w:trHeight w:val="440"/>
        </w:trPr>
        <w:tc>
          <w:tcPr>
            <w:tcW w:w="8647" w:type="dxa"/>
          </w:tcPr>
          <w:p w14:paraId="49DA4D2E" w14:textId="77777777" w:rsidR="00960909" w:rsidRPr="00B3605D" w:rsidRDefault="00960909" w:rsidP="00960909">
            <w:pPr>
              <w:widowControl w:val="0"/>
              <w:numPr>
                <w:ilvl w:val="0"/>
                <w:numId w:val="19"/>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56CFAE2F" w14:textId="77777777" w:rsidR="00960909" w:rsidRPr="00274DBA" w:rsidRDefault="00960909" w:rsidP="00960909">
            <w:pPr>
              <w:widowControl w:val="0"/>
              <w:numPr>
                <w:ilvl w:val="0"/>
                <w:numId w:val="19"/>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7A21FE36" w14:textId="0E1DC894" w:rsidR="00E16CA5" w:rsidRDefault="00E16CA5" w:rsidP="00960909">
            <w:pPr>
              <w:widowControl w:val="0"/>
              <w:numPr>
                <w:ilvl w:val="0"/>
                <w:numId w:val="17"/>
              </w:numPr>
              <w:autoSpaceDE w:val="0"/>
              <w:autoSpaceDN w:val="0"/>
              <w:spacing w:after="120"/>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w:t>
            </w:r>
            <w:proofErr w:type="spellStart"/>
            <w:r w:rsidRPr="00B3605D">
              <w:rPr>
                <w:rFonts w:ascii="Verdana" w:eastAsia="Arial MT" w:hAnsi="Verdana" w:cs="Arial"/>
                <w:lang w:val="es-ES" w:eastAsia="es-ES" w:bidi="es-ES"/>
              </w:rPr>
              <w:t>Namén</w:t>
            </w:r>
            <w:proofErr w:type="spellEnd"/>
            <w:r w:rsidRPr="00B3605D">
              <w:rPr>
                <w:rFonts w:ascii="Verdana" w:eastAsia="Arial MT" w:hAnsi="Verdana" w:cs="Arial"/>
                <w:lang w:val="es-ES" w:eastAsia="es-ES" w:bidi="es-ES"/>
              </w:rPr>
              <w:t xml:space="preserve"> Vargas.</w:t>
            </w:r>
          </w:p>
          <w:p w14:paraId="2B9AB7DC" w14:textId="64D929B5" w:rsidR="00E16CA5" w:rsidRPr="00960909" w:rsidRDefault="00E16CA5" w:rsidP="00960909">
            <w:pPr>
              <w:widowControl w:val="0"/>
              <w:numPr>
                <w:ilvl w:val="0"/>
                <w:numId w:val="17"/>
              </w:numPr>
              <w:autoSpaceDE w:val="0"/>
              <w:autoSpaceDN w:val="0"/>
              <w:spacing w:after="120"/>
              <w:jc w:val="both"/>
              <w:rPr>
                <w:rFonts w:ascii="Verdana" w:eastAsia="Arial MT" w:hAnsi="Verdana" w:cs="Arial"/>
                <w:lang w:val="es-ES" w:eastAsia="es-ES" w:bidi="es-ES"/>
              </w:rPr>
            </w:pPr>
            <w:r w:rsidRPr="00E16CA5">
              <w:rPr>
                <w:rFonts w:ascii="Verdana" w:eastAsia="Calibri" w:hAnsi="Verdana" w:cs="Arial"/>
              </w:rPr>
              <w:t xml:space="preserve">Agencia Nacional de Contratación Pública – </w:t>
            </w:r>
            <w:r w:rsidRPr="00E16CA5">
              <w:rPr>
                <w:rFonts w:ascii="Verdana" w:hAnsi="Verdana"/>
              </w:rPr>
              <w:t>Colombia Compra Eficiente. Circular Externa Única. Numeral 16.5.</w:t>
            </w:r>
          </w:p>
        </w:tc>
      </w:tr>
    </w:tbl>
    <w:p w14:paraId="4313ECEC" w14:textId="77777777" w:rsidR="00D72CE8" w:rsidRPr="00D20014" w:rsidRDefault="00D72CE8" w:rsidP="00960909">
      <w:pPr>
        <w:widowControl w:val="0"/>
        <w:autoSpaceDE w:val="0"/>
        <w:autoSpaceDN w:val="0"/>
        <w:spacing w:after="0" w:line="240" w:lineRule="auto"/>
        <w:jc w:val="both"/>
        <w:rPr>
          <w:rFonts w:ascii="Verdana" w:eastAsia="Aptos" w:hAnsi="Verdana" w:cs="Arial"/>
        </w:rPr>
      </w:pPr>
    </w:p>
    <w:p w14:paraId="6E74EF73" w14:textId="77777777" w:rsidR="00D72CE8" w:rsidRPr="00D20014" w:rsidRDefault="00D72CE8" w:rsidP="00D72CE8">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Doctrina de la Agencia Nacional de Contratación Pública:</w:t>
      </w:r>
    </w:p>
    <w:p w14:paraId="17130731" w14:textId="77777777" w:rsidR="00D72CE8" w:rsidRPr="00D20014" w:rsidRDefault="00D72CE8" w:rsidP="00D72CE8">
      <w:pPr>
        <w:widowControl w:val="0"/>
        <w:autoSpaceDE w:val="0"/>
        <w:autoSpaceDN w:val="0"/>
        <w:spacing w:after="0" w:line="276" w:lineRule="auto"/>
        <w:jc w:val="both"/>
        <w:rPr>
          <w:rFonts w:ascii="Verdana" w:eastAsia="Aptos" w:hAnsi="Verdana" w:cs="Arial"/>
        </w:rPr>
      </w:pPr>
    </w:p>
    <w:p w14:paraId="412E8C1B" w14:textId="733445F8" w:rsidR="00291EF7" w:rsidRPr="00FE3C84" w:rsidRDefault="00291EF7" w:rsidP="00291EF7">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w:t>
      </w:r>
      <w:proofErr w:type="gramStart"/>
      <w:r>
        <w:rPr>
          <w:rFonts w:ascii="Verdana" w:hAnsi="Verdana" w:cs="Arial"/>
          <w:shd w:val="clear" w:color="auto" w:fill="FFFFFF"/>
          <w:lang w:val="es-ES"/>
        </w:rPr>
        <w:t>2025  y</w:t>
      </w:r>
      <w:proofErr w:type="gramEnd"/>
      <w:r>
        <w:rPr>
          <w:rFonts w:ascii="Verdana" w:hAnsi="Verdana" w:cs="Arial"/>
          <w:shd w:val="clear" w:color="auto" w:fill="FFFFFF"/>
          <w:lang w:val="es-ES"/>
        </w:rPr>
        <w:t xml:space="preserve"> 1112 de 2025,</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1"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4D877A30" w14:textId="77777777" w:rsidR="00D72CE8" w:rsidRPr="00D20014" w:rsidRDefault="00D72CE8" w:rsidP="00D72CE8">
      <w:pPr>
        <w:spacing w:after="0" w:line="240" w:lineRule="auto"/>
        <w:jc w:val="both"/>
        <w:rPr>
          <w:rFonts w:ascii="Verdana" w:eastAsia="Calibri" w:hAnsi="Verdana" w:cs="Arial"/>
          <w:color w:val="000000"/>
          <w:shd w:val="clear" w:color="auto" w:fill="FFFFFF"/>
        </w:rPr>
      </w:pPr>
    </w:p>
    <w:p w14:paraId="6167734E" w14:textId="77777777" w:rsidR="00D72CE8" w:rsidRPr="0097735F" w:rsidRDefault="00D72CE8" w:rsidP="00D72CE8">
      <w:pPr>
        <w:shd w:val="clear" w:color="auto" w:fill="FFFFFF"/>
        <w:spacing w:after="0" w:line="276" w:lineRule="auto"/>
        <w:jc w:val="both"/>
        <w:rPr>
          <w:rFonts w:ascii="Verdana" w:hAnsi="Verdana"/>
          <w:color w:val="467886"/>
          <w:u w:val="single"/>
        </w:rPr>
      </w:pPr>
      <w:r w:rsidRPr="0097735F">
        <w:rPr>
          <w:rFonts w:ascii="Verdana" w:hAnsi="Verdana"/>
          <w:color w:val="000000"/>
        </w:rPr>
        <w:t>Te informamos que ya se encuentra disponible la </w:t>
      </w:r>
      <w:r w:rsidRPr="0097735F">
        <w:rPr>
          <w:rFonts w:ascii="Verdana" w:hAnsi="Verdana"/>
          <w:b/>
          <w:bCs/>
          <w:color w:val="000000"/>
        </w:rPr>
        <w:t>Guía de lineamientos de transparencia y selección objetiva para el departamento de La Guajira – Objetivo sexto constitucional de la Sentencia T-302 del 2017. </w:t>
      </w:r>
      <w:r w:rsidRPr="0097735F">
        <w:rPr>
          <w:rFonts w:ascii="Verdana" w:hAnsi="Verdana"/>
          <w:color w:val="000000"/>
        </w:rPr>
        <w:t xml:space="preserve">Esta Guía se expedide en el marco del cumplimiento de la orden proferida por la Honorable </w:t>
      </w:r>
      <w:r w:rsidRPr="0097735F">
        <w:rPr>
          <w:rFonts w:ascii="Verdana" w:hAnsi="Verdana"/>
          <w:color w:val="000000"/>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7735F">
        <w:rPr>
          <w:rFonts w:ascii="Verdana" w:hAnsi="Verdana"/>
          <w:color w:val="000000"/>
        </w:rPr>
        <w:t>Wayúu</w:t>
      </w:r>
      <w:proofErr w:type="spellEnd"/>
      <w:r w:rsidRPr="0097735F">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97735F">
          <w:rPr>
            <w:rFonts w:ascii="Verdana" w:hAnsi="Verdana"/>
            <w:color w:val="0000FF"/>
            <w:u w:val="single"/>
          </w:rPr>
          <w:t>Guía de lineamientos de transparencia y selección objetiva para el departamento de La Guajira – Objetivo sexto constitucional de la Sentencia T-302 del 2017</w:t>
        </w:r>
      </w:hyperlink>
      <w:r w:rsidRPr="0097735F">
        <w:rPr>
          <w:rFonts w:ascii="Verdana" w:hAnsi="Verdana"/>
          <w:color w:val="000000"/>
          <w:u w:val="single"/>
        </w:rPr>
        <w:t>".</w:t>
      </w:r>
    </w:p>
    <w:p w14:paraId="58BF5871" w14:textId="77777777" w:rsidR="00D72CE8" w:rsidRPr="00D20014" w:rsidRDefault="00D72CE8" w:rsidP="00D72CE8">
      <w:pPr>
        <w:widowControl w:val="0"/>
        <w:autoSpaceDE w:val="0"/>
        <w:autoSpaceDN w:val="0"/>
        <w:spacing w:after="0" w:line="276" w:lineRule="auto"/>
        <w:jc w:val="both"/>
        <w:rPr>
          <w:rFonts w:ascii="Verdana" w:eastAsia="Aptos" w:hAnsi="Verdana" w:cs="Arial"/>
          <w:color w:val="FF0000"/>
          <w:shd w:val="clear" w:color="auto" w:fill="FFFFFF"/>
          <w:lang w:val="es-ES"/>
        </w:rPr>
      </w:pPr>
    </w:p>
    <w:p w14:paraId="3FB0D07A" w14:textId="77777777" w:rsidR="00D72CE8" w:rsidRPr="00D20014" w:rsidRDefault="00D72CE8" w:rsidP="00D72CE8">
      <w:pPr>
        <w:widowControl w:val="0"/>
        <w:autoSpaceDE w:val="0"/>
        <w:autoSpaceDN w:val="0"/>
        <w:spacing w:after="0" w:line="276" w:lineRule="auto"/>
        <w:jc w:val="both"/>
        <w:rPr>
          <w:rFonts w:ascii="Verdana" w:eastAsia="Aptos" w:hAnsi="Verdana" w:cs="Arial"/>
          <w:lang w:val="es-ES_tradnl"/>
        </w:rPr>
      </w:pPr>
      <w:r w:rsidRPr="00D20014">
        <w:rPr>
          <w:rFonts w:ascii="Verdana" w:eastAsia="Aptos" w:hAnsi="Verdana" w:cs="Arial"/>
        </w:rPr>
        <w:t xml:space="preserve">Este concepto tiene el alcance previsto en el artículo 28 del Código de Procedimiento Administrativo y de lo Contencioso Administrativo </w:t>
      </w:r>
      <w:r w:rsidRPr="00D20014">
        <w:rPr>
          <w:rFonts w:ascii="Verdana" w:eastAsia="Aptos" w:hAnsi="Verdana" w:cs="Arial"/>
          <w:lang w:val="es-ES_tradnl"/>
        </w:rPr>
        <w:t>y las expresiones aquí utilizadas con mayúscula inicial deben ser entendidas con el significado que les otorga el artículo 2.2.1.1.1.3.1. del Decreto 1082 de 2015.</w:t>
      </w:r>
    </w:p>
    <w:p w14:paraId="7D3AA199" w14:textId="77777777" w:rsidR="00D72CE8" w:rsidRPr="00D20014" w:rsidRDefault="00D72CE8" w:rsidP="00D72CE8">
      <w:pPr>
        <w:widowControl w:val="0"/>
        <w:autoSpaceDE w:val="0"/>
        <w:autoSpaceDN w:val="0"/>
        <w:spacing w:after="0" w:line="276" w:lineRule="auto"/>
        <w:jc w:val="both"/>
        <w:rPr>
          <w:rFonts w:ascii="Verdana" w:eastAsia="Aptos" w:hAnsi="Verdana" w:cs="Arial"/>
        </w:rPr>
      </w:pPr>
    </w:p>
    <w:p w14:paraId="4D565D26" w14:textId="77777777" w:rsidR="00D72CE8" w:rsidRDefault="00D72CE8" w:rsidP="00D72CE8">
      <w:pPr>
        <w:spacing w:after="0" w:line="276" w:lineRule="auto"/>
        <w:jc w:val="both"/>
        <w:rPr>
          <w:rFonts w:ascii="Verdana" w:hAnsi="Verdana"/>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5404A4F" w14:textId="435E23BC" w:rsidR="00D72CE8" w:rsidRPr="00AC6E46" w:rsidRDefault="00E81E13" w:rsidP="00D72CE8">
      <w:pPr>
        <w:spacing w:line="276" w:lineRule="auto"/>
        <w:jc w:val="center"/>
        <w:rPr>
          <w:rFonts w:ascii="Verdana" w:hAnsi="Verdana"/>
          <w:noProof/>
        </w:rPr>
      </w:pPr>
      <w:r>
        <w:rPr>
          <w:rFonts w:ascii="Verdana" w:hAnsi="Verdana"/>
          <w:noProof/>
        </w:rPr>
        <w:drawing>
          <wp:inline distT="0" distB="0" distL="0" distR="0" wp14:anchorId="0D8DC0BC" wp14:editId="04704DFF">
            <wp:extent cx="3639058" cy="1343212"/>
            <wp:effectExtent l="0" t="0" r="0" b="0"/>
            <wp:docPr id="155854817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548176"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72CE8" w:rsidRPr="00593A5F" w14:paraId="1853B37C" w14:textId="77777777" w:rsidTr="009D42F9">
        <w:trPr>
          <w:trHeight w:val="315"/>
        </w:trPr>
        <w:tc>
          <w:tcPr>
            <w:tcW w:w="893" w:type="dxa"/>
            <w:vAlign w:val="center"/>
            <w:hideMark/>
          </w:tcPr>
          <w:p w14:paraId="0E6F6177" w14:textId="77777777" w:rsidR="00D72CE8" w:rsidRPr="003751C7" w:rsidRDefault="00D72CE8" w:rsidP="009D42F9">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1FABE83" w14:textId="77777777" w:rsidR="00D72CE8" w:rsidRPr="007911EE" w:rsidRDefault="00D72CE8" w:rsidP="009D42F9">
            <w:pPr>
              <w:contextualSpacing/>
              <w:rPr>
                <w:rFonts w:ascii="Verdana" w:hAnsi="Verdana"/>
                <w:sz w:val="16"/>
                <w:szCs w:val="16"/>
              </w:rPr>
            </w:pPr>
            <w:r>
              <w:rPr>
                <w:rFonts w:ascii="Verdana" w:hAnsi="Verdana"/>
                <w:sz w:val="16"/>
                <w:szCs w:val="16"/>
              </w:rPr>
              <w:t>Gloria Elizabeth Arango Builes</w:t>
            </w:r>
          </w:p>
          <w:p w14:paraId="6B6B8ED7" w14:textId="77777777" w:rsidR="00D72CE8" w:rsidRPr="007911EE" w:rsidRDefault="00D72CE8" w:rsidP="009D42F9">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D72CE8" w:rsidRPr="00593A5F" w14:paraId="4C80A84C" w14:textId="77777777" w:rsidTr="009D42F9">
        <w:trPr>
          <w:trHeight w:val="330"/>
        </w:trPr>
        <w:tc>
          <w:tcPr>
            <w:tcW w:w="893" w:type="dxa"/>
            <w:vAlign w:val="center"/>
            <w:hideMark/>
          </w:tcPr>
          <w:p w14:paraId="5E196CBE" w14:textId="77777777" w:rsidR="00D72CE8" w:rsidRPr="003751C7" w:rsidRDefault="00D72CE8" w:rsidP="009D42F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06DA6EB" w14:textId="77777777" w:rsidR="00D72CE8" w:rsidRDefault="00D72CE8" w:rsidP="009D42F9">
            <w:pPr>
              <w:spacing w:line="276" w:lineRule="auto"/>
              <w:contextualSpacing/>
              <w:jc w:val="both"/>
              <w:rPr>
                <w:rFonts w:ascii="Verdana" w:hAnsi="Verdana"/>
                <w:sz w:val="16"/>
                <w:szCs w:val="16"/>
              </w:rPr>
            </w:pPr>
            <w:r>
              <w:rPr>
                <w:rFonts w:ascii="Verdana" w:hAnsi="Verdana"/>
                <w:sz w:val="16"/>
                <w:szCs w:val="16"/>
              </w:rPr>
              <w:t xml:space="preserve">Juan Carlos González Vásquez </w:t>
            </w:r>
          </w:p>
          <w:p w14:paraId="59A93C71" w14:textId="77777777" w:rsidR="00D72CE8" w:rsidRPr="007911EE" w:rsidRDefault="00D72CE8" w:rsidP="009D42F9">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D72CE8" w:rsidRPr="00593A5F" w14:paraId="746F7D7B" w14:textId="77777777" w:rsidTr="009D42F9">
        <w:trPr>
          <w:trHeight w:val="330"/>
        </w:trPr>
        <w:tc>
          <w:tcPr>
            <w:tcW w:w="893" w:type="dxa"/>
            <w:vAlign w:val="center"/>
          </w:tcPr>
          <w:p w14:paraId="7EC53F00" w14:textId="77777777" w:rsidR="00D72CE8" w:rsidRPr="003751C7" w:rsidRDefault="00D72CE8" w:rsidP="009D42F9">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00EE992" w14:textId="77777777" w:rsidR="00D72CE8" w:rsidRPr="00EB1CF7" w:rsidRDefault="00D72CE8" w:rsidP="009D42F9">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07236893" w14:textId="77777777" w:rsidR="00D72CE8" w:rsidRDefault="00D72CE8" w:rsidP="009D42F9">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 xml:space="preserve"> ANCP – CCE</w:t>
            </w:r>
          </w:p>
        </w:tc>
      </w:tr>
    </w:tbl>
    <w:p w14:paraId="742DCCB8" w14:textId="77777777" w:rsidR="00D72CE8" w:rsidRPr="00EA6F8B" w:rsidRDefault="00D72CE8" w:rsidP="00D72CE8"/>
    <w:p w14:paraId="1C13A48F" w14:textId="77777777" w:rsidR="00D72CE8" w:rsidRPr="00EA7EA8" w:rsidRDefault="00D72CE8" w:rsidP="00D72CE8"/>
    <w:p w14:paraId="389CC336" w14:textId="77777777" w:rsidR="00D72CE8" w:rsidRPr="00A43CCC" w:rsidRDefault="00D72CE8" w:rsidP="00D72CE8"/>
    <w:p w14:paraId="70F9D079" w14:textId="77777777" w:rsidR="00D72CE8" w:rsidRPr="00E967B6" w:rsidRDefault="00D72CE8" w:rsidP="00D72CE8"/>
    <w:p w14:paraId="3ABF9457" w14:textId="77777777" w:rsidR="00D72CE8" w:rsidRPr="00B570E4" w:rsidRDefault="00D72CE8" w:rsidP="00D72CE8"/>
    <w:p w14:paraId="0F293BF4" w14:textId="2EFB8FFA" w:rsidR="00127233" w:rsidRPr="00C44D31" w:rsidRDefault="00127233" w:rsidP="00C44D31"/>
    <w:sectPr w:rsidR="00127233" w:rsidRPr="00C44D31"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316CC" w14:textId="77777777" w:rsidR="008B1743" w:rsidRDefault="008B1743" w:rsidP="004A1847">
      <w:pPr>
        <w:spacing w:after="0" w:line="240" w:lineRule="auto"/>
      </w:pPr>
      <w:r>
        <w:separator/>
      </w:r>
    </w:p>
  </w:endnote>
  <w:endnote w:type="continuationSeparator" w:id="0">
    <w:p w14:paraId="4D5B2D29" w14:textId="77777777" w:rsidR="008B1743" w:rsidRDefault="008B1743" w:rsidP="004A1847">
      <w:pPr>
        <w:spacing w:after="0" w:line="240" w:lineRule="auto"/>
      </w:pPr>
      <w:r>
        <w:continuationSeparator/>
      </w:r>
    </w:p>
  </w:endnote>
  <w:endnote w:type="continuationNotice" w:id="1">
    <w:p w14:paraId="65C2F43D" w14:textId="77777777" w:rsidR="008B1743" w:rsidRDefault="008B17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CDHEE+Verdana">
    <w:altName w:val="Verdana"/>
    <w:panose1 w:val="00000000000000000000"/>
    <w:charset w:val="00"/>
    <w:family w:val="swiss"/>
    <w:notTrueType/>
    <w:pitch w:val="default"/>
    <w:sig w:usb0="00000003" w:usb1="00000000" w:usb2="00000000" w:usb3="00000000" w:csb0="00000001"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Geomanist Bold">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976DE8" w14:textId="77777777" w:rsidR="008B1743" w:rsidRDefault="008B1743" w:rsidP="004A1847">
      <w:pPr>
        <w:spacing w:after="0" w:line="240" w:lineRule="auto"/>
      </w:pPr>
      <w:r>
        <w:separator/>
      </w:r>
    </w:p>
  </w:footnote>
  <w:footnote w:type="continuationSeparator" w:id="0">
    <w:p w14:paraId="61DA6662" w14:textId="77777777" w:rsidR="008B1743" w:rsidRDefault="008B1743" w:rsidP="004A1847">
      <w:pPr>
        <w:spacing w:after="0" w:line="240" w:lineRule="auto"/>
      </w:pPr>
      <w:r>
        <w:continuationSeparator/>
      </w:r>
    </w:p>
  </w:footnote>
  <w:footnote w:type="continuationNotice" w:id="1">
    <w:p w14:paraId="3702F2CD" w14:textId="77777777" w:rsidR="008B1743" w:rsidRDefault="008B1743">
      <w:pPr>
        <w:spacing w:after="0" w:line="240" w:lineRule="auto"/>
      </w:pPr>
    </w:p>
  </w:footnote>
  <w:footnote w:id="2">
    <w:p w14:paraId="50887797" w14:textId="77777777" w:rsidR="00D72CE8" w:rsidRPr="009B20C5" w:rsidRDefault="00D72CE8" w:rsidP="00D72CE8">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El artículo 127 de la Constitución Política señala: </w:t>
      </w:r>
      <w:r>
        <w:rPr>
          <w:rFonts w:ascii="Verdana" w:hAnsi="Verdana" w:cs="Arial"/>
          <w:sz w:val="16"/>
          <w:szCs w:val="16"/>
        </w:rPr>
        <w:t>“</w:t>
      </w:r>
      <w:r w:rsidRPr="009B20C5">
        <w:rPr>
          <w:rFonts w:ascii="Verdana" w:hAnsi="Verdana" w:cs="Arial"/>
          <w:sz w:val="16"/>
          <w:szCs w:val="16"/>
        </w:rPr>
        <w:t xml:space="preserve">Los servidores públicos no podrán celebrar, por si o por interpuesta persona, o en representación de otro, contrato alguno con entidades públicas o con personas privadas que manejen o administren recursos públicos, salvo las excepciones legales. </w:t>
      </w:r>
    </w:p>
    <w:p w14:paraId="1E60BC84" w14:textId="77777777" w:rsidR="00D72CE8" w:rsidRDefault="00D72CE8" w:rsidP="00D72CE8">
      <w:pPr>
        <w:pStyle w:val="Textonotapie"/>
        <w:ind w:firstLine="709"/>
        <w:jc w:val="both"/>
        <w:rPr>
          <w:rFonts w:ascii="Verdana" w:hAnsi="Verdana" w:cs="Arial"/>
          <w:sz w:val="16"/>
          <w:szCs w:val="16"/>
        </w:rPr>
      </w:pPr>
      <w:r w:rsidRPr="009B20C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r>
        <w:rPr>
          <w:rFonts w:ascii="Verdana" w:hAnsi="Verdana" w:cs="Arial"/>
          <w:sz w:val="16"/>
          <w:szCs w:val="16"/>
        </w:rPr>
        <w:t>”</w:t>
      </w:r>
      <w:r w:rsidRPr="0069134B">
        <w:rPr>
          <w:rFonts w:ascii="Verdana" w:hAnsi="Verdana" w:cs="Arial"/>
          <w:sz w:val="16"/>
          <w:szCs w:val="16"/>
        </w:rPr>
        <w:t>.</w:t>
      </w:r>
    </w:p>
    <w:p w14:paraId="002CD392" w14:textId="77777777" w:rsidR="00D72CE8" w:rsidRPr="009B20C5" w:rsidRDefault="00D72CE8" w:rsidP="00D72CE8">
      <w:pPr>
        <w:pStyle w:val="Textonotapie"/>
        <w:ind w:firstLine="709"/>
        <w:jc w:val="both"/>
        <w:rPr>
          <w:rFonts w:ascii="Verdana" w:hAnsi="Verdana" w:cs="Arial"/>
          <w:sz w:val="16"/>
          <w:szCs w:val="16"/>
        </w:rPr>
      </w:pPr>
    </w:p>
  </w:footnote>
  <w:footnote w:id="3">
    <w:p w14:paraId="52BD43AE" w14:textId="77777777" w:rsidR="00D72CE8" w:rsidRPr="009B20C5" w:rsidRDefault="00D72CE8" w:rsidP="00D72CE8">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Gaceta del Congreso de la República No. 71 del 2005.</w:t>
      </w:r>
    </w:p>
    <w:p w14:paraId="41DA5A88" w14:textId="77777777" w:rsidR="00D72CE8" w:rsidRPr="009B20C5" w:rsidRDefault="00D72CE8" w:rsidP="00D72CE8">
      <w:pPr>
        <w:pStyle w:val="Textonotapie"/>
        <w:ind w:firstLine="709"/>
        <w:jc w:val="both"/>
        <w:rPr>
          <w:rFonts w:ascii="Verdana" w:hAnsi="Verdana" w:cs="Arial"/>
          <w:sz w:val="16"/>
          <w:szCs w:val="16"/>
        </w:rPr>
      </w:pPr>
    </w:p>
  </w:footnote>
  <w:footnote w:id="4">
    <w:p w14:paraId="70CFDFFB" w14:textId="77777777" w:rsidR="00D72CE8" w:rsidRDefault="00D72CE8" w:rsidP="00D72CE8">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 C- 1153 de 2005, M.P. Marco Gerardo Monroy Cabra.</w:t>
      </w:r>
    </w:p>
    <w:p w14:paraId="71D09272" w14:textId="77777777" w:rsidR="00D72CE8" w:rsidRPr="009B20C5" w:rsidRDefault="00D72CE8" w:rsidP="00D72CE8">
      <w:pPr>
        <w:pStyle w:val="Textonotapie"/>
        <w:ind w:firstLine="709"/>
        <w:jc w:val="both"/>
        <w:rPr>
          <w:rFonts w:ascii="Verdana" w:hAnsi="Verdana" w:cs="Arial"/>
          <w:sz w:val="16"/>
          <w:szCs w:val="16"/>
        </w:rPr>
      </w:pPr>
    </w:p>
  </w:footnote>
  <w:footnote w:id="5">
    <w:p w14:paraId="698F1FC4" w14:textId="77777777" w:rsidR="00D72CE8" w:rsidRDefault="00D72CE8" w:rsidP="00D72CE8">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32C281E3" w14:textId="77777777" w:rsidR="00D72CE8" w:rsidRPr="009B20C5" w:rsidRDefault="00D72CE8" w:rsidP="00D72CE8">
      <w:pPr>
        <w:pStyle w:val="Textonotapie"/>
        <w:ind w:firstLine="709"/>
        <w:jc w:val="both"/>
        <w:rPr>
          <w:rFonts w:ascii="Verdana" w:hAnsi="Verdana" w:cs="Arial"/>
          <w:sz w:val="16"/>
          <w:szCs w:val="16"/>
        </w:rPr>
      </w:pPr>
    </w:p>
  </w:footnote>
  <w:footnote w:id="6">
    <w:p w14:paraId="6AFDB994" w14:textId="77777777" w:rsidR="00D72CE8" w:rsidRDefault="00D72CE8" w:rsidP="00D72CE8">
      <w:pPr>
        <w:pStyle w:val="Textonotapie"/>
        <w:ind w:firstLine="709"/>
        <w:jc w:val="both"/>
        <w:rPr>
          <w:rFonts w:ascii="Verdana" w:hAnsi="Verdana" w:cs="Arial"/>
          <w:sz w:val="16"/>
          <w:szCs w:val="16"/>
          <w:lang w:val="es-CO"/>
        </w:rPr>
      </w:pPr>
      <w:r w:rsidRPr="009B20C5">
        <w:rPr>
          <w:rStyle w:val="Refdenotaalpie"/>
          <w:rFonts w:ascii="Verdana" w:hAnsi="Verdana" w:cs="Arial"/>
          <w:sz w:val="16"/>
          <w:szCs w:val="16"/>
        </w:rPr>
        <w:footnoteRef/>
      </w:r>
      <w:r w:rsidRPr="009B20C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r w:rsidRPr="0069134B">
        <w:rPr>
          <w:rFonts w:ascii="Verdana" w:hAnsi="Verdana" w:cs="Arial"/>
          <w:sz w:val="16"/>
          <w:szCs w:val="16"/>
          <w:lang w:val="es-CO"/>
        </w:rPr>
        <w:t>.</w:t>
      </w:r>
      <w:r>
        <w:rPr>
          <w:rFonts w:ascii="Verdana" w:hAnsi="Verdana" w:cs="Arial"/>
          <w:sz w:val="16"/>
          <w:szCs w:val="16"/>
          <w:lang w:val="es-CO"/>
        </w:rPr>
        <w:t>.</w:t>
      </w:r>
    </w:p>
    <w:p w14:paraId="22C553FC" w14:textId="77777777" w:rsidR="00D72CE8" w:rsidRPr="009B20C5" w:rsidRDefault="00D72CE8" w:rsidP="00D72CE8">
      <w:pPr>
        <w:pStyle w:val="Textonotapie"/>
        <w:ind w:firstLine="709"/>
        <w:jc w:val="both"/>
        <w:rPr>
          <w:rFonts w:ascii="Verdana" w:hAnsi="Verdana" w:cs="Arial"/>
          <w:sz w:val="16"/>
          <w:szCs w:val="16"/>
          <w:lang w:val="es-CO"/>
        </w:rPr>
      </w:pPr>
    </w:p>
  </w:footnote>
  <w:footnote w:id="7">
    <w:p w14:paraId="0733AFB6" w14:textId="77777777" w:rsidR="00D72CE8" w:rsidRDefault="00D72CE8" w:rsidP="00D72CE8">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de fecha 24 de julio de 2013, radicado 2166, Consejero Ponente: Álvaro Namén Vargas.  </w:t>
      </w:r>
    </w:p>
    <w:p w14:paraId="64E87F54" w14:textId="77777777" w:rsidR="00D72CE8" w:rsidRPr="009B20C5" w:rsidRDefault="00D72CE8" w:rsidP="00D72CE8">
      <w:pPr>
        <w:pStyle w:val="Textonotapie"/>
        <w:ind w:firstLine="709"/>
        <w:jc w:val="both"/>
        <w:rPr>
          <w:rFonts w:ascii="Verdana" w:hAnsi="Verdana" w:cs="Arial"/>
          <w:sz w:val="16"/>
          <w:szCs w:val="16"/>
        </w:rPr>
      </w:pPr>
    </w:p>
  </w:footnote>
  <w:footnote w:id="8">
    <w:p w14:paraId="4669ABC8" w14:textId="77777777" w:rsidR="00D72CE8" w:rsidRDefault="00D72CE8" w:rsidP="00D72CE8">
      <w:pPr>
        <w:spacing w:after="0" w:line="240" w:lineRule="auto"/>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17 de febrero de 2015. C.P. William Zambrano Cetina. Radicación No. 11001-03-06-000-2015-00164-00(2269).</w:t>
      </w:r>
    </w:p>
    <w:p w14:paraId="5EEFF192" w14:textId="77777777" w:rsidR="00D72CE8" w:rsidRPr="0069134B" w:rsidRDefault="00D72CE8" w:rsidP="00D72CE8">
      <w:pPr>
        <w:spacing w:after="0" w:line="240" w:lineRule="auto"/>
        <w:ind w:firstLine="709"/>
        <w:jc w:val="both"/>
        <w:rPr>
          <w:rFonts w:ascii="Verdana" w:hAnsi="Verdana" w:cs="Arial"/>
          <w:sz w:val="16"/>
          <w:szCs w:val="16"/>
          <w:lang w:val="es-ES"/>
        </w:rPr>
      </w:pPr>
    </w:p>
  </w:footnote>
  <w:footnote w:id="9">
    <w:p w14:paraId="361346AE" w14:textId="77777777" w:rsidR="00D72CE8" w:rsidRPr="009B20C5" w:rsidRDefault="00D72CE8" w:rsidP="00D72CE8">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9" w:name="_Hlk74272731"/>
      <w:r>
        <w:rPr>
          <w:rFonts w:ascii="Verdana" w:hAnsi="Verdana" w:cs="Arial"/>
          <w:sz w:val="16"/>
          <w:szCs w:val="16"/>
        </w:rPr>
        <w:t>“</w:t>
      </w:r>
      <w:bookmarkEnd w:id="9"/>
      <w:r w:rsidRPr="009B20C5">
        <w:rPr>
          <w:rFonts w:ascii="Verdana" w:hAnsi="Verdana" w:cs="Arial"/>
          <w:sz w:val="16"/>
          <w:szCs w:val="16"/>
          <w:lang w:val="es-ES"/>
        </w:rPr>
        <w:t xml:space="preserve">[25] </w:t>
      </w:r>
      <w:r w:rsidRPr="009B20C5">
        <w:rPr>
          <w:rFonts w:ascii="Verdana" w:hAnsi="Verdana" w:cs="Arial"/>
          <w:sz w:val="16"/>
          <w:szCs w:val="16"/>
        </w:rPr>
        <w:t>Cfr. Consejo de Estado. Sección Tercera. Sentencia de 3 de diciembre de 2007. Radicados: 24.715, 25.206, 25.409, 24.524, 27.834, 25.410, 26.105, 28.244, 31.447 -acumulados</w:t>
      </w:r>
      <w:r w:rsidRPr="0069134B">
        <w:rPr>
          <w:rFonts w:ascii="Verdana" w:hAnsi="Verdana" w:cs="Arial"/>
          <w:sz w:val="16"/>
          <w:szCs w:val="16"/>
        </w:rPr>
        <w:t>-</w:t>
      </w:r>
      <w:bookmarkStart w:id="10" w:name="_Hlk74271358"/>
      <w:r>
        <w:rPr>
          <w:rFonts w:ascii="Verdana" w:hAnsi="Verdana" w:cs="Arial"/>
          <w:sz w:val="16"/>
          <w:szCs w:val="16"/>
        </w:rPr>
        <w:t>“</w:t>
      </w:r>
      <w:bookmarkEnd w:id="10"/>
      <w:r w:rsidRPr="0069134B">
        <w:rPr>
          <w:rFonts w:ascii="Verdana" w:hAnsi="Verdana" w:cs="Arial"/>
          <w:sz w:val="16"/>
          <w:szCs w:val="16"/>
        </w:rPr>
        <w:t>.</w:t>
      </w:r>
    </w:p>
  </w:footnote>
  <w:footnote w:id="10">
    <w:p w14:paraId="1C8B567B" w14:textId="77777777" w:rsidR="00D72CE8" w:rsidRDefault="00D72CE8" w:rsidP="00D72CE8">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Al respecto ver el concepto 1712 de 2 de febrero de 2006. Consejo de Estado Sala de Consulta y Servicio Civil</w:t>
      </w:r>
    </w:p>
    <w:p w14:paraId="28817B49" w14:textId="77777777" w:rsidR="00D72CE8" w:rsidRPr="009B20C5" w:rsidRDefault="00D72CE8" w:rsidP="00D72CE8">
      <w:pPr>
        <w:pStyle w:val="Textonotapie"/>
        <w:ind w:firstLine="709"/>
        <w:jc w:val="both"/>
        <w:rPr>
          <w:rFonts w:ascii="Verdana" w:hAnsi="Verdana" w:cs="Arial"/>
          <w:sz w:val="16"/>
          <w:szCs w:val="16"/>
        </w:rPr>
      </w:pPr>
      <w:r w:rsidRPr="0069134B">
        <w:rPr>
          <w:rFonts w:ascii="Verdana" w:hAnsi="Verdana" w:cs="Arial"/>
          <w:sz w:val="16"/>
          <w:szCs w:val="16"/>
        </w:rPr>
        <w:t>.</w:t>
      </w:r>
    </w:p>
  </w:footnote>
  <w:footnote w:id="11">
    <w:p w14:paraId="0A6367C1" w14:textId="77777777" w:rsidR="00D72CE8" w:rsidRDefault="00D72CE8" w:rsidP="00D72CE8">
      <w:pPr>
        <w:pStyle w:val="Textonotapie"/>
        <w:ind w:firstLine="709"/>
        <w:jc w:val="both"/>
        <w:rPr>
          <w:rFonts w:ascii="Verdana" w:hAnsi="Verdana" w:cs="Arial"/>
          <w:sz w:val="16"/>
          <w:szCs w:val="16"/>
        </w:rPr>
      </w:pPr>
      <w:r w:rsidRPr="0069134B">
        <w:rPr>
          <w:rStyle w:val="Refdenotaalpie"/>
          <w:rFonts w:ascii="Verdana" w:hAnsi="Verdana" w:cs="Arial"/>
          <w:sz w:val="16"/>
          <w:szCs w:val="16"/>
        </w:rPr>
        <w:footnoteRef/>
      </w:r>
      <w:r w:rsidRPr="0069134B">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22900E7D" w14:textId="77777777" w:rsidR="00D72CE8" w:rsidRPr="0069134B" w:rsidRDefault="00D72CE8" w:rsidP="00D72CE8">
      <w:pPr>
        <w:pStyle w:val="Textonotapie"/>
        <w:ind w:firstLine="709"/>
        <w:jc w:val="both"/>
        <w:rPr>
          <w:rFonts w:ascii="Verdana" w:hAnsi="Verdana" w:cs="Arial"/>
          <w:sz w:val="16"/>
          <w:szCs w:val="16"/>
        </w:rPr>
      </w:pPr>
    </w:p>
  </w:footnote>
  <w:footnote w:id="12">
    <w:p w14:paraId="0B888DCE" w14:textId="77777777" w:rsidR="00D72CE8" w:rsidRPr="009B20C5" w:rsidRDefault="00D72CE8" w:rsidP="00D72CE8">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sz w:val="16"/>
          <w:szCs w:val="16"/>
          <w:lang w:val="es-ES"/>
        </w:rPr>
        <w:t>Artículo 2.</w:t>
      </w:r>
    </w:p>
  </w:footnote>
  <w:footnote w:id="13">
    <w:p w14:paraId="10B4DAC0" w14:textId="77777777" w:rsidR="00D72CE8" w:rsidRDefault="00D72CE8" w:rsidP="00D72CE8">
      <w:pPr>
        <w:pStyle w:val="Textonotapie"/>
        <w:ind w:firstLine="709"/>
        <w:jc w:val="both"/>
        <w:rPr>
          <w:rFonts w:ascii="Verdana" w:hAnsi="Verdana" w:cs="Arial"/>
          <w:sz w:val="16"/>
          <w:szCs w:val="16"/>
        </w:rPr>
      </w:pPr>
    </w:p>
    <w:p w14:paraId="0538B319" w14:textId="77777777" w:rsidR="00D72CE8" w:rsidRPr="009B20C5" w:rsidRDefault="00D72CE8" w:rsidP="00D72CE8">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i/>
          <w:sz w:val="16"/>
          <w:szCs w:val="16"/>
          <w:lang w:val="es-ES"/>
        </w:rPr>
        <w:t>Ídem</w:t>
      </w:r>
      <w:r w:rsidRPr="009B20C5">
        <w:rPr>
          <w:rFonts w:ascii="Verdana" w:hAnsi="Verdana" w:cs="Arial"/>
          <w:sz w:val="16"/>
          <w:szCs w:val="16"/>
          <w:lang w:val="es-ES"/>
        </w:rPr>
        <w:t>.</w:t>
      </w:r>
    </w:p>
  </w:footnote>
  <w:footnote w:id="14">
    <w:p w14:paraId="6B3B7429" w14:textId="77777777" w:rsidR="00D72CE8" w:rsidRPr="009B20C5" w:rsidRDefault="00D72CE8" w:rsidP="00D72CE8">
      <w:pPr>
        <w:pStyle w:val="Textonotapie"/>
        <w:ind w:firstLine="709"/>
        <w:jc w:val="both"/>
        <w:rPr>
          <w:rFonts w:ascii="Verdana" w:hAnsi="Verdana" w:cs="Arial"/>
          <w:sz w:val="16"/>
          <w:szCs w:val="16"/>
        </w:rPr>
      </w:pPr>
    </w:p>
    <w:p w14:paraId="62E43DEE" w14:textId="77777777" w:rsidR="00D72CE8" w:rsidRDefault="00D72CE8" w:rsidP="00D72CE8">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r w:rsidRPr="009B20C5">
        <w:rPr>
          <w:rFonts w:ascii="Verdana" w:hAnsi="Verdana" w:cs="Arial"/>
          <w:sz w:val="16"/>
          <w:szCs w:val="16"/>
          <w:lang w:val="es-ES"/>
        </w:rPr>
        <w:t xml:space="preserve">[…] A este respecto, cabe recordar que el artículo 860 del Código de Comercio regula la licitación en el derecho privado. </w:t>
      </w:r>
    </w:p>
    <w:p w14:paraId="6928C92C" w14:textId="77777777" w:rsidR="00D72CE8" w:rsidRPr="009B20C5" w:rsidRDefault="00D72CE8" w:rsidP="00D72CE8">
      <w:pPr>
        <w:pStyle w:val="Textonotapie"/>
        <w:ind w:firstLine="709"/>
        <w:jc w:val="both"/>
        <w:rPr>
          <w:rFonts w:ascii="Verdana" w:hAnsi="Verdana" w:cs="Arial"/>
          <w:sz w:val="16"/>
          <w:szCs w:val="16"/>
          <w:lang w:val="es-ES"/>
        </w:rPr>
      </w:pPr>
    </w:p>
  </w:footnote>
  <w:footnote w:id="15">
    <w:p w14:paraId="5CBA8489" w14:textId="77777777" w:rsidR="00D72CE8" w:rsidRDefault="00D72CE8" w:rsidP="00D72CE8">
      <w:pPr>
        <w:shd w:val="clear" w:color="auto" w:fill="FFFFFF"/>
        <w:spacing w:after="0" w:line="240" w:lineRule="auto"/>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r w:rsidRPr="009B20C5">
        <w:rPr>
          <w:rFonts w:ascii="Verdana" w:hAnsi="Verdana" w:cs="Arial"/>
          <w:sz w:val="16"/>
          <w:szCs w:val="16"/>
          <w:lang w:val="es-ES"/>
        </w:rPr>
        <w:t>Consejo de Estado. Sala de Consulta y Servicio Civil, Concepto de 8 de mayo de 2018. Radicación Número: 11001-03-06-000-2018-00095-00(2382). Consejero Ponente: Álvaro Namén Vargas.</w:t>
      </w:r>
    </w:p>
    <w:p w14:paraId="7A7B56A8" w14:textId="77777777" w:rsidR="00D72CE8" w:rsidRPr="009B20C5" w:rsidRDefault="00D72CE8" w:rsidP="00D72CE8">
      <w:pPr>
        <w:shd w:val="clear" w:color="auto" w:fill="FFFFFF"/>
        <w:spacing w:after="0" w:line="240" w:lineRule="auto"/>
        <w:ind w:firstLine="709"/>
        <w:jc w:val="both"/>
        <w:rPr>
          <w:rFonts w:ascii="Verdana" w:hAnsi="Verdana" w:cs="Arial"/>
          <w:sz w:val="16"/>
          <w:szCs w:val="16"/>
          <w:lang w:val="es-ES"/>
        </w:rPr>
      </w:pPr>
    </w:p>
  </w:footnote>
  <w:footnote w:id="16">
    <w:p w14:paraId="68B85188" w14:textId="77777777" w:rsidR="00D72CE8" w:rsidRDefault="00D72CE8" w:rsidP="00D72CE8">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08 de mayo de 2018. Exp. 2.382. C.P. Álvaro Namén Vargas.</w:t>
      </w:r>
    </w:p>
    <w:p w14:paraId="021CBAD5" w14:textId="77777777" w:rsidR="00D72CE8" w:rsidRPr="009B20C5" w:rsidRDefault="00D72CE8" w:rsidP="00D72CE8">
      <w:pPr>
        <w:pStyle w:val="Textonotapie"/>
        <w:ind w:firstLine="709"/>
        <w:jc w:val="both"/>
        <w:rPr>
          <w:rFonts w:ascii="Verdana" w:hAnsi="Verdana" w:cs="Arial"/>
          <w:sz w:val="16"/>
          <w:szCs w:val="16"/>
        </w:rPr>
      </w:pPr>
    </w:p>
  </w:footnote>
  <w:footnote w:id="17">
    <w:p w14:paraId="23382A7D" w14:textId="77777777" w:rsidR="00D72CE8" w:rsidRDefault="00D72CE8" w:rsidP="00D72CE8">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3CC2BE3A" w14:textId="77777777" w:rsidR="00D72CE8" w:rsidRPr="009B20C5" w:rsidRDefault="00D72CE8" w:rsidP="00D72CE8">
      <w:pPr>
        <w:pStyle w:val="Textonotapie"/>
        <w:ind w:firstLine="709"/>
        <w:jc w:val="both"/>
        <w:rPr>
          <w:rFonts w:ascii="Verdana" w:hAnsi="Verdana" w:cs="Arial"/>
          <w:sz w:val="16"/>
          <w:szCs w:val="16"/>
        </w:rPr>
      </w:pPr>
    </w:p>
  </w:footnote>
  <w:footnote w:id="18">
    <w:p w14:paraId="1608861F" w14:textId="77777777" w:rsidR="00D72CE8" w:rsidRDefault="00D72CE8" w:rsidP="00D72CE8">
      <w:pPr>
        <w:spacing w:after="0" w:line="240" w:lineRule="auto"/>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600E1EF0" w14:textId="77777777" w:rsidR="00D72CE8" w:rsidRPr="009B20C5" w:rsidRDefault="00D72CE8" w:rsidP="00D72CE8">
      <w:pPr>
        <w:spacing w:after="0" w:line="240" w:lineRule="auto"/>
        <w:ind w:firstLine="709"/>
        <w:jc w:val="both"/>
        <w:rPr>
          <w:rFonts w:ascii="Verdana" w:hAnsi="Verdana" w:cs="Arial"/>
          <w:sz w:val="16"/>
          <w:szCs w:val="16"/>
        </w:rPr>
      </w:pPr>
    </w:p>
  </w:footnote>
  <w:footnote w:id="19">
    <w:p w14:paraId="6AC44C04" w14:textId="77777777" w:rsidR="00D72CE8" w:rsidRPr="00857B8F" w:rsidRDefault="00D72CE8" w:rsidP="00D72CE8">
      <w:pPr>
        <w:pStyle w:val="Textonotapie"/>
        <w:ind w:firstLine="709"/>
        <w:jc w:val="both"/>
        <w:rPr>
          <w:rFonts w:ascii="Verdana" w:hAnsi="Verdana" w:cs="Arial"/>
          <w:color w:val="000000" w:themeColor="text1"/>
          <w:sz w:val="16"/>
          <w:szCs w:val="16"/>
        </w:rPr>
      </w:pPr>
    </w:p>
  </w:footnote>
  <w:footnote w:id="20">
    <w:p w14:paraId="07A52C25" w14:textId="77777777" w:rsidR="00D72CE8" w:rsidRPr="00857B8F" w:rsidRDefault="00D72CE8" w:rsidP="00D72CE8">
      <w:pPr>
        <w:pStyle w:val="Textonotapie"/>
        <w:ind w:firstLine="709"/>
        <w:jc w:val="both"/>
        <w:rPr>
          <w:rFonts w:ascii="Verdana" w:hAnsi="Verdana" w:cs="Arial"/>
          <w:color w:val="000000" w:themeColor="text1"/>
          <w:sz w:val="16"/>
          <w:szCs w:val="16"/>
          <w:lang w:val="es-ES"/>
        </w:rPr>
      </w:pPr>
    </w:p>
  </w:footnote>
  <w:footnote w:id="21">
    <w:p w14:paraId="669B3020" w14:textId="77777777" w:rsidR="00D72CE8" w:rsidRPr="00857B8F" w:rsidRDefault="00D72CE8" w:rsidP="00D72CE8">
      <w:pPr>
        <w:pStyle w:val="Textonotapie"/>
        <w:ind w:firstLine="709"/>
        <w:jc w:val="both"/>
        <w:rPr>
          <w:rFonts w:ascii="Verdana" w:hAnsi="Verdana" w:cs="Arial"/>
          <w:color w:val="000000" w:themeColor="text1"/>
          <w:sz w:val="16"/>
          <w:szCs w:val="16"/>
        </w:rPr>
      </w:pPr>
    </w:p>
  </w:footnote>
  <w:footnote w:id="22">
    <w:p w14:paraId="6A922DAA" w14:textId="77777777" w:rsidR="00D72CE8" w:rsidRPr="00857B8F" w:rsidRDefault="00D72CE8" w:rsidP="00D72CE8">
      <w:pPr>
        <w:ind w:right="106" w:firstLine="708"/>
        <w:jc w:val="both"/>
        <w:rPr>
          <w:rFonts w:ascii="Verdana" w:hAnsi="Verdana" w:cs="Arial"/>
          <w:color w:val="000000" w:themeColor="text1"/>
          <w:sz w:val="16"/>
          <w:szCs w:val="16"/>
        </w:rPr>
      </w:pPr>
    </w:p>
  </w:footnote>
  <w:footnote w:id="23">
    <w:p w14:paraId="04EEBE22" w14:textId="77777777" w:rsidR="00D72CE8" w:rsidRPr="00857B8F" w:rsidRDefault="00D72CE8" w:rsidP="00D72CE8">
      <w:pPr>
        <w:ind w:right="106" w:firstLine="708"/>
        <w:jc w:val="both"/>
        <w:rPr>
          <w:rFonts w:ascii="Verdana" w:hAnsi="Verdana" w:cs="Arial"/>
          <w:color w:val="000000" w:themeColor="text1"/>
          <w:sz w:val="16"/>
          <w:szCs w:val="16"/>
        </w:rPr>
      </w:pPr>
    </w:p>
  </w:footnote>
  <w:footnote w:id="24">
    <w:p w14:paraId="5600DCFE" w14:textId="77777777" w:rsidR="00D72CE8" w:rsidRPr="00857B8F" w:rsidRDefault="00D72CE8" w:rsidP="00D72CE8">
      <w:pPr>
        <w:spacing w:after="0" w:line="240" w:lineRule="auto"/>
        <w:ind w:firstLine="709"/>
        <w:jc w:val="both"/>
        <w:rPr>
          <w:rFonts w:ascii="Verdana" w:hAnsi="Verdana" w:cs="Arial"/>
          <w:color w:val="000000" w:themeColor="text1"/>
          <w:sz w:val="16"/>
          <w:szCs w:val="16"/>
        </w:rPr>
      </w:pPr>
    </w:p>
  </w:footnote>
  <w:footnote w:id="25">
    <w:p w14:paraId="7A2AD06A" w14:textId="77777777" w:rsidR="00D72CE8" w:rsidRPr="00857B8F" w:rsidRDefault="00D72CE8" w:rsidP="00D72CE8">
      <w:pPr>
        <w:pStyle w:val="Textonotapie"/>
        <w:ind w:firstLine="709"/>
        <w:jc w:val="both"/>
        <w:rPr>
          <w:rFonts w:ascii="Verdana" w:hAnsi="Verdana" w:cs="Arial"/>
          <w:color w:val="000000" w:themeColor="text1"/>
          <w:sz w:val="16"/>
          <w:szCs w:val="16"/>
        </w:rPr>
      </w:pPr>
    </w:p>
  </w:footnote>
  <w:footnote w:id="26">
    <w:p w14:paraId="578A7209" w14:textId="77777777" w:rsidR="00D72CE8" w:rsidRPr="003D0447" w:rsidRDefault="00D72CE8" w:rsidP="00D72CE8">
      <w:pPr>
        <w:spacing w:after="0" w:line="240" w:lineRule="auto"/>
        <w:ind w:firstLine="709"/>
        <w:jc w:val="both"/>
        <w:rPr>
          <w:rFonts w:ascii="Verdana" w:hAnsi="Verdana" w:cs="Arial"/>
          <w:sz w:val="16"/>
          <w:szCs w:val="16"/>
        </w:rPr>
      </w:pPr>
    </w:p>
  </w:footnote>
  <w:footnote w:id="27">
    <w:p w14:paraId="7545A31A" w14:textId="77777777" w:rsidR="00D72CE8" w:rsidRPr="003D0447" w:rsidRDefault="00D72CE8" w:rsidP="00D72CE8">
      <w:pPr>
        <w:pStyle w:val="Textonotapie"/>
        <w:ind w:firstLine="709"/>
        <w:jc w:val="both"/>
        <w:rPr>
          <w:rFonts w:ascii="Verdana" w:hAnsi="Verdana" w:cs="Arial"/>
          <w:sz w:val="16"/>
          <w:szCs w:val="16"/>
        </w:rPr>
      </w:pPr>
      <w:r w:rsidRPr="003D0447">
        <w:rPr>
          <w:rStyle w:val="Refdenotaalpie"/>
          <w:rFonts w:ascii="Verdana" w:hAnsi="Verdana" w:cs="Arial"/>
          <w:sz w:val="16"/>
          <w:szCs w:val="16"/>
        </w:rPr>
        <w:footnoteRef/>
      </w:r>
      <w:r w:rsidRPr="003D0447">
        <w:rPr>
          <w:rFonts w:ascii="Verdana" w:hAnsi="Verdana" w:cs="Arial"/>
          <w:sz w:val="16"/>
          <w:szCs w:val="16"/>
        </w:rPr>
        <w:t xml:space="preserve"> </w:t>
      </w:r>
      <w:r>
        <w:rPr>
          <w:rFonts w:ascii="Verdana" w:hAnsi="Verdana" w:cs="Arial"/>
          <w:sz w:val="16"/>
          <w:szCs w:val="16"/>
        </w:rPr>
        <w:t>“</w:t>
      </w:r>
      <w:r w:rsidRPr="003D0447">
        <w:rPr>
          <w:rFonts w:ascii="Verdana" w:hAnsi="Verdana" w:cs="Arial"/>
          <w:sz w:val="16"/>
          <w:szCs w:val="16"/>
        </w:rPr>
        <w:t>Artículo 2o. De la definición de entidades, servidores y servicios públicos. Para los solos efectos de esta ley:</w:t>
      </w:r>
    </w:p>
    <w:p w14:paraId="0B8F0280" w14:textId="77777777" w:rsidR="00D72CE8" w:rsidRPr="003D0447" w:rsidRDefault="00D72CE8" w:rsidP="00D72CE8">
      <w:pPr>
        <w:pStyle w:val="Textonotapie"/>
        <w:ind w:firstLine="709"/>
        <w:jc w:val="both"/>
        <w:rPr>
          <w:rFonts w:ascii="Verdana" w:hAnsi="Verdana" w:cs="Arial"/>
          <w:sz w:val="16"/>
          <w:szCs w:val="16"/>
        </w:rPr>
      </w:pPr>
      <w:r w:rsidRPr="003D0447">
        <w:rPr>
          <w:rFonts w:ascii="Verdana" w:hAnsi="Verdana" w:cs="Arial"/>
          <w:sz w:val="16"/>
          <w:szCs w:val="16"/>
        </w:rPr>
        <w:t>1o. Se denominan entidades estatales:</w:t>
      </w:r>
    </w:p>
    <w:p w14:paraId="085FAB44" w14:textId="77777777" w:rsidR="00D72CE8" w:rsidRPr="003D0447" w:rsidRDefault="00D72CE8" w:rsidP="00D72CE8">
      <w:pPr>
        <w:pStyle w:val="Textonotapie"/>
        <w:ind w:firstLine="709"/>
        <w:jc w:val="both"/>
        <w:rPr>
          <w:rFonts w:ascii="Verdana" w:hAnsi="Verdana" w:cs="Arial"/>
          <w:sz w:val="16"/>
          <w:szCs w:val="16"/>
        </w:rPr>
      </w:pPr>
      <w:r w:rsidRPr="003D0447">
        <w:rPr>
          <w:rFonts w:ascii="Verdana" w:hAnsi="Verdana" w:cs="Arial"/>
          <w:sz w:val="16"/>
          <w:szCs w:val="16"/>
        </w:rPr>
        <w:t xml:space="preserve">a) La Nación, las regiones, los departamentos, las provincias, el distrito capital y los distritos especiales, las áreas metropolitanas, las asociaciones de municipios, los territorios indígenas y los municipios; </w:t>
      </w:r>
      <w:r w:rsidRPr="003D0447">
        <w:rPr>
          <w:rFonts w:ascii="Verdana" w:hAnsi="Verdana" w:cs="Arial"/>
          <w:i/>
          <w:iCs/>
          <w:sz w:val="16"/>
          <w:szCs w:val="16"/>
          <w:u w:val="single"/>
        </w:rPr>
        <w:t>los establecimientos públicos</w:t>
      </w:r>
      <w:r w:rsidRPr="003D0447">
        <w:rPr>
          <w:rFonts w:ascii="Verdana" w:hAnsi="Verdana" w:cs="Arial"/>
          <w:sz w:val="16"/>
          <w:szCs w:val="16"/>
        </w:rPr>
        <w:t>,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r>
        <w:rPr>
          <w:rFonts w:ascii="Verdana" w:hAnsi="Verdana" w:cs="Arial"/>
          <w:sz w:val="16"/>
          <w:szCs w:val="16"/>
        </w:rPr>
        <w:t>”</w:t>
      </w:r>
      <w:r w:rsidRPr="003D0447">
        <w:rPr>
          <w:rFonts w:ascii="Verdana" w:hAnsi="Verdana" w:cs="Arial"/>
          <w:sz w:val="16"/>
          <w:szCs w:val="16"/>
        </w:rPr>
        <w:t>. [Énfasis fuera de texto].</w:t>
      </w:r>
    </w:p>
    <w:p w14:paraId="5939FD1C" w14:textId="77777777" w:rsidR="00D72CE8" w:rsidRPr="003D0447" w:rsidRDefault="00D72CE8" w:rsidP="00D72CE8">
      <w:pPr>
        <w:pStyle w:val="Textonotapie"/>
        <w:ind w:firstLine="709"/>
        <w:jc w:val="both"/>
        <w:rPr>
          <w:rFonts w:ascii="Verdana" w:hAnsi="Verdana" w:cs="Arial"/>
          <w:sz w:val="16"/>
          <w:szCs w:val="16"/>
        </w:rPr>
      </w:pPr>
    </w:p>
  </w:footnote>
  <w:footnote w:id="28">
    <w:p w14:paraId="2BC70A37" w14:textId="77777777" w:rsidR="0074082E" w:rsidRPr="00C05384" w:rsidRDefault="0074082E" w:rsidP="0074082E">
      <w:pPr>
        <w:spacing w:after="0" w:line="240" w:lineRule="auto"/>
        <w:ind w:left="100" w:right="244" w:firstLine="709"/>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29">
    <w:p w14:paraId="0DDFA691" w14:textId="77777777" w:rsidR="0074082E" w:rsidRPr="00C05384" w:rsidRDefault="0074082E" w:rsidP="0074082E">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w:t>
      </w:r>
      <w:hyperlink r:id="rId1" w:history="1">
        <w:r w:rsidRPr="00C05384">
          <w:rPr>
            <w:rStyle w:val="Hipervnculo"/>
            <w:rFonts w:ascii="Verdana" w:hAnsi="Verdana"/>
            <w:sz w:val="16"/>
            <w:szCs w:val="16"/>
          </w:rPr>
          <w:t>https://www.colombiacompra.gov.co/wp-content/uploads/2024/08/circular_externa_unica_version_3_vf49-1.pdf</w:t>
        </w:r>
      </w:hyperlink>
      <w:r w:rsidRPr="00C05384">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1"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679089576">
    <w:abstractNumId w:val="10"/>
  </w:num>
  <w:num w:numId="18" w16cid:durableId="1477986554">
    <w:abstractNumId w:val="11"/>
  </w:num>
  <w:num w:numId="19" w16cid:durableId="9907936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163"/>
    <w:rsid w:val="00046945"/>
    <w:rsid w:val="00061B2A"/>
    <w:rsid w:val="00082362"/>
    <w:rsid w:val="00096E6C"/>
    <w:rsid w:val="000A683E"/>
    <w:rsid w:val="000B19B9"/>
    <w:rsid w:val="000D0334"/>
    <w:rsid w:val="000F6486"/>
    <w:rsid w:val="00125105"/>
    <w:rsid w:val="00127233"/>
    <w:rsid w:val="0015431B"/>
    <w:rsid w:val="00170704"/>
    <w:rsid w:val="001A712F"/>
    <w:rsid w:val="001D1A95"/>
    <w:rsid w:val="001E4177"/>
    <w:rsid w:val="001F7DC6"/>
    <w:rsid w:val="00205FB1"/>
    <w:rsid w:val="002421BB"/>
    <w:rsid w:val="002506F8"/>
    <w:rsid w:val="0025796E"/>
    <w:rsid w:val="002707A2"/>
    <w:rsid w:val="00280031"/>
    <w:rsid w:val="00291EF7"/>
    <w:rsid w:val="002951A0"/>
    <w:rsid w:val="002962BC"/>
    <w:rsid w:val="002A093D"/>
    <w:rsid w:val="002A0DD0"/>
    <w:rsid w:val="002A49AC"/>
    <w:rsid w:val="002A53D2"/>
    <w:rsid w:val="002A64FD"/>
    <w:rsid w:val="002C7A84"/>
    <w:rsid w:val="002E4FD9"/>
    <w:rsid w:val="0030111F"/>
    <w:rsid w:val="00322A85"/>
    <w:rsid w:val="00324168"/>
    <w:rsid w:val="003448F4"/>
    <w:rsid w:val="00374F5E"/>
    <w:rsid w:val="00377E3E"/>
    <w:rsid w:val="00383AE8"/>
    <w:rsid w:val="003A0941"/>
    <w:rsid w:val="003A779E"/>
    <w:rsid w:val="003B2B70"/>
    <w:rsid w:val="003D0F4D"/>
    <w:rsid w:val="003D5B0D"/>
    <w:rsid w:val="003E0499"/>
    <w:rsid w:val="003F3941"/>
    <w:rsid w:val="00406575"/>
    <w:rsid w:val="00414C74"/>
    <w:rsid w:val="0042722E"/>
    <w:rsid w:val="0044528D"/>
    <w:rsid w:val="004A1847"/>
    <w:rsid w:val="004A305D"/>
    <w:rsid w:val="004D51A8"/>
    <w:rsid w:val="004F21C4"/>
    <w:rsid w:val="004F685F"/>
    <w:rsid w:val="005566E8"/>
    <w:rsid w:val="00574867"/>
    <w:rsid w:val="00591460"/>
    <w:rsid w:val="005C3777"/>
    <w:rsid w:val="005C5CDC"/>
    <w:rsid w:val="005D476C"/>
    <w:rsid w:val="006219F8"/>
    <w:rsid w:val="006302F7"/>
    <w:rsid w:val="00665D70"/>
    <w:rsid w:val="0068014F"/>
    <w:rsid w:val="006900D9"/>
    <w:rsid w:val="006A15C5"/>
    <w:rsid w:val="006A760C"/>
    <w:rsid w:val="00701627"/>
    <w:rsid w:val="00702E77"/>
    <w:rsid w:val="00706C16"/>
    <w:rsid w:val="00711DF0"/>
    <w:rsid w:val="00730AF7"/>
    <w:rsid w:val="0074082E"/>
    <w:rsid w:val="007449C0"/>
    <w:rsid w:val="00756841"/>
    <w:rsid w:val="007649AB"/>
    <w:rsid w:val="00771D0C"/>
    <w:rsid w:val="007833AC"/>
    <w:rsid w:val="007B268C"/>
    <w:rsid w:val="007B7171"/>
    <w:rsid w:val="007C0C0F"/>
    <w:rsid w:val="007C3DC2"/>
    <w:rsid w:val="007E5497"/>
    <w:rsid w:val="007F7ED1"/>
    <w:rsid w:val="00806F5F"/>
    <w:rsid w:val="00820278"/>
    <w:rsid w:val="00867F95"/>
    <w:rsid w:val="008843B6"/>
    <w:rsid w:val="00891928"/>
    <w:rsid w:val="00897A3A"/>
    <w:rsid w:val="008A446D"/>
    <w:rsid w:val="008B1743"/>
    <w:rsid w:val="008D180B"/>
    <w:rsid w:val="008F0EA7"/>
    <w:rsid w:val="00923EEF"/>
    <w:rsid w:val="00933DB5"/>
    <w:rsid w:val="009419F9"/>
    <w:rsid w:val="0095685E"/>
    <w:rsid w:val="00960909"/>
    <w:rsid w:val="00961B09"/>
    <w:rsid w:val="00965334"/>
    <w:rsid w:val="0097093E"/>
    <w:rsid w:val="009A0DFA"/>
    <w:rsid w:val="009B25A8"/>
    <w:rsid w:val="009B2D26"/>
    <w:rsid w:val="009C71FA"/>
    <w:rsid w:val="009C72E7"/>
    <w:rsid w:val="009D3058"/>
    <w:rsid w:val="009E711D"/>
    <w:rsid w:val="009F3A13"/>
    <w:rsid w:val="00A122D3"/>
    <w:rsid w:val="00A17F13"/>
    <w:rsid w:val="00A20739"/>
    <w:rsid w:val="00A33C78"/>
    <w:rsid w:val="00A957A2"/>
    <w:rsid w:val="00AA402B"/>
    <w:rsid w:val="00AB0ADB"/>
    <w:rsid w:val="00AC4FEF"/>
    <w:rsid w:val="00AD45F4"/>
    <w:rsid w:val="00AF0B93"/>
    <w:rsid w:val="00B00C0E"/>
    <w:rsid w:val="00B01B1A"/>
    <w:rsid w:val="00B44A47"/>
    <w:rsid w:val="00B5133D"/>
    <w:rsid w:val="00B55F8F"/>
    <w:rsid w:val="00B72CD3"/>
    <w:rsid w:val="00B72FFF"/>
    <w:rsid w:val="00BC3D36"/>
    <w:rsid w:val="00BD7F72"/>
    <w:rsid w:val="00C04FB3"/>
    <w:rsid w:val="00C330EB"/>
    <w:rsid w:val="00C44D31"/>
    <w:rsid w:val="00C754BE"/>
    <w:rsid w:val="00C76B1C"/>
    <w:rsid w:val="00CB6357"/>
    <w:rsid w:val="00CC1B26"/>
    <w:rsid w:val="00CE49D3"/>
    <w:rsid w:val="00D423A2"/>
    <w:rsid w:val="00D520D8"/>
    <w:rsid w:val="00D63AC2"/>
    <w:rsid w:val="00D72969"/>
    <w:rsid w:val="00D72CE8"/>
    <w:rsid w:val="00D7383B"/>
    <w:rsid w:val="00D80AD7"/>
    <w:rsid w:val="00DA231B"/>
    <w:rsid w:val="00DC39FC"/>
    <w:rsid w:val="00DF5254"/>
    <w:rsid w:val="00E16408"/>
    <w:rsid w:val="00E16CA5"/>
    <w:rsid w:val="00E20894"/>
    <w:rsid w:val="00E245AB"/>
    <w:rsid w:val="00E25F6D"/>
    <w:rsid w:val="00E2764C"/>
    <w:rsid w:val="00E27F2E"/>
    <w:rsid w:val="00E50AFE"/>
    <w:rsid w:val="00E75C92"/>
    <w:rsid w:val="00E771DC"/>
    <w:rsid w:val="00E81E13"/>
    <w:rsid w:val="00E8772A"/>
    <w:rsid w:val="00E90F6B"/>
    <w:rsid w:val="00E92C27"/>
    <w:rsid w:val="00EA0E3D"/>
    <w:rsid w:val="00EC38A7"/>
    <w:rsid w:val="00EE1AA8"/>
    <w:rsid w:val="00F31EDC"/>
    <w:rsid w:val="00F462B3"/>
    <w:rsid w:val="00F5664F"/>
    <w:rsid w:val="00F666C4"/>
    <w:rsid w:val="00F76AFC"/>
    <w:rsid w:val="00F974B3"/>
    <w:rsid w:val="00FA47C0"/>
    <w:rsid w:val="00FB5DD1"/>
    <w:rsid w:val="00FC1E3B"/>
    <w:rsid w:val="00FC2B5D"/>
    <w:rsid w:val="00FF1449"/>
    <w:rsid w:val="02B32EDA"/>
    <w:rsid w:val="08CB9789"/>
    <w:rsid w:val="2D5E7496"/>
    <w:rsid w:val="36278CA3"/>
    <w:rsid w:val="50343188"/>
    <w:rsid w:val="686DF781"/>
    <w:rsid w:val="7B67B25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72CE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72CE8"/>
    <w:rPr>
      <w:rFonts w:ascii="Geomanist Light" w:hAnsi="Geomanist Light"/>
      <w:lang w:val="es-ES"/>
    </w:rPr>
  </w:style>
  <w:style w:type="character" w:customStyle="1" w:styleId="NormalWebCar">
    <w:name w:val="Normal (Web) Car"/>
    <w:link w:val="NormalWeb"/>
    <w:uiPriority w:val="99"/>
    <w:locked/>
    <w:rsid w:val="00D72CE8"/>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1"/>
    <w:qFormat/>
    <w:rsid w:val="00D72CE8"/>
    <w:pPr>
      <w:widowControl w:val="0"/>
      <w:autoSpaceDE w:val="0"/>
      <w:autoSpaceDN w:val="0"/>
      <w:spacing w:after="0" w:line="240" w:lineRule="auto"/>
    </w:pPr>
    <w:rPr>
      <w:rFonts w:ascii="Arial" w:eastAsia="Arial" w:hAnsi="Arial" w:cs="Arial"/>
      <w:sz w:val="20"/>
      <w:szCs w:val="20"/>
      <w:lang w:val="es-ES"/>
    </w:rPr>
  </w:style>
  <w:style w:type="character" w:customStyle="1" w:styleId="TextoindependienteCar">
    <w:name w:val="Texto independiente Car"/>
    <w:basedOn w:val="Fuentedeprrafopredeter"/>
    <w:link w:val="Textoindependiente"/>
    <w:uiPriority w:val="1"/>
    <w:rsid w:val="00D72CE8"/>
    <w:rPr>
      <w:rFonts w:ascii="Arial" w:eastAsia="Arial" w:hAnsi="Arial" w:cs="Arial"/>
      <w:sz w:val="20"/>
      <w:szCs w:val="20"/>
      <w:lang w:val="es-ES"/>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character" w:customStyle="1" w:styleId="baj">
    <w:name w:val="b_aj"/>
    <w:basedOn w:val="Fuentedeprrafopredeter"/>
    <w:rsid w:val="007408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ircular_externa_unica_version_3_vf49-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documentManagement/types"/>
    <ds:schemaRef ds:uri="http://schemas.microsoft.com/office/2006/metadata/properties"/>
    <ds:schemaRef ds:uri="9d85dbaf-23eb-4e57-a637-93dcacc8b1a1"/>
    <ds:schemaRef ds:uri="http://schemas.openxmlformats.org/package/2006/metadata/core-properties"/>
    <ds:schemaRef ds:uri="http://purl.org/dc/terms/"/>
    <ds:schemaRef ds:uri="http://schemas.microsoft.com/office/infopath/2007/PartnerControls"/>
    <ds:schemaRef ds:uri="http://purl.org/dc/dcmitype/"/>
    <ds:schemaRef ds:uri="a6cb9e4b-f1d1-4245-83ec-6cad768d538a"/>
    <ds:schemaRef ds:uri="http://www.w3.org/XML/1998/namespace"/>
    <ds:schemaRef ds:uri="http://purl.org/dc/elements/1.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2E079A9-C424-4061-A3A6-32274D4DAD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24</Pages>
  <Words>8577</Words>
  <Characters>46833</Characters>
  <Application>Microsoft Office Word</Application>
  <DocSecurity>0</DocSecurity>
  <Lines>883</Lines>
  <Paragraphs>146</Paragraphs>
  <ScaleCrop>false</ScaleCrop>
  <Company/>
  <LinksUpToDate>false</LinksUpToDate>
  <CharactersWithSpaces>55264</CharactersWithSpaces>
  <SharedDoc>false</SharedDoc>
  <HLinks>
    <vt:vector size="12" baseType="variant">
      <vt:variant>
        <vt:i4>7995518</vt:i4>
      </vt:variant>
      <vt:variant>
        <vt:i4>3</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2025-09-30T17:36:00Z</dcterms:created>
  <dcterms:modified xsi:type="dcterms:W3CDTF">2025-09-30T17:36:00Z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