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29623" w14:textId="77777777" w:rsidR="005D446A" w:rsidRPr="003B2697" w:rsidRDefault="005D446A" w:rsidP="005D446A">
      <w:pPr>
        <w:spacing w:after="0" w:line="240" w:lineRule="auto"/>
        <w:contextualSpacing/>
        <w:jc w:val="both"/>
        <w:rPr>
          <w:rFonts w:ascii="Verdana" w:eastAsia="Times New Roman" w:hAnsi="Verdana" w:cs="Arial"/>
          <w:b/>
          <w:bCs/>
          <w:lang w:eastAsia="es-MX"/>
        </w:rPr>
      </w:pPr>
      <w:r w:rsidRPr="003B2697">
        <w:rPr>
          <w:rFonts w:ascii="Verdana" w:eastAsia="Times New Roman" w:hAnsi="Verdana" w:cs="Arial"/>
          <w:b/>
          <w:bCs/>
          <w:lang w:eastAsia="es-MX"/>
        </w:rPr>
        <w:t xml:space="preserve">REQUISITOS HABILITANTES – Concepto </w:t>
      </w:r>
    </w:p>
    <w:p w14:paraId="1DD66A93" w14:textId="77777777" w:rsidR="005D446A" w:rsidRPr="00960F72" w:rsidRDefault="005D446A" w:rsidP="005D446A">
      <w:pPr>
        <w:spacing w:after="0" w:line="240" w:lineRule="auto"/>
        <w:contextualSpacing/>
        <w:jc w:val="both"/>
        <w:rPr>
          <w:rFonts w:ascii="Verdana" w:eastAsia="Times New Roman" w:hAnsi="Verdana" w:cs="Arial"/>
          <w:b/>
          <w:bCs/>
          <w:sz w:val="20"/>
          <w:szCs w:val="20"/>
          <w:lang w:eastAsia="es-MX"/>
        </w:rPr>
      </w:pPr>
    </w:p>
    <w:p w14:paraId="45C3432C" w14:textId="77777777" w:rsidR="005D446A" w:rsidRPr="00960F72" w:rsidRDefault="005D446A" w:rsidP="005D446A">
      <w:pPr>
        <w:spacing w:after="0" w:line="240" w:lineRule="auto"/>
        <w:contextualSpacing/>
        <w:jc w:val="both"/>
        <w:rPr>
          <w:rFonts w:ascii="Verdana" w:eastAsia="Calibri" w:hAnsi="Verdana" w:cs="Arial"/>
          <w:sz w:val="20"/>
          <w:szCs w:val="20"/>
          <w:lang w:eastAsia="es-MX"/>
        </w:rPr>
      </w:pPr>
      <w:r w:rsidRPr="00960F72">
        <w:rPr>
          <w:rFonts w:ascii="Verdana" w:eastAsia="Calibri" w:hAnsi="Verdana" w:cs="Arial"/>
          <w:sz w:val="20"/>
          <w:szCs w:val="20"/>
          <w:lang w:eastAsia="es-MX"/>
        </w:rPr>
        <w:t xml:space="preserve">Los </w:t>
      </w:r>
      <w:r w:rsidRPr="00960F72">
        <w:rPr>
          <w:rFonts w:ascii="Verdana" w:eastAsia="Calibri" w:hAnsi="Verdana" w:cs="Arial"/>
          <w:i/>
          <w:iCs/>
          <w:sz w:val="20"/>
          <w:szCs w:val="20"/>
          <w:lang w:eastAsia="es-MX"/>
        </w:rPr>
        <w:t>requisitos habilitantes</w:t>
      </w:r>
      <w:r w:rsidRPr="00960F72">
        <w:rPr>
          <w:rFonts w:ascii="Verdana" w:eastAsia="Calibri" w:hAnsi="Verdana" w:cs="Arial"/>
          <w:sz w:val="20"/>
          <w:szCs w:val="20"/>
          <w:lang w:eastAsia="es-MX"/>
        </w:rPr>
        <w:t xml:space="preserve"> se definen como aquellas exigencias de participación en los procedimientos de selección, establecidas en disposiciones normativas, de carácter legal o reglamentario, o contenidas en el acto administrativo que regula las reglas de la convocatoria – es decir, en el Pliego de Condiciones o el documento equivalente a este –. Se diferencian de los </w:t>
      </w:r>
      <w:r w:rsidRPr="00960F72">
        <w:rPr>
          <w:rFonts w:ascii="Verdana" w:eastAsia="Calibri" w:hAnsi="Verdana" w:cs="Arial"/>
          <w:i/>
          <w:iCs/>
          <w:sz w:val="20"/>
          <w:szCs w:val="20"/>
          <w:lang w:eastAsia="es-MX"/>
        </w:rPr>
        <w:t>criterios de evaluación</w:t>
      </w:r>
      <w:r w:rsidRPr="00960F72">
        <w:rPr>
          <w:rFonts w:ascii="Verdana" w:eastAsia="Calibri" w:hAnsi="Verdana" w:cs="Arial"/>
          <w:sz w:val="20"/>
          <w:szCs w:val="20"/>
          <w:lang w:eastAsia="es-MX"/>
        </w:rPr>
        <w:t xml:space="preserve"> – también conocidos como criterios de calificación – en que estos son los factores definidos por la Entidad Estatal para la asignación de puntaje en el momento de la comparación de las ofertas y que, a partir de su ponderación, permiten establecer el orden de elegibilidad y, por ende, la propuesta ganadora. </w:t>
      </w:r>
    </w:p>
    <w:p w14:paraId="6EF4CA8B"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p>
    <w:p w14:paraId="400B355A" w14:textId="77777777" w:rsidR="005D446A" w:rsidRPr="00960F72" w:rsidRDefault="005D446A" w:rsidP="005D446A">
      <w:pPr>
        <w:spacing w:after="0" w:line="240" w:lineRule="auto"/>
        <w:contextualSpacing/>
        <w:jc w:val="both"/>
        <w:rPr>
          <w:rFonts w:ascii="Verdana" w:eastAsia="Calibri" w:hAnsi="Verdana" w:cs="Arial"/>
          <w:sz w:val="20"/>
          <w:szCs w:val="20"/>
          <w:lang w:eastAsia="es-MX"/>
        </w:rPr>
      </w:pPr>
      <w:r w:rsidRPr="00960F72">
        <w:rPr>
          <w:rFonts w:ascii="Verdana" w:eastAsia="Times New Roman" w:hAnsi="Verdana" w:cs="Arial"/>
          <w:sz w:val="20"/>
          <w:szCs w:val="20"/>
          <w:lang w:eastAsia="es-ES_tradnl"/>
        </w:rPr>
        <w:t xml:space="preserve">[…] </w:t>
      </w:r>
      <w:r w:rsidRPr="00960F72">
        <w:rPr>
          <w:rFonts w:ascii="Verdana" w:eastAsia="Calibri" w:hAnsi="Verdana" w:cs="Arial"/>
          <w:sz w:val="20"/>
          <w:szCs w:val="20"/>
          <w:lang w:eastAsia="es-MX"/>
        </w:rPr>
        <w:t xml:space="preserve">Específicamente, el numeral 1º del artículo referido establece que en los procesos de selección de contratistas serán objeto de verificación, como requisitos habilitantes, entre otros, los siguientes: i) la capacidad jurídica; </w:t>
      </w:r>
      <w:proofErr w:type="spellStart"/>
      <w:r w:rsidRPr="00960F72">
        <w:rPr>
          <w:rFonts w:ascii="Verdana" w:eastAsia="Calibri" w:hAnsi="Verdana" w:cs="Arial"/>
          <w:sz w:val="20"/>
          <w:szCs w:val="20"/>
          <w:lang w:eastAsia="es-MX"/>
        </w:rPr>
        <w:t>ii</w:t>
      </w:r>
      <w:proofErr w:type="spellEnd"/>
      <w:r w:rsidRPr="00960F72">
        <w:rPr>
          <w:rFonts w:ascii="Verdana" w:eastAsia="Calibri" w:hAnsi="Verdana" w:cs="Arial"/>
          <w:sz w:val="20"/>
          <w:szCs w:val="20"/>
          <w:lang w:eastAsia="es-MX"/>
        </w:rPr>
        <w:t xml:space="preserve">) la experiencia; </w:t>
      </w:r>
      <w:proofErr w:type="spellStart"/>
      <w:r w:rsidRPr="00960F72">
        <w:rPr>
          <w:rFonts w:ascii="Verdana" w:eastAsia="Calibri" w:hAnsi="Verdana" w:cs="Arial"/>
          <w:sz w:val="20"/>
          <w:szCs w:val="20"/>
          <w:lang w:eastAsia="es-MX"/>
        </w:rPr>
        <w:t>iii</w:t>
      </w:r>
      <w:proofErr w:type="spellEnd"/>
      <w:r w:rsidRPr="00960F72">
        <w:rPr>
          <w:rFonts w:ascii="Verdana" w:eastAsia="Calibri" w:hAnsi="Verdana" w:cs="Arial"/>
          <w:sz w:val="20"/>
          <w:szCs w:val="20"/>
          <w:lang w:eastAsia="es-MX"/>
        </w:rPr>
        <w:t xml:space="preserve">) la capacidad financiera y </w:t>
      </w:r>
      <w:proofErr w:type="spellStart"/>
      <w:r w:rsidRPr="00960F72">
        <w:rPr>
          <w:rFonts w:ascii="Verdana" w:eastAsia="Calibri" w:hAnsi="Verdana" w:cs="Arial"/>
          <w:sz w:val="20"/>
          <w:szCs w:val="20"/>
          <w:lang w:eastAsia="es-MX"/>
        </w:rPr>
        <w:t>iv</w:t>
      </w:r>
      <w:proofErr w:type="spellEnd"/>
      <w:r w:rsidRPr="00960F72">
        <w:rPr>
          <w:rFonts w:ascii="Verdana" w:eastAsia="Calibri" w:hAnsi="Verdana" w:cs="Arial"/>
          <w:sz w:val="20"/>
          <w:szCs w:val="20"/>
          <w:lang w:eastAsia="es-MX"/>
        </w:rPr>
        <w:t>) la capacidad de organización.</w:t>
      </w:r>
    </w:p>
    <w:p w14:paraId="090A851B" w14:textId="77777777" w:rsidR="005D446A" w:rsidRPr="00960F72" w:rsidRDefault="005D446A" w:rsidP="005D446A">
      <w:pPr>
        <w:spacing w:after="0" w:line="240" w:lineRule="auto"/>
        <w:contextualSpacing/>
        <w:jc w:val="both"/>
        <w:rPr>
          <w:rFonts w:ascii="Verdana" w:eastAsia="Calibri" w:hAnsi="Verdana" w:cs="Arial"/>
          <w:sz w:val="20"/>
          <w:szCs w:val="20"/>
          <w:lang w:eastAsia="es-MX"/>
        </w:rPr>
      </w:pPr>
    </w:p>
    <w:p w14:paraId="73A11441" w14:textId="77777777" w:rsidR="005D446A" w:rsidRPr="003B2697" w:rsidRDefault="005D446A" w:rsidP="005D446A">
      <w:pPr>
        <w:spacing w:after="0" w:line="240" w:lineRule="auto"/>
        <w:contextualSpacing/>
        <w:jc w:val="both"/>
        <w:rPr>
          <w:rFonts w:ascii="Verdana" w:eastAsia="Times New Roman" w:hAnsi="Verdana" w:cs="Arial"/>
          <w:b/>
          <w:bCs/>
          <w:lang w:eastAsia="es-MX"/>
        </w:rPr>
      </w:pPr>
      <w:r w:rsidRPr="003B2697">
        <w:rPr>
          <w:rFonts w:ascii="Verdana" w:eastAsia="Times New Roman" w:hAnsi="Verdana" w:cs="Arial"/>
          <w:b/>
          <w:bCs/>
          <w:lang w:eastAsia="es-MX"/>
        </w:rPr>
        <w:t>REQUISITOS HABILITANTES – Carácter enunciativo – Artículo 5 de la Ley 1150 de 2007</w:t>
      </w:r>
    </w:p>
    <w:p w14:paraId="0592EB57" w14:textId="77777777" w:rsidR="005D446A" w:rsidRPr="00960F72" w:rsidRDefault="005D446A" w:rsidP="005D446A">
      <w:pPr>
        <w:spacing w:after="0" w:line="240" w:lineRule="auto"/>
        <w:contextualSpacing/>
        <w:jc w:val="both"/>
        <w:rPr>
          <w:rFonts w:ascii="Verdana" w:eastAsia="Times New Roman" w:hAnsi="Verdana" w:cs="Arial"/>
          <w:b/>
          <w:bCs/>
          <w:sz w:val="20"/>
          <w:szCs w:val="20"/>
          <w:lang w:eastAsia="es-MX"/>
        </w:rPr>
      </w:pPr>
    </w:p>
    <w:p w14:paraId="705B2778"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MX"/>
        </w:rPr>
      </w:pPr>
      <w:r w:rsidRPr="00960F72">
        <w:rPr>
          <w:rFonts w:ascii="Verdana" w:eastAsia="Times New Roman" w:hAnsi="Verdana" w:cs="Arial"/>
          <w:sz w:val="20"/>
          <w:szCs w:val="20"/>
          <w:lang w:eastAsia="es-MX"/>
        </w:rPr>
        <w:t xml:space="preserve">La Agencia Nacional de Contratación Pública – Colombia Compra Eficiente ha defendido el carácter </w:t>
      </w:r>
      <w:r w:rsidRPr="00960F72">
        <w:rPr>
          <w:rFonts w:ascii="Verdana" w:eastAsia="Times New Roman" w:hAnsi="Verdana" w:cs="Arial"/>
          <w:i/>
          <w:iCs/>
          <w:sz w:val="20"/>
          <w:szCs w:val="20"/>
          <w:lang w:eastAsia="es-MX"/>
        </w:rPr>
        <w:t>enunciativo</w:t>
      </w:r>
      <w:r w:rsidRPr="00960F72">
        <w:rPr>
          <w:rFonts w:ascii="Verdana" w:eastAsia="Times New Roman" w:hAnsi="Verdana" w:cs="Arial"/>
          <w:sz w:val="20"/>
          <w:szCs w:val="20"/>
          <w:lang w:eastAsia="es-MX"/>
        </w:rPr>
        <w:t xml:space="preserve">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w:t>
      </w:r>
    </w:p>
    <w:p w14:paraId="74060FA4"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MX"/>
        </w:rPr>
      </w:pPr>
    </w:p>
    <w:p w14:paraId="2792F9E5"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MX"/>
        </w:rPr>
      </w:pPr>
      <w:r w:rsidRPr="00960F72">
        <w:rPr>
          <w:rFonts w:ascii="Verdana" w:eastAsia="Times New Roman" w:hAnsi="Verdana" w:cs="Arial"/>
          <w:sz w:val="20"/>
          <w:szCs w:val="20"/>
          <w:lang w:eastAsia="es-MX"/>
        </w:rPr>
        <w:t xml:space="preserve">[…]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4C898EA6"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MX"/>
        </w:rPr>
      </w:pPr>
    </w:p>
    <w:p w14:paraId="54324295" w14:textId="77777777" w:rsidR="005D446A" w:rsidRPr="00960F72" w:rsidRDefault="005D446A" w:rsidP="005D446A">
      <w:pPr>
        <w:tabs>
          <w:tab w:val="left" w:pos="426"/>
        </w:tabs>
        <w:spacing w:after="0" w:line="240" w:lineRule="auto"/>
        <w:contextualSpacing/>
        <w:jc w:val="both"/>
        <w:rPr>
          <w:rFonts w:ascii="Verdana" w:eastAsia="Times New Roman" w:hAnsi="Verdana" w:cs="Arial"/>
          <w:sz w:val="20"/>
          <w:szCs w:val="20"/>
          <w:lang w:eastAsia="es-MX"/>
        </w:rPr>
      </w:pPr>
      <w:r w:rsidRPr="00960F72">
        <w:rPr>
          <w:rFonts w:ascii="Verdana" w:eastAsia="Times New Roman" w:hAnsi="Verdana" w:cs="Arial"/>
          <w:sz w:val="20"/>
          <w:szCs w:val="20"/>
          <w:lang w:eastAsia="es-MX"/>
        </w:rPr>
        <w:t xml:space="preserve">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ofertado, procurando además ceñirse a la normativa que resulte aplicable. </w:t>
      </w:r>
    </w:p>
    <w:p w14:paraId="27312486" w14:textId="77777777" w:rsidR="005D446A" w:rsidRPr="00960F72" w:rsidRDefault="005D446A" w:rsidP="005D446A">
      <w:pPr>
        <w:spacing w:after="0" w:line="240" w:lineRule="auto"/>
        <w:contextualSpacing/>
        <w:jc w:val="both"/>
        <w:rPr>
          <w:rFonts w:ascii="Verdana" w:eastAsia="Calibri" w:hAnsi="Verdana" w:cs="Arial"/>
          <w:b/>
          <w:sz w:val="20"/>
          <w:szCs w:val="20"/>
          <w:lang w:eastAsia="es-ES_tradnl"/>
        </w:rPr>
      </w:pPr>
    </w:p>
    <w:p w14:paraId="2352ECB7" w14:textId="77777777" w:rsidR="005D446A" w:rsidRPr="003B2697" w:rsidRDefault="005D446A" w:rsidP="005D446A">
      <w:pPr>
        <w:spacing w:after="0" w:line="240" w:lineRule="auto"/>
        <w:contextualSpacing/>
        <w:jc w:val="both"/>
        <w:rPr>
          <w:rFonts w:ascii="Verdana" w:eastAsia="Calibri" w:hAnsi="Verdana" w:cs="Arial"/>
          <w:b/>
          <w:lang w:eastAsia="es-ES_tradnl"/>
        </w:rPr>
      </w:pPr>
      <w:r w:rsidRPr="003B2697">
        <w:rPr>
          <w:rFonts w:ascii="Verdana" w:eastAsia="Calibri" w:hAnsi="Verdana" w:cs="Arial"/>
          <w:b/>
          <w:lang w:eastAsia="es-ES_tradnl"/>
        </w:rPr>
        <w:t xml:space="preserve">REQUISITOS HABILITANTES – Acreditación – RUP – Otros documentos </w:t>
      </w:r>
    </w:p>
    <w:p w14:paraId="3F4FFF9F" w14:textId="77777777" w:rsidR="005D446A" w:rsidRPr="00960F72" w:rsidRDefault="005D446A" w:rsidP="005D446A">
      <w:pPr>
        <w:spacing w:after="0" w:line="240" w:lineRule="auto"/>
        <w:contextualSpacing/>
        <w:jc w:val="both"/>
        <w:rPr>
          <w:rFonts w:ascii="Verdana" w:eastAsia="Calibri" w:hAnsi="Verdana" w:cs="Arial"/>
          <w:sz w:val="20"/>
          <w:szCs w:val="20"/>
          <w:lang w:eastAsia="es-ES_tradnl"/>
        </w:rPr>
      </w:pPr>
    </w:p>
    <w:p w14:paraId="7B0E5A1D"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r w:rsidRPr="00960F72">
        <w:rPr>
          <w:rFonts w:ascii="Verdana" w:eastAsia="Times New Roman" w:hAnsi="Verdana" w:cs="Arial"/>
          <w:sz w:val="20"/>
          <w:szCs w:val="20"/>
          <w:lang w:eastAsia="es-ES_tradnl"/>
        </w:rPr>
        <w:lastRenderedPageBreak/>
        <w:t xml:space="preserve">En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p w14:paraId="70A40531"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p>
    <w:p w14:paraId="5F680FFA"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r w:rsidRPr="00960F72">
        <w:rPr>
          <w:rFonts w:ascii="Verdana" w:eastAsia="Times New Roman" w:hAnsi="Verdana" w:cs="Arial"/>
          <w:sz w:val="20"/>
          <w:szCs w:val="20"/>
          <w:lang w:eastAsia="es-ES_tradnl"/>
        </w:rPr>
        <w:t>[…] 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3639C84E"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p>
    <w:p w14:paraId="61C6340C" w14:textId="77777777" w:rsidR="005D446A" w:rsidRPr="00960F72" w:rsidRDefault="005D446A" w:rsidP="005D446A">
      <w:pPr>
        <w:spacing w:after="0" w:line="240" w:lineRule="auto"/>
        <w:contextualSpacing/>
        <w:jc w:val="both"/>
        <w:rPr>
          <w:rFonts w:ascii="Verdana" w:eastAsia="Times New Roman" w:hAnsi="Verdana" w:cs="Arial"/>
          <w:bCs/>
          <w:sz w:val="20"/>
          <w:szCs w:val="20"/>
          <w:lang w:eastAsia="x-none"/>
        </w:rPr>
      </w:pPr>
      <w:r w:rsidRPr="00960F72">
        <w:rPr>
          <w:rFonts w:ascii="Verdana" w:eastAsia="Times New Roman" w:hAnsi="Verdana" w:cs="Arial"/>
          <w:sz w:val="20"/>
          <w:szCs w:val="20"/>
          <w:lang w:eastAsia="es-ES_tradnl"/>
        </w:rPr>
        <w:t xml:space="preserve">[…] </w:t>
      </w:r>
      <w:r w:rsidRPr="00960F72">
        <w:rPr>
          <w:rFonts w:ascii="Verdana" w:eastAsia="Times New Roman" w:hAnsi="Verdana" w:cs="Arial"/>
          <w:bCs/>
          <w:sz w:val="20"/>
          <w:szCs w:val="20"/>
          <w:lang w:eastAsia="x-none"/>
        </w:rPr>
        <w:t xml:space="preserve">En conclusión, por regla general, el cumplimiento de los requisitos habilitantes determinados por la Entidad Estatal en cada proceso de contratación, entre ellos la capacidad jurídica, se debe verificar mediante el RUP el cual constituye plena prueba de las circunstancias de las que da cuenta. No obstante, en aquellos casos en los cuales no es obligatorio estar inscrito en el RUP o los eventos en los que la Entidad Estatal considere que, por el objeto, naturaleza o especificaciones del proceso, requiere información adicional a la contenida en el RUP, la entidad debe señalar en el Pliego de Condiciones–o en la Invitación– cuál es la información que se debe acreditar, así como los documentos que tendrá como válidos para tal fin. En consecuencia, el proponente deberá ceñirse a lo dispuesto por la entidad y allegar toda información ordenada, en los términos y la forma en que hayan sido señalados. </w:t>
      </w:r>
    </w:p>
    <w:p w14:paraId="0BC796CA"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p>
    <w:p w14:paraId="02F0827A" w14:textId="2DD0CAD4" w:rsidR="005D446A" w:rsidRPr="003B2697" w:rsidRDefault="000824C7" w:rsidP="005D446A">
      <w:pPr>
        <w:spacing w:after="0" w:line="240" w:lineRule="auto"/>
        <w:contextualSpacing/>
        <w:jc w:val="both"/>
        <w:rPr>
          <w:rFonts w:ascii="Verdana" w:eastAsia="Calibri" w:hAnsi="Verdana" w:cs="Arial"/>
          <w:b/>
          <w:bCs/>
          <w:lang w:eastAsia="es-ES_tradnl"/>
        </w:rPr>
      </w:pPr>
      <w:r w:rsidRPr="003B2697">
        <w:rPr>
          <w:rFonts w:ascii="Verdana" w:eastAsia="Calibri" w:hAnsi="Verdana" w:cs="Arial"/>
          <w:b/>
          <w:bCs/>
          <w:lang w:eastAsia="es-ES_tradnl"/>
        </w:rPr>
        <w:t xml:space="preserve">CAPACIDAD JURÍDICA </w:t>
      </w:r>
      <w:r w:rsidR="005D446A" w:rsidRPr="003B2697">
        <w:rPr>
          <w:rFonts w:ascii="Verdana" w:eastAsia="Calibri" w:hAnsi="Verdana" w:cs="Arial"/>
          <w:b/>
          <w:bCs/>
          <w:lang w:eastAsia="es-ES_tradnl"/>
        </w:rPr>
        <w:t>– Registro Único Tributario – CIIU</w:t>
      </w:r>
    </w:p>
    <w:p w14:paraId="5FCA338C"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p>
    <w:p w14:paraId="6B2868A9" w14:textId="77777777" w:rsidR="005D446A" w:rsidRPr="00960F72" w:rsidRDefault="005D446A" w:rsidP="005D446A">
      <w:pPr>
        <w:spacing w:after="0" w:line="240" w:lineRule="auto"/>
        <w:contextualSpacing/>
        <w:jc w:val="both"/>
        <w:rPr>
          <w:rFonts w:ascii="Verdana" w:eastAsia="Calibri" w:hAnsi="Verdana" w:cs="Arial"/>
          <w:sz w:val="20"/>
          <w:szCs w:val="20"/>
          <w:lang w:eastAsia="es-ES"/>
        </w:rPr>
      </w:pPr>
      <w:r w:rsidRPr="00960F72">
        <w:rPr>
          <w:rFonts w:ascii="Verdana" w:eastAsia="Calibri" w:hAnsi="Verdana" w:cs="Arial"/>
          <w:sz w:val="20"/>
          <w:szCs w:val="20"/>
          <w:lang w:eastAsia="es-ES"/>
        </w:rPr>
        <w:t xml:space="preserve">La capacidad jurídica es la aptitud que recae en los sujeto activos o pasivos de las relaciones jurídicas. Para efectos de las relaciones contractuales en las que uno de los extremos de la relación sea una Entidad Estatal, la capacidad jurídica es la facultad que tiene una persona natural o jurídica para celebrar contratos con una Entidad Estatal. En otras palabras, es i) la capacidad de obligarse a cumplir el objeto del contrato y </w:t>
      </w:r>
      <w:proofErr w:type="spellStart"/>
      <w:r w:rsidRPr="00960F72">
        <w:rPr>
          <w:rFonts w:ascii="Verdana" w:eastAsia="Calibri" w:hAnsi="Verdana" w:cs="Arial"/>
          <w:sz w:val="20"/>
          <w:szCs w:val="20"/>
          <w:lang w:eastAsia="es-ES"/>
        </w:rPr>
        <w:t>ii</w:t>
      </w:r>
      <w:proofErr w:type="spellEnd"/>
      <w:r w:rsidRPr="00960F72">
        <w:rPr>
          <w:rFonts w:ascii="Verdana" w:eastAsia="Calibri" w:hAnsi="Verdana" w:cs="Arial"/>
          <w:sz w:val="20"/>
          <w:szCs w:val="20"/>
          <w:lang w:eastAsia="es-ES"/>
        </w:rPr>
        <w:t>) de no estar incursa en inhabilidades o incompatibilidades que impidan la celebración del contrato.</w:t>
      </w:r>
    </w:p>
    <w:p w14:paraId="08441455"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p>
    <w:p w14:paraId="36CCBAF3"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r w:rsidRPr="00960F72">
        <w:rPr>
          <w:rFonts w:ascii="Verdana" w:eastAsia="Times New Roman" w:hAnsi="Verdana" w:cs="Arial"/>
          <w:sz w:val="20"/>
          <w:szCs w:val="20"/>
          <w:lang w:eastAsia="es-ES_tradnl"/>
        </w:rPr>
        <w:t>[…]</w:t>
      </w:r>
    </w:p>
    <w:p w14:paraId="672CCD59"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p>
    <w:p w14:paraId="3CCEBDB4" w14:textId="77777777" w:rsidR="005D446A" w:rsidRPr="00960F72" w:rsidRDefault="005D446A" w:rsidP="005D446A">
      <w:pPr>
        <w:spacing w:after="0" w:line="240" w:lineRule="auto"/>
        <w:contextualSpacing/>
        <w:jc w:val="both"/>
        <w:rPr>
          <w:rFonts w:ascii="Verdana" w:eastAsia="Calibri" w:hAnsi="Verdana" w:cs="Arial"/>
          <w:sz w:val="20"/>
          <w:szCs w:val="20"/>
          <w:lang w:eastAsia="es-ES_tradnl"/>
        </w:rPr>
      </w:pPr>
      <w:r w:rsidRPr="00960F72">
        <w:rPr>
          <w:rFonts w:ascii="Verdana" w:eastAsia="Calibri" w:hAnsi="Verdana" w:cs="Arial"/>
          <w:sz w:val="20"/>
          <w:szCs w:val="20"/>
          <w:lang w:eastAsia="es-ES_tradnl"/>
        </w:rPr>
        <w:t xml:space="preserve">Se concluye que, en el ordenamiento colombiano pueden celebrar contratos estatales las personas jurídicas que tengan dentro de su objeto social actividades relacionadas con el objeto a contratar. En el </w:t>
      </w:r>
      <w:r w:rsidRPr="00960F72">
        <w:rPr>
          <w:rFonts w:ascii="Verdana" w:eastAsia="Times New Roman" w:hAnsi="Verdana" w:cs="Arial"/>
          <w:color w:val="000000" w:themeColor="text1"/>
          <w:sz w:val="20"/>
          <w:szCs w:val="20"/>
          <w:lang w:eastAsia="es-ES_tradnl"/>
        </w:rPr>
        <w:t xml:space="preserve">RUES, administrado por las cámaras de comercio se </w:t>
      </w:r>
      <w:r w:rsidRPr="00960F72">
        <w:rPr>
          <w:rFonts w:ascii="Verdana" w:eastAsia="Times New Roman" w:hAnsi="Verdana" w:cs="Arial"/>
          <w:color w:val="000000" w:themeColor="text1"/>
          <w:sz w:val="20"/>
          <w:szCs w:val="20"/>
          <w:lang w:eastAsia="es-ES_tradnl"/>
        </w:rPr>
        <w:lastRenderedPageBreak/>
        <w:t xml:space="preserve">encuentra el listado de las actividades económicas que conforman el objeto de las empresas, según los códigos de la Clasificación Industrial Internacional Uniforme (CIIU), en virtud de lo dispuesto en el artículo 11 de la Ley 590 de 2000 y el artículo 166 del Decreto 019 de 2012, por lo cual las Entidades Estatales pueden corroborar a través de este documento si la persona jurídica puede o no ejecutar el objeto contractual. </w:t>
      </w:r>
    </w:p>
    <w:p w14:paraId="62506B38"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p>
    <w:p w14:paraId="422E3276"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r w:rsidRPr="00960F72">
        <w:rPr>
          <w:rFonts w:ascii="Verdana" w:eastAsia="Times New Roman" w:hAnsi="Verdana" w:cs="Arial"/>
          <w:sz w:val="20"/>
          <w:szCs w:val="20"/>
          <w:lang w:eastAsia="es-ES_tradnl"/>
        </w:rPr>
        <w:t>De</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acuerdo</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con</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lo</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anterior,</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la</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inscripción</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en</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el</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RUT</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es</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una</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obligación</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que</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asiste a las personas naturales y jurídicas, y que, tratándose de comerciantes, supone concordancia con las</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pacing w:val="-1"/>
          <w:sz w:val="20"/>
          <w:szCs w:val="20"/>
          <w:lang w:eastAsia="es-ES_tradnl"/>
        </w:rPr>
        <w:t>actividades</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pacing w:val="-1"/>
          <w:sz w:val="20"/>
          <w:szCs w:val="20"/>
          <w:lang w:eastAsia="es-ES_tradnl"/>
        </w:rPr>
        <w:t>que</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pacing w:val="-1"/>
          <w:sz w:val="20"/>
          <w:szCs w:val="20"/>
          <w:lang w:eastAsia="es-ES_tradnl"/>
        </w:rPr>
        <w:t>en</w:t>
      </w:r>
      <w:r w:rsidRPr="00960F72">
        <w:rPr>
          <w:rFonts w:ascii="Verdana" w:eastAsia="Times New Roman" w:hAnsi="Verdana" w:cs="Arial"/>
          <w:spacing w:val="-14"/>
          <w:sz w:val="20"/>
          <w:szCs w:val="20"/>
          <w:lang w:eastAsia="es-ES_tradnl"/>
        </w:rPr>
        <w:t xml:space="preserve"> </w:t>
      </w:r>
      <w:r w:rsidRPr="00960F72">
        <w:rPr>
          <w:rFonts w:ascii="Verdana" w:eastAsia="Times New Roman" w:hAnsi="Verdana" w:cs="Arial"/>
          <w:spacing w:val="-1"/>
          <w:sz w:val="20"/>
          <w:szCs w:val="20"/>
          <w:lang w:eastAsia="es-ES_tradnl"/>
        </w:rPr>
        <w:t>el</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pacing w:val="-1"/>
          <w:sz w:val="20"/>
          <w:szCs w:val="20"/>
          <w:lang w:eastAsia="es-ES_tradnl"/>
        </w:rPr>
        <w:t>marco</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pacing w:val="-1"/>
          <w:sz w:val="20"/>
          <w:szCs w:val="20"/>
          <w:lang w:eastAsia="es-ES_tradnl"/>
        </w:rPr>
        <w:t>de</w:t>
      </w:r>
      <w:r w:rsidRPr="00960F72">
        <w:rPr>
          <w:rFonts w:ascii="Verdana" w:eastAsia="Times New Roman" w:hAnsi="Verdana" w:cs="Arial"/>
          <w:spacing w:val="-14"/>
          <w:sz w:val="20"/>
          <w:szCs w:val="20"/>
          <w:lang w:eastAsia="es-ES_tradnl"/>
        </w:rPr>
        <w:t xml:space="preserve"> </w:t>
      </w:r>
      <w:r w:rsidRPr="00960F72">
        <w:rPr>
          <w:rFonts w:ascii="Verdana" w:eastAsia="Times New Roman" w:hAnsi="Verdana" w:cs="Arial"/>
          <w:spacing w:val="-1"/>
          <w:sz w:val="20"/>
          <w:szCs w:val="20"/>
          <w:lang w:eastAsia="es-ES_tradnl"/>
        </w:rPr>
        <w:t>las</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pacing w:val="-1"/>
          <w:sz w:val="20"/>
          <w:szCs w:val="20"/>
          <w:lang w:eastAsia="es-ES_tradnl"/>
        </w:rPr>
        <w:t>cuales</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pacing w:val="-1"/>
          <w:sz w:val="20"/>
          <w:szCs w:val="20"/>
          <w:lang w:eastAsia="es-ES_tradnl"/>
        </w:rPr>
        <w:t>se</w:t>
      </w:r>
      <w:r w:rsidRPr="00960F72">
        <w:rPr>
          <w:rFonts w:ascii="Verdana" w:eastAsia="Times New Roman" w:hAnsi="Verdana" w:cs="Arial"/>
          <w:spacing w:val="-14"/>
          <w:sz w:val="20"/>
          <w:szCs w:val="20"/>
          <w:lang w:eastAsia="es-ES_tradnl"/>
        </w:rPr>
        <w:t xml:space="preserve"> </w:t>
      </w:r>
      <w:r w:rsidRPr="00960F72">
        <w:rPr>
          <w:rFonts w:ascii="Verdana" w:eastAsia="Times New Roman" w:hAnsi="Verdana" w:cs="Arial"/>
          <w:spacing w:val="-1"/>
          <w:sz w:val="20"/>
          <w:szCs w:val="20"/>
          <w:lang w:eastAsia="es-ES_tradnl"/>
        </w:rPr>
        <w:t>ejerce</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pacing w:val="-1"/>
          <w:sz w:val="20"/>
          <w:szCs w:val="20"/>
          <w:lang w:eastAsia="es-ES_tradnl"/>
        </w:rPr>
        <w:t>el</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pacing w:val="-1"/>
          <w:sz w:val="20"/>
          <w:szCs w:val="20"/>
          <w:lang w:eastAsia="es-ES_tradnl"/>
        </w:rPr>
        <w:t>comercio.</w:t>
      </w:r>
      <w:r w:rsidRPr="00960F72">
        <w:rPr>
          <w:rFonts w:ascii="Verdana" w:eastAsia="Times New Roman" w:hAnsi="Verdana" w:cs="Arial"/>
          <w:spacing w:val="-14"/>
          <w:sz w:val="20"/>
          <w:szCs w:val="20"/>
          <w:lang w:eastAsia="es-ES_tradnl"/>
        </w:rPr>
        <w:t xml:space="preserve"> </w:t>
      </w:r>
      <w:r w:rsidRPr="00960F72">
        <w:rPr>
          <w:rFonts w:ascii="Verdana" w:eastAsia="Times New Roman" w:hAnsi="Verdana" w:cs="Arial"/>
          <w:sz w:val="20"/>
          <w:szCs w:val="20"/>
          <w:lang w:eastAsia="es-ES_tradnl"/>
        </w:rPr>
        <w:t>No</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obstante,</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estima</w:t>
      </w:r>
      <w:r w:rsidRPr="00960F72">
        <w:rPr>
          <w:rFonts w:ascii="Verdana" w:eastAsia="Times New Roman" w:hAnsi="Verdana" w:cs="Arial"/>
          <w:spacing w:val="-14"/>
          <w:sz w:val="20"/>
          <w:szCs w:val="20"/>
          <w:lang w:eastAsia="es-ES_tradnl"/>
        </w:rPr>
        <w:t xml:space="preserve"> </w:t>
      </w:r>
      <w:r w:rsidRPr="00960F72">
        <w:rPr>
          <w:rFonts w:ascii="Verdana" w:eastAsia="Times New Roman" w:hAnsi="Verdana" w:cs="Arial"/>
          <w:sz w:val="20"/>
          <w:szCs w:val="20"/>
          <w:lang w:eastAsia="es-ES_tradnl"/>
        </w:rPr>
        <w:t>esta</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Agencia</w:t>
      </w:r>
      <w:r w:rsidRPr="00960F72">
        <w:rPr>
          <w:rFonts w:ascii="Verdana" w:eastAsia="Times New Roman" w:hAnsi="Verdana" w:cs="Arial"/>
          <w:spacing w:val="-59"/>
          <w:sz w:val="20"/>
          <w:szCs w:val="20"/>
          <w:lang w:eastAsia="es-ES_tradnl"/>
        </w:rPr>
        <w:t xml:space="preserve"> </w:t>
      </w:r>
      <w:r w:rsidRPr="00960F72">
        <w:rPr>
          <w:rFonts w:ascii="Verdana" w:eastAsia="Times New Roman" w:hAnsi="Verdana" w:cs="Arial"/>
          <w:sz w:val="20"/>
          <w:szCs w:val="20"/>
          <w:lang w:eastAsia="es-ES_tradnl"/>
        </w:rPr>
        <w:t>que ello no necesariamente condiciona la capacidad jurídica del proponente para obligarse en el</w:t>
      </w:r>
      <w:r w:rsidRPr="00960F72">
        <w:rPr>
          <w:rFonts w:ascii="Verdana" w:eastAsia="Times New Roman" w:hAnsi="Verdana" w:cs="Arial"/>
          <w:spacing w:val="-60"/>
          <w:sz w:val="20"/>
          <w:szCs w:val="20"/>
          <w:lang w:eastAsia="es-ES_tradnl"/>
        </w:rPr>
        <w:t xml:space="preserve"> </w:t>
      </w:r>
      <w:r w:rsidRPr="00960F72">
        <w:rPr>
          <w:rFonts w:ascii="Verdana" w:eastAsia="Times New Roman" w:hAnsi="Verdana" w:cs="Arial"/>
          <w:sz w:val="20"/>
          <w:szCs w:val="20"/>
          <w:lang w:eastAsia="es-ES_tradnl"/>
        </w:rPr>
        <w:t>marco de un contrato estatal y ejecutar el mismo, en la medida que se trata de una obligación</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z w:val="20"/>
          <w:szCs w:val="20"/>
          <w:lang w:eastAsia="es-ES_tradnl"/>
        </w:rPr>
        <w:t>tributaria</w:t>
      </w:r>
      <w:r w:rsidRPr="00960F72">
        <w:rPr>
          <w:rFonts w:ascii="Verdana" w:eastAsia="Times New Roman" w:hAnsi="Verdana" w:cs="Arial"/>
          <w:spacing w:val="-14"/>
          <w:sz w:val="20"/>
          <w:szCs w:val="20"/>
          <w:lang w:eastAsia="es-ES_tradnl"/>
        </w:rPr>
        <w:t xml:space="preserve"> </w:t>
      </w:r>
      <w:r w:rsidRPr="00960F72">
        <w:rPr>
          <w:rFonts w:ascii="Verdana" w:eastAsia="Times New Roman" w:hAnsi="Verdana" w:cs="Arial"/>
          <w:sz w:val="20"/>
          <w:szCs w:val="20"/>
          <w:lang w:eastAsia="es-ES_tradnl"/>
        </w:rPr>
        <w:t>que</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solo</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condicionará</w:t>
      </w:r>
      <w:r w:rsidRPr="00960F72">
        <w:rPr>
          <w:rFonts w:ascii="Verdana" w:eastAsia="Times New Roman" w:hAnsi="Verdana" w:cs="Arial"/>
          <w:spacing w:val="-16"/>
          <w:sz w:val="20"/>
          <w:szCs w:val="20"/>
          <w:lang w:eastAsia="es-ES_tradnl"/>
        </w:rPr>
        <w:t xml:space="preserve"> </w:t>
      </w:r>
      <w:r w:rsidRPr="00960F72">
        <w:rPr>
          <w:rFonts w:ascii="Verdana" w:eastAsia="Times New Roman" w:hAnsi="Verdana" w:cs="Arial"/>
          <w:sz w:val="20"/>
          <w:szCs w:val="20"/>
          <w:lang w:eastAsia="es-ES_tradnl"/>
        </w:rPr>
        <w:t>la</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capacidad</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jurídica</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en</w:t>
      </w:r>
      <w:r w:rsidRPr="00960F72">
        <w:rPr>
          <w:rFonts w:ascii="Verdana" w:eastAsia="Times New Roman" w:hAnsi="Verdana" w:cs="Arial"/>
          <w:spacing w:val="-16"/>
          <w:sz w:val="20"/>
          <w:szCs w:val="20"/>
          <w:lang w:eastAsia="es-ES_tradnl"/>
        </w:rPr>
        <w:t xml:space="preserve"> </w:t>
      </w:r>
      <w:r w:rsidRPr="00960F72">
        <w:rPr>
          <w:rFonts w:ascii="Verdana" w:eastAsia="Times New Roman" w:hAnsi="Verdana" w:cs="Arial"/>
          <w:sz w:val="20"/>
          <w:szCs w:val="20"/>
          <w:lang w:eastAsia="es-ES_tradnl"/>
        </w:rPr>
        <w:t>el</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caso</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en</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el</w:t>
      </w:r>
      <w:r w:rsidRPr="00960F72">
        <w:rPr>
          <w:rFonts w:ascii="Verdana" w:eastAsia="Times New Roman" w:hAnsi="Verdana" w:cs="Arial"/>
          <w:spacing w:val="-16"/>
          <w:sz w:val="20"/>
          <w:szCs w:val="20"/>
          <w:lang w:eastAsia="es-ES_tradnl"/>
        </w:rPr>
        <w:t xml:space="preserve"> </w:t>
      </w:r>
      <w:r w:rsidRPr="00960F72">
        <w:rPr>
          <w:rFonts w:ascii="Verdana" w:eastAsia="Times New Roman" w:hAnsi="Verdana" w:cs="Arial"/>
          <w:sz w:val="20"/>
          <w:szCs w:val="20"/>
          <w:lang w:eastAsia="es-ES_tradnl"/>
        </w:rPr>
        <w:t>que</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se</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trate</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de</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una</w:t>
      </w:r>
      <w:r w:rsidRPr="00960F72">
        <w:rPr>
          <w:rFonts w:ascii="Verdana" w:eastAsia="Times New Roman" w:hAnsi="Verdana" w:cs="Arial"/>
          <w:spacing w:val="-15"/>
          <w:sz w:val="20"/>
          <w:szCs w:val="20"/>
          <w:lang w:eastAsia="es-ES_tradnl"/>
        </w:rPr>
        <w:t xml:space="preserve"> </w:t>
      </w:r>
      <w:r w:rsidRPr="00960F72">
        <w:rPr>
          <w:rFonts w:ascii="Verdana" w:eastAsia="Times New Roman" w:hAnsi="Verdana" w:cs="Arial"/>
          <w:sz w:val="20"/>
          <w:szCs w:val="20"/>
          <w:lang w:eastAsia="es-ES_tradnl"/>
        </w:rPr>
        <w:t>actividad</w:t>
      </w:r>
      <w:r w:rsidRPr="00960F72">
        <w:rPr>
          <w:rFonts w:ascii="Verdana" w:eastAsia="Times New Roman" w:hAnsi="Verdana" w:cs="Arial"/>
          <w:spacing w:val="-59"/>
          <w:sz w:val="20"/>
          <w:szCs w:val="20"/>
          <w:lang w:eastAsia="es-ES_tradnl"/>
        </w:rPr>
        <w:t xml:space="preserve"> </w:t>
      </w:r>
      <w:r w:rsidRPr="00960F72">
        <w:rPr>
          <w:rFonts w:ascii="Verdana" w:eastAsia="Times New Roman" w:hAnsi="Verdana" w:cs="Arial"/>
          <w:sz w:val="20"/>
          <w:szCs w:val="20"/>
          <w:lang w:eastAsia="es-ES_tradnl"/>
        </w:rPr>
        <w:t>que</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solo</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pueda</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ser</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ejercida</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previa</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inscripción</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en</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el</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RUT,</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asunto</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regido</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por</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normas</w:t>
      </w:r>
      <w:r w:rsidRPr="00960F72">
        <w:rPr>
          <w:rFonts w:ascii="Verdana" w:eastAsia="Times New Roman" w:hAnsi="Verdana" w:cs="Arial"/>
          <w:spacing w:val="-4"/>
          <w:sz w:val="20"/>
          <w:szCs w:val="20"/>
          <w:lang w:eastAsia="es-ES_tradnl"/>
        </w:rPr>
        <w:t xml:space="preserve"> </w:t>
      </w:r>
      <w:r w:rsidRPr="00960F72">
        <w:rPr>
          <w:rFonts w:ascii="Verdana" w:eastAsia="Times New Roman" w:hAnsi="Verdana" w:cs="Arial"/>
          <w:sz w:val="20"/>
          <w:szCs w:val="20"/>
          <w:lang w:eastAsia="es-ES_tradnl"/>
        </w:rPr>
        <w:t>tributarias.</w:t>
      </w:r>
    </w:p>
    <w:p w14:paraId="0152C106"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p>
    <w:p w14:paraId="5EC3A2B9" w14:textId="77777777" w:rsidR="005D446A" w:rsidRPr="00960F72" w:rsidRDefault="005D446A" w:rsidP="005D446A">
      <w:pPr>
        <w:spacing w:after="0" w:line="240" w:lineRule="auto"/>
        <w:contextualSpacing/>
        <w:jc w:val="both"/>
        <w:rPr>
          <w:rFonts w:ascii="Verdana" w:eastAsia="Times New Roman" w:hAnsi="Verdana" w:cs="Arial"/>
          <w:sz w:val="20"/>
          <w:szCs w:val="20"/>
          <w:lang w:eastAsia="es-ES_tradnl"/>
        </w:rPr>
      </w:pPr>
      <w:r w:rsidRPr="00960F72">
        <w:rPr>
          <w:rFonts w:ascii="Verdana" w:eastAsia="Times New Roman" w:hAnsi="Verdana" w:cs="Arial"/>
          <w:sz w:val="20"/>
          <w:szCs w:val="20"/>
          <w:lang w:eastAsia="es-ES_tradnl"/>
        </w:rPr>
        <w:t>Conforme a lo anterior, la validez de exigir la inscripción en el RUT de determinados</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z w:val="20"/>
          <w:szCs w:val="20"/>
          <w:lang w:eastAsia="es-ES_tradnl"/>
        </w:rPr>
        <w:t>códigos</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o</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actividades</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asociados</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al</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objeto</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contractual</w:t>
      </w:r>
      <w:r w:rsidRPr="00960F72">
        <w:rPr>
          <w:rFonts w:ascii="Verdana" w:eastAsia="Times New Roman" w:hAnsi="Verdana" w:cs="Arial"/>
          <w:spacing w:val="-5"/>
          <w:sz w:val="20"/>
          <w:szCs w:val="20"/>
          <w:lang w:eastAsia="es-ES_tradnl"/>
        </w:rPr>
        <w:t xml:space="preserve"> </w:t>
      </w:r>
      <w:r w:rsidRPr="00960F72">
        <w:rPr>
          <w:rFonts w:ascii="Verdana" w:eastAsia="Times New Roman" w:hAnsi="Verdana" w:cs="Arial"/>
          <w:sz w:val="20"/>
          <w:szCs w:val="20"/>
          <w:lang w:eastAsia="es-ES_tradnl"/>
        </w:rPr>
        <w:t>como</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requisito</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para</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acreditar</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la</w:t>
      </w:r>
      <w:r w:rsidRPr="00960F72">
        <w:rPr>
          <w:rFonts w:ascii="Verdana" w:eastAsia="Times New Roman" w:hAnsi="Verdana" w:cs="Arial"/>
          <w:spacing w:val="-6"/>
          <w:sz w:val="20"/>
          <w:szCs w:val="20"/>
          <w:lang w:eastAsia="es-ES_tradnl"/>
        </w:rPr>
        <w:t xml:space="preserve"> </w:t>
      </w:r>
      <w:r w:rsidRPr="00960F72">
        <w:rPr>
          <w:rFonts w:ascii="Verdana" w:eastAsia="Times New Roman" w:hAnsi="Verdana" w:cs="Arial"/>
          <w:sz w:val="20"/>
          <w:szCs w:val="20"/>
          <w:lang w:eastAsia="es-ES_tradnl"/>
        </w:rPr>
        <w:t>capacidad jurídica, depende en primera medida de lo impuesto por las normas tributarias y comerciales, de</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z w:val="20"/>
          <w:szCs w:val="20"/>
          <w:lang w:eastAsia="es-ES_tradnl"/>
        </w:rPr>
        <w:t>suerte</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que,</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si</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tal</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normativa</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indica</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la</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obligatoriedad</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del</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RUT</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para</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ejercer</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la</w:t>
      </w:r>
      <w:r w:rsidRPr="00960F72">
        <w:rPr>
          <w:rFonts w:ascii="Verdana" w:eastAsia="Times New Roman" w:hAnsi="Verdana" w:cs="Arial"/>
          <w:spacing w:val="28"/>
          <w:sz w:val="20"/>
          <w:szCs w:val="20"/>
          <w:lang w:eastAsia="es-ES_tradnl"/>
        </w:rPr>
        <w:t xml:space="preserve"> </w:t>
      </w:r>
      <w:r w:rsidRPr="00960F72">
        <w:rPr>
          <w:rFonts w:ascii="Verdana" w:eastAsia="Times New Roman" w:hAnsi="Verdana" w:cs="Arial"/>
          <w:sz w:val="20"/>
          <w:szCs w:val="20"/>
          <w:lang w:eastAsia="es-ES_tradnl"/>
        </w:rPr>
        <w:t>actividad correspondiente, podría resultar valido el referido requisito. En todo caso, también es necesario</w:t>
      </w:r>
      <w:r w:rsidRPr="00960F72">
        <w:rPr>
          <w:rFonts w:ascii="Verdana" w:eastAsia="Times New Roman" w:hAnsi="Verdana" w:cs="Arial"/>
          <w:spacing w:val="-59"/>
          <w:sz w:val="20"/>
          <w:szCs w:val="20"/>
          <w:lang w:eastAsia="es-ES_tradnl"/>
        </w:rPr>
        <w:t xml:space="preserve"> </w:t>
      </w:r>
      <w:r w:rsidRPr="00960F72">
        <w:rPr>
          <w:rFonts w:ascii="Verdana" w:eastAsia="Times New Roman" w:hAnsi="Verdana" w:cs="Arial"/>
          <w:sz w:val="20"/>
          <w:szCs w:val="20"/>
          <w:lang w:eastAsia="es-ES_tradnl"/>
        </w:rPr>
        <w:t>verificar las particulares condiciones de la persona proponente a efectos de determinar</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z w:val="20"/>
          <w:szCs w:val="20"/>
          <w:lang w:eastAsia="es-ES_tradnl"/>
        </w:rPr>
        <w:t>si atención a las mismas se encuentra obligado a estar inscrito en RUT en los términos exigidos</w:t>
      </w:r>
      <w:r w:rsidRPr="00960F72">
        <w:rPr>
          <w:rFonts w:ascii="Verdana" w:eastAsia="Times New Roman" w:hAnsi="Verdana" w:cs="Arial"/>
          <w:spacing w:val="-59"/>
          <w:sz w:val="20"/>
          <w:szCs w:val="20"/>
          <w:lang w:eastAsia="es-ES_tradnl"/>
        </w:rPr>
        <w:t xml:space="preserve"> </w:t>
      </w:r>
      <w:r w:rsidRPr="00960F72">
        <w:rPr>
          <w:rFonts w:ascii="Verdana" w:eastAsia="Times New Roman" w:hAnsi="Verdana" w:cs="Arial"/>
          <w:sz w:val="20"/>
          <w:szCs w:val="20"/>
          <w:lang w:eastAsia="es-ES_tradnl"/>
        </w:rPr>
        <w:t>o</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z w:val="20"/>
          <w:szCs w:val="20"/>
          <w:lang w:eastAsia="es-ES_tradnl"/>
        </w:rPr>
        <w:t>si</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z w:val="20"/>
          <w:szCs w:val="20"/>
          <w:lang w:eastAsia="es-ES_tradnl"/>
        </w:rPr>
        <w:t>ello</w:t>
      </w:r>
      <w:r w:rsidRPr="00960F72">
        <w:rPr>
          <w:rFonts w:ascii="Verdana" w:eastAsia="Times New Roman" w:hAnsi="Verdana" w:cs="Arial"/>
          <w:spacing w:val="-2"/>
          <w:sz w:val="20"/>
          <w:szCs w:val="20"/>
          <w:lang w:eastAsia="es-ES_tradnl"/>
        </w:rPr>
        <w:t xml:space="preserve"> </w:t>
      </w:r>
      <w:r w:rsidRPr="00960F72">
        <w:rPr>
          <w:rFonts w:ascii="Verdana" w:eastAsia="Times New Roman" w:hAnsi="Verdana" w:cs="Arial"/>
          <w:sz w:val="20"/>
          <w:szCs w:val="20"/>
          <w:lang w:eastAsia="es-ES_tradnl"/>
        </w:rPr>
        <w:t>supone</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z w:val="20"/>
          <w:szCs w:val="20"/>
          <w:lang w:eastAsia="es-ES_tradnl"/>
        </w:rPr>
        <w:t>un</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z w:val="20"/>
          <w:szCs w:val="20"/>
          <w:lang w:eastAsia="es-ES_tradnl"/>
        </w:rPr>
        <w:t>impedimento</w:t>
      </w:r>
      <w:r w:rsidRPr="00960F72">
        <w:rPr>
          <w:rFonts w:ascii="Verdana" w:eastAsia="Times New Roman" w:hAnsi="Verdana" w:cs="Arial"/>
          <w:spacing w:val="-2"/>
          <w:sz w:val="20"/>
          <w:szCs w:val="20"/>
          <w:lang w:eastAsia="es-ES_tradnl"/>
        </w:rPr>
        <w:t xml:space="preserve"> </w:t>
      </w:r>
      <w:r w:rsidRPr="00960F72">
        <w:rPr>
          <w:rFonts w:ascii="Verdana" w:eastAsia="Times New Roman" w:hAnsi="Verdana" w:cs="Arial"/>
          <w:sz w:val="20"/>
          <w:szCs w:val="20"/>
          <w:lang w:eastAsia="es-ES_tradnl"/>
        </w:rPr>
        <w:t>para</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z w:val="20"/>
          <w:szCs w:val="20"/>
          <w:lang w:eastAsia="es-ES_tradnl"/>
        </w:rPr>
        <w:t>ejecutar</w:t>
      </w:r>
      <w:r w:rsidRPr="00960F72">
        <w:rPr>
          <w:rFonts w:ascii="Verdana" w:eastAsia="Times New Roman" w:hAnsi="Verdana" w:cs="Arial"/>
          <w:spacing w:val="-1"/>
          <w:sz w:val="20"/>
          <w:szCs w:val="20"/>
          <w:lang w:eastAsia="es-ES_tradnl"/>
        </w:rPr>
        <w:t xml:space="preserve"> </w:t>
      </w:r>
      <w:r w:rsidRPr="00960F72">
        <w:rPr>
          <w:rFonts w:ascii="Verdana" w:eastAsia="Times New Roman" w:hAnsi="Verdana" w:cs="Arial"/>
          <w:sz w:val="20"/>
          <w:szCs w:val="20"/>
          <w:lang w:eastAsia="es-ES_tradnl"/>
        </w:rPr>
        <w:t>el</w:t>
      </w:r>
      <w:r w:rsidRPr="00960F72">
        <w:rPr>
          <w:rFonts w:ascii="Verdana" w:eastAsia="Times New Roman" w:hAnsi="Verdana" w:cs="Arial"/>
          <w:spacing w:val="-2"/>
          <w:sz w:val="20"/>
          <w:szCs w:val="20"/>
          <w:lang w:eastAsia="es-ES_tradnl"/>
        </w:rPr>
        <w:t xml:space="preserve"> </w:t>
      </w:r>
      <w:r w:rsidRPr="00960F72">
        <w:rPr>
          <w:rFonts w:ascii="Verdana" w:eastAsia="Times New Roman" w:hAnsi="Verdana" w:cs="Arial"/>
          <w:sz w:val="20"/>
          <w:szCs w:val="20"/>
          <w:lang w:eastAsia="es-ES_tradnl"/>
        </w:rPr>
        <w:t>contrato.</w:t>
      </w:r>
    </w:p>
    <w:p w14:paraId="12467F1C" w14:textId="77777777" w:rsidR="005D446A" w:rsidRPr="00960F72" w:rsidRDefault="005D446A" w:rsidP="005D446A">
      <w:pPr>
        <w:rPr>
          <w:rFonts w:ascii="Verdana" w:eastAsia="Calibri" w:hAnsi="Verdana" w:cs="Arial"/>
          <w:bCs/>
          <w:sz w:val="20"/>
          <w:szCs w:val="20"/>
          <w:lang w:eastAsia="es-ES_tradnl"/>
        </w:rPr>
      </w:pPr>
      <w:r w:rsidRPr="00960F72">
        <w:rPr>
          <w:rFonts w:ascii="Verdana" w:eastAsia="Calibri" w:hAnsi="Verdana" w:cs="Arial"/>
          <w:bCs/>
          <w:sz w:val="20"/>
          <w:szCs w:val="20"/>
          <w:lang w:eastAsia="es-ES_tradnl"/>
        </w:rPr>
        <w:br w:type="page"/>
      </w: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35870354" w14:textId="77777777" w:rsidR="005D446A" w:rsidRPr="00960F72" w:rsidRDefault="005D446A" w:rsidP="005D446A">
      <w:pPr>
        <w:spacing w:after="0" w:line="240" w:lineRule="auto"/>
        <w:jc w:val="both"/>
        <w:rPr>
          <w:rFonts w:ascii="Verdana" w:eastAsia="Calibri" w:hAnsi="Verdana" w:cs="Arial"/>
        </w:rPr>
      </w:pPr>
    </w:p>
    <w:p w14:paraId="17978329" w14:textId="414082A9" w:rsidR="005D446A" w:rsidRPr="00960F72" w:rsidRDefault="005137DB" w:rsidP="005D446A">
      <w:pPr>
        <w:spacing w:after="0" w:line="240" w:lineRule="auto"/>
        <w:jc w:val="both"/>
        <w:rPr>
          <w:rFonts w:ascii="Verdana" w:eastAsia="Calibri" w:hAnsi="Verdana" w:cs="Arial"/>
          <w:lang w:eastAsia="es-ES"/>
        </w:rPr>
      </w:pPr>
      <w:r w:rsidRPr="005137DB">
        <w:rPr>
          <w:rFonts w:ascii="Verdana" w:eastAsia="Calibri" w:hAnsi="Verdana" w:cs="Arial"/>
          <w:b/>
          <w:bCs/>
          <w:noProof/>
          <w:lang w:eastAsia="es-ES"/>
        </w:rPr>
        <w:drawing>
          <wp:anchor distT="0" distB="0" distL="114300" distR="114300" simplePos="0" relativeHeight="251658240" behindDoc="1" locked="0" layoutInCell="1" allowOverlap="1" wp14:anchorId="704AD558" wp14:editId="5CA52ED7">
            <wp:simplePos x="0" y="0"/>
            <wp:positionH relativeFrom="column">
              <wp:posOffset>2807970</wp:posOffset>
            </wp:positionH>
            <wp:positionV relativeFrom="paragraph">
              <wp:posOffset>5080</wp:posOffset>
            </wp:positionV>
            <wp:extent cx="3004185" cy="826770"/>
            <wp:effectExtent l="0" t="0" r="5715" b="0"/>
            <wp:wrapSquare wrapText="bothSides"/>
            <wp:docPr id="10384358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435816" name=""/>
                    <pic:cNvPicPr/>
                  </pic:nvPicPr>
                  <pic:blipFill>
                    <a:blip r:embed="rId10">
                      <a:extLst>
                        <a:ext uri="{28A0092B-C50C-407E-A947-70E740481C1C}">
                          <a14:useLocalDpi xmlns:a14="http://schemas.microsoft.com/office/drawing/2010/main" val="0"/>
                        </a:ext>
                      </a:extLst>
                    </a:blip>
                    <a:stretch>
                      <a:fillRect/>
                    </a:stretch>
                  </pic:blipFill>
                  <pic:spPr>
                    <a:xfrm>
                      <a:off x="0" y="0"/>
                      <a:ext cx="3004185" cy="826770"/>
                    </a:xfrm>
                    <a:prstGeom prst="rect">
                      <a:avLst/>
                    </a:prstGeom>
                  </pic:spPr>
                </pic:pic>
              </a:graphicData>
            </a:graphic>
            <wp14:sizeRelH relativeFrom="page">
              <wp14:pctWidth>0</wp14:pctWidth>
            </wp14:sizeRelH>
            <wp14:sizeRelV relativeFrom="page">
              <wp14:pctHeight>0</wp14:pctHeight>
            </wp14:sizeRelV>
          </wp:anchor>
        </w:drawing>
      </w:r>
      <w:r w:rsidR="005D446A" w:rsidRPr="00960F72">
        <w:rPr>
          <w:rFonts w:ascii="Verdana" w:eastAsia="Calibri" w:hAnsi="Verdana" w:cs="Arial"/>
          <w:lang w:eastAsia="es-ES"/>
        </w:rPr>
        <w:t>Señor</w:t>
      </w:r>
    </w:p>
    <w:p w14:paraId="2A8F86F9" w14:textId="52B9E985" w:rsidR="005D446A" w:rsidRPr="00960F72" w:rsidRDefault="005D446A" w:rsidP="005D446A">
      <w:pPr>
        <w:spacing w:after="0" w:line="240" w:lineRule="auto"/>
        <w:jc w:val="both"/>
        <w:rPr>
          <w:rFonts w:ascii="Verdana" w:eastAsia="Calibri" w:hAnsi="Verdana" w:cs="Arial"/>
          <w:b/>
          <w:bCs/>
          <w:lang w:eastAsia="es-ES"/>
        </w:rPr>
      </w:pPr>
      <w:r w:rsidRPr="00960F72">
        <w:rPr>
          <w:rFonts w:ascii="Verdana" w:eastAsia="Calibri" w:hAnsi="Verdana" w:cs="Arial"/>
          <w:b/>
          <w:bCs/>
          <w:lang w:eastAsia="es-ES"/>
        </w:rPr>
        <w:t>José Fabián Sánchez</w:t>
      </w:r>
    </w:p>
    <w:p w14:paraId="5F39D872" w14:textId="3C716247" w:rsidR="005D446A" w:rsidRPr="00960F72" w:rsidRDefault="000163FA" w:rsidP="005D446A">
      <w:pPr>
        <w:spacing w:after="0" w:line="240" w:lineRule="auto"/>
        <w:jc w:val="both"/>
        <w:rPr>
          <w:rFonts w:ascii="Verdana" w:eastAsia="Calibri" w:hAnsi="Verdana" w:cs="Arial"/>
          <w:lang w:eastAsia="es-ES"/>
        </w:rPr>
      </w:pPr>
      <w:hyperlink r:id="rId11" w:history="1">
        <w:r w:rsidRPr="00EB413D">
          <w:rPr>
            <w:rStyle w:val="Hipervnculo"/>
            <w:rFonts w:ascii="Verdana" w:eastAsia="Calibri" w:hAnsi="Verdana" w:cs="Arial"/>
            <w:lang w:eastAsia="es-ES"/>
          </w:rPr>
          <w:t>Josef-sanchezo@unilibre.edu.co</w:t>
        </w:r>
      </w:hyperlink>
      <w:r>
        <w:rPr>
          <w:rFonts w:ascii="Verdana" w:eastAsia="Calibri" w:hAnsi="Verdana" w:cs="Arial"/>
          <w:lang w:eastAsia="es-ES"/>
        </w:rPr>
        <w:t xml:space="preserve"> </w:t>
      </w:r>
    </w:p>
    <w:p w14:paraId="49316D06" w14:textId="77777777" w:rsidR="005D446A" w:rsidRPr="00960F72" w:rsidRDefault="005D446A" w:rsidP="005D446A">
      <w:pPr>
        <w:spacing w:after="0" w:line="240" w:lineRule="auto"/>
        <w:rPr>
          <w:rFonts w:ascii="Verdana" w:eastAsia="Calibri" w:hAnsi="Verdana" w:cs="Arial"/>
          <w:b/>
          <w:bCs/>
          <w:lang w:eastAsia="es-ES"/>
        </w:rPr>
      </w:pPr>
      <w:proofErr w:type="spellStart"/>
      <w:r w:rsidRPr="00960F72">
        <w:rPr>
          <w:rFonts w:ascii="Verdana" w:eastAsia="Calibri" w:hAnsi="Verdana" w:cs="Arial"/>
          <w:lang w:eastAsia="es-ES"/>
        </w:rPr>
        <w:t>Cucutilla</w:t>
      </w:r>
      <w:proofErr w:type="spellEnd"/>
      <w:r w:rsidRPr="00960F72">
        <w:rPr>
          <w:rFonts w:ascii="Verdana" w:eastAsia="Calibri" w:hAnsi="Verdana" w:cs="Arial"/>
          <w:lang w:eastAsia="es-ES"/>
        </w:rPr>
        <w:t>, Norte de Santander</w:t>
      </w:r>
    </w:p>
    <w:p w14:paraId="08305055" w14:textId="77777777" w:rsidR="005D446A" w:rsidRPr="00960F72" w:rsidRDefault="005D446A" w:rsidP="005D446A">
      <w:pPr>
        <w:spacing w:after="0" w:line="240" w:lineRule="auto"/>
        <w:rPr>
          <w:rFonts w:ascii="Verdana" w:eastAsia="Calibri" w:hAnsi="Verdana" w:cs="Arial"/>
          <w:b/>
          <w:bCs/>
          <w:lang w:eastAsia="es-ES_tradnl"/>
        </w:rPr>
      </w:pPr>
    </w:p>
    <w:p w14:paraId="4086757E" w14:textId="77777777" w:rsidR="005D446A" w:rsidRPr="00960F72" w:rsidRDefault="005D446A" w:rsidP="005D446A">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D446A" w:rsidRPr="00960F72" w14:paraId="6B8DC4F3" w14:textId="77777777" w:rsidTr="008167F1">
        <w:trPr>
          <w:trHeight w:val="190"/>
        </w:trPr>
        <w:tc>
          <w:tcPr>
            <w:tcW w:w="2689" w:type="dxa"/>
          </w:tcPr>
          <w:p w14:paraId="0156277D" w14:textId="77777777" w:rsidR="005D446A" w:rsidRPr="00960F72" w:rsidRDefault="005D446A" w:rsidP="008167F1">
            <w:pPr>
              <w:jc w:val="both"/>
              <w:rPr>
                <w:rFonts w:ascii="Verdana" w:eastAsia="Calibri" w:hAnsi="Verdana" w:cs="Arial"/>
                <w:b/>
                <w:bCs/>
                <w:lang w:eastAsia="es-ES_tradnl"/>
              </w:rPr>
            </w:pPr>
          </w:p>
        </w:tc>
        <w:tc>
          <w:tcPr>
            <w:tcW w:w="6100" w:type="dxa"/>
          </w:tcPr>
          <w:p w14:paraId="6135892D" w14:textId="77777777" w:rsidR="005D446A" w:rsidRPr="00960F72" w:rsidRDefault="005D446A" w:rsidP="008167F1">
            <w:pPr>
              <w:jc w:val="both"/>
              <w:rPr>
                <w:rFonts w:ascii="Verdana" w:eastAsia="Calibri" w:hAnsi="Verdana" w:cs="Arial"/>
                <w:b/>
                <w:bCs/>
                <w:lang w:eastAsia="es-ES"/>
              </w:rPr>
            </w:pPr>
            <w:r w:rsidRPr="00960F72">
              <w:rPr>
                <w:rFonts w:ascii="Verdana" w:eastAsia="Calibri" w:hAnsi="Verdana" w:cs="Arial"/>
                <w:b/>
                <w:bCs/>
                <w:lang w:eastAsia="es-ES"/>
              </w:rPr>
              <w:t>Concepto C- 1175 de 2025</w:t>
            </w:r>
          </w:p>
          <w:p w14:paraId="5DDC67FA" w14:textId="77777777" w:rsidR="005D446A" w:rsidRPr="00960F72" w:rsidRDefault="005D446A" w:rsidP="008167F1">
            <w:pPr>
              <w:jc w:val="both"/>
              <w:rPr>
                <w:rFonts w:ascii="Verdana" w:eastAsia="Calibri" w:hAnsi="Verdana" w:cs="Arial"/>
                <w:b/>
                <w:bCs/>
                <w:lang w:eastAsia="es-ES"/>
              </w:rPr>
            </w:pPr>
          </w:p>
        </w:tc>
      </w:tr>
      <w:tr w:rsidR="005D446A" w:rsidRPr="00960F72" w14:paraId="29A0A835" w14:textId="77777777" w:rsidTr="008167F1">
        <w:trPr>
          <w:trHeight w:val="884"/>
        </w:trPr>
        <w:tc>
          <w:tcPr>
            <w:tcW w:w="2689" w:type="dxa"/>
          </w:tcPr>
          <w:p w14:paraId="38C98408" w14:textId="77777777" w:rsidR="005D446A" w:rsidRPr="00960F72" w:rsidRDefault="005D446A" w:rsidP="008167F1">
            <w:pPr>
              <w:jc w:val="both"/>
              <w:rPr>
                <w:rFonts w:ascii="Verdana" w:eastAsia="Calibri" w:hAnsi="Verdana" w:cs="Arial"/>
                <w:lang w:eastAsia="es-ES_tradnl"/>
              </w:rPr>
            </w:pPr>
            <w:r w:rsidRPr="00960F72">
              <w:rPr>
                <w:rFonts w:ascii="Verdana" w:eastAsia="Calibri" w:hAnsi="Verdana" w:cs="Arial"/>
                <w:b/>
                <w:lang w:eastAsia="es-ES_tradnl"/>
              </w:rPr>
              <w:t>Temas:</w:t>
            </w:r>
            <w:r w:rsidRPr="00960F72">
              <w:rPr>
                <w:rFonts w:ascii="Verdana" w:eastAsia="Calibri" w:hAnsi="Verdana" w:cs="Arial"/>
                <w:lang w:eastAsia="es-ES_tradnl"/>
              </w:rPr>
              <w:t xml:space="preserve">                   </w:t>
            </w:r>
          </w:p>
        </w:tc>
        <w:tc>
          <w:tcPr>
            <w:tcW w:w="6100" w:type="dxa"/>
          </w:tcPr>
          <w:p w14:paraId="25DAF429" w14:textId="77777777" w:rsidR="005D446A" w:rsidRPr="00960F72" w:rsidRDefault="005D446A" w:rsidP="008167F1">
            <w:pPr>
              <w:autoSpaceDE w:val="0"/>
              <w:autoSpaceDN w:val="0"/>
              <w:adjustRightInd w:val="0"/>
              <w:contextualSpacing/>
              <w:jc w:val="both"/>
              <w:rPr>
                <w:rFonts w:ascii="Verdana" w:eastAsia="Calibri" w:hAnsi="Verdana" w:cs="Arial"/>
                <w:lang w:eastAsia="es-ES_tradnl"/>
              </w:rPr>
            </w:pPr>
            <w:r w:rsidRPr="00960F72">
              <w:rPr>
                <w:rFonts w:ascii="Verdana" w:hAnsi="Verdana" w:cs="Arial"/>
                <w:bCs/>
              </w:rPr>
              <w:t>REQUISITOS HABILITANTES – Concepto / REQUISITOS HABILITANTES – Carácter enunciativo – Artículo 5 de la Ley 1150 de 2007 / Requisitos Habilitantes – Acreditación – RUP – Otros documentos / Capacidad jurídica – Registro Único Tributario – CIIU</w:t>
            </w:r>
            <w:r w:rsidRPr="00960F72">
              <w:rPr>
                <w:rFonts w:ascii="Verdana" w:eastAsia="Calibri" w:hAnsi="Verdana" w:cs="Arial"/>
                <w:lang w:eastAsia="es-ES_tradnl"/>
              </w:rPr>
              <w:t>.</w:t>
            </w:r>
          </w:p>
          <w:p w14:paraId="5BD586C9" w14:textId="77777777" w:rsidR="005D446A" w:rsidRPr="00960F72" w:rsidRDefault="005D446A" w:rsidP="008167F1">
            <w:pPr>
              <w:jc w:val="both"/>
              <w:rPr>
                <w:rFonts w:ascii="Verdana" w:eastAsia="Calibri" w:hAnsi="Verdana" w:cs="Arial"/>
                <w:lang w:eastAsia="es-ES"/>
              </w:rPr>
            </w:pPr>
          </w:p>
        </w:tc>
      </w:tr>
      <w:tr w:rsidR="005D446A" w:rsidRPr="00960F72" w14:paraId="3B5E018C" w14:textId="77777777" w:rsidTr="008167F1">
        <w:tc>
          <w:tcPr>
            <w:tcW w:w="2689" w:type="dxa"/>
          </w:tcPr>
          <w:p w14:paraId="1361D545" w14:textId="77777777" w:rsidR="005D446A" w:rsidRPr="00960F72" w:rsidRDefault="005D446A" w:rsidP="008167F1">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2B3F6DA4" w14:textId="77777777" w:rsidR="005D446A" w:rsidRPr="00960F72" w:rsidRDefault="005D446A" w:rsidP="008167F1">
            <w:pPr>
              <w:jc w:val="both"/>
              <w:rPr>
                <w:rFonts w:ascii="Verdana" w:eastAsia="Calibri" w:hAnsi="Verdana" w:cs="Arial"/>
                <w:lang w:eastAsia="es-ES_tradnl"/>
              </w:rPr>
            </w:pPr>
            <w:r w:rsidRPr="00960F72">
              <w:rPr>
                <w:rFonts w:ascii="Verdana" w:eastAsia="Calibri" w:hAnsi="Verdana" w:cs="Arial"/>
                <w:lang w:eastAsia="es-ES_tradnl"/>
              </w:rPr>
              <w:t>Respuesta a consulta con radicado No. 1_2025_08_19_008689</w:t>
            </w:r>
          </w:p>
        </w:tc>
      </w:tr>
    </w:tbl>
    <w:p w14:paraId="206E30F4" w14:textId="77777777" w:rsidR="005D446A" w:rsidRPr="00960F72" w:rsidRDefault="005D446A" w:rsidP="005D446A">
      <w:pPr>
        <w:spacing w:after="0" w:line="240" w:lineRule="auto"/>
        <w:jc w:val="both"/>
        <w:rPr>
          <w:rFonts w:ascii="Verdana" w:eastAsia="Calibri" w:hAnsi="Verdana" w:cs="Arial"/>
          <w:lang w:eastAsia="es-ES_tradnl"/>
        </w:rPr>
      </w:pPr>
    </w:p>
    <w:p w14:paraId="3E58B2FE" w14:textId="77777777" w:rsidR="005D446A" w:rsidRPr="00960F72" w:rsidRDefault="005D446A" w:rsidP="005D446A">
      <w:pPr>
        <w:spacing w:after="0" w:line="240" w:lineRule="auto"/>
        <w:jc w:val="both"/>
        <w:rPr>
          <w:rFonts w:ascii="Verdana" w:eastAsia="Calibri" w:hAnsi="Verdana" w:cs="Arial"/>
          <w:lang w:eastAsia="es-ES_tradnl"/>
        </w:rPr>
      </w:pPr>
    </w:p>
    <w:p w14:paraId="6BD79682" w14:textId="77777777" w:rsidR="005D446A" w:rsidRPr="00960F72" w:rsidRDefault="005D446A" w:rsidP="005D446A">
      <w:pPr>
        <w:spacing w:after="0" w:line="276" w:lineRule="auto"/>
        <w:jc w:val="both"/>
        <w:rPr>
          <w:rFonts w:ascii="Verdana" w:eastAsia="Calibri" w:hAnsi="Verdana" w:cs="Arial"/>
          <w:lang w:eastAsia="es-ES"/>
        </w:rPr>
      </w:pPr>
      <w:r w:rsidRPr="00960F72">
        <w:rPr>
          <w:rFonts w:ascii="Verdana" w:eastAsia="Calibri" w:hAnsi="Verdana" w:cs="Arial"/>
          <w:lang w:eastAsia="es-ES"/>
        </w:rPr>
        <w:t xml:space="preserve">Estimado señor Sánchez: </w:t>
      </w:r>
    </w:p>
    <w:p w14:paraId="48B5EA12" w14:textId="77777777" w:rsidR="005D446A" w:rsidRPr="00960F72" w:rsidRDefault="005D446A" w:rsidP="005D446A">
      <w:pPr>
        <w:tabs>
          <w:tab w:val="left" w:pos="3768"/>
        </w:tabs>
        <w:spacing w:after="0" w:line="276" w:lineRule="auto"/>
        <w:jc w:val="both"/>
        <w:rPr>
          <w:rFonts w:ascii="Verdana" w:eastAsia="Calibri" w:hAnsi="Verdana" w:cs="Arial"/>
          <w:lang w:eastAsia="es-ES"/>
        </w:rPr>
      </w:pPr>
    </w:p>
    <w:p w14:paraId="05E17D4C" w14:textId="77777777" w:rsidR="005D446A" w:rsidRPr="00960F72" w:rsidRDefault="005D446A" w:rsidP="005D446A">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19 de agosto de 2025, en la cual manifiesta lo siguiente: </w:t>
      </w:r>
    </w:p>
    <w:p w14:paraId="36908E66" w14:textId="77777777" w:rsidR="005D446A" w:rsidRPr="00960F72" w:rsidRDefault="005D446A" w:rsidP="005D446A">
      <w:pPr>
        <w:spacing w:after="0" w:line="276" w:lineRule="auto"/>
        <w:jc w:val="both"/>
        <w:rPr>
          <w:rFonts w:ascii="Verdana" w:eastAsia="Calibri" w:hAnsi="Verdana" w:cs="Arial"/>
          <w:lang w:eastAsia="es-ES"/>
        </w:rPr>
      </w:pPr>
    </w:p>
    <w:p w14:paraId="62B3A4F6" w14:textId="77777777" w:rsidR="005D446A" w:rsidRPr="00960F72" w:rsidRDefault="005D446A" w:rsidP="005D446A">
      <w:pPr>
        <w:spacing w:after="0" w:line="240" w:lineRule="auto"/>
        <w:ind w:left="709" w:right="709"/>
        <w:jc w:val="both"/>
        <w:rPr>
          <w:rFonts w:ascii="Verdana" w:eastAsia="Calibri" w:hAnsi="Verdana" w:cs="Arial"/>
          <w:sz w:val="20"/>
          <w:szCs w:val="20"/>
          <w:lang w:eastAsia="es-ES"/>
        </w:rPr>
      </w:pPr>
      <w:r w:rsidRPr="00960F72">
        <w:rPr>
          <w:rFonts w:ascii="Verdana" w:eastAsia="Calibri" w:hAnsi="Verdana" w:cs="Arial"/>
          <w:sz w:val="20"/>
          <w:szCs w:val="20"/>
          <w:lang w:eastAsia="es-ES"/>
        </w:rPr>
        <w:t>“…Que COLOMBIA COMPRA EFICIENTE, en su calidad de órgano rector y orientador de las políticas públicas en materia de contratación estatal, proceda a emitir concepto técnico-jurídico vinculante para efectos de orientación sobre la ilegalidad de la exigencia de Códigos CIIU específicos con anterioridad a la creación del proceso contractual, determinando si tal exigencia vulnera los principios de transparencia, selección objetiva y libre concurrencia consagrados en la Ley 80 de 1993, Ley 1150 de 2007 y Decreto 1082 de 2015?”</w:t>
      </w:r>
    </w:p>
    <w:p w14:paraId="20CC5D44" w14:textId="77777777" w:rsidR="005D446A" w:rsidRPr="00960F72" w:rsidRDefault="005D446A" w:rsidP="005D446A">
      <w:pPr>
        <w:spacing w:after="0" w:line="276" w:lineRule="auto"/>
        <w:jc w:val="both"/>
      </w:pPr>
    </w:p>
    <w:p w14:paraId="5B22C2C2" w14:textId="77777777" w:rsidR="005D446A" w:rsidRPr="00960F72" w:rsidRDefault="005D446A" w:rsidP="005D446A">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960F72">
        <w:rPr>
          <w:rFonts w:ascii="Verdana" w:eastAsia="Calibri" w:hAnsi="Verdana" w:cs="Arial"/>
          <w:lang w:eastAsia="es-ES"/>
        </w:rPr>
        <w:lastRenderedPageBreak/>
        <w:t xml:space="preserve">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5F966A23" w14:textId="77777777" w:rsidR="005D446A" w:rsidRPr="00960F72" w:rsidRDefault="005D446A" w:rsidP="005D446A">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8729C81" w14:textId="77777777" w:rsidR="005D446A" w:rsidRPr="00960F72" w:rsidRDefault="005D446A" w:rsidP="005D446A">
      <w:pPr>
        <w:spacing w:after="0" w:line="276" w:lineRule="auto"/>
        <w:ind w:firstLine="709"/>
        <w:jc w:val="both"/>
        <w:rPr>
          <w:rFonts w:ascii="Verdana" w:eastAsia="Calibri" w:hAnsi="Verdana" w:cs="Arial"/>
          <w:lang w:eastAsia="es-ES"/>
        </w:rPr>
      </w:pPr>
    </w:p>
    <w:p w14:paraId="4FEAC7E5" w14:textId="77777777" w:rsidR="005D446A" w:rsidRPr="00960F72" w:rsidRDefault="005D446A" w:rsidP="005D446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D037D85" w14:textId="77777777" w:rsidR="005D446A" w:rsidRPr="00960F72" w:rsidRDefault="005D446A" w:rsidP="005D446A">
      <w:pPr>
        <w:tabs>
          <w:tab w:val="left" w:pos="426"/>
        </w:tabs>
        <w:spacing w:after="0" w:line="276" w:lineRule="auto"/>
        <w:jc w:val="both"/>
        <w:rPr>
          <w:rFonts w:ascii="Verdana" w:eastAsia="Century Gothic" w:hAnsi="Verdana" w:cs="Century Gothic"/>
        </w:rPr>
      </w:pPr>
    </w:p>
    <w:p w14:paraId="09F355A6" w14:textId="68ECC4E1" w:rsidR="005D446A" w:rsidRPr="00960F72" w:rsidRDefault="005D446A" w:rsidP="005D446A">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 ¿</w:t>
      </w:r>
      <w:r>
        <w:rPr>
          <w:rFonts w:ascii="Verdana" w:eastAsia="Century Gothic" w:hAnsi="Verdana" w:cs="Century Gothic"/>
        </w:rPr>
        <w:t>Es válido e</w:t>
      </w:r>
      <w:r w:rsidRPr="00960F72">
        <w:rPr>
          <w:rFonts w:ascii="Verdana" w:eastAsia="Century Gothic" w:hAnsi="Verdana" w:cs="Century Gothic"/>
        </w:rPr>
        <w:t>stablecer dentro de un proce</w:t>
      </w:r>
      <w:r>
        <w:rPr>
          <w:rFonts w:ascii="Verdana" w:eastAsia="Century Gothic" w:hAnsi="Verdana" w:cs="Century Gothic"/>
        </w:rPr>
        <w:t>so</w:t>
      </w:r>
      <w:r w:rsidRPr="00960F72">
        <w:rPr>
          <w:rFonts w:ascii="Verdana" w:eastAsia="Century Gothic" w:hAnsi="Verdana" w:cs="Century Gothic"/>
        </w:rPr>
        <w:t xml:space="preserve"> de selección la obligación de acreditar un código CIIU determinado </w:t>
      </w:r>
      <w:r>
        <w:rPr>
          <w:rFonts w:ascii="Verdana" w:eastAsia="Century Gothic" w:hAnsi="Verdana" w:cs="Century Gothic"/>
        </w:rPr>
        <w:t xml:space="preserve">y dicho requisito </w:t>
      </w:r>
      <w:r w:rsidRPr="00960F72">
        <w:rPr>
          <w:rFonts w:ascii="Verdana" w:eastAsia="Century Gothic" w:hAnsi="Verdana" w:cs="Century Gothic"/>
        </w:rPr>
        <w:t xml:space="preserve">puede configurarse como </w:t>
      </w:r>
      <w:r w:rsidR="000B424C">
        <w:rPr>
          <w:rFonts w:ascii="Verdana" w:eastAsia="Century Gothic" w:hAnsi="Verdana" w:cs="Century Gothic"/>
        </w:rPr>
        <w:t>habilitante</w:t>
      </w:r>
      <w:r w:rsidR="000B424C" w:rsidRPr="00960F72">
        <w:rPr>
          <w:rFonts w:ascii="Verdana" w:eastAsia="Century Gothic" w:hAnsi="Verdana" w:cs="Century Gothic"/>
        </w:rPr>
        <w:t>?</w:t>
      </w:r>
    </w:p>
    <w:p w14:paraId="57297E5F" w14:textId="77777777" w:rsidR="005D446A" w:rsidRPr="00960F72" w:rsidRDefault="005D446A" w:rsidP="005D446A">
      <w:pPr>
        <w:spacing w:after="0" w:line="276" w:lineRule="auto"/>
        <w:jc w:val="both"/>
        <w:rPr>
          <w:rFonts w:ascii="Verdana" w:eastAsia="Century Gothic" w:hAnsi="Verdana" w:cs="Century Gothic"/>
        </w:rPr>
      </w:pPr>
    </w:p>
    <w:p w14:paraId="0D05D7EA" w14:textId="78A3F220" w:rsidR="005D446A" w:rsidRPr="005137DB" w:rsidRDefault="005D446A" w:rsidP="005D446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D446A" w:rsidRPr="00960F72" w14:paraId="45D7C757" w14:textId="77777777" w:rsidTr="008167F1">
        <w:tc>
          <w:tcPr>
            <w:tcW w:w="8828" w:type="dxa"/>
          </w:tcPr>
          <w:p w14:paraId="3438DD89" w14:textId="5E49E1E6" w:rsidR="005D446A" w:rsidRPr="00960F72" w:rsidRDefault="005D446A" w:rsidP="008167F1">
            <w:pPr>
              <w:spacing w:after="120" w:line="276" w:lineRule="auto"/>
              <w:jc w:val="both"/>
              <w:rPr>
                <w:rFonts w:ascii="Verdana" w:eastAsia="Calibri" w:hAnsi="Verdana" w:cs="Arial"/>
              </w:rPr>
            </w:pPr>
            <w:r w:rsidRPr="00960F72">
              <w:rPr>
                <w:rFonts w:ascii="Verdana" w:eastAsia="Calibri" w:hAnsi="Verdana" w:cs="Arial"/>
              </w:rPr>
              <w:t>En el ordenamiento colombiano pueden celebrar contratos estatales las personas jurídicas que tengan dentro de su objeto social actividades relacionadas con el objeto a contratar, así las cosas en el Registro Único Empresarial y Social (RUES), administrado por las cámaras de comercio, se encuentra el listado de las actividades económicas que conforman el objeto de las empresas, según los códigos de la Clasificación Industrial Internacional Uniforme (CIIU)</w:t>
            </w:r>
            <w:r w:rsidR="003B5446">
              <w:rPr>
                <w:rFonts w:ascii="Verdana" w:eastAsia="Calibri" w:hAnsi="Verdana" w:cs="Arial"/>
              </w:rPr>
              <w:t>.L</w:t>
            </w:r>
            <w:r w:rsidRPr="00960F72">
              <w:rPr>
                <w:rFonts w:ascii="Verdana" w:eastAsia="Calibri" w:hAnsi="Verdana" w:cs="Arial"/>
              </w:rPr>
              <w:t>o anterior</w:t>
            </w:r>
            <w:r w:rsidR="003B5446">
              <w:rPr>
                <w:rFonts w:ascii="Verdana" w:eastAsia="Calibri" w:hAnsi="Verdana" w:cs="Arial"/>
              </w:rPr>
              <w:t>,</w:t>
            </w:r>
            <w:r w:rsidRPr="00960F72">
              <w:rPr>
                <w:rFonts w:ascii="Verdana" w:eastAsia="Calibri" w:hAnsi="Verdana" w:cs="Arial"/>
              </w:rPr>
              <w:t xml:space="preserve"> en virtud de lo dispuesto en el artículo 11 de la Ley 590 de 2000  y el artículo 166 del Decreto 019 de 2012. En atención a esta normativa, el código CIIU es un elemento fundamental dentro del Registro Único Tributario (RUT) toda vez que una persona o entidad se inscribe en el RUT, debe indicar la actividad económica que realiza, y esta se clasifica utilizando el código CIIU. Por lo tanto, el RUT contiene, entre otros datos, el código CIIU que identifica la actividad principal del contribuyente. </w:t>
            </w:r>
          </w:p>
          <w:p w14:paraId="0497AD16" w14:textId="77777777" w:rsidR="005D446A" w:rsidRPr="00960F72" w:rsidRDefault="005D446A" w:rsidP="008167F1">
            <w:pPr>
              <w:spacing w:after="120" w:line="276" w:lineRule="auto"/>
              <w:jc w:val="both"/>
              <w:rPr>
                <w:rFonts w:ascii="Verdana" w:eastAsia="Calibri" w:hAnsi="Verdana" w:cs="Arial"/>
              </w:rPr>
            </w:pPr>
            <w:r w:rsidRPr="00960F72">
              <w:rPr>
                <w:rFonts w:ascii="Verdana" w:eastAsia="Calibri" w:hAnsi="Verdana" w:cs="Arial"/>
              </w:rPr>
              <w:lastRenderedPageBreak/>
              <w:t xml:space="preserve">     De esta manera, la validez de exigir la inscripción en el RUT de determinados códigos o actividades asociados al objeto contractual como requisito habilitante para acreditar la capacidad jurídica, depende en primera medida de lo impuesto por la norma tributarias y comerciales, de suerte que, si tal normativa indica la obligatoriedad del RUT para ejercer la actividad correspondiente, podría resultar valido el referido requisito. En todo caso, también es necesario verificar las condiciones </w:t>
            </w:r>
            <w:r>
              <w:rPr>
                <w:rFonts w:ascii="Verdana" w:eastAsia="Calibri" w:hAnsi="Verdana" w:cs="Arial"/>
              </w:rPr>
              <w:t xml:space="preserve">particulares </w:t>
            </w:r>
            <w:r w:rsidRPr="00960F72">
              <w:rPr>
                <w:rFonts w:ascii="Verdana" w:eastAsia="Calibri" w:hAnsi="Verdana" w:cs="Arial"/>
              </w:rPr>
              <w:t xml:space="preserve">de la persona proponente a efectos de determinar si en atención a las mismas se encuentra obligado a estar inscrito en RUT en los términos exigidos o si ello supone un impedimento para ejecutar el contrato. </w:t>
            </w:r>
          </w:p>
          <w:p w14:paraId="49D7D013" w14:textId="77777777" w:rsidR="005D446A" w:rsidRPr="00960F72" w:rsidRDefault="005D446A" w:rsidP="008167F1">
            <w:pPr>
              <w:spacing w:after="120" w:line="276" w:lineRule="auto"/>
              <w:jc w:val="both"/>
              <w:rPr>
                <w:rFonts w:ascii="Verdana" w:eastAsia="Calibri" w:hAnsi="Verdana" w:cs="Arial"/>
              </w:rPr>
            </w:pPr>
            <w:r w:rsidRPr="00960F72">
              <w:rPr>
                <w:rFonts w:ascii="Verdana" w:eastAsia="Calibri" w:hAnsi="Verdana" w:cs="Arial"/>
              </w:rPr>
              <w:t xml:space="preserve">     De esta manera, si la Entidad Estatal considera que, por el objeto, naturaleza o especificaciones del proceso, requiere información adicional a la contenida en el RUP, la entidad debe señalar en el Pliego de Condiciones–o en la Invitación– cuál es la información que se debe acreditar, así como los documentos que tendrá como válidos para tal fin. En consecuencia, el proponente deberá ceñirse a lo dispuesto por la entidad y allegar toda información ordenada, en los términos y la forma en que hayan sido señalados.</w:t>
            </w:r>
          </w:p>
          <w:p w14:paraId="775653BF" w14:textId="77777777" w:rsidR="005D446A" w:rsidRPr="00960F72" w:rsidRDefault="005D446A" w:rsidP="008167F1">
            <w:pPr>
              <w:spacing w:after="120" w:line="276" w:lineRule="auto"/>
              <w:jc w:val="both"/>
              <w:rPr>
                <w:rFonts w:ascii="Verdana" w:eastAsia="Calibri" w:hAnsi="Verdana" w:cs="Arial"/>
              </w:rPr>
            </w:pPr>
            <w:r w:rsidRPr="00960F72">
              <w:rPr>
                <w:rFonts w:ascii="Verdana" w:eastAsia="Calibri" w:hAnsi="Verdana" w:cs="Arial"/>
              </w:rPr>
              <w:t xml:space="preserve">      En este orden de ideas, corresponde a la misma entidad estatal, en ejercicio de su competencia y previa valoración de los elementos fácticos y jurídicos determinar en los pliegos de condiciones la información que se debe acreditar, así como los documentos que tendrá como válidos para la de participación de un oferente en un determinado proceso de selección.</w:t>
            </w:r>
          </w:p>
        </w:tc>
      </w:tr>
    </w:tbl>
    <w:p w14:paraId="02071F50" w14:textId="77777777" w:rsidR="005D446A" w:rsidRPr="00960F72" w:rsidRDefault="005D446A" w:rsidP="005D446A">
      <w:pPr>
        <w:tabs>
          <w:tab w:val="left" w:pos="142"/>
          <w:tab w:val="left" w:pos="284"/>
        </w:tabs>
        <w:spacing w:after="0" w:line="276" w:lineRule="auto"/>
        <w:jc w:val="both"/>
        <w:rPr>
          <w:rFonts w:ascii="Verdana" w:eastAsia="Century Gothic" w:hAnsi="Verdana" w:cs="Century Gothic"/>
          <w:b/>
          <w:bCs/>
        </w:rPr>
      </w:pPr>
    </w:p>
    <w:p w14:paraId="6648F735" w14:textId="77777777" w:rsidR="005D446A" w:rsidRPr="00960F72" w:rsidRDefault="005D446A" w:rsidP="005D446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1840A079" w14:textId="77777777" w:rsidR="005D446A" w:rsidRPr="00960F72" w:rsidRDefault="005D446A" w:rsidP="005D446A">
      <w:pPr>
        <w:spacing w:after="0" w:line="276" w:lineRule="auto"/>
        <w:jc w:val="both"/>
        <w:rPr>
          <w:rFonts w:ascii="Verdana" w:eastAsia="Calibri" w:hAnsi="Verdana" w:cs="Arial"/>
        </w:rPr>
      </w:pPr>
    </w:p>
    <w:p w14:paraId="025901E0" w14:textId="77777777" w:rsidR="005D446A" w:rsidRPr="00960F72" w:rsidRDefault="005D446A" w:rsidP="005D446A">
      <w:pPr>
        <w:spacing w:after="0" w:line="276" w:lineRule="auto"/>
        <w:jc w:val="both"/>
        <w:rPr>
          <w:rFonts w:ascii="Verdana" w:eastAsia="Calibri" w:hAnsi="Verdana" w:cs="Arial"/>
        </w:rPr>
      </w:pPr>
      <w:r w:rsidRPr="00960F72">
        <w:rPr>
          <w:rFonts w:ascii="Verdana" w:eastAsia="Calibri" w:hAnsi="Verdana" w:cs="Arial"/>
        </w:rPr>
        <w:t xml:space="preserve">Lo anterior se sustenta en las siguientes consideraciones: </w:t>
      </w:r>
    </w:p>
    <w:p w14:paraId="2BA99F88" w14:textId="77777777" w:rsidR="005D446A" w:rsidRPr="00960F72" w:rsidRDefault="005D446A" w:rsidP="005D446A">
      <w:pPr>
        <w:spacing w:after="0" w:line="276" w:lineRule="auto"/>
        <w:jc w:val="both"/>
        <w:rPr>
          <w:rFonts w:ascii="Verdana" w:eastAsia="Calibri" w:hAnsi="Verdana" w:cs="Arial"/>
        </w:rPr>
      </w:pPr>
    </w:p>
    <w:p w14:paraId="2559DDE1" w14:textId="77777777" w:rsidR="005D446A" w:rsidRPr="00960F72" w:rsidRDefault="005D446A" w:rsidP="005D446A">
      <w:pPr>
        <w:spacing w:after="120" w:line="276" w:lineRule="auto"/>
        <w:jc w:val="both"/>
        <w:rPr>
          <w:rFonts w:ascii="Verdana" w:hAnsi="Verdana" w:cs="Arial"/>
          <w:bCs/>
          <w:lang w:eastAsia="es-ES" w:bidi="es-ES"/>
        </w:rPr>
      </w:pPr>
      <w:r w:rsidRPr="00960F72">
        <w:rPr>
          <w:rFonts w:ascii="Verdana" w:hAnsi="Verdana" w:cs="Arial"/>
          <w:bCs/>
          <w:lang w:eastAsia="es-ES" w:bidi="es-ES"/>
        </w:rPr>
        <w:t xml:space="preserve">(i) Los </w:t>
      </w:r>
      <w:r w:rsidRPr="00960F72">
        <w:rPr>
          <w:rFonts w:ascii="Verdana" w:hAnsi="Verdana" w:cs="Arial"/>
          <w:bCs/>
          <w:i/>
          <w:iCs/>
          <w:lang w:eastAsia="es-ES" w:bidi="es-ES"/>
        </w:rPr>
        <w:t>requisitos habilitantes</w:t>
      </w:r>
      <w:r w:rsidRPr="00960F72">
        <w:rPr>
          <w:rFonts w:ascii="Verdana" w:hAnsi="Verdana" w:cs="Arial"/>
          <w:bCs/>
          <w:lang w:eastAsia="es-ES" w:bidi="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960F72">
        <w:rPr>
          <w:rFonts w:ascii="Verdana" w:hAnsi="Verdana" w:cs="Arial"/>
          <w:bCs/>
          <w:i/>
          <w:iCs/>
          <w:lang w:eastAsia="es-ES" w:bidi="es-ES"/>
        </w:rPr>
        <w:t>criterios de evaluación</w:t>
      </w:r>
      <w:r w:rsidRPr="00960F72">
        <w:rPr>
          <w:rFonts w:ascii="Verdana" w:hAnsi="Verdana" w:cs="Arial"/>
          <w:bCs/>
          <w:lang w:eastAsia="es-ES" w:bidi="es-ES"/>
        </w:rPr>
        <w:t xml:space="preserve"> –también conocidos como </w:t>
      </w:r>
      <w:r w:rsidRPr="00960F72">
        <w:rPr>
          <w:rFonts w:ascii="Verdana" w:hAnsi="Verdana" w:cs="Arial"/>
          <w:bCs/>
          <w:i/>
          <w:iCs/>
          <w:lang w:eastAsia="es-ES" w:bidi="es-ES"/>
        </w:rPr>
        <w:t>criterios de calificación</w:t>
      </w:r>
      <w:r w:rsidRPr="00960F72">
        <w:rPr>
          <w:rFonts w:ascii="Verdana" w:hAnsi="Verdana" w:cs="Arial"/>
          <w:bCs/>
          <w:lang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03A1D76F" w14:textId="77777777" w:rsidR="005D446A" w:rsidRPr="00960F72" w:rsidRDefault="005D446A" w:rsidP="005D446A">
      <w:pPr>
        <w:spacing w:after="120" w:line="276" w:lineRule="auto"/>
        <w:ind w:firstLine="708"/>
        <w:jc w:val="both"/>
        <w:rPr>
          <w:rFonts w:ascii="Verdana" w:eastAsia="Calibri" w:hAnsi="Verdana" w:cs="Arial"/>
          <w:lang w:eastAsia="es-MX"/>
        </w:rPr>
      </w:pPr>
      <w:bookmarkStart w:id="0" w:name="_Hlk191626670"/>
      <w:r w:rsidRPr="00960F72">
        <w:rPr>
          <w:rFonts w:ascii="Verdana" w:eastAsia="Calibri" w:hAnsi="Verdana" w:cs="Arial"/>
          <w:lang w:eastAsia="es-MX"/>
        </w:rPr>
        <w:lastRenderedPageBreak/>
        <w:t xml:space="preserve">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w:t>
      </w:r>
      <w:bookmarkEnd w:id="0"/>
      <w:r w:rsidRPr="00960F72">
        <w:rPr>
          <w:rFonts w:ascii="Verdana" w:eastAsia="Calibri" w:hAnsi="Verdana" w:cs="Arial"/>
          <w:lang w:eastAsia="es-MX"/>
        </w:rPr>
        <w:t xml:space="preserve">Esto, sin perjuicio del derecho que tienen los oferentes de subsanar los defectos que se presenten en la prueba de tales requisitos, de conformidad con el </w:t>
      </w:r>
      <w:bookmarkStart w:id="1" w:name="_Hlk191626971"/>
      <w:r w:rsidRPr="00960F72">
        <w:rPr>
          <w:rFonts w:ascii="Verdana" w:eastAsia="Calibri" w:hAnsi="Verdana" w:cs="Arial"/>
          <w:lang w:eastAsia="es-MX"/>
        </w:rPr>
        <w:t>artículo 5, parágrafos 1º al 4º, de la Ley 1150 de 2007</w:t>
      </w:r>
      <w:bookmarkEnd w:id="1"/>
      <w:r w:rsidRPr="00960F72">
        <w:rPr>
          <w:rFonts w:ascii="Verdana" w:eastAsia="Calibri" w:hAnsi="Verdana" w:cs="Arial"/>
          <w:lang w:eastAsia="es-MX"/>
        </w:rPr>
        <w:t>.</w:t>
      </w:r>
    </w:p>
    <w:p w14:paraId="72D276DE" w14:textId="77777777" w:rsidR="005D446A" w:rsidRPr="00960F72" w:rsidRDefault="005D446A" w:rsidP="005D446A">
      <w:pPr>
        <w:spacing w:after="120" w:line="276" w:lineRule="auto"/>
        <w:ind w:firstLine="708"/>
        <w:jc w:val="both"/>
        <w:rPr>
          <w:rFonts w:ascii="Verdana" w:hAnsi="Verdana" w:cs="Arial"/>
          <w:color w:val="000000" w:themeColor="text1"/>
        </w:rPr>
      </w:pPr>
      <w:r w:rsidRPr="00960F72">
        <w:rPr>
          <w:rFonts w:ascii="Verdana" w:hAnsi="Verdana" w:cs="Arial"/>
          <w:color w:val="000000" w:themeColor="text1"/>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960F72">
        <w:rPr>
          <w:rFonts w:ascii="Verdana" w:hAnsi="Verdana" w:cs="Arial"/>
          <w:i/>
          <w:iCs/>
          <w:color w:val="000000" w:themeColor="text1"/>
        </w:rPr>
        <w:t>.</w:t>
      </w:r>
      <w:r w:rsidRPr="00960F72">
        <w:rPr>
          <w:rFonts w:ascii="Verdana" w:hAnsi="Verdana" w:cs="Arial"/>
          <w:color w:val="000000" w:themeColor="text1"/>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0F270FAC" w14:textId="77777777" w:rsidR="005D446A" w:rsidRPr="00960F72" w:rsidRDefault="005D446A" w:rsidP="005D446A">
      <w:pPr>
        <w:spacing w:after="0" w:line="276" w:lineRule="auto"/>
        <w:ind w:firstLine="708"/>
        <w:jc w:val="both"/>
        <w:rPr>
          <w:rFonts w:ascii="Verdana" w:hAnsi="Verdana" w:cs="Arial"/>
          <w:bCs/>
          <w:lang w:eastAsia="es-ES" w:bidi="es-ES"/>
        </w:rPr>
      </w:pPr>
      <w:r w:rsidRPr="00960F72">
        <w:rPr>
          <w:rFonts w:ascii="Verdana" w:hAnsi="Verdana" w:cs="Arial"/>
          <w:bCs/>
          <w:lang w:eastAsia="es-ES" w:bidi="es-ES"/>
        </w:rPr>
        <w:t xml:space="preserve">Específicamente, el numeral 1º del artículo 5 de la Ley 1150 de 2007 establece que, en los procesos de selección de contratistas, serán objeto de verificación, como requisitos habilitantes, </w:t>
      </w:r>
      <w:r w:rsidRPr="00960F72">
        <w:rPr>
          <w:rFonts w:ascii="Verdana" w:hAnsi="Verdana" w:cs="Arial"/>
          <w:bCs/>
          <w:i/>
          <w:iCs/>
          <w:lang w:eastAsia="es-ES" w:bidi="es-ES"/>
        </w:rPr>
        <w:t>entre otros</w:t>
      </w:r>
      <w:r w:rsidRPr="00960F72">
        <w:rPr>
          <w:rFonts w:ascii="Verdana" w:hAnsi="Verdana" w:cs="Arial"/>
          <w:bCs/>
          <w:lang w:eastAsia="es-ES" w:bidi="es-ES"/>
        </w:rPr>
        <w:t>, los siguientes: (i) la capacidad jurídica; (</w:t>
      </w:r>
      <w:proofErr w:type="spellStart"/>
      <w:r w:rsidRPr="00960F72">
        <w:rPr>
          <w:rFonts w:ascii="Verdana" w:hAnsi="Verdana" w:cs="Arial"/>
          <w:bCs/>
          <w:lang w:eastAsia="es-ES" w:bidi="es-ES"/>
        </w:rPr>
        <w:t>ii</w:t>
      </w:r>
      <w:proofErr w:type="spellEnd"/>
      <w:r w:rsidRPr="00960F72">
        <w:rPr>
          <w:rFonts w:ascii="Verdana" w:hAnsi="Verdana" w:cs="Arial"/>
          <w:bCs/>
          <w:lang w:eastAsia="es-ES" w:bidi="es-ES"/>
        </w:rPr>
        <w:t>) la experiencia; (</w:t>
      </w:r>
      <w:proofErr w:type="spellStart"/>
      <w:r w:rsidRPr="00960F72">
        <w:rPr>
          <w:rFonts w:ascii="Verdana" w:hAnsi="Verdana" w:cs="Arial"/>
          <w:bCs/>
          <w:lang w:eastAsia="es-ES" w:bidi="es-ES"/>
        </w:rPr>
        <w:t>iii</w:t>
      </w:r>
      <w:proofErr w:type="spellEnd"/>
      <w:r w:rsidRPr="00960F72">
        <w:rPr>
          <w:rFonts w:ascii="Verdana" w:hAnsi="Verdana" w:cs="Arial"/>
          <w:bCs/>
          <w:lang w:eastAsia="es-ES" w:bidi="es-ES"/>
        </w:rPr>
        <w:t>) la capacidad financiera y (</w:t>
      </w:r>
      <w:proofErr w:type="spellStart"/>
      <w:r w:rsidRPr="00960F72">
        <w:rPr>
          <w:rFonts w:ascii="Verdana" w:hAnsi="Verdana" w:cs="Arial"/>
          <w:bCs/>
          <w:lang w:eastAsia="es-ES" w:bidi="es-ES"/>
        </w:rPr>
        <w:t>iv</w:t>
      </w:r>
      <w:proofErr w:type="spellEnd"/>
      <w:r w:rsidRPr="00960F72">
        <w:rPr>
          <w:rFonts w:ascii="Verdana" w:hAnsi="Verdana" w:cs="Arial"/>
          <w:bCs/>
          <w:lang w:eastAsia="es-ES" w:bidi="es-ES"/>
        </w:rPr>
        <w:t>) la capacidad de organización. En efecto, la normativa citada prescribe:</w:t>
      </w:r>
    </w:p>
    <w:p w14:paraId="6890F80C" w14:textId="77777777" w:rsidR="005D446A" w:rsidRPr="00960F72" w:rsidRDefault="005D446A" w:rsidP="005D446A">
      <w:pPr>
        <w:spacing w:after="0" w:line="276" w:lineRule="auto"/>
        <w:ind w:firstLine="708"/>
        <w:jc w:val="both"/>
        <w:rPr>
          <w:rFonts w:ascii="Verdana" w:hAnsi="Verdana" w:cs="Arial"/>
          <w:bCs/>
          <w:lang w:eastAsia="es-ES" w:bidi="es-ES"/>
        </w:rPr>
      </w:pPr>
    </w:p>
    <w:p w14:paraId="1C88D7E7" w14:textId="77777777" w:rsidR="005D446A" w:rsidRPr="00960F72" w:rsidRDefault="005D446A" w:rsidP="005D446A">
      <w:pPr>
        <w:spacing w:after="0" w:line="240" w:lineRule="auto"/>
        <w:ind w:left="709" w:right="709"/>
        <w:jc w:val="both"/>
        <w:rPr>
          <w:rFonts w:ascii="Verdana" w:hAnsi="Verdana" w:cs="Arial"/>
          <w:sz w:val="20"/>
          <w:szCs w:val="20"/>
          <w:lang w:eastAsia="es-ES" w:bidi="es-ES"/>
        </w:rPr>
      </w:pPr>
      <w:r w:rsidRPr="00960F72">
        <w:rPr>
          <w:rFonts w:ascii="Verdana" w:hAnsi="Verdana" w:cs="Arial"/>
          <w:i/>
          <w:sz w:val="20"/>
          <w:szCs w:val="20"/>
          <w:lang w:eastAsia="es-ES" w:bidi="es-ES"/>
        </w:rPr>
        <w:t>“</w:t>
      </w:r>
      <w:r w:rsidRPr="00960F72">
        <w:rPr>
          <w:rFonts w:ascii="Verdana" w:hAnsi="Verdana" w:cs="Arial"/>
          <w:sz w:val="20"/>
          <w:szCs w:val="20"/>
          <w:lang w:eastAsia="es-ES" w:bidi="es-ES"/>
        </w:rPr>
        <w:t xml:space="preserve">Artículo 5. De la Selección Objetiva. </w:t>
      </w:r>
    </w:p>
    <w:p w14:paraId="48CF6FD7" w14:textId="77777777" w:rsidR="005D446A" w:rsidRPr="00960F72" w:rsidRDefault="005D446A" w:rsidP="005D446A">
      <w:pPr>
        <w:spacing w:after="0" w:line="240" w:lineRule="auto"/>
        <w:ind w:left="709" w:right="709"/>
        <w:jc w:val="both"/>
        <w:rPr>
          <w:rFonts w:ascii="Verdana" w:hAnsi="Verdana" w:cs="Arial"/>
          <w:sz w:val="20"/>
          <w:szCs w:val="20"/>
          <w:lang w:eastAsia="es-ES" w:bidi="es-ES"/>
        </w:rPr>
      </w:pPr>
      <w:r w:rsidRPr="00960F72">
        <w:rPr>
          <w:rFonts w:ascii="Verdana" w:hAnsi="Verdana" w:cs="Arial"/>
          <w:sz w:val="20"/>
          <w:szCs w:val="20"/>
          <w:lang w:eastAsia="es-ES" w:bidi="es-ES"/>
        </w:rPr>
        <w:t>[…]</w:t>
      </w:r>
    </w:p>
    <w:p w14:paraId="59026A6A" w14:textId="77777777" w:rsidR="005D446A" w:rsidRPr="00960F72" w:rsidRDefault="005D446A" w:rsidP="005D446A">
      <w:pPr>
        <w:spacing w:after="0" w:line="240" w:lineRule="auto"/>
        <w:ind w:left="709" w:right="709"/>
        <w:jc w:val="both"/>
        <w:rPr>
          <w:rFonts w:ascii="Verdana" w:hAnsi="Verdana" w:cs="Arial"/>
          <w:sz w:val="20"/>
          <w:szCs w:val="20"/>
          <w:lang w:eastAsia="es-ES" w:bidi="es-ES"/>
        </w:rPr>
      </w:pPr>
      <w:r w:rsidRPr="00960F72">
        <w:rPr>
          <w:rFonts w:ascii="Verdana" w:hAnsi="Verdana" w:cs="Arial"/>
          <w:sz w:val="20"/>
          <w:szCs w:val="20"/>
          <w:lang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4CB94025" w14:textId="77777777" w:rsidR="005D446A" w:rsidRPr="00960F72" w:rsidRDefault="005D446A" w:rsidP="005D446A">
      <w:pPr>
        <w:spacing w:after="0" w:line="276" w:lineRule="auto"/>
        <w:ind w:right="709"/>
        <w:jc w:val="both"/>
        <w:rPr>
          <w:rFonts w:ascii="Verdana" w:hAnsi="Verdana" w:cs="Arial"/>
          <w:lang w:eastAsia="es-ES" w:bidi="es-ES"/>
        </w:rPr>
      </w:pPr>
    </w:p>
    <w:p w14:paraId="79DEAAE6" w14:textId="77777777" w:rsidR="005D446A" w:rsidRPr="00960F72" w:rsidRDefault="005D446A" w:rsidP="005D446A">
      <w:pPr>
        <w:spacing w:after="120" w:line="276" w:lineRule="auto"/>
        <w:ind w:firstLine="708"/>
        <w:jc w:val="both"/>
        <w:rPr>
          <w:rFonts w:ascii="Verdana" w:eastAsia="Times New Roman" w:hAnsi="Verdana" w:cs="Arial"/>
          <w:highlight w:val="cyan"/>
          <w:lang w:eastAsia="es-MX"/>
        </w:rPr>
      </w:pPr>
      <w:bookmarkStart w:id="2" w:name="_Hlk99547809"/>
      <w:bookmarkStart w:id="3" w:name="_Hlk99546625"/>
      <w:r w:rsidRPr="00960F72">
        <w:rPr>
          <w:rFonts w:ascii="Verdana" w:eastAsia="Times New Roman" w:hAnsi="Verdana" w:cs="Arial"/>
          <w:lang w:eastAsia="es-MX"/>
        </w:rPr>
        <w:t xml:space="preserve">La Agencia Nacional de Contratación Pública – Colombia Compra Eficiente ha defendido el carácter </w:t>
      </w:r>
      <w:bookmarkStart w:id="4" w:name="_Hlk99547799"/>
      <w:r w:rsidRPr="00960F72">
        <w:rPr>
          <w:rFonts w:ascii="Verdana" w:eastAsia="Times New Roman" w:hAnsi="Verdana" w:cs="Arial"/>
          <w:lang w:eastAsia="es-MX"/>
        </w:rPr>
        <w:t xml:space="preserve">enunciativo del listado de los requisitos habilitantes contenidos en el numeral 1 del artículo 5 de la Ley 1150 de 2007, en la medida en que la mencionada disposición, al referirse a los requisitos habilitantes, no </w:t>
      </w:r>
      <w:r w:rsidRPr="00960F72">
        <w:rPr>
          <w:rFonts w:ascii="Verdana" w:eastAsia="Times New Roman" w:hAnsi="Verdana" w:cs="Arial"/>
          <w:lang w:eastAsia="es-MX"/>
        </w:rPr>
        <w:lastRenderedPageBreak/>
        <w:t xml:space="preserve">contiene una expresión como “únicamente” o “solo”, de la que pueda colegirse la taxatividad de los requisitos señalados. </w:t>
      </w:r>
      <w:bookmarkEnd w:id="2"/>
      <w:bookmarkEnd w:id="4"/>
      <w:r w:rsidRPr="00960F72">
        <w:rPr>
          <w:rFonts w:ascii="Verdana" w:eastAsia="Times New Roman" w:hAnsi="Verdana" w:cs="Arial"/>
          <w:lang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3"/>
      <w:r w:rsidRPr="00960F72">
        <w:rPr>
          <w:rFonts w:ascii="Verdana" w:eastAsia="Times New Roman" w:hAnsi="Verdana" w:cs="Arial"/>
          <w:vertAlign w:val="superscript"/>
          <w:lang w:eastAsia="es-MX"/>
        </w:rPr>
        <w:footnoteReference w:id="2"/>
      </w:r>
      <w:r w:rsidRPr="00960F72">
        <w:rPr>
          <w:rFonts w:ascii="Verdana" w:eastAsia="Times New Roman" w:hAnsi="Verdana" w:cs="Arial"/>
          <w:lang w:eastAsia="es-MX"/>
        </w:rPr>
        <w:t xml:space="preserve">. </w:t>
      </w:r>
    </w:p>
    <w:p w14:paraId="6E4F2320" w14:textId="77777777" w:rsidR="005D446A" w:rsidRPr="00960F72" w:rsidRDefault="005D446A" w:rsidP="005D446A">
      <w:pPr>
        <w:spacing w:after="120" w:line="276" w:lineRule="auto"/>
        <w:ind w:firstLine="708"/>
        <w:jc w:val="both"/>
        <w:rPr>
          <w:rFonts w:ascii="Verdana" w:hAnsi="Verdana" w:cs="Arial"/>
          <w:bCs/>
          <w:lang w:eastAsia="es-ES" w:bidi="es-ES"/>
        </w:rPr>
      </w:pPr>
      <w:r w:rsidRPr="00960F72">
        <w:rPr>
          <w:rFonts w:ascii="Verdana" w:eastAsia="Times New Roman" w:hAnsi="Verdana" w:cs="Arial"/>
          <w:lang w:eastAsia="es-MX"/>
        </w:rPr>
        <w:t xml:space="preserve">Por otro lado, </w:t>
      </w:r>
      <w:r w:rsidRPr="00960F72">
        <w:rPr>
          <w:rFonts w:ascii="Verdana" w:hAnsi="Verdana" w:cs="Arial"/>
          <w:bCs/>
          <w:lang w:eastAsia="es-ES" w:bidi="es-ES"/>
        </w:rPr>
        <w:t xml:space="preserve">el artículo 5 de la Ley 1150 de 2007 dispone que se considera </w:t>
      </w:r>
      <w:r w:rsidRPr="00960F72">
        <w:rPr>
          <w:rFonts w:ascii="Verdana" w:hAnsi="Verdana" w:cs="Arial"/>
          <w:bCs/>
          <w:i/>
          <w:iCs/>
          <w:lang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960F72">
        <w:rPr>
          <w:rFonts w:ascii="Verdana" w:hAnsi="Verdana" w:cs="Arial"/>
          <w:bCs/>
          <w:lang w:eastAsia="es-ES" w:bidi="es-ES"/>
        </w:rPr>
        <w:t xml:space="preserve"> En ese contexto, los factores de escogencia y calificación que establezcan las Entidades en los pliegos de condiciones o sus documentos equivalentes deberán tener en cuenta, entre otras cuestiones, el deber de selección objetiva, según los criterios establecidos en dicha disposición. </w:t>
      </w:r>
    </w:p>
    <w:p w14:paraId="6D038047" w14:textId="77777777" w:rsidR="005D446A" w:rsidRPr="00960F72" w:rsidRDefault="005D446A" w:rsidP="005D446A">
      <w:pPr>
        <w:spacing w:after="120" w:line="276" w:lineRule="auto"/>
        <w:ind w:firstLine="708"/>
        <w:jc w:val="both"/>
        <w:rPr>
          <w:rFonts w:ascii="Verdana" w:hAnsi="Verdana" w:cs="Arial"/>
          <w:bCs/>
          <w:lang w:eastAsia="es-ES" w:bidi="es-ES"/>
        </w:rPr>
      </w:pPr>
      <w:r w:rsidRPr="00960F72">
        <w:rPr>
          <w:rFonts w:ascii="Verdana" w:hAnsi="Verdana" w:cs="Arial"/>
          <w:bCs/>
          <w:lang w:eastAsia="es-ES" w:bidi="es-ES"/>
        </w:rPr>
        <w:t xml:space="preserve">En especial, señala la Ley que los criterios habilitantes que determine la Entidad deberán ser </w:t>
      </w:r>
      <w:r w:rsidRPr="00960F72">
        <w:rPr>
          <w:rFonts w:ascii="Verdana" w:hAnsi="Verdana" w:cs="Arial"/>
          <w:bCs/>
          <w:i/>
          <w:iCs/>
          <w:lang w:eastAsia="es-ES" w:bidi="es-ES"/>
        </w:rPr>
        <w:t>adecuados y proporcionales</w:t>
      </w:r>
      <w:r w:rsidRPr="00960F72">
        <w:rPr>
          <w:rFonts w:ascii="Verdana" w:hAnsi="Verdana" w:cs="Arial"/>
          <w:bCs/>
          <w:lang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3A5D1529" w14:textId="77777777" w:rsidR="005D446A" w:rsidRPr="00960F72" w:rsidRDefault="005D446A" w:rsidP="005D446A">
      <w:pPr>
        <w:spacing w:before="120" w:after="120" w:line="276" w:lineRule="auto"/>
        <w:ind w:firstLine="708"/>
        <w:jc w:val="both"/>
        <w:rPr>
          <w:rFonts w:ascii="Verdana" w:eastAsia="Times New Roman" w:hAnsi="Verdana" w:cs="Arial"/>
          <w:lang w:eastAsia="es-MX"/>
        </w:rPr>
      </w:pPr>
      <w:r w:rsidRPr="00960F72">
        <w:rPr>
          <w:rFonts w:ascii="Verdana" w:eastAsia="Times New Roman" w:hAnsi="Verdana" w:cs="Arial"/>
          <w:lang w:eastAsia="es-MX"/>
        </w:rPr>
        <w:t xml:space="preserve">En línea con lo anterior, el </w:t>
      </w:r>
      <w:bookmarkStart w:id="5" w:name="_Hlk191627190"/>
      <w:r w:rsidRPr="00960F72">
        <w:rPr>
          <w:rFonts w:ascii="Verdana" w:eastAsia="Times New Roman" w:hAnsi="Verdana" w:cs="Arial"/>
          <w:lang w:eastAsia="es-MX"/>
        </w:rPr>
        <w:t>“Manual para determinar y verificar los requisitos habilitantes en los Procesos de Contratación</w:t>
      </w:r>
      <w:bookmarkEnd w:id="5"/>
      <w:r w:rsidRPr="00960F72">
        <w:rPr>
          <w:rFonts w:ascii="Verdana" w:eastAsia="Times New Roman" w:hAnsi="Verdana" w:cs="Arial"/>
          <w:lang w:eastAsia="es-MX"/>
        </w:rPr>
        <w:t>”</w:t>
      </w:r>
      <w:r w:rsidRPr="00960F72">
        <w:rPr>
          <w:rStyle w:val="Refdenotaalpie"/>
          <w:rFonts w:ascii="Verdana" w:eastAsia="Times New Roman" w:hAnsi="Verdana" w:cs="Arial"/>
          <w:lang w:eastAsia="es-MX"/>
        </w:rPr>
        <w:footnoteReference w:id="3"/>
      </w:r>
      <w:r w:rsidRPr="00960F72">
        <w:rPr>
          <w:rFonts w:ascii="Verdana" w:eastAsia="Calibri" w:hAnsi="Verdana" w:cs="Arial"/>
          <w:lang w:eastAsia="es-MX"/>
        </w:rPr>
        <w:t>,</w:t>
      </w:r>
      <w:r w:rsidRPr="00960F72">
        <w:rPr>
          <w:rFonts w:ascii="Verdana" w:eastAsia="Times New Roman" w:hAnsi="Verdana" w:cs="Arial"/>
          <w:lang w:eastAsia="es-MX"/>
        </w:rPr>
        <w:t xml:space="preserve"> expedido por la </w:t>
      </w:r>
      <w:r w:rsidRPr="00960F72">
        <w:rPr>
          <w:rFonts w:ascii="Verdana" w:eastAsia="Calibri" w:hAnsi="Verdana" w:cs="Arial"/>
          <w:lang w:eastAsia="es-MX"/>
        </w:rPr>
        <w:t>Agencia Nacional de Contratación Pública – Colombia Compra Eficiente,</w:t>
      </w:r>
      <w:r w:rsidRPr="00960F72">
        <w:rPr>
          <w:rFonts w:ascii="Verdana" w:eastAsia="Times New Roman" w:hAnsi="Verdana" w:cs="Arial"/>
          <w:lang w:eastAsia="es-MX"/>
        </w:rPr>
        <w:t xml:space="preserve"> determinó los parámetros para establecer, acreditar y subsanar los requisitos habilitantes. Al respecto, precisa que estos tienen como fin primordial medir “</w:t>
      </w:r>
      <w:bookmarkStart w:id="6" w:name="_Hlk191627260"/>
      <w:r w:rsidRPr="00960F72">
        <w:rPr>
          <w:rFonts w:ascii="Verdana" w:eastAsia="Times New Roman" w:hAnsi="Verdana" w:cs="Arial"/>
          <w:lang w:eastAsia="es-MX"/>
        </w:rPr>
        <w:t xml:space="preserve">la aptitud del proponente para participar en un Proceso de Contratación como oferente y están referidos a su capacidad jurídica, financiera, organizacional y </w:t>
      </w:r>
      <w:r w:rsidRPr="00960F72">
        <w:rPr>
          <w:rFonts w:ascii="Verdana" w:eastAsia="Times New Roman" w:hAnsi="Verdana" w:cs="Arial"/>
          <w:lang w:eastAsia="es-MX"/>
        </w:rPr>
        <w:lastRenderedPageBreak/>
        <w:t xml:space="preserve">su experiencia”. </w:t>
      </w:r>
      <w:bookmarkEnd w:id="6"/>
      <w:r w:rsidRPr="00960F72">
        <w:rPr>
          <w:rFonts w:ascii="Verdana" w:eastAsia="Times New Roman" w:hAnsi="Verdana" w:cs="Arial"/>
          <w:lang w:eastAsia="es-MX"/>
        </w:rPr>
        <w:t xml:space="preserve">De acuerdo con el Manual, su propósito consiste en “establecer unas condiciones mínimas para los proponentes de tal manera que la Entidad Estatal sólo evalúe las ofertas de aquellos que están en condiciones de cumplir con el objeto del Proceso de Contratación”. </w:t>
      </w:r>
    </w:p>
    <w:p w14:paraId="200198FE" w14:textId="77777777" w:rsidR="005D446A" w:rsidRPr="00960F72" w:rsidRDefault="005D446A" w:rsidP="005D446A">
      <w:pPr>
        <w:spacing w:before="120" w:after="120" w:line="276" w:lineRule="auto"/>
        <w:ind w:firstLine="708"/>
        <w:jc w:val="both"/>
        <w:rPr>
          <w:rFonts w:ascii="Verdana" w:eastAsia="Times New Roman" w:hAnsi="Verdana" w:cs="Arial"/>
          <w:lang w:eastAsia="es-MX"/>
        </w:rPr>
      </w:pPr>
      <w:r w:rsidRPr="00960F72">
        <w:rPr>
          <w:rFonts w:ascii="Verdana" w:eastAsia="Times New Roman" w:hAnsi="Verdana" w:cs="Arial"/>
          <w:lang w:eastAsia="es-MX"/>
        </w:rPr>
        <w:t xml:space="preserve">Así las cosas, al tratarse de condiciones mínimas, significa que </w:t>
      </w:r>
      <w:bookmarkStart w:id="7" w:name="_Hlk191627287"/>
      <w:r w:rsidRPr="00960F72">
        <w:rPr>
          <w:rFonts w:ascii="Verdana" w:eastAsia="Times New Roman" w:hAnsi="Verdana" w:cs="Arial"/>
          <w:lang w:eastAsia="es-MX"/>
        </w:rPr>
        <w:t xml:space="preserve">las Entidades podrían establecer otras, según su autonomía de la voluntad, y teniendo en cuenta el objeto del contrato, los riesgos detectados en los estudios previos, el presupuesto oficial, entre otros factores. Sin embargo, esto no implica que las Entidades puedan establecer cualquier tipo de requisitos, pues su exigencia debe en todo caso ser </w:t>
      </w:r>
      <w:r w:rsidRPr="00960F72">
        <w:rPr>
          <w:rFonts w:ascii="Verdana" w:eastAsia="Times New Roman" w:hAnsi="Verdana" w:cs="Arial"/>
          <w:i/>
          <w:lang w:eastAsia="es-MX"/>
        </w:rPr>
        <w:t>proporcional y adecuada</w:t>
      </w:r>
      <w:r w:rsidRPr="00960F72">
        <w:rPr>
          <w:rFonts w:ascii="Verdana" w:eastAsia="Times New Roman" w:hAnsi="Verdana" w:cs="Arial"/>
          <w:lang w:eastAsia="es-MX"/>
        </w:rPr>
        <w:t xml:space="preserve"> frente a la naturaleza y el valor del contrato.</w:t>
      </w:r>
    </w:p>
    <w:p w14:paraId="78570C9B" w14:textId="77777777" w:rsidR="005D446A" w:rsidRPr="00960F72" w:rsidRDefault="005D446A" w:rsidP="005D446A">
      <w:pPr>
        <w:tabs>
          <w:tab w:val="left" w:pos="426"/>
        </w:tabs>
        <w:spacing w:before="120" w:after="0" w:line="276" w:lineRule="auto"/>
        <w:ind w:firstLine="709"/>
        <w:jc w:val="both"/>
        <w:rPr>
          <w:rFonts w:ascii="Verdana" w:eastAsia="Times New Roman" w:hAnsi="Verdana" w:cs="Arial"/>
          <w:lang w:eastAsia="es-MX"/>
        </w:rPr>
      </w:pPr>
      <w:bookmarkStart w:id="8" w:name="_Hlk99548027"/>
      <w:bookmarkEnd w:id="7"/>
      <w:r w:rsidRPr="00960F72">
        <w:rPr>
          <w:rFonts w:ascii="Verdana" w:eastAsia="Times New Roman" w:hAnsi="Verdana" w:cs="Arial"/>
          <w:lang w:eastAsia="es-MX"/>
        </w:rPr>
        <w:t xml:space="preserve">En ese sentido, </w:t>
      </w:r>
      <w:bookmarkStart w:id="9" w:name="_Hlk191627322"/>
      <w:r w:rsidRPr="00960F72">
        <w:rPr>
          <w:rFonts w:ascii="Verdana" w:eastAsia="Times New Roman" w:hAnsi="Verdana" w:cs="Arial"/>
          <w:lang w:eastAsia="es-MX"/>
        </w:rPr>
        <w:t xml:space="preserve">si bien </w:t>
      </w:r>
      <w:r w:rsidRPr="00960F72">
        <w:rPr>
          <w:rFonts w:ascii="Verdana" w:eastAsia="Calibri" w:hAnsi="Verdana" w:cs="Arial"/>
          <w:lang w:eastAsia="es-MX"/>
        </w:rPr>
        <w:t xml:space="preserve">la Ley 1150 de 2007 estableció unos requisitos habilitantes para los proponentes –la capacidad jurídica, las condiciones de experiencia, la capacidad financiera y la capacidad de organización–, estos no son taxativos. </w:t>
      </w:r>
      <w:r w:rsidRPr="00960F72">
        <w:rPr>
          <w:rFonts w:ascii="Verdana" w:eastAsia="Times New Roman" w:hAnsi="Verdana" w:cs="Arial"/>
          <w:lang w:eastAsia="es-MX"/>
        </w:rPr>
        <w:t xml:space="preserve">En consecuencia, corresponde a las Entidades Estatales, durante la etapa de planeación del contrato estatal, estudiar y </w:t>
      </w:r>
      <w:r w:rsidRPr="00960F72">
        <w:rPr>
          <w:rFonts w:ascii="Verdana" w:eastAsia="Times New Roman" w:hAnsi="Verdana" w:cs="Arial"/>
          <w:bCs/>
          <w:iCs/>
          <w:lang w:eastAsia="es-MX"/>
        </w:rPr>
        <w:t>determinar</w:t>
      </w:r>
      <w:r w:rsidRPr="00960F72">
        <w:rPr>
          <w:rFonts w:ascii="Verdana" w:eastAsia="Times New Roman" w:hAnsi="Verdana" w:cs="Arial"/>
          <w:lang w:eastAsia="es-MX"/>
        </w:rPr>
        <w:t xml:space="preserve"> los requisitos habilitantes que establecerán en los pliegos de condiciones o documentos equivalentes, </w:t>
      </w:r>
      <w:r w:rsidRPr="00960F72">
        <w:rPr>
          <w:rFonts w:ascii="Verdana" w:eastAsia="Times New Roman" w:hAnsi="Verdana" w:cs="Arial"/>
          <w:i/>
          <w:iCs/>
          <w:lang w:eastAsia="es-MX"/>
        </w:rPr>
        <w:t>los cuales deben fijarse de forma adecuada y proporcional</w:t>
      </w:r>
      <w:r w:rsidRPr="00960F72">
        <w:rPr>
          <w:rFonts w:ascii="Verdana" w:eastAsia="Times New Roman" w:hAnsi="Verdana" w:cs="Arial"/>
          <w:lang w:eastAsia="es-MX"/>
        </w:rPr>
        <w:t xml:space="preserve">. </w:t>
      </w:r>
      <w:bookmarkEnd w:id="8"/>
      <w:bookmarkEnd w:id="9"/>
      <w:r w:rsidRPr="00960F72">
        <w:rPr>
          <w:rFonts w:ascii="Verdana" w:eastAsia="Times New Roman" w:hAnsi="Verdana" w:cs="Arial"/>
          <w:lang w:eastAsia="es-MX"/>
        </w:rPr>
        <w:t>Al respecto, en la Sentencia C-004 de 2017, la Corte Constitucional señaló que:</w:t>
      </w:r>
    </w:p>
    <w:p w14:paraId="3E8B8953" w14:textId="77777777" w:rsidR="005D446A" w:rsidRPr="00960F72" w:rsidRDefault="005D446A" w:rsidP="005D446A">
      <w:pPr>
        <w:tabs>
          <w:tab w:val="left" w:pos="426"/>
        </w:tabs>
        <w:spacing w:after="0" w:line="276" w:lineRule="auto"/>
        <w:ind w:firstLine="709"/>
        <w:jc w:val="both"/>
        <w:rPr>
          <w:rFonts w:ascii="Verdana" w:eastAsia="Times New Roman" w:hAnsi="Verdana" w:cs="Arial"/>
          <w:lang w:eastAsia="es-MX"/>
        </w:rPr>
      </w:pPr>
    </w:p>
    <w:p w14:paraId="0A20081A" w14:textId="77777777" w:rsidR="005D446A" w:rsidRPr="00960F72" w:rsidRDefault="005D446A" w:rsidP="005D446A">
      <w:pPr>
        <w:spacing w:after="0" w:line="240" w:lineRule="auto"/>
        <w:ind w:left="709" w:right="709"/>
        <w:jc w:val="both"/>
        <w:rPr>
          <w:rFonts w:ascii="Verdana" w:hAnsi="Verdana" w:cs="Arial"/>
          <w:sz w:val="20"/>
          <w:szCs w:val="20"/>
          <w:lang w:eastAsia="es-ES" w:bidi="es-ES"/>
        </w:rPr>
      </w:pPr>
      <w:r w:rsidRPr="00960F72">
        <w:rPr>
          <w:rFonts w:ascii="Verdana" w:hAnsi="Verdana" w:cs="Arial"/>
          <w:sz w:val="20"/>
          <w:szCs w:val="20"/>
          <w:lang w:eastAsia="es-ES" w:bidi="es-ES"/>
        </w:rPr>
        <w:t>“[l]a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09E383D9" w14:textId="77777777" w:rsidR="005D446A" w:rsidRPr="00960F72" w:rsidRDefault="005D446A" w:rsidP="005D446A">
      <w:pPr>
        <w:spacing w:after="0" w:line="276" w:lineRule="auto"/>
        <w:ind w:left="709" w:right="709"/>
        <w:jc w:val="both"/>
        <w:rPr>
          <w:rFonts w:ascii="Verdana" w:hAnsi="Verdana" w:cs="Arial"/>
          <w:bCs/>
          <w:lang w:eastAsia="es-ES" w:bidi="es-ES"/>
        </w:rPr>
      </w:pPr>
    </w:p>
    <w:p w14:paraId="7845CA5C" w14:textId="77777777" w:rsidR="005D446A" w:rsidRPr="00960F72" w:rsidRDefault="005D446A" w:rsidP="005D446A">
      <w:pPr>
        <w:tabs>
          <w:tab w:val="left" w:pos="426"/>
        </w:tabs>
        <w:spacing w:after="120" w:line="276" w:lineRule="auto"/>
        <w:ind w:firstLine="709"/>
        <w:jc w:val="both"/>
        <w:rPr>
          <w:rFonts w:ascii="Verdana" w:eastAsia="Times New Roman" w:hAnsi="Verdana" w:cs="Arial"/>
          <w:lang w:eastAsia="es-MX"/>
        </w:rPr>
      </w:pPr>
      <w:r w:rsidRPr="00960F72">
        <w:rPr>
          <w:rFonts w:ascii="Verdana" w:eastAsia="Times New Roman" w:hAnsi="Verdana" w:cs="Arial"/>
          <w:lang w:eastAsia="es-MX"/>
        </w:rPr>
        <w:t xml:space="preserve">El </w:t>
      </w:r>
      <w:bookmarkStart w:id="10" w:name="_Hlk191627359"/>
      <w:r w:rsidRPr="00960F72">
        <w:rPr>
          <w:rFonts w:ascii="Verdana" w:eastAsia="Times New Roman" w:hAnsi="Verdana" w:cs="Arial"/>
          <w:lang w:eastAsia="es-MX"/>
        </w:rPr>
        <w:t xml:space="preserve">Decreto 1082 de 2015 en su artículo 2.2.1.1.1.6.2. </w:t>
      </w:r>
      <w:bookmarkEnd w:id="10"/>
      <w:r w:rsidRPr="00960F72">
        <w:rPr>
          <w:rFonts w:ascii="Verdana" w:eastAsia="Times New Roman" w:hAnsi="Verdana" w:cs="Arial"/>
          <w:lang w:eastAsia="es-MX"/>
        </w:rPr>
        <w:t>reglamenta los requisitos habilitantes, estableciendo que estos deben ser señalados en los pliegos de condiciones o en la invitación</w:t>
      </w:r>
      <w:r w:rsidRPr="00960F72">
        <w:rPr>
          <w:rStyle w:val="Refdenotaalpie"/>
          <w:rFonts w:ascii="Verdana" w:eastAsia="Times New Roman" w:hAnsi="Verdana" w:cs="Arial"/>
          <w:lang w:eastAsia="es-MX"/>
        </w:rPr>
        <w:footnoteReference w:id="4"/>
      </w:r>
      <w:r w:rsidRPr="00960F72">
        <w:rPr>
          <w:rFonts w:ascii="Verdana" w:eastAsia="Times New Roman" w:hAnsi="Verdana" w:cs="Arial"/>
          <w:lang w:eastAsia="es-MX"/>
        </w:rPr>
        <w:t xml:space="preserve">, lo cual es concordante con el </w:t>
      </w:r>
      <w:bookmarkStart w:id="11" w:name="_Hlk191627380"/>
      <w:r w:rsidRPr="00960F72">
        <w:rPr>
          <w:rFonts w:ascii="Verdana" w:eastAsia="Times New Roman" w:hAnsi="Verdana" w:cs="Arial"/>
          <w:lang w:eastAsia="es-MX"/>
        </w:rPr>
        <w:t xml:space="preserve">numeral </w:t>
      </w:r>
      <w:r w:rsidRPr="00960F72">
        <w:rPr>
          <w:rFonts w:ascii="Verdana" w:eastAsia="Times New Roman" w:hAnsi="Verdana" w:cs="Arial"/>
          <w:lang w:eastAsia="es-MX"/>
        </w:rPr>
        <w:lastRenderedPageBreak/>
        <w:t>5 del artículo 2.2.1.1.2.1.3</w:t>
      </w:r>
      <w:bookmarkEnd w:id="11"/>
      <w:r w:rsidRPr="00960F72">
        <w:rPr>
          <w:rFonts w:ascii="Verdana" w:eastAsia="Times New Roman" w:hAnsi="Verdana" w:cs="Arial"/>
          <w:lang w:eastAsia="es-MX"/>
        </w:rPr>
        <w:t>, en el que se establece como uno de los componentes mínimos de los pliegos de condiciones</w:t>
      </w:r>
      <w:r w:rsidRPr="00960F72">
        <w:rPr>
          <w:rFonts w:ascii="Verdana" w:hAnsi="Verdana" w:cs="Arial"/>
          <w:color w:val="000000"/>
        </w:rPr>
        <w:t xml:space="preserve"> a las reglas aplicables a la presentación y evaluación de las ofertas, entre las que se inscriben las relativas a la acreditación de las condiciones habilitantes. </w:t>
      </w:r>
      <w:r w:rsidRPr="00960F72">
        <w:rPr>
          <w:rFonts w:ascii="Verdana" w:eastAsia="Times New Roman" w:hAnsi="Verdana" w:cs="Arial"/>
          <w:lang w:eastAsia="es-MX"/>
        </w:rPr>
        <w:t xml:space="preserve">Además, el artículo 2.2.1.1.1.6.2 establece que la determinación de los requisitos habilitantes debe ser realizada en función de criterios </w:t>
      </w:r>
      <w:r w:rsidRPr="00960F72">
        <w:rPr>
          <w:rFonts w:ascii="Verdana" w:eastAsia="Times New Roman" w:hAnsi="Verdana" w:cs="Arial"/>
          <w:i/>
          <w:iCs/>
          <w:lang w:eastAsia="es-MX"/>
        </w:rPr>
        <w:t>como el riesgo del proceso de contratación, el valor del contrato, el análisis del sector económico respectivo y el conocimiento de fondo de los posibles oferentes desde la perspectiva comercial</w:t>
      </w:r>
      <w:r w:rsidRPr="00960F72">
        <w:rPr>
          <w:rFonts w:ascii="Verdana" w:eastAsia="Times New Roman" w:hAnsi="Verdana" w:cs="Arial"/>
          <w:lang w:eastAsia="es-MX"/>
        </w:rPr>
        <w:t xml:space="preserve">. </w:t>
      </w:r>
    </w:p>
    <w:p w14:paraId="287123E9" w14:textId="77777777" w:rsidR="005D446A" w:rsidRPr="00960F72" w:rsidRDefault="005D446A" w:rsidP="005D446A">
      <w:pPr>
        <w:tabs>
          <w:tab w:val="left" w:pos="426"/>
        </w:tabs>
        <w:spacing w:before="120" w:after="120" w:line="276" w:lineRule="auto"/>
        <w:ind w:firstLine="709"/>
        <w:jc w:val="both"/>
        <w:rPr>
          <w:rFonts w:ascii="Verdana" w:eastAsia="Times New Roman" w:hAnsi="Verdana" w:cs="Arial"/>
          <w:lang w:eastAsia="es-MX"/>
        </w:rPr>
      </w:pPr>
      <w:r w:rsidRPr="00960F72">
        <w:rPr>
          <w:rFonts w:ascii="Verdana" w:eastAsia="Times New Roman" w:hAnsi="Verdana" w:cs="Arial"/>
          <w:lang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960F72">
        <w:rPr>
          <w:rFonts w:ascii="Verdana" w:eastAsia="Times New Roman" w:hAnsi="Verdana" w:cs="Arial"/>
          <w:lang w:eastAsia="es-MX"/>
        </w:rPr>
        <w:t>los mismos</w:t>
      </w:r>
      <w:proofErr w:type="gramEnd"/>
      <w:r w:rsidRPr="00960F72">
        <w:rPr>
          <w:rFonts w:ascii="Verdana" w:eastAsia="Times New Roman" w:hAnsi="Verdana" w:cs="Arial"/>
          <w:lang w:eastAsia="es-MX"/>
        </w:rPr>
        <w:t xml:space="preserve"> resulten requisitos que permitan medir la aptitud de los oferentes para cumplir con el contrato, y que, además de ser proporcionales y adecuados a su objeto, no limiten la participación en el proceso de selección</w:t>
      </w:r>
      <w:r w:rsidRPr="00960F72">
        <w:rPr>
          <w:rStyle w:val="Refdenotaalpie"/>
          <w:rFonts w:ascii="Verdana" w:eastAsia="Times New Roman" w:hAnsi="Verdana" w:cs="Arial"/>
          <w:lang w:eastAsia="es-MX"/>
        </w:rPr>
        <w:footnoteReference w:id="5"/>
      </w:r>
      <w:r w:rsidRPr="00960F72">
        <w:rPr>
          <w:rFonts w:ascii="Verdana" w:eastAsia="Times New Roman" w:hAnsi="Verdana" w:cs="Arial"/>
          <w:lang w:eastAsia="es-MX"/>
        </w:rPr>
        <w:t xml:space="preserve">. </w:t>
      </w:r>
    </w:p>
    <w:p w14:paraId="177B581F" w14:textId="77777777" w:rsidR="005D446A" w:rsidRPr="00960F72" w:rsidRDefault="005D446A" w:rsidP="005D446A">
      <w:pPr>
        <w:tabs>
          <w:tab w:val="left" w:pos="426"/>
        </w:tabs>
        <w:spacing w:before="120" w:after="120" w:line="276" w:lineRule="auto"/>
        <w:ind w:firstLine="709"/>
        <w:jc w:val="both"/>
        <w:rPr>
          <w:rFonts w:ascii="Verdana" w:eastAsia="Times New Roman" w:hAnsi="Verdana" w:cs="Arial"/>
          <w:lang w:eastAsia="es-MX"/>
        </w:rPr>
      </w:pPr>
      <w:r w:rsidRPr="00960F72">
        <w:rPr>
          <w:rFonts w:ascii="Verdana" w:eastAsia="Times New Roman" w:hAnsi="Verdana" w:cs="Arial"/>
          <w:lang w:eastAsia="es-MX"/>
        </w:rPr>
        <w:t xml:space="preserve">Que deban ser </w:t>
      </w:r>
      <w:r w:rsidRPr="00960F72">
        <w:rPr>
          <w:rFonts w:ascii="Verdana" w:eastAsia="Times New Roman" w:hAnsi="Verdana" w:cs="Arial"/>
          <w:i/>
          <w:iCs/>
          <w:lang w:eastAsia="es-MX"/>
        </w:rPr>
        <w:t>adecuados</w:t>
      </w:r>
      <w:r w:rsidRPr="00960F72">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deben ser </w:t>
      </w:r>
      <w:r w:rsidRPr="00960F72">
        <w:rPr>
          <w:rFonts w:ascii="Verdana" w:eastAsia="Times New Roman" w:hAnsi="Verdana" w:cs="Arial"/>
          <w:i/>
          <w:iCs/>
          <w:lang w:eastAsia="es-MX"/>
        </w:rPr>
        <w:t>proporcionales</w:t>
      </w:r>
      <w:r w:rsidRPr="00960F72">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960F72">
        <w:rPr>
          <w:rFonts w:ascii="Verdana" w:eastAsia="Times New Roman" w:hAnsi="Verdana" w:cs="Arial"/>
          <w:i/>
          <w:iCs/>
          <w:lang w:eastAsia="es-MX"/>
        </w:rPr>
        <w:t>no limiten la participación o la libre concurrencia</w:t>
      </w:r>
      <w:r w:rsidRPr="00960F72">
        <w:rPr>
          <w:rFonts w:ascii="Verdana" w:eastAsia="Times New Roman" w:hAnsi="Verdana" w:cs="Arial"/>
          <w:lang w:eastAsia="es-MX"/>
        </w:rPr>
        <w:t xml:space="preserve"> en el proceso de selección significa que los requisitos establecidos </w:t>
      </w:r>
      <w:r w:rsidRPr="00960F72">
        <w:rPr>
          <w:rFonts w:ascii="Verdana" w:eastAsia="Times New Roman" w:hAnsi="Verdana" w:cs="Arial"/>
          <w:lang w:eastAsia="es-MX"/>
        </w:rPr>
        <w:lastRenderedPageBreak/>
        <w:t xml:space="preserve">no deben crear barreras injustificadas para el </w:t>
      </w:r>
      <w:r w:rsidRPr="00960F72">
        <w:rPr>
          <w:rFonts w:ascii="Verdana" w:hAnsi="Verdana"/>
        </w:rPr>
        <w:t>acceso a la contratación pública de los oferentes</w:t>
      </w:r>
      <w:r w:rsidRPr="00960F72">
        <w:rPr>
          <w:rFonts w:ascii="Verdana" w:eastAsia="Times New Roman" w:hAnsi="Verdana" w:cs="Arial"/>
          <w:lang w:eastAsia="es-MX"/>
        </w:rPr>
        <w:t xml:space="preserve"> interesados, promoviendo una mayor competencia. </w:t>
      </w:r>
    </w:p>
    <w:p w14:paraId="71F052C2" w14:textId="77777777" w:rsidR="005D446A" w:rsidRPr="00960F72" w:rsidRDefault="005D446A" w:rsidP="005D446A">
      <w:pPr>
        <w:tabs>
          <w:tab w:val="left" w:pos="426"/>
        </w:tabs>
        <w:spacing w:before="120" w:after="120" w:line="276" w:lineRule="auto"/>
        <w:ind w:firstLine="709"/>
        <w:jc w:val="both"/>
        <w:rPr>
          <w:rFonts w:ascii="Verdana" w:eastAsia="Times New Roman" w:hAnsi="Verdana" w:cs="Arial"/>
          <w:lang w:eastAsia="es-MX"/>
        </w:rPr>
      </w:pPr>
      <w:r w:rsidRPr="00960F72">
        <w:rPr>
          <w:rFonts w:ascii="Verdana" w:eastAsia="Times New Roman" w:hAnsi="Verdana" w:cs="Arial"/>
          <w:lang w:eastAsia="es-MX"/>
        </w:rPr>
        <w:t xml:space="preserve">En ese sentido, las Entidades Estatales tienen autonomía para estructurar los requisitos habilitantes en los procesos que adelantan, </w:t>
      </w:r>
      <w:r w:rsidRPr="00960F72">
        <w:rPr>
          <w:rFonts w:ascii="Verdana" w:eastAsia="Times New Roman" w:hAnsi="Verdana" w:cs="Arial"/>
          <w:i/>
          <w:iCs/>
          <w:lang w:eastAsia="es-MX"/>
        </w:rPr>
        <w:t>pero tal facultad no puede ejercerse de forma arbitraria, caprichosa y, mucho menos, con el ánimo de direccionar el proceso de contratación</w:t>
      </w:r>
      <w:r w:rsidRPr="00960F72">
        <w:rPr>
          <w:rFonts w:ascii="Verdana" w:eastAsia="Times New Roman" w:hAnsi="Verdana" w:cs="Arial"/>
          <w:lang w:eastAsia="es-MX"/>
        </w:rPr>
        <w:t xml:space="preserve">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2BA3D0D7" w14:textId="77777777" w:rsidR="005D446A" w:rsidRPr="00960F72" w:rsidRDefault="005D446A" w:rsidP="005D446A">
      <w:pPr>
        <w:spacing w:after="120" w:line="276" w:lineRule="auto"/>
        <w:ind w:firstLine="708"/>
        <w:jc w:val="both"/>
        <w:rPr>
          <w:rFonts w:ascii="Verdana" w:hAnsi="Verdana" w:cs="Arial"/>
        </w:rPr>
      </w:pPr>
      <w:bookmarkStart w:id="13" w:name="_Hlk99548176"/>
      <w:r w:rsidRPr="00960F72">
        <w:rPr>
          <w:rFonts w:ascii="Verdana" w:hAnsi="Verdana" w:cs="Arial"/>
        </w:rPr>
        <w:t>Ahora bien, una vez fijados los requisitos habilitantes por la Entidad Estatal, quienes presenten ofertas deben acreditar que cumplen con los mismos, pues, en el evento contrario, las propuestas deberán ser rechazadas. En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w:t>
      </w:r>
      <w:r w:rsidRPr="00960F72">
        <w:rPr>
          <w:rFonts w:ascii="Verdana" w:hAnsi="Verdana" w:cs="Arial"/>
          <w:vertAlign w:val="superscript"/>
        </w:rPr>
        <w:footnoteReference w:id="6"/>
      </w:r>
      <w:r w:rsidRPr="00960F72">
        <w:rPr>
          <w:rFonts w:ascii="Verdana" w:hAnsi="Verdana" w:cs="Arial"/>
        </w:rPr>
        <w:t xml:space="preserv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bookmarkEnd w:id="13"/>
    <w:p w14:paraId="468FA564" w14:textId="77777777" w:rsidR="005D446A" w:rsidRPr="00960F72" w:rsidRDefault="005D446A" w:rsidP="005D446A">
      <w:pPr>
        <w:spacing w:after="120" w:line="276" w:lineRule="auto"/>
        <w:ind w:firstLine="708"/>
        <w:jc w:val="both"/>
        <w:rPr>
          <w:rFonts w:ascii="Verdana" w:hAnsi="Verdana" w:cs="Arial"/>
        </w:rPr>
      </w:pPr>
      <w:r w:rsidRPr="00960F72">
        <w:rPr>
          <w:rFonts w:ascii="Verdana" w:hAnsi="Verdana" w:cs="Arial"/>
        </w:rPr>
        <w:t>Dicha información debe tenerse en cuenta por las Entidades en los procedimientos de contratación en los que es exigible el RUP</w:t>
      </w:r>
      <w:r w:rsidRPr="00960F72">
        <w:rPr>
          <w:rFonts w:ascii="Verdana" w:hAnsi="Verdana" w:cs="Arial"/>
          <w:vertAlign w:val="superscript"/>
        </w:rPr>
        <w:footnoteReference w:id="7"/>
      </w:r>
      <w:r w:rsidRPr="00960F72">
        <w:rPr>
          <w:rFonts w:ascii="Verdana" w:hAnsi="Verdana" w:cs="Arial"/>
        </w:rPr>
        <w:t xml:space="preserve">. Así las cosas, la </w:t>
      </w:r>
      <w:r w:rsidRPr="00960F72">
        <w:rPr>
          <w:rFonts w:ascii="Verdana" w:hAnsi="Verdana" w:cs="Arial"/>
        </w:rPr>
        <w:lastRenderedPageBreak/>
        <w:t>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960F72">
        <w:rPr>
          <w:rFonts w:ascii="Verdana" w:hAnsi="Verdana" w:cs="Arial"/>
          <w:vertAlign w:val="superscript"/>
        </w:rPr>
        <w:footnoteReference w:id="8"/>
      </w:r>
      <w:r w:rsidRPr="00960F72">
        <w:rPr>
          <w:rFonts w:ascii="Verdana" w:hAnsi="Verdana" w:cs="Arial"/>
        </w:rPr>
        <w:t xml:space="preserve">. </w:t>
      </w:r>
    </w:p>
    <w:p w14:paraId="0FC8CCA4" w14:textId="77777777" w:rsidR="005D446A" w:rsidRPr="00960F72" w:rsidRDefault="005D446A" w:rsidP="005D446A">
      <w:pPr>
        <w:spacing w:after="120" w:line="276" w:lineRule="auto"/>
        <w:ind w:firstLine="709"/>
        <w:jc w:val="both"/>
        <w:rPr>
          <w:rFonts w:ascii="Verdana" w:hAnsi="Verdana" w:cs="Arial"/>
        </w:rPr>
      </w:pPr>
      <w:bookmarkStart w:id="14" w:name="_Hlk99548308"/>
      <w:r w:rsidRPr="00960F72">
        <w:rPr>
          <w:rFonts w:ascii="Verdana" w:hAnsi="Verdana" w:cs="Arial"/>
        </w:rPr>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bookmarkEnd w:id="14"/>
      <w:r w:rsidRPr="00960F72">
        <w:rPr>
          <w:rFonts w:ascii="Verdana" w:hAnsi="Verdana" w:cs="Arial"/>
        </w:rPr>
        <w:t xml:space="preserve">. </w:t>
      </w:r>
    </w:p>
    <w:p w14:paraId="255F64DB" w14:textId="77777777" w:rsidR="005D446A" w:rsidRPr="00960F72" w:rsidRDefault="005D446A" w:rsidP="005D446A">
      <w:pPr>
        <w:spacing w:after="120" w:line="276" w:lineRule="auto"/>
        <w:ind w:firstLine="709"/>
        <w:jc w:val="both"/>
        <w:rPr>
          <w:rFonts w:ascii="Verdana" w:hAnsi="Verdana" w:cs="Arial"/>
        </w:rPr>
      </w:pPr>
      <w:r w:rsidRPr="00960F72">
        <w:rPr>
          <w:rFonts w:ascii="Verdana" w:hAnsi="Verdana" w:cs="Arial"/>
        </w:rPr>
        <w:t>Estas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Adicionalmente, en el numeral 6.1. del artículo 6 de la Ley 1150 de 2007 establece que cuando sea necesario verificar requisitos o información que no reposa en RUP, la Entidad podrá solicitar información adicional solo para complementar la información contenida en el RUP</w:t>
      </w:r>
      <w:r w:rsidRPr="00960F72">
        <w:rPr>
          <w:rFonts w:ascii="Verdana" w:hAnsi="Verdana" w:cs="Arial"/>
          <w:vertAlign w:val="superscript"/>
        </w:rPr>
        <w:footnoteReference w:id="9"/>
      </w:r>
      <w:r w:rsidRPr="00960F72">
        <w:rPr>
          <w:rFonts w:ascii="Verdana" w:hAnsi="Verdana" w:cs="Arial"/>
        </w:rPr>
        <w:t>.</w:t>
      </w:r>
    </w:p>
    <w:p w14:paraId="57ACDEA7" w14:textId="77777777" w:rsidR="005D446A" w:rsidRPr="00960F72" w:rsidRDefault="005D446A" w:rsidP="005D446A">
      <w:pPr>
        <w:spacing w:after="120" w:line="276" w:lineRule="auto"/>
        <w:ind w:firstLine="709"/>
        <w:jc w:val="both"/>
        <w:rPr>
          <w:rFonts w:ascii="Verdana" w:hAnsi="Verdana" w:cs="Arial"/>
        </w:rPr>
      </w:pPr>
      <w:r w:rsidRPr="00960F72">
        <w:rPr>
          <w:rFonts w:ascii="Verdana" w:hAnsi="Verdana" w:cs="Arial"/>
        </w:rPr>
        <w:t xml:space="preserve">En cualquier caso, en los procedimientos en los cuales no es exigible el RUP, como aquellos que se adelanten mediante la modalidad de mínima cuantía, las Entidades deberán verificar directamente el cumplimiento de los requisitos </w:t>
      </w:r>
      <w:r w:rsidRPr="00960F72">
        <w:rPr>
          <w:rFonts w:ascii="Verdana" w:hAnsi="Verdana" w:cs="Arial"/>
        </w:rPr>
        <w:lastRenderedPageBreak/>
        <w:t>habilitantes</w:t>
      </w:r>
      <w:r w:rsidRPr="00960F72">
        <w:rPr>
          <w:rFonts w:ascii="Verdana" w:hAnsi="Verdana" w:cs="Arial"/>
          <w:vertAlign w:val="superscript"/>
        </w:rPr>
        <w:footnoteReference w:id="10"/>
      </w:r>
      <w:r w:rsidRPr="00960F72">
        <w:rPr>
          <w:rFonts w:ascii="Verdana" w:hAnsi="Verdana" w:cs="Arial"/>
        </w:rPr>
        <w:t xml:space="preserve">. Para esto, deberá señalar en la invitación, o el documento que haga sus veces, </w:t>
      </w:r>
      <w:r w:rsidRPr="00960F72">
        <w:rPr>
          <w:rFonts w:ascii="Verdana" w:eastAsia="Times New Roman" w:hAnsi="Verdana" w:cs="Arial"/>
          <w:lang w:eastAsia="es-ES_tradnl"/>
        </w:rPr>
        <w:t>cuál es la información que se debe acreditar, así como los documentos que tendrá como válidos para tal fin.</w:t>
      </w:r>
      <w:r w:rsidRPr="00960F72">
        <w:rPr>
          <w:rFonts w:ascii="Verdana" w:hAnsi="Verdana" w:cs="Arial"/>
        </w:rPr>
        <w:t xml:space="preserve"> Estos documentos también deberán ser proporcionales y adecuados, pues no podrán imponer barreras injustificadas para la participación en el proceso de selección.</w:t>
      </w:r>
    </w:p>
    <w:p w14:paraId="1DE6963F" w14:textId="77777777" w:rsidR="005D446A" w:rsidRPr="00960F72" w:rsidRDefault="005D446A" w:rsidP="005D446A">
      <w:pPr>
        <w:spacing w:after="0" w:line="276" w:lineRule="auto"/>
        <w:ind w:firstLine="709"/>
        <w:jc w:val="both"/>
        <w:rPr>
          <w:rFonts w:ascii="Verdana" w:eastAsia="Calibri" w:hAnsi="Verdana" w:cs="Arial"/>
        </w:rPr>
      </w:pPr>
      <w:r w:rsidRPr="00960F72">
        <w:rPr>
          <w:rFonts w:ascii="Verdana" w:eastAsia="Calibri" w:hAnsi="Verdana" w:cs="Arial"/>
        </w:rPr>
        <w:t>En cualquier caso, dicha excepcionalidad no es óbice para que las Entidades voluntariamente puedan solicitar el RUP como uno de los medios mediante los cuales los proponentes pueden acreditar algunos de los requisitos exigidos en los procesos de contratación que adelanten.</w:t>
      </w:r>
    </w:p>
    <w:p w14:paraId="321E9FBE" w14:textId="77777777" w:rsidR="005D446A" w:rsidRPr="00960F72" w:rsidRDefault="005D446A" w:rsidP="005D446A">
      <w:pPr>
        <w:spacing w:after="0" w:line="276" w:lineRule="auto"/>
        <w:jc w:val="both"/>
        <w:rPr>
          <w:rFonts w:ascii="Verdana" w:eastAsia="Calibri" w:hAnsi="Verdana" w:cs="Arial"/>
          <w:lang w:eastAsia="es-ES"/>
        </w:rPr>
      </w:pPr>
    </w:p>
    <w:p w14:paraId="5BE2FFFB" w14:textId="77777777" w:rsidR="005D446A" w:rsidRPr="00960F72" w:rsidRDefault="005D446A" w:rsidP="005D446A">
      <w:pPr>
        <w:spacing w:after="120" w:line="276" w:lineRule="auto"/>
        <w:jc w:val="both"/>
        <w:rPr>
          <w:rFonts w:ascii="Verdana" w:eastAsia="Calibri" w:hAnsi="Verdana" w:cs="Arial"/>
          <w:lang w:eastAsia="es-ES"/>
        </w:rPr>
      </w:pPr>
      <w:r w:rsidRPr="00960F72">
        <w:rPr>
          <w:rFonts w:ascii="Verdana" w:eastAsia="Calibri" w:hAnsi="Verdana" w:cs="Arial"/>
          <w:lang w:eastAsia="es-ES"/>
        </w:rPr>
        <w:t>(</w:t>
      </w:r>
      <w:proofErr w:type="spellStart"/>
      <w:r w:rsidRPr="00960F72">
        <w:rPr>
          <w:rFonts w:ascii="Verdana" w:eastAsia="Calibri" w:hAnsi="Verdana" w:cs="Arial"/>
          <w:lang w:eastAsia="es-ES"/>
        </w:rPr>
        <w:t>ii</w:t>
      </w:r>
      <w:proofErr w:type="spellEnd"/>
      <w:r w:rsidRPr="00960F72">
        <w:rPr>
          <w:rFonts w:ascii="Verdana" w:eastAsia="Calibri" w:hAnsi="Verdana" w:cs="Arial"/>
          <w:lang w:eastAsia="es-ES"/>
        </w:rPr>
        <w:t>) Respecto a la capacidad jurídica, esta es entendida como la aptitud que recae en los sujetos activos o pasivos de las relaciones jurídicas</w:t>
      </w:r>
      <w:r w:rsidRPr="00960F72">
        <w:rPr>
          <w:rFonts w:ascii="Verdana" w:eastAsia="Calibri" w:hAnsi="Verdana" w:cs="Arial"/>
          <w:vertAlign w:val="superscript"/>
          <w:lang w:eastAsia="es-ES"/>
        </w:rPr>
        <w:footnoteReference w:id="11"/>
      </w:r>
      <w:r w:rsidRPr="00960F72">
        <w:rPr>
          <w:rFonts w:ascii="Verdana" w:eastAsia="Calibri" w:hAnsi="Verdana" w:cs="Arial"/>
          <w:lang w:eastAsia="es-ES"/>
        </w:rPr>
        <w:t>. Para efectos de las relaciones contractuales en las que uno de los extremos de la relación sea una Entidad Estatal, la capacidad jurídica es la facultad que tiene una persona natural o jurídica para celebrar contratos con estas Entidades. En otras palabras, se refiere a la capacidad de obligarse a cumplir el objeto del contrato, así como a no estar incursa en inhabilidades o incompatibilidades que impidan su celebración.</w:t>
      </w:r>
    </w:p>
    <w:p w14:paraId="2E8336B9" w14:textId="77777777" w:rsidR="005D446A" w:rsidRPr="00960F72" w:rsidRDefault="005D446A" w:rsidP="005D446A">
      <w:pPr>
        <w:spacing w:before="120" w:after="120" w:line="276" w:lineRule="auto"/>
        <w:ind w:firstLine="709"/>
        <w:jc w:val="both"/>
        <w:rPr>
          <w:rFonts w:ascii="Verdana" w:eastAsia="Calibri" w:hAnsi="Verdana" w:cs="Arial"/>
          <w:lang w:eastAsia="es-ES_tradnl"/>
        </w:rPr>
      </w:pPr>
      <w:r w:rsidRPr="00960F72">
        <w:rPr>
          <w:rFonts w:ascii="Verdana" w:eastAsia="Calibri" w:hAnsi="Verdana" w:cs="Arial"/>
          <w:lang w:eastAsia="es-ES_tradnl"/>
        </w:rPr>
        <w:t>Para efectos del EGCAP, la capacidad para contratar la tienen las personas consideradas legalmente capaces en las disposiciones vigentes</w:t>
      </w:r>
      <w:r w:rsidRPr="00960F72">
        <w:rPr>
          <w:rFonts w:ascii="Verdana" w:eastAsia="Calibri" w:hAnsi="Verdana" w:cs="Arial"/>
          <w:vertAlign w:val="superscript"/>
          <w:lang w:eastAsia="es-ES_tradnl"/>
        </w:rPr>
        <w:footnoteReference w:id="12"/>
      </w:r>
      <w:r w:rsidRPr="00960F72">
        <w:rPr>
          <w:rFonts w:ascii="Verdana" w:eastAsia="Times New Roman" w:hAnsi="Verdana" w:cs="Arial"/>
          <w:lang w:eastAsia="es-ES_tradnl"/>
        </w:rPr>
        <w:t>, así como otras formas asociativas. En efecto, el artículo 6 de la Ley 80 de 1993 establece que “[p]</w:t>
      </w:r>
      <w:proofErr w:type="spellStart"/>
      <w:r w:rsidRPr="00960F72">
        <w:rPr>
          <w:rFonts w:ascii="Verdana" w:eastAsia="Times New Roman" w:hAnsi="Verdana" w:cs="Arial"/>
          <w:lang w:eastAsia="es-ES_tradnl"/>
        </w:rPr>
        <w:t>ueden</w:t>
      </w:r>
      <w:proofErr w:type="spellEnd"/>
      <w:r w:rsidRPr="00960F72">
        <w:rPr>
          <w:rFonts w:ascii="Verdana" w:eastAsia="Times New Roman" w:hAnsi="Verdana" w:cs="Arial"/>
          <w:lang w:eastAsia="es-ES_tradnl"/>
        </w:rPr>
        <w:t xml:space="preserve"> celebrar contratos con las entidades estatales las personas consideradas legalmente capaces en las disposiciones vigentes […]”, así como “[…] los consorcios y uniones temporales”.</w:t>
      </w:r>
    </w:p>
    <w:p w14:paraId="7AD71851" w14:textId="77777777" w:rsidR="005D446A" w:rsidRPr="00960F72" w:rsidRDefault="005D446A" w:rsidP="005D446A">
      <w:pPr>
        <w:spacing w:before="120" w:after="120" w:line="276" w:lineRule="auto"/>
        <w:ind w:firstLine="709"/>
        <w:jc w:val="both"/>
        <w:rPr>
          <w:rFonts w:ascii="Verdana" w:eastAsia="Calibri" w:hAnsi="Verdana" w:cs="Arial"/>
          <w:lang w:eastAsia="es-ES"/>
        </w:rPr>
      </w:pPr>
      <w:r w:rsidRPr="00960F72">
        <w:rPr>
          <w:rFonts w:ascii="Verdana" w:eastAsia="Calibri" w:hAnsi="Verdana" w:cs="Arial"/>
          <w:lang w:eastAsia="es-ES"/>
        </w:rPr>
        <w:t xml:space="preserve">En este sentido, las personas naturales que tienen capacidad jurídica para contratar son los mayores de edad, salvo que por disposición expresa se encuentren limitados por decisión judicial, y que no estén incursas en </w:t>
      </w:r>
      <w:r w:rsidRPr="00960F72">
        <w:rPr>
          <w:rFonts w:ascii="Verdana" w:eastAsia="Calibri" w:hAnsi="Verdana" w:cs="Arial"/>
          <w:lang w:eastAsia="es-ES"/>
        </w:rPr>
        <w:lastRenderedPageBreak/>
        <w:t>inhabilidades, incompatibilidades o prohibiciones derivadas de la ley. Respecto de las personas jurídicas, la capacidad jurídica hace referencia a la posibilidad que tienen para adelantar actividades en el marco de su objeto social, las facultades que le han sido otorgadas al representante legal y a la ausencia de inhabilidades, incompatibilidades o prohibiciones para contratar, derivadas de la ley.</w:t>
      </w:r>
    </w:p>
    <w:p w14:paraId="28CCD5B6" w14:textId="77777777" w:rsidR="005D446A" w:rsidRPr="00960F72" w:rsidRDefault="005D446A" w:rsidP="005D446A">
      <w:pPr>
        <w:spacing w:before="120" w:after="0" w:line="276" w:lineRule="auto"/>
        <w:ind w:firstLine="709"/>
        <w:jc w:val="both"/>
        <w:rPr>
          <w:rFonts w:ascii="Verdana" w:eastAsia="Calibri" w:hAnsi="Verdana" w:cs="Arial"/>
          <w:lang w:eastAsia="es-ES_tradnl"/>
        </w:rPr>
      </w:pPr>
      <w:r w:rsidRPr="00960F72">
        <w:rPr>
          <w:rFonts w:ascii="Verdana" w:eastAsia="Calibri" w:hAnsi="Verdana" w:cs="Arial"/>
          <w:lang w:eastAsia="es-ES_tradnl"/>
        </w:rPr>
        <w:t>En el marco de los procesos de selección, las Entidades Estatales deben solicitar a los proponentes toda la información necesaria para conocer su idoneidad en la ejecución del contrato a celebrar, y que le permita verificar su honestidad e integridad en el manejo de los recursos. El Consejo de Estado ha exhortado a las Entidades Estatales para conocer la calidad en la que actúa el proponente, así</w:t>
      </w:r>
      <w:r w:rsidRPr="00960F72">
        <w:rPr>
          <w:rFonts w:ascii="Verdana" w:eastAsia="Calibri" w:hAnsi="Verdana" w:cs="Arial"/>
          <w:vertAlign w:val="superscript"/>
          <w:lang w:eastAsia="es-ES_tradnl"/>
        </w:rPr>
        <w:footnoteReference w:id="13"/>
      </w:r>
      <w:r w:rsidRPr="00960F72">
        <w:rPr>
          <w:rFonts w:ascii="Verdana" w:eastAsia="Calibri" w:hAnsi="Verdana" w:cs="Arial"/>
          <w:lang w:eastAsia="es-ES_tradnl"/>
        </w:rPr>
        <w:t>:</w:t>
      </w:r>
    </w:p>
    <w:p w14:paraId="552F6B60" w14:textId="77777777" w:rsidR="005D446A" w:rsidRPr="00960F72" w:rsidRDefault="005D446A" w:rsidP="005D446A">
      <w:pPr>
        <w:spacing w:after="0" w:line="276" w:lineRule="auto"/>
        <w:ind w:firstLine="709"/>
        <w:jc w:val="both"/>
        <w:rPr>
          <w:rFonts w:ascii="Verdana" w:eastAsia="Calibri" w:hAnsi="Verdana" w:cs="Arial"/>
          <w:lang w:eastAsia="es-ES_tradnl"/>
        </w:rPr>
      </w:pPr>
    </w:p>
    <w:p w14:paraId="17372DED" w14:textId="77777777" w:rsidR="005D446A" w:rsidRPr="00960F72" w:rsidRDefault="005D446A" w:rsidP="005D446A">
      <w:pPr>
        <w:widowControl w:val="0"/>
        <w:autoSpaceDE w:val="0"/>
        <w:autoSpaceDN w:val="0"/>
        <w:spacing w:after="0" w:line="240" w:lineRule="auto"/>
        <w:ind w:left="709" w:right="709"/>
        <w:contextualSpacing/>
        <w:jc w:val="both"/>
        <w:rPr>
          <w:rFonts w:ascii="Verdana" w:eastAsia="Arial" w:hAnsi="Verdana" w:cs="Arial"/>
          <w:sz w:val="20"/>
          <w:szCs w:val="20"/>
          <w:lang w:eastAsia="es-ES" w:bidi="es-ES"/>
        </w:rPr>
      </w:pPr>
      <w:r w:rsidRPr="00960F72">
        <w:rPr>
          <w:rFonts w:ascii="Verdana" w:eastAsia="Arial" w:hAnsi="Verdana" w:cs="Arial"/>
          <w:sz w:val="20"/>
          <w:szCs w:val="20"/>
          <w:lang w:eastAsia="es-ES" w:bidi="es-ES"/>
        </w:rPr>
        <w:t>“No duda la Sala en afirmar que la anterior disposición conlleva un deber calificado para las entidades estatales, cuyo presupuesto es la buena fe (y como se verá, el principio de precaución), consistente en una carga de conocimiento que las obliga a determinar la calidad con la que actúa el proponente o contratista, esto es, persona natural o jurídica, o sucursal de una sociedad extranjera, si pertenece o no a un grupo empresarial, si se trata de una filial o subsidiaria, la composición de su capital, si cotiza o no en bolsa, si es una empresa familiar, la idoneidad personal y profesional de sus representantes legales, entre otros aspectos, así como el origen lícito de los fondos que empleará en la ejecución del objeto contratado, los cuales, por supuesto, no pueden provenir de actividades delictivas en general, o ser el producto de actos de corrupción, en</w:t>
      </w:r>
      <w:r w:rsidRPr="00960F72">
        <w:rPr>
          <w:rFonts w:ascii="Verdana" w:eastAsia="Arial" w:hAnsi="Verdana" w:cs="Arial"/>
          <w:spacing w:val="-11"/>
          <w:sz w:val="20"/>
          <w:szCs w:val="20"/>
          <w:lang w:eastAsia="es-ES" w:bidi="es-ES"/>
        </w:rPr>
        <w:t xml:space="preserve"> </w:t>
      </w:r>
      <w:r w:rsidRPr="00960F72">
        <w:rPr>
          <w:rFonts w:ascii="Verdana" w:eastAsia="Arial" w:hAnsi="Verdana" w:cs="Arial"/>
          <w:sz w:val="20"/>
          <w:szCs w:val="20"/>
          <w:lang w:eastAsia="es-ES" w:bidi="es-ES"/>
        </w:rPr>
        <w:t>particular”.</w:t>
      </w:r>
    </w:p>
    <w:p w14:paraId="3AE98DBA" w14:textId="77777777" w:rsidR="005D446A" w:rsidRPr="00960F72" w:rsidRDefault="005D446A" w:rsidP="005D446A">
      <w:pPr>
        <w:widowControl w:val="0"/>
        <w:autoSpaceDE w:val="0"/>
        <w:autoSpaceDN w:val="0"/>
        <w:spacing w:after="0" w:line="276" w:lineRule="auto"/>
        <w:contextualSpacing/>
        <w:rPr>
          <w:rFonts w:ascii="Verdana" w:eastAsia="Arial" w:hAnsi="Verdana" w:cs="Arial"/>
          <w:lang w:eastAsia="es-ES" w:bidi="es-ES"/>
        </w:rPr>
      </w:pPr>
    </w:p>
    <w:p w14:paraId="2CEEEDFD" w14:textId="77777777" w:rsidR="005D446A" w:rsidRPr="00960F72" w:rsidRDefault="005D446A" w:rsidP="005D446A">
      <w:pPr>
        <w:spacing w:after="120" w:line="276" w:lineRule="auto"/>
        <w:ind w:firstLine="708"/>
        <w:jc w:val="both"/>
        <w:rPr>
          <w:rFonts w:ascii="Verdana" w:eastAsia="Calibri" w:hAnsi="Verdana" w:cs="Arial"/>
          <w:bCs/>
        </w:rPr>
      </w:pPr>
      <w:r w:rsidRPr="00960F72">
        <w:rPr>
          <w:rFonts w:ascii="Verdana" w:eastAsia="Times New Roman" w:hAnsi="Verdana" w:cs="Arial"/>
          <w:color w:val="000000" w:themeColor="text1"/>
          <w:lang w:eastAsia="es-ES"/>
        </w:rPr>
        <w:t>Frente a la exigencia de que el proponente cuente con establecimiento de comercio en el lugar de ejecución del contrato – tema que señala en su consulta -</w:t>
      </w:r>
      <w:r w:rsidRPr="00960F72">
        <w:rPr>
          <w:rFonts w:ascii="Verdana" w:eastAsia="Calibri" w:hAnsi="Verdana" w:cs="Arial"/>
          <w:bCs/>
        </w:rPr>
        <w:t>, es necesario tener en cuenta que, la actividad comercial</w:t>
      </w:r>
      <w:r w:rsidRPr="00960F72">
        <w:rPr>
          <w:rStyle w:val="Refdenotaalpie"/>
          <w:rFonts w:ascii="Verdana" w:eastAsia="Calibri" w:hAnsi="Verdana" w:cs="Arial"/>
          <w:bCs/>
        </w:rPr>
        <w:footnoteReference w:id="14"/>
      </w:r>
      <w:r w:rsidRPr="00960F72">
        <w:rPr>
          <w:rFonts w:ascii="Verdana" w:eastAsia="Calibri" w:hAnsi="Verdana" w:cs="Arial"/>
          <w:bCs/>
        </w:rPr>
        <w:t xml:space="preserve"> se realiza a través de establecimientos de comercio sujetos al registro mercantil. En efecto, de </w:t>
      </w:r>
      <w:r w:rsidRPr="00960F72">
        <w:rPr>
          <w:rFonts w:ascii="Verdana" w:eastAsia="Calibri" w:hAnsi="Verdana" w:cs="Arial"/>
          <w:bCs/>
        </w:rPr>
        <w:lastRenderedPageBreak/>
        <w:t xml:space="preserve">conformidad con el artículo 25 del Código de Comercio, “Se entenderá por empresa toda actividad económica organizada para la producción, transformación, circulación, administración o custodia de bienes, o para la prestación de servicios. </w:t>
      </w:r>
      <w:r w:rsidRPr="00960F72">
        <w:rPr>
          <w:rFonts w:ascii="Verdana" w:eastAsia="Calibri" w:hAnsi="Verdana" w:cs="Arial"/>
          <w:bCs/>
          <w:i/>
          <w:iCs/>
        </w:rPr>
        <w:t>Dicha actividad se realizará a través de uno o más establecimientos de comercio</w:t>
      </w:r>
      <w:r w:rsidRPr="00960F72">
        <w:rPr>
          <w:rFonts w:ascii="Verdana" w:eastAsia="Calibri" w:hAnsi="Verdana" w:cs="Arial"/>
          <w:bCs/>
        </w:rPr>
        <w:t xml:space="preserve">” </w:t>
      </w:r>
      <w:r w:rsidRPr="00960F72">
        <w:rPr>
          <w:rFonts w:ascii="Verdana" w:hAnsi="Verdana" w:cs="Arial"/>
          <w:lang w:eastAsia="es-CO"/>
        </w:rPr>
        <w:t>(Énfasis fuera de texto)</w:t>
      </w:r>
      <w:r w:rsidRPr="00960F72">
        <w:rPr>
          <w:rFonts w:ascii="Verdana" w:eastAsia="Calibri" w:hAnsi="Verdana" w:cs="Arial"/>
          <w:bCs/>
        </w:rPr>
        <w:t xml:space="preserve">. </w:t>
      </w:r>
    </w:p>
    <w:p w14:paraId="652CDF72" w14:textId="77777777" w:rsidR="005D446A" w:rsidRPr="00960F72" w:rsidRDefault="005D446A" w:rsidP="005D446A">
      <w:pPr>
        <w:spacing w:after="120" w:line="276" w:lineRule="auto"/>
        <w:ind w:firstLine="708"/>
        <w:jc w:val="both"/>
        <w:rPr>
          <w:rFonts w:ascii="Verdana" w:eastAsia="Calibri" w:hAnsi="Verdana" w:cs="Arial"/>
          <w:bCs/>
        </w:rPr>
      </w:pPr>
      <w:r w:rsidRPr="00960F72">
        <w:rPr>
          <w:rFonts w:ascii="Verdana" w:hAnsi="Verdana" w:cs="Arial"/>
        </w:rPr>
        <w:t>El establecimiento de comercio</w:t>
      </w:r>
      <w:r w:rsidRPr="00960F72">
        <w:rPr>
          <w:rStyle w:val="Refdenotaalpie"/>
          <w:rFonts w:ascii="Verdana" w:hAnsi="Verdana" w:cs="Arial"/>
        </w:rPr>
        <w:footnoteReference w:id="15"/>
      </w:r>
      <w:r w:rsidRPr="00960F72">
        <w:rPr>
          <w:rFonts w:ascii="Verdana" w:hAnsi="Verdana" w:cs="Arial"/>
        </w:rPr>
        <w:t xml:space="preserve"> es el instrumento del que se vale el empresario para cumplir los fines de su empresa y por medio del cual se realiza la actividad organizada. La doctrina lo define como el conjunto de bienes materiales e inmateriales organizados para una finalidad económica en el que la organización adquiere un significado fundamental como factor aglutinante de los elementos que integran la hacienda, teniendo en cuenta la función económica a la que están destinados todos: la producción o distribución de bienes y servicios en el mercado</w:t>
      </w:r>
      <w:r w:rsidRPr="00960F72">
        <w:rPr>
          <w:rFonts w:ascii="Verdana" w:eastAsia="Calibri" w:hAnsi="Verdana" w:cs="Arial"/>
          <w:bCs/>
          <w:vertAlign w:val="superscript"/>
        </w:rPr>
        <w:footnoteReference w:id="16"/>
      </w:r>
      <w:r w:rsidRPr="00960F72">
        <w:rPr>
          <w:rFonts w:ascii="Verdana" w:eastAsia="Calibri" w:hAnsi="Verdana" w:cs="Arial"/>
          <w:bCs/>
        </w:rPr>
        <w:t xml:space="preserve">. </w:t>
      </w:r>
    </w:p>
    <w:p w14:paraId="0584FEC5" w14:textId="77777777" w:rsidR="005D446A" w:rsidRPr="00960F72" w:rsidRDefault="005D446A" w:rsidP="005D446A">
      <w:pPr>
        <w:spacing w:after="120" w:line="276" w:lineRule="auto"/>
        <w:ind w:firstLine="708"/>
        <w:jc w:val="both"/>
        <w:rPr>
          <w:rFonts w:ascii="Verdana" w:hAnsi="Verdana" w:cs="Arial"/>
        </w:rPr>
      </w:pPr>
      <w:r w:rsidRPr="00960F72">
        <w:rPr>
          <w:rFonts w:ascii="Verdana" w:eastAsia="Calibri" w:hAnsi="Verdana" w:cs="Arial"/>
          <w:bCs/>
        </w:rPr>
        <w:t>Así las cosas, es posible señalar que los establecimientos de comercio son un conjunto de bienes tendientes a cumplir con los fines de la empresa. Si bien la titularidad de estos radica en las personas naturales o jurídicas, ellos no están ligados con la capacidad jurídica de estas para contraer obligaciones</w:t>
      </w:r>
      <w:r w:rsidRPr="00960F72">
        <w:rPr>
          <w:rFonts w:ascii="Verdana" w:eastAsia="Times New Roman" w:hAnsi="Verdana" w:cs="Arial"/>
          <w:lang w:eastAsia="es-ES_tradnl"/>
        </w:rPr>
        <w:t>.</w:t>
      </w:r>
      <w:r w:rsidRPr="00960F72">
        <w:rPr>
          <w:rFonts w:ascii="Verdana" w:hAnsi="Verdana" w:cs="Arial"/>
        </w:rPr>
        <w:t xml:space="preserve"> De esta manera, se concluye que el establecimiento de comercio en el lugar donde se va a ejecutar el contrato no está relacionado con la capacidad jurídica del proponente, por lo que, en el marco de un proceso de selección adelantado bajo la modalidad de mínima cuantía podrá fijarse como condición técnica, más no como un equivalente a la capacidad jurídica.  </w:t>
      </w:r>
    </w:p>
    <w:p w14:paraId="5A2E83B0" w14:textId="77777777" w:rsidR="005D446A" w:rsidRPr="00960F72" w:rsidRDefault="005D446A" w:rsidP="005D446A">
      <w:pPr>
        <w:spacing w:after="120" w:line="276" w:lineRule="auto"/>
        <w:ind w:firstLine="708"/>
        <w:jc w:val="both"/>
        <w:rPr>
          <w:rFonts w:ascii="Verdana" w:eastAsia="Calibri" w:hAnsi="Verdana" w:cs="Arial"/>
          <w:lang w:eastAsia="es-ES_tradnl"/>
        </w:rPr>
      </w:pPr>
      <w:r w:rsidRPr="00960F72">
        <w:rPr>
          <w:rFonts w:ascii="Verdana" w:eastAsia="Calibri" w:hAnsi="Verdana" w:cs="Arial"/>
          <w:bCs/>
        </w:rPr>
        <w:t xml:space="preserve">Ahora bien, </w:t>
      </w:r>
      <w:r w:rsidRPr="00960F72">
        <w:rPr>
          <w:rFonts w:ascii="Verdana" w:eastAsia="Times New Roman" w:hAnsi="Verdana" w:cs="Arial"/>
          <w:color w:val="000000" w:themeColor="text1"/>
          <w:lang w:eastAsia="es-ES"/>
        </w:rPr>
        <w:t xml:space="preserve">en su calidad de comerciantes, los proponentes deben estar inscritos en el Registro Único Empresarial y Social – en adelante RUES– administrado por las cámaras de comercio y la Entidad deberá verificar que </w:t>
      </w:r>
      <w:r w:rsidRPr="00960F72">
        <w:rPr>
          <w:rFonts w:ascii="Verdana" w:eastAsia="Calibri" w:hAnsi="Verdana" w:cs="Arial"/>
          <w:lang w:eastAsia="es-ES"/>
        </w:rPr>
        <w:t>las personas jurídicas tengan dentro de su objeto social actividades relacionadas con el objeto a contratar. En</w:t>
      </w:r>
      <w:r w:rsidRPr="00960F72">
        <w:rPr>
          <w:rFonts w:ascii="Verdana" w:eastAsia="Calibri" w:hAnsi="Verdana" w:cs="Arial"/>
          <w:lang w:eastAsia="es-ES_tradnl"/>
        </w:rPr>
        <w:t xml:space="preserve"> el </w:t>
      </w:r>
      <w:r w:rsidRPr="00960F72">
        <w:rPr>
          <w:rFonts w:ascii="Verdana" w:eastAsia="Times New Roman" w:hAnsi="Verdana" w:cs="Arial"/>
          <w:color w:val="000000" w:themeColor="text1"/>
          <w:lang w:eastAsia="es-ES_tradnl"/>
        </w:rPr>
        <w:t xml:space="preserve">RUES se encuentra el listado de las actividades </w:t>
      </w:r>
      <w:r w:rsidRPr="00960F72">
        <w:rPr>
          <w:rFonts w:ascii="Verdana" w:eastAsia="Times New Roman" w:hAnsi="Verdana" w:cs="Arial"/>
          <w:color w:val="000000" w:themeColor="text1"/>
          <w:lang w:eastAsia="es-ES_tradnl"/>
        </w:rPr>
        <w:lastRenderedPageBreak/>
        <w:t xml:space="preserve">económicas que conforman por la empresa, según los códigos de la Clasificación Industrial Internacional Uniforme –CIIU–, en virtud de lo dispuesto en el artículo 11 de la Ley 590 de 2000 y el artículo 166 del Decreto Ley 019 de 2012. </w:t>
      </w:r>
    </w:p>
    <w:p w14:paraId="457ED2A6" w14:textId="77777777" w:rsidR="005D446A" w:rsidRPr="00960F72" w:rsidRDefault="005D446A" w:rsidP="005D446A">
      <w:pPr>
        <w:pBdr>
          <w:top w:val="nil"/>
          <w:left w:val="nil"/>
          <w:bottom w:val="nil"/>
          <w:right w:val="nil"/>
          <w:between w:val="nil"/>
        </w:pBdr>
        <w:spacing w:after="0" w:line="276" w:lineRule="auto"/>
        <w:ind w:firstLine="708"/>
        <w:jc w:val="both"/>
        <w:rPr>
          <w:rFonts w:ascii="Verdana" w:eastAsia="Calibri" w:hAnsi="Verdana" w:cs="Arial"/>
          <w:color w:val="000000" w:themeColor="text1"/>
        </w:rPr>
      </w:pPr>
      <w:r w:rsidRPr="00960F72">
        <w:rPr>
          <w:rFonts w:ascii="Verdana" w:eastAsia="Calibri" w:hAnsi="Verdana" w:cs="Arial"/>
          <w:color w:val="000000" w:themeColor="text1"/>
        </w:rPr>
        <w:t xml:space="preserve">Sin embargo, ninguna de las normas citadas en este acápite condiciona la capacidad de las </w:t>
      </w:r>
      <w:r w:rsidRPr="00960F72">
        <w:rPr>
          <w:rFonts w:ascii="Verdana" w:eastAsia="Calibri" w:hAnsi="Verdana" w:cs="Arial"/>
          <w:i/>
          <w:iCs/>
          <w:color w:val="000000" w:themeColor="text1"/>
        </w:rPr>
        <w:t>personas jurídicas</w:t>
      </w:r>
      <w:r w:rsidRPr="00960F72">
        <w:rPr>
          <w:rFonts w:ascii="Verdana" w:eastAsia="Calibri" w:hAnsi="Verdana" w:cs="Arial"/>
          <w:color w:val="000000" w:themeColor="text1"/>
        </w:rPr>
        <w:t xml:space="preserve"> a los códigos mencionados. La </w:t>
      </w:r>
      <w:r w:rsidRPr="00960F72">
        <w:rPr>
          <w:rFonts w:ascii="Verdana" w:eastAsia="Times New Roman" w:hAnsi="Verdana" w:cs="Arial"/>
          <w:color w:val="000000" w:themeColor="text1"/>
          <w:lang w:eastAsia="es-ES_tradnl"/>
        </w:rPr>
        <w:t>CIIU</w:t>
      </w:r>
      <w:r w:rsidRPr="00960F72">
        <w:rPr>
          <w:rFonts w:ascii="Verdana" w:eastAsia="Calibri" w:hAnsi="Verdana" w:cs="Arial"/>
          <w:color w:val="000000" w:themeColor="text1"/>
        </w:rPr>
        <w:t xml:space="preserve"> corresponde a un sistema estandarizado desarrollado por las Naciones Unidas para clasificar las actividades económicas en distintos sectores. Como explica el DANE, su objetivo es facilitar la recopilación, análisis y comparación de datos estadísticos a nivel nacional e internacional:</w:t>
      </w:r>
    </w:p>
    <w:p w14:paraId="2D6410BC" w14:textId="77777777" w:rsidR="005D446A" w:rsidRPr="00960F72" w:rsidRDefault="005D446A" w:rsidP="005D446A">
      <w:pPr>
        <w:pBdr>
          <w:top w:val="nil"/>
          <w:left w:val="nil"/>
          <w:bottom w:val="nil"/>
          <w:right w:val="nil"/>
          <w:between w:val="nil"/>
        </w:pBdr>
        <w:spacing w:after="0" w:line="276" w:lineRule="auto"/>
        <w:ind w:firstLine="708"/>
        <w:jc w:val="both"/>
        <w:rPr>
          <w:rFonts w:ascii="Verdana" w:eastAsia="Calibri" w:hAnsi="Verdana" w:cs="Arial"/>
          <w:color w:val="000000" w:themeColor="text1"/>
        </w:rPr>
      </w:pPr>
    </w:p>
    <w:p w14:paraId="72E2BB62" w14:textId="77777777" w:rsidR="005D446A" w:rsidRPr="00575DBD" w:rsidRDefault="005D446A" w:rsidP="005D446A">
      <w:pPr>
        <w:pBdr>
          <w:top w:val="nil"/>
          <w:left w:val="nil"/>
          <w:bottom w:val="nil"/>
          <w:right w:val="nil"/>
          <w:between w:val="nil"/>
        </w:pBdr>
        <w:spacing w:after="0" w:line="240" w:lineRule="auto"/>
        <w:ind w:left="709" w:right="709"/>
        <w:jc w:val="both"/>
        <w:rPr>
          <w:rFonts w:ascii="Verdana" w:eastAsia="Calibri" w:hAnsi="Verdana" w:cs="Arial"/>
          <w:color w:val="000000" w:themeColor="text1"/>
          <w:sz w:val="20"/>
          <w:szCs w:val="20"/>
        </w:rPr>
      </w:pPr>
      <w:r w:rsidRPr="00575DBD">
        <w:rPr>
          <w:rFonts w:ascii="Verdana" w:eastAsia="Calibri" w:hAnsi="Verdana" w:cs="Arial"/>
          <w:color w:val="000000" w:themeColor="text1"/>
          <w:sz w:val="20"/>
          <w:szCs w:val="20"/>
        </w:rPr>
        <w:t>“La CIIU tiene por finalidad establecer una clasificación uniforme de las actividades económicas productivas. Su propósito principal es ofrecer un conjunto de categorías de actividades económicas que se pueda utilizar para la reunión y presentación de estadísticas de acuerdo con esas actividades. Por consiguiente, la CIIU se propone presentar ese conjunto de categorías de actividades de tal modo que las entidades puedan clasificarse según la actividad económica que realizan. Las categorías de la CIIU se han definido vinculándolas, en la medida de lo posible, con la forma en que el proceso económico está estructurado en diferentes tipos de unidades estadísticas y la manera como se describe ese proceso en las estadísticas económicas”</w:t>
      </w:r>
      <w:r w:rsidRPr="00575DBD">
        <w:rPr>
          <w:rStyle w:val="Refdenotaalpie"/>
          <w:rFonts w:ascii="Verdana" w:eastAsia="Calibri" w:hAnsi="Verdana" w:cs="Arial"/>
          <w:color w:val="000000" w:themeColor="text1"/>
          <w:sz w:val="20"/>
          <w:szCs w:val="20"/>
        </w:rPr>
        <w:footnoteReference w:id="17"/>
      </w:r>
      <w:r w:rsidRPr="00575DBD">
        <w:rPr>
          <w:rFonts w:ascii="Verdana" w:eastAsia="Calibri" w:hAnsi="Verdana" w:cs="Arial"/>
          <w:color w:val="000000" w:themeColor="text1"/>
          <w:sz w:val="20"/>
          <w:szCs w:val="20"/>
        </w:rPr>
        <w:t xml:space="preserve">. </w:t>
      </w:r>
    </w:p>
    <w:p w14:paraId="7F3B9C8D" w14:textId="77777777" w:rsidR="005D446A" w:rsidRPr="00960F72" w:rsidRDefault="005D446A" w:rsidP="005D446A">
      <w:pPr>
        <w:pBdr>
          <w:top w:val="nil"/>
          <w:left w:val="nil"/>
          <w:bottom w:val="nil"/>
          <w:right w:val="nil"/>
          <w:between w:val="nil"/>
        </w:pBdr>
        <w:spacing w:after="0" w:line="276" w:lineRule="auto"/>
        <w:jc w:val="both"/>
        <w:rPr>
          <w:rFonts w:ascii="Verdana" w:eastAsia="Calibri" w:hAnsi="Verdana" w:cs="Arial"/>
          <w:color w:val="000000" w:themeColor="text1"/>
        </w:rPr>
      </w:pPr>
    </w:p>
    <w:p w14:paraId="2CF1DA77" w14:textId="77777777" w:rsidR="005D446A" w:rsidRPr="00960F72" w:rsidRDefault="005D446A" w:rsidP="005D446A">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60F72">
        <w:rPr>
          <w:rFonts w:ascii="Verdana" w:eastAsia="Calibri" w:hAnsi="Verdana" w:cs="Arial"/>
          <w:color w:val="000000" w:themeColor="text1"/>
        </w:rPr>
        <w:t xml:space="preserve">De esta manera, los códigos del </w:t>
      </w:r>
      <w:r w:rsidRPr="00960F72">
        <w:rPr>
          <w:rFonts w:ascii="Verdana" w:eastAsia="Times New Roman" w:hAnsi="Verdana" w:cs="Arial"/>
          <w:color w:val="000000" w:themeColor="text1"/>
          <w:lang w:eastAsia="es-ES_tradnl"/>
        </w:rPr>
        <w:t>CIIU</w:t>
      </w:r>
      <w:r w:rsidRPr="00960F72">
        <w:rPr>
          <w:rFonts w:ascii="Verdana" w:eastAsia="Calibri" w:hAnsi="Verdana" w:cs="Arial"/>
          <w:color w:val="000000" w:themeColor="text1"/>
        </w:rPr>
        <w:t xml:space="preserve"> tienen efectos declarativos, no constitutivos. Por ello, existe capacidad si el objeto del contrato está relacionado con el objeto social de la </w:t>
      </w:r>
      <w:r w:rsidRPr="00960F72">
        <w:rPr>
          <w:rFonts w:ascii="Verdana" w:eastAsia="Calibri" w:hAnsi="Verdana" w:cs="Arial"/>
          <w:i/>
          <w:iCs/>
          <w:color w:val="000000" w:themeColor="text1"/>
        </w:rPr>
        <w:t>persona jurídica</w:t>
      </w:r>
      <w:r w:rsidRPr="00960F72">
        <w:rPr>
          <w:rFonts w:ascii="Verdana" w:eastAsia="Calibri" w:hAnsi="Verdana" w:cs="Arial"/>
          <w:color w:val="000000" w:themeColor="text1"/>
        </w:rPr>
        <w:t xml:space="preserve">, y aquella se mantiene, aunque la actividad económica no se haya recogido en la clasificación. De la misma forma, si el código registrado es ajeno al objeto social, dicha situación no hace que la empresa adquiera la capacidad para ejecutar esa actividad en particular. Además, en sociedades con objeto indeterminado –como las sociedades por acciones simplificadas– los códigos del </w:t>
      </w:r>
      <w:r w:rsidRPr="00960F72">
        <w:rPr>
          <w:rFonts w:ascii="Verdana" w:eastAsia="Times New Roman" w:hAnsi="Verdana" w:cs="Arial"/>
          <w:color w:val="000000" w:themeColor="text1"/>
          <w:lang w:eastAsia="es-ES_tradnl"/>
        </w:rPr>
        <w:t xml:space="preserve">CIIU no restringen la capacidad de la </w:t>
      </w:r>
      <w:r w:rsidRPr="00960F72">
        <w:rPr>
          <w:rFonts w:ascii="Verdana" w:eastAsia="Times New Roman" w:hAnsi="Verdana" w:cs="Arial"/>
          <w:i/>
          <w:iCs/>
          <w:color w:val="000000" w:themeColor="text1"/>
          <w:lang w:eastAsia="es-ES_tradnl"/>
        </w:rPr>
        <w:t>persona jurídica</w:t>
      </w:r>
      <w:r w:rsidRPr="00960F72">
        <w:rPr>
          <w:rFonts w:ascii="Verdana" w:eastAsia="Times New Roman" w:hAnsi="Verdana" w:cs="Arial"/>
          <w:color w:val="000000" w:themeColor="text1"/>
          <w:lang w:eastAsia="es-ES_tradnl"/>
        </w:rPr>
        <w:t>, ya que –en las condiciones del</w:t>
      </w:r>
      <w:r w:rsidRPr="00960F72">
        <w:rPr>
          <w:rFonts w:ascii="Verdana" w:eastAsia="Calibri" w:hAnsi="Verdana" w:cs="Arial"/>
          <w:color w:val="000000" w:themeColor="text1"/>
        </w:rPr>
        <w:t xml:space="preserve"> artículo 5.4 de la Ley 1258 de 2008– </w:t>
      </w:r>
      <w:r w:rsidRPr="00960F72">
        <w:rPr>
          <w:rFonts w:ascii="Verdana" w:eastAsia="Times New Roman" w:hAnsi="Verdana" w:cs="Arial"/>
          <w:color w:val="000000" w:themeColor="text1"/>
          <w:lang w:eastAsia="es-ES_tradnl"/>
        </w:rPr>
        <w:t>pueden ejecutar cualquier actividad lícita.</w:t>
      </w:r>
      <w:r w:rsidRPr="00960F72">
        <w:rPr>
          <w:rFonts w:ascii="Verdana" w:eastAsia="Calibri" w:hAnsi="Verdana" w:cs="Arial"/>
          <w:color w:val="000000" w:themeColor="text1"/>
        </w:rPr>
        <w:t xml:space="preserve"> </w:t>
      </w:r>
    </w:p>
    <w:p w14:paraId="5556C9D7" w14:textId="77777777" w:rsidR="005D446A" w:rsidRPr="00960F72" w:rsidRDefault="005D446A" w:rsidP="005D446A">
      <w:pPr>
        <w:pBdr>
          <w:top w:val="nil"/>
          <w:left w:val="nil"/>
          <w:bottom w:val="nil"/>
          <w:right w:val="nil"/>
          <w:between w:val="nil"/>
        </w:pBdr>
        <w:spacing w:after="0" w:line="276" w:lineRule="auto"/>
        <w:ind w:firstLine="708"/>
        <w:jc w:val="both"/>
        <w:rPr>
          <w:rFonts w:ascii="Verdana" w:eastAsia="Times New Roman" w:hAnsi="Verdana" w:cs="Arial"/>
          <w:color w:val="000000" w:themeColor="text1"/>
          <w:lang w:eastAsia="es-ES_tradnl"/>
        </w:rPr>
      </w:pPr>
      <w:r w:rsidRPr="00960F72">
        <w:rPr>
          <w:rFonts w:ascii="Verdana" w:eastAsia="Calibri" w:hAnsi="Verdana" w:cs="Arial"/>
          <w:color w:val="000000" w:themeColor="text1"/>
        </w:rPr>
        <w:t xml:space="preserve">Sin perjuicio de lo anterior, sumado a las implicaciones estadísticas de la </w:t>
      </w:r>
      <w:r w:rsidRPr="00960F72">
        <w:rPr>
          <w:rFonts w:ascii="Verdana" w:eastAsia="Times New Roman" w:hAnsi="Verdana" w:cs="Arial"/>
          <w:color w:val="000000" w:themeColor="text1"/>
          <w:lang w:eastAsia="es-ES_tradnl"/>
        </w:rPr>
        <w:t xml:space="preserve">CIIU, los interesados deben registrar adecuadamente los códigos de sus actividades económicas en el RUES. Lo anterior teniendo en cuenta que son un </w:t>
      </w:r>
      <w:r w:rsidRPr="00960F72">
        <w:rPr>
          <w:rFonts w:ascii="Verdana" w:eastAsia="Times New Roman" w:hAnsi="Verdana" w:cs="Arial"/>
          <w:color w:val="000000" w:themeColor="text1"/>
          <w:lang w:eastAsia="es-ES_tradnl"/>
        </w:rPr>
        <w:lastRenderedPageBreak/>
        <w:t>parámetro para la DIAN en lo relativo al control y determinación de los impuestos y demás obligaciones tributarias, aduaneras y cambiarias.</w:t>
      </w:r>
    </w:p>
    <w:p w14:paraId="385F53E7" w14:textId="387E07BC" w:rsidR="005D446A" w:rsidRPr="00960F72" w:rsidRDefault="005D446A" w:rsidP="005D446A">
      <w:pPr>
        <w:spacing w:after="120" w:line="276" w:lineRule="auto"/>
        <w:ind w:firstLine="708"/>
        <w:jc w:val="both"/>
        <w:rPr>
          <w:rFonts w:ascii="Verdana" w:hAnsi="Verdana" w:cs="Arial"/>
          <w:lang w:eastAsia="es-ES_tradnl"/>
        </w:rPr>
      </w:pPr>
      <w:r w:rsidRPr="00960F72">
        <w:rPr>
          <w:rFonts w:ascii="Verdana" w:hAnsi="Verdana" w:cs="Arial"/>
          <w:lang w:eastAsia="es-ES_tradnl"/>
        </w:rPr>
        <w:t xml:space="preserve">La Agencia en el concepto 42019120000001323, aclaró que las Entidades son autónomas en la </w:t>
      </w:r>
      <w:proofErr w:type="spellStart"/>
      <w:r w:rsidRPr="00960F72">
        <w:rPr>
          <w:rFonts w:ascii="Verdana" w:hAnsi="Verdana" w:cs="Arial"/>
          <w:lang w:eastAsia="es-ES_tradnl"/>
        </w:rPr>
        <w:t>elaboración</w:t>
      </w:r>
      <w:proofErr w:type="spellEnd"/>
      <w:r w:rsidRPr="00960F72">
        <w:rPr>
          <w:rFonts w:ascii="Verdana" w:hAnsi="Verdana" w:cs="Arial"/>
          <w:lang w:eastAsia="es-ES_tradnl"/>
        </w:rPr>
        <w:t xml:space="preserve"> y </w:t>
      </w:r>
      <w:proofErr w:type="spellStart"/>
      <w:r w:rsidRPr="00960F72">
        <w:rPr>
          <w:rFonts w:ascii="Verdana" w:hAnsi="Verdana" w:cs="Arial"/>
          <w:lang w:eastAsia="es-ES_tradnl"/>
        </w:rPr>
        <w:t>diseño</w:t>
      </w:r>
      <w:proofErr w:type="spellEnd"/>
      <w:r w:rsidRPr="00960F72">
        <w:rPr>
          <w:rFonts w:ascii="Verdana" w:hAnsi="Verdana" w:cs="Arial"/>
          <w:lang w:eastAsia="es-ES_tradnl"/>
        </w:rPr>
        <w:t xml:space="preserve"> de sus procesos de </w:t>
      </w:r>
      <w:proofErr w:type="spellStart"/>
      <w:r w:rsidRPr="00960F72">
        <w:rPr>
          <w:rFonts w:ascii="Verdana" w:hAnsi="Verdana" w:cs="Arial"/>
          <w:lang w:eastAsia="es-ES_tradnl"/>
        </w:rPr>
        <w:t>contratación</w:t>
      </w:r>
      <w:proofErr w:type="spellEnd"/>
      <w:r w:rsidRPr="00960F72">
        <w:rPr>
          <w:rFonts w:ascii="Verdana" w:hAnsi="Verdana" w:cs="Arial"/>
          <w:lang w:eastAsia="es-ES_tradnl"/>
        </w:rPr>
        <w:t xml:space="preserve"> y, por lo tanto, son responsables de determinar los requisitos que </w:t>
      </w:r>
      <w:proofErr w:type="spellStart"/>
      <w:r w:rsidRPr="00960F72">
        <w:rPr>
          <w:rFonts w:ascii="Verdana" w:hAnsi="Verdana" w:cs="Arial"/>
          <w:lang w:eastAsia="es-ES_tradnl"/>
        </w:rPr>
        <w:t>permitirán</w:t>
      </w:r>
      <w:proofErr w:type="spellEnd"/>
      <w:r w:rsidRPr="00960F72">
        <w:rPr>
          <w:rFonts w:ascii="Verdana" w:hAnsi="Verdana" w:cs="Arial"/>
          <w:lang w:eastAsia="es-ES_tradnl"/>
        </w:rPr>
        <w:t xml:space="preserve"> escoger la oferta </w:t>
      </w:r>
      <w:proofErr w:type="spellStart"/>
      <w:r w:rsidRPr="00960F72">
        <w:rPr>
          <w:rFonts w:ascii="Verdana" w:hAnsi="Verdana" w:cs="Arial"/>
          <w:lang w:eastAsia="es-ES_tradnl"/>
        </w:rPr>
        <w:t>más</w:t>
      </w:r>
      <w:proofErr w:type="spellEnd"/>
      <w:r w:rsidRPr="00960F72">
        <w:rPr>
          <w:rFonts w:ascii="Verdana" w:hAnsi="Verdana" w:cs="Arial"/>
          <w:lang w:eastAsia="es-ES_tradnl"/>
        </w:rPr>
        <w:t xml:space="preserve"> favorable, teniendo en cuenta las normas aplicables a cada modalidad de selección. </w:t>
      </w:r>
    </w:p>
    <w:p w14:paraId="3C22922B" w14:textId="77777777" w:rsidR="005D446A" w:rsidRPr="00960F72" w:rsidRDefault="005D446A" w:rsidP="005D446A">
      <w:pPr>
        <w:spacing w:before="120" w:after="120" w:line="276" w:lineRule="auto"/>
        <w:ind w:firstLine="709"/>
        <w:jc w:val="both"/>
        <w:rPr>
          <w:rFonts w:ascii="Verdana" w:hAnsi="Verdana" w:cs="Arial"/>
          <w:lang w:eastAsia="es-ES_tradnl"/>
        </w:rPr>
      </w:pPr>
      <w:r w:rsidRPr="00960F72">
        <w:rPr>
          <w:rFonts w:ascii="Verdana" w:hAnsi="Verdana" w:cs="Arial"/>
          <w:lang w:eastAsia="es-ES_tradnl"/>
        </w:rPr>
        <w:t xml:space="preserve">En todo caso, es importante tener en cuenta que el factor de selección del proponente en los procesos de contratación adelantados por la modalidad de mínima cuantía – modalidad a la cual se refiere en su consulta – es el precio. Así, la Entidad Estatal debe primeramente revisar las ofertas </w:t>
      </w:r>
      <w:proofErr w:type="spellStart"/>
      <w:r w:rsidRPr="00960F72">
        <w:rPr>
          <w:rFonts w:ascii="Verdana" w:hAnsi="Verdana" w:cs="Arial"/>
          <w:lang w:eastAsia="es-ES_tradnl"/>
        </w:rPr>
        <w:t>económicas</w:t>
      </w:r>
      <w:proofErr w:type="spellEnd"/>
      <w:r w:rsidRPr="00960F72">
        <w:rPr>
          <w:rFonts w:ascii="Verdana" w:hAnsi="Verdana" w:cs="Arial"/>
          <w:lang w:eastAsia="es-ES_tradnl"/>
        </w:rPr>
        <w:t xml:space="preserve"> y verificar que la de menor precio cumple con las condiciones de la </w:t>
      </w:r>
      <w:proofErr w:type="spellStart"/>
      <w:r w:rsidRPr="00960F72">
        <w:rPr>
          <w:rFonts w:ascii="Verdana" w:hAnsi="Verdana" w:cs="Arial"/>
          <w:lang w:eastAsia="es-ES_tradnl"/>
        </w:rPr>
        <w:t>invitación</w:t>
      </w:r>
      <w:proofErr w:type="spellEnd"/>
      <w:r w:rsidRPr="00960F72">
        <w:rPr>
          <w:rFonts w:ascii="Verdana" w:hAnsi="Verdana" w:cs="Arial"/>
          <w:lang w:eastAsia="es-ES_tradnl"/>
        </w:rPr>
        <w:t xml:space="preserve">. Si esta no cumple con las condiciones de la </w:t>
      </w:r>
      <w:proofErr w:type="spellStart"/>
      <w:r w:rsidRPr="00960F72">
        <w:rPr>
          <w:rFonts w:ascii="Verdana" w:hAnsi="Verdana" w:cs="Arial"/>
          <w:lang w:eastAsia="es-ES_tradnl"/>
        </w:rPr>
        <w:t>invitación</w:t>
      </w:r>
      <w:proofErr w:type="spellEnd"/>
      <w:r w:rsidRPr="00960F72">
        <w:rPr>
          <w:rFonts w:ascii="Verdana" w:hAnsi="Verdana" w:cs="Arial"/>
          <w:lang w:eastAsia="es-ES_tradnl"/>
        </w:rPr>
        <w:t xml:space="preserve">, la Entidad Estatal debe verificar el cumplimento de los requisitos de la </w:t>
      </w:r>
      <w:proofErr w:type="spellStart"/>
      <w:r w:rsidRPr="00960F72">
        <w:rPr>
          <w:rFonts w:ascii="Verdana" w:hAnsi="Verdana" w:cs="Arial"/>
          <w:lang w:eastAsia="es-ES_tradnl"/>
        </w:rPr>
        <w:t>invitación</w:t>
      </w:r>
      <w:proofErr w:type="spellEnd"/>
      <w:r w:rsidRPr="00960F72">
        <w:rPr>
          <w:rFonts w:ascii="Verdana" w:hAnsi="Verdana" w:cs="Arial"/>
          <w:lang w:eastAsia="es-ES_tradnl"/>
        </w:rPr>
        <w:t xml:space="preserve"> de la oferta con el segundo mejor precio, y </w:t>
      </w:r>
      <w:proofErr w:type="spellStart"/>
      <w:r w:rsidRPr="00960F72">
        <w:rPr>
          <w:rFonts w:ascii="Verdana" w:hAnsi="Verdana" w:cs="Arial"/>
          <w:lang w:eastAsia="es-ES_tradnl"/>
        </w:rPr>
        <w:t>asi</w:t>
      </w:r>
      <w:proofErr w:type="spellEnd"/>
      <w:r w:rsidRPr="00960F72">
        <w:rPr>
          <w:rFonts w:ascii="Verdana" w:hAnsi="Verdana" w:cs="Arial"/>
          <w:lang w:eastAsia="es-ES_tradnl"/>
        </w:rPr>
        <w:t>́ sucesivamente.</w:t>
      </w:r>
    </w:p>
    <w:p w14:paraId="154E5FE1" w14:textId="77777777" w:rsidR="005D446A" w:rsidRPr="00960F72" w:rsidRDefault="005D446A" w:rsidP="005D446A">
      <w:pPr>
        <w:tabs>
          <w:tab w:val="left" w:pos="426"/>
        </w:tabs>
        <w:spacing w:before="120" w:after="120" w:line="276" w:lineRule="auto"/>
        <w:ind w:firstLine="709"/>
        <w:jc w:val="both"/>
        <w:rPr>
          <w:rFonts w:ascii="Verdana" w:hAnsi="Verdana" w:cs="Arial"/>
          <w:lang w:eastAsia="es-ES_tradnl"/>
        </w:rPr>
      </w:pPr>
      <w:r w:rsidRPr="00960F72">
        <w:rPr>
          <w:rFonts w:ascii="Verdana" w:hAnsi="Verdana" w:cs="Arial"/>
          <w:lang w:eastAsia="es-ES_tradnl"/>
        </w:rPr>
        <w:t xml:space="preserve">En conclusión, se reitera lo expuesto en este concepto, en el sentido que, las Entidades Estatales son autónomas para definir los requisitos habilitantes, pero tal facultad debe ser ejercida diseñando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se fijen de manera adecuada y proporcional a las características del objeto a contratar, procurando además ceñirse a la normativa que resulte aplicable. </w:t>
      </w:r>
    </w:p>
    <w:p w14:paraId="7AC0EF8F" w14:textId="77777777" w:rsidR="005D446A" w:rsidRPr="00960F72" w:rsidRDefault="005D446A" w:rsidP="005D446A">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60F72">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6B34353" w14:textId="77777777" w:rsidR="005D446A" w:rsidRPr="00960F72" w:rsidRDefault="005D446A" w:rsidP="005D446A">
      <w:pPr>
        <w:spacing w:before="120" w:after="0" w:line="276" w:lineRule="auto"/>
        <w:ind w:firstLine="709"/>
        <w:jc w:val="both"/>
        <w:rPr>
          <w:rFonts w:ascii="Verdana" w:hAnsi="Verdana" w:cs="Arial"/>
          <w:lang w:eastAsia="es-ES"/>
        </w:rPr>
      </w:pPr>
      <w:r w:rsidRPr="00960F72">
        <w:rPr>
          <w:rFonts w:ascii="Verdana" w:hAnsi="Verdana" w:cs="Arial"/>
          <w:lang w:eastAsia="es-ES"/>
        </w:rPr>
        <w:t xml:space="preserve">Dentro de este marco, la Entidad contratante definirá en cada caso concreto lo relacionado con el tema objeto de consulta. Al tratarse de un análisis </w:t>
      </w:r>
      <w:r w:rsidRPr="00960F72">
        <w:rPr>
          <w:rFonts w:ascii="Verdana" w:hAnsi="Verdana" w:cs="Arial"/>
          <w:lang w:eastAsia="es-ES"/>
        </w:rPr>
        <w:lastRenderedPageBreak/>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62AA317" w14:textId="77777777" w:rsidR="005D446A" w:rsidRPr="00960F72" w:rsidRDefault="005D446A" w:rsidP="005D446A">
      <w:pPr>
        <w:widowControl w:val="0"/>
        <w:autoSpaceDE w:val="0"/>
        <w:autoSpaceDN w:val="0"/>
        <w:spacing w:after="0" w:line="276" w:lineRule="auto"/>
        <w:jc w:val="both"/>
        <w:rPr>
          <w:rFonts w:ascii="Verdana" w:eastAsia="Calibri" w:hAnsi="Verdana" w:cs="Arial"/>
          <w:color w:val="000000" w:themeColor="text1"/>
        </w:rPr>
      </w:pPr>
    </w:p>
    <w:p w14:paraId="1CBF7E54" w14:textId="77777777" w:rsidR="005D446A" w:rsidRPr="00960F72" w:rsidRDefault="005D446A" w:rsidP="005D446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CO"/>
        </w:rPr>
      </w:pPr>
      <w:r w:rsidRPr="00960F72">
        <w:rPr>
          <w:rFonts w:ascii="Verdana" w:eastAsia="Century Gothic" w:hAnsi="Verdana" w:cs="Century Gothic"/>
          <w:b/>
          <w:bCs/>
          <w:color w:val="000000" w:themeColor="text1"/>
          <w:lang w:val="es-CO"/>
        </w:rPr>
        <w:t>Referencias normativas, jurisprudenciales y otras fuentes:</w:t>
      </w:r>
    </w:p>
    <w:p w14:paraId="795E0F3D" w14:textId="77777777" w:rsidR="005D446A" w:rsidRPr="00960F72" w:rsidRDefault="005D446A" w:rsidP="005D446A">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446A" w:rsidRPr="00960F72" w14:paraId="763479F4" w14:textId="77777777" w:rsidTr="008167F1">
        <w:trPr>
          <w:trHeight w:val="870"/>
        </w:trPr>
        <w:tc>
          <w:tcPr>
            <w:tcW w:w="8647" w:type="dxa"/>
          </w:tcPr>
          <w:p w14:paraId="4480601F" w14:textId="77777777" w:rsidR="00AC3720" w:rsidRDefault="00AC3720" w:rsidP="005D446A">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Código de Comercio: Artículo 515.</w:t>
            </w:r>
          </w:p>
          <w:p w14:paraId="287B963E" w14:textId="2A456D57" w:rsidR="005D446A" w:rsidRPr="00960F72" w:rsidRDefault="005D446A" w:rsidP="005D446A">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Ley 1150 de 2007: Artículo 5 y artículo 6. </w:t>
            </w:r>
          </w:p>
          <w:p w14:paraId="283F7E66" w14:textId="77777777" w:rsidR="005D446A" w:rsidRPr="00960F72" w:rsidRDefault="005D446A" w:rsidP="005D446A">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Ley 1437 de 2011: Artículo 44. </w:t>
            </w:r>
          </w:p>
          <w:p w14:paraId="26E0D989" w14:textId="55FB8838" w:rsidR="005D446A" w:rsidRPr="00960F72" w:rsidRDefault="005D446A" w:rsidP="005D446A">
            <w:pPr>
              <w:pStyle w:val="Prrafodelista"/>
              <w:numPr>
                <w:ilvl w:val="0"/>
                <w:numId w:val="17"/>
              </w:numPr>
              <w:spacing w:line="276" w:lineRule="auto"/>
              <w:ind w:left="357" w:hanging="357"/>
              <w:contextualSpacing w:val="0"/>
              <w:jc w:val="both"/>
              <w:rPr>
                <w:rFonts w:ascii="Verdana" w:eastAsia="Calibri" w:hAnsi="Verdana" w:cs="Arial"/>
                <w:lang w:val="es-CO" w:eastAsia="es-MX"/>
              </w:rPr>
            </w:pPr>
          </w:p>
          <w:p w14:paraId="1B062561" w14:textId="77777777" w:rsidR="005D446A" w:rsidRPr="00960F72" w:rsidRDefault="005D446A" w:rsidP="005D446A">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Decreto 1082 de 2015: Numeral 5 del artículo 2.2.1.1.2.1.3 y artículo 2.2.1.1.1.6.2. </w:t>
            </w:r>
          </w:p>
          <w:p w14:paraId="55D4AE16" w14:textId="77777777" w:rsidR="005D446A" w:rsidRPr="00960F72" w:rsidRDefault="005D446A" w:rsidP="005D446A">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Corte Constitucional. Sala Plena. Sentencia C 178 de 29 de abril de 1996. Magistrado Ponente: Antonio Barrera Carbonell. Expediente No. D-974.</w:t>
            </w:r>
          </w:p>
          <w:p w14:paraId="5B277681" w14:textId="77777777" w:rsidR="005D446A" w:rsidRPr="00960F72" w:rsidRDefault="005D446A" w:rsidP="005D446A">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Consejo de Estado. Sección Tercera. Subsección A. Sentencia del 12 de febrero de 2014. </w:t>
            </w:r>
            <w:proofErr w:type="spellStart"/>
            <w:r w:rsidRPr="00960F72">
              <w:rPr>
                <w:rFonts w:ascii="Verdana" w:eastAsia="Calibri" w:hAnsi="Verdana" w:cs="Arial"/>
                <w:lang w:val="es-CO" w:eastAsia="es-MX"/>
              </w:rPr>
              <w:t>Exp</w:t>
            </w:r>
            <w:proofErr w:type="spellEnd"/>
            <w:r w:rsidRPr="00960F72">
              <w:rPr>
                <w:rFonts w:ascii="Verdana" w:eastAsia="Calibri" w:hAnsi="Verdana" w:cs="Arial"/>
                <w:lang w:val="es-CO" w:eastAsia="es-MX"/>
              </w:rPr>
              <w:t xml:space="preserve">. 31.753. C.P. Mauricio Fajardo Gómez. </w:t>
            </w:r>
          </w:p>
          <w:p w14:paraId="13FA1E04" w14:textId="77777777" w:rsidR="005D446A" w:rsidRPr="00960F72" w:rsidRDefault="005D446A" w:rsidP="005D446A">
            <w:pPr>
              <w:pStyle w:val="Prrafodelista"/>
              <w:numPr>
                <w:ilvl w:val="0"/>
                <w:numId w:val="17"/>
              </w:numPr>
              <w:spacing w:line="276" w:lineRule="auto"/>
              <w:ind w:left="357" w:hanging="357"/>
              <w:contextualSpacing w:val="0"/>
              <w:jc w:val="both"/>
              <w:rPr>
                <w:rFonts w:ascii="Verdana" w:eastAsia="Calibri" w:hAnsi="Verdana" w:cs="Arial"/>
                <w:lang w:val="es-CO" w:eastAsia="es-MX"/>
              </w:rPr>
            </w:pPr>
            <w:r w:rsidRPr="00960F72">
              <w:rPr>
                <w:rFonts w:ascii="Verdana" w:eastAsia="Calibri" w:hAnsi="Verdana" w:cs="Arial"/>
                <w:lang w:val="es-CO" w:eastAsia="es-MX"/>
              </w:rPr>
              <w:t xml:space="preserve">Consejo de Estado. Sala de Consulta y Servicio Civil. Consejero Ponente: Álvaro </w:t>
            </w:r>
            <w:proofErr w:type="spellStart"/>
            <w:r w:rsidRPr="00960F72">
              <w:rPr>
                <w:rFonts w:ascii="Verdana" w:eastAsia="Calibri" w:hAnsi="Verdana" w:cs="Arial"/>
                <w:lang w:val="es-CO" w:eastAsia="es-MX"/>
              </w:rPr>
              <w:t>Namén</w:t>
            </w:r>
            <w:proofErr w:type="spellEnd"/>
            <w:r w:rsidRPr="00960F72">
              <w:rPr>
                <w:rFonts w:ascii="Verdana" w:eastAsia="Calibri" w:hAnsi="Verdana" w:cs="Arial"/>
                <w:lang w:val="es-CO" w:eastAsia="es-MX"/>
              </w:rPr>
              <w:t xml:space="preserve"> Vargas. Bogotá, 10 de agosto de 2015. Radicación número: 11001-03-06-000-2015-00118-00(2.260).</w:t>
            </w:r>
          </w:p>
          <w:p w14:paraId="7D5E292F" w14:textId="77777777" w:rsidR="005D446A" w:rsidRPr="00960F72" w:rsidRDefault="005D446A" w:rsidP="005D446A">
            <w:pPr>
              <w:pStyle w:val="Prrafodelista"/>
              <w:numPr>
                <w:ilvl w:val="0"/>
                <w:numId w:val="17"/>
              </w:numPr>
              <w:spacing w:line="276" w:lineRule="auto"/>
              <w:ind w:left="357" w:hanging="357"/>
              <w:contextualSpacing w:val="0"/>
              <w:jc w:val="both"/>
              <w:rPr>
                <w:rFonts w:ascii="Verdana" w:hAnsi="Verdana" w:cs="Arial"/>
                <w:color w:val="000000" w:themeColor="text1"/>
                <w:lang w:val="es-CO"/>
              </w:rPr>
            </w:pPr>
            <w:r w:rsidRPr="00960F72">
              <w:rPr>
                <w:rFonts w:ascii="Verdana" w:eastAsia="Calibri" w:hAnsi="Verdana" w:cs="Arial"/>
                <w:lang w:val="es-CO" w:eastAsia="es-MX"/>
              </w:rPr>
              <w:t xml:space="preserve">Agencia Nacional de Contratación Pública – Colombia Compra Eficiente. Manual para determinar y verificar los requisitos habilitantes en los Procesos de Contratación. Disponible en: </w:t>
            </w:r>
            <w:hyperlink r:id="rId12" w:history="1">
              <w:r w:rsidRPr="00960F72">
                <w:rPr>
                  <w:rStyle w:val="Hipervnculo"/>
                  <w:rFonts w:ascii="Verdana" w:eastAsia="Calibri" w:hAnsi="Verdana" w:cs="Arial"/>
                  <w:lang w:val="es-CO" w:eastAsia="es-MX"/>
                </w:rPr>
                <w:t>https://colombiacompra.gov.co/manuales-guias-y-pliegos-tipo/manuales-y-guias</w:t>
              </w:r>
            </w:hyperlink>
            <w:r w:rsidRPr="00960F72">
              <w:rPr>
                <w:rFonts w:ascii="Verdana" w:eastAsia="Calibri" w:hAnsi="Verdana" w:cs="Arial"/>
                <w:lang w:val="es-CO" w:eastAsia="es-MX"/>
              </w:rPr>
              <w:t xml:space="preserve"> </w:t>
            </w:r>
          </w:p>
          <w:p w14:paraId="205EF6F3" w14:textId="77777777" w:rsidR="005D446A" w:rsidRPr="00960F72" w:rsidRDefault="005D446A" w:rsidP="005D446A">
            <w:pPr>
              <w:pStyle w:val="Prrafodelista"/>
              <w:numPr>
                <w:ilvl w:val="0"/>
                <w:numId w:val="17"/>
              </w:numPr>
              <w:spacing w:line="276" w:lineRule="auto"/>
              <w:ind w:left="357" w:hanging="357"/>
              <w:contextualSpacing w:val="0"/>
              <w:jc w:val="both"/>
              <w:rPr>
                <w:rFonts w:ascii="Verdana" w:hAnsi="Verdana" w:cs="Arial"/>
                <w:color w:val="000000" w:themeColor="text1"/>
                <w:lang w:val="es-CO"/>
              </w:rPr>
            </w:pPr>
            <w:r w:rsidRPr="00960F72">
              <w:rPr>
                <w:rFonts w:ascii="Verdana" w:hAnsi="Verdana"/>
                <w:lang w:val="es-CO"/>
              </w:rPr>
              <w:t xml:space="preserve">Departamento Administrativo Nacional de Estadística. Clasificación Industrial Internacional Uniforme de todas las actividades económicas. Revisión 4 Adaptada para Colombia. 2022. </w:t>
            </w:r>
            <w:r w:rsidRPr="00960F72">
              <w:rPr>
                <w:rFonts w:ascii="Verdana" w:eastAsia="Calibri" w:hAnsi="Verdana" w:cs="Arial"/>
                <w:lang w:val="es-CO" w:eastAsia="es-MX"/>
              </w:rPr>
              <w:t xml:space="preserve">Disponible en: </w:t>
            </w:r>
            <w:hyperlink r:id="rId13" w:history="1">
              <w:r w:rsidRPr="00960F72">
                <w:rPr>
                  <w:rStyle w:val="Hipervnculo"/>
                  <w:rFonts w:ascii="Verdana" w:hAnsi="Verdana"/>
                  <w:lang w:val="es-CO"/>
                </w:rPr>
                <w:t>https://www.dane.gov.co/files/sen/nomenclatura/ciiu/CIIU_Rev_4_AC2022.pdf</w:t>
              </w:r>
            </w:hyperlink>
            <w:r w:rsidRPr="00960F72">
              <w:rPr>
                <w:rFonts w:ascii="Verdana" w:hAnsi="Verdana"/>
                <w:lang w:val="es-CO"/>
              </w:rPr>
              <w:t>.</w:t>
            </w:r>
          </w:p>
        </w:tc>
      </w:tr>
    </w:tbl>
    <w:p w14:paraId="56376FE3" w14:textId="77777777" w:rsidR="005D446A" w:rsidRPr="00960F72" w:rsidRDefault="005D446A" w:rsidP="005D446A">
      <w:pPr>
        <w:widowControl w:val="0"/>
        <w:autoSpaceDE w:val="0"/>
        <w:autoSpaceDN w:val="0"/>
        <w:spacing w:after="0" w:line="276" w:lineRule="auto"/>
        <w:jc w:val="both"/>
        <w:rPr>
          <w:rFonts w:ascii="Verdana" w:hAnsi="Verdana" w:cs="Arial"/>
          <w:color w:val="000000" w:themeColor="text1"/>
        </w:rPr>
      </w:pPr>
    </w:p>
    <w:p w14:paraId="27CC472F" w14:textId="77777777" w:rsidR="005D446A" w:rsidRPr="00960F72" w:rsidRDefault="005D446A" w:rsidP="005D446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CO"/>
        </w:rPr>
      </w:pPr>
      <w:r w:rsidRPr="00960F72">
        <w:rPr>
          <w:rFonts w:ascii="Verdana" w:eastAsia="Century Gothic" w:hAnsi="Verdana" w:cs="Century Gothic"/>
          <w:b/>
          <w:bCs/>
          <w:color w:val="000000" w:themeColor="text1"/>
          <w:lang w:val="es-CO"/>
        </w:rPr>
        <w:t>Doctrina de la Agencia Nacional de Contratación Pública:</w:t>
      </w:r>
    </w:p>
    <w:p w14:paraId="62D3A93E" w14:textId="77777777" w:rsidR="005D446A" w:rsidRPr="00960F72" w:rsidRDefault="005D446A" w:rsidP="005D446A">
      <w:pPr>
        <w:widowControl w:val="0"/>
        <w:autoSpaceDE w:val="0"/>
        <w:autoSpaceDN w:val="0"/>
        <w:spacing w:after="0" w:line="276" w:lineRule="auto"/>
        <w:jc w:val="both"/>
        <w:rPr>
          <w:rFonts w:ascii="Verdana" w:hAnsi="Verdana" w:cs="Arial"/>
          <w:color w:val="000000" w:themeColor="text1"/>
        </w:rPr>
      </w:pPr>
    </w:p>
    <w:p w14:paraId="6D10A130" w14:textId="77777777" w:rsidR="005D446A" w:rsidRDefault="005D446A" w:rsidP="005D446A">
      <w:pPr>
        <w:widowControl w:val="0"/>
        <w:autoSpaceDE w:val="0"/>
        <w:autoSpaceDN w:val="0"/>
        <w:spacing w:after="0" w:line="276" w:lineRule="auto"/>
        <w:jc w:val="both"/>
        <w:rPr>
          <w:rStyle w:val="normaltextrun"/>
          <w:rFonts w:ascii="Verdana" w:hAnsi="Verdana" w:cs="Arial"/>
          <w:color w:val="000000" w:themeColor="text1"/>
          <w:shd w:val="clear" w:color="auto" w:fill="FFFFFF"/>
        </w:rPr>
      </w:pPr>
      <w:r w:rsidRPr="00960F72">
        <w:rPr>
          <w:rFonts w:ascii="Verdana" w:eastAsia="Calibri" w:hAnsi="Verdana" w:cs="Arial"/>
          <w:color w:val="000000" w:themeColor="text1"/>
          <w:lang w:eastAsia="es-ES_tradnl"/>
        </w:rPr>
        <w:t xml:space="preserve">La Agencia Nacional de Contratación Pública – Colombia Compra Eficiente </w:t>
      </w:r>
      <w:r w:rsidRPr="00960F72">
        <w:rPr>
          <w:rFonts w:ascii="Verdana" w:eastAsia="Arial" w:hAnsi="Verdana" w:cs="Arial"/>
          <w:lang w:eastAsia="es-ES_tradnl"/>
        </w:rPr>
        <w:t xml:space="preserve">se ha </w:t>
      </w:r>
      <w:r w:rsidRPr="00960F72">
        <w:rPr>
          <w:rFonts w:ascii="Verdana" w:eastAsia="Arial" w:hAnsi="Verdana" w:cs="Arial"/>
          <w:lang w:eastAsia="es-ES_tradnl"/>
        </w:rPr>
        <w:lastRenderedPageBreak/>
        <w:t>referido a la determinación de los requisitos habilitantes</w:t>
      </w:r>
      <w:r>
        <w:rPr>
          <w:rFonts w:ascii="Verdana" w:eastAsia="Arial" w:hAnsi="Verdana" w:cs="Arial"/>
          <w:lang w:eastAsia="es-ES_tradnl"/>
        </w:rPr>
        <w:t xml:space="preserve"> y los Códigos CIIU </w:t>
      </w:r>
      <w:r w:rsidRPr="00960F72">
        <w:rPr>
          <w:rFonts w:ascii="Verdana" w:eastAsia="Arial" w:hAnsi="Verdana" w:cs="Arial"/>
          <w:lang w:eastAsia="es-ES_tradnl"/>
        </w:rPr>
        <w:t xml:space="preserve">  en los conceptos</w:t>
      </w:r>
      <w:r>
        <w:rPr>
          <w:rFonts w:ascii="Verdana" w:eastAsia="Arial" w:hAnsi="Verdana" w:cs="Arial"/>
          <w:lang w:eastAsia="es-ES_tradnl"/>
        </w:rPr>
        <w:t xml:space="preserve"> </w:t>
      </w:r>
      <w:r w:rsidRPr="00960F72">
        <w:rPr>
          <w:rFonts w:ascii="Verdana" w:eastAsia="Arial" w:hAnsi="Verdana" w:cs="Arial"/>
          <w:lang w:eastAsia="es-ES_tradnl"/>
        </w:rPr>
        <w:t xml:space="preserve">C-120 del 3 de marzo de 2020, C-204 del 31 de marzo de 2020, C-099 del 6 de abril  de 2020, C-195 del 13 de abril de 2020, C-013 del 17 de abril de 2020, C-330 del 27 de mayo de 2020 y C-396 de 16 de julio </w:t>
      </w:r>
      <w:r w:rsidRPr="00960F72">
        <w:rPr>
          <w:rFonts w:ascii="Verdana" w:hAnsi="Verdana" w:cs="Arial"/>
          <w:shd w:val="clear" w:color="auto" w:fill="FFFFFF"/>
        </w:rPr>
        <w:t xml:space="preserve">de 2020, C-142 del 30 de marzo de 2022,  C-337 de 18de agosto de 2023,Concepto C-483 del 26 de septiembre de 2024, Concepto C- 662 de 2024 del 29 de enero de 2025, C –043 del 28 </w:t>
      </w:r>
      <w:proofErr w:type="spellStart"/>
      <w:r w:rsidRPr="00960F72">
        <w:rPr>
          <w:rFonts w:ascii="Verdana" w:hAnsi="Verdana" w:cs="Arial"/>
          <w:shd w:val="clear" w:color="auto" w:fill="FFFFFF"/>
        </w:rPr>
        <w:t>del</w:t>
      </w:r>
      <w:proofErr w:type="spellEnd"/>
      <w:r w:rsidRPr="00960F72">
        <w:rPr>
          <w:rFonts w:ascii="Verdana" w:hAnsi="Verdana" w:cs="Arial"/>
          <w:shd w:val="clear" w:color="auto" w:fill="FFFFFF"/>
        </w:rPr>
        <w:t xml:space="preserve"> febrero de 2025, Concepto C- 116 del 1 de marzo de 2025 y C-662 de 2025, entre otros. Estos se encuentran disponibles para consulta en el Sistema de relatoría de la Agencia, al cual puede accederse a través del siguiente enlace:</w:t>
      </w:r>
      <w:r w:rsidRPr="00960F72">
        <w:rPr>
          <w:rFonts w:ascii="Verdana" w:hAnsi="Verdana"/>
        </w:rPr>
        <w:t xml:space="preserve"> </w:t>
      </w:r>
      <w:hyperlink r:id="rId14" w:history="1">
        <w:r w:rsidRPr="00960F72">
          <w:rPr>
            <w:rStyle w:val="Hipervnculo"/>
            <w:rFonts w:ascii="Verdana" w:hAnsi="Verdana" w:cs="Arial"/>
            <w:shd w:val="clear" w:color="auto" w:fill="FFFFFF"/>
          </w:rPr>
          <w:t>https://relatoria.colombiacompra.gov.co/busqueda/conceptos</w:t>
        </w:r>
      </w:hyperlink>
      <w:r w:rsidRPr="00960F72">
        <w:rPr>
          <w:rStyle w:val="Hipervnculo"/>
          <w:rFonts w:ascii="Verdana" w:hAnsi="Verdana"/>
        </w:rPr>
        <w:t>.</w:t>
      </w:r>
      <w:r w:rsidRPr="00960F72">
        <w:rPr>
          <w:rStyle w:val="normaltextrun"/>
          <w:rFonts w:ascii="Verdana" w:hAnsi="Verdana" w:cs="Arial"/>
          <w:color w:val="000000" w:themeColor="text1"/>
          <w:shd w:val="clear" w:color="auto" w:fill="FFFFFF"/>
        </w:rPr>
        <w:t xml:space="preserve">  </w:t>
      </w:r>
    </w:p>
    <w:p w14:paraId="32049D55" w14:textId="77777777" w:rsidR="005D446A" w:rsidRDefault="005D446A" w:rsidP="005D446A">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7614991F" w14:textId="77777777" w:rsidR="005D446A" w:rsidRPr="001B29FE" w:rsidRDefault="005D446A" w:rsidP="005D446A">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B29FE">
        <w:rPr>
          <w:rFonts w:ascii="Verdana" w:hAnsi="Verdana"/>
        </w:rPr>
        <w:t>.</w:t>
      </w:r>
    </w:p>
    <w:p w14:paraId="0F4332E6" w14:textId="77777777" w:rsidR="005D446A" w:rsidRPr="001B29FE" w:rsidRDefault="005D446A" w:rsidP="005D446A">
      <w:pPr>
        <w:widowControl w:val="0"/>
        <w:autoSpaceDE w:val="0"/>
        <w:autoSpaceDN w:val="0"/>
        <w:spacing w:after="0" w:line="276" w:lineRule="auto"/>
        <w:jc w:val="both"/>
        <w:rPr>
          <w:rFonts w:ascii="Verdana" w:hAnsi="Verdana"/>
        </w:rPr>
      </w:pPr>
    </w:p>
    <w:p w14:paraId="2004661E" w14:textId="77777777" w:rsidR="005D446A" w:rsidRPr="00505CD6" w:rsidRDefault="005D446A" w:rsidP="005D446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3CE4817" w14:textId="77777777" w:rsidR="005D446A" w:rsidRPr="00505CD6" w:rsidRDefault="005D446A" w:rsidP="005D446A">
      <w:pPr>
        <w:widowControl w:val="0"/>
        <w:autoSpaceDE w:val="0"/>
        <w:autoSpaceDN w:val="0"/>
        <w:spacing w:after="0" w:line="276" w:lineRule="auto"/>
        <w:jc w:val="both"/>
        <w:rPr>
          <w:rFonts w:ascii="Verdana" w:hAnsi="Verdana" w:cs="Arial"/>
        </w:rPr>
      </w:pPr>
    </w:p>
    <w:p w14:paraId="7BB08739" w14:textId="77777777" w:rsidR="005D446A" w:rsidRDefault="005D446A" w:rsidP="005D446A">
      <w:pPr>
        <w:spacing w:after="0" w:line="276" w:lineRule="auto"/>
        <w:jc w:val="both"/>
        <w:rPr>
          <w:rFonts w:ascii="Verdana" w:hAnsi="Verdana"/>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3E4092FD" w14:textId="77777777" w:rsidR="005D446A" w:rsidRPr="00960F72" w:rsidRDefault="005D446A" w:rsidP="005D446A">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4E53C25C" w14:textId="77777777" w:rsidR="005D446A" w:rsidRPr="00960F72" w:rsidRDefault="005D446A" w:rsidP="005D446A">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7E542413" w14:textId="676F4922" w:rsidR="005D446A" w:rsidRPr="00960F72" w:rsidRDefault="005137DB" w:rsidP="005D446A">
      <w:pPr>
        <w:spacing w:line="276" w:lineRule="auto"/>
        <w:jc w:val="center"/>
        <w:rPr>
          <w:rFonts w:ascii="Verdana" w:hAnsi="Verdana"/>
        </w:rPr>
      </w:pPr>
      <w:r>
        <w:rPr>
          <w:rFonts w:ascii="Verdana" w:hAnsi="Verdana"/>
          <w:noProof/>
        </w:rPr>
        <w:drawing>
          <wp:inline distT="0" distB="0" distL="0" distR="0" wp14:anchorId="3355984F" wp14:editId="0A2737E9">
            <wp:extent cx="3639058" cy="1343212"/>
            <wp:effectExtent l="0" t="0" r="0" b="0"/>
            <wp:docPr id="1322533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533293"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D446A" w:rsidRPr="00960F72" w14:paraId="761BFFCF" w14:textId="77777777" w:rsidTr="008167F1">
        <w:trPr>
          <w:trHeight w:val="315"/>
        </w:trPr>
        <w:tc>
          <w:tcPr>
            <w:tcW w:w="893" w:type="dxa"/>
            <w:vAlign w:val="center"/>
            <w:hideMark/>
          </w:tcPr>
          <w:p w14:paraId="7CF8F93D" w14:textId="77777777" w:rsidR="005D446A" w:rsidRPr="00960F72" w:rsidRDefault="005D446A" w:rsidP="008167F1">
            <w:pPr>
              <w:contextualSpacing/>
              <w:rPr>
                <w:rFonts w:ascii="Verdana" w:hAnsi="Verdana" w:cs="Arial"/>
                <w:sz w:val="16"/>
                <w:szCs w:val="16"/>
                <w:lang w:eastAsia="es-ES"/>
              </w:rPr>
            </w:pPr>
            <w:r w:rsidRPr="00960F72">
              <w:rPr>
                <w:rFonts w:ascii="Verdana" w:hAnsi="Verdana" w:cs="Arial"/>
                <w:sz w:val="16"/>
                <w:szCs w:val="16"/>
                <w:lang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67EA19A" w14:textId="77777777" w:rsidR="005D446A" w:rsidRPr="00960F72" w:rsidRDefault="005D446A" w:rsidP="008167F1">
            <w:pPr>
              <w:contextualSpacing/>
              <w:rPr>
                <w:rFonts w:ascii="Verdana" w:hAnsi="Verdana"/>
                <w:sz w:val="16"/>
                <w:szCs w:val="16"/>
              </w:rPr>
            </w:pPr>
            <w:r w:rsidRPr="00960F72">
              <w:rPr>
                <w:rFonts w:ascii="Verdana" w:hAnsi="Verdana"/>
                <w:sz w:val="16"/>
                <w:szCs w:val="16"/>
              </w:rPr>
              <w:t>Gloria Elizabeth Arango Builes</w:t>
            </w:r>
          </w:p>
          <w:p w14:paraId="730A884E" w14:textId="77777777" w:rsidR="005D446A" w:rsidRPr="00960F72" w:rsidRDefault="005D446A" w:rsidP="008167F1">
            <w:pPr>
              <w:contextualSpacing/>
              <w:rPr>
                <w:rFonts w:ascii="Verdana" w:eastAsia="Arial" w:hAnsi="Verdana" w:cs="Arial"/>
                <w:sz w:val="16"/>
                <w:szCs w:val="16"/>
              </w:rPr>
            </w:pPr>
            <w:r w:rsidRPr="00960F72">
              <w:rPr>
                <w:rFonts w:ascii="Verdana" w:hAnsi="Verdana"/>
                <w:sz w:val="16"/>
                <w:szCs w:val="16"/>
              </w:rPr>
              <w:t>Contratista de la Subdirección de Gestión Contractual</w:t>
            </w:r>
          </w:p>
        </w:tc>
      </w:tr>
      <w:tr w:rsidR="005D446A" w:rsidRPr="00960F72" w14:paraId="07A0F7B1" w14:textId="77777777" w:rsidTr="008167F1">
        <w:trPr>
          <w:trHeight w:val="330"/>
        </w:trPr>
        <w:tc>
          <w:tcPr>
            <w:tcW w:w="893" w:type="dxa"/>
            <w:vAlign w:val="center"/>
            <w:hideMark/>
          </w:tcPr>
          <w:p w14:paraId="2B31A28F" w14:textId="77777777" w:rsidR="005D446A" w:rsidRPr="00960F72" w:rsidRDefault="005D446A" w:rsidP="008167F1">
            <w:pPr>
              <w:contextualSpacing/>
              <w:rPr>
                <w:rFonts w:ascii="Verdana" w:hAnsi="Verdana" w:cs="Arial"/>
                <w:sz w:val="16"/>
                <w:szCs w:val="16"/>
                <w:lang w:eastAsia="es-ES"/>
              </w:rPr>
            </w:pPr>
            <w:r w:rsidRPr="00960F72">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A361341" w14:textId="77777777" w:rsidR="005D446A" w:rsidRPr="00960F72" w:rsidRDefault="005D446A" w:rsidP="008167F1">
            <w:pPr>
              <w:spacing w:line="276" w:lineRule="auto"/>
              <w:contextualSpacing/>
              <w:jc w:val="both"/>
              <w:rPr>
                <w:rFonts w:ascii="Verdana" w:hAnsi="Verdana"/>
                <w:sz w:val="16"/>
                <w:szCs w:val="16"/>
              </w:rPr>
            </w:pPr>
            <w:r w:rsidRPr="00960F72">
              <w:rPr>
                <w:rFonts w:ascii="Verdana" w:hAnsi="Verdana"/>
                <w:sz w:val="16"/>
                <w:szCs w:val="16"/>
              </w:rPr>
              <w:t>Diana Lucía Saavedra Castañeda</w:t>
            </w:r>
          </w:p>
          <w:p w14:paraId="778D6D24" w14:textId="77777777" w:rsidR="005D446A" w:rsidRPr="00960F72" w:rsidRDefault="005D446A" w:rsidP="008167F1">
            <w:pPr>
              <w:spacing w:line="276" w:lineRule="auto"/>
              <w:contextualSpacing/>
              <w:jc w:val="both"/>
              <w:rPr>
                <w:rFonts w:ascii="Verdana" w:hAnsi="Verdana" w:cstheme="minorHAnsi"/>
                <w:sz w:val="16"/>
                <w:szCs w:val="16"/>
              </w:rPr>
            </w:pPr>
            <w:r w:rsidRPr="00960F72">
              <w:rPr>
                <w:rStyle w:val="normaltextrun"/>
                <w:rFonts w:ascii="Verdana" w:eastAsia="Arial" w:hAnsi="Verdana"/>
                <w:sz w:val="16"/>
                <w:szCs w:val="16"/>
              </w:rPr>
              <w:t>Contratita de la</w:t>
            </w:r>
            <w:r w:rsidRPr="00960F72">
              <w:rPr>
                <w:rStyle w:val="normaltextrun"/>
                <w:rFonts w:ascii="Verdana" w:eastAsia="Arial" w:hAnsi="Verdana" w:cs="Arial"/>
                <w:sz w:val="16"/>
                <w:szCs w:val="16"/>
              </w:rPr>
              <w:t xml:space="preserve"> Subdirección de Gestión Contractual</w:t>
            </w:r>
          </w:p>
        </w:tc>
      </w:tr>
      <w:tr w:rsidR="005D446A" w:rsidRPr="00960F72" w14:paraId="0A152737" w14:textId="77777777" w:rsidTr="008167F1">
        <w:trPr>
          <w:trHeight w:val="330"/>
        </w:trPr>
        <w:tc>
          <w:tcPr>
            <w:tcW w:w="893" w:type="dxa"/>
            <w:vAlign w:val="center"/>
          </w:tcPr>
          <w:p w14:paraId="454AED49" w14:textId="77777777" w:rsidR="005D446A" w:rsidRPr="00960F72" w:rsidRDefault="005D446A" w:rsidP="008167F1">
            <w:pPr>
              <w:contextualSpacing/>
              <w:rPr>
                <w:rFonts w:ascii="Verdana" w:hAnsi="Verdana" w:cs="Arial"/>
                <w:sz w:val="16"/>
                <w:szCs w:val="16"/>
                <w:lang w:eastAsia="es-ES"/>
              </w:rPr>
            </w:pPr>
            <w:r w:rsidRPr="00960F72">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67DD4E5" w14:textId="77777777" w:rsidR="005D446A" w:rsidRPr="00960F72" w:rsidRDefault="005D446A" w:rsidP="008167F1">
            <w:pPr>
              <w:contextualSpacing/>
              <w:rPr>
                <w:rFonts w:ascii="Verdana" w:eastAsia="Calibri" w:hAnsi="Verdana" w:cs="Arial"/>
                <w:sz w:val="16"/>
                <w:szCs w:val="16"/>
                <w:lang w:eastAsia="es-ES"/>
              </w:rPr>
            </w:pPr>
            <w:r w:rsidRPr="00960F72">
              <w:rPr>
                <w:rFonts w:ascii="Verdana" w:eastAsia="Calibri" w:hAnsi="Verdana" w:cs="Arial"/>
                <w:sz w:val="16"/>
                <w:szCs w:val="16"/>
                <w:lang w:eastAsia="es-ES"/>
              </w:rPr>
              <w:t xml:space="preserve">Carolina Quintero </w:t>
            </w:r>
            <w:proofErr w:type="spellStart"/>
            <w:r w:rsidRPr="00960F72">
              <w:rPr>
                <w:rFonts w:ascii="Verdana" w:eastAsia="Calibri" w:hAnsi="Verdana" w:cs="Arial"/>
                <w:sz w:val="16"/>
                <w:szCs w:val="16"/>
                <w:lang w:eastAsia="es-ES"/>
              </w:rPr>
              <w:t>Gacharná</w:t>
            </w:r>
            <w:proofErr w:type="spellEnd"/>
          </w:p>
          <w:p w14:paraId="045D4B0F" w14:textId="77777777" w:rsidR="005D446A" w:rsidRPr="00960F72" w:rsidRDefault="005D446A" w:rsidP="008167F1">
            <w:pPr>
              <w:spacing w:line="276" w:lineRule="auto"/>
              <w:contextualSpacing/>
              <w:jc w:val="both"/>
              <w:rPr>
                <w:rFonts w:ascii="Verdana" w:hAnsi="Verdana"/>
                <w:sz w:val="16"/>
                <w:szCs w:val="16"/>
              </w:rPr>
            </w:pPr>
            <w:r w:rsidRPr="00960F72">
              <w:rPr>
                <w:rFonts w:ascii="Verdana" w:eastAsia="Calibri" w:hAnsi="Verdana" w:cs="Arial"/>
                <w:sz w:val="16"/>
                <w:szCs w:val="16"/>
                <w:lang w:eastAsia="es-ES"/>
              </w:rPr>
              <w:t xml:space="preserve">Subdirectora de Gestión </w:t>
            </w:r>
            <w:proofErr w:type="spellStart"/>
            <w:r w:rsidRPr="00960F72">
              <w:rPr>
                <w:rFonts w:ascii="Verdana" w:eastAsia="Calibri" w:hAnsi="Verdana" w:cs="Arial"/>
                <w:sz w:val="16"/>
                <w:szCs w:val="16"/>
                <w:lang w:eastAsia="es-ES"/>
              </w:rPr>
              <w:t>Contratual</w:t>
            </w:r>
            <w:proofErr w:type="spellEnd"/>
            <w:r w:rsidRPr="00960F72">
              <w:rPr>
                <w:rFonts w:ascii="Verdana" w:eastAsia="Calibri" w:hAnsi="Verdana" w:cs="Arial"/>
                <w:sz w:val="16"/>
                <w:szCs w:val="16"/>
                <w:lang w:eastAsia="es-ES"/>
              </w:rPr>
              <w:t xml:space="preserve"> - ANCP – CCE</w:t>
            </w:r>
          </w:p>
        </w:tc>
      </w:tr>
    </w:tbl>
    <w:p w14:paraId="688E1543" w14:textId="77777777" w:rsidR="005D446A" w:rsidRPr="00960F72" w:rsidRDefault="005D446A" w:rsidP="005D446A"/>
    <w:p w14:paraId="2DD29298" w14:textId="77777777" w:rsidR="005D446A" w:rsidRPr="00960F72" w:rsidRDefault="005D446A" w:rsidP="005D446A"/>
    <w:p w14:paraId="024E903D" w14:textId="77777777" w:rsidR="005D446A" w:rsidRPr="00960F72" w:rsidRDefault="005D446A" w:rsidP="005D446A"/>
    <w:p w14:paraId="1B001E6C" w14:textId="77777777" w:rsidR="005D446A" w:rsidRPr="00960F72" w:rsidRDefault="005D446A" w:rsidP="005D446A"/>
    <w:p w14:paraId="6E9BD9CB" w14:textId="77777777" w:rsidR="005D446A" w:rsidRPr="00960F72" w:rsidRDefault="005D446A" w:rsidP="005D446A"/>
    <w:p w14:paraId="6BFF394E" w14:textId="77777777" w:rsidR="005D446A" w:rsidRPr="003B6CA8" w:rsidRDefault="005D446A" w:rsidP="005D446A"/>
    <w:p w14:paraId="0F293BF4" w14:textId="63AAD65F" w:rsidR="00127233" w:rsidRPr="00B2454C" w:rsidRDefault="00127233" w:rsidP="00B2454C"/>
    <w:sectPr w:rsidR="00127233" w:rsidRPr="00B2454C"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DADBF" w14:textId="77777777" w:rsidR="00387218" w:rsidRDefault="00387218" w:rsidP="004A1847">
      <w:pPr>
        <w:spacing w:after="0" w:line="240" w:lineRule="auto"/>
      </w:pPr>
      <w:r>
        <w:separator/>
      </w:r>
    </w:p>
  </w:endnote>
  <w:endnote w:type="continuationSeparator" w:id="0">
    <w:p w14:paraId="146CB884" w14:textId="77777777" w:rsidR="00387218" w:rsidRDefault="00387218" w:rsidP="004A1847">
      <w:pPr>
        <w:spacing w:after="0" w:line="240" w:lineRule="auto"/>
      </w:pPr>
      <w:r>
        <w:continuationSeparator/>
      </w:r>
    </w:p>
  </w:endnote>
  <w:endnote w:type="continuationNotice" w:id="1">
    <w:p w14:paraId="5C04A448" w14:textId="77777777" w:rsidR="00387218" w:rsidRDefault="003872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26986" w14:textId="77777777" w:rsidR="00387218" w:rsidRDefault="00387218" w:rsidP="004A1847">
      <w:pPr>
        <w:spacing w:after="0" w:line="240" w:lineRule="auto"/>
      </w:pPr>
      <w:r>
        <w:separator/>
      </w:r>
    </w:p>
  </w:footnote>
  <w:footnote w:type="continuationSeparator" w:id="0">
    <w:p w14:paraId="64D37851" w14:textId="77777777" w:rsidR="00387218" w:rsidRDefault="00387218" w:rsidP="004A1847">
      <w:pPr>
        <w:spacing w:after="0" w:line="240" w:lineRule="auto"/>
      </w:pPr>
      <w:r>
        <w:continuationSeparator/>
      </w:r>
    </w:p>
  </w:footnote>
  <w:footnote w:type="continuationNotice" w:id="1">
    <w:p w14:paraId="7C8D8A06" w14:textId="77777777" w:rsidR="00387218" w:rsidRDefault="00387218">
      <w:pPr>
        <w:spacing w:after="0" w:line="240" w:lineRule="auto"/>
      </w:pPr>
    </w:p>
  </w:footnote>
  <w:footnote w:id="2">
    <w:p w14:paraId="6711AD6C" w14:textId="77777777" w:rsidR="005D446A" w:rsidRPr="00960F72" w:rsidRDefault="005D446A" w:rsidP="005D446A">
      <w:pPr>
        <w:pStyle w:val="NormalWeb"/>
        <w:snapToGrid w:val="0"/>
        <w:spacing w:before="0" w:beforeAutospacing="0" w:after="0" w:afterAutospacing="0"/>
        <w:ind w:firstLine="709"/>
        <w:contextualSpacing/>
        <w:jc w:val="both"/>
        <w:rPr>
          <w:rFonts w:ascii="Verdana" w:hAnsi="Verdana" w:cs="Arial"/>
          <w:sz w:val="16"/>
          <w:szCs w:val="16"/>
        </w:rPr>
      </w:pPr>
      <w:r w:rsidRPr="00960F72">
        <w:rPr>
          <w:rStyle w:val="Refdenotaalpie"/>
          <w:rFonts w:ascii="Verdana" w:hAnsi="Verdana" w:cs="Arial"/>
          <w:sz w:val="16"/>
          <w:szCs w:val="16"/>
        </w:rPr>
        <w:footnoteRef/>
      </w:r>
      <w:r w:rsidRPr="00960F72">
        <w:rPr>
          <w:rFonts w:ascii="Verdana" w:hAnsi="Verdana" w:cs="Arial"/>
          <w:sz w:val="16"/>
          <w:szCs w:val="16"/>
        </w:rPr>
        <w:t xml:space="preserve"> “Para poder participar en los procesos de selección de los contratos de obra, la capacidad residual del proponente o K de contratación deberá ser igual o superior al que la entidad haya establecido para el efecto en los pliegos de condiciones. </w:t>
      </w:r>
    </w:p>
    <w:p w14:paraId="2C37048B" w14:textId="77777777" w:rsidR="005D446A" w:rsidRPr="00960F72" w:rsidRDefault="005D446A" w:rsidP="005D446A">
      <w:pPr>
        <w:snapToGrid w:val="0"/>
        <w:spacing w:after="0" w:line="240" w:lineRule="auto"/>
        <w:ind w:firstLine="708"/>
        <w:contextualSpacing/>
        <w:jc w:val="both"/>
        <w:rPr>
          <w:rFonts w:ascii="Verdana" w:hAnsi="Verdana" w:cs="Arial"/>
          <w:sz w:val="16"/>
          <w:szCs w:val="16"/>
        </w:rPr>
      </w:pPr>
      <w:r w:rsidRPr="00960F72">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55B60915" w14:textId="77777777" w:rsidR="005D446A" w:rsidRPr="00960F72" w:rsidRDefault="005D446A" w:rsidP="005D446A">
      <w:pPr>
        <w:pStyle w:val="Textonotapie"/>
        <w:ind w:firstLine="708"/>
        <w:contextualSpacing/>
        <w:jc w:val="both"/>
        <w:rPr>
          <w:rFonts w:ascii="Verdana" w:hAnsi="Verdana"/>
          <w:sz w:val="16"/>
          <w:szCs w:val="16"/>
          <w:lang w:val="es-CO"/>
        </w:rPr>
      </w:pPr>
      <w:r w:rsidRPr="00960F72">
        <w:rPr>
          <w:rStyle w:val="Refdenotaalpie"/>
          <w:rFonts w:ascii="Verdana" w:hAnsi="Verdana"/>
          <w:sz w:val="16"/>
          <w:szCs w:val="16"/>
          <w:lang w:val="es-CO"/>
        </w:rPr>
        <w:footnoteRef/>
      </w:r>
      <w:r w:rsidRPr="00960F72">
        <w:rPr>
          <w:rFonts w:ascii="Verdana" w:hAnsi="Verdana"/>
          <w:sz w:val="16"/>
          <w:szCs w:val="16"/>
          <w:lang w:val="es-CO"/>
        </w:rPr>
        <w:t xml:space="preserve"> El </w:t>
      </w:r>
      <w:r w:rsidRPr="00960F72">
        <w:rPr>
          <w:rFonts w:ascii="Verdana" w:eastAsia="Times New Roman" w:hAnsi="Verdana" w:cs="Arial"/>
          <w:sz w:val="16"/>
          <w:szCs w:val="16"/>
          <w:lang w:val="es-CO" w:eastAsia="es-MX"/>
        </w:rPr>
        <w:t>“Manual para determinar y verificar los requisitos habilitantes en los Procesos de Contratación”</w:t>
      </w:r>
      <w:r w:rsidRPr="00960F72">
        <w:rPr>
          <w:rFonts w:ascii="Verdana" w:eastAsia="Calibri" w:hAnsi="Verdana" w:cs="Arial"/>
          <w:sz w:val="16"/>
          <w:szCs w:val="16"/>
          <w:lang w:val="es-CO" w:eastAsia="es-MX"/>
        </w:rPr>
        <w:t>,</w:t>
      </w:r>
      <w:r w:rsidRPr="00960F72">
        <w:rPr>
          <w:rFonts w:ascii="Verdana" w:eastAsia="Times New Roman" w:hAnsi="Verdana" w:cs="Arial"/>
          <w:sz w:val="16"/>
          <w:szCs w:val="16"/>
          <w:lang w:val="es-CO" w:eastAsia="es-MX"/>
        </w:rPr>
        <w:t xml:space="preserve"> expedido por la </w:t>
      </w:r>
      <w:r w:rsidRPr="00960F72">
        <w:rPr>
          <w:rFonts w:ascii="Verdana" w:eastAsia="Calibri" w:hAnsi="Verdana" w:cs="Arial"/>
          <w:sz w:val="16"/>
          <w:szCs w:val="16"/>
          <w:lang w:val="es-CO" w:eastAsia="es-MX"/>
        </w:rPr>
        <w:t xml:space="preserve">Agencia Nacional de Contratación Pública – Colombia Compra Eficiente, puede ser consultado en el siguiente enlace: </w:t>
      </w:r>
      <w:hyperlink r:id="rId1" w:history="1">
        <w:r w:rsidRPr="00960F72">
          <w:rPr>
            <w:rStyle w:val="Hipervnculo"/>
            <w:rFonts w:ascii="Verdana" w:eastAsia="Calibri" w:hAnsi="Verdana" w:cs="Arial"/>
            <w:sz w:val="16"/>
            <w:szCs w:val="16"/>
            <w:lang w:val="es-CO" w:eastAsia="es-MX"/>
          </w:rPr>
          <w:t>https://colombiacompra.gov.co/sites/cce_public/files/cce_documents/cce-eicp-ma-04._manual_requisitos_habilitantes_v3_29-09-2023.pdf</w:t>
        </w:r>
      </w:hyperlink>
      <w:r w:rsidRPr="00960F72">
        <w:rPr>
          <w:rFonts w:ascii="Verdana" w:eastAsia="Calibri" w:hAnsi="Verdana" w:cs="Arial"/>
          <w:sz w:val="16"/>
          <w:szCs w:val="16"/>
          <w:lang w:val="es-CO" w:eastAsia="es-MX"/>
        </w:rPr>
        <w:t xml:space="preserve">  </w:t>
      </w:r>
    </w:p>
  </w:footnote>
  <w:footnote w:id="4">
    <w:p w14:paraId="43875A7F" w14:textId="77777777" w:rsidR="005D446A" w:rsidRPr="00960F72" w:rsidRDefault="005D446A" w:rsidP="005D446A">
      <w:pPr>
        <w:pStyle w:val="NormalWeb"/>
        <w:snapToGrid w:val="0"/>
        <w:spacing w:before="0" w:beforeAutospacing="0" w:after="0" w:afterAutospacing="0"/>
        <w:ind w:firstLine="709"/>
        <w:contextualSpacing/>
        <w:jc w:val="both"/>
        <w:rPr>
          <w:rFonts w:ascii="Verdana" w:hAnsi="Verdana" w:cs="Arial"/>
          <w:sz w:val="16"/>
          <w:szCs w:val="16"/>
        </w:rPr>
      </w:pPr>
      <w:r w:rsidRPr="00960F72">
        <w:rPr>
          <w:rStyle w:val="Refdenotaalpie"/>
          <w:rFonts w:ascii="Verdana" w:hAnsi="Verdana" w:cs="Arial"/>
          <w:sz w:val="16"/>
          <w:szCs w:val="16"/>
        </w:rPr>
        <w:footnoteRef/>
      </w:r>
      <w:r w:rsidRPr="00960F72">
        <w:rPr>
          <w:rStyle w:val="Refdenotaalpie"/>
          <w:rFonts w:ascii="Verdana" w:hAnsi="Verdana" w:cs="Arial"/>
          <w:sz w:val="16"/>
          <w:szCs w:val="16"/>
        </w:rPr>
        <w:t xml:space="preserve"> </w:t>
      </w:r>
      <w:r w:rsidRPr="00960F72">
        <w:rPr>
          <w:rFonts w:ascii="Verdana" w:hAnsi="Verdana" w:cs="Arial"/>
          <w:sz w:val="16"/>
          <w:szCs w:val="16"/>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3AA79B3F" w14:textId="77777777" w:rsidR="005D446A" w:rsidRPr="00960F72" w:rsidRDefault="005D446A" w:rsidP="005D446A">
      <w:pPr>
        <w:pStyle w:val="NormalWeb"/>
        <w:snapToGrid w:val="0"/>
        <w:spacing w:before="0" w:beforeAutospacing="0" w:after="0" w:afterAutospacing="0"/>
        <w:ind w:firstLine="709"/>
        <w:contextualSpacing/>
        <w:jc w:val="both"/>
        <w:rPr>
          <w:rFonts w:ascii="Verdana" w:hAnsi="Verdana" w:cs="Arial"/>
          <w:sz w:val="16"/>
          <w:szCs w:val="16"/>
        </w:rPr>
      </w:pPr>
      <w:r w:rsidRPr="00960F72">
        <w:rPr>
          <w:rFonts w:ascii="Verdana" w:hAnsi="Verdana" w:cs="Arial"/>
          <w:sz w:val="16"/>
          <w:szCs w:val="16"/>
        </w:rPr>
        <w:t>Parágrafo Transitorio. 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4AFB82F2" w14:textId="77777777" w:rsidR="005D446A" w:rsidRPr="00960F72" w:rsidRDefault="005D446A" w:rsidP="005D446A">
      <w:pPr>
        <w:pStyle w:val="NormalWeb"/>
        <w:snapToGrid w:val="0"/>
        <w:spacing w:before="0" w:beforeAutospacing="0" w:after="0" w:afterAutospacing="0"/>
        <w:ind w:firstLine="708"/>
        <w:contextualSpacing/>
        <w:jc w:val="both"/>
        <w:rPr>
          <w:rFonts w:ascii="Verdana" w:hAnsi="Verdana" w:cs="Arial"/>
          <w:sz w:val="16"/>
          <w:szCs w:val="16"/>
        </w:rPr>
      </w:pPr>
      <w:r w:rsidRPr="00960F72">
        <w:rPr>
          <w:rFonts w:ascii="Verdana" w:hAnsi="Verdana" w:cs="Arial"/>
          <w:sz w:val="16"/>
          <w:szCs w:val="16"/>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960F72">
        <w:rPr>
          <w:rFonts w:ascii="Verdana" w:hAnsi="Verdana" w:cs="Verdana"/>
          <w:sz w:val="16"/>
          <w:szCs w:val="16"/>
        </w:rPr>
        <w:t>”</w:t>
      </w:r>
      <w:r w:rsidRPr="00960F72">
        <w:rPr>
          <w:rFonts w:ascii="Verdana" w:hAnsi="Verdana" w:cs="Arial"/>
          <w:sz w:val="16"/>
          <w:szCs w:val="16"/>
        </w:rPr>
        <w:t>.</w:t>
      </w:r>
    </w:p>
    <w:p w14:paraId="2DDB6D8F" w14:textId="77777777" w:rsidR="005D446A" w:rsidRPr="00960F72" w:rsidRDefault="005D446A" w:rsidP="005D446A">
      <w:pPr>
        <w:pStyle w:val="NormalWeb"/>
        <w:snapToGrid w:val="0"/>
        <w:spacing w:before="0" w:beforeAutospacing="0" w:after="0" w:afterAutospacing="0"/>
        <w:ind w:firstLine="708"/>
        <w:contextualSpacing/>
        <w:jc w:val="both"/>
        <w:rPr>
          <w:rStyle w:val="Refdenotaalpie"/>
          <w:vertAlign w:val="baseline"/>
        </w:rPr>
      </w:pPr>
    </w:p>
  </w:footnote>
  <w:footnote w:id="5">
    <w:p w14:paraId="5606D326" w14:textId="77777777" w:rsidR="005D446A" w:rsidRPr="00960F72" w:rsidRDefault="005D446A" w:rsidP="005D446A">
      <w:pPr>
        <w:pStyle w:val="Textonotapie"/>
        <w:ind w:firstLine="708"/>
        <w:contextualSpacing/>
        <w:jc w:val="both"/>
        <w:rPr>
          <w:rFonts w:ascii="Verdana" w:hAnsi="Verdana"/>
          <w:sz w:val="16"/>
          <w:szCs w:val="16"/>
          <w:lang w:val="es-CO"/>
        </w:rPr>
      </w:pPr>
      <w:r w:rsidRPr="00960F72">
        <w:rPr>
          <w:rStyle w:val="Refdenotaalpie"/>
          <w:rFonts w:ascii="Verdana" w:hAnsi="Verdana"/>
          <w:sz w:val="16"/>
          <w:szCs w:val="16"/>
          <w:lang w:val="es-CO"/>
        </w:rPr>
        <w:footnoteRef/>
      </w:r>
      <w:r w:rsidRPr="00960F72">
        <w:rPr>
          <w:rFonts w:ascii="Verdana" w:hAnsi="Verdana"/>
          <w:sz w:val="16"/>
          <w:szCs w:val="16"/>
          <w:lang w:val="es-CO"/>
        </w:rPr>
        <w:t xml:space="preserve"> </w:t>
      </w:r>
      <w:bookmarkStart w:id="12" w:name="44"/>
      <w:r w:rsidRPr="00960F72">
        <w:rPr>
          <w:rFonts w:ascii="Verdana" w:hAnsi="Verdana"/>
          <w:sz w:val="16"/>
          <w:szCs w:val="16"/>
          <w:lang w:val="es-CO"/>
        </w:rPr>
        <w:t>Sobre el particular el artículo 44 de la Ley 1437 de 2011, dispone: “Decisiones Discrecionales.</w:t>
      </w:r>
      <w:bookmarkEnd w:id="12"/>
      <w:r w:rsidRPr="00960F72">
        <w:rPr>
          <w:rFonts w:ascii="Verdana" w:hAnsi="Verdana"/>
          <w:sz w:val="16"/>
          <w:szCs w:val="16"/>
          <w:lang w:val="es-CO"/>
        </w:rPr>
        <w:t xml:space="preserve"> En la medida en que el contenido de una decisión de carácter general o particular sea discrecional, debe ser adecuada a los fines de la norma que la autoriza, y proporcional a los hechos que le sirven de causa”.</w:t>
      </w:r>
    </w:p>
  </w:footnote>
  <w:footnote w:id="6">
    <w:p w14:paraId="5EDF4E97" w14:textId="77777777" w:rsidR="005D446A" w:rsidRPr="00960F72" w:rsidRDefault="005D446A" w:rsidP="005D446A">
      <w:pPr>
        <w:pStyle w:val="Textonotapie"/>
        <w:snapToGrid w:val="0"/>
        <w:ind w:firstLine="708"/>
        <w:contextualSpacing/>
        <w:jc w:val="both"/>
        <w:rPr>
          <w:rFonts w:ascii="Verdana" w:hAnsi="Verdana" w:cs="Arial"/>
          <w:sz w:val="16"/>
          <w:szCs w:val="16"/>
          <w:lang w:val="es-CO"/>
        </w:rPr>
      </w:pPr>
      <w:r w:rsidRPr="00960F72">
        <w:rPr>
          <w:rStyle w:val="Refdenotaalpie"/>
          <w:rFonts w:ascii="Verdana" w:hAnsi="Verdana" w:cs="Arial"/>
          <w:sz w:val="16"/>
          <w:szCs w:val="16"/>
          <w:lang w:val="es-CO"/>
        </w:rPr>
        <w:footnoteRef/>
      </w:r>
      <w:r w:rsidRPr="00960F72">
        <w:rPr>
          <w:rFonts w:ascii="Verdana" w:hAnsi="Verdana" w:cs="Arial"/>
          <w:sz w:val="16"/>
          <w:szCs w:val="16"/>
          <w:lang w:val="es-CO"/>
        </w:rPr>
        <w:t xml:space="preserve"> Ley 1150 de 2007: “Artículo 6. De la verificación de las condiciones de los proponentes.</w:t>
      </w:r>
      <w:r w:rsidRPr="00960F72">
        <w:rPr>
          <w:rFonts w:ascii="Verdana" w:hAnsi="Verdana" w:cs="Arial"/>
          <w:sz w:val="16"/>
          <w:szCs w:val="16"/>
          <w:lang w:val="es-CO" w:eastAsia="es-CO"/>
        </w:rPr>
        <w:t>[…]</w:t>
      </w:r>
      <w:r w:rsidRPr="00960F72">
        <w:rPr>
          <w:rFonts w:ascii="Verdana" w:hAnsi="Verdana" w:cs="Arial"/>
          <w:sz w:val="16"/>
          <w:szCs w:val="16"/>
          <w:lang w:val="es-CO"/>
        </w:rPr>
        <w:t xml:space="preserve"> </w:t>
      </w:r>
      <w:r w:rsidRPr="00960F72">
        <w:rPr>
          <w:rFonts w:ascii="Verdana" w:hAnsi="Verdana" w:cs="Arial"/>
          <w:sz w:val="16"/>
          <w:szCs w:val="16"/>
          <w:lang w:val="es-CO" w:eastAsia="es-CO"/>
        </w:rPr>
        <w:t>“6.1.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37D6E560" w14:textId="77777777" w:rsidR="005D446A" w:rsidRPr="00960F72" w:rsidRDefault="005D446A" w:rsidP="005D446A">
      <w:pPr>
        <w:pStyle w:val="Textonotapie"/>
        <w:snapToGrid w:val="0"/>
        <w:contextualSpacing/>
        <w:jc w:val="both"/>
        <w:rPr>
          <w:rFonts w:ascii="Verdana" w:hAnsi="Verdana" w:cs="Arial"/>
          <w:sz w:val="16"/>
          <w:szCs w:val="16"/>
          <w:lang w:val="es-CO" w:eastAsia="es-CO"/>
        </w:rPr>
      </w:pPr>
      <w:r w:rsidRPr="00960F72">
        <w:rPr>
          <w:rFonts w:ascii="Verdana" w:hAnsi="Verdana" w:cs="Arial"/>
          <w:sz w:val="16"/>
          <w:szCs w:val="16"/>
          <w:lang w:val="es-CO"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 […]”.</w:t>
      </w:r>
    </w:p>
  </w:footnote>
  <w:footnote w:id="7">
    <w:p w14:paraId="4A2A6AA4" w14:textId="77777777" w:rsidR="005D446A" w:rsidRPr="00960F72" w:rsidRDefault="005D446A" w:rsidP="005D446A">
      <w:pPr>
        <w:pStyle w:val="Textonotapie"/>
        <w:snapToGrid w:val="0"/>
        <w:ind w:firstLine="708"/>
        <w:contextualSpacing/>
        <w:jc w:val="both"/>
        <w:rPr>
          <w:rFonts w:ascii="Verdana" w:hAnsi="Verdana" w:cs="Arial"/>
          <w:sz w:val="16"/>
          <w:szCs w:val="16"/>
          <w:lang w:val="es-CO" w:eastAsia="es-CO"/>
        </w:rPr>
      </w:pPr>
      <w:r w:rsidRPr="00960F72">
        <w:rPr>
          <w:rStyle w:val="Refdenotaalpie"/>
          <w:rFonts w:ascii="Verdana" w:hAnsi="Verdana" w:cs="Arial"/>
          <w:sz w:val="16"/>
          <w:szCs w:val="16"/>
          <w:lang w:val="es-CO"/>
        </w:rPr>
        <w:footnoteRef/>
      </w:r>
      <w:r w:rsidRPr="00960F72">
        <w:rPr>
          <w:rFonts w:ascii="Verdana" w:hAnsi="Verdana" w:cs="Arial"/>
          <w:sz w:val="16"/>
          <w:szCs w:val="16"/>
          <w:lang w:val="es-CO"/>
        </w:rPr>
        <w:t xml:space="preserve"> Ley 1150 de 2007: “Artículo 5. De la selección objetiva.</w:t>
      </w:r>
      <w:r w:rsidRPr="00960F72">
        <w:rPr>
          <w:rFonts w:ascii="Verdana" w:hAnsi="Verdana" w:cs="Arial"/>
          <w:sz w:val="16"/>
          <w:szCs w:val="16"/>
          <w:lang w:val="es-CO" w:eastAsia="es-CO"/>
        </w:rPr>
        <w:t xml:space="preserve"> […] “1.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footnote>
  <w:footnote w:id="8">
    <w:p w14:paraId="5849FC74" w14:textId="77777777" w:rsidR="005D446A" w:rsidRPr="00960F72" w:rsidRDefault="005D446A" w:rsidP="005D446A">
      <w:pPr>
        <w:pStyle w:val="Textonotapie"/>
        <w:snapToGrid w:val="0"/>
        <w:ind w:firstLine="708"/>
        <w:contextualSpacing/>
        <w:jc w:val="both"/>
        <w:rPr>
          <w:rFonts w:ascii="Verdana" w:hAnsi="Verdana" w:cs="Arial"/>
          <w:sz w:val="16"/>
          <w:szCs w:val="16"/>
          <w:lang w:val="es-CO"/>
        </w:rPr>
      </w:pPr>
      <w:r w:rsidRPr="00960F72">
        <w:rPr>
          <w:rStyle w:val="Refdenotaalpie"/>
          <w:rFonts w:ascii="Verdana" w:hAnsi="Verdana" w:cs="Arial"/>
          <w:sz w:val="16"/>
          <w:szCs w:val="16"/>
          <w:lang w:val="es-CO"/>
        </w:rPr>
        <w:footnoteRef/>
      </w:r>
      <w:r w:rsidRPr="00960F72">
        <w:rPr>
          <w:rFonts w:ascii="Verdana" w:hAnsi="Verdana" w:cs="Arial"/>
          <w:sz w:val="16"/>
          <w:szCs w:val="16"/>
          <w:lang w:val="es-CO"/>
        </w:rPr>
        <w:t xml:space="preserve"> </w:t>
      </w:r>
      <w:r w:rsidRPr="00960F72">
        <w:rPr>
          <w:rFonts w:ascii="Verdana" w:hAnsi="Verdana" w:cs="Arial"/>
          <w:sz w:val="16"/>
          <w:szCs w:val="16"/>
          <w:lang w:val="es-CO"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footnote>
  <w:footnote w:id="9">
    <w:p w14:paraId="2966D70B" w14:textId="77777777" w:rsidR="005D446A" w:rsidRPr="00960F72" w:rsidRDefault="005D446A" w:rsidP="005D446A">
      <w:pPr>
        <w:pStyle w:val="Textonotapie"/>
        <w:snapToGrid w:val="0"/>
        <w:ind w:firstLine="708"/>
        <w:contextualSpacing/>
        <w:jc w:val="both"/>
        <w:rPr>
          <w:rFonts w:ascii="Verdana" w:hAnsi="Verdana" w:cs="Arial"/>
          <w:sz w:val="16"/>
          <w:szCs w:val="16"/>
          <w:lang w:val="es-CO" w:eastAsia="es-CO"/>
        </w:rPr>
      </w:pPr>
      <w:r w:rsidRPr="00960F72">
        <w:rPr>
          <w:rStyle w:val="Refdenotaalpie"/>
          <w:rFonts w:ascii="Verdana" w:hAnsi="Verdana" w:cs="Arial"/>
          <w:sz w:val="16"/>
          <w:szCs w:val="16"/>
          <w:lang w:val="es-CO"/>
        </w:rPr>
        <w:footnoteRef/>
      </w:r>
      <w:r w:rsidRPr="00960F72">
        <w:rPr>
          <w:rFonts w:ascii="Verdana" w:hAnsi="Verdana" w:cs="Arial"/>
          <w:sz w:val="16"/>
          <w:szCs w:val="16"/>
          <w:lang w:val="es-CO"/>
        </w:rPr>
        <w:t xml:space="preserve"> </w:t>
      </w:r>
      <w:r w:rsidRPr="00960F72">
        <w:rPr>
          <w:rFonts w:ascii="Verdana" w:hAnsi="Verdana" w:cs="Arial"/>
          <w:sz w:val="16"/>
          <w:szCs w:val="16"/>
          <w:lang w:val="es-CO"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10">
    <w:p w14:paraId="69547FDC" w14:textId="77777777" w:rsidR="005D446A" w:rsidRPr="00960F72" w:rsidRDefault="005D446A" w:rsidP="005D446A">
      <w:pPr>
        <w:pStyle w:val="Textonotapie"/>
        <w:snapToGrid w:val="0"/>
        <w:ind w:firstLine="708"/>
        <w:contextualSpacing/>
        <w:jc w:val="both"/>
        <w:rPr>
          <w:rFonts w:ascii="Verdana" w:hAnsi="Verdana" w:cs="Arial"/>
          <w:sz w:val="16"/>
          <w:szCs w:val="16"/>
          <w:lang w:val="es-CO" w:eastAsia="es-CO"/>
        </w:rPr>
      </w:pPr>
      <w:r w:rsidRPr="00960F72">
        <w:rPr>
          <w:rStyle w:val="Refdenotaalpie"/>
          <w:rFonts w:ascii="Verdana" w:hAnsi="Verdana" w:cs="Arial"/>
          <w:sz w:val="16"/>
          <w:szCs w:val="16"/>
          <w:lang w:val="es-CO"/>
        </w:rPr>
        <w:footnoteRef/>
      </w:r>
      <w:r w:rsidRPr="00960F72">
        <w:rPr>
          <w:rFonts w:ascii="Verdana" w:hAnsi="Verdana" w:cs="Arial"/>
          <w:sz w:val="16"/>
          <w:szCs w:val="16"/>
          <w:lang w:val="es-CO"/>
        </w:rPr>
        <w:t xml:space="preserve"> </w:t>
      </w:r>
      <w:r w:rsidRPr="00960F72">
        <w:rPr>
          <w:rFonts w:ascii="Verdana" w:hAnsi="Verdana" w:cs="Arial"/>
          <w:sz w:val="16"/>
          <w:szCs w:val="16"/>
          <w:lang w:val="es-CO" w:eastAsia="es-CO"/>
        </w:rPr>
        <w:t xml:space="preserve">Ley 1150 de 2007: “Artículo 6.  De la verificación de las condiciones de los proponentes. [...] “No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11">
    <w:p w14:paraId="69BA03F8" w14:textId="77777777" w:rsidR="005D446A" w:rsidRPr="00960F72" w:rsidRDefault="005D446A" w:rsidP="005D446A">
      <w:pPr>
        <w:pStyle w:val="Textonotapie"/>
        <w:snapToGrid w:val="0"/>
        <w:ind w:firstLine="420"/>
        <w:contextualSpacing/>
        <w:jc w:val="both"/>
        <w:rPr>
          <w:rFonts w:ascii="Verdana" w:hAnsi="Verdana" w:cs="Arial"/>
          <w:color w:val="000000" w:themeColor="text1"/>
          <w:sz w:val="16"/>
          <w:szCs w:val="16"/>
          <w:lang w:val="es-CO"/>
        </w:rPr>
      </w:pPr>
      <w:r w:rsidRPr="00960F72">
        <w:rPr>
          <w:rStyle w:val="Refdenotaalpie"/>
          <w:rFonts w:ascii="Verdana" w:hAnsi="Verdana" w:cs="Arial"/>
          <w:color w:val="000000" w:themeColor="text1"/>
          <w:sz w:val="16"/>
          <w:szCs w:val="16"/>
          <w:lang w:val="es-CO"/>
        </w:rPr>
        <w:footnoteRef/>
      </w:r>
      <w:r w:rsidRPr="00960F72">
        <w:rPr>
          <w:rFonts w:ascii="Verdana" w:hAnsi="Verdana" w:cs="Arial"/>
          <w:color w:val="000000" w:themeColor="text1"/>
          <w:sz w:val="16"/>
          <w:szCs w:val="16"/>
          <w:lang w:val="es-CO"/>
        </w:rPr>
        <w:t xml:space="preserve"> Corte Constitucional. Sala Plena. Sentencia C 178 de 29 de abril de 1996. Magistrado Ponente: Antonio Barrera Carbonell. Expediente No. D-974. </w:t>
      </w:r>
    </w:p>
  </w:footnote>
  <w:footnote w:id="12">
    <w:p w14:paraId="20373443" w14:textId="77777777" w:rsidR="005D446A" w:rsidRPr="00960F72" w:rsidRDefault="005D446A" w:rsidP="005D446A">
      <w:pPr>
        <w:snapToGrid w:val="0"/>
        <w:spacing w:after="0" w:line="240" w:lineRule="auto"/>
        <w:ind w:firstLine="420"/>
        <w:contextualSpacing/>
        <w:jc w:val="both"/>
        <w:rPr>
          <w:rFonts w:ascii="Verdana" w:hAnsi="Verdana" w:cs="Arial"/>
          <w:color w:val="000000" w:themeColor="text1"/>
          <w:sz w:val="16"/>
          <w:szCs w:val="16"/>
        </w:rPr>
      </w:pPr>
      <w:r w:rsidRPr="00960F72">
        <w:rPr>
          <w:rStyle w:val="Refdenotaalpie"/>
          <w:rFonts w:ascii="Verdana" w:hAnsi="Verdana" w:cs="Arial"/>
          <w:color w:val="000000" w:themeColor="text1"/>
          <w:sz w:val="16"/>
          <w:szCs w:val="16"/>
        </w:rPr>
        <w:footnoteRef/>
      </w:r>
      <w:r w:rsidRPr="00960F72">
        <w:rPr>
          <w:rFonts w:ascii="Verdana" w:hAnsi="Verdana" w:cs="Arial"/>
          <w:color w:val="000000" w:themeColor="text1"/>
          <w:sz w:val="16"/>
          <w:szCs w:val="16"/>
        </w:rPr>
        <w:t xml:space="preserve"> “Artículo 6o. De la capacidad para contratar. Pueden celebrar contratos con las entidades estatales las personas consideradas legalmente capaces en las disposiciones vigentes”.</w:t>
      </w:r>
    </w:p>
  </w:footnote>
  <w:footnote w:id="13">
    <w:p w14:paraId="00DCA8CA" w14:textId="77777777" w:rsidR="005D446A" w:rsidRPr="00960F72" w:rsidRDefault="005D446A" w:rsidP="005D446A">
      <w:pPr>
        <w:pStyle w:val="Textonotapie"/>
        <w:snapToGrid w:val="0"/>
        <w:ind w:firstLine="408"/>
        <w:contextualSpacing/>
        <w:jc w:val="both"/>
        <w:rPr>
          <w:rFonts w:ascii="Verdana" w:hAnsi="Verdana" w:cs="Arial"/>
          <w:color w:val="000000" w:themeColor="text1"/>
          <w:sz w:val="16"/>
          <w:szCs w:val="16"/>
          <w:lang w:val="es-CO"/>
        </w:rPr>
      </w:pPr>
      <w:r w:rsidRPr="00960F72">
        <w:rPr>
          <w:rStyle w:val="Refdenotaalpie"/>
          <w:rFonts w:ascii="Verdana" w:hAnsi="Verdana" w:cs="Arial"/>
          <w:color w:val="000000" w:themeColor="text1"/>
          <w:sz w:val="16"/>
          <w:szCs w:val="16"/>
          <w:lang w:val="es-CO"/>
        </w:rPr>
        <w:footnoteRef/>
      </w:r>
      <w:r w:rsidRPr="00960F72">
        <w:rPr>
          <w:rFonts w:ascii="Verdana" w:hAnsi="Verdana" w:cs="Arial"/>
          <w:color w:val="000000" w:themeColor="text1"/>
          <w:sz w:val="16"/>
          <w:szCs w:val="16"/>
          <w:lang w:val="es-CO"/>
        </w:rPr>
        <w:t xml:space="preserve"> Consejo de Estado. Sala de Consulta y Servicio Civil. Consejero Ponente: Álvaro Namén Vargas. Bogotá, 10 de agosto de 2015. Radicación número: 11001-03-06-000-2015-00118-00(2.260).</w:t>
      </w:r>
    </w:p>
  </w:footnote>
  <w:footnote w:id="14">
    <w:p w14:paraId="2C43F492" w14:textId="77777777" w:rsidR="005D446A" w:rsidRPr="00960F72" w:rsidRDefault="005D446A" w:rsidP="005D446A">
      <w:pPr>
        <w:spacing w:after="0" w:line="240" w:lineRule="auto"/>
        <w:ind w:firstLine="708"/>
        <w:contextualSpacing/>
        <w:jc w:val="both"/>
        <w:rPr>
          <w:rFonts w:ascii="Verdana" w:eastAsia="Calibri" w:hAnsi="Verdana" w:cs="Arial"/>
          <w:bCs/>
          <w:sz w:val="16"/>
          <w:szCs w:val="16"/>
        </w:rPr>
      </w:pPr>
      <w:r w:rsidRPr="00960F72">
        <w:rPr>
          <w:rStyle w:val="Refdenotaalpie"/>
          <w:rFonts w:ascii="Verdana" w:hAnsi="Verdana"/>
          <w:sz w:val="16"/>
          <w:szCs w:val="16"/>
        </w:rPr>
        <w:footnoteRef/>
      </w:r>
      <w:r w:rsidRPr="00960F72">
        <w:rPr>
          <w:rFonts w:ascii="Verdana" w:hAnsi="Verdana"/>
          <w:sz w:val="16"/>
          <w:szCs w:val="16"/>
        </w:rPr>
        <w:t xml:space="preserve"> L</w:t>
      </w:r>
      <w:r w:rsidRPr="00960F72">
        <w:rPr>
          <w:rFonts w:ascii="Verdana" w:eastAsia="Calibri" w:hAnsi="Verdana" w:cs="Arial"/>
          <w:bCs/>
          <w:sz w:val="16"/>
          <w:szCs w:val="16"/>
        </w:rPr>
        <w:t xml:space="preserve">a ley colombiana no consagra una definición de actos de comercio, sino que incorpora un listado de actos y actividades considerados como mercantiles, que incluye una gama muy variada de operaciones usuales en la vida de los negocios. En ese sentido, el artículo 20 del Código de Comercio agrupa una gran variedad de actividades bajo la categoría de “acto de comercio”, sin que dicha enumeración sea taxativa en </w:t>
      </w:r>
      <w:r w:rsidRPr="00960F72">
        <w:rPr>
          <w:rFonts w:ascii="Verdana" w:hAnsi="Verdana" w:cs="Arial"/>
          <w:sz w:val="16"/>
          <w:szCs w:val="16"/>
        </w:rPr>
        <w:t xml:space="preserve">nuestro sistema jurídico. Así las cosas, no se define estáticamente el acto de comercio, permitiendo mediante la analogía realizar la ampliación dinámica del derecho mercantil facilitando su adaptación a un cambiante mundo de negocios. Adicionalmente, la ley provee un criterio auxiliar que permite ampliar la cobertura del derecho comercial con la calificación de mercantiles de actos que en principio no lo son, pero que guardan relación estrecha con actividades de esta naturaleza. En el artículo 21 del Código de Comercio se incluyen actos no previstos en el artículo 20 que realiza el comerciante o empresario mercantil en desarrollo de su actividad mercantil y que facilitan su ejercicio y que en razón a ello adquieren comercialidad. </w:t>
      </w:r>
    </w:p>
  </w:footnote>
  <w:footnote w:id="15">
    <w:p w14:paraId="460A5ECE" w14:textId="77777777" w:rsidR="005D446A" w:rsidRPr="00960F72" w:rsidRDefault="005D446A" w:rsidP="005D446A">
      <w:pPr>
        <w:spacing w:after="0" w:line="240" w:lineRule="auto"/>
        <w:ind w:firstLine="708"/>
        <w:contextualSpacing/>
        <w:jc w:val="both"/>
        <w:rPr>
          <w:rFonts w:ascii="Verdana" w:hAnsi="Verdana"/>
          <w:sz w:val="16"/>
          <w:szCs w:val="16"/>
        </w:rPr>
      </w:pPr>
      <w:r w:rsidRPr="00960F72">
        <w:rPr>
          <w:rStyle w:val="Refdenotaalpie"/>
          <w:rFonts w:ascii="Verdana" w:hAnsi="Verdana"/>
          <w:sz w:val="16"/>
          <w:szCs w:val="16"/>
        </w:rPr>
        <w:footnoteRef/>
      </w:r>
      <w:r w:rsidRPr="00960F72">
        <w:rPr>
          <w:rFonts w:ascii="Verdana" w:hAnsi="Verdana"/>
          <w:sz w:val="16"/>
          <w:szCs w:val="16"/>
        </w:rPr>
        <w:t xml:space="preserve"> Código de Comercio. Artículo</w:t>
      </w:r>
      <w:r w:rsidRPr="00960F72">
        <w:rPr>
          <w:rFonts w:ascii="Verdana" w:hAnsi="Verdana"/>
          <w:spacing w:val="1"/>
          <w:sz w:val="16"/>
          <w:szCs w:val="16"/>
        </w:rPr>
        <w:t xml:space="preserve"> </w:t>
      </w:r>
      <w:r w:rsidRPr="00960F72">
        <w:rPr>
          <w:rFonts w:ascii="Verdana" w:hAnsi="Verdana"/>
          <w:sz w:val="16"/>
          <w:szCs w:val="16"/>
        </w:rPr>
        <w:t xml:space="preserve">515. </w:t>
      </w:r>
      <w:r w:rsidRPr="00960F72">
        <w:rPr>
          <w:rFonts w:ascii="Verdana" w:hAnsi="Verdana"/>
          <w:spacing w:val="1"/>
          <w:sz w:val="16"/>
          <w:szCs w:val="16"/>
        </w:rPr>
        <w:t>“</w:t>
      </w:r>
      <w:r w:rsidRPr="00960F72">
        <w:rPr>
          <w:rFonts w:ascii="Verdana" w:hAnsi="Verdana"/>
          <w:sz w:val="16"/>
          <w:szCs w:val="16"/>
        </w:rPr>
        <w:t>Se</w:t>
      </w:r>
      <w:r w:rsidRPr="00960F72">
        <w:rPr>
          <w:rFonts w:ascii="Verdana" w:hAnsi="Verdana"/>
          <w:spacing w:val="1"/>
          <w:sz w:val="16"/>
          <w:szCs w:val="16"/>
        </w:rPr>
        <w:t xml:space="preserve"> </w:t>
      </w:r>
      <w:r w:rsidRPr="00960F72">
        <w:rPr>
          <w:rFonts w:ascii="Verdana" w:hAnsi="Verdana"/>
          <w:sz w:val="16"/>
          <w:szCs w:val="16"/>
        </w:rPr>
        <w:t>entiende</w:t>
      </w:r>
      <w:r w:rsidRPr="00960F72">
        <w:rPr>
          <w:rFonts w:ascii="Verdana" w:hAnsi="Verdana"/>
          <w:spacing w:val="1"/>
          <w:sz w:val="16"/>
          <w:szCs w:val="16"/>
        </w:rPr>
        <w:t xml:space="preserve"> </w:t>
      </w:r>
      <w:r w:rsidRPr="00960F72">
        <w:rPr>
          <w:rFonts w:ascii="Verdana" w:hAnsi="Verdana"/>
          <w:sz w:val="16"/>
          <w:szCs w:val="16"/>
        </w:rPr>
        <w:t>por</w:t>
      </w:r>
      <w:r w:rsidRPr="00960F72">
        <w:rPr>
          <w:rFonts w:ascii="Verdana" w:hAnsi="Verdana"/>
          <w:spacing w:val="1"/>
          <w:sz w:val="16"/>
          <w:szCs w:val="16"/>
        </w:rPr>
        <w:t xml:space="preserve"> </w:t>
      </w:r>
      <w:r w:rsidRPr="00960F72">
        <w:rPr>
          <w:rFonts w:ascii="Verdana" w:hAnsi="Verdana"/>
          <w:sz w:val="16"/>
          <w:szCs w:val="16"/>
        </w:rPr>
        <w:t>establecimiento</w:t>
      </w:r>
      <w:r w:rsidRPr="00960F72">
        <w:rPr>
          <w:rFonts w:ascii="Verdana" w:hAnsi="Verdana"/>
          <w:spacing w:val="1"/>
          <w:sz w:val="16"/>
          <w:szCs w:val="16"/>
        </w:rPr>
        <w:t xml:space="preserve"> </w:t>
      </w:r>
      <w:r w:rsidRPr="00960F72">
        <w:rPr>
          <w:rFonts w:ascii="Verdana" w:hAnsi="Verdana"/>
          <w:sz w:val="16"/>
          <w:szCs w:val="16"/>
        </w:rPr>
        <w:t>de</w:t>
      </w:r>
      <w:r w:rsidRPr="00960F72">
        <w:rPr>
          <w:rFonts w:ascii="Verdana" w:hAnsi="Verdana"/>
          <w:spacing w:val="1"/>
          <w:sz w:val="16"/>
          <w:szCs w:val="16"/>
        </w:rPr>
        <w:t xml:space="preserve"> </w:t>
      </w:r>
      <w:r w:rsidRPr="00960F72">
        <w:rPr>
          <w:rFonts w:ascii="Verdana" w:hAnsi="Verdana"/>
          <w:sz w:val="16"/>
          <w:szCs w:val="16"/>
        </w:rPr>
        <w:t>comercio</w:t>
      </w:r>
      <w:r w:rsidRPr="00960F72">
        <w:rPr>
          <w:rFonts w:ascii="Verdana" w:hAnsi="Verdana"/>
          <w:spacing w:val="1"/>
          <w:sz w:val="16"/>
          <w:szCs w:val="16"/>
        </w:rPr>
        <w:t xml:space="preserve"> </w:t>
      </w:r>
      <w:r w:rsidRPr="00960F72">
        <w:rPr>
          <w:rFonts w:ascii="Verdana" w:hAnsi="Verdana"/>
          <w:sz w:val="16"/>
          <w:szCs w:val="16"/>
        </w:rPr>
        <w:t>un</w:t>
      </w:r>
      <w:r w:rsidRPr="00960F72">
        <w:rPr>
          <w:rFonts w:ascii="Verdana" w:hAnsi="Verdana"/>
          <w:spacing w:val="1"/>
          <w:sz w:val="16"/>
          <w:szCs w:val="16"/>
        </w:rPr>
        <w:t xml:space="preserve"> </w:t>
      </w:r>
      <w:r w:rsidRPr="00960F72">
        <w:rPr>
          <w:rFonts w:ascii="Verdana" w:hAnsi="Verdana"/>
          <w:sz w:val="16"/>
          <w:szCs w:val="16"/>
        </w:rPr>
        <w:t>conjunto de bienes organizados por el empresario para realizar los</w:t>
      </w:r>
      <w:r w:rsidRPr="00960F72">
        <w:rPr>
          <w:rFonts w:ascii="Verdana" w:hAnsi="Verdana"/>
          <w:spacing w:val="1"/>
          <w:sz w:val="16"/>
          <w:szCs w:val="16"/>
        </w:rPr>
        <w:t xml:space="preserve"> </w:t>
      </w:r>
      <w:r w:rsidRPr="00960F72">
        <w:rPr>
          <w:rFonts w:ascii="Verdana" w:hAnsi="Verdana"/>
          <w:sz w:val="16"/>
          <w:szCs w:val="16"/>
        </w:rPr>
        <w:t>fines</w:t>
      </w:r>
      <w:r w:rsidRPr="00960F72">
        <w:rPr>
          <w:rFonts w:ascii="Verdana" w:hAnsi="Verdana"/>
          <w:spacing w:val="1"/>
          <w:sz w:val="16"/>
          <w:szCs w:val="16"/>
        </w:rPr>
        <w:t xml:space="preserve"> </w:t>
      </w:r>
      <w:r w:rsidRPr="00960F72">
        <w:rPr>
          <w:rFonts w:ascii="Verdana" w:hAnsi="Verdana"/>
          <w:sz w:val="16"/>
          <w:szCs w:val="16"/>
        </w:rPr>
        <w:t>de</w:t>
      </w:r>
      <w:r w:rsidRPr="00960F72">
        <w:rPr>
          <w:rFonts w:ascii="Verdana" w:hAnsi="Verdana"/>
          <w:spacing w:val="1"/>
          <w:sz w:val="16"/>
          <w:szCs w:val="16"/>
        </w:rPr>
        <w:t xml:space="preserve"> </w:t>
      </w:r>
      <w:r w:rsidRPr="00960F72">
        <w:rPr>
          <w:rFonts w:ascii="Verdana" w:hAnsi="Verdana"/>
          <w:sz w:val="16"/>
          <w:szCs w:val="16"/>
        </w:rPr>
        <w:t>la</w:t>
      </w:r>
      <w:r w:rsidRPr="00960F72">
        <w:rPr>
          <w:rFonts w:ascii="Verdana" w:hAnsi="Verdana"/>
          <w:spacing w:val="1"/>
          <w:sz w:val="16"/>
          <w:szCs w:val="16"/>
        </w:rPr>
        <w:t xml:space="preserve"> </w:t>
      </w:r>
      <w:r w:rsidRPr="00960F72">
        <w:rPr>
          <w:rFonts w:ascii="Verdana" w:hAnsi="Verdana"/>
          <w:sz w:val="16"/>
          <w:szCs w:val="16"/>
        </w:rPr>
        <w:t>empresa.</w:t>
      </w:r>
      <w:r w:rsidRPr="00960F72">
        <w:rPr>
          <w:rFonts w:ascii="Verdana" w:hAnsi="Verdana"/>
          <w:spacing w:val="1"/>
          <w:sz w:val="16"/>
          <w:szCs w:val="16"/>
        </w:rPr>
        <w:t xml:space="preserve"> </w:t>
      </w:r>
      <w:r w:rsidRPr="00960F72">
        <w:rPr>
          <w:rFonts w:ascii="Verdana" w:hAnsi="Verdana"/>
          <w:sz w:val="16"/>
          <w:szCs w:val="16"/>
        </w:rPr>
        <w:t>Una</w:t>
      </w:r>
      <w:r w:rsidRPr="00960F72">
        <w:rPr>
          <w:rFonts w:ascii="Verdana" w:hAnsi="Verdana"/>
          <w:spacing w:val="1"/>
          <w:sz w:val="16"/>
          <w:szCs w:val="16"/>
        </w:rPr>
        <w:t xml:space="preserve"> </w:t>
      </w:r>
      <w:r w:rsidRPr="00960F72">
        <w:rPr>
          <w:rFonts w:ascii="Verdana" w:hAnsi="Verdana"/>
          <w:sz w:val="16"/>
          <w:szCs w:val="16"/>
        </w:rPr>
        <w:t>misma</w:t>
      </w:r>
      <w:r w:rsidRPr="00960F72">
        <w:rPr>
          <w:rFonts w:ascii="Verdana" w:hAnsi="Verdana"/>
          <w:spacing w:val="1"/>
          <w:sz w:val="16"/>
          <w:szCs w:val="16"/>
        </w:rPr>
        <w:t xml:space="preserve"> </w:t>
      </w:r>
      <w:r w:rsidRPr="00960F72">
        <w:rPr>
          <w:rFonts w:ascii="Verdana" w:hAnsi="Verdana"/>
          <w:sz w:val="16"/>
          <w:szCs w:val="16"/>
        </w:rPr>
        <w:t>persona</w:t>
      </w:r>
      <w:r w:rsidRPr="00960F72">
        <w:rPr>
          <w:rFonts w:ascii="Verdana" w:hAnsi="Verdana"/>
          <w:spacing w:val="1"/>
          <w:sz w:val="16"/>
          <w:szCs w:val="16"/>
        </w:rPr>
        <w:t xml:space="preserve"> </w:t>
      </w:r>
      <w:r w:rsidRPr="00960F72">
        <w:rPr>
          <w:rFonts w:ascii="Verdana" w:hAnsi="Verdana"/>
          <w:sz w:val="16"/>
          <w:szCs w:val="16"/>
        </w:rPr>
        <w:t>podrá</w:t>
      </w:r>
      <w:r w:rsidRPr="00960F72">
        <w:rPr>
          <w:rFonts w:ascii="Verdana" w:hAnsi="Verdana"/>
          <w:spacing w:val="1"/>
          <w:sz w:val="16"/>
          <w:szCs w:val="16"/>
        </w:rPr>
        <w:t xml:space="preserve"> </w:t>
      </w:r>
      <w:r w:rsidRPr="00960F72">
        <w:rPr>
          <w:rFonts w:ascii="Verdana" w:hAnsi="Verdana"/>
          <w:sz w:val="16"/>
          <w:szCs w:val="16"/>
        </w:rPr>
        <w:t>tener</w:t>
      </w:r>
      <w:r w:rsidRPr="00960F72">
        <w:rPr>
          <w:rFonts w:ascii="Verdana" w:hAnsi="Verdana"/>
          <w:spacing w:val="1"/>
          <w:sz w:val="16"/>
          <w:szCs w:val="16"/>
        </w:rPr>
        <w:t xml:space="preserve"> </w:t>
      </w:r>
      <w:r w:rsidRPr="00960F72">
        <w:rPr>
          <w:rFonts w:ascii="Verdana" w:hAnsi="Verdana"/>
          <w:sz w:val="16"/>
          <w:szCs w:val="16"/>
        </w:rPr>
        <w:t>varios</w:t>
      </w:r>
      <w:r w:rsidRPr="00960F72">
        <w:rPr>
          <w:rFonts w:ascii="Verdana" w:hAnsi="Verdana"/>
          <w:spacing w:val="1"/>
          <w:sz w:val="16"/>
          <w:szCs w:val="16"/>
        </w:rPr>
        <w:t xml:space="preserve"> </w:t>
      </w:r>
      <w:r w:rsidRPr="00960F72">
        <w:rPr>
          <w:rFonts w:ascii="Verdana" w:hAnsi="Verdana"/>
          <w:sz w:val="16"/>
          <w:szCs w:val="16"/>
        </w:rPr>
        <w:t>establecimientos de comercio, y, a su vez, un solo establecimiento de</w:t>
      </w:r>
      <w:r w:rsidRPr="00960F72">
        <w:rPr>
          <w:rFonts w:ascii="Verdana" w:hAnsi="Verdana"/>
          <w:spacing w:val="-71"/>
          <w:sz w:val="16"/>
          <w:szCs w:val="16"/>
        </w:rPr>
        <w:t xml:space="preserve"> </w:t>
      </w:r>
      <w:r w:rsidRPr="00960F72">
        <w:rPr>
          <w:rFonts w:ascii="Verdana" w:hAnsi="Verdana"/>
          <w:w w:val="95"/>
          <w:sz w:val="16"/>
          <w:szCs w:val="16"/>
        </w:rPr>
        <w:t>comercio podrá pertenecer a varias personas, y destinarse al desarrollo</w:t>
      </w:r>
      <w:r w:rsidRPr="00960F72">
        <w:rPr>
          <w:rFonts w:ascii="Verdana" w:hAnsi="Verdana"/>
          <w:spacing w:val="1"/>
          <w:w w:val="95"/>
          <w:sz w:val="16"/>
          <w:szCs w:val="16"/>
        </w:rPr>
        <w:t xml:space="preserve"> </w:t>
      </w:r>
      <w:r w:rsidRPr="00960F72">
        <w:rPr>
          <w:rFonts w:ascii="Verdana" w:hAnsi="Verdana"/>
          <w:sz w:val="16"/>
          <w:szCs w:val="16"/>
        </w:rPr>
        <w:t>de</w:t>
      </w:r>
      <w:r w:rsidRPr="00960F72">
        <w:rPr>
          <w:rFonts w:ascii="Verdana" w:hAnsi="Verdana"/>
          <w:spacing w:val="-2"/>
          <w:sz w:val="16"/>
          <w:szCs w:val="16"/>
        </w:rPr>
        <w:t xml:space="preserve"> </w:t>
      </w:r>
      <w:r w:rsidRPr="00960F72">
        <w:rPr>
          <w:rFonts w:ascii="Verdana" w:hAnsi="Verdana"/>
          <w:sz w:val="16"/>
          <w:szCs w:val="16"/>
        </w:rPr>
        <w:t>diversas</w:t>
      </w:r>
      <w:r w:rsidRPr="00960F72">
        <w:rPr>
          <w:rFonts w:ascii="Verdana" w:hAnsi="Verdana"/>
          <w:spacing w:val="-2"/>
          <w:sz w:val="16"/>
          <w:szCs w:val="16"/>
        </w:rPr>
        <w:t xml:space="preserve"> </w:t>
      </w:r>
      <w:r w:rsidRPr="00960F72">
        <w:rPr>
          <w:rFonts w:ascii="Verdana" w:hAnsi="Verdana"/>
          <w:sz w:val="16"/>
          <w:szCs w:val="16"/>
        </w:rPr>
        <w:t>actividades</w:t>
      </w:r>
      <w:r w:rsidRPr="00960F72">
        <w:rPr>
          <w:rFonts w:ascii="Verdana" w:hAnsi="Verdana"/>
          <w:spacing w:val="-2"/>
          <w:sz w:val="16"/>
          <w:szCs w:val="16"/>
        </w:rPr>
        <w:t xml:space="preserve"> </w:t>
      </w:r>
      <w:r w:rsidRPr="00960F72">
        <w:rPr>
          <w:rFonts w:ascii="Verdana" w:hAnsi="Verdana"/>
          <w:sz w:val="16"/>
          <w:szCs w:val="16"/>
        </w:rPr>
        <w:t>comerciales”.</w:t>
      </w:r>
    </w:p>
  </w:footnote>
  <w:footnote w:id="16">
    <w:p w14:paraId="16E3DB0B" w14:textId="77777777" w:rsidR="005D446A" w:rsidRPr="00960F72" w:rsidRDefault="005D446A" w:rsidP="005D446A">
      <w:pPr>
        <w:pStyle w:val="Car1"/>
        <w:ind w:firstLine="709"/>
        <w:contextualSpacing/>
        <w:jc w:val="both"/>
        <w:rPr>
          <w:rFonts w:ascii="Verdana" w:hAnsi="Verdana" w:cs="Arial"/>
          <w:bCs/>
          <w:sz w:val="16"/>
          <w:szCs w:val="16"/>
          <w:lang w:val="es-CO"/>
        </w:rPr>
      </w:pPr>
      <w:r w:rsidRPr="00960F72">
        <w:rPr>
          <w:rStyle w:val="Refdenotaalpie"/>
          <w:rFonts w:ascii="Verdana" w:hAnsi="Verdana" w:cs="Arial"/>
          <w:sz w:val="16"/>
          <w:szCs w:val="16"/>
          <w:lang w:val="es-CO"/>
        </w:rPr>
        <w:footnoteRef/>
      </w:r>
      <w:r w:rsidRPr="00960F72">
        <w:rPr>
          <w:rFonts w:ascii="Verdana" w:hAnsi="Verdana" w:cs="Arial"/>
          <w:sz w:val="16"/>
          <w:szCs w:val="16"/>
          <w:lang w:val="es-CO"/>
        </w:rPr>
        <w:t xml:space="preserve"> Al respecto, la doctrina ha señalado que </w:t>
      </w:r>
      <w:r w:rsidRPr="00960F72">
        <w:rPr>
          <w:rFonts w:ascii="Verdana" w:eastAsia="Calibri" w:hAnsi="Verdana" w:cs="Arial"/>
          <w:bCs/>
          <w:sz w:val="16"/>
          <w:szCs w:val="16"/>
          <w:lang w:val="es-CO"/>
        </w:rPr>
        <w:t xml:space="preserve">“inseparable del elemento objetivo – actividad económica organizada- y del subjetivo – empresario mercantil - </w:t>
      </w:r>
      <w:r w:rsidRPr="00960F72">
        <w:rPr>
          <w:rFonts w:ascii="Verdana" w:hAnsi="Verdana" w:cs="Arial"/>
          <w:sz w:val="16"/>
          <w:szCs w:val="16"/>
          <w:lang w:val="es-CO"/>
        </w:rPr>
        <w:t xml:space="preserve">la empresa comercial requiere un elemento funcional llamado establecimiento de comercio, que es un conjunto heterogéneo de bienes destinados específicamente por el empresario a desarrollar la actividad organizada. Así lo establece la definición prevista en el artículo 25 del Código de Comercio: “[…] Dicha </w:t>
      </w:r>
      <w:r w:rsidRPr="00960F72">
        <w:rPr>
          <w:rFonts w:ascii="Verdana" w:hAnsi="Verdana" w:cs="Arial"/>
          <w:bCs/>
          <w:sz w:val="16"/>
          <w:szCs w:val="16"/>
          <w:lang w:val="es-CO"/>
        </w:rPr>
        <w:t>actividad se realizará a través de uno o más establecimientos de comercio”</w:t>
      </w:r>
      <w:r w:rsidRPr="00960F72">
        <w:rPr>
          <w:rFonts w:ascii="Verdana" w:eastAsia="Calibri" w:hAnsi="Verdana" w:cs="Arial"/>
          <w:bCs/>
          <w:sz w:val="16"/>
          <w:szCs w:val="16"/>
          <w:lang w:val="es-CO"/>
        </w:rPr>
        <w:t>”</w:t>
      </w:r>
      <w:r w:rsidRPr="00960F72">
        <w:rPr>
          <w:rFonts w:ascii="Verdana" w:hAnsi="Verdana" w:cs="Arial"/>
          <w:bCs/>
          <w:sz w:val="16"/>
          <w:szCs w:val="16"/>
          <w:lang w:val="es-CO"/>
        </w:rPr>
        <w:t>. (CASTRO DE CIFUENTES, Marcela. Derecho Comercial. Actos de comercio, empresas comerciantes y empresarios. Universidad de los Andes. 2016. Pág. 109).</w:t>
      </w:r>
    </w:p>
    <w:p w14:paraId="3E56FAD4" w14:textId="77777777" w:rsidR="005D446A" w:rsidRPr="00960F72" w:rsidRDefault="005D446A" w:rsidP="005D446A">
      <w:pPr>
        <w:pStyle w:val="Textonotapie"/>
        <w:contextualSpacing/>
        <w:jc w:val="both"/>
        <w:rPr>
          <w:rFonts w:ascii="Verdana" w:hAnsi="Verdana" w:cs="Arial"/>
          <w:sz w:val="16"/>
          <w:szCs w:val="16"/>
          <w:lang w:val="es-CO"/>
        </w:rPr>
      </w:pPr>
    </w:p>
  </w:footnote>
  <w:footnote w:id="17">
    <w:p w14:paraId="29E17BF2" w14:textId="77777777" w:rsidR="005D446A" w:rsidRPr="00B076AE" w:rsidRDefault="005D446A" w:rsidP="005D446A">
      <w:pPr>
        <w:pStyle w:val="Textonotapie"/>
        <w:ind w:firstLine="708"/>
        <w:contextualSpacing/>
        <w:jc w:val="both"/>
        <w:rPr>
          <w:rFonts w:ascii="Verdana" w:hAnsi="Verdana"/>
          <w:sz w:val="16"/>
          <w:szCs w:val="16"/>
        </w:rPr>
      </w:pPr>
      <w:r w:rsidRPr="00960F72">
        <w:rPr>
          <w:rStyle w:val="Refdenotaalpie"/>
          <w:rFonts w:ascii="Verdana" w:hAnsi="Verdana"/>
          <w:sz w:val="16"/>
          <w:szCs w:val="16"/>
          <w:lang w:val="es-CO"/>
        </w:rPr>
        <w:footnoteRef/>
      </w:r>
      <w:r w:rsidRPr="00960F72">
        <w:rPr>
          <w:rFonts w:ascii="Verdana" w:hAnsi="Verdana"/>
          <w:sz w:val="16"/>
          <w:szCs w:val="16"/>
          <w:lang w:val="es-CO"/>
        </w:rPr>
        <w:t xml:space="preserve"> DEPARTAMENTO ADMINISTRATIVO NACIONAL DE ESTADÍSTICA. Clasificación Industrial Internacional Uniforme de todas las actividades económicas. Revisión 4 Adaptada para Colombia. 2022. Consultado el 19 de marzo de 2025 en la página web </w:t>
      </w:r>
      <w:hyperlink r:id="rId2" w:history="1">
        <w:r w:rsidRPr="00960F72">
          <w:rPr>
            <w:rStyle w:val="Hipervnculo"/>
            <w:rFonts w:ascii="Verdana" w:hAnsi="Verdana"/>
            <w:sz w:val="16"/>
            <w:szCs w:val="16"/>
            <w:lang w:val="es-CO"/>
          </w:rPr>
          <w:t>https://www.dane.gov.co/files/sen/nomenclatura/ciiu/CIIU_Rev_4_AC2022.pdf</w:t>
        </w:r>
      </w:hyperlink>
      <w:r w:rsidRPr="00960F72">
        <w:rPr>
          <w:rFonts w:ascii="Verdana" w:hAnsi="Verdana"/>
          <w:sz w:val="16"/>
          <w:szCs w:val="16"/>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194183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3FA"/>
    <w:rsid w:val="00016F78"/>
    <w:rsid w:val="00046945"/>
    <w:rsid w:val="00061B2A"/>
    <w:rsid w:val="00082362"/>
    <w:rsid w:val="000824C7"/>
    <w:rsid w:val="000A0470"/>
    <w:rsid w:val="000A683E"/>
    <w:rsid w:val="000B19B9"/>
    <w:rsid w:val="000B424C"/>
    <w:rsid w:val="000D0334"/>
    <w:rsid w:val="000F6486"/>
    <w:rsid w:val="000F766C"/>
    <w:rsid w:val="00125105"/>
    <w:rsid w:val="00127233"/>
    <w:rsid w:val="00170704"/>
    <w:rsid w:val="001E4177"/>
    <w:rsid w:val="001F7DC6"/>
    <w:rsid w:val="002421BB"/>
    <w:rsid w:val="0025796E"/>
    <w:rsid w:val="002707A2"/>
    <w:rsid w:val="00273CCD"/>
    <w:rsid w:val="00293D89"/>
    <w:rsid w:val="002951A0"/>
    <w:rsid w:val="002962BC"/>
    <w:rsid w:val="002A093D"/>
    <w:rsid w:val="002A0DD0"/>
    <w:rsid w:val="002A49AC"/>
    <w:rsid w:val="002A64FD"/>
    <w:rsid w:val="002C7A84"/>
    <w:rsid w:val="002E4FD9"/>
    <w:rsid w:val="00322A85"/>
    <w:rsid w:val="00324168"/>
    <w:rsid w:val="003448F4"/>
    <w:rsid w:val="00374F5E"/>
    <w:rsid w:val="00377E3E"/>
    <w:rsid w:val="00387218"/>
    <w:rsid w:val="003A779E"/>
    <w:rsid w:val="003B2697"/>
    <w:rsid w:val="003B5446"/>
    <w:rsid w:val="003D0F4D"/>
    <w:rsid w:val="003D5B0D"/>
    <w:rsid w:val="003E0499"/>
    <w:rsid w:val="003F3941"/>
    <w:rsid w:val="00406575"/>
    <w:rsid w:val="00414C74"/>
    <w:rsid w:val="0042722E"/>
    <w:rsid w:val="0044528D"/>
    <w:rsid w:val="004A1847"/>
    <w:rsid w:val="004A305D"/>
    <w:rsid w:val="004F21C4"/>
    <w:rsid w:val="004F685F"/>
    <w:rsid w:val="005137DB"/>
    <w:rsid w:val="005566E8"/>
    <w:rsid w:val="00574867"/>
    <w:rsid w:val="00575DBD"/>
    <w:rsid w:val="00591460"/>
    <w:rsid w:val="005C3777"/>
    <w:rsid w:val="005C5CDC"/>
    <w:rsid w:val="005D446A"/>
    <w:rsid w:val="005D476C"/>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A8E"/>
    <w:rsid w:val="00806F5F"/>
    <w:rsid w:val="00820278"/>
    <w:rsid w:val="00867F95"/>
    <w:rsid w:val="008843B6"/>
    <w:rsid w:val="00891928"/>
    <w:rsid w:val="00897A3A"/>
    <w:rsid w:val="008A446D"/>
    <w:rsid w:val="008B5BAF"/>
    <w:rsid w:val="008D180B"/>
    <w:rsid w:val="008F0EA7"/>
    <w:rsid w:val="00923059"/>
    <w:rsid w:val="00923EEF"/>
    <w:rsid w:val="00926350"/>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96286"/>
    <w:rsid w:val="00AB0ADB"/>
    <w:rsid w:val="00AC3720"/>
    <w:rsid w:val="00B00C0E"/>
    <w:rsid w:val="00B01B1A"/>
    <w:rsid w:val="00B2454C"/>
    <w:rsid w:val="00B44A47"/>
    <w:rsid w:val="00B72CD3"/>
    <w:rsid w:val="00B72FFF"/>
    <w:rsid w:val="00B84DCD"/>
    <w:rsid w:val="00BC3D36"/>
    <w:rsid w:val="00BD7F72"/>
    <w:rsid w:val="00C04FB3"/>
    <w:rsid w:val="00C330EB"/>
    <w:rsid w:val="00C754BE"/>
    <w:rsid w:val="00C76B1C"/>
    <w:rsid w:val="00CB6357"/>
    <w:rsid w:val="00CC1B26"/>
    <w:rsid w:val="00CF6BC2"/>
    <w:rsid w:val="00D423A2"/>
    <w:rsid w:val="00D520D8"/>
    <w:rsid w:val="00D63AC2"/>
    <w:rsid w:val="00D7383B"/>
    <w:rsid w:val="00DA231B"/>
    <w:rsid w:val="00DC39FC"/>
    <w:rsid w:val="00DF5254"/>
    <w:rsid w:val="00E16408"/>
    <w:rsid w:val="00E20894"/>
    <w:rsid w:val="00E245AB"/>
    <w:rsid w:val="00E2764C"/>
    <w:rsid w:val="00E27F2E"/>
    <w:rsid w:val="00E50AFE"/>
    <w:rsid w:val="00E52900"/>
    <w:rsid w:val="00E75C92"/>
    <w:rsid w:val="00E771DC"/>
    <w:rsid w:val="00E8772A"/>
    <w:rsid w:val="00E90F6B"/>
    <w:rsid w:val="00E92C27"/>
    <w:rsid w:val="00EA0E3D"/>
    <w:rsid w:val="00EC38A7"/>
    <w:rsid w:val="00EE1AA8"/>
    <w:rsid w:val="00EF08A3"/>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D446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D446A"/>
    <w:rPr>
      <w:rFonts w:ascii="Geomanist Light" w:hAnsi="Geomanist Light"/>
      <w:lang w:val="es-ES"/>
    </w:rPr>
  </w:style>
  <w:style w:type="character" w:customStyle="1" w:styleId="NormalWebCar">
    <w:name w:val="Normal (Web) Car"/>
    <w:link w:val="NormalWeb"/>
    <w:uiPriority w:val="99"/>
    <w:locked/>
    <w:rsid w:val="005D446A"/>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5D446A"/>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dane.gov.co/files/sen/nomenclatura/ciiu/CIIU_Rev_4_AC2022.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manuales-guias-y-pliegos-tipo/manuales-y-guia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sef-sanchezo@unilibre.edu.co"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dane.gov.co/files/sen/nomenclatura/ciiu/CIIU_Rev_4_AC2022.pdf" TargetMode="External"/><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9d85dbaf-23eb-4e57-a637-93dcacc8b1a1"/>
    <ds:schemaRef ds:uri="http://purl.org/dc/elements/1.1/"/>
    <ds:schemaRef ds:uri="http://schemas.microsoft.com/office/2006/metadata/properties"/>
    <ds:schemaRef ds:uri="http://schemas.microsoft.com/office/infopath/2007/PartnerControls"/>
    <ds:schemaRef ds:uri="http://schemas.microsoft.com/office/2006/documentManagement/types"/>
    <ds:schemaRef ds:uri="http://purl.org/dc/terms/"/>
    <ds:schemaRef ds:uri="a6cb9e4b-f1d1-4245-83ec-6cad768d538a"/>
    <ds:schemaRef ds:uri="http://purl.org/dc/dcmitype/"/>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0E498C76-B66C-4D35-9F42-B0DF874F70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6610</Words>
  <Characters>36161</Characters>
  <Application>Microsoft Office Word</Application>
  <DocSecurity>0</DocSecurity>
  <Lines>669</Lines>
  <Paragraphs>130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2025-09-29T21:45:00Z</dcterms:created>
  <dcterms:modified xsi:type="dcterms:W3CDTF">2025-09-29T21:45:00Z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