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42A0A" w14:textId="7D470505" w:rsidR="00A249CD" w:rsidRDefault="00A249CD" w:rsidP="00082FD5">
      <w:pPr>
        <w:spacing w:after="0" w:line="240" w:lineRule="auto"/>
        <w:jc w:val="both"/>
        <w:rPr>
          <w:rFonts w:ascii="Verdana" w:hAnsi="Verdana" w:cs="Arial"/>
          <w:b/>
          <w:bCs/>
          <w:lang w:val="es-MX" w:eastAsia="es-ES_tradnl"/>
        </w:rPr>
      </w:pPr>
      <w:bookmarkStart w:id="0" w:name="_Hlk143780582"/>
      <w:bookmarkStart w:id="1" w:name="_Hlk202875225"/>
      <w:bookmarkStart w:id="2" w:name="_Hlk203032812"/>
      <w:bookmarkStart w:id="3" w:name="_Hlk204367265"/>
      <w:bookmarkStart w:id="4" w:name="_Hlk206116713"/>
      <w:bookmarkStart w:id="5" w:name="_Hlk209418979"/>
      <w:r w:rsidRPr="00A249CD">
        <w:rPr>
          <w:rFonts w:ascii="Verdana" w:hAnsi="Verdana" w:cs="Arial"/>
          <w:b/>
          <w:bCs/>
          <w:lang w:val="es-MX" w:eastAsia="es-ES_tradnl"/>
        </w:rPr>
        <w:t>LEY DE GARANTÍAS ELECTORALES ‒ Finalidad</w:t>
      </w:r>
    </w:p>
    <w:p w14:paraId="7D5CBCE0" w14:textId="77777777" w:rsidR="00A249CD" w:rsidRDefault="00A249CD" w:rsidP="00082FD5">
      <w:pPr>
        <w:spacing w:after="0" w:line="240" w:lineRule="auto"/>
        <w:jc w:val="both"/>
        <w:rPr>
          <w:rFonts w:ascii="Verdana" w:hAnsi="Verdana" w:cs="Arial"/>
          <w:b/>
          <w:bCs/>
          <w:lang w:val="es-MX" w:eastAsia="es-ES_tradnl"/>
        </w:rPr>
      </w:pPr>
    </w:p>
    <w:p w14:paraId="0E855933" w14:textId="4A3677DF" w:rsidR="00A249CD" w:rsidRDefault="00A249CD" w:rsidP="00082FD5">
      <w:pPr>
        <w:spacing w:after="0" w:line="240" w:lineRule="auto"/>
        <w:jc w:val="both"/>
        <w:rPr>
          <w:rFonts w:ascii="Verdana" w:eastAsia="Times New Roman" w:hAnsi="Verdana" w:cs="Arial"/>
          <w:bCs/>
          <w:sz w:val="20"/>
          <w:szCs w:val="20"/>
          <w:lang w:eastAsia="es-CO"/>
        </w:rPr>
      </w:pPr>
      <w:r w:rsidRPr="00A249CD">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r>
        <w:rPr>
          <w:rFonts w:ascii="Verdana" w:eastAsia="Times New Roman" w:hAnsi="Verdana" w:cs="Arial"/>
          <w:bCs/>
          <w:sz w:val="20"/>
          <w:szCs w:val="20"/>
          <w:lang w:eastAsia="es-CO"/>
        </w:rPr>
        <w:t>.</w:t>
      </w:r>
    </w:p>
    <w:p w14:paraId="1BFAA826" w14:textId="77777777" w:rsidR="00A249CD" w:rsidRDefault="00A249CD" w:rsidP="00082FD5">
      <w:pPr>
        <w:spacing w:after="0" w:line="240" w:lineRule="auto"/>
        <w:jc w:val="both"/>
        <w:rPr>
          <w:rFonts w:ascii="Verdana" w:eastAsia="Times New Roman" w:hAnsi="Verdana" w:cs="Arial"/>
          <w:bCs/>
          <w:sz w:val="20"/>
          <w:szCs w:val="20"/>
          <w:lang w:eastAsia="es-CO"/>
        </w:rPr>
      </w:pPr>
    </w:p>
    <w:p w14:paraId="08D0FDE2" w14:textId="3AA35C1D" w:rsidR="00A249CD" w:rsidRDefault="00735C42" w:rsidP="00082FD5">
      <w:pPr>
        <w:spacing w:after="0" w:line="240" w:lineRule="auto"/>
        <w:jc w:val="both"/>
        <w:rPr>
          <w:rFonts w:ascii="Verdana" w:hAnsi="Verdana" w:cs="Arial"/>
          <w:b/>
          <w:bCs/>
          <w:lang w:val="es-MX" w:eastAsia="es-ES_tradnl"/>
        </w:rPr>
      </w:pPr>
      <w:r w:rsidRPr="00735C42">
        <w:rPr>
          <w:rFonts w:ascii="Verdana" w:hAnsi="Verdana" w:cs="Arial"/>
          <w:b/>
          <w:bCs/>
          <w:lang w:val="es-MX" w:eastAsia="es-ES_tradnl"/>
        </w:rPr>
        <w:t>LEY DE GARANTÍAS ELECTORALES ‒ Prohibición - contratación directa</w:t>
      </w:r>
    </w:p>
    <w:p w14:paraId="43F61D14" w14:textId="77777777" w:rsidR="00735C42" w:rsidRDefault="00735C42" w:rsidP="00082FD5">
      <w:pPr>
        <w:spacing w:after="0" w:line="240" w:lineRule="auto"/>
        <w:jc w:val="both"/>
        <w:rPr>
          <w:rFonts w:ascii="Verdana" w:hAnsi="Verdana" w:cs="Arial"/>
          <w:b/>
          <w:bCs/>
          <w:lang w:val="es-MX" w:eastAsia="es-ES_tradnl"/>
        </w:rPr>
      </w:pPr>
    </w:p>
    <w:p w14:paraId="12A9B6F7" w14:textId="4D6575FC" w:rsidR="00735C42" w:rsidRPr="00735C42" w:rsidRDefault="00735C42" w:rsidP="00735C42">
      <w:pPr>
        <w:spacing w:after="0" w:line="240" w:lineRule="auto"/>
        <w:jc w:val="both"/>
        <w:rPr>
          <w:rFonts w:ascii="Verdana" w:eastAsia="Calibri" w:hAnsi="Verdana" w:cs="Arial"/>
          <w:sz w:val="20"/>
          <w:szCs w:val="20"/>
        </w:rPr>
      </w:pPr>
      <w:r w:rsidRPr="00735C42">
        <w:rPr>
          <w:rFonts w:ascii="Verdana" w:eastAsia="Calibri" w:hAnsi="Verdana" w:cs="Arial"/>
          <w:sz w:val="20"/>
          <w:szCs w:val="20"/>
        </w:rPr>
        <w:t xml:space="preserve">El artículo 33 de la Ley 996 de 2005 prohíbe </w:t>
      </w:r>
      <w:r w:rsidRPr="00735C42">
        <w:rPr>
          <w:rFonts w:ascii="Verdana" w:eastAsia="Calibri" w:hAnsi="Verdana" w:cs="Arial"/>
          <w:bCs/>
          <w:sz w:val="20"/>
          <w:szCs w:val="20"/>
        </w:rPr>
        <w:t xml:space="preserve">“(…) </w:t>
      </w:r>
      <w:r w:rsidRPr="00735C42">
        <w:rPr>
          <w:rFonts w:ascii="Verdana" w:eastAsia="Calibri" w:hAnsi="Verdana" w:cs="Arial"/>
          <w:sz w:val="20"/>
          <w:szCs w:val="20"/>
        </w:rPr>
        <w:t xml:space="preserve">la contratación directa por parte de todos los entes del Estado” durante los cuatro (4) meses anteriores a las elecciones presidenciales, salvo </w:t>
      </w:r>
      <w:r w:rsidRPr="00735C42">
        <w:rPr>
          <w:rFonts w:ascii="Verdana" w:eastAsia="Calibri" w:hAnsi="Verdana" w:cs="Arial"/>
          <w:bCs/>
          <w:sz w:val="20"/>
          <w:szCs w:val="20"/>
        </w:rPr>
        <w:t>“(…) l</w:t>
      </w:r>
      <w:r w:rsidRPr="00735C42">
        <w:rPr>
          <w:rFonts w:ascii="Verdana" w:eastAsia="Calibri"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3DF3A3F" w14:textId="77777777" w:rsidR="00735C42" w:rsidRDefault="00735C42" w:rsidP="00735C42">
      <w:pPr>
        <w:spacing w:after="0" w:line="240" w:lineRule="auto"/>
        <w:jc w:val="both"/>
        <w:rPr>
          <w:rFonts w:ascii="Verdana" w:eastAsia="Times New Roman" w:hAnsi="Verdana" w:cs="Arial"/>
          <w:sz w:val="20"/>
          <w:szCs w:val="20"/>
          <w:lang w:val="es-MX" w:eastAsia="x-none"/>
        </w:rPr>
      </w:pPr>
    </w:p>
    <w:p w14:paraId="7AC8AD55" w14:textId="2B46BD77" w:rsidR="00735C42" w:rsidRPr="00735C42" w:rsidRDefault="00735C42" w:rsidP="00735C42">
      <w:pPr>
        <w:spacing w:after="0" w:line="240" w:lineRule="auto"/>
        <w:jc w:val="both"/>
        <w:rPr>
          <w:rFonts w:ascii="Verdana" w:hAnsi="Verdana"/>
          <w:b/>
          <w:bCs/>
          <w:sz w:val="20"/>
          <w:szCs w:val="20"/>
          <w:lang w:val="es-MX"/>
        </w:rPr>
      </w:pPr>
      <w:r w:rsidRPr="00735C42">
        <w:rPr>
          <w:rFonts w:ascii="Verdana" w:eastAsia="Times New Roman" w:hAnsi="Verdana" w:cs="Arial"/>
          <w:sz w:val="20"/>
          <w:szCs w:val="20"/>
          <w:lang w:val="es-MX" w:eastAsia="x-none"/>
        </w:rPr>
        <w:t xml:space="preserve">El ámbito material de la prohibición contenida en el artículo 33 de la Ley 996 de 2005 está delimitado por la expresión </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queda prohibida la contratación directa</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w:t>
      </w:r>
    </w:p>
    <w:p w14:paraId="5B04D5F5" w14:textId="77777777" w:rsidR="00A249CD" w:rsidRPr="00735C42" w:rsidRDefault="00A249CD" w:rsidP="00735C42">
      <w:pPr>
        <w:spacing w:after="0" w:line="240" w:lineRule="auto"/>
        <w:jc w:val="both"/>
        <w:rPr>
          <w:rFonts w:ascii="Verdana" w:hAnsi="Verdana"/>
          <w:sz w:val="20"/>
          <w:szCs w:val="20"/>
        </w:rPr>
      </w:pPr>
    </w:p>
    <w:p w14:paraId="4A9D9D03" w14:textId="34AFEF93" w:rsidR="00A249CD" w:rsidRPr="00735C42" w:rsidRDefault="00735C42" w:rsidP="00735C42">
      <w:pPr>
        <w:spacing w:after="0" w:line="240" w:lineRule="auto"/>
        <w:jc w:val="both"/>
        <w:rPr>
          <w:rFonts w:ascii="Verdana" w:eastAsia="Times New Roman" w:hAnsi="Verdana" w:cs="Arial"/>
          <w:sz w:val="20"/>
          <w:szCs w:val="20"/>
          <w:lang w:eastAsia="x-none"/>
        </w:rPr>
      </w:pPr>
      <w:r w:rsidRPr="00735C42">
        <w:rPr>
          <w:rFonts w:ascii="Verdana" w:hAnsi="Verdana"/>
          <w:sz w:val="20"/>
          <w:szCs w:val="20"/>
        </w:rPr>
        <w:t xml:space="preserve">[…] </w:t>
      </w:r>
      <w:r w:rsidRPr="00735C42">
        <w:rPr>
          <w:rFonts w:ascii="Verdana" w:eastAsia="Times New Roman" w:hAnsi="Verdana" w:cs="Arial"/>
          <w:sz w:val="20"/>
          <w:szCs w:val="20"/>
          <w:lang w:eastAsia="x-none"/>
        </w:rPr>
        <w:t xml:space="preserve">la prohibición del artículo 33 de la Ley de Garantías Electorales se refiere a </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cualquier sistema que no implique convocatoria pública y posibilidad de pluralidad de oferentes</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w:t>
      </w:r>
    </w:p>
    <w:p w14:paraId="3505B3FC" w14:textId="77777777" w:rsidR="00735C42" w:rsidRDefault="00735C42" w:rsidP="00082FD5">
      <w:pPr>
        <w:spacing w:after="0" w:line="240" w:lineRule="auto"/>
        <w:jc w:val="both"/>
        <w:rPr>
          <w:rFonts w:ascii="Verdana" w:eastAsia="Times New Roman" w:hAnsi="Verdana" w:cs="Arial"/>
          <w:lang w:eastAsia="x-none"/>
        </w:rPr>
      </w:pPr>
    </w:p>
    <w:p w14:paraId="601D41C9" w14:textId="44895340" w:rsidR="00735C42" w:rsidRPr="00735C42" w:rsidRDefault="00735C42" w:rsidP="00082FD5">
      <w:pPr>
        <w:spacing w:after="0" w:line="240" w:lineRule="auto"/>
        <w:jc w:val="both"/>
        <w:rPr>
          <w:rFonts w:ascii="Verdana" w:eastAsia="Times New Roman" w:hAnsi="Verdana" w:cs="Arial"/>
          <w:b/>
          <w:bCs/>
          <w:lang w:eastAsia="x-none"/>
        </w:rPr>
      </w:pPr>
      <w:r w:rsidRPr="00735C42">
        <w:rPr>
          <w:rFonts w:ascii="Verdana" w:eastAsia="Times New Roman" w:hAnsi="Verdana" w:cs="Arial"/>
          <w:b/>
          <w:bCs/>
          <w:lang w:eastAsia="es-ES_tradnl"/>
        </w:rPr>
        <w:t>LEY DE GARANTÍAS ELECTORALES ─ Prohibición ‒ Contratación directa ‒ Excepciones</w:t>
      </w:r>
    </w:p>
    <w:p w14:paraId="6D745DB7" w14:textId="77777777" w:rsidR="00735C42" w:rsidRDefault="00735C42" w:rsidP="00082FD5">
      <w:pPr>
        <w:spacing w:after="0" w:line="240" w:lineRule="auto"/>
        <w:jc w:val="both"/>
        <w:rPr>
          <w:rFonts w:ascii="Verdana" w:eastAsia="Times New Roman" w:hAnsi="Verdana" w:cs="Arial"/>
          <w:lang w:eastAsia="x-none"/>
        </w:rPr>
      </w:pPr>
    </w:p>
    <w:p w14:paraId="333DBF42" w14:textId="3B104A35" w:rsidR="00735C42" w:rsidRDefault="000855C8" w:rsidP="00082FD5">
      <w:pPr>
        <w:spacing w:after="0" w:line="240" w:lineRule="auto"/>
        <w:jc w:val="both"/>
        <w:rPr>
          <w:rFonts w:ascii="Verdana" w:eastAsia="Times New Roman" w:hAnsi="Verdana" w:cs="Arial"/>
          <w:sz w:val="20"/>
          <w:szCs w:val="20"/>
          <w:lang w:val="es-MX" w:eastAsia="es-CO"/>
        </w:rPr>
      </w:pPr>
      <w:r w:rsidRPr="000855C8">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0855C8">
        <w:rPr>
          <w:rFonts w:ascii="Verdana" w:eastAsia="Times New Roman" w:hAnsi="Verdana" w:cs="Arial"/>
          <w:sz w:val="20"/>
          <w:szCs w:val="20"/>
          <w:lang w:val="es-MX" w:eastAsia="x-none"/>
        </w:rPr>
        <w:t>ii</w:t>
      </w:r>
      <w:proofErr w:type="spellEnd"/>
      <w:r w:rsidRPr="000855C8">
        <w:rPr>
          <w:rFonts w:ascii="Verdana" w:eastAsia="Times New Roman" w:hAnsi="Verdana" w:cs="Arial"/>
          <w:sz w:val="20"/>
          <w:szCs w:val="20"/>
          <w:lang w:val="es-MX" w:eastAsia="x-none"/>
        </w:rPr>
        <w:t xml:space="preserve">) los contratos de crédito público; </w:t>
      </w:r>
      <w:proofErr w:type="spellStart"/>
      <w:r w:rsidRPr="000855C8">
        <w:rPr>
          <w:rFonts w:ascii="Verdana" w:eastAsia="Times New Roman" w:hAnsi="Verdana" w:cs="Arial"/>
          <w:sz w:val="20"/>
          <w:szCs w:val="20"/>
          <w:lang w:val="es-MX" w:eastAsia="x-none"/>
        </w:rPr>
        <w:t>iii</w:t>
      </w:r>
      <w:proofErr w:type="spellEnd"/>
      <w:r w:rsidRPr="000855C8">
        <w:rPr>
          <w:rFonts w:ascii="Verdana" w:eastAsia="Times New Roman" w:hAnsi="Verdana" w:cs="Arial"/>
          <w:sz w:val="20"/>
          <w:szCs w:val="20"/>
          <w:lang w:val="es-MX" w:eastAsia="x-none"/>
        </w:rPr>
        <w:t xml:space="preserve">) los requeridos para cubrir las emergencias educativas, sanitarias y desastres; </w:t>
      </w:r>
      <w:proofErr w:type="spellStart"/>
      <w:r w:rsidRPr="000855C8">
        <w:rPr>
          <w:rFonts w:ascii="Verdana" w:eastAsia="Times New Roman" w:hAnsi="Verdana" w:cs="Arial"/>
          <w:sz w:val="20"/>
          <w:szCs w:val="20"/>
          <w:lang w:val="es-MX" w:eastAsia="x-none"/>
        </w:rPr>
        <w:t>iv</w:t>
      </w:r>
      <w:proofErr w:type="spellEnd"/>
      <w:r w:rsidRPr="000855C8">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855C8">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32F4EC6" w14:textId="77777777" w:rsidR="000855C8" w:rsidRDefault="000855C8" w:rsidP="00082FD5">
      <w:pPr>
        <w:spacing w:after="0" w:line="240" w:lineRule="auto"/>
        <w:jc w:val="both"/>
        <w:rPr>
          <w:rFonts w:ascii="Verdana" w:eastAsia="Times New Roman" w:hAnsi="Verdana" w:cs="Arial"/>
          <w:sz w:val="20"/>
          <w:szCs w:val="20"/>
          <w:lang w:val="es-MX" w:eastAsia="es-CO"/>
        </w:rPr>
      </w:pPr>
    </w:p>
    <w:p w14:paraId="4EB4129A" w14:textId="283DABC6" w:rsidR="000855C8" w:rsidRDefault="000855C8" w:rsidP="000855C8">
      <w:pPr>
        <w:spacing w:after="0" w:line="240" w:lineRule="auto"/>
        <w:jc w:val="both"/>
        <w:rPr>
          <w:rFonts w:ascii="Verdana" w:eastAsia="Times New Roman" w:hAnsi="Verdana" w:cs="Arial"/>
          <w:sz w:val="20"/>
          <w:szCs w:val="20"/>
          <w:lang w:val="es-MX" w:eastAsia="x-none"/>
        </w:rPr>
      </w:pPr>
      <w:r w:rsidRPr="000855C8">
        <w:rPr>
          <w:rFonts w:ascii="Verdana" w:eastAsia="Times New Roman" w:hAnsi="Verdana" w:cs="Arial"/>
          <w:sz w:val="20"/>
          <w:szCs w:val="20"/>
          <w:lang w:val="es-MX" w:eastAsia="x-none"/>
        </w:rPr>
        <w:lastRenderedPageBreak/>
        <w:t>En esta labor es importante tener en cuenta, como lo anotó la Corte Constitucional, en Sentencia C-1153 de noviembre 11 de 2005</w:t>
      </w:r>
      <w:r w:rsidRPr="000855C8">
        <w:rPr>
          <w:rFonts w:ascii="Verdana" w:eastAsia="Calibri" w:hAnsi="Verdana" w:cs="Arial"/>
          <w:sz w:val="20"/>
          <w:szCs w:val="20"/>
          <w:lang w:val="es-MX"/>
        </w:rPr>
        <w:t>,</w:t>
      </w:r>
      <w:r w:rsidRPr="000855C8">
        <w:rPr>
          <w:rFonts w:ascii="Verdana" w:eastAsia="Times New Roman" w:hAnsi="Verdana" w:cs="Arial"/>
          <w:sz w:val="20"/>
          <w:szCs w:val="20"/>
          <w:lang w:val="es-MX"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0855C8">
        <w:rPr>
          <w:rFonts w:ascii="Verdana" w:eastAsia="Times New Roman" w:hAnsi="Verdana" w:cs="Arial"/>
          <w:sz w:val="20"/>
          <w:szCs w:val="20"/>
          <w:lang w:val="es-MX" w:eastAsia="es-CO"/>
        </w:rPr>
        <w:t>candidatos</w:t>
      </w:r>
      <w:r w:rsidRPr="000855C8">
        <w:rPr>
          <w:rFonts w:ascii="Verdana" w:eastAsia="Times New Roman" w:hAnsi="Verdana" w:cs="Arial"/>
          <w:sz w:val="20"/>
          <w:szCs w:val="20"/>
          <w:lang w:val="es-MX" w:eastAsia="x-none"/>
        </w:rPr>
        <w:t xml:space="preserve"> como garantía electoral.</w:t>
      </w:r>
    </w:p>
    <w:p w14:paraId="7AD1B018" w14:textId="77777777" w:rsidR="000855C8" w:rsidRDefault="000855C8" w:rsidP="000855C8">
      <w:pPr>
        <w:spacing w:after="0" w:line="240" w:lineRule="auto"/>
        <w:jc w:val="both"/>
        <w:rPr>
          <w:rFonts w:ascii="Verdana" w:eastAsia="Times New Roman" w:hAnsi="Verdana" w:cs="Arial"/>
          <w:sz w:val="20"/>
          <w:szCs w:val="20"/>
          <w:lang w:val="es-MX" w:eastAsia="x-none"/>
        </w:rPr>
      </w:pPr>
    </w:p>
    <w:p w14:paraId="721311A8" w14:textId="74F9AF32" w:rsidR="000855C8" w:rsidRPr="000855C8" w:rsidRDefault="000855C8" w:rsidP="000855C8">
      <w:pPr>
        <w:spacing w:after="0" w:line="240" w:lineRule="auto"/>
        <w:jc w:val="both"/>
        <w:rPr>
          <w:rFonts w:ascii="Verdana" w:eastAsia="Times New Roman" w:hAnsi="Verdana" w:cs="Arial"/>
          <w:b/>
          <w:bCs/>
          <w:lang w:eastAsia="es-ES_tradnl"/>
        </w:rPr>
      </w:pPr>
      <w:r w:rsidRPr="000855C8">
        <w:rPr>
          <w:rFonts w:ascii="Verdana" w:eastAsia="Times New Roman" w:hAnsi="Verdana" w:cs="Arial"/>
          <w:b/>
          <w:bCs/>
          <w:lang w:eastAsia="es-ES_tradnl"/>
        </w:rPr>
        <w:t>DECRETO 092 DE 2017 – Finalidad – Clases de contratos</w:t>
      </w:r>
    </w:p>
    <w:p w14:paraId="25C252DB" w14:textId="77777777" w:rsidR="000855C8" w:rsidRDefault="000855C8" w:rsidP="000855C8">
      <w:pPr>
        <w:spacing w:after="0" w:line="240" w:lineRule="auto"/>
        <w:jc w:val="both"/>
        <w:rPr>
          <w:rFonts w:ascii="Verdana" w:eastAsia="Calibri" w:hAnsi="Verdana" w:cs="Arial"/>
          <w:lang w:val="es-ES"/>
        </w:rPr>
      </w:pPr>
    </w:p>
    <w:p w14:paraId="41E37D76" w14:textId="584337D9" w:rsidR="000855C8" w:rsidRPr="000855C8" w:rsidRDefault="000855C8" w:rsidP="000855C8">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0855C8">
        <w:rPr>
          <w:rFonts w:ascii="Verdana" w:eastAsia="Calibri" w:hAnsi="Verdana" w:cs="Arial"/>
          <w:sz w:val="20"/>
          <w:szCs w:val="20"/>
          <w:lang w:val="es-ES"/>
        </w:rPr>
        <w:t>ii</w:t>
      </w:r>
      <w:proofErr w:type="spellEnd"/>
      <w:r w:rsidRPr="000855C8">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451A976A" w14:textId="77777777" w:rsidR="000855C8" w:rsidRDefault="000855C8" w:rsidP="000855C8">
      <w:pPr>
        <w:spacing w:after="0" w:line="240" w:lineRule="auto"/>
        <w:jc w:val="both"/>
        <w:rPr>
          <w:rFonts w:ascii="Verdana" w:eastAsia="Times New Roman" w:hAnsi="Verdana" w:cs="Arial"/>
          <w:b/>
          <w:bCs/>
          <w:lang w:eastAsia="es-ES_tradnl"/>
        </w:rPr>
      </w:pPr>
    </w:p>
    <w:p w14:paraId="5A4F0542" w14:textId="2659262F" w:rsidR="000855C8" w:rsidRPr="000855C8" w:rsidRDefault="000855C8" w:rsidP="000855C8">
      <w:pPr>
        <w:spacing w:after="0" w:line="240" w:lineRule="auto"/>
        <w:jc w:val="both"/>
        <w:rPr>
          <w:rFonts w:ascii="Verdana" w:eastAsia="Calibri" w:hAnsi="Verdana" w:cs="Arial"/>
          <w:b/>
          <w:bCs/>
          <w:lang w:val="es-ES"/>
        </w:rPr>
      </w:pPr>
      <w:r w:rsidRPr="000855C8">
        <w:rPr>
          <w:rFonts w:ascii="Verdana" w:eastAsia="Times New Roman" w:hAnsi="Verdana" w:cs="Arial"/>
          <w:b/>
          <w:bCs/>
          <w:lang w:eastAsia="es-ES_tradnl"/>
        </w:rPr>
        <w:t>CONTRATACIÓN CON ESAL – Contrato de colaboración – Objeto – Alcance</w:t>
      </w:r>
    </w:p>
    <w:p w14:paraId="4041C8E0" w14:textId="77777777" w:rsidR="000855C8" w:rsidRDefault="000855C8" w:rsidP="000855C8">
      <w:pPr>
        <w:spacing w:after="0" w:line="240" w:lineRule="auto"/>
        <w:jc w:val="both"/>
        <w:rPr>
          <w:rFonts w:ascii="Verdana" w:eastAsia="Calibri" w:hAnsi="Verdana" w:cs="Arial"/>
          <w:sz w:val="20"/>
          <w:szCs w:val="20"/>
          <w:lang w:val="es-ES"/>
        </w:rPr>
      </w:pPr>
    </w:p>
    <w:p w14:paraId="4F50EEC9" w14:textId="2C93E195" w:rsidR="000855C8" w:rsidRPr="000855C8" w:rsidRDefault="000855C8" w:rsidP="000855C8">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Los </w:t>
      </w:r>
      <w:r w:rsidRPr="000855C8">
        <w:rPr>
          <w:rFonts w:ascii="Verdana" w:eastAsia="Calibri" w:hAnsi="Verdana" w:cs="Arial"/>
          <w:i/>
          <w:iCs/>
          <w:sz w:val="20"/>
          <w:szCs w:val="20"/>
          <w:lang w:val="es-ES"/>
        </w:rPr>
        <w:t>contratos del artículo 355 de la Constitución Política</w:t>
      </w:r>
      <w:r w:rsidRPr="000855C8">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5E4CC30C" w14:textId="77777777" w:rsidR="000855C8" w:rsidRPr="000855C8" w:rsidRDefault="000855C8" w:rsidP="000855C8">
      <w:pPr>
        <w:spacing w:after="0" w:line="240" w:lineRule="auto"/>
        <w:jc w:val="both"/>
        <w:rPr>
          <w:rFonts w:ascii="Verdana" w:eastAsia="Times New Roman" w:hAnsi="Verdana" w:cs="Arial"/>
          <w:sz w:val="20"/>
          <w:szCs w:val="20"/>
          <w:lang w:val="es-ES" w:eastAsia="x-none"/>
        </w:rPr>
      </w:pPr>
    </w:p>
    <w:p w14:paraId="04E48AF9" w14:textId="7F5D0848" w:rsidR="000855C8" w:rsidRDefault="000855C8" w:rsidP="00082FD5">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w:t>
      </w:r>
      <w:r w:rsidR="001D68DC">
        <w:rPr>
          <w:rFonts w:ascii="Verdana" w:eastAsia="Calibri" w:hAnsi="Verdana" w:cs="Arial"/>
          <w:sz w:val="20"/>
          <w:szCs w:val="20"/>
          <w:lang w:val="es-ES"/>
        </w:rPr>
        <w:t>.</w:t>
      </w:r>
    </w:p>
    <w:p w14:paraId="20D3CF00" w14:textId="77777777" w:rsidR="001D68DC" w:rsidRDefault="001D68DC" w:rsidP="00082FD5">
      <w:pPr>
        <w:spacing w:after="0" w:line="240" w:lineRule="auto"/>
        <w:jc w:val="both"/>
        <w:rPr>
          <w:rFonts w:ascii="Verdana" w:eastAsia="Calibri" w:hAnsi="Verdana" w:cs="Arial"/>
          <w:sz w:val="20"/>
          <w:szCs w:val="20"/>
          <w:lang w:val="es-ES"/>
        </w:rPr>
      </w:pPr>
    </w:p>
    <w:p w14:paraId="469AC077" w14:textId="77777777" w:rsidR="001D68DC" w:rsidRPr="001D68DC" w:rsidRDefault="001D68DC" w:rsidP="001D68DC">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Ahora bien, por disposición del artículo 4 del Decreto 092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1D68DC">
        <w:rPr>
          <w:rFonts w:ascii="Verdana" w:eastAsia="Calibri" w:hAnsi="Verdana" w:cs="Arial"/>
          <w:sz w:val="20"/>
          <w:szCs w:val="20"/>
          <w:lang w:val="es-ES"/>
        </w:rPr>
        <w:t>ii</w:t>
      </w:r>
      <w:proofErr w:type="spellEnd"/>
      <w:r w:rsidRPr="001D68DC">
        <w:rPr>
          <w:rFonts w:ascii="Verdana" w:eastAsia="Calibri" w:hAnsi="Verdana" w:cs="Arial"/>
          <w:sz w:val="20"/>
          <w:szCs w:val="20"/>
          <w:lang w:val="es-ES"/>
        </w:rPr>
        <w:t>) definición de un plazo razonable para que las entidades privadas sin ánimo de lucro de reconocida idoneidad presenten a la Entidad Estatal sus ofertas y los documentos que acrediten su idoneidad, y (</w:t>
      </w:r>
      <w:proofErr w:type="spellStart"/>
      <w:r w:rsidRPr="001D68DC">
        <w:rPr>
          <w:rFonts w:ascii="Verdana" w:eastAsia="Calibri" w:hAnsi="Verdana" w:cs="Arial"/>
          <w:sz w:val="20"/>
          <w:szCs w:val="20"/>
          <w:lang w:val="es-ES"/>
        </w:rPr>
        <w:t>iii</w:t>
      </w:r>
      <w:proofErr w:type="spellEnd"/>
      <w:r w:rsidRPr="001D68DC">
        <w:rPr>
          <w:rFonts w:ascii="Verdana" w:eastAsia="Calibri" w:hAnsi="Verdana" w:cs="Arial"/>
          <w:sz w:val="20"/>
          <w:szCs w:val="20"/>
          <w:lang w:val="es-ES"/>
        </w:rPr>
        <w:t xml:space="preserve">) evaluación de las ofertas por parte de la Entidad Estatal teniendo en cuenta los criterios definidos para el efecto. </w:t>
      </w:r>
    </w:p>
    <w:p w14:paraId="39D66CD3" w14:textId="77777777" w:rsidR="001D68DC" w:rsidRPr="001D68DC" w:rsidRDefault="001D68DC" w:rsidP="001D68DC">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lastRenderedPageBreak/>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6A5A31E0" w14:textId="72199B17" w:rsidR="001D68DC" w:rsidRPr="001D68DC" w:rsidRDefault="001D68DC" w:rsidP="00082FD5">
      <w:pPr>
        <w:spacing w:after="0" w:line="240" w:lineRule="auto"/>
        <w:jc w:val="both"/>
        <w:rPr>
          <w:rFonts w:ascii="Verdana" w:eastAsia="Times New Roman" w:hAnsi="Verdana" w:cs="Arial"/>
          <w:sz w:val="20"/>
          <w:szCs w:val="20"/>
          <w:lang w:val="es-ES" w:eastAsia="x-none"/>
        </w:rPr>
      </w:pPr>
    </w:p>
    <w:p w14:paraId="79BFC0C4" w14:textId="1FEBF23C" w:rsidR="00735C42" w:rsidRPr="000855C8" w:rsidRDefault="000855C8" w:rsidP="00082FD5">
      <w:pPr>
        <w:spacing w:after="0" w:line="240" w:lineRule="auto"/>
        <w:jc w:val="both"/>
        <w:rPr>
          <w:rFonts w:ascii="Verdana" w:eastAsia="Times New Roman" w:hAnsi="Verdana" w:cs="Arial"/>
          <w:b/>
          <w:bCs/>
          <w:lang w:eastAsia="x-none"/>
        </w:rPr>
      </w:pPr>
      <w:r w:rsidRPr="000855C8">
        <w:rPr>
          <w:rFonts w:ascii="Verdana" w:eastAsia="Times New Roman" w:hAnsi="Verdana" w:cs="Arial"/>
          <w:b/>
          <w:bCs/>
          <w:lang w:eastAsia="es-ES_tradnl"/>
        </w:rPr>
        <w:t>DECRETO 092 DE 2017 – Convenios de asociación</w:t>
      </w:r>
    </w:p>
    <w:p w14:paraId="2BF14A37" w14:textId="77777777" w:rsidR="00735C42" w:rsidRDefault="00735C42" w:rsidP="00082FD5">
      <w:pPr>
        <w:spacing w:after="0" w:line="240" w:lineRule="auto"/>
        <w:jc w:val="both"/>
        <w:rPr>
          <w:rFonts w:ascii="Verdana" w:eastAsia="Times New Roman" w:hAnsi="Verdana" w:cs="Arial"/>
          <w:lang w:eastAsia="x-none"/>
        </w:rPr>
      </w:pPr>
    </w:p>
    <w:p w14:paraId="3D3762BE" w14:textId="225DD7DD" w:rsidR="006B1AB2" w:rsidRDefault="00D41DC1" w:rsidP="00082FD5">
      <w:pPr>
        <w:spacing w:after="0" w:line="240" w:lineRule="auto"/>
        <w:jc w:val="both"/>
        <w:rPr>
          <w:rFonts w:ascii="Verdana" w:eastAsia="Calibri" w:hAnsi="Verdana" w:cs="Arial"/>
          <w:bCs/>
          <w:sz w:val="20"/>
          <w:szCs w:val="20"/>
          <w:lang w:val="es-ES_tradnl"/>
        </w:rPr>
      </w:pPr>
      <w:r w:rsidRPr="00D41DC1">
        <w:rPr>
          <w:rFonts w:ascii="Verdana" w:eastAsia="Calibri" w:hAnsi="Verdana" w:cs="Arial"/>
          <w:bCs/>
          <w:sz w:val="20"/>
          <w:szCs w:val="20"/>
          <w:lang w:val="es-ES_tradnl"/>
        </w:rPr>
        <w:t xml:space="preserve">[…] la celebración de los </w:t>
      </w:r>
      <w:r w:rsidRPr="00D41DC1">
        <w:rPr>
          <w:rFonts w:ascii="Verdana" w:eastAsia="Calibri" w:hAnsi="Verdana" w:cs="Arial"/>
          <w:bCs/>
          <w:i/>
          <w:sz w:val="20"/>
          <w:szCs w:val="20"/>
          <w:lang w:val="es-ES_tradnl"/>
        </w:rPr>
        <w:t>convenios de asociación</w:t>
      </w:r>
      <w:r w:rsidRPr="00D41DC1">
        <w:rPr>
          <w:rFonts w:ascii="Verdana" w:eastAsia="Calibri" w:hAnsi="Verdana" w:cs="Arial"/>
          <w:bCs/>
          <w:sz w:val="20"/>
          <w:szCs w:val="20"/>
          <w:lang w:val="es-ES_tradnl"/>
        </w:rPr>
        <w:t xml:space="preserve"> “[t]</w:t>
      </w:r>
      <w:proofErr w:type="spellStart"/>
      <w:r w:rsidRPr="00D41DC1">
        <w:rPr>
          <w:rFonts w:ascii="Verdana" w:eastAsia="Calibri" w:hAnsi="Verdana" w:cs="Arial"/>
          <w:bCs/>
          <w:sz w:val="20"/>
          <w:szCs w:val="20"/>
          <w:lang w:val="es-ES_tradnl"/>
        </w:rPr>
        <w:t>ienen</w:t>
      </w:r>
      <w:proofErr w:type="spellEnd"/>
      <w:r w:rsidRPr="00D41DC1">
        <w:rPr>
          <w:rFonts w:ascii="Verdana" w:eastAsia="Calibri" w:hAnsi="Verdana" w:cs="Arial"/>
          <w:bCs/>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w:t>
      </w:r>
      <w:r w:rsidR="00F94E3C">
        <w:rPr>
          <w:rFonts w:ascii="Verdana" w:eastAsia="Calibri" w:hAnsi="Verdana" w:cs="Arial"/>
          <w:bCs/>
          <w:sz w:val="20"/>
          <w:szCs w:val="20"/>
          <w:lang w:val="es-ES_tradnl"/>
        </w:rPr>
        <w:t xml:space="preserve"> </w:t>
      </w:r>
      <w:r w:rsidR="00F94E3C" w:rsidRPr="00F94E3C">
        <w:rPr>
          <w:rFonts w:ascii="Verdana" w:eastAsia="Calibri" w:hAnsi="Verdana" w:cs="Arial"/>
          <w:bCs/>
          <w:sz w:val="20"/>
          <w:szCs w:val="20"/>
          <w:lang w:val="es-ES_tradnl"/>
        </w:rPr>
        <w:t>para desarrollar los programas o actividades previstas, sino que se asocia con él para el cumplimiento de objetivos comunes</w:t>
      </w:r>
      <w:r>
        <w:rPr>
          <w:rFonts w:ascii="Verdana" w:eastAsia="Calibri" w:hAnsi="Verdana" w:cs="Arial"/>
          <w:bCs/>
          <w:sz w:val="20"/>
          <w:szCs w:val="20"/>
          <w:lang w:val="es-ES_tradnl"/>
        </w:rPr>
        <w:t>.</w:t>
      </w:r>
    </w:p>
    <w:p w14:paraId="3B39D1E7" w14:textId="77777777" w:rsidR="00F94E3C" w:rsidRPr="00F94E3C" w:rsidRDefault="00F94E3C" w:rsidP="00082FD5">
      <w:pPr>
        <w:spacing w:after="0" w:line="240" w:lineRule="auto"/>
        <w:jc w:val="both"/>
        <w:rPr>
          <w:rFonts w:ascii="Verdana" w:eastAsia="Calibri" w:hAnsi="Verdana" w:cs="Arial"/>
          <w:bCs/>
          <w:sz w:val="20"/>
          <w:szCs w:val="20"/>
          <w:lang w:val="es-ES_tradnl"/>
        </w:rPr>
      </w:pPr>
    </w:p>
    <w:p w14:paraId="23E42DBF" w14:textId="5DE88BC0" w:rsidR="00F94E3C" w:rsidRPr="00F94E3C" w:rsidRDefault="00F94E3C" w:rsidP="00082FD5">
      <w:pPr>
        <w:spacing w:after="0" w:line="240" w:lineRule="auto"/>
        <w:jc w:val="both"/>
        <w:rPr>
          <w:rFonts w:ascii="Verdana" w:eastAsia="Calibri" w:hAnsi="Verdana" w:cs="Arial"/>
          <w:bCs/>
          <w:sz w:val="20"/>
          <w:szCs w:val="20"/>
          <w:lang w:val="es-ES_tradnl"/>
        </w:rPr>
      </w:pPr>
      <w:r w:rsidRPr="00F94E3C">
        <w:rPr>
          <w:rFonts w:ascii="Verdana" w:eastAsia="Calibri" w:hAnsi="Verdana" w:cs="Arial"/>
          <w:bCs/>
          <w:sz w:val="20"/>
          <w:szCs w:val="20"/>
          <w:lang w:val="es-ES_tradnl"/>
        </w:rPr>
        <w:t xml:space="preserve">[…] </w:t>
      </w:r>
      <w:r w:rsidRPr="00F94E3C">
        <w:rPr>
          <w:rFonts w:ascii="Verdana" w:eastAsia="Calibri" w:hAnsi="Verdana" w:cs="Arial"/>
          <w:bCs/>
          <w:sz w:val="20"/>
          <w:szCs w:val="20"/>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076135A6" w14:textId="77777777" w:rsidR="00F94E3C" w:rsidRDefault="00F94E3C" w:rsidP="00082FD5">
      <w:pPr>
        <w:spacing w:after="0" w:line="240" w:lineRule="auto"/>
        <w:jc w:val="both"/>
        <w:rPr>
          <w:rFonts w:ascii="Verdana" w:eastAsia="Calibri" w:hAnsi="Verdana" w:cs="Arial"/>
          <w:bCs/>
          <w:sz w:val="20"/>
          <w:szCs w:val="20"/>
          <w:lang w:val="es-ES_tradnl"/>
        </w:rPr>
      </w:pPr>
    </w:p>
    <w:p w14:paraId="40230CCE" w14:textId="77777777" w:rsidR="00F94E3C" w:rsidRDefault="00F94E3C" w:rsidP="00F94E3C">
      <w:pPr>
        <w:jc w:val="both"/>
        <w:rPr>
          <w:rFonts w:ascii="Verdana" w:eastAsia="Times New Roman" w:hAnsi="Verdana" w:cs="Arial"/>
          <w:b/>
          <w:bCs/>
          <w:lang w:eastAsia="es-ES_tradnl"/>
        </w:rPr>
      </w:pPr>
      <w:r w:rsidRPr="00F94E3C">
        <w:rPr>
          <w:rFonts w:ascii="Verdana" w:eastAsia="Times New Roman" w:hAnsi="Verdana" w:cs="Arial"/>
          <w:b/>
          <w:bCs/>
          <w:lang w:eastAsia="es-ES_tradnl"/>
        </w:rPr>
        <w:t>LEY DE GARANTÍAS - Aplicación en contratos de colaboración y convenios de asociación</w:t>
      </w:r>
    </w:p>
    <w:p w14:paraId="43966B65" w14:textId="5DA51D31" w:rsidR="002330E2" w:rsidRPr="002330E2" w:rsidRDefault="002330E2" w:rsidP="002330E2">
      <w:pPr>
        <w:spacing w:after="0" w:line="240" w:lineRule="auto"/>
        <w:jc w:val="both"/>
        <w:rPr>
          <w:rFonts w:ascii="Verdana" w:eastAsia="Calibri" w:hAnsi="Verdana" w:cs="Arial"/>
          <w:color w:val="000000"/>
          <w:sz w:val="20"/>
          <w:szCs w:val="20"/>
        </w:rPr>
      </w:pPr>
      <w:r w:rsidRPr="002330E2">
        <w:rPr>
          <w:rFonts w:ascii="Verdana" w:eastAsia="Calibri" w:hAnsi="Verdana" w:cs="Arial"/>
          <w:color w:val="000000" w:themeColor="text1"/>
          <w:sz w:val="20"/>
          <w:szCs w:val="20"/>
        </w:rPr>
        <w:t xml:space="preserve">De esta manera, si se pretende realizar un </w:t>
      </w:r>
      <w:r w:rsidRPr="002330E2">
        <w:rPr>
          <w:rFonts w:ascii="Verdana" w:eastAsia="Calibri" w:hAnsi="Verdana" w:cs="Arial"/>
          <w:i/>
          <w:iCs/>
          <w:color w:val="000000" w:themeColor="text1"/>
          <w:sz w:val="20"/>
          <w:szCs w:val="20"/>
        </w:rPr>
        <w:t>convenio de asociación</w:t>
      </w:r>
      <w:r w:rsidRPr="002330E2">
        <w:rPr>
          <w:rFonts w:ascii="Verdana" w:eastAsia="Calibri" w:hAnsi="Verdana" w:cs="Arial"/>
          <w:color w:val="000000" w:themeColor="text1"/>
          <w:sz w:val="20"/>
          <w:szCs w:val="20"/>
        </w:rPr>
        <w:t xml:space="preserve"> con ESAL de reconocida idoneidad para el cumplimiento de las funciones que la ley les asigna a las entidades públicas, deberá aplicarse lo dispuesto en el artículo 5 del Decreto 092 de 2017. Por lo tanto,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 En ese orden, en vigencia de la </w:t>
      </w:r>
      <w:r w:rsidRPr="002330E2">
        <w:rPr>
          <w:rFonts w:ascii="Verdana" w:eastAsia="Calibri" w:hAnsi="Verdana" w:cs="Arial"/>
          <w:color w:val="000000"/>
          <w:sz w:val="20"/>
          <w:szCs w:val="20"/>
        </w:rPr>
        <w:t>restricción prevista en el artículo 33 de la Ley de Garantías Electorales, según el artículo 5 del Decreto 092 de 2017, solo podrán celebrarse convenios previo desarrollo de proceso competitivo.</w:t>
      </w:r>
    </w:p>
    <w:p w14:paraId="758DD805" w14:textId="77777777" w:rsidR="002330E2" w:rsidRDefault="002330E2" w:rsidP="002330E2">
      <w:pPr>
        <w:spacing w:after="0" w:line="240" w:lineRule="auto"/>
        <w:jc w:val="both"/>
        <w:rPr>
          <w:rFonts w:ascii="Verdana" w:eastAsia="Calibri" w:hAnsi="Verdana" w:cs="Arial"/>
          <w:color w:val="000000"/>
          <w:sz w:val="20"/>
          <w:szCs w:val="20"/>
        </w:rPr>
      </w:pPr>
    </w:p>
    <w:p w14:paraId="7CA2DF20" w14:textId="69657D89" w:rsidR="002330E2" w:rsidRPr="002330E2" w:rsidRDefault="002330E2" w:rsidP="002330E2">
      <w:pPr>
        <w:spacing w:after="0" w:line="240" w:lineRule="auto"/>
        <w:jc w:val="both"/>
        <w:rPr>
          <w:rFonts w:ascii="Verdana" w:eastAsia="Calibri" w:hAnsi="Verdana" w:cs="Arial"/>
          <w:sz w:val="20"/>
          <w:szCs w:val="20"/>
          <w:lang w:val="es-ES"/>
        </w:rPr>
      </w:pPr>
      <w:r w:rsidRPr="002330E2">
        <w:rPr>
          <w:rFonts w:ascii="Verdana" w:eastAsia="Calibri" w:hAnsi="Verdana" w:cs="Arial"/>
          <w:color w:val="000000"/>
          <w:sz w:val="20"/>
          <w:szCs w:val="20"/>
        </w:rPr>
        <w:t xml:space="preserve">En otras palabras, los convenios de asociación </w:t>
      </w:r>
      <w:r w:rsidRPr="002330E2">
        <w:rPr>
          <w:rFonts w:ascii="Verdana" w:eastAsia="Calibri"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w:t>
      </w:r>
      <w:r w:rsidRPr="002330E2">
        <w:rPr>
          <w:rFonts w:ascii="Verdana" w:eastAsia="Calibri" w:hAnsi="Verdana" w:cs="Arial"/>
          <w:sz w:val="20"/>
          <w:szCs w:val="20"/>
          <w:lang w:val="es-ES"/>
        </w:rPr>
        <w:lastRenderedPageBreak/>
        <w:t xml:space="preserve">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24C66034" w14:textId="77777777" w:rsidR="002330E2" w:rsidRDefault="002330E2" w:rsidP="002330E2">
      <w:pPr>
        <w:spacing w:after="0" w:line="240" w:lineRule="auto"/>
        <w:jc w:val="both"/>
        <w:rPr>
          <w:rFonts w:ascii="Verdana" w:eastAsia="Times New Roman" w:hAnsi="Verdana" w:cs="Arial"/>
          <w:sz w:val="20"/>
          <w:szCs w:val="20"/>
          <w:lang w:val="es-MX" w:eastAsia="x-none"/>
        </w:rPr>
      </w:pPr>
    </w:p>
    <w:p w14:paraId="0F56BBE0" w14:textId="7F6A1C23" w:rsidR="002330E2" w:rsidRPr="002330E2" w:rsidRDefault="002330E2" w:rsidP="002330E2">
      <w:pPr>
        <w:spacing w:after="0" w:line="240" w:lineRule="auto"/>
        <w:jc w:val="both"/>
        <w:rPr>
          <w:sz w:val="20"/>
          <w:szCs w:val="20"/>
        </w:rPr>
      </w:pPr>
      <w:r w:rsidRPr="002330E2">
        <w:rPr>
          <w:rFonts w:ascii="Verdana" w:eastAsia="Times New Roman" w:hAnsi="Verdana" w:cs="Arial"/>
          <w:sz w:val="20"/>
          <w:szCs w:val="20"/>
          <w:lang w:val="es-MX" w:eastAsia="x-none"/>
        </w:rPr>
        <w:t>Sin perjuicio de lo anterior,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2330E2">
        <w:rPr>
          <w:rFonts w:ascii="Verdana" w:eastAsia="Times New Roman" w:hAnsi="Verdana" w:cs="Arial"/>
          <w:sz w:val="20"/>
          <w:szCs w:val="20"/>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097ECF4" w14:textId="77777777" w:rsidR="002330E2" w:rsidRDefault="002330E2" w:rsidP="002330E2">
      <w:pPr>
        <w:spacing w:after="0" w:line="240" w:lineRule="auto"/>
        <w:jc w:val="both"/>
        <w:rPr>
          <w:rFonts w:ascii="Verdana" w:eastAsia="Calibri" w:hAnsi="Verdana" w:cs="Arial"/>
          <w:color w:val="000000" w:themeColor="text1"/>
          <w:sz w:val="20"/>
          <w:szCs w:val="20"/>
        </w:rPr>
      </w:pPr>
    </w:p>
    <w:p w14:paraId="5C425E83" w14:textId="77777777" w:rsidR="00F94E3C" w:rsidRDefault="00F94E3C" w:rsidP="00F94E3C">
      <w:pPr>
        <w:jc w:val="both"/>
        <w:rPr>
          <w:rFonts w:ascii="Verdana" w:eastAsia="Calibri" w:hAnsi="Verdana" w:cs="Arial"/>
          <w:color w:val="000000" w:themeColor="text1"/>
          <w:sz w:val="20"/>
          <w:szCs w:val="20"/>
        </w:rPr>
      </w:pPr>
    </w:p>
    <w:p w14:paraId="681ECD3E" w14:textId="77777777" w:rsidR="009911A4" w:rsidRDefault="009911A4" w:rsidP="00F94E3C">
      <w:pPr>
        <w:jc w:val="both"/>
        <w:rPr>
          <w:rFonts w:ascii="Verdana" w:eastAsia="Calibri" w:hAnsi="Verdana" w:cs="Arial"/>
          <w:color w:val="000000" w:themeColor="text1"/>
          <w:sz w:val="20"/>
          <w:szCs w:val="20"/>
        </w:rPr>
      </w:pPr>
    </w:p>
    <w:p w14:paraId="2D75B9E8" w14:textId="77777777" w:rsidR="009911A4" w:rsidRDefault="009911A4" w:rsidP="00F94E3C">
      <w:pPr>
        <w:jc w:val="both"/>
        <w:rPr>
          <w:rFonts w:ascii="Verdana" w:eastAsia="Calibri" w:hAnsi="Verdana" w:cs="Arial"/>
          <w:color w:val="000000" w:themeColor="text1"/>
          <w:sz w:val="20"/>
          <w:szCs w:val="20"/>
        </w:rPr>
      </w:pPr>
    </w:p>
    <w:p w14:paraId="2A741BE0" w14:textId="77777777" w:rsidR="009911A4" w:rsidRDefault="009911A4" w:rsidP="00F94E3C">
      <w:pPr>
        <w:jc w:val="both"/>
        <w:rPr>
          <w:rFonts w:ascii="Verdana" w:eastAsia="Calibri" w:hAnsi="Verdana" w:cs="Arial"/>
          <w:color w:val="000000" w:themeColor="text1"/>
          <w:sz w:val="20"/>
          <w:szCs w:val="20"/>
        </w:rPr>
      </w:pPr>
    </w:p>
    <w:p w14:paraId="0CB1E259" w14:textId="77777777" w:rsidR="009911A4" w:rsidRDefault="009911A4" w:rsidP="00F94E3C">
      <w:pPr>
        <w:jc w:val="both"/>
        <w:rPr>
          <w:rFonts w:ascii="Verdana" w:eastAsia="Calibri" w:hAnsi="Verdana" w:cs="Arial"/>
          <w:color w:val="000000" w:themeColor="text1"/>
          <w:sz w:val="20"/>
          <w:szCs w:val="20"/>
        </w:rPr>
      </w:pPr>
    </w:p>
    <w:p w14:paraId="3A16F266" w14:textId="77777777" w:rsidR="009911A4" w:rsidRDefault="009911A4" w:rsidP="00F94E3C">
      <w:pPr>
        <w:jc w:val="both"/>
        <w:rPr>
          <w:rFonts w:ascii="Verdana" w:eastAsia="Calibri" w:hAnsi="Verdana" w:cs="Arial"/>
          <w:color w:val="000000" w:themeColor="text1"/>
          <w:sz w:val="20"/>
          <w:szCs w:val="20"/>
        </w:rPr>
      </w:pPr>
    </w:p>
    <w:p w14:paraId="3AAEAF8C" w14:textId="77777777" w:rsidR="009911A4" w:rsidRDefault="009911A4" w:rsidP="00F94E3C">
      <w:pPr>
        <w:jc w:val="both"/>
        <w:rPr>
          <w:rFonts w:ascii="Verdana" w:eastAsia="Calibri" w:hAnsi="Verdana" w:cs="Arial"/>
          <w:color w:val="000000" w:themeColor="text1"/>
          <w:sz w:val="20"/>
          <w:szCs w:val="20"/>
        </w:rPr>
      </w:pPr>
    </w:p>
    <w:p w14:paraId="1660F9EB" w14:textId="77777777" w:rsidR="009911A4" w:rsidRDefault="009911A4" w:rsidP="00F94E3C">
      <w:pPr>
        <w:jc w:val="both"/>
        <w:rPr>
          <w:rFonts w:ascii="Verdana" w:eastAsia="Calibri" w:hAnsi="Verdana" w:cs="Arial"/>
          <w:color w:val="000000" w:themeColor="text1"/>
          <w:sz w:val="20"/>
          <w:szCs w:val="20"/>
        </w:rPr>
      </w:pPr>
    </w:p>
    <w:p w14:paraId="0C045A15" w14:textId="77777777" w:rsidR="009911A4" w:rsidRDefault="009911A4" w:rsidP="00F94E3C">
      <w:pPr>
        <w:jc w:val="both"/>
        <w:rPr>
          <w:rFonts w:ascii="Verdana" w:eastAsia="Calibri" w:hAnsi="Verdana" w:cs="Arial"/>
          <w:color w:val="000000" w:themeColor="text1"/>
          <w:sz w:val="20"/>
          <w:szCs w:val="20"/>
        </w:rPr>
      </w:pPr>
    </w:p>
    <w:p w14:paraId="153BC41D" w14:textId="77777777" w:rsidR="009911A4" w:rsidRDefault="009911A4" w:rsidP="00F94E3C">
      <w:pPr>
        <w:jc w:val="both"/>
        <w:rPr>
          <w:rFonts w:ascii="Verdana" w:eastAsia="Calibri" w:hAnsi="Verdana" w:cs="Arial"/>
          <w:color w:val="000000" w:themeColor="text1"/>
          <w:sz w:val="20"/>
          <w:szCs w:val="20"/>
        </w:rPr>
      </w:pPr>
    </w:p>
    <w:p w14:paraId="01878F2B" w14:textId="77777777" w:rsidR="009911A4" w:rsidRDefault="009911A4" w:rsidP="00F94E3C">
      <w:pPr>
        <w:jc w:val="both"/>
        <w:rPr>
          <w:rFonts w:ascii="Verdana" w:eastAsia="Calibri" w:hAnsi="Verdana" w:cs="Arial"/>
          <w:color w:val="000000" w:themeColor="text1"/>
          <w:sz w:val="20"/>
          <w:szCs w:val="20"/>
        </w:rPr>
      </w:pPr>
    </w:p>
    <w:p w14:paraId="41CD2586" w14:textId="77777777" w:rsidR="009911A4" w:rsidRDefault="009911A4" w:rsidP="00F94E3C">
      <w:pPr>
        <w:jc w:val="both"/>
        <w:rPr>
          <w:rFonts w:ascii="Verdana" w:eastAsia="Calibri" w:hAnsi="Verdana" w:cs="Arial"/>
          <w:color w:val="000000" w:themeColor="text1"/>
          <w:sz w:val="20"/>
          <w:szCs w:val="20"/>
        </w:rPr>
      </w:pPr>
    </w:p>
    <w:p w14:paraId="1083DD60" w14:textId="77777777" w:rsidR="009911A4" w:rsidRDefault="009911A4" w:rsidP="00F94E3C">
      <w:pPr>
        <w:jc w:val="both"/>
        <w:rPr>
          <w:rFonts w:ascii="Verdana" w:eastAsia="Calibri" w:hAnsi="Verdana" w:cs="Arial"/>
          <w:color w:val="000000" w:themeColor="text1"/>
          <w:sz w:val="20"/>
          <w:szCs w:val="20"/>
        </w:rPr>
      </w:pPr>
    </w:p>
    <w:p w14:paraId="2D5CD794" w14:textId="77777777" w:rsidR="009911A4" w:rsidRDefault="009911A4" w:rsidP="00F94E3C">
      <w:pPr>
        <w:jc w:val="both"/>
        <w:rPr>
          <w:rFonts w:ascii="Verdana" w:eastAsia="Calibri" w:hAnsi="Verdana" w:cs="Arial"/>
          <w:color w:val="000000" w:themeColor="text1"/>
          <w:sz w:val="20"/>
          <w:szCs w:val="20"/>
        </w:rPr>
      </w:pPr>
    </w:p>
    <w:p w14:paraId="369C5EA0" w14:textId="77777777" w:rsidR="009911A4" w:rsidRPr="00F94E3C" w:rsidRDefault="009911A4" w:rsidP="00F94E3C">
      <w:pPr>
        <w:spacing w:after="0" w:line="240" w:lineRule="auto"/>
        <w:jc w:val="both"/>
        <w:rPr>
          <w:rFonts w:ascii="Verdana" w:eastAsia="Times New Roman" w:hAnsi="Verdana" w:cs="Arial"/>
          <w:b/>
          <w:bCs/>
          <w:lang w:eastAsia="es-ES_tradnl"/>
        </w:rPr>
      </w:pPr>
    </w:p>
    <w:p w14:paraId="27D17A6A" w14:textId="77777777" w:rsidR="00F94E3C" w:rsidRPr="00F94E3C" w:rsidRDefault="00F94E3C" w:rsidP="00082FD5">
      <w:pPr>
        <w:spacing w:after="0" w:line="240" w:lineRule="auto"/>
        <w:jc w:val="both"/>
        <w:rPr>
          <w:rFonts w:ascii="Verdana" w:eastAsia="Calibri" w:hAnsi="Verdana" w:cs="Arial"/>
          <w:bCs/>
          <w:sz w:val="20"/>
          <w:szCs w:val="20"/>
        </w:rPr>
      </w:pPr>
    </w:p>
    <w:p w14:paraId="6D7FDD05" w14:textId="77777777" w:rsidR="00735C42" w:rsidRDefault="00735C42" w:rsidP="00082FD5">
      <w:pPr>
        <w:spacing w:after="0" w:line="240" w:lineRule="auto"/>
        <w:jc w:val="both"/>
        <w:rPr>
          <w:rFonts w:ascii="Verdana" w:eastAsia="Times New Roman" w:hAnsi="Verdana" w:cs="Arial"/>
          <w:lang w:eastAsia="x-none"/>
        </w:rPr>
      </w:pPr>
    </w:p>
    <w:p w14:paraId="3884DFBE" w14:textId="77777777" w:rsidR="00735C42" w:rsidRDefault="00735C42" w:rsidP="00082FD5">
      <w:pPr>
        <w:spacing w:after="0" w:line="240" w:lineRule="auto"/>
        <w:jc w:val="both"/>
        <w:rPr>
          <w:rFonts w:ascii="Verdana" w:hAnsi="Verdana"/>
        </w:rPr>
      </w:pPr>
    </w:p>
    <w:p w14:paraId="7BD81D58" w14:textId="6390F1EA" w:rsidR="00082FD5" w:rsidRDefault="00082FD5" w:rsidP="00082FD5">
      <w:pPr>
        <w:spacing w:after="0" w:line="240" w:lineRule="auto"/>
        <w:jc w:val="both"/>
        <w:rPr>
          <w:rFonts w:ascii="Verdana" w:hAnsi="Verdana"/>
        </w:rPr>
      </w:pPr>
      <w:r w:rsidRPr="00FF007A">
        <w:rPr>
          <w:rFonts w:ascii="Verdana" w:hAnsi="Verdana"/>
        </w:rPr>
        <w:lastRenderedPageBreak/>
        <w:t xml:space="preserve">Bogotá D.C., </w:t>
      </w:r>
      <w:bookmarkStart w:id="6" w:name="_Hlk197462763"/>
      <w:bookmarkStart w:id="7" w:name="_Hlk197529996"/>
      <w:r w:rsidR="003D591F">
        <w:rPr>
          <w:rFonts w:ascii="Verdana" w:hAnsi="Verdana"/>
        </w:rPr>
        <w:t xml:space="preserve">19 de septiembre de 2025 </w:t>
      </w:r>
    </w:p>
    <w:p w14:paraId="30DE0885" w14:textId="77777777" w:rsidR="003D591F" w:rsidRDefault="003D591F" w:rsidP="00082FD5">
      <w:pPr>
        <w:spacing w:after="0" w:line="240" w:lineRule="auto"/>
        <w:jc w:val="both"/>
        <w:rPr>
          <w:rFonts w:ascii="Verdana" w:hAnsi="Verdana"/>
        </w:rPr>
      </w:pPr>
    </w:p>
    <w:p w14:paraId="118C7262" w14:textId="5D6E07D8" w:rsidR="003D591F" w:rsidRDefault="003D591F" w:rsidP="003D591F">
      <w:pPr>
        <w:spacing w:after="0" w:line="240" w:lineRule="auto"/>
        <w:jc w:val="right"/>
        <w:rPr>
          <w:rFonts w:ascii="Verdana" w:hAnsi="Verdana"/>
        </w:rPr>
      </w:pPr>
      <w:r w:rsidRPr="003D591F">
        <w:rPr>
          <w:rFonts w:ascii="Verdana" w:hAnsi="Verdana"/>
          <w:noProof/>
        </w:rPr>
        <w:drawing>
          <wp:inline distT="0" distB="0" distL="0" distR="0" wp14:anchorId="612FCC73" wp14:editId="40AF625A">
            <wp:extent cx="2687541" cy="831541"/>
            <wp:effectExtent l="0" t="0" r="0" b="6985"/>
            <wp:docPr id="27890548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905485" name="Imagen 1" descr="Texto&#10;&#10;El contenido generado por IA puede ser incorrecto."/>
                    <pic:cNvPicPr/>
                  </pic:nvPicPr>
                  <pic:blipFill>
                    <a:blip r:embed="rId10"/>
                    <a:stretch>
                      <a:fillRect/>
                    </a:stretch>
                  </pic:blipFill>
                  <pic:spPr>
                    <a:xfrm>
                      <a:off x="0" y="0"/>
                      <a:ext cx="2708512" cy="838030"/>
                    </a:xfrm>
                    <a:prstGeom prst="rect">
                      <a:avLst/>
                    </a:prstGeom>
                  </pic:spPr>
                </pic:pic>
              </a:graphicData>
            </a:graphic>
          </wp:inline>
        </w:drawing>
      </w:r>
    </w:p>
    <w:p w14:paraId="0DFB5DB6" w14:textId="77777777" w:rsidR="003D591F" w:rsidRPr="00FF007A" w:rsidRDefault="003D591F" w:rsidP="00082FD5">
      <w:pPr>
        <w:spacing w:after="0" w:line="240" w:lineRule="auto"/>
        <w:jc w:val="both"/>
        <w:rPr>
          <w:rFonts w:ascii="Verdana" w:eastAsia="Calibri" w:hAnsi="Verdana" w:cs="Arial"/>
          <w:lang w:eastAsia="es-ES"/>
        </w:rPr>
      </w:pPr>
    </w:p>
    <w:p w14:paraId="2CEAB74D" w14:textId="7D96B946" w:rsidR="00082FD5" w:rsidRPr="00FF007A" w:rsidRDefault="00082FD5" w:rsidP="00082FD5">
      <w:pPr>
        <w:spacing w:after="0" w:line="240" w:lineRule="auto"/>
        <w:jc w:val="both"/>
        <w:rPr>
          <w:rFonts w:ascii="Verdana" w:eastAsia="Calibri" w:hAnsi="Verdana" w:cs="Arial"/>
          <w:lang w:eastAsia="es-ES"/>
        </w:rPr>
      </w:pPr>
      <w:r w:rsidRPr="00FF007A">
        <w:rPr>
          <w:rFonts w:ascii="Verdana" w:eastAsia="Calibri" w:hAnsi="Verdana" w:cs="Arial"/>
          <w:lang w:eastAsia="es-ES"/>
        </w:rPr>
        <w:t>Señora</w:t>
      </w:r>
      <w:r w:rsidR="0019232D">
        <w:rPr>
          <w:rFonts w:ascii="Verdana" w:eastAsia="Calibri" w:hAnsi="Verdana" w:cs="Arial"/>
          <w:lang w:eastAsia="es-ES"/>
        </w:rPr>
        <w:t xml:space="preserve"> </w:t>
      </w:r>
    </w:p>
    <w:p w14:paraId="4386C20A" w14:textId="77777777" w:rsidR="00082FD5" w:rsidRDefault="00082FD5" w:rsidP="00082FD5">
      <w:pPr>
        <w:spacing w:after="0" w:line="240" w:lineRule="auto"/>
        <w:jc w:val="both"/>
        <w:rPr>
          <w:rFonts w:ascii="Verdana" w:eastAsia="Calibri" w:hAnsi="Verdana" w:cs="Arial"/>
          <w:b/>
          <w:lang w:eastAsia="es-ES_tradnl"/>
        </w:rPr>
      </w:pPr>
      <w:r w:rsidRPr="00FC5317">
        <w:rPr>
          <w:rFonts w:ascii="Verdana" w:eastAsia="Calibri" w:hAnsi="Verdana" w:cs="Arial"/>
          <w:b/>
          <w:lang w:eastAsia="es-ES_tradnl"/>
        </w:rPr>
        <w:t>Gloria Esperanza</w:t>
      </w:r>
      <w:r>
        <w:rPr>
          <w:rFonts w:ascii="Verdana" w:eastAsia="Calibri" w:hAnsi="Verdana" w:cs="Arial"/>
          <w:b/>
          <w:lang w:eastAsia="es-ES_tradnl"/>
        </w:rPr>
        <w:t xml:space="preserve"> </w:t>
      </w:r>
      <w:r w:rsidRPr="00FC5317">
        <w:rPr>
          <w:rFonts w:ascii="Verdana" w:eastAsia="Calibri" w:hAnsi="Verdana" w:cs="Arial"/>
          <w:b/>
          <w:lang w:eastAsia="es-ES_tradnl"/>
        </w:rPr>
        <w:t>Mendoza Flórez</w:t>
      </w:r>
    </w:p>
    <w:p w14:paraId="23CED4E6" w14:textId="77777777" w:rsidR="00082FD5" w:rsidRPr="00FC5317" w:rsidRDefault="00082FD5" w:rsidP="00082FD5">
      <w:pPr>
        <w:spacing w:after="0" w:line="240" w:lineRule="auto"/>
        <w:jc w:val="both"/>
        <w:rPr>
          <w:rFonts w:ascii="Verdana" w:hAnsi="Verdana"/>
          <w:b/>
          <w:bCs/>
        </w:rPr>
      </w:pPr>
      <w:hyperlink r:id="rId11" w:history="1">
        <w:r w:rsidRPr="00FC5317">
          <w:rPr>
            <w:rStyle w:val="Hipervnculo"/>
            <w:rFonts w:ascii="Verdana" w:hAnsi="Verdana"/>
            <w:b/>
            <w:bCs/>
          </w:rPr>
          <w:t>ivandariog@hotmail.com</w:t>
        </w:r>
      </w:hyperlink>
    </w:p>
    <w:p w14:paraId="50CA382C" w14:textId="4FCF7DA8" w:rsidR="00082FD5" w:rsidRPr="00FF007A" w:rsidRDefault="00082FD5" w:rsidP="00082FD5">
      <w:pPr>
        <w:spacing w:after="0" w:line="240" w:lineRule="auto"/>
        <w:jc w:val="both"/>
        <w:rPr>
          <w:rFonts w:ascii="Verdana" w:eastAsia="Calibri" w:hAnsi="Verdana" w:cs="Arial"/>
          <w:bCs/>
          <w:lang w:eastAsia="es-ES_tradnl"/>
        </w:rPr>
      </w:pPr>
      <w:r>
        <w:rPr>
          <w:rFonts w:ascii="Verdana" w:hAnsi="Verdana"/>
        </w:rPr>
        <w:t>Neiva</w:t>
      </w:r>
      <w:r w:rsidR="00BC6E0C">
        <w:rPr>
          <w:rFonts w:ascii="Verdana" w:hAnsi="Verdana"/>
        </w:rPr>
        <w:t xml:space="preserve">, </w:t>
      </w:r>
      <w:r>
        <w:rPr>
          <w:rFonts w:ascii="Verdana" w:hAnsi="Verdana"/>
        </w:rPr>
        <w:t>Huila</w:t>
      </w:r>
    </w:p>
    <w:p w14:paraId="78D9C7CC" w14:textId="77777777" w:rsidR="00082FD5" w:rsidRPr="00FF007A" w:rsidRDefault="00082FD5" w:rsidP="00082FD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82FD5" w:rsidRPr="00FF007A" w14:paraId="1185ABE4" w14:textId="77777777">
        <w:trPr>
          <w:trHeight w:val="162"/>
        </w:trPr>
        <w:tc>
          <w:tcPr>
            <w:tcW w:w="3119" w:type="dxa"/>
          </w:tcPr>
          <w:p w14:paraId="55D2D8D1" w14:textId="77777777" w:rsidR="00082FD5" w:rsidRPr="00FF007A" w:rsidRDefault="00082FD5">
            <w:pPr>
              <w:jc w:val="both"/>
              <w:rPr>
                <w:rFonts w:ascii="Verdana" w:eastAsia="Calibri" w:hAnsi="Verdana" w:cs="Arial"/>
                <w:b/>
                <w:bCs/>
                <w:color w:val="7030A0"/>
                <w:lang w:eastAsia="es-ES_tradnl"/>
              </w:rPr>
            </w:pPr>
          </w:p>
        </w:tc>
        <w:tc>
          <w:tcPr>
            <w:tcW w:w="5670" w:type="dxa"/>
          </w:tcPr>
          <w:p w14:paraId="14D49F92" w14:textId="77777777" w:rsidR="00082FD5" w:rsidRPr="00FF007A" w:rsidRDefault="00082FD5">
            <w:pPr>
              <w:jc w:val="both"/>
              <w:rPr>
                <w:rFonts w:ascii="Verdana" w:eastAsia="Calibri" w:hAnsi="Verdana" w:cs="Arial"/>
                <w:b/>
                <w:bCs/>
                <w:lang w:eastAsia="es-ES"/>
              </w:rPr>
            </w:pPr>
            <w:r w:rsidRPr="00FF007A">
              <w:rPr>
                <w:rFonts w:ascii="Verdana" w:eastAsia="Calibri" w:hAnsi="Verdana" w:cs="Arial"/>
                <w:b/>
                <w:bCs/>
                <w:lang w:eastAsia="es-ES"/>
              </w:rPr>
              <w:t>Concepto C-11</w:t>
            </w:r>
            <w:r>
              <w:rPr>
                <w:rFonts w:ascii="Verdana" w:eastAsia="Calibri" w:hAnsi="Verdana" w:cs="Arial"/>
                <w:b/>
                <w:bCs/>
                <w:lang w:eastAsia="es-ES"/>
              </w:rPr>
              <w:t>86</w:t>
            </w:r>
            <w:r w:rsidRPr="00FF007A">
              <w:rPr>
                <w:rFonts w:ascii="Verdana" w:eastAsia="Calibri" w:hAnsi="Verdana" w:cs="Arial"/>
                <w:b/>
                <w:bCs/>
                <w:lang w:eastAsia="es-ES"/>
              </w:rPr>
              <w:t xml:space="preserve"> de 2025</w:t>
            </w:r>
          </w:p>
          <w:p w14:paraId="3BFA6F1E" w14:textId="77777777" w:rsidR="00082FD5" w:rsidRPr="00FF007A" w:rsidRDefault="00082FD5">
            <w:pPr>
              <w:jc w:val="both"/>
              <w:rPr>
                <w:rFonts w:ascii="Verdana" w:eastAsia="Calibri" w:hAnsi="Verdana" w:cs="Arial"/>
                <w:b/>
                <w:bCs/>
                <w:color w:val="7030A0"/>
                <w:lang w:eastAsia="es-ES"/>
              </w:rPr>
            </w:pPr>
          </w:p>
        </w:tc>
      </w:tr>
      <w:tr w:rsidR="00082FD5" w:rsidRPr="00FF007A" w14:paraId="0B54DEB3" w14:textId="77777777">
        <w:trPr>
          <w:trHeight w:val="884"/>
        </w:trPr>
        <w:tc>
          <w:tcPr>
            <w:tcW w:w="3119" w:type="dxa"/>
          </w:tcPr>
          <w:p w14:paraId="50200313" w14:textId="77777777" w:rsidR="00082FD5" w:rsidRPr="00FF007A" w:rsidRDefault="00082FD5">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7B46079C" w14:textId="595594F1" w:rsidR="00082FD5" w:rsidRDefault="00082FD5" w:rsidP="00D667B6">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 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w:t>
            </w:r>
            <w:r>
              <w:rPr>
                <w:rFonts w:ascii="Verdana" w:hAnsi="Verdana" w:cs="Arial"/>
                <w:lang w:val="es-MX" w:eastAsia="es-ES_tradnl"/>
              </w:rPr>
              <w:t xml:space="preserve">Prohibición - </w:t>
            </w:r>
            <w:r w:rsidR="0019232D">
              <w:rPr>
                <w:rFonts w:ascii="Verdana" w:hAnsi="Verdana" w:cs="Arial"/>
                <w:lang w:val="es-MX" w:eastAsia="es-ES_tradnl"/>
              </w:rPr>
              <w:t>C</w:t>
            </w:r>
            <w:r>
              <w:rPr>
                <w:rFonts w:ascii="Verdana" w:hAnsi="Verdana" w:cs="Arial"/>
                <w:lang w:val="es-MX" w:eastAsia="es-ES_tradnl"/>
              </w:rPr>
              <w:t>ontratación directa</w:t>
            </w:r>
            <w:r w:rsidRPr="00284B9D">
              <w:rPr>
                <w:rFonts w:ascii="Verdana" w:hAnsi="Verdana" w:cs="Arial"/>
                <w:lang w:val="es-MX" w:eastAsia="es-ES_tradnl"/>
              </w:rPr>
              <w:t xml:space="preserve"> / </w:t>
            </w:r>
            <w:r w:rsidRPr="003F7B98">
              <w:rPr>
                <w:rFonts w:ascii="Verdana" w:eastAsia="Times New Roman" w:hAnsi="Verdana" w:cs="Arial"/>
                <w:lang w:eastAsia="es-ES_tradnl"/>
              </w:rPr>
              <w:t>LEY DE GARANTÍAS ELECTORALES ─ Prohibición ‒ Contratación directa ‒ Excepciones</w:t>
            </w:r>
            <w:r w:rsidRPr="00376467">
              <w:rPr>
                <w:rFonts w:ascii="Verdana" w:eastAsia="Times New Roman" w:hAnsi="Verdana" w:cs="Arial"/>
                <w:lang w:eastAsia="es-ES_tradnl"/>
              </w:rPr>
              <w:t xml:space="preserve">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CONTRATACIÓN CON ESAL – Contrato de colaboración – Objeto – Alcance / </w:t>
            </w:r>
            <w:r>
              <w:rPr>
                <w:rFonts w:ascii="Verdana" w:eastAsia="Times New Roman" w:hAnsi="Verdana" w:cs="Arial"/>
                <w:lang w:eastAsia="es-ES_tradnl"/>
              </w:rPr>
              <w:t xml:space="preserve">DECRETO 092 DE 2017 – </w:t>
            </w:r>
            <w:r w:rsidRPr="00376467">
              <w:rPr>
                <w:rFonts w:ascii="Verdana" w:eastAsia="Times New Roman" w:hAnsi="Verdana" w:cs="Arial"/>
                <w:lang w:eastAsia="es-ES_tradnl"/>
              </w:rPr>
              <w:t>C</w:t>
            </w:r>
            <w:r>
              <w:rPr>
                <w:rFonts w:ascii="Verdana" w:eastAsia="Times New Roman" w:hAnsi="Verdana" w:cs="Arial"/>
                <w:lang w:eastAsia="es-ES_tradnl"/>
              </w:rPr>
              <w:t>onvenios de asociación / LEY DE GARANTÍAS - Aplicación en contratos de colaboración y convenios de asociación</w:t>
            </w:r>
          </w:p>
          <w:p w14:paraId="7722C10C" w14:textId="77777777" w:rsidR="00082FD5" w:rsidRPr="00AA15A4" w:rsidRDefault="00082FD5">
            <w:pPr>
              <w:spacing w:line="276" w:lineRule="auto"/>
              <w:jc w:val="both"/>
              <w:rPr>
                <w:rFonts w:ascii="Verdana" w:hAnsi="Verdana" w:cs="Arial"/>
                <w:color w:val="000000" w:themeColor="text1"/>
                <w:lang w:val="es-ES"/>
              </w:rPr>
            </w:pPr>
          </w:p>
        </w:tc>
      </w:tr>
      <w:tr w:rsidR="00082FD5" w:rsidRPr="00FF007A" w14:paraId="2551B1CB" w14:textId="77777777">
        <w:tc>
          <w:tcPr>
            <w:tcW w:w="3119" w:type="dxa"/>
          </w:tcPr>
          <w:p w14:paraId="51F03DE3" w14:textId="77777777" w:rsidR="00082FD5" w:rsidRPr="00FF007A" w:rsidRDefault="00082FD5">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08830489" w14:textId="77777777" w:rsidR="00082FD5" w:rsidRPr="00FF007A" w:rsidRDefault="00082FD5">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FC5317">
              <w:rPr>
                <w:rFonts w:ascii="Verdana" w:eastAsia="Calibri" w:hAnsi="Verdana" w:cs="Arial"/>
                <w:lang w:eastAsia="es-ES_tradnl"/>
              </w:rPr>
              <w:t>1_2025_08_22_008916</w:t>
            </w:r>
          </w:p>
        </w:tc>
      </w:tr>
    </w:tbl>
    <w:p w14:paraId="4A1E9129" w14:textId="77777777" w:rsidR="00082FD5" w:rsidRPr="00FF007A" w:rsidRDefault="00082FD5" w:rsidP="00082FD5">
      <w:pPr>
        <w:spacing w:after="0" w:line="276" w:lineRule="auto"/>
        <w:jc w:val="both"/>
        <w:rPr>
          <w:rFonts w:ascii="Verdana" w:eastAsia="Calibri" w:hAnsi="Verdana" w:cs="Arial"/>
          <w:lang w:eastAsia="es-ES_tradnl"/>
        </w:rPr>
      </w:pPr>
    </w:p>
    <w:p w14:paraId="11B3B8A0" w14:textId="77777777" w:rsidR="00082FD5" w:rsidRPr="00FF007A" w:rsidRDefault="00082FD5" w:rsidP="00082FD5">
      <w:pPr>
        <w:spacing w:after="0" w:line="276" w:lineRule="auto"/>
        <w:jc w:val="both"/>
        <w:rPr>
          <w:rFonts w:ascii="Verdana" w:eastAsia="Calibri" w:hAnsi="Verdana" w:cs="Arial"/>
          <w:lang w:eastAsia="es-ES"/>
        </w:rPr>
      </w:pPr>
      <w:r w:rsidRPr="00FF007A">
        <w:rPr>
          <w:rFonts w:ascii="Verdana" w:eastAsia="Calibri" w:hAnsi="Verdana" w:cs="Arial"/>
          <w:lang w:eastAsia="es-ES"/>
        </w:rPr>
        <w:t xml:space="preserve">Estimada señora </w:t>
      </w:r>
      <w:r>
        <w:rPr>
          <w:rFonts w:ascii="Verdana" w:eastAsia="Calibri" w:hAnsi="Verdana" w:cs="Arial"/>
          <w:lang w:eastAsia="es-ES"/>
        </w:rPr>
        <w:t>Gloria Esperanza:</w:t>
      </w:r>
      <w:r w:rsidRPr="00FF007A">
        <w:rPr>
          <w:rFonts w:ascii="Verdana" w:eastAsia="Calibri" w:hAnsi="Verdana" w:cs="Arial"/>
          <w:lang w:eastAsia="es-ES"/>
        </w:rPr>
        <w:t xml:space="preserve"> </w:t>
      </w:r>
    </w:p>
    <w:p w14:paraId="36BE86BA" w14:textId="77777777" w:rsidR="00082FD5" w:rsidRPr="00FF007A" w:rsidRDefault="00082FD5" w:rsidP="00082FD5">
      <w:pPr>
        <w:tabs>
          <w:tab w:val="left" w:pos="3768"/>
        </w:tabs>
        <w:spacing w:after="0" w:line="240" w:lineRule="auto"/>
        <w:jc w:val="both"/>
        <w:rPr>
          <w:rFonts w:ascii="Verdana" w:eastAsia="Calibri" w:hAnsi="Verdana" w:cs="Arial"/>
          <w:lang w:eastAsia="es-ES"/>
        </w:rPr>
      </w:pPr>
    </w:p>
    <w:p w14:paraId="464354AD" w14:textId="77777777" w:rsidR="00082FD5" w:rsidRPr="00FF007A" w:rsidRDefault="00082FD5" w:rsidP="00082FD5">
      <w:pPr>
        <w:tabs>
          <w:tab w:val="left" w:pos="3768"/>
        </w:tabs>
        <w:spacing w:after="0" w:line="276" w:lineRule="auto"/>
        <w:jc w:val="both"/>
        <w:rPr>
          <w:rFonts w:ascii="Verdana" w:eastAsia="Calibri" w:hAnsi="Verdana" w:cs="Arial"/>
          <w:lang w:eastAsia="es-ES"/>
        </w:rPr>
      </w:pPr>
      <w:r w:rsidRPr="00FF007A">
        <w:rPr>
          <w:rFonts w:ascii="Verdana" w:eastAsia="Calibri" w:hAnsi="Verdana" w:cs="Arial"/>
          <w:lang w:eastAsia="es-ES"/>
        </w:rPr>
        <w:t>En ejercicio de la competencia otorgada por los artículos 3, numeral 5º, y 11, numeral 8º, del Decreto Ley 4170 de 2011,</w:t>
      </w:r>
      <w:r w:rsidRPr="00FF007A">
        <w:rPr>
          <w:rFonts w:ascii="Verdana" w:eastAsia="Arial MT" w:hAnsi="Verdana" w:cs="Arial MT"/>
          <w:lang w:eastAsia="es-ES"/>
        </w:rPr>
        <w:t xml:space="preserve"> </w:t>
      </w:r>
      <w:r w:rsidRPr="00FF007A">
        <w:rPr>
          <w:rFonts w:ascii="Verdana" w:hAnsi="Verdana" w:cs="Arial"/>
        </w:rPr>
        <w:t xml:space="preserve">así como lo establecido en el artículo 4 de la Resolución 1707 de 2018 expedida por esta Entidad, </w:t>
      </w:r>
      <w:r w:rsidRPr="00FF007A">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22</w:t>
      </w:r>
      <w:r w:rsidRPr="00FF007A">
        <w:rPr>
          <w:rFonts w:ascii="Verdana" w:eastAsia="Calibri" w:hAnsi="Verdana" w:cs="Arial"/>
          <w:lang w:eastAsia="es-ES"/>
        </w:rPr>
        <w:t xml:space="preserve"> de agosto de 2025, en la cual manifiesta lo siguiente: </w:t>
      </w:r>
    </w:p>
    <w:p w14:paraId="20145926" w14:textId="77777777" w:rsidR="00082FD5" w:rsidRPr="00FF007A" w:rsidRDefault="00082FD5" w:rsidP="00082FD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7DA240B7" w14:textId="3809614B" w:rsidR="00082FD5" w:rsidRDefault="00082FD5" w:rsidP="00082FD5">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FF007A">
        <w:rPr>
          <w:rFonts w:ascii="Verdana" w:eastAsia="Century Gothic" w:hAnsi="Verdana" w:cs="Century Gothic"/>
          <w:sz w:val="20"/>
          <w:szCs w:val="20"/>
        </w:rPr>
        <w:t xml:space="preserve">“(…) </w:t>
      </w:r>
      <w:bookmarkEnd w:id="8"/>
      <w:bookmarkEnd w:id="9"/>
      <w:r w:rsidRPr="00F74527">
        <w:rPr>
          <w:rFonts w:ascii="Symbol" w:eastAsia="Symbol" w:hAnsi="Symbol" w:cs="Symbol"/>
          <w:sz w:val="20"/>
          <w:szCs w:val="20"/>
        </w:rPr>
        <w:sym w:font="Symbol" w:char="F0B7"/>
      </w:r>
      <w:r w:rsidRPr="00F74527">
        <w:rPr>
          <w:rFonts w:ascii="Verdana" w:eastAsia="Century Gothic" w:hAnsi="Verdana" w:cs="Century Gothic"/>
          <w:sz w:val="20"/>
          <w:szCs w:val="20"/>
        </w:rPr>
        <w:t xml:space="preserve"> ¿Los contratos de colaboración y convenios de asociación regulados por el Decreto 092 de 2017 se encuentran prohibidos durante la vigencia de la Ley de Garantías Electorales, al celebrarse por contratación directa? </w:t>
      </w:r>
    </w:p>
    <w:p w14:paraId="5499B1B4" w14:textId="77777777" w:rsidR="00082FD5" w:rsidRDefault="00082FD5" w:rsidP="00082FD5">
      <w:pPr>
        <w:spacing w:after="0" w:line="240" w:lineRule="auto"/>
        <w:ind w:left="709" w:right="709"/>
        <w:jc w:val="both"/>
        <w:rPr>
          <w:rFonts w:ascii="Verdana" w:eastAsia="Century Gothic" w:hAnsi="Verdana" w:cs="Century Gothic"/>
          <w:sz w:val="20"/>
          <w:szCs w:val="20"/>
        </w:rPr>
      </w:pPr>
    </w:p>
    <w:p w14:paraId="27431EBC" w14:textId="77777777" w:rsidR="00082FD5" w:rsidRDefault="00082FD5" w:rsidP="00082FD5">
      <w:pPr>
        <w:spacing w:after="0" w:line="240" w:lineRule="auto"/>
        <w:ind w:left="709" w:right="709"/>
        <w:jc w:val="both"/>
        <w:rPr>
          <w:rFonts w:ascii="Verdana" w:eastAsia="Century Gothic" w:hAnsi="Verdana" w:cs="Century Gothic"/>
          <w:sz w:val="20"/>
          <w:szCs w:val="20"/>
        </w:rPr>
      </w:pPr>
      <w:r w:rsidRPr="00F74527">
        <w:rPr>
          <w:rFonts w:ascii="Symbol" w:eastAsia="Symbol" w:hAnsi="Symbol" w:cs="Symbol"/>
          <w:sz w:val="20"/>
          <w:szCs w:val="20"/>
        </w:rPr>
        <w:sym w:font="Symbol" w:char="F0B7"/>
      </w:r>
      <w:r w:rsidRPr="00F74527">
        <w:rPr>
          <w:rFonts w:ascii="Verdana" w:eastAsia="Century Gothic" w:hAnsi="Verdana" w:cs="Century Gothic"/>
          <w:sz w:val="20"/>
          <w:szCs w:val="20"/>
        </w:rPr>
        <w:t xml:space="preserve"> En caso de que no sea posible adelantar un proceso competitivo y se acuda a esta modalidad, ¿puede considerarse que dichos convenios constituyen una excepción a la prohibición, o se encuentran plenamente sujetos a las restricciones de la Ley 996 de 2005? </w:t>
      </w:r>
    </w:p>
    <w:p w14:paraId="54FECBB1" w14:textId="77777777" w:rsidR="00082FD5" w:rsidRDefault="00082FD5" w:rsidP="00082FD5">
      <w:pPr>
        <w:spacing w:after="0" w:line="240" w:lineRule="auto"/>
        <w:ind w:left="709" w:right="709"/>
        <w:jc w:val="both"/>
        <w:rPr>
          <w:rFonts w:ascii="Verdana" w:eastAsia="Century Gothic" w:hAnsi="Verdana" w:cs="Century Gothic"/>
          <w:sz w:val="20"/>
          <w:szCs w:val="20"/>
        </w:rPr>
      </w:pPr>
    </w:p>
    <w:p w14:paraId="4DD92462" w14:textId="77777777" w:rsidR="00082FD5" w:rsidRPr="00FF007A" w:rsidRDefault="00082FD5" w:rsidP="00082FD5">
      <w:pPr>
        <w:spacing w:after="0" w:line="240" w:lineRule="auto"/>
        <w:ind w:left="709" w:right="709"/>
        <w:jc w:val="both"/>
        <w:rPr>
          <w:rFonts w:ascii="Verdana" w:eastAsia="Century Gothic" w:hAnsi="Verdana" w:cs="Century Gothic"/>
          <w:sz w:val="20"/>
          <w:szCs w:val="20"/>
        </w:rPr>
      </w:pPr>
      <w:r w:rsidRPr="00F74527">
        <w:rPr>
          <w:rFonts w:ascii="Symbol" w:eastAsia="Symbol" w:hAnsi="Symbol" w:cs="Symbol"/>
          <w:sz w:val="20"/>
          <w:szCs w:val="20"/>
        </w:rPr>
        <w:sym w:font="Symbol" w:char="F0B7"/>
      </w:r>
      <w:r w:rsidRPr="00F74527">
        <w:rPr>
          <w:rFonts w:ascii="Verdana" w:eastAsia="Century Gothic" w:hAnsi="Verdana" w:cs="Century Gothic"/>
          <w:sz w:val="20"/>
          <w:szCs w:val="20"/>
        </w:rPr>
        <w:t xml:space="preserve"> ¿Qué lineamientos deben observar las entidades estatales para no incurrir en desconocimiento de los principios de transparencia, selección objetiva y de las restricciones propias del período electoral? </w:t>
      </w:r>
      <w:r w:rsidRPr="00FF007A">
        <w:rPr>
          <w:rFonts w:ascii="Verdana" w:hAnsi="Verdana"/>
          <w:sz w:val="20"/>
          <w:szCs w:val="20"/>
        </w:rPr>
        <w:t>(…)”.</w:t>
      </w:r>
    </w:p>
    <w:p w14:paraId="1E55B0B3" w14:textId="77777777" w:rsidR="00082FD5" w:rsidRPr="00FF007A" w:rsidRDefault="00082FD5" w:rsidP="00082FD5">
      <w:pPr>
        <w:spacing w:after="0" w:line="240" w:lineRule="auto"/>
        <w:ind w:left="709" w:right="709"/>
        <w:jc w:val="both"/>
        <w:rPr>
          <w:rFonts w:ascii="Verdana" w:hAnsi="Verdana"/>
          <w:sz w:val="20"/>
          <w:szCs w:val="20"/>
        </w:rPr>
      </w:pPr>
    </w:p>
    <w:p w14:paraId="5868887C" w14:textId="77777777" w:rsidR="00082FD5" w:rsidRPr="00FF007A" w:rsidRDefault="00082FD5" w:rsidP="00082FD5">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D48E57F" w14:textId="77777777" w:rsidR="00082FD5" w:rsidRPr="000D3A6E" w:rsidRDefault="00082FD5" w:rsidP="00082FD5">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w:t>
      </w:r>
      <w:r w:rsidRPr="000D3A6E">
        <w:rPr>
          <w:rFonts w:ascii="Verdana" w:eastAsia="Calibri" w:hAnsi="Verdana" w:cs="Arial"/>
          <w:color w:val="000000"/>
          <w:lang w:eastAsia="es-ES"/>
        </w:rPr>
        <w:t xml:space="preserve">haciendo abstracción del caso particular y concreto señalado en su petición, pero señalando algunas consideraciones sobre las normas generales relacionadas con el problema jurídico de su consulta.  </w:t>
      </w:r>
    </w:p>
    <w:p w14:paraId="30991AEB" w14:textId="77777777" w:rsidR="00082FD5" w:rsidRPr="000D3A6E" w:rsidRDefault="00082FD5" w:rsidP="00082FD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D3A6E">
        <w:rPr>
          <w:rFonts w:ascii="Verdana" w:eastAsia="Century Gothic" w:hAnsi="Verdana" w:cs="Century Gothic"/>
          <w:b/>
          <w:bCs/>
          <w:lang w:val="es-CO"/>
        </w:rPr>
        <w:t>Problema planteado:</w:t>
      </w:r>
    </w:p>
    <w:p w14:paraId="7CAA84C8" w14:textId="77777777" w:rsidR="00082FD5" w:rsidRPr="000D3A6E" w:rsidRDefault="00082FD5" w:rsidP="00082FD5">
      <w:pPr>
        <w:spacing w:after="0" w:line="240" w:lineRule="auto"/>
        <w:jc w:val="both"/>
        <w:rPr>
          <w:rFonts w:ascii="Verdana" w:eastAsia="Calibri" w:hAnsi="Verdana" w:cs="Arial"/>
          <w:color w:val="000000"/>
          <w:lang w:eastAsia="es-ES"/>
        </w:rPr>
      </w:pPr>
    </w:p>
    <w:p w14:paraId="34B4DD93" w14:textId="77777777" w:rsidR="00082FD5" w:rsidRPr="00FF007A" w:rsidRDefault="00082FD5" w:rsidP="00082FD5">
      <w:pPr>
        <w:spacing w:after="120"/>
        <w:jc w:val="both"/>
        <w:rPr>
          <w:rFonts w:ascii="Verdana" w:eastAsia="Calibri" w:hAnsi="Verdana" w:cs="Arial"/>
          <w:color w:val="000000"/>
          <w:lang w:eastAsia="es-ES"/>
        </w:rPr>
      </w:pPr>
      <w:r w:rsidRPr="000D3A6E">
        <w:rPr>
          <w:rFonts w:ascii="Verdana" w:eastAsia="Calibri" w:hAnsi="Verdana" w:cs="Arial"/>
          <w:color w:val="000000"/>
          <w:lang w:eastAsia="es-ES"/>
        </w:rPr>
        <w:t xml:space="preserve">De acuerdo con el contenido de su solicitud, esta Agencia resolverá el siguiente problema jurídico ¿La aplicación de la Ley 996 de 2005 se extiende a los </w:t>
      </w:r>
      <w:r w:rsidRPr="000D3A6E">
        <w:rPr>
          <w:rFonts w:ascii="Verdana" w:eastAsia="Century Gothic" w:hAnsi="Verdana" w:cs="Century Gothic"/>
        </w:rPr>
        <w:t>contratos definidos en el 355 de la Constitución Política y de los convenios de asociación del artículo 5 del Decreto 092 de 2017?</w:t>
      </w:r>
      <w:r>
        <w:rPr>
          <w:rFonts w:ascii="Verdana" w:eastAsia="Calibri" w:hAnsi="Verdana" w:cs="Arial"/>
          <w:color w:val="000000"/>
          <w:lang w:eastAsia="es-ES"/>
        </w:rPr>
        <w:t xml:space="preserve"> </w:t>
      </w:r>
    </w:p>
    <w:p w14:paraId="19A5200E" w14:textId="77777777" w:rsidR="00082FD5" w:rsidRPr="00FF007A" w:rsidRDefault="00082FD5" w:rsidP="00082FD5">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6ECB6FC8" w14:textId="77777777" w:rsidR="00082FD5" w:rsidRPr="00FF007A" w:rsidRDefault="00082FD5" w:rsidP="00082FD5">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2FD5" w:rsidRPr="00FF007A" w14:paraId="799F3AD4" w14:textId="77777777" w:rsidTr="00095A2F">
        <w:tc>
          <w:tcPr>
            <w:tcW w:w="8828" w:type="dxa"/>
          </w:tcPr>
          <w:p w14:paraId="357B3301" w14:textId="6D542285" w:rsidR="00082FD5" w:rsidRDefault="00082FD5" w:rsidP="00095A2F">
            <w:pPr>
              <w:spacing w:line="276" w:lineRule="auto"/>
              <w:jc w:val="both"/>
              <w:rPr>
                <w:rFonts w:ascii="Verdana" w:eastAsia="Times New Roman" w:hAnsi="Verdana" w:cs="Arial"/>
                <w:lang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 xml:space="preserve"> </w:t>
            </w:r>
            <w:r w:rsidRPr="003E638E">
              <w:rPr>
                <w:rFonts w:ascii="Verdana" w:eastAsia="Times New Roman" w:hAnsi="Verdana" w:cs="Arial"/>
                <w:bCs/>
                <w:lang w:eastAsia="es-CO"/>
              </w:rPr>
              <w:t>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bCs/>
                <w:lang w:eastAsia="es-CO"/>
              </w:rPr>
              <w:t>.</w:t>
            </w:r>
            <w:r w:rsidR="00095A2F">
              <w:rPr>
                <w:rFonts w:ascii="Verdana" w:eastAsia="Times New Roman" w:hAnsi="Verdana" w:cs="Arial"/>
                <w:bCs/>
                <w:lang w:eastAsia="es-CO"/>
              </w:rPr>
              <w:t xml:space="preserve"> </w:t>
            </w:r>
            <w:r w:rsidRPr="003F4079">
              <w:rPr>
                <w:rFonts w:ascii="Verdana" w:eastAsia="Times New Roman" w:hAnsi="Verdana" w:cs="Arial"/>
                <w:lang w:val="es-MX" w:eastAsia="x-none"/>
              </w:rPr>
              <w:t xml:space="preserve">El ámbito material de la </w:t>
            </w:r>
            <w:r w:rsidRPr="003F4079">
              <w:rPr>
                <w:rFonts w:ascii="Verdana" w:eastAsia="Times New Roman" w:hAnsi="Verdana" w:cs="Arial"/>
                <w:lang w:val="es-MX" w:eastAsia="x-none"/>
              </w:rPr>
              <w:lastRenderedPageBreak/>
              <w:t xml:space="preserve">prohibición contenida en el artículo 33 de la Ley 996 de 2005 está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sidR="009D474F">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p>
          <w:p w14:paraId="1FD2C052" w14:textId="77777777" w:rsidR="00082FD5" w:rsidRDefault="00082FD5">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7328D3D1" w14:textId="2C1AC966" w:rsidR="00082FD5" w:rsidRDefault="00082FD5">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sidR="00D268C8">
              <w:rPr>
                <w:rFonts w:ascii="Verdana" w:eastAsia="Calibri" w:hAnsi="Verdana" w:cs="Arial"/>
                <w:lang w:val="es-ES"/>
              </w:rPr>
              <w:t>que ejecutará el contrato</w:t>
            </w:r>
            <w:r w:rsidR="00E83C4C">
              <w:rPr>
                <w:rFonts w:ascii="Verdana" w:eastAsia="Calibri" w:hAnsi="Verdana" w:cs="Arial"/>
                <w:lang w:val="es-ES"/>
              </w:rPr>
              <w:t>. De acuerdo con</w:t>
            </w:r>
            <w:r w:rsidR="00321E17">
              <w:rPr>
                <w:rFonts w:ascii="Verdana" w:eastAsia="Calibri" w:hAnsi="Verdana" w:cs="Arial"/>
                <w:lang w:val="es-ES"/>
              </w:rPr>
              <w:t xml:space="preserve"> esto, l</w:t>
            </w:r>
            <w:r w:rsidR="007A2B37">
              <w:rPr>
                <w:rFonts w:ascii="Verdana" w:eastAsia="Calibri" w:hAnsi="Verdana" w:cs="Arial"/>
                <w:lang w:val="es-ES"/>
              </w:rPr>
              <w:t>a celebración</w:t>
            </w:r>
            <w:r w:rsidR="00321E17">
              <w:rPr>
                <w:rFonts w:ascii="Verdana" w:eastAsia="Calibri" w:hAnsi="Verdana" w:cs="Arial"/>
                <w:lang w:val="es-ES"/>
              </w:rPr>
              <w:t xml:space="preserve"> </w:t>
            </w:r>
            <w:r w:rsidR="007A2B37">
              <w:rPr>
                <w:rFonts w:ascii="Verdana" w:eastAsia="Calibri" w:hAnsi="Verdana" w:cs="Arial"/>
                <w:lang w:val="es-ES"/>
              </w:rPr>
              <w:t xml:space="preserve">de los </w:t>
            </w:r>
            <w:r w:rsidR="00321E17">
              <w:rPr>
                <w:rFonts w:ascii="Verdana" w:eastAsia="Calibri" w:hAnsi="Verdana" w:cs="Arial"/>
                <w:lang w:val="es-ES"/>
              </w:rPr>
              <w:t xml:space="preserve">contratos </w:t>
            </w:r>
            <w:r w:rsidR="006C1F96">
              <w:rPr>
                <w:rFonts w:ascii="Verdana" w:eastAsia="Calibri" w:hAnsi="Verdana" w:cs="Arial"/>
                <w:lang w:val="es-ES"/>
              </w:rPr>
              <w:t>l</w:t>
            </w:r>
            <w:r w:rsidR="007A2B37">
              <w:rPr>
                <w:rFonts w:ascii="Verdana" w:eastAsia="Calibri" w:hAnsi="Verdana" w:cs="Arial"/>
                <w:lang w:val="es-ES"/>
              </w:rPr>
              <w:t>os que se refiere el</w:t>
            </w:r>
            <w:r w:rsidR="006C1F96">
              <w:rPr>
                <w:rFonts w:ascii="Verdana" w:eastAsia="Calibri" w:hAnsi="Verdana" w:cs="Arial"/>
                <w:lang w:val="es-ES"/>
              </w:rPr>
              <w:t xml:space="preserve"> artículo</w:t>
            </w:r>
            <w:r w:rsidR="007A2B37">
              <w:rPr>
                <w:rFonts w:ascii="Verdana" w:eastAsia="Calibri" w:hAnsi="Verdana" w:cs="Arial"/>
                <w:lang w:val="es-ES"/>
              </w:rPr>
              <w:t xml:space="preserve"> 355 superior, regidos por los artículos 2, 3 y 4 del Decreto 092 de 2017, no se afecta por la restricción del artículo 33 de la Ley 996 de 2005, en la medida en que su suscripción debe darse previo desarrollo de proceso competitivo. </w:t>
            </w:r>
            <w:r>
              <w:rPr>
                <w:rFonts w:ascii="Verdana" w:eastAsia="Calibri" w:hAnsi="Verdana" w:cs="Arial"/>
                <w:lang w:val="es-ES"/>
              </w:rPr>
              <w:t xml:space="preserve"> </w:t>
            </w:r>
          </w:p>
          <w:p w14:paraId="62732E89" w14:textId="512F48EB" w:rsidR="008F08EB" w:rsidRDefault="00082FD5" w:rsidP="697BF333">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w:t>
            </w:r>
            <w:r w:rsidR="008F08EB" w:rsidRPr="697BF333">
              <w:rPr>
                <w:rFonts w:ascii="Verdana" w:eastAsia="Calibri" w:hAnsi="Verdana" w:cs="Arial"/>
                <w:lang w:val="es-ES"/>
              </w:rPr>
              <w:t>la celebración de</w:t>
            </w:r>
            <w:r w:rsidRPr="697BF333">
              <w:rPr>
                <w:rFonts w:ascii="Verdana" w:eastAsia="Calibri" w:hAnsi="Verdana" w:cs="Arial"/>
                <w:lang w:val="es-ES"/>
              </w:rPr>
              <w:t xml:space="preserve"> los </w:t>
            </w:r>
            <w:r w:rsidRPr="697BF333">
              <w:rPr>
                <w:rFonts w:ascii="Verdana" w:eastAsia="Calibri" w:hAnsi="Verdana" w:cs="Arial"/>
                <w:i/>
                <w:lang w:val="es-ES"/>
              </w:rPr>
              <w:t xml:space="preserve">convenios de asociación </w:t>
            </w:r>
            <w:r w:rsidR="007A2B37" w:rsidRPr="697BF333">
              <w:rPr>
                <w:rFonts w:ascii="Verdana" w:eastAsia="Calibri" w:hAnsi="Verdana" w:cs="Arial"/>
                <w:lang w:val="es-ES"/>
              </w:rPr>
              <w:t>regidos por el artículo 96 de la Ley 489 de 1998</w:t>
            </w:r>
            <w:r w:rsidR="008F08EB" w:rsidRPr="697BF333">
              <w:rPr>
                <w:rFonts w:ascii="Verdana" w:eastAsia="Calibri" w:hAnsi="Verdana" w:cs="Arial"/>
                <w:lang w:val="es-ES"/>
              </w:rPr>
              <w:t xml:space="preserve">, así como por el artículo 5 del Decreto 092 de 2017, </w:t>
            </w:r>
            <w:r w:rsidR="002458B6" w:rsidRPr="697BF333">
              <w:rPr>
                <w:rFonts w:ascii="Verdana" w:eastAsia="Calibri" w:hAnsi="Verdana" w:cs="Arial"/>
                <w:lang w:val="es-ES"/>
              </w:rPr>
              <w:t xml:space="preserve">por regla general, también deben celebrarse previo desarrollo de un proceso competitivo, por lo </w:t>
            </w:r>
            <w:r w:rsidR="00AF65DC" w:rsidRPr="697BF333">
              <w:rPr>
                <w:rFonts w:ascii="Verdana" w:eastAsia="Calibri" w:hAnsi="Verdana" w:cs="Arial"/>
                <w:lang w:val="es-ES"/>
              </w:rPr>
              <w:t>que,</w:t>
            </w:r>
            <w:r w:rsidR="002458B6" w:rsidRPr="697BF333">
              <w:rPr>
                <w:rFonts w:ascii="Verdana" w:eastAsia="Calibri" w:hAnsi="Verdana" w:cs="Arial"/>
                <w:lang w:val="es-ES"/>
              </w:rPr>
              <w:t xml:space="preserve"> </w:t>
            </w:r>
            <w:r w:rsidR="00D6072E" w:rsidRPr="697BF333">
              <w:rPr>
                <w:rFonts w:ascii="Verdana" w:eastAsia="Calibri" w:hAnsi="Verdana" w:cs="Arial"/>
                <w:lang w:val="es-ES"/>
              </w:rPr>
              <w:t>en principio, su suscripción tampoco debería verse afectada por la restricción del artículo 33 de la Ley 996 de 2005. Esto a excepción de la</w:t>
            </w:r>
            <w:r w:rsidR="00AF65DC" w:rsidRPr="697BF333">
              <w:rPr>
                <w:rFonts w:ascii="Verdana" w:eastAsia="Calibri" w:hAnsi="Verdana" w:cs="Arial"/>
                <w:lang w:val="es-ES"/>
              </w:rPr>
              <w:t xml:space="preserve"> posibilidad celebrar </w:t>
            </w:r>
            <w:r w:rsidR="00634B00" w:rsidRPr="697BF333">
              <w:rPr>
                <w:rFonts w:ascii="Verdana" w:eastAsia="Calibri" w:hAnsi="Verdana" w:cs="Arial"/>
                <w:lang w:val="es-ES"/>
              </w:rPr>
              <w:t>convenios de asociación</w:t>
            </w:r>
            <w:r w:rsidR="00AF65DC" w:rsidRPr="697BF333">
              <w:rPr>
                <w:rFonts w:ascii="Verdana" w:eastAsia="Calibri" w:hAnsi="Verdana" w:cs="Arial"/>
                <w:lang w:val="es-ES"/>
              </w:rPr>
              <w:t xml:space="preserve"> de manera directa</w:t>
            </w:r>
            <w:r w:rsidR="00C53238" w:rsidRPr="697BF333">
              <w:rPr>
                <w:rFonts w:ascii="Verdana" w:eastAsia="Calibri" w:hAnsi="Verdana" w:cs="Arial"/>
                <w:lang w:val="es-ES"/>
              </w:rPr>
              <w:t xml:space="preserve">, en aquellos casos en los que </w:t>
            </w:r>
            <w:r w:rsidR="00634B00" w:rsidRPr="697BF333">
              <w:rPr>
                <w:rFonts w:ascii="Verdana" w:eastAsia="Calibri" w:hAnsi="Verdana" w:cs="Arial"/>
                <w:lang w:val="es-ES"/>
              </w:rPr>
              <w:t>una</w:t>
            </w:r>
            <w:r w:rsidR="00C53238" w:rsidRPr="697BF333">
              <w:rPr>
                <w:rFonts w:ascii="Verdana" w:eastAsia="Calibri" w:hAnsi="Verdana" w:cs="Arial"/>
                <w:lang w:val="es-ES"/>
              </w:rPr>
              <w:t xml:space="preserve"> entidad sin </w:t>
            </w:r>
            <w:proofErr w:type="spellStart"/>
            <w:r w:rsidR="00C53238" w:rsidRPr="697BF333">
              <w:rPr>
                <w:rFonts w:ascii="Verdana" w:eastAsia="Calibri" w:hAnsi="Verdana" w:cs="Arial"/>
                <w:lang w:val="es-ES"/>
              </w:rPr>
              <w:t>animo</w:t>
            </w:r>
            <w:proofErr w:type="spellEnd"/>
            <w:r w:rsidR="00C53238" w:rsidRPr="697BF333">
              <w:rPr>
                <w:rFonts w:ascii="Verdana" w:eastAsia="Calibri" w:hAnsi="Verdana" w:cs="Arial"/>
                <w:lang w:val="es-ES"/>
              </w:rPr>
              <w:t xml:space="preserve"> de lucro aporte el 30% de los recursos en dinero</w:t>
            </w:r>
            <w:r w:rsidR="00634B00" w:rsidRPr="697BF333">
              <w:rPr>
                <w:rFonts w:ascii="Verdana" w:eastAsia="Calibri" w:hAnsi="Verdana" w:cs="Arial"/>
                <w:lang w:val="es-ES"/>
              </w:rPr>
              <w:t xml:space="preserve"> requeridos, supuesto </w:t>
            </w:r>
            <w:r w:rsidR="00F71D5E" w:rsidRPr="697BF333">
              <w:rPr>
                <w:rFonts w:ascii="Verdana" w:eastAsia="Calibri" w:hAnsi="Verdana" w:cs="Arial"/>
                <w:lang w:val="es-ES"/>
              </w:rPr>
              <w:t xml:space="preserve">que, al excluir la pluralidad de oferentes, </w:t>
            </w:r>
            <w:r w:rsidR="00065C0F" w:rsidRPr="697BF333">
              <w:rPr>
                <w:rFonts w:ascii="Verdana" w:eastAsia="Calibri" w:hAnsi="Verdana" w:cs="Arial"/>
                <w:lang w:val="es-ES"/>
              </w:rPr>
              <w:t xml:space="preserve">si entra dentro del ámbito de aplicación de la mencionada prohibición, de manera que no es posible su aplicación en vigencia de la restricción a la contratación directa. </w:t>
            </w:r>
            <w:r w:rsidR="008F08EB" w:rsidRPr="697BF333">
              <w:rPr>
                <w:rFonts w:ascii="Verdana" w:eastAsia="Calibri" w:hAnsi="Verdana" w:cs="Arial"/>
                <w:lang w:val="es-ES"/>
              </w:rPr>
              <w:t xml:space="preserve"> </w:t>
            </w:r>
          </w:p>
          <w:p w14:paraId="0712DC6F" w14:textId="1DED4682" w:rsidR="00082FD5" w:rsidRPr="00A17A6F" w:rsidRDefault="00AD133F" w:rsidP="008058E4">
            <w:pPr>
              <w:spacing w:before="120" w:after="120" w:line="276" w:lineRule="auto"/>
              <w:ind w:firstLine="709"/>
              <w:jc w:val="both"/>
              <w:rPr>
                <w:rFonts w:ascii="Verdana" w:eastAsia="Calibri" w:hAnsi="Verdana" w:cs="Arial"/>
                <w:color w:val="000000"/>
              </w:rPr>
            </w:pPr>
            <w:r>
              <w:rPr>
                <w:rFonts w:ascii="Verdana" w:eastAsia="Times New Roman" w:hAnsi="Verdana" w:cs="Arial"/>
                <w:lang w:val="es-MX" w:eastAsia="x-none"/>
              </w:rPr>
              <w:lastRenderedPageBreak/>
              <w:t>Sin perjuicio de lo anterior</w:t>
            </w:r>
            <w:r w:rsidR="009D474F"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009D474F" w:rsidRPr="00F02C5A">
              <w:rPr>
                <w:rFonts w:ascii="Verdana" w:eastAsia="Times New Roman" w:hAnsi="Verdana" w:cs="Arial"/>
                <w:lang w:val="es-MX" w:eastAsia="x-none"/>
              </w:rPr>
              <w:t>Ley de Garantías Electorales</w:t>
            </w:r>
            <w:r w:rsidR="0006764D">
              <w:rPr>
                <w:rFonts w:ascii="Verdana" w:eastAsia="Times New Roman" w:hAnsi="Verdana" w:cs="Arial"/>
                <w:lang w:val="es-MX" w:eastAsia="x-none"/>
              </w:rPr>
              <w:t xml:space="preserve"> contempla algunas excepciones</w:t>
            </w:r>
            <w:r w:rsidR="009D474F"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009D474F" w:rsidRPr="00F02C5A">
              <w:rPr>
                <w:rFonts w:ascii="Verdana" w:eastAsia="Times New Roman" w:hAnsi="Verdana" w:cs="Arial"/>
                <w:lang w:val="es-MX" w:eastAsia="x-none"/>
              </w:rPr>
              <w:t xml:space="preserve"> directa en períodos previos a la contienda electoral por la Presidencia, </w:t>
            </w:r>
            <w:r w:rsidR="0006764D">
              <w:rPr>
                <w:rFonts w:ascii="Verdana" w:eastAsia="Times New Roman" w:hAnsi="Verdana" w:cs="Arial"/>
                <w:lang w:val="es-MX" w:eastAsia="x-none"/>
              </w:rPr>
              <w:t xml:space="preserve">siempre que se subsuma en los supuestos contemplados de </w:t>
            </w:r>
            <w:r w:rsidR="009D474F" w:rsidRPr="00F02C5A">
              <w:rPr>
                <w:rFonts w:ascii="Verdana" w:eastAsia="Times New Roman" w:hAnsi="Verdana" w:cs="Arial"/>
                <w:lang w:val="es-MX" w:eastAsia="x-none"/>
              </w:rPr>
              <w:t>manera taxativa en el inciso final del citado artículo 33 de la Ley 996 de 2005.</w:t>
            </w:r>
            <w:r w:rsidR="009D474F">
              <w:rPr>
                <w:rFonts w:ascii="Verdana" w:eastAsia="Times New Roman" w:hAnsi="Verdana" w:cs="Arial"/>
                <w:lang w:val="es-MX" w:eastAsia="x-none"/>
              </w:rPr>
              <w:t xml:space="preserve"> Por lo tanto, será</w:t>
            </w:r>
            <w:r w:rsidR="009D474F"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tc>
      </w:tr>
    </w:tbl>
    <w:p w14:paraId="6CA0E18C" w14:textId="77777777" w:rsidR="00082FD5" w:rsidRPr="00FF007A" w:rsidRDefault="00082FD5" w:rsidP="00082FD5">
      <w:pPr>
        <w:tabs>
          <w:tab w:val="left" w:pos="142"/>
          <w:tab w:val="left" w:pos="284"/>
        </w:tabs>
        <w:spacing w:after="0" w:line="276" w:lineRule="auto"/>
        <w:jc w:val="both"/>
        <w:rPr>
          <w:rFonts w:ascii="Verdana" w:eastAsia="Century Gothic" w:hAnsi="Verdana" w:cs="Century Gothic"/>
          <w:b/>
          <w:bCs/>
        </w:rPr>
      </w:pPr>
    </w:p>
    <w:p w14:paraId="72F9A33B" w14:textId="77777777" w:rsidR="00082FD5" w:rsidRPr="00FF007A" w:rsidRDefault="00082FD5" w:rsidP="00082FD5">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6DF7F382" w14:textId="77777777" w:rsidR="00082FD5" w:rsidRPr="00FF007A" w:rsidRDefault="00082FD5" w:rsidP="00082FD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5C45C3C7" w14:textId="77777777" w:rsidR="00082FD5" w:rsidRDefault="00082FD5" w:rsidP="00082FD5">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7B748560" w14:textId="77777777" w:rsidR="00082FD5" w:rsidRDefault="00082FD5" w:rsidP="00082FD5">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402DBD25" w14:textId="77777777" w:rsidR="00082FD5" w:rsidRDefault="00082FD5" w:rsidP="002817AD">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1"/>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35BE054A" w14:textId="77777777" w:rsidR="00082FD5" w:rsidRPr="003E638E" w:rsidRDefault="00082FD5" w:rsidP="002817AD">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55DDC159" w14:textId="77777777" w:rsidR="00082FD5" w:rsidRPr="00990FC7" w:rsidRDefault="00082FD5" w:rsidP="002817AD">
      <w:pPr>
        <w:spacing w:after="0" w:line="240" w:lineRule="auto"/>
        <w:ind w:right="709"/>
        <w:rPr>
          <w:rFonts w:ascii="Arial" w:eastAsia="Times New Roman" w:hAnsi="Arial" w:cs="Arial"/>
          <w:sz w:val="21"/>
          <w:szCs w:val="21"/>
          <w:lang w:val="es-ES" w:eastAsia="es-CO"/>
        </w:rPr>
      </w:pPr>
    </w:p>
    <w:p w14:paraId="374F4887" w14:textId="77777777" w:rsidR="00082FD5" w:rsidRPr="003E638E" w:rsidRDefault="00082FD5" w:rsidP="00082FD5">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w:t>
      </w:r>
      <w:r w:rsidRPr="003E638E">
        <w:rPr>
          <w:rFonts w:ascii="Verdana" w:eastAsia="Times New Roman" w:hAnsi="Verdana" w:cs="Arial"/>
          <w:bCs/>
          <w:sz w:val="20"/>
          <w:szCs w:val="20"/>
          <w:lang w:eastAsia="es-CO"/>
        </w:rPr>
        <w:lastRenderedPageBreak/>
        <w:t>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2"/>
      </w:r>
    </w:p>
    <w:p w14:paraId="779E2AAC" w14:textId="77777777" w:rsidR="00082FD5" w:rsidRPr="003E638E" w:rsidRDefault="00082FD5" w:rsidP="00082FD5">
      <w:pPr>
        <w:spacing w:after="0"/>
        <w:ind w:left="709" w:right="709"/>
        <w:jc w:val="both"/>
        <w:rPr>
          <w:rFonts w:ascii="Verdana" w:eastAsia="Times New Roman" w:hAnsi="Verdana" w:cs="Arial"/>
          <w:bCs/>
          <w:sz w:val="21"/>
          <w:szCs w:val="21"/>
          <w:lang w:eastAsia="es-CO"/>
        </w:rPr>
      </w:pPr>
    </w:p>
    <w:p w14:paraId="09D7FB34" w14:textId="77777777" w:rsidR="00082FD5" w:rsidRPr="003E638E" w:rsidRDefault="00082FD5" w:rsidP="002817AD">
      <w:pPr>
        <w:spacing w:after="0" w:line="276" w:lineRule="auto"/>
        <w:ind w:firstLine="709"/>
        <w:jc w:val="both"/>
        <w:rPr>
          <w:rFonts w:ascii="Verdana" w:eastAsia="Times New Roman" w:hAnsi="Verdana" w:cs="Arial"/>
          <w:bCs/>
          <w:lang w:eastAsia="es-CO"/>
        </w:rPr>
      </w:pPr>
      <w:bookmarkStart w:id="10"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0"/>
      <w:r w:rsidRPr="003E638E">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3DCCB0F7" w14:textId="77777777" w:rsidR="00082FD5" w:rsidRPr="003E638E" w:rsidRDefault="00082FD5" w:rsidP="00082FD5">
      <w:pPr>
        <w:spacing w:after="0"/>
        <w:ind w:firstLine="709"/>
        <w:jc w:val="both"/>
        <w:rPr>
          <w:rFonts w:ascii="Verdana" w:eastAsia="Times New Roman" w:hAnsi="Verdana" w:cs="Arial"/>
          <w:bCs/>
          <w:lang w:eastAsia="es-CO"/>
        </w:rPr>
      </w:pPr>
    </w:p>
    <w:p w14:paraId="70ADBA9C" w14:textId="77777777" w:rsidR="00082FD5" w:rsidRDefault="00082FD5" w:rsidP="00082FD5">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3DCEC6E" w14:textId="77777777" w:rsidR="00082FD5" w:rsidRPr="003E638E" w:rsidRDefault="00082FD5" w:rsidP="00082FD5">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3E638E">
        <w:rPr>
          <w:rFonts w:ascii="Verdana" w:eastAsia="Times New Roman" w:hAnsi="Verdana" w:cs="Arial"/>
          <w:bCs/>
          <w:sz w:val="20"/>
          <w:szCs w:val="20"/>
          <w:lang w:eastAsia="es-CO"/>
        </w:rPr>
        <w:lastRenderedPageBreak/>
        <w:t>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w:t>
      </w:r>
    </w:p>
    <w:p w14:paraId="5D67183E" w14:textId="77777777" w:rsidR="00082FD5" w:rsidRPr="00990FC7" w:rsidRDefault="00082FD5" w:rsidP="00082FD5">
      <w:pPr>
        <w:spacing w:after="0" w:line="240" w:lineRule="auto"/>
        <w:ind w:right="709"/>
        <w:rPr>
          <w:rFonts w:ascii="Arial" w:eastAsia="Times New Roman" w:hAnsi="Arial" w:cs="Arial"/>
          <w:bCs/>
          <w:sz w:val="21"/>
          <w:szCs w:val="21"/>
          <w:lang w:eastAsia="es-CO"/>
        </w:rPr>
      </w:pPr>
    </w:p>
    <w:p w14:paraId="5719EC05" w14:textId="77777777" w:rsidR="00082FD5" w:rsidRPr="003E638E" w:rsidRDefault="00082FD5" w:rsidP="002817AD">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11"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1"/>
    </w:p>
    <w:p w14:paraId="1880726E" w14:textId="77777777" w:rsidR="00082FD5" w:rsidRPr="003E638E" w:rsidRDefault="00082FD5" w:rsidP="002817AD">
      <w:pPr>
        <w:spacing w:after="120" w:line="276" w:lineRule="auto"/>
        <w:ind w:firstLine="708"/>
        <w:jc w:val="both"/>
        <w:rPr>
          <w:rFonts w:ascii="Verdana" w:eastAsia="Calibri" w:hAnsi="Verdana" w:cs="Arial"/>
        </w:rPr>
      </w:pPr>
      <w:r>
        <w:rPr>
          <w:rFonts w:ascii="Verdana" w:eastAsia="Calibri" w:hAnsi="Verdana" w:cs="Arial"/>
        </w:rPr>
        <w:t xml:space="preserve">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6"/>
      </w:r>
      <w:r w:rsidRPr="003E638E">
        <w:rPr>
          <w:rFonts w:ascii="Verdana" w:eastAsia="Calibri" w:hAnsi="Verdana" w:cs="Arial"/>
        </w:rPr>
        <w:t>.</w:t>
      </w:r>
    </w:p>
    <w:p w14:paraId="12B2AE0C" w14:textId="77777777" w:rsidR="00082FD5" w:rsidRPr="00F02C5A" w:rsidRDefault="00082FD5" w:rsidP="002817AD">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13" w:name="_Hlk75628761"/>
      <w:r w:rsidRPr="00F02C5A">
        <w:rPr>
          <w:rFonts w:ascii="Verdana" w:eastAsia="Times New Roman" w:hAnsi="Verdana" w:cs="Arial"/>
          <w:lang w:val="es-MX" w:eastAsia="x-none"/>
        </w:rPr>
        <w:t xml:space="preserve">en el artículo 33 de la Ley 996 de 2005 </w:t>
      </w:r>
      <w:bookmarkEnd w:id="13"/>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6BCBABCB" w14:textId="77777777" w:rsidR="00082FD5" w:rsidRPr="00F02C5A" w:rsidRDefault="00082FD5" w:rsidP="00082FD5">
      <w:pPr>
        <w:spacing w:after="0" w:line="276" w:lineRule="auto"/>
        <w:ind w:left="708" w:right="709"/>
        <w:contextualSpacing/>
        <w:jc w:val="both"/>
        <w:rPr>
          <w:rFonts w:ascii="Verdana" w:eastAsia="Calibri" w:hAnsi="Verdana" w:cs="Arial"/>
          <w:sz w:val="21"/>
          <w:szCs w:val="21"/>
          <w:lang w:val="es-MX"/>
        </w:rPr>
      </w:pPr>
    </w:p>
    <w:p w14:paraId="7F8A75BD" w14:textId="77777777" w:rsidR="00082FD5" w:rsidRPr="002817AD" w:rsidRDefault="00082FD5" w:rsidP="00082FD5">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7"/>
      </w:r>
      <w:r w:rsidRPr="002817AD">
        <w:rPr>
          <w:rFonts w:ascii="Verdana" w:eastAsia="Calibri" w:hAnsi="Verdana" w:cs="Arial"/>
          <w:sz w:val="20"/>
          <w:szCs w:val="20"/>
          <w:lang w:val="es-MX"/>
        </w:rPr>
        <w:t>.</w:t>
      </w:r>
    </w:p>
    <w:p w14:paraId="7DD3E28C" w14:textId="77777777" w:rsidR="00082FD5" w:rsidRPr="002817AD" w:rsidRDefault="00082FD5" w:rsidP="00082FD5">
      <w:pPr>
        <w:spacing w:after="0" w:line="240" w:lineRule="auto"/>
        <w:ind w:left="709" w:right="709"/>
        <w:contextualSpacing/>
        <w:jc w:val="both"/>
        <w:rPr>
          <w:rFonts w:ascii="Verdana" w:eastAsia="Calibri" w:hAnsi="Verdana" w:cs="Arial"/>
          <w:sz w:val="20"/>
          <w:szCs w:val="20"/>
          <w:lang w:val="es-MX"/>
        </w:rPr>
      </w:pPr>
    </w:p>
    <w:p w14:paraId="44A6FDAF" w14:textId="77777777" w:rsidR="00082FD5" w:rsidRPr="002817AD" w:rsidRDefault="00082FD5" w:rsidP="00082FD5">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que para los efectos de la ley de garantías, y dada su finalidad, el enunciado ´contratación directa´ es sinónimo </w:t>
      </w:r>
      <w:bookmarkStart w:id="14"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14"/>
      <w:r w:rsidRPr="002817AD">
        <w:rPr>
          <w:rFonts w:ascii="Verdana" w:eastAsia="Calibri" w:hAnsi="Verdana" w:cs="Arial"/>
          <w:sz w:val="20"/>
          <w:szCs w:val="20"/>
          <w:lang w:val="es-MX"/>
        </w:rPr>
        <w:t>y que, además, no necesariamente hace referencia al procedimiento especial regulado por la ley de contratación estatal, sino a cualquier otro que prescinda de un proceso de licitación pública o concurso</w:t>
      </w:r>
      <w:r w:rsidRPr="002817AD">
        <w:rPr>
          <w:rFonts w:ascii="Verdana" w:eastAsia="Times New Roman" w:hAnsi="Verdana" w:cs="Arial"/>
          <w:sz w:val="20"/>
          <w:szCs w:val="20"/>
          <w:vertAlign w:val="superscript"/>
          <w:lang w:val="es-MX"/>
        </w:rPr>
        <w:footnoteReference w:id="8"/>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9"/>
      </w:r>
      <w:r w:rsidRPr="002817AD">
        <w:rPr>
          <w:rFonts w:ascii="Verdana" w:eastAsia="Calibri" w:hAnsi="Verdana" w:cs="Arial"/>
          <w:sz w:val="20"/>
          <w:szCs w:val="20"/>
          <w:lang w:val="es-MX"/>
        </w:rPr>
        <w:t>”.</w:t>
      </w:r>
    </w:p>
    <w:p w14:paraId="555F00E8" w14:textId="77777777" w:rsidR="00082FD5" w:rsidRPr="00F02C5A" w:rsidRDefault="00082FD5" w:rsidP="00082FD5">
      <w:pPr>
        <w:shd w:val="clear" w:color="auto" w:fill="FFFFFF"/>
        <w:spacing w:after="0" w:line="276" w:lineRule="auto"/>
        <w:ind w:firstLine="709"/>
        <w:contextualSpacing/>
        <w:jc w:val="both"/>
        <w:rPr>
          <w:rFonts w:ascii="Verdana" w:eastAsia="Times New Roman" w:hAnsi="Verdana" w:cs="Arial"/>
          <w:lang w:eastAsia="x-none"/>
        </w:rPr>
      </w:pPr>
    </w:p>
    <w:p w14:paraId="38B2B86C" w14:textId="77777777" w:rsidR="00082FD5" w:rsidRPr="00F02C5A" w:rsidRDefault="00082FD5" w:rsidP="00082FD5">
      <w:pPr>
        <w:spacing w:after="120" w:line="276" w:lineRule="auto"/>
        <w:ind w:firstLine="709"/>
        <w:jc w:val="both"/>
        <w:rPr>
          <w:rFonts w:ascii="Verdana" w:eastAsia="Times New Roman" w:hAnsi="Verdana" w:cs="Arial"/>
          <w:lang w:eastAsia="x-none"/>
        </w:rPr>
      </w:pPr>
      <w:bookmarkStart w:id="16"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6"/>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0"/>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w:t>
      </w:r>
    </w:p>
    <w:p w14:paraId="3B59CF8A" w14:textId="77777777" w:rsidR="00082FD5" w:rsidRPr="00F02C5A" w:rsidRDefault="00082FD5" w:rsidP="00082FD5">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w:t>
      </w:r>
      <w:r w:rsidRPr="00F02C5A">
        <w:rPr>
          <w:rFonts w:ascii="Verdana" w:eastAsia="Times New Roman" w:hAnsi="Verdana" w:cs="Arial"/>
          <w:lang w:eastAsia="x-none"/>
        </w:rPr>
        <w:lastRenderedPageBreak/>
        <w:t>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7F7BC5D5" w14:textId="77777777" w:rsidR="00082FD5" w:rsidRPr="00F02C5A" w:rsidRDefault="00082FD5" w:rsidP="00082FD5">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17"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17"/>
      <w:r w:rsidRPr="00F02C5A">
        <w:rPr>
          <w:rFonts w:ascii="Verdana" w:eastAsia="Times New Roman" w:hAnsi="Verdana" w:cs="Arial"/>
          <w:vertAlign w:val="superscript"/>
          <w:lang w:eastAsia="x-none"/>
        </w:rPr>
        <w:footnoteReference w:id="13"/>
      </w:r>
      <w:r w:rsidRPr="00F02C5A">
        <w:rPr>
          <w:rFonts w:ascii="Verdana" w:eastAsia="Times New Roman" w:hAnsi="Verdana" w:cs="Arial"/>
          <w:lang w:eastAsia="x-none"/>
        </w:rPr>
        <w:t xml:space="preserve">. </w:t>
      </w:r>
    </w:p>
    <w:p w14:paraId="4A618160" w14:textId="77777777" w:rsidR="00082FD5" w:rsidRPr="00F02C5A" w:rsidRDefault="00082FD5" w:rsidP="00082FD5">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9AD299A" w14:textId="77777777" w:rsidR="00082FD5" w:rsidRPr="00F02C5A" w:rsidRDefault="00082FD5" w:rsidP="00082FD5">
      <w:pPr>
        <w:spacing w:after="120" w:line="276" w:lineRule="auto"/>
        <w:ind w:firstLine="709"/>
        <w:jc w:val="both"/>
        <w:rPr>
          <w:rFonts w:ascii="Verdana" w:eastAsia="Times New Roman" w:hAnsi="Verdana" w:cs="Arial"/>
          <w:lang w:val="es-MX" w:eastAsia="x-none"/>
        </w:rPr>
      </w:pPr>
      <w:bookmarkStart w:id="18" w:name="_Hlk78818796"/>
      <w:r w:rsidRPr="00F02C5A">
        <w:rPr>
          <w:rFonts w:ascii="Verdana" w:eastAsia="Times New Roman" w:hAnsi="Verdana" w:cs="Arial"/>
          <w:lang w:val="es-MX" w:eastAsia="x-none"/>
        </w:rPr>
        <w:t xml:space="preserve"> Así las cosas, </w:t>
      </w:r>
      <w:bookmarkStart w:id="19"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4"/>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8"/>
    <w:p w14:paraId="2321B7BD" w14:textId="77777777" w:rsidR="00082FD5" w:rsidRPr="00F02C5A" w:rsidRDefault="00082FD5" w:rsidP="00082FD5">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F928960" w14:textId="77777777" w:rsidR="00082FD5" w:rsidRPr="00F02C5A" w:rsidRDefault="00082FD5" w:rsidP="00082FD5">
      <w:pPr>
        <w:spacing w:after="120" w:line="276" w:lineRule="auto"/>
        <w:ind w:firstLine="709"/>
        <w:jc w:val="both"/>
        <w:rPr>
          <w:rFonts w:ascii="Verdana" w:eastAsia="Times New Roman" w:hAnsi="Verdana" w:cs="Arial"/>
          <w:lang w:val="es-MX" w:eastAsia="x-none"/>
        </w:rPr>
      </w:pPr>
      <w:bookmarkStart w:id="20" w:name="_Hlk77237094"/>
      <w:bookmarkEnd w:id="19"/>
      <w:r w:rsidRPr="00F02C5A">
        <w:rPr>
          <w:rFonts w:ascii="Verdana" w:eastAsia="Times New Roman" w:hAnsi="Verdana" w:cs="Arial"/>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0"/>
    </w:p>
    <w:p w14:paraId="13AD1F2A" w14:textId="77777777" w:rsidR="00082FD5" w:rsidRPr="00F02C5A" w:rsidRDefault="00082FD5" w:rsidP="00082FD5">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21" w:name="_Hlk99577887"/>
      <w:bookmarkStart w:id="22"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21"/>
    </w:p>
    <w:bookmarkEnd w:id="22"/>
    <w:p w14:paraId="73914853" w14:textId="77777777" w:rsidR="00082FD5" w:rsidRPr="00D42A84" w:rsidRDefault="00082FD5" w:rsidP="00082FD5">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23" w:name="_Hlk74309042"/>
      <w:r w:rsidRPr="00F02C5A">
        <w:rPr>
          <w:rFonts w:ascii="Verdana" w:eastAsia="Times New Roman" w:hAnsi="Verdana" w:cs="Arial"/>
          <w:lang w:val="es-MX" w:eastAsia="x-none"/>
        </w:rPr>
        <w:t>que “</w:t>
      </w:r>
      <w:bookmarkEnd w:id="23"/>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24" w:name="_Hlk75768308"/>
      <w:r w:rsidRPr="00F02C5A">
        <w:rPr>
          <w:rFonts w:ascii="Verdana" w:eastAsia="Times New Roman" w:hAnsi="Verdana" w:cs="Arial"/>
          <w:lang w:val="es-MX" w:eastAsia="x-none"/>
        </w:rPr>
        <w:t xml:space="preserve">no termine yendo en detrimento de intereses públicos, cuya garantía está en cabeza del ejecutivo, como son los inmersos en </w:t>
      </w:r>
      <w:r w:rsidRPr="00F02C5A">
        <w:rPr>
          <w:rFonts w:ascii="Verdana" w:eastAsia="Times New Roman" w:hAnsi="Verdana" w:cs="Arial"/>
          <w:lang w:val="es-MX" w:eastAsia="x-none"/>
        </w:rPr>
        <w:lastRenderedPageBreak/>
        <w:t>las excepciones para la prohibición de contratación”</w:t>
      </w:r>
      <w:r w:rsidRPr="00F02C5A">
        <w:rPr>
          <w:rFonts w:ascii="Verdana" w:eastAsia="Calibri" w:hAnsi="Verdana" w:cs="Arial"/>
          <w:vertAlign w:val="superscript"/>
          <w:lang w:val="es-MX"/>
        </w:rPr>
        <w:footnoteReference w:id="15"/>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24"/>
    </w:p>
    <w:p w14:paraId="27908F97" w14:textId="77777777" w:rsidR="00082FD5" w:rsidRPr="00A90DCC" w:rsidRDefault="00082FD5" w:rsidP="00082FD5">
      <w:pPr>
        <w:spacing w:before="120" w:after="120" w:line="276" w:lineRule="auto"/>
        <w:ind w:firstLine="709"/>
        <w:jc w:val="both"/>
        <w:rPr>
          <w:rFonts w:ascii="Verdana" w:eastAsia="Calibri" w:hAnsi="Verdana" w:cs="Arial"/>
          <w:lang w:val="es-ES"/>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6FE15C02" w14:textId="77777777" w:rsidR="00082FD5" w:rsidRPr="00377ED6" w:rsidRDefault="00082FD5" w:rsidP="00082FD5">
      <w:pPr>
        <w:spacing w:before="120" w:after="120" w:line="276" w:lineRule="auto"/>
        <w:ind w:firstLine="709"/>
        <w:jc w:val="both"/>
        <w:rPr>
          <w:rFonts w:ascii="Verdana" w:eastAsia="Calibri" w:hAnsi="Verdana" w:cs="Arial"/>
          <w:lang w:val="es-ES"/>
        </w:rPr>
      </w:pPr>
      <w:bookmarkStart w:id="25"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25"/>
    </w:p>
    <w:p w14:paraId="4AC84C0A" w14:textId="6BC5191E" w:rsidR="00F12C4F" w:rsidRDefault="00082FD5" w:rsidP="00A4549E">
      <w:pPr>
        <w:spacing w:before="120" w:after="120" w:line="276" w:lineRule="auto"/>
        <w:ind w:firstLine="709"/>
        <w:jc w:val="both"/>
        <w:rPr>
          <w:rFonts w:ascii="Verdana" w:eastAsia="Calibri" w:hAnsi="Verdana" w:cs="Arial"/>
          <w:lang w:val="es-ES"/>
        </w:rPr>
      </w:pPr>
      <w:bookmarkStart w:id="26"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44B47996" w14:textId="49923766" w:rsidR="00082FD5" w:rsidRDefault="00082FD5" w:rsidP="00082FD5">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que no haya una contraprestación directa a favor de la entidad estatal, es decir, que el programa o actividad a desarrollar este dirigida al beneficio de la población en general, ya </w:t>
      </w:r>
      <w:r w:rsidRPr="00377ED6">
        <w:rPr>
          <w:rFonts w:ascii="Verdana" w:eastAsia="Calibri" w:hAnsi="Verdana" w:cs="Arial"/>
          <w:lang w:val="es-ES"/>
        </w:rPr>
        <w:lastRenderedPageBreak/>
        <w:t>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5AA93FF7" w14:textId="77777777" w:rsidR="00082FD5" w:rsidRDefault="00082FD5" w:rsidP="00082FD5">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3E4DDC10" w14:textId="77777777" w:rsidR="00CB5954" w:rsidRDefault="00CB5954" w:rsidP="00CB5954">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26"/>
    <w:p w14:paraId="2A07C3B8" w14:textId="0B2561C7" w:rsidR="00082FD5" w:rsidRPr="00377ED6" w:rsidRDefault="00082FD5" w:rsidP="00CB5954">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sidR="004A18A0">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y por 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17"/>
      </w:r>
      <w:r w:rsidRPr="00377ED6">
        <w:rPr>
          <w:rFonts w:ascii="Verdana" w:eastAsia="Calibri" w:hAnsi="Verdana" w:cs="Arial"/>
          <w:bCs/>
          <w:lang w:val="es-ES_tradnl"/>
        </w:rPr>
        <w:t>.</w:t>
      </w:r>
    </w:p>
    <w:p w14:paraId="06EC2D48" w14:textId="77777777" w:rsidR="00082FD5" w:rsidRPr="00377ED6" w:rsidRDefault="00082FD5" w:rsidP="00082FD5">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2D91E8EA" w14:textId="77777777" w:rsidR="00082FD5" w:rsidRPr="00377ED6" w:rsidRDefault="00082FD5" w:rsidP="00082FD5">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1A136F8" w14:textId="77777777" w:rsidR="00082FD5" w:rsidRPr="00377ED6" w:rsidRDefault="00082FD5" w:rsidP="00082FD5">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son esencialmente distintos a los contratos para la adquisición y aprovisionamiento de bienes, obras o servicios regulados por el estatuto de </w:t>
      </w:r>
      <w:r w:rsidRPr="00377ED6">
        <w:rPr>
          <w:rFonts w:ascii="Verdana" w:hAnsi="Verdana" w:cs="Arial"/>
          <w:color w:val="000000" w:themeColor="text1"/>
          <w:lang w:val="es-MX"/>
        </w:rPr>
        <w:lastRenderedPageBreak/>
        <w:t>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18"/>
      </w:r>
      <w:r w:rsidRPr="00377ED6">
        <w:rPr>
          <w:rFonts w:ascii="Verdana" w:hAnsi="Verdana" w:cs="Arial"/>
          <w:color w:val="000000" w:themeColor="text1"/>
          <w:lang w:val="es-MX"/>
        </w:rPr>
        <w:t>. Así lo consideró la Sala de Consulta y Servicio Civil del Consejo de Estado:</w:t>
      </w:r>
    </w:p>
    <w:p w14:paraId="30C69964" w14:textId="77777777" w:rsidR="00082FD5" w:rsidRPr="00377ED6" w:rsidRDefault="00082FD5" w:rsidP="00082FD5">
      <w:pPr>
        <w:spacing w:after="0" w:line="276" w:lineRule="auto"/>
        <w:jc w:val="both"/>
        <w:rPr>
          <w:rFonts w:ascii="Verdana" w:hAnsi="Verdana" w:cs="Arial"/>
          <w:color w:val="000000" w:themeColor="text1"/>
          <w:lang w:val="es-MX"/>
        </w:rPr>
      </w:pPr>
    </w:p>
    <w:p w14:paraId="4DF76E3D" w14:textId="77777777" w:rsidR="00082FD5" w:rsidRPr="003E7CD1" w:rsidRDefault="00082FD5" w:rsidP="00082FD5">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284CFCFE" w14:textId="77777777" w:rsidR="00082FD5" w:rsidRPr="003E7CD1" w:rsidRDefault="00082FD5" w:rsidP="00082FD5">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9"/>
      </w:r>
      <w:r w:rsidRPr="003E7CD1">
        <w:rPr>
          <w:rFonts w:ascii="Verdana" w:eastAsia="Calibri" w:hAnsi="Verdana" w:cs="Arial"/>
          <w:color w:val="000000" w:themeColor="text1"/>
          <w:sz w:val="20"/>
          <w:szCs w:val="20"/>
        </w:rPr>
        <w:t>.</w:t>
      </w:r>
    </w:p>
    <w:p w14:paraId="2C926627" w14:textId="77777777" w:rsidR="00082FD5" w:rsidRPr="00377ED6" w:rsidRDefault="00082FD5" w:rsidP="00082FD5">
      <w:pPr>
        <w:spacing w:after="0" w:line="276" w:lineRule="auto"/>
        <w:ind w:firstLine="708"/>
        <w:jc w:val="both"/>
        <w:rPr>
          <w:rFonts w:ascii="Verdana" w:eastAsia="Calibri" w:hAnsi="Verdana" w:cs="Arial"/>
          <w:color w:val="000000" w:themeColor="text1"/>
        </w:rPr>
      </w:pPr>
      <w:bookmarkStart w:id="27" w:name="_Hlk95756200"/>
    </w:p>
    <w:p w14:paraId="0765C3C2" w14:textId="77777777" w:rsidR="00082FD5" w:rsidRPr="00377ED6" w:rsidRDefault="00082FD5" w:rsidP="00082FD5">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27"/>
      <w:r w:rsidRPr="00377ED6">
        <w:rPr>
          <w:rFonts w:ascii="Verdana" w:eastAsia="Calibri" w:hAnsi="Verdana" w:cs="Arial"/>
          <w:color w:val="000000" w:themeColor="text1"/>
        </w:rPr>
        <w:t>Así lo reconoció la Corte Constitucional en la sentencia C-287 del 18 de abril de 2012, en la que sostuvo lo siguiente:</w:t>
      </w:r>
    </w:p>
    <w:p w14:paraId="661397EE" w14:textId="77777777" w:rsidR="00082FD5" w:rsidRPr="00377ED6" w:rsidRDefault="00082FD5" w:rsidP="00082FD5">
      <w:pPr>
        <w:spacing w:after="0" w:line="240" w:lineRule="auto"/>
        <w:ind w:firstLine="709"/>
        <w:jc w:val="both"/>
        <w:rPr>
          <w:rFonts w:ascii="Verdana" w:eastAsia="Calibri" w:hAnsi="Verdana" w:cs="Arial"/>
          <w:color w:val="000000" w:themeColor="text1"/>
        </w:rPr>
      </w:pPr>
    </w:p>
    <w:p w14:paraId="18B876FB" w14:textId="77777777" w:rsidR="00082FD5" w:rsidRPr="003E7CD1" w:rsidRDefault="00082FD5" w:rsidP="00082FD5">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“Las corporaciones o asociaciones sin ánimo de lucro han sido definas por la doctrina como personas jurídicas que surgen de la voluntad de un grupo de individuos que vinculan un capital a la obtención de un fin de interés </w:t>
      </w:r>
      <w:r w:rsidRPr="003E7CD1">
        <w:rPr>
          <w:rFonts w:ascii="Verdana" w:eastAsia="Calibri" w:hAnsi="Verdana" w:cs="Arial"/>
          <w:color w:val="000000" w:themeColor="text1"/>
          <w:sz w:val="20"/>
          <w:szCs w:val="20"/>
        </w:rPr>
        <w:lastRenderedPageBreak/>
        <w:t>general o de bienestar común no lucrativo, de manera que tienen como finalidad propia la satisfacción de intereses públicos y sociales.</w:t>
      </w:r>
    </w:p>
    <w:p w14:paraId="77B935C6" w14:textId="77777777" w:rsidR="00082FD5" w:rsidRPr="003E7CD1" w:rsidRDefault="00082FD5" w:rsidP="00082FD5">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1750EEC9" w14:textId="77777777" w:rsidR="00082FD5" w:rsidRPr="00377ED6" w:rsidRDefault="00082FD5" w:rsidP="00082FD5">
      <w:pPr>
        <w:spacing w:after="0" w:line="276" w:lineRule="auto"/>
        <w:ind w:firstLine="709"/>
        <w:jc w:val="both"/>
        <w:rPr>
          <w:rFonts w:ascii="Verdana" w:eastAsia="Calibri" w:hAnsi="Verdana" w:cs="Arial"/>
          <w:color w:val="000000" w:themeColor="text1"/>
        </w:rPr>
      </w:pPr>
    </w:p>
    <w:p w14:paraId="16E54042" w14:textId="77777777" w:rsidR="00082FD5" w:rsidRPr="00377ED6" w:rsidRDefault="00082FD5" w:rsidP="00082FD5">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73DED008" w14:textId="77777777" w:rsidR="00082FD5" w:rsidRPr="00377ED6" w:rsidRDefault="00082FD5" w:rsidP="00082FD5">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w:t>
      </w:r>
      <w:r w:rsidRPr="00377ED6">
        <w:rPr>
          <w:rFonts w:ascii="Verdana" w:hAnsi="Verdana" w:cs="Arial"/>
          <w:color w:val="000000" w:themeColor="text1"/>
        </w:rPr>
        <w:lastRenderedPageBreak/>
        <w:t xml:space="preserve">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45DFBB9E" w14:textId="77777777" w:rsidR="00082FD5" w:rsidRDefault="00082FD5" w:rsidP="00D37D9C">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2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31F3C6DA" w14:textId="6FDFBFEE" w:rsidR="008179F0" w:rsidRDefault="008179F0" w:rsidP="008179F0">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3E75127F" w14:textId="22BB2CC3" w:rsidR="008179F0" w:rsidRPr="008179F0" w:rsidRDefault="008179F0" w:rsidP="00542156">
      <w:pPr>
        <w:ind w:firstLine="709"/>
        <w:jc w:val="both"/>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w:t>
      </w:r>
      <w:r>
        <w:rPr>
          <w:rFonts w:ascii="Verdana" w:eastAsia="Times New Roman" w:hAnsi="Verdana" w:cs="Arial"/>
          <w:lang w:val="es-MX" w:eastAsia="x-none"/>
        </w:rPr>
        <w:lastRenderedPageBreak/>
        <w:t>tanto, será</w:t>
      </w:r>
      <w:r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FF5ECA9" w14:textId="01097C11" w:rsidR="00082FD5" w:rsidRDefault="00082FD5" w:rsidP="00082FD5">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88500C3" w14:textId="77777777" w:rsidR="00082FD5" w:rsidRPr="00D90EA6" w:rsidRDefault="00082FD5" w:rsidP="00082FD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317B0BF0" w14:textId="77777777" w:rsidR="00082FD5" w:rsidRDefault="00082FD5" w:rsidP="00082FD5">
      <w:pPr>
        <w:tabs>
          <w:tab w:val="left" w:pos="142"/>
          <w:tab w:val="left" w:pos="284"/>
        </w:tabs>
        <w:spacing w:after="0" w:line="240" w:lineRule="auto"/>
        <w:rPr>
          <w:rFonts w:ascii="Verdana" w:eastAsia="Century Gothic" w:hAnsi="Verdana" w:cs="Century Gothic"/>
          <w:b/>
          <w:bCs/>
        </w:rPr>
      </w:pPr>
      <w:bookmarkStart w:id="28" w:name="_Hlk204854194"/>
      <w:r w:rsidRPr="00FF007A">
        <w:rPr>
          <w:rFonts w:ascii="Verdana" w:eastAsia="Century Gothic" w:hAnsi="Verdana" w:cs="Century Gothic"/>
          <w:b/>
          <w:bCs/>
        </w:rPr>
        <w:t>4. Referencias normativas:</w:t>
      </w:r>
    </w:p>
    <w:p w14:paraId="02A22EFE" w14:textId="77777777" w:rsidR="00055354" w:rsidRPr="00FF007A" w:rsidRDefault="00055354" w:rsidP="00082FD5">
      <w:pPr>
        <w:tabs>
          <w:tab w:val="left" w:pos="142"/>
          <w:tab w:val="left" w:pos="284"/>
        </w:tabs>
        <w:spacing w:after="0" w:line="240" w:lineRule="auto"/>
        <w:rPr>
          <w:rFonts w:ascii="Verdana" w:eastAsia="Century Gothic" w:hAnsi="Verdana" w:cs="Century Gothic"/>
          <w:b/>
          <w:bCs/>
        </w:rPr>
      </w:pPr>
    </w:p>
    <w:bookmarkEnd w:id="28"/>
    <w:p w14:paraId="5885BA85" w14:textId="77777777" w:rsidR="00082FD5" w:rsidRPr="00FF007A" w:rsidRDefault="00082FD5" w:rsidP="00082FD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82FD5" w:rsidRPr="00FF007A" w14:paraId="4F53943E" w14:textId="77777777">
        <w:trPr>
          <w:trHeight w:val="870"/>
          <w:jc w:val="center"/>
        </w:trPr>
        <w:tc>
          <w:tcPr>
            <w:tcW w:w="8647" w:type="dxa"/>
          </w:tcPr>
          <w:p w14:paraId="1D517355"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58C256C0"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Artículo 33. </w:t>
            </w:r>
          </w:p>
          <w:p w14:paraId="3286D98B"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7A548282" w14:textId="77777777" w:rsidR="00082FD5" w:rsidRPr="00CB71FC" w:rsidRDefault="00082FD5">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w:t>
            </w:r>
          </w:p>
          <w:p w14:paraId="171FAD57"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35499CAD"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640C69EB"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4B484ABD"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2F6823DB"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w:t>
            </w:r>
            <w:proofErr w:type="spellStart"/>
            <w:r w:rsidRPr="00FA68B6">
              <w:rPr>
                <w:rFonts w:ascii="Verdana" w:eastAsia="Arial MT" w:hAnsi="Verdana" w:cs="Arial"/>
                <w:lang w:val="es-CO" w:eastAsia="es-ES" w:bidi="es-ES"/>
              </w:rPr>
              <w:t>Namén</w:t>
            </w:r>
            <w:proofErr w:type="spellEnd"/>
            <w:r w:rsidRPr="00FA68B6">
              <w:rPr>
                <w:rFonts w:ascii="Verdana" w:eastAsia="Arial MT" w:hAnsi="Verdana" w:cs="Arial"/>
                <w:lang w:val="es-CO" w:eastAsia="es-ES" w:bidi="es-ES"/>
              </w:rPr>
              <w:t xml:space="preserve"> Vargas.  </w:t>
            </w:r>
          </w:p>
          <w:p w14:paraId="49345150"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del 2 de septiembre de 2013. Radicación número: 11001-03-06-000-2013-00412-00 (2168).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77205236"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 8 de mayo de 2018. Radicación Número: 11001-03-06-000-2018-00095-00(2382).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2DFECDE4"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lastRenderedPageBreak/>
              <w:t xml:space="preserve">Consejo de Estado. Sala de Consulta y Servicio Civil. Concepto del 08 de mayo de 2018. </w:t>
            </w:r>
            <w:proofErr w:type="spellStart"/>
            <w:r w:rsidRPr="00CB71FC">
              <w:rPr>
                <w:rFonts w:ascii="Verdana" w:eastAsia="Arial MT" w:hAnsi="Verdana" w:cs="Arial"/>
                <w:lang w:val="es-CO" w:eastAsia="es-ES" w:bidi="es-ES"/>
              </w:rPr>
              <w:t>Exp</w:t>
            </w:r>
            <w:proofErr w:type="spellEnd"/>
            <w:r w:rsidRPr="00CB71FC">
              <w:rPr>
                <w:rFonts w:ascii="Verdana" w:eastAsia="Arial MT" w:hAnsi="Verdana" w:cs="Arial"/>
                <w:lang w:val="es-CO" w:eastAsia="es-ES" w:bidi="es-ES"/>
              </w:rPr>
              <w:t xml:space="preserve">. 2.382. C.P.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232D6970"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2032BDB7" w14:textId="77777777" w:rsidR="00082FD5" w:rsidRPr="00FA68B6"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C- 1153 de 2005, M.P. Marco Gerardo Monroy Cabra.</w:t>
            </w:r>
          </w:p>
          <w:p w14:paraId="55A4C8A8"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C-233 de 4 de abril de 2002. M.P: Álvaro Tafur Galvis</w:t>
            </w:r>
            <w:r>
              <w:rPr>
                <w:rFonts w:ascii="Verdana" w:eastAsia="Arial MT" w:hAnsi="Verdana" w:cs="Arial"/>
                <w:lang w:val="es-CO" w:eastAsia="es-ES" w:bidi="es-ES"/>
              </w:rPr>
              <w:t>.</w:t>
            </w:r>
          </w:p>
          <w:p w14:paraId="2DB2B132"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Corte Constitucional. Sentencia C-551 de 9 de julio de 2003. M.P: Eduardo Montealegre </w:t>
            </w:r>
            <w:proofErr w:type="spellStart"/>
            <w:r w:rsidRPr="00FA68B6">
              <w:rPr>
                <w:rFonts w:ascii="Verdana" w:eastAsia="Arial MT" w:hAnsi="Verdana" w:cs="Arial"/>
                <w:lang w:val="es-CO" w:eastAsia="es-ES" w:bidi="es-ES"/>
              </w:rPr>
              <w:t>Lynnet</w:t>
            </w:r>
            <w:proofErr w:type="spellEnd"/>
            <w:r>
              <w:rPr>
                <w:rFonts w:ascii="Verdana" w:eastAsia="Arial MT" w:hAnsi="Verdana" w:cs="Arial"/>
                <w:lang w:val="es-CO" w:eastAsia="es-ES" w:bidi="es-ES"/>
              </w:rPr>
              <w:t>.</w:t>
            </w:r>
          </w:p>
          <w:p w14:paraId="3B448EAD" w14:textId="77777777" w:rsidR="00082FD5"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Corte Constitucional. Sentencia C-353 de 20 de mayo de 2009. M.P: Jorge Iván Palacio </w:t>
            </w:r>
            <w:proofErr w:type="spellStart"/>
            <w:r w:rsidRPr="00FA68B6">
              <w:rPr>
                <w:rFonts w:ascii="Verdana" w:eastAsia="Arial MT" w:hAnsi="Verdana" w:cs="Arial"/>
                <w:lang w:val="es-CO" w:eastAsia="es-ES" w:bidi="es-ES"/>
              </w:rPr>
              <w:t>Palacio</w:t>
            </w:r>
            <w:proofErr w:type="spellEnd"/>
            <w:r>
              <w:rPr>
                <w:rFonts w:ascii="Verdana" w:eastAsia="Arial MT" w:hAnsi="Verdana" w:cs="Arial"/>
                <w:lang w:val="es-CO" w:eastAsia="es-ES" w:bidi="es-ES"/>
              </w:rPr>
              <w:t>.</w:t>
            </w:r>
          </w:p>
          <w:p w14:paraId="50224F93" w14:textId="77777777" w:rsidR="00082FD5" w:rsidRPr="00CB71FC" w:rsidRDefault="00082FD5">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C-541 de 30 de junio de 2010. M.P: Gabriel Eduardo Mendoza Martelo; entre otras.</w:t>
            </w:r>
          </w:p>
        </w:tc>
      </w:tr>
    </w:tbl>
    <w:p w14:paraId="546AE032" w14:textId="77777777" w:rsidR="00082FD5" w:rsidRPr="00FF007A" w:rsidRDefault="00082FD5" w:rsidP="00082FD5">
      <w:pPr>
        <w:widowControl w:val="0"/>
        <w:autoSpaceDE w:val="0"/>
        <w:autoSpaceDN w:val="0"/>
        <w:spacing w:after="0" w:line="276" w:lineRule="auto"/>
        <w:jc w:val="both"/>
        <w:rPr>
          <w:rFonts w:ascii="Verdana" w:hAnsi="Verdana" w:cs="Arial"/>
        </w:rPr>
      </w:pPr>
    </w:p>
    <w:p w14:paraId="2327B78E" w14:textId="77777777" w:rsidR="00082FD5" w:rsidRPr="00FF007A" w:rsidRDefault="00082FD5" w:rsidP="00082FD5">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45B990D0" w14:textId="77777777" w:rsidR="00082FD5" w:rsidRPr="00FF007A" w:rsidRDefault="00082FD5" w:rsidP="00082FD5">
      <w:pPr>
        <w:widowControl w:val="0"/>
        <w:autoSpaceDE w:val="0"/>
        <w:autoSpaceDN w:val="0"/>
        <w:spacing w:after="0" w:line="240" w:lineRule="auto"/>
        <w:jc w:val="both"/>
        <w:rPr>
          <w:rStyle w:val="normaltextrun"/>
          <w:rFonts w:ascii="Verdana" w:hAnsi="Verdana" w:cs="Arial"/>
          <w:shd w:val="clear" w:color="auto" w:fill="FFFFFF"/>
        </w:rPr>
      </w:pPr>
    </w:p>
    <w:p w14:paraId="2EBDBA68" w14:textId="369D384D" w:rsidR="00082FD5" w:rsidRPr="00FF007A" w:rsidRDefault="00082FD5" w:rsidP="00082FD5">
      <w:pPr>
        <w:widowControl w:val="0"/>
        <w:autoSpaceDE w:val="0"/>
        <w:autoSpaceDN w:val="0"/>
        <w:spacing w:after="120" w:line="276" w:lineRule="auto"/>
        <w:jc w:val="both"/>
        <w:rPr>
          <w:rFonts w:ascii="Verdana" w:eastAsia="Calibri" w:hAnsi="Verdana" w:cs="Arial"/>
          <w:color w:val="000000" w:themeColor="text1"/>
          <w:lang w:eastAsia="es-ES_tradnl"/>
        </w:rPr>
      </w:pPr>
      <w:r w:rsidRPr="005B5A3D">
        <w:rPr>
          <w:rFonts w:ascii="Verdana" w:hAnsi="Verdana" w:cs="Arial"/>
          <w:shd w:val="clear" w:color="auto" w:fill="FFFFFF"/>
        </w:rPr>
        <w:t xml:space="preserve">Esta Subdirección se ha pronunciado sobre </w:t>
      </w:r>
      <w:r w:rsidRPr="005B5A3D">
        <w:rPr>
          <w:rFonts w:ascii="Verdana" w:hAnsi="Verdana" w:cs="Arial"/>
          <w:shd w:val="clear" w:color="auto" w:fill="FFFFFF"/>
          <w:lang w:val="es-ES"/>
        </w:rPr>
        <w:t>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entr</w:t>
      </w:r>
      <w:r>
        <w:rPr>
          <w:rFonts w:ascii="Verdana" w:hAnsi="Verdana" w:cs="Arial"/>
          <w:shd w:val="clear" w:color="auto" w:fill="FFFFFF"/>
          <w:lang w:val="es-ES"/>
        </w:rPr>
        <w:t>e</w:t>
      </w:r>
      <w:r w:rsidRPr="005B5A3D">
        <w:rPr>
          <w:rFonts w:ascii="Verdana" w:hAnsi="Verdana" w:cs="Arial"/>
          <w:shd w:val="clear" w:color="auto" w:fill="FFFFFF"/>
          <w:lang w:val="es-ES"/>
        </w:rPr>
        <w:t xml:space="preserve"> otros.</w:t>
      </w:r>
      <w:r w:rsidR="00B23368">
        <w:rPr>
          <w:rFonts w:ascii="Verdana" w:hAnsi="Verdana" w:cs="Arial"/>
          <w:shd w:val="clear" w:color="auto" w:fill="FFFFFF"/>
          <w:lang w:val="es-ES"/>
        </w:rPr>
        <w:t xml:space="preserve">  </w:t>
      </w:r>
      <w:r w:rsidRPr="005B5A3D">
        <w:rPr>
          <w:rFonts w:ascii="Verdana" w:hAnsi="Verdana" w:cs="Arial"/>
          <w:shd w:val="clear" w:color="auto" w:fill="FFFFFF"/>
          <w:lang w:val="es-ES"/>
        </w:rPr>
        <w:t>Por su parte, 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w:t>
      </w:r>
      <w:r w:rsidRPr="00377ED6">
        <w:rPr>
          <w:rFonts w:ascii="Verdana" w:hAnsi="Verdana" w:cs="Arial"/>
          <w:shd w:val="clear" w:color="auto" w:fill="FFFFFF"/>
          <w:lang w:val="es-ES"/>
        </w:rPr>
        <w:t xml:space="preserve"> del 06 de agosto de 2020, C-579 del 4 de septiembre de 2020, C-594 del 7 de septiembre de 2020, C-670 del 22 de </w:t>
      </w:r>
      <w:r w:rsidRPr="00377ED6">
        <w:rPr>
          <w:rFonts w:ascii="Verdana" w:hAnsi="Verdana" w:cs="Arial"/>
          <w:shd w:val="clear" w:color="auto" w:fill="FFFFFF"/>
          <w:lang w:val="es-ES"/>
        </w:rPr>
        <w:lastRenderedPageBreak/>
        <w:t>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w:t>
      </w:r>
      <w:r>
        <w:rPr>
          <w:rFonts w:ascii="Verdana" w:hAnsi="Verdana" w:cs="Arial"/>
          <w:shd w:val="clear" w:color="auto" w:fill="FFFFFF"/>
          <w:lang w:val="es-ES"/>
        </w:rPr>
        <w:t xml:space="preserve">, </w:t>
      </w:r>
      <w:r w:rsidRPr="00377ED6">
        <w:rPr>
          <w:rFonts w:ascii="Verdana" w:hAnsi="Verdana" w:cs="Arial"/>
          <w:shd w:val="clear" w:color="auto" w:fill="FFFFFF"/>
          <w:lang w:val="es-ES"/>
        </w:rPr>
        <w:t>C-281 del 29 de octubre de 2024</w:t>
      </w:r>
      <w:r>
        <w:rPr>
          <w:rFonts w:ascii="Verdana" w:hAnsi="Verdana" w:cs="Arial"/>
          <w:shd w:val="clear" w:color="auto" w:fill="FFFFFF"/>
          <w:lang w:val="es-ES"/>
        </w:rPr>
        <w:t xml:space="preserve">, C- 1019 del 31 de diciembre de 2024, del entre otros. Por último, sobre la aplicación de la Ley de garantías en el marco de la celebración de contratos del artículo 355 de la Constitución Política y los convenios de asociación del Decreto 092 de 2017, la Subdirección se ha pronunciado en los conceptos C-584 del 24 de junio de 2025, C-986 del 23 de agosto de 2025, C-1015 del 4 de septiembre de 2025, entre otros. </w:t>
      </w:r>
      <w:r w:rsidRPr="00FF007A">
        <w:rPr>
          <w:rFonts w:ascii="Verdana" w:hAnsi="Verdana" w:cs="Arial"/>
        </w:rPr>
        <w:t xml:space="preserve">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2"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3FA4E273" w14:textId="77777777" w:rsidR="00082FD5" w:rsidRPr="00FF007A" w:rsidRDefault="00082FD5" w:rsidP="00082FD5">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390383C" w14:textId="77777777" w:rsidR="00082FD5" w:rsidRPr="00FF007A" w:rsidRDefault="00082FD5" w:rsidP="00082FD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3ECA2333" w14:textId="77777777" w:rsidR="00082FD5" w:rsidRPr="00FF007A" w:rsidRDefault="00082FD5" w:rsidP="00082FD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6BB5275A" w14:textId="77777777" w:rsidR="00082FD5" w:rsidRPr="00FF007A" w:rsidRDefault="00082FD5" w:rsidP="00082FD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1FB3A102" w14:textId="77777777" w:rsidR="00082FD5" w:rsidRPr="00FF007A" w:rsidRDefault="00082FD5" w:rsidP="00082FD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49348033" w14:textId="77777777" w:rsidR="00082FD5" w:rsidRPr="00FF007A" w:rsidRDefault="00082FD5" w:rsidP="00082FD5">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7E270063" w14:textId="77777777" w:rsidR="00082FD5" w:rsidRPr="00FF007A" w:rsidRDefault="00082FD5" w:rsidP="00082FD5">
      <w:pPr>
        <w:spacing w:after="0" w:line="276" w:lineRule="auto"/>
        <w:jc w:val="both"/>
        <w:rPr>
          <w:rFonts w:ascii="Verdana" w:hAnsi="Verdana"/>
        </w:rPr>
      </w:pPr>
    </w:p>
    <w:p w14:paraId="3946CA54" w14:textId="77777777" w:rsidR="00082FD5" w:rsidRPr="00FF007A" w:rsidRDefault="00082FD5" w:rsidP="00082FD5">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6BCCD5CD" w14:textId="77777777" w:rsidR="00082FD5" w:rsidRPr="00FF007A" w:rsidRDefault="00082FD5" w:rsidP="00082FD5">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2C32F8C8" w14:textId="77777777" w:rsidR="00082FD5" w:rsidRPr="00FF007A" w:rsidRDefault="00082FD5" w:rsidP="00082FD5">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323BD8B5" w14:textId="77777777" w:rsidR="00082FD5" w:rsidRPr="00FF007A" w:rsidRDefault="00082FD5" w:rsidP="00082FD5">
      <w:pPr>
        <w:spacing w:before="120" w:after="0" w:line="276" w:lineRule="auto"/>
        <w:jc w:val="both"/>
        <w:rPr>
          <w:rFonts w:ascii="Verdana" w:hAnsi="Verdana"/>
        </w:rPr>
      </w:pPr>
      <w:r w:rsidRPr="00FF007A">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CF55AF7" w14:textId="77777777" w:rsidR="00082FD5" w:rsidRPr="00FF007A" w:rsidRDefault="00082FD5" w:rsidP="00082FD5">
      <w:pPr>
        <w:spacing w:after="0" w:line="276" w:lineRule="auto"/>
        <w:jc w:val="both"/>
        <w:rPr>
          <w:rFonts w:ascii="Verdana" w:eastAsia="Calibri" w:hAnsi="Verdana" w:cs="Times New Roman"/>
        </w:rPr>
      </w:pPr>
    </w:p>
    <w:p w14:paraId="2BAF8CF3" w14:textId="77777777" w:rsidR="00082FD5" w:rsidRDefault="00082FD5" w:rsidP="00082FD5">
      <w:pPr>
        <w:spacing w:after="0" w:line="276" w:lineRule="auto"/>
        <w:jc w:val="both"/>
        <w:rPr>
          <w:rFonts w:ascii="Verdana" w:eastAsia="Calibri" w:hAnsi="Verdana" w:cs="Times New Roman"/>
        </w:rPr>
      </w:pPr>
    </w:p>
    <w:p w14:paraId="08BF0A3E" w14:textId="77777777" w:rsidR="00082FD5" w:rsidRPr="00FF007A" w:rsidRDefault="00082FD5" w:rsidP="00082FD5">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23F89656" w14:textId="1D91AFCC" w:rsidR="00082FD5" w:rsidRDefault="00A249CD" w:rsidP="00082FD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911DFC6" wp14:editId="3DC2B7C0">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4"/>
                    <a:stretch>
                      <a:fillRect/>
                    </a:stretch>
                  </pic:blipFill>
                  <pic:spPr>
                    <a:xfrm>
                      <a:off x="0" y="0"/>
                      <a:ext cx="3962953" cy="1867161"/>
                    </a:xfrm>
                    <a:prstGeom prst="rect">
                      <a:avLst/>
                    </a:prstGeom>
                  </pic:spPr>
                </pic:pic>
              </a:graphicData>
            </a:graphic>
          </wp:inline>
        </w:drawing>
      </w:r>
    </w:p>
    <w:p w14:paraId="12AC225C" w14:textId="77777777" w:rsidR="00082FD5" w:rsidRPr="00FF007A" w:rsidRDefault="00082FD5" w:rsidP="00082FD5">
      <w:pPr>
        <w:spacing w:after="0" w:line="256" w:lineRule="auto"/>
        <w:jc w:val="center"/>
        <w:rPr>
          <w:rFonts w:ascii="Verdana" w:eastAsia="Calibri" w:hAnsi="Verdana" w:cs="Times New Roman"/>
        </w:rPr>
      </w:pPr>
    </w:p>
    <w:tbl>
      <w:tblPr>
        <w:tblStyle w:val="Tablaconcuadrcula"/>
        <w:tblW w:w="6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86"/>
      </w:tblGrid>
      <w:tr w:rsidR="00082FD5" w:rsidRPr="00FF007A" w14:paraId="04833E06" w14:textId="77777777">
        <w:trPr>
          <w:trHeight w:val="315"/>
        </w:trPr>
        <w:tc>
          <w:tcPr>
            <w:tcW w:w="893" w:type="dxa"/>
            <w:vAlign w:val="center"/>
            <w:hideMark/>
          </w:tcPr>
          <w:p w14:paraId="70AED0FA" w14:textId="77777777" w:rsidR="00082FD5" w:rsidRPr="00FF007A" w:rsidRDefault="00082FD5">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486" w:type="dxa"/>
            <w:tcBorders>
              <w:top w:val="nil"/>
              <w:left w:val="nil"/>
              <w:bottom w:val="dotted" w:sz="4" w:space="0" w:color="7F7F7F" w:themeColor="text1" w:themeTint="80"/>
              <w:right w:val="nil"/>
            </w:tcBorders>
            <w:vAlign w:val="center"/>
            <w:hideMark/>
          </w:tcPr>
          <w:p w14:paraId="7D93F171" w14:textId="77777777" w:rsidR="00082FD5" w:rsidRPr="00FF007A" w:rsidRDefault="00082FD5">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2FA2682C" w14:textId="77777777" w:rsidR="00082FD5" w:rsidRPr="00FF007A" w:rsidRDefault="00082FD5">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082FD5" w:rsidRPr="00FF007A" w14:paraId="7AC9859F" w14:textId="77777777">
        <w:trPr>
          <w:trHeight w:val="330"/>
        </w:trPr>
        <w:tc>
          <w:tcPr>
            <w:tcW w:w="893" w:type="dxa"/>
            <w:vAlign w:val="center"/>
            <w:hideMark/>
          </w:tcPr>
          <w:p w14:paraId="39EF1E15" w14:textId="77777777" w:rsidR="00082FD5" w:rsidRPr="00FF007A" w:rsidRDefault="00082FD5">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486" w:type="dxa"/>
            <w:tcBorders>
              <w:top w:val="dotted" w:sz="4" w:space="0" w:color="7F7F7F" w:themeColor="text1" w:themeTint="80"/>
              <w:left w:val="nil"/>
              <w:bottom w:val="dotted" w:sz="4" w:space="0" w:color="7F7F7F" w:themeColor="text1" w:themeTint="80"/>
              <w:right w:val="nil"/>
            </w:tcBorders>
            <w:vAlign w:val="center"/>
            <w:hideMark/>
          </w:tcPr>
          <w:p w14:paraId="2561E46C" w14:textId="77777777" w:rsidR="00082FD5" w:rsidRPr="00F74527" w:rsidRDefault="00082FD5">
            <w:pPr>
              <w:pStyle w:val="paragraph"/>
              <w:spacing w:before="0" w:beforeAutospacing="0" w:after="0" w:afterAutospacing="0"/>
              <w:contextualSpacing/>
              <w:textAlignment w:val="baseline"/>
              <w:rPr>
                <w:rStyle w:val="normaltextrun"/>
                <w:rFonts w:ascii="Verdana" w:hAnsi="Verdana"/>
                <w:sz w:val="16"/>
                <w:szCs w:val="16"/>
              </w:rPr>
            </w:pPr>
            <w:r w:rsidRPr="00F74527">
              <w:rPr>
                <w:rStyle w:val="normaltextrun"/>
                <w:rFonts w:ascii="Verdana" w:hAnsi="Verdana"/>
                <w:sz w:val="16"/>
                <w:szCs w:val="16"/>
              </w:rPr>
              <w:t xml:space="preserve">Alejandro Sarmiento Cantillo </w:t>
            </w:r>
          </w:p>
          <w:p w14:paraId="3784C014" w14:textId="77777777" w:rsidR="00082FD5" w:rsidRPr="00FF007A" w:rsidRDefault="00082FD5">
            <w:pPr>
              <w:pStyle w:val="paragraph"/>
              <w:contextualSpacing/>
              <w:rPr>
                <w:rFonts w:ascii="Verdana" w:hAnsi="Verdana" w:cs="Segoe UI"/>
                <w:sz w:val="16"/>
                <w:szCs w:val="16"/>
              </w:rPr>
            </w:pPr>
            <w:r w:rsidRPr="00F74527">
              <w:rPr>
                <w:rFonts w:ascii="Verdana" w:hAnsi="Verdana" w:cs="Segoe UI"/>
                <w:sz w:val="16"/>
                <w:szCs w:val="16"/>
              </w:rPr>
              <w:t>Gestor código T1 grado 15 - Subdirección de Gestión Contractual</w:t>
            </w:r>
          </w:p>
        </w:tc>
      </w:tr>
      <w:tr w:rsidR="00082FD5" w:rsidRPr="00FF007A" w14:paraId="55964295" w14:textId="77777777">
        <w:trPr>
          <w:trHeight w:val="300"/>
        </w:trPr>
        <w:tc>
          <w:tcPr>
            <w:tcW w:w="893" w:type="dxa"/>
            <w:vAlign w:val="center"/>
          </w:tcPr>
          <w:p w14:paraId="2018141C" w14:textId="77777777" w:rsidR="00082FD5" w:rsidRPr="00FF007A" w:rsidRDefault="00082FD5">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486" w:type="dxa"/>
            <w:tcBorders>
              <w:top w:val="dotted" w:sz="4" w:space="0" w:color="7F7F7F" w:themeColor="text1" w:themeTint="80"/>
              <w:left w:val="nil"/>
              <w:bottom w:val="dotted" w:sz="4" w:space="0" w:color="7F7F7F" w:themeColor="text1" w:themeTint="80"/>
              <w:right w:val="nil"/>
            </w:tcBorders>
            <w:vAlign w:val="center"/>
          </w:tcPr>
          <w:p w14:paraId="56C826A6" w14:textId="77777777" w:rsidR="00082FD5" w:rsidRPr="00FF007A" w:rsidRDefault="00082FD5">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577F9C26" w14:textId="77777777" w:rsidR="00082FD5" w:rsidRPr="00FF007A" w:rsidRDefault="00082FD5">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008533BC" w14:textId="77777777" w:rsidR="00082FD5" w:rsidRPr="00DA731C" w:rsidRDefault="00082FD5" w:rsidP="00082FD5"/>
    <w:bookmarkEnd w:id="5"/>
    <w:p w14:paraId="0F293BF4" w14:textId="4B0AF216" w:rsidR="00127233" w:rsidRPr="004530DB" w:rsidRDefault="00127233" w:rsidP="004530DB"/>
    <w:sectPr w:rsidR="00127233" w:rsidRPr="004530D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27165" w14:textId="77777777" w:rsidR="00D8730A" w:rsidRDefault="00D8730A" w:rsidP="004A1847">
      <w:pPr>
        <w:spacing w:after="0" w:line="240" w:lineRule="auto"/>
      </w:pPr>
      <w:r>
        <w:separator/>
      </w:r>
    </w:p>
  </w:endnote>
  <w:endnote w:type="continuationSeparator" w:id="0">
    <w:p w14:paraId="64B9D147" w14:textId="77777777" w:rsidR="00D8730A" w:rsidRDefault="00D873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A9A7B" w14:textId="77777777" w:rsidR="00D8730A" w:rsidRDefault="00D8730A" w:rsidP="004A1847">
      <w:pPr>
        <w:spacing w:after="0" w:line="240" w:lineRule="auto"/>
      </w:pPr>
      <w:r>
        <w:separator/>
      </w:r>
    </w:p>
  </w:footnote>
  <w:footnote w:type="continuationSeparator" w:id="0">
    <w:p w14:paraId="061E0C03" w14:textId="77777777" w:rsidR="00D8730A" w:rsidRDefault="00D8730A" w:rsidP="004A1847">
      <w:pPr>
        <w:spacing w:after="0" w:line="240" w:lineRule="auto"/>
      </w:pPr>
      <w:r>
        <w:continuationSeparator/>
      </w:r>
    </w:p>
  </w:footnote>
  <w:footnote w:id="1">
    <w:p w14:paraId="7735FEC7" w14:textId="77777777" w:rsidR="00082FD5" w:rsidRPr="00D42A84" w:rsidRDefault="00082FD5" w:rsidP="00082FD5">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6D7C0948" w14:textId="77777777" w:rsidR="00082FD5" w:rsidRPr="00D42A84" w:rsidRDefault="00082FD5" w:rsidP="00082FD5">
      <w:pPr>
        <w:pStyle w:val="Textonotapie"/>
        <w:ind w:firstLine="709"/>
        <w:rPr>
          <w:rFonts w:ascii="Verdana" w:hAnsi="Verdana" w:cs="Arial"/>
          <w:sz w:val="16"/>
          <w:szCs w:val="16"/>
        </w:rPr>
      </w:pPr>
    </w:p>
  </w:footnote>
  <w:footnote w:id="2">
    <w:p w14:paraId="3A4493DC" w14:textId="481FCAE7" w:rsidR="00082FD5" w:rsidRDefault="00082FD5" w:rsidP="00082FD5">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Corte Constitucional, Sentencia C- 1153 de 2005, M.P. Marco Gerardo Monroy Cabra.</w:t>
      </w:r>
    </w:p>
    <w:p w14:paraId="6349C7D0" w14:textId="77777777" w:rsidR="009911A4" w:rsidRPr="002817AD" w:rsidRDefault="009911A4" w:rsidP="00082FD5">
      <w:pPr>
        <w:pStyle w:val="Textonotapie"/>
        <w:ind w:firstLine="709"/>
        <w:rPr>
          <w:rFonts w:ascii="Verdana" w:hAnsi="Verdana" w:cs="Arial"/>
          <w:sz w:val="16"/>
          <w:szCs w:val="16"/>
        </w:rPr>
      </w:pPr>
    </w:p>
  </w:footnote>
  <w:footnote w:id="3">
    <w:p w14:paraId="73E934C9" w14:textId="77777777" w:rsidR="00082FD5" w:rsidRPr="00D42A84" w:rsidRDefault="00082FD5" w:rsidP="00082FD5">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 xml:space="preserve">Corte Constitucional. Sentencias: C-233 de 4 de abril de 2002. M.P: Álvaro Tafur Galvis; C-551 de 9 de julio de 2003. M.P: Eduardo Montealegre </w:t>
      </w:r>
      <w:r w:rsidRPr="00D42A84">
        <w:rPr>
          <w:rFonts w:ascii="Verdana" w:hAnsi="Verdana" w:cs="Arial"/>
          <w:sz w:val="16"/>
          <w:szCs w:val="16"/>
          <w:lang w:val="es-CO"/>
        </w:rPr>
        <w:t>Lynnet; C-353 de 20 de mayo de 2009. M.P: Jorge Iván Palacio Palacio; C-541 de 30 de junio de 2010. M.P: Gabriel Eduardo Mendoza Martelo; entre otras.</w:t>
      </w:r>
    </w:p>
    <w:p w14:paraId="549B095D" w14:textId="77777777" w:rsidR="00082FD5" w:rsidRPr="00D42A84" w:rsidRDefault="00082FD5" w:rsidP="00082FD5">
      <w:pPr>
        <w:pStyle w:val="Textonotapie"/>
        <w:ind w:firstLine="709"/>
        <w:jc w:val="both"/>
        <w:rPr>
          <w:rFonts w:ascii="Verdana" w:hAnsi="Verdana" w:cs="Arial"/>
          <w:sz w:val="16"/>
          <w:szCs w:val="16"/>
        </w:rPr>
      </w:pPr>
    </w:p>
  </w:footnote>
  <w:footnote w:id="4">
    <w:p w14:paraId="5AC328D9" w14:textId="77777777" w:rsidR="00082FD5" w:rsidRPr="00D42A84" w:rsidRDefault="00082FD5" w:rsidP="00082FD5">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0C02F489" w14:textId="77777777" w:rsidR="00082FD5" w:rsidRPr="00D42A84" w:rsidRDefault="00082FD5" w:rsidP="00082FD5">
      <w:pPr>
        <w:pStyle w:val="Textonotapie"/>
        <w:ind w:firstLine="709"/>
        <w:jc w:val="both"/>
        <w:rPr>
          <w:rFonts w:ascii="Verdana" w:hAnsi="Verdana" w:cs="Arial"/>
          <w:sz w:val="16"/>
          <w:szCs w:val="16"/>
          <w:lang w:val="es-CO"/>
        </w:rPr>
      </w:pPr>
    </w:p>
  </w:footnote>
  <w:footnote w:id="5">
    <w:p w14:paraId="686BEE3B" w14:textId="77777777" w:rsidR="00082FD5" w:rsidRPr="002817AD" w:rsidRDefault="00082FD5" w:rsidP="00082FD5">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w:t>
      </w:r>
      <w:r w:rsidRPr="00D42A84">
        <w:rPr>
          <w:rFonts w:ascii="Verdana" w:hAnsi="Verdana" w:cs="Arial"/>
          <w:sz w:val="16"/>
          <w:szCs w:val="16"/>
        </w:rPr>
        <w:t>Namén Vargas</w:t>
      </w:r>
      <w:r w:rsidRPr="002817AD">
        <w:rPr>
          <w:rFonts w:ascii="Verdana" w:hAnsi="Verdana" w:cs="Arial"/>
          <w:sz w:val="16"/>
          <w:szCs w:val="16"/>
        </w:rPr>
        <w:t xml:space="preserve">.  </w:t>
      </w:r>
    </w:p>
    <w:p w14:paraId="0F9F2BB2" w14:textId="77777777" w:rsidR="00082FD5" w:rsidRPr="002817AD" w:rsidRDefault="00082FD5" w:rsidP="00082FD5">
      <w:pPr>
        <w:pStyle w:val="Textonotapie"/>
        <w:ind w:firstLine="709"/>
        <w:jc w:val="both"/>
        <w:rPr>
          <w:rFonts w:ascii="Verdana" w:hAnsi="Verdana" w:cs="Arial"/>
          <w:sz w:val="16"/>
          <w:szCs w:val="16"/>
        </w:rPr>
      </w:pPr>
    </w:p>
  </w:footnote>
  <w:footnote w:id="6">
    <w:p w14:paraId="685C1278" w14:textId="77777777" w:rsidR="00082FD5" w:rsidRPr="00D42A84" w:rsidRDefault="00082FD5" w:rsidP="00082FD5">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12" w:name="33"/>
      <w:r w:rsidRPr="00D42A84">
        <w:rPr>
          <w:rFonts w:ascii="Verdana" w:eastAsia="Times New Roman" w:hAnsi="Verdana" w:cs="Arial"/>
          <w:sz w:val="16"/>
          <w:szCs w:val="16"/>
        </w:rPr>
        <w:t>Artículo 33. Restricciones a la contratación pública.</w:t>
      </w:r>
      <w:bookmarkEnd w:id="12"/>
      <w:r w:rsidRPr="00D42A8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F3D7863" w14:textId="77777777" w:rsidR="00082FD5" w:rsidRPr="00D42A84" w:rsidRDefault="00082FD5" w:rsidP="00082FD5">
      <w:pPr>
        <w:spacing w:after="0" w:line="240" w:lineRule="auto"/>
        <w:ind w:firstLine="709"/>
        <w:jc w:val="both"/>
        <w:rPr>
          <w:rFonts w:ascii="Verdana" w:eastAsia="Times New Roman" w:hAnsi="Verdana" w:cs="Arial"/>
          <w:sz w:val="16"/>
          <w:szCs w:val="16"/>
        </w:rPr>
      </w:pPr>
    </w:p>
    <w:p w14:paraId="64402BEE" w14:textId="77777777" w:rsidR="00082FD5" w:rsidRPr="00D42A84" w:rsidRDefault="00082FD5" w:rsidP="00082FD5">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E22B9F" w14:textId="77777777" w:rsidR="00082FD5" w:rsidRPr="00D42A84" w:rsidRDefault="00082FD5" w:rsidP="00082FD5">
      <w:pPr>
        <w:spacing w:after="0" w:line="240" w:lineRule="auto"/>
        <w:ind w:firstLine="709"/>
        <w:jc w:val="both"/>
        <w:rPr>
          <w:rFonts w:ascii="Verdana" w:eastAsia="Times New Roman" w:hAnsi="Verdana" w:cs="Arial"/>
          <w:sz w:val="16"/>
          <w:szCs w:val="16"/>
        </w:rPr>
      </w:pPr>
    </w:p>
  </w:footnote>
  <w:footnote w:id="7">
    <w:p w14:paraId="0F6D0733" w14:textId="443FD9E0" w:rsidR="00082FD5" w:rsidRDefault="00082FD5" w:rsidP="00082FD5">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6D84597A" w14:textId="77777777" w:rsidR="009911A4" w:rsidRPr="00D42A84" w:rsidRDefault="009911A4" w:rsidP="00082FD5">
      <w:pPr>
        <w:pStyle w:val="Textonotapie"/>
        <w:ind w:right="51" w:firstLine="709"/>
        <w:contextualSpacing/>
        <w:jc w:val="both"/>
        <w:rPr>
          <w:rFonts w:ascii="Verdana" w:hAnsi="Verdana" w:cs="Arial"/>
          <w:sz w:val="16"/>
          <w:szCs w:val="16"/>
        </w:rPr>
      </w:pPr>
    </w:p>
  </w:footnote>
  <w:footnote w:id="8">
    <w:p w14:paraId="64B9DA9C" w14:textId="77777777" w:rsidR="00082FD5" w:rsidRPr="00D42A84" w:rsidRDefault="00082FD5" w:rsidP="00082FD5">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15" w:name="_Hlk74294506"/>
      <w:r w:rsidRPr="00D42A84">
        <w:rPr>
          <w:rFonts w:ascii="Verdana" w:hAnsi="Verdana" w:cs="Arial"/>
          <w:sz w:val="16"/>
          <w:szCs w:val="16"/>
        </w:rPr>
        <w:t>“</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bookmarkEnd w:id="15"/>
      <w:r w:rsidRPr="00D42A84">
        <w:rPr>
          <w:rFonts w:ascii="Verdana" w:hAnsi="Verdana" w:cs="Arial"/>
          <w:sz w:val="16"/>
          <w:szCs w:val="16"/>
        </w:rPr>
        <w:t>Al respecto ver el concepto 1712 de 2 de febrero de 2006. Consejo de Estado Sala de Consulta y Servicio Civil”.</w:t>
      </w:r>
    </w:p>
    <w:p w14:paraId="49047D85" w14:textId="77777777" w:rsidR="00082FD5" w:rsidRPr="00B93D47" w:rsidRDefault="00082FD5" w:rsidP="00082FD5">
      <w:pPr>
        <w:pStyle w:val="Textonotapie"/>
        <w:ind w:right="51" w:firstLine="709"/>
        <w:contextualSpacing/>
        <w:jc w:val="both"/>
        <w:rPr>
          <w:rFonts w:ascii="Verdana" w:hAnsi="Verdana" w:cs="Arial"/>
          <w:sz w:val="16"/>
          <w:szCs w:val="16"/>
        </w:rPr>
      </w:pPr>
    </w:p>
  </w:footnote>
  <w:footnote w:id="9">
    <w:p w14:paraId="4C5031E7" w14:textId="77777777" w:rsidR="00082FD5" w:rsidRPr="00B93D47" w:rsidRDefault="00082FD5" w:rsidP="00082FD5">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w:t>
      </w:r>
      <w:r w:rsidRPr="00B93D47">
        <w:rPr>
          <w:rFonts w:ascii="Verdana" w:hAnsi="Verdana" w:cs="Arial"/>
          <w:sz w:val="16"/>
          <w:szCs w:val="16"/>
        </w:rPr>
        <w:t>Namén Vargas.</w:t>
      </w:r>
    </w:p>
    <w:p w14:paraId="3B975BE9" w14:textId="77777777" w:rsidR="00082FD5" w:rsidRPr="00B93D47" w:rsidRDefault="00082FD5" w:rsidP="00082FD5">
      <w:pPr>
        <w:pStyle w:val="Textonotapie"/>
        <w:ind w:firstLine="709"/>
        <w:contextualSpacing/>
        <w:jc w:val="both"/>
        <w:rPr>
          <w:rFonts w:ascii="Verdana" w:hAnsi="Verdana" w:cs="Arial"/>
          <w:sz w:val="16"/>
          <w:szCs w:val="16"/>
        </w:rPr>
      </w:pPr>
    </w:p>
  </w:footnote>
  <w:footnote w:id="10">
    <w:p w14:paraId="38ADD030" w14:textId="77777777" w:rsidR="00082FD5" w:rsidRPr="00B93D47" w:rsidRDefault="00082FD5" w:rsidP="00082FD5">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1">
    <w:p w14:paraId="7F189368" w14:textId="77777777" w:rsidR="00082FD5" w:rsidRPr="00B93D47" w:rsidRDefault="00082FD5" w:rsidP="00082FD5">
      <w:pPr>
        <w:pStyle w:val="Textonotapie"/>
        <w:ind w:firstLine="709"/>
        <w:contextualSpacing/>
        <w:jc w:val="both"/>
        <w:rPr>
          <w:rFonts w:ascii="Verdana" w:hAnsi="Verdana" w:cs="Arial"/>
          <w:sz w:val="16"/>
          <w:szCs w:val="16"/>
        </w:rPr>
      </w:pPr>
    </w:p>
    <w:p w14:paraId="6CDBF20B" w14:textId="77777777" w:rsidR="00082FD5" w:rsidRDefault="00082FD5" w:rsidP="00082FD5">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4CE1742D" w14:textId="77777777" w:rsidR="00082FD5" w:rsidRPr="00B93D47" w:rsidRDefault="00082FD5" w:rsidP="00082FD5">
      <w:pPr>
        <w:pStyle w:val="Textonotapie"/>
        <w:ind w:firstLine="709"/>
        <w:contextualSpacing/>
        <w:jc w:val="both"/>
        <w:rPr>
          <w:rFonts w:ascii="Verdana" w:hAnsi="Verdana" w:cs="Arial"/>
          <w:sz w:val="16"/>
          <w:szCs w:val="16"/>
          <w:lang w:val="es-ES"/>
        </w:rPr>
      </w:pPr>
    </w:p>
  </w:footnote>
  <w:footnote w:id="12">
    <w:p w14:paraId="0032B6A5" w14:textId="77777777" w:rsidR="00082FD5" w:rsidRDefault="00082FD5" w:rsidP="00082FD5">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349598AE" w14:textId="77777777" w:rsidR="00082FD5" w:rsidRPr="00B93D47" w:rsidRDefault="00082FD5" w:rsidP="00082FD5">
      <w:pPr>
        <w:pStyle w:val="Textonotapie"/>
        <w:ind w:firstLine="709"/>
        <w:contextualSpacing/>
        <w:jc w:val="both"/>
        <w:rPr>
          <w:rFonts w:ascii="Verdana" w:hAnsi="Verdana" w:cs="Arial"/>
          <w:sz w:val="16"/>
          <w:szCs w:val="16"/>
          <w:lang w:val="es-ES"/>
        </w:rPr>
      </w:pPr>
    </w:p>
  </w:footnote>
  <w:footnote w:id="13">
    <w:p w14:paraId="6A0F22A7" w14:textId="77777777" w:rsidR="00082FD5" w:rsidRPr="00B93D47" w:rsidRDefault="00082FD5" w:rsidP="00082FD5">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Consejo de Estado. Sala de Consulta y Servicio Civil, Concepto de 8 de mayo de 2018. Radicación Número: 11001-03-06-000-2018-00095-00(2382). Consejero Ponente: Álvaro </w:t>
      </w:r>
      <w:r w:rsidRPr="00B93D47">
        <w:rPr>
          <w:rFonts w:ascii="Verdana" w:hAnsi="Verdana" w:cs="Arial"/>
          <w:sz w:val="16"/>
          <w:szCs w:val="16"/>
          <w:lang w:val="es-ES"/>
        </w:rPr>
        <w:t>Namén Vargas.</w:t>
      </w:r>
    </w:p>
  </w:footnote>
  <w:footnote w:id="14">
    <w:p w14:paraId="61B147EB" w14:textId="77777777" w:rsidR="00082FD5" w:rsidRDefault="00082FD5" w:rsidP="00082FD5">
      <w:pPr>
        <w:pStyle w:val="Textonotapie"/>
        <w:contextualSpacing/>
        <w:jc w:val="both"/>
        <w:rPr>
          <w:rFonts w:ascii="Verdana" w:hAnsi="Verdana" w:cs="Arial"/>
          <w:sz w:val="16"/>
          <w:szCs w:val="16"/>
        </w:rPr>
      </w:pPr>
    </w:p>
    <w:p w14:paraId="6920E7BF" w14:textId="77777777" w:rsidR="00082FD5" w:rsidRDefault="00082FD5" w:rsidP="00082FD5">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w:t>
      </w:r>
      <w:r w:rsidRPr="00B93D47">
        <w:rPr>
          <w:rFonts w:ascii="Verdana" w:hAnsi="Verdana" w:cs="Arial"/>
          <w:sz w:val="16"/>
          <w:szCs w:val="16"/>
        </w:rPr>
        <w:t>Exp. 2.382. C.P. Álvaro Namén Vargas.</w:t>
      </w:r>
    </w:p>
    <w:p w14:paraId="2E678160" w14:textId="77777777" w:rsidR="00082FD5" w:rsidRPr="00B93D47" w:rsidRDefault="00082FD5" w:rsidP="00082FD5">
      <w:pPr>
        <w:pStyle w:val="Textonotapie"/>
        <w:ind w:firstLine="709"/>
        <w:contextualSpacing/>
        <w:jc w:val="both"/>
        <w:rPr>
          <w:rFonts w:ascii="Verdana" w:hAnsi="Verdana" w:cs="Arial"/>
          <w:sz w:val="16"/>
          <w:szCs w:val="16"/>
        </w:rPr>
      </w:pPr>
    </w:p>
  </w:footnote>
  <w:footnote w:id="15">
    <w:p w14:paraId="53DB046F" w14:textId="77777777" w:rsidR="00082FD5" w:rsidRPr="00B93D47" w:rsidRDefault="00082FD5" w:rsidP="00082FD5">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r w:rsidRPr="00B93D47">
        <w:rPr>
          <w:rFonts w:ascii="Verdana" w:hAnsi="Verdana" w:cs="Arial"/>
          <w:sz w:val="16"/>
          <w:szCs w:val="16"/>
        </w:rPr>
        <w:t>N° 216/05 Senado, N° 235-Cámara que dio lugar a la Ley de Garantías Electorales.</w:t>
      </w:r>
    </w:p>
  </w:footnote>
  <w:footnote w:id="16">
    <w:p w14:paraId="1445F7E2" w14:textId="77777777" w:rsidR="00082FD5" w:rsidRPr="00B47839" w:rsidRDefault="00082FD5" w:rsidP="00082FD5">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5B435F9C" w14:textId="77777777" w:rsidR="00082FD5" w:rsidRPr="00B47839" w:rsidRDefault="00082FD5" w:rsidP="00082FD5">
      <w:pPr>
        <w:pStyle w:val="Textonotapie"/>
        <w:ind w:firstLine="708"/>
        <w:jc w:val="both"/>
        <w:rPr>
          <w:rFonts w:ascii="Verdana" w:hAnsi="Verdana" w:cs="Arial"/>
          <w:sz w:val="16"/>
          <w:szCs w:val="16"/>
        </w:rPr>
      </w:pPr>
    </w:p>
  </w:footnote>
  <w:footnote w:id="17">
    <w:p w14:paraId="42B7BA97" w14:textId="77777777" w:rsidR="00082FD5" w:rsidRPr="00B47839" w:rsidRDefault="00082FD5" w:rsidP="00082FD5">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18">
    <w:p w14:paraId="1D7E014F" w14:textId="77777777" w:rsidR="00082FD5" w:rsidRPr="00B47839" w:rsidRDefault="00082FD5" w:rsidP="00082FD5">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0604EDFF" w14:textId="77777777" w:rsidR="00082FD5" w:rsidRPr="00B47839" w:rsidRDefault="00082FD5" w:rsidP="00082FD5">
      <w:pPr>
        <w:pStyle w:val="Textonotapie"/>
        <w:ind w:firstLine="708"/>
        <w:jc w:val="both"/>
        <w:rPr>
          <w:rFonts w:ascii="Verdana" w:hAnsi="Verdana" w:cs="Arial"/>
          <w:color w:val="000000" w:themeColor="text1"/>
          <w:sz w:val="16"/>
          <w:szCs w:val="16"/>
        </w:rPr>
      </w:pPr>
    </w:p>
  </w:footnote>
  <w:footnote w:id="19">
    <w:p w14:paraId="062B0F41" w14:textId="77777777" w:rsidR="00082FD5" w:rsidRPr="00B47839" w:rsidRDefault="00082FD5" w:rsidP="00082FD5">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20">
    <w:p w14:paraId="3CF4EC42" w14:textId="77777777" w:rsidR="00082FD5" w:rsidRPr="00B47839" w:rsidRDefault="00082FD5" w:rsidP="00082FD5">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0B6"/>
    <w:rsid w:val="00016F78"/>
    <w:rsid w:val="00046945"/>
    <w:rsid w:val="00055354"/>
    <w:rsid w:val="0006133E"/>
    <w:rsid w:val="00061B2A"/>
    <w:rsid w:val="00065C0F"/>
    <w:rsid w:val="0006764D"/>
    <w:rsid w:val="00072B12"/>
    <w:rsid w:val="00082362"/>
    <w:rsid w:val="00082FD5"/>
    <w:rsid w:val="000855C8"/>
    <w:rsid w:val="00093925"/>
    <w:rsid w:val="00094B9C"/>
    <w:rsid w:val="00095A2F"/>
    <w:rsid w:val="000A683E"/>
    <w:rsid w:val="000B19B9"/>
    <w:rsid w:val="000C2D60"/>
    <w:rsid w:val="000D0334"/>
    <w:rsid w:val="000F6486"/>
    <w:rsid w:val="00125105"/>
    <w:rsid w:val="00127233"/>
    <w:rsid w:val="0014490B"/>
    <w:rsid w:val="00154E62"/>
    <w:rsid w:val="00190E1E"/>
    <w:rsid w:val="0019232D"/>
    <w:rsid w:val="001D68DC"/>
    <w:rsid w:val="001E2056"/>
    <w:rsid w:val="001E4177"/>
    <w:rsid w:val="001F7DC6"/>
    <w:rsid w:val="00221677"/>
    <w:rsid w:val="002330E2"/>
    <w:rsid w:val="00235BDA"/>
    <w:rsid w:val="002421BB"/>
    <w:rsid w:val="002458B6"/>
    <w:rsid w:val="0025796E"/>
    <w:rsid w:val="002707A2"/>
    <w:rsid w:val="0027553B"/>
    <w:rsid w:val="002817AD"/>
    <w:rsid w:val="002951A0"/>
    <w:rsid w:val="002962BC"/>
    <w:rsid w:val="002A093D"/>
    <w:rsid w:val="002A0DD0"/>
    <w:rsid w:val="002A49AC"/>
    <w:rsid w:val="002A64FD"/>
    <w:rsid w:val="002B30C1"/>
    <w:rsid w:val="002C7A84"/>
    <w:rsid w:val="002E4FD9"/>
    <w:rsid w:val="002E61D9"/>
    <w:rsid w:val="00321E17"/>
    <w:rsid w:val="00322A85"/>
    <w:rsid w:val="00324168"/>
    <w:rsid w:val="003448F4"/>
    <w:rsid w:val="00364D66"/>
    <w:rsid w:val="00374F5E"/>
    <w:rsid w:val="00377E3E"/>
    <w:rsid w:val="00384E9B"/>
    <w:rsid w:val="0039320C"/>
    <w:rsid w:val="003A779E"/>
    <w:rsid w:val="003B31A1"/>
    <w:rsid w:val="003D0F4D"/>
    <w:rsid w:val="003D591F"/>
    <w:rsid w:val="003D5B0D"/>
    <w:rsid w:val="003D681C"/>
    <w:rsid w:val="003E0499"/>
    <w:rsid w:val="003E5EBF"/>
    <w:rsid w:val="003F3941"/>
    <w:rsid w:val="003F6EF3"/>
    <w:rsid w:val="00406575"/>
    <w:rsid w:val="00414C74"/>
    <w:rsid w:val="0042722E"/>
    <w:rsid w:val="004361D1"/>
    <w:rsid w:val="00437032"/>
    <w:rsid w:val="0044528D"/>
    <w:rsid w:val="004530DB"/>
    <w:rsid w:val="004538FF"/>
    <w:rsid w:val="0046339E"/>
    <w:rsid w:val="004656BC"/>
    <w:rsid w:val="00467848"/>
    <w:rsid w:val="00496AD3"/>
    <w:rsid w:val="004A1847"/>
    <w:rsid w:val="004A18A0"/>
    <w:rsid w:val="004A305D"/>
    <w:rsid w:val="004A3BC6"/>
    <w:rsid w:val="004A576B"/>
    <w:rsid w:val="004E5774"/>
    <w:rsid w:val="004E795C"/>
    <w:rsid w:val="004F21C4"/>
    <w:rsid w:val="004F44CF"/>
    <w:rsid w:val="004F685F"/>
    <w:rsid w:val="004F71C9"/>
    <w:rsid w:val="00542156"/>
    <w:rsid w:val="0054215D"/>
    <w:rsid w:val="005566E8"/>
    <w:rsid w:val="00574867"/>
    <w:rsid w:val="00584205"/>
    <w:rsid w:val="00591460"/>
    <w:rsid w:val="005933C7"/>
    <w:rsid w:val="005B2A56"/>
    <w:rsid w:val="005B6439"/>
    <w:rsid w:val="005C0EF4"/>
    <w:rsid w:val="005C3777"/>
    <w:rsid w:val="005C5541"/>
    <w:rsid w:val="005C5CDC"/>
    <w:rsid w:val="005D476C"/>
    <w:rsid w:val="006054E8"/>
    <w:rsid w:val="006219F8"/>
    <w:rsid w:val="006302F7"/>
    <w:rsid w:val="00634B00"/>
    <w:rsid w:val="00665D70"/>
    <w:rsid w:val="006900D9"/>
    <w:rsid w:val="006A760C"/>
    <w:rsid w:val="006B1AB2"/>
    <w:rsid w:val="006C1F96"/>
    <w:rsid w:val="006C4E98"/>
    <w:rsid w:val="00706C16"/>
    <w:rsid w:val="00721754"/>
    <w:rsid w:val="00735C42"/>
    <w:rsid w:val="007516E3"/>
    <w:rsid w:val="00756841"/>
    <w:rsid w:val="007649AB"/>
    <w:rsid w:val="007672F0"/>
    <w:rsid w:val="00771D0C"/>
    <w:rsid w:val="007833AC"/>
    <w:rsid w:val="007A2B37"/>
    <w:rsid w:val="007B268C"/>
    <w:rsid w:val="007B7171"/>
    <w:rsid w:val="007C0C0F"/>
    <w:rsid w:val="007C3DC2"/>
    <w:rsid w:val="007D0324"/>
    <w:rsid w:val="007D3CC7"/>
    <w:rsid w:val="007D4A96"/>
    <w:rsid w:val="007D4E9B"/>
    <w:rsid w:val="007E5497"/>
    <w:rsid w:val="007F2EE4"/>
    <w:rsid w:val="007F56CA"/>
    <w:rsid w:val="008058E4"/>
    <w:rsid w:val="00806F5F"/>
    <w:rsid w:val="008179F0"/>
    <w:rsid w:val="00820278"/>
    <w:rsid w:val="00827F94"/>
    <w:rsid w:val="00845053"/>
    <w:rsid w:val="00866A1F"/>
    <w:rsid w:val="00867F95"/>
    <w:rsid w:val="008843B6"/>
    <w:rsid w:val="00891928"/>
    <w:rsid w:val="00897A3A"/>
    <w:rsid w:val="008A446D"/>
    <w:rsid w:val="008D180B"/>
    <w:rsid w:val="008F08EB"/>
    <w:rsid w:val="008F0EA7"/>
    <w:rsid w:val="008F25ED"/>
    <w:rsid w:val="00900F90"/>
    <w:rsid w:val="00923EEF"/>
    <w:rsid w:val="009312DA"/>
    <w:rsid w:val="00932FD9"/>
    <w:rsid w:val="009357F0"/>
    <w:rsid w:val="009419F9"/>
    <w:rsid w:val="00955D23"/>
    <w:rsid w:val="0095685E"/>
    <w:rsid w:val="00961B09"/>
    <w:rsid w:val="00965334"/>
    <w:rsid w:val="0097093E"/>
    <w:rsid w:val="00983673"/>
    <w:rsid w:val="009911A4"/>
    <w:rsid w:val="009A0DFA"/>
    <w:rsid w:val="009B25A8"/>
    <w:rsid w:val="009B2D26"/>
    <w:rsid w:val="009C71FA"/>
    <w:rsid w:val="009C72E7"/>
    <w:rsid w:val="009D3058"/>
    <w:rsid w:val="009D474F"/>
    <w:rsid w:val="009F3A13"/>
    <w:rsid w:val="00A122D3"/>
    <w:rsid w:val="00A17F13"/>
    <w:rsid w:val="00A20739"/>
    <w:rsid w:val="00A249CD"/>
    <w:rsid w:val="00A33C78"/>
    <w:rsid w:val="00A41832"/>
    <w:rsid w:val="00A4549E"/>
    <w:rsid w:val="00A7114A"/>
    <w:rsid w:val="00AB04CF"/>
    <w:rsid w:val="00AB0ADB"/>
    <w:rsid w:val="00AD133F"/>
    <w:rsid w:val="00AD3EF7"/>
    <w:rsid w:val="00AE631E"/>
    <w:rsid w:val="00AF65DC"/>
    <w:rsid w:val="00B00C0E"/>
    <w:rsid w:val="00B01B1A"/>
    <w:rsid w:val="00B044E6"/>
    <w:rsid w:val="00B23368"/>
    <w:rsid w:val="00B44A47"/>
    <w:rsid w:val="00B6570B"/>
    <w:rsid w:val="00B72CD3"/>
    <w:rsid w:val="00B72FFF"/>
    <w:rsid w:val="00BA4D5B"/>
    <w:rsid w:val="00BB2204"/>
    <w:rsid w:val="00BB597E"/>
    <w:rsid w:val="00BC3D36"/>
    <w:rsid w:val="00BC6E0C"/>
    <w:rsid w:val="00BD7F72"/>
    <w:rsid w:val="00BD7FFA"/>
    <w:rsid w:val="00BF757B"/>
    <w:rsid w:val="00C035A8"/>
    <w:rsid w:val="00C04FB3"/>
    <w:rsid w:val="00C330EB"/>
    <w:rsid w:val="00C35DBE"/>
    <w:rsid w:val="00C53238"/>
    <w:rsid w:val="00C754BE"/>
    <w:rsid w:val="00C76B1C"/>
    <w:rsid w:val="00CB5954"/>
    <w:rsid w:val="00CB6357"/>
    <w:rsid w:val="00CC1B26"/>
    <w:rsid w:val="00CE52C6"/>
    <w:rsid w:val="00D248AC"/>
    <w:rsid w:val="00D268C8"/>
    <w:rsid w:val="00D37D9C"/>
    <w:rsid w:val="00D41DC1"/>
    <w:rsid w:val="00D423A2"/>
    <w:rsid w:val="00D520D8"/>
    <w:rsid w:val="00D6072E"/>
    <w:rsid w:val="00D63AC2"/>
    <w:rsid w:val="00D667B6"/>
    <w:rsid w:val="00D7383B"/>
    <w:rsid w:val="00D8730A"/>
    <w:rsid w:val="00DA231B"/>
    <w:rsid w:val="00DB65BE"/>
    <w:rsid w:val="00DC39FC"/>
    <w:rsid w:val="00DD34B2"/>
    <w:rsid w:val="00DF5254"/>
    <w:rsid w:val="00E16408"/>
    <w:rsid w:val="00E20894"/>
    <w:rsid w:val="00E245AB"/>
    <w:rsid w:val="00E2764C"/>
    <w:rsid w:val="00E27F2E"/>
    <w:rsid w:val="00E3199C"/>
    <w:rsid w:val="00E333BD"/>
    <w:rsid w:val="00E50AFE"/>
    <w:rsid w:val="00E579B0"/>
    <w:rsid w:val="00E75C92"/>
    <w:rsid w:val="00E771DC"/>
    <w:rsid w:val="00E83C4C"/>
    <w:rsid w:val="00E8772A"/>
    <w:rsid w:val="00E90F6B"/>
    <w:rsid w:val="00E92C27"/>
    <w:rsid w:val="00EA0E3D"/>
    <w:rsid w:val="00EB3FE8"/>
    <w:rsid w:val="00EB611D"/>
    <w:rsid w:val="00EC38A7"/>
    <w:rsid w:val="00EE0E65"/>
    <w:rsid w:val="00EE1AA8"/>
    <w:rsid w:val="00F12C4F"/>
    <w:rsid w:val="00F31EDC"/>
    <w:rsid w:val="00F462B3"/>
    <w:rsid w:val="00F5664F"/>
    <w:rsid w:val="00F666C4"/>
    <w:rsid w:val="00F71D5E"/>
    <w:rsid w:val="00F76AFC"/>
    <w:rsid w:val="00F860C9"/>
    <w:rsid w:val="00F94E3C"/>
    <w:rsid w:val="00F96E6C"/>
    <w:rsid w:val="00FA47C0"/>
    <w:rsid w:val="00FB5DD1"/>
    <w:rsid w:val="00FC2B5D"/>
    <w:rsid w:val="00FF1449"/>
    <w:rsid w:val="697BF33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8274384-E40C-448D-8E93-712361BC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82FD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2FD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C3B103-0284-4AAA-B02B-CFDDD2983E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23</Pages>
  <Words>8064</Words>
  <Characters>44354</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52314</CharactersWithSpaces>
  <SharedDoc>false</SharedDoc>
  <HLinks>
    <vt:vector size="18"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7929935</vt:i4>
      </vt:variant>
      <vt:variant>
        <vt:i4>0</vt:i4>
      </vt:variant>
      <vt:variant>
        <vt:i4>0</vt:i4>
      </vt:variant>
      <vt:variant>
        <vt:i4>5</vt:i4>
      </vt:variant>
      <vt:variant>
        <vt:lpwstr>mailto:ivandariog@hotmail.com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2025-09-18T22:18:00Z</dcterms:created>
  <dcterms:modified xsi:type="dcterms:W3CDTF">2025-09-22T18:17:00Z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