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DD2BB" w14:textId="32EDF754" w:rsidR="006403D0" w:rsidRDefault="006403D0" w:rsidP="006403D0">
      <w:pPr>
        <w:jc w:val="both"/>
        <w:rPr>
          <w:rFonts w:ascii="Verdana" w:hAnsi="Verdana"/>
          <w:b/>
          <w:bCs/>
        </w:rPr>
      </w:pPr>
      <w:bookmarkStart w:id="0" w:name="_Hlk202875225"/>
      <w:bookmarkStart w:id="1" w:name="_Hlk203032812"/>
      <w:bookmarkStart w:id="2" w:name="_Hlk204367265"/>
      <w:bookmarkStart w:id="3" w:name="_Hlk143780582"/>
      <w:r>
        <w:rPr>
          <w:rFonts w:ascii="Verdana" w:hAnsi="Verdana"/>
          <w:b/>
          <w:bCs/>
        </w:rPr>
        <w:t>ESAL</w:t>
      </w:r>
      <w:r w:rsidR="00D10579">
        <w:rPr>
          <w:rFonts w:ascii="Verdana" w:hAnsi="Verdana"/>
          <w:b/>
          <w:bCs/>
        </w:rPr>
        <w:t xml:space="preserve"> </w:t>
      </w:r>
      <w:r>
        <w:rPr>
          <w:rFonts w:ascii="Verdana" w:hAnsi="Verdana"/>
          <w:b/>
          <w:bCs/>
        </w:rPr>
        <w:t>–</w:t>
      </w:r>
      <w:r>
        <w:rPr>
          <w:rFonts w:ascii="Verdana" w:hAnsi="Verdana"/>
          <w:b/>
          <w:bCs/>
          <w:spacing w:val="37"/>
        </w:rPr>
        <w:t xml:space="preserve"> </w:t>
      </w:r>
      <w:proofErr w:type="spellStart"/>
      <w:r>
        <w:rPr>
          <w:rFonts w:ascii="Verdana" w:hAnsi="Verdana"/>
          <w:b/>
          <w:bCs/>
        </w:rPr>
        <w:t>Mipymes</w:t>
      </w:r>
      <w:proofErr w:type="spellEnd"/>
      <w:r>
        <w:rPr>
          <w:rFonts w:ascii="Verdana" w:hAnsi="Verdana"/>
          <w:b/>
          <w:bCs/>
          <w:spacing w:val="37"/>
        </w:rPr>
        <w:t xml:space="preserve"> </w:t>
      </w:r>
      <w:r>
        <w:rPr>
          <w:rFonts w:ascii="Verdana" w:hAnsi="Verdana"/>
          <w:b/>
          <w:bCs/>
        </w:rPr>
        <w:t>–</w:t>
      </w:r>
      <w:r>
        <w:rPr>
          <w:rFonts w:ascii="Verdana" w:hAnsi="Verdana"/>
          <w:b/>
          <w:bCs/>
          <w:spacing w:val="37"/>
        </w:rPr>
        <w:t xml:space="preserve"> </w:t>
      </w:r>
      <w:r>
        <w:rPr>
          <w:rFonts w:ascii="Verdana" w:hAnsi="Verdana"/>
          <w:b/>
          <w:bCs/>
        </w:rPr>
        <w:t>Distinción</w:t>
      </w:r>
    </w:p>
    <w:p w14:paraId="7D4581B1" w14:textId="3D8B2C57" w:rsidR="006403D0" w:rsidRDefault="006403D0" w:rsidP="006403D0">
      <w:pPr>
        <w:spacing w:before="120"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 Lo anterior, en la medida en que las sociedades comerciales se crean con la finalidad de que sus socios repartan las utilidades obtenidas en desarrollo de la empresa o actividad social. Por el contrario, las corporaciones, fundaciones o asociaciones destinan su patrimonio a la consecución de un interés general y no perciben lucro, pues los excedentes monetarios que se presenten deben ser reinvertidos en la ESAL y no es viable repartirlos entre los asociados.</w:t>
      </w:r>
    </w:p>
    <w:p w14:paraId="2F04C097" w14:textId="77777777" w:rsidR="004648FE" w:rsidRDefault="004648FE" w:rsidP="006403D0">
      <w:pPr>
        <w:spacing w:before="120" w:after="0" w:line="240" w:lineRule="auto"/>
        <w:jc w:val="both"/>
        <w:rPr>
          <w:rFonts w:ascii="Verdana" w:eastAsia="Calibri" w:hAnsi="Verdana" w:cs="Arial"/>
          <w:sz w:val="20"/>
          <w:szCs w:val="20"/>
          <w:lang w:val="es-ES" w:eastAsia="es-ES"/>
        </w:rPr>
      </w:pPr>
    </w:p>
    <w:p w14:paraId="6E8D6C91" w14:textId="4963AFE5" w:rsidR="006403D0" w:rsidRDefault="006403D0" w:rsidP="006403D0">
      <w:pPr>
        <w:jc w:val="both"/>
        <w:rPr>
          <w:rFonts w:ascii="Verdana" w:hAnsi="Verdana"/>
          <w:b/>
          <w:bCs/>
        </w:rPr>
      </w:pPr>
      <w:r>
        <w:rPr>
          <w:rFonts w:ascii="Verdana" w:hAnsi="Verdana"/>
          <w:b/>
          <w:bCs/>
        </w:rPr>
        <w:t>ENTIDADES</w:t>
      </w:r>
      <w:r>
        <w:rPr>
          <w:rFonts w:ascii="Verdana" w:hAnsi="Verdana"/>
          <w:b/>
          <w:bCs/>
          <w:spacing w:val="14"/>
        </w:rPr>
        <w:t xml:space="preserve"> </w:t>
      </w:r>
      <w:r>
        <w:rPr>
          <w:rFonts w:ascii="Verdana" w:hAnsi="Verdana"/>
          <w:b/>
          <w:bCs/>
        </w:rPr>
        <w:t>DE ECONOMÍA SOLIDARIA</w:t>
      </w:r>
      <w:r>
        <w:rPr>
          <w:rFonts w:ascii="Verdana" w:hAnsi="Verdana"/>
          <w:b/>
          <w:bCs/>
        </w:rPr>
        <w:tab/>
        <w:t>–</w:t>
      </w:r>
      <w:r w:rsidR="002A5D56">
        <w:rPr>
          <w:rFonts w:ascii="Verdana" w:hAnsi="Verdana"/>
          <w:b/>
          <w:bCs/>
        </w:rPr>
        <w:t xml:space="preserve"> </w:t>
      </w:r>
      <w:r>
        <w:rPr>
          <w:rFonts w:ascii="Verdana" w:hAnsi="Verdana"/>
          <w:b/>
          <w:bCs/>
        </w:rPr>
        <w:t xml:space="preserve">Asimilación a </w:t>
      </w:r>
      <w:proofErr w:type="spellStart"/>
      <w:r>
        <w:rPr>
          <w:rFonts w:ascii="Verdana" w:hAnsi="Verdana"/>
          <w:b/>
          <w:bCs/>
        </w:rPr>
        <w:t>Mipymes</w:t>
      </w:r>
      <w:proofErr w:type="spellEnd"/>
      <w:r>
        <w:rPr>
          <w:rFonts w:ascii="Verdana" w:hAnsi="Verdana"/>
          <w:b/>
          <w:bCs/>
        </w:rPr>
        <w:t xml:space="preserve"> – Cooperativas</w:t>
      </w:r>
      <w:r>
        <w:rPr>
          <w:rFonts w:ascii="Verdana" w:hAnsi="Verdana"/>
          <w:b/>
          <w:bCs/>
          <w:spacing w:val="-10"/>
        </w:rPr>
        <w:t xml:space="preserve"> </w:t>
      </w:r>
      <w:r>
        <w:rPr>
          <w:rFonts w:ascii="Verdana" w:hAnsi="Verdana"/>
          <w:b/>
          <w:bCs/>
        </w:rPr>
        <w:t>–</w:t>
      </w:r>
      <w:r>
        <w:rPr>
          <w:rFonts w:ascii="Verdana" w:hAnsi="Verdana"/>
          <w:b/>
          <w:bCs/>
          <w:spacing w:val="-11"/>
        </w:rPr>
        <w:t xml:space="preserve"> </w:t>
      </w:r>
      <w:r>
        <w:rPr>
          <w:rFonts w:ascii="Verdana" w:hAnsi="Verdana"/>
          <w:b/>
          <w:bCs/>
        </w:rPr>
        <w:t>Asociaciones</w:t>
      </w:r>
      <w:r>
        <w:rPr>
          <w:rFonts w:ascii="Verdana" w:hAnsi="Verdana"/>
          <w:b/>
          <w:bCs/>
          <w:spacing w:val="-8"/>
        </w:rPr>
        <w:t xml:space="preserve"> </w:t>
      </w:r>
      <w:r>
        <w:rPr>
          <w:rFonts w:ascii="Verdana" w:hAnsi="Verdana"/>
          <w:b/>
          <w:bCs/>
        </w:rPr>
        <w:t>mutualistas</w:t>
      </w:r>
      <w:r>
        <w:rPr>
          <w:rFonts w:ascii="Verdana" w:hAnsi="Verdana"/>
          <w:b/>
          <w:bCs/>
          <w:spacing w:val="-10"/>
        </w:rPr>
        <w:t xml:space="preserve"> </w:t>
      </w:r>
      <w:r>
        <w:rPr>
          <w:rFonts w:ascii="Verdana" w:hAnsi="Verdana"/>
          <w:b/>
          <w:bCs/>
        </w:rPr>
        <w:t>–</w:t>
      </w:r>
      <w:r>
        <w:rPr>
          <w:rFonts w:ascii="Verdana" w:hAnsi="Verdana"/>
          <w:b/>
          <w:bCs/>
          <w:spacing w:val="-11"/>
        </w:rPr>
        <w:t xml:space="preserve"> </w:t>
      </w:r>
      <w:r>
        <w:rPr>
          <w:rFonts w:ascii="Verdana" w:hAnsi="Verdana"/>
          <w:b/>
          <w:bCs/>
        </w:rPr>
        <w:t>Demás</w:t>
      </w:r>
      <w:r>
        <w:rPr>
          <w:rFonts w:ascii="Verdana" w:hAnsi="Verdana"/>
          <w:b/>
          <w:bCs/>
          <w:spacing w:val="-11"/>
        </w:rPr>
        <w:t xml:space="preserve"> </w:t>
      </w:r>
      <w:r>
        <w:rPr>
          <w:rFonts w:ascii="Verdana" w:hAnsi="Verdana"/>
          <w:b/>
          <w:bCs/>
        </w:rPr>
        <w:t>entidades</w:t>
      </w:r>
      <w:r>
        <w:rPr>
          <w:rFonts w:ascii="Verdana" w:hAnsi="Verdana"/>
          <w:b/>
          <w:bCs/>
          <w:spacing w:val="-9"/>
        </w:rPr>
        <w:t xml:space="preserve"> </w:t>
      </w:r>
      <w:r>
        <w:rPr>
          <w:rFonts w:ascii="Verdana" w:hAnsi="Verdana"/>
          <w:b/>
          <w:bCs/>
        </w:rPr>
        <w:t>de</w:t>
      </w:r>
      <w:r>
        <w:rPr>
          <w:rFonts w:ascii="Verdana" w:hAnsi="Verdana"/>
          <w:b/>
          <w:bCs/>
          <w:spacing w:val="-58"/>
        </w:rPr>
        <w:t xml:space="preserve"> </w:t>
      </w:r>
      <w:r>
        <w:rPr>
          <w:rFonts w:ascii="Verdana" w:hAnsi="Verdana"/>
          <w:b/>
          <w:bCs/>
        </w:rPr>
        <w:t xml:space="preserve">economía solidaria </w:t>
      </w:r>
    </w:p>
    <w:p w14:paraId="428AEDE3" w14:textId="77777777" w:rsidR="006403D0" w:rsidRDefault="006403D0" w:rsidP="006403D0">
      <w:pPr>
        <w:spacing w:after="120" w:line="240" w:lineRule="auto"/>
        <w:jc w:val="both"/>
        <w:rPr>
          <w:rFonts w:ascii="Verdana" w:eastAsia="Calibri" w:hAnsi="Verdana" w:cs="Arial"/>
          <w:color w:val="000000" w:themeColor="text1"/>
          <w:sz w:val="20"/>
          <w:szCs w:val="20"/>
          <w:lang w:val="es-ES"/>
        </w:rPr>
      </w:pPr>
      <w:r>
        <w:rPr>
          <w:rFonts w:ascii="Verdana" w:hAnsi="Verdana" w:cs="Arial"/>
          <w:sz w:val="20"/>
          <w:szCs w:val="20"/>
          <w:lang w:val="es-ES"/>
        </w:rPr>
        <w:t xml:space="preserve">Aunque no es posible que las ESAL sean equiparadas a las </w:t>
      </w:r>
      <w:proofErr w:type="spellStart"/>
      <w:r>
        <w:rPr>
          <w:rFonts w:ascii="Verdana" w:hAnsi="Verdana" w:cs="Arial"/>
          <w:sz w:val="20"/>
          <w:szCs w:val="20"/>
          <w:lang w:val="es-ES"/>
        </w:rPr>
        <w:t>Mipyme</w:t>
      </w:r>
      <w:proofErr w:type="spellEnd"/>
      <w:r>
        <w:rPr>
          <w:rFonts w:ascii="Verdana" w:hAnsi="Verdana" w:cs="Arial"/>
          <w:sz w:val="20"/>
          <w:szCs w:val="20"/>
          <w:lang w:val="es-ES"/>
        </w:rPr>
        <w:t xml:space="preserve"> en la normativa del sistema de compras públicas, es necesario aclarar que la Ley determinó un matiz para esta regla. </w:t>
      </w:r>
      <w:r>
        <w:rPr>
          <w:rFonts w:ascii="Verdana" w:eastAsia="Calibri" w:hAnsi="Verdana" w:cs="Arial"/>
          <w:color w:val="000000" w:themeColor="text1"/>
          <w:sz w:val="20"/>
          <w:szCs w:val="20"/>
          <w:lang w:val="es-ES"/>
        </w:rPr>
        <w:t>El artículo 23 de la Ley 2069 de 2020 asimila las cooperativas y las demás entidades de economía solidaria -que incluye a las asociaciones mutualistas</w:t>
      </w:r>
      <w:r>
        <w:rPr>
          <w:rFonts w:ascii="Verdana" w:eastAsia="Calibri" w:hAnsi="Verdana" w:cs="Arial"/>
          <w:i/>
          <w:iCs/>
          <w:color w:val="000000" w:themeColor="text1"/>
          <w:sz w:val="20"/>
          <w:szCs w:val="20"/>
          <w:lang w:val="es-ES"/>
        </w:rPr>
        <w:t>-</w:t>
      </w:r>
      <w:r>
        <w:rPr>
          <w:rFonts w:ascii="Verdana" w:eastAsia="Calibri" w:hAnsi="Verdana" w:cs="Arial"/>
          <w:color w:val="000000" w:themeColor="text1"/>
          <w:sz w:val="20"/>
          <w:szCs w:val="20"/>
          <w:lang w:val="es-ES"/>
        </w:rPr>
        <w:t xml:space="preserve"> a </w:t>
      </w:r>
      <w:r>
        <w:rPr>
          <w:rFonts w:ascii="Verdana" w:eastAsia="Calibri" w:hAnsi="Verdana" w:cs="Arial"/>
          <w:i/>
          <w:iCs/>
          <w:color w:val="000000" w:themeColor="text1"/>
          <w:sz w:val="20"/>
          <w:szCs w:val="20"/>
          <w:lang w:val="es-ES"/>
        </w:rPr>
        <w:t xml:space="preserve">empresas, específicamente a </w:t>
      </w:r>
      <w:proofErr w:type="spellStart"/>
      <w:r>
        <w:rPr>
          <w:rFonts w:ascii="Verdana" w:eastAsia="Calibri" w:hAnsi="Verdana" w:cs="Arial"/>
          <w:i/>
          <w:iCs/>
          <w:color w:val="000000" w:themeColor="text1"/>
          <w:sz w:val="20"/>
          <w:szCs w:val="20"/>
          <w:lang w:val="es-ES"/>
        </w:rPr>
        <w:t>Mipymes</w:t>
      </w:r>
      <w:proofErr w:type="spellEnd"/>
      <w:r>
        <w:rPr>
          <w:rFonts w:ascii="Verdana" w:eastAsia="Calibri" w:hAnsi="Verdana" w:cs="Arial"/>
          <w:color w:val="000000" w:themeColor="text1"/>
          <w:sz w:val="20"/>
          <w:szCs w:val="20"/>
          <w:lang w:val="es-ES"/>
        </w:rPr>
        <w:t xml:space="preserve">,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w:t>
      </w:r>
      <w:proofErr w:type="spellStart"/>
      <w:r>
        <w:rPr>
          <w:rFonts w:ascii="Verdana" w:eastAsia="Calibri" w:hAnsi="Verdana" w:cs="Arial"/>
          <w:color w:val="000000" w:themeColor="text1"/>
          <w:sz w:val="20"/>
          <w:szCs w:val="20"/>
          <w:lang w:val="es-ES"/>
        </w:rPr>
        <w:t>Mipymes</w:t>
      </w:r>
      <w:proofErr w:type="spellEnd"/>
      <w:r>
        <w:rPr>
          <w:rFonts w:ascii="Verdana" w:eastAsia="Calibri" w:hAnsi="Verdana" w:cs="Arial"/>
          <w:color w:val="000000" w:themeColor="text1"/>
          <w:sz w:val="20"/>
          <w:szCs w:val="20"/>
          <w:lang w:val="es-ES"/>
        </w:rPr>
        <w:t xml:space="preserve"> sean aplicables a las cooperativas, las asociaciones mutualistas y a las demás entidades de economía solidaria.</w:t>
      </w:r>
    </w:p>
    <w:p w14:paraId="66D4F701" w14:textId="77777777" w:rsidR="006403D0" w:rsidRDefault="006403D0" w:rsidP="006403D0">
      <w:pPr>
        <w:spacing w:after="0" w:line="276" w:lineRule="auto"/>
        <w:rPr>
          <w:rFonts w:ascii="Verdana" w:eastAsia="Geomanist Light" w:hAnsi="Verdana" w:cs="Arial"/>
          <w:color w:val="000000" w:themeColor="text1"/>
          <w:lang w:val="es-MX"/>
        </w:rPr>
      </w:pPr>
    </w:p>
    <w:p w14:paraId="1314BD87" w14:textId="438469B4" w:rsidR="006403D0" w:rsidRPr="00492583" w:rsidRDefault="006403D0" w:rsidP="006403D0">
      <w:pPr>
        <w:spacing w:after="0" w:line="276" w:lineRule="auto"/>
        <w:jc w:val="both"/>
        <w:rPr>
          <w:rFonts w:ascii="Verdana" w:eastAsia="Calibri" w:hAnsi="Verdana" w:cs="Arial"/>
          <w:b/>
          <w:bCs/>
          <w:lang w:eastAsia="es-ES"/>
        </w:rPr>
      </w:pPr>
      <w:r w:rsidRPr="00492583">
        <w:rPr>
          <w:rFonts w:ascii="Verdana" w:eastAsia="Calibri" w:hAnsi="Verdana" w:cs="Arial"/>
          <w:b/>
          <w:bCs/>
          <w:lang w:eastAsia="es-ES"/>
        </w:rPr>
        <w:t xml:space="preserve">CONVOCATORIAS LIMITADAS A MIPYMES </w:t>
      </w:r>
      <w:r w:rsidR="002A5D56" w:rsidRPr="002A5D56">
        <w:rPr>
          <w:rFonts w:ascii="Verdana" w:eastAsia="Calibri" w:hAnsi="Verdana" w:cs="Arial"/>
          <w:b/>
          <w:bCs/>
          <w:lang w:val="es-ES" w:eastAsia="es-ES"/>
        </w:rPr>
        <w:t>–</w:t>
      </w:r>
      <w:r w:rsidRPr="00492583">
        <w:rPr>
          <w:rFonts w:ascii="Verdana" w:eastAsia="Calibri" w:hAnsi="Verdana" w:cs="Arial"/>
          <w:b/>
          <w:bCs/>
          <w:lang w:eastAsia="es-ES"/>
        </w:rPr>
        <w:t xml:space="preserve"> MiPymes – Entidades Sin Ánimo de Lucro </w:t>
      </w:r>
    </w:p>
    <w:p w14:paraId="1DB7A78E" w14:textId="77777777" w:rsidR="006403D0" w:rsidRDefault="006403D0" w:rsidP="006403D0">
      <w:pPr>
        <w:spacing w:after="0" w:line="276" w:lineRule="auto"/>
        <w:rPr>
          <w:rFonts w:ascii="Verdana" w:eastAsia="Calibri" w:hAnsi="Verdana" w:cs="Arial"/>
          <w:lang w:eastAsia="es-ES"/>
        </w:rPr>
      </w:pPr>
    </w:p>
    <w:p w14:paraId="29A3BF50" w14:textId="77777777" w:rsidR="006403D0" w:rsidRPr="00492583" w:rsidRDefault="006403D0" w:rsidP="006403D0">
      <w:pPr>
        <w:spacing w:after="0" w:line="240" w:lineRule="auto"/>
        <w:jc w:val="both"/>
        <w:rPr>
          <w:rFonts w:ascii="Verdana" w:hAnsi="Verdana" w:cs="Arial"/>
          <w:sz w:val="20"/>
          <w:szCs w:val="20"/>
          <w:lang w:val="es-ES"/>
        </w:rPr>
      </w:pPr>
      <w:r>
        <w:rPr>
          <w:rFonts w:ascii="Verdana" w:hAnsi="Verdana" w:cs="Arial"/>
          <w:sz w:val="20"/>
          <w:szCs w:val="20"/>
          <w:lang w:val="es-ES"/>
        </w:rPr>
        <w:t>E</w:t>
      </w:r>
      <w:r w:rsidRPr="00492583">
        <w:rPr>
          <w:rFonts w:ascii="Verdana" w:hAnsi="Verdana" w:cs="Arial"/>
          <w:sz w:val="20"/>
          <w:szCs w:val="20"/>
          <w:lang w:val="es-ES"/>
        </w:rPr>
        <w:t xml:space="preserve">sta Agencia ha sostenido de forma reiterada la tesis consistente en que las ESAL no pueden, por regla general, acceder a los beneficios a favor de las </w:t>
      </w:r>
      <w:proofErr w:type="spellStart"/>
      <w:r w:rsidRPr="00492583">
        <w:rPr>
          <w:rFonts w:ascii="Verdana" w:hAnsi="Verdana" w:cs="Arial"/>
          <w:sz w:val="20"/>
          <w:szCs w:val="20"/>
          <w:lang w:val="es-ES"/>
        </w:rPr>
        <w:t>Mipymes</w:t>
      </w:r>
      <w:proofErr w:type="spellEnd"/>
      <w:r w:rsidRPr="00492583">
        <w:rPr>
          <w:rFonts w:ascii="Verdana" w:hAnsi="Verdana" w:cs="Arial"/>
          <w:sz w:val="20"/>
          <w:szCs w:val="20"/>
          <w:lang w:val="es-ES"/>
        </w:rPr>
        <w:t xml:space="preserve"> ni participar en los procesos contractuales limitados a estas. Este argumento, considerando que: </w:t>
      </w:r>
      <w:r w:rsidRPr="00492583">
        <w:rPr>
          <w:rFonts w:ascii="Verdana" w:hAnsi="Verdana" w:cs="Arial"/>
          <w:sz w:val="20"/>
          <w:szCs w:val="20"/>
          <w:lang w:val="es-ES_tradnl"/>
        </w:rPr>
        <w:t>“</w:t>
      </w:r>
      <w:r w:rsidRPr="00492583">
        <w:rPr>
          <w:rFonts w:ascii="Verdana" w:hAnsi="Verdana" w:cs="Arial"/>
          <w:sz w:val="20"/>
          <w:szCs w:val="20"/>
        </w:rPr>
        <w:t xml:space="preserve">en virtud del artículo 43 de la Ley 1450 de 2011, que modificó el artículo 2 de la Ley 590 de 2000, […] puede decirse que solo podrán ser </w:t>
      </w:r>
      <w:proofErr w:type="spellStart"/>
      <w:r w:rsidRPr="00492583">
        <w:rPr>
          <w:rFonts w:ascii="Verdana" w:hAnsi="Verdana" w:cs="Arial"/>
          <w:sz w:val="20"/>
          <w:szCs w:val="20"/>
        </w:rPr>
        <w:t>Mipymes</w:t>
      </w:r>
      <w:proofErr w:type="spellEnd"/>
      <w:r w:rsidRPr="00492583">
        <w:rPr>
          <w:rFonts w:ascii="Verdana" w:hAnsi="Verdana" w:cs="Arial"/>
          <w:sz w:val="20"/>
          <w:szCs w:val="20"/>
        </w:rPr>
        <w:t xml:space="preserve">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492583">
        <w:rPr>
          <w:rFonts w:ascii="Verdana" w:hAnsi="Verdana" w:cs="Arial"/>
          <w:sz w:val="20"/>
          <w:szCs w:val="20"/>
        </w:rPr>
        <w:t>mipymes</w:t>
      </w:r>
      <w:proofErr w:type="spellEnd"/>
      <w:r w:rsidRPr="00492583">
        <w:rPr>
          <w:rFonts w:ascii="Verdana" w:hAnsi="Verdana" w:cs="Arial"/>
          <w:sz w:val="20"/>
          <w:szCs w:val="20"/>
        </w:rPr>
        <w:t xml:space="preserve">. Lo anterior teniendo en cuenta que </w:t>
      </w:r>
      <w:r w:rsidRPr="00492583">
        <w:rPr>
          <w:rFonts w:ascii="Verdana" w:hAnsi="Verdana" w:cs="Arial"/>
          <w:i/>
          <w:iCs/>
          <w:sz w:val="20"/>
          <w:szCs w:val="20"/>
        </w:rPr>
        <w:t xml:space="preserve">no responden al concepto de empresa que involucra dicha categoría con ánimo de lucro, por lo que no resulta jurídicamente válido aplicar a las ESAL las normas dirigidas a las </w:t>
      </w:r>
      <w:proofErr w:type="spellStart"/>
      <w:r w:rsidRPr="00492583">
        <w:rPr>
          <w:rFonts w:ascii="Verdana" w:hAnsi="Verdana" w:cs="Arial"/>
          <w:i/>
          <w:iCs/>
          <w:sz w:val="20"/>
          <w:szCs w:val="20"/>
        </w:rPr>
        <w:t>Mipymes</w:t>
      </w:r>
      <w:proofErr w:type="spellEnd"/>
      <w:r w:rsidRPr="00492583">
        <w:rPr>
          <w:rFonts w:ascii="Verdana" w:hAnsi="Verdana" w:cs="Arial"/>
          <w:sz w:val="20"/>
          <w:szCs w:val="20"/>
        </w:rPr>
        <w:t xml:space="preserve">”. </w:t>
      </w:r>
    </w:p>
    <w:p w14:paraId="09EF39E8" w14:textId="77777777" w:rsidR="006403D0" w:rsidRPr="00492583" w:rsidRDefault="006403D0" w:rsidP="006403D0">
      <w:pPr>
        <w:spacing w:after="0" w:line="240" w:lineRule="auto"/>
        <w:ind w:left="709" w:right="709"/>
        <w:jc w:val="both"/>
        <w:rPr>
          <w:rFonts w:ascii="Verdana" w:hAnsi="Verdana" w:cs="Arial"/>
          <w:sz w:val="20"/>
          <w:szCs w:val="20"/>
        </w:rPr>
      </w:pPr>
    </w:p>
    <w:p w14:paraId="398D2497" w14:textId="77777777" w:rsidR="006403D0" w:rsidRPr="00492583" w:rsidRDefault="006403D0" w:rsidP="006403D0">
      <w:pPr>
        <w:spacing w:after="0" w:line="240" w:lineRule="auto"/>
        <w:jc w:val="both"/>
        <w:rPr>
          <w:rFonts w:ascii="Verdana" w:hAnsi="Verdana" w:cs="Arial"/>
          <w:sz w:val="20"/>
          <w:szCs w:val="20"/>
          <w:lang w:val="es-ES"/>
        </w:rPr>
      </w:pPr>
      <w:r w:rsidRPr="00492583">
        <w:rPr>
          <w:rFonts w:ascii="Verdana" w:hAnsi="Verdana" w:cs="Arial"/>
          <w:sz w:val="20"/>
          <w:szCs w:val="20"/>
          <w:lang w:val="es-ES"/>
        </w:rPr>
        <w:lastRenderedPageBreak/>
        <w:t xml:space="preserve">Según esta postura, y en virtud de lo señalado en el artículo 43 de la Ley 1450 de 2011, que modificó el artículo 2 de la Ley 590 de 2000, solo podrán ser consideradas </w:t>
      </w:r>
      <w:proofErr w:type="spellStart"/>
      <w:r w:rsidRPr="00492583">
        <w:rPr>
          <w:rFonts w:ascii="Verdana" w:hAnsi="Verdana" w:cs="Arial"/>
          <w:sz w:val="20"/>
          <w:szCs w:val="20"/>
          <w:lang w:val="es-ES"/>
        </w:rPr>
        <w:t>Mipymes</w:t>
      </w:r>
      <w:proofErr w:type="spellEnd"/>
      <w:r w:rsidRPr="00492583">
        <w:rPr>
          <w:rFonts w:ascii="Verdana" w:hAnsi="Verdana" w:cs="Arial"/>
          <w:sz w:val="20"/>
          <w:szCs w:val="20"/>
          <w:lang w:val="es-ES"/>
        </w:rPr>
        <w:t xml:space="preserve"> las empresas, pues son unidades de explotación económica que buscan el reparto de utilidades entre los miembros de la empresa, sin perjuicio de las precisiones que se realizarán más adelante en relación con el artículo 23 de la Ley 2069 de 2020. </w:t>
      </w:r>
    </w:p>
    <w:p w14:paraId="76C18E3E" w14:textId="77777777" w:rsidR="006403D0" w:rsidRDefault="006403D0" w:rsidP="006403D0">
      <w:pPr>
        <w:spacing w:after="0" w:line="276" w:lineRule="auto"/>
        <w:rPr>
          <w:rFonts w:ascii="Verdana" w:eastAsia="Calibri" w:hAnsi="Verdana" w:cs="Arial"/>
          <w:lang w:eastAsia="es-ES"/>
        </w:rPr>
      </w:pPr>
    </w:p>
    <w:p w14:paraId="7A7AD51C" w14:textId="16C10F2B" w:rsidR="006403D0" w:rsidRPr="00492583" w:rsidRDefault="006403D0" w:rsidP="006403D0">
      <w:pPr>
        <w:spacing w:after="0" w:line="276" w:lineRule="auto"/>
        <w:rPr>
          <w:rFonts w:ascii="Verdana" w:eastAsia="Geomanist Light" w:hAnsi="Verdana" w:cs="Arial"/>
          <w:b/>
          <w:bCs/>
          <w:color w:val="000000" w:themeColor="text1"/>
          <w:lang w:val="es-MX"/>
        </w:rPr>
      </w:pPr>
      <w:r w:rsidRPr="00492583">
        <w:rPr>
          <w:rFonts w:ascii="Verdana" w:eastAsia="Calibri" w:hAnsi="Verdana" w:cs="Arial"/>
          <w:b/>
          <w:bCs/>
          <w:lang w:eastAsia="es-ES"/>
        </w:rPr>
        <w:t xml:space="preserve"> ESAL – MiPymes </w:t>
      </w:r>
      <w:r w:rsidR="002A5D56" w:rsidRPr="002A5D56">
        <w:rPr>
          <w:rFonts w:ascii="Verdana" w:eastAsia="Calibri" w:hAnsi="Verdana" w:cs="Arial"/>
          <w:b/>
          <w:bCs/>
          <w:lang w:val="es-ES" w:eastAsia="es-ES"/>
        </w:rPr>
        <w:t>–</w:t>
      </w:r>
      <w:r w:rsidRPr="00492583">
        <w:rPr>
          <w:rFonts w:ascii="Verdana" w:eastAsia="Calibri" w:hAnsi="Verdana" w:cs="Arial"/>
          <w:b/>
          <w:bCs/>
          <w:lang w:eastAsia="es-ES"/>
        </w:rPr>
        <w:t xml:space="preserve"> Cooperativas</w:t>
      </w:r>
    </w:p>
    <w:p w14:paraId="554E8549" w14:textId="77777777" w:rsidR="006403D0" w:rsidRDefault="006403D0" w:rsidP="006403D0">
      <w:pPr>
        <w:spacing w:after="0" w:line="276" w:lineRule="auto"/>
        <w:rPr>
          <w:rFonts w:ascii="Verdana" w:eastAsia="Geomanist Light" w:hAnsi="Verdana" w:cs="Arial"/>
          <w:color w:val="000000" w:themeColor="text1"/>
          <w:lang w:val="es-MX"/>
        </w:rPr>
      </w:pPr>
    </w:p>
    <w:p w14:paraId="405C33EF" w14:textId="77777777" w:rsidR="006403D0" w:rsidRPr="00492583" w:rsidRDefault="006403D0" w:rsidP="006403D0">
      <w:pPr>
        <w:spacing w:after="0" w:line="240" w:lineRule="auto"/>
        <w:jc w:val="both"/>
        <w:rPr>
          <w:rFonts w:ascii="Verdana" w:eastAsia="Geomanist Light" w:hAnsi="Verdana" w:cs="Arial"/>
          <w:color w:val="000000" w:themeColor="text1"/>
          <w:sz w:val="20"/>
          <w:szCs w:val="20"/>
          <w:lang w:val="es-MX"/>
        </w:rPr>
      </w:pPr>
      <w:r w:rsidRPr="00492583">
        <w:rPr>
          <w:rFonts w:ascii="Verdana" w:eastAsia="Geomanist Light" w:hAnsi="Verdana" w:cs="Arial"/>
          <w:color w:val="000000" w:themeColor="text1"/>
          <w:sz w:val="20"/>
          <w:szCs w:val="20"/>
          <w:lang w:val="es-MX"/>
        </w:rPr>
        <w:t>De esta manera, los incentivos referidos en la Ley 2069 de 2020 y la posibilidad de solicitar la limitación de las convocatorias a MiPymes no son extensibles a todas las ESAL, sino únicamente a aquellas que corresponden al concepto de cooperativas y demás entes considerados de economía solidaria, 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señalados en el numeral 3 del artículo 2.2.1.2.1.5.2. del Decreto 1082 de 2015.</w:t>
      </w:r>
    </w:p>
    <w:p w14:paraId="2C413FAD" w14:textId="77777777" w:rsidR="006403D0" w:rsidRDefault="006403D0" w:rsidP="006403D0">
      <w:pPr>
        <w:spacing w:after="0" w:line="276" w:lineRule="auto"/>
        <w:rPr>
          <w:rFonts w:ascii="Verdana" w:eastAsia="Geomanist Light" w:hAnsi="Verdana" w:cs="Arial"/>
          <w:color w:val="000000" w:themeColor="text1"/>
          <w:lang w:val="es-MX"/>
        </w:rPr>
      </w:pPr>
    </w:p>
    <w:p w14:paraId="2F3BE841" w14:textId="77777777" w:rsidR="00FA5394" w:rsidRDefault="00FA5394" w:rsidP="00867B6A">
      <w:pPr>
        <w:spacing w:after="0" w:line="240" w:lineRule="auto"/>
        <w:jc w:val="both"/>
        <w:rPr>
          <w:rFonts w:ascii="Verdana" w:hAnsi="Verdana"/>
        </w:rPr>
      </w:pPr>
    </w:p>
    <w:p w14:paraId="3572D249" w14:textId="77777777" w:rsidR="00FA5394" w:rsidRDefault="00FA5394" w:rsidP="00867B6A">
      <w:pPr>
        <w:spacing w:after="0" w:line="240" w:lineRule="auto"/>
        <w:jc w:val="both"/>
        <w:rPr>
          <w:rFonts w:ascii="Verdana" w:hAnsi="Verdana"/>
        </w:rPr>
      </w:pPr>
    </w:p>
    <w:p w14:paraId="663C2FF6" w14:textId="77777777" w:rsidR="00FA5394" w:rsidRDefault="00FA5394" w:rsidP="00867B6A">
      <w:pPr>
        <w:spacing w:after="0" w:line="240" w:lineRule="auto"/>
        <w:jc w:val="both"/>
        <w:rPr>
          <w:rFonts w:ascii="Verdana" w:hAnsi="Verdana"/>
        </w:rPr>
      </w:pPr>
    </w:p>
    <w:p w14:paraId="24AC291F" w14:textId="77777777" w:rsidR="00FA5394" w:rsidRDefault="00FA5394" w:rsidP="00867B6A">
      <w:pPr>
        <w:spacing w:after="0" w:line="240" w:lineRule="auto"/>
        <w:jc w:val="both"/>
        <w:rPr>
          <w:rFonts w:ascii="Verdana" w:hAnsi="Verdana"/>
        </w:rPr>
      </w:pPr>
    </w:p>
    <w:p w14:paraId="0518F23C" w14:textId="77777777" w:rsidR="00FA5394" w:rsidRDefault="00FA5394" w:rsidP="00867B6A">
      <w:pPr>
        <w:spacing w:after="0" w:line="240" w:lineRule="auto"/>
        <w:jc w:val="both"/>
        <w:rPr>
          <w:rFonts w:ascii="Verdana" w:hAnsi="Verdana"/>
        </w:rPr>
      </w:pPr>
    </w:p>
    <w:p w14:paraId="22E924D4" w14:textId="77777777" w:rsidR="00FA5394" w:rsidRDefault="00FA5394" w:rsidP="00867B6A">
      <w:pPr>
        <w:spacing w:after="0" w:line="240" w:lineRule="auto"/>
        <w:jc w:val="both"/>
        <w:rPr>
          <w:rFonts w:ascii="Verdana" w:hAnsi="Verdana"/>
        </w:rPr>
      </w:pPr>
    </w:p>
    <w:p w14:paraId="7C05A96C" w14:textId="77777777" w:rsidR="00FA5394" w:rsidRDefault="00FA5394" w:rsidP="00867B6A">
      <w:pPr>
        <w:spacing w:after="0" w:line="240" w:lineRule="auto"/>
        <w:jc w:val="both"/>
        <w:rPr>
          <w:rFonts w:ascii="Verdana" w:hAnsi="Verdana"/>
        </w:rPr>
      </w:pPr>
    </w:p>
    <w:p w14:paraId="6B7E85BF" w14:textId="77777777" w:rsidR="00FA5394" w:rsidRDefault="00FA5394" w:rsidP="00867B6A">
      <w:pPr>
        <w:spacing w:after="0" w:line="240" w:lineRule="auto"/>
        <w:jc w:val="both"/>
        <w:rPr>
          <w:rFonts w:ascii="Verdana" w:hAnsi="Verdana"/>
        </w:rPr>
      </w:pPr>
    </w:p>
    <w:p w14:paraId="6A7DF780" w14:textId="6F337FC7" w:rsidR="00867B6A" w:rsidRDefault="00867B6A" w:rsidP="00867B6A">
      <w:pPr>
        <w:spacing w:after="0" w:line="240" w:lineRule="auto"/>
        <w:jc w:val="both"/>
        <w:rPr>
          <w:rFonts w:ascii="Verdana" w:hAnsi="Verdana"/>
        </w:rPr>
      </w:pPr>
      <w:bookmarkStart w:id="4" w:name="_Hlk197462763"/>
      <w:bookmarkStart w:id="5" w:name="_Hlk197529996"/>
    </w:p>
    <w:p w14:paraId="401BC47E" w14:textId="77777777" w:rsidR="009E1F9E" w:rsidRDefault="009E1F9E" w:rsidP="009E1F9E">
      <w:pPr>
        <w:spacing w:after="0" w:line="240" w:lineRule="auto"/>
        <w:jc w:val="both"/>
        <w:rPr>
          <w:rFonts w:ascii="Verdana" w:eastAsia="Geomanist Light" w:hAnsi="Verdana" w:cs="Arial"/>
          <w:color w:val="000000" w:themeColor="text1"/>
        </w:rPr>
      </w:pPr>
    </w:p>
    <w:p w14:paraId="41D8FACA" w14:textId="77777777" w:rsidR="006403D0" w:rsidRDefault="006403D0" w:rsidP="009E1F9E">
      <w:pPr>
        <w:spacing w:after="0" w:line="240" w:lineRule="auto"/>
        <w:jc w:val="both"/>
        <w:rPr>
          <w:rFonts w:ascii="Verdana" w:eastAsia="Geomanist Light" w:hAnsi="Verdana" w:cs="Arial"/>
          <w:color w:val="000000" w:themeColor="text1"/>
        </w:rPr>
      </w:pPr>
    </w:p>
    <w:p w14:paraId="4B983A3F" w14:textId="77777777" w:rsidR="006403D0" w:rsidRDefault="006403D0" w:rsidP="009E1F9E">
      <w:pPr>
        <w:spacing w:after="0" w:line="240" w:lineRule="auto"/>
        <w:jc w:val="both"/>
        <w:rPr>
          <w:rFonts w:ascii="Verdana" w:eastAsia="Geomanist Light" w:hAnsi="Verdana" w:cs="Arial"/>
          <w:color w:val="000000" w:themeColor="text1"/>
        </w:rPr>
      </w:pPr>
    </w:p>
    <w:p w14:paraId="46FF2170" w14:textId="77777777" w:rsidR="006403D0" w:rsidRDefault="006403D0" w:rsidP="009E1F9E">
      <w:pPr>
        <w:spacing w:after="0" w:line="240" w:lineRule="auto"/>
        <w:jc w:val="both"/>
        <w:rPr>
          <w:rFonts w:ascii="Verdana" w:eastAsia="Geomanist Light" w:hAnsi="Verdana" w:cs="Arial"/>
          <w:color w:val="000000" w:themeColor="text1"/>
        </w:rPr>
      </w:pPr>
    </w:p>
    <w:p w14:paraId="1300B6D5" w14:textId="77777777" w:rsidR="006403D0" w:rsidRDefault="006403D0" w:rsidP="009E1F9E">
      <w:pPr>
        <w:spacing w:after="0" w:line="240" w:lineRule="auto"/>
        <w:jc w:val="both"/>
        <w:rPr>
          <w:rFonts w:ascii="Verdana" w:eastAsia="Geomanist Light" w:hAnsi="Verdana" w:cs="Arial"/>
          <w:color w:val="000000" w:themeColor="text1"/>
        </w:rPr>
      </w:pPr>
    </w:p>
    <w:p w14:paraId="552B9615" w14:textId="77777777" w:rsidR="006403D0" w:rsidRDefault="006403D0" w:rsidP="009E1F9E">
      <w:pPr>
        <w:spacing w:after="0" w:line="240" w:lineRule="auto"/>
        <w:jc w:val="both"/>
        <w:rPr>
          <w:rFonts w:ascii="Verdana" w:eastAsia="Geomanist Light" w:hAnsi="Verdana" w:cs="Arial"/>
          <w:color w:val="000000" w:themeColor="text1"/>
        </w:rPr>
      </w:pPr>
    </w:p>
    <w:p w14:paraId="4AAA6921" w14:textId="77777777" w:rsidR="006403D0" w:rsidRDefault="006403D0" w:rsidP="009E1F9E">
      <w:pPr>
        <w:spacing w:after="0" w:line="240" w:lineRule="auto"/>
        <w:jc w:val="both"/>
        <w:rPr>
          <w:rFonts w:ascii="Verdana" w:eastAsia="Geomanist Light" w:hAnsi="Verdana" w:cs="Arial"/>
          <w:color w:val="000000" w:themeColor="text1"/>
        </w:rPr>
      </w:pPr>
    </w:p>
    <w:p w14:paraId="5DF3C5B5" w14:textId="77777777" w:rsidR="006403D0" w:rsidRDefault="006403D0" w:rsidP="009E1F9E">
      <w:pPr>
        <w:spacing w:after="0" w:line="240" w:lineRule="auto"/>
        <w:jc w:val="both"/>
        <w:rPr>
          <w:rFonts w:ascii="Verdana" w:eastAsia="Geomanist Light" w:hAnsi="Verdana" w:cs="Arial"/>
          <w:color w:val="000000" w:themeColor="text1"/>
        </w:rPr>
      </w:pPr>
    </w:p>
    <w:p w14:paraId="22E27373" w14:textId="77777777" w:rsidR="006403D0" w:rsidRDefault="006403D0" w:rsidP="009E1F9E">
      <w:pPr>
        <w:spacing w:after="0" w:line="240" w:lineRule="auto"/>
        <w:jc w:val="both"/>
        <w:rPr>
          <w:rFonts w:ascii="Verdana" w:eastAsia="Geomanist Light" w:hAnsi="Verdana" w:cs="Arial"/>
          <w:color w:val="000000" w:themeColor="text1"/>
        </w:rPr>
      </w:pPr>
    </w:p>
    <w:p w14:paraId="47711E48" w14:textId="77777777" w:rsidR="006403D0" w:rsidRDefault="006403D0" w:rsidP="009E1F9E">
      <w:pPr>
        <w:spacing w:after="0" w:line="240" w:lineRule="auto"/>
        <w:jc w:val="both"/>
        <w:rPr>
          <w:rFonts w:ascii="Verdana" w:eastAsia="Geomanist Light" w:hAnsi="Verdana" w:cs="Arial"/>
          <w:color w:val="000000" w:themeColor="text1"/>
        </w:rPr>
      </w:pPr>
    </w:p>
    <w:p w14:paraId="74F9EA63" w14:textId="77777777" w:rsidR="006403D0" w:rsidRDefault="006403D0" w:rsidP="009E1F9E">
      <w:pPr>
        <w:spacing w:after="0" w:line="240" w:lineRule="auto"/>
        <w:jc w:val="both"/>
        <w:rPr>
          <w:rFonts w:ascii="Verdana" w:eastAsia="Geomanist Light" w:hAnsi="Verdana" w:cs="Arial"/>
          <w:color w:val="000000" w:themeColor="text1"/>
        </w:rPr>
      </w:pPr>
    </w:p>
    <w:p w14:paraId="05D7BC68" w14:textId="77777777" w:rsidR="006403D0" w:rsidRDefault="006403D0" w:rsidP="009E1F9E">
      <w:pPr>
        <w:spacing w:after="0" w:line="240" w:lineRule="auto"/>
        <w:jc w:val="both"/>
        <w:rPr>
          <w:rFonts w:ascii="Verdana" w:eastAsia="Geomanist Light" w:hAnsi="Verdana" w:cs="Arial"/>
          <w:color w:val="000000" w:themeColor="text1"/>
        </w:rPr>
      </w:pPr>
    </w:p>
    <w:p w14:paraId="478CF4B5" w14:textId="77777777" w:rsidR="006403D0" w:rsidRDefault="006403D0" w:rsidP="009E1F9E">
      <w:pPr>
        <w:spacing w:after="0" w:line="240" w:lineRule="auto"/>
        <w:jc w:val="both"/>
        <w:rPr>
          <w:rFonts w:ascii="Verdana" w:eastAsia="Geomanist Light" w:hAnsi="Verdana" w:cs="Arial"/>
          <w:color w:val="000000" w:themeColor="text1"/>
        </w:rPr>
      </w:pPr>
    </w:p>
    <w:p w14:paraId="339968EF" w14:textId="77777777" w:rsidR="006403D0" w:rsidRDefault="006403D0" w:rsidP="009E1F9E">
      <w:pPr>
        <w:spacing w:after="0" w:line="240" w:lineRule="auto"/>
        <w:jc w:val="both"/>
        <w:rPr>
          <w:rFonts w:ascii="Verdana" w:eastAsia="Geomanist Light" w:hAnsi="Verdana" w:cs="Arial"/>
          <w:color w:val="000000" w:themeColor="text1"/>
        </w:rPr>
      </w:pPr>
    </w:p>
    <w:p w14:paraId="0E0386B5" w14:textId="77777777" w:rsidR="006403D0" w:rsidRDefault="006403D0" w:rsidP="009E1F9E">
      <w:pPr>
        <w:spacing w:after="0" w:line="240" w:lineRule="auto"/>
        <w:jc w:val="both"/>
        <w:rPr>
          <w:rFonts w:ascii="Verdana" w:eastAsia="Geomanist Light" w:hAnsi="Verdana" w:cs="Arial"/>
          <w:color w:val="000000" w:themeColor="text1"/>
        </w:rPr>
      </w:pPr>
    </w:p>
    <w:p w14:paraId="355EDF37" w14:textId="60278C3D" w:rsidR="009E1F9E" w:rsidRDefault="009E1F9E" w:rsidP="009E1F9E">
      <w:pPr>
        <w:spacing w:after="0" w:line="240" w:lineRule="auto"/>
        <w:jc w:val="both"/>
        <w:rPr>
          <w:rFonts w:ascii="Verdana" w:eastAsia="Geomanist Light" w:hAnsi="Verdana" w:cs="Arial"/>
          <w:color w:val="201F1E"/>
        </w:rPr>
      </w:pPr>
      <w:r w:rsidRPr="00713B63">
        <w:rPr>
          <w:rFonts w:ascii="Verdana" w:eastAsia="Geomanist Light" w:hAnsi="Verdana" w:cs="Arial"/>
          <w:color w:val="000000" w:themeColor="text1"/>
        </w:rPr>
        <w:lastRenderedPageBreak/>
        <w:t>Bogotá D.C., </w:t>
      </w:r>
      <w:r w:rsidR="006403D0">
        <w:rPr>
          <w:rFonts w:ascii="Verdana" w:eastAsia="Geomanist Light" w:hAnsi="Verdana" w:cs="Arial"/>
          <w:color w:val="201F1E"/>
        </w:rPr>
        <w:t>25 de septiembre de 2025</w:t>
      </w:r>
    </w:p>
    <w:p w14:paraId="60120B07" w14:textId="77777777" w:rsidR="006403D0" w:rsidRDefault="006403D0" w:rsidP="009E1F9E">
      <w:pPr>
        <w:spacing w:after="0" w:line="240" w:lineRule="auto"/>
        <w:jc w:val="both"/>
        <w:rPr>
          <w:rFonts w:ascii="Verdana" w:eastAsia="Geomanist Light" w:hAnsi="Verdana" w:cs="Arial"/>
          <w:color w:val="201F1E"/>
        </w:rPr>
      </w:pPr>
    </w:p>
    <w:p w14:paraId="7439B669" w14:textId="13A10F3C" w:rsidR="006403D0" w:rsidRDefault="006403D0" w:rsidP="008A7BB2">
      <w:pPr>
        <w:spacing w:after="0" w:line="240" w:lineRule="auto"/>
        <w:jc w:val="right"/>
        <w:rPr>
          <w:rFonts w:ascii="Verdana" w:hAnsi="Verdana"/>
        </w:rPr>
      </w:pPr>
    </w:p>
    <w:p w14:paraId="13A5FEB9" w14:textId="24D225C6" w:rsidR="009E1F9E" w:rsidRDefault="00963714" w:rsidP="009E1F9E">
      <w:pPr>
        <w:spacing w:after="0" w:line="240" w:lineRule="auto"/>
        <w:jc w:val="both"/>
        <w:rPr>
          <w:rFonts w:ascii="Verdana" w:hAnsi="Verdana"/>
        </w:rPr>
      </w:pPr>
      <w:r w:rsidRPr="008A7BB2">
        <w:rPr>
          <w:rFonts w:ascii="Verdana" w:hAnsi="Verdana"/>
          <w:noProof/>
        </w:rPr>
        <w:drawing>
          <wp:anchor distT="0" distB="0" distL="114300" distR="114300" simplePos="0" relativeHeight="251658240" behindDoc="0" locked="0" layoutInCell="1" allowOverlap="1" wp14:anchorId="1EDAF995" wp14:editId="2CFFE084">
            <wp:simplePos x="0" y="0"/>
            <wp:positionH relativeFrom="margin">
              <wp:align>right</wp:align>
            </wp:positionH>
            <wp:positionV relativeFrom="paragraph">
              <wp:posOffset>6019</wp:posOffset>
            </wp:positionV>
            <wp:extent cx="2362200" cy="891540"/>
            <wp:effectExtent l="0" t="0" r="0" b="3810"/>
            <wp:wrapSquare wrapText="bothSides"/>
            <wp:docPr id="12060057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2200" cy="891540"/>
                    </a:xfrm>
                    <a:prstGeom prst="rect">
                      <a:avLst/>
                    </a:prstGeom>
                    <a:noFill/>
                    <a:ln>
                      <a:noFill/>
                    </a:ln>
                  </pic:spPr>
                </pic:pic>
              </a:graphicData>
            </a:graphic>
          </wp:anchor>
        </w:drawing>
      </w:r>
    </w:p>
    <w:p w14:paraId="789588C1" w14:textId="77777777" w:rsidR="009E1F9E" w:rsidRPr="008E4F36" w:rsidRDefault="009E1F9E" w:rsidP="009E1F9E">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 xml:space="preserve">a </w:t>
      </w:r>
    </w:p>
    <w:p w14:paraId="1BAC55AB" w14:textId="77777777" w:rsidR="009E1F9E" w:rsidRDefault="009E1F9E" w:rsidP="009E1F9E">
      <w:pPr>
        <w:spacing w:after="0" w:line="240" w:lineRule="auto"/>
        <w:jc w:val="both"/>
        <w:rPr>
          <w:rFonts w:ascii="Verdana" w:eastAsia="Calibri" w:hAnsi="Verdana" w:cs="Arial"/>
          <w:b/>
          <w:lang w:eastAsia="es-ES_tradnl"/>
        </w:rPr>
      </w:pPr>
      <w:r w:rsidRPr="006C05B7">
        <w:rPr>
          <w:rFonts w:ascii="Verdana" w:eastAsia="Calibri" w:hAnsi="Verdana" w:cs="Arial"/>
          <w:b/>
          <w:lang w:eastAsia="es-ES_tradnl"/>
        </w:rPr>
        <w:t>Johanna Marcela Rodríguez Caballero</w:t>
      </w:r>
    </w:p>
    <w:p w14:paraId="3D5F36D8" w14:textId="77777777" w:rsidR="009E1F9E" w:rsidRDefault="009E1F9E" w:rsidP="009E1F9E">
      <w:pPr>
        <w:spacing w:after="0" w:line="240" w:lineRule="auto"/>
        <w:jc w:val="both"/>
        <w:rPr>
          <w:rFonts w:ascii="Verdana" w:eastAsia="Calibri" w:hAnsi="Verdana" w:cs="Arial"/>
          <w:b/>
          <w:lang w:eastAsia="es-ES_tradnl"/>
        </w:rPr>
      </w:pPr>
      <w:r w:rsidRPr="00EE2B33">
        <w:rPr>
          <w:rFonts w:ascii="Verdana" w:eastAsia="Calibri" w:hAnsi="Verdana" w:cs="Arial"/>
          <w:b/>
          <w:lang w:eastAsia="es-ES_tradnl"/>
        </w:rPr>
        <w:t xml:space="preserve">Fundación Social Colombiana </w:t>
      </w:r>
      <w:proofErr w:type="spellStart"/>
      <w:r w:rsidRPr="00EE2B33">
        <w:rPr>
          <w:rFonts w:ascii="Verdana" w:eastAsia="Calibri" w:hAnsi="Verdana" w:cs="Arial"/>
          <w:b/>
          <w:lang w:eastAsia="es-ES_tradnl"/>
        </w:rPr>
        <w:t>Cedavida</w:t>
      </w:r>
      <w:proofErr w:type="spellEnd"/>
    </w:p>
    <w:p w14:paraId="08C7DF61" w14:textId="77777777" w:rsidR="009E1F9E" w:rsidRPr="006C05B7" w:rsidRDefault="009E1F9E" w:rsidP="009E1F9E">
      <w:pPr>
        <w:spacing w:after="0" w:line="240" w:lineRule="auto"/>
        <w:jc w:val="both"/>
        <w:rPr>
          <w:rFonts w:ascii="Verdana" w:hAnsi="Verdana"/>
        </w:rPr>
      </w:pPr>
      <w:hyperlink r:id="rId12" w:history="1">
        <w:r w:rsidRPr="006C05B7">
          <w:rPr>
            <w:rStyle w:val="Hipervnculo"/>
            <w:rFonts w:ascii="Verdana" w:hAnsi="Verdana"/>
          </w:rPr>
          <w:t>katherine.salas@cedavida.org</w:t>
        </w:r>
      </w:hyperlink>
      <w:r w:rsidRPr="006C05B7">
        <w:rPr>
          <w:rFonts w:ascii="Verdana" w:hAnsi="Verdana"/>
        </w:rPr>
        <w:t xml:space="preserve"> </w:t>
      </w:r>
    </w:p>
    <w:p w14:paraId="76D136B8" w14:textId="77777777" w:rsidR="009E1F9E" w:rsidRPr="006C05B7" w:rsidRDefault="009E1F9E" w:rsidP="009E1F9E">
      <w:pPr>
        <w:spacing w:after="0" w:line="240" w:lineRule="auto"/>
        <w:jc w:val="both"/>
        <w:rPr>
          <w:rFonts w:ascii="Verdana" w:hAnsi="Verdana"/>
        </w:rPr>
      </w:pPr>
      <w:r w:rsidRPr="006C05B7">
        <w:rPr>
          <w:rFonts w:ascii="Verdana" w:hAnsi="Verdana"/>
        </w:rPr>
        <w:t xml:space="preserve">Bogotá  </w:t>
      </w:r>
    </w:p>
    <w:p w14:paraId="532D30AC" w14:textId="77777777" w:rsidR="009E1F9E" w:rsidRDefault="009E1F9E" w:rsidP="009E1F9E">
      <w:pPr>
        <w:spacing w:after="0" w:line="240" w:lineRule="auto"/>
        <w:jc w:val="both"/>
        <w:rPr>
          <w:rFonts w:ascii="Verdana" w:hAnsi="Verdana"/>
          <w:lang w:val="it-CH"/>
        </w:rPr>
      </w:pPr>
    </w:p>
    <w:p w14:paraId="07B10BD5" w14:textId="77777777" w:rsidR="009E1F9E" w:rsidRPr="005B4C57" w:rsidRDefault="009E1F9E" w:rsidP="009E1F9E">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E1F9E" w:rsidRPr="002842E0" w14:paraId="13A18D53" w14:textId="77777777" w:rsidTr="00F71E30">
        <w:trPr>
          <w:trHeight w:val="162"/>
        </w:trPr>
        <w:tc>
          <w:tcPr>
            <w:tcW w:w="3119" w:type="dxa"/>
          </w:tcPr>
          <w:p w14:paraId="2E1F9996" w14:textId="77777777" w:rsidR="009E1F9E" w:rsidRPr="005B4C57" w:rsidRDefault="009E1F9E" w:rsidP="00F71E30">
            <w:pPr>
              <w:jc w:val="both"/>
              <w:rPr>
                <w:rFonts w:ascii="Verdana" w:eastAsia="Calibri" w:hAnsi="Verdana" w:cs="Arial"/>
                <w:b/>
                <w:bCs/>
                <w:color w:val="7030A0"/>
                <w:lang w:val="it-CH" w:eastAsia="es-ES_tradnl"/>
              </w:rPr>
            </w:pPr>
          </w:p>
        </w:tc>
        <w:tc>
          <w:tcPr>
            <w:tcW w:w="5670" w:type="dxa"/>
          </w:tcPr>
          <w:p w14:paraId="0D53D39B" w14:textId="77777777" w:rsidR="009E1F9E" w:rsidRPr="00801462" w:rsidRDefault="009E1F9E" w:rsidP="00F71E30">
            <w:pPr>
              <w:jc w:val="both"/>
              <w:rPr>
                <w:rFonts w:ascii="Verdana" w:eastAsia="Calibri" w:hAnsi="Verdana" w:cs="Arial"/>
                <w:b/>
                <w:bCs/>
                <w:lang w:eastAsia="es-ES"/>
              </w:rPr>
            </w:pPr>
            <w:r w:rsidRPr="00801462">
              <w:rPr>
                <w:rFonts w:ascii="Verdana" w:eastAsia="Calibri" w:hAnsi="Verdana" w:cs="Arial"/>
                <w:b/>
                <w:bCs/>
                <w:lang w:eastAsia="es-ES"/>
              </w:rPr>
              <w:t xml:space="preserve">Concepto C- </w:t>
            </w:r>
            <w:r>
              <w:rPr>
                <w:rFonts w:ascii="Verdana" w:eastAsia="Calibri" w:hAnsi="Verdana" w:cs="Arial"/>
                <w:b/>
                <w:bCs/>
                <w:lang w:eastAsia="es-ES"/>
              </w:rPr>
              <w:t>1187</w:t>
            </w:r>
            <w:r w:rsidRPr="00801462">
              <w:rPr>
                <w:rFonts w:ascii="Verdana" w:eastAsia="Calibri" w:hAnsi="Verdana" w:cs="Arial"/>
                <w:b/>
                <w:bCs/>
                <w:lang w:eastAsia="es-ES"/>
              </w:rPr>
              <w:t xml:space="preserve"> de 2025</w:t>
            </w:r>
          </w:p>
          <w:p w14:paraId="63E9990E" w14:textId="77777777" w:rsidR="009E1F9E" w:rsidRPr="00801462" w:rsidRDefault="009E1F9E" w:rsidP="00F71E30">
            <w:pPr>
              <w:jc w:val="both"/>
              <w:rPr>
                <w:rFonts w:ascii="Verdana" w:eastAsia="Calibri" w:hAnsi="Verdana" w:cs="Arial"/>
                <w:b/>
                <w:bCs/>
                <w:color w:val="7030A0"/>
                <w:lang w:eastAsia="es-ES"/>
              </w:rPr>
            </w:pPr>
          </w:p>
        </w:tc>
      </w:tr>
      <w:tr w:rsidR="009E1F9E" w:rsidRPr="002842E0" w14:paraId="2E4134C1" w14:textId="77777777" w:rsidTr="00F71E30">
        <w:trPr>
          <w:trHeight w:val="884"/>
        </w:trPr>
        <w:tc>
          <w:tcPr>
            <w:tcW w:w="3119" w:type="dxa"/>
          </w:tcPr>
          <w:p w14:paraId="37B75775" w14:textId="77777777" w:rsidR="009E1F9E" w:rsidRPr="00801462" w:rsidRDefault="009E1F9E" w:rsidP="00F71E30">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FA30716" w14:textId="77777777" w:rsidR="009E1F9E" w:rsidRPr="00A10C01" w:rsidRDefault="009E1F9E" w:rsidP="00F71E30">
            <w:pPr>
              <w:spacing w:line="276" w:lineRule="auto"/>
              <w:jc w:val="both"/>
              <w:rPr>
                <w:rFonts w:ascii="Verdana" w:eastAsia="Calibri" w:hAnsi="Verdana" w:cs="Arial"/>
                <w:b/>
                <w:lang w:eastAsia="es-ES"/>
              </w:rPr>
            </w:pPr>
            <w:r w:rsidRPr="00A10C01">
              <w:rPr>
                <w:rFonts w:ascii="Verdana" w:eastAsia="Calibri" w:hAnsi="Verdana" w:cs="Arial"/>
                <w:lang w:eastAsia="es-ES"/>
              </w:rPr>
              <w:t>ESAL– MiPymes – Distinción /   ENTIDADES DE ECONOMÍA SOLIDARIA</w:t>
            </w:r>
            <w:r>
              <w:rPr>
                <w:rFonts w:ascii="Verdana" w:eastAsia="Calibri" w:hAnsi="Verdana" w:cs="Arial"/>
                <w:lang w:eastAsia="es-ES"/>
              </w:rPr>
              <w:t xml:space="preserve"> </w:t>
            </w:r>
            <w:r w:rsidRPr="00A10C01">
              <w:rPr>
                <w:rFonts w:ascii="Verdana" w:eastAsia="Calibri" w:hAnsi="Verdana" w:cs="Arial"/>
                <w:lang w:eastAsia="es-ES"/>
              </w:rPr>
              <w:t>–</w:t>
            </w:r>
            <w:r>
              <w:rPr>
                <w:rFonts w:ascii="Verdana" w:eastAsia="Calibri" w:hAnsi="Verdana" w:cs="Arial"/>
                <w:lang w:eastAsia="es-ES"/>
              </w:rPr>
              <w:t xml:space="preserve"> </w:t>
            </w:r>
            <w:r w:rsidRPr="00A10C01">
              <w:rPr>
                <w:rFonts w:ascii="Verdana" w:eastAsia="Calibri" w:hAnsi="Verdana" w:cs="Arial"/>
                <w:lang w:eastAsia="es-ES"/>
              </w:rPr>
              <w:t>Asimilación a Mi</w:t>
            </w:r>
            <w:r>
              <w:rPr>
                <w:rFonts w:ascii="Verdana" w:eastAsia="Calibri" w:hAnsi="Verdana" w:cs="Arial"/>
                <w:lang w:eastAsia="es-ES"/>
              </w:rPr>
              <w:t>P</w:t>
            </w:r>
            <w:r w:rsidRPr="00A10C01">
              <w:rPr>
                <w:rFonts w:ascii="Verdana" w:eastAsia="Calibri" w:hAnsi="Verdana" w:cs="Arial"/>
                <w:lang w:eastAsia="es-ES"/>
              </w:rPr>
              <w:t xml:space="preserve">ymes – Cooperativas – Asociaciones mutualistas – Demás entidades de economía solidaria </w:t>
            </w:r>
            <w:r>
              <w:rPr>
                <w:rFonts w:ascii="Verdana" w:eastAsia="Calibri" w:hAnsi="Verdana" w:cs="Arial"/>
                <w:lang w:eastAsia="es-ES"/>
              </w:rPr>
              <w:t xml:space="preserve">/ </w:t>
            </w:r>
            <w:r w:rsidRPr="00A10C01">
              <w:rPr>
                <w:rFonts w:ascii="Verdana" w:eastAsia="Calibri" w:hAnsi="Verdana" w:cs="Arial"/>
                <w:lang w:eastAsia="es-ES"/>
              </w:rPr>
              <w:t xml:space="preserve">CONVOCATORIAS LIMITADAS A MIPYMES </w:t>
            </w:r>
            <w:r>
              <w:rPr>
                <w:rFonts w:ascii="Verdana" w:eastAsia="Calibri" w:hAnsi="Verdana" w:cs="Arial"/>
                <w:lang w:eastAsia="es-ES"/>
              </w:rPr>
              <w:t xml:space="preserve">- </w:t>
            </w:r>
            <w:r w:rsidRPr="00A10C01">
              <w:rPr>
                <w:rFonts w:ascii="Verdana" w:eastAsia="Calibri" w:hAnsi="Verdana" w:cs="Arial"/>
                <w:lang w:eastAsia="es-ES"/>
              </w:rPr>
              <w:t>MiPymes – Entidades Sin Ánimo de Lucro /</w:t>
            </w:r>
            <w:r>
              <w:rPr>
                <w:rFonts w:ascii="Verdana" w:eastAsia="Calibri" w:hAnsi="Verdana" w:cs="Arial"/>
                <w:lang w:eastAsia="es-ES"/>
              </w:rPr>
              <w:t xml:space="preserve"> </w:t>
            </w:r>
            <w:r w:rsidRPr="00A10C01">
              <w:rPr>
                <w:rFonts w:ascii="Verdana" w:eastAsia="Calibri" w:hAnsi="Verdana" w:cs="Arial"/>
                <w:lang w:eastAsia="es-ES"/>
              </w:rPr>
              <w:t xml:space="preserve">ESAL – MiPymes - </w:t>
            </w:r>
            <w:r>
              <w:rPr>
                <w:rFonts w:ascii="Verdana" w:eastAsia="Calibri" w:hAnsi="Verdana" w:cs="Arial"/>
                <w:lang w:eastAsia="es-ES"/>
              </w:rPr>
              <w:t xml:space="preserve">Cooperativas </w:t>
            </w:r>
          </w:p>
          <w:p w14:paraId="7C5399D3" w14:textId="77777777" w:rsidR="009E1F9E" w:rsidRPr="00A10C01" w:rsidRDefault="009E1F9E" w:rsidP="00F71E30">
            <w:pPr>
              <w:jc w:val="both"/>
              <w:rPr>
                <w:rFonts w:ascii="Verdana" w:eastAsia="Calibri" w:hAnsi="Verdana" w:cs="Arial"/>
                <w:lang w:eastAsia="es-ES"/>
              </w:rPr>
            </w:pPr>
          </w:p>
        </w:tc>
      </w:tr>
      <w:tr w:rsidR="009E1F9E" w:rsidRPr="002842E0" w14:paraId="45518334" w14:textId="77777777" w:rsidTr="00F71E30">
        <w:tc>
          <w:tcPr>
            <w:tcW w:w="3119" w:type="dxa"/>
          </w:tcPr>
          <w:p w14:paraId="1691A8C2" w14:textId="77777777" w:rsidR="009E1F9E" w:rsidRPr="00801462" w:rsidRDefault="009E1F9E" w:rsidP="00F71E30">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6D03C961" w14:textId="77777777" w:rsidR="009E1F9E" w:rsidRPr="00801462" w:rsidRDefault="009E1F9E" w:rsidP="00F71E30">
            <w:pPr>
              <w:jc w:val="both"/>
              <w:rPr>
                <w:rFonts w:ascii="Verdana" w:eastAsia="Calibri" w:hAnsi="Verdana" w:cs="Arial"/>
                <w:lang w:eastAsia="es-ES_tradnl"/>
              </w:rPr>
            </w:pPr>
            <w:r w:rsidRPr="00801462">
              <w:rPr>
                <w:rFonts w:ascii="Verdana" w:eastAsia="Calibri" w:hAnsi="Verdana" w:cs="Arial"/>
                <w:lang w:eastAsia="es-ES_tradnl"/>
              </w:rPr>
              <w:t>Respuesta a consulta</w:t>
            </w:r>
            <w:r>
              <w:rPr>
                <w:rFonts w:ascii="Verdana" w:eastAsia="Calibri" w:hAnsi="Verdana" w:cs="Arial"/>
                <w:lang w:eastAsia="es-ES_tradnl"/>
              </w:rPr>
              <w:t>s</w:t>
            </w:r>
            <w:r w:rsidRPr="00801462">
              <w:rPr>
                <w:rFonts w:ascii="Verdana" w:eastAsia="Calibri" w:hAnsi="Verdana" w:cs="Arial"/>
                <w:lang w:eastAsia="es-ES_tradnl"/>
              </w:rPr>
              <w:t xml:space="preserve"> con radicado</w:t>
            </w:r>
            <w:r>
              <w:rPr>
                <w:rFonts w:ascii="Verdana" w:eastAsia="Calibri" w:hAnsi="Verdana" w:cs="Arial"/>
                <w:lang w:eastAsia="es-ES_tradnl"/>
              </w:rPr>
              <w:t>s</w:t>
            </w:r>
            <w:r w:rsidRPr="00801462">
              <w:rPr>
                <w:rFonts w:ascii="Verdana" w:eastAsia="Calibri" w:hAnsi="Verdana" w:cs="Arial"/>
                <w:lang w:eastAsia="es-ES_tradnl"/>
              </w:rPr>
              <w:t xml:space="preserve"> </w:t>
            </w:r>
            <w:r>
              <w:rPr>
                <w:rFonts w:ascii="Verdana" w:eastAsia="Calibri" w:hAnsi="Verdana" w:cs="Arial"/>
                <w:lang w:eastAsia="es-ES_tradnl"/>
              </w:rPr>
              <w:t xml:space="preserve">Nos. </w:t>
            </w:r>
            <w:r w:rsidRPr="001F7281">
              <w:rPr>
                <w:rFonts w:ascii="Verdana" w:eastAsia="Calibri" w:hAnsi="Verdana" w:cs="Arial"/>
                <w:lang w:eastAsia="es-ES_tradnl"/>
              </w:rPr>
              <w:t xml:space="preserve">1_2025_08_22_008919 </w:t>
            </w:r>
            <w:r>
              <w:rPr>
                <w:rFonts w:ascii="Verdana" w:eastAsia="Calibri" w:hAnsi="Verdana" w:cs="Arial"/>
                <w:lang w:eastAsia="es-ES_tradnl"/>
              </w:rPr>
              <w:t>y</w:t>
            </w:r>
            <w:r w:rsidRPr="001F7281">
              <w:rPr>
                <w:rFonts w:ascii="Verdana" w:eastAsia="Calibri" w:hAnsi="Verdana" w:cs="Arial"/>
                <w:lang w:eastAsia="es-ES_tradnl"/>
              </w:rPr>
              <w:t xml:space="preserve"> 1_2025_08_25_008968</w:t>
            </w:r>
          </w:p>
        </w:tc>
      </w:tr>
    </w:tbl>
    <w:p w14:paraId="63232A32" w14:textId="77777777" w:rsidR="009E1F9E" w:rsidRDefault="009E1F9E" w:rsidP="009E1F9E">
      <w:pPr>
        <w:spacing w:after="0" w:line="276" w:lineRule="auto"/>
        <w:jc w:val="both"/>
        <w:rPr>
          <w:rFonts w:ascii="Verdana" w:eastAsia="Calibri" w:hAnsi="Verdana" w:cs="Arial"/>
          <w:lang w:eastAsia="es-ES_tradnl"/>
        </w:rPr>
      </w:pPr>
    </w:p>
    <w:p w14:paraId="5716A4DE" w14:textId="77777777" w:rsidR="009E1F9E" w:rsidRPr="008E4F36" w:rsidRDefault="009E1F9E" w:rsidP="009E1F9E">
      <w:pPr>
        <w:spacing w:after="0" w:line="276" w:lineRule="auto"/>
        <w:jc w:val="both"/>
        <w:rPr>
          <w:rFonts w:ascii="Verdana" w:eastAsia="Calibri" w:hAnsi="Verdana" w:cs="Arial"/>
          <w:lang w:eastAsia="es-ES"/>
        </w:rPr>
      </w:pPr>
      <w:r w:rsidRPr="008E4F36">
        <w:rPr>
          <w:rFonts w:ascii="Verdana" w:eastAsia="Calibri" w:hAnsi="Verdana" w:cs="Arial"/>
          <w:lang w:eastAsia="es-ES"/>
        </w:rPr>
        <w:t>Estimad</w:t>
      </w:r>
      <w:r>
        <w:rPr>
          <w:rFonts w:ascii="Verdana" w:eastAsia="Calibri" w:hAnsi="Verdana" w:cs="Arial"/>
          <w:lang w:eastAsia="es-ES"/>
        </w:rPr>
        <w:t xml:space="preserve">a </w:t>
      </w:r>
      <w:r w:rsidRPr="008E4F36">
        <w:rPr>
          <w:rFonts w:ascii="Verdana" w:eastAsia="Calibri" w:hAnsi="Verdana" w:cs="Arial"/>
          <w:lang w:eastAsia="es-ES"/>
        </w:rPr>
        <w:t>señor</w:t>
      </w:r>
      <w:r>
        <w:rPr>
          <w:rFonts w:ascii="Verdana" w:eastAsia="Calibri" w:hAnsi="Verdana" w:cs="Arial"/>
          <w:lang w:eastAsia="es-ES"/>
        </w:rPr>
        <w:t>a Rodríguez Caballero</w:t>
      </w:r>
      <w:r w:rsidRPr="008E4F36">
        <w:rPr>
          <w:rFonts w:ascii="Verdana" w:eastAsia="Calibri" w:hAnsi="Verdana" w:cs="Arial"/>
          <w:lang w:eastAsia="es-ES"/>
        </w:rPr>
        <w:t xml:space="preserve">: </w:t>
      </w:r>
    </w:p>
    <w:p w14:paraId="1ABFB749" w14:textId="77777777" w:rsidR="009E1F9E" w:rsidRDefault="009E1F9E" w:rsidP="009E1F9E">
      <w:pPr>
        <w:tabs>
          <w:tab w:val="left" w:pos="3768"/>
        </w:tabs>
        <w:spacing w:after="0" w:line="240" w:lineRule="auto"/>
        <w:jc w:val="both"/>
        <w:rPr>
          <w:rFonts w:ascii="Verdana" w:eastAsia="Calibri" w:hAnsi="Verdana" w:cs="Arial"/>
          <w:lang w:eastAsia="es-ES"/>
        </w:rPr>
      </w:pPr>
    </w:p>
    <w:p w14:paraId="47E72ECE" w14:textId="77777777" w:rsidR="009E1F9E" w:rsidRPr="008E4F36" w:rsidRDefault="009E1F9E" w:rsidP="009E1F9E">
      <w:pPr>
        <w:tabs>
          <w:tab w:val="left" w:pos="3768"/>
        </w:tabs>
        <w:spacing w:after="0" w:line="276" w:lineRule="auto"/>
        <w:jc w:val="both"/>
        <w:rPr>
          <w:rFonts w:ascii="Verdana" w:eastAsia="Calibri" w:hAnsi="Verdana" w:cs="Arial"/>
          <w:lang w:eastAsia="es-ES"/>
        </w:rPr>
      </w:pPr>
      <w:r w:rsidRPr="008E4F36">
        <w:rPr>
          <w:rFonts w:ascii="Verdana" w:eastAsia="Calibri" w:hAnsi="Verdana" w:cs="Arial"/>
          <w:color w:val="000000" w:themeColor="text1"/>
          <w:lang w:eastAsia="es-ES"/>
        </w:rPr>
        <w:t>En ejercicio de la competencia otorgada por los artículos 3, numeral 5º, y 11, numeral 8º, del Decreto Ley 4170 de 2011,</w:t>
      </w:r>
      <w:r w:rsidRPr="008E4F36">
        <w:rPr>
          <w:rFonts w:ascii="Verdana" w:eastAsia="Arial MT" w:hAnsi="Verdana" w:cs="Arial MT"/>
          <w:lang w:eastAsia="es-ES"/>
        </w:rPr>
        <w:t xml:space="preserve"> </w:t>
      </w:r>
      <w:r w:rsidRPr="008E4F36">
        <w:rPr>
          <w:rFonts w:ascii="Verdana" w:hAnsi="Verdana" w:cs="Arial"/>
        </w:rPr>
        <w:t xml:space="preserve">así como lo establecido en </w:t>
      </w:r>
      <w:r>
        <w:rPr>
          <w:rFonts w:ascii="Verdana" w:hAnsi="Verdana" w:cs="Arial"/>
        </w:rPr>
        <w:t xml:space="preserve">la </w:t>
      </w:r>
      <w:r w:rsidRPr="00713B63">
        <w:rPr>
          <w:rFonts w:ascii="Verdana" w:hAnsi="Verdana" w:cs="Arial"/>
        </w:rPr>
        <w:t>Resolución 469 de 2025 expedida por esta Entidad</w:t>
      </w:r>
      <w:r w:rsidRPr="008E4F36">
        <w:rPr>
          <w:rFonts w:ascii="Verdana" w:hAnsi="Verdana" w:cs="Arial"/>
        </w:rPr>
        <w:t xml:space="preserve">, </w:t>
      </w:r>
      <w:r w:rsidRPr="008E4F36">
        <w:rPr>
          <w:rFonts w:ascii="Verdana" w:eastAsia="Calibri" w:hAnsi="Verdana" w:cs="Arial"/>
          <w:color w:val="000000" w:themeColor="text1"/>
          <w:lang w:eastAsia="es-ES"/>
        </w:rPr>
        <w:t xml:space="preserve">la Agencia Nacional de Contratación </w:t>
      </w:r>
      <w:r w:rsidRPr="008E4F36">
        <w:rPr>
          <w:rFonts w:ascii="Verdana" w:eastAsia="Calibri" w:hAnsi="Verdana" w:cs="Arial"/>
          <w:lang w:eastAsia="es-ES"/>
        </w:rPr>
        <w:t xml:space="preserve">Pública – Colombia Compra Eficiente– responde su solicitud de consulta de fecha </w:t>
      </w:r>
      <w:r>
        <w:rPr>
          <w:rFonts w:ascii="Verdana" w:eastAsia="Calibri" w:hAnsi="Verdana" w:cs="Arial"/>
          <w:lang w:eastAsia="es-ES"/>
        </w:rPr>
        <w:t xml:space="preserve">22 </w:t>
      </w:r>
      <w:r w:rsidRPr="008E4F36">
        <w:rPr>
          <w:rFonts w:ascii="Verdana" w:eastAsia="Calibri" w:hAnsi="Verdana" w:cs="Arial"/>
          <w:lang w:eastAsia="es-ES"/>
        </w:rPr>
        <w:t xml:space="preserve">de </w:t>
      </w:r>
      <w:r>
        <w:rPr>
          <w:rFonts w:ascii="Verdana" w:eastAsia="Calibri" w:hAnsi="Verdana" w:cs="Arial"/>
          <w:lang w:eastAsia="es-ES"/>
        </w:rPr>
        <w:t>agosto</w:t>
      </w:r>
      <w:r w:rsidRPr="008E4F36">
        <w:rPr>
          <w:rFonts w:ascii="Verdana" w:eastAsia="Calibri" w:hAnsi="Verdana" w:cs="Arial"/>
          <w:lang w:eastAsia="es-ES"/>
        </w:rPr>
        <w:t xml:space="preserve"> de 2025, en la cual manifiesta lo siguiente: </w:t>
      </w:r>
    </w:p>
    <w:p w14:paraId="0AFB7306" w14:textId="77777777" w:rsidR="009E1F9E" w:rsidRPr="008E4F36" w:rsidRDefault="009E1F9E" w:rsidP="009E1F9E">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6B786D04" w14:textId="77777777" w:rsidR="009E1F9E" w:rsidRDefault="009E1F9E" w:rsidP="009E1F9E">
      <w:pPr>
        <w:spacing w:after="0" w:line="240" w:lineRule="auto"/>
        <w:ind w:left="709" w:right="709"/>
        <w:jc w:val="both"/>
        <w:rPr>
          <w:rFonts w:ascii="Verdana" w:eastAsia="Century Gothic" w:hAnsi="Verdana" w:cs="Century Gothic"/>
          <w:sz w:val="20"/>
          <w:szCs w:val="20"/>
        </w:rPr>
      </w:pPr>
      <w:bookmarkStart w:id="6" w:name="_Hlk192699624"/>
      <w:bookmarkStart w:id="7" w:name="_Hlk199394899"/>
      <w:r w:rsidRPr="003B78AE">
        <w:rPr>
          <w:rFonts w:ascii="Verdana" w:eastAsia="Century Gothic" w:hAnsi="Verdana" w:cs="Century Gothic"/>
          <w:sz w:val="20"/>
          <w:szCs w:val="20"/>
        </w:rPr>
        <w:t>“</w:t>
      </w:r>
      <w:bookmarkEnd w:id="6"/>
      <w:bookmarkEnd w:id="7"/>
      <w:r w:rsidRPr="00983E43">
        <w:rPr>
          <w:rFonts w:ascii="Verdana" w:eastAsia="Century Gothic" w:hAnsi="Verdana" w:cs="Century Gothic"/>
          <w:sz w:val="20"/>
          <w:szCs w:val="20"/>
        </w:rPr>
        <w:t xml:space="preserve">3. Conclusiones. </w:t>
      </w:r>
    </w:p>
    <w:p w14:paraId="05FB295E" w14:textId="77777777" w:rsidR="009E1F9E" w:rsidRDefault="009E1F9E" w:rsidP="009E1F9E">
      <w:pPr>
        <w:spacing w:after="0" w:line="240" w:lineRule="auto"/>
        <w:ind w:left="709" w:right="709"/>
        <w:jc w:val="both"/>
        <w:rPr>
          <w:rFonts w:ascii="Verdana" w:eastAsia="Century Gothic" w:hAnsi="Verdana" w:cs="Century Gothic"/>
          <w:sz w:val="20"/>
          <w:szCs w:val="20"/>
        </w:rPr>
      </w:pPr>
    </w:p>
    <w:p w14:paraId="0F6EB8D1" w14:textId="77777777" w:rsidR="009E1F9E" w:rsidRDefault="009E1F9E" w:rsidP="009E1F9E">
      <w:pPr>
        <w:spacing w:after="0" w:line="240" w:lineRule="auto"/>
        <w:ind w:left="709" w:right="709"/>
        <w:jc w:val="both"/>
        <w:rPr>
          <w:rFonts w:ascii="Verdana" w:eastAsia="Century Gothic" w:hAnsi="Verdana" w:cs="Century Gothic"/>
          <w:sz w:val="20"/>
          <w:szCs w:val="20"/>
        </w:rPr>
      </w:pPr>
      <w:r w:rsidRPr="00983E43">
        <w:rPr>
          <w:rFonts w:ascii="Verdana" w:eastAsia="Century Gothic" w:hAnsi="Verdana" w:cs="Century Gothic"/>
          <w:sz w:val="20"/>
          <w:szCs w:val="20"/>
        </w:rPr>
        <w:t xml:space="preserve">Por las razones expuestas se concluye que, los criterios de diferenciación utilizados para excluir a las entidades sin ánimo de lucro de la condición de MiPymes para efecto de la contratación pública son criterios que no cumplen con los requisitos constitucionales y son abierta e injustificadamente discriminatorios, que están llevando de hecho a la exclusión total del acceso a contratación pública) </w:t>
      </w:r>
    </w:p>
    <w:p w14:paraId="25B4F036" w14:textId="77777777" w:rsidR="009E1F9E" w:rsidRDefault="009E1F9E" w:rsidP="009E1F9E">
      <w:pPr>
        <w:spacing w:after="0" w:line="240" w:lineRule="auto"/>
        <w:ind w:left="709" w:right="709"/>
        <w:jc w:val="both"/>
        <w:rPr>
          <w:rFonts w:ascii="Verdana" w:eastAsia="Century Gothic" w:hAnsi="Verdana" w:cs="Century Gothic"/>
          <w:sz w:val="20"/>
          <w:szCs w:val="20"/>
        </w:rPr>
      </w:pPr>
    </w:p>
    <w:p w14:paraId="297009A1" w14:textId="77777777" w:rsidR="009E1F9E" w:rsidRDefault="009E1F9E" w:rsidP="009E1F9E">
      <w:pPr>
        <w:spacing w:after="0" w:line="240" w:lineRule="auto"/>
        <w:ind w:left="709" w:right="709"/>
        <w:jc w:val="both"/>
        <w:rPr>
          <w:rFonts w:ascii="Verdana" w:eastAsia="Century Gothic" w:hAnsi="Verdana" w:cs="Century Gothic"/>
          <w:sz w:val="20"/>
          <w:szCs w:val="20"/>
        </w:rPr>
      </w:pPr>
      <w:r w:rsidRPr="00983E43">
        <w:rPr>
          <w:rFonts w:ascii="Verdana" w:eastAsia="Century Gothic" w:hAnsi="Verdana" w:cs="Century Gothic"/>
          <w:sz w:val="20"/>
          <w:szCs w:val="20"/>
        </w:rPr>
        <w:lastRenderedPageBreak/>
        <w:t>4. Petición. De manera respetuosa, solicito</w:t>
      </w:r>
    </w:p>
    <w:p w14:paraId="4A2E404D" w14:textId="77777777" w:rsidR="009E1F9E" w:rsidRDefault="009E1F9E" w:rsidP="009E1F9E">
      <w:pPr>
        <w:spacing w:after="0" w:line="240" w:lineRule="auto"/>
        <w:ind w:left="709" w:right="709"/>
        <w:jc w:val="both"/>
        <w:rPr>
          <w:rFonts w:ascii="Verdana" w:eastAsia="Century Gothic" w:hAnsi="Verdana" w:cs="Century Gothic"/>
          <w:sz w:val="20"/>
          <w:szCs w:val="20"/>
        </w:rPr>
      </w:pPr>
    </w:p>
    <w:p w14:paraId="6B65A981" w14:textId="77777777" w:rsidR="009E1F9E" w:rsidRDefault="009E1F9E" w:rsidP="009E1F9E">
      <w:pPr>
        <w:spacing w:after="0" w:line="240" w:lineRule="auto"/>
        <w:ind w:left="709" w:right="709"/>
        <w:jc w:val="both"/>
        <w:rPr>
          <w:rFonts w:ascii="Verdana" w:hAnsi="Verdana"/>
          <w:sz w:val="20"/>
          <w:szCs w:val="20"/>
        </w:rPr>
      </w:pPr>
      <w:r w:rsidRPr="003B78AE">
        <w:rPr>
          <w:rFonts w:ascii="Verdana" w:hAnsi="Verdana"/>
          <w:sz w:val="20"/>
          <w:szCs w:val="20"/>
        </w:rPr>
        <w:t>4.1. Que se haga una corrección, modificación y/o cualquier declaración que rectifique la posición contendida en los conceptos 480 del 25 de mayo de 2025 y 855 del 1 de agosto de 2025 de la AGENCIA NACIONAL DE CONTRATACION PUBLICA COLOMBIA COMPRA EFICIENTE y en su lugar.</w:t>
      </w:r>
    </w:p>
    <w:p w14:paraId="3624AA68" w14:textId="77777777" w:rsidR="009E1F9E" w:rsidRPr="003B78AE" w:rsidRDefault="009E1F9E" w:rsidP="009E1F9E">
      <w:pPr>
        <w:spacing w:after="0" w:line="240" w:lineRule="auto"/>
        <w:ind w:left="709" w:right="709"/>
        <w:jc w:val="both"/>
        <w:rPr>
          <w:rFonts w:ascii="Verdana" w:hAnsi="Verdana"/>
          <w:sz w:val="20"/>
          <w:szCs w:val="20"/>
        </w:rPr>
      </w:pPr>
    </w:p>
    <w:p w14:paraId="37AA2B07" w14:textId="77777777" w:rsidR="009E1F9E" w:rsidRPr="003B78AE" w:rsidRDefault="009E1F9E" w:rsidP="009E1F9E">
      <w:pPr>
        <w:spacing w:after="0" w:line="240" w:lineRule="auto"/>
        <w:ind w:left="709" w:right="709"/>
        <w:jc w:val="both"/>
        <w:rPr>
          <w:rFonts w:ascii="Verdana" w:hAnsi="Verdana"/>
          <w:sz w:val="20"/>
          <w:szCs w:val="20"/>
        </w:rPr>
      </w:pPr>
      <w:r w:rsidRPr="003B78AE">
        <w:rPr>
          <w:rFonts w:ascii="Verdana" w:hAnsi="Verdana"/>
          <w:sz w:val="20"/>
          <w:szCs w:val="20"/>
        </w:rPr>
        <w:t xml:space="preserve">4.2. Se declare que, las entidades sin ánimo de lucro siempre y cuando cumplan con las categorías económicas de las MiPymes definidas en la ley, tienen exactamente los mismos derechos de estas frente a los procesos de contratación pública en donde las MiPymes tienen un puntaje favorable, por el solo hecho de ser </w:t>
      </w:r>
      <w:proofErr w:type="spellStart"/>
      <w:r w:rsidRPr="003B78AE">
        <w:rPr>
          <w:rFonts w:ascii="Verdana" w:hAnsi="Verdana"/>
          <w:sz w:val="20"/>
          <w:szCs w:val="20"/>
        </w:rPr>
        <w:t>Mipymes</w:t>
      </w:r>
      <w:proofErr w:type="spellEnd"/>
      <w:r w:rsidRPr="003B78AE">
        <w:rPr>
          <w:rFonts w:ascii="Verdana" w:hAnsi="Verdana"/>
          <w:sz w:val="20"/>
          <w:szCs w:val="20"/>
        </w:rPr>
        <w:t xml:space="preserve"> conforme lo establecen el decreto 1082 de 2015 y los artículos 30 a 36 de la ley 2069 de 2020, decreto 1060 de 2021 y demás normas, es decir por el solo hecho de clasificar en estas categorías económicas claramente definidas por la ley</w:t>
      </w:r>
      <w:r w:rsidRPr="003B78AE">
        <w:rPr>
          <w:rFonts w:ascii="Verdana" w:eastAsia="Century Gothic" w:hAnsi="Verdana" w:cs="Century Gothic"/>
          <w:sz w:val="20"/>
          <w:szCs w:val="20"/>
        </w:rPr>
        <w:t>”.</w:t>
      </w:r>
    </w:p>
    <w:p w14:paraId="16417DD1" w14:textId="77777777" w:rsidR="009E1F9E" w:rsidRPr="008E4F36" w:rsidRDefault="009E1F9E" w:rsidP="009E1F9E">
      <w:pPr>
        <w:spacing w:after="0" w:line="240" w:lineRule="auto"/>
        <w:ind w:left="709" w:right="709"/>
        <w:jc w:val="both"/>
        <w:rPr>
          <w:rFonts w:ascii="Verdana" w:hAnsi="Verdana"/>
          <w:sz w:val="20"/>
          <w:szCs w:val="20"/>
        </w:rPr>
      </w:pPr>
    </w:p>
    <w:p w14:paraId="69847F55" w14:textId="77777777" w:rsidR="009E1F9E" w:rsidRDefault="009E1F9E" w:rsidP="009E1F9E">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B15D9DD" w14:textId="77777777" w:rsidR="009E1F9E" w:rsidRPr="00054383" w:rsidRDefault="009E1F9E" w:rsidP="009E1F9E">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053C209" w14:textId="77777777" w:rsidR="009E1F9E" w:rsidRPr="008E4F36" w:rsidRDefault="009E1F9E" w:rsidP="009E1F9E">
      <w:pPr>
        <w:spacing w:after="0"/>
        <w:ind w:firstLine="709"/>
        <w:jc w:val="both"/>
        <w:rPr>
          <w:rFonts w:ascii="Verdana" w:eastAsia="Calibri" w:hAnsi="Verdana" w:cs="Arial"/>
          <w:color w:val="000000"/>
          <w:lang w:eastAsia="es-ES"/>
        </w:rPr>
      </w:pPr>
    </w:p>
    <w:p w14:paraId="1847A971" w14:textId="77777777" w:rsidR="009E1F9E" w:rsidRDefault="009E1F9E" w:rsidP="009E1F9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03C032F" w14:textId="77777777" w:rsidR="009E1F9E" w:rsidRDefault="009E1F9E" w:rsidP="009E1F9E">
      <w:pPr>
        <w:spacing w:after="0" w:line="276" w:lineRule="auto"/>
        <w:jc w:val="both"/>
        <w:rPr>
          <w:rFonts w:ascii="Verdana" w:eastAsia="Calibri" w:hAnsi="Verdana" w:cs="Arial"/>
          <w:color w:val="000000"/>
          <w:highlight w:val="yellow"/>
          <w:lang w:eastAsia="es-ES"/>
        </w:rPr>
      </w:pPr>
    </w:p>
    <w:p w14:paraId="6952DF37" w14:textId="77777777" w:rsidR="009E1F9E" w:rsidRPr="00EA5150" w:rsidRDefault="009E1F9E" w:rsidP="009E1F9E">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De acuerdo con el contenido de su solicitud, esta Agencia resolverá el siguiente problema jurídico</w:t>
      </w:r>
      <w:r w:rsidRPr="00E61997">
        <w:rPr>
          <w:rFonts w:ascii="Verdana" w:eastAsia="Calibri" w:hAnsi="Verdana" w:cs="Arial"/>
          <w:color w:val="000000"/>
          <w:lang w:eastAsia="es-ES"/>
        </w:rPr>
        <w:t xml:space="preserve">: </w:t>
      </w:r>
      <w:r w:rsidRPr="00E61997">
        <w:rPr>
          <w:rFonts w:ascii="Verdana" w:eastAsia="Century Gothic" w:hAnsi="Verdana" w:cs="Century Gothic"/>
        </w:rPr>
        <w:t>¿Las entidades sin ánimo de lucro puede</w:t>
      </w:r>
      <w:r>
        <w:rPr>
          <w:rFonts w:ascii="Verdana" w:eastAsia="Century Gothic" w:hAnsi="Verdana" w:cs="Century Gothic"/>
        </w:rPr>
        <w:t>n</w:t>
      </w:r>
      <w:r w:rsidRPr="00E61997">
        <w:rPr>
          <w:rFonts w:ascii="Verdana" w:eastAsia="Century Gothic" w:hAnsi="Verdana" w:cs="Century Gothic"/>
        </w:rPr>
        <w:t xml:space="preserve"> participar en </w:t>
      </w:r>
      <w:r>
        <w:rPr>
          <w:rFonts w:ascii="Verdana" w:eastAsia="Century Gothic" w:hAnsi="Verdana" w:cs="Century Gothic"/>
        </w:rPr>
        <w:t xml:space="preserve">un </w:t>
      </w:r>
      <w:r w:rsidRPr="00E61997">
        <w:rPr>
          <w:rFonts w:ascii="Verdana" w:eastAsia="Century Gothic" w:hAnsi="Verdana" w:cs="Century Gothic"/>
        </w:rPr>
        <w:t xml:space="preserve">proceso </w:t>
      </w:r>
      <w:r>
        <w:rPr>
          <w:rFonts w:ascii="Verdana" w:eastAsia="Century Gothic" w:hAnsi="Verdana" w:cs="Century Gothic"/>
        </w:rPr>
        <w:t xml:space="preserve">de contratación </w:t>
      </w:r>
      <w:r w:rsidRPr="00E61997">
        <w:rPr>
          <w:rFonts w:ascii="Verdana" w:eastAsia="Century Gothic" w:hAnsi="Verdana" w:cs="Century Gothic"/>
        </w:rPr>
        <w:t xml:space="preserve">limitado </w:t>
      </w:r>
      <w:r w:rsidRPr="00EA5150">
        <w:rPr>
          <w:rFonts w:ascii="Verdana" w:eastAsia="Century Gothic" w:hAnsi="Verdana" w:cs="Century Gothic"/>
        </w:rPr>
        <w:t xml:space="preserve">a </w:t>
      </w:r>
      <w:proofErr w:type="spellStart"/>
      <w:r w:rsidRPr="00EA5150">
        <w:rPr>
          <w:rFonts w:ascii="Verdana" w:eastAsia="Century Gothic" w:hAnsi="Verdana" w:cs="Century Gothic"/>
        </w:rPr>
        <w:t>Mipymes</w:t>
      </w:r>
      <w:proofErr w:type="spellEnd"/>
      <w:r w:rsidRPr="00EA5150">
        <w:rPr>
          <w:rFonts w:ascii="Verdana" w:eastAsia="Century Gothic" w:hAnsi="Verdana" w:cs="Century Gothic"/>
        </w:rPr>
        <w:t>?</w:t>
      </w:r>
      <w:r w:rsidRPr="00810A46">
        <w:rPr>
          <w:rFonts w:ascii="Verdana" w:eastAsia="Century Gothic" w:hAnsi="Verdana" w:cs="Century Gothic"/>
        </w:rPr>
        <w:t xml:space="preserve"> </w:t>
      </w:r>
    </w:p>
    <w:p w14:paraId="2B4A2337" w14:textId="77777777" w:rsidR="009E1F9E" w:rsidRPr="00EA5150" w:rsidRDefault="009E1F9E" w:rsidP="009E1F9E">
      <w:pPr>
        <w:spacing w:after="0" w:line="276" w:lineRule="auto"/>
        <w:jc w:val="both"/>
        <w:rPr>
          <w:rFonts w:ascii="Verdana" w:eastAsia="Calibri" w:hAnsi="Verdana" w:cs="Times New Roman"/>
          <w:i/>
          <w:iCs/>
        </w:rPr>
      </w:pPr>
    </w:p>
    <w:p w14:paraId="5635AD7A" w14:textId="77777777" w:rsidR="009E1F9E" w:rsidRPr="008E4F36" w:rsidRDefault="009E1F9E" w:rsidP="009E1F9E">
      <w:pPr>
        <w:spacing w:after="0" w:line="276" w:lineRule="auto"/>
        <w:jc w:val="both"/>
        <w:rPr>
          <w:rFonts w:ascii="Verdana" w:eastAsia="Century Gothic" w:hAnsi="Verdana" w:cs="Century Gothic"/>
          <w:b/>
          <w:bCs/>
        </w:rPr>
      </w:pPr>
      <w:r w:rsidRPr="008E4F36">
        <w:rPr>
          <w:rFonts w:ascii="Verdana" w:eastAsia="Century Gothic" w:hAnsi="Verdana" w:cs="Century Gothic"/>
          <w:b/>
          <w:bCs/>
        </w:rPr>
        <w:lastRenderedPageBreak/>
        <w:t>2. Respuesta:</w:t>
      </w:r>
    </w:p>
    <w:p w14:paraId="644CF982" w14:textId="77777777" w:rsidR="009E1F9E" w:rsidRPr="008E4F36" w:rsidRDefault="009E1F9E" w:rsidP="009E1F9E">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E1F9E" w:rsidRPr="008E4F36" w14:paraId="0E8A69D5" w14:textId="77777777" w:rsidTr="00F71E30">
        <w:tc>
          <w:tcPr>
            <w:tcW w:w="8828" w:type="dxa"/>
          </w:tcPr>
          <w:p w14:paraId="780CE869" w14:textId="77777777" w:rsidR="009E1F9E" w:rsidRDefault="009E1F9E" w:rsidP="00F71E30">
            <w:pPr>
              <w:spacing w:after="120" w:line="276" w:lineRule="auto"/>
              <w:jc w:val="both"/>
              <w:rPr>
                <w:rFonts w:ascii="Verdana" w:hAnsi="Verdana" w:cs="Arial"/>
                <w:lang w:val="es-ES"/>
              </w:rPr>
            </w:pPr>
            <w:r>
              <w:rPr>
                <w:rFonts w:ascii="Verdana" w:hAnsi="Verdana"/>
              </w:rPr>
              <w:t>D</w:t>
            </w:r>
            <w:r w:rsidRPr="00995CAD">
              <w:rPr>
                <w:rFonts w:ascii="Verdana" w:hAnsi="Verdana"/>
              </w:rPr>
              <w:t>e acuerdo con el artículo 43 de la Ley 1450 de 2011</w:t>
            </w:r>
            <w:r>
              <w:rPr>
                <w:rFonts w:ascii="Verdana" w:hAnsi="Verdana"/>
              </w:rPr>
              <w:t xml:space="preserve"> </w:t>
            </w:r>
            <w:r w:rsidRPr="00995CAD">
              <w:rPr>
                <w:rFonts w:ascii="Verdana" w:hAnsi="Verdana"/>
              </w:rPr>
              <w:t xml:space="preserve">solo podrán ser consideradas </w:t>
            </w:r>
            <w:proofErr w:type="spellStart"/>
            <w:r w:rsidRPr="00995CAD">
              <w:rPr>
                <w:rFonts w:ascii="Verdana" w:hAnsi="Verdana"/>
              </w:rPr>
              <w:t>Mipymes</w:t>
            </w:r>
            <w:proofErr w:type="spellEnd"/>
            <w:r w:rsidRPr="00995CAD">
              <w:rPr>
                <w:rFonts w:ascii="Verdana" w:hAnsi="Verdana"/>
              </w:rPr>
              <w:t xml:space="preserve"> aquellas unidades de explotación económica</w:t>
            </w:r>
            <w:r>
              <w:rPr>
                <w:rFonts w:ascii="Verdana" w:hAnsi="Verdana"/>
              </w:rPr>
              <w:t xml:space="preserve"> que</w:t>
            </w:r>
            <w:r w:rsidRPr="00995CAD">
              <w:rPr>
                <w:rFonts w:ascii="Verdana" w:hAnsi="Verdana"/>
              </w:rPr>
              <w:t xml:space="preserve"> busquen el reparto de utilidades entre sus miembros</w:t>
            </w:r>
            <w:r>
              <w:rPr>
                <w:rFonts w:ascii="Verdana" w:hAnsi="Verdana"/>
              </w:rPr>
              <w:t xml:space="preserve">. Dado que las </w:t>
            </w:r>
            <w:r w:rsidRPr="0040650F">
              <w:rPr>
                <w:rFonts w:ascii="Verdana" w:hAnsi="Verdana" w:cs="Arial"/>
                <w:lang w:val="es-ES"/>
              </w:rPr>
              <w:t>ESAL no persiguen</w:t>
            </w:r>
            <w:r>
              <w:rPr>
                <w:rFonts w:ascii="Verdana" w:hAnsi="Verdana" w:cs="Arial"/>
                <w:lang w:val="es-ES"/>
              </w:rPr>
              <w:t xml:space="preserve"> este fin</w:t>
            </w:r>
            <w:r w:rsidRPr="0040650F">
              <w:rPr>
                <w:rFonts w:ascii="Verdana" w:hAnsi="Verdana" w:cs="Arial"/>
                <w:lang w:val="es-ES"/>
              </w:rPr>
              <w:t xml:space="preserve">, en el entendido en que no tienen ánimo de lucro, y que su objeto está destinado a realizar actividades de interés general sin esperar a cambio un reparto de ganancia en proporción a sus utilidades, lo cierto es que no pueden </w:t>
            </w:r>
            <w:r w:rsidRPr="00967EED">
              <w:rPr>
                <w:rFonts w:ascii="Verdana" w:hAnsi="Verdana" w:cs="Arial"/>
              </w:rPr>
              <w:t>participar en los procesos de contratación limitado</w:t>
            </w:r>
            <w:r>
              <w:rPr>
                <w:rFonts w:ascii="Verdana" w:hAnsi="Verdana" w:cs="Arial"/>
              </w:rPr>
              <w:t>s</w:t>
            </w:r>
            <w:r w:rsidRPr="00967EED">
              <w:rPr>
                <w:rFonts w:ascii="Verdana" w:hAnsi="Verdana" w:cs="Arial"/>
              </w:rPr>
              <w:t xml:space="preserve"> a </w:t>
            </w:r>
            <w:r>
              <w:rPr>
                <w:rFonts w:ascii="Verdana" w:hAnsi="Verdana" w:cs="Arial"/>
              </w:rPr>
              <w:t>M</w:t>
            </w:r>
            <w:r w:rsidRPr="00967EED">
              <w:rPr>
                <w:rFonts w:ascii="Verdana" w:hAnsi="Verdana" w:cs="Arial"/>
              </w:rPr>
              <w:t>iPymes</w:t>
            </w:r>
            <w:r>
              <w:rPr>
                <w:rFonts w:ascii="Verdana" w:hAnsi="Verdana" w:cs="Arial"/>
              </w:rPr>
              <w:t>, de que trata el artículo 34 de la Ley 2069 de 2020</w:t>
            </w:r>
            <w:r>
              <w:rPr>
                <w:rFonts w:ascii="Verdana" w:hAnsi="Verdana" w:cs="Arial"/>
                <w:lang w:val="es-ES"/>
              </w:rPr>
              <w:t>.</w:t>
            </w:r>
            <w:r w:rsidRPr="0097051B">
              <w:rPr>
                <w:rFonts w:ascii="Verdana" w:hAnsi="Verdana" w:cs="Arial"/>
                <w:lang w:val="es-ES"/>
              </w:rPr>
              <w:t xml:space="preserve"> </w:t>
            </w:r>
          </w:p>
          <w:p w14:paraId="223CEB79" w14:textId="77777777" w:rsidR="009E1F9E" w:rsidRDefault="009E1F9E" w:rsidP="00F71E30">
            <w:pPr>
              <w:spacing w:after="120" w:line="276" w:lineRule="auto"/>
              <w:ind w:firstLine="743"/>
              <w:jc w:val="both"/>
              <w:rPr>
                <w:rFonts w:ascii="Verdana" w:eastAsia="Calibri" w:hAnsi="Verdana" w:cs="Arial"/>
                <w:lang w:eastAsia="es-ES_tradnl"/>
              </w:rPr>
            </w:pPr>
            <w:r>
              <w:rPr>
                <w:rFonts w:ascii="Verdana" w:hAnsi="Verdana" w:cs="Arial"/>
                <w:lang w:val="es-ES"/>
              </w:rPr>
              <w:t xml:space="preserve">En concordancia con lo anterior, debe precisarse que </w:t>
            </w:r>
            <w:r>
              <w:rPr>
                <w:rFonts w:ascii="Verdana" w:eastAsia="Calibri" w:hAnsi="Verdana" w:cs="Arial"/>
                <w:lang w:val="es-ES_tradnl" w:eastAsia="es-ES_tradnl"/>
              </w:rPr>
              <w:t xml:space="preserve">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Esta distinción es fundamental porque diferencia a las ESAL de las empresas y las sociedades comerciales en términos de propósito y estructura.</w:t>
            </w:r>
          </w:p>
          <w:p w14:paraId="16224705" w14:textId="77777777" w:rsidR="009E1F9E" w:rsidRPr="00F46192" w:rsidRDefault="009E1F9E" w:rsidP="00F71E30">
            <w:pPr>
              <w:spacing w:after="120" w:line="276" w:lineRule="auto"/>
              <w:ind w:firstLine="708"/>
              <w:jc w:val="both"/>
              <w:rPr>
                <w:rFonts w:ascii="Verdana" w:hAnsi="Verdana" w:cs="Arial"/>
                <w:color w:val="000000" w:themeColor="text1"/>
                <w:lang w:val="es-ES"/>
              </w:rPr>
            </w:pPr>
            <w:r>
              <w:rPr>
                <w:rFonts w:ascii="Verdana" w:hAnsi="Verdana" w:cs="Arial"/>
                <w:lang w:val="es-ES"/>
              </w:rPr>
              <w:t xml:space="preserve">Asimismo, </w:t>
            </w:r>
            <w:r>
              <w:rPr>
                <w:rFonts w:ascii="Verdana" w:hAnsi="Verdana" w:cs="Arial"/>
              </w:rPr>
              <w:t>vale anotar que, s</w:t>
            </w:r>
            <w:r w:rsidRPr="004B20C3">
              <w:rPr>
                <w:rFonts w:ascii="Verdana" w:hAnsi="Verdana" w:cs="Arial"/>
              </w:rPr>
              <w:t xml:space="preserve">i bien las </w:t>
            </w:r>
            <w:r>
              <w:rPr>
                <w:rFonts w:ascii="Verdana" w:hAnsi="Verdana" w:cs="Arial"/>
              </w:rPr>
              <w:t>ESAL pueden</w:t>
            </w:r>
            <w:r w:rsidRPr="004B20C3">
              <w:rPr>
                <w:rFonts w:ascii="Verdana" w:hAnsi="Verdana" w:cs="Arial"/>
              </w:rPr>
              <w:t xml:space="preserve"> interact</w:t>
            </w:r>
            <w:r>
              <w:rPr>
                <w:rFonts w:ascii="Verdana" w:hAnsi="Verdana" w:cs="Arial"/>
              </w:rPr>
              <w:t>uar</w:t>
            </w:r>
            <w:r w:rsidRPr="004B20C3">
              <w:rPr>
                <w:rFonts w:ascii="Verdana" w:hAnsi="Verdana" w:cs="Arial"/>
              </w:rPr>
              <w:t xml:space="preserve"> con el mercado</w:t>
            </w:r>
            <w:r>
              <w:rPr>
                <w:rFonts w:ascii="Verdana" w:hAnsi="Verdana" w:cs="Arial"/>
              </w:rPr>
              <w:t>,</w:t>
            </w:r>
            <w:r w:rsidRPr="004B20C3">
              <w:rPr>
                <w:rFonts w:ascii="Verdana" w:hAnsi="Verdana" w:cs="Arial"/>
              </w:rPr>
              <w:t xml:space="preserve"> esta actividad no las convierte, </w:t>
            </w:r>
            <w:r w:rsidRPr="00CD7A55">
              <w:rPr>
                <w:rFonts w:ascii="Verdana" w:hAnsi="Verdana" w:cs="Arial"/>
                <w:i/>
                <w:iCs/>
              </w:rPr>
              <w:t>per se,</w:t>
            </w:r>
            <w:r w:rsidRPr="004B20C3">
              <w:rPr>
                <w:rFonts w:ascii="Verdana" w:hAnsi="Verdana" w:cs="Arial"/>
              </w:rPr>
              <w:t xml:space="preserve"> en empresas en el sentido comercial </w:t>
            </w:r>
            <w:r>
              <w:rPr>
                <w:rFonts w:ascii="Verdana" w:hAnsi="Verdana" w:cs="Arial"/>
              </w:rPr>
              <w:t xml:space="preserve">puesto que </w:t>
            </w:r>
            <w:r w:rsidRPr="004B20C3">
              <w:rPr>
                <w:rFonts w:ascii="Verdana" w:hAnsi="Verdana" w:cs="Arial"/>
              </w:rPr>
              <w:t>la ausencia de ánimo de lucro y l</w:t>
            </w:r>
            <w:r>
              <w:rPr>
                <w:rFonts w:ascii="Verdana" w:hAnsi="Verdana" w:cs="Arial"/>
              </w:rPr>
              <w:t>o referente a la repartición de utilidades</w:t>
            </w:r>
            <w:r w:rsidRPr="004B20C3">
              <w:rPr>
                <w:rFonts w:ascii="Verdana" w:hAnsi="Verdana" w:cs="Arial"/>
              </w:rPr>
              <w:t xml:space="preserve"> constituye un elemento que las excluye de la noción de empresa. Por tanto, su naturaleza jurídica es la de una organización civil con finalidad social, y no la de una sociedad mercantil orientada al lucro</w:t>
            </w:r>
            <w:r>
              <w:rPr>
                <w:rFonts w:ascii="Verdana" w:hAnsi="Verdana" w:cs="Arial"/>
              </w:rPr>
              <w:t>, lo que la excluye de</w:t>
            </w:r>
            <w:r w:rsidRPr="00F14926">
              <w:rPr>
                <w:rFonts w:ascii="Verdana" w:hAnsi="Verdana" w:cs="Arial"/>
              </w:rPr>
              <w:t xml:space="preserve"> la lógica de promoción que busca l</w:t>
            </w:r>
            <w:r>
              <w:rPr>
                <w:rFonts w:ascii="Verdana" w:hAnsi="Verdana" w:cs="Arial"/>
              </w:rPr>
              <w:t xml:space="preserve">a Ley 2069 de 2020 </w:t>
            </w:r>
            <w:r w:rsidRPr="00F14926">
              <w:rPr>
                <w:rFonts w:ascii="Verdana" w:hAnsi="Verdana" w:cs="Arial"/>
              </w:rPr>
              <w:t>para fortalecer el emprendimiento empresarial con fines comerciales</w:t>
            </w:r>
            <w:r>
              <w:rPr>
                <w:rFonts w:ascii="Verdana" w:hAnsi="Verdana" w:cs="Arial"/>
              </w:rPr>
              <w:t xml:space="preserve"> en el sistema de compras públicas</w:t>
            </w:r>
            <w:r w:rsidRPr="00F14926">
              <w:rPr>
                <w:rFonts w:ascii="Verdana" w:hAnsi="Verdana" w:cs="Arial"/>
              </w:rPr>
              <w:t>.</w:t>
            </w:r>
          </w:p>
          <w:p w14:paraId="3C0B37EC" w14:textId="77777777" w:rsidR="009E1F9E" w:rsidRDefault="009E1F9E" w:rsidP="00F71E30">
            <w:pPr>
              <w:spacing w:after="120" w:line="276" w:lineRule="auto"/>
              <w:ind w:firstLine="708"/>
              <w:jc w:val="both"/>
              <w:rPr>
                <w:rFonts w:ascii="Verdana" w:eastAsia="Calibri" w:hAnsi="Verdana" w:cs="Arial"/>
                <w:color w:val="000000" w:themeColor="text1"/>
              </w:rPr>
            </w:pPr>
            <w:r>
              <w:rPr>
                <w:rFonts w:ascii="Verdana" w:hAnsi="Verdana" w:cs="Arial"/>
                <w:lang w:val="es-ES"/>
              </w:rPr>
              <w:t xml:space="preserve">Ahora bien, aunque, por regla general, no es posible que las ESAL sean equiparadas a las MiPymes en la normativa del sistema de compras públicas, es necesario aclarar que la Ley determinó un matiz para esta regla. </w:t>
            </w:r>
            <w:r>
              <w:rPr>
                <w:rFonts w:ascii="Verdana" w:eastAsia="Calibri" w:hAnsi="Verdana" w:cs="Arial"/>
                <w:color w:val="000000" w:themeColor="text1"/>
                <w:lang w:val="es-ES"/>
              </w:rPr>
              <w:t>E</w:t>
            </w:r>
            <w:r w:rsidRPr="00362CA6">
              <w:rPr>
                <w:rFonts w:ascii="Verdana" w:eastAsia="Calibri" w:hAnsi="Verdana" w:cs="Arial"/>
                <w:color w:val="000000" w:themeColor="text1"/>
                <w:lang w:val="es-ES"/>
              </w:rPr>
              <w:t>l artículo 23 de la Ley 2069 de 2020</w:t>
            </w:r>
            <w:r>
              <w:rPr>
                <w:rFonts w:ascii="Verdana" w:eastAsia="Calibri" w:hAnsi="Verdana" w:cs="Arial"/>
                <w:color w:val="000000" w:themeColor="text1"/>
                <w:lang w:val="es-ES"/>
              </w:rPr>
              <w:t xml:space="preserve"> </w:t>
            </w:r>
            <w:r w:rsidRPr="00362CA6">
              <w:rPr>
                <w:rFonts w:ascii="Verdana" w:eastAsia="Calibri" w:hAnsi="Verdana" w:cs="Arial"/>
                <w:color w:val="000000" w:themeColor="text1"/>
                <w:lang w:val="es-ES"/>
              </w:rPr>
              <w:t xml:space="preserve">asimila las cooperativas y las </w:t>
            </w:r>
            <w:r w:rsidRPr="00756D53">
              <w:rPr>
                <w:rFonts w:ascii="Verdana" w:eastAsia="Calibri" w:hAnsi="Verdana" w:cs="Arial"/>
                <w:color w:val="000000" w:themeColor="text1"/>
                <w:lang w:val="es-ES"/>
              </w:rPr>
              <w:t>demás entidades de economía solidaria -que incluy</w:t>
            </w:r>
            <w:r>
              <w:rPr>
                <w:rFonts w:ascii="Verdana" w:eastAsia="Calibri" w:hAnsi="Verdana" w:cs="Arial"/>
                <w:color w:val="000000" w:themeColor="text1"/>
                <w:lang w:val="es-ES"/>
              </w:rPr>
              <w:t>en</w:t>
            </w:r>
            <w:r w:rsidRPr="00756D53">
              <w:rPr>
                <w:rFonts w:ascii="Verdana" w:eastAsia="Calibri" w:hAnsi="Verdana" w:cs="Arial"/>
                <w:color w:val="000000" w:themeColor="text1"/>
                <w:lang w:val="es-ES"/>
              </w:rPr>
              <w:t xml:space="preserve"> a las asociaciones mutual</w:t>
            </w:r>
            <w:r>
              <w:rPr>
                <w:rFonts w:ascii="Verdana" w:eastAsia="Calibri" w:hAnsi="Verdana" w:cs="Arial"/>
                <w:color w:val="000000" w:themeColor="text1"/>
                <w:lang w:val="es-ES"/>
              </w:rPr>
              <w:t>istas</w:t>
            </w:r>
            <w:r>
              <w:rPr>
                <w:rFonts w:ascii="Verdana" w:eastAsia="Calibri" w:hAnsi="Verdana" w:cs="Arial"/>
                <w:i/>
                <w:iCs/>
                <w:color w:val="000000" w:themeColor="text1"/>
                <w:lang w:val="es-ES"/>
              </w:rPr>
              <w:t>-</w:t>
            </w:r>
            <w:r w:rsidRPr="00362CA6">
              <w:rPr>
                <w:rFonts w:ascii="Verdana" w:eastAsia="Calibri" w:hAnsi="Verdana" w:cs="Arial"/>
                <w:color w:val="000000" w:themeColor="text1"/>
                <w:lang w:val="es-ES"/>
              </w:rPr>
              <w:t xml:space="preserve"> a </w:t>
            </w:r>
            <w:r w:rsidRPr="00B21D8B">
              <w:rPr>
                <w:rFonts w:ascii="Verdana" w:eastAsia="Calibri" w:hAnsi="Verdana" w:cs="Arial"/>
                <w:i/>
                <w:iCs/>
                <w:color w:val="000000" w:themeColor="text1"/>
                <w:lang w:val="es-ES"/>
              </w:rPr>
              <w:t>empresas, específicamente a MiPymes</w:t>
            </w:r>
            <w:r>
              <w:rPr>
                <w:rFonts w:ascii="Verdana" w:eastAsia="Calibri" w:hAnsi="Verdana" w:cs="Arial"/>
                <w:i/>
                <w:iCs/>
                <w:color w:val="000000" w:themeColor="text1"/>
                <w:lang w:val="es-ES"/>
              </w:rPr>
              <w:t xml:space="preserve">. </w:t>
            </w:r>
            <w:r>
              <w:rPr>
                <w:rFonts w:ascii="Verdana" w:eastAsia="Calibri" w:hAnsi="Verdana" w:cs="Arial"/>
                <w:color w:val="000000" w:themeColor="text1"/>
                <w:lang w:val="es-ES"/>
              </w:rPr>
              <w:t xml:space="preserve">De manera concordante, el parágrafo del </w:t>
            </w:r>
            <w:r w:rsidRPr="00F554AA">
              <w:rPr>
                <w:rFonts w:ascii="Verdana" w:eastAsia="Calibri" w:hAnsi="Verdana" w:cs="Arial"/>
                <w:color w:val="000000" w:themeColor="text1"/>
                <w:lang w:val="es-ES"/>
              </w:rPr>
              <w:t>Artículo 2.2.1.2.4.2.2</w:t>
            </w:r>
            <w:r>
              <w:rPr>
                <w:rFonts w:ascii="Verdana" w:eastAsia="Calibri" w:hAnsi="Verdana" w:cs="Arial"/>
                <w:color w:val="000000" w:themeColor="text1"/>
                <w:lang w:val="es-ES"/>
              </w:rPr>
              <w:t xml:space="preserve">, modificado por el artículo 5º del Decreto 1860 de 2021 </w:t>
            </w:r>
            <w:r>
              <w:rPr>
                <w:rFonts w:ascii="Verdana" w:eastAsia="Calibri" w:hAnsi="Verdana" w:cs="Arial"/>
                <w:color w:val="000000" w:themeColor="text1"/>
                <w:lang w:val="es-ES"/>
              </w:rPr>
              <w:lastRenderedPageBreak/>
              <w:t xml:space="preserve">determina que estas </w:t>
            </w:r>
            <w:r w:rsidRPr="00EC0AE8">
              <w:rPr>
                <w:rFonts w:ascii="Verdana" w:eastAsia="Calibri" w:hAnsi="Verdana" w:cs="Arial"/>
                <w:color w:val="000000" w:themeColor="text1"/>
              </w:rPr>
              <w:t>cooperativas y demás entidades de economía solidaria</w:t>
            </w:r>
            <w:r>
              <w:rPr>
                <w:rFonts w:ascii="Verdana" w:eastAsia="Calibri" w:hAnsi="Verdana" w:cs="Arial"/>
                <w:color w:val="000000" w:themeColor="text1"/>
              </w:rPr>
              <w:t xml:space="preserve"> </w:t>
            </w:r>
            <w:r w:rsidRPr="00EC0AE8">
              <w:rPr>
                <w:rFonts w:ascii="Verdana" w:eastAsia="Calibri" w:hAnsi="Verdana" w:cs="Arial"/>
                <w:color w:val="000000" w:themeColor="text1"/>
              </w:rPr>
              <w:t>podrán solicitar y participar en las convocatorias limitadas en las mismas</w:t>
            </w:r>
            <w:r>
              <w:rPr>
                <w:rFonts w:ascii="Verdana" w:eastAsia="Calibri" w:hAnsi="Verdana" w:cs="Arial"/>
                <w:color w:val="000000" w:themeColor="text1"/>
              </w:rPr>
              <w:t xml:space="preserve">. </w:t>
            </w:r>
          </w:p>
          <w:p w14:paraId="156D3FEA" w14:textId="77777777" w:rsidR="009E1F9E" w:rsidRDefault="009E1F9E" w:rsidP="00F71E30">
            <w:pPr>
              <w:spacing w:after="120" w:line="276" w:lineRule="auto"/>
              <w:ind w:firstLine="708"/>
              <w:jc w:val="both"/>
              <w:rPr>
                <w:rFonts w:ascii="Verdana" w:eastAsia="Calibri" w:hAnsi="Verdana" w:cs="Arial"/>
                <w:color w:val="000000" w:themeColor="text1"/>
                <w:lang w:val="es-ES"/>
              </w:rPr>
            </w:pPr>
            <w:r>
              <w:rPr>
                <w:rFonts w:ascii="Verdana" w:hAnsi="Verdana"/>
                <w:lang w:val="es-ES" w:eastAsia="es-ES"/>
              </w:rPr>
              <w:t>En este sentido, e</w:t>
            </w:r>
            <w:r w:rsidRPr="007A60E6">
              <w:rPr>
                <w:rFonts w:ascii="Verdana" w:hAnsi="Verdana"/>
                <w:lang w:val="es-ES" w:eastAsia="es-ES"/>
              </w:rPr>
              <w:t xml:space="preserv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incentivos referidos en la Ley 2069 de 2020 y la posibilidad de solicitar la 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1B39AC0F" w14:textId="77777777" w:rsidR="009E1F9E" w:rsidRPr="00C740A3" w:rsidRDefault="009E1F9E" w:rsidP="00F71E30">
            <w:pPr>
              <w:spacing w:after="120" w:line="276" w:lineRule="auto"/>
              <w:ind w:firstLine="709"/>
              <w:jc w:val="both"/>
              <w:rPr>
                <w:rFonts w:ascii="Verdana" w:hAnsi="Verdana" w:cs="Arial"/>
                <w:lang w:eastAsia="es-ES"/>
              </w:rPr>
            </w:pPr>
            <w:r>
              <w:rPr>
                <w:rFonts w:ascii="Verdana" w:eastAsia="Calibri" w:hAnsi="Verdana" w:cs="Arial"/>
                <w:color w:val="000000"/>
                <w:lang w:val="es-ES" w:eastAsia="es-ES"/>
              </w:rPr>
              <w:t xml:space="preserve">Sin perjuicio de lo anterior, </w:t>
            </w:r>
            <w:r w:rsidRPr="007A60E6">
              <w:rPr>
                <w:rFonts w:ascii="Verdana" w:eastAsia="Calibri" w:hAnsi="Verdana" w:cs="Arial"/>
                <w:color w:val="000000"/>
                <w:lang w:val="es-ES" w:eastAsia="es-ES"/>
              </w:rPr>
              <w:t>se precisa que los conceptos emitidos por esta Subdirección en el marco de la función consultiva representan</w:t>
            </w:r>
            <w:r w:rsidRPr="007A60E6">
              <w:rPr>
                <w:rFonts w:ascii="Verdana" w:hAnsi="Verdana" w:cs="Arial"/>
                <w:lang w:eastAsia="es-ES"/>
              </w:rPr>
              <w:t xml:space="preserve"> una </w:t>
            </w:r>
            <w:r w:rsidRPr="007A60E6">
              <w:rPr>
                <w:rFonts w:ascii="Verdana" w:eastAsia="Calibri" w:hAnsi="Verdana" w:cs="Arial"/>
                <w:bCs/>
                <w:lang w:val="es-ES_tradnl"/>
              </w:rPr>
              <w:t>posición hermenéutica respecto a las disposiciones normativas del Sistema de Compras Públicas,</w:t>
            </w:r>
            <w:r w:rsidRPr="007A60E6">
              <w:rPr>
                <w:rFonts w:ascii="Verdana" w:hAnsi="Verdana" w:cs="Arial"/>
                <w:lang w:eastAsia="es-ES"/>
              </w:rPr>
              <w:t xml:space="preserve"> que </w:t>
            </w:r>
            <w:r w:rsidRPr="007A60E6">
              <w:rPr>
                <w:rFonts w:ascii="Verdana" w:eastAsia="Calibri" w:hAnsi="Verdana" w:cs="Arial"/>
                <w:bCs/>
                <w:lang w:val="es-ES_tradnl"/>
              </w:rPr>
              <w:t>no tienen efectos vinculantes en relación con una situación jurídica particular y concreta, y exponen un criterio que, aunque jurídicamente fundamentado, no representan la única interpretación válida del ordenamiento jurídico</w:t>
            </w:r>
            <w:r>
              <w:rPr>
                <w:rFonts w:ascii="Verdana" w:eastAsia="Calibri" w:hAnsi="Verdana" w:cs="Arial"/>
                <w:bCs/>
                <w:lang w:val="es-ES_tradnl"/>
              </w:rPr>
              <w:t xml:space="preserve">. </w:t>
            </w:r>
            <w:r w:rsidRPr="007A60E6">
              <w:rPr>
                <w:rFonts w:ascii="Verdana" w:eastAsia="Calibri" w:hAnsi="Verdana" w:cs="Arial"/>
                <w:bCs/>
                <w:lang w:val="es-ES_tradnl"/>
              </w:rPr>
              <w:t xml:space="preserve">Por tanto, cada </w:t>
            </w:r>
            <w:r w:rsidRPr="007A60E6">
              <w:rPr>
                <w:rFonts w:ascii="Verdana" w:hAnsi="Verdana" w:cs="Arial"/>
                <w:lang w:eastAsia="es-ES"/>
              </w:rPr>
              <w:t>entidad definirá la forma de adelantar su gestión contractual, sin que sea atribución de Colombia Compra Eficiente validar sus actuaciones.</w:t>
            </w:r>
          </w:p>
        </w:tc>
      </w:tr>
    </w:tbl>
    <w:p w14:paraId="6F0AD490" w14:textId="77777777" w:rsidR="009E1F9E" w:rsidRDefault="009E1F9E" w:rsidP="009E1F9E">
      <w:pPr>
        <w:tabs>
          <w:tab w:val="left" w:pos="142"/>
          <w:tab w:val="left" w:pos="284"/>
        </w:tabs>
        <w:spacing w:after="0" w:line="276" w:lineRule="auto"/>
        <w:jc w:val="both"/>
        <w:rPr>
          <w:rFonts w:ascii="Verdana" w:eastAsia="Century Gothic" w:hAnsi="Verdana" w:cs="Century Gothic"/>
          <w:b/>
          <w:bCs/>
        </w:rPr>
      </w:pPr>
    </w:p>
    <w:p w14:paraId="0D897D65" w14:textId="77777777" w:rsidR="009E1F9E" w:rsidRPr="008E4F36" w:rsidRDefault="009E1F9E" w:rsidP="009E1F9E">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E9C4083" w14:textId="77777777" w:rsidR="009E1F9E" w:rsidRDefault="009E1F9E" w:rsidP="009E1F9E">
      <w:pPr>
        <w:pStyle w:val="Prrafodelista"/>
        <w:tabs>
          <w:tab w:val="left" w:pos="142"/>
          <w:tab w:val="left" w:pos="284"/>
        </w:tabs>
        <w:spacing w:after="0" w:line="276" w:lineRule="auto"/>
        <w:ind w:left="0"/>
        <w:contextualSpacing w:val="0"/>
        <w:jc w:val="both"/>
        <w:rPr>
          <w:rFonts w:ascii="Verdana" w:eastAsia="Calibri" w:hAnsi="Verdana" w:cs="Arial"/>
        </w:rPr>
      </w:pPr>
    </w:p>
    <w:p w14:paraId="7B63E3F6" w14:textId="77777777" w:rsidR="009E1F9E" w:rsidRDefault="009E1F9E" w:rsidP="009E1F9E">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422D56AB" w14:textId="77777777" w:rsidR="009E1F9E" w:rsidRDefault="009E1F9E" w:rsidP="009E1F9E">
      <w:pPr>
        <w:spacing w:after="0" w:line="240" w:lineRule="auto"/>
        <w:jc w:val="both"/>
        <w:rPr>
          <w:rFonts w:ascii="Verdana" w:hAnsi="Verdana" w:cs="Arial"/>
          <w:bCs/>
          <w:lang w:val="es-ES_tradnl" w:eastAsia="es-ES" w:bidi="es-ES"/>
        </w:rPr>
      </w:pPr>
    </w:p>
    <w:p w14:paraId="6062B32A" w14:textId="77777777" w:rsidR="009E1F9E" w:rsidRDefault="009E1F9E" w:rsidP="009E1F9E">
      <w:pPr>
        <w:spacing w:after="120" w:line="276" w:lineRule="auto"/>
        <w:jc w:val="both"/>
        <w:rPr>
          <w:rFonts w:ascii="Verdana" w:eastAsia="Calibri" w:hAnsi="Verdana" w:cs="Arial"/>
          <w:color w:val="000000"/>
          <w:lang w:val="es-ES" w:eastAsia="es-ES"/>
        </w:rPr>
      </w:pPr>
      <w:r w:rsidRPr="007F5F87">
        <w:rPr>
          <w:rFonts w:ascii="Verdana" w:eastAsia="Calibri" w:hAnsi="Verdana" w:cs="Arial"/>
          <w:lang w:val="es-ES_tradnl" w:eastAsia="es-ES_tradnl"/>
        </w:rPr>
        <w:t>i.</w:t>
      </w:r>
      <w:r>
        <w:rPr>
          <w:rFonts w:ascii="Verdana" w:eastAsia="Calibri" w:hAnsi="Verdana" w:cs="Arial"/>
          <w:lang w:val="es-ES_tradnl" w:eastAsia="es-ES_tradnl"/>
        </w:rPr>
        <w:t xml:space="preserve"> </w:t>
      </w:r>
      <w:r w:rsidRPr="007A60E6">
        <w:rPr>
          <w:rFonts w:ascii="Verdana" w:eastAsia="Calibri" w:hAnsi="Verdana" w:cs="Arial"/>
          <w:color w:val="000000" w:themeColor="text1"/>
          <w:lang w:val="es-ES_tradnl"/>
        </w:rPr>
        <w:t xml:space="preserve">Como punto de partida, es pertinente hacer algunas precisiones sobre la posición que ha sostenido la </w:t>
      </w:r>
      <w:r w:rsidRPr="007A60E6">
        <w:rPr>
          <w:rFonts w:ascii="Verdana" w:eastAsia="Calibri" w:hAnsi="Verdana" w:cs="Arial"/>
          <w:color w:val="000000"/>
          <w:lang w:val="es-ES" w:eastAsia="es-ES"/>
        </w:rPr>
        <w:t xml:space="preserve">Subdirección de Gestión Contractual de la ANCP – CCE en ejercicio de su función consultiva, </w:t>
      </w:r>
      <w:r w:rsidRPr="007A60E6">
        <w:rPr>
          <w:rFonts w:ascii="Verdana" w:eastAsia="Calibri" w:hAnsi="Verdana" w:cs="Arial"/>
          <w:color w:val="000000" w:themeColor="text1"/>
          <w:lang w:val="es-ES_tradnl"/>
        </w:rPr>
        <w:t>en relación con</w:t>
      </w:r>
      <w:r w:rsidRPr="007A60E6">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la participación de ESAL en procesos de contratación limitados a </w:t>
      </w:r>
      <w:proofErr w:type="spellStart"/>
      <w:r>
        <w:rPr>
          <w:rFonts w:ascii="Verdana" w:eastAsia="Calibri" w:hAnsi="Verdana" w:cs="Arial"/>
          <w:color w:val="000000"/>
          <w:lang w:val="es-ES" w:eastAsia="es-ES"/>
        </w:rPr>
        <w:t>Mipymes</w:t>
      </w:r>
      <w:proofErr w:type="spellEnd"/>
      <w:r>
        <w:rPr>
          <w:rFonts w:ascii="Verdana" w:eastAsia="Calibri" w:hAnsi="Verdana" w:cs="Arial"/>
          <w:color w:val="000000"/>
          <w:lang w:val="es-ES" w:eastAsia="es-ES"/>
        </w:rPr>
        <w:t xml:space="preserve">. </w:t>
      </w:r>
    </w:p>
    <w:p w14:paraId="45803251" w14:textId="77777777" w:rsidR="009E1F9E" w:rsidRDefault="009E1F9E" w:rsidP="009E1F9E">
      <w:pPr>
        <w:spacing w:after="120" w:line="276" w:lineRule="auto"/>
        <w:ind w:firstLine="709"/>
        <w:jc w:val="both"/>
        <w:rPr>
          <w:rFonts w:ascii="Verdana" w:eastAsia="Geomanist Light" w:hAnsi="Verdana" w:cs="Arial"/>
          <w:lang w:val="es-ES"/>
        </w:rPr>
      </w:pPr>
      <w:r w:rsidRPr="007A60E6">
        <w:rPr>
          <w:rFonts w:ascii="Verdana" w:hAnsi="Verdana"/>
          <w:lang w:val="es-ES" w:eastAsia="es-ES"/>
        </w:rPr>
        <w:t xml:space="preserve">Así, conforme a la interpretación general de las normas del sistema de compras públicas, 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w:t>
      </w:r>
      <w:r>
        <w:rPr>
          <w:rFonts w:ascii="Verdana" w:hAnsi="Verdana" w:cs="Arial"/>
          <w:color w:val="000000" w:themeColor="text1"/>
          <w:lang w:val="es-ES"/>
        </w:rPr>
        <w:lastRenderedPageBreak/>
        <w:t xml:space="preserve">incentivos referidos en la Ley 2069 de 2020 y la posibilidad de solicitar la 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señalados en el numeral 3 del artículo </w:t>
      </w:r>
      <w:r>
        <w:rPr>
          <w:rFonts w:ascii="Verdana" w:eastAsia="Calibri" w:hAnsi="Verdana" w:cs="Arial"/>
          <w:color w:val="000000" w:themeColor="text1"/>
        </w:rPr>
        <w:t>2.2.1.2.1.5.2</w:t>
      </w:r>
      <w:r>
        <w:rPr>
          <w:rFonts w:ascii="Verdana" w:eastAsia="Calibri" w:hAnsi="Verdana" w:cs="Arial"/>
          <w:b/>
          <w:bCs/>
          <w:color w:val="000000" w:themeColor="text1"/>
        </w:rPr>
        <w:t>.</w:t>
      </w:r>
      <w:r>
        <w:rPr>
          <w:rFonts w:ascii="Verdana" w:eastAsia="Calibri" w:hAnsi="Verdana" w:cs="Arial"/>
          <w:color w:val="000000" w:themeColor="text1"/>
          <w:lang w:val="es-ES"/>
        </w:rPr>
        <w:t xml:space="preserve"> del Decreto 1082 de 2015.</w:t>
      </w:r>
    </w:p>
    <w:p w14:paraId="62172205" w14:textId="77777777" w:rsidR="009E1F9E" w:rsidRPr="007F5F87" w:rsidRDefault="009E1F9E" w:rsidP="009E1F9E">
      <w:pPr>
        <w:spacing w:after="120" w:line="276" w:lineRule="auto"/>
        <w:ind w:firstLine="709"/>
        <w:jc w:val="both"/>
        <w:rPr>
          <w:rFonts w:ascii="Verdana" w:eastAsia="Calibri" w:hAnsi="Verdana" w:cs="Arial"/>
          <w:lang w:val="es-ES_tradnl" w:eastAsia="es-ES_tradnl"/>
        </w:rPr>
      </w:pPr>
      <w:r>
        <w:rPr>
          <w:rFonts w:ascii="Verdana" w:eastAsia="Geomanist Light" w:hAnsi="Verdana" w:cs="Arial"/>
          <w:lang w:val="es-ES"/>
        </w:rPr>
        <w:t xml:space="preserve">Esta postura se sustenta en varios argumentos que vale la pena mencionar con finalidad de reiterar la tesis que se ha sostenido. En primer lugar, es importante indicar </w:t>
      </w:r>
      <w:proofErr w:type="gramStart"/>
      <w:r>
        <w:rPr>
          <w:rFonts w:ascii="Verdana" w:eastAsia="Geomanist Light" w:hAnsi="Verdana" w:cs="Arial"/>
          <w:lang w:val="es-ES"/>
        </w:rPr>
        <w:t>que</w:t>
      </w:r>
      <w:proofErr w:type="gramEnd"/>
      <w:r>
        <w:rPr>
          <w:rFonts w:ascii="Verdana" w:eastAsia="Geomanist Light" w:hAnsi="Verdana" w:cs="Arial"/>
          <w:lang w:val="es-ES"/>
        </w:rPr>
        <w:t xml:space="preserve"> </w:t>
      </w:r>
      <w:r>
        <w:rPr>
          <w:rFonts w:ascii="Verdana" w:eastAsia="Calibri" w:hAnsi="Verdana" w:cs="Arial"/>
          <w:lang w:val="es-ES_tradnl" w:eastAsia="es-ES_tradnl"/>
        </w:rPr>
        <w:t>e</w:t>
      </w:r>
      <w:r w:rsidRPr="007F5F87">
        <w:rPr>
          <w:rFonts w:ascii="Verdana" w:eastAsia="Calibri" w:hAnsi="Verdana" w:cs="Arial"/>
          <w:lang w:val="es-ES_tradnl" w:eastAsia="es-ES_tradnl"/>
        </w:rPr>
        <w:t xml:space="preserv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w:t>
      </w:r>
      <w:r w:rsidRPr="007F5F87">
        <w:rPr>
          <w:rFonts w:ascii="Verdana" w:eastAsia="Calibri" w:hAnsi="Verdana" w:cs="Arial"/>
          <w:i/>
          <w:iCs/>
          <w:lang w:val="es-ES_tradnl" w:eastAsia="es-ES_tradnl"/>
        </w:rPr>
        <w:t>ibidem</w:t>
      </w:r>
      <w:r w:rsidRPr="00E67771">
        <w:rPr>
          <w:vertAlign w:val="superscript"/>
        </w:rPr>
        <w:footnoteReference w:id="1"/>
      </w:r>
      <w:r w:rsidRPr="007F5F87">
        <w:rPr>
          <w:rFonts w:ascii="Verdana" w:eastAsia="Calibri" w:hAnsi="Verdana" w:cs="Arial"/>
          <w:lang w:val="es-ES_tradnl" w:eastAsia="es-ES_tradnl"/>
        </w:rPr>
        <w:t>.</w:t>
      </w:r>
    </w:p>
    <w:p w14:paraId="2C80F66E" w14:textId="77777777" w:rsidR="009E1F9E" w:rsidRDefault="009E1F9E" w:rsidP="009E1F9E">
      <w:pPr>
        <w:spacing w:after="120" w:line="276" w:lineRule="auto"/>
        <w:ind w:firstLine="709"/>
        <w:jc w:val="both"/>
        <w:rPr>
          <w:rFonts w:ascii="Verdana" w:eastAsia="Calibri" w:hAnsi="Verdana" w:cs="Arial"/>
          <w:lang w:val="es-ES" w:eastAsia="es-ES"/>
        </w:rPr>
      </w:pPr>
      <w:r w:rsidRPr="6AB4E263">
        <w:rPr>
          <w:rFonts w:ascii="Verdana" w:eastAsia="Calibri" w:hAnsi="Verdana" w:cs="Arial"/>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6A7AA0EA" w14:textId="77777777" w:rsidR="009E1F9E" w:rsidRPr="00E67771" w:rsidRDefault="009E1F9E" w:rsidP="009E1F9E">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 lo anterior se suma que e</w:t>
      </w:r>
      <w:r w:rsidRPr="00E67771">
        <w:rPr>
          <w:rFonts w:ascii="Verdana" w:eastAsia="Calibri" w:hAnsi="Verdana" w:cs="Arial"/>
          <w:lang w:val="es-ES_tradnl" w:eastAsia="es-ES_tradnl"/>
        </w:rPr>
        <w:t xml:space="preserve">ste tipo de corporaciones o asociaciones </w:t>
      </w:r>
      <w:r>
        <w:rPr>
          <w:rFonts w:ascii="Verdana" w:eastAsia="Calibri" w:hAnsi="Verdana" w:cs="Arial"/>
          <w:lang w:val="es-ES_tradnl" w:eastAsia="es-ES_tradnl"/>
        </w:rPr>
        <w:t>se encuentran reguladas en</w:t>
      </w:r>
      <w:r w:rsidRPr="00E67771">
        <w:rPr>
          <w:rFonts w:ascii="Verdana" w:eastAsia="Calibri" w:hAnsi="Verdana" w:cs="Arial"/>
          <w:lang w:val="es-ES_tradnl" w:eastAsia="es-ES_tradnl"/>
        </w:rPr>
        <w:t xml:space="preserve"> el Código Civil –entre otras normas</w:t>
      </w:r>
      <w:r>
        <w:rPr>
          <w:rFonts w:ascii="Verdana" w:eastAsia="Calibri" w:hAnsi="Verdana" w:cs="Arial"/>
          <w:lang w:val="es-ES_tradnl" w:eastAsia="es-ES_tradnl"/>
        </w:rPr>
        <w:t xml:space="preserve"> concordantes</w:t>
      </w:r>
      <w:r w:rsidRPr="00E67771">
        <w:rPr>
          <w:rFonts w:ascii="Verdana" w:eastAsia="Calibri" w:hAnsi="Verdana" w:cs="Arial"/>
          <w:lang w:val="es-ES_tradnl" w:eastAsia="es-ES_tradnl"/>
        </w:rPr>
        <w:t>–, de lo que se sigue que no constituyen formas de sociedad comercial</w:t>
      </w:r>
      <w:r>
        <w:rPr>
          <w:rFonts w:ascii="Verdana" w:eastAsia="Calibri" w:hAnsi="Verdana" w:cs="Arial"/>
          <w:lang w:val="es-ES_tradnl" w:eastAsia="es-ES_tradnl"/>
        </w:rPr>
        <w:t>,</w:t>
      </w:r>
      <w:r w:rsidRPr="00E67771">
        <w:rPr>
          <w:rFonts w:ascii="Verdana" w:eastAsia="Calibri" w:hAnsi="Verdana" w:cs="Arial"/>
          <w:lang w:val="es-ES_tradnl" w:eastAsia="es-ES_tradnl"/>
        </w:rPr>
        <w:t xml:space="preserve"> sino formas de organización civil con fines esencialmente altruistas o de interés general, que </w:t>
      </w:r>
      <w:r w:rsidRPr="00E67771">
        <w:rPr>
          <w:rFonts w:ascii="Verdana" w:eastAsia="Calibri" w:hAnsi="Verdana" w:cs="Arial"/>
          <w:lang w:val="es-ES_tradnl" w:eastAsia="es-ES_tradnl"/>
        </w:rPr>
        <w:lastRenderedPageBreak/>
        <w:t xml:space="preserve">se conforman entre personas que tienen como finalidad contribuir con su esfuerzo, y hasta con sus bienes, </w:t>
      </w:r>
      <w:r>
        <w:rPr>
          <w:rFonts w:ascii="Verdana" w:eastAsia="Calibri" w:hAnsi="Verdana" w:cs="Arial"/>
          <w:lang w:val="es-ES_tradnl" w:eastAsia="es-ES_tradnl"/>
        </w:rPr>
        <w:t>para</w:t>
      </w:r>
      <w:r w:rsidRPr="00E67771">
        <w:rPr>
          <w:rFonts w:ascii="Verdana" w:eastAsia="Calibri" w:hAnsi="Verdana" w:cs="Arial"/>
          <w:lang w:val="es-ES_tradnl" w:eastAsia="es-ES_tradnl"/>
        </w:rPr>
        <w:t xml:space="preserve"> ayudar a la comunidad</w:t>
      </w:r>
      <w:r w:rsidRPr="00E67771">
        <w:rPr>
          <w:rStyle w:val="Refdenotaalpie"/>
          <w:rFonts w:ascii="Verdana" w:eastAsia="Calibri" w:hAnsi="Verdana" w:cs="Arial"/>
          <w:lang w:val="es-ES_tradnl" w:eastAsia="es-ES_tradnl"/>
        </w:rPr>
        <w:footnoteReference w:id="2"/>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w:t>
      </w:r>
      <w:r>
        <w:rPr>
          <w:rFonts w:ascii="Verdana" w:eastAsia="Calibri" w:hAnsi="Verdana" w:cs="Arial"/>
          <w:lang w:val="es-ES_tradnl" w:eastAsia="es-ES_tradnl"/>
        </w:rPr>
        <w:t>s</w:t>
      </w:r>
      <w:r w:rsidRPr="00E67771">
        <w:rPr>
          <w:rFonts w:ascii="Verdana" w:eastAsia="Calibri" w:hAnsi="Verdana" w:cs="Arial"/>
          <w:lang w:val="es-ES_tradnl" w:eastAsia="es-ES_tradnl"/>
        </w:rPr>
        <w:t xml:space="preserve"> diferencias </w:t>
      </w:r>
      <w:r>
        <w:rPr>
          <w:rFonts w:ascii="Verdana" w:eastAsia="Calibri" w:hAnsi="Verdana" w:cs="Arial"/>
          <w:lang w:val="es-ES_tradnl" w:eastAsia="es-ES_tradnl"/>
        </w:rPr>
        <w:t xml:space="preserve">de manera </w:t>
      </w:r>
      <w:r w:rsidRPr="00E67771">
        <w:rPr>
          <w:rFonts w:ascii="Verdana" w:eastAsia="Calibri" w:hAnsi="Verdana" w:cs="Arial"/>
          <w:lang w:val="es-ES_tradnl" w:eastAsia="es-ES_tradnl"/>
        </w:rPr>
        <w:t xml:space="preserve">fundamental </w:t>
      </w:r>
      <w:r>
        <w:rPr>
          <w:rFonts w:ascii="Verdana" w:eastAsia="Calibri" w:hAnsi="Verdana" w:cs="Arial"/>
          <w:lang w:val="es-ES_tradnl" w:eastAsia="es-ES_tradnl"/>
        </w:rPr>
        <w:t>de</w:t>
      </w:r>
      <w:r w:rsidRPr="00E67771">
        <w:rPr>
          <w:rFonts w:ascii="Verdana" w:eastAsia="Calibri" w:hAnsi="Verdana" w:cs="Arial"/>
          <w:lang w:val="es-ES_tradnl" w:eastAsia="es-ES_tradnl"/>
        </w:rPr>
        <w:t xml:space="preserve"> las sociedades comerciales.</w:t>
      </w:r>
    </w:p>
    <w:p w14:paraId="7D7C31BB" w14:textId="77777777" w:rsidR="009E1F9E" w:rsidRDefault="009E1F9E" w:rsidP="009E1F9E">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 xml:space="preserve">Que una ESAL no sea una forma de sociedad comercial se infiere </w:t>
      </w:r>
      <w:r>
        <w:rPr>
          <w:rFonts w:ascii="Verdana" w:eastAsia="Calibri" w:hAnsi="Verdana" w:cs="Arial"/>
          <w:lang w:val="es-ES" w:eastAsia="es-ES"/>
        </w:rPr>
        <w:t xml:space="preserve">también </w:t>
      </w:r>
      <w:r w:rsidRPr="00E67771">
        <w:rPr>
          <w:rFonts w:ascii="Verdana" w:eastAsia="Calibri" w:hAnsi="Verdana" w:cs="Arial"/>
          <w:lang w:val="es-ES" w:eastAsia="es-ES"/>
        </w:rPr>
        <w:t xml:space="preserve">de los requisitos </w:t>
      </w:r>
      <w:r>
        <w:rPr>
          <w:rFonts w:ascii="Verdana" w:eastAsia="Calibri" w:hAnsi="Verdana" w:cs="Arial"/>
          <w:lang w:val="es-ES" w:eastAsia="es-ES"/>
        </w:rPr>
        <w:t xml:space="preserve">y finalidad </w:t>
      </w:r>
      <w:r w:rsidRPr="00E67771">
        <w:rPr>
          <w:rFonts w:ascii="Verdana" w:eastAsia="Calibri" w:hAnsi="Verdana" w:cs="Arial"/>
          <w:lang w:val="es-ES" w:eastAsia="es-ES"/>
        </w:rPr>
        <w:t>que exige el artículo 98 del Código de Comercio</w:t>
      </w:r>
      <w:r>
        <w:rPr>
          <w:rFonts w:ascii="Verdana" w:eastAsia="Calibri" w:hAnsi="Verdana" w:cs="Arial"/>
          <w:lang w:val="es-ES" w:eastAsia="es-ES"/>
        </w:rPr>
        <w:t xml:space="preserve"> en relación con el contrato de sociedad.</w:t>
      </w:r>
      <w:r w:rsidRPr="00E67771">
        <w:rPr>
          <w:rFonts w:ascii="Verdana" w:eastAsia="Calibri" w:hAnsi="Verdana" w:cs="Arial"/>
          <w:lang w:val="es-ES" w:eastAsia="es-ES"/>
        </w:rPr>
        <w:t xml:space="preserve">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208CD563" w14:textId="77777777" w:rsidR="009E1F9E" w:rsidRPr="00E67771" w:rsidRDefault="009E1F9E" w:rsidP="009E1F9E">
      <w:pPr>
        <w:spacing w:after="12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 xml:space="preserve">Así pues, </w:t>
      </w:r>
      <w:r>
        <w:rPr>
          <w:rFonts w:ascii="Verdana" w:eastAsia="Calibri" w:hAnsi="Verdana" w:cs="Arial"/>
          <w:lang w:val="es-ES_tradnl" w:eastAsia="es-ES_tradnl"/>
        </w:rPr>
        <w:t xml:space="preserve">en </w:t>
      </w:r>
      <w:r w:rsidRPr="00E67771">
        <w:rPr>
          <w:rFonts w:ascii="Verdana" w:eastAsia="Calibri" w:hAnsi="Verdana" w:cs="Arial"/>
          <w:lang w:val="es-ES_tradnl" w:eastAsia="es-ES_tradnl"/>
        </w:rPr>
        <w:t xml:space="preserve">las ESAL no </w:t>
      </w:r>
      <w:r>
        <w:rPr>
          <w:rFonts w:ascii="Verdana" w:eastAsia="Calibri" w:hAnsi="Verdana" w:cs="Arial"/>
          <w:lang w:val="es-ES_tradnl" w:eastAsia="es-ES_tradnl"/>
        </w:rPr>
        <w:t xml:space="preserve">es admisible </w:t>
      </w:r>
      <w:r w:rsidRPr="00E67771">
        <w:rPr>
          <w:rFonts w:ascii="Verdana" w:eastAsia="Calibri" w:hAnsi="Verdana" w:cs="Arial"/>
          <w:lang w:val="es-ES_tradnl" w:eastAsia="es-ES_tradnl"/>
        </w:rPr>
        <w:t>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w:t>
      </w:r>
      <w:r>
        <w:rPr>
          <w:rFonts w:ascii="Verdana" w:eastAsia="Calibri" w:hAnsi="Verdana" w:cs="Arial"/>
          <w:lang w:val="es-ES_tradnl" w:eastAsia="es-ES_tradnl"/>
        </w:rPr>
        <w:t xml:space="preserve"> estas corporaciones y las sociedades comerciales, p</w:t>
      </w:r>
      <w:r w:rsidRPr="00E67771">
        <w:rPr>
          <w:rFonts w:ascii="Verdana" w:eastAsia="Calibri" w:hAnsi="Verdana" w:cs="Arial"/>
          <w:lang w:val="es-ES_tradnl" w:eastAsia="es-ES_tradnl"/>
        </w:rPr>
        <w:t>ese a que ambas se crean con libertad y al amparo del derecho fundamental de asociación previsto en el artículo 38 de la Constitución Política y otras normas contenidas en tratados internacionales suscritos por Colombia.</w:t>
      </w:r>
    </w:p>
    <w:p w14:paraId="55E2F395" w14:textId="77777777" w:rsidR="009E1F9E" w:rsidRPr="00A303E8" w:rsidRDefault="009E1F9E" w:rsidP="009E1F9E">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w:t>
      </w:r>
      <w:r>
        <w:rPr>
          <w:rFonts w:ascii="Verdana" w:eastAsia="Calibri" w:hAnsi="Verdana" w:cs="Arial"/>
          <w:lang w:val="es-ES" w:eastAsia="es-ES"/>
        </w:rPr>
        <w:t xml:space="preserve">las sociedades comerciales se </w:t>
      </w:r>
      <w:r w:rsidRPr="00A303E8">
        <w:rPr>
          <w:rFonts w:ascii="Verdana" w:eastAsia="Calibri" w:hAnsi="Verdana" w:cs="Arial"/>
          <w:lang w:val="es-ES" w:eastAsia="es-ES"/>
        </w:rPr>
        <w:t>crea</w:t>
      </w:r>
      <w:r>
        <w:rPr>
          <w:rFonts w:ascii="Verdana" w:eastAsia="Calibri" w:hAnsi="Verdana" w:cs="Arial"/>
          <w:lang w:val="es-ES" w:eastAsia="es-ES"/>
        </w:rPr>
        <w:t>n</w:t>
      </w:r>
      <w:r w:rsidRPr="00A303E8">
        <w:rPr>
          <w:rFonts w:ascii="Verdana" w:eastAsia="Calibri" w:hAnsi="Verdana" w:cs="Arial"/>
          <w:lang w:val="es-ES" w:eastAsia="es-ES"/>
        </w:rPr>
        <w:t xml:space="preserve"> con la finalidad de que sus socios repartan las utilidades obtenidas en desarrollo de la empresa o actividad social. Por el contrario, las </w:t>
      </w:r>
      <w:r>
        <w:rPr>
          <w:rFonts w:ascii="Verdana" w:eastAsia="Calibri" w:hAnsi="Verdana" w:cs="Arial"/>
          <w:lang w:val="es-ES" w:eastAsia="es-ES"/>
        </w:rPr>
        <w:t xml:space="preserve">corporaciones, fundaciones </w:t>
      </w:r>
      <w:r w:rsidRPr="00A303E8">
        <w:rPr>
          <w:rFonts w:ascii="Verdana" w:eastAsia="Calibri" w:hAnsi="Verdana" w:cs="Arial"/>
          <w:lang w:val="es-ES" w:eastAsia="es-ES"/>
        </w:rPr>
        <w:t>o asociaciones destinan su patrimonio a la consecución de un interés genera</w:t>
      </w:r>
      <w:r>
        <w:rPr>
          <w:rFonts w:ascii="Verdana" w:eastAsia="Calibri" w:hAnsi="Verdana" w:cs="Arial"/>
          <w:lang w:val="es-ES" w:eastAsia="es-ES"/>
        </w:rPr>
        <w:t xml:space="preserve">l y no </w:t>
      </w:r>
      <w:r w:rsidRPr="00A303E8">
        <w:rPr>
          <w:rFonts w:ascii="Verdana" w:eastAsia="Calibri" w:hAnsi="Verdana" w:cs="Arial"/>
          <w:lang w:val="es-ES" w:eastAsia="es-ES"/>
        </w:rPr>
        <w:t>percibe</w:t>
      </w:r>
      <w:r>
        <w:rPr>
          <w:rFonts w:ascii="Verdana" w:eastAsia="Calibri" w:hAnsi="Verdana" w:cs="Arial"/>
          <w:lang w:val="es-ES" w:eastAsia="es-ES"/>
        </w:rPr>
        <w:t>n</w:t>
      </w:r>
      <w:r w:rsidRPr="00A303E8">
        <w:rPr>
          <w:rFonts w:ascii="Verdana" w:eastAsia="Calibri" w:hAnsi="Verdana" w:cs="Arial"/>
          <w:lang w:val="es-ES" w:eastAsia="es-ES"/>
        </w:rPr>
        <w:t xml:space="preserve"> lucro</w:t>
      </w:r>
      <w:r>
        <w:rPr>
          <w:rFonts w:ascii="Verdana" w:eastAsia="Calibri" w:hAnsi="Verdana" w:cs="Arial"/>
          <w:lang w:val="es-ES" w:eastAsia="es-ES"/>
        </w:rPr>
        <w:t xml:space="preserve">, pues los </w:t>
      </w:r>
      <w:r w:rsidRPr="00A303E8">
        <w:rPr>
          <w:rFonts w:ascii="Verdana" w:eastAsia="Calibri" w:hAnsi="Verdana" w:cs="Arial"/>
          <w:lang w:val="es-ES" w:eastAsia="es-ES"/>
        </w:rPr>
        <w:t xml:space="preserve">excedentes monetarios que se presenten </w:t>
      </w:r>
      <w:r>
        <w:rPr>
          <w:rFonts w:ascii="Verdana" w:eastAsia="Calibri" w:hAnsi="Verdana" w:cs="Arial"/>
          <w:lang w:val="es-ES" w:eastAsia="es-ES"/>
        </w:rPr>
        <w:t>deben ser reinvertidos en la ESAL y no es viable</w:t>
      </w:r>
      <w:r w:rsidRPr="00A303E8">
        <w:rPr>
          <w:rFonts w:ascii="Verdana" w:eastAsia="Calibri" w:hAnsi="Verdana" w:cs="Arial"/>
          <w:lang w:val="es-ES" w:eastAsia="es-ES"/>
        </w:rPr>
        <w:t xml:space="preserve"> </w:t>
      </w:r>
      <w:r>
        <w:rPr>
          <w:rFonts w:ascii="Verdana" w:eastAsia="Calibri" w:hAnsi="Verdana" w:cs="Arial"/>
          <w:lang w:val="es-ES" w:eastAsia="es-ES"/>
        </w:rPr>
        <w:t xml:space="preserve">repartirlos </w:t>
      </w:r>
      <w:r w:rsidRPr="00A303E8">
        <w:rPr>
          <w:rFonts w:ascii="Verdana" w:eastAsia="Calibri" w:hAnsi="Verdana" w:cs="Arial"/>
          <w:lang w:val="es-ES" w:eastAsia="es-ES"/>
        </w:rPr>
        <w:t>entre los asociados.</w:t>
      </w:r>
    </w:p>
    <w:p w14:paraId="7EA772F1" w14:textId="77777777" w:rsidR="009E1F9E" w:rsidRPr="00A303E8" w:rsidRDefault="009E1F9E" w:rsidP="009E1F9E">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lastRenderedPageBreak/>
        <w:t>L</w:t>
      </w:r>
      <w:r w:rsidRPr="00A303E8">
        <w:rPr>
          <w:rFonts w:ascii="Verdana" w:eastAsia="Calibri" w:hAnsi="Verdana" w:cs="Arial"/>
          <w:lang w:val="es-ES_tradnl" w:eastAsia="es-ES_tradnl"/>
        </w:rPr>
        <w:t xml:space="preserve">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p>
    <w:p w14:paraId="78F18341" w14:textId="77777777" w:rsidR="009E1F9E" w:rsidRDefault="009E1F9E" w:rsidP="009E1F9E">
      <w:pPr>
        <w:spacing w:after="0" w:line="276" w:lineRule="auto"/>
        <w:ind w:left="709" w:right="709"/>
        <w:jc w:val="both"/>
        <w:rPr>
          <w:rFonts w:ascii="Verdana" w:eastAsia="Calibri" w:hAnsi="Verdana" w:cs="Arial"/>
          <w:sz w:val="20"/>
          <w:szCs w:val="20"/>
          <w:lang w:val="es-ES" w:eastAsia="es-ES"/>
        </w:rPr>
      </w:pPr>
    </w:p>
    <w:p w14:paraId="6445509E" w14:textId="77777777" w:rsidR="009E1F9E" w:rsidRPr="00A303E8" w:rsidRDefault="009E1F9E" w:rsidP="009E1F9E">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303E8">
        <w:rPr>
          <w:rFonts w:ascii="Verdana" w:eastAsia="Calibri" w:hAnsi="Verdana" w:cs="Arial"/>
          <w:sz w:val="20"/>
          <w:szCs w:val="20"/>
          <w:lang w:val="es-ES" w:eastAsia="es-ES"/>
        </w:rPr>
        <w:t>miembros</w:t>
      </w:r>
      <w:proofErr w:type="gramEnd"/>
      <w:r w:rsidRPr="00A303E8">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A303E8">
        <w:rPr>
          <w:rFonts w:ascii="Verdana" w:eastAsia="Calibri" w:hAnsi="Verdana" w:cs="Arial"/>
          <w:sz w:val="20"/>
          <w:szCs w:val="20"/>
          <w:lang w:val="es-ES" w:eastAsia="es-ES"/>
        </w:rPr>
        <w:t>del mismo</w:t>
      </w:r>
      <w:proofErr w:type="gramEnd"/>
      <w:r w:rsidRPr="00A303E8">
        <w:rPr>
          <w:rFonts w:ascii="Verdana" w:eastAsia="Calibri" w:hAnsi="Verdana" w:cs="Arial"/>
          <w:sz w:val="20"/>
          <w:szCs w:val="20"/>
          <w:lang w:val="es-ES" w:eastAsia="es-ES"/>
        </w:rPr>
        <w:t xml:space="preserve"> en el momento de su disolución o liquidación”</w:t>
      </w:r>
      <w:r w:rsidRPr="00997992">
        <w:rPr>
          <w:rStyle w:val="Refdenotaalpie"/>
          <w:rFonts w:ascii="Verdana" w:eastAsia="Calibri" w:hAnsi="Verdana" w:cs="Arial"/>
          <w:lang w:val="es-ES_tradnl" w:eastAsia="es-ES_tradnl"/>
        </w:rPr>
        <w:t xml:space="preserve"> </w:t>
      </w:r>
      <w:r w:rsidRPr="00A303E8">
        <w:rPr>
          <w:rStyle w:val="Refdenotaalpie"/>
          <w:rFonts w:ascii="Verdana" w:eastAsia="Calibri" w:hAnsi="Verdana" w:cs="Arial"/>
          <w:lang w:val="es-ES_tradnl" w:eastAsia="es-ES_tradnl"/>
        </w:rPr>
        <w:footnoteReference w:id="3"/>
      </w:r>
      <w:r w:rsidRPr="00A303E8">
        <w:rPr>
          <w:rFonts w:ascii="Verdana" w:eastAsia="Calibri" w:hAnsi="Verdana" w:cs="Arial"/>
          <w:sz w:val="20"/>
          <w:szCs w:val="20"/>
          <w:lang w:val="es-ES" w:eastAsia="es-ES"/>
        </w:rPr>
        <w:t>.</w:t>
      </w:r>
    </w:p>
    <w:p w14:paraId="5232AEEA" w14:textId="77777777" w:rsidR="009E1F9E" w:rsidRPr="00A303E8" w:rsidRDefault="009E1F9E" w:rsidP="009E1F9E">
      <w:pPr>
        <w:spacing w:after="0" w:line="276" w:lineRule="auto"/>
        <w:ind w:firstLine="709"/>
        <w:jc w:val="both"/>
        <w:rPr>
          <w:rFonts w:ascii="Verdana" w:eastAsia="Calibri" w:hAnsi="Verdana" w:cs="Arial"/>
          <w:lang w:val="es-ES_tradnl" w:eastAsia="es-ES_tradnl"/>
        </w:rPr>
      </w:pPr>
    </w:p>
    <w:p w14:paraId="7D6D27F6" w14:textId="77777777" w:rsidR="009E1F9E" w:rsidRDefault="009E1F9E" w:rsidP="009E1F9E">
      <w:pPr>
        <w:widowControl w:val="0"/>
        <w:autoSpaceDE w:val="0"/>
        <w:autoSpaceDN w:val="0"/>
        <w:spacing w:after="12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5FA30A37" w14:textId="77777777" w:rsidR="009E1F9E" w:rsidRPr="00C74C3B" w:rsidRDefault="009E1F9E" w:rsidP="009E1F9E">
      <w:pPr>
        <w:widowControl w:val="0"/>
        <w:autoSpaceDE w:val="0"/>
        <w:autoSpaceDN w:val="0"/>
        <w:spacing w:after="120" w:line="276" w:lineRule="auto"/>
        <w:ind w:firstLine="709"/>
        <w:jc w:val="both"/>
        <w:rPr>
          <w:rFonts w:ascii="Verdana" w:eastAsia="Calibri" w:hAnsi="Verdana" w:cs="Arial"/>
          <w:lang w:eastAsia="es-ES_tradnl"/>
        </w:rPr>
      </w:pPr>
      <w:r>
        <w:rPr>
          <w:rFonts w:ascii="Verdana" w:eastAsia="Calibri" w:hAnsi="Verdana" w:cs="Arial"/>
          <w:lang w:val="es-ES_tradnl" w:eastAsia="es-ES_tradnl"/>
        </w:rPr>
        <w:t xml:space="preserve">De esta manera, 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xml:space="preserve">. Esta distinción es fundamental porque diferencia a las ESAL de las empresas y las sociedades comerciales en términos de propósito y estructura. Además, el hecho de que estas generen empleo o “riquezas” no las convierte en sociedades comerciales </w:t>
      </w:r>
      <w:r>
        <w:rPr>
          <w:rFonts w:ascii="Verdana" w:eastAsia="Calibri" w:hAnsi="Verdana" w:cs="Arial"/>
          <w:lang w:eastAsia="es-ES_tradnl"/>
        </w:rPr>
        <w:lastRenderedPageBreak/>
        <w:t xml:space="preserve">ni cambia su naturaleza no lucrativa. Por tanto, tampoco se considera procedente referirse a un trato desigual entre iguales. </w:t>
      </w:r>
    </w:p>
    <w:p w14:paraId="0CCBD7F2" w14:textId="77777777" w:rsidR="009E1F9E" w:rsidRPr="00B85486" w:rsidRDefault="009E1F9E" w:rsidP="009E1F9E">
      <w:pPr>
        <w:widowControl w:val="0"/>
        <w:autoSpaceDE w:val="0"/>
        <w:autoSpaceDN w:val="0"/>
        <w:spacing w:after="120" w:line="276" w:lineRule="auto"/>
        <w:jc w:val="both"/>
        <w:rPr>
          <w:rFonts w:ascii="Verdana" w:eastAsia="Calibri" w:hAnsi="Verdana" w:cs="Arial"/>
          <w:lang w:eastAsia="es-ES_tradnl"/>
        </w:rPr>
      </w:pPr>
      <w:proofErr w:type="spellStart"/>
      <w:r>
        <w:rPr>
          <w:rFonts w:ascii="Verdana" w:eastAsia="Calibri" w:hAnsi="Verdana" w:cs="Arial"/>
          <w:lang w:val="es-ES_tradnl" w:eastAsia="es-ES_tradnl"/>
        </w:rPr>
        <w:t>ii</w:t>
      </w:r>
      <w:proofErr w:type="spellEnd"/>
      <w:r>
        <w:rPr>
          <w:rFonts w:ascii="Verdana" w:eastAsia="Calibri" w:hAnsi="Verdana" w:cs="Arial"/>
          <w:lang w:val="es-ES_tradnl" w:eastAsia="es-ES_tradnl"/>
        </w:rPr>
        <w:t xml:space="preserve">. En línea con lo anterior, </w:t>
      </w:r>
      <w:r w:rsidRPr="60F29CF2">
        <w:rPr>
          <w:rFonts w:ascii="Verdana" w:hAnsi="Verdana" w:cs="Arial"/>
          <w:lang w:val="es-ES"/>
        </w:rPr>
        <w:t xml:space="preserve">respecto a la asimilación de las ESAL con las </w:t>
      </w:r>
      <w:proofErr w:type="spellStart"/>
      <w:r w:rsidRPr="60F29CF2">
        <w:rPr>
          <w:rFonts w:ascii="Verdana" w:hAnsi="Verdana" w:cs="Arial"/>
          <w:lang w:val="es-ES"/>
        </w:rPr>
        <w:t>Mipymes</w:t>
      </w:r>
      <w:proofErr w:type="spellEnd"/>
      <w:r w:rsidRPr="60F29CF2">
        <w:rPr>
          <w:rFonts w:ascii="Verdana" w:hAnsi="Verdana" w:cs="Arial"/>
          <w:lang w:val="es-ES"/>
        </w:rPr>
        <w:t xml:space="preserve">, resulta indispensable señalar que el artículo 2 de la Ley 590 de 2000, modificado por el artículo 43 de la Ley 1450 de 2011, define la </w:t>
      </w:r>
      <w:r w:rsidRPr="60F29CF2">
        <w:rPr>
          <w:rFonts w:ascii="Verdana" w:hAnsi="Verdana" w:cs="Arial"/>
          <w:i/>
          <w:iCs/>
          <w:lang w:val="es-ES"/>
        </w:rPr>
        <w:t>empresa</w:t>
      </w:r>
      <w:r w:rsidRPr="60F29CF2">
        <w:rPr>
          <w:rFonts w:ascii="Verdana" w:hAnsi="Verdana" w:cs="Arial"/>
          <w:lang w:val="es-ES"/>
        </w:rPr>
        <w:t xml:space="preserve"> como toda unidad de explotación económica que realiza una persona natural o jurídica en actividades agropecuarias, industriales, comerciales o de servicios</w:t>
      </w:r>
      <w:r w:rsidRPr="60F29CF2">
        <w:rPr>
          <w:rFonts w:ascii="Verdana" w:hAnsi="Verdana" w:cs="Arial"/>
          <w:vertAlign w:val="superscript"/>
          <w:lang w:val="es-ES"/>
        </w:rPr>
        <w:footnoteReference w:id="5"/>
      </w:r>
      <w:r w:rsidRPr="60F29CF2">
        <w:rPr>
          <w:rFonts w:ascii="Verdana" w:hAnsi="Verdana" w:cs="Arial"/>
          <w:lang w:val="es-ES"/>
        </w:rPr>
        <w:t>. Además, establece que estas se clasifican en micro, pequeña, mediana y gran empresa, de acuerdo con los criterios del número de trabajadores totales, el valor de ventas brutales anuales y el valor de activos totales.</w:t>
      </w:r>
      <w:r w:rsidRPr="60F29CF2">
        <w:rPr>
          <w:rFonts w:ascii="Verdana" w:eastAsia="Arial" w:hAnsi="Verdana" w:cs="Arial"/>
          <w:lang w:val="es-ES"/>
        </w:rPr>
        <w:t xml:space="preserve"> Ahora bien, el artículo 2.2.1.13.2.2. del Decreto 1074 de 2015, adicionado por el Decreto 957 de 2019, establece que: </w:t>
      </w:r>
    </w:p>
    <w:p w14:paraId="03280AFA" w14:textId="77777777" w:rsidR="009E1F9E" w:rsidRPr="00362CA6" w:rsidRDefault="009E1F9E" w:rsidP="009E1F9E">
      <w:pPr>
        <w:spacing w:after="120" w:line="276" w:lineRule="auto"/>
        <w:ind w:firstLine="708"/>
        <w:jc w:val="both"/>
        <w:rPr>
          <w:rFonts w:ascii="Verdana" w:hAnsi="Verdana" w:cs="Arial"/>
          <w:lang w:val="es-ES_tradnl"/>
        </w:rPr>
      </w:pPr>
      <w:r>
        <w:rPr>
          <w:rFonts w:ascii="Verdana" w:hAnsi="Verdana" w:cs="Arial"/>
          <w:lang w:val="es-ES_tradnl"/>
        </w:rPr>
        <w:t xml:space="preserve">1. </w:t>
      </w:r>
      <w:r w:rsidRPr="00362CA6">
        <w:rPr>
          <w:rFonts w:ascii="Verdana" w:hAnsi="Verdana" w:cs="Arial"/>
          <w:lang w:val="es-ES_tradnl"/>
        </w:rPr>
        <w:t xml:space="preserve">La </w:t>
      </w:r>
      <w:r w:rsidRPr="00123A43">
        <w:rPr>
          <w:rFonts w:ascii="Verdana" w:hAnsi="Verdana" w:cs="Arial"/>
          <w:i/>
          <w:iCs/>
          <w:lang w:val="es-ES_tradnl"/>
        </w:rPr>
        <w:t>microempresa</w:t>
      </w:r>
      <w:r w:rsidRPr="00362CA6">
        <w:rPr>
          <w:rFonts w:ascii="Verdana" w:hAnsi="Verdana" w:cs="Arial"/>
          <w:lang w:val="es-ES_tradnl"/>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p>
    <w:p w14:paraId="3239C4CE" w14:textId="77777777" w:rsidR="009E1F9E" w:rsidRPr="00362CA6" w:rsidRDefault="009E1F9E" w:rsidP="009E1F9E">
      <w:pPr>
        <w:spacing w:after="120" w:line="276" w:lineRule="auto"/>
        <w:ind w:firstLine="708"/>
        <w:jc w:val="both"/>
        <w:rPr>
          <w:rFonts w:ascii="Verdana" w:hAnsi="Verdana" w:cs="Arial"/>
          <w:lang w:val="es-ES"/>
        </w:rPr>
      </w:pPr>
      <w:r>
        <w:rPr>
          <w:rFonts w:ascii="Verdana" w:hAnsi="Verdana" w:cs="Arial"/>
          <w:lang w:val="es-ES"/>
        </w:rPr>
        <w:t>2.</w:t>
      </w:r>
      <w:r w:rsidRPr="00362CA6">
        <w:rPr>
          <w:rFonts w:ascii="Verdana" w:hAnsi="Verdana" w:cs="Arial"/>
          <w:lang w:val="es-ES"/>
        </w:rPr>
        <w:t xml:space="preserve"> La </w:t>
      </w:r>
      <w:r w:rsidRPr="00123A43">
        <w:rPr>
          <w:rFonts w:ascii="Verdana" w:hAnsi="Verdana" w:cs="Arial"/>
          <w:i/>
          <w:iCs/>
          <w:lang w:val="es-ES"/>
        </w:rPr>
        <w:t>pequeña empresa</w:t>
      </w:r>
      <w:r w:rsidRPr="00362CA6">
        <w:rPr>
          <w:rFonts w:ascii="Verdana" w:hAnsi="Verdana" w:cs="Arial"/>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w:t>
      </w:r>
      <w:r w:rsidRPr="00362CA6">
        <w:rPr>
          <w:rFonts w:ascii="Verdana" w:hAnsi="Verdana" w:cs="Arial"/>
          <w:lang w:val="es-ES"/>
        </w:rPr>
        <w:lastRenderedPageBreak/>
        <w:t>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6D3FDE37" w14:textId="77777777" w:rsidR="009E1F9E" w:rsidRPr="00362CA6" w:rsidRDefault="009E1F9E" w:rsidP="009E1F9E">
      <w:pPr>
        <w:spacing w:after="120" w:line="276" w:lineRule="auto"/>
        <w:ind w:firstLine="709"/>
        <w:jc w:val="both"/>
        <w:rPr>
          <w:rFonts w:ascii="Verdana" w:eastAsia="Arial" w:hAnsi="Verdana" w:cs="Arial"/>
          <w:lang w:val="es-ES"/>
        </w:rPr>
      </w:pPr>
      <w:r>
        <w:rPr>
          <w:rFonts w:ascii="Verdana" w:eastAsia="Arial" w:hAnsi="Verdana" w:cs="Arial"/>
          <w:lang w:val="es-ES"/>
        </w:rPr>
        <w:t>3.</w:t>
      </w:r>
      <w:r w:rsidRPr="00362CA6">
        <w:rPr>
          <w:rFonts w:ascii="Verdana" w:eastAsia="Arial" w:hAnsi="Verdana" w:cs="Arial"/>
          <w:lang w:val="es-ES"/>
        </w:rPr>
        <w:t xml:space="preserve"> La </w:t>
      </w:r>
      <w:r w:rsidRPr="00362CA6">
        <w:rPr>
          <w:rFonts w:ascii="Verdana" w:eastAsia="Arial" w:hAnsi="Verdana" w:cs="Arial"/>
          <w:i/>
          <w:iCs/>
          <w:lang w:val="es-ES"/>
        </w:rPr>
        <w:t>mediana empresa</w:t>
      </w:r>
      <w:r w:rsidRPr="00362CA6">
        <w:rPr>
          <w:rFonts w:ascii="Verdana" w:eastAsia="Arial" w:hAnsi="Verdana" w:cs="Arial"/>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463CCA7B" w14:textId="77777777" w:rsidR="009E1F9E" w:rsidRDefault="009E1F9E" w:rsidP="009E1F9E">
      <w:pPr>
        <w:spacing w:after="120" w:line="276" w:lineRule="auto"/>
        <w:ind w:firstLine="709"/>
        <w:jc w:val="both"/>
        <w:rPr>
          <w:rFonts w:ascii="Verdana" w:hAnsi="Verdana" w:cs="Arial"/>
          <w:lang w:val="es-ES"/>
        </w:rPr>
      </w:pPr>
      <w:r>
        <w:rPr>
          <w:rFonts w:ascii="Verdana" w:hAnsi="Verdana" w:cs="Arial"/>
          <w:lang w:val="es-ES"/>
        </w:rPr>
        <w:t>Con base en lo anterior</w:t>
      </w:r>
      <w:r w:rsidRPr="60F29CF2">
        <w:rPr>
          <w:rFonts w:ascii="Verdana" w:hAnsi="Verdana" w:cs="Arial"/>
          <w:lang w:val="es-ES"/>
        </w:rPr>
        <w:t>, esta Agencia ha sostenido de forma reiterada la tesis consistente en que las ESAL no pueden</w:t>
      </w:r>
      <w:r>
        <w:rPr>
          <w:rFonts w:ascii="Verdana" w:hAnsi="Verdana" w:cs="Arial"/>
          <w:lang w:val="es-ES"/>
        </w:rPr>
        <w:t>, por regla general,</w:t>
      </w:r>
      <w:r w:rsidRPr="60F29CF2">
        <w:rPr>
          <w:rFonts w:ascii="Verdana" w:hAnsi="Verdana" w:cs="Arial"/>
          <w:lang w:val="es-ES"/>
        </w:rPr>
        <w:t xml:space="preserve"> acceder a los beneficios a favor de las </w:t>
      </w:r>
      <w:proofErr w:type="spellStart"/>
      <w:r w:rsidRPr="60F29CF2">
        <w:rPr>
          <w:rFonts w:ascii="Verdana" w:hAnsi="Verdana" w:cs="Arial"/>
          <w:lang w:val="es-ES"/>
        </w:rPr>
        <w:t>Mipymes</w:t>
      </w:r>
      <w:proofErr w:type="spellEnd"/>
      <w:r w:rsidRPr="60F29CF2">
        <w:rPr>
          <w:rFonts w:ascii="Verdana" w:hAnsi="Verdana" w:cs="Arial"/>
          <w:lang w:val="es-ES"/>
        </w:rPr>
        <w:t xml:space="preserve"> ni participar en los procesos contractuales limitados a estas</w:t>
      </w:r>
      <w:r>
        <w:rPr>
          <w:rFonts w:ascii="Verdana" w:hAnsi="Verdana" w:cs="Arial"/>
          <w:lang w:val="es-ES"/>
        </w:rPr>
        <w:t xml:space="preserve"> </w:t>
      </w:r>
      <w:r w:rsidRPr="60F29CF2">
        <w:rPr>
          <w:rFonts w:ascii="Verdana" w:hAnsi="Verdana" w:cs="Arial"/>
          <w:lang w:val="es-ES"/>
        </w:rPr>
        <w:t xml:space="preserve">considerando que: </w:t>
      </w:r>
    </w:p>
    <w:p w14:paraId="2530BD1B" w14:textId="77777777" w:rsidR="009E1F9E" w:rsidRPr="000C3249" w:rsidRDefault="009E1F9E" w:rsidP="009E1F9E">
      <w:pPr>
        <w:spacing w:after="0" w:line="276" w:lineRule="auto"/>
        <w:ind w:left="709" w:right="709"/>
        <w:jc w:val="both"/>
        <w:rPr>
          <w:rFonts w:ascii="Verdana" w:hAnsi="Verdana" w:cs="Arial"/>
          <w:lang w:val="es-ES_tradnl"/>
        </w:rPr>
      </w:pPr>
    </w:p>
    <w:p w14:paraId="59D38847" w14:textId="77777777" w:rsidR="009E1F9E" w:rsidRDefault="009E1F9E" w:rsidP="009E1F9E">
      <w:pPr>
        <w:spacing w:after="0" w:line="240" w:lineRule="auto"/>
        <w:ind w:left="709" w:right="709"/>
        <w:jc w:val="both"/>
        <w:rPr>
          <w:rFonts w:ascii="Verdana" w:hAnsi="Verdana" w:cs="Arial"/>
          <w:sz w:val="20"/>
          <w:szCs w:val="20"/>
        </w:rPr>
      </w:pPr>
      <w:r w:rsidRPr="000C3249">
        <w:rPr>
          <w:rFonts w:ascii="Verdana" w:hAnsi="Verdana" w:cs="Arial"/>
          <w:sz w:val="20"/>
          <w:szCs w:val="20"/>
          <w:lang w:val="es-ES_tradnl"/>
        </w:rPr>
        <w:t>“</w:t>
      </w:r>
      <w:r w:rsidRPr="000C3249">
        <w:rPr>
          <w:rFonts w:ascii="Verdana" w:hAnsi="Verdana" w:cs="Arial"/>
          <w:sz w:val="20"/>
          <w:szCs w:val="20"/>
        </w:rPr>
        <w:t xml:space="preserve">en virtud del artículo 43 de la Ley 1450 de 2011, que modificó el artículo 2 de la Ley 590 de 2000, […] puede decirse que solo podrán ser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Lo anterior teniendo en cuenta que </w:t>
      </w:r>
      <w:r w:rsidRPr="000C3249">
        <w:rPr>
          <w:rFonts w:ascii="Verdana" w:hAnsi="Verdana" w:cs="Arial"/>
          <w:i/>
          <w:iCs/>
          <w:sz w:val="20"/>
          <w:szCs w:val="20"/>
        </w:rPr>
        <w:t xml:space="preserve">no responden al concepto de empresa que involucra dicha categoría con ánimo de lucro, por lo que no resulta </w:t>
      </w:r>
      <w:r w:rsidRPr="000C3249">
        <w:rPr>
          <w:rFonts w:ascii="Verdana" w:hAnsi="Verdana" w:cs="Arial"/>
          <w:i/>
          <w:iCs/>
          <w:sz w:val="20"/>
          <w:szCs w:val="20"/>
        </w:rPr>
        <w:lastRenderedPageBreak/>
        <w:t xml:space="preserve">jurídicamente válido aplicar a las ESAL las normas dirigidas a las </w:t>
      </w:r>
      <w:proofErr w:type="spellStart"/>
      <w:r w:rsidRPr="000C3249">
        <w:rPr>
          <w:rFonts w:ascii="Verdana" w:hAnsi="Verdana" w:cs="Arial"/>
          <w:i/>
          <w:iCs/>
          <w:sz w:val="20"/>
          <w:szCs w:val="20"/>
        </w:rPr>
        <w:t>Mipymes</w:t>
      </w:r>
      <w:proofErr w:type="spellEnd"/>
      <w:r w:rsidRPr="000C3249">
        <w:rPr>
          <w:rFonts w:ascii="Verdana" w:hAnsi="Verdana" w:cs="Arial"/>
          <w:sz w:val="20"/>
          <w:szCs w:val="20"/>
        </w:rPr>
        <w:t>”</w:t>
      </w:r>
      <w:r w:rsidRPr="000C3249">
        <w:rPr>
          <w:rFonts w:ascii="Verdana" w:hAnsi="Verdana" w:cs="Arial"/>
          <w:sz w:val="20"/>
          <w:szCs w:val="20"/>
          <w:vertAlign w:val="superscript"/>
        </w:rPr>
        <w:footnoteReference w:id="6"/>
      </w:r>
      <w:r w:rsidRPr="000C3249">
        <w:rPr>
          <w:rFonts w:ascii="Verdana" w:hAnsi="Verdana" w:cs="Arial"/>
          <w:sz w:val="20"/>
          <w:szCs w:val="20"/>
        </w:rPr>
        <w:t xml:space="preserve">. </w:t>
      </w:r>
    </w:p>
    <w:p w14:paraId="231FF2F9" w14:textId="77777777" w:rsidR="009E1F9E" w:rsidRPr="00357F20" w:rsidRDefault="009E1F9E" w:rsidP="009E1F9E">
      <w:pPr>
        <w:spacing w:after="0" w:line="276" w:lineRule="auto"/>
        <w:ind w:left="709" w:right="709"/>
        <w:jc w:val="both"/>
        <w:rPr>
          <w:rFonts w:ascii="Verdana" w:hAnsi="Verdana" w:cs="Arial"/>
        </w:rPr>
      </w:pPr>
    </w:p>
    <w:p w14:paraId="1BB8F282" w14:textId="77777777" w:rsidR="009E1F9E" w:rsidRDefault="009E1F9E" w:rsidP="009E1F9E">
      <w:pPr>
        <w:spacing w:after="120" w:line="276" w:lineRule="auto"/>
        <w:ind w:firstLine="709"/>
        <w:jc w:val="both"/>
        <w:rPr>
          <w:rFonts w:ascii="Verdana" w:hAnsi="Verdana" w:cs="Arial"/>
          <w:lang w:val="es-ES"/>
        </w:rPr>
      </w:pPr>
      <w:r>
        <w:rPr>
          <w:rFonts w:ascii="Verdana" w:hAnsi="Verdana" w:cs="Arial"/>
          <w:lang w:val="es-ES"/>
        </w:rPr>
        <w:t>Según esta</w:t>
      </w:r>
      <w:r w:rsidRPr="00362CA6">
        <w:rPr>
          <w:rFonts w:ascii="Verdana" w:hAnsi="Verdana" w:cs="Arial"/>
          <w:lang w:val="es-ES"/>
        </w:rPr>
        <w:t xml:space="preserve"> postura,</w:t>
      </w:r>
      <w:r>
        <w:rPr>
          <w:rFonts w:ascii="Verdana" w:hAnsi="Verdana" w:cs="Arial"/>
          <w:lang w:val="es-ES"/>
        </w:rPr>
        <w:t xml:space="preserve"> y</w:t>
      </w:r>
      <w:r w:rsidRPr="00362CA6">
        <w:rPr>
          <w:rFonts w:ascii="Verdana" w:hAnsi="Verdana" w:cs="Arial"/>
          <w:lang w:val="es-ES"/>
        </w:rPr>
        <w:t xml:space="preserve"> en virtud de</w:t>
      </w:r>
      <w:r>
        <w:rPr>
          <w:rFonts w:ascii="Verdana" w:hAnsi="Verdana" w:cs="Arial"/>
          <w:lang w:val="es-ES"/>
        </w:rPr>
        <w:t xml:space="preserve"> lo señalado en el</w:t>
      </w:r>
      <w:r w:rsidRPr="00362CA6">
        <w:rPr>
          <w:rFonts w:ascii="Verdana" w:hAnsi="Verdana" w:cs="Arial"/>
          <w:lang w:val="es-ES"/>
        </w:rPr>
        <w:t xml:space="preserve"> artículo 43 de la Ley 1450 de 2011, que modificó el artículo 2 de la Ley 590 de 2000, solo podrán ser </w:t>
      </w:r>
      <w:r>
        <w:rPr>
          <w:rFonts w:ascii="Verdana" w:hAnsi="Verdana" w:cs="Arial"/>
          <w:lang w:val="es-ES"/>
        </w:rPr>
        <w:t xml:space="preserve">consideradas </w:t>
      </w:r>
      <w:proofErr w:type="spellStart"/>
      <w:r w:rsidRPr="00362CA6">
        <w:rPr>
          <w:rFonts w:ascii="Verdana" w:hAnsi="Verdana" w:cs="Arial"/>
          <w:lang w:val="es-ES"/>
        </w:rPr>
        <w:t>Mipymes</w:t>
      </w:r>
      <w:proofErr w:type="spellEnd"/>
      <w:r w:rsidRPr="00362CA6">
        <w:rPr>
          <w:rFonts w:ascii="Verdana" w:hAnsi="Verdana" w:cs="Arial"/>
          <w:lang w:val="es-ES"/>
        </w:rPr>
        <w:t xml:space="preserve"> las empresas, </w:t>
      </w:r>
      <w:r>
        <w:rPr>
          <w:rFonts w:ascii="Verdana" w:hAnsi="Verdana" w:cs="Arial"/>
          <w:lang w:val="es-ES"/>
        </w:rPr>
        <w:t xml:space="preserve">pues son </w:t>
      </w:r>
      <w:r w:rsidRPr="00362CA6">
        <w:rPr>
          <w:rFonts w:ascii="Verdana" w:hAnsi="Verdana" w:cs="Arial"/>
          <w:lang w:val="es-ES"/>
        </w:rPr>
        <w:t xml:space="preserve">unidades de explotación económica que buscan el reparto de utilidades entre los miembros de la empresa, sin perjuicio de las precisiones que se realizarán más adelante en relación con el artículo 23 de la Ley 2069 de 2020. </w:t>
      </w:r>
    </w:p>
    <w:p w14:paraId="213C139C" w14:textId="77777777" w:rsidR="009E1F9E" w:rsidRDefault="009E1F9E" w:rsidP="009E1F9E">
      <w:pPr>
        <w:spacing w:after="120" w:line="276" w:lineRule="auto"/>
        <w:ind w:firstLine="709"/>
        <w:jc w:val="both"/>
        <w:rPr>
          <w:rFonts w:ascii="Verdana" w:hAnsi="Verdana" w:cs="Arial"/>
          <w:lang w:val="es-ES"/>
        </w:rPr>
      </w:pPr>
      <w:r>
        <w:rPr>
          <w:rFonts w:ascii="Verdana" w:hAnsi="Verdana" w:cs="Arial"/>
          <w:lang w:val="es-ES"/>
        </w:rPr>
        <w:t xml:space="preserve">De esta forma, </w:t>
      </w:r>
      <w:r w:rsidRPr="0040650F">
        <w:rPr>
          <w:rFonts w:ascii="Verdana" w:hAnsi="Verdana" w:cs="Arial"/>
          <w:lang w:val="es-ES"/>
        </w:rPr>
        <w:t>es claro que solo pueden ser consideradas MiPymes las empresas, entendidas estas como las unidades de explotación económica</w:t>
      </w:r>
      <w:r>
        <w:rPr>
          <w:rFonts w:ascii="Verdana" w:hAnsi="Verdana" w:cs="Arial"/>
          <w:lang w:val="es-ES"/>
        </w:rPr>
        <w:t>,</w:t>
      </w:r>
      <w:r w:rsidRPr="0040650F">
        <w:rPr>
          <w:rFonts w:ascii="Verdana" w:hAnsi="Verdana" w:cs="Arial"/>
          <w:lang w:val="es-ES"/>
        </w:rPr>
        <w:t xml:space="preserve"> que buscan el reparto de utilidades entre los miembros de la empresa. </w:t>
      </w:r>
      <w:r>
        <w:rPr>
          <w:rFonts w:ascii="Verdana" w:hAnsi="Verdana" w:cs="Arial"/>
          <w:lang w:val="es-ES"/>
        </w:rPr>
        <w:t>E</w:t>
      </w:r>
      <w:r w:rsidRPr="0040650F">
        <w:rPr>
          <w:rFonts w:ascii="Verdana" w:hAnsi="Verdana" w:cs="Arial"/>
          <w:lang w:val="es-ES"/>
        </w:rPr>
        <w:t xml:space="preserv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967EED">
        <w:rPr>
          <w:rFonts w:ascii="Verdana" w:hAnsi="Verdana" w:cs="Arial"/>
        </w:rPr>
        <w:t>n</w:t>
      </w:r>
      <w:r>
        <w:rPr>
          <w:rFonts w:ascii="Verdana" w:hAnsi="Verdana" w:cs="Arial"/>
        </w:rPr>
        <w:t>i</w:t>
      </w:r>
      <w:r w:rsidRPr="00967EED">
        <w:rPr>
          <w:rFonts w:ascii="Verdana" w:hAnsi="Verdana" w:cs="Arial"/>
        </w:rPr>
        <w:t xml:space="preserve"> participar en los procesos de contratación limitado</w:t>
      </w:r>
      <w:r>
        <w:rPr>
          <w:rFonts w:ascii="Verdana" w:hAnsi="Verdana" w:cs="Arial"/>
        </w:rPr>
        <w:t>s</w:t>
      </w:r>
      <w:r w:rsidRPr="00967EED">
        <w:rPr>
          <w:rFonts w:ascii="Verdana" w:hAnsi="Verdana" w:cs="Arial"/>
        </w:rPr>
        <w:t xml:space="preserve"> a </w:t>
      </w:r>
      <w:r>
        <w:rPr>
          <w:rFonts w:ascii="Verdana" w:hAnsi="Verdana" w:cs="Arial"/>
        </w:rPr>
        <w:t>M</w:t>
      </w:r>
      <w:r w:rsidRPr="00967EED">
        <w:rPr>
          <w:rFonts w:ascii="Verdana" w:hAnsi="Verdana" w:cs="Arial"/>
        </w:rPr>
        <w:t>iPymes</w:t>
      </w:r>
      <w:r>
        <w:rPr>
          <w:rFonts w:ascii="Verdana" w:hAnsi="Verdana" w:cs="Arial"/>
          <w:lang w:val="es-ES"/>
        </w:rPr>
        <w:t>.</w:t>
      </w:r>
    </w:p>
    <w:p w14:paraId="18C90BDC" w14:textId="77777777" w:rsidR="009E1F9E" w:rsidRPr="00BA3CEC" w:rsidRDefault="009E1F9E" w:rsidP="009E1F9E">
      <w:pPr>
        <w:spacing w:after="120" w:line="276" w:lineRule="auto"/>
        <w:ind w:firstLine="708"/>
        <w:jc w:val="both"/>
        <w:rPr>
          <w:rFonts w:ascii="Verdana" w:hAnsi="Verdana" w:cs="Arial"/>
          <w:color w:val="000000" w:themeColor="text1"/>
          <w:lang w:val="es-ES"/>
        </w:rPr>
      </w:pPr>
      <w:r>
        <w:rPr>
          <w:rFonts w:ascii="Verdana" w:hAnsi="Verdana" w:cs="Arial"/>
          <w:lang w:val="es-ES"/>
        </w:rPr>
        <w:t xml:space="preserve">Bajo esta perspectiva, </w:t>
      </w:r>
      <w:r>
        <w:rPr>
          <w:rFonts w:ascii="Verdana" w:hAnsi="Verdana" w:cs="Arial"/>
        </w:rPr>
        <w:t xml:space="preserve">vale anotar </w:t>
      </w:r>
      <w:proofErr w:type="gramStart"/>
      <w:r>
        <w:rPr>
          <w:rFonts w:ascii="Verdana" w:hAnsi="Verdana" w:cs="Arial"/>
        </w:rPr>
        <w:t>que</w:t>
      </w:r>
      <w:proofErr w:type="gramEnd"/>
      <w:r>
        <w:rPr>
          <w:rFonts w:ascii="Verdana" w:hAnsi="Verdana" w:cs="Arial"/>
        </w:rPr>
        <w:t xml:space="preserve"> s</w:t>
      </w:r>
      <w:r w:rsidRPr="004B20C3">
        <w:rPr>
          <w:rFonts w:ascii="Verdana" w:hAnsi="Verdana" w:cs="Arial"/>
        </w:rPr>
        <w:t xml:space="preserve">i bien las </w:t>
      </w:r>
      <w:r>
        <w:rPr>
          <w:rFonts w:ascii="Verdana" w:hAnsi="Verdana" w:cs="Arial"/>
        </w:rPr>
        <w:t>ESAL pueden</w:t>
      </w:r>
      <w:r w:rsidRPr="004B20C3">
        <w:rPr>
          <w:rFonts w:ascii="Verdana" w:hAnsi="Verdana" w:cs="Arial"/>
        </w:rPr>
        <w:t xml:space="preserve"> interact</w:t>
      </w:r>
      <w:r>
        <w:rPr>
          <w:rFonts w:ascii="Verdana" w:hAnsi="Verdana" w:cs="Arial"/>
        </w:rPr>
        <w:t>uar</w:t>
      </w:r>
      <w:r w:rsidRPr="004B20C3">
        <w:rPr>
          <w:rFonts w:ascii="Verdana" w:hAnsi="Verdana" w:cs="Arial"/>
        </w:rPr>
        <w:t xml:space="preserve"> con el mercado</w:t>
      </w:r>
      <w:r>
        <w:rPr>
          <w:rFonts w:ascii="Verdana" w:hAnsi="Verdana" w:cs="Arial"/>
        </w:rPr>
        <w:t>,</w:t>
      </w:r>
      <w:r w:rsidRPr="004B20C3">
        <w:rPr>
          <w:rFonts w:ascii="Verdana" w:hAnsi="Verdana" w:cs="Arial"/>
        </w:rPr>
        <w:t xml:space="preserve"> esta actividad no las convierte, </w:t>
      </w:r>
      <w:r w:rsidRPr="00CD7A55">
        <w:rPr>
          <w:rFonts w:ascii="Verdana" w:hAnsi="Verdana" w:cs="Arial"/>
          <w:i/>
          <w:iCs/>
        </w:rPr>
        <w:t>per se,</w:t>
      </w:r>
      <w:r w:rsidRPr="004B20C3">
        <w:rPr>
          <w:rFonts w:ascii="Verdana" w:hAnsi="Verdana" w:cs="Arial"/>
        </w:rPr>
        <w:t xml:space="preserve"> en empresas en el sentido comercial </w:t>
      </w:r>
      <w:r>
        <w:rPr>
          <w:rFonts w:ascii="Verdana" w:hAnsi="Verdana" w:cs="Arial"/>
        </w:rPr>
        <w:t xml:space="preserve">puesto que </w:t>
      </w:r>
      <w:r w:rsidRPr="004B20C3">
        <w:rPr>
          <w:rFonts w:ascii="Verdana" w:hAnsi="Verdana" w:cs="Arial"/>
        </w:rPr>
        <w:t>la ausencia de ánimo de lucro y l</w:t>
      </w:r>
      <w:r>
        <w:rPr>
          <w:rFonts w:ascii="Verdana" w:hAnsi="Verdana" w:cs="Arial"/>
        </w:rPr>
        <w:t>o referente a la repartición de utilidades</w:t>
      </w:r>
      <w:r w:rsidRPr="004B20C3">
        <w:rPr>
          <w:rFonts w:ascii="Verdana" w:hAnsi="Verdana" w:cs="Arial"/>
        </w:rPr>
        <w:t xml:space="preserve"> constituye un elemento que las excluye de la noción de empresa. Por tanto, su naturaleza jurídica es la de una organización civil con finalidad social, y no la de una sociedad mercantil orientada al lucro</w:t>
      </w:r>
      <w:r>
        <w:rPr>
          <w:rFonts w:ascii="Verdana" w:hAnsi="Verdana" w:cs="Arial"/>
        </w:rPr>
        <w:t>, lo que la excluye de</w:t>
      </w:r>
      <w:r w:rsidRPr="00F14926">
        <w:rPr>
          <w:rFonts w:ascii="Verdana" w:hAnsi="Verdana" w:cs="Arial"/>
        </w:rPr>
        <w:t xml:space="preserve"> la lógica de promoción que busca l</w:t>
      </w:r>
      <w:r>
        <w:rPr>
          <w:rFonts w:ascii="Verdana" w:hAnsi="Verdana" w:cs="Arial"/>
        </w:rPr>
        <w:t xml:space="preserve">a Ley 2069 de 2020 </w:t>
      </w:r>
      <w:r w:rsidRPr="00F14926">
        <w:rPr>
          <w:rFonts w:ascii="Verdana" w:hAnsi="Verdana" w:cs="Arial"/>
        </w:rPr>
        <w:t>para fortalecer el emprendimiento empresarial con fines comerciales</w:t>
      </w:r>
      <w:r>
        <w:rPr>
          <w:rFonts w:ascii="Verdana" w:hAnsi="Verdana" w:cs="Arial"/>
        </w:rPr>
        <w:t xml:space="preserve"> en el sistema de compras públicas</w:t>
      </w:r>
      <w:r w:rsidRPr="00F14926">
        <w:rPr>
          <w:rFonts w:ascii="Verdana" w:hAnsi="Verdana" w:cs="Arial"/>
        </w:rPr>
        <w:t>.</w:t>
      </w:r>
    </w:p>
    <w:p w14:paraId="73D8B5A2" w14:textId="77777777" w:rsidR="009E1F9E" w:rsidRDefault="009E1F9E" w:rsidP="009E1F9E">
      <w:pPr>
        <w:spacing w:after="120" w:line="276" w:lineRule="auto"/>
        <w:ind w:firstLine="709"/>
        <w:jc w:val="both"/>
      </w:pPr>
      <w:r w:rsidRPr="0097051B">
        <w:rPr>
          <w:rFonts w:ascii="Verdana" w:hAnsi="Verdana" w:cs="Arial"/>
          <w:lang w:val="es-ES"/>
        </w:rPr>
        <w:t xml:space="preserve"> </w:t>
      </w:r>
      <w:r w:rsidRPr="0040650F">
        <w:rPr>
          <w:rFonts w:ascii="Verdana" w:hAnsi="Verdana" w:cs="Arial"/>
          <w:lang w:val="es-ES"/>
        </w:rPr>
        <w:t>Esto no significa que las ESAL no</w:t>
      </w:r>
      <w:r>
        <w:rPr>
          <w:rFonts w:ascii="Verdana" w:hAnsi="Verdana" w:cs="Arial"/>
          <w:lang w:val="es-ES"/>
        </w:rPr>
        <w:t xml:space="preserve"> sean personas jurídicas o no tengan capacidad de contratar con las entidades estatales. Por el contrario, </w:t>
      </w:r>
      <w:r w:rsidRPr="00362CA6">
        <w:rPr>
          <w:rFonts w:ascii="Verdana" w:hAnsi="Verdana" w:cs="Arial"/>
          <w:lang w:val="es-ES"/>
        </w:rPr>
        <w:t>el Decreto 092 de 2017 reguló su régimen especial de contratación</w:t>
      </w:r>
      <w:r>
        <w:rPr>
          <w:rFonts w:ascii="Verdana" w:hAnsi="Verdana" w:cs="Arial"/>
          <w:lang w:val="es-ES"/>
        </w:rPr>
        <w:t xml:space="preserve"> y nada impide que</w:t>
      </w:r>
      <w:r w:rsidRPr="0040650F">
        <w:rPr>
          <w:rFonts w:ascii="Verdana" w:hAnsi="Verdana" w:cs="Arial"/>
          <w:lang w:val="es-ES"/>
        </w:rPr>
        <w:t xml:space="preserve"> puedan participar en términos de igualdad con los demás oferentes, en los procesos contractuales </w:t>
      </w:r>
      <w:r>
        <w:rPr>
          <w:rFonts w:ascii="Verdana" w:hAnsi="Verdana" w:cs="Arial"/>
          <w:lang w:val="es-ES"/>
        </w:rPr>
        <w:t xml:space="preserve">del </w:t>
      </w:r>
      <w:r w:rsidRPr="0040650F">
        <w:rPr>
          <w:rFonts w:ascii="Verdana" w:hAnsi="Verdana" w:cs="Arial"/>
          <w:lang w:val="es-ES"/>
        </w:rPr>
        <w:t xml:space="preserve">Estatuto General de Contratación de la Administración Pública, salvo aquellos procesos contractuales limitados a </w:t>
      </w:r>
      <w:proofErr w:type="spellStart"/>
      <w:r w:rsidRPr="0040650F">
        <w:rPr>
          <w:rFonts w:ascii="Verdana" w:hAnsi="Verdana" w:cs="Arial"/>
          <w:lang w:val="es-ES"/>
        </w:rPr>
        <w:lastRenderedPageBreak/>
        <w:t>Mipymes</w:t>
      </w:r>
      <w:proofErr w:type="spellEnd"/>
      <w:r w:rsidRPr="0040650F">
        <w:rPr>
          <w:rFonts w:ascii="Verdana" w:hAnsi="Verdana" w:cs="Arial"/>
          <w:lang w:val="es-ES"/>
        </w:rPr>
        <w:t xml:space="preserve"> de conformidad con los artículos 2.2.1.2.4.2.2</w:t>
      </w:r>
      <w:r>
        <w:rPr>
          <w:rStyle w:val="Refdenotaalpie"/>
          <w:rFonts w:ascii="Verdana" w:eastAsia="Calibri" w:hAnsi="Verdana" w:cs="Arial"/>
          <w:color w:val="000000" w:themeColor="text1"/>
          <w:lang w:val="es-ES"/>
        </w:rPr>
        <w:footnoteReference w:id="7"/>
      </w:r>
      <w:r w:rsidRPr="0040650F">
        <w:rPr>
          <w:rFonts w:ascii="Verdana" w:hAnsi="Verdana" w:cs="Arial"/>
          <w:lang w:val="es-ES"/>
        </w:rPr>
        <w:t xml:space="preserve"> y 2.2.1.2.4.2.3</w:t>
      </w:r>
      <w:r>
        <w:rPr>
          <w:rStyle w:val="Refdenotaalpie"/>
          <w:rFonts w:ascii="Verdana" w:hAnsi="Verdana" w:cs="Arial"/>
          <w:lang w:val="es-ES"/>
        </w:rPr>
        <w:footnoteReference w:id="8"/>
      </w:r>
      <w:r w:rsidRPr="0040650F">
        <w:rPr>
          <w:rFonts w:ascii="Verdana" w:hAnsi="Verdana" w:cs="Arial"/>
          <w:lang w:val="es-ES"/>
        </w:rPr>
        <w:t xml:space="preserve"> del Decreto 1082 de 2015</w:t>
      </w:r>
      <w:r>
        <w:rPr>
          <w:rFonts w:ascii="Verdana" w:hAnsi="Verdana" w:cs="Arial"/>
          <w:lang w:val="es-ES"/>
        </w:rPr>
        <w:t>.</w:t>
      </w:r>
      <w:r w:rsidRPr="008A0C54">
        <w:t xml:space="preserve"> </w:t>
      </w:r>
    </w:p>
    <w:p w14:paraId="5BBD0954" w14:textId="77777777" w:rsidR="009E1F9E" w:rsidRPr="00362CA6" w:rsidRDefault="009E1F9E" w:rsidP="009E1F9E">
      <w:pPr>
        <w:spacing w:after="120" w:line="276" w:lineRule="auto"/>
        <w:ind w:firstLine="709"/>
        <w:jc w:val="both"/>
        <w:rPr>
          <w:rFonts w:ascii="Verdana" w:hAnsi="Verdana" w:cs="Arial"/>
          <w:lang w:val="es-ES"/>
        </w:rPr>
      </w:pPr>
      <w:r>
        <w:rPr>
          <w:rFonts w:ascii="Verdana" w:hAnsi="Verdana" w:cs="Arial"/>
        </w:rPr>
        <w:t>De hecho, l</w:t>
      </w:r>
      <w:r w:rsidRPr="008A0C54">
        <w:rPr>
          <w:rFonts w:ascii="Verdana" w:hAnsi="Verdana" w:cs="Arial"/>
        </w:rPr>
        <w:t xml:space="preserve">a existencia de esta regulación específica evidencia que las ESAL no se equiparan jurídicamente a las sociedades comerciales ni a las </w:t>
      </w:r>
      <w:proofErr w:type="spellStart"/>
      <w:r w:rsidRPr="008A0C54">
        <w:rPr>
          <w:rFonts w:ascii="Verdana" w:hAnsi="Verdana" w:cs="Arial"/>
        </w:rPr>
        <w:t>Mipymes</w:t>
      </w:r>
      <w:proofErr w:type="spellEnd"/>
      <w:r w:rsidRPr="008A0C54">
        <w:rPr>
          <w:rFonts w:ascii="Verdana" w:hAnsi="Verdana" w:cs="Arial"/>
        </w:rPr>
        <w:t xml:space="preserve">, dado que el marco normativo las distingue claramente, destinando para ellas un régimen contractual particular. Esto confirma que, aunque las ESAL pueden concurrir a procesos de contratación pública, no forman parte de la categoría de </w:t>
      </w:r>
      <w:proofErr w:type="spellStart"/>
      <w:r w:rsidRPr="008A0C54">
        <w:rPr>
          <w:rFonts w:ascii="Verdana" w:hAnsi="Verdana" w:cs="Arial"/>
        </w:rPr>
        <w:t>Mipymes</w:t>
      </w:r>
      <w:proofErr w:type="spellEnd"/>
      <w:r w:rsidRPr="008A0C54">
        <w:rPr>
          <w:rFonts w:ascii="Verdana" w:hAnsi="Verdana" w:cs="Arial"/>
        </w:rPr>
        <w:t xml:space="preserve"> ni pueden ser tratadas bajo el mismo régimen legal que estas, lo que respalda su naturaleza jurídica especial y su finalidad no lucrativa.</w:t>
      </w:r>
    </w:p>
    <w:p w14:paraId="7E1BB08E" w14:textId="77777777" w:rsidR="009E1F9E" w:rsidRDefault="009E1F9E" w:rsidP="009E1F9E">
      <w:pPr>
        <w:spacing w:after="120" w:line="276" w:lineRule="auto"/>
        <w:jc w:val="both"/>
        <w:rPr>
          <w:rFonts w:ascii="Verdana" w:eastAsia="Calibri" w:hAnsi="Verdana" w:cs="Arial"/>
          <w:color w:val="000000" w:themeColor="text1"/>
          <w:lang w:val="es-ES"/>
        </w:rPr>
      </w:pPr>
      <w:proofErr w:type="spellStart"/>
      <w:r>
        <w:rPr>
          <w:rFonts w:ascii="Verdana" w:hAnsi="Verdana" w:cs="Arial"/>
          <w:lang w:val="es-ES"/>
        </w:rPr>
        <w:t>iii</w:t>
      </w:r>
      <w:proofErr w:type="spellEnd"/>
      <w:r>
        <w:rPr>
          <w:rFonts w:ascii="Verdana" w:hAnsi="Verdana" w:cs="Arial"/>
          <w:lang w:val="es-ES"/>
        </w:rPr>
        <w:t xml:space="preserve">. Aunque no es posible que las ESAL sean equiparadas a las MiPymes en la normativa del sistema de compras públicas, es necesario aclarar que la Ley determinó un matiz para esta regla. </w:t>
      </w:r>
      <w:r>
        <w:rPr>
          <w:rFonts w:ascii="Verdana" w:eastAsia="Calibri" w:hAnsi="Verdana" w:cs="Arial"/>
          <w:color w:val="000000" w:themeColor="text1"/>
          <w:lang w:val="es-ES"/>
        </w:rPr>
        <w:t>E</w:t>
      </w:r>
      <w:r w:rsidRPr="00362CA6">
        <w:rPr>
          <w:rFonts w:ascii="Verdana" w:eastAsia="Calibri" w:hAnsi="Verdana" w:cs="Arial"/>
          <w:color w:val="000000" w:themeColor="text1"/>
          <w:lang w:val="es-ES"/>
        </w:rPr>
        <w:t>l artículo 23 de la Ley 2069 de 2020</w:t>
      </w:r>
      <w:r>
        <w:rPr>
          <w:rFonts w:ascii="Verdana" w:eastAsia="Calibri" w:hAnsi="Verdana" w:cs="Arial"/>
          <w:color w:val="000000" w:themeColor="text1"/>
          <w:lang w:val="es-ES"/>
        </w:rPr>
        <w:t xml:space="preserve"> </w:t>
      </w:r>
      <w:r w:rsidRPr="00362CA6">
        <w:rPr>
          <w:rFonts w:ascii="Verdana" w:eastAsia="Calibri" w:hAnsi="Verdana" w:cs="Arial"/>
          <w:color w:val="000000" w:themeColor="text1"/>
          <w:lang w:val="es-ES"/>
        </w:rPr>
        <w:t xml:space="preserve">asimila las cooperativas y las </w:t>
      </w:r>
      <w:r w:rsidRPr="00756D53">
        <w:rPr>
          <w:rFonts w:ascii="Verdana" w:eastAsia="Calibri" w:hAnsi="Verdana" w:cs="Arial"/>
          <w:color w:val="000000" w:themeColor="text1"/>
          <w:lang w:val="es-ES"/>
        </w:rPr>
        <w:t>demás entidades de economía solidaria -que incluy</w:t>
      </w:r>
      <w:r>
        <w:rPr>
          <w:rFonts w:ascii="Verdana" w:eastAsia="Calibri" w:hAnsi="Verdana" w:cs="Arial"/>
          <w:color w:val="000000" w:themeColor="text1"/>
          <w:lang w:val="es-ES"/>
        </w:rPr>
        <w:t>e</w:t>
      </w:r>
      <w:r w:rsidRPr="00756D53">
        <w:rPr>
          <w:rFonts w:ascii="Verdana" w:eastAsia="Calibri" w:hAnsi="Verdana" w:cs="Arial"/>
          <w:color w:val="000000" w:themeColor="text1"/>
          <w:lang w:val="es-ES"/>
        </w:rPr>
        <w:t xml:space="preserve"> a las asociaciones mutual</w:t>
      </w:r>
      <w:r>
        <w:rPr>
          <w:rFonts w:ascii="Verdana" w:eastAsia="Calibri" w:hAnsi="Verdana" w:cs="Arial"/>
          <w:color w:val="000000" w:themeColor="text1"/>
          <w:lang w:val="es-ES"/>
        </w:rPr>
        <w:t>istas</w:t>
      </w:r>
      <w:r>
        <w:rPr>
          <w:rFonts w:ascii="Verdana" w:eastAsia="Calibri" w:hAnsi="Verdana" w:cs="Arial"/>
          <w:i/>
          <w:iCs/>
          <w:color w:val="000000" w:themeColor="text1"/>
          <w:lang w:val="es-ES"/>
        </w:rPr>
        <w:t>-</w:t>
      </w:r>
      <w:r w:rsidRPr="00362CA6">
        <w:rPr>
          <w:rFonts w:ascii="Verdana" w:eastAsia="Calibri" w:hAnsi="Verdana" w:cs="Arial"/>
          <w:color w:val="000000" w:themeColor="text1"/>
          <w:lang w:val="es-ES"/>
        </w:rPr>
        <w:t xml:space="preserve"> a </w:t>
      </w:r>
      <w:r w:rsidRPr="00B21D8B">
        <w:rPr>
          <w:rFonts w:ascii="Verdana" w:eastAsia="Calibri" w:hAnsi="Verdana" w:cs="Arial"/>
          <w:i/>
          <w:iCs/>
          <w:color w:val="000000" w:themeColor="text1"/>
          <w:lang w:val="es-ES"/>
        </w:rPr>
        <w:t>empresas, específicamente a MiPymes</w:t>
      </w:r>
      <w:r w:rsidRPr="00362CA6">
        <w:rPr>
          <w:rFonts w:ascii="Verdana" w:eastAsia="Calibri" w:hAnsi="Verdana" w:cs="Arial"/>
          <w:color w:val="000000" w:themeColor="text1"/>
          <w:lang w:val="es-ES"/>
        </w:rPr>
        <w:t xml:space="preserve">, de conformidad con el artículo 2 de la Ley 590 de 2000 y el Decreto 957 de 2019, los cuales desarrollan las categorías </w:t>
      </w:r>
      <w:r>
        <w:rPr>
          <w:rFonts w:ascii="Verdana" w:eastAsia="Calibri" w:hAnsi="Verdana" w:cs="Arial"/>
          <w:color w:val="000000" w:themeColor="text1"/>
          <w:lang w:val="es-ES"/>
        </w:rPr>
        <w:t xml:space="preserve">de </w:t>
      </w:r>
      <w:r w:rsidRPr="00362CA6">
        <w:rPr>
          <w:rFonts w:ascii="Verdana" w:eastAsia="Calibri" w:hAnsi="Verdana" w:cs="Arial"/>
          <w:color w:val="000000" w:themeColor="text1"/>
          <w:lang w:val="es-ES"/>
        </w:rPr>
        <w:t>micro, pequeña y mediana en función del tamaño empresarial</w:t>
      </w:r>
      <w:r w:rsidRPr="00362CA6">
        <w:rPr>
          <w:rFonts w:ascii="Verdana" w:hAnsi="Verdana" w:cs="Arial"/>
          <w:color w:val="000000" w:themeColor="text1"/>
          <w:vertAlign w:val="superscript"/>
          <w:lang w:val="es-ES"/>
        </w:rPr>
        <w:footnoteReference w:id="9"/>
      </w:r>
      <w:r w:rsidRPr="00362CA6">
        <w:rPr>
          <w:rFonts w:ascii="Verdana" w:eastAsia="Calibri" w:hAnsi="Verdana" w:cs="Arial"/>
          <w:color w:val="000000" w:themeColor="text1"/>
          <w:lang w:val="es-ES"/>
        </w:rPr>
        <w:t>. El principal efecto de esta norma es que</w:t>
      </w:r>
      <w:r>
        <w:rPr>
          <w:rFonts w:ascii="Verdana" w:eastAsia="Calibri" w:hAnsi="Verdana" w:cs="Arial"/>
          <w:color w:val="000000" w:themeColor="text1"/>
          <w:lang w:val="es-ES"/>
        </w:rPr>
        <w:t xml:space="preserve"> las medidas contempladas en la Ley 2069 de 2020 para promover la participación de la </w:t>
      </w:r>
      <w:proofErr w:type="spellStart"/>
      <w:r>
        <w:rPr>
          <w:rFonts w:ascii="Verdana" w:eastAsia="Calibri" w:hAnsi="Verdana" w:cs="Arial"/>
          <w:color w:val="000000" w:themeColor="text1"/>
          <w:lang w:val="es-ES"/>
        </w:rPr>
        <w:lastRenderedPageBreak/>
        <w:t>Mipymes</w:t>
      </w:r>
      <w:proofErr w:type="spellEnd"/>
      <w:r>
        <w:rPr>
          <w:rFonts w:ascii="Verdana" w:eastAsia="Calibri" w:hAnsi="Verdana" w:cs="Arial"/>
          <w:color w:val="000000" w:themeColor="text1"/>
          <w:lang w:val="es-ES"/>
        </w:rPr>
        <w:t xml:space="preserve"> sean aplicables a </w:t>
      </w:r>
      <w:r w:rsidRPr="00362CA6">
        <w:rPr>
          <w:rFonts w:ascii="Verdana" w:eastAsia="Calibri" w:hAnsi="Verdana" w:cs="Arial"/>
          <w:color w:val="000000" w:themeColor="text1"/>
          <w:lang w:val="es-ES"/>
        </w:rPr>
        <w:t>las cooperativas, las asociaciones mutualistas y a las demás entidades de economía solidaria.</w:t>
      </w:r>
    </w:p>
    <w:p w14:paraId="07513E03" w14:textId="77777777" w:rsidR="009E1F9E" w:rsidRDefault="009E1F9E" w:rsidP="009E1F9E">
      <w:pPr>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De manera concordante con lo anterior, el parágrafo del </w:t>
      </w:r>
      <w:r w:rsidRPr="00F554AA">
        <w:rPr>
          <w:rFonts w:ascii="Verdana" w:eastAsia="Calibri" w:hAnsi="Verdana" w:cs="Arial"/>
          <w:color w:val="000000" w:themeColor="text1"/>
          <w:lang w:val="es-ES"/>
        </w:rPr>
        <w:t>Artículo 2.2.1.2.4.2.2</w:t>
      </w:r>
      <w:r>
        <w:rPr>
          <w:rFonts w:ascii="Verdana" w:eastAsia="Calibri" w:hAnsi="Verdana" w:cs="Arial"/>
          <w:color w:val="000000" w:themeColor="text1"/>
          <w:lang w:val="es-ES"/>
        </w:rPr>
        <w:t xml:space="preserve">, modificado por el artículo 5º del Decreto 1860 de 2021, se refirió a dicha asimilación en el caso específico de la limitación de convocatorias a </w:t>
      </w:r>
      <w:proofErr w:type="spellStart"/>
      <w:r>
        <w:rPr>
          <w:rFonts w:ascii="Verdana" w:eastAsia="Calibri" w:hAnsi="Verdana" w:cs="Arial"/>
          <w:color w:val="000000" w:themeColor="text1"/>
          <w:lang w:val="es-ES"/>
        </w:rPr>
        <w:t>Mipymes</w:t>
      </w:r>
      <w:proofErr w:type="spellEnd"/>
      <w:r>
        <w:rPr>
          <w:rFonts w:ascii="Verdana" w:eastAsia="Calibri" w:hAnsi="Verdana" w:cs="Arial"/>
          <w:color w:val="000000" w:themeColor="text1"/>
          <w:lang w:val="es-ES"/>
        </w:rPr>
        <w:t>. Esta norma determina que “</w:t>
      </w:r>
      <w:r w:rsidRPr="00EC0AE8">
        <w:rPr>
          <w:rFonts w:ascii="Verdana" w:eastAsia="Calibri" w:hAnsi="Verdana" w:cs="Arial"/>
          <w:color w:val="000000" w:themeColor="text1"/>
        </w:rPr>
        <w:t xml:space="preserve">Las cooperativas y demás entidades de economía solidaria, siempre que tengan la calidad de </w:t>
      </w:r>
      <w:proofErr w:type="spellStart"/>
      <w:r w:rsidRPr="00EC0AE8">
        <w:rPr>
          <w:rFonts w:ascii="Verdana" w:eastAsia="Calibri" w:hAnsi="Verdana" w:cs="Arial"/>
          <w:color w:val="000000" w:themeColor="text1"/>
        </w:rPr>
        <w:t>Mipyme</w:t>
      </w:r>
      <w:proofErr w:type="spellEnd"/>
      <w:r w:rsidRPr="00EC0AE8">
        <w:rPr>
          <w:rFonts w:ascii="Verdana" w:eastAsia="Calibri" w:hAnsi="Verdana" w:cs="Arial"/>
          <w:color w:val="000000" w:themeColor="text1"/>
        </w:rPr>
        <w:t>, podrán solicitar y participar en las convocatorias limitadas en las mismas condiciones dispuestas en el presente artículo”</w:t>
      </w:r>
      <w:r>
        <w:rPr>
          <w:rFonts w:ascii="Verdana" w:eastAsia="Calibri" w:hAnsi="Verdana" w:cs="Arial"/>
          <w:color w:val="000000" w:themeColor="text1"/>
        </w:rPr>
        <w:t xml:space="preserve">.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w:t>
      </w:r>
      <w:proofErr w:type="spellStart"/>
      <w:r>
        <w:rPr>
          <w:rFonts w:ascii="Verdana" w:eastAsia="Calibri" w:hAnsi="Verdana" w:cs="Arial"/>
          <w:color w:val="000000" w:themeColor="text1"/>
        </w:rPr>
        <w:t>Mipyme</w:t>
      </w:r>
      <w:proofErr w:type="spellEnd"/>
      <w:r>
        <w:rPr>
          <w:rFonts w:ascii="Verdana" w:eastAsia="Calibri" w:hAnsi="Verdana" w:cs="Arial"/>
          <w:color w:val="000000" w:themeColor="text1"/>
        </w:rPr>
        <w:t>.</w:t>
      </w:r>
    </w:p>
    <w:p w14:paraId="52C4A778" w14:textId="77777777" w:rsidR="009E1F9E" w:rsidRPr="00362CA6" w:rsidRDefault="009E1F9E" w:rsidP="009E1F9E">
      <w:pPr>
        <w:spacing w:after="120" w:line="276" w:lineRule="auto"/>
        <w:ind w:firstLine="708"/>
        <w:jc w:val="both"/>
        <w:rPr>
          <w:rFonts w:ascii="Verdana" w:eastAsia="Calibri" w:hAnsi="Verdana" w:cs="Arial"/>
          <w:color w:val="000000" w:themeColor="text1"/>
          <w:lang w:val="es-ES"/>
        </w:rPr>
      </w:pPr>
      <w:r w:rsidRPr="00362CA6">
        <w:rPr>
          <w:rFonts w:ascii="Verdana" w:eastAsia="Calibri" w:hAnsi="Verdana" w:cs="Arial"/>
          <w:color w:val="000000" w:themeColor="text1"/>
          <w:lang w:val="es-ES"/>
        </w:rPr>
        <w:t xml:space="preserve">Es necesario mencionar que la asimilación dispuesta por el artículo </w:t>
      </w:r>
      <w:r w:rsidRPr="00EC0AE8">
        <w:rPr>
          <w:rFonts w:ascii="Verdana" w:eastAsia="Calibri" w:hAnsi="Verdana" w:cs="Arial"/>
          <w:color w:val="000000" w:themeColor="text1"/>
          <w:lang w:val="es-ES"/>
        </w:rPr>
        <w:t>23 de la Ley 2069 de 2020 y el artículo 2.2.1.2.4.2.</w:t>
      </w:r>
      <w:r w:rsidRPr="00F554AA">
        <w:rPr>
          <w:rFonts w:ascii="Verdana" w:eastAsia="Calibri" w:hAnsi="Verdana" w:cs="Arial"/>
          <w:color w:val="000000" w:themeColor="text1"/>
          <w:lang w:val="es-ES"/>
        </w:rPr>
        <w:t>2</w:t>
      </w:r>
      <w:r>
        <w:rPr>
          <w:rFonts w:ascii="Verdana" w:eastAsia="Calibri" w:hAnsi="Verdana" w:cs="Arial"/>
          <w:color w:val="000000" w:themeColor="text1"/>
          <w:lang w:val="es-ES"/>
        </w:rPr>
        <w:t xml:space="preserve"> del Decreto 1082 de 2015, </w:t>
      </w:r>
      <w:r w:rsidRPr="00362CA6">
        <w:rPr>
          <w:rFonts w:ascii="Verdana" w:eastAsia="Calibri" w:hAnsi="Verdana" w:cs="Arial"/>
          <w:color w:val="000000" w:themeColor="text1"/>
          <w:lang w:val="es-ES"/>
        </w:rPr>
        <w:t xml:space="preserve">no implica una alteración sustantiva de la naturaleza jurídica de las cooperativas y las empresas de economía solidaria, concebidas por la ley como entidades sin ánimo de lucro, </w:t>
      </w:r>
      <w:r>
        <w:rPr>
          <w:rFonts w:ascii="Verdana" w:eastAsia="Calibri" w:hAnsi="Verdana" w:cs="Arial"/>
          <w:color w:val="000000" w:themeColor="text1"/>
          <w:lang w:val="es-ES"/>
        </w:rPr>
        <w:t xml:space="preserve">pues su equiparación con las MiPymes se limita </w:t>
      </w:r>
      <w:r w:rsidRPr="00362CA6">
        <w:rPr>
          <w:rFonts w:ascii="Verdana" w:eastAsia="Calibri" w:hAnsi="Verdana" w:cs="Arial"/>
          <w:color w:val="000000" w:themeColor="text1"/>
          <w:lang w:val="es-ES"/>
        </w:rPr>
        <w:t>a la aplicación de las materias reguladas por la Ley 2069 de 2020</w:t>
      </w:r>
      <w:r>
        <w:rPr>
          <w:rFonts w:ascii="Verdana" w:eastAsia="Calibri" w:hAnsi="Verdana" w:cs="Arial"/>
          <w:color w:val="000000" w:themeColor="text1"/>
          <w:lang w:val="es-ES"/>
        </w:rPr>
        <w:t xml:space="preserve"> y no se extiende a otros supuestos</w:t>
      </w:r>
      <w:r w:rsidRPr="00362CA6">
        <w:rPr>
          <w:rFonts w:ascii="Verdana" w:eastAsia="Calibri" w:hAnsi="Verdana" w:cs="Arial"/>
          <w:color w:val="000000" w:themeColor="text1"/>
          <w:lang w:val="es-ES"/>
        </w:rPr>
        <w:t xml:space="preserve">. En ese sentido, el mandato de considerar este tipo de entidades como empresas y clasificarlas como MiPymes es una acción </w:t>
      </w:r>
      <w:r>
        <w:rPr>
          <w:rFonts w:ascii="Verdana" w:eastAsia="Calibri" w:hAnsi="Verdana" w:cs="Arial"/>
          <w:color w:val="000000" w:themeColor="text1"/>
          <w:lang w:val="es-ES"/>
        </w:rPr>
        <w:t xml:space="preserve">que busca </w:t>
      </w:r>
      <w:r w:rsidRPr="00362CA6">
        <w:rPr>
          <w:rFonts w:ascii="Verdana" w:eastAsia="Calibri" w:hAnsi="Verdana" w:cs="Arial"/>
          <w:color w:val="000000" w:themeColor="text1"/>
          <w:lang w:val="es-ES"/>
        </w:rPr>
        <w:t xml:space="preserve">vincularlas como proveedoras del mercado de compra pública dentro del ámbito de explotación económica que la ley ha concedido a estas entidades del sector solidario. </w:t>
      </w:r>
    </w:p>
    <w:p w14:paraId="5D599124" w14:textId="77777777" w:rsidR="009E1F9E" w:rsidRPr="00362CA6" w:rsidRDefault="009E1F9E" w:rsidP="009E1F9E">
      <w:pPr>
        <w:spacing w:after="120" w:line="276" w:lineRule="auto"/>
        <w:jc w:val="both"/>
        <w:rPr>
          <w:rFonts w:ascii="Verdana" w:hAnsi="Verdana" w:cs="Arial"/>
          <w:color w:val="000000" w:themeColor="text1"/>
          <w:lang w:val="es-ES"/>
        </w:rPr>
      </w:pPr>
      <w:r w:rsidRPr="00362CA6">
        <w:rPr>
          <w:rFonts w:ascii="Verdana" w:eastAsia="Calibri" w:hAnsi="Verdana" w:cs="Arial"/>
          <w:color w:val="000000" w:themeColor="text1"/>
          <w:lang w:val="es-ES_tradnl"/>
        </w:rPr>
        <w:tab/>
      </w:r>
      <w:r w:rsidRPr="00362CA6">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362CA6">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5021F728" w14:textId="77777777" w:rsidR="009E1F9E" w:rsidRDefault="009E1F9E" w:rsidP="009E1F9E">
      <w:pPr>
        <w:spacing w:after="120" w:line="276" w:lineRule="auto"/>
        <w:ind w:firstLine="708"/>
        <w:jc w:val="both"/>
        <w:rPr>
          <w:rFonts w:ascii="Verdana" w:hAnsi="Verdana" w:cs="Arial"/>
          <w:color w:val="000000" w:themeColor="text1"/>
          <w:lang w:val="es-ES"/>
        </w:rPr>
      </w:pPr>
      <w:r w:rsidRPr="00362CA6">
        <w:rPr>
          <w:rFonts w:ascii="Verdana" w:hAnsi="Verdana" w:cs="Arial"/>
          <w:color w:val="000000" w:themeColor="text1"/>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RPr="008208AD">
        <w:rPr>
          <w:rFonts w:ascii="Verdana" w:hAnsi="Verdana" w:cs="Arial"/>
          <w:i/>
          <w:iCs/>
          <w:color w:val="000000" w:themeColor="text1"/>
          <w:lang w:val="es-ES"/>
        </w:rPr>
        <w:t>objeto de producir, distribuir y consumir conjuntamente bienes y servicios para satisfacer las necesidades de sus miembros</w:t>
      </w:r>
      <w:r w:rsidRPr="00362CA6">
        <w:rPr>
          <w:rFonts w:ascii="Verdana" w:hAnsi="Verdana" w:cs="Arial"/>
          <w:color w:val="000000" w:themeColor="text1"/>
          <w:lang w:val="es-ES"/>
        </w:rPr>
        <w:t xml:space="preserve"> y desarrollar obras de servicio a la comunidad en </w:t>
      </w:r>
      <w:r w:rsidRPr="00362CA6">
        <w:rPr>
          <w:rFonts w:ascii="Verdana" w:hAnsi="Verdana" w:cs="Arial"/>
          <w:color w:val="000000" w:themeColor="text1"/>
          <w:lang w:val="es-ES"/>
        </w:rPr>
        <w:lastRenderedPageBreak/>
        <w:t xml:space="preserve">general, para lo cual deben estar constituidas como </w:t>
      </w:r>
      <w:r w:rsidRPr="008208AD">
        <w:rPr>
          <w:rFonts w:ascii="Verdana" w:hAnsi="Verdana" w:cs="Arial"/>
          <w:i/>
          <w:iCs/>
          <w:color w:val="000000" w:themeColor="text1"/>
          <w:lang w:val="es-ES"/>
        </w:rPr>
        <w:t>empresas</w:t>
      </w:r>
      <w:r w:rsidRPr="00362CA6">
        <w:rPr>
          <w:rFonts w:ascii="Verdana" w:hAnsi="Verdana" w:cs="Arial"/>
          <w:color w:val="000000" w:themeColor="text1"/>
          <w:lang w:val="es-ES"/>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421394A5" w14:textId="77777777" w:rsidR="009E1F9E" w:rsidRDefault="009E1F9E" w:rsidP="009E1F9E">
      <w:pPr>
        <w:spacing w:after="120" w:line="276" w:lineRule="auto"/>
        <w:ind w:firstLine="708"/>
        <w:jc w:val="both"/>
        <w:rPr>
          <w:rFonts w:ascii="Verdana" w:eastAsia="Calibri" w:hAnsi="Verdana" w:cs="Arial"/>
          <w:color w:val="000000" w:themeColor="text1"/>
          <w:lang w:val="es-ES"/>
        </w:rPr>
      </w:pPr>
      <w:r>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362CA6">
        <w:rPr>
          <w:rFonts w:ascii="Verdana" w:eastAsia="Calibri" w:hAnsi="Verdana" w:cs="Arial"/>
          <w:color w:val="000000" w:themeColor="text1"/>
          <w:lang w:val="es-ES"/>
        </w:rPr>
        <w:t>cooperativas y</w:t>
      </w:r>
      <w:r>
        <w:rPr>
          <w:rFonts w:ascii="Verdana" w:eastAsia="Calibri" w:hAnsi="Verdana" w:cs="Arial"/>
          <w:color w:val="000000" w:themeColor="text1"/>
          <w:lang w:val="es-ES"/>
        </w:rPr>
        <w:t xml:space="preserve"> demás entes considerados de </w:t>
      </w:r>
      <w:r w:rsidRPr="00362CA6">
        <w:rPr>
          <w:rFonts w:ascii="Verdana" w:eastAsia="Calibri" w:hAnsi="Verdana" w:cs="Arial"/>
          <w:color w:val="000000" w:themeColor="text1"/>
          <w:lang w:val="es-ES"/>
        </w:rPr>
        <w:t>economía solidaria</w:t>
      </w:r>
      <w:r>
        <w:rPr>
          <w:rFonts w:ascii="Verdana" w:eastAsia="Calibri" w:hAnsi="Verdana" w:cs="Arial"/>
          <w:color w:val="000000" w:themeColor="text1"/>
          <w:lang w:val="es-ES"/>
        </w:rPr>
        <w:t xml:space="preserve">, </w:t>
      </w:r>
      <w:r>
        <w:rPr>
          <w:rFonts w:ascii="Verdana" w:eastAsia="Geomanist Light" w:hAnsi="Verdana" w:cs="Arial"/>
          <w:lang w:val="es-ES"/>
        </w:rPr>
        <w:t>en los términos del artículo 6 de la Ley 454 de 1998 –norma a la que remite el artículo 23 de la Ley de Emprendimiento–.</w:t>
      </w:r>
      <w:r w:rsidRPr="00D32D23">
        <w:rPr>
          <w:rFonts w:ascii="Verdana" w:eastAsia="Calibri" w:hAnsi="Verdana" w:cs="Arial"/>
          <w:color w:val="000000" w:themeColor="text1"/>
          <w:lang w:val="es-ES"/>
        </w:rPr>
        <w:t xml:space="preserve"> </w:t>
      </w:r>
      <w:r>
        <w:rPr>
          <w:rFonts w:ascii="Verdana" w:eastAsia="Geomanist Light" w:hAnsi="Verdana" w:cs="Arial"/>
          <w:lang w:val="es-ES"/>
        </w:rPr>
        <w:t xml:space="preserve">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w:t>
      </w:r>
      <w:r w:rsidRPr="00D32D23">
        <w:rPr>
          <w:rFonts w:ascii="Verdana" w:eastAsia="Calibri" w:hAnsi="Verdana" w:cs="Arial"/>
          <w:color w:val="000000" w:themeColor="text1"/>
          <w:lang w:val="es-ES"/>
        </w:rPr>
        <w:t xml:space="preserve">participar en las convocatorias limitadas a estas, </w:t>
      </w:r>
      <w:r>
        <w:rPr>
          <w:rFonts w:ascii="Verdana" w:eastAsia="Calibri" w:hAnsi="Verdana" w:cs="Arial"/>
          <w:color w:val="000000" w:themeColor="text1"/>
          <w:lang w:val="es-ES"/>
        </w:rPr>
        <w:t xml:space="preserve">y les permite </w:t>
      </w:r>
      <w:r w:rsidRPr="00D32D23">
        <w:rPr>
          <w:rFonts w:ascii="Verdana" w:eastAsia="Calibri" w:hAnsi="Verdana" w:cs="Arial"/>
          <w:color w:val="000000" w:themeColor="text1"/>
          <w:lang w:val="es-ES"/>
        </w:rPr>
        <w:t>incluso manifestar su interés de participar en el proceso de selección</w:t>
      </w:r>
      <w:r>
        <w:rPr>
          <w:rFonts w:ascii="Verdana" w:eastAsia="Calibri" w:hAnsi="Verdana" w:cs="Arial"/>
          <w:color w:val="000000" w:themeColor="text1"/>
          <w:lang w:val="es-ES"/>
        </w:rPr>
        <w:t xml:space="preserve"> en los términos del artículo 2.2.1.2.4.2.2 del Decreto 1082 de 2015.</w:t>
      </w:r>
    </w:p>
    <w:p w14:paraId="043A52FD" w14:textId="77777777" w:rsidR="009E1F9E" w:rsidRDefault="009E1F9E" w:rsidP="009E1F9E">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En este contexto, es importante destacar que </w:t>
      </w:r>
      <w:r w:rsidRPr="00DE6578">
        <w:rPr>
          <w:rFonts w:ascii="Verdana" w:eastAsia="Calibri" w:hAnsi="Verdana" w:cs="Arial"/>
          <w:color w:val="000000" w:themeColor="text1"/>
        </w:rPr>
        <w:t>la ley</w:t>
      </w:r>
      <w:r>
        <w:rPr>
          <w:rFonts w:ascii="Verdana" w:eastAsia="Calibri" w:hAnsi="Verdana" w:cs="Arial"/>
          <w:color w:val="000000" w:themeColor="text1"/>
        </w:rPr>
        <w:t xml:space="preserve"> 2069 de 2020</w:t>
      </w:r>
      <w:r w:rsidRPr="00DE6578">
        <w:rPr>
          <w:rFonts w:ascii="Verdana" w:eastAsia="Calibri" w:hAnsi="Verdana" w:cs="Arial"/>
          <w:color w:val="000000" w:themeColor="text1"/>
        </w:rPr>
        <w:t xml:space="preserve"> no extiende </w:t>
      </w:r>
      <w:r>
        <w:rPr>
          <w:rFonts w:ascii="Verdana" w:eastAsia="Calibri" w:hAnsi="Verdana" w:cs="Arial"/>
          <w:color w:val="000000" w:themeColor="text1"/>
        </w:rPr>
        <w:t xml:space="preserve">esta asimilación a </w:t>
      </w:r>
      <w:proofErr w:type="spellStart"/>
      <w:r>
        <w:rPr>
          <w:rFonts w:ascii="Verdana" w:eastAsia="Calibri" w:hAnsi="Verdana" w:cs="Arial"/>
          <w:color w:val="000000" w:themeColor="text1"/>
        </w:rPr>
        <w:t>Mipymes</w:t>
      </w:r>
      <w:proofErr w:type="spellEnd"/>
      <w:r>
        <w:rPr>
          <w:rFonts w:ascii="Verdana" w:eastAsia="Calibri" w:hAnsi="Verdana" w:cs="Arial"/>
          <w:color w:val="000000" w:themeColor="text1"/>
        </w:rPr>
        <w:t xml:space="preserve"> </w:t>
      </w:r>
      <w:r w:rsidRPr="00DE6578">
        <w:rPr>
          <w:rFonts w:ascii="Verdana" w:eastAsia="Calibri" w:hAnsi="Verdana" w:cs="Arial"/>
          <w:color w:val="000000" w:themeColor="text1"/>
        </w:rPr>
        <w:t>a otras formas de ESAL, como fundaciones o asociaciones</w:t>
      </w:r>
      <w:r>
        <w:rPr>
          <w:rFonts w:ascii="Verdana" w:eastAsia="Calibri" w:hAnsi="Verdana" w:cs="Arial"/>
          <w:color w:val="000000" w:themeColor="text1"/>
        </w:rPr>
        <w:t xml:space="preserve">, sino únicamente a las </w:t>
      </w:r>
      <w:r w:rsidRPr="00362CA6">
        <w:rPr>
          <w:rFonts w:ascii="Verdana" w:eastAsia="Calibri" w:hAnsi="Verdana" w:cs="Arial"/>
          <w:color w:val="000000" w:themeColor="text1"/>
          <w:lang w:val="es-ES"/>
        </w:rPr>
        <w:t>cooperativas y</w:t>
      </w:r>
      <w:r>
        <w:rPr>
          <w:rFonts w:ascii="Verdana" w:eastAsia="Calibri" w:hAnsi="Verdana" w:cs="Arial"/>
          <w:color w:val="000000" w:themeColor="text1"/>
          <w:lang w:val="es-ES"/>
        </w:rPr>
        <w:t xml:space="preserve"> demás entes considerados de </w:t>
      </w:r>
      <w:r w:rsidRPr="00362CA6">
        <w:rPr>
          <w:rFonts w:ascii="Verdana" w:eastAsia="Calibri" w:hAnsi="Verdana" w:cs="Arial"/>
          <w:color w:val="000000" w:themeColor="text1"/>
          <w:lang w:val="es-ES"/>
        </w:rPr>
        <w:t>economía solidaria</w:t>
      </w:r>
      <w:r w:rsidRPr="00DE6578">
        <w:rPr>
          <w:rFonts w:ascii="Verdana" w:eastAsia="Calibri" w:hAnsi="Verdana" w:cs="Arial"/>
          <w:color w:val="000000" w:themeColor="text1"/>
        </w:rPr>
        <w:t>.</w:t>
      </w:r>
      <w:r>
        <w:rPr>
          <w:rFonts w:ascii="Verdana" w:eastAsia="Calibri" w:hAnsi="Verdana" w:cs="Arial"/>
          <w:color w:val="000000" w:themeColor="text1"/>
        </w:rPr>
        <w:t xml:space="preserve"> De esta forma, se podría concluir que</w:t>
      </w:r>
      <w:r w:rsidRPr="00DE6578">
        <w:rPr>
          <w:rFonts w:ascii="Verdana" w:eastAsia="Calibri" w:hAnsi="Verdana" w:cs="Arial"/>
          <w:color w:val="000000" w:themeColor="text1"/>
        </w:rPr>
        <w:t xml:space="preserve"> la ausencia de mención explícita a otras ESAL en el marco de este beneficio indica que el legislador deliberadamente excluyó a estas entidades del tratamiento especial otorgado a las cooperativas.</w:t>
      </w:r>
      <w:r w:rsidRPr="000144A1">
        <w:t xml:space="preserve"> </w:t>
      </w:r>
      <w:r>
        <w:rPr>
          <w:rFonts w:ascii="Verdana" w:eastAsia="Calibri" w:hAnsi="Verdana" w:cs="Arial"/>
          <w:color w:val="000000" w:themeColor="text1"/>
        </w:rPr>
        <w:t>En consecuencia</w:t>
      </w:r>
      <w:r w:rsidRPr="000144A1">
        <w:rPr>
          <w:rFonts w:ascii="Verdana" w:eastAsia="Calibri" w:hAnsi="Verdana" w:cs="Arial"/>
          <w:color w:val="000000" w:themeColor="text1"/>
        </w:rPr>
        <w:t xml:space="preserve">, </w:t>
      </w:r>
      <w:r>
        <w:rPr>
          <w:rFonts w:ascii="Verdana" w:eastAsia="Calibri" w:hAnsi="Verdana" w:cs="Arial"/>
          <w:color w:val="000000" w:themeColor="text1"/>
        </w:rPr>
        <w:t>la norma evidencia</w:t>
      </w:r>
      <w:r w:rsidRPr="000144A1">
        <w:rPr>
          <w:rFonts w:ascii="Verdana" w:eastAsia="Calibri" w:hAnsi="Verdana" w:cs="Arial"/>
          <w:color w:val="000000" w:themeColor="text1"/>
        </w:rPr>
        <w:t xml:space="preserve"> una voluntad normativa clara de diferenciación, sustentada en las características y objetivos propios de cada tipo de entidad, y no puede ser entendido como un vacío o un ámbito abierto a la interpretación amplia que </w:t>
      </w:r>
      <w:r>
        <w:rPr>
          <w:rFonts w:ascii="Verdana" w:eastAsia="Calibri" w:hAnsi="Verdana" w:cs="Arial"/>
          <w:color w:val="000000" w:themeColor="text1"/>
        </w:rPr>
        <w:t>equipare a las demás ESAL</w:t>
      </w:r>
      <w:r w:rsidRPr="000144A1">
        <w:rPr>
          <w:rFonts w:ascii="Verdana" w:eastAsia="Calibri" w:hAnsi="Verdana" w:cs="Arial"/>
          <w:color w:val="000000" w:themeColor="text1"/>
        </w:rPr>
        <w:t xml:space="preserve"> automáticamente con las </w:t>
      </w:r>
      <w:proofErr w:type="spellStart"/>
      <w:r w:rsidRPr="000144A1">
        <w:rPr>
          <w:rFonts w:ascii="Verdana" w:eastAsia="Calibri" w:hAnsi="Verdana" w:cs="Arial"/>
          <w:color w:val="000000" w:themeColor="text1"/>
        </w:rPr>
        <w:t>Mipymes</w:t>
      </w:r>
      <w:proofErr w:type="spellEnd"/>
      <w:r>
        <w:rPr>
          <w:rFonts w:ascii="Verdana" w:eastAsia="Calibri" w:hAnsi="Verdana" w:cs="Arial"/>
          <w:color w:val="000000" w:themeColor="text1"/>
        </w:rPr>
        <w:t xml:space="preserve">. </w:t>
      </w:r>
    </w:p>
    <w:p w14:paraId="4C8E6D9B" w14:textId="77777777" w:rsidR="009E1F9E" w:rsidRPr="007A60E6" w:rsidRDefault="009E1F9E" w:rsidP="009E1F9E">
      <w:pPr>
        <w:spacing w:after="120" w:line="276" w:lineRule="auto"/>
        <w:jc w:val="both"/>
        <w:rPr>
          <w:rFonts w:ascii="Verdana" w:hAnsi="Verdana"/>
        </w:rPr>
      </w:pPr>
      <w:proofErr w:type="spellStart"/>
      <w:r>
        <w:rPr>
          <w:rFonts w:ascii="Verdana" w:eastAsia="Calibri" w:hAnsi="Verdana" w:cs="Arial"/>
          <w:color w:val="000000" w:themeColor="text1"/>
        </w:rPr>
        <w:t>iv</w:t>
      </w:r>
      <w:proofErr w:type="spellEnd"/>
      <w:r>
        <w:rPr>
          <w:rFonts w:ascii="Verdana" w:eastAsia="Calibri" w:hAnsi="Verdana" w:cs="Arial"/>
          <w:color w:val="000000" w:themeColor="text1"/>
        </w:rPr>
        <w:t xml:space="preserve">. </w:t>
      </w:r>
      <w:r w:rsidRPr="007A60E6">
        <w:rPr>
          <w:rFonts w:ascii="Verdana" w:hAnsi="Verdana"/>
        </w:rPr>
        <w:t xml:space="preserve">Sin perjuicio de lo anterior, </w:t>
      </w:r>
      <w:r w:rsidRPr="007A60E6">
        <w:rPr>
          <w:rFonts w:ascii="Verdana" w:eastAsia="Calibri" w:hAnsi="Verdana" w:cs="Arial"/>
          <w:color w:val="000000"/>
          <w:lang w:val="es-ES" w:eastAsia="es-ES"/>
        </w:rPr>
        <w:t>se precisa que los conceptos emitidos por esta Subdirección en el marco de la función consultiva representan</w:t>
      </w:r>
      <w:r w:rsidRPr="007A60E6">
        <w:rPr>
          <w:rFonts w:ascii="Verdana" w:hAnsi="Verdana" w:cs="Arial"/>
          <w:lang w:eastAsia="es-ES"/>
        </w:rPr>
        <w:t xml:space="preserve"> una </w:t>
      </w:r>
      <w:r w:rsidRPr="007A60E6">
        <w:rPr>
          <w:rFonts w:ascii="Verdana" w:eastAsia="Calibri" w:hAnsi="Verdana" w:cs="Arial"/>
          <w:bCs/>
          <w:lang w:val="es-ES_tradnl"/>
        </w:rPr>
        <w:t>posición hermenéutica respecto a las disposiciones normativas del Sistema de Compras Públicas,</w:t>
      </w:r>
      <w:r w:rsidRPr="007A60E6">
        <w:rPr>
          <w:rFonts w:ascii="Verdana" w:hAnsi="Verdana" w:cs="Arial"/>
          <w:lang w:eastAsia="es-ES"/>
        </w:rPr>
        <w:t xml:space="preserve"> que </w:t>
      </w:r>
      <w:r w:rsidRPr="007A60E6">
        <w:rPr>
          <w:rFonts w:ascii="Verdana" w:eastAsia="Calibri" w:hAnsi="Verdana" w:cs="Arial"/>
          <w:bCs/>
          <w:lang w:val="es-ES_tradnl"/>
        </w:rPr>
        <w:t>no tienen efectos vinculantes en relación con una situación jurídica particular y concreta, y exponen un criterio que, aunque jurídicamente fundamentado, no representan la única interpretación válida del ordenamiento jurídico.</w:t>
      </w:r>
      <w:r w:rsidRPr="007A60E6">
        <w:rPr>
          <w:rFonts w:ascii="Verdana" w:eastAsiaTheme="minorEastAsia" w:hAnsi="Verdana" w:cs="Arial"/>
          <w:szCs w:val="24"/>
          <w:lang w:eastAsia="es-CO"/>
        </w:rPr>
        <w:t xml:space="preserve"> De este modo, las autoridades que ejercen funciones consultivas </w:t>
      </w:r>
      <w:r w:rsidRPr="007A60E6">
        <w:rPr>
          <w:rFonts w:ascii="Verdana" w:eastAsiaTheme="minorEastAsia" w:hAnsi="Verdana" w:cs="Arial"/>
          <w:szCs w:val="24"/>
          <w:lang w:eastAsia="es-CO"/>
        </w:rPr>
        <w:lastRenderedPageBreak/>
        <w:t>pueden expresar su</w:t>
      </w:r>
      <w:r w:rsidRPr="007A60E6">
        <w:rPr>
          <w:rFonts w:ascii="Verdana" w:eastAsiaTheme="minorEastAsia" w:hAnsi="Verdana" w:cs="Arial"/>
          <w:spacing w:val="1"/>
          <w:szCs w:val="24"/>
          <w:lang w:eastAsia="es-CO"/>
        </w:rPr>
        <w:t xml:space="preserve"> </w:t>
      </w:r>
      <w:r w:rsidRPr="007A60E6">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7A60E6">
        <w:rPr>
          <w:rFonts w:ascii="Verdana" w:eastAsiaTheme="minorEastAsia" w:hAnsi="Verdana" w:cs="Arial"/>
          <w:spacing w:val="1"/>
          <w:szCs w:val="24"/>
          <w:lang w:eastAsia="es-CO"/>
        </w:rPr>
        <w:t xml:space="preserve"> </w:t>
      </w:r>
      <w:r w:rsidRPr="007A60E6">
        <w:rPr>
          <w:rFonts w:ascii="Verdana" w:eastAsiaTheme="minorEastAsia" w:hAnsi="Verdana" w:cs="Arial"/>
          <w:szCs w:val="24"/>
          <w:lang w:eastAsia="es-CO"/>
        </w:rPr>
        <w:t>virtud</w:t>
      </w:r>
      <w:r w:rsidRPr="007A60E6">
        <w:rPr>
          <w:rFonts w:ascii="Verdana" w:eastAsiaTheme="minorEastAsia" w:hAnsi="Verdana" w:cs="Arial"/>
          <w:spacing w:val="-10"/>
          <w:szCs w:val="24"/>
          <w:lang w:eastAsia="es-CO"/>
        </w:rPr>
        <w:t xml:space="preserve"> </w:t>
      </w:r>
      <w:r w:rsidRPr="007A60E6">
        <w:rPr>
          <w:rFonts w:ascii="Verdana" w:eastAsiaTheme="minorEastAsia" w:hAnsi="Verdana" w:cs="Arial"/>
          <w:szCs w:val="24"/>
          <w:lang w:eastAsia="es-CO"/>
        </w:rPr>
        <w:t>de</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la</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utilización</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de</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conceptos</w:t>
      </w:r>
      <w:r w:rsidRPr="007A60E6">
        <w:rPr>
          <w:rFonts w:ascii="Verdana" w:eastAsiaTheme="minorEastAsia" w:hAnsi="Verdana" w:cs="Arial"/>
          <w:spacing w:val="-10"/>
          <w:szCs w:val="24"/>
          <w:lang w:eastAsia="es-CO"/>
        </w:rPr>
        <w:t xml:space="preserve"> </w:t>
      </w:r>
      <w:r w:rsidRPr="007A60E6">
        <w:rPr>
          <w:rFonts w:ascii="Verdana" w:eastAsiaTheme="minorEastAsia" w:hAnsi="Verdana" w:cs="Arial"/>
          <w:szCs w:val="24"/>
          <w:lang w:eastAsia="es-CO"/>
        </w:rPr>
        <w:t>jurídicos</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indeterminados.</w:t>
      </w:r>
      <w:r w:rsidRPr="007A60E6">
        <w:rPr>
          <w:rFonts w:ascii="Verdana" w:eastAsiaTheme="minorEastAsia" w:hAnsi="Verdana" w:cs="Arial"/>
          <w:spacing w:val="-9"/>
          <w:szCs w:val="24"/>
          <w:lang w:eastAsia="es-CO"/>
        </w:rPr>
        <w:t xml:space="preserve"> </w:t>
      </w:r>
    </w:p>
    <w:p w14:paraId="0F0FA7E8" w14:textId="77777777" w:rsidR="009E1F9E" w:rsidRDefault="009E1F9E" w:rsidP="009E1F9E">
      <w:pPr>
        <w:spacing w:after="120" w:line="276" w:lineRule="auto"/>
        <w:ind w:firstLine="709"/>
        <w:jc w:val="both"/>
        <w:rPr>
          <w:rFonts w:ascii="Verdana" w:hAnsi="Verdana" w:cs="Arial"/>
          <w:lang w:eastAsia="es-ES"/>
        </w:rPr>
      </w:pPr>
      <w:r w:rsidRPr="007A60E6">
        <w:rPr>
          <w:rFonts w:ascii="Verdana" w:eastAsia="Calibri" w:hAnsi="Verdana" w:cs="Arial"/>
          <w:bCs/>
          <w:lang w:val="es-ES_tradnl"/>
        </w:rPr>
        <w:t xml:space="preserve">En tal sentido, al responder peticiones realizadas en ejercicio del derecho a formular consultas no son de obligatorio cumplimiento o de obligatoria ejecución. Por tanto, cada </w:t>
      </w:r>
      <w:r w:rsidRPr="007A60E6">
        <w:rPr>
          <w:rFonts w:ascii="Verdana" w:hAnsi="Verdana" w:cs="Arial"/>
          <w:lang w:eastAsia="es-ES"/>
        </w:rPr>
        <w:t>entidad definirá la forma de adelantar su gestión contractual, sin que sea atribución de Colombia Compra Eficiente validar sus actuaciones.</w:t>
      </w:r>
    </w:p>
    <w:p w14:paraId="66A92587" w14:textId="77777777" w:rsidR="009E1F9E" w:rsidRPr="000E2969" w:rsidRDefault="009E1F9E" w:rsidP="009E1F9E">
      <w:pPr>
        <w:spacing w:after="0" w:line="276" w:lineRule="auto"/>
        <w:ind w:firstLine="709"/>
        <w:jc w:val="both"/>
        <w:rPr>
          <w:rFonts w:ascii="Verdana" w:hAnsi="Verdana" w:cs="Arial"/>
          <w:lang w:eastAsia="es-ES"/>
        </w:rPr>
      </w:pPr>
    </w:p>
    <w:p w14:paraId="0211995E" w14:textId="77777777" w:rsidR="009E1F9E" w:rsidRPr="001F283D" w:rsidRDefault="009E1F9E" w:rsidP="009E1F9E">
      <w:pPr>
        <w:tabs>
          <w:tab w:val="left" w:pos="142"/>
          <w:tab w:val="left" w:pos="284"/>
        </w:tabs>
        <w:spacing w:after="0" w:line="276" w:lineRule="auto"/>
        <w:rPr>
          <w:rFonts w:ascii="Verdana" w:eastAsia="Century Gothic" w:hAnsi="Verdana" w:cs="Century Gothic"/>
          <w:b/>
          <w:bCs/>
        </w:rPr>
      </w:pPr>
      <w:bookmarkStart w:id="9"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9"/>
    <w:p w14:paraId="78355F25" w14:textId="77777777" w:rsidR="009E1F9E" w:rsidRPr="00593A5F" w:rsidRDefault="009E1F9E" w:rsidP="009E1F9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E1F9E" w:rsidRPr="002407CE" w14:paraId="1C99619E" w14:textId="77777777" w:rsidTr="00F71E30">
        <w:trPr>
          <w:trHeight w:val="870"/>
          <w:jc w:val="center"/>
        </w:trPr>
        <w:tc>
          <w:tcPr>
            <w:tcW w:w="8647" w:type="dxa"/>
          </w:tcPr>
          <w:p w14:paraId="329010E5"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Pr>
                <w:rFonts w:ascii="Verdana" w:hAnsi="Verdana" w:cs="Arial"/>
              </w:rPr>
              <w:t>Constitución Política de Colombia. Artículo 38.</w:t>
            </w:r>
          </w:p>
          <w:p w14:paraId="5BE4F4BC"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2069 de 2020</w:t>
            </w:r>
            <w:r>
              <w:rPr>
                <w:rFonts w:ascii="Verdana" w:hAnsi="Verdana" w:cs="Arial"/>
              </w:rPr>
              <w:t>. A</w:t>
            </w:r>
            <w:r w:rsidRPr="00995CAD">
              <w:rPr>
                <w:rFonts w:ascii="Verdana" w:hAnsi="Verdana" w:cs="Arial"/>
              </w:rPr>
              <w:t>rtículo</w:t>
            </w:r>
            <w:r>
              <w:rPr>
                <w:rFonts w:ascii="Verdana" w:hAnsi="Verdana" w:cs="Arial"/>
              </w:rPr>
              <w:t>s:</w:t>
            </w:r>
            <w:r w:rsidRPr="00995CAD">
              <w:rPr>
                <w:rFonts w:ascii="Verdana" w:hAnsi="Verdana" w:cs="Arial"/>
              </w:rPr>
              <w:t xml:space="preserve"> 23, </w:t>
            </w:r>
            <w:r>
              <w:rPr>
                <w:rFonts w:ascii="Verdana" w:hAnsi="Verdana" w:cs="Arial"/>
              </w:rPr>
              <w:t>31 y 32</w:t>
            </w:r>
            <w:r w:rsidRPr="00995CAD">
              <w:rPr>
                <w:rFonts w:ascii="Verdana" w:hAnsi="Verdana" w:cs="Arial"/>
              </w:rPr>
              <w:t>.</w:t>
            </w:r>
          </w:p>
          <w:p w14:paraId="798DBE70"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590 de 2000</w:t>
            </w:r>
            <w:r>
              <w:rPr>
                <w:rFonts w:ascii="Verdana" w:hAnsi="Verdana" w:cs="Arial"/>
              </w:rPr>
              <w:t>. A</w:t>
            </w:r>
            <w:r w:rsidRPr="00995CAD">
              <w:rPr>
                <w:rFonts w:ascii="Verdana" w:hAnsi="Verdana" w:cs="Arial"/>
              </w:rPr>
              <w:t>rtículo 2.</w:t>
            </w:r>
          </w:p>
          <w:p w14:paraId="4DCFCF57"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1450 de 2011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43.</w:t>
            </w:r>
          </w:p>
          <w:p w14:paraId="385211CD"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1074 de 2015</w:t>
            </w:r>
            <w:r>
              <w:rPr>
                <w:rFonts w:ascii="Verdana" w:hAnsi="Verdana" w:cs="Arial"/>
              </w:rPr>
              <w:t>. A</w:t>
            </w:r>
            <w:r w:rsidRPr="00995CAD">
              <w:rPr>
                <w:rFonts w:ascii="Verdana" w:hAnsi="Verdana" w:cs="Arial"/>
              </w:rPr>
              <w:t>rtículo.</w:t>
            </w:r>
            <w:r w:rsidRPr="60F29CF2">
              <w:rPr>
                <w:rFonts w:ascii="Verdana" w:eastAsia="Arial" w:hAnsi="Verdana" w:cs="Arial"/>
                <w:lang w:val="es-ES"/>
              </w:rPr>
              <w:t xml:space="preserve"> 2.2.1.13.2.2.</w:t>
            </w:r>
          </w:p>
          <w:p w14:paraId="3F81AD1B" w14:textId="77777777" w:rsidR="009E1F9E" w:rsidRPr="00770E9C" w:rsidRDefault="009E1F9E" w:rsidP="00F71E30">
            <w:pPr>
              <w:widowControl w:val="0"/>
              <w:numPr>
                <w:ilvl w:val="0"/>
                <w:numId w:val="17"/>
              </w:numPr>
              <w:autoSpaceDE w:val="0"/>
              <w:autoSpaceDN w:val="0"/>
              <w:spacing w:line="276" w:lineRule="auto"/>
              <w:ind w:left="460" w:hanging="284"/>
              <w:jc w:val="both"/>
              <w:rPr>
                <w:rFonts w:ascii="Verdana" w:hAnsi="Verdana" w:cs="Arial"/>
              </w:rPr>
            </w:pPr>
            <w:r w:rsidRPr="00995CAD">
              <w:rPr>
                <w:rFonts w:ascii="Verdana" w:hAnsi="Verdana" w:cs="Arial"/>
              </w:rPr>
              <w:t>Decreto 957 de 2019.</w:t>
            </w:r>
          </w:p>
          <w:p w14:paraId="6CDAB128"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1082 de 2015</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 xml:space="preserve">rtículos </w:t>
            </w:r>
            <w:r w:rsidRPr="00434E0B">
              <w:rPr>
                <w:rFonts w:ascii="Verdana" w:eastAsia="Calibri" w:hAnsi="Verdana" w:cs="Arial"/>
                <w:color w:val="000000" w:themeColor="text1"/>
              </w:rPr>
              <w:t>2.2.1.2.1.5.2</w:t>
            </w:r>
            <w:r>
              <w:rPr>
                <w:rFonts w:ascii="Verdana" w:eastAsia="Calibri" w:hAnsi="Verdana" w:cs="Arial"/>
                <w:color w:val="000000" w:themeColor="text1"/>
              </w:rPr>
              <w:t xml:space="preserve">, </w:t>
            </w:r>
            <w:r w:rsidRPr="00995CAD">
              <w:rPr>
                <w:rFonts w:ascii="Verdana" w:hAnsi="Verdana" w:cs="Arial"/>
              </w:rPr>
              <w:t>2.2.1.2.4.2.2</w:t>
            </w:r>
            <w:r>
              <w:rPr>
                <w:rFonts w:ascii="Verdana" w:hAnsi="Verdana" w:cs="Arial"/>
              </w:rPr>
              <w:t xml:space="preserve"> y</w:t>
            </w:r>
            <w:r w:rsidRPr="00995CAD">
              <w:rPr>
                <w:rFonts w:ascii="Verdana" w:hAnsi="Verdana" w:cs="Arial"/>
              </w:rPr>
              <w:t xml:space="preserve"> 2.2.1.2.4.2.3</w:t>
            </w:r>
            <w:r>
              <w:rPr>
                <w:rFonts w:ascii="Verdana" w:hAnsi="Verdana" w:cs="Arial"/>
              </w:rPr>
              <w:t>.</w:t>
            </w:r>
          </w:p>
          <w:p w14:paraId="1CCB4F42"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1860 de 2021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3</w:t>
            </w:r>
            <w:r>
              <w:rPr>
                <w:rFonts w:ascii="Verdana" w:hAnsi="Verdana" w:cs="Arial"/>
              </w:rPr>
              <w:t xml:space="preserve"> y 5</w:t>
            </w:r>
            <w:r w:rsidRPr="00995CAD">
              <w:rPr>
                <w:rFonts w:ascii="Verdana" w:hAnsi="Verdana" w:cs="Arial"/>
              </w:rPr>
              <w:t>.</w:t>
            </w:r>
          </w:p>
          <w:p w14:paraId="3EAC570A" w14:textId="77777777" w:rsidR="009E1F9E" w:rsidRPr="00770E9C"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454 de 1998</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rtículos 2 y 6.</w:t>
            </w:r>
          </w:p>
          <w:p w14:paraId="74940015" w14:textId="77777777" w:rsidR="009E1F9E" w:rsidRPr="00FA5394" w:rsidRDefault="009E1F9E" w:rsidP="00F71E30">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79 de 1988</w:t>
            </w:r>
            <w:r>
              <w:rPr>
                <w:rFonts w:ascii="Verdana" w:hAnsi="Verdana" w:cs="Arial"/>
              </w:rPr>
              <w:t>. A</w:t>
            </w:r>
            <w:r w:rsidRPr="00995CAD">
              <w:rPr>
                <w:rFonts w:ascii="Verdana" w:hAnsi="Verdana" w:cs="Arial"/>
              </w:rPr>
              <w:t>rtículo 4.</w:t>
            </w:r>
          </w:p>
          <w:p w14:paraId="6CD42395" w14:textId="77777777" w:rsidR="009E1F9E" w:rsidRPr="00770E9C" w:rsidRDefault="009E1F9E" w:rsidP="00F71E30">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C552A6">
              <w:rPr>
                <w:rFonts w:ascii="Verdana" w:eastAsia="Calibri" w:hAnsi="Verdana" w:cs="Arial"/>
                <w:sz w:val="22"/>
                <w:szCs w:val="22"/>
                <w:lang w:val="es-ES_tradnl" w:eastAsia="es-ES_tradnl"/>
              </w:rPr>
              <w:t>Código de Comercio. Artículos: 98 y 100.</w:t>
            </w:r>
          </w:p>
          <w:p w14:paraId="2165F202" w14:textId="77777777" w:rsidR="009E1F9E" w:rsidRPr="00770E9C" w:rsidRDefault="009E1F9E" w:rsidP="00F71E30">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Corte Constitucional. Sentencia C-287 de 2012. M.P. María Victoria Calle.</w:t>
            </w:r>
          </w:p>
          <w:p w14:paraId="5F01F956" w14:textId="77777777" w:rsidR="009E1F9E" w:rsidRPr="00770E9C" w:rsidRDefault="009E1F9E" w:rsidP="00F71E30">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 xml:space="preserve">Cámara de Comercio de Bogotá, “ABC DE ESALES”. Bogotá. 2013. Disponible en este </w:t>
            </w:r>
            <w:proofErr w:type="gramStart"/>
            <w:r w:rsidRPr="00600C3F">
              <w:rPr>
                <w:rFonts w:ascii="Verdana" w:hAnsi="Verdana" w:cs="Arial"/>
                <w:color w:val="000000" w:themeColor="text1"/>
                <w:sz w:val="22"/>
                <w:szCs w:val="22"/>
              </w:rPr>
              <w:t>link</w:t>
            </w:r>
            <w:proofErr w:type="gramEnd"/>
            <w:r w:rsidRPr="00600C3F">
              <w:rPr>
                <w:rFonts w:ascii="Verdana" w:hAnsi="Verdana" w:cs="Arial"/>
                <w:color w:val="000000" w:themeColor="text1"/>
                <w:sz w:val="22"/>
                <w:szCs w:val="22"/>
              </w:rPr>
              <w:t xml:space="preserve">: </w:t>
            </w:r>
            <w:hyperlink r:id="rId13" w:history="1">
              <w:r w:rsidRPr="00A7115F">
                <w:rPr>
                  <w:rStyle w:val="Hipervnculo"/>
                  <w:rFonts w:ascii="Verdana" w:hAnsi="Verdana" w:cs="Arial"/>
                  <w:sz w:val="22"/>
                  <w:szCs w:val="22"/>
                </w:rPr>
                <w:t>https://bibliotecadigital.ccb.org.co/bitstream/handle/11520/8346/el%20abc%20de%20esales%202013%20completo.pdf?sequence=1&amp;isAllowed=y</w:t>
              </w:r>
            </w:hyperlink>
            <w:r w:rsidRPr="00600C3F">
              <w:rPr>
                <w:rFonts w:ascii="Verdana" w:hAnsi="Verdana" w:cs="Arial"/>
                <w:color w:val="000000" w:themeColor="text1"/>
                <w:sz w:val="22"/>
                <w:szCs w:val="22"/>
              </w:rPr>
              <w:t>.</w:t>
            </w:r>
            <w:r>
              <w:rPr>
                <w:rFonts w:ascii="Verdana" w:hAnsi="Verdana" w:cs="Arial"/>
                <w:color w:val="000000" w:themeColor="text1"/>
                <w:sz w:val="22"/>
                <w:szCs w:val="22"/>
              </w:rPr>
              <w:t xml:space="preserve"> </w:t>
            </w:r>
          </w:p>
          <w:p w14:paraId="69C74470" w14:textId="77777777" w:rsidR="009E1F9E" w:rsidRPr="00A57FA0" w:rsidRDefault="009E1F9E" w:rsidP="00F71E30">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Pr>
                <w:rFonts w:ascii="Verdana" w:hAnsi="Verdana" w:cs="Arial"/>
                <w:color w:val="000000" w:themeColor="text1"/>
                <w:sz w:val="22"/>
                <w:szCs w:val="22"/>
              </w:rPr>
              <w:t xml:space="preserve">Manual básico sobre entidades sin ánimo de lucro – ESAL-. En </w:t>
            </w:r>
            <w:hyperlink r:id="rId14" w:history="1">
              <w:r w:rsidRPr="00600C3F">
                <w:rPr>
                  <w:rStyle w:val="Hipervnculo"/>
                  <w:rFonts w:ascii="Verdana" w:hAnsi="Verdana" w:cs="Arial"/>
                  <w:sz w:val="22"/>
                  <w:szCs w:val="22"/>
                </w:rPr>
                <w:t>Manual básico sobre entidades sin ánimo de lucro - ESAL</w:t>
              </w:r>
            </w:hyperlink>
          </w:p>
        </w:tc>
      </w:tr>
    </w:tbl>
    <w:p w14:paraId="4342B793" w14:textId="77777777" w:rsidR="009E1F9E" w:rsidRPr="00277E26" w:rsidRDefault="009E1F9E" w:rsidP="009E1F9E">
      <w:pPr>
        <w:widowControl w:val="0"/>
        <w:autoSpaceDE w:val="0"/>
        <w:autoSpaceDN w:val="0"/>
        <w:spacing w:after="0" w:line="276" w:lineRule="auto"/>
        <w:jc w:val="both"/>
        <w:rPr>
          <w:rFonts w:ascii="Verdana" w:hAnsi="Verdana" w:cs="Arial"/>
        </w:rPr>
      </w:pPr>
    </w:p>
    <w:p w14:paraId="71895FAF" w14:textId="77777777" w:rsidR="009E1F9E" w:rsidRPr="001F283D" w:rsidRDefault="009E1F9E" w:rsidP="009E1F9E">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3E28C23F" w14:textId="77777777" w:rsidR="009E1F9E" w:rsidRDefault="009E1F9E" w:rsidP="009E1F9E">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3CB0C686" w14:textId="77777777" w:rsidR="009E1F9E" w:rsidRPr="001A687D" w:rsidRDefault="009E1F9E" w:rsidP="009E1F9E">
      <w:pPr>
        <w:widowControl w:val="0"/>
        <w:autoSpaceDE w:val="0"/>
        <w:autoSpaceDN w:val="0"/>
        <w:spacing w:after="120" w:line="276" w:lineRule="auto"/>
        <w:jc w:val="both"/>
        <w:rPr>
          <w:rFonts w:ascii="Verdana" w:hAnsi="Verdana" w:cs="Arial"/>
          <w:shd w:val="clear" w:color="auto" w:fill="FFFFFF"/>
        </w:rPr>
      </w:pPr>
      <w:r w:rsidRPr="000E7148">
        <w:rPr>
          <w:rFonts w:ascii="Verdana" w:eastAsia="Calibri" w:hAnsi="Verdana" w:cs="Arial"/>
          <w:color w:val="000000" w:themeColor="text1"/>
          <w:lang w:eastAsia="es-ES_tradnl"/>
        </w:rPr>
        <w:t xml:space="preserve">La Agencia Nacional de Contratación Pública – Colombia Compra Eficiente </w:t>
      </w:r>
      <w:r>
        <w:rPr>
          <w:rFonts w:ascii="Verdana" w:eastAsia="Arial" w:hAnsi="Verdana" w:cs="Arial"/>
          <w:lang w:val="es-MX" w:eastAsia="es-ES_tradnl"/>
        </w:rPr>
        <w:t xml:space="preserve">se ha </w:t>
      </w:r>
      <w:r>
        <w:rPr>
          <w:rFonts w:ascii="Verdana" w:eastAsia="Arial" w:hAnsi="Verdana" w:cs="Arial"/>
          <w:lang w:val="es-MX" w:eastAsia="es-ES_tradnl"/>
        </w:rPr>
        <w:lastRenderedPageBreak/>
        <w:t xml:space="preserve">referido a </w:t>
      </w:r>
      <w:r w:rsidRPr="002834E3">
        <w:rPr>
          <w:rFonts w:ascii="Verdana" w:eastAsia="Calibri" w:hAnsi="Verdana" w:cs="Arial"/>
          <w:shd w:val="clear" w:color="auto" w:fill="FFFFFF"/>
        </w:rPr>
        <w:t xml:space="preserve">la participación de las ESAL en procesos contractuales limitados a </w:t>
      </w:r>
      <w:proofErr w:type="spellStart"/>
      <w:r w:rsidRPr="002834E3">
        <w:rPr>
          <w:rFonts w:ascii="Verdana" w:eastAsia="Calibri" w:hAnsi="Verdana" w:cs="Arial"/>
          <w:shd w:val="clear" w:color="auto" w:fill="FFFFFF"/>
        </w:rPr>
        <w:t>Mi</w:t>
      </w:r>
      <w:r>
        <w:rPr>
          <w:rFonts w:ascii="Verdana" w:eastAsia="Calibri" w:hAnsi="Verdana" w:cs="Arial"/>
          <w:shd w:val="clear" w:color="auto" w:fill="FFFFFF"/>
        </w:rPr>
        <w:t>p</w:t>
      </w:r>
      <w:r w:rsidRPr="002834E3">
        <w:rPr>
          <w:rFonts w:ascii="Verdana" w:eastAsia="Calibri" w:hAnsi="Verdana" w:cs="Arial"/>
          <w:shd w:val="clear" w:color="auto" w:fill="FFFFFF"/>
        </w:rPr>
        <w:t>ymes</w:t>
      </w:r>
      <w:proofErr w:type="spellEnd"/>
      <w:r>
        <w:rPr>
          <w:rFonts w:ascii="Verdana" w:eastAsia="Calibri" w:hAnsi="Verdana" w:cs="Arial"/>
          <w:shd w:val="clear" w:color="auto" w:fill="FFFFFF"/>
        </w:rPr>
        <w:t xml:space="preserve"> </w:t>
      </w:r>
      <w:r>
        <w:rPr>
          <w:rFonts w:ascii="Verdana" w:eastAsia="Arial" w:hAnsi="Verdana" w:cs="Arial"/>
          <w:lang w:val="es-MX" w:eastAsia="es-ES_tradnl"/>
        </w:rPr>
        <w:t xml:space="preserve">en </w:t>
      </w:r>
      <w:r w:rsidRPr="009643AE">
        <w:rPr>
          <w:rFonts w:ascii="Verdana" w:eastAsia="Arial" w:hAnsi="Verdana" w:cs="Arial"/>
          <w:lang w:val="es-MX" w:eastAsia="es-ES_tradnl"/>
        </w:rPr>
        <w:t xml:space="preserve">los conceptos </w:t>
      </w:r>
      <w:r w:rsidRPr="002834E3">
        <w:rPr>
          <w:rFonts w:ascii="Verdana" w:eastAsia="Calibri" w:hAnsi="Verdana" w:cs="Arial"/>
          <w:shd w:val="clear" w:color="auto" w:fill="FFFFFF"/>
        </w:rPr>
        <w:t>del C-474 del 26 de julio de 2022, C-020 del 14 de febrero de 2023, C-587 del 21 de septiembre de 2022, C-094 del 16 de junio de 2024, C-997 del 30 de diciembre de 2024, C-1017 del 30 de diciembre de 2024</w:t>
      </w:r>
      <w:r w:rsidRPr="002834E3">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C-081 del 19 de febrero de 2025, C-257 del 1 de abril de 2025, C-236 del 2 de abril de 2025, C-306 del 16 de abril de 2025, C-483 del 20 de mayo de 2025</w:t>
      </w:r>
      <w:r>
        <w:rPr>
          <w:rFonts w:ascii="Verdana" w:hAnsi="Verdana" w:cs="Arial"/>
          <w:shd w:val="clear" w:color="auto" w:fill="FFFFFF"/>
          <w:lang w:val="es-ES"/>
        </w:rPr>
        <w:t xml:space="preserve">, -C-704 del 7 de julio de 2025, C-855 del 1 de agosto de 2025, </w:t>
      </w:r>
      <w:r w:rsidRPr="00FB34BB">
        <w:rPr>
          <w:rFonts w:ascii="Verdana" w:hAnsi="Verdana" w:cs="Arial"/>
          <w:shd w:val="clear" w:color="auto" w:fill="FFFFFF"/>
          <w:lang w:val="es-ES"/>
        </w:rPr>
        <w:t>entre otros.</w:t>
      </w:r>
      <w:r>
        <w:rPr>
          <w:rFonts w:ascii="Verdana" w:hAnsi="Verdana" w:cs="Arial"/>
          <w:shd w:val="clear" w:color="auto" w:fill="FFFFFF"/>
          <w:lang w:val="es-ES"/>
        </w:rPr>
        <w:t xml:space="preserve"> </w:t>
      </w:r>
      <w:r>
        <w:rPr>
          <w:rFonts w:ascii="Verdana" w:hAnsi="Verdana" w:cs="Arial"/>
          <w:shd w:val="clear" w:color="auto" w:fill="FFFFFF"/>
        </w:rPr>
        <w:t xml:space="preserve">Estos </w:t>
      </w:r>
      <w:r w:rsidRPr="0087042A">
        <w:rPr>
          <w:rFonts w:ascii="Verdana" w:hAnsi="Verdana"/>
        </w:rPr>
        <w:t>se encuentran disponibles para consulta en el Sistema de relatoría de la Agencia, al cual se puede acceder a través del siguiente enlace:</w:t>
      </w:r>
      <w:r w:rsidRPr="0087042A">
        <w:rPr>
          <w:rFonts w:ascii="Verdana" w:hAnsi="Verdana" w:cs="Arial"/>
          <w:shd w:val="clear" w:color="auto" w:fill="FFFFFF"/>
        </w:rPr>
        <w:t xml:space="preserve"> </w:t>
      </w:r>
      <w:hyperlink r:id="rId15" w:history="1">
        <w:r w:rsidRPr="00A7115F">
          <w:rPr>
            <w:rStyle w:val="Hipervnculo"/>
            <w:rFonts w:ascii="Verdana" w:hAnsi="Verdana" w:cs="Arial"/>
            <w:shd w:val="clear" w:color="auto" w:fill="FFFFFF"/>
          </w:rPr>
          <w:t>https://relatoria.colombiacompra.gov.co/busqueda/conceptos</w:t>
        </w:r>
      </w:hyperlink>
      <w:r w:rsidRPr="0087042A">
        <w:rPr>
          <w:rFonts w:ascii="Verdana" w:hAnsi="Verdana" w:cs="Arial"/>
          <w:shd w:val="clear" w:color="auto" w:fill="FFFFFF"/>
        </w:rPr>
        <w:t>.</w:t>
      </w:r>
      <w:r w:rsidRPr="00AB70DD">
        <w:rPr>
          <w:rFonts w:ascii="Verdana" w:hAnsi="Verdana" w:cs="Arial"/>
          <w:color w:val="FF0000"/>
          <w:shd w:val="clear" w:color="auto" w:fill="FFFFFF"/>
        </w:rPr>
        <w:t xml:space="preserve"> </w:t>
      </w:r>
      <w:r w:rsidRPr="00AB70DD">
        <w:rPr>
          <w:rFonts w:ascii="Verdana" w:hAnsi="Verdana" w:cs="Arial"/>
          <w:color w:val="000000" w:themeColor="text1"/>
          <w:shd w:val="clear" w:color="auto" w:fill="FFFFFF"/>
        </w:rPr>
        <w:t>  </w:t>
      </w:r>
    </w:p>
    <w:p w14:paraId="64BCE223" w14:textId="77777777" w:rsidR="009E1F9E" w:rsidRPr="00FB6C33" w:rsidRDefault="009E1F9E" w:rsidP="009E1F9E">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D3C424A" w14:textId="77777777" w:rsidR="009E1F9E" w:rsidRPr="008E4F36" w:rsidRDefault="009E1F9E" w:rsidP="009E1F9E">
      <w:pPr>
        <w:spacing w:after="0" w:line="276" w:lineRule="auto"/>
        <w:jc w:val="both"/>
        <w:rPr>
          <w:rFonts w:ascii="Verdana" w:eastAsia="Calibri" w:hAnsi="Verdana" w:cs="Times New Roman"/>
        </w:rPr>
      </w:pPr>
    </w:p>
    <w:p w14:paraId="4BC7E819" w14:textId="77777777" w:rsidR="009E1F9E" w:rsidRDefault="009E1F9E" w:rsidP="009E1F9E">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116C65F2" w14:textId="77777777" w:rsidR="00902D8C" w:rsidRDefault="00902D8C" w:rsidP="009E1F9E">
      <w:pPr>
        <w:spacing w:after="0" w:line="276" w:lineRule="auto"/>
        <w:jc w:val="both"/>
        <w:rPr>
          <w:rFonts w:ascii="Verdana" w:eastAsia="Calibri" w:hAnsi="Verdana" w:cs="Times New Roman"/>
        </w:rPr>
      </w:pPr>
    </w:p>
    <w:p w14:paraId="4F1FF168" w14:textId="2550161B" w:rsidR="009E1F9E" w:rsidRPr="00902D8C" w:rsidRDefault="00902D8C" w:rsidP="00902D8C">
      <w:pPr>
        <w:spacing w:after="0" w:line="276" w:lineRule="auto"/>
        <w:jc w:val="center"/>
        <w:rPr>
          <w:rFonts w:ascii="Verdana" w:eastAsia="Calibri" w:hAnsi="Verdana" w:cs="Times New Roman"/>
        </w:rPr>
      </w:pPr>
      <w:r>
        <w:rPr>
          <w:noProof/>
        </w:rPr>
        <w:drawing>
          <wp:inline distT="0" distB="0" distL="0" distR="0" wp14:anchorId="627C34E7" wp14:editId="520661AD">
            <wp:extent cx="3771900" cy="1400175"/>
            <wp:effectExtent l="0" t="0" r="0" b="9525"/>
            <wp:docPr id="792888524"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888524" name="Imagen 2" descr="Texto&#10;&#10;Descripción generada automáticamente"/>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E1F9E" w:rsidRPr="00713B63" w14:paraId="7292F88C" w14:textId="77777777" w:rsidTr="00F71E30">
        <w:trPr>
          <w:trHeight w:val="315"/>
        </w:trPr>
        <w:tc>
          <w:tcPr>
            <w:tcW w:w="893" w:type="dxa"/>
            <w:vAlign w:val="center"/>
            <w:hideMark/>
          </w:tcPr>
          <w:p w14:paraId="177CF2F5" w14:textId="77777777" w:rsidR="009E1F9E" w:rsidRPr="00713B63" w:rsidRDefault="009E1F9E" w:rsidP="00F71E30">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F81621E" w14:textId="77777777" w:rsidR="009E1F9E" w:rsidRPr="00713B63" w:rsidRDefault="009E1F9E" w:rsidP="00F71E30">
            <w:pPr>
              <w:contextualSpacing/>
              <w:rPr>
                <w:rFonts w:ascii="Verdana" w:hAnsi="Verdana"/>
                <w:sz w:val="16"/>
                <w:szCs w:val="16"/>
              </w:rPr>
            </w:pPr>
            <w:r w:rsidRPr="00713B63">
              <w:rPr>
                <w:rFonts w:ascii="Verdana" w:hAnsi="Verdana"/>
                <w:sz w:val="16"/>
                <w:szCs w:val="16"/>
              </w:rPr>
              <w:t>Tatiana Baquero Iguarán</w:t>
            </w:r>
          </w:p>
          <w:p w14:paraId="119DECD2" w14:textId="77777777" w:rsidR="009E1F9E" w:rsidRPr="00713B63" w:rsidRDefault="009E1F9E" w:rsidP="00F71E30">
            <w:pPr>
              <w:contextualSpacing/>
              <w:rPr>
                <w:rFonts w:ascii="Verdana" w:eastAsia="Arial" w:hAnsi="Verdana" w:cs="Arial"/>
                <w:sz w:val="16"/>
                <w:szCs w:val="16"/>
              </w:rPr>
            </w:pPr>
            <w:r w:rsidRPr="00713B63">
              <w:rPr>
                <w:rFonts w:ascii="Verdana" w:hAnsi="Verdana"/>
                <w:sz w:val="16"/>
                <w:szCs w:val="16"/>
              </w:rPr>
              <w:t>Contratista de la Subdirección de Gestión Contractual</w:t>
            </w:r>
          </w:p>
        </w:tc>
      </w:tr>
      <w:tr w:rsidR="009E1F9E" w:rsidRPr="00713B63" w14:paraId="7CE160B8" w14:textId="77777777" w:rsidTr="00F71E30">
        <w:trPr>
          <w:trHeight w:val="330"/>
        </w:trPr>
        <w:tc>
          <w:tcPr>
            <w:tcW w:w="893" w:type="dxa"/>
            <w:vAlign w:val="center"/>
            <w:hideMark/>
          </w:tcPr>
          <w:p w14:paraId="0B55FEE9" w14:textId="77777777" w:rsidR="009E1F9E" w:rsidRPr="00713B63" w:rsidRDefault="009E1F9E" w:rsidP="00F71E30">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20E16B" w14:textId="77777777" w:rsidR="009E1F9E" w:rsidRPr="00713B63" w:rsidRDefault="009E1F9E" w:rsidP="00F71E30">
            <w:pPr>
              <w:textAlignment w:val="baseline"/>
              <w:rPr>
                <w:rFonts w:ascii="Verdana" w:eastAsia="Times New Roman" w:hAnsi="Verdana" w:cs="Arial"/>
                <w:sz w:val="16"/>
                <w:szCs w:val="16"/>
                <w:lang w:val="es-ES_tradnl"/>
              </w:rPr>
            </w:pPr>
            <w:r w:rsidRPr="00713B63">
              <w:rPr>
                <w:rFonts w:ascii="Verdana" w:eastAsia="Times New Roman" w:hAnsi="Verdana" w:cs="Arial"/>
                <w:sz w:val="16"/>
                <w:szCs w:val="16"/>
                <w:lang w:val="es-ES_tradnl"/>
              </w:rPr>
              <w:t>Alejandro Sarmiento Cantillo</w:t>
            </w:r>
          </w:p>
          <w:p w14:paraId="7174CF96" w14:textId="77777777" w:rsidR="009E1F9E" w:rsidRPr="00713B63" w:rsidRDefault="009E1F9E" w:rsidP="00F71E30">
            <w:pPr>
              <w:contextualSpacing/>
              <w:textAlignment w:val="baseline"/>
              <w:rPr>
                <w:rFonts w:ascii="Verdana" w:eastAsia="Times New Roman" w:hAnsi="Verdana" w:cs="Segoe UI"/>
                <w:sz w:val="16"/>
                <w:szCs w:val="16"/>
                <w:lang w:eastAsia="es-ES_tradnl"/>
              </w:rPr>
            </w:pPr>
            <w:r w:rsidRPr="00713B63">
              <w:rPr>
                <w:rFonts w:ascii="Verdana" w:hAnsi="Verdana" w:cs="Arial"/>
                <w:sz w:val="16"/>
                <w:szCs w:val="16"/>
                <w:lang w:val="es-ES_tradnl"/>
              </w:rPr>
              <w:t>Gestor T1 ‒ 15 de la Subdirección de Gestión Contractual</w:t>
            </w:r>
          </w:p>
          <w:p w14:paraId="294CA84D" w14:textId="77777777" w:rsidR="009E1F9E" w:rsidRPr="00713B63" w:rsidRDefault="009E1F9E" w:rsidP="00F71E30">
            <w:pPr>
              <w:contextualSpacing/>
              <w:textAlignment w:val="baseline"/>
              <w:rPr>
                <w:rFonts w:ascii="Verdana" w:eastAsia="Times New Roman" w:hAnsi="Verdana" w:cs="Segoe UI"/>
                <w:sz w:val="16"/>
                <w:szCs w:val="16"/>
                <w:lang w:eastAsia="es-ES_tradnl"/>
              </w:rPr>
            </w:pPr>
          </w:p>
        </w:tc>
      </w:tr>
      <w:tr w:rsidR="009E1F9E" w:rsidRPr="00713B63" w14:paraId="3051348D" w14:textId="77777777" w:rsidTr="00F71E30">
        <w:trPr>
          <w:trHeight w:val="300"/>
        </w:trPr>
        <w:tc>
          <w:tcPr>
            <w:tcW w:w="893" w:type="dxa"/>
            <w:vAlign w:val="center"/>
          </w:tcPr>
          <w:p w14:paraId="6D486F5F" w14:textId="77777777" w:rsidR="009E1F9E" w:rsidRPr="00713B63" w:rsidRDefault="009E1F9E" w:rsidP="00F71E30">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E58B85" w14:textId="77777777" w:rsidR="009E1F9E" w:rsidRPr="00713B63" w:rsidRDefault="009E1F9E" w:rsidP="00F71E30">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 xml:space="preserve">Carolina Quintero </w:t>
            </w:r>
            <w:proofErr w:type="spellStart"/>
            <w:r w:rsidRPr="00713B63">
              <w:rPr>
                <w:rFonts w:ascii="Verdana" w:eastAsia="Calibri" w:hAnsi="Verdana" w:cs="Arial"/>
                <w:sz w:val="16"/>
                <w:szCs w:val="16"/>
                <w:lang w:eastAsia="es-ES"/>
              </w:rPr>
              <w:t>Gacharná</w:t>
            </w:r>
            <w:proofErr w:type="spellEnd"/>
          </w:p>
          <w:p w14:paraId="17263879" w14:textId="77777777" w:rsidR="009E1F9E" w:rsidRPr="00713B63" w:rsidRDefault="009E1F9E" w:rsidP="00F71E30">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3659E0B6" w14:textId="77777777" w:rsidR="009E1F9E" w:rsidRDefault="009E1F9E" w:rsidP="009E1F9E">
      <w:pPr>
        <w:spacing w:after="0" w:line="240" w:lineRule="auto"/>
        <w:rPr>
          <w:rFonts w:ascii="Verdana" w:eastAsia="Geomanist Light" w:hAnsi="Verdana" w:cs="Arial"/>
          <w:color w:val="000000" w:themeColor="text1"/>
        </w:rPr>
      </w:pPr>
    </w:p>
    <w:p w14:paraId="310E77A4" w14:textId="77777777" w:rsidR="009E1F9E" w:rsidRPr="00867B6A" w:rsidRDefault="009E1F9E" w:rsidP="009E1F9E">
      <w:pPr>
        <w:rPr>
          <w:lang w:val="es-ES"/>
        </w:rPr>
      </w:pPr>
    </w:p>
    <w:p w14:paraId="13109A09" w14:textId="77777777" w:rsidR="009E1F9E" w:rsidRPr="008A601C" w:rsidRDefault="009E1F9E" w:rsidP="009E1F9E"/>
    <w:p w14:paraId="7EF1FB5F" w14:textId="77777777" w:rsidR="009E1F9E" w:rsidRDefault="009E1F9E" w:rsidP="009E1F9E">
      <w:pPr>
        <w:spacing w:after="0" w:line="240" w:lineRule="auto"/>
        <w:jc w:val="both"/>
        <w:rPr>
          <w:rFonts w:ascii="Verdana" w:hAnsi="Verdana"/>
        </w:rPr>
      </w:pPr>
    </w:p>
    <w:p w14:paraId="24455CE1" w14:textId="77777777" w:rsidR="009E1F9E" w:rsidRPr="006A6C6F" w:rsidRDefault="009E1F9E" w:rsidP="009E1F9E"/>
    <w:bookmarkEnd w:id="0"/>
    <w:bookmarkEnd w:id="1"/>
    <w:bookmarkEnd w:id="2"/>
    <w:bookmarkEnd w:id="3"/>
    <w:bookmarkEnd w:id="4"/>
    <w:bookmarkEnd w:id="5"/>
    <w:p w14:paraId="4191D9E9" w14:textId="77777777" w:rsidR="005B59DB" w:rsidRDefault="005B59DB" w:rsidP="00867B6A">
      <w:pPr>
        <w:spacing w:after="0" w:line="240" w:lineRule="auto"/>
        <w:jc w:val="both"/>
        <w:rPr>
          <w:rFonts w:ascii="Verdana" w:hAnsi="Verdana"/>
        </w:rPr>
      </w:pPr>
    </w:p>
    <w:sectPr w:rsidR="005B59D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CE5E0" w14:textId="77777777" w:rsidR="00EA2B9A" w:rsidRDefault="00EA2B9A" w:rsidP="004A1847">
      <w:pPr>
        <w:spacing w:after="0" w:line="240" w:lineRule="auto"/>
      </w:pPr>
      <w:r>
        <w:separator/>
      </w:r>
    </w:p>
  </w:endnote>
  <w:endnote w:type="continuationSeparator" w:id="0">
    <w:p w14:paraId="6DA986E3" w14:textId="77777777" w:rsidR="00EA2B9A" w:rsidRDefault="00EA2B9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D8426" w14:textId="77777777" w:rsidR="00EA2B9A" w:rsidRDefault="00EA2B9A" w:rsidP="004A1847">
      <w:pPr>
        <w:spacing w:after="0" w:line="240" w:lineRule="auto"/>
      </w:pPr>
      <w:r>
        <w:separator/>
      </w:r>
    </w:p>
  </w:footnote>
  <w:footnote w:type="continuationSeparator" w:id="0">
    <w:p w14:paraId="46AE2C07" w14:textId="77777777" w:rsidR="00EA2B9A" w:rsidRDefault="00EA2B9A" w:rsidP="004A1847">
      <w:pPr>
        <w:spacing w:after="0" w:line="240" w:lineRule="auto"/>
      </w:pPr>
      <w:r>
        <w:continuationSeparator/>
      </w:r>
    </w:p>
  </w:footnote>
  <w:footnote w:id="1">
    <w:p w14:paraId="04C4AFEC" w14:textId="77777777" w:rsidR="009E1F9E" w:rsidRPr="00997992" w:rsidRDefault="009E1F9E" w:rsidP="009E1F9E">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089D9D3F" w14:textId="77777777" w:rsidR="009E1F9E" w:rsidRPr="00997992" w:rsidRDefault="009E1F9E" w:rsidP="009E1F9E">
      <w:pPr>
        <w:pStyle w:val="Textonotapie"/>
        <w:ind w:firstLine="709"/>
        <w:contextualSpacing/>
        <w:jc w:val="both"/>
        <w:rPr>
          <w:rFonts w:ascii="Verdana" w:hAnsi="Verdana" w:cs="Arial"/>
          <w:sz w:val="14"/>
          <w:szCs w:val="14"/>
        </w:rPr>
      </w:pPr>
      <w:r w:rsidRPr="00997992">
        <w:rPr>
          <w:rFonts w:ascii="Verdana" w:hAnsi="Verdana" w:cs="Arial"/>
          <w:sz w:val="14"/>
          <w:szCs w:val="14"/>
        </w:rPr>
        <w:t>Sin embargo, cualquiera que sea su objeto, las sociedades comerciales y civiles estarán sujetas, para todos los efectos, a la legislación mercantil”.</w:t>
      </w:r>
    </w:p>
    <w:p w14:paraId="21A62952" w14:textId="77777777" w:rsidR="009E1F9E" w:rsidRPr="00997992" w:rsidRDefault="009E1F9E" w:rsidP="009E1F9E">
      <w:pPr>
        <w:pStyle w:val="Textonotapie"/>
        <w:contextualSpacing/>
        <w:jc w:val="both"/>
        <w:rPr>
          <w:rFonts w:ascii="Verdana" w:hAnsi="Verdana" w:cs="Arial"/>
          <w:sz w:val="14"/>
          <w:szCs w:val="14"/>
          <w:lang w:val="es-CO"/>
        </w:rPr>
      </w:pPr>
    </w:p>
  </w:footnote>
  <w:footnote w:id="2">
    <w:p w14:paraId="7E8BE170" w14:textId="77777777" w:rsidR="009E1F9E" w:rsidRPr="00997992" w:rsidRDefault="009E1F9E" w:rsidP="009E1F9E">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57547DCC" w14:textId="77777777" w:rsidR="009E1F9E" w:rsidRPr="00997992" w:rsidRDefault="009E1F9E" w:rsidP="009E1F9E">
      <w:pPr>
        <w:pStyle w:val="Textonotapie"/>
        <w:contextualSpacing/>
        <w:jc w:val="both"/>
        <w:rPr>
          <w:rFonts w:ascii="Verdana" w:hAnsi="Verdana" w:cs="Arial"/>
          <w:sz w:val="14"/>
          <w:szCs w:val="14"/>
          <w:lang w:val="es-CO"/>
        </w:rPr>
      </w:pPr>
      <w:r w:rsidRPr="00997992">
        <w:rPr>
          <w:rFonts w:ascii="Verdana" w:hAnsi="Verdana" w:cs="Arial"/>
          <w:sz w:val="14"/>
          <w:szCs w:val="14"/>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14:paraId="5F6ADB8A" w14:textId="77777777" w:rsidR="009E1F9E" w:rsidRDefault="009E1F9E" w:rsidP="009E1F9E">
      <w:pPr>
        <w:pStyle w:val="Textonotapie"/>
        <w:ind w:firstLine="708"/>
        <w:contextualSpacing/>
        <w:jc w:val="both"/>
        <w:rPr>
          <w:rStyle w:val="eop"/>
          <w:rFonts w:ascii="Verdana" w:hAnsi="Verdana" w:cs="Arial"/>
          <w:color w:val="000000"/>
          <w:sz w:val="14"/>
          <w:szCs w:val="14"/>
          <w:shd w:val="clear" w:color="auto" w:fill="FFFFFF"/>
        </w:rPr>
      </w:pPr>
      <w:r w:rsidRPr="00997992">
        <w:rPr>
          <w:rStyle w:val="Refdenotaalpie"/>
          <w:rFonts w:ascii="Verdana" w:hAnsi="Verdana" w:cs="Arial"/>
          <w:sz w:val="14"/>
          <w:szCs w:val="14"/>
        </w:rPr>
        <w:footnoteRef/>
      </w:r>
      <w:r w:rsidRPr="00997992">
        <w:rPr>
          <w:rFonts w:ascii="Verdana" w:hAnsi="Verdana" w:cs="Arial"/>
          <w:sz w:val="14"/>
          <w:szCs w:val="14"/>
        </w:rPr>
        <w:t xml:space="preserve"> </w:t>
      </w:r>
      <w:r w:rsidRPr="00997992">
        <w:rPr>
          <w:rStyle w:val="normaltextrun"/>
          <w:rFonts w:ascii="Verdana" w:hAnsi="Verdana" w:cs="Arial"/>
          <w:color w:val="000000"/>
          <w:sz w:val="14"/>
          <w:szCs w:val="14"/>
          <w:shd w:val="clear" w:color="auto" w:fill="FFFFFF"/>
          <w:lang w:val="pt-BR"/>
        </w:rPr>
        <w:t xml:space="preserve">Corte Constitucional. Sentencia C-287 de 2012. </w:t>
      </w:r>
      <w:r w:rsidRPr="00997992">
        <w:rPr>
          <w:rStyle w:val="normaltextrun"/>
          <w:rFonts w:ascii="Verdana" w:hAnsi="Verdana" w:cs="Arial"/>
          <w:color w:val="000000"/>
          <w:sz w:val="14"/>
          <w:szCs w:val="14"/>
          <w:shd w:val="clear" w:color="auto" w:fill="FFFFFF"/>
          <w:lang w:val="es-ES"/>
        </w:rPr>
        <w:t>M.P. María Victoria Calle.</w:t>
      </w:r>
      <w:r w:rsidRPr="00997992">
        <w:rPr>
          <w:rStyle w:val="eop"/>
          <w:rFonts w:ascii="Verdana" w:hAnsi="Verdana" w:cs="Arial"/>
          <w:color w:val="000000"/>
          <w:sz w:val="14"/>
          <w:szCs w:val="14"/>
          <w:shd w:val="clear" w:color="auto" w:fill="FFFFFF"/>
        </w:rPr>
        <w:t> </w:t>
      </w:r>
    </w:p>
    <w:p w14:paraId="21753492" w14:textId="77777777" w:rsidR="009E1F9E" w:rsidRPr="00997992" w:rsidRDefault="009E1F9E" w:rsidP="009E1F9E">
      <w:pPr>
        <w:pStyle w:val="Textonotapie"/>
        <w:ind w:firstLine="708"/>
        <w:contextualSpacing/>
        <w:jc w:val="both"/>
        <w:rPr>
          <w:rFonts w:ascii="Verdana" w:hAnsi="Verdana" w:cs="Arial"/>
          <w:color w:val="000000"/>
          <w:sz w:val="14"/>
          <w:szCs w:val="14"/>
          <w:shd w:val="clear" w:color="auto" w:fill="FFFFFF"/>
        </w:rPr>
      </w:pPr>
    </w:p>
  </w:footnote>
  <w:footnote w:id="4">
    <w:p w14:paraId="286E8D0C" w14:textId="77777777" w:rsidR="009E1F9E" w:rsidRPr="00997992" w:rsidRDefault="009E1F9E" w:rsidP="009E1F9E">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Cámara de Comercio de Bogotá, “ABC DE ESALES”. Bogotá. 2013. Disponible en este link: </w:t>
      </w:r>
      <w:hyperlink r:id="rId1" w:history="1">
        <w:r w:rsidRPr="00997992">
          <w:rPr>
            <w:rStyle w:val="Hipervnculo"/>
            <w:rFonts w:ascii="Verdana" w:hAnsi="Verdana" w:cs="Arial"/>
            <w:sz w:val="14"/>
            <w:szCs w:val="14"/>
          </w:rPr>
          <w:t>https://bibliotecadigital.ccb.org.co/bitstream/handle/11520/8346/el%20abc%20de%20esales%202013%20completo.pdf?sequence=1&amp;isAllowed=y</w:t>
        </w:r>
      </w:hyperlink>
      <w:r w:rsidRPr="00997992">
        <w:rPr>
          <w:rFonts w:ascii="Verdana" w:hAnsi="Verdana" w:cs="Arial"/>
          <w:sz w:val="14"/>
          <w:szCs w:val="14"/>
        </w:rPr>
        <w:t xml:space="preserve">. </w:t>
      </w:r>
      <w:r>
        <w:rPr>
          <w:rFonts w:ascii="Verdana" w:hAnsi="Verdana" w:cs="Arial"/>
          <w:sz w:val="14"/>
          <w:szCs w:val="14"/>
        </w:rPr>
        <w:t xml:space="preserve">También se puede consultar el Manual básico sobre entidades sin ánimo de lucro – ESAL en </w:t>
      </w:r>
      <w:hyperlink r:id="rId2" w:history="1">
        <w:r w:rsidRPr="004B42D5">
          <w:rPr>
            <w:rStyle w:val="Hipervnculo"/>
            <w:rFonts w:ascii="Verdana" w:hAnsi="Verdana" w:cs="Arial"/>
            <w:sz w:val="14"/>
            <w:szCs w:val="14"/>
            <w:lang w:val="es-CO"/>
          </w:rPr>
          <w:t>Manual básico sobre entidades sin ánimo de lucro - ESAL</w:t>
        </w:r>
      </w:hyperlink>
      <w:r>
        <w:rPr>
          <w:rFonts w:ascii="Verdana" w:hAnsi="Verdana" w:cs="Arial"/>
          <w:sz w:val="14"/>
          <w:szCs w:val="14"/>
        </w:rPr>
        <w:t xml:space="preserve">. </w:t>
      </w:r>
    </w:p>
  </w:footnote>
  <w:footnote w:id="5">
    <w:p w14:paraId="3425CE31"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Ley 1450 de 2011. “Artículo 43. Definiciones de tamaño empresarial. El artículo 2° de la Ley 590 de 2000, quedará así: </w:t>
      </w:r>
    </w:p>
    <w:p w14:paraId="2963F68F"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7AF68DBC"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1. Número de trabajadores totales. </w:t>
      </w:r>
    </w:p>
    <w:p w14:paraId="5FA85191" w14:textId="77777777" w:rsidR="009E1F9E" w:rsidRPr="00351F46" w:rsidRDefault="009E1F9E" w:rsidP="009E1F9E">
      <w:pPr>
        <w:pStyle w:val="Textonotapie"/>
        <w:contextualSpacing/>
        <w:jc w:val="both"/>
        <w:rPr>
          <w:rFonts w:ascii="Verdana" w:hAnsi="Verdana" w:cs="Arial"/>
          <w:sz w:val="14"/>
          <w:szCs w:val="14"/>
        </w:rPr>
      </w:pPr>
      <w:r w:rsidRPr="00351F46">
        <w:rPr>
          <w:rFonts w:ascii="Verdana" w:hAnsi="Verdana" w:cs="Arial"/>
          <w:sz w:val="14"/>
          <w:szCs w:val="14"/>
        </w:rPr>
        <w:t xml:space="preserve"> </w:t>
      </w:r>
      <w:r w:rsidRPr="00351F46">
        <w:rPr>
          <w:rFonts w:ascii="Verdana" w:hAnsi="Verdana" w:cs="Arial"/>
          <w:sz w:val="14"/>
          <w:szCs w:val="14"/>
        </w:rPr>
        <w:tab/>
        <w:t xml:space="preserve">2. Valor de ventas brutas anuales. </w:t>
      </w:r>
    </w:p>
    <w:p w14:paraId="574E13A5"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3. Valor activos totales. </w:t>
      </w:r>
    </w:p>
    <w:p w14:paraId="69549753"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Para efectos de los beneficios otorgados por el Gobierno nacional a las micro, pequeñas y medianas empresas el criterio determinante será el valor de ventas brutas anuales. </w:t>
      </w:r>
    </w:p>
    <w:p w14:paraId="6D3E4B0D"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Fonts w:ascii="Verdana" w:hAnsi="Verdana" w:cs="Arial"/>
          <w:sz w:val="14"/>
          <w:szCs w:val="14"/>
        </w:rPr>
        <w:t xml:space="preserve">Parágrafo 1°. El Gobierno Nacional reglamentará los rangos que aplicarán para los tres criterios e incluirá especificidades sectoriales en los casos que considere necesario. </w:t>
      </w:r>
    </w:p>
    <w:p w14:paraId="09D23440"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Fonts w:ascii="Verdana" w:hAnsi="Verdana" w:cs="Arial"/>
          <w:sz w:val="14"/>
          <w:szCs w:val="14"/>
        </w:rPr>
        <w:t>Parágrafo 2°. Las definiciones contenidas en el artículo 2° de la Ley 590 de 2000 continuarán vigentes hasta tanto entren a regir las normas reglamentarias que profiera el Gobierno Nacional en desarrollo de lo previsto en el presente artículo”.</w:t>
      </w:r>
    </w:p>
    <w:p w14:paraId="602B3EE9" w14:textId="77777777" w:rsidR="009E1F9E" w:rsidRPr="00EE6E04" w:rsidRDefault="009E1F9E" w:rsidP="009E1F9E">
      <w:pPr>
        <w:pStyle w:val="Textonotapie"/>
        <w:ind w:firstLine="708"/>
        <w:contextualSpacing/>
        <w:jc w:val="both"/>
        <w:rPr>
          <w:rFonts w:ascii="Verdana" w:hAnsi="Verdana" w:cs="Arial"/>
          <w:sz w:val="15"/>
          <w:szCs w:val="15"/>
          <w:lang w:val="es-CO"/>
        </w:rPr>
      </w:pPr>
    </w:p>
  </w:footnote>
  <w:footnote w:id="6">
    <w:p w14:paraId="76194B4E" w14:textId="77777777" w:rsidR="009E1F9E" w:rsidRPr="00351F46" w:rsidRDefault="009E1F9E" w:rsidP="009E1F9E">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Agencia Nacional de Contratación – Colombia Compra Eficiente. Concepto 997 del 30 de diciembre de 2024. </w:t>
      </w:r>
    </w:p>
    <w:p w14:paraId="436AE74C" w14:textId="77777777" w:rsidR="009E1F9E" w:rsidRPr="00351F46" w:rsidRDefault="009E1F9E" w:rsidP="009E1F9E">
      <w:pPr>
        <w:pStyle w:val="Textonotapie"/>
        <w:ind w:firstLine="708"/>
        <w:contextualSpacing/>
        <w:jc w:val="both"/>
        <w:rPr>
          <w:rFonts w:ascii="Verdana" w:hAnsi="Verdana" w:cs="Arial"/>
          <w:sz w:val="14"/>
          <w:szCs w:val="14"/>
          <w:lang w:val="es-CO"/>
        </w:rPr>
      </w:pPr>
    </w:p>
  </w:footnote>
  <w:footnote w:id="7">
    <w:p w14:paraId="7738211A" w14:textId="77777777" w:rsidR="009E1F9E" w:rsidRDefault="009E1F9E" w:rsidP="009E1F9E">
      <w:pPr>
        <w:pStyle w:val="Textonotapie"/>
        <w:jc w:val="both"/>
        <w:rPr>
          <w:rFonts w:ascii="Verdana" w:hAnsi="Verdana"/>
          <w:sz w:val="14"/>
          <w:szCs w:val="14"/>
        </w:rPr>
      </w:pPr>
    </w:p>
    <w:p w14:paraId="3F5AE220" w14:textId="77777777" w:rsidR="009E1F9E" w:rsidRPr="00351F46" w:rsidRDefault="009E1F9E" w:rsidP="009E1F9E">
      <w:pPr>
        <w:pStyle w:val="Textonotapie"/>
        <w:ind w:firstLine="709"/>
        <w:jc w:val="both"/>
        <w:rPr>
          <w:rFonts w:ascii="Verdana" w:hAnsi="Verdana"/>
          <w:sz w:val="14"/>
          <w:szCs w:val="14"/>
        </w:rPr>
      </w:pPr>
      <w:r w:rsidRPr="00351F46">
        <w:rPr>
          <w:rStyle w:val="Refdenotaalpie"/>
          <w:rFonts w:ascii="Verdana" w:hAnsi="Verdana"/>
          <w:sz w:val="14"/>
          <w:szCs w:val="14"/>
        </w:rPr>
        <w:footnoteRef/>
      </w:r>
      <w:r>
        <w:rPr>
          <w:rFonts w:ascii="Verdana" w:hAnsi="Verdana"/>
          <w:sz w:val="14"/>
          <w:szCs w:val="14"/>
        </w:rPr>
        <w:t xml:space="preserve"> </w:t>
      </w:r>
      <w:r w:rsidRPr="00787201">
        <w:rPr>
          <w:rFonts w:ascii="Verdana" w:hAnsi="Verdana"/>
          <w:b/>
          <w:bCs/>
          <w:sz w:val="14"/>
          <w:szCs w:val="14"/>
        </w:rPr>
        <w:t>ARTÍCULO 2.2.1.2.4.2.2. Convocatorias Limitadas a Mipyme</w:t>
      </w:r>
      <w:r w:rsidRPr="00351F46">
        <w:rPr>
          <w:rFonts w:ascii="Verdana" w:hAnsi="Verdana"/>
          <w:sz w:val="14"/>
          <w:szCs w:val="14"/>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1CA1ACE2" w14:textId="77777777" w:rsidR="009E1F9E" w:rsidRPr="00351F46" w:rsidRDefault="009E1F9E" w:rsidP="009E1F9E">
      <w:pPr>
        <w:pStyle w:val="Textonotapie"/>
        <w:ind w:firstLine="709"/>
        <w:jc w:val="both"/>
        <w:rPr>
          <w:rFonts w:ascii="Verdana" w:hAnsi="Verdana"/>
          <w:sz w:val="14"/>
          <w:szCs w:val="14"/>
        </w:rPr>
      </w:pPr>
      <w:r w:rsidRPr="00351F46">
        <w:rPr>
          <w:rFonts w:ascii="Verdana" w:hAnsi="Verdana"/>
          <w:sz w:val="14"/>
          <w:szCs w:val="14"/>
        </w:rPr>
        <w:t>1. El valor del Proceso de Contratación sea menor a ciento veinticinco mil dólares de los Estados Unidos de América (US$125.000), liquidados con la tasa de cambio que para el efecto determina cada dos años el Ministerio de Comercio, Industria y Turismo.</w:t>
      </w:r>
    </w:p>
    <w:p w14:paraId="017229FB" w14:textId="77777777" w:rsidR="009E1F9E" w:rsidRPr="00351F46" w:rsidRDefault="009E1F9E" w:rsidP="009E1F9E">
      <w:pPr>
        <w:pStyle w:val="Textonotapie"/>
        <w:ind w:firstLine="709"/>
        <w:jc w:val="both"/>
        <w:rPr>
          <w:rFonts w:ascii="Verdana" w:hAnsi="Verdana"/>
          <w:sz w:val="14"/>
          <w:szCs w:val="14"/>
        </w:rPr>
      </w:pPr>
      <w:r w:rsidRPr="00351F46">
        <w:rPr>
          <w:rFonts w:ascii="Verdana" w:hAnsi="Verdana"/>
          <w:sz w:val="14"/>
          <w:szCs w:val="14"/>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13C1276D" w14:textId="77777777" w:rsidR="009E1F9E" w:rsidRPr="00351F46" w:rsidRDefault="009E1F9E" w:rsidP="009E1F9E">
      <w:pPr>
        <w:pStyle w:val="Textonotapie"/>
        <w:ind w:firstLine="709"/>
        <w:jc w:val="both"/>
        <w:rPr>
          <w:rFonts w:ascii="Verdana" w:hAnsi="Verdana"/>
          <w:sz w:val="14"/>
          <w:szCs w:val="14"/>
        </w:rPr>
      </w:pPr>
      <w:r w:rsidRPr="00351F46">
        <w:rPr>
          <w:rFonts w:ascii="Verdana" w:hAnsi="Verdana"/>
          <w:sz w:val="14"/>
          <w:szCs w:val="14"/>
        </w:rPr>
        <w:t>Tratándose de personas jurídicas, las solicitudes solo las podrán realizar Mipyme, cuyo objeto social les permita ejecutar el contrato relacionado con el proceso contractual.</w:t>
      </w:r>
    </w:p>
    <w:p w14:paraId="74123EA3" w14:textId="77777777" w:rsidR="009E1F9E" w:rsidRDefault="009E1F9E" w:rsidP="009E1F9E">
      <w:pPr>
        <w:pStyle w:val="Textonotapie"/>
        <w:ind w:firstLine="709"/>
        <w:jc w:val="both"/>
        <w:rPr>
          <w:rFonts w:ascii="Verdana" w:hAnsi="Verdana"/>
          <w:sz w:val="14"/>
          <w:szCs w:val="14"/>
        </w:rPr>
      </w:pPr>
      <w:r w:rsidRPr="00351F46">
        <w:rPr>
          <w:rFonts w:ascii="Verdana" w:hAnsi="Verdana"/>
          <w:sz w:val="14"/>
          <w:szCs w:val="14"/>
        </w:rPr>
        <w:t>Parágrafo. Las cooperativas y demás entidades de economía solidaria, siempre que tengan la calidad de Mipyme, podrán solicitar y participar en las convocatorias limitadas en las mismas condiciones dispuestas en el presente artículo”.</w:t>
      </w:r>
    </w:p>
    <w:p w14:paraId="7AF9E7D6" w14:textId="77777777" w:rsidR="009E1F9E" w:rsidRPr="00351F46" w:rsidRDefault="009E1F9E" w:rsidP="009E1F9E">
      <w:pPr>
        <w:pStyle w:val="Textonotapie"/>
        <w:ind w:firstLine="709"/>
        <w:jc w:val="both"/>
        <w:rPr>
          <w:lang w:val="es-CO"/>
        </w:rPr>
      </w:pPr>
    </w:p>
  </w:footnote>
  <w:footnote w:id="8">
    <w:p w14:paraId="604005A2" w14:textId="77777777" w:rsidR="009E1F9E" w:rsidRDefault="009E1F9E" w:rsidP="009E1F9E">
      <w:pPr>
        <w:pStyle w:val="Textonotapie"/>
        <w:ind w:firstLine="709"/>
        <w:jc w:val="both"/>
        <w:rPr>
          <w:rFonts w:ascii="Verdana" w:hAnsi="Verdana"/>
          <w:sz w:val="14"/>
          <w:szCs w:val="14"/>
          <w:lang w:val="es-CO"/>
        </w:rPr>
      </w:pPr>
      <w:r w:rsidRPr="00926B25">
        <w:rPr>
          <w:rStyle w:val="Refdenotaalpie"/>
          <w:rFonts w:ascii="Verdana" w:hAnsi="Verdana"/>
          <w:sz w:val="14"/>
          <w:szCs w:val="14"/>
        </w:rPr>
        <w:footnoteRef/>
      </w:r>
      <w:r w:rsidRPr="00926B25">
        <w:rPr>
          <w:rFonts w:ascii="Verdana" w:hAnsi="Verdana"/>
          <w:sz w:val="14"/>
          <w:szCs w:val="14"/>
        </w:rPr>
        <w:t xml:space="preserve"> </w:t>
      </w:r>
      <w:r w:rsidRPr="00926B25">
        <w:rPr>
          <w:rFonts w:ascii="Verdana" w:hAnsi="Verdana"/>
          <w:b/>
          <w:bCs/>
          <w:sz w:val="14"/>
          <w:szCs w:val="14"/>
          <w:lang w:val="es-CO"/>
        </w:rPr>
        <w:t>ARTÍCULO</w:t>
      </w:r>
      <w:bookmarkStart w:id="8" w:name="2.2.1.2.4.2.3"/>
      <w:bookmarkEnd w:id="8"/>
      <w:r w:rsidRPr="00926B25">
        <w:rPr>
          <w:rFonts w:ascii="Verdana" w:hAnsi="Verdana"/>
          <w:b/>
          <w:bCs/>
          <w:sz w:val="14"/>
          <w:szCs w:val="14"/>
          <w:lang w:val="es-CO"/>
        </w:rPr>
        <w:t> 2.2.1.2.4.2.3. Limitaciones territoriales.</w:t>
      </w:r>
      <w:r w:rsidRPr="00926B25">
        <w:rPr>
          <w:rFonts w:ascii="Verdana" w:hAnsi="Verdana"/>
          <w:sz w:val="14"/>
          <w:szCs w:val="14"/>
          <w:lang w:val="es-CO"/>
        </w:rPr>
        <w:t> De conformidad con el parágrafo </w:t>
      </w:r>
      <w:hyperlink r:id="rId3" w:anchor="12.p1" w:history="1">
        <w:r w:rsidRPr="00926B25">
          <w:rPr>
            <w:rStyle w:val="Hipervnculo"/>
            <w:rFonts w:ascii="Verdana" w:hAnsi="Verdana"/>
            <w:color w:val="auto"/>
            <w:sz w:val="14"/>
            <w:szCs w:val="14"/>
            <w:lang w:val="es-CO"/>
          </w:rPr>
          <w:t>1 </w:t>
        </w:r>
      </w:hyperlink>
      <w:r w:rsidRPr="00926B25">
        <w:rPr>
          <w:rFonts w:ascii="Verdana" w:hAnsi="Verdana"/>
          <w:sz w:val="14"/>
          <w:szCs w:val="14"/>
          <w:lang w:val="es-CO"/>
        </w:rPr>
        <w:t>del artículo </w:t>
      </w:r>
      <w:hyperlink r:id="rId4" w:anchor="12" w:history="1">
        <w:r w:rsidRPr="00926B25">
          <w:rPr>
            <w:rStyle w:val="Hipervnculo"/>
            <w:rFonts w:ascii="Verdana" w:hAnsi="Verdana"/>
            <w:color w:val="auto"/>
            <w:sz w:val="14"/>
            <w:szCs w:val="14"/>
            <w:lang w:val="es-CO"/>
          </w:rPr>
          <w:t>12 </w:t>
        </w:r>
      </w:hyperlink>
      <w:r w:rsidRPr="00926B25">
        <w:rPr>
          <w:rFonts w:ascii="Verdana" w:hAnsi="Verdana"/>
          <w:sz w:val="14"/>
          <w:szCs w:val="14"/>
          <w:lang w:val="es-CO"/>
        </w:rPr>
        <w:t>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132512A9" w14:textId="77777777" w:rsidR="009E1F9E" w:rsidRPr="00926B25" w:rsidRDefault="009E1F9E" w:rsidP="009E1F9E">
      <w:pPr>
        <w:pStyle w:val="Textonotapie"/>
        <w:ind w:firstLine="709"/>
        <w:jc w:val="both"/>
        <w:rPr>
          <w:rFonts w:ascii="Verdana" w:hAnsi="Verdana"/>
          <w:sz w:val="14"/>
          <w:szCs w:val="14"/>
          <w:lang w:val="es-ES"/>
        </w:rPr>
      </w:pPr>
    </w:p>
  </w:footnote>
  <w:footnote w:id="9">
    <w:p w14:paraId="1049AC13" w14:textId="77777777" w:rsidR="009E1F9E" w:rsidRPr="00351F46" w:rsidRDefault="009E1F9E" w:rsidP="009E1F9E">
      <w:pPr>
        <w:pStyle w:val="Textonotapie"/>
        <w:ind w:firstLine="708"/>
        <w:contextualSpacing/>
        <w:jc w:val="both"/>
        <w:rPr>
          <w:rFonts w:ascii="Verdana" w:hAnsi="Verdana" w:cs="Arial"/>
          <w:sz w:val="14"/>
          <w:szCs w:val="14"/>
          <w:lang w:val="es-CO"/>
        </w:rPr>
      </w:pPr>
      <w:r w:rsidRPr="00351F46">
        <w:rPr>
          <w:rStyle w:val="Refdenotaalpie"/>
          <w:rFonts w:ascii="Verdana" w:hAnsi="Verdana" w:cs="Arial"/>
          <w:sz w:val="14"/>
          <w:szCs w:val="14"/>
        </w:rPr>
        <w:footnoteRef/>
      </w:r>
      <w:r w:rsidRPr="00351F46">
        <w:rPr>
          <w:rFonts w:ascii="Verdana" w:hAnsi="Verdana" w:cs="Arial"/>
          <w:sz w:val="14"/>
          <w:szCs w:val="14"/>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E77270"/>
    <w:multiLevelType w:val="hybridMultilevel"/>
    <w:tmpl w:val="8F8C636C"/>
    <w:lvl w:ilvl="0" w:tplc="CF76688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6788959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4A1"/>
    <w:rsid w:val="00016F78"/>
    <w:rsid w:val="00046945"/>
    <w:rsid w:val="00061B2A"/>
    <w:rsid w:val="00082362"/>
    <w:rsid w:val="000A2A08"/>
    <w:rsid w:val="000A683E"/>
    <w:rsid w:val="000B19B9"/>
    <w:rsid w:val="000B2E89"/>
    <w:rsid w:val="000B5816"/>
    <w:rsid w:val="000C7EEB"/>
    <w:rsid w:val="000D0334"/>
    <w:rsid w:val="000E2969"/>
    <w:rsid w:val="000E5971"/>
    <w:rsid w:val="000E785F"/>
    <w:rsid w:val="000F28E4"/>
    <w:rsid w:val="000F5E0D"/>
    <w:rsid w:val="000F6486"/>
    <w:rsid w:val="0011414C"/>
    <w:rsid w:val="00123A43"/>
    <w:rsid w:val="00125105"/>
    <w:rsid w:val="00126F0D"/>
    <w:rsid w:val="00127233"/>
    <w:rsid w:val="00134A02"/>
    <w:rsid w:val="00150E61"/>
    <w:rsid w:val="001511A0"/>
    <w:rsid w:val="00151C4C"/>
    <w:rsid w:val="00153296"/>
    <w:rsid w:val="00187600"/>
    <w:rsid w:val="00195D44"/>
    <w:rsid w:val="001A068F"/>
    <w:rsid w:val="001A3AA8"/>
    <w:rsid w:val="001A5F60"/>
    <w:rsid w:val="001A687D"/>
    <w:rsid w:val="001E0C29"/>
    <w:rsid w:val="001E4177"/>
    <w:rsid w:val="001F7281"/>
    <w:rsid w:val="001F7DC6"/>
    <w:rsid w:val="00225165"/>
    <w:rsid w:val="002321C7"/>
    <w:rsid w:val="002369EA"/>
    <w:rsid w:val="002421BB"/>
    <w:rsid w:val="00245AFD"/>
    <w:rsid w:val="0025796E"/>
    <w:rsid w:val="002707A2"/>
    <w:rsid w:val="002865F3"/>
    <w:rsid w:val="002951A0"/>
    <w:rsid w:val="002958F7"/>
    <w:rsid w:val="002962BC"/>
    <w:rsid w:val="002A093D"/>
    <w:rsid w:val="002A0DD0"/>
    <w:rsid w:val="002A3D5F"/>
    <w:rsid w:val="002A49AC"/>
    <w:rsid w:val="002A5D56"/>
    <w:rsid w:val="002A64FD"/>
    <w:rsid w:val="002C7A84"/>
    <w:rsid w:val="002D72DF"/>
    <w:rsid w:val="002E4FD9"/>
    <w:rsid w:val="00312D7C"/>
    <w:rsid w:val="00322A85"/>
    <w:rsid w:val="00324168"/>
    <w:rsid w:val="0034238F"/>
    <w:rsid w:val="003448F4"/>
    <w:rsid w:val="00374F5E"/>
    <w:rsid w:val="00376015"/>
    <w:rsid w:val="00377E3E"/>
    <w:rsid w:val="0038045E"/>
    <w:rsid w:val="003A779E"/>
    <w:rsid w:val="003B41ED"/>
    <w:rsid w:val="003B78AE"/>
    <w:rsid w:val="003C3140"/>
    <w:rsid w:val="003C7ABD"/>
    <w:rsid w:val="003D0F4D"/>
    <w:rsid w:val="003D5B0D"/>
    <w:rsid w:val="003E0499"/>
    <w:rsid w:val="003E2077"/>
    <w:rsid w:val="003F3941"/>
    <w:rsid w:val="00406575"/>
    <w:rsid w:val="004065D3"/>
    <w:rsid w:val="0040668E"/>
    <w:rsid w:val="0041039B"/>
    <w:rsid w:val="004129D1"/>
    <w:rsid w:val="00414C74"/>
    <w:rsid w:val="00420C42"/>
    <w:rsid w:val="0042722E"/>
    <w:rsid w:val="00434E0B"/>
    <w:rsid w:val="00442574"/>
    <w:rsid w:val="0044528D"/>
    <w:rsid w:val="004540C2"/>
    <w:rsid w:val="004648FE"/>
    <w:rsid w:val="00496D59"/>
    <w:rsid w:val="004A1847"/>
    <w:rsid w:val="004A305D"/>
    <w:rsid w:val="004B20C3"/>
    <w:rsid w:val="004C5C1E"/>
    <w:rsid w:val="004C60B6"/>
    <w:rsid w:val="004F0EAA"/>
    <w:rsid w:val="004F21C4"/>
    <w:rsid w:val="004F30BD"/>
    <w:rsid w:val="004F685F"/>
    <w:rsid w:val="00510569"/>
    <w:rsid w:val="0051611C"/>
    <w:rsid w:val="00540973"/>
    <w:rsid w:val="005414F1"/>
    <w:rsid w:val="00552003"/>
    <w:rsid w:val="005566E8"/>
    <w:rsid w:val="00560B66"/>
    <w:rsid w:val="00574867"/>
    <w:rsid w:val="00591460"/>
    <w:rsid w:val="005916D8"/>
    <w:rsid w:val="00594788"/>
    <w:rsid w:val="00596C46"/>
    <w:rsid w:val="005B3816"/>
    <w:rsid w:val="005B4ECD"/>
    <w:rsid w:val="005B59DB"/>
    <w:rsid w:val="005C3777"/>
    <w:rsid w:val="005C5CDC"/>
    <w:rsid w:val="005D476C"/>
    <w:rsid w:val="005E5283"/>
    <w:rsid w:val="00602033"/>
    <w:rsid w:val="006155E3"/>
    <w:rsid w:val="006219F8"/>
    <w:rsid w:val="00636118"/>
    <w:rsid w:val="006403D0"/>
    <w:rsid w:val="00642148"/>
    <w:rsid w:val="00656629"/>
    <w:rsid w:val="00663611"/>
    <w:rsid w:val="00665D70"/>
    <w:rsid w:val="0066683E"/>
    <w:rsid w:val="006845B9"/>
    <w:rsid w:val="006900D9"/>
    <w:rsid w:val="006A3E14"/>
    <w:rsid w:val="006A44DA"/>
    <w:rsid w:val="006A73DB"/>
    <w:rsid w:val="006B16A8"/>
    <w:rsid w:val="006C05B7"/>
    <w:rsid w:val="006C0A2F"/>
    <w:rsid w:val="006C1F64"/>
    <w:rsid w:val="006D783D"/>
    <w:rsid w:val="006D7BD6"/>
    <w:rsid w:val="007045C8"/>
    <w:rsid w:val="00706C16"/>
    <w:rsid w:val="00736C9D"/>
    <w:rsid w:val="00756841"/>
    <w:rsid w:val="007649AB"/>
    <w:rsid w:val="00765FC4"/>
    <w:rsid w:val="00770E9C"/>
    <w:rsid w:val="00771416"/>
    <w:rsid w:val="00771D0C"/>
    <w:rsid w:val="007759ED"/>
    <w:rsid w:val="00775E33"/>
    <w:rsid w:val="007833AC"/>
    <w:rsid w:val="00787201"/>
    <w:rsid w:val="007A2512"/>
    <w:rsid w:val="007A63CD"/>
    <w:rsid w:val="007A64FA"/>
    <w:rsid w:val="007B268C"/>
    <w:rsid w:val="007B7171"/>
    <w:rsid w:val="007B758C"/>
    <w:rsid w:val="007C0C0F"/>
    <w:rsid w:val="007C0D70"/>
    <w:rsid w:val="007C3DC2"/>
    <w:rsid w:val="007D1F29"/>
    <w:rsid w:val="007D2DF0"/>
    <w:rsid w:val="007D5166"/>
    <w:rsid w:val="007E2521"/>
    <w:rsid w:val="007E48B3"/>
    <w:rsid w:val="007E5497"/>
    <w:rsid w:val="007F22C5"/>
    <w:rsid w:val="007F5F87"/>
    <w:rsid w:val="00806F5F"/>
    <w:rsid w:val="00820278"/>
    <w:rsid w:val="0083428F"/>
    <w:rsid w:val="00867B6A"/>
    <w:rsid w:val="00867F95"/>
    <w:rsid w:val="008843B6"/>
    <w:rsid w:val="008864D1"/>
    <w:rsid w:val="00891928"/>
    <w:rsid w:val="00892545"/>
    <w:rsid w:val="008A0C54"/>
    <w:rsid w:val="008A446D"/>
    <w:rsid w:val="008A7BB2"/>
    <w:rsid w:val="008B4306"/>
    <w:rsid w:val="008B5E08"/>
    <w:rsid w:val="008C258C"/>
    <w:rsid w:val="008D180B"/>
    <w:rsid w:val="008E117B"/>
    <w:rsid w:val="008F0EA7"/>
    <w:rsid w:val="008F7B55"/>
    <w:rsid w:val="00902D8C"/>
    <w:rsid w:val="009050EB"/>
    <w:rsid w:val="00921D84"/>
    <w:rsid w:val="0092382D"/>
    <w:rsid w:val="00923EEF"/>
    <w:rsid w:val="00926B25"/>
    <w:rsid w:val="00934868"/>
    <w:rsid w:val="009419F9"/>
    <w:rsid w:val="00952A43"/>
    <w:rsid w:val="0095685E"/>
    <w:rsid w:val="00961B09"/>
    <w:rsid w:val="00963714"/>
    <w:rsid w:val="00965334"/>
    <w:rsid w:val="00965701"/>
    <w:rsid w:val="0097093E"/>
    <w:rsid w:val="00974436"/>
    <w:rsid w:val="00983E43"/>
    <w:rsid w:val="00986AC5"/>
    <w:rsid w:val="009A0DFA"/>
    <w:rsid w:val="009B2D26"/>
    <w:rsid w:val="009C4F09"/>
    <w:rsid w:val="009C71FA"/>
    <w:rsid w:val="009C72E7"/>
    <w:rsid w:val="009D3058"/>
    <w:rsid w:val="009E11D1"/>
    <w:rsid w:val="009E1F9E"/>
    <w:rsid w:val="009F3A13"/>
    <w:rsid w:val="00A122D3"/>
    <w:rsid w:val="00A12E03"/>
    <w:rsid w:val="00A17F13"/>
    <w:rsid w:val="00A20739"/>
    <w:rsid w:val="00A33C78"/>
    <w:rsid w:val="00A77C38"/>
    <w:rsid w:val="00AA3AE7"/>
    <w:rsid w:val="00AB0ADB"/>
    <w:rsid w:val="00AB3787"/>
    <w:rsid w:val="00B01B1A"/>
    <w:rsid w:val="00B10402"/>
    <w:rsid w:val="00B234F7"/>
    <w:rsid w:val="00B261FF"/>
    <w:rsid w:val="00B55C4E"/>
    <w:rsid w:val="00B66319"/>
    <w:rsid w:val="00B72CD3"/>
    <w:rsid w:val="00B72FFF"/>
    <w:rsid w:val="00B85486"/>
    <w:rsid w:val="00BA3CEC"/>
    <w:rsid w:val="00BC3D36"/>
    <w:rsid w:val="00BC4E79"/>
    <w:rsid w:val="00BD7F72"/>
    <w:rsid w:val="00C04FB3"/>
    <w:rsid w:val="00C330EB"/>
    <w:rsid w:val="00C337B7"/>
    <w:rsid w:val="00C41061"/>
    <w:rsid w:val="00C420F2"/>
    <w:rsid w:val="00C42B61"/>
    <w:rsid w:val="00C455FB"/>
    <w:rsid w:val="00C552A6"/>
    <w:rsid w:val="00C740A3"/>
    <w:rsid w:val="00C74C3B"/>
    <w:rsid w:val="00C754BE"/>
    <w:rsid w:val="00C76B1C"/>
    <w:rsid w:val="00C86581"/>
    <w:rsid w:val="00CA5BF7"/>
    <w:rsid w:val="00CA7D44"/>
    <w:rsid w:val="00CB32AF"/>
    <w:rsid w:val="00CB6357"/>
    <w:rsid w:val="00CB79CD"/>
    <w:rsid w:val="00CC1B26"/>
    <w:rsid w:val="00CC31D6"/>
    <w:rsid w:val="00CD7A55"/>
    <w:rsid w:val="00CE5019"/>
    <w:rsid w:val="00D10579"/>
    <w:rsid w:val="00D328E3"/>
    <w:rsid w:val="00D423A2"/>
    <w:rsid w:val="00D520D8"/>
    <w:rsid w:val="00D562BB"/>
    <w:rsid w:val="00D63AC2"/>
    <w:rsid w:val="00D7383B"/>
    <w:rsid w:val="00D92DEE"/>
    <w:rsid w:val="00DA231B"/>
    <w:rsid w:val="00DA4F5C"/>
    <w:rsid w:val="00DC39FC"/>
    <w:rsid w:val="00DC5712"/>
    <w:rsid w:val="00DD6C0C"/>
    <w:rsid w:val="00DE6578"/>
    <w:rsid w:val="00DF50DE"/>
    <w:rsid w:val="00DF5254"/>
    <w:rsid w:val="00E16408"/>
    <w:rsid w:val="00E20894"/>
    <w:rsid w:val="00E245AB"/>
    <w:rsid w:val="00E2764C"/>
    <w:rsid w:val="00E27F2E"/>
    <w:rsid w:val="00E3589A"/>
    <w:rsid w:val="00E50AFE"/>
    <w:rsid w:val="00E6133F"/>
    <w:rsid w:val="00E61997"/>
    <w:rsid w:val="00E75C92"/>
    <w:rsid w:val="00E771DC"/>
    <w:rsid w:val="00E8772A"/>
    <w:rsid w:val="00E90F6B"/>
    <w:rsid w:val="00E92C27"/>
    <w:rsid w:val="00E976A9"/>
    <w:rsid w:val="00EA0E3D"/>
    <w:rsid w:val="00EA2B9A"/>
    <w:rsid w:val="00EA3930"/>
    <w:rsid w:val="00EC38A7"/>
    <w:rsid w:val="00ED08F7"/>
    <w:rsid w:val="00ED1193"/>
    <w:rsid w:val="00ED7384"/>
    <w:rsid w:val="00EE168B"/>
    <w:rsid w:val="00EE1AA8"/>
    <w:rsid w:val="00EE2B33"/>
    <w:rsid w:val="00F001FF"/>
    <w:rsid w:val="00F01AB3"/>
    <w:rsid w:val="00F13817"/>
    <w:rsid w:val="00F14926"/>
    <w:rsid w:val="00F20F62"/>
    <w:rsid w:val="00F23DA3"/>
    <w:rsid w:val="00F24A8F"/>
    <w:rsid w:val="00F31EDC"/>
    <w:rsid w:val="00F3718E"/>
    <w:rsid w:val="00F46192"/>
    <w:rsid w:val="00F462B3"/>
    <w:rsid w:val="00F51F5D"/>
    <w:rsid w:val="00F5664F"/>
    <w:rsid w:val="00F603B4"/>
    <w:rsid w:val="00F666C4"/>
    <w:rsid w:val="00F755EF"/>
    <w:rsid w:val="00F76AFC"/>
    <w:rsid w:val="00F83883"/>
    <w:rsid w:val="00F87C95"/>
    <w:rsid w:val="00F959DF"/>
    <w:rsid w:val="00FA47C0"/>
    <w:rsid w:val="00FA5394"/>
    <w:rsid w:val="00FB5DD1"/>
    <w:rsid w:val="00FB6D13"/>
    <w:rsid w:val="00FC2B5D"/>
    <w:rsid w:val="00FD4687"/>
    <w:rsid w:val="00FF1449"/>
    <w:rsid w:val="00FF5666"/>
    <w:rsid w:val="165E9519"/>
    <w:rsid w:val="382536D9"/>
    <w:rsid w:val="40D66C34"/>
    <w:rsid w:val="6AB4E263"/>
    <w:rsid w:val="6EFDAB80"/>
    <w:rsid w:val="7B19739A"/>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67B6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7B6A"/>
    <w:rPr>
      <w:rFonts w:ascii="Geomanist Light" w:hAnsi="Geomanist Light"/>
      <w:lang w:val="es-ES"/>
    </w:rPr>
  </w:style>
  <w:style w:type="character" w:customStyle="1" w:styleId="NormalWebCar">
    <w:name w:val="Normal (Web) Car"/>
    <w:link w:val="NormalWeb"/>
    <w:uiPriority w:val="99"/>
    <w:locked/>
    <w:rsid w:val="00867B6A"/>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bliotecadigital.ccb.org.co/bitstream/handle/11520/8346/el%20abc%20de%20esales%202013%20completo.pdf?sequence=1&amp;isAllowed=y"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ATHERINE.SALAS@CEDAVIDA.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ibliotecadigital.ccb.org.co/server/api/core/bitstreams/56eea614-11b5-49ad-a103-656fabc70bb7/conte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25678" TargetMode="External"/><Relationship Id="rId2" Type="http://schemas.openxmlformats.org/officeDocument/2006/relationships/hyperlink" Target="https://bibliotecadigital.ccb.org.co/server/api/core/bitstreams/56eea614-11b5-49ad-a103-656fabc70bb7/content" TargetMode="External"/><Relationship Id="rId1" Type="http://schemas.openxmlformats.org/officeDocument/2006/relationships/hyperlink" Target="https://bibliotecadigital.ccb.org.co/bitstream/handle/11520/8346/el%20abc%20de%20esales%202013%20completo.pdf?sequence=1&amp;isAllowed=y" TargetMode="External"/><Relationship Id="rId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schemas.microsoft.com/office/infopath/2007/PartnerControls"/>
    <ds:schemaRef ds:uri="http://purl.org/dc/terms/"/>
    <ds:schemaRef ds:uri="http://purl.org/dc/dcmitype/"/>
    <ds:schemaRef ds:uri="a6cb9e4b-f1d1-4245-83ec-6cad768d538a"/>
    <ds:schemaRef ds:uri="http://schemas.microsoft.com/office/2006/documentManagement/types"/>
    <ds:schemaRef ds:uri="9d85dbaf-23eb-4e57-a637-93dcacc8b1a1"/>
    <ds:schemaRef ds:uri="http://schemas.microsoft.com/office/2006/metadata/properties"/>
    <ds:schemaRef ds:uri="http://www.w3.org/XML/1998/namespace"/>
    <ds:schemaRef ds:uri="http://purl.org/dc/elements/1.1/"/>
  </ds:schemaRefs>
</ds:datastoreItem>
</file>

<file path=customXml/itemProps2.xml><?xml version="1.0" encoding="utf-8"?>
<ds:datastoreItem xmlns:ds="http://schemas.openxmlformats.org/officeDocument/2006/customXml" ds:itemID="{E80F9164-423B-4B53-8978-C5D594984246}">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2E86BE6-CB7D-42CE-9F4B-4DB17D815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5796</Words>
  <Characters>30261</Characters>
  <Application>Microsoft Office Word</Application>
  <DocSecurity>0</DocSecurity>
  <Lines>605</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2025-09-27T01:21:00Z</dcterms:created>
  <dcterms:modified xsi:type="dcterms:W3CDTF">2025-09-27T01:21:00Z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