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D6F4D" w14:textId="77777777" w:rsidR="00625759" w:rsidRPr="00F65D2B" w:rsidRDefault="00625759" w:rsidP="00625759">
      <w:pPr>
        <w:spacing w:after="0" w:line="240" w:lineRule="auto"/>
        <w:contextualSpacing/>
        <w:jc w:val="both"/>
        <w:rPr>
          <w:rFonts w:ascii="Verdana" w:eastAsia="Calibri" w:hAnsi="Verdana" w:cs="Arial"/>
          <w:b/>
          <w:bCs/>
          <w:color w:val="000000" w:themeColor="text1"/>
          <w:lang w:eastAsia="es-ES"/>
        </w:rPr>
      </w:pPr>
      <w:r w:rsidRPr="00F65D2B">
        <w:rPr>
          <w:rFonts w:ascii="Verdana" w:eastAsia="Calibri" w:hAnsi="Verdana" w:cs="Arial"/>
          <w:b/>
          <w:bCs/>
          <w:color w:val="000000" w:themeColor="text1"/>
          <w:lang w:eastAsia="es-ES"/>
        </w:rPr>
        <w:t xml:space="preserve">SISTEMA DE SEGURIDAD SOCIAL INTEGRAL – Obligaciones ― Contratación Estatal  </w:t>
      </w:r>
    </w:p>
    <w:p w14:paraId="6F23AEDE" w14:textId="77777777" w:rsidR="00625759" w:rsidRPr="00F65D2B" w:rsidRDefault="00625759" w:rsidP="00625759">
      <w:pPr>
        <w:spacing w:after="0" w:line="240" w:lineRule="auto"/>
        <w:contextualSpacing/>
        <w:jc w:val="both"/>
        <w:rPr>
          <w:rStyle w:val="normaltextrun"/>
          <w:rFonts w:ascii="Verdana" w:hAnsi="Verdana"/>
          <w:color w:val="000000" w:themeColor="text1"/>
          <w:shd w:val="clear" w:color="auto" w:fill="FFFFFF"/>
        </w:rPr>
      </w:pPr>
    </w:p>
    <w:p w14:paraId="46F868F1" w14:textId="77777777" w:rsidR="00625759" w:rsidRPr="00F65D2B" w:rsidRDefault="00625759" w:rsidP="00625759">
      <w:pPr>
        <w:spacing w:after="0" w:line="240" w:lineRule="auto"/>
        <w:contextualSpacing/>
        <w:jc w:val="both"/>
        <w:rPr>
          <w:rFonts w:ascii="Verdana" w:eastAsia="Calibri" w:hAnsi="Verdana" w:cs="Arial"/>
          <w:b/>
          <w:bCs/>
          <w:color w:val="000000" w:themeColor="text1"/>
          <w:sz w:val="20"/>
          <w:szCs w:val="20"/>
          <w:lang w:eastAsia="es-ES"/>
        </w:rPr>
      </w:pPr>
      <w:r w:rsidRPr="00F65D2B">
        <w:rPr>
          <w:rStyle w:val="normaltextrun"/>
          <w:rFonts w:ascii="Verdana" w:hAnsi="Verdana"/>
          <w:color w:val="000000" w:themeColor="text1"/>
          <w:sz w:val="20"/>
          <w:szCs w:val="20"/>
          <w:shd w:val="clear" w:color="auto" w:fill="FFFFFF"/>
        </w:rPr>
        <w:t>Por su parte, el artículo 50 de la Ley 789 de 2002 dispuso como obligación de quien quiere celebrar, renovar o liquidar contratos de cualquier naturaleza con entidades estatales, cumplir con las obligaciones a los sistemas de salud, riesgos profesionales, pensiones y aportes a la Caja de Compensación Familiar, Instituto Colombiano de Bienestar Familiar y Servicio Nacional de Aprendizaje. Asimismo, faculta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 cotizar.</w:t>
      </w:r>
    </w:p>
    <w:p w14:paraId="42DECDC7" w14:textId="77777777" w:rsidR="00625759" w:rsidRPr="00F65D2B" w:rsidRDefault="00625759" w:rsidP="00625759">
      <w:pPr>
        <w:spacing w:after="0" w:line="240" w:lineRule="auto"/>
        <w:contextualSpacing/>
        <w:jc w:val="both"/>
        <w:rPr>
          <w:rFonts w:ascii="Verdana" w:eastAsia="Calibri" w:hAnsi="Verdana" w:cs="Arial"/>
          <w:b/>
          <w:bCs/>
          <w:color w:val="000000" w:themeColor="text1"/>
          <w:lang w:eastAsia="es-ES"/>
        </w:rPr>
      </w:pPr>
    </w:p>
    <w:p w14:paraId="7889182B" w14:textId="77777777" w:rsidR="00625759" w:rsidRPr="00F65D2B" w:rsidRDefault="00625759" w:rsidP="00625759">
      <w:pPr>
        <w:spacing w:after="0" w:line="240" w:lineRule="auto"/>
        <w:contextualSpacing/>
        <w:jc w:val="both"/>
        <w:rPr>
          <w:rFonts w:ascii="Verdana" w:eastAsia="Calibri" w:hAnsi="Verdana" w:cs="Arial"/>
          <w:b/>
          <w:bCs/>
          <w:color w:val="000000" w:themeColor="text1"/>
          <w:lang w:eastAsia="es-ES"/>
        </w:rPr>
      </w:pPr>
      <w:r w:rsidRPr="00F65D2B">
        <w:rPr>
          <w:rFonts w:ascii="Verdana" w:eastAsia="Calibri" w:hAnsi="Verdana" w:cs="Arial"/>
          <w:b/>
          <w:bCs/>
          <w:color w:val="000000" w:themeColor="text1"/>
          <w:lang w:eastAsia="es-ES"/>
        </w:rPr>
        <w:t xml:space="preserve">SEGURIDAD SOCIAL ― Verificación ― Persona natural ― Persona jurídica ― Proponentes Plurales  </w:t>
      </w:r>
    </w:p>
    <w:p w14:paraId="3E711166" w14:textId="77777777" w:rsidR="00625759" w:rsidRPr="00F65D2B" w:rsidRDefault="00625759" w:rsidP="00625759">
      <w:pPr>
        <w:spacing w:after="0" w:line="240" w:lineRule="auto"/>
        <w:contextualSpacing/>
        <w:jc w:val="both"/>
        <w:rPr>
          <w:rFonts w:ascii="Verdana" w:eastAsia="Calibri" w:hAnsi="Verdana" w:cs="Arial"/>
          <w:b/>
          <w:bCs/>
          <w:color w:val="000000" w:themeColor="text1"/>
          <w:lang w:eastAsia="es-ES"/>
        </w:rPr>
      </w:pPr>
    </w:p>
    <w:p w14:paraId="12B53F90" w14:textId="77777777" w:rsidR="00625759" w:rsidRDefault="00625759" w:rsidP="00625759">
      <w:pPr>
        <w:widowControl w:val="0"/>
        <w:autoSpaceDE w:val="0"/>
        <w:autoSpaceDN w:val="0"/>
        <w:spacing w:after="0" w:line="240" w:lineRule="auto"/>
        <w:contextualSpacing/>
        <w:jc w:val="both"/>
        <w:rPr>
          <w:rFonts w:ascii="Verdana" w:eastAsia="Arial" w:hAnsi="Verdana" w:cs="Arial"/>
          <w:sz w:val="20"/>
          <w:szCs w:val="20"/>
        </w:rPr>
      </w:pPr>
      <w:r w:rsidRPr="00F65D2B">
        <w:rPr>
          <w:rFonts w:ascii="Verdana" w:eastAsia="Arial" w:hAnsi="Verdana" w:cs="Arial"/>
          <w:sz w:val="20"/>
          <w:szCs w:val="20"/>
        </w:rPr>
        <w:t xml:space="preserve">[…] Se concluye de lo anterior que los proponentes que tengan la calidad de personas jurídicas, como las sociedades colombianas o las sociedades extranjeras con sucursal en Colombia, únicamente deberán acreditar el pago de los aportes de sus representantes legales cuando éstos cumplan con la condición de ser </w:t>
      </w:r>
      <w:r w:rsidRPr="00F65D2B">
        <w:rPr>
          <w:rFonts w:ascii="Verdana" w:eastAsia="Arial" w:hAnsi="Verdana" w:cs="Arial"/>
          <w:i/>
          <w:iCs/>
          <w:sz w:val="20"/>
          <w:szCs w:val="20"/>
        </w:rPr>
        <w:t>empleados</w:t>
      </w:r>
      <w:r w:rsidRPr="00F65D2B">
        <w:rPr>
          <w:rFonts w:ascii="Verdana" w:eastAsia="Arial" w:hAnsi="Verdana" w:cs="Arial"/>
          <w:sz w:val="20"/>
          <w:szCs w:val="20"/>
        </w:rPr>
        <w:t xml:space="preserve">, tal como lo exige el artículo 50 de la Ley 789 de 2002. En concordancia, no deberán acreditar dichos pagos con respecto a los representantes legales que cuenten con un tipo de vinculación distinta al contrato laboral, como es el caso de aquellos contratados mediante prestación de servicios. </w:t>
      </w:r>
    </w:p>
    <w:p w14:paraId="4E54320E" w14:textId="77777777" w:rsidR="00625759" w:rsidRPr="00F65D2B" w:rsidRDefault="00625759" w:rsidP="00625759">
      <w:pPr>
        <w:widowControl w:val="0"/>
        <w:autoSpaceDE w:val="0"/>
        <w:autoSpaceDN w:val="0"/>
        <w:spacing w:after="0" w:line="240" w:lineRule="auto"/>
        <w:contextualSpacing/>
        <w:jc w:val="both"/>
        <w:rPr>
          <w:rFonts w:ascii="Verdana" w:eastAsia="Arial" w:hAnsi="Verdana" w:cs="Arial"/>
          <w:sz w:val="20"/>
          <w:szCs w:val="20"/>
        </w:rPr>
      </w:pPr>
    </w:p>
    <w:p w14:paraId="0F112C83" w14:textId="77777777" w:rsidR="00625759" w:rsidRDefault="00625759" w:rsidP="00625759">
      <w:pPr>
        <w:widowControl w:val="0"/>
        <w:autoSpaceDE w:val="0"/>
        <w:autoSpaceDN w:val="0"/>
        <w:spacing w:after="0" w:line="240" w:lineRule="auto"/>
        <w:contextualSpacing/>
        <w:jc w:val="both"/>
        <w:rPr>
          <w:rFonts w:ascii="Verdana" w:hAnsi="Verdana"/>
          <w:sz w:val="20"/>
          <w:szCs w:val="20"/>
          <w:shd w:val="clear" w:color="auto" w:fill="FFFFFF"/>
        </w:rPr>
      </w:pPr>
      <w:r w:rsidRPr="00F65D2B">
        <w:rPr>
          <w:rFonts w:ascii="Verdana" w:eastAsia="Arial" w:hAnsi="Verdana" w:cs="Arial"/>
          <w:sz w:val="20"/>
          <w:szCs w:val="20"/>
        </w:rPr>
        <w:t xml:space="preserve">[…] </w:t>
      </w:r>
      <w:r w:rsidRPr="00F65D2B">
        <w:rPr>
          <w:rStyle w:val="normaltextrun"/>
          <w:rFonts w:ascii="Verdana" w:hAnsi="Verdana"/>
          <w:sz w:val="20"/>
          <w:szCs w:val="20"/>
          <w:shd w:val="clear" w:color="auto" w:fill="FFFFFF"/>
        </w:rPr>
        <w:t xml:space="preserve">Finalmente, con respecto a los proponentes plurales, </w:t>
      </w:r>
      <w:r w:rsidRPr="00F65D2B">
        <w:rPr>
          <w:rFonts w:ascii="Verdana" w:hAnsi="Verdana"/>
          <w:sz w:val="20"/>
          <w:szCs w:val="20"/>
          <w:shd w:val="clear" w:color="auto" w:fill="FFFFFF"/>
        </w:rPr>
        <w:t xml:space="preserve">se resalta que la obligación establecida en el artículo 50 </w:t>
      </w:r>
      <w:r w:rsidRPr="00F65D2B">
        <w:rPr>
          <w:rFonts w:ascii="Verdana" w:eastAsia="Arial" w:hAnsi="Verdana" w:cs="Arial"/>
          <w:sz w:val="20"/>
          <w:szCs w:val="20"/>
        </w:rPr>
        <w:t>de</w:t>
      </w:r>
      <w:r w:rsidRPr="00F65D2B">
        <w:rPr>
          <w:rFonts w:ascii="Verdana" w:eastAsia="Arial" w:hAnsi="Verdana" w:cs="Arial"/>
          <w:spacing w:val="-5"/>
          <w:sz w:val="20"/>
          <w:szCs w:val="20"/>
        </w:rPr>
        <w:t xml:space="preserve"> </w:t>
      </w:r>
      <w:r w:rsidRPr="00F65D2B">
        <w:rPr>
          <w:rFonts w:ascii="Verdana" w:eastAsia="Arial" w:hAnsi="Verdana" w:cs="Arial"/>
          <w:sz w:val="20"/>
          <w:szCs w:val="20"/>
        </w:rPr>
        <w:t>la</w:t>
      </w:r>
      <w:r w:rsidRPr="00F65D2B">
        <w:rPr>
          <w:rFonts w:ascii="Verdana" w:eastAsia="Arial" w:hAnsi="Verdana" w:cs="Arial"/>
          <w:spacing w:val="-6"/>
          <w:sz w:val="20"/>
          <w:szCs w:val="20"/>
        </w:rPr>
        <w:t xml:space="preserve"> </w:t>
      </w:r>
      <w:r w:rsidRPr="00F65D2B">
        <w:rPr>
          <w:rFonts w:ascii="Verdana" w:eastAsia="Arial" w:hAnsi="Verdana" w:cs="Arial"/>
          <w:sz w:val="20"/>
          <w:szCs w:val="20"/>
        </w:rPr>
        <w:t>Ley</w:t>
      </w:r>
      <w:r w:rsidRPr="00F65D2B">
        <w:rPr>
          <w:rFonts w:ascii="Verdana" w:eastAsia="Arial" w:hAnsi="Verdana" w:cs="Arial"/>
          <w:spacing w:val="-5"/>
          <w:sz w:val="20"/>
          <w:szCs w:val="20"/>
        </w:rPr>
        <w:t xml:space="preserve"> </w:t>
      </w:r>
      <w:r w:rsidRPr="00F65D2B">
        <w:rPr>
          <w:rFonts w:ascii="Verdana" w:eastAsia="Arial" w:hAnsi="Verdana" w:cs="Arial"/>
          <w:sz w:val="20"/>
          <w:szCs w:val="20"/>
        </w:rPr>
        <w:t>789</w:t>
      </w:r>
      <w:r w:rsidRPr="00F65D2B">
        <w:rPr>
          <w:rFonts w:ascii="Verdana" w:eastAsia="Arial" w:hAnsi="Verdana" w:cs="Arial"/>
          <w:spacing w:val="-6"/>
          <w:sz w:val="20"/>
          <w:szCs w:val="20"/>
        </w:rPr>
        <w:t xml:space="preserve"> </w:t>
      </w:r>
      <w:r w:rsidRPr="00F65D2B">
        <w:rPr>
          <w:rFonts w:ascii="Verdana" w:eastAsia="Arial" w:hAnsi="Verdana" w:cs="Arial"/>
          <w:sz w:val="20"/>
          <w:szCs w:val="20"/>
        </w:rPr>
        <w:t>de</w:t>
      </w:r>
      <w:r w:rsidRPr="00F65D2B">
        <w:rPr>
          <w:rFonts w:ascii="Verdana" w:eastAsia="Arial" w:hAnsi="Verdana" w:cs="Arial"/>
          <w:spacing w:val="-6"/>
          <w:sz w:val="20"/>
          <w:szCs w:val="20"/>
        </w:rPr>
        <w:t xml:space="preserve"> </w:t>
      </w:r>
      <w:r w:rsidRPr="00F65D2B">
        <w:rPr>
          <w:rFonts w:ascii="Verdana" w:eastAsia="Arial" w:hAnsi="Verdana" w:cs="Arial"/>
          <w:sz w:val="20"/>
          <w:szCs w:val="20"/>
        </w:rPr>
        <w:t>2002 se refiere indistintamente a todo particular que pretenda la celebración, renovación o liquidación de contratos con entidades del sector público.</w:t>
      </w:r>
      <w:r w:rsidRPr="00F65D2B">
        <w:rPr>
          <w:rFonts w:ascii="Verdana" w:hAnsi="Verdana"/>
          <w:sz w:val="20"/>
          <w:szCs w:val="20"/>
          <w:shd w:val="clear" w:color="auto" w:fill="FFFFFF"/>
        </w:rPr>
        <w:t xml:space="preserve"> De esta manera, en el caso de consorcios o uniones temporales, </w:t>
      </w:r>
      <w:r w:rsidRPr="00F65D2B">
        <w:rPr>
          <w:rFonts w:ascii="Verdana" w:hAnsi="Verdana"/>
          <w:i/>
          <w:iCs/>
          <w:sz w:val="20"/>
          <w:szCs w:val="20"/>
          <w:shd w:val="clear" w:color="auto" w:fill="FFFFFF"/>
        </w:rPr>
        <w:t xml:space="preserve">cada uno de sus miembros </w:t>
      </w:r>
      <w:r w:rsidRPr="00F65D2B">
        <w:rPr>
          <w:rFonts w:ascii="Verdana" w:hAnsi="Verdana"/>
          <w:sz w:val="20"/>
          <w:szCs w:val="20"/>
          <w:shd w:val="clear" w:color="auto" w:fill="FFFFFF"/>
        </w:rPr>
        <w:t xml:space="preserve">deberá acreditar que se encuentra afiliado y al día en el pago de los aportes al Sistema de Seguridad Social y aportes parafiscales. Así, el cumplimiento de la obligación se acreditará dependiendo de la naturaleza jurídica de los integrantes, es decir, de si el miembro de la estructura plural es una persona natural o una persona jurídica. En este último supuesto, será procedente la regla antes expuesta frente a la acreditación de los pagos de los representantes legales que cumplan con la condición de “empleados” de la persona jurídica. </w:t>
      </w:r>
    </w:p>
    <w:p w14:paraId="20E566DF" w14:textId="77777777" w:rsidR="00625759" w:rsidRPr="00F65D2B" w:rsidRDefault="00625759" w:rsidP="00625759">
      <w:pPr>
        <w:widowControl w:val="0"/>
        <w:autoSpaceDE w:val="0"/>
        <w:autoSpaceDN w:val="0"/>
        <w:spacing w:after="0" w:line="240" w:lineRule="auto"/>
        <w:contextualSpacing/>
        <w:jc w:val="both"/>
        <w:rPr>
          <w:rFonts w:ascii="Verdana" w:hAnsi="Verdana"/>
          <w:sz w:val="20"/>
          <w:szCs w:val="20"/>
          <w:shd w:val="clear" w:color="auto" w:fill="FFFFFF"/>
        </w:rPr>
      </w:pPr>
    </w:p>
    <w:p w14:paraId="1BA84537" w14:textId="77777777" w:rsidR="00625759" w:rsidRPr="00F65D2B" w:rsidRDefault="00625759" w:rsidP="00625759">
      <w:pPr>
        <w:widowControl w:val="0"/>
        <w:autoSpaceDE w:val="0"/>
        <w:autoSpaceDN w:val="0"/>
        <w:spacing w:after="0" w:line="240" w:lineRule="auto"/>
        <w:contextualSpacing/>
        <w:jc w:val="both"/>
        <w:rPr>
          <w:rFonts w:ascii="Verdana" w:eastAsia="Calibri" w:hAnsi="Verdana" w:cs="Arial"/>
          <w:b/>
          <w:bCs/>
          <w:color w:val="000000" w:themeColor="text1"/>
          <w:sz w:val="20"/>
          <w:szCs w:val="20"/>
          <w:lang w:eastAsia="es-ES"/>
        </w:rPr>
      </w:pPr>
      <w:r w:rsidRPr="00F65D2B">
        <w:rPr>
          <w:rFonts w:ascii="Verdana" w:hAnsi="Verdana"/>
          <w:sz w:val="20"/>
          <w:szCs w:val="20"/>
          <w:shd w:val="clear" w:color="auto" w:fill="FFFFFF"/>
        </w:rPr>
        <w:t xml:space="preserve">[…] en el caso de las estructuras plurales la norma exige que cada uno de sus miembros acredite el cumplimiento de la obligación en comento. En consecuencia, esta obligación no es extensiva a los representantes legales del consorcio o de la unión temporal, pues al no contar con personería jurídica, sus miembros conservan independencia y la verificación de los requisitos habilitantes se observa respecto de cada uno de ellos […] </w:t>
      </w:r>
    </w:p>
    <w:p w14:paraId="21741E68" w14:textId="77777777" w:rsidR="00625759" w:rsidRPr="00F65D2B" w:rsidRDefault="00625759" w:rsidP="00625759">
      <w:pPr>
        <w:spacing w:after="0" w:line="240" w:lineRule="auto"/>
        <w:contextualSpacing/>
        <w:jc w:val="both"/>
        <w:rPr>
          <w:rFonts w:ascii="Verdana" w:eastAsia="Calibri" w:hAnsi="Verdana" w:cs="Arial"/>
          <w:b/>
          <w:bCs/>
          <w:color w:val="000000" w:themeColor="text1"/>
          <w:lang w:eastAsia="es-ES"/>
        </w:rPr>
      </w:pPr>
    </w:p>
    <w:p w14:paraId="7EBF43EF" w14:textId="77777777" w:rsidR="00625759" w:rsidRPr="00F65D2B" w:rsidRDefault="00625759" w:rsidP="00625759">
      <w:pPr>
        <w:spacing w:after="0" w:line="240" w:lineRule="auto"/>
        <w:contextualSpacing/>
        <w:jc w:val="both"/>
        <w:rPr>
          <w:rFonts w:ascii="Verdana" w:hAnsi="Verdana" w:cs="Arial"/>
          <w:b/>
          <w:bCs/>
          <w:lang w:eastAsia="es-ES_tradnl"/>
        </w:rPr>
      </w:pPr>
      <w:r w:rsidRPr="00F65D2B">
        <w:rPr>
          <w:rFonts w:ascii="Verdana" w:hAnsi="Verdana" w:cs="Arial"/>
          <w:b/>
          <w:bCs/>
          <w:lang w:eastAsia="es-ES_tradnl"/>
        </w:rPr>
        <w:t xml:space="preserve">SEGURIDAD SOCIAL ― Verificación ― Persona jurídica ― Empleados ― Prohibición de exigir planillas </w:t>
      </w:r>
    </w:p>
    <w:p w14:paraId="0A9E24F5" w14:textId="77777777" w:rsidR="00625759" w:rsidRPr="00F65D2B" w:rsidRDefault="00625759" w:rsidP="00625759">
      <w:pPr>
        <w:spacing w:after="0" w:line="240" w:lineRule="auto"/>
        <w:contextualSpacing/>
        <w:jc w:val="both"/>
        <w:rPr>
          <w:rFonts w:ascii="Verdana" w:hAnsi="Verdana" w:cs="Arial"/>
          <w:b/>
          <w:bCs/>
          <w:lang w:eastAsia="es-ES_tradnl"/>
        </w:rPr>
      </w:pPr>
    </w:p>
    <w:p w14:paraId="6FFC8BAA" w14:textId="77777777" w:rsidR="00625759" w:rsidRDefault="00625759" w:rsidP="00625759">
      <w:pPr>
        <w:spacing w:after="0" w:line="240" w:lineRule="auto"/>
        <w:contextualSpacing/>
        <w:jc w:val="both"/>
        <w:rPr>
          <w:rFonts w:ascii="Verdana" w:eastAsia="Arial" w:hAnsi="Verdana" w:cs="Arial"/>
          <w:sz w:val="20"/>
          <w:szCs w:val="20"/>
        </w:rPr>
      </w:pPr>
      <w:r w:rsidRPr="00DD5297">
        <w:rPr>
          <w:rFonts w:ascii="Verdana" w:eastAsia="Arial" w:hAnsi="Verdana" w:cs="Arial"/>
          <w:sz w:val="20"/>
          <w:szCs w:val="20"/>
        </w:rPr>
        <w:lastRenderedPageBreak/>
        <w:t>Ahora bien, los parámetros descritos también se refieren a la forma en que las personas jurídicas deben acreditar el cumplimiento de sus obligaciones frente al Sistema de Seguridad Social. En este sentido, el artículo 50 de la Ley 789 de 2002 establece que aquellas deben acreditar el pago de los aportes de sus empleados, lo cual se predica únicamente respecto de quienes tengan la calidad de trabajadores vinculados mediante contrato de trabajo, conforme a lo dispuesto en los artículos 22 y 23 del Código Sustantivo del Trabajo. En consecuencia, si una sociedad manifiesta no contar con trabajadores dependientes, corresponderá a la entidad estatal, en el marco de su autonomía y de conformidad con los principios de la contratación pública, verificar los medios de prueba que permitan establecer a ciencia cierta la veracidad de tal manifestación, teniendo en cuenta que actualmente no existe una disposición normativa que regule de manera expresa cómo debe acreditarse dicha circunstancia.</w:t>
      </w:r>
    </w:p>
    <w:p w14:paraId="4686EF98" w14:textId="77777777" w:rsidR="00625759" w:rsidRPr="00DD5297" w:rsidRDefault="00625759" w:rsidP="00625759">
      <w:pPr>
        <w:spacing w:after="0" w:line="240" w:lineRule="auto"/>
        <w:contextualSpacing/>
        <w:jc w:val="both"/>
        <w:rPr>
          <w:rFonts w:ascii="Verdana" w:eastAsia="Arial" w:hAnsi="Verdana" w:cs="Arial"/>
          <w:sz w:val="20"/>
          <w:szCs w:val="20"/>
        </w:rPr>
      </w:pPr>
    </w:p>
    <w:p w14:paraId="41A2775B" w14:textId="77777777" w:rsidR="00625759" w:rsidRDefault="00625759" w:rsidP="00625759">
      <w:pPr>
        <w:spacing w:after="0" w:line="240" w:lineRule="auto"/>
        <w:contextualSpacing/>
        <w:jc w:val="both"/>
        <w:rPr>
          <w:rFonts w:ascii="Verdana" w:eastAsia="Arial" w:hAnsi="Verdana" w:cs="Arial"/>
          <w:sz w:val="20"/>
          <w:szCs w:val="20"/>
        </w:rPr>
      </w:pPr>
      <w:r w:rsidRPr="00DD5297">
        <w:rPr>
          <w:rFonts w:ascii="Verdana" w:eastAsia="Arial" w:hAnsi="Verdana" w:cs="Arial"/>
          <w:sz w:val="20"/>
          <w:szCs w:val="20"/>
        </w:rPr>
        <w:t>De otro lado, debe recordarse que el artículo 84 de la Constitución Política prohíbe exigir a los particulares requisitos adicionales a los previstos en la ley, razón por la cual no resulta procedente requerir la presentación de planillas de aportes o la acreditación de pagos respecto de contratistas independientes, dado que la obligación legal se refiere de manera exclusiva a los trabajadores dependientes</w:t>
      </w:r>
      <w:r w:rsidRPr="00F65D2B">
        <w:rPr>
          <w:rFonts w:ascii="Verdana" w:eastAsia="Arial" w:hAnsi="Verdana" w:cs="Arial"/>
          <w:sz w:val="20"/>
          <w:szCs w:val="20"/>
        </w:rPr>
        <w:t>.</w:t>
      </w:r>
    </w:p>
    <w:p w14:paraId="10C9AF6F" w14:textId="77777777" w:rsidR="00625759" w:rsidRDefault="00625759" w:rsidP="00625759">
      <w:pPr>
        <w:spacing w:after="0" w:line="240" w:lineRule="auto"/>
        <w:contextualSpacing/>
        <w:jc w:val="both"/>
        <w:rPr>
          <w:rFonts w:ascii="Verdana" w:eastAsia="Arial" w:hAnsi="Verdana" w:cs="Arial"/>
          <w:sz w:val="20"/>
          <w:szCs w:val="20"/>
        </w:rPr>
      </w:pPr>
    </w:p>
    <w:p w14:paraId="245BF2D8" w14:textId="77777777" w:rsidR="00625759" w:rsidRPr="00F65D2B" w:rsidRDefault="00625759" w:rsidP="00625759">
      <w:pPr>
        <w:spacing w:after="0" w:line="240" w:lineRule="auto"/>
        <w:contextualSpacing/>
        <w:jc w:val="both"/>
        <w:rPr>
          <w:rFonts w:ascii="Verdana" w:hAnsi="Verdana" w:cs="Arial"/>
          <w:b/>
          <w:bCs/>
          <w:lang w:eastAsia="es-ES_tradnl"/>
        </w:rPr>
      </w:pPr>
      <w:r>
        <w:rPr>
          <w:rFonts w:ascii="Verdana" w:hAnsi="Verdana" w:cs="Arial"/>
          <w:b/>
          <w:bCs/>
          <w:lang w:eastAsia="es-ES_tradnl"/>
        </w:rPr>
        <w:t>CUMPLIMIENTO ARTÍCULO 50 LEY 789 DE 2002</w:t>
      </w:r>
      <w:r w:rsidRPr="00F65D2B">
        <w:rPr>
          <w:rFonts w:ascii="Verdana" w:hAnsi="Verdana" w:cs="Arial"/>
          <w:b/>
          <w:bCs/>
          <w:lang w:eastAsia="es-ES_tradnl"/>
        </w:rPr>
        <w:t xml:space="preserve"> ― </w:t>
      </w:r>
      <w:r>
        <w:rPr>
          <w:rFonts w:ascii="Verdana" w:hAnsi="Verdana" w:cs="Arial"/>
          <w:b/>
          <w:bCs/>
          <w:lang w:eastAsia="es-ES_tradnl"/>
        </w:rPr>
        <w:t>Medios de prueba</w:t>
      </w:r>
      <w:r w:rsidRPr="00F65D2B">
        <w:rPr>
          <w:rFonts w:ascii="Verdana" w:hAnsi="Verdana" w:cs="Arial"/>
          <w:b/>
          <w:bCs/>
          <w:lang w:eastAsia="es-ES_tradnl"/>
        </w:rPr>
        <w:t xml:space="preserve"> ― </w:t>
      </w:r>
      <w:r>
        <w:rPr>
          <w:rFonts w:ascii="Verdana" w:hAnsi="Verdana" w:cs="Arial"/>
          <w:b/>
          <w:bCs/>
          <w:lang w:eastAsia="es-ES_tradnl"/>
        </w:rPr>
        <w:t>Autonomía de Entidades Estatales</w:t>
      </w:r>
      <w:r w:rsidRPr="00F65D2B">
        <w:rPr>
          <w:rFonts w:ascii="Verdana" w:hAnsi="Verdana" w:cs="Arial"/>
          <w:b/>
          <w:bCs/>
          <w:lang w:eastAsia="es-ES_tradnl"/>
        </w:rPr>
        <w:t xml:space="preserve"> ― </w:t>
      </w:r>
      <w:r>
        <w:rPr>
          <w:rFonts w:ascii="Verdana" w:hAnsi="Verdana" w:cs="Arial"/>
          <w:b/>
          <w:bCs/>
          <w:lang w:eastAsia="es-ES_tradnl"/>
        </w:rPr>
        <w:t>Verificación ante manifestación de inexistencia de empleados</w:t>
      </w:r>
    </w:p>
    <w:p w14:paraId="768000D0" w14:textId="77777777" w:rsidR="00625759" w:rsidRDefault="00625759" w:rsidP="00625759">
      <w:pPr>
        <w:spacing w:after="0" w:line="240" w:lineRule="auto"/>
        <w:contextualSpacing/>
        <w:jc w:val="both"/>
        <w:rPr>
          <w:rFonts w:ascii="Verdana" w:eastAsia="Arial" w:hAnsi="Verdana" w:cs="Arial"/>
          <w:sz w:val="20"/>
          <w:szCs w:val="20"/>
        </w:rPr>
      </w:pPr>
    </w:p>
    <w:p w14:paraId="27AC1C2E" w14:textId="77777777" w:rsidR="00625759" w:rsidRDefault="00625759" w:rsidP="00625759">
      <w:pPr>
        <w:spacing w:after="0" w:line="240" w:lineRule="auto"/>
        <w:contextualSpacing/>
        <w:jc w:val="both"/>
        <w:rPr>
          <w:rFonts w:ascii="Verdana" w:eastAsia="Arial" w:hAnsi="Verdana" w:cs="Arial"/>
          <w:sz w:val="20"/>
          <w:szCs w:val="20"/>
        </w:rPr>
      </w:pPr>
      <w:r w:rsidRPr="005C1B0B">
        <w:rPr>
          <w:rFonts w:ascii="Verdana" w:eastAsia="Arial" w:hAnsi="Verdana" w:cs="Arial"/>
          <w:sz w:val="20"/>
          <w:szCs w:val="20"/>
        </w:rPr>
        <w:t>De lo expuesto se concluye que la obligación prevista en el artículo 50 de la Ley 789 de 2002 recae sobre las personas jurídicas que tengan trabajadores vinculados mediante contrato de trabajo, en los términos de los artículos 22 y 23</w:t>
      </w:r>
      <w:r w:rsidRPr="005C1B0B">
        <w:rPr>
          <w:rFonts w:ascii="Verdana" w:hAnsi="Verdana"/>
          <w:shd w:val="clear" w:color="auto" w:fill="FFFFFF"/>
        </w:rPr>
        <w:t xml:space="preserve"> </w:t>
      </w:r>
      <w:r w:rsidRPr="005C1B0B">
        <w:rPr>
          <w:rFonts w:ascii="Verdana" w:eastAsia="Arial" w:hAnsi="Verdana" w:cs="Arial"/>
          <w:sz w:val="20"/>
          <w:szCs w:val="20"/>
        </w:rPr>
        <w:t xml:space="preserve">del Código Sustantivo del Trabajo. </w:t>
      </w:r>
      <w:r w:rsidRPr="00357055">
        <w:rPr>
          <w:rFonts w:ascii="Verdana" w:eastAsia="Arial" w:hAnsi="Verdana" w:cs="Arial"/>
          <w:sz w:val="20"/>
          <w:szCs w:val="20"/>
        </w:rPr>
        <w:t>En otras palabras</w:t>
      </w:r>
      <w:r w:rsidRPr="005C1B0B">
        <w:rPr>
          <w:rFonts w:ascii="Verdana" w:eastAsia="Arial" w:hAnsi="Verdana" w:cs="Arial"/>
          <w:sz w:val="20"/>
          <w:szCs w:val="20"/>
        </w:rPr>
        <w:t>, cuando una sociedad no cuente con empleados, no se encuentra obligada a acreditar el pago de aportes al Sistema de Seguridad Social por dicho concepto.</w:t>
      </w:r>
    </w:p>
    <w:p w14:paraId="10C1EADA" w14:textId="77777777" w:rsidR="00625759" w:rsidRPr="005C1B0B" w:rsidRDefault="00625759" w:rsidP="00625759">
      <w:pPr>
        <w:spacing w:after="0" w:line="240" w:lineRule="auto"/>
        <w:contextualSpacing/>
        <w:jc w:val="both"/>
        <w:rPr>
          <w:rFonts w:ascii="Verdana" w:eastAsia="Arial" w:hAnsi="Verdana" w:cs="Arial"/>
          <w:sz w:val="20"/>
          <w:szCs w:val="20"/>
        </w:rPr>
      </w:pPr>
    </w:p>
    <w:p w14:paraId="7A5B7460" w14:textId="77777777" w:rsidR="00625759" w:rsidRDefault="00625759" w:rsidP="00625759">
      <w:pPr>
        <w:spacing w:after="0" w:line="240" w:lineRule="auto"/>
        <w:contextualSpacing/>
        <w:jc w:val="both"/>
        <w:rPr>
          <w:rFonts w:ascii="Verdana" w:eastAsia="Arial" w:hAnsi="Verdana" w:cs="Arial"/>
          <w:sz w:val="20"/>
          <w:szCs w:val="20"/>
        </w:rPr>
      </w:pPr>
      <w:r w:rsidRPr="00A711B2">
        <w:rPr>
          <w:rFonts w:ascii="Verdana" w:eastAsia="Arial" w:hAnsi="Verdana" w:cs="Arial"/>
          <w:sz w:val="20"/>
          <w:szCs w:val="20"/>
        </w:rPr>
        <w:t>No obstante, debe advertirse que las normas que regulan la materia no contemplan una disposición que defina de manera expresa cómo acreditar la inexistencia de trabajadores vinculados. Por tal razón, corresponde a las entidades estatales, en el marco de su autonomía, verificar los medios de prueba que aporte el proponente o contratista, de manera que resulte posible establecer con certeza la veracidad de la manifestación realizada.</w:t>
      </w:r>
    </w:p>
    <w:p w14:paraId="218C7625" w14:textId="77777777" w:rsidR="00625759" w:rsidRPr="00A711B2" w:rsidRDefault="00625759" w:rsidP="00625759">
      <w:pPr>
        <w:spacing w:after="0" w:line="240" w:lineRule="auto"/>
        <w:contextualSpacing/>
        <w:jc w:val="both"/>
        <w:rPr>
          <w:rFonts w:ascii="Verdana" w:eastAsia="Arial" w:hAnsi="Verdana" w:cs="Arial"/>
          <w:sz w:val="20"/>
          <w:szCs w:val="20"/>
        </w:rPr>
      </w:pPr>
    </w:p>
    <w:p w14:paraId="249D393E" w14:textId="77777777" w:rsidR="00625759" w:rsidRPr="00A711B2" w:rsidRDefault="00625759" w:rsidP="00625759">
      <w:pPr>
        <w:spacing w:after="0" w:line="240" w:lineRule="auto"/>
        <w:contextualSpacing/>
        <w:jc w:val="both"/>
        <w:rPr>
          <w:rFonts w:ascii="Verdana" w:eastAsia="Arial" w:hAnsi="Verdana" w:cs="Arial"/>
          <w:sz w:val="20"/>
          <w:szCs w:val="20"/>
        </w:rPr>
      </w:pPr>
      <w:r w:rsidRPr="00A711B2">
        <w:rPr>
          <w:rFonts w:ascii="Verdana" w:eastAsia="Arial" w:hAnsi="Verdana" w:cs="Arial"/>
          <w:sz w:val="20"/>
          <w:szCs w:val="20"/>
        </w:rPr>
        <w:t>En este sentido, la certificación mencionada puede constituir un elemento a valorar por la entidad estatal, sin que ello implique que se trate de un soporte único o suficiente en sí mismo, pues será la entidad quien, atendiendo a las circunstancias del caso concreto, determine la idoneidad de los documentos presentados para dar cumplimiento a lo previsto en el artículo 50 de la Ley 789 de 2002.</w:t>
      </w:r>
    </w:p>
    <w:p w14:paraId="3EA9C428" w14:textId="77777777" w:rsidR="00625759" w:rsidRPr="00F65D2B" w:rsidRDefault="00625759" w:rsidP="00625759">
      <w:pPr>
        <w:spacing w:after="0" w:line="240" w:lineRule="auto"/>
        <w:contextualSpacing/>
        <w:jc w:val="both"/>
        <w:rPr>
          <w:rFonts w:ascii="Verdana" w:hAnsi="Verdana" w:cs="Arial"/>
          <w:b/>
          <w:bCs/>
          <w:sz w:val="20"/>
          <w:szCs w:val="20"/>
          <w:lang w:eastAsia="es-ES_tradnl"/>
        </w:rPr>
      </w:pPr>
    </w:p>
    <w:p w14:paraId="11D71B0F" w14:textId="77777777" w:rsidR="00625759" w:rsidRPr="00F65D2B" w:rsidRDefault="00625759" w:rsidP="00625759">
      <w:pPr>
        <w:contextualSpacing/>
        <w:jc w:val="both"/>
        <w:rPr>
          <w:rFonts w:ascii="Verdana" w:eastAsia="Calibri" w:hAnsi="Verdana" w:cs="Arial"/>
          <w:b/>
          <w:bCs/>
          <w:color w:val="000000" w:themeColor="text1"/>
          <w:lang w:eastAsia="es-ES"/>
        </w:rPr>
      </w:pPr>
    </w:p>
    <w:p w14:paraId="0435D0D7" w14:textId="77777777" w:rsidR="00625759" w:rsidRPr="00F65D2B" w:rsidRDefault="00625759" w:rsidP="00625759">
      <w:pPr>
        <w:spacing w:after="0"/>
        <w:rPr>
          <w:rFonts w:ascii="Verdana" w:hAnsi="Verdana"/>
        </w:rPr>
      </w:pPr>
    </w:p>
    <w:p w14:paraId="1F997909" w14:textId="77777777" w:rsidR="00625759" w:rsidRPr="00F65D2B" w:rsidRDefault="00625759" w:rsidP="00625759">
      <w:pPr>
        <w:spacing w:after="0"/>
        <w:rPr>
          <w:rFonts w:ascii="Verdana" w:hAnsi="Verdana"/>
        </w:rPr>
      </w:pPr>
    </w:p>
    <w:p w14:paraId="5DC51932" w14:textId="166131CA" w:rsidR="00625759" w:rsidRPr="00044A56" w:rsidRDefault="00625759" w:rsidP="00625759">
      <w:pPr>
        <w:spacing w:after="0"/>
        <w:rPr>
          <w:rFonts w:ascii="Verdana" w:hAnsi="Verdana"/>
        </w:rPr>
      </w:pPr>
      <w:r w:rsidRPr="00044A56">
        <w:rPr>
          <w:rFonts w:ascii="Verdana" w:hAnsi="Verdana"/>
        </w:rPr>
        <w:lastRenderedPageBreak/>
        <w:t xml:space="preserve">Bogotá D.C., </w:t>
      </w:r>
      <w:r w:rsidR="00044A56" w:rsidRPr="00044A56">
        <w:rPr>
          <w:rFonts w:ascii="Verdana" w:hAnsi="Verdana"/>
        </w:rPr>
        <w:t>24 de septie</w:t>
      </w:r>
      <w:r w:rsidR="00044A56">
        <w:rPr>
          <w:rFonts w:ascii="Verdana" w:hAnsi="Verdana"/>
        </w:rPr>
        <w:t>mbre de 2025</w:t>
      </w:r>
      <w:r w:rsidRPr="00044A56">
        <w:rPr>
          <w:rFonts w:ascii="Verdana" w:hAnsi="Verdana"/>
        </w:rPr>
        <w:tab/>
      </w:r>
    </w:p>
    <w:p w14:paraId="6D648594" w14:textId="77777777" w:rsidR="00625759" w:rsidRPr="00044A56" w:rsidRDefault="00625759" w:rsidP="00625759">
      <w:pPr>
        <w:spacing w:after="0"/>
        <w:rPr>
          <w:rFonts w:ascii="Verdana" w:hAnsi="Verdana"/>
        </w:rPr>
      </w:pPr>
    </w:p>
    <w:p w14:paraId="4465669E" w14:textId="58DDFBAF" w:rsidR="00625759" w:rsidRPr="00F65D2B" w:rsidRDefault="00044A56" w:rsidP="00044A56">
      <w:pPr>
        <w:spacing w:after="0" w:line="240" w:lineRule="auto"/>
        <w:jc w:val="right"/>
        <w:rPr>
          <w:rFonts w:ascii="Verdana" w:eastAsia="Calibri" w:hAnsi="Verdana" w:cs="Arial"/>
          <w:bCs/>
          <w:noProof/>
          <w:color w:val="000000" w:themeColor="text1"/>
          <w:lang w:eastAsia="es-ES_tradnl"/>
        </w:rPr>
      </w:pPr>
      <w:r w:rsidRPr="00044A56">
        <w:rPr>
          <w:rFonts w:ascii="Verdana" w:eastAsia="Calibri" w:hAnsi="Verdana" w:cs="Arial"/>
          <w:bCs/>
          <w:noProof/>
          <w:color w:val="000000" w:themeColor="text1"/>
          <w:lang w:eastAsia="es-ES_tradnl"/>
        </w:rPr>
        <w:drawing>
          <wp:inline distT="0" distB="0" distL="0" distR="0" wp14:anchorId="570D427D" wp14:editId="184082FA">
            <wp:extent cx="3595266" cy="938886"/>
            <wp:effectExtent l="0" t="0" r="571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609455" cy="942591"/>
                    </a:xfrm>
                    <a:prstGeom prst="rect">
                      <a:avLst/>
                    </a:prstGeom>
                  </pic:spPr>
                </pic:pic>
              </a:graphicData>
            </a:graphic>
          </wp:inline>
        </w:drawing>
      </w:r>
    </w:p>
    <w:p w14:paraId="011E8BF3" w14:textId="77777777" w:rsidR="00625759" w:rsidRPr="00F65D2B" w:rsidRDefault="00625759" w:rsidP="00625759">
      <w:pPr>
        <w:spacing w:after="0" w:line="240" w:lineRule="auto"/>
        <w:jc w:val="both"/>
        <w:rPr>
          <w:rFonts w:ascii="Verdana" w:eastAsia="Calibri" w:hAnsi="Verdana" w:cs="Arial"/>
          <w:bCs/>
          <w:noProof/>
          <w:color w:val="000000" w:themeColor="text1"/>
          <w:lang w:eastAsia="es-ES_tradnl"/>
        </w:rPr>
      </w:pPr>
    </w:p>
    <w:p w14:paraId="0BEBA6DF" w14:textId="77777777" w:rsidR="00625759" w:rsidRPr="00F65D2B" w:rsidRDefault="00625759" w:rsidP="00625759">
      <w:pPr>
        <w:spacing w:after="0" w:line="240" w:lineRule="auto"/>
        <w:jc w:val="both"/>
        <w:rPr>
          <w:rFonts w:ascii="Verdana" w:eastAsia="Calibri" w:hAnsi="Verdana" w:cs="Arial"/>
          <w:color w:val="000000" w:themeColor="text1"/>
          <w:lang w:eastAsia="es-ES"/>
        </w:rPr>
      </w:pPr>
      <w:r w:rsidRPr="00F65D2B">
        <w:rPr>
          <w:rFonts w:ascii="Verdana" w:eastAsia="Calibri" w:hAnsi="Verdana" w:cs="Arial"/>
          <w:color w:val="000000" w:themeColor="text1"/>
          <w:lang w:eastAsia="es-ES"/>
        </w:rPr>
        <w:t>Señor</w:t>
      </w:r>
    </w:p>
    <w:p w14:paraId="6A6D7853" w14:textId="77777777" w:rsidR="00625759" w:rsidRPr="00F65D2B" w:rsidRDefault="00625759" w:rsidP="00625759">
      <w:pPr>
        <w:spacing w:after="0" w:line="240" w:lineRule="auto"/>
        <w:rPr>
          <w:rFonts w:ascii="Verdana" w:eastAsia="Calibri" w:hAnsi="Verdana" w:cs="Arial"/>
          <w:b/>
          <w:color w:val="000000" w:themeColor="text1"/>
          <w:lang w:eastAsia="es-ES_tradnl"/>
        </w:rPr>
      </w:pPr>
      <w:r w:rsidRPr="00F65D2B">
        <w:rPr>
          <w:rFonts w:ascii="Verdana" w:eastAsia="Calibri" w:hAnsi="Verdana" w:cs="Arial"/>
          <w:b/>
          <w:color w:val="000000" w:themeColor="text1"/>
          <w:lang w:eastAsia="es-ES_tradnl"/>
        </w:rPr>
        <w:t>Santiago Guerrero Vera</w:t>
      </w:r>
    </w:p>
    <w:p w14:paraId="04AE0027" w14:textId="77777777" w:rsidR="00625759" w:rsidRPr="00F65D2B" w:rsidRDefault="00000000" w:rsidP="00625759">
      <w:pPr>
        <w:spacing w:after="0" w:line="240" w:lineRule="auto"/>
        <w:jc w:val="both"/>
        <w:rPr>
          <w:rStyle w:val="Hipervnculo"/>
        </w:rPr>
      </w:pPr>
      <w:hyperlink r:id="rId8" w:history="1">
        <w:r w:rsidR="00625759" w:rsidRPr="00F65D2B">
          <w:rPr>
            <w:rStyle w:val="Hipervnculo"/>
            <w:rFonts w:ascii="Verdana" w:eastAsia="Calibri" w:hAnsi="Verdana" w:cs="Arial"/>
            <w:lang w:eastAsia="es-ES"/>
          </w:rPr>
          <w:t>guerrero.verasantiago@gmail.com</w:t>
        </w:r>
      </w:hyperlink>
      <w:r w:rsidR="00625759" w:rsidRPr="00F65D2B">
        <w:rPr>
          <w:rStyle w:val="Hipervnculo"/>
        </w:rPr>
        <w:t xml:space="preserve"> </w:t>
      </w:r>
    </w:p>
    <w:p w14:paraId="22489ADB" w14:textId="77777777" w:rsidR="00625759" w:rsidRPr="00F65D2B" w:rsidRDefault="00625759" w:rsidP="00625759">
      <w:pPr>
        <w:spacing w:after="0" w:line="240" w:lineRule="auto"/>
        <w:rPr>
          <w:rFonts w:ascii="Verdana" w:eastAsia="Calibri" w:hAnsi="Verdana" w:cs="Arial"/>
          <w:bCs/>
          <w:color w:val="000000" w:themeColor="text1"/>
          <w:lang w:eastAsia="es-ES_tradnl"/>
        </w:rPr>
      </w:pPr>
      <w:r w:rsidRPr="00F65D2B">
        <w:rPr>
          <w:rFonts w:ascii="Verdana" w:eastAsia="Calibri" w:hAnsi="Verdana" w:cs="Arial"/>
          <w:color w:val="000000" w:themeColor="text1"/>
          <w:lang w:eastAsia="es-ES"/>
        </w:rPr>
        <w:t>Bogotá, D.C.</w:t>
      </w:r>
    </w:p>
    <w:p w14:paraId="5669905C" w14:textId="77777777" w:rsidR="00625759" w:rsidRPr="00F65D2B" w:rsidRDefault="00625759" w:rsidP="00625759">
      <w:pPr>
        <w:spacing w:after="0" w:line="240" w:lineRule="auto"/>
        <w:rPr>
          <w:rFonts w:ascii="Verdana" w:eastAsia="Calibri" w:hAnsi="Verdana" w:cs="Arial"/>
          <w:b/>
          <w:bCs/>
          <w:color w:val="000000" w:themeColor="text1"/>
          <w:lang w:eastAsia="es-ES_tradnl"/>
        </w:rPr>
      </w:pPr>
    </w:p>
    <w:p w14:paraId="2AD3FA3B" w14:textId="77777777" w:rsidR="00625759" w:rsidRPr="00F65D2B" w:rsidRDefault="00625759" w:rsidP="00625759">
      <w:pPr>
        <w:spacing w:after="0" w:line="240" w:lineRule="auto"/>
        <w:rPr>
          <w:rFonts w:ascii="Verdana" w:eastAsia="Calibri" w:hAnsi="Verdana" w:cs="Arial"/>
          <w:b/>
          <w:bCs/>
          <w:color w:val="000000" w:themeColor="text1"/>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25759" w:rsidRPr="00F65D2B" w14:paraId="188C1AB7" w14:textId="77777777" w:rsidTr="003F327E">
        <w:trPr>
          <w:trHeight w:val="304"/>
        </w:trPr>
        <w:tc>
          <w:tcPr>
            <w:tcW w:w="2689" w:type="dxa"/>
          </w:tcPr>
          <w:p w14:paraId="213376FD" w14:textId="77777777" w:rsidR="00625759" w:rsidRPr="00F65D2B" w:rsidRDefault="00625759" w:rsidP="003F327E">
            <w:pPr>
              <w:jc w:val="both"/>
              <w:rPr>
                <w:rFonts w:ascii="Verdana" w:eastAsia="Calibri" w:hAnsi="Verdana" w:cs="Arial"/>
                <w:b/>
                <w:bCs/>
                <w:color w:val="000000" w:themeColor="text1"/>
                <w:lang w:eastAsia="es-ES_tradnl"/>
              </w:rPr>
            </w:pPr>
          </w:p>
        </w:tc>
        <w:tc>
          <w:tcPr>
            <w:tcW w:w="6100" w:type="dxa"/>
          </w:tcPr>
          <w:p w14:paraId="4E687B4F" w14:textId="77777777" w:rsidR="00625759" w:rsidRPr="00F65D2B" w:rsidRDefault="00625759" w:rsidP="003F327E">
            <w:pPr>
              <w:jc w:val="both"/>
              <w:rPr>
                <w:rFonts w:ascii="Verdana" w:eastAsia="Calibri" w:hAnsi="Verdana" w:cs="Arial"/>
                <w:b/>
                <w:bCs/>
                <w:color w:val="000000" w:themeColor="text1"/>
                <w:lang w:eastAsia="es-ES"/>
              </w:rPr>
            </w:pPr>
            <w:r w:rsidRPr="00F65D2B">
              <w:rPr>
                <w:rFonts w:ascii="Verdana" w:eastAsia="Calibri" w:hAnsi="Verdana" w:cs="Arial"/>
                <w:b/>
                <w:bCs/>
                <w:color w:val="000000" w:themeColor="text1"/>
                <w:lang w:eastAsia="es-ES"/>
              </w:rPr>
              <w:t>Concepto C-1203 de 2025</w:t>
            </w:r>
          </w:p>
          <w:p w14:paraId="194F76C5" w14:textId="77777777" w:rsidR="00625759" w:rsidRPr="00F65D2B" w:rsidRDefault="00625759" w:rsidP="003F327E">
            <w:pPr>
              <w:jc w:val="both"/>
              <w:rPr>
                <w:rFonts w:ascii="Verdana" w:eastAsia="Calibri" w:hAnsi="Verdana" w:cs="Arial"/>
                <w:b/>
                <w:bCs/>
                <w:color w:val="000000" w:themeColor="text1"/>
                <w:lang w:eastAsia="es-ES"/>
              </w:rPr>
            </w:pPr>
          </w:p>
        </w:tc>
      </w:tr>
      <w:tr w:rsidR="00625759" w:rsidRPr="00F65D2B" w14:paraId="3BA1C4C2" w14:textId="77777777" w:rsidTr="003F327E">
        <w:trPr>
          <w:trHeight w:val="884"/>
        </w:trPr>
        <w:tc>
          <w:tcPr>
            <w:tcW w:w="2689" w:type="dxa"/>
          </w:tcPr>
          <w:p w14:paraId="51E9AC55" w14:textId="77777777" w:rsidR="00625759" w:rsidRPr="00F65D2B" w:rsidRDefault="00625759" w:rsidP="003F327E">
            <w:pPr>
              <w:jc w:val="both"/>
              <w:rPr>
                <w:rFonts w:ascii="Verdana" w:eastAsia="Calibri" w:hAnsi="Verdana" w:cs="Arial"/>
                <w:color w:val="000000" w:themeColor="text1"/>
                <w:lang w:eastAsia="es-ES_tradnl"/>
              </w:rPr>
            </w:pPr>
            <w:r w:rsidRPr="00F65D2B">
              <w:rPr>
                <w:rFonts w:ascii="Verdana" w:eastAsia="Calibri" w:hAnsi="Verdana" w:cs="Arial"/>
                <w:b/>
                <w:color w:val="000000" w:themeColor="text1"/>
                <w:lang w:eastAsia="es-ES_tradnl"/>
              </w:rPr>
              <w:t>Temas:</w:t>
            </w:r>
            <w:r w:rsidRPr="00F65D2B">
              <w:rPr>
                <w:rFonts w:ascii="Verdana" w:eastAsia="Calibri" w:hAnsi="Verdana" w:cs="Arial"/>
                <w:color w:val="000000" w:themeColor="text1"/>
                <w:lang w:eastAsia="es-ES_tradnl"/>
              </w:rPr>
              <w:t xml:space="preserve">                   </w:t>
            </w:r>
          </w:p>
        </w:tc>
        <w:tc>
          <w:tcPr>
            <w:tcW w:w="6100" w:type="dxa"/>
          </w:tcPr>
          <w:p w14:paraId="0C850828" w14:textId="77777777" w:rsidR="00625759" w:rsidRPr="00F65D2B" w:rsidRDefault="00625759" w:rsidP="003F327E">
            <w:pPr>
              <w:contextualSpacing/>
              <w:jc w:val="both"/>
              <w:rPr>
                <w:rFonts w:ascii="Verdana" w:eastAsia="Calibri" w:hAnsi="Verdana" w:cs="Arial"/>
                <w:b/>
                <w:bCs/>
                <w:color w:val="000000" w:themeColor="text1"/>
                <w:lang w:eastAsia="es-ES"/>
              </w:rPr>
            </w:pPr>
            <w:r w:rsidRPr="00F65D2B">
              <w:rPr>
                <w:rFonts w:ascii="Verdana" w:eastAsia="Calibri" w:hAnsi="Verdana" w:cs="Arial"/>
                <w:color w:val="000000" w:themeColor="text1"/>
                <w:lang w:eastAsia="es-ES"/>
              </w:rPr>
              <w:t xml:space="preserve">SISTEMA DE SEGURIDAD SOCIAL INTEGRAL – Obligaciones ― Contratación Estatal / SEGURIDAD SOCIAL ― Verificación ― Persona natural ― Persona jurídica ― Proponentes Plurales / </w:t>
            </w:r>
            <w:r w:rsidRPr="00F65D2B">
              <w:rPr>
                <w:rFonts w:ascii="Verdana" w:hAnsi="Verdana" w:cs="Arial"/>
                <w:bCs/>
                <w:lang w:eastAsia="es-ES_tradnl"/>
              </w:rPr>
              <w:t xml:space="preserve">SEGURIDAD SOCIAL ― Verificación ― Persona jurídica ― Empleados ― Prohibición de exigir planillas </w:t>
            </w:r>
            <w:r>
              <w:rPr>
                <w:rFonts w:ascii="Verdana" w:hAnsi="Verdana" w:cs="Arial"/>
                <w:bCs/>
                <w:lang w:eastAsia="es-ES_tradnl"/>
              </w:rPr>
              <w:t xml:space="preserve">/ </w:t>
            </w:r>
            <w:r w:rsidRPr="00E454A8">
              <w:rPr>
                <w:rFonts w:ascii="Verdana" w:hAnsi="Verdana" w:cs="Arial"/>
                <w:bCs/>
                <w:lang w:eastAsia="es-ES_tradnl"/>
              </w:rPr>
              <w:t>CUMPLIMIENTO ARTÍCULO 50 LEY 789 DE 2002 ― Medios de prueba ― Autonomía de Entidades Estatales ― Verificación ante manifestación de inexistencia de empleados</w:t>
            </w:r>
          </w:p>
          <w:p w14:paraId="6696A0C0" w14:textId="77777777" w:rsidR="00625759" w:rsidRPr="00F65D2B" w:rsidRDefault="00625759" w:rsidP="003F327E">
            <w:pPr>
              <w:spacing w:line="276" w:lineRule="auto"/>
              <w:jc w:val="both"/>
              <w:rPr>
                <w:rFonts w:ascii="Verdana" w:eastAsia="Calibri" w:hAnsi="Verdana" w:cs="Arial"/>
                <w:color w:val="000000" w:themeColor="text1"/>
                <w:lang w:eastAsia="es-ES"/>
              </w:rPr>
            </w:pPr>
          </w:p>
        </w:tc>
      </w:tr>
      <w:tr w:rsidR="00625759" w:rsidRPr="00F65D2B" w14:paraId="3F0A8F8A" w14:textId="77777777" w:rsidTr="003F327E">
        <w:tc>
          <w:tcPr>
            <w:tcW w:w="2689" w:type="dxa"/>
          </w:tcPr>
          <w:p w14:paraId="48062C9B" w14:textId="77777777" w:rsidR="00625759" w:rsidRPr="00F65D2B" w:rsidRDefault="00625759" w:rsidP="003F327E">
            <w:pPr>
              <w:jc w:val="both"/>
              <w:rPr>
                <w:rFonts w:ascii="Verdana" w:eastAsia="Calibri" w:hAnsi="Verdana" w:cs="Arial"/>
                <w:b/>
                <w:color w:val="000000" w:themeColor="text1"/>
                <w:lang w:eastAsia="es-ES_tradnl"/>
              </w:rPr>
            </w:pPr>
            <w:r w:rsidRPr="00F65D2B">
              <w:rPr>
                <w:rFonts w:ascii="Verdana" w:eastAsia="Calibri" w:hAnsi="Verdana" w:cs="Arial"/>
                <w:b/>
                <w:color w:val="000000" w:themeColor="text1"/>
                <w:lang w:eastAsia="es-ES_tradnl"/>
              </w:rPr>
              <w:t>Radicación:</w:t>
            </w:r>
            <w:r w:rsidRPr="00F65D2B">
              <w:rPr>
                <w:rFonts w:ascii="Verdana" w:eastAsia="Calibri" w:hAnsi="Verdana" w:cs="Arial"/>
                <w:color w:val="000000" w:themeColor="text1"/>
                <w:lang w:eastAsia="es-ES_tradnl"/>
              </w:rPr>
              <w:t xml:space="preserve">               </w:t>
            </w:r>
          </w:p>
        </w:tc>
        <w:tc>
          <w:tcPr>
            <w:tcW w:w="6100" w:type="dxa"/>
          </w:tcPr>
          <w:p w14:paraId="2FE9FFE4" w14:textId="77777777" w:rsidR="00625759" w:rsidRPr="00F65D2B" w:rsidRDefault="00625759" w:rsidP="003F327E">
            <w:pPr>
              <w:jc w:val="both"/>
              <w:rPr>
                <w:rFonts w:ascii="Verdana" w:eastAsia="Calibri" w:hAnsi="Verdana" w:cs="Arial"/>
                <w:color w:val="000000" w:themeColor="text1"/>
                <w:lang w:eastAsia="es-ES_tradnl"/>
              </w:rPr>
            </w:pPr>
            <w:r w:rsidRPr="00F65D2B">
              <w:rPr>
                <w:rFonts w:ascii="Verdana" w:eastAsia="Calibri" w:hAnsi="Verdana" w:cs="Arial"/>
                <w:color w:val="000000" w:themeColor="text1"/>
                <w:lang w:eastAsia="es-ES_tradnl"/>
              </w:rPr>
              <w:t>Respuesta a consulta con radicado No. 1_2025_08_26_009101</w:t>
            </w:r>
          </w:p>
        </w:tc>
      </w:tr>
    </w:tbl>
    <w:p w14:paraId="13318670" w14:textId="77777777" w:rsidR="00625759" w:rsidRPr="00F65D2B" w:rsidRDefault="00625759" w:rsidP="00625759">
      <w:pPr>
        <w:spacing w:after="0" w:line="276" w:lineRule="auto"/>
        <w:jc w:val="both"/>
        <w:rPr>
          <w:rFonts w:ascii="Verdana" w:eastAsia="Calibri" w:hAnsi="Verdana" w:cs="Arial"/>
          <w:color w:val="000000" w:themeColor="text1"/>
          <w:lang w:eastAsia="es-ES_tradnl"/>
        </w:rPr>
      </w:pPr>
    </w:p>
    <w:p w14:paraId="6DFF4057" w14:textId="77777777" w:rsidR="00625759" w:rsidRPr="00F65D2B" w:rsidRDefault="00625759" w:rsidP="00625759">
      <w:pPr>
        <w:spacing w:after="0" w:line="276" w:lineRule="auto"/>
        <w:jc w:val="both"/>
        <w:rPr>
          <w:rFonts w:ascii="Verdana" w:eastAsia="Calibri" w:hAnsi="Verdana" w:cs="Arial"/>
          <w:color w:val="000000" w:themeColor="text1"/>
          <w:lang w:eastAsia="es-ES_tradnl"/>
        </w:rPr>
      </w:pPr>
    </w:p>
    <w:p w14:paraId="745438A5" w14:textId="77777777" w:rsidR="00625759" w:rsidRPr="00F65D2B" w:rsidRDefault="00625759" w:rsidP="00625759">
      <w:pPr>
        <w:spacing w:after="0" w:line="276" w:lineRule="auto"/>
        <w:jc w:val="both"/>
        <w:rPr>
          <w:rFonts w:ascii="Verdana" w:eastAsia="Calibri" w:hAnsi="Verdana" w:cs="Arial"/>
          <w:color w:val="000000" w:themeColor="text1"/>
          <w:lang w:eastAsia="es-ES"/>
        </w:rPr>
      </w:pPr>
      <w:r w:rsidRPr="00F65D2B">
        <w:rPr>
          <w:rFonts w:ascii="Verdana" w:eastAsia="Calibri" w:hAnsi="Verdana" w:cs="Arial"/>
          <w:color w:val="000000" w:themeColor="text1"/>
          <w:lang w:eastAsia="es-ES"/>
        </w:rPr>
        <w:t xml:space="preserve">Estimado señor Guerrero Vera: </w:t>
      </w:r>
    </w:p>
    <w:p w14:paraId="5E0E19A3" w14:textId="77777777" w:rsidR="00625759" w:rsidRPr="00F65D2B" w:rsidRDefault="00625759" w:rsidP="00625759">
      <w:pPr>
        <w:tabs>
          <w:tab w:val="left" w:pos="3768"/>
        </w:tabs>
        <w:spacing w:after="0" w:line="276" w:lineRule="auto"/>
        <w:jc w:val="both"/>
        <w:rPr>
          <w:rFonts w:ascii="Verdana" w:eastAsia="Calibri" w:hAnsi="Verdana" w:cs="Arial"/>
          <w:color w:val="000000" w:themeColor="text1"/>
          <w:lang w:eastAsia="es-ES"/>
        </w:rPr>
      </w:pPr>
      <w:r w:rsidRPr="00F65D2B">
        <w:rPr>
          <w:rFonts w:ascii="Verdana" w:eastAsia="Calibri" w:hAnsi="Verdana" w:cs="Arial"/>
          <w:color w:val="000000" w:themeColor="text1"/>
          <w:lang w:eastAsia="es-ES"/>
        </w:rPr>
        <w:tab/>
      </w:r>
    </w:p>
    <w:p w14:paraId="5DFA5A41" w14:textId="77777777" w:rsidR="00625759" w:rsidRPr="00F65D2B" w:rsidRDefault="00625759" w:rsidP="00625759">
      <w:pPr>
        <w:spacing w:after="0" w:line="276" w:lineRule="auto"/>
        <w:jc w:val="both"/>
        <w:rPr>
          <w:rFonts w:ascii="Verdana" w:eastAsia="Calibri" w:hAnsi="Verdana" w:cs="Arial"/>
          <w:color w:val="000000" w:themeColor="text1"/>
          <w:lang w:eastAsia="es-ES"/>
        </w:rPr>
      </w:pPr>
      <w:r w:rsidRPr="00F65D2B">
        <w:rPr>
          <w:rFonts w:ascii="Verdana" w:eastAsia="Calibri" w:hAnsi="Verdana" w:cs="Arial"/>
          <w:color w:val="000000" w:themeColor="text1"/>
          <w:lang w:eastAsia="es-ES"/>
        </w:rPr>
        <w:t>En ejercicio de la competencia otorgada por los artículos 3, numeral 5º, y 11, numeral 8º, del Decreto Ley 4170 de 2011,</w:t>
      </w:r>
      <w:r w:rsidRPr="00F65D2B">
        <w:rPr>
          <w:rFonts w:ascii="Verdana" w:eastAsia="Arial MT" w:hAnsi="Verdana" w:cs="Arial MT"/>
          <w:color w:val="000000" w:themeColor="text1"/>
          <w:lang w:eastAsia="es-ES"/>
        </w:rPr>
        <w:t xml:space="preserve"> </w:t>
      </w:r>
      <w:r w:rsidRPr="00F65D2B">
        <w:rPr>
          <w:rFonts w:ascii="Verdana" w:eastAsia="Calibri" w:hAnsi="Verdana" w:cs="Times New Roman"/>
        </w:rPr>
        <w:t>la Agencia Nacional de Contratación Pública – Colombia Compra Eficiente– da respuesta a la solicitud remitida por el Departamento Administrativo de la Función Pública –DAFP– el 21 de agosto de 2025 y radicada en nuestro sistema de ventanilla única el 26 de agosto de 2025, mediante la cual consulta:</w:t>
      </w:r>
    </w:p>
    <w:p w14:paraId="686559DC" w14:textId="77777777" w:rsidR="00625759" w:rsidRPr="00F65D2B" w:rsidRDefault="00625759" w:rsidP="00625759">
      <w:pPr>
        <w:spacing w:after="0" w:line="276" w:lineRule="auto"/>
        <w:jc w:val="both"/>
        <w:rPr>
          <w:rFonts w:ascii="Verdana" w:eastAsia="Calibri" w:hAnsi="Verdana" w:cs="Arial"/>
          <w:color w:val="000000" w:themeColor="text1"/>
          <w:lang w:eastAsia="es-ES"/>
        </w:rPr>
      </w:pPr>
    </w:p>
    <w:p w14:paraId="13353C7E" w14:textId="77777777" w:rsidR="00625759" w:rsidRPr="00F65D2B" w:rsidRDefault="00625759" w:rsidP="00625759">
      <w:pPr>
        <w:spacing w:after="0" w:line="240" w:lineRule="auto"/>
        <w:ind w:left="709" w:right="709"/>
        <w:jc w:val="both"/>
        <w:rPr>
          <w:rFonts w:ascii="Verdana" w:eastAsia="Century Gothic" w:hAnsi="Verdana" w:cs="Century Gothic"/>
          <w:color w:val="000000" w:themeColor="text1"/>
          <w:sz w:val="20"/>
          <w:szCs w:val="20"/>
        </w:rPr>
      </w:pPr>
      <w:bookmarkStart w:id="0" w:name="_Hlk95313578"/>
      <w:r w:rsidRPr="00F65D2B">
        <w:rPr>
          <w:rFonts w:ascii="Verdana" w:eastAsia="Century Gothic" w:hAnsi="Verdana" w:cs="Century Gothic"/>
          <w:color w:val="000000" w:themeColor="text1"/>
          <w:sz w:val="20"/>
          <w:szCs w:val="20"/>
        </w:rPr>
        <w:lastRenderedPageBreak/>
        <w:t xml:space="preserve">“[…] Cuando una alcaldía celebra un contrato con una sociedad por acciones simplificada (S.A.S.) u otro tipo de sociedad, y dentro de las obligaciones contractuales se encuentra el pago de la seguridad social, ¿es válido que la empresa contratista, mediante certificado expedido por su revisor fiscal o contador público, manifieste que no cuenta con empleados a su cargo? </w:t>
      </w:r>
    </w:p>
    <w:p w14:paraId="7C5E7301" w14:textId="77777777" w:rsidR="00625759" w:rsidRPr="00F65D2B" w:rsidRDefault="00625759" w:rsidP="00625759">
      <w:pPr>
        <w:spacing w:after="0" w:line="240" w:lineRule="auto"/>
        <w:ind w:left="709" w:right="709"/>
        <w:jc w:val="both"/>
        <w:rPr>
          <w:rFonts w:ascii="Verdana" w:eastAsia="Century Gothic" w:hAnsi="Verdana" w:cs="Century Gothic"/>
          <w:color w:val="000000" w:themeColor="text1"/>
          <w:sz w:val="20"/>
          <w:szCs w:val="20"/>
        </w:rPr>
      </w:pPr>
      <w:r w:rsidRPr="00F65D2B">
        <w:rPr>
          <w:rFonts w:ascii="Verdana" w:eastAsia="Century Gothic" w:hAnsi="Verdana" w:cs="Century Gothic"/>
          <w:color w:val="000000" w:themeColor="text1"/>
          <w:sz w:val="20"/>
          <w:szCs w:val="20"/>
        </w:rPr>
        <w:t>De ser así, ¿puede dicho certificado considerarse soporte suficiente para garantizar el cumplimiento de la obligación de pago de aportes al sistema de seguridad social o, en su defecto, como una causal de exoneración de dicha obligación, teniendo en cuenta que la sociedad declara no tener trabajadores vinculados?”.</w:t>
      </w:r>
      <w:bookmarkEnd w:id="0"/>
    </w:p>
    <w:p w14:paraId="4E6EE745" w14:textId="77777777" w:rsidR="00625759" w:rsidRPr="00F65D2B" w:rsidRDefault="00625759" w:rsidP="00625759">
      <w:pPr>
        <w:spacing w:after="0" w:line="240" w:lineRule="auto"/>
        <w:ind w:firstLine="709"/>
        <w:contextualSpacing/>
        <w:jc w:val="both"/>
        <w:rPr>
          <w:rFonts w:ascii="Verdana" w:eastAsia="Calibri" w:hAnsi="Verdana" w:cs="Arial"/>
          <w:color w:val="000000" w:themeColor="text1"/>
          <w:lang w:eastAsia="es-ES"/>
        </w:rPr>
      </w:pPr>
    </w:p>
    <w:p w14:paraId="0FAB304A" w14:textId="77777777" w:rsidR="00625759" w:rsidRPr="00F65D2B" w:rsidRDefault="00625759" w:rsidP="00625759">
      <w:pPr>
        <w:spacing w:after="0" w:line="276" w:lineRule="auto"/>
        <w:ind w:firstLine="709"/>
        <w:contextualSpacing/>
        <w:jc w:val="both"/>
        <w:rPr>
          <w:rFonts w:ascii="Verdana" w:eastAsia="Calibri" w:hAnsi="Verdana" w:cs="Arial"/>
          <w:color w:val="000000" w:themeColor="text1"/>
          <w:szCs w:val="24"/>
          <w:lang w:eastAsia="es-ES_tradnl"/>
        </w:rPr>
      </w:pPr>
      <w:r w:rsidRPr="00F65D2B">
        <w:rPr>
          <w:rFonts w:ascii="Verdana" w:eastAsia="Calibri" w:hAnsi="Verdana" w:cs="Arial"/>
          <w:color w:val="000000" w:themeColor="text1"/>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65D2B">
        <w:rPr>
          <w:rFonts w:ascii="Verdana" w:eastAsia="Calibri" w:hAnsi="Verdana" w:cs="Arial"/>
          <w:color w:val="000000" w:themeColor="text1"/>
          <w:szCs w:val="24"/>
          <w:lang w:eastAsia="es-ES_tradnl"/>
        </w:rPr>
        <w:tab/>
      </w:r>
    </w:p>
    <w:p w14:paraId="356841C7" w14:textId="77777777" w:rsidR="00625759" w:rsidRPr="00F65D2B" w:rsidRDefault="00625759" w:rsidP="00625759">
      <w:pPr>
        <w:spacing w:before="120" w:after="0" w:line="276" w:lineRule="auto"/>
        <w:ind w:firstLine="709"/>
        <w:jc w:val="both"/>
        <w:rPr>
          <w:rFonts w:ascii="Verdana" w:eastAsia="Calibri" w:hAnsi="Verdana" w:cs="Arial"/>
          <w:color w:val="000000" w:themeColor="text1"/>
          <w:lang w:eastAsia="es-ES"/>
        </w:rPr>
      </w:pPr>
      <w:r w:rsidRPr="00F65D2B">
        <w:rPr>
          <w:rFonts w:ascii="Verdana" w:eastAsia="Calibri" w:hAnsi="Verdana" w:cs="Arial"/>
          <w:color w:val="000000" w:themeColor="text1"/>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7BB0404A" w14:textId="77777777" w:rsidR="00625759" w:rsidRPr="00F65D2B" w:rsidRDefault="00625759" w:rsidP="00625759">
      <w:pPr>
        <w:spacing w:after="0" w:line="276" w:lineRule="auto"/>
        <w:ind w:firstLine="709"/>
        <w:jc w:val="both"/>
        <w:rPr>
          <w:rFonts w:ascii="Verdana" w:eastAsia="Calibri" w:hAnsi="Verdana" w:cs="Arial"/>
          <w:color w:val="000000" w:themeColor="text1"/>
          <w:lang w:eastAsia="es-ES"/>
        </w:rPr>
      </w:pPr>
    </w:p>
    <w:p w14:paraId="339F3E49" w14:textId="77777777" w:rsidR="00625759" w:rsidRPr="00F65D2B" w:rsidRDefault="00625759" w:rsidP="00625759">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65D2B">
        <w:rPr>
          <w:rFonts w:ascii="Verdana" w:eastAsia="Century Gothic" w:hAnsi="Verdana" w:cs="Century Gothic"/>
          <w:b/>
          <w:bCs/>
          <w:color w:val="000000" w:themeColor="text1"/>
        </w:rPr>
        <w:t>Problema planteado:</w:t>
      </w:r>
    </w:p>
    <w:p w14:paraId="7F254378" w14:textId="77777777" w:rsidR="00625759" w:rsidRPr="00F65D2B" w:rsidRDefault="00625759" w:rsidP="00625759">
      <w:pPr>
        <w:tabs>
          <w:tab w:val="left" w:pos="426"/>
        </w:tabs>
        <w:spacing w:after="0" w:line="276" w:lineRule="auto"/>
        <w:jc w:val="both"/>
        <w:rPr>
          <w:rFonts w:ascii="Verdana" w:eastAsia="Century Gothic" w:hAnsi="Verdana" w:cs="Century Gothic"/>
          <w:color w:val="000000" w:themeColor="text1"/>
        </w:rPr>
      </w:pPr>
    </w:p>
    <w:p w14:paraId="539A4156" w14:textId="77777777" w:rsidR="00625759" w:rsidRPr="00F65D2B" w:rsidRDefault="00625759" w:rsidP="00625759">
      <w:pPr>
        <w:spacing w:after="0" w:line="276" w:lineRule="auto"/>
        <w:jc w:val="both"/>
        <w:rPr>
          <w:rFonts w:ascii="Verdana" w:eastAsia="Century Gothic" w:hAnsi="Verdana" w:cs="Century Gothic"/>
          <w:color w:val="000000" w:themeColor="text1"/>
        </w:rPr>
      </w:pPr>
      <w:r w:rsidRPr="00F65D2B">
        <w:rPr>
          <w:rFonts w:ascii="Verdana" w:eastAsia="Century Gothic" w:hAnsi="Verdana" w:cs="Century Gothic"/>
          <w:color w:val="000000" w:themeColor="text1"/>
        </w:rPr>
        <w:t>De acuerdo con el contenido de su solicitud, esta Agencia resolverá el siguiente problema jurídico: ¿De qué manera deben las personas jurídicas acreditar, en los procesos de contratación pública, el cumplimiento de las obligaciones previstas en el artículo 50 de la Ley 789 de 2002, cuando manifiestan no contar con trabajadores vinculados laboralmente?</w:t>
      </w:r>
    </w:p>
    <w:p w14:paraId="5FC96C10" w14:textId="77777777" w:rsidR="00625759" w:rsidRPr="00F65D2B" w:rsidRDefault="00625759" w:rsidP="00625759">
      <w:pPr>
        <w:spacing w:after="0" w:line="276" w:lineRule="auto"/>
        <w:jc w:val="both"/>
        <w:rPr>
          <w:rFonts w:ascii="Verdana" w:eastAsia="Calibri" w:hAnsi="Verdana" w:cs="Arial"/>
          <w:color w:val="000000" w:themeColor="text1"/>
        </w:rPr>
      </w:pPr>
    </w:p>
    <w:p w14:paraId="4D438A43" w14:textId="77777777" w:rsidR="00625759" w:rsidRPr="00F65D2B" w:rsidRDefault="00625759" w:rsidP="00625759">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65D2B">
        <w:rPr>
          <w:rFonts w:ascii="Verdana" w:eastAsia="Century Gothic" w:hAnsi="Verdana" w:cs="Century Gothic"/>
          <w:b/>
          <w:bCs/>
          <w:color w:val="000000" w:themeColor="text1"/>
        </w:rPr>
        <w:lastRenderedPageBreak/>
        <w:t>Respuesta:</w:t>
      </w:r>
    </w:p>
    <w:p w14:paraId="331C0E1F" w14:textId="77777777" w:rsidR="00625759" w:rsidRPr="00F65D2B" w:rsidRDefault="00625759" w:rsidP="00625759">
      <w:pPr>
        <w:tabs>
          <w:tab w:val="left" w:pos="142"/>
          <w:tab w:val="left" w:pos="284"/>
        </w:tabs>
        <w:spacing w:after="0" w:line="276" w:lineRule="auto"/>
        <w:jc w:val="both"/>
        <w:rPr>
          <w:rFonts w:ascii="Verdana" w:eastAsia="Century Gothic" w:hAnsi="Verdana" w:cs="Century Gothic"/>
          <w:b/>
          <w:bCs/>
          <w:color w:val="000000" w:themeColor="text1"/>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25759" w:rsidRPr="00F65D2B" w14:paraId="06569DED" w14:textId="77777777" w:rsidTr="003F327E">
        <w:tc>
          <w:tcPr>
            <w:tcW w:w="8828" w:type="dxa"/>
          </w:tcPr>
          <w:p w14:paraId="565696AC" w14:textId="77777777" w:rsidR="00625759" w:rsidRPr="00A42B0C" w:rsidRDefault="00625759" w:rsidP="003F327E">
            <w:pPr>
              <w:widowControl w:val="0"/>
              <w:autoSpaceDE w:val="0"/>
              <w:autoSpaceDN w:val="0"/>
              <w:spacing w:line="276" w:lineRule="auto"/>
              <w:jc w:val="both"/>
              <w:rPr>
                <w:rFonts w:ascii="Verdana" w:hAnsi="Verdana"/>
                <w:shd w:val="clear" w:color="auto" w:fill="FFFFFF"/>
              </w:rPr>
            </w:pPr>
            <w:r w:rsidRPr="00A42B0C">
              <w:rPr>
                <w:rFonts w:ascii="Verdana" w:hAnsi="Verdana"/>
                <w:shd w:val="clear" w:color="auto" w:fill="FFFFFF"/>
              </w:rPr>
              <w:t>El marco normativo vigente en materia de contratación estatal establece que los proponentes y contratistas deben acreditar el cumplimiento de las obligaciones relacionadas con el Sistema de Seguridad Social Integral. En particular, el artículo 50 de la Ley 789 de 2002 dispone que las personas jurídicas que pretendan celebrar, renovar o liquidar contratos con entidades estatales deben acreditar el pago de los aportes de sus empleados al sistema de seguridad social, mediante certificación expedida por el revisor fiscal o, en su defecto, por el representante legal de la sociedad.</w:t>
            </w:r>
          </w:p>
          <w:p w14:paraId="52DF3567" w14:textId="77777777" w:rsidR="00625759" w:rsidRPr="00A42B0C" w:rsidRDefault="00625759" w:rsidP="003F327E">
            <w:pPr>
              <w:widowControl w:val="0"/>
              <w:autoSpaceDE w:val="0"/>
              <w:autoSpaceDN w:val="0"/>
              <w:spacing w:before="120" w:line="276" w:lineRule="auto"/>
              <w:ind w:firstLine="744"/>
              <w:jc w:val="both"/>
              <w:rPr>
                <w:rFonts w:ascii="Verdana" w:hAnsi="Verdana"/>
                <w:shd w:val="clear" w:color="auto" w:fill="FFFFFF"/>
              </w:rPr>
            </w:pPr>
            <w:r w:rsidRPr="00A42B0C">
              <w:rPr>
                <w:rFonts w:ascii="Verdana" w:hAnsi="Verdana"/>
                <w:shd w:val="clear" w:color="auto" w:fill="FFFFFF"/>
              </w:rPr>
              <w:t>De esta disposición se desprende que la obligación se circunscribe a los trabajadores vinculados mediante contrato de trabajo, en los términos de los artículos 22 y 23 del Código Sustantivo del Trabajo. En consecuencia, las sociedades no están obligadas a acreditar aportes respecto de personas vinculadas bajo contratos de prestación de servicios u otras modalidades distintas al contrato laboral.</w:t>
            </w:r>
          </w:p>
          <w:p w14:paraId="58107FFE" w14:textId="77777777" w:rsidR="00625759" w:rsidRPr="00A42B0C" w:rsidRDefault="00625759" w:rsidP="003F327E">
            <w:pPr>
              <w:widowControl w:val="0"/>
              <w:autoSpaceDE w:val="0"/>
              <w:autoSpaceDN w:val="0"/>
              <w:spacing w:before="120" w:line="276" w:lineRule="auto"/>
              <w:ind w:firstLine="744"/>
              <w:jc w:val="both"/>
              <w:rPr>
                <w:rFonts w:ascii="Verdana" w:hAnsi="Verdana"/>
                <w:shd w:val="clear" w:color="auto" w:fill="FFFFFF"/>
              </w:rPr>
            </w:pPr>
            <w:r w:rsidRPr="00A42B0C">
              <w:rPr>
                <w:rFonts w:ascii="Verdana" w:hAnsi="Verdana"/>
                <w:shd w:val="clear" w:color="auto" w:fill="FFFFFF"/>
              </w:rPr>
              <w:t>Así, los proponentes que tengan la calidad de personas jurídicas únicamente deberán acreditar el pago de los aportes de sus representantes legales cuando estos tengan la condición de empleados. No será exigible dicha acreditación respecto de representantes legales vinculados mediante contratos de mandato, prestación de servicios u otras formas de relación jurídica distintas de la laboral.</w:t>
            </w:r>
          </w:p>
          <w:p w14:paraId="0C0B095F" w14:textId="77777777" w:rsidR="00625759" w:rsidRPr="00A42B0C" w:rsidRDefault="00625759" w:rsidP="003F327E">
            <w:pPr>
              <w:widowControl w:val="0"/>
              <w:autoSpaceDE w:val="0"/>
              <w:autoSpaceDN w:val="0"/>
              <w:spacing w:before="120" w:line="276" w:lineRule="auto"/>
              <w:ind w:firstLine="744"/>
              <w:jc w:val="both"/>
              <w:rPr>
                <w:rFonts w:ascii="Verdana" w:hAnsi="Verdana"/>
                <w:shd w:val="clear" w:color="auto" w:fill="FFFFFF"/>
              </w:rPr>
            </w:pPr>
            <w:r w:rsidRPr="00A42B0C">
              <w:rPr>
                <w:rFonts w:ascii="Verdana" w:hAnsi="Verdana"/>
                <w:shd w:val="clear" w:color="auto" w:fill="FFFFFF"/>
              </w:rPr>
              <w:t>De igual forma, corresponde precisar que la obligación de estar a paz y salvo con el Sistema de Seguridad Social se predica del proponente o contratista y no de su representante legal en cuanto tal. En el caso de consorcios y uniones temporales, cada uno de sus miembros debe acreditar el cumplimiento de la obligación, dependiendo de si se trata de personas naturales o jurídicas, sin que ello pueda extenderse al representante legal del proponente plural, dado que estas estructuras no cuentan con personería jurídica propia.</w:t>
            </w:r>
          </w:p>
          <w:p w14:paraId="1E7329AD" w14:textId="77777777" w:rsidR="00625759" w:rsidRPr="00A42B0C" w:rsidRDefault="00625759" w:rsidP="003F327E">
            <w:pPr>
              <w:widowControl w:val="0"/>
              <w:autoSpaceDE w:val="0"/>
              <w:autoSpaceDN w:val="0"/>
              <w:spacing w:before="120" w:line="276" w:lineRule="auto"/>
              <w:ind w:firstLine="744"/>
              <w:jc w:val="both"/>
              <w:rPr>
                <w:rFonts w:ascii="Verdana" w:hAnsi="Verdana"/>
                <w:shd w:val="clear" w:color="auto" w:fill="FFFFFF"/>
              </w:rPr>
            </w:pPr>
            <w:r w:rsidRPr="00A42B0C">
              <w:rPr>
                <w:rFonts w:ascii="Verdana" w:hAnsi="Verdana"/>
                <w:shd w:val="clear" w:color="auto" w:fill="FFFFFF"/>
              </w:rPr>
              <w:t>Ahora bien, en aquellos casos en que una sociedad no cuente con empleados, podrá manifestar dicha circunstancia mediante certificación expedida por su revisor fiscal o contador público. Sin embargo, debe advertirse que las normas que regulan la materia no contemplan una disposición expresa que defina cómo acreditar la inexistencia de trabajadores vinculados.</w:t>
            </w:r>
          </w:p>
          <w:p w14:paraId="4312931C" w14:textId="77777777" w:rsidR="00625759" w:rsidRPr="00A42B0C" w:rsidRDefault="00625759" w:rsidP="003F327E">
            <w:pPr>
              <w:widowControl w:val="0"/>
              <w:autoSpaceDE w:val="0"/>
              <w:autoSpaceDN w:val="0"/>
              <w:spacing w:before="120" w:line="276" w:lineRule="auto"/>
              <w:ind w:firstLine="744"/>
              <w:jc w:val="both"/>
              <w:rPr>
                <w:rFonts w:ascii="Verdana" w:hAnsi="Verdana"/>
                <w:shd w:val="clear" w:color="auto" w:fill="FFFFFF"/>
              </w:rPr>
            </w:pPr>
            <w:r w:rsidRPr="00A42B0C">
              <w:rPr>
                <w:rFonts w:ascii="Verdana" w:hAnsi="Verdana"/>
                <w:shd w:val="clear" w:color="auto" w:fill="FFFFFF"/>
              </w:rPr>
              <w:lastRenderedPageBreak/>
              <w:t>En consecuencia, corresponderá a las entidades estatales, en el marco de su autonomía y con observancia de los principios de la contratación pública, verificar los medios de prueba que presente el proponente o contratista, de manera que resulte posible establecer con certeza la veracidad de la manifestación realizada. La certificación expedida por el revisor fiscal o contador podrá constituir un elemento a considerar, pero no se configura en soporte único ni automáticamente suficiente, siendo la entidad contratante la competente para evaluar su idoneidad frente al caso concreto.</w:t>
            </w:r>
          </w:p>
          <w:p w14:paraId="3AA27B07" w14:textId="77777777" w:rsidR="00625759" w:rsidRPr="00F65D2B" w:rsidRDefault="00625759" w:rsidP="003F327E">
            <w:pPr>
              <w:widowControl w:val="0"/>
              <w:autoSpaceDE w:val="0"/>
              <w:autoSpaceDN w:val="0"/>
              <w:spacing w:before="120" w:line="276" w:lineRule="auto"/>
              <w:ind w:firstLine="744"/>
              <w:jc w:val="both"/>
              <w:rPr>
                <w:rFonts w:ascii="Verdana" w:hAnsi="Verdana"/>
                <w:shd w:val="clear" w:color="auto" w:fill="FFFFFF"/>
              </w:rPr>
            </w:pPr>
            <w:r w:rsidRPr="00A42B0C">
              <w:rPr>
                <w:rFonts w:ascii="Verdana" w:hAnsi="Verdana"/>
                <w:shd w:val="clear" w:color="auto" w:fill="FFFFFF"/>
              </w:rPr>
              <w:t>En suma, la obligación prevista en el artículo 50 de la Ley 789 de 2002 recae exclusivamente sobre los empleadores y frente a los trabajadores con quienes existe relación laboral. Cuando no se configure esta condición, el proponente podrá manifestarlo, quedando a cargo de la entidad estatal la verificación de los medios utilizados para acreditar dicha circunstancia.</w:t>
            </w:r>
          </w:p>
        </w:tc>
      </w:tr>
    </w:tbl>
    <w:p w14:paraId="43F55388" w14:textId="77777777" w:rsidR="00625759" w:rsidRPr="00F65D2B" w:rsidRDefault="00625759" w:rsidP="00625759">
      <w:pPr>
        <w:tabs>
          <w:tab w:val="left" w:pos="142"/>
          <w:tab w:val="left" w:pos="284"/>
        </w:tabs>
        <w:spacing w:after="0" w:line="276" w:lineRule="auto"/>
        <w:jc w:val="both"/>
        <w:rPr>
          <w:rFonts w:ascii="Verdana" w:eastAsia="Century Gothic" w:hAnsi="Verdana" w:cs="Century Gothic"/>
          <w:b/>
          <w:bCs/>
          <w:color w:val="000000" w:themeColor="text1"/>
        </w:rPr>
      </w:pPr>
    </w:p>
    <w:p w14:paraId="3592585B" w14:textId="77777777" w:rsidR="00625759" w:rsidRPr="00F65D2B" w:rsidRDefault="00625759" w:rsidP="00625759">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65D2B">
        <w:rPr>
          <w:rFonts w:ascii="Verdana" w:eastAsia="Century Gothic" w:hAnsi="Verdana" w:cs="Century Gothic"/>
          <w:b/>
          <w:bCs/>
          <w:color w:val="000000" w:themeColor="text1"/>
        </w:rPr>
        <w:t>Razones de la respuesta:</w:t>
      </w:r>
    </w:p>
    <w:p w14:paraId="4A546DA1" w14:textId="77777777" w:rsidR="00625759" w:rsidRPr="00F65D2B" w:rsidRDefault="00625759" w:rsidP="00625759">
      <w:pPr>
        <w:spacing w:after="0" w:line="276" w:lineRule="auto"/>
        <w:jc w:val="both"/>
        <w:rPr>
          <w:rFonts w:ascii="Verdana" w:eastAsia="Calibri" w:hAnsi="Verdana" w:cs="Arial"/>
          <w:color w:val="000000" w:themeColor="text1"/>
        </w:rPr>
      </w:pPr>
    </w:p>
    <w:p w14:paraId="23FE99C6" w14:textId="77777777" w:rsidR="00625759" w:rsidRPr="00F65D2B" w:rsidRDefault="00625759" w:rsidP="00625759">
      <w:pPr>
        <w:spacing w:after="0" w:line="276" w:lineRule="auto"/>
        <w:jc w:val="both"/>
        <w:rPr>
          <w:rFonts w:ascii="Verdana" w:eastAsia="Calibri" w:hAnsi="Verdana" w:cs="Arial"/>
          <w:color w:val="000000" w:themeColor="text1"/>
        </w:rPr>
      </w:pPr>
      <w:r w:rsidRPr="00F65D2B">
        <w:rPr>
          <w:rFonts w:ascii="Verdana" w:eastAsia="Calibri" w:hAnsi="Verdana" w:cs="Arial"/>
          <w:color w:val="000000" w:themeColor="text1"/>
        </w:rPr>
        <w:t xml:space="preserve">Lo anterior se sustenta en las siguientes consideraciones: </w:t>
      </w:r>
    </w:p>
    <w:p w14:paraId="795E0410" w14:textId="77777777" w:rsidR="00625759" w:rsidRPr="00F65D2B" w:rsidRDefault="00625759" w:rsidP="00625759">
      <w:pPr>
        <w:widowControl w:val="0"/>
        <w:autoSpaceDE w:val="0"/>
        <w:autoSpaceDN w:val="0"/>
        <w:spacing w:after="120" w:line="276" w:lineRule="auto"/>
        <w:jc w:val="both"/>
        <w:rPr>
          <w:rStyle w:val="normaltextrun"/>
          <w:rFonts w:ascii="Verdana" w:hAnsi="Verdana"/>
          <w:color w:val="000000" w:themeColor="text1"/>
          <w:shd w:val="clear" w:color="auto" w:fill="FFFFFF"/>
        </w:rPr>
      </w:pPr>
    </w:p>
    <w:p w14:paraId="26CED06D" w14:textId="77777777" w:rsidR="00625759" w:rsidRPr="00F65D2B" w:rsidRDefault="00625759" w:rsidP="00625759">
      <w:pPr>
        <w:widowControl w:val="0"/>
        <w:autoSpaceDE w:val="0"/>
        <w:autoSpaceDN w:val="0"/>
        <w:spacing w:after="120" w:line="276" w:lineRule="auto"/>
        <w:jc w:val="both"/>
        <w:rPr>
          <w:rStyle w:val="normaltextrun"/>
          <w:rFonts w:ascii="Verdana" w:hAnsi="Verdana"/>
          <w:color w:val="000000" w:themeColor="text1"/>
          <w:shd w:val="clear" w:color="auto" w:fill="FFFFFF"/>
        </w:rPr>
      </w:pPr>
      <w:r w:rsidRPr="00F65D2B">
        <w:rPr>
          <w:rStyle w:val="normaltextrun"/>
          <w:rFonts w:ascii="Verdana" w:hAnsi="Verdana"/>
          <w:color w:val="000000" w:themeColor="text1"/>
          <w:shd w:val="clear" w:color="auto" w:fill="FFFFFF"/>
        </w:rPr>
        <w:t>La Seguridad Social es un servicio público obligatorio, cuya dirección, coordinación y control está a cargo del Estado y es prestado por entidades públicas y privadas. Mediante esta se evitan desequilibrios económicos y sociales que, de no resolverse, significarían la reducción o la pérdida de los ingresos por causa de contingencias como la enfermedad, los accidentes, la maternidad o el desempleo, entre otras. De acuerdo con la Ley 100 de 1993, el Sistema de Seguridad Social Integral en Colombia se compone de los sistemas de pensiones, de salud y de riesgos laborales y de los servicios sociales complementarios.</w:t>
      </w:r>
    </w:p>
    <w:p w14:paraId="671EADC0" w14:textId="77777777" w:rsidR="00625759" w:rsidRPr="00F65D2B" w:rsidRDefault="00625759" w:rsidP="00625759">
      <w:pPr>
        <w:widowControl w:val="0"/>
        <w:autoSpaceDE w:val="0"/>
        <w:autoSpaceDN w:val="0"/>
        <w:spacing w:after="120" w:line="276" w:lineRule="auto"/>
        <w:jc w:val="both"/>
        <w:rPr>
          <w:rStyle w:val="normaltextrun"/>
          <w:rFonts w:ascii="Verdana" w:hAnsi="Verdana"/>
          <w:color w:val="000000" w:themeColor="text1"/>
          <w:shd w:val="clear" w:color="auto" w:fill="FFFFFF"/>
        </w:rPr>
      </w:pPr>
      <w:r w:rsidRPr="00F65D2B">
        <w:rPr>
          <w:rStyle w:val="normaltextrun"/>
          <w:rFonts w:ascii="Verdana" w:hAnsi="Verdana"/>
          <w:color w:val="000000" w:themeColor="text1"/>
          <w:shd w:val="clear" w:color="auto" w:fill="FFFFFF"/>
        </w:rPr>
        <w:tab/>
        <w:t xml:space="preserve">En materia de contratación estatal, el texto original del artículo 41 de la Ley 80 de 1993 dispuso que los requisitos para perfeccionar el contrato son: i) el acuerdo sobre el objeto y la contraprestación, y ii) que conste por escrito. Por su parte, para iniciar la ejecución se requiere: i) la constitución y aprobación de la garantía y ii) la existencia del registro presupuestal, 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modificó el inciso segundo del artículo 41 de la Ley 80 de 1993, incluyendo la obligación, para los proponentes y contratistas, de acreditar </w:t>
      </w:r>
      <w:r w:rsidRPr="00F65D2B">
        <w:rPr>
          <w:rStyle w:val="normaltextrun"/>
          <w:rFonts w:ascii="Verdana" w:hAnsi="Verdana"/>
          <w:color w:val="000000" w:themeColor="text1"/>
          <w:shd w:val="clear" w:color="auto" w:fill="FFFFFF"/>
        </w:rPr>
        <w:lastRenderedPageBreak/>
        <w:t>estar a paz y salvo con los aportes parafiscales al Sistema de Seguridad Social Integral.</w:t>
      </w:r>
    </w:p>
    <w:p w14:paraId="1EFC9BE2" w14:textId="77777777" w:rsidR="00625759" w:rsidRPr="00F65D2B" w:rsidRDefault="00625759" w:rsidP="00625759">
      <w:pPr>
        <w:widowControl w:val="0"/>
        <w:autoSpaceDE w:val="0"/>
        <w:autoSpaceDN w:val="0"/>
        <w:spacing w:after="120" w:line="276" w:lineRule="auto"/>
        <w:ind w:firstLine="709"/>
        <w:jc w:val="both"/>
        <w:rPr>
          <w:rStyle w:val="normaltextrun"/>
          <w:rFonts w:ascii="Verdana" w:hAnsi="Verdana"/>
          <w:color w:val="000000" w:themeColor="text1"/>
          <w:shd w:val="clear" w:color="auto" w:fill="FFFFFF"/>
        </w:rPr>
      </w:pPr>
      <w:r w:rsidRPr="00F65D2B">
        <w:rPr>
          <w:rStyle w:val="normaltextrun"/>
          <w:rFonts w:ascii="Verdana" w:hAnsi="Verdana"/>
          <w:color w:val="000000" w:themeColor="text1"/>
          <w:shd w:val="clear" w:color="auto" w:fill="FFFFFF"/>
        </w:rPr>
        <w:t>Por su parte, el artículo 50 de la Ley 789 de 2002 dispuso como obligación de quien quiere celebrar, renovar o liquidar contratos de cualquier naturaleza con entidades estatales, cumplir con las obligaciones a los sistemas de salud, riesgos profesionales, pensiones y aportes a la Caja de Compensación Familiar, Instituto Colombiano de Bienestar Familiar y Servicio Nacional de Aprendizaje. Asimismo, faculta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 cotizar</w:t>
      </w:r>
      <w:r w:rsidRPr="00F65D2B">
        <w:rPr>
          <w:rStyle w:val="normaltextrun"/>
          <w:rFonts w:ascii="Verdana" w:hAnsi="Verdana"/>
          <w:color w:val="000000" w:themeColor="text1"/>
          <w:shd w:val="clear" w:color="auto" w:fill="FFFFFF"/>
          <w:vertAlign w:val="superscript"/>
        </w:rPr>
        <w:footnoteReference w:id="1"/>
      </w:r>
      <w:r w:rsidRPr="00F65D2B">
        <w:rPr>
          <w:rStyle w:val="normaltextrun"/>
          <w:rFonts w:ascii="Verdana" w:hAnsi="Verdana"/>
          <w:color w:val="000000" w:themeColor="text1"/>
          <w:shd w:val="clear" w:color="auto" w:fill="FFFFFF"/>
        </w:rPr>
        <w:t>.</w:t>
      </w:r>
    </w:p>
    <w:p w14:paraId="5BF4ED9D" w14:textId="77777777" w:rsidR="00625759" w:rsidRPr="00F65D2B" w:rsidRDefault="00625759" w:rsidP="00625759">
      <w:pPr>
        <w:widowControl w:val="0"/>
        <w:autoSpaceDE w:val="0"/>
        <w:autoSpaceDN w:val="0"/>
        <w:spacing w:after="120" w:line="276" w:lineRule="auto"/>
        <w:ind w:firstLine="709"/>
        <w:jc w:val="both"/>
        <w:rPr>
          <w:rStyle w:val="normaltextrun"/>
          <w:rFonts w:ascii="Verdana" w:hAnsi="Verdana"/>
          <w:color w:val="000000" w:themeColor="text1"/>
          <w:shd w:val="clear" w:color="auto" w:fill="FFFFFF"/>
        </w:rPr>
      </w:pPr>
      <w:r w:rsidRPr="00F65D2B">
        <w:rPr>
          <w:rStyle w:val="normaltextrun"/>
          <w:rFonts w:ascii="Verdana" w:hAnsi="Verdana"/>
          <w:color w:val="000000" w:themeColor="text1"/>
          <w:shd w:val="clear" w:color="auto" w:fill="FFFFFF"/>
        </w:rPr>
        <w:t xml:space="preserve">Además, el artículo referido aclara que las personas jurídicas que quieran celebrar contratos con las entidades estatales deben acreditar el pago al sistema de seguridad social de sus </w:t>
      </w:r>
      <w:r w:rsidRPr="00F65D2B">
        <w:rPr>
          <w:rStyle w:val="normaltextrun"/>
          <w:rFonts w:ascii="Verdana" w:hAnsi="Verdana"/>
          <w:i/>
          <w:iCs/>
          <w:color w:val="000000" w:themeColor="text1"/>
          <w:shd w:val="clear" w:color="auto" w:fill="FFFFFF"/>
        </w:rPr>
        <w:t>empleados</w:t>
      </w:r>
      <w:r w:rsidRPr="00F65D2B">
        <w:rPr>
          <w:rStyle w:val="normaltextrun"/>
          <w:rFonts w:ascii="Verdana" w:hAnsi="Verdana"/>
          <w:color w:val="000000" w:themeColor="text1"/>
          <w:shd w:val="clear" w:color="auto" w:fill="FFFFFF"/>
        </w:rPr>
        <w:t>, mediante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 para presentar la oferta las personas jurídicas deben acreditar el requisito señalado anteriormente.</w:t>
      </w:r>
    </w:p>
    <w:p w14:paraId="5E4C88EF" w14:textId="77777777" w:rsidR="00625759" w:rsidRPr="00F65D2B" w:rsidRDefault="00625759" w:rsidP="00625759">
      <w:pPr>
        <w:widowControl w:val="0"/>
        <w:autoSpaceDE w:val="0"/>
        <w:autoSpaceDN w:val="0"/>
        <w:spacing w:after="120" w:line="276" w:lineRule="auto"/>
        <w:ind w:firstLine="708"/>
        <w:jc w:val="both"/>
        <w:rPr>
          <w:rFonts w:ascii="Verdana" w:eastAsia="Arial" w:hAnsi="Verdana" w:cs="Arial"/>
          <w:spacing w:val="-8"/>
        </w:rPr>
      </w:pPr>
      <w:r w:rsidRPr="00F65D2B">
        <w:rPr>
          <w:rFonts w:ascii="Verdana" w:eastAsia="Arial" w:hAnsi="Verdana" w:cs="Arial"/>
        </w:rPr>
        <w:t>Esta norma fue analizada por la Sección Tercera del Consejo de Estado, que consideró</w:t>
      </w:r>
      <w:r w:rsidRPr="00F65D2B">
        <w:rPr>
          <w:rFonts w:ascii="Verdana" w:eastAsia="Arial" w:hAnsi="Verdana" w:cs="Arial"/>
          <w:spacing w:val="-6"/>
        </w:rPr>
        <w:t xml:space="preserve"> </w:t>
      </w:r>
      <w:r w:rsidRPr="00F65D2B">
        <w:rPr>
          <w:rFonts w:ascii="Verdana" w:eastAsia="Arial" w:hAnsi="Verdana" w:cs="Arial"/>
        </w:rPr>
        <w:t>que</w:t>
      </w:r>
      <w:r w:rsidRPr="00F65D2B">
        <w:rPr>
          <w:rFonts w:ascii="Verdana" w:eastAsia="Arial" w:hAnsi="Verdana" w:cs="Arial"/>
          <w:spacing w:val="-6"/>
        </w:rPr>
        <w:t xml:space="preserve"> </w:t>
      </w:r>
      <w:r w:rsidRPr="00F65D2B">
        <w:rPr>
          <w:rFonts w:ascii="Verdana" w:eastAsia="Arial" w:hAnsi="Verdana" w:cs="Arial"/>
        </w:rPr>
        <w:t>el</w:t>
      </w:r>
      <w:r w:rsidRPr="00F65D2B">
        <w:rPr>
          <w:rFonts w:ascii="Verdana" w:eastAsia="Arial" w:hAnsi="Verdana" w:cs="Arial"/>
          <w:spacing w:val="-5"/>
        </w:rPr>
        <w:t xml:space="preserve"> </w:t>
      </w:r>
      <w:r w:rsidRPr="00F65D2B">
        <w:rPr>
          <w:rFonts w:ascii="Verdana" w:eastAsia="Arial" w:hAnsi="Verdana" w:cs="Arial"/>
        </w:rPr>
        <w:t>artículo</w:t>
      </w:r>
      <w:r w:rsidRPr="00F65D2B">
        <w:rPr>
          <w:rFonts w:ascii="Verdana" w:eastAsia="Arial" w:hAnsi="Verdana" w:cs="Arial"/>
          <w:spacing w:val="-6"/>
        </w:rPr>
        <w:t xml:space="preserve"> </w:t>
      </w:r>
      <w:r w:rsidRPr="00F65D2B">
        <w:rPr>
          <w:rFonts w:ascii="Verdana" w:eastAsia="Arial" w:hAnsi="Verdana" w:cs="Arial"/>
        </w:rPr>
        <w:t>50</w:t>
      </w:r>
      <w:r w:rsidRPr="00F65D2B">
        <w:rPr>
          <w:rFonts w:ascii="Verdana" w:eastAsia="Arial" w:hAnsi="Verdana" w:cs="Arial"/>
          <w:spacing w:val="-6"/>
        </w:rPr>
        <w:t xml:space="preserve"> </w:t>
      </w:r>
      <w:r w:rsidRPr="00F65D2B">
        <w:rPr>
          <w:rFonts w:ascii="Verdana" w:eastAsia="Arial" w:hAnsi="Verdana" w:cs="Arial"/>
        </w:rPr>
        <w:t>de</w:t>
      </w:r>
      <w:r w:rsidRPr="00F65D2B">
        <w:rPr>
          <w:rFonts w:ascii="Verdana" w:eastAsia="Arial" w:hAnsi="Verdana" w:cs="Arial"/>
          <w:spacing w:val="-5"/>
        </w:rPr>
        <w:t xml:space="preserve"> </w:t>
      </w:r>
      <w:r w:rsidRPr="00F65D2B">
        <w:rPr>
          <w:rFonts w:ascii="Verdana" w:eastAsia="Arial" w:hAnsi="Verdana" w:cs="Arial"/>
        </w:rPr>
        <w:t>la</w:t>
      </w:r>
      <w:r w:rsidRPr="00F65D2B">
        <w:rPr>
          <w:rFonts w:ascii="Verdana" w:eastAsia="Arial" w:hAnsi="Verdana" w:cs="Arial"/>
          <w:spacing w:val="-6"/>
        </w:rPr>
        <w:t xml:space="preserve"> </w:t>
      </w:r>
      <w:r w:rsidRPr="00F65D2B">
        <w:rPr>
          <w:rFonts w:ascii="Verdana" w:eastAsia="Arial" w:hAnsi="Verdana" w:cs="Arial"/>
        </w:rPr>
        <w:t>Ley</w:t>
      </w:r>
      <w:r w:rsidRPr="00F65D2B">
        <w:rPr>
          <w:rFonts w:ascii="Verdana" w:eastAsia="Arial" w:hAnsi="Verdana" w:cs="Arial"/>
          <w:spacing w:val="-5"/>
        </w:rPr>
        <w:t xml:space="preserve"> </w:t>
      </w:r>
      <w:r w:rsidRPr="00F65D2B">
        <w:rPr>
          <w:rFonts w:ascii="Verdana" w:eastAsia="Arial" w:hAnsi="Verdana" w:cs="Arial"/>
        </w:rPr>
        <w:t>789</w:t>
      </w:r>
      <w:r w:rsidRPr="00F65D2B">
        <w:rPr>
          <w:rFonts w:ascii="Verdana" w:eastAsia="Arial" w:hAnsi="Verdana" w:cs="Arial"/>
          <w:spacing w:val="-6"/>
        </w:rPr>
        <w:t xml:space="preserve"> </w:t>
      </w:r>
      <w:r w:rsidRPr="00F65D2B">
        <w:rPr>
          <w:rFonts w:ascii="Verdana" w:eastAsia="Arial" w:hAnsi="Verdana" w:cs="Arial"/>
        </w:rPr>
        <w:t>de</w:t>
      </w:r>
      <w:r w:rsidRPr="00F65D2B">
        <w:rPr>
          <w:rFonts w:ascii="Verdana" w:eastAsia="Arial" w:hAnsi="Verdana" w:cs="Arial"/>
          <w:spacing w:val="-6"/>
        </w:rPr>
        <w:t xml:space="preserve"> </w:t>
      </w:r>
      <w:r w:rsidRPr="00F65D2B">
        <w:rPr>
          <w:rFonts w:ascii="Verdana" w:eastAsia="Arial" w:hAnsi="Verdana" w:cs="Arial"/>
        </w:rPr>
        <w:t>2002</w:t>
      </w:r>
      <w:r w:rsidRPr="00F65D2B">
        <w:rPr>
          <w:rFonts w:ascii="Verdana" w:eastAsia="Arial" w:hAnsi="Verdana" w:cs="Arial"/>
          <w:spacing w:val="-5"/>
        </w:rPr>
        <w:t xml:space="preserve"> </w:t>
      </w:r>
      <w:r w:rsidRPr="00F65D2B">
        <w:rPr>
          <w:rFonts w:ascii="Verdana" w:eastAsia="Arial" w:hAnsi="Verdana" w:cs="Arial"/>
        </w:rPr>
        <w:t>tiene</w:t>
      </w:r>
      <w:r w:rsidRPr="00F65D2B">
        <w:rPr>
          <w:rFonts w:ascii="Verdana" w:eastAsia="Arial" w:hAnsi="Verdana" w:cs="Arial"/>
          <w:spacing w:val="-5"/>
        </w:rPr>
        <w:t xml:space="preserve"> </w:t>
      </w:r>
      <w:r w:rsidRPr="00F65D2B">
        <w:rPr>
          <w:rFonts w:ascii="Verdana" w:eastAsia="Arial" w:hAnsi="Verdana" w:cs="Arial"/>
        </w:rPr>
        <w:t>por</w:t>
      </w:r>
      <w:r w:rsidRPr="00F65D2B">
        <w:rPr>
          <w:rFonts w:ascii="Verdana" w:eastAsia="Arial" w:hAnsi="Verdana" w:cs="Arial"/>
          <w:spacing w:val="-6"/>
        </w:rPr>
        <w:t xml:space="preserve"> </w:t>
      </w:r>
      <w:r w:rsidRPr="00F65D2B">
        <w:rPr>
          <w:rFonts w:ascii="Verdana" w:eastAsia="Arial" w:hAnsi="Verdana" w:cs="Arial"/>
        </w:rPr>
        <w:t>objeto</w:t>
      </w:r>
      <w:r w:rsidRPr="00F65D2B">
        <w:rPr>
          <w:rFonts w:ascii="Verdana" w:eastAsia="Arial" w:hAnsi="Verdana" w:cs="Arial"/>
          <w:spacing w:val="-5"/>
        </w:rPr>
        <w:t xml:space="preserve"> </w:t>
      </w:r>
      <w:r w:rsidRPr="00F65D2B">
        <w:rPr>
          <w:rFonts w:ascii="Verdana" w:eastAsia="Arial" w:hAnsi="Verdana" w:cs="Arial"/>
        </w:rPr>
        <w:t>evitar</w:t>
      </w:r>
      <w:r w:rsidRPr="00F65D2B">
        <w:rPr>
          <w:rFonts w:ascii="Verdana" w:eastAsia="Arial" w:hAnsi="Verdana" w:cs="Arial"/>
          <w:spacing w:val="-6"/>
        </w:rPr>
        <w:t xml:space="preserve"> </w:t>
      </w:r>
      <w:r w:rsidRPr="00F65D2B">
        <w:rPr>
          <w:rFonts w:ascii="Verdana" w:eastAsia="Arial" w:hAnsi="Verdana" w:cs="Arial"/>
        </w:rPr>
        <w:t>la</w:t>
      </w:r>
      <w:r w:rsidRPr="00F65D2B">
        <w:rPr>
          <w:rFonts w:ascii="Verdana" w:eastAsia="Arial" w:hAnsi="Verdana" w:cs="Arial"/>
          <w:spacing w:val="-5"/>
        </w:rPr>
        <w:t xml:space="preserve"> </w:t>
      </w:r>
      <w:r w:rsidRPr="00F65D2B">
        <w:rPr>
          <w:rFonts w:ascii="Verdana" w:eastAsia="Arial" w:hAnsi="Verdana" w:cs="Arial"/>
        </w:rPr>
        <w:t>evasión</w:t>
      </w:r>
      <w:r w:rsidRPr="00F65D2B">
        <w:rPr>
          <w:rFonts w:ascii="Verdana" w:eastAsia="Arial" w:hAnsi="Verdana" w:cs="Arial"/>
          <w:spacing w:val="-6"/>
        </w:rPr>
        <w:t xml:space="preserve"> </w:t>
      </w:r>
      <w:r w:rsidRPr="00F65D2B">
        <w:rPr>
          <w:rFonts w:ascii="Verdana" w:eastAsia="Arial" w:hAnsi="Verdana" w:cs="Arial"/>
        </w:rPr>
        <w:t xml:space="preserve">por parte de los empleadores de las cotizaciones al sistema de seguridad social y de los aportes parafiscales, y para lograr esa finalidad el legislador </w:t>
      </w:r>
      <w:r w:rsidRPr="00F65D2B">
        <w:rPr>
          <w:rFonts w:ascii="Verdana" w:eastAsia="Arial" w:hAnsi="Verdana" w:cs="Arial"/>
        </w:rPr>
        <w:lastRenderedPageBreak/>
        <w:t>impuso a las entidades estatales la obligación de verificar, en los procesos de selección de contratistas y durante la ejecución y liquidación de los contratos, que tanto los oferentes como los contratistas</w:t>
      </w:r>
      <w:r w:rsidRPr="00F65D2B">
        <w:rPr>
          <w:rFonts w:ascii="Verdana" w:eastAsia="Arial" w:hAnsi="Verdana" w:cs="Arial"/>
          <w:spacing w:val="-9"/>
        </w:rPr>
        <w:t xml:space="preserve"> </w:t>
      </w:r>
      <w:r w:rsidRPr="00F65D2B">
        <w:rPr>
          <w:rFonts w:ascii="Verdana" w:eastAsia="Arial" w:hAnsi="Verdana" w:cs="Arial"/>
        </w:rPr>
        <w:t>hayan</w:t>
      </w:r>
      <w:r w:rsidRPr="00F65D2B">
        <w:rPr>
          <w:rFonts w:ascii="Verdana" w:eastAsia="Arial" w:hAnsi="Verdana" w:cs="Arial"/>
          <w:spacing w:val="-8"/>
        </w:rPr>
        <w:t xml:space="preserve"> </w:t>
      </w:r>
      <w:r w:rsidRPr="00F65D2B">
        <w:rPr>
          <w:rFonts w:ascii="Verdana" w:eastAsia="Arial" w:hAnsi="Verdana" w:cs="Arial"/>
        </w:rPr>
        <w:t>realizado</w:t>
      </w:r>
      <w:r w:rsidRPr="00F65D2B">
        <w:rPr>
          <w:rFonts w:ascii="Verdana" w:eastAsia="Arial" w:hAnsi="Verdana" w:cs="Arial"/>
          <w:spacing w:val="-8"/>
        </w:rPr>
        <w:t xml:space="preserve"> </w:t>
      </w:r>
      <w:r w:rsidRPr="00F65D2B">
        <w:rPr>
          <w:rFonts w:ascii="Verdana" w:eastAsia="Arial" w:hAnsi="Verdana" w:cs="Arial"/>
        </w:rPr>
        <w:t>los</w:t>
      </w:r>
      <w:r w:rsidRPr="00F65D2B">
        <w:rPr>
          <w:rFonts w:ascii="Verdana" w:eastAsia="Arial" w:hAnsi="Verdana" w:cs="Arial"/>
          <w:spacing w:val="-8"/>
        </w:rPr>
        <w:t xml:space="preserve"> </w:t>
      </w:r>
      <w:r w:rsidRPr="00F65D2B">
        <w:rPr>
          <w:rFonts w:ascii="Verdana" w:eastAsia="Arial" w:hAnsi="Verdana" w:cs="Arial"/>
        </w:rPr>
        <w:t>aportes</w:t>
      </w:r>
      <w:r w:rsidRPr="00F65D2B">
        <w:rPr>
          <w:rFonts w:ascii="Verdana" w:eastAsia="Arial" w:hAnsi="Verdana" w:cs="Arial"/>
          <w:spacing w:val="-9"/>
        </w:rPr>
        <w:t xml:space="preserve"> </w:t>
      </w:r>
      <w:r w:rsidRPr="00F65D2B">
        <w:rPr>
          <w:rFonts w:ascii="Verdana" w:eastAsia="Arial" w:hAnsi="Verdana" w:cs="Arial"/>
        </w:rPr>
        <w:t>al</w:t>
      </w:r>
      <w:r w:rsidRPr="00F65D2B">
        <w:rPr>
          <w:rFonts w:ascii="Verdana" w:eastAsia="Arial" w:hAnsi="Verdana" w:cs="Arial"/>
          <w:spacing w:val="-8"/>
        </w:rPr>
        <w:t xml:space="preserve"> </w:t>
      </w:r>
      <w:r w:rsidRPr="00F65D2B">
        <w:rPr>
          <w:rFonts w:ascii="Verdana" w:eastAsia="Arial" w:hAnsi="Verdana" w:cs="Arial"/>
        </w:rPr>
        <w:t>Sistema</w:t>
      </w:r>
      <w:r w:rsidRPr="00F65D2B">
        <w:rPr>
          <w:rFonts w:ascii="Verdana" w:eastAsia="Arial" w:hAnsi="Verdana" w:cs="Arial"/>
          <w:spacing w:val="-7"/>
        </w:rPr>
        <w:t xml:space="preserve"> </w:t>
      </w:r>
      <w:r w:rsidRPr="00F65D2B">
        <w:rPr>
          <w:rFonts w:ascii="Verdana" w:eastAsia="Arial" w:hAnsi="Verdana" w:cs="Arial"/>
        </w:rPr>
        <w:t>de</w:t>
      </w:r>
      <w:r w:rsidRPr="00F65D2B">
        <w:rPr>
          <w:rFonts w:ascii="Verdana" w:eastAsia="Arial" w:hAnsi="Verdana" w:cs="Arial"/>
          <w:spacing w:val="-8"/>
        </w:rPr>
        <w:t xml:space="preserve"> </w:t>
      </w:r>
      <w:r w:rsidRPr="00F65D2B">
        <w:rPr>
          <w:rFonts w:ascii="Verdana" w:eastAsia="Arial" w:hAnsi="Verdana" w:cs="Arial"/>
        </w:rPr>
        <w:t>Seguridad</w:t>
      </w:r>
      <w:r w:rsidRPr="00F65D2B">
        <w:rPr>
          <w:rFonts w:ascii="Verdana" w:eastAsia="Arial" w:hAnsi="Verdana" w:cs="Arial"/>
          <w:spacing w:val="-7"/>
        </w:rPr>
        <w:t xml:space="preserve"> </w:t>
      </w:r>
      <w:r w:rsidRPr="00F65D2B">
        <w:rPr>
          <w:rFonts w:ascii="Verdana" w:eastAsia="Arial" w:hAnsi="Verdana" w:cs="Arial"/>
        </w:rPr>
        <w:t>Social</w:t>
      </w:r>
      <w:r w:rsidRPr="00F65D2B">
        <w:rPr>
          <w:rFonts w:ascii="Verdana" w:eastAsia="Arial" w:hAnsi="Verdana" w:cs="Arial"/>
          <w:spacing w:val="-7"/>
        </w:rPr>
        <w:t xml:space="preserve"> </w:t>
      </w:r>
      <w:r w:rsidRPr="00F65D2B">
        <w:rPr>
          <w:rFonts w:ascii="Verdana" w:eastAsia="Arial" w:hAnsi="Verdana" w:cs="Arial"/>
        </w:rPr>
        <w:t>Integral</w:t>
      </w:r>
      <w:r w:rsidRPr="00F65D2B">
        <w:rPr>
          <w:rStyle w:val="Refdenotaalpie"/>
          <w:rFonts w:ascii="Verdana" w:eastAsia="Arial" w:hAnsi="Verdana" w:cs="Arial"/>
        </w:rPr>
        <w:footnoteReference w:id="2"/>
      </w:r>
      <w:r w:rsidRPr="00F65D2B">
        <w:rPr>
          <w:rFonts w:ascii="Verdana" w:eastAsia="Arial" w:hAnsi="Verdana" w:cs="Arial"/>
        </w:rPr>
        <w:t>.</w:t>
      </w:r>
      <w:r w:rsidRPr="00F65D2B">
        <w:rPr>
          <w:rFonts w:ascii="Verdana" w:eastAsia="Arial" w:hAnsi="Verdana" w:cs="Arial"/>
          <w:spacing w:val="-8"/>
        </w:rPr>
        <w:t xml:space="preserve"> </w:t>
      </w:r>
    </w:p>
    <w:p w14:paraId="392E1E0E" w14:textId="77777777" w:rsidR="00625759" w:rsidRPr="00F65D2B" w:rsidRDefault="00625759" w:rsidP="00625759">
      <w:pPr>
        <w:widowControl w:val="0"/>
        <w:autoSpaceDE w:val="0"/>
        <w:autoSpaceDN w:val="0"/>
        <w:spacing w:after="0" w:line="276" w:lineRule="auto"/>
        <w:ind w:firstLine="708"/>
        <w:jc w:val="both"/>
        <w:rPr>
          <w:rFonts w:ascii="Verdana" w:eastAsia="Arial" w:hAnsi="Verdana" w:cs="Arial"/>
        </w:rPr>
      </w:pPr>
      <w:r w:rsidRPr="00F65D2B">
        <w:rPr>
          <w:rFonts w:ascii="Verdana" w:eastAsia="Arial" w:hAnsi="Verdana" w:cs="Arial"/>
        </w:rPr>
        <w:t>Por</w:t>
      </w:r>
      <w:r w:rsidRPr="00F65D2B">
        <w:rPr>
          <w:rFonts w:ascii="Verdana" w:eastAsia="Arial" w:hAnsi="Verdana" w:cs="Arial"/>
          <w:spacing w:val="-8"/>
        </w:rPr>
        <w:t xml:space="preserve"> </w:t>
      </w:r>
      <w:r w:rsidRPr="00F65D2B">
        <w:rPr>
          <w:rFonts w:ascii="Verdana" w:eastAsia="Arial" w:hAnsi="Verdana" w:cs="Arial"/>
        </w:rPr>
        <w:t xml:space="preserve">lo tanto, la jurisprudencia reiteró la necesidad de que las entidades estatales, </w:t>
      </w:r>
      <w:r w:rsidRPr="00F65D2B">
        <w:rPr>
          <w:rFonts w:ascii="Verdana" w:eastAsia="Arial" w:hAnsi="Verdana" w:cs="Arial"/>
          <w:i/>
          <w:iCs/>
        </w:rPr>
        <w:t>durante la ejecución de un contrato</w:t>
      </w:r>
      <w:r w:rsidRPr="00F65D2B">
        <w:rPr>
          <w:rFonts w:ascii="Verdana" w:eastAsia="Arial" w:hAnsi="Verdana" w:cs="Arial"/>
        </w:rPr>
        <w:t>, verifiquen el</w:t>
      </w:r>
      <w:r w:rsidRPr="00F65D2B">
        <w:rPr>
          <w:rFonts w:ascii="Century Gothic" w:eastAsia="Arial" w:hAnsi="Century Gothic" w:cs="Arial"/>
        </w:rPr>
        <w:t xml:space="preserve"> </w:t>
      </w:r>
      <w:r w:rsidRPr="00F65D2B">
        <w:rPr>
          <w:rFonts w:ascii="Verdana" w:eastAsia="Arial" w:hAnsi="Verdana" w:cs="Arial"/>
        </w:rPr>
        <w:t>cumplimiento de las obligaciones del sistema de seguridad</w:t>
      </w:r>
      <w:r w:rsidRPr="00F65D2B">
        <w:rPr>
          <w:rFonts w:ascii="Verdana" w:eastAsia="Arial" w:hAnsi="Verdana" w:cs="Arial"/>
          <w:spacing w:val="-18"/>
        </w:rPr>
        <w:t xml:space="preserve"> </w:t>
      </w:r>
      <w:r w:rsidRPr="00F65D2B">
        <w:rPr>
          <w:rFonts w:ascii="Verdana" w:eastAsia="Arial" w:hAnsi="Verdana" w:cs="Arial"/>
        </w:rPr>
        <w:t>social</w:t>
      </w:r>
      <w:r w:rsidRPr="00F65D2B">
        <w:rPr>
          <w:rFonts w:ascii="Verdana" w:eastAsia="Arial" w:hAnsi="Verdana" w:cs="Arial"/>
          <w:spacing w:val="-17"/>
        </w:rPr>
        <w:t xml:space="preserve"> </w:t>
      </w:r>
      <w:r w:rsidRPr="00F65D2B">
        <w:rPr>
          <w:rFonts w:ascii="Verdana" w:eastAsia="Arial" w:hAnsi="Verdana" w:cs="Arial"/>
        </w:rPr>
        <w:t>por</w:t>
      </w:r>
      <w:r w:rsidRPr="00F65D2B">
        <w:rPr>
          <w:rFonts w:ascii="Verdana" w:eastAsia="Arial" w:hAnsi="Verdana" w:cs="Arial"/>
          <w:spacing w:val="-17"/>
        </w:rPr>
        <w:t xml:space="preserve"> </w:t>
      </w:r>
      <w:r w:rsidRPr="00F65D2B">
        <w:rPr>
          <w:rFonts w:ascii="Verdana" w:eastAsia="Arial" w:hAnsi="Verdana" w:cs="Arial"/>
        </w:rPr>
        <w:t>parte</w:t>
      </w:r>
      <w:r w:rsidRPr="00F65D2B">
        <w:rPr>
          <w:rFonts w:ascii="Verdana" w:eastAsia="Arial" w:hAnsi="Verdana" w:cs="Arial"/>
          <w:spacing w:val="-18"/>
        </w:rPr>
        <w:t xml:space="preserve"> </w:t>
      </w:r>
      <w:r w:rsidRPr="00F65D2B">
        <w:rPr>
          <w:rFonts w:ascii="Verdana" w:eastAsia="Arial" w:hAnsi="Verdana" w:cs="Arial"/>
        </w:rPr>
        <w:t>de</w:t>
      </w:r>
      <w:r w:rsidRPr="00F65D2B">
        <w:rPr>
          <w:rFonts w:ascii="Verdana" w:eastAsia="Arial" w:hAnsi="Verdana" w:cs="Arial"/>
          <w:spacing w:val="-17"/>
        </w:rPr>
        <w:t xml:space="preserve"> </w:t>
      </w:r>
      <w:r w:rsidRPr="00F65D2B">
        <w:rPr>
          <w:rFonts w:ascii="Verdana" w:eastAsia="Arial" w:hAnsi="Verdana" w:cs="Arial"/>
        </w:rPr>
        <w:t>los</w:t>
      </w:r>
      <w:r w:rsidRPr="00F65D2B">
        <w:rPr>
          <w:rFonts w:ascii="Verdana" w:eastAsia="Arial" w:hAnsi="Verdana" w:cs="Arial"/>
          <w:spacing w:val="-17"/>
        </w:rPr>
        <w:t xml:space="preserve"> </w:t>
      </w:r>
      <w:r w:rsidRPr="00F65D2B">
        <w:rPr>
          <w:rFonts w:ascii="Verdana" w:eastAsia="Arial" w:hAnsi="Verdana" w:cs="Arial"/>
        </w:rPr>
        <w:t>oferentes.</w:t>
      </w:r>
      <w:r w:rsidRPr="00F65D2B">
        <w:rPr>
          <w:rFonts w:ascii="Verdana" w:eastAsia="Arial" w:hAnsi="Verdana" w:cs="Arial"/>
          <w:spacing w:val="-16"/>
        </w:rPr>
        <w:t xml:space="preserve"> </w:t>
      </w:r>
      <w:r w:rsidRPr="00F65D2B">
        <w:rPr>
          <w:rFonts w:ascii="Verdana" w:eastAsia="Arial" w:hAnsi="Verdana" w:cs="Arial"/>
        </w:rPr>
        <w:t>De</w:t>
      </w:r>
      <w:r w:rsidRPr="00F65D2B">
        <w:rPr>
          <w:rFonts w:ascii="Verdana" w:eastAsia="Arial" w:hAnsi="Verdana" w:cs="Arial"/>
          <w:spacing w:val="-18"/>
        </w:rPr>
        <w:t xml:space="preserve"> </w:t>
      </w:r>
      <w:r w:rsidRPr="00F65D2B">
        <w:rPr>
          <w:rFonts w:ascii="Verdana" w:eastAsia="Arial" w:hAnsi="Verdana" w:cs="Arial"/>
        </w:rPr>
        <w:t>esta</w:t>
      </w:r>
      <w:r w:rsidRPr="00F65D2B">
        <w:rPr>
          <w:rFonts w:ascii="Verdana" w:eastAsia="Arial" w:hAnsi="Verdana" w:cs="Arial"/>
          <w:spacing w:val="-17"/>
        </w:rPr>
        <w:t xml:space="preserve"> </w:t>
      </w:r>
      <w:r w:rsidRPr="00F65D2B">
        <w:rPr>
          <w:rFonts w:ascii="Verdana" w:eastAsia="Arial" w:hAnsi="Verdana" w:cs="Arial"/>
        </w:rPr>
        <w:t>manera,</w:t>
      </w:r>
      <w:r w:rsidRPr="00F65D2B">
        <w:rPr>
          <w:rFonts w:ascii="Verdana" w:eastAsia="Arial" w:hAnsi="Verdana" w:cs="Arial"/>
          <w:spacing w:val="-17"/>
        </w:rPr>
        <w:t xml:space="preserve"> </w:t>
      </w:r>
      <w:r w:rsidRPr="00F65D2B">
        <w:rPr>
          <w:rFonts w:ascii="Verdana" w:eastAsia="Arial" w:hAnsi="Verdana" w:cs="Arial"/>
        </w:rPr>
        <w:t>el</w:t>
      </w:r>
      <w:r w:rsidRPr="00F65D2B">
        <w:rPr>
          <w:rFonts w:ascii="Verdana" w:eastAsia="Arial" w:hAnsi="Verdana" w:cs="Arial"/>
          <w:spacing w:val="-18"/>
        </w:rPr>
        <w:t xml:space="preserve"> </w:t>
      </w:r>
      <w:r w:rsidRPr="00F65D2B">
        <w:rPr>
          <w:rFonts w:ascii="Verdana" w:eastAsia="Arial" w:hAnsi="Verdana" w:cs="Arial"/>
        </w:rPr>
        <w:t>artículo</w:t>
      </w:r>
      <w:r w:rsidRPr="00F65D2B">
        <w:rPr>
          <w:rFonts w:ascii="Verdana" w:eastAsia="Arial" w:hAnsi="Verdana" w:cs="Arial"/>
          <w:spacing w:val="-17"/>
        </w:rPr>
        <w:t xml:space="preserve"> </w:t>
      </w:r>
      <w:r w:rsidRPr="00F65D2B">
        <w:rPr>
          <w:rFonts w:ascii="Verdana" w:eastAsia="Arial" w:hAnsi="Verdana" w:cs="Arial"/>
        </w:rPr>
        <w:t>23</w:t>
      </w:r>
      <w:r w:rsidRPr="00F65D2B">
        <w:rPr>
          <w:rFonts w:ascii="Verdana" w:eastAsia="Arial" w:hAnsi="Verdana" w:cs="Arial"/>
          <w:spacing w:val="-17"/>
        </w:rPr>
        <w:t xml:space="preserve"> </w:t>
      </w:r>
      <w:r w:rsidRPr="00F65D2B">
        <w:rPr>
          <w:rFonts w:ascii="Verdana" w:eastAsia="Arial" w:hAnsi="Verdana" w:cs="Arial"/>
        </w:rPr>
        <w:t>de</w:t>
      </w:r>
      <w:r w:rsidRPr="00F65D2B">
        <w:rPr>
          <w:rFonts w:ascii="Verdana" w:eastAsia="Arial" w:hAnsi="Verdana" w:cs="Arial"/>
          <w:spacing w:val="-17"/>
        </w:rPr>
        <w:t xml:space="preserve"> </w:t>
      </w:r>
      <w:r w:rsidRPr="00F65D2B">
        <w:rPr>
          <w:rFonts w:ascii="Verdana" w:eastAsia="Arial" w:hAnsi="Verdana" w:cs="Arial"/>
        </w:rPr>
        <w:t>la</w:t>
      </w:r>
      <w:r w:rsidRPr="00F65D2B">
        <w:rPr>
          <w:rFonts w:ascii="Verdana" w:eastAsia="Arial" w:hAnsi="Verdana" w:cs="Arial"/>
          <w:spacing w:val="-18"/>
        </w:rPr>
        <w:t xml:space="preserve"> </w:t>
      </w:r>
      <w:r w:rsidRPr="00F65D2B">
        <w:rPr>
          <w:rFonts w:ascii="Verdana" w:eastAsia="Arial" w:hAnsi="Verdana" w:cs="Arial"/>
        </w:rPr>
        <w:t>Ley</w:t>
      </w:r>
      <w:r w:rsidRPr="00F65D2B">
        <w:rPr>
          <w:rFonts w:ascii="Verdana" w:eastAsia="Arial" w:hAnsi="Verdana" w:cs="Arial"/>
          <w:spacing w:val="-17"/>
        </w:rPr>
        <w:t xml:space="preserve"> </w:t>
      </w:r>
      <w:r w:rsidRPr="00F65D2B">
        <w:rPr>
          <w:rFonts w:ascii="Verdana" w:eastAsia="Arial" w:hAnsi="Verdana" w:cs="Arial"/>
        </w:rPr>
        <w:t>1150 de 2007 que modificó el inciso segundo del artículo 41 de la Ley 80 de 1993, incluye la obligación, para los proponentes y contratistas, de estar a paz y salvo con los aportes parafiscales al Sistema de Seguridad Social Integral, al</w:t>
      </w:r>
      <w:r w:rsidRPr="00F65D2B">
        <w:rPr>
          <w:rFonts w:ascii="Verdana" w:eastAsia="Arial" w:hAnsi="Verdana" w:cs="Arial"/>
          <w:spacing w:val="-16"/>
        </w:rPr>
        <w:t xml:space="preserve"> </w:t>
      </w:r>
      <w:r w:rsidRPr="00F65D2B">
        <w:rPr>
          <w:rFonts w:ascii="Verdana" w:eastAsia="Arial" w:hAnsi="Verdana" w:cs="Arial"/>
        </w:rPr>
        <w:t>señalar:</w:t>
      </w:r>
    </w:p>
    <w:p w14:paraId="3943C1C6" w14:textId="77777777" w:rsidR="00625759" w:rsidRPr="00F65D2B" w:rsidRDefault="00625759" w:rsidP="00625759">
      <w:pPr>
        <w:widowControl w:val="0"/>
        <w:autoSpaceDE w:val="0"/>
        <w:autoSpaceDN w:val="0"/>
        <w:spacing w:after="0" w:line="276" w:lineRule="auto"/>
        <w:rPr>
          <w:rFonts w:ascii="Century Gothic" w:eastAsia="Arial" w:hAnsi="Century Gothic" w:cs="Arial"/>
        </w:rPr>
      </w:pPr>
    </w:p>
    <w:p w14:paraId="776D95BA" w14:textId="77777777" w:rsidR="00625759" w:rsidRPr="00F65D2B" w:rsidRDefault="00625759" w:rsidP="00625759">
      <w:pPr>
        <w:widowControl w:val="0"/>
        <w:autoSpaceDE w:val="0"/>
        <w:autoSpaceDN w:val="0"/>
        <w:spacing w:after="0" w:line="240" w:lineRule="auto"/>
        <w:ind w:left="709" w:right="709"/>
        <w:jc w:val="both"/>
        <w:rPr>
          <w:rFonts w:ascii="Verdana" w:eastAsia="Arial" w:hAnsi="Verdana" w:cs="Arial"/>
          <w:sz w:val="20"/>
          <w:szCs w:val="20"/>
        </w:rPr>
      </w:pPr>
      <w:r w:rsidRPr="00F65D2B">
        <w:rPr>
          <w:rFonts w:ascii="Verdana" w:eastAsia="Arial" w:hAnsi="Verdana" w:cs="Arial"/>
          <w:sz w:val="20"/>
          <w:szCs w:val="20"/>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421607BE" w14:textId="77777777" w:rsidR="00625759" w:rsidRPr="00F65D2B" w:rsidRDefault="00625759" w:rsidP="00625759">
      <w:pPr>
        <w:widowControl w:val="0"/>
        <w:autoSpaceDE w:val="0"/>
        <w:autoSpaceDN w:val="0"/>
        <w:spacing w:after="0" w:line="240" w:lineRule="auto"/>
        <w:ind w:left="709" w:right="709"/>
        <w:jc w:val="both"/>
        <w:rPr>
          <w:rFonts w:ascii="Verdana" w:eastAsia="Arial" w:hAnsi="Verdana" w:cs="Arial"/>
          <w:sz w:val="20"/>
          <w:szCs w:val="20"/>
        </w:rPr>
      </w:pPr>
      <w:r w:rsidRPr="00F65D2B">
        <w:rPr>
          <w:rFonts w:ascii="Verdana" w:eastAsia="Arial" w:hAnsi="Verdana" w:cs="Arial"/>
          <w:sz w:val="20"/>
          <w:szCs w:val="20"/>
        </w:rPr>
        <w:t>Parágrafo 1. El requisito establecido en la parte final del inciso segundo de este artículo deberá acreditarse para la realización de cada pago derivado del contrato estatal.</w:t>
      </w:r>
    </w:p>
    <w:p w14:paraId="6233D193" w14:textId="77777777" w:rsidR="00625759" w:rsidRPr="00F65D2B" w:rsidRDefault="00625759" w:rsidP="00625759">
      <w:pPr>
        <w:widowControl w:val="0"/>
        <w:autoSpaceDE w:val="0"/>
        <w:autoSpaceDN w:val="0"/>
        <w:spacing w:after="0" w:line="240" w:lineRule="auto"/>
        <w:ind w:left="709" w:right="709"/>
        <w:jc w:val="both"/>
        <w:rPr>
          <w:rFonts w:ascii="Verdana" w:eastAsia="Arial" w:hAnsi="Verdana" w:cs="Arial"/>
          <w:sz w:val="20"/>
          <w:szCs w:val="20"/>
        </w:rPr>
      </w:pPr>
      <w:r w:rsidRPr="00F65D2B">
        <w:rPr>
          <w:rFonts w:ascii="Verdana" w:eastAsia="Arial" w:hAnsi="Verdana" w:cs="Arial"/>
          <w:sz w:val="20"/>
          <w:szCs w:val="20"/>
        </w:rPr>
        <w:t>El servidor público que sin justa causa no verifique el pago de los aportes a que</w:t>
      </w:r>
      <w:r w:rsidRPr="00F65D2B">
        <w:rPr>
          <w:rFonts w:ascii="Verdana" w:eastAsia="Arial" w:hAnsi="Verdana" w:cs="Arial"/>
          <w:spacing w:val="-8"/>
          <w:sz w:val="20"/>
          <w:szCs w:val="20"/>
        </w:rPr>
        <w:t xml:space="preserve"> </w:t>
      </w:r>
      <w:r w:rsidRPr="00F65D2B">
        <w:rPr>
          <w:rFonts w:ascii="Verdana" w:eastAsia="Arial" w:hAnsi="Verdana" w:cs="Arial"/>
          <w:sz w:val="20"/>
          <w:szCs w:val="20"/>
        </w:rPr>
        <w:t>se</w:t>
      </w:r>
      <w:r w:rsidRPr="00F65D2B">
        <w:rPr>
          <w:rFonts w:ascii="Verdana" w:eastAsia="Arial" w:hAnsi="Verdana" w:cs="Arial"/>
          <w:spacing w:val="-7"/>
          <w:sz w:val="20"/>
          <w:szCs w:val="20"/>
        </w:rPr>
        <w:t xml:space="preserve"> </w:t>
      </w:r>
      <w:r w:rsidRPr="00F65D2B">
        <w:rPr>
          <w:rFonts w:ascii="Verdana" w:eastAsia="Arial" w:hAnsi="Verdana" w:cs="Arial"/>
          <w:sz w:val="20"/>
          <w:szCs w:val="20"/>
        </w:rPr>
        <w:t>refiere</w:t>
      </w:r>
      <w:r w:rsidRPr="00F65D2B">
        <w:rPr>
          <w:rFonts w:ascii="Verdana" w:eastAsia="Arial" w:hAnsi="Verdana" w:cs="Arial"/>
          <w:spacing w:val="-8"/>
          <w:sz w:val="20"/>
          <w:szCs w:val="20"/>
        </w:rPr>
        <w:t xml:space="preserve"> </w:t>
      </w:r>
      <w:r w:rsidRPr="00F65D2B">
        <w:rPr>
          <w:rFonts w:ascii="Verdana" w:eastAsia="Arial" w:hAnsi="Verdana" w:cs="Arial"/>
          <w:sz w:val="20"/>
          <w:szCs w:val="20"/>
        </w:rPr>
        <w:t>el</w:t>
      </w:r>
      <w:r w:rsidRPr="00F65D2B">
        <w:rPr>
          <w:rFonts w:ascii="Verdana" w:eastAsia="Arial" w:hAnsi="Verdana" w:cs="Arial"/>
          <w:spacing w:val="-7"/>
          <w:sz w:val="20"/>
          <w:szCs w:val="20"/>
        </w:rPr>
        <w:t xml:space="preserve"> </w:t>
      </w:r>
      <w:r w:rsidRPr="00F65D2B">
        <w:rPr>
          <w:rFonts w:ascii="Verdana" w:eastAsia="Arial" w:hAnsi="Verdana" w:cs="Arial"/>
          <w:sz w:val="20"/>
          <w:szCs w:val="20"/>
        </w:rPr>
        <w:t>presente</w:t>
      </w:r>
      <w:r w:rsidRPr="00F65D2B">
        <w:rPr>
          <w:rFonts w:ascii="Verdana" w:eastAsia="Arial" w:hAnsi="Verdana" w:cs="Arial"/>
          <w:spacing w:val="-8"/>
          <w:sz w:val="20"/>
          <w:szCs w:val="20"/>
        </w:rPr>
        <w:t xml:space="preserve"> </w:t>
      </w:r>
      <w:r w:rsidRPr="00F65D2B">
        <w:rPr>
          <w:rFonts w:ascii="Verdana" w:eastAsia="Arial" w:hAnsi="Verdana" w:cs="Arial"/>
          <w:sz w:val="20"/>
          <w:szCs w:val="20"/>
        </w:rPr>
        <w:t>artículo,</w:t>
      </w:r>
      <w:r w:rsidRPr="00F65D2B">
        <w:rPr>
          <w:rFonts w:ascii="Verdana" w:eastAsia="Arial" w:hAnsi="Verdana" w:cs="Arial"/>
          <w:spacing w:val="-7"/>
          <w:sz w:val="20"/>
          <w:szCs w:val="20"/>
        </w:rPr>
        <w:t xml:space="preserve"> </w:t>
      </w:r>
      <w:r w:rsidRPr="00F65D2B">
        <w:rPr>
          <w:rFonts w:ascii="Verdana" w:eastAsia="Arial" w:hAnsi="Verdana" w:cs="Arial"/>
          <w:sz w:val="20"/>
          <w:szCs w:val="20"/>
        </w:rPr>
        <w:t>incurrirá</w:t>
      </w:r>
      <w:r w:rsidRPr="00F65D2B">
        <w:rPr>
          <w:rFonts w:ascii="Verdana" w:eastAsia="Arial" w:hAnsi="Verdana" w:cs="Arial"/>
          <w:spacing w:val="-7"/>
          <w:sz w:val="20"/>
          <w:szCs w:val="20"/>
        </w:rPr>
        <w:t xml:space="preserve"> </w:t>
      </w:r>
      <w:r w:rsidRPr="00F65D2B">
        <w:rPr>
          <w:rFonts w:ascii="Verdana" w:eastAsia="Arial" w:hAnsi="Verdana" w:cs="Arial"/>
          <w:sz w:val="20"/>
          <w:szCs w:val="20"/>
        </w:rPr>
        <w:t>en</w:t>
      </w:r>
      <w:r w:rsidRPr="00F65D2B">
        <w:rPr>
          <w:rFonts w:ascii="Verdana" w:eastAsia="Arial" w:hAnsi="Verdana" w:cs="Arial"/>
          <w:spacing w:val="-8"/>
          <w:sz w:val="20"/>
          <w:szCs w:val="20"/>
        </w:rPr>
        <w:t xml:space="preserve"> </w:t>
      </w:r>
      <w:r w:rsidRPr="00F65D2B">
        <w:rPr>
          <w:rFonts w:ascii="Verdana" w:eastAsia="Arial" w:hAnsi="Verdana" w:cs="Arial"/>
          <w:sz w:val="20"/>
          <w:szCs w:val="20"/>
        </w:rPr>
        <w:t>causal</w:t>
      </w:r>
      <w:r w:rsidRPr="00F65D2B">
        <w:rPr>
          <w:rFonts w:ascii="Verdana" w:eastAsia="Arial" w:hAnsi="Verdana" w:cs="Arial"/>
          <w:spacing w:val="-7"/>
          <w:sz w:val="20"/>
          <w:szCs w:val="20"/>
        </w:rPr>
        <w:t xml:space="preserve"> </w:t>
      </w:r>
      <w:r w:rsidRPr="00F65D2B">
        <w:rPr>
          <w:rFonts w:ascii="Verdana" w:eastAsia="Arial" w:hAnsi="Verdana" w:cs="Arial"/>
          <w:sz w:val="20"/>
          <w:szCs w:val="20"/>
        </w:rPr>
        <w:t>de</w:t>
      </w:r>
      <w:r w:rsidRPr="00F65D2B">
        <w:rPr>
          <w:rFonts w:ascii="Verdana" w:eastAsia="Arial" w:hAnsi="Verdana" w:cs="Arial"/>
          <w:spacing w:val="-8"/>
          <w:sz w:val="20"/>
          <w:szCs w:val="20"/>
        </w:rPr>
        <w:t xml:space="preserve"> </w:t>
      </w:r>
      <w:r w:rsidRPr="00F65D2B">
        <w:rPr>
          <w:rFonts w:ascii="Verdana" w:eastAsia="Arial" w:hAnsi="Verdana" w:cs="Arial"/>
          <w:sz w:val="20"/>
          <w:szCs w:val="20"/>
        </w:rPr>
        <w:t>mala</w:t>
      </w:r>
      <w:r w:rsidRPr="00F65D2B">
        <w:rPr>
          <w:rFonts w:ascii="Verdana" w:eastAsia="Arial" w:hAnsi="Verdana" w:cs="Arial"/>
          <w:spacing w:val="-7"/>
          <w:sz w:val="20"/>
          <w:szCs w:val="20"/>
        </w:rPr>
        <w:t xml:space="preserve"> </w:t>
      </w:r>
      <w:r w:rsidRPr="00F65D2B">
        <w:rPr>
          <w:rFonts w:ascii="Verdana" w:eastAsia="Arial" w:hAnsi="Verdana" w:cs="Arial"/>
          <w:sz w:val="20"/>
          <w:szCs w:val="20"/>
        </w:rPr>
        <w:t>conducta,</w:t>
      </w:r>
      <w:r w:rsidRPr="00F65D2B">
        <w:rPr>
          <w:rFonts w:ascii="Verdana" w:eastAsia="Arial" w:hAnsi="Verdana" w:cs="Arial"/>
          <w:spacing w:val="-8"/>
          <w:sz w:val="20"/>
          <w:szCs w:val="20"/>
        </w:rPr>
        <w:t xml:space="preserve"> </w:t>
      </w:r>
      <w:r w:rsidRPr="00F65D2B">
        <w:rPr>
          <w:rFonts w:ascii="Verdana" w:eastAsia="Arial" w:hAnsi="Verdana" w:cs="Arial"/>
          <w:sz w:val="20"/>
          <w:szCs w:val="20"/>
        </w:rPr>
        <w:t>que será sancionada con arreglo al régimen disciplinario</w:t>
      </w:r>
      <w:r w:rsidRPr="00F65D2B">
        <w:rPr>
          <w:rFonts w:ascii="Verdana" w:eastAsia="Arial" w:hAnsi="Verdana" w:cs="Arial"/>
          <w:spacing w:val="-12"/>
          <w:sz w:val="20"/>
          <w:szCs w:val="20"/>
        </w:rPr>
        <w:t xml:space="preserve"> </w:t>
      </w:r>
      <w:r w:rsidRPr="00F65D2B">
        <w:rPr>
          <w:rFonts w:ascii="Verdana" w:eastAsia="Arial" w:hAnsi="Verdana" w:cs="Arial"/>
          <w:sz w:val="20"/>
          <w:szCs w:val="20"/>
        </w:rPr>
        <w:t>vigente”.</w:t>
      </w:r>
    </w:p>
    <w:p w14:paraId="78FBCE2A" w14:textId="77777777" w:rsidR="00625759" w:rsidRPr="00F65D2B" w:rsidRDefault="00625759" w:rsidP="00625759">
      <w:pPr>
        <w:widowControl w:val="0"/>
        <w:autoSpaceDE w:val="0"/>
        <w:autoSpaceDN w:val="0"/>
        <w:spacing w:after="0" w:line="276" w:lineRule="auto"/>
        <w:ind w:left="709" w:right="709"/>
        <w:jc w:val="both"/>
        <w:rPr>
          <w:rFonts w:ascii="Century Gothic" w:eastAsia="Arial" w:hAnsi="Century Gothic" w:cs="Arial"/>
        </w:rPr>
      </w:pPr>
    </w:p>
    <w:p w14:paraId="6F211252" w14:textId="77777777" w:rsidR="00625759" w:rsidRPr="00F65D2B" w:rsidRDefault="00625759" w:rsidP="00625759">
      <w:pPr>
        <w:widowControl w:val="0"/>
        <w:autoSpaceDE w:val="0"/>
        <w:autoSpaceDN w:val="0"/>
        <w:spacing w:after="120" w:line="276" w:lineRule="auto"/>
        <w:ind w:firstLine="709"/>
        <w:jc w:val="both"/>
        <w:rPr>
          <w:rFonts w:ascii="Verdana" w:eastAsia="Arial" w:hAnsi="Verdana" w:cs="Arial"/>
        </w:rPr>
      </w:pPr>
      <w:r w:rsidRPr="00F65D2B">
        <w:rPr>
          <w:rFonts w:ascii="Verdana" w:eastAsia="Arial" w:hAnsi="Verdana" w:cs="Arial"/>
        </w:rPr>
        <w:t xml:space="preserve">Del artículo 23 de la Ley 1150 de 2007 se concluye que,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w:t>
      </w:r>
      <w:r w:rsidRPr="00F65D2B">
        <w:rPr>
          <w:rFonts w:ascii="Verdana" w:eastAsia="Arial" w:hAnsi="Verdana" w:cs="Arial"/>
        </w:rPr>
        <w:lastRenderedPageBreak/>
        <w:t xml:space="preserve">2002. </w:t>
      </w:r>
    </w:p>
    <w:p w14:paraId="62C8D7BC" w14:textId="77777777" w:rsidR="00625759" w:rsidRPr="00F65D2B" w:rsidRDefault="00625759" w:rsidP="00625759">
      <w:pPr>
        <w:widowControl w:val="0"/>
        <w:autoSpaceDE w:val="0"/>
        <w:autoSpaceDN w:val="0"/>
        <w:spacing w:after="120" w:line="276" w:lineRule="auto"/>
        <w:ind w:firstLine="709"/>
        <w:jc w:val="both"/>
        <w:rPr>
          <w:rFonts w:ascii="Verdana" w:eastAsia="Arial" w:hAnsi="Verdana" w:cs="Arial"/>
        </w:rPr>
      </w:pPr>
      <w:r w:rsidRPr="00F65D2B">
        <w:rPr>
          <w:rFonts w:ascii="Verdana" w:eastAsia="Arial" w:hAnsi="Verdana" w:cs="Arial"/>
        </w:rPr>
        <w:t>De esta manera, 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F65D2B" w:rsidDel="006B64E9">
        <w:rPr>
          <w:rFonts w:ascii="Verdana" w:eastAsia="Arial" w:hAnsi="Verdana" w:cs="Arial"/>
        </w:rPr>
        <w:t xml:space="preserve"> </w:t>
      </w:r>
      <w:r w:rsidRPr="00F65D2B">
        <w:rPr>
          <w:rFonts w:ascii="Verdana" w:eastAsia="Arial" w:hAnsi="Verdana" w:cs="Arial"/>
        </w:rPr>
        <w:t xml:space="preserve">que la acreditación de dicho requisito se realiza en diferentes momentos del proceso contractual, tal como se detalla a continuación. </w:t>
      </w:r>
    </w:p>
    <w:p w14:paraId="4E09428E" w14:textId="77777777" w:rsidR="00625759" w:rsidRPr="00F65D2B" w:rsidRDefault="00625759" w:rsidP="00625759">
      <w:pPr>
        <w:widowControl w:val="0"/>
        <w:autoSpaceDE w:val="0"/>
        <w:autoSpaceDN w:val="0"/>
        <w:spacing w:after="120" w:line="276" w:lineRule="auto"/>
        <w:ind w:firstLine="709"/>
        <w:jc w:val="both"/>
        <w:rPr>
          <w:rFonts w:ascii="Verdana" w:eastAsia="Arial" w:hAnsi="Verdana" w:cs="Arial"/>
        </w:rPr>
      </w:pPr>
      <w:r w:rsidRPr="00F65D2B">
        <w:rPr>
          <w:rFonts w:ascii="Verdana" w:eastAsia="Arial" w:hAnsi="Verdana" w:cs="Arial"/>
        </w:rPr>
        <w:t>1.</w:t>
      </w:r>
      <w:r w:rsidRPr="00F65D2B">
        <w:rPr>
          <w:rFonts w:ascii="Century Gothic" w:eastAsia="Arial" w:hAnsi="Century Gothic" w:cs="Arial"/>
        </w:rPr>
        <w:t xml:space="preserve"> </w:t>
      </w:r>
      <w:r w:rsidRPr="00F65D2B">
        <w:rPr>
          <w:rFonts w:ascii="Verdana" w:eastAsia="Arial" w:hAnsi="Verdana" w:cs="Arial"/>
          <w:i/>
          <w:iCs/>
        </w:rPr>
        <w:t>Para presentar la oferta</w:t>
      </w:r>
      <w:r w:rsidRPr="00F65D2B">
        <w:rPr>
          <w:rFonts w:ascii="Verdana" w:eastAsia="Arial" w:hAnsi="Verdana" w:cs="Arial"/>
        </w:rPr>
        <w:t xml:space="preserve"> los proponentes deben acreditar el pago de los aportes de sus</w:t>
      </w:r>
      <w:r w:rsidRPr="00F65D2B">
        <w:rPr>
          <w:rFonts w:ascii="Verdana" w:eastAsia="Arial" w:hAnsi="Verdana" w:cs="Arial"/>
          <w:spacing w:val="-6"/>
        </w:rPr>
        <w:t xml:space="preserve"> </w:t>
      </w:r>
      <w:r w:rsidRPr="00F65D2B">
        <w:rPr>
          <w:rFonts w:ascii="Verdana" w:eastAsia="Arial" w:hAnsi="Verdana" w:cs="Arial"/>
        </w:rPr>
        <w:t>empleados,</w:t>
      </w:r>
      <w:r w:rsidRPr="00F65D2B">
        <w:rPr>
          <w:rFonts w:ascii="Verdana" w:eastAsia="Arial" w:hAnsi="Verdana" w:cs="Arial"/>
          <w:spacing w:val="-6"/>
        </w:rPr>
        <w:t xml:space="preserve"> </w:t>
      </w:r>
      <w:r w:rsidRPr="00F65D2B">
        <w:rPr>
          <w:rFonts w:ascii="Verdana" w:eastAsia="Arial" w:hAnsi="Verdana" w:cs="Arial"/>
        </w:rPr>
        <w:t>mediante</w:t>
      </w:r>
      <w:r w:rsidRPr="00F65D2B">
        <w:rPr>
          <w:rFonts w:ascii="Verdana" w:eastAsia="Arial" w:hAnsi="Verdana" w:cs="Arial"/>
          <w:spacing w:val="-6"/>
        </w:rPr>
        <w:t xml:space="preserve"> </w:t>
      </w:r>
      <w:r w:rsidRPr="00F65D2B">
        <w:rPr>
          <w:rFonts w:ascii="Verdana" w:eastAsia="Arial" w:hAnsi="Verdana" w:cs="Arial"/>
        </w:rPr>
        <w:t>certificación</w:t>
      </w:r>
      <w:r w:rsidRPr="00F65D2B">
        <w:rPr>
          <w:rFonts w:ascii="Verdana" w:eastAsia="Arial" w:hAnsi="Verdana" w:cs="Arial"/>
          <w:spacing w:val="-6"/>
        </w:rPr>
        <w:t xml:space="preserve"> </w:t>
      </w:r>
      <w:r w:rsidRPr="00F65D2B">
        <w:rPr>
          <w:rFonts w:ascii="Verdana" w:eastAsia="Arial" w:hAnsi="Verdana" w:cs="Arial"/>
        </w:rPr>
        <w:t>expedida</w:t>
      </w:r>
      <w:r w:rsidRPr="00F65D2B">
        <w:rPr>
          <w:rFonts w:ascii="Verdana" w:eastAsia="Arial" w:hAnsi="Verdana" w:cs="Arial"/>
          <w:spacing w:val="-6"/>
        </w:rPr>
        <w:t xml:space="preserve"> </w:t>
      </w:r>
      <w:r w:rsidRPr="00F65D2B">
        <w:rPr>
          <w:rFonts w:ascii="Verdana" w:eastAsia="Arial" w:hAnsi="Verdana" w:cs="Arial"/>
        </w:rPr>
        <w:t>por</w:t>
      </w:r>
      <w:r w:rsidRPr="00F65D2B">
        <w:rPr>
          <w:rFonts w:ascii="Verdana" w:eastAsia="Arial" w:hAnsi="Verdana" w:cs="Arial"/>
          <w:spacing w:val="-6"/>
        </w:rPr>
        <w:t xml:space="preserve"> </w:t>
      </w:r>
      <w:r w:rsidRPr="00F65D2B">
        <w:rPr>
          <w:rFonts w:ascii="Verdana" w:eastAsia="Arial" w:hAnsi="Verdana" w:cs="Arial"/>
        </w:rPr>
        <w:t>el</w:t>
      </w:r>
      <w:r w:rsidRPr="00F65D2B">
        <w:rPr>
          <w:rFonts w:ascii="Verdana" w:eastAsia="Arial" w:hAnsi="Verdana" w:cs="Arial"/>
          <w:spacing w:val="-6"/>
        </w:rPr>
        <w:t xml:space="preserve"> </w:t>
      </w:r>
      <w:r w:rsidRPr="00F65D2B">
        <w:rPr>
          <w:rFonts w:ascii="Verdana" w:eastAsia="Arial" w:hAnsi="Verdana" w:cs="Arial"/>
        </w:rPr>
        <w:t>revisor</w:t>
      </w:r>
      <w:r w:rsidRPr="00F65D2B">
        <w:rPr>
          <w:rFonts w:ascii="Verdana" w:eastAsia="Arial" w:hAnsi="Verdana" w:cs="Arial"/>
          <w:spacing w:val="-6"/>
        </w:rPr>
        <w:t xml:space="preserve"> </w:t>
      </w:r>
      <w:r w:rsidRPr="00F65D2B">
        <w:rPr>
          <w:rFonts w:ascii="Verdana" w:eastAsia="Arial" w:hAnsi="Verdana" w:cs="Arial"/>
        </w:rPr>
        <w:t>fiscal,</w:t>
      </w:r>
      <w:r w:rsidRPr="00F65D2B">
        <w:rPr>
          <w:rFonts w:ascii="Verdana" w:eastAsia="Arial" w:hAnsi="Verdana" w:cs="Arial"/>
          <w:spacing w:val="-5"/>
        </w:rPr>
        <w:t xml:space="preserve"> </w:t>
      </w:r>
      <w:r w:rsidRPr="00F65D2B">
        <w:rPr>
          <w:rFonts w:ascii="Verdana" w:eastAsia="Arial" w:hAnsi="Verdana" w:cs="Arial"/>
        </w:rPr>
        <w:t>cuando</w:t>
      </w:r>
      <w:r w:rsidRPr="00F65D2B">
        <w:rPr>
          <w:rFonts w:ascii="Verdana" w:eastAsia="Arial" w:hAnsi="Verdana" w:cs="Arial"/>
          <w:spacing w:val="-6"/>
        </w:rPr>
        <w:t xml:space="preserve"> </w:t>
      </w:r>
      <w:r w:rsidRPr="00F65D2B">
        <w:rPr>
          <w:rFonts w:ascii="Verdana" w:eastAsia="Arial" w:hAnsi="Verdana" w:cs="Arial"/>
        </w:rPr>
        <w:t>este</w:t>
      </w:r>
      <w:r w:rsidRPr="00F65D2B">
        <w:rPr>
          <w:rFonts w:ascii="Verdana" w:eastAsia="Arial" w:hAnsi="Verdana" w:cs="Arial"/>
          <w:spacing w:val="-6"/>
        </w:rPr>
        <w:t xml:space="preserve"> </w:t>
      </w:r>
      <w:r w:rsidRPr="00F65D2B">
        <w:rPr>
          <w:rFonts w:ascii="Verdana" w:eastAsia="Arial" w:hAnsi="Verdana" w:cs="Arial"/>
        </w:rPr>
        <w:t>exista de</w:t>
      </w:r>
      <w:r w:rsidRPr="00F65D2B">
        <w:rPr>
          <w:rFonts w:ascii="Verdana" w:eastAsia="Arial" w:hAnsi="Verdana" w:cs="Arial"/>
          <w:spacing w:val="-9"/>
        </w:rPr>
        <w:t xml:space="preserve"> </w:t>
      </w:r>
      <w:r w:rsidRPr="00F65D2B">
        <w:rPr>
          <w:rFonts w:ascii="Verdana" w:eastAsia="Arial" w:hAnsi="Verdana" w:cs="Arial"/>
        </w:rPr>
        <w:t>acuerdo</w:t>
      </w:r>
      <w:r w:rsidRPr="00F65D2B">
        <w:rPr>
          <w:rFonts w:ascii="Verdana" w:eastAsia="Arial" w:hAnsi="Verdana" w:cs="Arial"/>
          <w:spacing w:val="-8"/>
        </w:rPr>
        <w:t xml:space="preserve"> </w:t>
      </w:r>
      <w:r w:rsidRPr="00F65D2B">
        <w:rPr>
          <w:rFonts w:ascii="Verdana" w:eastAsia="Arial" w:hAnsi="Verdana" w:cs="Arial"/>
        </w:rPr>
        <w:t>con</w:t>
      </w:r>
      <w:r w:rsidRPr="00F65D2B">
        <w:rPr>
          <w:rFonts w:ascii="Verdana" w:eastAsia="Arial" w:hAnsi="Verdana" w:cs="Arial"/>
          <w:spacing w:val="-8"/>
        </w:rPr>
        <w:t xml:space="preserve"> </w:t>
      </w:r>
      <w:r w:rsidRPr="00F65D2B">
        <w:rPr>
          <w:rFonts w:ascii="Verdana" w:eastAsia="Arial" w:hAnsi="Verdana" w:cs="Arial"/>
        </w:rPr>
        <w:t>los</w:t>
      </w:r>
      <w:r w:rsidRPr="00F65D2B">
        <w:rPr>
          <w:rFonts w:ascii="Verdana" w:eastAsia="Arial" w:hAnsi="Verdana" w:cs="Arial"/>
          <w:spacing w:val="-8"/>
        </w:rPr>
        <w:t xml:space="preserve"> </w:t>
      </w:r>
      <w:r w:rsidRPr="00F65D2B">
        <w:rPr>
          <w:rFonts w:ascii="Verdana" w:eastAsia="Arial" w:hAnsi="Verdana" w:cs="Arial"/>
        </w:rPr>
        <w:t>requerimientos</w:t>
      </w:r>
      <w:r w:rsidRPr="00F65D2B">
        <w:rPr>
          <w:rFonts w:ascii="Verdana" w:eastAsia="Arial" w:hAnsi="Verdana" w:cs="Arial"/>
          <w:spacing w:val="-9"/>
        </w:rPr>
        <w:t xml:space="preserve"> </w:t>
      </w:r>
      <w:r w:rsidRPr="00F65D2B">
        <w:rPr>
          <w:rFonts w:ascii="Verdana" w:eastAsia="Arial" w:hAnsi="Verdana" w:cs="Arial"/>
        </w:rPr>
        <w:t>de</w:t>
      </w:r>
      <w:r w:rsidRPr="00F65D2B">
        <w:rPr>
          <w:rFonts w:ascii="Verdana" w:eastAsia="Arial" w:hAnsi="Verdana" w:cs="Arial"/>
          <w:spacing w:val="-8"/>
        </w:rPr>
        <w:t xml:space="preserve"> </w:t>
      </w:r>
      <w:r w:rsidRPr="00F65D2B">
        <w:rPr>
          <w:rFonts w:ascii="Verdana" w:eastAsia="Arial" w:hAnsi="Verdana" w:cs="Arial"/>
        </w:rPr>
        <w:t>ley,</w:t>
      </w:r>
      <w:r w:rsidRPr="00F65D2B">
        <w:rPr>
          <w:rFonts w:ascii="Verdana" w:eastAsia="Arial" w:hAnsi="Verdana" w:cs="Arial"/>
          <w:spacing w:val="-8"/>
        </w:rPr>
        <w:t xml:space="preserve"> </w:t>
      </w:r>
      <w:r w:rsidRPr="00F65D2B">
        <w:rPr>
          <w:rFonts w:ascii="Verdana" w:eastAsia="Arial" w:hAnsi="Verdana" w:cs="Arial"/>
        </w:rPr>
        <w:t>o</w:t>
      </w:r>
      <w:r w:rsidRPr="00F65D2B">
        <w:rPr>
          <w:rFonts w:ascii="Verdana" w:eastAsia="Arial" w:hAnsi="Verdana" w:cs="Arial"/>
          <w:spacing w:val="-8"/>
        </w:rPr>
        <w:t xml:space="preserve"> </w:t>
      </w:r>
      <w:r w:rsidRPr="00F65D2B">
        <w:rPr>
          <w:rFonts w:ascii="Verdana" w:eastAsia="Arial" w:hAnsi="Verdana" w:cs="Arial"/>
        </w:rPr>
        <w:t>por</w:t>
      </w:r>
      <w:r w:rsidRPr="00F65D2B">
        <w:rPr>
          <w:rFonts w:ascii="Verdana" w:eastAsia="Arial" w:hAnsi="Verdana" w:cs="Arial"/>
          <w:spacing w:val="-9"/>
        </w:rPr>
        <w:t xml:space="preserve"> </w:t>
      </w:r>
      <w:r w:rsidRPr="00F65D2B">
        <w:rPr>
          <w:rFonts w:ascii="Verdana" w:eastAsia="Arial" w:hAnsi="Verdana" w:cs="Arial"/>
        </w:rPr>
        <w:t>el</w:t>
      </w:r>
      <w:r w:rsidRPr="00F65D2B">
        <w:rPr>
          <w:rFonts w:ascii="Verdana" w:eastAsia="Arial" w:hAnsi="Verdana" w:cs="Arial"/>
          <w:spacing w:val="-8"/>
        </w:rPr>
        <w:t xml:space="preserve"> </w:t>
      </w:r>
      <w:r w:rsidRPr="00F65D2B">
        <w:rPr>
          <w:rFonts w:ascii="Verdana" w:eastAsia="Arial" w:hAnsi="Verdana" w:cs="Arial"/>
        </w:rPr>
        <w:t>representante</w:t>
      </w:r>
      <w:r w:rsidRPr="00F65D2B">
        <w:rPr>
          <w:rFonts w:ascii="Verdana" w:eastAsia="Arial" w:hAnsi="Verdana" w:cs="Arial"/>
          <w:spacing w:val="-8"/>
        </w:rPr>
        <w:t xml:space="preserve"> </w:t>
      </w:r>
      <w:r w:rsidRPr="00F65D2B">
        <w:rPr>
          <w:rFonts w:ascii="Verdana" w:eastAsia="Arial" w:hAnsi="Verdana" w:cs="Arial"/>
        </w:rPr>
        <w:t>legal,</w:t>
      </w:r>
      <w:r w:rsidRPr="00F65D2B">
        <w:rPr>
          <w:rFonts w:ascii="Verdana" w:eastAsia="Arial" w:hAnsi="Verdana" w:cs="Arial"/>
          <w:spacing w:val="-8"/>
        </w:rPr>
        <w:t xml:space="preserve"> </w:t>
      </w:r>
      <w:r w:rsidRPr="00F65D2B">
        <w:rPr>
          <w:rFonts w:ascii="Verdana" w:eastAsia="Arial" w:hAnsi="Verdana" w:cs="Arial"/>
        </w:rPr>
        <w:t>durante</w:t>
      </w:r>
      <w:r w:rsidRPr="00F65D2B">
        <w:rPr>
          <w:rFonts w:ascii="Verdana" w:eastAsia="Arial" w:hAnsi="Verdana" w:cs="Arial"/>
          <w:spacing w:val="-9"/>
        </w:rPr>
        <w:t xml:space="preserve"> </w:t>
      </w:r>
      <w:r w:rsidRPr="00F65D2B">
        <w:rPr>
          <w:rFonts w:ascii="Verdana" w:eastAsia="Arial" w:hAnsi="Verdana" w:cs="Arial"/>
        </w:rPr>
        <w:t>un</w:t>
      </w:r>
      <w:r w:rsidRPr="00F65D2B">
        <w:rPr>
          <w:rFonts w:ascii="Verdana" w:eastAsia="Arial" w:hAnsi="Verdana" w:cs="Arial"/>
          <w:spacing w:val="-8"/>
        </w:rPr>
        <w:t xml:space="preserve"> </w:t>
      </w:r>
      <w:r w:rsidRPr="00F65D2B">
        <w:rPr>
          <w:rFonts w:ascii="Verdana" w:eastAsia="Arial" w:hAnsi="Verdana" w:cs="Arial"/>
        </w:rPr>
        <w:t>lapso equivalente al que exija el respectivo régimen de contratación para el que se hubiera constituido la sociedad, el cual, en todo caso, no será inferior a los seis (6) meses anteriores a la celebración del contrato</w:t>
      </w:r>
      <w:r w:rsidRPr="00F65D2B">
        <w:rPr>
          <w:rStyle w:val="Refdenotaalpie"/>
          <w:rFonts w:ascii="Verdana" w:eastAsia="Arial" w:hAnsi="Verdana" w:cs="Arial"/>
        </w:rPr>
        <w:footnoteReference w:id="3"/>
      </w:r>
      <w:r w:rsidRPr="00F65D2B">
        <w:rPr>
          <w:rFonts w:ascii="Verdana" w:eastAsia="Arial" w:hAnsi="Verdana" w:cs="Arial"/>
        </w:rPr>
        <w:t>. Si bien este certificado no es un requisito</w:t>
      </w:r>
      <w:r w:rsidRPr="00F65D2B">
        <w:rPr>
          <w:rFonts w:ascii="Verdana" w:eastAsia="Arial" w:hAnsi="Verdana" w:cs="Arial"/>
          <w:spacing w:val="45"/>
        </w:rPr>
        <w:t xml:space="preserve"> </w:t>
      </w:r>
      <w:r w:rsidRPr="00F65D2B">
        <w:rPr>
          <w:rFonts w:ascii="Verdana" w:eastAsia="Arial" w:hAnsi="Verdana" w:cs="Arial"/>
        </w:rPr>
        <w:t xml:space="preserve">para perfeccionar ni para ejecutarlo, sí lo es para admitir la oferta en el procedimiento de selección. Cabe señalar que la acreditación en los términos indicado solo procede frente a las </w:t>
      </w:r>
      <w:r w:rsidRPr="00F65D2B">
        <w:rPr>
          <w:rFonts w:ascii="Verdana" w:eastAsia="Arial" w:hAnsi="Verdana" w:cs="Arial"/>
          <w:i/>
          <w:iCs/>
        </w:rPr>
        <w:t xml:space="preserve">personas jurídicas </w:t>
      </w:r>
      <w:r w:rsidRPr="00F65D2B">
        <w:rPr>
          <w:rFonts w:ascii="Verdana" w:eastAsia="Arial" w:hAnsi="Verdana" w:cs="Arial"/>
        </w:rPr>
        <w:t>–Ley 789 de 2002, art. 50, inciso 3°–.</w:t>
      </w:r>
    </w:p>
    <w:p w14:paraId="544B13B5" w14:textId="77777777" w:rsidR="00625759" w:rsidRPr="00F65D2B" w:rsidRDefault="00625759" w:rsidP="00625759">
      <w:pPr>
        <w:widowControl w:val="0"/>
        <w:autoSpaceDE w:val="0"/>
        <w:autoSpaceDN w:val="0"/>
        <w:spacing w:before="120" w:after="0" w:line="276" w:lineRule="auto"/>
        <w:ind w:firstLine="708"/>
        <w:jc w:val="both"/>
        <w:rPr>
          <w:rFonts w:ascii="Verdana" w:hAnsi="Verdana"/>
          <w:shd w:val="clear" w:color="auto" w:fill="FFFFFF"/>
        </w:rPr>
      </w:pPr>
      <w:r w:rsidRPr="00F65D2B">
        <w:rPr>
          <w:rFonts w:ascii="Verdana" w:hAnsi="Verdana"/>
          <w:shd w:val="clear" w:color="auto" w:fill="FFFFFF"/>
        </w:rPr>
        <w:t xml:space="preserve">En efecto el inciso final del artículo 50 de la Ley </w:t>
      </w:r>
      <w:r w:rsidRPr="00F65D2B">
        <w:rPr>
          <w:rFonts w:ascii="Verdana" w:eastAsia="Arial" w:hAnsi="Verdana" w:cs="Arial"/>
        </w:rPr>
        <w:t xml:space="preserve">789 de 2002 </w:t>
      </w:r>
      <w:r w:rsidRPr="00F65D2B">
        <w:rPr>
          <w:rFonts w:ascii="Verdana" w:hAnsi="Verdana"/>
          <w:shd w:val="clear" w:color="auto" w:fill="FFFFFF"/>
        </w:rPr>
        <w:t xml:space="preserve">señala expresamente que las </w:t>
      </w:r>
      <w:r w:rsidRPr="00F65D2B">
        <w:rPr>
          <w:rFonts w:ascii="Verdana" w:hAnsi="Verdana"/>
          <w:i/>
          <w:iCs/>
          <w:shd w:val="clear" w:color="auto" w:fill="FFFFFF"/>
        </w:rPr>
        <w:t>personas jurídicas</w:t>
      </w:r>
      <w:r w:rsidRPr="00F65D2B">
        <w:rPr>
          <w:rFonts w:ascii="Verdana" w:hAnsi="Verdana"/>
          <w:shd w:val="clear" w:color="auto" w:fill="FFFFFF"/>
        </w:rPr>
        <w:t xml:space="preserve"> deben acreditar el pago de los aportes de los empleados al Sistema de Seguridad Social para la presentación de la oferta. De modo que, el cumplimiento de dicha obligación es un requisito que condiciona la participación de estos proponentes. Al respecto, el Consejo de Estado señaló recientemente que:</w:t>
      </w:r>
    </w:p>
    <w:p w14:paraId="5F3FE397" w14:textId="77777777" w:rsidR="00625759" w:rsidRPr="00F65D2B" w:rsidRDefault="00625759" w:rsidP="00625759">
      <w:pPr>
        <w:widowControl w:val="0"/>
        <w:autoSpaceDE w:val="0"/>
        <w:autoSpaceDN w:val="0"/>
        <w:spacing w:after="0" w:line="276" w:lineRule="auto"/>
        <w:ind w:firstLine="708"/>
        <w:jc w:val="both"/>
        <w:rPr>
          <w:rFonts w:ascii="Verdana" w:hAnsi="Verdana"/>
          <w:shd w:val="clear" w:color="auto" w:fill="FFFFFF"/>
        </w:rPr>
      </w:pPr>
    </w:p>
    <w:p w14:paraId="310AF3B8" w14:textId="77777777" w:rsidR="00625759" w:rsidRPr="00F65D2B" w:rsidRDefault="00625759" w:rsidP="00625759">
      <w:pPr>
        <w:widowControl w:val="0"/>
        <w:autoSpaceDE w:val="0"/>
        <w:autoSpaceDN w:val="0"/>
        <w:spacing w:after="0" w:line="240" w:lineRule="auto"/>
        <w:ind w:left="709" w:right="709"/>
        <w:jc w:val="both"/>
        <w:rPr>
          <w:rFonts w:ascii="Verdana" w:eastAsia="Arial" w:hAnsi="Verdana" w:cs="Arial"/>
          <w:sz w:val="20"/>
          <w:szCs w:val="20"/>
        </w:rPr>
      </w:pPr>
      <w:r w:rsidRPr="00F65D2B">
        <w:rPr>
          <w:rFonts w:ascii="Verdana" w:eastAsia="Arial" w:hAnsi="Verdana" w:cs="Arial"/>
          <w:sz w:val="20"/>
          <w:szCs w:val="20"/>
        </w:rPr>
        <w:t>“[…] la acreditación de estar al día con el sistema de seguridad social y aportes parafiscales, se configura en un requisito de admisibilidad de los proponentes, quienes deberán demostrar que han sido cumplidos en su obligación. Ello, porque se trata de un requisito frente a las condiciones del proponente y no relativos al contenido mismo de la oferta”</w:t>
      </w:r>
      <w:r w:rsidRPr="00F65D2B">
        <w:rPr>
          <w:rStyle w:val="Refdenotaalpie"/>
          <w:rFonts w:ascii="Verdana" w:eastAsia="Arial" w:hAnsi="Verdana" w:cs="Arial"/>
          <w:sz w:val="20"/>
          <w:szCs w:val="20"/>
        </w:rPr>
        <w:footnoteReference w:id="4"/>
      </w:r>
    </w:p>
    <w:p w14:paraId="0C34A7D9" w14:textId="77777777" w:rsidR="00625759" w:rsidRPr="00F65D2B" w:rsidRDefault="00625759" w:rsidP="00625759">
      <w:pPr>
        <w:widowControl w:val="0"/>
        <w:autoSpaceDE w:val="0"/>
        <w:autoSpaceDN w:val="0"/>
        <w:spacing w:after="0" w:line="276" w:lineRule="auto"/>
        <w:ind w:left="709" w:right="709"/>
        <w:jc w:val="both"/>
        <w:rPr>
          <w:rFonts w:ascii="Verdana" w:eastAsia="Arial" w:hAnsi="Verdana" w:cs="Arial"/>
        </w:rPr>
      </w:pPr>
    </w:p>
    <w:p w14:paraId="5B17E6AE" w14:textId="77777777" w:rsidR="00625759" w:rsidRPr="00F65D2B" w:rsidRDefault="00625759" w:rsidP="00625759">
      <w:pPr>
        <w:widowControl w:val="0"/>
        <w:autoSpaceDE w:val="0"/>
        <w:autoSpaceDN w:val="0"/>
        <w:spacing w:after="120" w:line="276" w:lineRule="auto"/>
        <w:jc w:val="both"/>
        <w:rPr>
          <w:rFonts w:ascii="Verdana" w:eastAsia="Arial" w:hAnsi="Verdana" w:cs="Arial"/>
        </w:rPr>
      </w:pPr>
      <w:r w:rsidRPr="00F65D2B">
        <w:rPr>
          <w:rFonts w:ascii="Century Gothic" w:eastAsia="Arial" w:hAnsi="Century Gothic" w:cs="Arial"/>
        </w:rPr>
        <w:tab/>
      </w:r>
      <w:r w:rsidRPr="00F65D2B">
        <w:rPr>
          <w:rFonts w:ascii="Verdana" w:eastAsia="Arial" w:hAnsi="Verdana" w:cs="Arial"/>
          <w:bCs/>
        </w:rPr>
        <w:t>2.</w:t>
      </w:r>
      <w:r w:rsidRPr="00F65D2B">
        <w:rPr>
          <w:rFonts w:ascii="Verdana" w:eastAsia="Arial" w:hAnsi="Verdana" w:cs="Arial"/>
        </w:rPr>
        <w:t xml:space="preserve"> En el momento del </w:t>
      </w:r>
      <w:r w:rsidRPr="00F65D2B">
        <w:rPr>
          <w:rFonts w:ascii="Verdana" w:eastAsia="Arial" w:hAnsi="Verdana" w:cs="Arial"/>
          <w:i/>
          <w:iCs/>
        </w:rPr>
        <w:t>perfeccionamiento del contrato estatal</w:t>
      </w:r>
      <w:r w:rsidRPr="00F65D2B">
        <w:rPr>
          <w:rFonts w:ascii="Verdana" w:eastAsia="Arial" w:hAnsi="Verdana" w:cs="Arial"/>
        </w:rPr>
        <w:t>, se hace necesario que la entidad pública verifique que el contratista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3EF9798D" w14:textId="77777777" w:rsidR="00625759" w:rsidRPr="00F65D2B" w:rsidRDefault="00625759" w:rsidP="00625759">
      <w:pPr>
        <w:widowControl w:val="0"/>
        <w:autoSpaceDE w:val="0"/>
        <w:autoSpaceDN w:val="0"/>
        <w:spacing w:after="120" w:line="276" w:lineRule="auto"/>
        <w:jc w:val="both"/>
        <w:rPr>
          <w:rFonts w:ascii="Verdana" w:eastAsia="Arial" w:hAnsi="Verdana" w:cs="Arial"/>
        </w:rPr>
      </w:pPr>
      <w:r w:rsidRPr="00F65D2B">
        <w:rPr>
          <w:rFonts w:ascii="Verdana" w:eastAsia="Arial" w:hAnsi="Verdana" w:cs="Arial"/>
        </w:rPr>
        <w:tab/>
      </w:r>
      <w:r w:rsidRPr="00F65D2B">
        <w:rPr>
          <w:rFonts w:ascii="Verdana" w:eastAsia="Arial" w:hAnsi="Verdana" w:cs="Arial"/>
          <w:bCs/>
        </w:rPr>
        <w:t>3.</w:t>
      </w:r>
      <w:r w:rsidRPr="00F65D2B">
        <w:rPr>
          <w:rFonts w:ascii="Verdana" w:eastAsia="Arial" w:hAnsi="Verdana" w:cs="Arial"/>
        </w:rPr>
        <w:t xml:space="preserve"> El pago de los aportes de Seguridad Social es un </w:t>
      </w:r>
      <w:r w:rsidRPr="00F65D2B">
        <w:rPr>
          <w:rFonts w:ascii="Verdana" w:eastAsia="Arial" w:hAnsi="Verdana" w:cs="Arial"/>
          <w:i/>
          <w:iCs/>
        </w:rPr>
        <w:t>requisito de ejecución</w:t>
      </w:r>
      <w:r w:rsidRPr="00F65D2B">
        <w:rPr>
          <w:rFonts w:ascii="Verdana" w:eastAsia="Arial" w:hAnsi="Verdana" w:cs="Arial"/>
        </w:rPr>
        <w:t xml:space="preserve"> del contrato, es decir, es un elemento </w:t>
      </w:r>
      <w:r w:rsidRPr="00F65D2B">
        <w:rPr>
          <w:rFonts w:ascii="Verdana" w:eastAsia="Arial" w:hAnsi="Verdana" w:cs="Arial"/>
          <w:i/>
        </w:rPr>
        <w:t>sine qua non</w:t>
      </w:r>
      <w:r w:rsidRPr="00F65D2B">
        <w:rPr>
          <w:rFonts w:ascii="Verdana" w:eastAsia="Arial" w:hAnsi="Verdana" w:cs="Arial"/>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atendiendo a principios como el de economía.</w:t>
      </w:r>
    </w:p>
    <w:p w14:paraId="03B8F5FC" w14:textId="77777777" w:rsidR="00625759" w:rsidRPr="00F65D2B" w:rsidRDefault="00625759" w:rsidP="00625759">
      <w:pPr>
        <w:widowControl w:val="0"/>
        <w:autoSpaceDE w:val="0"/>
        <w:autoSpaceDN w:val="0"/>
        <w:spacing w:after="120" w:line="276" w:lineRule="auto"/>
        <w:ind w:firstLine="708"/>
        <w:jc w:val="both"/>
        <w:rPr>
          <w:rFonts w:ascii="Verdana" w:eastAsia="Arial" w:hAnsi="Verdana" w:cs="Arial"/>
        </w:rPr>
      </w:pPr>
      <w:r w:rsidRPr="00F65D2B">
        <w:rPr>
          <w:rFonts w:ascii="Verdana" w:eastAsia="Arial" w:hAnsi="Verdana" w:cs="Arial"/>
        </w:rPr>
        <w:t xml:space="preserve">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69C17D44" w14:textId="77777777" w:rsidR="00625759" w:rsidRPr="00F65D2B" w:rsidRDefault="00625759" w:rsidP="00625759">
      <w:pPr>
        <w:widowControl w:val="0"/>
        <w:autoSpaceDE w:val="0"/>
        <w:autoSpaceDN w:val="0"/>
        <w:spacing w:after="120" w:line="276" w:lineRule="auto"/>
        <w:ind w:firstLine="709"/>
        <w:jc w:val="both"/>
        <w:rPr>
          <w:rFonts w:ascii="Verdana" w:eastAsia="Arial" w:hAnsi="Verdana" w:cs="Arial"/>
        </w:rPr>
      </w:pPr>
      <w:r w:rsidRPr="00F65D2B">
        <w:rPr>
          <w:rFonts w:ascii="Verdana" w:eastAsia="Arial" w:hAnsi="Verdana" w:cs="Arial"/>
          <w:bCs/>
        </w:rPr>
        <w:t>4.</w:t>
      </w:r>
      <w:r w:rsidRPr="00F65D2B">
        <w:rPr>
          <w:rFonts w:ascii="Verdana" w:eastAsia="Arial" w:hAnsi="Verdana" w:cs="Arial"/>
        </w:rPr>
        <w:t xml:space="preserve"> </w:t>
      </w:r>
      <w:r w:rsidRPr="00F65D2B">
        <w:rPr>
          <w:rFonts w:ascii="Verdana" w:eastAsia="Arial" w:hAnsi="Verdana" w:cs="Arial"/>
          <w:i/>
          <w:iCs/>
        </w:rPr>
        <w:t>Durante la ejecución del contrato</w:t>
      </w:r>
      <w:r w:rsidRPr="00F65D2B">
        <w:rPr>
          <w:rFonts w:ascii="Verdana" w:eastAsia="Arial" w:hAnsi="Verdana" w:cs="Arial"/>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3EEF86CD" w14:textId="77777777" w:rsidR="00625759" w:rsidRPr="00F65D2B" w:rsidRDefault="00625759" w:rsidP="00625759">
      <w:pPr>
        <w:widowControl w:val="0"/>
        <w:autoSpaceDE w:val="0"/>
        <w:autoSpaceDN w:val="0"/>
        <w:spacing w:after="120" w:line="276" w:lineRule="auto"/>
        <w:jc w:val="both"/>
        <w:rPr>
          <w:rFonts w:ascii="Verdana" w:eastAsia="Arial" w:hAnsi="Verdana" w:cs="Arial"/>
        </w:rPr>
      </w:pPr>
      <w:r w:rsidRPr="00F65D2B">
        <w:rPr>
          <w:rFonts w:ascii="Verdana" w:eastAsia="Arial" w:hAnsi="Verdana" w:cs="Arial"/>
        </w:rPr>
        <w:tab/>
      </w:r>
      <w:r w:rsidRPr="00F65D2B">
        <w:rPr>
          <w:rFonts w:ascii="Verdana" w:eastAsia="Arial" w:hAnsi="Verdana" w:cs="Arial"/>
          <w:bCs/>
        </w:rPr>
        <w:t>5.</w:t>
      </w:r>
      <w:r w:rsidRPr="00F65D2B">
        <w:rPr>
          <w:rFonts w:ascii="Verdana" w:eastAsia="Arial" w:hAnsi="Verdana" w:cs="Arial"/>
        </w:rPr>
        <w:t xml:space="preserve"> Finalmente,</w:t>
      </w:r>
      <w:r w:rsidRPr="00F65D2B">
        <w:rPr>
          <w:rFonts w:ascii="Verdana" w:eastAsia="Arial" w:hAnsi="Verdana" w:cs="Arial"/>
          <w:spacing w:val="-4"/>
        </w:rPr>
        <w:t xml:space="preserve"> </w:t>
      </w:r>
      <w:r w:rsidRPr="00F65D2B">
        <w:rPr>
          <w:rFonts w:ascii="Verdana" w:eastAsia="Arial" w:hAnsi="Verdana" w:cs="Arial"/>
        </w:rPr>
        <w:t>en</w:t>
      </w:r>
      <w:r w:rsidRPr="00F65D2B">
        <w:rPr>
          <w:rFonts w:ascii="Verdana" w:eastAsia="Arial" w:hAnsi="Verdana" w:cs="Arial"/>
          <w:spacing w:val="-6"/>
        </w:rPr>
        <w:t xml:space="preserve"> </w:t>
      </w:r>
      <w:r w:rsidRPr="00F65D2B">
        <w:rPr>
          <w:rFonts w:ascii="Verdana" w:eastAsia="Arial" w:hAnsi="Verdana" w:cs="Arial"/>
        </w:rPr>
        <w:t>virtud</w:t>
      </w:r>
      <w:r w:rsidRPr="00F65D2B">
        <w:rPr>
          <w:rFonts w:ascii="Verdana" w:eastAsia="Arial" w:hAnsi="Verdana" w:cs="Arial"/>
          <w:spacing w:val="-5"/>
        </w:rPr>
        <w:t xml:space="preserve"> </w:t>
      </w:r>
      <w:r w:rsidRPr="00F65D2B">
        <w:rPr>
          <w:rFonts w:ascii="Verdana" w:eastAsia="Arial" w:hAnsi="Verdana" w:cs="Arial"/>
        </w:rPr>
        <w:t>del</w:t>
      </w:r>
      <w:r w:rsidRPr="00F65D2B">
        <w:rPr>
          <w:rFonts w:ascii="Verdana" w:eastAsia="Arial" w:hAnsi="Verdana" w:cs="Arial"/>
          <w:spacing w:val="-6"/>
        </w:rPr>
        <w:t xml:space="preserve"> </w:t>
      </w:r>
      <w:r w:rsidRPr="00F65D2B">
        <w:rPr>
          <w:rFonts w:ascii="Verdana" w:eastAsia="Arial" w:hAnsi="Verdana" w:cs="Arial"/>
        </w:rPr>
        <w:t>artículo</w:t>
      </w:r>
      <w:r w:rsidRPr="00F65D2B">
        <w:rPr>
          <w:rFonts w:ascii="Verdana" w:eastAsia="Arial" w:hAnsi="Verdana" w:cs="Arial"/>
          <w:spacing w:val="-6"/>
        </w:rPr>
        <w:t xml:space="preserve"> </w:t>
      </w:r>
      <w:r w:rsidRPr="00F65D2B">
        <w:rPr>
          <w:rFonts w:ascii="Verdana" w:eastAsia="Arial" w:hAnsi="Verdana" w:cs="Arial"/>
        </w:rPr>
        <w:t>50</w:t>
      </w:r>
      <w:r w:rsidRPr="00F65D2B">
        <w:rPr>
          <w:rFonts w:ascii="Verdana" w:eastAsia="Arial" w:hAnsi="Verdana" w:cs="Arial"/>
          <w:spacing w:val="-5"/>
        </w:rPr>
        <w:t xml:space="preserve"> </w:t>
      </w:r>
      <w:r w:rsidRPr="00F65D2B">
        <w:rPr>
          <w:rFonts w:ascii="Verdana" w:eastAsia="Arial" w:hAnsi="Verdana" w:cs="Arial"/>
        </w:rPr>
        <w:t>de</w:t>
      </w:r>
      <w:r w:rsidRPr="00F65D2B">
        <w:rPr>
          <w:rFonts w:ascii="Verdana" w:eastAsia="Arial" w:hAnsi="Verdana" w:cs="Arial"/>
          <w:spacing w:val="-6"/>
        </w:rPr>
        <w:t xml:space="preserve"> </w:t>
      </w:r>
      <w:r w:rsidRPr="00F65D2B">
        <w:rPr>
          <w:rFonts w:ascii="Verdana" w:eastAsia="Arial" w:hAnsi="Verdana" w:cs="Arial"/>
        </w:rPr>
        <w:t>la</w:t>
      </w:r>
      <w:r w:rsidRPr="00F65D2B">
        <w:rPr>
          <w:rFonts w:ascii="Verdana" w:eastAsia="Arial" w:hAnsi="Verdana" w:cs="Arial"/>
          <w:spacing w:val="-6"/>
        </w:rPr>
        <w:t xml:space="preserve"> </w:t>
      </w:r>
      <w:r w:rsidRPr="00F65D2B">
        <w:rPr>
          <w:rFonts w:ascii="Verdana" w:eastAsia="Arial" w:hAnsi="Verdana" w:cs="Arial"/>
        </w:rPr>
        <w:t>Ley</w:t>
      </w:r>
      <w:r w:rsidRPr="00F65D2B">
        <w:rPr>
          <w:rFonts w:ascii="Verdana" w:eastAsia="Arial" w:hAnsi="Verdana" w:cs="Arial"/>
          <w:spacing w:val="-5"/>
        </w:rPr>
        <w:t xml:space="preserve"> </w:t>
      </w:r>
      <w:r w:rsidRPr="00F65D2B">
        <w:rPr>
          <w:rFonts w:ascii="Verdana" w:eastAsia="Arial" w:hAnsi="Verdana" w:cs="Arial"/>
        </w:rPr>
        <w:t>789</w:t>
      </w:r>
      <w:r w:rsidRPr="00F65D2B">
        <w:rPr>
          <w:rFonts w:ascii="Verdana" w:eastAsia="Arial" w:hAnsi="Verdana" w:cs="Arial"/>
          <w:spacing w:val="-6"/>
        </w:rPr>
        <w:t xml:space="preserve"> </w:t>
      </w:r>
      <w:r w:rsidRPr="00F65D2B">
        <w:rPr>
          <w:rFonts w:ascii="Verdana" w:eastAsia="Arial" w:hAnsi="Verdana" w:cs="Arial"/>
        </w:rPr>
        <w:t>de</w:t>
      </w:r>
      <w:r w:rsidRPr="00F65D2B">
        <w:rPr>
          <w:rFonts w:ascii="Verdana" w:eastAsia="Arial" w:hAnsi="Verdana" w:cs="Arial"/>
          <w:spacing w:val="-5"/>
        </w:rPr>
        <w:t xml:space="preserve"> </w:t>
      </w:r>
      <w:r w:rsidRPr="00F65D2B">
        <w:rPr>
          <w:rFonts w:ascii="Verdana" w:eastAsia="Arial" w:hAnsi="Verdana" w:cs="Arial"/>
        </w:rPr>
        <w:t>2002,</w:t>
      </w:r>
      <w:r w:rsidRPr="00F65D2B">
        <w:rPr>
          <w:rFonts w:ascii="Verdana" w:eastAsia="Arial" w:hAnsi="Verdana" w:cs="Arial"/>
          <w:spacing w:val="-6"/>
        </w:rPr>
        <w:t xml:space="preserve"> </w:t>
      </w:r>
      <w:r w:rsidRPr="00F65D2B">
        <w:rPr>
          <w:rFonts w:ascii="Verdana" w:eastAsia="Arial" w:hAnsi="Verdana" w:cs="Arial"/>
        </w:rPr>
        <w:t>la</w:t>
      </w:r>
      <w:r w:rsidRPr="00F65D2B">
        <w:rPr>
          <w:rFonts w:ascii="Verdana" w:eastAsia="Arial" w:hAnsi="Verdana" w:cs="Arial"/>
          <w:spacing w:val="-6"/>
        </w:rPr>
        <w:t xml:space="preserve"> </w:t>
      </w:r>
      <w:r w:rsidRPr="00F65D2B">
        <w:rPr>
          <w:rFonts w:ascii="Verdana" w:eastAsia="Arial" w:hAnsi="Verdana" w:cs="Arial"/>
        </w:rPr>
        <w:t>entidad</w:t>
      </w:r>
      <w:r w:rsidRPr="00F65D2B">
        <w:rPr>
          <w:rFonts w:ascii="Verdana" w:eastAsia="Arial" w:hAnsi="Verdana" w:cs="Arial"/>
          <w:spacing w:val="-5"/>
        </w:rPr>
        <w:t xml:space="preserve"> </w:t>
      </w:r>
      <w:r w:rsidRPr="00F65D2B">
        <w:rPr>
          <w:rFonts w:ascii="Verdana" w:eastAsia="Arial" w:hAnsi="Verdana" w:cs="Arial"/>
        </w:rPr>
        <w:t xml:space="preserve">verificará, tanto para las personas naturales como para las jurídicas, la realización de los aportes al Sistema de Seguridad Social Integral, al </w:t>
      </w:r>
      <w:r w:rsidRPr="00F65D2B">
        <w:rPr>
          <w:rFonts w:ascii="Verdana" w:eastAsia="Arial" w:hAnsi="Verdana" w:cs="Arial"/>
          <w:i/>
          <w:iCs/>
        </w:rPr>
        <w:t>momento de su liquidación</w:t>
      </w:r>
      <w:r w:rsidRPr="00F65D2B">
        <w:rPr>
          <w:rFonts w:ascii="Verdana" w:eastAsia="Arial" w:hAnsi="Verdana" w:cs="Arial"/>
        </w:rPr>
        <w:t>, y dejarán constancia del cumplimiento de las obligaciones del contratista frente a los aportes mencionados durante toda su vigencia, estableciendo una correcta relación entre el monto cancelado y las sumas que debieron</w:t>
      </w:r>
      <w:r w:rsidRPr="00F65D2B">
        <w:rPr>
          <w:rFonts w:ascii="Verdana" w:eastAsia="Arial" w:hAnsi="Verdana" w:cs="Arial"/>
          <w:spacing w:val="-9"/>
        </w:rPr>
        <w:t xml:space="preserve"> </w:t>
      </w:r>
      <w:r w:rsidRPr="00F65D2B">
        <w:rPr>
          <w:rFonts w:ascii="Verdana" w:eastAsia="Arial" w:hAnsi="Verdana" w:cs="Arial"/>
        </w:rPr>
        <w:t>cotizar.</w:t>
      </w:r>
    </w:p>
    <w:p w14:paraId="06132BEF" w14:textId="77777777" w:rsidR="00625759" w:rsidRPr="00F65D2B" w:rsidRDefault="00625759" w:rsidP="00625759">
      <w:pPr>
        <w:widowControl w:val="0"/>
        <w:autoSpaceDE w:val="0"/>
        <w:autoSpaceDN w:val="0"/>
        <w:spacing w:after="0" w:line="276" w:lineRule="auto"/>
        <w:ind w:firstLine="709"/>
        <w:jc w:val="both"/>
        <w:rPr>
          <w:rFonts w:ascii="Verdana" w:eastAsia="Arial" w:hAnsi="Verdana" w:cs="Arial"/>
        </w:rPr>
      </w:pPr>
      <w:r w:rsidRPr="00F65D2B">
        <w:rPr>
          <w:rFonts w:ascii="Verdana" w:eastAsia="Arial" w:hAnsi="Verdana" w:cs="Arial"/>
        </w:rPr>
        <w:t xml:space="preserve"> A partir de las reglas mencionadas, se evidencia que estar al día en el pago de las obligaciones relacionadas con el Sistema de Seguridad Social </w:t>
      </w:r>
      <w:r w:rsidRPr="00F65D2B">
        <w:rPr>
          <w:rFonts w:ascii="Verdana" w:eastAsia="Arial" w:hAnsi="Verdana" w:cs="Arial"/>
        </w:rPr>
        <w:lastRenderedPageBreak/>
        <w:t>Integral</w:t>
      </w:r>
      <w:r w:rsidRPr="00F65D2B" w:rsidDel="00822685">
        <w:rPr>
          <w:rFonts w:ascii="Verdana" w:eastAsia="Arial" w:hAnsi="Verdana" w:cs="Arial"/>
        </w:rPr>
        <w:t xml:space="preserve"> </w:t>
      </w:r>
      <w:r w:rsidRPr="00F65D2B">
        <w:rPr>
          <w:rFonts w:ascii="Verdana" w:eastAsia="Arial" w:hAnsi="Verdana" w:cs="Arial"/>
        </w:rPr>
        <w:t>es un requisito cuya verificación debe realizarse en distintos momentos del proceso contractual. Además, dicha verificación deberá efectuarse en relación con todos los contratos que celebren las entidades estatales independientemente de su naturaleza o modalidad de selección.</w:t>
      </w:r>
    </w:p>
    <w:p w14:paraId="288931EA" w14:textId="77777777" w:rsidR="00625759" w:rsidRDefault="00625759" w:rsidP="00625759">
      <w:pPr>
        <w:widowControl w:val="0"/>
        <w:autoSpaceDE w:val="0"/>
        <w:autoSpaceDN w:val="0"/>
        <w:spacing w:before="120" w:after="0" w:line="276" w:lineRule="auto"/>
        <w:ind w:firstLine="709"/>
        <w:jc w:val="both"/>
        <w:rPr>
          <w:rFonts w:ascii="Verdana" w:eastAsia="Arial" w:hAnsi="Verdana" w:cs="Arial"/>
        </w:rPr>
      </w:pPr>
      <w:bookmarkStart w:id="1" w:name="_Hlk80881612"/>
      <w:r w:rsidRPr="00A628AC">
        <w:rPr>
          <w:rFonts w:ascii="Verdana" w:eastAsia="Arial" w:hAnsi="Verdana" w:cs="Arial"/>
        </w:rPr>
        <w:t xml:space="preserve">Ahora bien, los parámetros descritos también se refieren a la forma en que las </w:t>
      </w:r>
      <w:r w:rsidRPr="00DE7DCD">
        <w:rPr>
          <w:rFonts w:ascii="Verdana" w:eastAsia="Arial" w:hAnsi="Verdana" w:cs="Arial"/>
          <w:i/>
          <w:iCs/>
        </w:rPr>
        <w:t>personas jurídicas</w:t>
      </w:r>
      <w:r w:rsidRPr="00A628AC">
        <w:rPr>
          <w:rFonts w:ascii="Verdana" w:eastAsia="Arial" w:hAnsi="Verdana" w:cs="Arial"/>
        </w:rPr>
        <w:t xml:space="preserve"> deben acreditar el cumplimiento de sus obligaciones frente al Sistema de Seguridad Social. En este sentido, el artículo 50 de la Ley 789 de 2002 establece que aquellas deben acreditar el pago de los aportes de sus </w:t>
      </w:r>
      <w:r w:rsidRPr="00DE7DCD">
        <w:rPr>
          <w:rFonts w:ascii="Verdana" w:eastAsia="Arial" w:hAnsi="Verdana" w:cs="Arial"/>
          <w:i/>
          <w:iCs/>
        </w:rPr>
        <w:t>empleados</w:t>
      </w:r>
      <w:r w:rsidRPr="00A628AC">
        <w:rPr>
          <w:rFonts w:ascii="Verdana" w:eastAsia="Arial" w:hAnsi="Verdana" w:cs="Arial"/>
        </w:rPr>
        <w:t>, lo cual se predica únicamente respecto de quienes tengan la calidad de trabajadores vinculados mediante contrato de trabajo, conforme a lo dispuesto en los artículos 22 y 23 del Código Sustantivo del Trabajo. En consecuencia, si una sociedad manifiesta no contar con trabajadores dependientes, corresponderá a la entidad estatal, en el marco de su autonomía y de conformidad con los principios de la contratación pública, verificar los medios de prueba que permitan establecer a ciencia cierta la veracidad de tal manifestación, teniendo en cuenta que actualmente no existe una disposición normativa que regule de manera expresa cómo debe acreditarse dicha circunstancia.</w:t>
      </w:r>
    </w:p>
    <w:p w14:paraId="324C996D" w14:textId="77777777" w:rsidR="00625759" w:rsidRPr="00F65D2B" w:rsidRDefault="00625759" w:rsidP="00625759">
      <w:pPr>
        <w:widowControl w:val="0"/>
        <w:autoSpaceDE w:val="0"/>
        <w:autoSpaceDN w:val="0"/>
        <w:spacing w:before="120" w:after="0" w:line="276" w:lineRule="auto"/>
        <w:ind w:firstLine="709"/>
        <w:jc w:val="both"/>
        <w:rPr>
          <w:rFonts w:ascii="Verdana" w:eastAsia="Arial" w:hAnsi="Verdana" w:cs="Arial"/>
        </w:rPr>
      </w:pPr>
      <w:r>
        <w:rPr>
          <w:rFonts w:ascii="Verdana" w:eastAsia="Arial" w:hAnsi="Verdana" w:cs="Arial"/>
        </w:rPr>
        <w:t>De otro lado,</w:t>
      </w:r>
      <w:r w:rsidRPr="00A628AC">
        <w:rPr>
          <w:rFonts w:ascii="Verdana" w:eastAsia="Arial" w:hAnsi="Verdana" w:cs="Arial"/>
        </w:rPr>
        <w:t xml:space="preserve"> debe recordarse que el artículo 84 de la Constitución Política prohíbe exigir a los particulares requisitos adicionales a los previstos en la ley, razón por la cual no resulta procedente requerir la presentación de planillas de aportes o la acreditación de pagos respecto de contratistas independientes, dado que la obligación legal se refiere de manera exclusiva a los trabajadores dependientes.</w:t>
      </w:r>
      <w:r w:rsidRPr="00F65D2B">
        <w:rPr>
          <w:rFonts w:ascii="Verdana" w:eastAsia="Arial" w:hAnsi="Verdana" w:cs="Arial"/>
        </w:rPr>
        <w:t xml:space="preserve"> </w:t>
      </w:r>
    </w:p>
    <w:p w14:paraId="3FA6C603" w14:textId="77777777" w:rsidR="00625759" w:rsidRPr="00F65D2B" w:rsidRDefault="00625759" w:rsidP="00625759">
      <w:pPr>
        <w:widowControl w:val="0"/>
        <w:autoSpaceDE w:val="0"/>
        <w:autoSpaceDN w:val="0"/>
        <w:spacing w:before="120" w:after="0" w:line="276" w:lineRule="auto"/>
        <w:ind w:firstLine="709"/>
        <w:jc w:val="both"/>
        <w:rPr>
          <w:rFonts w:ascii="Verdana" w:eastAsia="Arial" w:hAnsi="Verdana" w:cs="Arial"/>
        </w:rPr>
      </w:pPr>
      <w:r w:rsidRPr="00F65D2B">
        <w:rPr>
          <w:rFonts w:ascii="Verdana" w:eastAsia="Arial" w:hAnsi="Verdana" w:cs="Arial"/>
        </w:rPr>
        <w:t xml:space="preserve">En ese sentido, los proponentes que tengan la calidad de </w:t>
      </w:r>
      <w:r w:rsidRPr="00F65D2B">
        <w:rPr>
          <w:rFonts w:ascii="Verdana" w:eastAsia="Arial" w:hAnsi="Verdana" w:cs="Arial"/>
          <w:i/>
          <w:iCs/>
        </w:rPr>
        <w:t>personas jurídicas</w:t>
      </w:r>
      <w:r w:rsidRPr="00F65D2B">
        <w:rPr>
          <w:rFonts w:ascii="Verdana" w:eastAsia="Arial" w:hAnsi="Verdana" w:cs="Arial"/>
        </w:rPr>
        <w:t xml:space="preserve">, como las sociedades colombianas o las sociedades extranjeras con sucursal en Colombia, únicamente están obligados a acreditar el pago de aportes al Sistema de Seguridad Social respecto de las personas que efectivamente tengan la calidad de trabajadores dependientes, como podría ser el caso de los representantes legales que sean vinculados mediante contrato de trabajo. En concordancia, no resulta exigible acreditar dichos pagos en relación con los representantes legales u otros miembros de la sociedad cuya vinculación se origine en una modalidad distinta, como es el caso de los contratos de prestación de servicios, dado que en tales eventos la obligación de aportar corresponde directamente al contratista independiente y no a la persona jurídica. </w:t>
      </w:r>
    </w:p>
    <w:p w14:paraId="7C072BA4" w14:textId="77777777" w:rsidR="00625759" w:rsidRPr="00F65D2B" w:rsidRDefault="00625759" w:rsidP="00625759">
      <w:pPr>
        <w:widowControl w:val="0"/>
        <w:autoSpaceDE w:val="0"/>
        <w:autoSpaceDN w:val="0"/>
        <w:spacing w:before="120" w:after="0" w:line="276" w:lineRule="auto"/>
        <w:ind w:firstLine="709"/>
        <w:jc w:val="both"/>
        <w:rPr>
          <w:rFonts w:ascii="Verdana" w:eastAsia="Arial" w:hAnsi="Verdana" w:cs="Arial"/>
        </w:rPr>
      </w:pPr>
      <w:r w:rsidRPr="00F65D2B">
        <w:rPr>
          <w:rFonts w:ascii="Verdana" w:eastAsia="Arial" w:hAnsi="Verdana" w:cs="Arial"/>
        </w:rPr>
        <w:t xml:space="preserve">De cualquier modo, la persona jurídica deberá aportar, con la presentación </w:t>
      </w:r>
      <w:r w:rsidRPr="00F65D2B">
        <w:rPr>
          <w:rFonts w:ascii="Verdana" w:eastAsia="Arial" w:hAnsi="Verdana" w:cs="Arial"/>
        </w:rPr>
        <w:lastRenderedPageBreak/>
        <w:t>de la oferta, la certificación y comprobantes de pago de los aportes al Sistema de Seguridad Social respecto de los representantes legales que tengan la condición de trabajadores dependientes. Este requisito constituye, por mandato legal, un criterio de admisibilidad de la propuesta, sin perjuicio de que durante la ejecución del contrato deba acreditarse nuevamente como condición para el reconocimiento y pago de las cuentas o facturas correspondientes, y, en los casos en que proceda, como requisito para la liquidación del contrato.</w:t>
      </w:r>
    </w:p>
    <w:p w14:paraId="3A222884" w14:textId="77777777" w:rsidR="00625759" w:rsidRPr="00F65D2B" w:rsidRDefault="00625759" w:rsidP="00625759">
      <w:pPr>
        <w:widowControl w:val="0"/>
        <w:autoSpaceDE w:val="0"/>
        <w:autoSpaceDN w:val="0"/>
        <w:spacing w:before="120" w:after="0" w:line="276" w:lineRule="auto"/>
        <w:ind w:firstLine="709"/>
        <w:jc w:val="both"/>
        <w:rPr>
          <w:rFonts w:ascii="Verdana" w:eastAsia="Arial" w:hAnsi="Verdana" w:cs="Arial"/>
        </w:rPr>
      </w:pPr>
      <w:r w:rsidRPr="00F65D2B">
        <w:rPr>
          <w:rFonts w:ascii="Verdana" w:eastAsia="Arial" w:hAnsi="Verdana" w:cs="Arial"/>
        </w:rPr>
        <w:t xml:space="preserve">Asimismo, se desprende de lo expuesto que, cuando el representante legal tenga la condición de </w:t>
      </w:r>
      <w:r w:rsidRPr="00F65D2B">
        <w:rPr>
          <w:rFonts w:ascii="Verdana" w:eastAsia="Arial" w:hAnsi="Verdana" w:cs="Arial"/>
          <w:i/>
          <w:iCs/>
        </w:rPr>
        <w:t>empleado</w:t>
      </w:r>
      <w:r w:rsidRPr="00F65D2B">
        <w:rPr>
          <w:rFonts w:ascii="Verdana" w:eastAsia="Arial" w:hAnsi="Verdana" w:cs="Arial"/>
        </w:rPr>
        <w:t xml:space="preserve">, la </w:t>
      </w:r>
      <w:r w:rsidRPr="00F65D2B">
        <w:rPr>
          <w:rFonts w:ascii="Verdana" w:eastAsia="Arial" w:hAnsi="Verdana" w:cs="Arial"/>
          <w:i/>
          <w:iCs/>
        </w:rPr>
        <w:t>persona jurídica</w:t>
      </w:r>
      <w:r w:rsidRPr="00F65D2B">
        <w:rPr>
          <w:rFonts w:ascii="Verdana" w:eastAsia="Arial" w:hAnsi="Verdana" w:cs="Arial"/>
        </w:rPr>
        <w:t xml:space="preserve"> proponente deberá acreditar el cumplimiento integral de las obligaciones “con los sistemas de salud, riesgos profesionales, pensiones y aportes a las Cajas de Compensación Familiar, Instituto Colombiano de Bienestar Familiar y Servicio Nacional de Aprendizaje, cuando a ello haya lugar”, en los términos del artículo 50 de la Ley 789 de 2002. </w:t>
      </w:r>
      <w:r>
        <w:rPr>
          <w:rFonts w:ascii="Verdana" w:eastAsia="Arial" w:hAnsi="Verdana" w:cs="Arial"/>
        </w:rPr>
        <w:t>A</w:t>
      </w:r>
      <w:r w:rsidRPr="00F65D2B">
        <w:rPr>
          <w:rFonts w:ascii="Verdana" w:eastAsia="Arial" w:hAnsi="Verdana" w:cs="Arial"/>
        </w:rPr>
        <w:t xml:space="preserve"> modo de ejemplo, en el evento en que se trate de una persona jurídica extrajera, no será jurídicamente válido que aquella pretenda acreditar dicho cumplimiento mediante el pago a sistemas de seguridad social extranjeros, dado que la obligación legal recae sobre el Sistema de Seguridad Social Integral colombiano.</w:t>
      </w:r>
    </w:p>
    <w:p w14:paraId="4B792632" w14:textId="77777777" w:rsidR="00625759" w:rsidRPr="00F65D2B" w:rsidRDefault="00625759" w:rsidP="00625759">
      <w:pPr>
        <w:widowControl w:val="0"/>
        <w:autoSpaceDE w:val="0"/>
        <w:autoSpaceDN w:val="0"/>
        <w:spacing w:before="120" w:after="0" w:line="276" w:lineRule="auto"/>
        <w:ind w:firstLine="708"/>
        <w:jc w:val="both"/>
        <w:rPr>
          <w:rStyle w:val="normaltextrun"/>
          <w:rFonts w:ascii="Verdana" w:hAnsi="Verdana"/>
          <w:shd w:val="clear" w:color="auto" w:fill="FFFFFF"/>
        </w:rPr>
      </w:pPr>
      <w:r w:rsidRPr="00F65D2B">
        <w:rPr>
          <w:rFonts w:ascii="Verdana" w:eastAsia="Arial" w:hAnsi="Verdana" w:cs="Arial"/>
        </w:rPr>
        <w:t xml:space="preserve"> En el caso de las sociedades extranjeras con domicilio en Colombia, </w:t>
      </w:r>
      <w:bookmarkEnd w:id="1"/>
      <w:r w:rsidRPr="00F65D2B">
        <w:rPr>
          <w:rFonts w:ascii="Verdana" w:eastAsia="Arial" w:hAnsi="Verdana" w:cs="Arial"/>
        </w:rPr>
        <w:t xml:space="preserve">es necesario resaltar que </w:t>
      </w:r>
      <w:r w:rsidRPr="00F65D2B">
        <w:rPr>
          <w:rStyle w:val="normaltextrun"/>
          <w:rFonts w:ascii="Verdana" w:hAnsi="Verdana"/>
          <w:shd w:val="clear" w:color="auto" w:fill="FFFFFF"/>
        </w:rPr>
        <w:t xml:space="preserve">la presencia de la sucursal en este territorio supone el cumplimiento de las obligaciones previstas en el ordenamiento jurídico, ya que “Es deber de los nacionales y de los extranjeros en Colombia acatar la Constitución y las leyes, y respetar y obedecer a las autoridades” –art. 3, inc. 2, de la Constitución Política–, por lo que “La ley es obligatoria tanto a los nacionales como a los extranjeros residentes en Colombia” –art. 18 del Código Civil–. Por ejemplo, en materia de obligaciones con el Sistema de Seguridad Social Colombiano, dichas sociedades deberán acatar lo establecido en el numeral 3.4 del artículo 153 de la Ley 100 de 1993, modificado por el artículo 3 de la </w:t>
      </w:r>
      <w:r w:rsidRPr="00F65D2B">
        <w:rPr>
          <w:rFonts w:ascii="Verdana" w:hAnsi="Verdana"/>
          <w:shd w:val="clear" w:color="auto" w:fill="FFFFFF"/>
        </w:rPr>
        <w:t>Ley 1438 de 2011,</w:t>
      </w:r>
      <w:r w:rsidRPr="00F65D2B">
        <w:rPr>
          <w:rStyle w:val="normaltextrun"/>
          <w:rFonts w:ascii="Verdana" w:hAnsi="Verdana"/>
          <w:shd w:val="clear" w:color="auto" w:fill="FFFFFF"/>
        </w:rPr>
        <w:t xml:space="preserve"> según el cual “la afiliación al Sistema General de Seguridad Social en Salud es obligatoria para todos los residentes en Colombia”.  </w:t>
      </w:r>
    </w:p>
    <w:p w14:paraId="01BB28A1" w14:textId="77777777" w:rsidR="00625759" w:rsidRPr="00F65D2B" w:rsidRDefault="00625759" w:rsidP="00625759">
      <w:pPr>
        <w:widowControl w:val="0"/>
        <w:autoSpaceDE w:val="0"/>
        <w:autoSpaceDN w:val="0"/>
        <w:spacing w:before="120" w:after="0" w:line="276" w:lineRule="auto"/>
        <w:ind w:firstLine="708"/>
        <w:jc w:val="both"/>
        <w:rPr>
          <w:rFonts w:ascii="Verdana" w:hAnsi="Verdana"/>
          <w:shd w:val="clear" w:color="auto" w:fill="FFFFFF"/>
        </w:rPr>
      </w:pPr>
      <w:r w:rsidRPr="00F65D2B">
        <w:rPr>
          <w:rStyle w:val="normaltextrun"/>
          <w:rFonts w:ascii="Verdana" w:hAnsi="Verdana"/>
          <w:shd w:val="clear" w:color="auto" w:fill="FFFFFF"/>
        </w:rPr>
        <w:t xml:space="preserve">Por otra parte, con respecto a los proponentes plurales, </w:t>
      </w:r>
      <w:r w:rsidRPr="00F65D2B">
        <w:rPr>
          <w:rFonts w:ascii="Verdana" w:hAnsi="Verdana"/>
          <w:shd w:val="clear" w:color="auto" w:fill="FFFFFF"/>
        </w:rPr>
        <w:t xml:space="preserve">se resalta que la obligación establecida en el artículo 50 </w:t>
      </w:r>
      <w:r w:rsidRPr="00F65D2B">
        <w:rPr>
          <w:rFonts w:ascii="Verdana" w:eastAsia="Arial" w:hAnsi="Verdana" w:cs="Arial"/>
        </w:rPr>
        <w:t>de</w:t>
      </w:r>
      <w:r w:rsidRPr="00F65D2B">
        <w:rPr>
          <w:rFonts w:ascii="Verdana" w:eastAsia="Arial" w:hAnsi="Verdana" w:cs="Arial"/>
          <w:spacing w:val="-5"/>
        </w:rPr>
        <w:t xml:space="preserve"> </w:t>
      </w:r>
      <w:r w:rsidRPr="00F65D2B">
        <w:rPr>
          <w:rFonts w:ascii="Verdana" w:eastAsia="Arial" w:hAnsi="Verdana" w:cs="Arial"/>
        </w:rPr>
        <w:t>la</w:t>
      </w:r>
      <w:r w:rsidRPr="00F65D2B">
        <w:rPr>
          <w:rFonts w:ascii="Verdana" w:eastAsia="Arial" w:hAnsi="Verdana" w:cs="Arial"/>
          <w:spacing w:val="-6"/>
        </w:rPr>
        <w:t xml:space="preserve"> </w:t>
      </w:r>
      <w:r w:rsidRPr="00F65D2B">
        <w:rPr>
          <w:rFonts w:ascii="Verdana" w:eastAsia="Arial" w:hAnsi="Verdana" w:cs="Arial"/>
        </w:rPr>
        <w:t>Ley</w:t>
      </w:r>
      <w:r w:rsidRPr="00F65D2B">
        <w:rPr>
          <w:rFonts w:ascii="Verdana" w:eastAsia="Arial" w:hAnsi="Verdana" w:cs="Arial"/>
          <w:spacing w:val="-5"/>
        </w:rPr>
        <w:t xml:space="preserve"> </w:t>
      </w:r>
      <w:r w:rsidRPr="00F65D2B">
        <w:rPr>
          <w:rFonts w:ascii="Verdana" w:eastAsia="Arial" w:hAnsi="Verdana" w:cs="Arial"/>
        </w:rPr>
        <w:t>789</w:t>
      </w:r>
      <w:r w:rsidRPr="00F65D2B">
        <w:rPr>
          <w:rFonts w:ascii="Verdana" w:eastAsia="Arial" w:hAnsi="Verdana" w:cs="Arial"/>
          <w:spacing w:val="-6"/>
        </w:rPr>
        <w:t xml:space="preserve"> </w:t>
      </w:r>
      <w:r w:rsidRPr="00F65D2B">
        <w:rPr>
          <w:rFonts w:ascii="Verdana" w:eastAsia="Arial" w:hAnsi="Verdana" w:cs="Arial"/>
        </w:rPr>
        <w:t>de</w:t>
      </w:r>
      <w:r w:rsidRPr="00F65D2B">
        <w:rPr>
          <w:rFonts w:ascii="Verdana" w:eastAsia="Arial" w:hAnsi="Verdana" w:cs="Arial"/>
          <w:spacing w:val="-6"/>
        </w:rPr>
        <w:t xml:space="preserve"> </w:t>
      </w:r>
      <w:r w:rsidRPr="00F65D2B">
        <w:rPr>
          <w:rFonts w:ascii="Verdana" w:eastAsia="Arial" w:hAnsi="Verdana" w:cs="Arial"/>
        </w:rPr>
        <w:t>2002 se refiere indistintamente a todo particular que pretenda la celebración, renovación o liquidación de contratos con entidades del sector público.</w:t>
      </w:r>
      <w:r w:rsidRPr="00F65D2B">
        <w:rPr>
          <w:rFonts w:ascii="Verdana" w:hAnsi="Verdana"/>
          <w:shd w:val="clear" w:color="auto" w:fill="FFFFFF"/>
        </w:rPr>
        <w:t xml:space="preserve"> De esta manera, en el caso de consorcios o uniones temporales, </w:t>
      </w:r>
      <w:r w:rsidRPr="00F65D2B">
        <w:rPr>
          <w:rFonts w:ascii="Verdana" w:hAnsi="Verdana"/>
          <w:i/>
          <w:iCs/>
          <w:shd w:val="clear" w:color="auto" w:fill="FFFFFF"/>
        </w:rPr>
        <w:t xml:space="preserve">cada uno de sus miembros </w:t>
      </w:r>
      <w:r w:rsidRPr="00F65D2B">
        <w:rPr>
          <w:rFonts w:ascii="Verdana" w:hAnsi="Verdana"/>
          <w:shd w:val="clear" w:color="auto" w:fill="FFFFFF"/>
        </w:rPr>
        <w:t xml:space="preserve">deberá </w:t>
      </w:r>
      <w:r w:rsidRPr="00F65D2B">
        <w:rPr>
          <w:rFonts w:ascii="Verdana" w:hAnsi="Verdana"/>
          <w:shd w:val="clear" w:color="auto" w:fill="FFFFFF"/>
        </w:rPr>
        <w:lastRenderedPageBreak/>
        <w:t xml:space="preserve">acreditar que se encuentra afiliado y al día en el pago de los aportes al Sistema de Seguridad Social y aportes parafiscales. Así, el cumplimiento de la obligación se acreditará dependiendo de la naturaleza jurídica de los integrantes, es decir, de si el miembro de la estructura plural es una persona natural o una persona jurídica. En este último supuesto, será procedente la regla antes expuesta frente a la acreditación de los pagos de los representantes legales que cumplan con la condición de “empleados” de la persona jurídica. </w:t>
      </w:r>
    </w:p>
    <w:p w14:paraId="04126183" w14:textId="77777777" w:rsidR="00625759" w:rsidRDefault="00625759" w:rsidP="00625759">
      <w:pPr>
        <w:widowControl w:val="0"/>
        <w:autoSpaceDE w:val="0"/>
        <w:autoSpaceDN w:val="0"/>
        <w:spacing w:before="120" w:after="0" w:line="276" w:lineRule="auto"/>
        <w:ind w:firstLine="708"/>
        <w:jc w:val="both"/>
        <w:rPr>
          <w:rFonts w:ascii="Verdana" w:hAnsi="Verdana"/>
          <w:shd w:val="clear" w:color="auto" w:fill="FFFFFF"/>
        </w:rPr>
      </w:pPr>
      <w:r w:rsidRPr="00F65D2B">
        <w:rPr>
          <w:rFonts w:ascii="Verdana" w:hAnsi="Verdana"/>
          <w:shd w:val="clear" w:color="auto" w:fill="FFFFFF"/>
        </w:rPr>
        <w:t xml:space="preserve">Como se observa, en el caso de las estructuras plurales la norma exige que cada uno de sus miembros acredite el cumplimiento de la obligación en comento. En consecuencia, esta obligación no es extensiva a los representantes legales del consorcio o de la unión temporal, pues al no contar con personería jurídica, sus miembros conservan independencia y la verificación de los requisitos habilitantes se observa respecto de cada uno de ellos. Adicionalmente, la obligación de estar a paz y salvo con respecto al Sistema de Seguridad Social Integral se predica del proponente o contratista, no de su representante legal. Así, será́ el consocio o la unión temporal, y no sus representantes legales, quienes deberán cumplir con dicho requerimiento, acreditando que cada uno de sus integrantes se encuentre afiliado y al día en el pago de los aportes. </w:t>
      </w:r>
    </w:p>
    <w:p w14:paraId="50339AD5" w14:textId="77777777" w:rsidR="00625759" w:rsidRPr="005C1B0B" w:rsidRDefault="00625759" w:rsidP="00625759">
      <w:pPr>
        <w:widowControl w:val="0"/>
        <w:autoSpaceDE w:val="0"/>
        <w:autoSpaceDN w:val="0"/>
        <w:spacing w:before="120" w:after="0" w:line="276" w:lineRule="auto"/>
        <w:ind w:firstLine="708"/>
        <w:jc w:val="both"/>
        <w:rPr>
          <w:rFonts w:ascii="Verdana" w:hAnsi="Verdana"/>
          <w:shd w:val="clear" w:color="auto" w:fill="FFFFFF"/>
        </w:rPr>
      </w:pPr>
      <w:r w:rsidRPr="005C1B0B">
        <w:rPr>
          <w:rFonts w:ascii="Verdana" w:hAnsi="Verdana"/>
          <w:shd w:val="clear" w:color="auto" w:fill="FFFFFF"/>
        </w:rPr>
        <w:t xml:space="preserve">De lo expuesto se concluye que la obligación prevista en el artículo 50 de la Ley 789 de 2002 recae sobre las personas jurídicas que tengan trabajadores vinculados mediante contrato de trabajo, en los términos de los artículos 22 y 23 del Código Sustantivo del Trabajo. </w:t>
      </w:r>
      <w:r>
        <w:rPr>
          <w:rFonts w:ascii="Verdana" w:hAnsi="Verdana"/>
          <w:shd w:val="clear" w:color="auto" w:fill="FFFFFF"/>
        </w:rPr>
        <w:t>En otras palabras</w:t>
      </w:r>
      <w:r w:rsidRPr="005C1B0B">
        <w:rPr>
          <w:rFonts w:ascii="Verdana" w:hAnsi="Verdana"/>
          <w:shd w:val="clear" w:color="auto" w:fill="FFFFFF"/>
        </w:rPr>
        <w:t>, cuando una sociedad no cuente con empleados, no se encuentra obligada a acreditar el pago de aportes al Sistema de Seguridad Social por dicho concepto.</w:t>
      </w:r>
    </w:p>
    <w:p w14:paraId="66C7CFB5" w14:textId="77777777" w:rsidR="00625759" w:rsidRPr="00A711B2" w:rsidRDefault="00625759" w:rsidP="00625759">
      <w:pPr>
        <w:widowControl w:val="0"/>
        <w:autoSpaceDE w:val="0"/>
        <w:autoSpaceDN w:val="0"/>
        <w:spacing w:before="120" w:after="0" w:line="276" w:lineRule="auto"/>
        <w:ind w:firstLine="708"/>
        <w:jc w:val="both"/>
        <w:rPr>
          <w:rFonts w:ascii="Verdana" w:hAnsi="Verdana"/>
          <w:shd w:val="clear" w:color="auto" w:fill="FFFFFF"/>
        </w:rPr>
      </w:pPr>
      <w:r w:rsidRPr="00A711B2">
        <w:rPr>
          <w:rFonts w:ascii="Verdana" w:hAnsi="Verdana"/>
          <w:shd w:val="clear" w:color="auto" w:fill="FFFFFF"/>
        </w:rPr>
        <w:t>No obstante, debe advertirse que las normas que regulan la materia no contemplan una disposición que defina de manera expresa cómo acreditar la inexistencia de trabajadores vinculados. Por tal razón, corresponde a las entidades estatales, en el marco de su autonomía, verificar los medios de prueba que aporte el proponente o contratista, de manera que resulte posible establecer con certeza la veracidad de la manifestación realizada.</w:t>
      </w:r>
    </w:p>
    <w:p w14:paraId="1A784AB7" w14:textId="77777777" w:rsidR="00625759" w:rsidRPr="00A711B2" w:rsidRDefault="00625759" w:rsidP="00625759">
      <w:pPr>
        <w:widowControl w:val="0"/>
        <w:autoSpaceDE w:val="0"/>
        <w:autoSpaceDN w:val="0"/>
        <w:spacing w:before="120" w:after="0" w:line="276" w:lineRule="auto"/>
        <w:ind w:firstLine="708"/>
        <w:jc w:val="both"/>
        <w:rPr>
          <w:rFonts w:ascii="Verdana" w:hAnsi="Verdana"/>
          <w:shd w:val="clear" w:color="auto" w:fill="FFFFFF"/>
        </w:rPr>
      </w:pPr>
      <w:r w:rsidRPr="00A711B2">
        <w:rPr>
          <w:rFonts w:ascii="Verdana" w:hAnsi="Verdana"/>
          <w:shd w:val="clear" w:color="auto" w:fill="FFFFFF"/>
        </w:rPr>
        <w:t>En este sentido, la certificación mencionada puede constituir un elemento a valorar por la entidad estatal, sin que ello implique que se trate de un soporte único o suficiente en sí mismo, pues será la entidad quien, atendiendo a las circunstancias del caso concreto, determine la idoneidad de los documentos presentados para dar cumplimiento a lo previsto en el artículo 50 de la Ley 789 de 2002.</w:t>
      </w:r>
    </w:p>
    <w:p w14:paraId="13D720E8" w14:textId="77777777" w:rsidR="00625759" w:rsidRPr="00F65D2B" w:rsidRDefault="00625759" w:rsidP="00625759">
      <w:pPr>
        <w:widowControl w:val="0"/>
        <w:autoSpaceDE w:val="0"/>
        <w:autoSpaceDN w:val="0"/>
        <w:spacing w:after="0" w:line="276" w:lineRule="auto"/>
        <w:ind w:firstLine="708"/>
        <w:jc w:val="both"/>
        <w:rPr>
          <w:rFonts w:ascii="Verdana" w:hAnsi="Verdana"/>
          <w:shd w:val="clear" w:color="auto" w:fill="FFFFFF"/>
        </w:rPr>
      </w:pPr>
    </w:p>
    <w:p w14:paraId="3F161044" w14:textId="77777777" w:rsidR="00625759" w:rsidRPr="00F65D2B" w:rsidRDefault="00625759" w:rsidP="00625759">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65D2B">
        <w:rPr>
          <w:rFonts w:ascii="Verdana" w:eastAsia="Century Gothic" w:hAnsi="Verdana" w:cs="Century Gothic"/>
          <w:b/>
          <w:bCs/>
          <w:color w:val="000000" w:themeColor="text1"/>
        </w:rPr>
        <w:t>Referencias normativas, jurisprudenciales y otras fuentes:</w:t>
      </w:r>
    </w:p>
    <w:p w14:paraId="4C7ACC15" w14:textId="77777777" w:rsidR="00625759" w:rsidRPr="00F65D2B" w:rsidRDefault="00625759" w:rsidP="00625759">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25759" w:rsidRPr="00F65D2B" w14:paraId="57B0756E" w14:textId="77777777" w:rsidTr="003F327E">
        <w:trPr>
          <w:trHeight w:val="870"/>
        </w:trPr>
        <w:tc>
          <w:tcPr>
            <w:tcW w:w="8647" w:type="dxa"/>
          </w:tcPr>
          <w:p w14:paraId="1DF41121" w14:textId="77777777" w:rsidR="00625759" w:rsidRPr="00F65D2B" w:rsidRDefault="00625759" w:rsidP="00625759">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F65D2B">
              <w:rPr>
                <w:rFonts w:ascii="Verdana" w:hAnsi="Verdana" w:cs="Arial"/>
                <w:color w:val="000000" w:themeColor="text1"/>
              </w:rPr>
              <w:t>Ley 80 de 1993: artículos 13</w:t>
            </w:r>
            <w:r>
              <w:rPr>
                <w:rFonts w:ascii="Verdana" w:hAnsi="Verdana" w:cs="Arial"/>
                <w:color w:val="000000" w:themeColor="text1"/>
              </w:rPr>
              <w:t xml:space="preserve"> </w:t>
            </w:r>
            <w:r w:rsidRPr="00F65D2B">
              <w:rPr>
                <w:rFonts w:ascii="Verdana" w:hAnsi="Verdana" w:cs="Arial"/>
                <w:color w:val="000000" w:themeColor="text1"/>
              </w:rPr>
              <w:t>y 41.</w:t>
            </w:r>
          </w:p>
          <w:p w14:paraId="3741EE1D" w14:textId="77777777" w:rsidR="00625759" w:rsidRPr="00F65D2B" w:rsidRDefault="00625759" w:rsidP="00625759">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F65D2B">
              <w:rPr>
                <w:rFonts w:ascii="Verdana" w:hAnsi="Verdana" w:cs="Arial"/>
                <w:color w:val="000000" w:themeColor="text1"/>
              </w:rPr>
              <w:t>Ley 100 de 1993:</w:t>
            </w:r>
            <w:r w:rsidRPr="00F65D2B">
              <w:rPr>
                <w:rStyle w:val="normaltextrun"/>
                <w:rFonts w:ascii="Verdana" w:hAnsi="Verdana"/>
                <w:shd w:val="clear" w:color="auto" w:fill="FFFFFF"/>
              </w:rPr>
              <w:t xml:space="preserve"> artículo 153.</w:t>
            </w:r>
          </w:p>
          <w:p w14:paraId="7758A12E" w14:textId="77777777" w:rsidR="00625759" w:rsidRPr="00F65D2B" w:rsidRDefault="00625759" w:rsidP="00625759">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F65D2B">
              <w:rPr>
                <w:rFonts w:ascii="Verdana" w:hAnsi="Verdana" w:cs="Arial"/>
                <w:color w:val="000000" w:themeColor="text1"/>
              </w:rPr>
              <w:t>Ley 789 de 2002: artículo 50.</w:t>
            </w:r>
          </w:p>
          <w:p w14:paraId="1E2C48F7" w14:textId="77777777" w:rsidR="00625759" w:rsidRPr="00F65D2B" w:rsidRDefault="00625759" w:rsidP="00625759">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F65D2B">
              <w:rPr>
                <w:rFonts w:ascii="Verdana" w:hAnsi="Verdana" w:cs="Arial"/>
                <w:color w:val="000000" w:themeColor="text1"/>
              </w:rPr>
              <w:t>Ley 1150 de 2007: artículos 5 y 23.</w:t>
            </w:r>
          </w:p>
          <w:p w14:paraId="23F7EAE6" w14:textId="77777777" w:rsidR="00625759" w:rsidRPr="00F65D2B" w:rsidRDefault="00625759" w:rsidP="00625759">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F65D2B">
              <w:rPr>
                <w:rFonts w:ascii="Verdana" w:hAnsi="Verdana" w:cs="Arial"/>
                <w:color w:val="000000" w:themeColor="text1"/>
              </w:rPr>
              <w:t xml:space="preserve">Consejo de Estado. Sección Tercera. Radicación Número: 20001-23-31-000-2005-00409-01(AP). Sentencia del 8 de junio de 2011. Consejero Ponente: Enrique Gil Botero. Disponible en: </w:t>
            </w:r>
            <w:hyperlink r:id="rId9" w:history="1">
              <w:r w:rsidRPr="00F65D2B">
                <w:rPr>
                  <w:rFonts w:ascii="Verdana" w:hAnsi="Verdana" w:cs="Arial"/>
                  <w:color w:val="000000" w:themeColor="text1"/>
                </w:rPr>
                <w:t>https://relatoria.colombiacompra.gov.co/providencias-consejo-de-estado/</w:t>
              </w:r>
            </w:hyperlink>
            <w:r w:rsidRPr="00F65D2B">
              <w:rPr>
                <w:rFonts w:ascii="Verdana" w:hAnsi="Verdana" w:cs="Arial"/>
                <w:color w:val="000000" w:themeColor="text1"/>
              </w:rPr>
              <w:t xml:space="preserve"> </w:t>
            </w:r>
          </w:p>
          <w:p w14:paraId="78FB31BF" w14:textId="77777777" w:rsidR="00625759" w:rsidRPr="00DA5360" w:rsidRDefault="00625759" w:rsidP="00625759">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F65D2B">
              <w:rPr>
                <w:rFonts w:ascii="Verdana" w:hAnsi="Verdana" w:cs="Arial"/>
                <w:color w:val="000000" w:themeColor="text1"/>
              </w:rPr>
              <w:t xml:space="preserve">Consejo de Estado. Sección Tercera. Subsección C. Exp. 05001-23-31-000-2005-04664-02 (47.156). Sentencia del 24 de julio de 2024. Consejero Ponente: William Barrera Muñoz. Disponible en: </w:t>
            </w:r>
            <w:hyperlink r:id="rId10" w:history="1">
              <w:r w:rsidRPr="00C9193B">
                <w:rPr>
                  <w:rStyle w:val="Hipervnculo"/>
                  <w:rFonts w:ascii="Verdana" w:hAnsi="Verdana" w:cs="Arial"/>
                </w:rPr>
                <w:t>https://relatoria.colombiacompra.gov.co/providencias-consejo-de-estado</w:t>
              </w:r>
              <w:r w:rsidRPr="00C9193B">
                <w:rPr>
                  <w:rStyle w:val="Hipervnculo"/>
                </w:rPr>
                <w:t>/</w:t>
              </w:r>
            </w:hyperlink>
            <w:r>
              <w:t xml:space="preserve">  </w:t>
            </w:r>
          </w:p>
        </w:tc>
      </w:tr>
    </w:tbl>
    <w:p w14:paraId="2795DF58" w14:textId="77777777" w:rsidR="00625759" w:rsidRPr="00F65D2B" w:rsidRDefault="00625759" w:rsidP="00625759">
      <w:pPr>
        <w:widowControl w:val="0"/>
        <w:autoSpaceDE w:val="0"/>
        <w:autoSpaceDN w:val="0"/>
        <w:spacing w:after="0" w:line="276" w:lineRule="auto"/>
        <w:jc w:val="both"/>
        <w:rPr>
          <w:rFonts w:ascii="Verdana" w:hAnsi="Verdana" w:cs="Arial"/>
          <w:color w:val="000000" w:themeColor="text1"/>
        </w:rPr>
      </w:pPr>
    </w:p>
    <w:p w14:paraId="3BA5F967" w14:textId="77777777" w:rsidR="00625759" w:rsidRPr="00F65D2B" w:rsidRDefault="00625759" w:rsidP="00625759">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65D2B">
        <w:rPr>
          <w:rFonts w:ascii="Verdana" w:eastAsia="Century Gothic" w:hAnsi="Verdana" w:cs="Century Gothic"/>
          <w:b/>
          <w:bCs/>
          <w:color w:val="000000" w:themeColor="text1"/>
        </w:rPr>
        <w:t>Doctrina de la Agencia Nacional de Contratación Pública:</w:t>
      </w:r>
    </w:p>
    <w:p w14:paraId="695DB45D" w14:textId="77777777" w:rsidR="00625759" w:rsidRPr="00F65D2B" w:rsidRDefault="00625759" w:rsidP="00625759">
      <w:pPr>
        <w:widowControl w:val="0"/>
        <w:autoSpaceDE w:val="0"/>
        <w:autoSpaceDN w:val="0"/>
        <w:spacing w:after="0" w:line="276" w:lineRule="auto"/>
        <w:jc w:val="both"/>
        <w:rPr>
          <w:rFonts w:ascii="Verdana" w:hAnsi="Verdana" w:cs="Arial"/>
          <w:color w:val="000000" w:themeColor="text1"/>
        </w:rPr>
      </w:pPr>
    </w:p>
    <w:p w14:paraId="4ADD4CB8" w14:textId="77777777" w:rsidR="00625759" w:rsidRDefault="00625759" w:rsidP="00625759">
      <w:pPr>
        <w:widowControl w:val="0"/>
        <w:autoSpaceDE w:val="0"/>
        <w:autoSpaceDN w:val="0"/>
        <w:spacing w:after="0" w:line="276" w:lineRule="auto"/>
        <w:jc w:val="both"/>
        <w:rPr>
          <w:rStyle w:val="normaltextrun"/>
          <w:rFonts w:ascii="Verdana" w:hAnsi="Verdana" w:cs="Arial"/>
          <w:color w:val="000000" w:themeColor="text1"/>
          <w:shd w:val="clear" w:color="auto" w:fill="FFFFFF"/>
        </w:rPr>
      </w:pPr>
      <w:r w:rsidRPr="00F65D2B">
        <w:rPr>
          <w:rStyle w:val="normaltextrun"/>
          <w:rFonts w:ascii="Verdana" w:hAnsi="Verdana" w:cs="Arial"/>
          <w:color w:val="000000" w:themeColor="text1"/>
          <w:shd w:val="clear" w:color="auto" w:fill="FFFFFF"/>
        </w:rPr>
        <w:t>La Agencia Nacional de Contratación Pública – Colombia Compra Eficiente ha analizado la verificación del pago de la Seguridad Social en los conceptos C-040 de 5 de febrero de 2020 y, C-042 de 5 de febrero de 2020, C-205 del 07 de abril de 2020, C-134 del 07 de abril de 2021, C-181 de 7 de abril de 2022, C-679 del 14 de octubre de 2022, C-778 del 29 de noviembre de 2022, C-110 de 14 de junio de 2024, C-273 del 22 de agosto de 2024, C-779 del 12 de noviembre de 2024, C-909 de 17 de diciembre de 2024</w:t>
      </w:r>
      <w:r>
        <w:rPr>
          <w:rStyle w:val="normaltextrun"/>
          <w:rFonts w:ascii="Verdana" w:hAnsi="Verdana" w:cs="Arial"/>
          <w:color w:val="000000" w:themeColor="text1"/>
          <w:shd w:val="clear" w:color="auto" w:fill="FFFFFF"/>
        </w:rPr>
        <w:t>,</w:t>
      </w:r>
      <w:r w:rsidRPr="00F65D2B">
        <w:rPr>
          <w:rStyle w:val="normaltextrun"/>
          <w:rFonts w:ascii="Verdana" w:hAnsi="Verdana" w:cs="Arial"/>
          <w:color w:val="000000" w:themeColor="text1"/>
          <w:shd w:val="clear" w:color="auto" w:fill="FFFFFF"/>
        </w:rPr>
        <w:t xml:space="preserve"> C-074 de 20 de febrero de 2025,</w:t>
      </w:r>
      <w:r>
        <w:rPr>
          <w:rStyle w:val="normaltextrun"/>
          <w:rFonts w:ascii="Verdana" w:hAnsi="Verdana" w:cs="Arial"/>
          <w:color w:val="000000" w:themeColor="text1"/>
          <w:shd w:val="clear" w:color="auto" w:fill="FFFFFF"/>
        </w:rPr>
        <w:t xml:space="preserve"> C-233 del 1 de abril de 2025, </w:t>
      </w:r>
      <w:r w:rsidRPr="00F65D2B">
        <w:rPr>
          <w:rStyle w:val="normaltextrun"/>
          <w:rFonts w:ascii="Verdana" w:hAnsi="Verdana" w:cs="Arial"/>
          <w:color w:val="000000" w:themeColor="text1"/>
          <w:shd w:val="clear" w:color="auto" w:fill="FFFFFF"/>
        </w:rPr>
        <w:t>entre otros</w:t>
      </w:r>
      <w:r w:rsidRPr="00F65D2B">
        <w:rPr>
          <w:rFonts w:ascii="Verdana" w:hAnsi="Verdana"/>
          <w:color w:val="000000" w:themeColor="text1"/>
        </w:rPr>
        <w:t>.</w:t>
      </w:r>
      <w:r w:rsidRPr="00F65D2B">
        <w:rPr>
          <w:rFonts w:ascii="Verdana" w:hAnsi="Verdana" w:cs="Arial"/>
          <w:color w:val="000000" w:themeColor="text1"/>
          <w:shd w:val="clear" w:color="auto" w:fill="FFFFFF"/>
        </w:rPr>
        <w:t xml:space="preserve"> Estos </w:t>
      </w:r>
      <w:r w:rsidRPr="00F65D2B">
        <w:rPr>
          <w:rStyle w:val="normaltextrun"/>
          <w:rFonts w:ascii="Verdana" w:hAnsi="Verdana" w:cs="Arial"/>
          <w:color w:val="000000" w:themeColor="text1"/>
          <w:shd w:val="clear" w:color="auto" w:fill="FFFFFF"/>
        </w:rPr>
        <w:t>se encuentran disponibles para consulta en el Sistema de relatoría de la Agencia, al cual puede accederse a través del siguiente enlace:</w:t>
      </w:r>
    </w:p>
    <w:p w14:paraId="26D50F21" w14:textId="77777777" w:rsidR="00625759" w:rsidRDefault="00625759" w:rsidP="00625759">
      <w:pPr>
        <w:widowControl w:val="0"/>
        <w:autoSpaceDE w:val="0"/>
        <w:autoSpaceDN w:val="0"/>
        <w:spacing w:after="0" w:line="276" w:lineRule="auto"/>
        <w:jc w:val="both"/>
        <w:rPr>
          <w:rStyle w:val="normaltextrun"/>
          <w:rFonts w:ascii="Verdana" w:hAnsi="Verdana" w:cs="Arial"/>
          <w:color w:val="000000" w:themeColor="text1"/>
          <w:shd w:val="clear" w:color="auto" w:fill="FFFFFF"/>
        </w:rPr>
      </w:pPr>
    </w:p>
    <w:p w14:paraId="56B2281F" w14:textId="77777777" w:rsidR="00625759" w:rsidRPr="00F65D2B" w:rsidRDefault="00000000" w:rsidP="00625759">
      <w:pPr>
        <w:widowControl w:val="0"/>
        <w:autoSpaceDE w:val="0"/>
        <w:autoSpaceDN w:val="0"/>
        <w:spacing w:after="0" w:line="276" w:lineRule="auto"/>
        <w:jc w:val="both"/>
        <w:rPr>
          <w:rStyle w:val="normaltextrun"/>
          <w:rFonts w:ascii="Verdana" w:hAnsi="Verdana" w:cs="Arial"/>
          <w:color w:val="000000" w:themeColor="text1"/>
          <w:shd w:val="clear" w:color="auto" w:fill="FFFFFF"/>
        </w:rPr>
      </w:pPr>
      <w:hyperlink r:id="rId11" w:history="1">
        <w:r w:rsidR="00625759" w:rsidRPr="00F65D2B">
          <w:rPr>
            <w:rStyle w:val="Hipervnculo"/>
            <w:rFonts w:ascii="Verdana" w:hAnsi="Verdana" w:cs="Arial"/>
            <w:shd w:val="clear" w:color="auto" w:fill="FFFFFF"/>
          </w:rPr>
          <w:t>https://relatoria.colombiacompra.gov.co/busqueda/conceptos</w:t>
        </w:r>
      </w:hyperlink>
      <w:r w:rsidR="00625759" w:rsidRPr="00F65D2B">
        <w:rPr>
          <w:rStyle w:val="Hipervnculo"/>
          <w:rFonts w:ascii="Verdana" w:hAnsi="Verdana"/>
        </w:rPr>
        <w:t>.</w:t>
      </w:r>
      <w:r w:rsidR="00625759" w:rsidRPr="00F65D2B">
        <w:rPr>
          <w:rStyle w:val="normaltextrun"/>
          <w:rFonts w:ascii="Verdana" w:hAnsi="Verdana" w:cs="Arial"/>
          <w:color w:val="000000" w:themeColor="text1"/>
          <w:shd w:val="clear" w:color="auto" w:fill="FFFFFF"/>
        </w:rPr>
        <w:t xml:space="preserve">  </w:t>
      </w:r>
    </w:p>
    <w:p w14:paraId="0BBA23E0" w14:textId="77777777" w:rsidR="00625759" w:rsidRPr="00F65D2B" w:rsidRDefault="00625759" w:rsidP="00625759">
      <w:pPr>
        <w:widowControl w:val="0"/>
        <w:autoSpaceDE w:val="0"/>
        <w:autoSpaceDN w:val="0"/>
        <w:spacing w:after="0" w:line="276" w:lineRule="auto"/>
        <w:jc w:val="both"/>
        <w:rPr>
          <w:rStyle w:val="normaltextrun"/>
          <w:rFonts w:ascii="Verdana" w:hAnsi="Verdana" w:cs="Arial"/>
          <w:color w:val="000000" w:themeColor="text1"/>
          <w:shd w:val="clear" w:color="auto" w:fill="FFFFFF"/>
        </w:rPr>
      </w:pPr>
    </w:p>
    <w:p w14:paraId="7EFF1074" w14:textId="77777777" w:rsidR="00625759" w:rsidRPr="00067BB4" w:rsidRDefault="00625759" w:rsidP="00625759">
      <w:pPr>
        <w:spacing w:after="0" w:line="276" w:lineRule="auto"/>
        <w:jc w:val="both"/>
        <w:rPr>
          <w:rFonts w:ascii="Verdana" w:hAnsi="Verdana"/>
        </w:rPr>
      </w:pPr>
      <w:r w:rsidRPr="00067BB4">
        <w:rPr>
          <w:rFonts w:ascii="Verdana" w:hAnsi="Verdana"/>
        </w:rPr>
        <w:t>También le contamos que ya se encuentra disponible la </w:t>
      </w:r>
      <w:r w:rsidRPr="00067BB4">
        <w:rPr>
          <w:rFonts w:ascii="Verdana" w:hAnsi="Verdana"/>
          <w:b/>
          <w:bCs/>
        </w:rPr>
        <w:t>Guía de lineamientos de transparencia y selección objetiva para el departamento de La Guajira – Objetivo sexto constitucional de la Sentencia T-302 del 2017. </w:t>
      </w:r>
      <w:r w:rsidRPr="00067BB4">
        <w:rPr>
          <w:rFonts w:ascii="Verdana" w:hAnsi="Verdana"/>
        </w:rPr>
        <w:t xml:space="preserve">Esta Guía se expedide en el marco del cumplimiento de la orden proferida </w:t>
      </w:r>
      <w:r w:rsidRPr="00067BB4">
        <w:rPr>
          <w:rFonts w:ascii="Verdana" w:hAnsi="Verdana"/>
        </w:rPr>
        <w:lastRenderedPageBreak/>
        <w:t>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067BB4">
          <w:rPr>
            <w:rStyle w:val="Hipervnculo"/>
            <w:rFonts w:ascii="Verdana" w:hAnsi="Verdana"/>
          </w:rPr>
          <w:t>Guía de lineamientos de transparencia y selección objetiva para el departamento de La Guajira – Objetivo sexto constitucional de la Sentencia T-302 del 2017</w:t>
        </w:r>
      </w:hyperlink>
    </w:p>
    <w:p w14:paraId="1A27284E" w14:textId="77777777" w:rsidR="00625759" w:rsidRPr="00DC212C" w:rsidRDefault="00625759" w:rsidP="00625759">
      <w:pPr>
        <w:spacing w:after="0" w:line="276" w:lineRule="auto"/>
        <w:jc w:val="both"/>
        <w:rPr>
          <w:rFonts w:ascii="Verdana" w:eastAsia="Calibri" w:hAnsi="Verdana" w:cs="Arial"/>
          <w:color w:val="000000"/>
          <w:shd w:val="clear" w:color="auto" w:fill="FFFFFF"/>
        </w:rPr>
      </w:pPr>
    </w:p>
    <w:p w14:paraId="6B41FD0B" w14:textId="77777777" w:rsidR="00625759" w:rsidRPr="00DC212C" w:rsidRDefault="00625759" w:rsidP="00625759">
      <w:pPr>
        <w:spacing w:after="0"/>
        <w:jc w:val="both"/>
        <w:rPr>
          <w:rFonts w:ascii="Verdana" w:hAnsi="Verdana"/>
        </w:rPr>
      </w:pPr>
      <w:r>
        <w:rPr>
          <w:rFonts w:ascii="Verdana" w:hAnsi="Verdana"/>
        </w:rPr>
        <w:t>Aprovechamos</w:t>
      </w:r>
      <w:r w:rsidRPr="00DC212C">
        <w:rPr>
          <w:rFonts w:ascii="Verdana" w:hAnsi="Verdana"/>
        </w:rPr>
        <w:t xml:space="preserve">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D957E7D" w14:textId="77777777" w:rsidR="00625759" w:rsidRPr="00DC212C" w:rsidRDefault="00625759" w:rsidP="00625759">
      <w:pPr>
        <w:spacing w:after="0" w:line="240" w:lineRule="auto"/>
        <w:jc w:val="both"/>
        <w:rPr>
          <w:rFonts w:ascii="Verdana" w:hAnsi="Verdana"/>
        </w:rPr>
      </w:pPr>
    </w:p>
    <w:p w14:paraId="4B22660A" w14:textId="77777777" w:rsidR="00625759" w:rsidRPr="00DC212C" w:rsidRDefault="00625759" w:rsidP="00625759">
      <w:pPr>
        <w:pStyle w:val="Prrafodelista"/>
        <w:numPr>
          <w:ilvl w:val="0"/>
          <w:numId w:val="1"/>
        </w:numPr>
        <w:spacing w:after="0" w:line="240" w:lineRule="auto"/>
        <w:jc w:val="both"/>
        <w:rPr>
          <w:rFonts w:ascii="Verdana" w:hAnsi="Verdana"/>
        </w:rPr>
      </w:pPr>
      <w:r w:rsidRPr="00DC212C">
        <w:rPr>
          <w:rFonts w:ascii="Verdana" w:hAnsi="Verdana"/>
        </w:rPr>
        <w:t>Línea nacional gratuita o servicio a la ciudadanía: 01800 0520808</w:t>
      </w:r>
    </w:p>
    <w:p w14:paraId="01B1654E" w14:textId="77777777" w:rsidR="00625759" w:rsidRPr="00DC212C" w:rsidRDefault="00625759" w:rsidP="00625759">
      <w:pPr>
        <w:pStyle w:val="Prrafodelista"/>
        <w:numPr>
          <w:ilvl w:val="0"/>
          <w:numId w:val="1"/>
        </w:numPr>
        <w:spacing w:after="0" w:line="240" w:lineRule="auto"/>
        <w:jc w:val="both"/>
        <w:rPr>
          <w:rFonts w:ascii="Verdana" w:hAnsi="Verdana"/>
        </w:rPr>
      </w:pPr>
      <w:r w:rsidRPr="00DC212C">
        <w:rPr>
          <w:rFonts w:ascii="Verdana" w:hAnsi="Verdana"/>
        </w:rPr>
        <w:t>Línea en Bogotá (Mesa de servicio): +57 601 7456788</w:t>
      </w:r>
    </w:p>
    <w:p w14:paraId="0D880262" w14:textId="77777777" w:rsidR="00625759" w:rsidRPr="00DC212C" w:rsidRDefault="00625759" w:rsidP="00625759">
      <w:pPr>
        <w:pStyle w:val="Prrafodelista"/>
        <w:numPr>
          <w:ilvl w:val="0"/>
          <w:numId w:val="1"/>
        </w:numPr>
        <w:spacing w:after="0" w:line="240" w:lineRule="auto"/>
        <w:jc w:val="both"/>
        <w:rPr>
          <w:rFonts w:ascii="Verdana" w:hAnsi="Verdana"/>
        </w:rPr>
      </w:pPr>
      <w:r w:rsidRPr="00DC212C">
        <w:rPr>
          <w:rFonts w:ascii="Verdana" w:hAnsi="Verdana"/>
        </w:rPr>
        <w:t>Línea de servicio y atención al ciudadano: +57 601 7956600</w:t>
      </w:r>
    </w:p>
    <w:p w14:paraId="35D0210D" w14:textId="77777777" w:rsidR="00625759" w:rsidRPr="00DC212C" w:rsidRDefault="00625759" w:rsidP="00625759">
      <w:pPr>
        <w:pStyle w:val="Prrafodelista"/>
        <w:numPr>
          <w:ilvl w:val="0"/>
          <w:numId w:val="1"/>
        </w:numPr>
        <w:spacing w:after="0" w:line="240" w:lineRule="auto"/>
        <w:jc w:val="both"/>
        <w:rPr>
          <w:rFonts w:ascii="Verdana" w:hAnsi="Verdana"/>
        </w:rPr>
      </w:pPr>
      <w:r w:rsidRPr="00DC212C">
        <w:rPr>
          <w:rFonts w:ascii="Verdana" w:hAnsi="Verdana"/>
        </w:rPr>
        <w:t xml:space="preserve">Página web: </w:t>
      </w:r>
      <w:hyperlink r:id="rId13" w:history="1">
        <w:r w:rsidRPr="00DC212C">
          <w:rPr>
            <w:rStyle w:val="Hipervnculo"/>
            <w:rFonts w:ascii="Verdana" w:hAnsi="Verdana"/>
          </w:rPr>
          <w:t>www.colombiacompra.gov.co</w:t>
        </w:r>
      </w:hyperlink>
    </w:p>
    <w:p w14:paraId="0C90CA17" w14:textId="77777777" w:rsidR="00625759" w:rsidRPr="00DC212C" w:rsidRDefault="00625759" w:rsidP="00625759">
      <w:pPr>
        <w:pStyle w:val="Prrafodelista"/>
        <w:spacing w:after="0" w:line="240" w:lineRule="auto"/>
        <w:ind w:left="785"/>
        <w:jc w:val="both"/>
        <w:rPr>
          <w:rFonts w:ascii="Verdana" w:hAnsi="Verdana"/>
        </w:rPr>
      </w:pPr>
    </w:p>
    <w:p w14:paraId="29A58A15" w14:textId="77777777" w:rsidR="00625759" w:rsidRPr="00DC212C" w:rsidRDefault="00625759" w:rsidP="00625759">
      <w:pPr>
        <w:spacing w:after="0" w:line="240" w:lineRule="auto"/>
        <w:jc w:val="both"/>
        <w:rPr>
          <w:rFonts w:ascii="Verdana" w:hAnsi="Verdana"/>
        </w:rPr>
      </w:pPr>
      <w:r w:rsidRPr="00DC212C">
        <w:rPr>
          <w:rFonts w:ascii="Verdana" w:hAnsi="Verdana"/>
        </w:rPr>
        <w:t xml:space="preserve">Por último, lo invitamos a seguirnos en las redes sociales en las cuales se difunde información institucional: </w:t>
      </w:r>
    </w:p>
    <w:p w14:paraId="4EAF042C" w14:textId="77777777" w:rsidR="00625759" w:rsidRPr="00DC212C" w:rsidRDefault="00625759" w:rsidP="00625759">
      <w:pPr>
        <w:spacing w:after="0" w:line="240" w:lineRule="auto"/>
        <w:jc w:val="both"/>
        <w:rPr>
          <w:rFonts w:ascii="Verdana" w:hAnsi="Verdana"/>
        </w:rPr>
      </w:pPr>
    </w:p>
    <w:p w14:paraId="2B3FDCD5" w14:textId="77777777" w:rsidR="00625759" w:rsidRPr="00DC212C" w:rsidRDefault="00625759" w:rsidP="00625759">
      <w:pPr>
        <w:spacing w:after="0" w:line="240" w:lineRule="auto"/>
        <w:jc w:val="both"/>
        <w:rPr>
          <w:rFonts w:ascii="Verdana" w:hAnsi="Verdana"/>
        </w:rPr>
      </w:pPr>
      <w:r w:rsidRPr="00DC212C">
        <w:rPr>
          <w:rFonts w:ascii="Verdana" w:hAnsi="Verdana"/>
        </w:rPr>
        <w:t xml:space="preserve">Twitter: </w:t>
      </w:r>
      <w:r w:rsidRPr="00DC212C">
        <w:rPr>
          <w:rStyle w:val="Hipervnculo"/>
          <w:rFonts w:ascii="Verdana" w:hAnsi="Verdana"/>
        </w:rPr>
        <w:t>@colombiacompra</w:t>
      </w:r>
      <w:r w:rsidRPr="00DC212C">
        <w:rPr>
          <w:rFonts w:ascii="Verdana" w:hAnsi="Verdana"/>
        </w:rPr>
        <w:t xml:space="preserve"> </w:t>
      </w:r>
    </w:p>
    <w:p w14:paraId="4C07B0D8" w14:textId="77777777" w:rsidR="00625759" w:rsidRPr="00DC212C" w:rsidRDefault="00625759" w:rsidP="00625759">
      <w:pPr>
        <w:spacing w:after="0" w:line="240" w:lineRule="auto"/>
        <w:jc w:val="both"/>
        <w:rPr>
          <w:rFonts w:ascii="Verdana" w:hAnsi="Verdana"/>
        </w:rPr>
      </w:pPr>
      <w:r w:rsidRPr="00DC212C">
        <w:rPr>
          <w:rFonts w:ascii="Verdana" w:hAnsi="Verdana"/>
        </w:rPr>
        <w:t xml:space="preserve">Facebook: </w:t>
      </w:r>
      <w:r w:rsidRPr="00DC212C">
        <w:rPr>
          <w:rStyle w:val="Hipervnculo"/>
          <w:rFonts w:ascii="Verdana" w:hAnsi="Verdana"/>
        </w:rPr>
        <w:t>ColombiaCompraEficiente</w:t>
      </w:r>
    </w:p>
    <w:p w14:paraId="5E1823A9" w14:textId="77777777" w:rsidR="00625759" w:rsidRPr="00DC212C" w:rsidRDefault="00625759" w:rsidP="00625759">
      <w:pPr>
        <w:spacing w:after="0" w:line="240" w:lineRule="auto"/>
        <w:jc w:val="both"/>
        <w:rPr>
          <w:rFonts w:ascii="Verdana" w:hAnsi="Verdana"/>
        </w:rPr>
      </w:pPr>
      <w:r w:rsidRPr="00DC212C">
        <w:rPr>
          <w:rFonts w:ascii="Verdana" w:hAnsi="Verdana"/>
        </w:rPr>
        <w:t xml:space="preserve">LinkedIn: </w:t>
      </w:r>
      <w:r w:rsidRPr="00DC212C">
        <w:rPr>
          <w:rStyle w:val="Hipervnculo"/>
          <w:rFonts w:ascii="Verdana" w:hAnsi="Verdana"/>
        </w:rPr>
        <w:t>Agencia Nacional de Contratación Pública - Colombia Compra Eficiente</w:t>
      </w:r>
      <w:r w:rsidRPr="00DC212C">
        <w:rPr>
          <w:rFonts w:ascii="Verdana" w:hAnsi="Verdana"/>
        </w:rPr>
        <w:t xml:space="preserve"> Instagram: </w:t>
      </w:r>
      <w:r w:rsidRPr="00DC212C">
        <w:rPr>
          <w:rStyle w:val="Hipervnculo"/>
          <w:rFonts w:ascii="Verdana" w:hAnsi="Verdana"/>
        </w:rPr>
        <w:t>@colombiacompraeficiente_cce</w:t>
      </w:r>
    </w:p>
    <w:p w14:paraId="5F1CF863" w14:textId="77777777" w:rsidR="00625759" w:rsidRPr="00F65D2B" w:rsidRDefault="00625759" w:rsidP="00625759">
      <w:pPr>
        <w:widowControl w:val="0"/>
        <w:autoSpaceDE w:val="0"/>
        <w:autoSpaceDN w:val="0"/>
        <w:spacing w:after="0" w:line="276" w:lineRule="auto"/>
        <w:jc w:val="both"/>
        <w:rPr>
          <w:rFonts w:ascii="Verdana" w:hAnsi="Verdana" w:cs="Arial"/>
          <w:color w:val="000000" w:themeColor="text1"/>
        </w:rPr>
      </w:pPr>
    </w:p>
    <w:p w14:paraId="7571E0AD" w14:textId="77777777" w:rsidR="00625759" w:rsidRPr="00F65D2B" w:rsidRDefault="00625759" w:rsidP="00625759">
      <w:pPr>
        <w:widowControl w:val="0"/>
        <w:autoSpaceDE w:val="0"/>
        <w:autoSpaceDN w:val="0"/>
        <w:spacing w:after="0" w:line="276" w:lineRule="auto"/>
        <w:jc w:val="both"/>
        <w:rPr>
          <w:rFonts w:ascii="Verdana" w:hAnsi="Verdana" w:cs="Arial"/>
          <w:color w:val="000000" w:themeColor="text1"/>
        </w:rPr>
      </w:pPr>
      <w:r w:rsidRPr="00F65D2B">
        <w:rPr>
          <w:rFonts w:ascii="Verdana" w:hAnsi="Verdana" w:cs="Arial"/>
          <w:color w:val="000000" w:themeColor="text1"/>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CC55093" w14:textId="77777777" w:rsidR="00625759" w:rsidRPr="00F65D2B" w:rsidRDefault="00625759" w:rsidP="00625759">
      <w:pPr>
        <w:widowControl w:val="0"/>
        <w:autoSpaceDE w:val="0"/>
        <w:autoSpaceDN w:val="0"/>
        <w:spacing w:after="0" w:line="276" w:lineRule="auto"/>
        <w:jc w:val="both"/>
        <w:rPr>
          <w:rFonts w:ascii="Verdana" w:hAnsi="Verdana" w:cs="Arial"/>
          <w:color w:val="000000" w:themeColor="text1"/>
        </w:rPr>
      </w:pPr>
    </w:p>
    <w:p w14:paraId="28B0D778" w14:textId="77777777" w:rsidR="00625759" w:rsidRDefault="00625759" w:rsidP="00625759">
      <w:pPr>
        <w:spacing w:after="0" w:line="276" w:lineRule="auto"/>
        <w:rPr>
          <w:rFonts w:ascii="Verdana" w:hAnsi="Verdana" w:cs="Arial"/>
          <w:color w:val="000000" w:themeColor="text1"/>
          <w:lang w:eastAsia="es-CO"/>
        </w:rPr>
      </w:pPr>
      <w:r w:rsidRPr="00F65D2B">
        <w:rPr>
          <w:rFonts w:ascii="Verdana" w:eastAsia="Times New Roman" w:hAnsi="Verdana" w:cs="Arial"/>
          <w:color w:val="000000" w:themeColor="text1"/>
          <w:lang w:eastAsia="es-CO"/>
        </w:rPr>
        <w:t>Atentamente,</w:t>
      </w:r>
      <w:r w:rsidRPr="00F65D2B">
        <w:rPr>
          <w:rFonts w:ascii="Verdana" w:hAnsi="Verdana" w:cs="Arial"/>
          <w:color w:val="000000" w:themeColor="text1"/>
          <w:lang w:eastAsia="es-CO"/>
        </w:rPr>
        <w:t xml:space="preserve"> </w:t>
      </w:r>
    </w:p>
    <w:p w14:paraId="2346D5AF" w14:textId="25DF3A1B" w:rsidR="00625759" w:rsidRPr="00F65D2B" w:rsidRDefault="00044A56" w:rsidP="00625759">
      <w:pPr>
        <w:spacing w:after="0" w:line="276" w:lineRule="auto"/>
        <w:jc w:val="center"/>
        <w:rPr>
          <w:rFonts w:ascii="Verdana" w:hAnsi="Verdana" w:cs="Arial"/>
          <w:color w:val="000000" w:themeColor="text1"/>
          <w:lang w:eastAsia="es-CO"/>
        </w:rPr>
      </w:pPr>
      <w:r w:rsidRPr="004D5C25">
        <w:rPr>
          <w:rFonts w:ascii="Century Gothic" w:hAnsi="Century Gothic"/>
          <w:noProof/>
        </w:rPr>
        <w:lastRenderedPageBreak/>
        <w:drawing>
          <wp:inline distT="0" distB="0" distL="0" distR="0" wp14:anchorId="7FC4EC2E" wp14:editId="40A5A0C4">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25759" w:rsidRPr="00F65D2B" w14:paraId="670EEB96" w14:textId="77777777" w:rsidTr="003F327E">
        <w:trPr>
          <w:trHeight w:val="315"/>
        </w:trPr>
        <w:tc>
          <w:tcPr>
            <w:tcW w:w="893" w:type="dxa"/>
            <w:vAlign w:val="center"/>
            <w:hideMark/>
          </w:tcPr>
          <w:p w14:paraId="6F80722A" w14:textId="77777777" w:rsidR="00625759" w:rsidRPr="00F65D2B" w:rsidRDefault="00625759" w:rsidP="003F327E">
            <w:pPr>
              <w:contextualSpacing/>
              <w:rPr>
                <w:rFonts w:ascii="Verdana" w:hAnsi="Verdana" w:cs="Arial"/>
                <w:sz w:val="16"/>
                <w:szCs w:val="16"/>
                <w:lang w:eastAsia="es-ES"/>
              </w:rPr>
            </w:pPr>
            <w:r w:rsidRPr="00F65D2B">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DA89C10" w14:textId="77777777" w:rsidR="00625759" w:rsidRPr="00DC212C" w:rsidRDefault="00625759" w:rsidP="003F327E">
            <w:pPr>
              <w:spacing w:line="256" w:lineRule="auto"/>
              <w:rPr>
                <w:rFonts w:ascii="Verdana" w:eastAsia="Calibri" w:hAnsi="Verdana" w:cs="Times New Roman"/>
                <w:sz w:val="16"/>
                <w:szCs w:val="16"/>
              </w:rPr>
            </w:pPr>
            <w:r>
              <w:rPr>
                <w:rFonts w:ascii="Verdana" w:eastAsia="Calibri" w:hAnsi="Verdana" w:cs="Times New Roman"/>
                <w:sz w:val="16"/>
                <w:szCs w:val="16"/>
              </w:rPr>
              <w:t>Sergio Enrique Caballero Lesmes</w:t>
            </w:r>
          </w:p>
          <w:p w14:paraId="3877CD62" w14:textId="77777777" w:rsidR="00625759" w:rsidRPr="00F65D2B" w:rsidRDefault="00625759" w:rsidP="003F327E">
            <w:pPr>
              <w:contextualSpacing/>
              <w:rPr>
                <w:rFonts w:ascii="Verdana" w:eastAsia="Arial" w:hAnsi="Verdana" w:cs="Arial"/>
                <w:sz w:val="16"/>
                <w:szCs w:val="16"/>
              </w:rPr>
            </w:pPr>
            <w:r>
              <w:rPr>
                <w:rFonts w:ascii="Verdana" w:eastAsia="Calibri" w:hAnsi="Verdana" w:cs="Times New Roman"/>
                <w:sz w:val="16"/>
                <w:szCs w:val="16"/>
              </w:rPr>
              <w:t>Analista T1 -02</w:t>
            </w:r>
            <w:r w:rsidRPr="00DC212C">
              <w:rPr>
                <w:rFonts w:ascii="Verdana" w:eastAsia="Calibri" w:hAnsi="Verdana" w:cs="Times New Roman"/>
                <w:sz w:val="16"/>
                <w:szCs w:val="16"/>
              </w:rPr>
              <w:t xml:space="preserve"> de la Subdirección de Gestión Contractual</w:t>
            </w:r>
          </w:p>
        </w:tc>
      </w:tr>
      <w:tr w:rsidR="00625759" w:rsidRPr="00F65D2B" w14:paraId="06902C7D" w14:textId="77777777" w:rsidTr="003F327E">
        <w:trPr>
          <w:trHeight w:val="330"/>
        </w:trPr>
        <w:tc>
          <w:tcPr>
            <w:tcW w:w="893" w:type="dxa"/>
            <w:vAlign w:val="center"/>
            <w:hideMark/>
          </w:tcPr>
          <w:p w14:paraId="4270C22B" w14:textId="77777777" w:rsidR="00625759" w:rsidRPr="00F65D2B" w:rsidRDefault="00625759" w:rsidP="003F327E">
            <w:pPr>
              <w:contextualSpacing/>
              <w:rPr>
                <w:rFonts w:ascii="Verdana" w:hAnsi="Verdana" w:cs="Arial"/>
                <w:sz w:val="16"/>
                <w:szCs w:val="16"/>
                <w:lang w:eastAsia="es-ES"/>
              </w:rPr>
            </w:pPr>
            <w:r w:rsidRPr="00F65D2B">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AD5BBF1" w14:textId="77777777" w:rsidR="00625759" w:rsidRPr="00DC212C" w:rsidRDefault="00625759" w:rsidP="003F327E">
            <w:pPr>
              <w:spacing w:line="256" w:lineRule="auto"/>
              <w:rPr>
                <w:rFonts w:ascii="Verdana" w:eastAsia="Calibri" w:hAnsi="Verdana" w:cs="Times New Roman"/>
                <w:sz w:val="16"/>
                <w:szCs w:val="16"/>
              </w:rPr>
            </w:pPr>
            <w:r>
              <w:rPr>
                <w:rFonts w:ascii="Verdana" w:eastAsia="Calibri" w:hAnsi="Verdana" w:cs="Times New Roman"/>
                <w:sz w:val="16"/>
                <w:szCs w:val="16"/>
              </w:rPr>
              <w:t xml:space="preserve">Juan Carlos González Vásquez </w:t>
            </w:r>
          </w:p>
          <w:p w14:paraId="749801F6" w14:textId="77777777" w:rsidR="00625759" w:rsidRPr="00F65D2B" w:rsidRDefault="00625759" w:rsidP="003F327E">
            <w:pPr>
              <w:pStyle w:val="paragraph"/>
              <w:spacing w:before="0" w:beforeAutospacing="0" w:after="0" w:afterAutospacing="0"/>
              <w:contextualSpacing/>
              <w:textAlignment w:val="baseline"/>
              <w:rPr>
                <w:rFonts w:ascii="Verdana" w:hAnsi="Verdana" w:cs="Segoe UI"/>
                <w:sz w:val="16"/>
                <w:szCs w:val="16"/>
              </w:rPr>
            </w:pPr>
            <w:r>
              <w:rPr>
                <w:rFonts w:ascii="Verdana" w:eastAsia="Calibri" w:hAnsi="Verdana"/>
                <w:sz w:val="16"/>
                <w:szCs w:val="16"/>
              </w:rPr>
              <w:t>Contratista</w:t>
            </w:r>
            <w:r w:rsidRPr="00DC212C">
              <w:rPr>
                <w:rFonts w:ascii="Verdana" w:eastAsia="Calibri" w:hAnsi="Verdana"/>
                <w:sz w:val="16"/>
                <w:szCs w:val="16"/>
              </w:rPr>
              <w:t xml:space="preserve"> de la Subdirección de Gestión Contractual </w:t>
            </w:r>
          </w:p>
        </w:tc>
      </w:tr>
      <w:tr w:rsidR="00625759" w:rsidRPr="00F65D2B" w14:paraId="741304B9" w14:textId="77777777" w:rsidTr="003F327E">
        <w:trPr>
          <w:trHeight w:val="300"/>
        </w:trPr>
        <w:tc>
          <w:tcPr>
            <w:tcW w:w="893" w:type="dxa"/>
            <w:vAlign w:val="center"/>
          </w:tcPr>
          <w:p w14:paraId="64075D19" w14:textId="77777777" w:rsidR="00625759" w:rsidRPr="00F65D2B" w:rsidRDefault="00625759" w:rsidP="003F327E">
            <w:pPr>
              <w:contextualSpacing/>
              <w:rPr>
                <w:rFonts w:ascii="Verdana" w:hAnsi="Verdana" w:cs="Arial"/>
                <w:sz w:val="16"/>
                <w:szCs w:val="16"/>
                <w:lang w:eastAsia="es-ES"/>
              </w:rPr>
            </w:pPr>
            <w:r w:rsidRPr="00F65D2B">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98B6FF0" w14:textId="77777777" w:rsidR="00625759" w:rsidRPr="00F65D2B" w:rsidRDefault="00625759" w:rsidP="003F327E">
            <w:pPr>
              <w:contextualSpacing/>
              <w:rPr>
                <w:rFonts w:ascii="Verdana" w:eastAsia="Calibri" w:hAnsi="Verdana" w:cs="Arial"/>
                <w:sz w:val="16"/>
                <w:szCs w:val="16"/>
                <w:lang w:eastAsia="es-ES"/>
              </w:rPr>
            </w:pPr>
            <w:r w:rsidRPr="00F65D2B">
              <w:rPr>
                <w:rFonts w:ascii="Verdana" w:eastAsia="Calibri" w:hAnsi="Verdana" w:cs="Arial"/>
                <w:sz w:val="16"/>
                <w:szCs w:val="16"/>
                <w:lang w:eastAsia="es-ES"/>
              </w:rPr>
              <w:t>Carolina Quintero Gacharná</w:t>
            </w:r>
          </w:p>
          <w:p w14:paraId="4551F439" w14:textId="77777777" w:rsidR="00625759" w:rsidRPr="00F65D2B" w:rsidRDefault="00625759" w:rsidP="003F327E">
            <w:pPr>
              <w:contextualSpacing/>
              <w:rPr>
                <w:rFonts w:ascii="Verdana" w:eastAsia="Calibri" w:hAnsi="Verdana" w:cs="Arial"/>
                <w:sz w:val="16"/>
                <w:szCs w:val="16"/>
                <w:lang w:eastAsia="es-ES"/>
              </w:rPr>
            </w:pPr>
            <w:r w:rsidRPr="00F65D2B">
              <w:rPr>
                <w:rFonts w:ascii="Verdana" w:eastAsia="Calibri" w:hAnsi="Verdana" w:cs="Arial"/>
                <w:sz w:val="16"/>
                <w:szCs w:val="16"/>
                <w:lang w:eastAsia="es-ES"/>
              </w:rPr>
              <w:t>Subdirectora de Gestión Contractual ANCP – CCE</w:t>
            </w:r>
          </w:p>
        </w:tc>
      </w:tr>
    </w:tbl>
    <w:p w14:paraId="18A91B21" w14:textId="77777777" w:rsidR="00625759" w:rsidRPr="00F65D2B" w:rsidRDefault="00625759" w:rsidP="00625759">
      <w:pPr>
        <w:spacing w:after="0"/>
        <w:rPr>
          <w:rFonts w:ascii="Verdana" w:hAnsi="Verdana"/>
        </w:rPr>
      </w:pPr>
    </w:p>
    <w:p w14:paraId="2A828673" w14:textId="77777777" w:rsidR="00625759" w:rsidRPr="00F65D2B" w:rsidRDefault="00625759" w:rsidP="00625759">
      <w:pPr>
        <w:spacing w:after="0"/>
        <w:rPr>
          <w:rFonts w:ascii="Verdana" w:eastAsia="Times New Roman" w:hAnsi="Verdana" w:cs="Segoe UI"/>
          <w:sz w:val="18"/>
          <w:szCs w:val="18"/>
          <w:lang w:eastAsia="es-CO"/>
        </w:rPr>
      </w:pPr>
    </w:p>
    <w:p w14:paraId="16DE3BB8" w14:textId="77777777" w:rsidR="00C24FFE" w:rsidRDefault="00C24FFE"/>
    <w:sectPr w:rsidR="00C24FFE" w:rsidSect="007A4C3D">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E5A014" w14:textId="77777777" w:rsidR="007A4C3D" w:rsidRDefault="007A4C3D" w:rsidP="00625759">
      <w:pPr>
        <w:spacing w:after="0" w:line="240" w:lineRule="auto"/>
      </w:pPr>
      <w:r>
        <w:separator/>
      </w:r>
    </w:p>
  </w:endnote>
  <w:endnote w:type="continuationSeparator" w:id="0">
    <w:p w14:paraId="11EC6412" w14:textId="77777777" w:rsidR="007A4C3D" w:rsidRDefault="007A4C3D" w:rsidP="006257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FDA98" w14:textId="77777777" w:rsidR="00625759" w:rsidRDefault="00625759">
    <w:pPr>
      <w:pStyle w:val="Piedepgina"/>
    </w:pPr>
  </w:p>
  <w:p w14:paraId="2181CDBD" w14:textId="77777777" w:rsidR="00625759" w:rsidRPr="00174B77" w:rsidRDefault="00625759"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BBEA14F" w14:textId="77777777" w:rsidR="00625759" w:rsidRDefault="00625759"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2B3EF86A" w14:textId="77777777" w:rsidR="00625759" w:rsidRPr="00E41027" w:rsidRDefault="00625759" w:rsidP="00D520D8">
    <w:pPr>
      <w:spacing w:after="0"/>
      <w:jc w:val="both"/>
      <w:rPr>
        <w:rFonts w:ascii="Verdana" w:hAnsi="Verdana"/>
        <w:sz w:val="18"/>
        <w:szCs w:val="18"/>
      </w:rPr>
    </w:pPr>
    <w:r w:rsidRPr="00E41027">
      <w:rPr>
        <w:rFonts w:ascii="Verdana" w:hAnsi="Verdana"/>
        <w:sz w:val="18"/>
        <w:szCs w:val="18"/>
      </w:rPr>
      <w:t>Mesa de servicio: (+57) 601 7456788</w:t>
    </w:r>
  </w:p>
  <w:p w14:paraId="29CCD480" w14:textId="77777777" w:rsidR="00625759" w:rsidRDefault="00625759"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4B1286" w14:textId="77777777" w:rsidR="007A4C3D" w:rsidRDefault="007A4C3D" w:rsidP="00625759">
      <w:pPr>
        <w:spacing w:after="0" w:line="240" w:lineRule="auto"/>
      </w:pPr>
      <w:r>
        <w:separator/>
      </w:r>
    </w:p>
  </w:footnote>
  <w:footnote w:type="continuationSeparator" w:id="0">
    <w:p w14:paraId="64AA686D" w14:textId="77777777" w:rsidR="007A4C3D" w:rsidRDefault="007A4C3D" w:rsidP="00625759">
      <w:pPr>
        <w:spacing w:after="0" w:line="240" w:lineRule="auto"/>
      </w:pPr>
      <w:r>
        <w:continuationSeparator/>
      </w:r>
    </w:p>
  </w:footnote>
  <w:footnote w:id="1">
    <w:p w14:paraId="3F56AAAA" w14:textId="77777777" w:rsidR="00625759" w:rsidRPr="00491E28" w:rsidRDefault="00625759" w:rsidP="00625759">
      <w:pPr>
        <w:widowControl w:val="0"/>
        <w:autoSpaceDE w:val="0"/>
        <w:autoSpaceDN w:val="0"/>
        <w:snapToGrid w:val="0"/>
        <w:spacing w:after="0" w:line="240" w:lineRule="auto"/>
        <w:ind w:firstLine="708"/>
        <w:contextualSpacing/>
        <w:jc w:val="both"/>
        <w:rPr>
          <w:rFonts w:ascii="Verdana" w:eastAsia="Arial" w:hAnsi="Verdana" w:cs="Arial"/>
          <w:sz w:val="15"/>
          <w:szCs w:val="15"/>
          <w:lang w:val="es-ES"/>
        </w:rPr>
      </w:pPr>
      <w:r w:rsidRPr="00491E28">
        <w:rPr>
          <w:rStyle w:val="Refdenotaalpie"/>
          <w:rFonts w:ascii="Verdana" w:hAnsi="Verdana" w:cs="Arial"/>
          <w:sz w:val="15"/>
          <w:szCs w:val="15"/>
        </w:rPr>
        <w:footnoteRef/>
      </w:r>
      <w:r w:rsidRPr="00491E28">
        <w:rPr>
          <w:rFonts w:ascii="Verdana" w:hAnsi="Verdana" w:cs="Arial"/>
          <w:sz w:val="15"/>
          <w:szCs w:val="15"/>
        </w:rPr>
        <w:t xml:space="preserve"> </w:t>
      </w:r>
      <w:r w:rsidRPr="00491E28">
        <w:rPr>
          <w:rFonts w:ascii="Verdana" w:eastAsia="Arial" w:hAnsi="Verdana" w:cs="Arial"/>
          <w:sz w:val="15"/>
          <w:szCs w:val="15"/>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sus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obligaciones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con</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los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sistemas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de</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salud,</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riesgos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profesionales,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pensiones</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y</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aportes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a</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las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Cajas de Compensación Familiar, Instituto Colombiano de Bienestar Familiar y Servicio Nacional de Aprendizaje,</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cuando</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a</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ello</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haya</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lugar.</w:t>
      </w:r>
      <w:r w:rsidRPr="00491E28">
        <w:rPr>
          <w:rFonts w:ascii="Verdana" w:eastAsia="Arial" w:hAnsi="Verdana" w:cs="Arial"/>
          <w:spacing w:val="-11"/>
          <w:sz w:val="15"/>
          <w:szCs w:val="15"/>
          <w:lang w:val="es-ES"/>
        </w:rPr>
        <w:t xml:space="preserve"> </w:t>
      </w:r>
      <w:r w:rsidRPr="00491E28">
        <w:rPr>
          <w:rFonts w:ascii="Verdana" w:eastAsia="Arial" w:hAnsi="Verdana" w:cs="Arial"/>
          <w:sz w:val="15"/>
          <w:szCs w:val="15"/>
          <w:lang w:val="es-ES"/>
        </w:rPr>
        <w:t>Las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Entidades</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públicas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en</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el</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momento</w:t>
      </w:r>
      <w:r w:rsidRPr="00491E28">
        <w:rPr>
          <w:rFonts w:ascii="Verdana" w:eastAsia="Arial" w:hAnsi="Verdana" w:cs="Arial"/>
          <w:spacing w:val="-11"/>
          <w:sz w:val="15"/>
          <w:szCs w:val="15"/>
          <w:lang w:val="es-ES"/>
        </w:rPr>
        <w:t xml:space="preserve"> </w:t>
      </w:r>
      <w:r w:rsidRPr="00491E28">
        <w:rPr>
          <w:rFonts w:ascii="Verdana" w:eastAsia="Arial" w:hAnsi="Verdana" w:cs="Arial"/>
          <w:sz w:val="15"/>
          <w:szCs w:val="15"/>
          <w:lang w:val="es-ES"/>
        </w:rPr>
        <w:t>de</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liquidar</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los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cotizadas.</w:t>
      </w:r>
    </w:p>
    <w:p w14:paraId="7ADE0D47" w14:textId="77777777" w:rsidR="00625759" w:rsidRPr="00491E28" w:rsidRDefault="00625759" w:rsidP="00625759">
      <w:pPr>
        <w:widowControl w:val="0"/>
        <w:autoSpaceDE w:val="0"/>
        <w:autoSpaceDN w:val="0"/>
        <w:spacing w:after="0" w:line="240" w:lineRule="auto"/>
        <w:ind w:firstLine="708"/>
        <w:contextualSpacing/>
        <w:jc w:val="both"/>
        <w:rPr>
          <w:rFonts w:ascii="Verdana" w:eastAsia="Arial" w:hAnsi="Verdana" w:cs="Arial"/>
          <w:sz w:val="15"/>
          <w:szCs w:val="15"/>
          <w:lang w:val="es-ES"/>
        </w:rPr>
      </w:pPr>
      <w:r w:rsidRPr="00491E28">
        <w:rPr>
          <w:rFonts w:ascii="Verdana" w:eastAsia="Arial" w:hAnsi="Verdana" w:cs="Arial"/>
          <w:sz w:val="15"/>
          <w:szCs w:val="15"/>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33B04E9C" w14:textId="77777777" w:rsidR="00625759" w:rsidRPr="00491E28" w:rsidRDefault="00625759" w:rsidP="00625759">
      <w:pPr>
        <w:widowControl w:val="0"/>
        <w:autoSpaceDE w:val="0"/>
        <w:autoSpaceDN w:val="0"/>
        <w:spacing w:after="0" w:line="240" w:lineRule="auto"/>
        <w:ind w:firstLine="708"/>
        <w:contextualSpacing/>
        <w:jc w:val="both"/>
        <w:rPr>
          <w:rFonts w:ascii="Verdana" w:eastAsia="Arial" w:hAnsi="Verdana" w:cs="Arial"/>
          <w:sz w:val="15"/>
          <w:szCs w:val="15"/>
          <w:lang w:val="es-ES"/>
        </w:rPr>
      </w:pPr>
      <w:r w:rsidRPr="00491E28">
        <w:rPr>
          <w:rFonts w:ascii="Verdana" w:eastAsia="Arial" w:hAnsi="Verdana" w:cs="Arial"/>
          <w:sz w:val="15"/>
          <w:szCs w:val="15"/>
          <w:lang w:val="es-ES"/>
        </w:rPr>
        <w:t>Cuando</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la</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contratación</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se</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realice</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con</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personas</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jurídicas,</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se</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deberá</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acreditar</w:t>
      </w:r>
      <w:r w:rsidRPr="00491E28">
        <w:rPr>
          <w:rFonts w:ascii="Verdana" w:eastAsia="Arial" w:hAnsi="Verdana" w:cs="Arial"/>
          <w:spacing w:val="-7"/>
          <w:sz w:val="15"/>
          <w:szCs w:val="15"/>
          <w:lang w:val="es-ES"/>
        </w:rPr>
        <w:t xml:space="preserve"> </w:t>
      </w:r>
      <w:r w:rsidRPr="00491E28">
        <w:rPr>
          <w:rFonts w:ascii="Verdana" w:eastAsia="Arial" w:hAnsi="Verdana" w:cs="Arial"/>
          <w:sz w:val="15"/>
          <w:szCs w:val="15"/>
          <w:lang w:val="es-ES"/>
        </w:rPr>
        <w:t>el</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pago</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de</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los aportes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de</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sus</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empleados,</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a</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los</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sistemas</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mencionados</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mediante</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certificación</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expedida</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por</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el</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491E28">
        <w:rPr>
          <w:rFonts w:ascii="Verdana" w:eastAsia="Arial" w:hAnsi="Verdana" w:cs="Arial"/>
          <w:spacing w:val="-20"/>
          <w:sz w:val="15"/>
          <w:szCs w:val="15"/>
          <w:lang w:val="es-ES"/>
        </w:rPr>
        <w:t xml:space="preserve"> </w:t>
      </w:r>
      <w:r w:rsidRPr="00491E28">
        <w:rPr>
          <w:rFonts w:ascii="Verdana" w:eastAsia="Arial" w:hAnsi="Verdana" w:cs="Arial"/>
          <w:sz w:val="15"/>
          <w:szCs w:val="15"/>
          <w:lang w:val="es-ES"/>
        </w:rPr>
        <w:t>constitución.</w:t>
      </w:r>
    </w:p>
    <w:p w14:paraId="0DC48D38" w14:textId="77777777" w:rsidR="00625759" w:rsidRPr="00491E28" w:rsidRDefault="00625759" w:rsidP="00625759">
      <w:pPr>
        <w:pStyle w:val="Textonotapie"/>
        <w:contextualSpacing/>
        <w:jc w:val="both"/>
        <w:rPr>
          <w:rFonts w:ascii="Verdana" w:eastAsia="Arial" w:hAnsi="Verdana" w:cs="Arial"/>
          <w:sz w:val="15"/>
          <w:szCs w:val="15"/>
          <w:lang w:val="es-ES"/>
        </w:rPr>
      </w:pPr>
      <w:r w:rsidRPr="00491E28">
        <w:rPr>
          <w:rFonts w:ascii="Verdana" w:eastAsia="Arial" w:hAnsi="Verdana" w:cs="Arial"/>
          <w:sz w:val="15"/>
          <w:szCs w:val="15"/>
          <w:lang w:val="es-ES"/>
        </w:rPr>
        <w:tab/>
        <w:t>Para</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la</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presentación</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de</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ofertas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por</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parte</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de</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personas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jurídicas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será</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indispensable</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acreditar el requisito señalado anteriormente. El funcionario que no deje constancia de la verificación del cumplimiento de este requisito incurrirá en causal de mala</w:t>
      </w:r>
      <w:r w:rsidRPr="00491E28">
        <w:rPr>
          <w:rFonts w:ascii="Verdana" w:eastAsia="Arial" w:hAnsi="Verdana" w:cs="Arial"/>
          <w:spacing w:val="-12"/>
          <w:sz w:val="15"/>
          <w:szCs w:val="15"/>
          <w:lang w:val="es-ES"/>
        </w:rPr>
        <w:t xml:space="preserve"> </w:t>
      </w:r>
      <w:r w:rsidRPr="00491E28">
        <w:rPr>
          <w:rFonts w:ascii="Verdana" w:eastAsia="Arial" w:hAnsi="Verdana" w:cs="Arial"/>
          <w:sz w:val="15"/>
          <w:szCs w:val="15"/>
          <w:lang w:val="es-ES"/>
        </w:rPr>
        <w:t>conducta”.</w:t>
      </w:r>
    </w:p>
  </w:footnote>
  <w:footnote w:id="2">
    <w:p w14:paraId="486A48F4" w14:textId="77777777" w:rsidR="00625759" w:rsidRPr="00867B95" w:rsidRDefault="00625759" w:rsidP="00625759">
      <w:pPr>
        <w:pStyle w:val="Textonotapie"/>
        <w:ind w:firstLine="708"/>
        <w:jc w:val="both"/>
        <w:rPr>
          <w:rFonts w:ascii="Verdana" w:eastAsia="Arial" w:hAnsi="Verdana" w:cs="Arial"/>
          <w:sz w:val="15"/>
          <w:szCs w:val="15"/>
          <w:lang w:val="es-ES"/>
        </w:rPr>
      </w:pPr>
      <w:r w:rsidRPr="00867B95">
        <w:rPr>
          <w:rStyle w:val="Refdenotaalpie"/>
          <w:rFonts w:ascii="Verdana" w:hAnsi="Verdana" w:cs="Arial"/>
          <w:sz w:val="15"/>
          <w:szCs w:val="15"/>
        </w:rPr>
        <w:footnoteRef/>
      </w:r>
      <w:r w:rsidRPr="00867B95">
        <w:rPr>
          <w:rFonts w:ascii="Verdana" w:hAnsi="Verdana" w:cs="Arial"/>
          <w:sz w:val="15"/>
          <w:szCs w:val="15"/>
        </w:rPr>
        <w:t xml:space="preserve"> </w:t>
      </w:r>
      <w:r w:rsidRPr="00867B95">
        <w:rPr>
          <w:rFonts w:ascii="Verdana" w:eastAsia="Arial" w:hAnsi="Verdana" w:cs="Arial"/>
          <w:sz w:val="15"/>
          <w:szCs w:val="15"/>
          <w:lang w:val="es-ES"/>
        </w:rPr>
        <w:t>Consejo de Estado. Sección Tercera. Subsección C. Sentencia del 8 de junio de 2011. Exp. 20001-23-31-000-2005-00409-01(AP), C.P. Enrique Gil Botero.</w:t>
      </w:r>
    </w:p>
  </w:footnote>
  <w:footnote w:id="3">
    <w:p w14:paraId="307D878B" w14:textId="77777777" w:rsidR="00625759" w:rsidRDefault="00625759" w:rsidP="00625759">
      <w:pPr>
        <w:pStyle w:val="Textonotapie"/>
        <w:ind w:firstLine="708"/>
        <w:jc w:val="both"/>
        <w:rPr>
          <w:rFonts w:ascii="Verdana" w:hAnsi="Verdana" w:cs="Arial"/>
          <w:sz w:val="15"/>
          <w:szCs w:val="15"/>
          <w:lang w:val="es-CO"/>
        </w:rPr>
      </w:pPr>
      <w:r w:rsidRPr="00867B95">
        <w:rPr>
          <w:rStyle w:val="Refdenotaalpie"/>
          <w:rFonts w:ascii="Verdana" w:hAnsi="Verdana" w:cs="Arial"/>
          <w:sz w:val="15"/>
          <w:szCs w:val="15"/>
        </w:rPr>
        <w:footnoteRef/>
      </w:r>
      <w:r w:rsidRPr="00867B95">
        <w:rPr>
          <w:rFonts w:ascii="Verdana" w:hAnsi="Verdana" w:cs="Arial"/>
          <w:sz w:val="15"/>
          <w:szCs w:val="15"/>
        </w:rPr>
        <w:t xml:space="preserve"> Respecto a la revisoría fiscal de las sociedades extranjeras con sucursal en Colombia, el artículo 472.6 del Código de Comercio dispone que </w:t>
      </w:r>
      <w:r w:rsidRPr="00867B95">
        <w:rPr>
          <w:rFonts w:ascii="Verdana" w:hAnsi="Verdana" w:cs="Arial"/>
          <w:sz w:val="15"/>
          <w:szCs w:val="15"/>
          <w:lang w:val="es-CO"/>
        </w:rPr>
        <w:t xml:space="preserve">la resolución o acto en que la sociedad acuerda establecer negocios permanentes en Colombia expresará “La designación del revisor fiscal, quien será persona natural con residencia permanente en Colombia”. Por lo demás, el artículo el artículo 489 </w:t>
      </w:r>
      <w:r w:rsidRPr="00867B95">
        <w:rPr>
          <w:rFonts w:ascii="Verdana" w:hAnsi="Verdana" w:cs="Arial"/>
          <w:i/>
          <w:iCs/>
          <w:sz w:val="15"/>
          <w:szCs w:val="15"/>
          <w:lang w:val="es-CO"/>
        </w:rPr>
        <w:t>ibidem</w:t>
      </w:r>
      <w:r w:rsidRPr="00867B95">
        <w:rPr>
          <w:rFonts w:ascii="Verdana" w:hAnsi="Verdana" w:cs="Arial"/>
          <w:sz w:val="15"/>
          <w:szCs w:val="15"/>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p w14:paraId="5AC59D3C" w14:textId="77777777" w:rsidR="00625759" w:rsidRPr="00867B95" w:rsidRDefault="00625759" w:rsidP="00625759">
      <w:pPr>
        <w:pStyle w:val="Textonotapie"/>
        <w:ind w:firstLine="708"/>
        <w:jc w:val="both"/>
        <w:rPr>
          <w:rFonts w:ascii="Verdana" w:hAnsi="Verdana" w:cs="Arial"/>
          <w:sz w:val="15"/>
          <w:szCs w:val="15"/>
          <w:lang w:val="es-CO"/>
        </w:rPr>
      </w:pPr>
    </w:p>
  </w:footnote>
  <w:footnote w:id="4">
    <w:p w14:paraId="6A2DFA69" w14:textId="77777777" w:rsidR="00625759" w:rsidRPr="00867B95" w:rsidRDefault="00625759" w:rsidP="00625759">
      <w:pPr>
        <w:pStyle w:val="Textonotapie"/>
        <w:ind w:firstLine="708"/>
        <w:jc w:val="both"/>
        <w:rPr>
          <w:rFonts w:ascii="Verdana" w:hAnsi="Verdana"/>
          <w:sz w:val="15"/>
          <w:szCs w:val="15"/>
          <w:lang w:val="es-ES"/>
        </w:rPr>
      </w:pPr>
      <w:r w:rsidRPr="00867B95">
        <w:rPr>
          <w:rStyle w:val="Refdenotaalpie"/>
          <w:rFonts w:ascii="Verdana" w:hAnsi="Verdana"/>
          <w:sz w:val="15"/>
          <w:szCs w:val="15"/>
        </w:rPr>
        <w:footnoteRef/>
      </w:r>
      <w:r w:rsidRPr="00867B95">
        <w:rPr>
          <w:rFonts w:ascii="Verdana" w:hAnsi="Verdana"/>
          <w:sz w:val="15"/>
          <w:szCs w:val="15"/>
        </w:rPr>
        <w:t xml:space="preserve"> </w:t>
      </w:r>
      <w:r w:rsidRPr="00867B95">
        <w:rPr>
          <w:rFonts w:ascii="Verdana" w:eastAsia="Arial" w:hAnsi="Verdana" w:cs="Arial"/>
          <w:sz w:val="15"/>
          <w:szCs w:val="15"/>
          <w:lang w:val="es-ES"/>
        </w:rPr>
        <w:t xml:space="preserve">Consejo de Estado. Sección Tercera. Subsección C. Sentencia del 24 de julio de 2024. Exp. </w:t>
      </w:r>
      <w:r w:rsidRPr="00867B95">
        <w:rPr>
          <w:rFonts w:ascii="Verdana" w:eastAsia="Arial" w:hAnsi="Verdana" w:cs="Arial"/>
          <w:sz w:val="15"/>
          <w:szCs w:val="15"/>
          <w:lang w:val="es-CO"/>
        </w:rPr>
        <w:t>05001-23-31-000-2005-04664-02 (47.156)</w:t>
      </w:r>
      <w:r w:rsidRPr="00867B95">
        <w:rPr>
          <w:rFonts w:ascii="Verdana" w:eastAsia="Arial" w:hAnsi="Verdana" w:cs="Arial"/>
          <w:sz w:val="15"/>
          <w:szCs w:val="15"/>
          <w:lang w:val="es-ES"/>
        </w:rPr>
        <w:t xml:space="preserve">. C.P. </w:t>
      </w:r>
      <w:r w:rsidRPr="00867B95">
        <w:rPr>
          <w:rFonts w:ascii="Verdana" w:eastAsia="Arial" w:hAnsi="Verdana" w:cs="Arial"/>
          <w:sz w:val="15"/>
          <w:szCs w:val="15"/>
          <w:lang w:val="es-CO"/>
        </w:rPr>
        <w:t>William Barrera Muñoz.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C7267" w14:textId="77777777" w:rsidR="00625759" w:rsidRDefault="00625759">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3B51F8E9" wp14:editId="52C6D0DE">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047C6C4" wp14:editId="4CA1192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09ED8E3F" w14:textId="77777777" w:rsidR="00625759" w:rsidRDefault="00625759">
    <w:pPr>
      <w:pStyle w:val="Encabezado"/>
    </w:pPr>
  </w:p>
  <w:p w14:paraId="7976BC89" w14:textId="77777777" w:rsidR="00625759" w:rsidRDefault="00625759" w:rsidP="004A305D">
    <w:pPr>
      <w:spacing w:after="0"/>
      <w:rPr>
        <w:rFonts w:ascii="Verdana" w:hAnsi="Verdana"/>
        <w:b/>
        <w:bCs/>
      </w:rPr>
    </w:pPr>
  </w:p>
  <w:p w14:paraId="5B2BBB35" w14:textId="77777777" w:rsidR="00625759" w:rsidRPr="00DC39FC" w:rsidRDefault="00625759" w:rsidP="004A305D">
    <w:pPr>
      <w:spacing w:after="0"/>
      <w:rPr>
        <w:rFonts w:ascii="Verdana" w:hAnsi="Verdana"/>
        <w:b/>
        <w:bCs/>
      </w:rPr>
    </w:pPr>
    <w:r w:rsidRPr="00DC39FC">
      <w:rPr>
        <w:rFonts w:ascii="Verdana" w:hAnsi="Verdana"/>
        <w:b/>
        <w:bCs/>
      </w:rPr>
      <w:t>FORMATO PQRSD</w:t>
    </w:r>
  </w:p>
  <w:p w14:paraId="37B9C3FC" w14:textId="77777777" w:rsidR="00625759" w:rsidRPr="004A305D" w:rsidRDefault="00625759" w:rsidP="00B01B1A">
    <w:pPr>
      <w:spacing w:after="0" w:line="120" w:lineRule="auto"/>
      <w:rPr>
        <w:rFonts w:ascii="Century Gothic" w:eastAsia="Geo" w:hAnsi="Century Gothic" w:cs="Geo"/>
        <w:sz w:val="16"/>
        <w:szCs w:val="16"/>
        <w:lang w:eastAsia="es-CO"/>
      </w:rPr>
    </w:pPr>
  </w:p>
  <w:p w14:paraId="6CA06B51" w14:textId="77777777" w:rsidR="00625759" w:rsidRDefault="00625759"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10.95pt;height:10.9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341274352">
    <w:abstractNumId w:val="0"/>
  </w:num>
  <w:num w:numId="3"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759"/>
    <w:rsid w:val="00044A56"/>
    <w:rsid w:val="00474DF4"/>
    <w:rsid w:val="00485D25"/>
    <w:rsid w:val="004F471F"/>
    <w:rsid w:val="00625759"/>
    <w:rsid w:val="007A4C3D"/>
    <w:rsid w:val="00C24FFE"/>
    <w:rsid w:val="00E5685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BCC8C"/>
  <w15:chartTrackingRefBased/>
  <w15:docId w15:val="{3F9BF374-4A25-4D4F-8799-3D9EA9947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5759"/>
    <w:rPr>
      <w:kern w:val="0"/>
      <w14:ligatures w14:val="none"/>
    </w:rPr>
  </w:style>
  <w:style w:type="paragraph" w:styleId="Ttulo1">
    <w:name w:val="heading 1"/>
    <w:basedOn w:val="Normal"/>
    <w:next w:val="Normal"/>
    <w:link w:val="Ttulo1Car"/>
    <w:uiPriority w:val="9"/>
    <w:qFormat/>
    <w:rsid w:val="0062575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62575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62575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62575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62575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62575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2575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2575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2575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2575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62575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62575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62575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62575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62575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2575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2575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25759"/>
    <w:rPr>
      <w:rFonts w:eastAsiaTheme="majorEastAsia" w:cstheme="majorBidi"/>
      <w:color w:val="272727" w:themeColor="text1" w:themeTint="D8"/>
    </w:rPr>
  </w:style>
  <w:style w:type="paragraph" w:styleId="Ttulo">
    <w:name w:val="Title"/>
    <w:basedOn w:val="Normal"/>
    <w:next w:val="Normal"/>
    <w:link w:val="TtuloCar"/>
    <w:uiPriority w:val="10"/>
    <w:qFormat/>
    <w:rsid w:val="0062575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2575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2575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2575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25759"/>
    <w:pPr>
      <w:spacing w:before="160"/>
      <w:jc w:val="center"/>
    </w:pPr>
    <w:rPr>
      <w:i/>
      <w:iCs/>
      <w:color w:val="404040" w:themeColor="text1" w:themeTint="BF"/>
    </w:rPr>
  </w:style>
  <w:style w:type="character" w:customStyle="1" w:styleId="CitaCar">
    <w:name w:val="Cita Car"/>
    <w:basedOn w:val="Fuentedeprrafopredeter"/>
    <w:link w:val="Cita"/>
    <w:uiPriority w:val="29"/>
    <w:rsid w:val="00625759"/>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625759"/>
    <w:pPr>
      <w:ind w:left="720"/>
      <w:contextualSpacing/>
    </w:pPr>
  </w:style>
  <w:style w:type="character" w:styleId="nfasisintenso">
    <w:name w:val="Intense Emphasis"/>
    <w:basedOn w:val="Fuentedeprrafopredeter"/>
    <w:uiPriority w:val="21"/>
    <w:qFormat/>
    <w:rsid w:val="00625759"/>
    <w:rPr>
      <w:i/>
      <w:iCs/>
      <w:color w:val="2F5496" w:themeColor="accent1" w:themeShade="BF"/>
    </w:rPr>
  </w:style>
  <w:style w:type="paragraph" w:styleId="Citadestacada">
    <w:name w:val="Intense Quote"/>
    <w:basedOn w:val="Normal"/>
    <w:next w:val="Normal"/>
    <w:link w:val="CitadestacadaCar"/>
    <w:uiPriority w:val="30"/>
    <w:qFormat/>
    <w:rsid w:val="0062575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25759"/>
    <w:rPr>
      <w:i/>
      <w:iCs/>
      <w:color w:val="2F5496" w:themeColor="accent1" w:themeShade="BF"/>
    </w:rPr>
  </w:style>
  <w:style w:type="character" w:styleId="Referenciaintensa">
    <w:name w:val="Intense Reference"/>
    <w:basedOn w:val="Fuentedeprrafopredeter"/>
    <w:uiPriority w:val="32"/>
    <w:qFormat/>
    <w:rsid w:val="00625759"/>
    <w:rPr>
      <w:b/>
      <w:bCs/>
      <w:smallCaps/>
      <w:color w:val="2F5496" w:themeColor="accent1" w:themeShade="BF"/>
      <w:spacing w:val="5"/>
    </w:rPr>
  </w:style>
  <w:style w:type="paragraph" w:styleId="Encabezado">
    <w:name w:val="header"/>
    <w:basedOn w:val="Normal"/>
    <w:link w:val="EncabezadoCar"/>
    <w:uiPriority w:val="99"/>
    <w:unhideWhenUsed/>
    <w:rsid w:val="0062575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25759"/>
    <w:rPr>
      <w:kern w:val="0"/>
      <w14:ligatures w14:val="none"/>
    </w:rPr>
  </w:style>
  <w:style w:type="paragraph" w:styleId="Piedepgina">
    <w:name w:val="footer"/>
    <w:basedOn w:val="Normal"/>
    <w:link w:val="PiedepginaCar"/>
    <w:uiPriority w:val="99"/>
    <w:unhideWhenUsed/>
    <w:rsid w:val="0062575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25759"/>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575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5759"/>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625759"/>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5759"/>
    <w:rPr>
      <w:vertAlign w:val="superscript"/>
    </w:rPr>
  </w:style>
  <w:style w:type="character" w:customStyle="1" w:styleId="normaltextrun">
    <w:name w:val="normaltextrun"/>
    <w:basedOn w:val="Fuentedeprrafopredeter"/>
    <w:rsid w:val="00625759"/>
  </w:style>
  <w:style w:type="table" w:styleId="Tablaconcuadrcula">
    <w:name w:val="Table Grid"/>
    <w:basedOn w:val="Tablanormal"/>
    <w:uiPriority w:val="39"/>
    <w:qFormat/>
    <w:rsid w:val="0062575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625759"/>
    <w:rPr>
      <w:color w:val="0000FF"/>
      <w:u w:val="single"/>
    </w:rPr>
  </w:style>
  <w:style w:type="paragraph" w:customStyle="1" w:styleId="paragraph">
    <w:name w:val="paragraph"/>
    <w:basedOn w:val="Normal"/>
    <w:rsid w:val="00625759"/>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625759"/>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257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errero.verasantiago@gmail.com" TargetMode="Externa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2.png"/><Relationship Id="rId12"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busqueda/conceptos"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relatoria.colombiacompra.gov.co/providencias-consejo-de-estado/" TargetMode="External"/><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yperlink" Target="https://relatoria.colombiacompra.gov.co/providencias-consejo-de-estado/" TargetMode="Externa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8479927-8724-49D6-8F29-674F780545BE}"/>
</file>

<file path=customXml/itemProps2.xml><?xml version="1.0" encoding="utf-8"?>
<ds:datastoreItem xmlns:ds="http://schemas.openxmlformats.org/officeDocument/2006/customXml" ds:itemID="{4B079720-0573-402D-9720-10054A1A660D}"/>
</file>

<file path=customXml/itemProps3.xml><?xml version="1.0" encoding="utf-8"?>
<ds:datastoreItem xmlns:ds="http://schemas.openxmlformats.org/officeDocument/2006/customXml" ds:itemID="{76F69FAC-6DBF-443A-A371-55CAE8698451}"/>
</file>

<file path=docProps/app.xml><?xml version="1.0" encoding="utf-8"?>
<Properties xmlns="http://schemas.openxmlformats.org/officeDocument/2006/extended-properties" xmlns:vt="http://schemas.openxmlformats.org/officeDocument/2006/docPropsVTypes">
  <Template>Normal</Template>
  <TotalTime>3</TotalTime>
  <Pages>16</Pages>
  <Words>5480</Words>
  <Characters>30141</Characters>
  <Application>Microsoft Office Word</Application>
  <DocSecurity>0</DocSecurity>
  <Lines>251</Lines>
  <Paragraphs>71</Paragraphs>
  <ScaleCrop>false</ScaleCrop>
  <Company/>
  <LinksUpToDate>false</LinksUpToDate>
  <CharactersWithSpaces>35550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Enrique Caballero Lesmes</cp:lastModifiedBy>
  <cp:revision>2</cp:revision>
  <dcterms:created xsi:type="dcterms:W3CDTF">2025-09-24T15:28:00Z</dcterms:created>
  <dcterms:modified xsi:type="dcterms:W3CDTF">2025-09-29T21:00:00Z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