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22348" w14:textId="77777777" w:rsidR="006A3488" w:rsidRPr="00676A8B" w:rsidRDefault="006A3488" w:rsidP="006A3488">
      <w:pPr>
        <w:spacing w:after="0" w:line="240" w:lineRule="auto"/>
        <w:rPr>
          <w:rFonts w:ascii="Verdana" w:eastAsia="Geomanist Light" w:hAnsi="Verdana" w:cs="Arial"/>
          <w:b/>
          <w:bCs/>
          <w:lang w:val="es-ES"/>
        </w:rPr>
      </w:pPr>
      <w:r w:rsidRPr="00676A8B">
        <w:rPr>
          <w:rFonts w:ascii="Verdana" w:eastAsia="Geomanist Light" w:hAnsi="Verdana" w:cs="Arial"/>
          <w:b/>
          <w:bCs/>
          <w:lang w:val="es-ES"/>
        </w:rPr>
        <w:t xml:space="preserve">PLAN ANUAL DE ADQUISICIONES – Contenido </w:t>
      </w:r>
    </w:p>
    <w:p w14:paraId="48D02D4A" w14:textId="77777777" w:rsidR="006A3488" w:rsidRPr="00676A8B" w:rsidRDefault="006A3488" w:rsidP="006A3488">
      <w:pPr>
        <w:spacing w:after="0" w:line="240" w:lineRule="auto"/>
        <w:rPr>
          <w:rFonts w:ascii="Verdana" w:eastAsia="Geomanist Light" w:hAnsi="Verdana" w:cs="Arial"/>
          <w:lang w:val="es-ES"/>
        </w:rPr>
      </w:pPr>
    </w:p>
    <w:p w14:paraId="75664932" w14:textId="77777777" w:rsidR="006A3488" w:rsidRDefault="006A3488" w:rsidP="006A3488">
      <w:pPr>
        <w:spacing w:after="0" w:line="240" w:lineRule="auto"/>
        <w:jc w:val="both"/>
        <w:rPr>
          <w:rFonts w:ascii="Verdana" w:eastAsia="Geomanist Light" w:hAnsi="Verdana" w:cs="Arial"/>
          <w:sz w:val="20"/>
          <w:szCs w:val="20"/>
          <w:lang w:val="es-ES"/>
        </w:rPr>
      </w:pPr>
      <w:r w:rsidRPr="005B7BC1">
        <w:rPr>
          <w:rFonts w:ascii="Verdana" w:eastAsia="Geomanist Light" w:hAnsi="Verdana" w:cs="Arial"/>
          <w:sz w:val="20"/>
          <w:szCs w:val="20"/>
          <w:lang w:val="es-ES"/>
        </w:rPr>
        <w:t xml:space="preserve">Sobre el Plan Anual de Adquisiciones se debe analizar lo dispuesto en los artículos 2.2.1.1.1.4.1, 2.2.1.1.1.4.3 y 2.2.1.1.1.4.4 del Decreto 1082 de 2015. El primer artículo establece el deber de las entidades de “elaborar el plan anual de adquisiciones, el cual debe contener la lista de bienes, obras y servicios que pretenden adquirir durante el año”. El aparte trascrito permite inferir que se trata de un documento estimativo, pues contiene un listado de bienes, obras o servicios que, producto del ejercicio de planeación de la entidad, esta pretende adquirir dentro de la vigencia correspondiente. Esta redacción advierte la naturaleza estimativa del documento, pues contiene los siguientes aspectos: i) la necesidad; </w:t>
      </w:r>
      <w:proofErr w:type="spellStart"/>
      <w:r w:rsidRPr="005B7BC1">
        <w:rPr>
          <w:rFonts w:ascii="Verdana" w:eastAsia="Geomanist Light" w:hAnsi="Verdana" w:cs="Arial"/>
          <w:sz w:val="20"/>
          <w:szCs w:val="20"/>
          <w:lang w:val="es-ES"/>
        </w:rPr>
        <w:t>ii</w:t>
      </w:r>
      <w:proofErr w:type="spellEnd"/>
      <w:r w:rsidRPr="005B7BC1">
        <w:rPr>
          <w:rFonts w:ascii="Verdana" w:eastAsia="Geomanist Light" w:hAnsi="Verdana" w:cs="Arial"/>
          <w:sz w:val="20"/>
          <w:szCs w:val="20"/>
          <w:lang w:val="es-ES"/>
        </w:rPr>
        <w:t xml:space="preserve">) la identificación en el clasificador si la entidad conoce el bien, obra o servicio que satisface la necesidad; </w:t>
      </w:r>
      <w:proofErr w:type="spellStart"/>
      <w:r w:rsidRPr="005B7BC1">
        <w:rPr>
          <w:rFonts w:ascii="Verdana" w:eastAsia="Geomanist Light" w:hAnsi="Verdana" w:cs="Arial"/>
          <w:sz w:val="20"/>
          <w:szCs w:val="20"/>
          <w:lang w:val="es-ES"/>
        </w:rPr>
        <w:t>iii</w:t>
      </w:r>
      <w:proofErr w:type="spellEnd"/>
      <w:r w:rsidRPr="005B7BC1">
        <w:rPr>
          <w:rFonts w:ascii="Verdana" w:eastAsia="Geomanist Light" w:hAnsi="Verdana" w:cs="Arial"/>
          <w:sz w:val="20"/>
          <w:szCs w:val="20"/>
          <w:lang w:val="es-ES"/>
        </w:rPr>
        <w:t xml:space="preserve">) el valor estimado del contrato; </w:t>
      </w:r>
      <w:proofErr w:type="spellStart"/>
      <w:r w:rsidRPr="005B7BC1">
        <w:rPr>
          <w:rFonts w:ascii="Verdana" w:eastAsia="Geomanist Light" w:hAnsi="Verdana" w:cs="Arial"/>
          <w:sz w:val="20"/>
          <w:szCs w:val="20"/>
          <w:lang w:val="es-ES"/>
        </w:rPr>
        <w:t>iv</w:t>
      </w:r>
      <w:proofErr w:type="spellEnd"/>
      <w:r w:rsidRPr="005B7BC1">
        <w:rPr>
          <w:rFonts w:ascii="Verdana" w:eastAsia="Geomanist Light" w:hAnsi="Verdana" w:cs="Arial"/>
          <w:sz w:val="20"/>
          <w:szCs w:val="20"/>
          <w:lang w:val="es-ES"/>
        </w:rPr>
        <w:t>) el tipo de recursos con cargo a los cuales la entidad pagará el bien, obra o servicio; v) la modalidad de selección del contratista y vi) la fecha aproximada en la cual la entidad indicará el procedimiento de selección.</w:t>
      </w:r>
    </w:p>
    <w:p w14:paraId="7012F0C8" w14:textId="77777777" w:rsidR="006A3488" w:rsidRDefault="006A3488" w:rsidP="006A3488">
      <w:pPr>
        <w:spacing w:after="0" w:line="240" w:lineRule="auto"/>
        <w:jc w:val="both"/>
        <w:rPr>
          <w:rFonts w:ascii="Verdana" w:eastAsia="Geomanist Light" w:hAnsi="Verdana" w:cs="Arial"/>
          <w:sz w:val="20"/>
          <w:szCs w:val="20"/>
          <w:lang w:val="es-ES"/>
        </w:rPr>
      </w:pPr>
    </w:p>
    <w:p w14:paraId="21AC1EF8" w14:textId="77777777" w:rsidR="006A3488" w:rsidRPr="002E52E8" w:rsidRDefault="006A3488" w:rsidP="006A3488">
      <w:pPr>
        <w:spacing w:after="0" w:line="240" w:lineRule="auto"/>
        <w:rPr>
          <w:rFonts w:ascii="Verdana" w:eastAsia="Geomanist Light" w:hAnsi="Verdana" w:cs="Arial"/>
          <w:b/>
          <w:bCs/>
          <w:lang w:val="es-ES"/>
        </w:rPr>
      </w:pPr>
      <w:r w:rsidRPr="002E52E8">
        <w:rPr>
          <w:rFonts w:ascii="Verdana" w:eastAsia="Geomanist Light" w:hAnsi="Verdana" w:cs="Arial"/>
          <w:b/>
          <w:bCs/>
          <w:lang w:val="es-ES"/>
        </w:rPr>
        <w:t>PLAN ANUAL DE ADQUISICIONES – Carácter estimativo</w:t>
      </w:r>
    </w:p>
    <w:p w14:paraId="632CE2BD" w14:textId="77777777" w:rsidR="006A3488" w:rsidRPr="002E52E8" w:rsidRDefault="006A3488" w:rsidP="006A3488">
      <w:pPr>
        <w:spacing w:after="0" w:line="240" w:lineRule="auto"/>
        <w:jc w:val="both"/>
        <w:rPr>
          <w:rFonts w:ascii="Verdana" w:eastAsia="Geomanist Light" w:hAnsi="Verdana" w:cs="Arial"/>
          <w:sz w:val="20"/>
          <w:szCs w:val="20"/>
          <w:lang w:val="es-ES"/>
        </w:rPr>
      </w:pPr>
    </w:p>
    <w:p w14:paraId="4C0353E9" w14:textId="77777777" w:rsidR="006A3488" w:rsidRDefault="006A3488" w:rsidP="006A3488">
      <w:pPr>
        <w:spacing w:after="0" w:line="240" w:lineRule="auto"/>
        <w:jc w:val="both"/>
        <w:rPr>
          <w:rFonts w:ascii="Verdana" w:eastAsia="Geomanist Light" w:hAnsi="Verdana" w:cs="Arial"/>
          <w:sz w:val="20"/>
          <w:szCs w:val="20"/>
          <w:lang w:val="es-ES"/>
        </w:rPr>
      </w:pPr>
      <w:r w:rsidRPr="00234247">
        <w:rPr>
          <w:rFonts w:ascii="Verdana" w:eastAsia="Geomanist Light" w:hAnsi="Verdana" w:cs="Arial"/>
          <w:sz w:val="20"/>
          <w:szCs w:val="20"/>
          <w:lang w:val="es-ES"/>
        </w:rPr>
        <w:t>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Lo anterior, explica por qué no tiene que existir necesariamente identidad entre la información del contrato previsto en el plan y la de cada procedimiento de contratación, porque la norma señaló que la información del contrato, señalado en el plan, es “estimado”. La misma conclusión aplica para todas las modalidades de contratación que deberán ser incluidas en el Plan Anual de Adquisiciones, porque la norma señala que deben incluirse todas las necesidades de contratación, sin importar que generen o no erogación, la fecha aproximada en que se iniciará el proceso de contratación y, en general, para todo el contenido del plan. Incluso, por esta misma razón, es innecesaria la identidad entre la información señalada en el plan y cuando se suscribe el contrato.</w:t>
      </w:r>
    </w:p>
    <w:p w14:paraId="36B6F706" w14:textId="77777777" w:rsidR="006A3488" w:rsidRPr="002E52E8" w:rsidRDefault="006A3488" w:rsidP="006A3488">
      <w:pPr>
        <w:spacing w:after="0" w:line="240" w:lineRule="auto"/>
        <w:jc w:val="both"/>
        <w:rPr>
          <w:rFonts w:ascii="Verdana" w:eastAsia="Geomanist Light" w:hAnsi="Verdana" w:cs="Arial"/>
          <w:sz w:val="20"/>
          <w:szCs w:val="20"/>
          <w:lang w:val="es-ES"/>
        </w:rPr>
      </w:pPr>
    </w:p>
    <w:p w14:paraId="242F71CE" w14:textId="77777777" w:rsidR="006A3488" w:rsidRPr="00676A8B" w:rsidRDefault="006A3488" w:rsidP="006A3488">
      <w:pPr>
        <w:spacing w:after="0" w:line="240" w:lineRule="auto"/>
        <w:rPr>
          <w:rFonts w:ascii="Verdana" w:eastAsia="Geomanist Light" w:hAnsi="Verdana" w:cs="Arial"/>
          <w:b/>
          <w:bCs/>
          <w:lang w:val="es-ES"/>
        </w:rPr>
      </w:pPr>
      <w:r w:rsidRPr="00676A8B">
        <w:rPr>
          <w:rFonts w:ascii="Verdana" w:eastAsia="Geomanist Light" w:hAnsi="Verdana" w:cs="Arial"/>
          <w:b/>
          <w:bCs/>
          <w:lang w:val="es-ES"/>
        </w:rPr>
        <w:t xml:space="preserve">PLAN ANUAL DE ADQUISICIONES – Actualización </w:t>
      </w:r>
    </w:p>
    <w:p w14:paraId="4B2DB065" w14:textId="77777777" w:rsidR="006A3488" w:rsidRPr="00676A8B" w:rsidRDefault="006A3488" w:rsidP="006A3488">
      <w:pPr>
        <w:spacing w:after="0" w:line="240" w:lineRule="auto"/>
        <w:jc w:val="both"/>
        <w:rPr>
          <w:rFonts w:ascii="Verdana" w:eastAsia="Geomanist Light" w:hAnsi="Verdana" w:cs="Arial"/>
          <w:lang w:val="es-ES"/>
        </w:rPr>
      </w:pPr>
    </w:p>
    <w:p w14:paraId="32D4F440" w14:textId="77777777" w:rsidR="006A3488" w:rsidRPr="005B7BC1" w:rsidRDefault="006A3488" w:rsidP="006A3488">
      <w:pPr>
        <w:spacing w:after="0" w:line="240" w:lineRule="auto"/>
        <w:jc w:val="both"/>
        <w:rPr>
          <w:rFonts w:ascii="Verdana" w:eastAsia="Geomanist Light" w:hAnsi="Verdana" w:cs="Arial"/>
          <w:sz w:val="20"/>
          <w:szCs w:val="20"/>
          <w:lang w:val="es-ES"/>
        </w:rPr>
      </w:pPr>
      <w:r w:rsidRPr="005B7BC1">
        <w:rPr>
          <w:rFonts w:ascii="Verdana" w:eastAsia="Geomanist Light" w:hAnsi="Verdana" w:cs="Arial"/>
          <w:sz w:val="20"/>
          <w:szCs w:val="20"/>
          <w:lang w:val="es-ES"/>
        </w:rPr>
        <w:t xml:space="preserve">El artículo 2.2.1.1.1.4.4. del Decreto 1082 de 2015, en el inciso 1, fijó, en criterio de esta Subdirección, el alcance de la facultad otorgada a las entidades para actualizar el plan anual de adquisiciones. Por ello es pertinente consultar el significado natural del verbo rector de la disposición y luego establecer los límites establecidos en la norma. </w:t>
      </w:r>
    </w:p>
    <w:p w14:paraId="2EAB01C2" w14:textId="77777777" w:rsidR="006A3488" w:rsidRDefault="006A3488" w:rsidP="006A3488">
      <w:pPr>
        <w:spacing w:after="0" w:line="240" w:lineRule="auto"/>
        <w:jc w:val="both"/>
        <w:rPr>
          <w:rFonts w:ascii="Verdana" w:eastAsia="Calibri" w:hAnsi="Verdana" w:cs="Arial"/>
          <w:sz w:val="20"/>
          <w:szCs w:val="20"/>
          <w:highlight w:val="yellow"/>
          <w:lang w:val="es-ES_tradnl"/>
        </w:rPr>
      </w:pPr>
    </w:p>
    <w:p w14:paraId="716F4664" w14:textId="77777777" w:rsidR="006A3488" w:rsidRDefault="006A3488" w:rsidP="006A3488">
      <w:pPr>
        <w:spacing w:after="0" w:line="240" w:lineRule="auto"/>
        <w:jc w:val="both"/>
        <w:rPr>
          <w:rFonts w:ascii="Verdana" w:eastAsia="Calibri" w:hAnsi="Verdana" w:cs="Arial"/>
          <w:sz w:val="20"/>
          <w:szCs w:val="20"/>
          <w:highlight w:val="yellow"/>
          <w:lang w:val="es-ES_tradnl"/>
        </w:rPr>
      </w:pPr>
    </w:p>
    <w:p w14:paraId="54EC5F24" w14:textId="77777777" w:rsidR="006A3488" w:rsidRDefault="006A3488" w:rsidP="006A3488">
      <w:pPr>
        <w:spacing w:after="0" w:line="240" w:lineRule="auto"/>
        <w:jc w:val="both"/>
        <w:rPr>
          <w:rFonts w:ascii="Verdana" w:eastAsia="Calibri" w:hAnsi="Verdana" w:cs="Arial"/>
          <w:sz w:val="20"/>
          <w:szCs w:val="20"/>
          <w:highlight w:val="yellow"/>
          <w:lang w:val="es-ES_tradnl"/>
        </w:rPr>
      </w:pPr>
    </w:p>
    <w:p w14:paraId="0B0AC8D0" w14:textId="77777777" w:rsidR="006A3488" w:rsidRDefault="006A3488" w:rsidP="006A3488">
      <w:pPr>
        <w:spacing w:after="0" w:line="240" w:lineRule="auto"/>
        <w:jc w:val="both"/>
        <w:rPr>
          <w:rFonts w:ascii="Verdana" w:eastAsia="Calibri" w:hAnsi="Verdana" w:cs="Arial"/>
          <w:sz w:val="20"/>
          <w:szCs w:val="20"/>
          <w:highlight w:val="yellow"/>
          <w:lang w:val="es-ES_tradnl"/>
        </w:rPr>
      </w:pPr>
    </w:p>
    <w:p w14:paraId="37C69A25" w14:textId="77777777" w:rsidR="006A3488" w:rsidRDefault="006A3488" w:rsidP="006A3488">
      <w:pPr>
        <w:spacing w:after="0" w:line="240" w:lineRule="auto"/>
        <w:jc w:val="both"/>
        <w:rPr>
          <w:rFonts w:ascii="Verdana" w:eastAsia="Calibri" w:hAnsi="Verdana" w:cs="Arial"/>
          <w:sz w:val="20"/>
          <w:szCs w:val="20"/>
          <w:highlight w:val="yellow"/>
          <w:lang w:val="es-ES_tradnl"/>
        </w:rPr>
      </w:pPr>
    </w:p>
    <w:p w14:paraId="59145B53" w14:textId="77777777" w:rsidR="006A3488" w:rsidRDefault="006A3488" w:rsidP="006A3488">
      <w:pPr>
        <w:spacing w:after="0" w:line="240" w:lineRule="auto"/>
        <w:jc w:val="both"/>
        <w:rPr>
          <w:rFonts w:ascii="Verdana" w:eastAsia="Calibri" w:hAnsi="Verdana" w:cs="Arial"/>
          <w:sz w:val="20"/>
          <w:szCs w:val="20"/>
          <w:highlight w:val="yellow"/>
          <w:lang w:val="es-ES_tradnl"/>
        </w:rPr>
      </w:pPr>
    </w:p>
    <w:p w14:paraId="7D006FD7" w14:textId="2374B493" w:rsidR="006A3488" w:rsidRDefault="006A3488" w:rsidP="006A3488">
      <w:pPr>
        <w:spacing w:after="0" w:line="240" w:lineRule="auto"/>
        <w:jc w:val="both"/>
        <w:rPr>
          <w:rFonts w:ascii="Verdana" w:eastAsia="Times New Roman" w:hAnsi="Verdana" w:cs="Arial"/>
          <w:noProof/>
          <w:lang w:val="es-ES_tradnl" w:eastAsia="es-ES_tradnl"/>
        </w:rPr>
      </w:pPr>
      <w:r w:rsidRPr="00262582">
        <w:rPr>
          <w:rFonts w:ascii="Verdana" w:eastAsia="Times New Roman" w:hAnsi="Verdana" w:cs="Arial"/>
          <w:noProof/>
          <w:lang w:val="es-ES_tradnl" w:eastAsia="es-ES_tradnl"/>
        </w:rPr>
        <w:lastRenderedPageBreak/>
        <w:t xml:space="preserve">Bogotá D.C., </w:t>
      </w:r>
      <w:r w:rsidR="00AD0817">
        <w:rPr>
          <w:rFonts w:ascii="Verdana" w:eastAsia="Times New Roman" w:hAnsi="Verdana" w:cs="Arial"/>
          <w:noProof/>
          <w:lang w:val="es-ES_tradnl" w:eastAsia="es-ES_tradnl"/>
        </w:rPr>
        <w:t>24 de septiembre de 2025</w:t>
      </w:r>
    </w:p>
    <w:p w14:paraId="62296EE2" w14:textId="77777777" w:rsidR="00AD0817" w:rsidRDefault="00AD0817" w:rsidP="006A3488">
      <w:pPr>
        <w:spacing w:after="0" w:line="240" w:lineRule="auto"/>
        <w:jc w:val="both"/>
        <w:rPr>
          <w:rFonts w:ascii="Verdana" w:eastAsia="Times New Roman" w:hAnsi="Verdana" w:cs="Arial"/>
          <w:noProof/>
          <w:lang w:val="es-ES_tradnl" w:eastAsia="es-ES_tradnl"/>
        </w:rPr>
      </w:pPr>
    </w:p>
    <w:p w14:paraId="2510C839" w14:textId="5E4605E5" w:rsidR="00AD0817" w:rsidRPr="00262582" w:rsidRDefault="00AD0817" w:rsidP="00AD0817">
      <w:pPr>
        <w:spacing w:after="0" w:line="240" w:lineRule="auto"/>
        <w:jc w:val="right"/>
        <w:rPr>
          <w:rFonts w:ascii="Verdana" w:eastAsia="Times New Roman" w:hAnsi="Verdana" w:cs="Arial"/>
          <w:noProof/>
          <w:lang w:val="es-ES_tradnl" w:eastAsia="es-ES_tradnl"/>
        </w:rPr>
      </w:pPr>
    </w:p>
    <w:p w14:paraId="14CF9281" w14:textId="32A1B76E" w:rsidR="006A3488" w:rsidRPr="00262582" w:rsidRDefault="006A3488" w:rsidP="006A3488">
      <w:pPr>
        <w:spacing w:after="0" w:line="240" w:lineRule="auto"/>
        <w:jc w:val="both"/>
        <w:rPr>
          <w:rFonts w:ascii="Verdana" w:eastAsia="Times New Roman" w:hAnsi="Verdana" w:cs="Arial"/>
          <w:noProof/>
          <w:lang w:val="es-ES_tradnl" w:eastAsia="es-ES_tradnl"/>
        </w:rPr>
      </w:pPr>
    </w:p>
    <w:p w14:paraId="7A341B07" w14:textId="3F5D0EC3" w:rsidR="006A3488" w:rsidRPr="00262582" w:rsidRDefault="00477B76" w:rsidP="006A3488">
      <w:pPr>
        <w:spacing w:after="0" w:line="240" w:lineRule="auto"/>
        <w:jc w:val="right"/>
        <w:rPr>
          <w:rFonts w:ascii="Verdana" w:eastAsia="Times New Roman" w:hAnsi="Verdana" w:cs="Arial"/>
          <w:noProof/>
          <w:lang w:val="es-ES_tradnl" w:eastAsia="es-ES_tradnl"/>
        </w:rPr>
      </w:pPr>
      <w:r w:rsidRPr="00AD0817">
        <w:rPr>
          <w:rFonts w:ascii="Verdana" w:eastAsia="Times New Roman" w:hAnsi="Verdana" w:cs="Arial"/>
          <w:noProof/>
          <w:lang w:val="es-ES_tradnl" w:eastAsia="es-ES_tradnl"/>
        </w:rPr>
        <w:drawing>
          <wp:anchor distT="0" distB="0" distL="114300" distR="114300" simplePos="0" relativeHeight="251657216" behindDoc="0" locked="0" layoutInCell="1" allowOverlap="1" wp14:anchorId="54F660DC" wp14:editId="6B17C3EB">
            <wp:simplePos x="0" y="0"/>
            <wp:positionH relativeFrom="margin">
              <wp:posOffset>2640965</wp:posOffset>
            </wp:positionH>
            <wp:positionV relativeFrom="paragraph">
              <wp:posOffset>10795</wp:posOffset>
            </wp:positionV>
            <wp:extent cx="2966085" cy="882015"/>
            <wp:effectExtent l="0" t="0" r="5715" b="0"/>
            <wp:wrapSquare wrapText="bothSides"/>
            <wp:docPr id="75318569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185699"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966085" cy="882015"/>
                    </a:xfrm>
                    <a:prstGeom prst="rect">
                      <a:avLst/>
                    </a:prstGeom>
                  </pic:spPr>
                </pic:pic>
              </a:graphicData>
            </a:graphic>
            <wp14:sizeRelH relativeFrom="margin">
              <wp14:pctWidth>0</wp14:pctWidth>
            </wp14:sizeRelH>
            <wp14:sizeRelV relativeFrom="margin">
              <wp14:pctHeight>0</wp14:pctHeight>
            </wp14:sizeRelV>
          </wp:anchor>
        </w:drawing>
      </w:r>
    </w:p>
    <w:p w14:paraId="3BFDD647" w14:textId="77777777" w:rsidR="006A3488" w:rsidRPr="00262582" w:rsidRDefault="006A3488" w:rsidP="006A3488">
      <w:pPr>
        <w:spacing w:after="0" w:line="240" w:lineRule="auto"/>
        <w:jc w:val="both"/>
        <w:rPr>
          <w:rFonts w:ascii="Verdana" w:eastAsia="Calibri" w:hAnsi="Verdana" w:cs="Arial"/>
          <w:lang w:val="es-ES" w:eastAsia="es-ES_tradnl"/>
        </w:rPr>
      </w:pPr>
      <w:r w:rsidRPr="00262582">
        <w:rPr>
          <w:rFonts w:ascii="Verdana" w:eastAsia="Calibri" w:hAnsi="Verdana" w:cs="Arial"/>
          <w:lang w:val="es-ES" w:eastAsia="es-ES_tradnl"/>
        </w:rPr>
        <w:t>Señor</w:t>
      </w:r>
      <w:r>
        <w:rPr>
          <w:rFonts w:ascii="Verdana" w:eastAsia="Calibri" w:hAnsi="Verdana" w:cs="Arial"/>
          <w:lang w:val="es-ES" w:eastAsia="es-ES_tradnl"/>
        </w:rPr>
        <w:t>a</w:t>
      </w:r>
    </w:p>
    <w:p w14:paraId="141229A7" w14:textId="77777777" w:rsidR="006A3488" w:rsidRPr="006E3562" w:rsidRDefault="006A3488" w:rsidP="006A3488">
      <w:pPr>
        <w:spacing w:after="0" w:line="240" w:lineRule="auto"/>
        <w:rPr>
          <w:rFonts w:ascii="Verdana" w:eastAsia="Calibri" w:hAnsi="Verdana" w:cs="Arial"/>
          <w:b/>
          <w:bCs/>
          <w:lang w:val="es-ES" w:eastAsia="es-ES_tradnl"/>
        </w:rPr>
      </w:pPr>
      <w:r>
        <w:rPr>
          <w:rFonts w:ascii="Verdana" w:eastAsia="Calibri" w:hAnsi="Verdana" w:cs="Arial"/>
          <w:b/>
          <w:bCs/>
          <w:lang w:val="es-ES" w:eastAsia="es-ES_tradnl"/>
        </w:rPr>
        <w:t>Juanita Rojas Varela</w:t>
      </w:r>
    </w:p>
    <w:p w14:paraId="17D4A690" w14:textId="77777777" w:rsidR="006A3488" w:rsidRPr="006E3562" w:rsidRDefault="006A3488" w:rsidP="006A3488">
      <w:pPr>
        <w:spacing w:after="0" w:line="240" w:lineRule="auto"/>
        <w:rPr>
          <w:rFonts w:ascii="Verdana" w:eastAsia="Calibri" w:hAnsi="Verdana" w:cs="Arial"/>
          <w:lang w:val="es-ES" w:eastAsia="es-ES_tradnl"/>
        </w:rPr>
      </w:pPr>
      <w:r w:rsidRPr="006E3562">
        <w:rPr>
          <w:rFonts w:ascii="Verdana" w:eastAsia="Calibri" w:hAnsi="Verdana" w:cs="Arial"/>
          <w:lang w:val="es-ES" w:eastAsia="es-ES_tradnl"/>
        </w:rPr>
        <w:t>juanitarojasvarela13@outlook.com</w:t>
      </w:r>
    </w:p>
    <w:p w14:paraId="5406B34F" w14:textId="77777777" w:rsidR="006A3488" w:rsidRPr="00262582" w:rsidRDefault="006A3488" w:rsidP="006A3488">
      <w:pPr>
        <w:spacing w:after="0" w:line="240" w:lineRule="auto"/>
        <w:rPr>
          <w:rFonts w:ascii="Verdana" w:eastAsia="Calibri" w:hAnsi="Verdana" w:cs="Arial"/>
          <w:lang w:val="es-ES_tradnl" w:eastAsia="es-ES_tradnl"/>
        </w:rPr>
      </w:pPr>
      <w:r w:rsidRPr="00262582">
        <w:rPr>
          <w:rFonts w:ascii="Verdana" w:eastAsia="Calibri" w:hAnsi="Verdana" w:cs="Arial"/>
          <w:bCs/>
          <w:lang w:val="es-ES_tradnl" w:eastAsia="es-ES_tradnl"/>
        </w:rPr>
        <w:t>Ciudad</w:t>
      </w:r>
    </w:p>
    <w:p w14:paraId="2019C51A" w14:textId="77777777" w:rsidR="006A3488" w:rsidRPr="00262582" w:rsidRDefault="006A3488" w:rsidP="006A3488">
      <w:pPr>
        <w:spacing w:after="0" w:line="240" w:lineRule="auto"/>
        <w:rPr>
          <w:rFonts w:ascii="Verdana" w:eastAsia="Calibri" w:hAnsi="Verdana" w:cs="Arial"/>
          <w:lang w:val="es-ES_tradnl" w:eastAsia="es-ES_tradnl"/>
        </w:rPr>
      </w:pPr>
    </w:p>
    <w:p w14:paraId="17AB4366" w14:textId="77777777" w:rsidR="006A3488" w:rsidRPr="00262582" w:rsidRDefault="006A3488" w:rsidP="006A3488">
      <w:pPr>
        <w:spacing w:after="0" w:line="240" w:lineRule="auto"/>
        <w:rPr>
          <w:rFonts w:ascii="Verdana" w:eastAsia="Calibri" w:hAnsi="Verdana" w:cs="Arial"/>
          <w:lang w:val="es-ES_tradnl" w:eastAsia="es-ES_tradnl"/>
        </w:rPr>
      </w:pPr>
    </w:p>
    <w:p w14:paraId="20456870" w14:textId="77777777" w:rsidR="006A3488" w:rsidRPr="00262582" w:rsidRDefault="006A3488" w:rsidP="006A3488">
      <w:pPr>
        <w:spacing w:after="0" w:line="240" w:lineRule="auto"/>
        <w:ind w:left="2694"/>
        <w:rPr>
          <w:rFonts w:ascii="Verdana" w:eastAsia="Calibri" w:hAnsi="Verdana" w:cs="Arial"/>
          <w:b/>
          <w:bCs/>
          <w:lang w:val="es-ES" w:eastAsia="es-ES_tradnl"/>
        </w:rPr>
      </w:pPr>
      <w:r w:rsidRPr="00262582">
        <w:rPr>
          <w:rFonts w:ascii="Verdana" w:eastAsia="Calibri" w:hAnsi="Verdana" w:cs="Arial"/>
          <w:b/>
          <w:bCs/>
          <w:lang w:val="es-ES" w:eastAsia="es-ES_tradnl"/>
        </w:rPr>
        <w:t>Concepto C-</w:t>
      </w:r>
      <w:r>
        <w:rPr>
          <w:rFonts w:ascii="Verdana" w:eastAsia="Calibri" w:hAnsi="Verdana" w:cs="Arial"/>
          <w:b/>
          <w:bCs/>
          <w:lang w:val="es-ES" w:eastAsia="es-ES_tradnl"/>
        </w:rPr>
        <w:t>1221</w:t>
      </w:r>
      <w:r w:rsidRPr="00262582">
        <w:rPr>
          <w:rFonts w:ascii="Verdana" w:eastAsia="Calibri" w:hAnsi="Verdana" w:cs="Arial"/>
          <w:b/>
          <w:bCs/>
          <w:lang w:val="es-ES" w:eastAsia="es-ES_tradnl"/>
        </w:rPr>
        <w:t xml:space="preserve"> de 202</w:t>
      </w:r>
      <w:r>
        <w:rPr>
          <w:rFonts w:ascii="Verdana" w:eastAsia="Calibri" w:hAnsi="Verdana" w:cs="Arial"/>
          <w:b/>
          <w:bCs/>
          <w:lang w:val="es-ES" w:eastAsia="es-ES_tradnl"/>
        </w:rPr>
        <w:t>5</w:t>
      </w:r>
    </w:p>
    <w:p w14:paraId="21C45600" w14:textId="77777777" w:rsidR="006A3488" w:rsidRPr="00262582" w:rsidRDefault="006A3488" w:rsidP="006A3488">
      <w:pPr>
        <w:spacing w:after="0" w:line="240" w:lineRule="auto"/>
        <w:jc w:val="both"/>
        <w:rPr>
          <w:rFonts w:ascii="Verdana" w:eastAsia="Calibri" w:hAnsi="Verdana" w:cs="Arial"/>
          <w:lang w:val="es-ES_tradnl"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6A3488" w:rsidRPr="00262582" w14:paraId="0BD3F0AF" w14:textId="77777777" w:rsidTr="00841F7B">
        <w:trPr>
          <w:jc w:val="right"/>
        </w:trPr>
        <w:tc>
          <w:tcPr>
            <w:tcW w:w="1838" w:type="dxa"/>
          </w:tcPr>
          <w:p w14:paraId="0423F227" w14:textId="77777777" w:rsidR="006A3488" w:rsidRPr="00262582" w:rsidRDefault="006A3488" w:rsidP="00841F7B">
            <w:pPr>
              <w:jc w:val="center"/>
              <w:rPr>
                <w:rFonts w:ascii="Verdana" w:eastAsia="Calibri" w:hAnsi="Verdana" w:cs="Arial"/>
                <w:lang w:val="es-ES_tradnl" w:eastAsia="es-ES_tradnl"/>
              </w:rPr>
            </w:pPr>
            <w:r w:rsidRPr="00262582">
              <w:rPr>
                <w:rFonts w:ascii="Verdana" w:eastAsia="Calibri" w:hAnsi="Verdana" w:cs="Arial"/>
                <w:b/>
                <w:lang w:val="es-ES_tradnl" w:eastAsia="es-ES_tradnl"/>
              </w:rPr>
              <w:t>Temas:</w:t>
            </w:r>
          </w:p>
        </w:tc>
        <w:tc>
          <w:tcPr>
            <w:tcW w:w="6237" w:type="dxa"/>
          </w:tcPr>
          <w:p w14:paraId="720D85D3" w14:textId="77777777" w:rsidR="006A3488" w:rsidRPr="00FC0D0E" w:rsidRDefault="006A3488" w:rsidP="00841F7B">
            <w:pPr>
              <w:jc w:val="both"/>
              <w:textAlignment w:val="baseline"/>
              <w:rPr>
                <w:rFonts w:ascii="Verdana" w:eastAsia="Times New Roman" w:hAnsi="Verdana" w:cs="Arial"/>
                <w:highlight w:val="yellow"/>
                <w:lang w:val="es-ES" w:eastAsia="es-ES_tradnl"/>
              </w:rPr>
            </w:pPr>
            <w:r w:rsidRPr="003918F7">
              <w:rPr>
                <w:rFonts w:ascii="Verdana" w:eastAsia="Calibri" w:hAnsi="Verdana" w:cs="Arial"/>
                <w:color w:val="000000" w:themeColor="text1"/>
                <w:szCs w:val="24"/>
                <w:lang w:eastAsia="es-ES_tradnl"/>
              </w:rPr>
              <w:t>PLAN ANUAL DE ADQUISICIONES – Contenido / PLAN ANUAL DE ADQUISICIONES – Carácter estimativo / PLAN ANUAL DE ADQUISICIONES – Actualización</w:t>
            </w:r>
          </w:p>
        </w:tc>
      </w:tr>
      <w:tr w:rsidR="006A3488" w:rsidRPr="00262582" w14:paraId="1B0948E4" w14:textId="77777777" w:rsidTr="00841F7B">
        <w:trPr>
          <w:jc w:val="right"/>
        </w:trPr>
        <w:tc>
          <w:tcPr>
            <w:tcW w:w="1838" w:type="dxa"/>
          </w:tcPr>
          <w:p w14:paraId="5CC514F5" w14:textId="77777777" w:rsidR="006A3488" w:rsidRPr="00262582" w:rsidRDefault="006A3488" w:rsidP="00841F7B">
            <w:pPr>
              <w:jc w:val="center"/>
              <w:rPr>
                <w:rFonts w:ascii="Verdana" w:eastAsia="Calibri" w:hAnsi="Verdana" w:cs="Arial"/>
                <w:b/>
                <w:lang w:val="es-ES" w:eastAsia="es-ES_tradnl"/>
              </w:rPr>
            </w:pPr>
            <w:r w:rsidRPr="00262582">
              <w:rPr>
                <w:rFonts w:ascii="Verdana" w:eastAsia="Calibri" w:hAnsi="Verdana" w:cs="Arial"/>
                <w:b/>
                <w:lang w:val="es-ES" w:eastAsia="es-ES_tradnl"/>
              </w:rPr>
              <w:t>Radicación:</w:t>
            </w:r>
          </w:p>
        </w:tc>
        <w:tc>
          <w:tcPr>
            <w:tcW w:w="6237" w:type="dxa"/>
          </w:tcPr>
          <w:p w14:paraId="0FC1DB5D" w14:textId="77777777" w:rsidR="006A3488" w:rsidRPr="00262582" w:rsidRDefault="006A3488" w:rsidP="00841F7B">
            <w:pPr>
              <w:jc w:val="both"/>
              <w:rPr>
                <w:rFonts w:ascii="Verdana" w:eastAsia="Calibri" w:hAnsi="Verdana" w:cs="Arial"/>
                <w:lang w:val="es-ES" w:eastAsia="es-ES_tradnl"/>
              </w:rPr>
            </w:pPr>
            <w:r w:rsidRPr="00262582">
              <w:rPr>
                <w:rFonts w:ascii="Verdana" w:eastAsia="Calibri" w:hAnsi="Verdana" w:cs="Arial"/>
                <w:lang w:val="es-ES" w:eastAsia="es-ES_tradnl"/>
              </w:rPr>
              <w:t xml:space="preserve">Respuesta a consulta radicado No. </w:t>
            </w:r>
            <w:r w:rsidRPr="00264E70">
              <w:rPr>
                <w:rFonts w:ascii="Verdana" w:eastAsia="Times New Roman" w:hAnsi="Verdana" w:cs="Arial"/>
                <w:lang w:eastAsia="es-ES_tradnl"/>
              </w:rPr>
              <w:t>1_2025_08_27_009182</w:t>
            </w:r>
          </w:p>
        </w:tc>
      </w:tr>
    </w:tbl>
    <w:p w14:paraId="4E3E1EF4" w14:textId="77777777" w:rsidR="006A3488" w:rsidRPr="00262582" w:rsidRDefault="006A3488" w:rsidP="006A3488">
      <w:pPr>
        <w:spacing w:after="0" w:line="240" w:lineRule="auto"/>
        <w:jc w:val="both"/>
        <w:rPr>
          <w:rFonts w:ascii="Verdana" w:eastAsia="Calibri" w:hAnsi="Verdana" w:cs="Arial"/>
          <w:lang w:val="es-ES_tradnl" w:eastAsia="es-ES_tradnl"/>
        </w:rPr>
      </w:pPr>
    </w:p>
    <w:p w14:paraId="40366576" w14:textId="77777777" w:rsidR="006A3488" w:rsidRPr="00262582" w:rsidRDefault="006A3488" w:rsidP="006A3488">
      <w:pPr>
        <w:spacing w:after="0" w:line="240" w:lineRule="auto"/>
        <w:jc w:val="both"/>
        <w:rPr>
          <w:rFonts w:ascii="Verdana" w:eastAsia="Calibri" w:hAnsi="Verdana" w:cs="Arial"/>
          <w:lang w:val="es-ES_tradnl" w:eastAsia="es-ES_tradnl"/>
        </w:rPr>
      </w:pPr>
    </w:p>
    <w:p w14:paraId="01DF2C26" w14:textId="77777777" w:rsidR="006A3488" w:rsidRPr="00262582" w:rsidRDefault="006A3488" w:rsidP="006A3488">
      <w:pPr>
        <w:spacing w:after="0" w:line="276" w:lineRule="auto"/>
        <w:contextualSpacing/>
        <w:jc w:val="both"/>
        <w:rPr>
          <w:rFonts w:ascii="Verdana" w:eastAsia="Calibri" w:hAnsi="Verdana" w:cs="Arial"/>
          <w:bCs/>
          <w:lang w:val="es-ES_tradnl" w:eastAsia="es-ES_tradnl"/>
        </w:rPr>
      </w:pPr>
      <w:r w:rsidRPr="00262582">
        <w:rPr>
          <w:rFonts w:ascii="Verdana" w:eastAsia="Calibri" w:hAnsi="Verdana" w:cs="Arial"/>
          <w:lang w:val="es-ES_tradnl" w:eastAsia="es-ES_tradnl"/>
        </w:rPr>
        <w:t>Estimad</w:t>
      </w:r>
      <w:r>
        <w:rPr>
          <w:rFonts w:ascii="Verdana" w:eastAsia="Calibri" w:hAnsi="Verdana" w:cs="Arial"/>
          <w:lang w:val="es-ES_tradnl" w:eastAsia="es-ES_tradnl"/>
        </w:rPr>
        <w:t>a</w:t>
      </w:r>
      <w:r w:rsidRPr="00262582">
        <w:rPr>
          <w:rFonts w:ascii="Verdana" w:eastAsia="Calibri" w:hAnsi="Verdana" w:cs="Arial"/>
          <w:lang w:val="es-ES_tradnl" w:eastAsia="es-ES_tradnl"/>
        </w:rPr>
        <w:t xml:space="preserve"> señor</w:t>
      </w:r>
      <w:r>
        <w:rPr>
          <w:rFonts w:ascii="Verdana" w:eastAsia="Calibri" w:hAnsi="Verdana" w:cs="Arial"/>
          <w:lang w:val="es-ES_tradnl" w:eastAsia="es-ES_tradnl"/>
        </w:rPr>
        <w:t>a</w:t>
      </w:r>
      <w:r w:rsidRPr="00262582">
        <w:rPr>
          <w:rFonts w:ascii="Verdana" w:eastAsia="Calibri" w:hAnsi="Verdana" w:cs="Arial"/>
          <w:lang w:val="es-ES_tradnl" w:eastAsia="es-ES_tradnl"/>
        </w:rPr>
        <w:t xml:space="preserve"> </w:t>
      </w:r>
      <w:r>
        <w:rPr>
          <w:rFonts w:ascii="Verdana" w:eastAsia="Calibri" w:hAnsi="Verdana" w:cs="Arial"/>
          <w:lang w:val="es-ES_tradnl" w:eastAsia="es-ES_tradnl"/>
        </w:rPr>
        <w:t>Rojas</w:t>
      </w:r>
      <w:r w:rsidRPr="00262582">
        <w:rPr>
          <w:rFonts w:ascii="Verdana" w:eastAsia="Calibri" w:hAnsi="Verdana" w:cs="Arial"/>
          <w:bCs/>
          <w:lang w:val="es-ES_tradnl" w:eastAsia="es-ES_tradnl"/>
        </w:rPr>
        <w:t>:</w:t>
      </w:r>
    </w:p>
    <w:p w14:paraId="69AD5DD5" w14:textId="77777777" w:rsidR="006A3488" w:rsidRPr="00262582" w:rsidRDefault="006A3488" w:rsidP="006A3488">
      <w:pPr>
        <w:spacing w:after="0" w:line="276" w:lineRule="auto"/>
        <w:contextualSpacing/>
        <w:jc w:val="both"/>
        <w:rPr>
          <w:rFonts w:ascii="Verdana" w:eastAsia="Calibri" w:hAnsi="Verdana" w:cs="Arial"/>
          <w:lang w:val="es-ES_tradnl" w:eastAsia="es-ES_tradnl"/>
        </w:rPr>
      </w:pPr>
    </w:p>
    <w:p w14:paraId="3AF59EC8" w14:textId="77777777" w:rsidR="006A3488" w:rsidRPr="00262582" w:rsidRDefault="006A3488" w:rsidP="006A3488">
      <w:pPr>
        <w:spacing w:after="0" w:line="276" w:lineRule="auto"/>
        <w:contextualSpacing/>
        <w:jc w:val="both"/>
        <w:rPr>
          <w:rFonts w:ascii="Verdana" w:eastAsia="Calibri" w:hAnsi="Verdana" w:cs="Arial"/>
          <w:lang w:val="es-ES" w:eastAsia="es-ES_tradnl"/>
        </w:rPr>
      </w:pPr>
      <w:r w:rsidRPr="00262582">
        <w:rPr>
          <w:rFonts w:ascii="Verdana" w:eastAsia="Calibri" w:hAnsi="Verdana" w:cs="Arial"/>
          <w:lang w:val="es-ES"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w:t>
      </w:r>
      <w:r>
        <w:rPr>
          <w:rFonts w:ascii="Verdana" w:eastAsia="Calibri" w:hAnsi="Verdana" w:cs="Arial"/>
          <w:lang w:val="es-ES" w:eastAsia="es-ES_tradnl"/>
        </w:rPr>
        <w:t xml:space="preserve"> 27</w:t>
      </w:r>
      <w:r w:rsidRPr="00262582">
        <w:rPr>
          <w:rFonts w:ascii="Verdana" w:eastAsia="Calibri" w:hAnsi="Verdana" w:cs="Arial"/>
          <w:lang w:val="es-ES" w:eastAsia="es-ES_tradnl"/>
        </w:rPr>
        <w:t xml:space="preserve"> de </w:t>
      </w:r>
      <w:r>
        <w:rPr>
          <w:rFonts w:ascii="Verdana" w:eastAsia="Calibri" w:hAnsi="Verdana" w:cs="Arial"/>
          <w:lang w:val="es-ES" w:eastAsia="es-ES_tradnl"/>
        </w:rPr>
        <w:t>agosto de 2025</w:t>
      </w:r>
      <w:r w:rsidRPr="00262582">
        <w:rPr>
          <w:rFonts w:ascii="Verdana" w:eastAsia="Calibri" w:hAnsi="Verdana" w:cs="Arial"/>
          <w:lang w:val="es-ES" w:eastAsia="es-ES_tradnl"/>
        </w:rPr>
        <w:t>, en la cual manifiesta lo siguiente:</w:t>
      </w:r>
    </w:p>
    <w:p w14:paraId="7BD9266F" w14:textId="77777777" w:rsidR="006A3488" w:rsidRPr="00262582" w:rsidRDefault="006A3488" w:rsidP="006A3488">
      <w:pPr>
        <w:spacing w:after="0" w:line="276" w:lineRule="auto"/>
        <w:contextualSpacing/>
        <w:jc w:val="both"/>
        <w:rPr>
          <w:rFonts w:ascii="Verdana" w:eastAsia="Calibri" w:hAnsi="Verdana" w:cs="Arial"/>
          <w:b/>
          <w:szCs w:val="24"/>
          <w:lang w:val="es-ES_tradnl" w:eastAsia="es-ES_tradnl"/>
        </w:rPr>
      </w:pPr>
    </w:p>
    <w:p w14:paraId="54A470FA" w14:textId="77777777" w:rsidR="006A3488" w:rsidRPr="00262582" w:rsidRDefault="006A3488" w:rsidP="006A3488">
      <w:pPr>
        <w:spacing w:after="0" w:line="240" w:lineRule="auto"/>
        <w:ind w:left="709" w:right="709"/>
        <w:contextualSpacing/>
        <w:jc w:val="both"/>
        <w:rPr>
          <w:rFonts w:ascii="Verdana" w:eastAsia="Times New Roman" w:hAnsi="Verdana" w:cs="Arial"/>
          <w:sz w:val="21"/>
          <w:szCs w:val="21"/>
          <w:lang w:eastAsia="es-ES_tradnl"/>
        </w:rPr>
      </w:pPr>
      <w:r w:rsidRPr="00262582">
        <w:rPr>
          <w:rFonts w:ascii="Verdana" w:eastAsia="Times New Roman" w:hAnsi="Verdana" w:cs="Arial"/>
          <w:sz w:val="21"/>
          <w:szCs w:val="21"/>
          <w:lang w:eastAsia="es-ES_tradnl"/>
        </w:rPr>
        <w:t>“</w:t>
      </w:r>
      <w:r w:rsidRPr="00C86DEF">
        <w:rPr>
          <w:rFonts w:ascii="Verdana" w:eastAsia="Times New Roman" w:hAnsi="Verdana" w:cs="Arial"/>
          <w:sz w:val="21"/>
          <w:szCs w:val="21"/>
          <w:lang w:eastAsia="es-ES_tradnl"/>
        </w:rPr>
        <w:t>¿Es obligatorio que la información consignada en el PAA, específicamente en los</w:t>
      </w:r>
      <w:r>
        <w:rPr>
          <w:rFonts w:ascii="Verdana" w:eastAsia="Times New Roman" w:hAnsi="Verdana" w:cs="Arial"/>
          <w:sz w:val="21"/>
          <w:szCs w:val="21"/>
          <w:lang w:eastAsia="es-ES_tradnl"/>
        </w:rPr>
        <w:t xml:space="preserve"> </w:t>
      </w:r>
      <w:r w:rsidRPr="00C86DEF">
        <w:rPr>
          <w:rFonts w:ascii="Verdana" w:eastAsia="Times New Roman" w:hAnsi="Verdana" w:cs="Arial"/>
          <w:sz w:val="21"/>
          <w:szCs w:val="21"/>
          <w:lang w:eastAsia="es-ES_tradnl"/>
        </w:rPr>
        <w:t>campos correspondientes a la “</w:t>
      </w:r>
      <w:proofErr w:type="gramStart"/>
      <w:r w:rsidRPr="00C86DEF">
        <w:rPr>
          <w:rFonts w:ascii="Verdana" w:eastAsia="Times New Roman" w:hAnsi="Verdana" w:cs="Arial"/>
          <w:sz w:val="21"/>
          <w:szCs w:val="21"/>
          <w:lang w:eastAsia="es-ES_tradnl"/>
        </w:rPr>
        <w:t>Fecha estimada de inicio del proceso de selección”</w:t>
      </w:r>
      <w:r>
        <w:rPr>
          <w:rFonts w:ascii="Verdana" w:eastAsia="Times New Roman" w:hAnsi="Verdana" w:cs="Arial"/>
          <w:sz w:val="21"/>
          <w:szCs w:val="21"/>
          <w:lang w:eastAsia="es-ES_tradnl"/>
        </w:rPr>
        <w:t xml:space="preserve"> </w:t>
      </w:r>
      <w:r w:rsidRPr="00C86DEF">
        <w:rPr>
          <w:rFonts w:ascii="Verdana" w:eastAsia="Times New Roman" w:hAnsi="Verdana" w:cs="Arial"/>
          <w:sz w:val="21"/>
          <w:szCs w:val="21"/>
          <w:lang w:eastAsia="es-ES_tradnl"/>
        </w:rPr>
        <w:t>y la “Fecha estimada de presentación de ofertas”, coincida de manera estricta con</w:t>
      </w:r>
      <w:r>
        <w:rPr>
          <w:rFonts w:ascii="Verdana" w:eastAsia="Times New Roman" w:hAnsi="Verdana" w:cs="Arial"/>
          <w:sz w:val="21"/>
          <w:szCs w:val="21"/>
          <w:lang w:eastAsia="es-ES_tradnl"/>
        </w:rPr>
        <w:t xml:space="preserve"> </w:t>
      </w:r>
      <w:r w:rsidRPr="00C86DEF">
        <w:rPr>
          <w:rFonts w:ascii="Verdana" w:eastAsia="Times New Roman" w:hAnsi="Verdana" w:cs="Arial"/>
          <w:sz w:val="21"/>
          <w:szCs w:val="21"/>
          <w:lang w:eastAsia="es-ES_tradnl"/>
        </w:rPr>
        <w:t>las fechas en que efectivamente se lleve a cabo el proceso de contratación?</w:t>
      </w:r>
      <w:proofErr w:type="gramEnd"/>
      <w:r w:rsidRPr="00C86DEF">
        <w:rPr>
          <w:rFonts w:ascii="Verdana" w:eastAsia="Times New Roman" w:hAnsi="Verdana" w:cs="Arial"/>
          <w:sz w:val="21"/>
          <w:szCs w:val="21"/>
          <w:lang w:eastAsia="es-ES_tradnl"/>
        </w:rPr>
        <w:t>, es</w:t>
      </w:r>
      <w:r>
        <w:rPr>
          <w:rFonts w:ascii="Verdana" w:eastAsia="Times New Roman" w:hAnsi="Verdana" w:cs="Arial"/>
          <w:sz w:val="21"/>
          <w:szCs w:val="21"/>
          <w:lang w:eastAsia="es-ES_tradnl"/>
        </w:rPr>
        <w:t xml:space="preserve"> </w:t>
      </w:r>
      <w:r w:rsidRPr="00C86DEF">
        <w:rPr>
          <w:rFonts w:ascii="Verdana" w:eastAsia="Times New Roman" w:hAnsi="Verdana" w:cs="Arial"/>
          <w:sz w:val="21"/>
          <w:szCs w:val="21"/>
          <w:lang w:eastAsia="es-ES_tradnl"/>
        </w:rPr>
        <w:t>decir, ¿es necesario que los meses señalados en el PAA correspondan con</w:t>
      </w:r>
      <w:r>
        <w:rPr>
          <w:rFonts w:ascii="Verdana" w:eastAsia="Times New Roman" w:hAnsi="Verdana" w:cs="Arial"/>
          <w:sz w:val="21"/>
          <w:szCs w:val="21"/>
          <w:lang w:eastAsia="es-ES_tradnl"/>
        </w:rPr>
        <w:t xml:space="preserve"> </w:t>
      </w:r>
      <w:r w:rsidRPr="00C86DEF">
        <w:rPr>
          <w:rFonts w:ascii="Verdana" w:eastAsia="Times New Roman" w:hAnsi="Verdana" w:cs="Arial"/>
          <w:sz w:val="21"/>
          <w:szCs w:val="21"/>
          <w:lang w:eastAsia="es-ES_tradnl"/>
        </w:rPr>
        <w:t>exactitud a los meses en los que se adelante el proceso contractual?</w:t>
      </w:r>
      <w:r>
        <w:rPr>
          <w:rFonts w:ascii="Verdana" w:eastAsia="Times New Roman" w:hAnsi="Verdana" w:cs="Arial"/>
          <w:sz w:val="21"/>
          <w:szCs w:val="21"/>
          <w:lang w:eastAsia="es-ES_tradnl"/>
        </w:rPr>
        <w:t>”</w:t>
      </w:r>
      <w:r w:rsidRPr="00C86DEF">
        <w:rPr>
          <w:rFonts w:ascii="Verdana" w:eastAsia="Times New Roman" w:hAnsi="Verdana" w:cs="Arial"/>
          <w:sz w:val="21"/>
          <w:szCs w:val="21"/>
          <w:lang w:eastAsia="es-ES_tradnl"/>
        </w:rPr>
        <w:cr/>
      </w:r>
      <w:r w:rsidRPr="00262582">
        <w:rPr>
          <w:rFonts w:ascii="Verdana" w:eastAsia="Times New Roman" w:hAnsi="Verdana" w:cs="Arial"/>
          <w:sz w:val="21"/>
          <w:szCs w:val="21"/>
          <w:lang w:eastAsia="es-ES_tradnl"/>
        </w:rPr>
        <w:t>”</w:t>
      </w:r>
      <w:r>
        <w:rPr>
          <w:rFonts w:ascii="Verdana" w:eastAsia="Times New Roman" w:hAnsi="Verdana" w:cs="Arial"/>
          <w:sz w:val="21"/>
          <w:szCs w:val="21"/>
          <w:lang w:eastAsia="es-ES_tradnl"/>
        </w:rPr>
        <w:t xml:space="preserve"> (SIC)</w:t>
      </w:r>
      <w:r w:rsidRPr="00262582">
        <w:rPr>
          <w:rFonts w:ascii="Verdana" w:eastAsia="Times New Roman" w:hAnsi="Verdana" w:cs="Arial"/>
          <w:sz w:val="21"/>
          <w:szCs w:val="21"/>
          <w:lang w:eastAsia="es-ES_tradnl"/>
        </w:rPr>
        <w:t>.</w:t>
      </w:r>
    </w:p>
    <w:p w14:paraId="438EFC04" w14:textId="77777777" w:rsidR="006A3488" w:rsidRPr="00262582" w:rsidRDefault="006A3488" w:rsidP="006A3488">
      <w:pPr>
        <w:spacing w:after="0" w:line="240" w:lineRule="auto"/>
        <w:ind w:left="709" w:right="709"/>
        <w:contextualSpacing/>
        <w:jc w:val="both"/>
        <w:rPr>
          <w:rFonts w:ascii="Verdana" w:eastAsia="Times New Roman" w:hAnsi="Verdana" w:cs="Arial"/>
          <w:sz w:val="21"/>
          <w:szCs w:val="21"/>
          <w:lang w:eastAsia="es-ES_tradnl"/>
        </w:rPr>
      </w:pPr>
    </w:p>
    <w:p w14:paraId="5F66ED15" w14:textId="77777777" w:rsidR="006A3488" w:rsidRPr="00262582" w:rsidRDefault="006A3488" w:rsidP="006A3488">
      <w:pPr>
        <w:spacing w:after="120" w:line="276" w:lineRule="auto"/>
        <w:ind w:firstLine="709"/>
        <w:jc w:val="both"/>
        <w:rPr>
          <w:rFonts w:ascii="Verdana" w:eastAsia="Calibri" w:hAnsi="Verdana" w:cs="Arial"/>
          <w:color w:val="000000"/>
          <w:szCs w:val="24"/>
          <w:lang w:val="es-ES_tradnl" w:eastAsia="es-ES_tradnl"/>
        </w:rPr>
      </w:pPr>
      <w:r w:rsidRPr="00262582">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262582">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62582">
        <w:rPr>
          <w:rFonts w:ascii="Verdana" w:eastAsia="Calibri" w:hAnsi="Verdana" w:cs="Arial"/>
          <w:color w:val="000000"/>
          <w:szCs w:val="24"/>
          <w:lang w:val="es-ES_tradnl" w:eastAsia="es-ES_tradnl"/>
        </w:rPr>
        <w:tab/>
      </w:r>
    </w:p>
    <w:p w14:paraId="0AA23159" w14:textId="77777777" w:rsidR="006A3488" w:rsidRPr="00262582" w:rsidRDefault="006A3488" w:rsidP="006A3488">
      <w:pPr>
        <w:spacing w:after="0" w:line="276" w:lineRule="auto"/>
        <w:ind w:firstLine="709"/>
        <w:jc w:val="both"/>
        <w:rPr>
          <w:rFonts w:ascii="Verdana" w:eastAsia="Calibri" w:hAnsi="Verdana" w:cs="Arial"/>
          <w:lang w:val="es-ES" w:eastAsia="es-ES"/>
        </w:rPr>
      </w:pPr>
      <w:r w:rsidRPr="00262582">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el</w:t>
      </w:r>
      <w:r w:rsidRPr="00262582">
        <w:rPr>
          <w:rFonts w:ascii="Verdana" w:eastAsia="Calibri" w:hAnsi="Verdana" w:cs="Arial"/>
          <w:lang w:val="es-ES" w:eastAsia="es-ES"/>
        </w:rPr>
        <w:t xml:space="preserve"> problema jurídico de su consulta. </w:t>
      </w:r>
    </w:p>
    <w:p w14:paraId="0B4BDA55" w14:textId="77777777" w:rsidR="006A3488" w:rsidRPr="00262582" w:rsidRDefault="006A3488" w:rsidP="006A3488">
      <w:pPr>
        <w:spacing w:after="0" w:line="276" w:lineRule="auto"/>
        <w:contextualSpacing/>
        <w:jc w:val="both"/>
        <w:rPr>
          <w:rFonts w:ascii="Verdana" w:eastAsia="Times New Roman" w:hAnsi="Verdana" w:cs="Arial"/>
          <w:szCs w:val="24"/>
          <w:lang w:val="es-ES_tradnl" w:eastAsia="es-ES_tradnl"/>
        </w:rPr>
      </w:pPr>
    </w:p>
    <w:p w14:paraId="7803AECA" w14:textId="77777777" w:rsidR="006A3488" w:rsidRPr="00262582" w:rsidRDefault="006A3488" w:rsidP="006A3488">
      <w:pPr>
        <w:tabs>
          <w:tab w:val="left" w:pos="0"/>
          <w:tab w:val="left" w:pos="284"/>
        </w:tabs>
        <w:spacing w:after="0" w:line="276" w:lineRule="auto"/>
        <w:contextualSpacing/>
        <w:jc w:val="both"/>
        <w:rPr>
          <w:rFonts w:ascii="Verdana" w:eastAsia="Calibri" w:hAnsi="Verdana" w:cs="Arial"/>
          <w:b/>
          <w:lang w:val="es-ES_tradnl"/>
        </w:rPr>
      </w:pPr>
      <w:r w:rsidRPr="00262582">
        <w:rPr>
          <w:rFonts w:ascii="Verdana" w:eastAsia="Calibri" w:hAnsi="Verdana" w:cs="Arial"/>
          <w:b/>
          <w:lang w:val="es-ES_tradnl"/>
        </w:rPr>
        <w:t>1. Problema planteado:</w:t>
      </w:r>
    </w:p>
    <w:p w14:paraId="40557943" w14:textId="77777777" w:rsidR="006A3488" w:rsidRPr="00262582" w:rsidRDefault="006A3488" w:rsidP="006A3488">
      <w:pPr>
        <w:tabs>
          <w:tab w:val="left" w:pos="0"/>
          <w:tab w:val="left" w:pos="284"/>
        </w:tabs>
        <w:spacing w:after="0" w:line="276" w:lineRule="auto"/>
        <w:contextualSpacing/>
        <w:jc w:val="both"/>
        <w:rPr>
          <w:rFonts w:ascii="Verdana" w:eastAsia="Calibri" w:hAnsi="Verdana" w:cs="Arial"/>
          <w:b/>
          <w:lang w:val="es-ES_tradnl"/>
        </w:rPr>
      </w:pPr>
    </w:p>
    <w:p w14:paraId="2A19DF2D" w14:textId="77777777" w:rsidR="006A3488" w:rsidRPr="00262582" w:rsidRDefault="006A3488" w:rsidP="006A3488">
      <w:pPr>
        <w:spacing w:after="0" w:line="276" w:lineRule="auto"/>
        <w:jc w:val="both"/>
        <w:rPr>
          <w:rFonts w:ascii="Verdana" w:eastAsia="Century Gothic" w:hAnsi="Verdana" w:cs="Century Gothic"/>
        </w:rPr>
      </w:pPr>
      <w:r w:rsidRPr="00262582">
        <w:rPr>
          <w:rFonts w:ascii="Verdana" w:eastAsia="Century Gothic" w:hAnsi="Verdana" w:cs="Century Gothic"/>
        </w:rPr>
        <w:t>De acuerdo con el contenido de su solicitud, esta Agencia resolverá el siguiente problema jurídico</w:t>
      </w:r>
      <w:r w:rsidRPr="005422A3">
        <w:rPr>
          <w:rFonts w:ascii="Verdana" w:eastAsia="Century Gothic" w:hAnsi="Verdana" w:cs="Century Gothic"/>
        </w:rPr>
        <w:t>: ¿</w:t>
      </w:r>
      <w:r>
        <w:rPr>
          <w:rFonts w:ascii="Verdana" w:eastAsia="Century Gothic" w:hAnsi="Verdana" w:cs="Century Gothic"/>
        </w:rPr>
        <w:t>La información señalada en</w:t>
      </w:r>
      <w:r w:rsidRPr="005422A3">
        <w:rPr>
          <w:rFonts w:ascii="Verdana" w:eastAsia="Century Gothic" w:hAnsi="Verdana" w:cs="Century Gothic"/>
        </w:rPr>
        <w:t xml:space="preserve"> el plan anual de adquisiciones </w:t>
      </w:r>
      <w:r>
        <w:rPr>
          <w:rFonts w:ascii="Verdana" w:eastAsia="Century Gothic" w:hAnsi="Verdana" w:cs="Century Gothic"/>
        </w:rPr>
        <w:t>debe coincidir con la realización de cada proceso de contratación</w:t>
      </w:r>
      <w:r w:rsidRPr="005422A3">
        <w:rPr>
          <w:rFonts w:ascii="Verdana" w:eastAsia="Century Gothic" w:hAnsi="Verdana" w:cs="Century Gothic"/>
        </w:rPr>
        <w:t>?</w:t>
      </w:r>
      <w:r w:rsidRPr="00262582">
        <w:rPr>
          <w:rFonts w:ascii="Verdana" w:eastAsia="Century Gothic" w:hAnsi="Verdana" w:cs="Century Gothic"/>
        </w:rPr>
        <w:t xml:space="preserve"> </w:t>
      </w:r>
    </w:p>
    <w:p w14:paraId="3D93810A" w14:textId="77777777" w:rsidR="006A3488" w:rsidRPr="00262582" w:rsidRDefault="006A3488" w:rsidP="006A3488">
      <w:pPr>
        <w:spacing w:after="0" w:line="276" w:lineRule="auto"/>
        <w:ind w:firstLine="709"/>
        <w:jc w:val="both"/>
        <w:rPr>
          <w:rFonts w:ascii="Verdana" w:eastAsia="Calibri" w:hAnsi="Verdana" w:cs="Arial"/>
          <w:lang w:val="es-ES" w:eastAsia="es-ES_tradnl"/>
        </w:rPr>
      </w:pPr>
    </w:p>
    <w:p w14:paraId="5ECA1F3E" w14:textId="77777777" w:rsidR="006A3488" w:rsidRPr="00262582" w:rsidRDefault="006A3488" w:rsidP="006A3488">
      <w:pPr>
        <w:tabs>
          <w:tab w:val="left" w:pos="142"/>
          <w:tab w:val="left" w:pos="284"/>
        </w:tabs>
        <w:spacing w:after="0" w:line="276" w:lineRule="auto"/>
        <w:jc w:val="both"/>
        <w:rPr>
          <w:rFonts w:ascii="Verdana" w:eastAsia="Century Gothic" w:hAnsi="Verdana" w:cs="Century Gothic"/>
          <w:b/>
          <w:bCs/>
        </w:rPr>
      </w:pPr>
      <w:r w:rsidRPr="00262582">
        <w:rPr>
          <w:rFonts w:ascii="Verdana" w:eastAsia="Century Gothic" w:hAnsi="Verdana" w:cs="Century Gothic"/>
          <w:b/>
          <w:bCs/>
        </w:rPr>
        <w:t>2. Respuesta:</w:t>
      </w:r>
    </w:p>
    <w:p w14:paraId="0B1D79B9" w14:textId="77777777" w:rsidR="006A3488" w:rsidRPr="00262582" w:rsidRDefault="006A3488" w:rsidP="006A348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A3488" w:rsidRPr="00262582" w14:paraId="6790FA2E" w14:textId="77777777" w:rsidTr="00841F7B">
        <w:tc>
          <w:tcPr>
            <w:tcW w:w="8828" w:type="dxa"/>
          </w:tcPr>
          <w:p w14:paraId="04D36CC7" w14:textId="77777777" w:rsidR="006A3488" w:rsidRDefault="006A3488" w:rsidP="00841F7B">
            <w:pPr>
              <w:spacing w:after="120" w:line="276" w:lineRule="auto"/>
              <w:jc w:val="both"/>
              <w:rPr>
                <w:rFonts w:ascii="Verdana" w:eastAsia="Times New Roman" w:hAnsi="Verdana" w:cs="Arial"/>
                <w:color w:val="000000" w:themeColor="text1"/>
                <w:lang w:eastAsia="es-CO"/>
              </w:rPr>
            </w:pPr>
            <w:r w:rsidRPr="3634E612">
              <w:rPr>
                <w:rFonts w:ascii="Verdana" w:eastAsia="Times New Roman" w:hAnsi="Verdana" w:cs="Arial"/>
                <w:color w:val="000000" w:themeColor="text1"/>
                <w:lang w:eastAsia="es-CO"/>
              </w:rPr>
              <w:t xml:space="preserve">No. 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Lo anterior, explica por qué no tiene que existir necesariamente una estricta identidad entre la información de las fechas estimadas para </w:t>
            </w:r>
            <w:proofErr w:type="spellStart"/>
            <w:r w:rsidRPr="3634E612">
              <w:rPr>
                <w:rFonts w:ascii="Verdana" w:eastAsia="Times New Roman" w:hAnsi="Verdana" w:cs="Arial"/>
                <w:color w:val="000000" w:themeColor="text1"/>
                <w:lang w:eastAsia="es-CO"/>
              </w:rPr>
              <w:t>aperturar</w:t>
            </w:r>
            <w:proofErr w:type="spellEnd"/>
            <w:r w:rsidRPr="3634E612">
              <w:rPr>
                <w:rFonts w:ascii="Verdana" w:eastAsia="Times New Roman" w:hAnsi="Verdana" w:cs="Arial"/>
                <w:color w:val="000000" w:themeColor="text1"/>
                <w:lang w:eastAsia="es-CO"/>
              </w:rPr>
              <w:t xml:space="preserve"> los tramites contractuales previstos en el plan y la de cada procedimiento de contratación, porque </w:t>
            </w:r>
            <w:r w:rsidRPr="076297B4">
              <w:rPr>
                <w:rFonts w:ascii="Verdana" w:eastAsia="Times New Roman" w:hAnsi="Verdana" w:cs="Arial"/>
                <w:color w:val="000000" w:themeColor="text1"/>
                <w:lang w:eastAsia="es-CO"/>
              </w:rPr>
              <w:t xml:space="preserve">se infiere de </w:t>
            </w:r>
            <w:r w:rsidRPr="3634E612">
              <w:rPr>
                <w:rFonts w:ascii="Verdana" w:eastAsia="Times New Roman" w:hAnsi="Verdana" w:cs="Arial"/>
                <w:color w:val="000000" w:themeColor="text1"/>
                <w:lang w:eastAsia="es-CO"/>
              </w:rPr>
              <w:t xml:space="preserve">la norma que la información del contrato, señalado en el plan, es </w:t>
            </w:r>
            <w:r w:rsidRPr="076297B4">
              <w:rPr>
                <w:rFonts w:ascii="Verdana" w:eastAsia="Times New Roman" w:hAnsi="Verdana" w:cs="Arial"/>
                <w:color w:val="000000" w:themeColor="text1"/>
                <w:lang w:eastAsia="es-CO"/>
              </w:rPr>
              <w:t>estimada.</w:t>
            </w:r>
            <w:r w:rsidRPr="3634E612">
              <w:rPr>
                <w:rFonts w:ascii="Verdana" w:eastAsia="Times New Roman" w:hAnsi="Verdana" w:cs="Arial"/>
                <w:color w:val="000000" w:themeColor="text1"/>
                <w:lang w:eastAsia="es-CO"/>
              </w:rPr>
              <w:t xml:space="preserve"> La misma conclusión aplica para todas las modalidades de contratación que deberán ser incluidas en el Plan Anual de Adquisiciones, porque la norma señala que deben incluirse todas las necesidades de contratación</w:t>
            </w:r>
            <w:r>
              <w:rPr>
                <w:rFonts w:ascii="Verdana" w:eastAsia="Times New Roman" w:hAnsi="Verdana" w:cs="Arial"/>
                <w:color w:val="000000" w:themeColor="text1"/>
                <w:lang w:eastAsia="es-CO"/>
              </w:rPr>
              <w:t>.</w:t>
            </w:r>
          </w:p>
          <w:p w14:paraId="3E00B51B" w14:textId="77777777" w:rsidR="006A3488" w:rsidRDefault="006A3488" w:rsidP="00841F7B">
            <w:pPr>
              <w:spacing w:after="120"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lastRenderedPageBreak/>
              <w:t>Lo anterior debe realizarse</w:t>
            </w:r>
            <w:r w:rsidRPr="3634E612">
              <w:rPr>
                <w:rFonts w:ascii="Verdana" w:eastAsia="Times New Roman" w:hAnsi="Verdana" w:cs="Arial"/>
                <w:color w:val="000000" w:themeColor="text1"/>
                <w:lang w:eastAsia="es-CO"/>
              </w:rPr>
              <w:t xml:space="preserve"> sin importar que generen o no erogación, la fecha aproximada en que se iniciará el proceso de contratación y, en general, para todo el contenido del plan. Incluso, por esta misma razón, no es obligatorio según lo descrito en la norma la identidad estricta entre la información señalada en el plan y cuando se suscribe el contrato.</w:t>
            </w:r>
          </w:p>
          <w:p w14:paraId="3C30AA18" w14:textId="77777777" w:rsidR="006A3488" w:rsidRDefault="006A3488" w:rsidP="00841F7B">
            <w:pPr>
              <w:spacing w:after="120" w:line="276" w:lineRule="auto"/>
              <w:ind w:firstLine="708"/>
              <w:jc w:val="both"/>
              <w:rPr>
                <w:rFonts w:ascii="Verdana" w:eastAsia="Times New Roman" w:hAnsi="Verdana" w:cs="Arial"/>
                <w:color w:val="000000" w:themeColor="text1"/>
                <w:lang w:eastAsia="es-CO"/>
              </w:rPr>
            </w:pPr>
            <w:r w:rsidRPr="3634E612">
              <w:rPr>
                <w:rFonts w:ascii="Verdana" w:eastAsia="Times New Roman" w:hAnsi="Verdana" w:cs="Arial"/>
                <w:color w:val="000000" w:themeColor="text1"/>
                <w:lang w:eastAsia="es-CO"/>
              </w:rPr>
              <w:t xml:space="preserve">En todo caso, el artículo </w:t>
            </w:r>
            <w:r w:rsidRPr="3634E612">
              <w:rPr>
                <w:rFonts w:ascii="Verdana" w:eastAsia="Calibri" w:hAnsi="Verdana" w:cs="Arial"/>
                <w:lang w:val="es-ES"/>
              </w:rPr>
              <w:t>2.2.1.1.1.4.4. del Decreto 1082 de 2015 dispone que las entidades deben actualizar el Plan Anual de Adquisiciones al menos una vez durante la vigencia. Por lo anterior, Colombia Compra Eficiente recomienda que las entidades lo hagan en el primer semestre del año, lo cual no es vinculante, pero en todo caso, si es obligatorio actualizarlo al menos una vez en el año al que corresponda el Plan Anual de Adquisiciones.</w:t>
            </w:r>
          </w:p>
          <w:p w14:paraId="31FA3A07" w14:textId="77777777" w:rsidR="006A3488" w:rsidRPr="00262582" w:rsidRDefault="006A3488" w:rsidP="00841F7B">
            <w:pPr>
              <w:spacing w:after="120" w:line="276" w:lineRule="auto"/>
              <w:ind w:firstLine="708"/>
              <w:jc w:val="both"/>
              <w:rPr>
                <w:rFonts w:ascii="Verdana" w:eastAsia="Calibri" w:hAnsi="Verdana" w:cs="Arial"/>
                <w:color w:val="7030A0"/>
              </w:rPr>
            </w:pPr>
            <w:r w:rsidRPr="00262582">
              <w:rPr>
                <w:rFonts w:ascii="Verdana" w:eastAsia="Times New Roman" w:hAnsi="Verdana" w:cs="Arial"/>
                <w:color w:val="000000" w:themeColor="text1"/>
                <w:lang w:eastAsia="es-CO"/>
              </w:rPr>
              <w:t>No obstante,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p>
        </w:tc>
      </w:tr>
    </w:tbl>
    <w:p w14:paraId="3FDA962B" w14:textId="77777777" w:rsidR="006A3488" w:rsidRPr="00262582" w:rsidRDefault="006A3488" w:rsidP="006A3488">
      <w:pPr>
        <w:spacing w:after="0" w:line="276" w:lineRule="auto"/>
        <w:contextualSpacing/>
        <w:jc w:val="both"/>
        <w:rPr>
          <w:rFonts w:ascii="Verdana" w:eastAsia="Times New Roman" w:hAnsi="Verdana" w:cs="Arial"/>
          <w:lang w:eastAsia="es-ES_tradnl"/>
        </w:rPr>
      </w:pPr>
    </w:p>
    <w:p w14:paraId="3FBFD932" w14:textId="77777777" w:rsidR="006A3488" w:rsidRPr="00262582" w:rsidRDefault="006A3488" w:rsidP="006A3488">
      <w:pPr>
        <w:pStyle w:val="Prrafodelista"/>
        <w:tabs>
          <w:tab w:val="left" w:pos="142"/>
          <w:tab w:val="left" w:pos="284"/>
        </w:tabs>
        <w:spacing w:after="0" w:line="276" w:lineRule="auto"/>
        <w:ind w:left="0"/>
        <w:jc w:val="both"/>
        <w:rPr>
          <w:rFonts w:ascii="Verdana" w:eastAsia="Century Gothic" w:hAnsi="Verdana" w:cs="Century Gothic"/>
          <w:b/>
          <w:bCs/>
        </w:rPr>
      </w:pPr>
      <w:r w:rsidRPr="3634E612">
        <w:rPr>
          <w:rFonts w:ascii="Verdana" w:eastAsia="Century Gothic" w:hAnsi="Verdana" w:cs="Century Gothic"/>
          <w:b/>
          <w:bCs/>
        </w:rPr>
        <w:t>3. Razones de la respuesta:</w:t>
      </w:r>
    </w:p>
    <w:p w14:paraId="3DFC2A62" w14:textId="77777777" w:rsidR="006A3488" w:rsidRPr="00262582" w:rsidRDefault="006A3488" w:rsidP="006A3488">
      <w:pPr>
        <w:spacing w:after="0" w:line="276" w:lineRule="auto"/>
        <w:jc w:val="both"/>
        <w:rPr>
          <w:rFonts w:ascii="Verdana" w:eastAsia="Calibri" w:hAnsi="Verdana" w:cs="Arial"/>
          <w:color w:val="7030A0"/>
          <w:lang w:val="es-ES"/>
        </w:rPr>
      </w:pPr>
    </w:p>
    <w:p w14:paraId="0DF2B591" w14:textId="77777777" w:rsidR="006A3488" w:rsidRPr="00262582" w:rsidRDefault="006A3488" w:rsidP="006A3488">
      <w:pPr>
        <w:spacing w:after="0" w:line="276" w:lineRule="auto"/>
        <w:jc w:val="both"/>
        <w:rPr>
          <w:rFonts w:ascii="Verdana" w:eastAsia="Calibri" w:hAnsi="Verdana" w:cs="Arial"/>
          <w:lang w:val="es-ES"/>
        </w:rPr>
      </w:pPr>
      <w:r w:rsidRPr="00262582">
        <w:rPr>
          <w:rFonts w:ascii="Verdana" w:eastAsia="Calibri" w:hAnsi="Verdana" w:cs="Arial"/>
          <w:lang w:val="es-ES"/>
        </w:rPr>
        <w:t xml:space="preserve">Lo anterior se sustenta en las siguientes consideraciones: </w:t>
      </w:r>
    </w:p>
    <w:p w14:paraId="332C257D" w14:textId="77777777" w:rsidR="006A3488" w:rsidRPr="00262582" w:rsidRDefault="006A3488" w:rsidP="006A3488">
      <w:pPr>
        <w:spacing w:after="0" w:line="276" w:lineRule="auto"/>
        <w:jc w:val="both"/>
        <w:rPr>
          <w:rFonts w:ascii="Verdana" w:eastAsia="Calibri" w:hAnsi="Verdana" w:cs="Arial"/>
          <w:lang w:val="es-ES"/>
        </w:rPr>
      </w:pPr>
    </w:p>
    <w:p w14:paraId="3FA6ED86" w14:textId="77777777" w:rsidR="006A3488" w:rsidRPr="00504B16" w:rsidRDefault="006A3488" w:rsidP="006A3488">
      <w:pPr>
        <w:pStyle w:val="Prrafodelista"/>
        <w:numPr>
          <w:ilvl w:val="0"/>
          <w:numId w:val="17"/>
        </w:numPr>
        <w:spacing w:after="120" w:line="276" w:lineRule="auto"/>
        <w:jc w:val="both"/>
        <w:rPr>
          <w:rFonts w:ascii="Verdana" w:eastAsia="Calibri" w:hAnsi="Verdana" w:cs="Arial"/>
        </w:rPr>
      </w:pPr>
      <w:r>
        <w:rPr>
          <w:rFonts w:ascii="Verdana" w:eastAsia="Calibri" w:hAnsi="Verdana" w:cs="Arial"/>
        </w:rPr>
        <w:t>Sobre el</w:t>
      </w:r>
      <w:r w:rsidRPr="00504B16">
        <w:rPr>
          <w:rFonts w:ascii="Verdana" w:eastAsia="Calibri" w:hAnsi="Verdana" w:cs="Arial"/>
        </w:rPr>
        <w:t xml:space="preserve"> Plan Anual de Adquisiciones </w:t>
      </w:r>
      <w:r>
        <w:rPr>
          <w:rFonts w:ascii="Verdana" w:eastAsia="Calibri" w:hAnsi="Verdana" w:cs="Arial"/>
        </w:rPr>
        <w:t>se debe</w:t>
      </w:r>
      <w:r w:rsidRPr="00504B16">
        <w:rPr>
          <w:rFonts w:ascii="Verdana" w:eastAsia="Calibri" w:hAnsi="Verdana" w:cs="Arial"/>
        </w:rPr>
        <w:t xml:space="preserve"> analizar lo dispuesto en los artículos 2.2.1.1.1.4.1, 2.2.1.1.1.4.3</w:t>
      </w:r>
      <w:r w:rsidRPr="00E47EE6">
        <w:rPr>
          <w:vertAlign w:val="superscript"/>
        </w:rPr>
        <w:footnoteReference w:id="1"/>
      </w:r>
      <w:r w:rsidRPr="00504B16">
        <w:rPr>
          <w:rFonts w:ascii="Verdana" w:eastAsia="Calibri" w:hAnsi="Verdana" w:cs="Arial"/>
        </w:rPr>
        <w:t xml:space="preserve"> y 2.2.1.1.1.4.4</w:t>
      </w:r>
      <w:r w:rsidRPr="00E47EE6">
        <w:rPr>
          <w:vertAlign w:val="superscript"/>
        </w:rPr>
        <w:footnoteReference w:id="2"/>
      </w:r>
      <w:r w:rsidRPr="00504B16">
        <w:rPr>
          <w:rFonts w:ascii="Verdana" w:eastAsia="Calibri" w:hAnsi="Verdana" w:cs="Arial"/>
        </w:rPr>
        <w:t xml:space="preserve"> del Decreto 1082 </w:t>
      </w:r>
      <w:r w:rsidRPr="00504B16">
        <w:rPr>
          <w:rFonts w:ascii="Verdana" w:eastAsia="Calibri" w:hAnsi="Verdana" w:cs="Arial"/>
        </w:rPr>
        <w:lastRenderedPageBreak/>
        <w:t xml:space="preserve">de 2015. El primer artículo establece el deber de las entidades de </w:t>
      </w:r>
      <w:r w:rsidRPr="00504B16">
        <w:rPr>
          <w:rFonts w:ascii="Verdana" w:eastAsia="Calibri" w:hAnsi="Verdana" w:cs="Arial"/>
          <w:i/>
          <w:iCs/>
        </w:rPr>
        <w:t>“elaborar el plan anual de adquisiciones, el cual debe contener la lista de bienes, obras y servicios que pretenden adquirir durante el año”.</w:t>
      </w:r>
      <w:r w:rsidRPr="00504B16">
        <w:rPr>
          <w:rFonts w:ascii="Verdana" w:eastAsia="Calibri" w:hAnsi="Verdana" w:cs="Arial"/>
        </w:rPr>
        <w:t xml:space="preserve"> El aparte trascrito permite inferir que se trata de un documento estimativo, pues contiene un listado de bienes, obras o servicios que, producto del ejercicio de planeación de la entidad, esta pretende adquirir dentro de la vigencia correspondiente. Esta redacción advierte la naturaleza estimativa del documento, pues contiene los siguientes aspectos: i) la necesidad; </w:t>
      </w:r>
      <w:proofErr w:type="spellStart"/>
      <w:r w:rsidRPr="00504B16">
        <w:rPr>
          <w:rFonts w:ascii="Verdana" w:eastAsia="Calibri" w:hAnsi="Verdana" w:cs="Arial"/>
        </w:rPr>
        <w:t>ii</w:t>
      </w:r>
      <w:proofErr w:type="spellEnd"/>
      <w:r w:rsidRPr="00504B16">
        <w:rPr>
          <w:rFonts w:ascii="Verdana" w:eastAsia="Calibri" w:hAnsi="Verdana" w:cs="Arial"/>
        </w:rPr>
        <w:t xml:space="preserve">) la identificación en el clasificador si la entidad conoce el bien, obra o servicio que satisface la necesidad; </w:t>
      </w:r>
      <w:proofErr w:type="spellStart"/>
      <w:r w:rsidRPr="00504B16">
        <w:rPr>
          <w:rFonts w:ascii="Verdana" w:eastAsia="Calibri" w:hAnsi="Verdana" w:cs="Arial"/>
        </w:rPr>
        <w:t>iii</w:t>
      </w:r>
      <w:proofErr w:type="spellEnd"/>
      <w:r w:rsidRPr="00504B16">
        <w:rPr>
          <w:rFonts w:ascii="Verdana" w:eastAsia="Calibri" w:hAnsi="Verdana" w:cs="Arial"/>
        </w:rPr>
        <w:t xml:space="preserve">) el valor estimado del contrato; </w:t>
      </w:r>
      <w:proofErr w:type="spellStart"/>
      <w:r w:rsidRPr="00504B16">
        <w:rPr>
          <w:rFonts w:ascii="Verdana" w:eastAsia="Calibri" w:hAnsi="Verdana" w:cs="Arial"/>
        </w:rPr>
        <w:t>iv</w:t>
      </w:r>
      <w:proofErr w:type="spellEnd"/>
      <w:r w:rsidRPr="00504B16">
        <w:rPr>
          <w:rFonts w:ascii="Verdana" w:eastAsia="Calibri" w:hAnsi="Verdana" w:cs="Arial"/>
        </w:rPr>
        <w:t xml:space="preserve">) el tipo de recursos con cargo a los cuales la entidad pagará el bien, obra o servicio; v) la modalidad de selección del contratista y vi) la fecha aproximada en la cual la entidad indicará el procedimiento de selección. </w:t>
      </w:r>
    </w:p>
    <w:p w14:paraId="01F3019A" w14:textId="77777777" w:rsidR="006A3488" w:rsidRDefault="006A3488" w:rsidP="006A3488">
      <w:pPr>
        <w:pStyle w:val="Prrafodelista"/>
        <w:spacing w:after="120" w:line="276" w:lineRule="auto"/>
        <w:jc w:val="both"/>
        <w:rPr>
          <w:rFonts w:ascii="Verdana" w:eastAsia="Calibri" w:hAnsi="Verdana" w:cs="Arial"/>
        </w:rPr>
      </w:pPr>
      <w:bookmarkStart w:id="0" w:name="_Hlk92782444"/>
    </w:p>
    <w:p w14:paraId="62913534" w14:textId="77777777" w:rsidR="006A3488" w:rsidRPr="00504B16" w:rsidRDefault="006A3488" w:rsidP="006A3488">
      <w:pPr>
        <w:pStyle w:val="Prrafodelista"/>
        <w:numPr>
          <w:ilvl w:val="0"/>
          <w:numId w:val="17"/>
        </w:numPr>
        <w:spacing w:after="120" w:line="276" w:lineRule="auto"/>
        <w:jc w:val="both"/>
        <w:rPr>
          <w:rFonts w:ascii="Verdana" w:eastAsia="Calibri" w:hAnsi="Verdana" w:cs="Arial"/>
        </w:rPr>
      </w:pPr>
      <w:r w:rsidRPr="00504B16">
        <w:rPr>
          <w:rFonts w:ascii="Verdana" w:eastAsia="Calibri" w:hAnsi="Verdana" w:cs="Arial"/>
        </w:rPr>
        <w:t xml:space="preserve">La norma referida establece la obligación de enunciar la información de manera indicativa, y no impone determinar valores precisos, tiempos, bienes, obras o servicios de manera exacta; todo lo contrario, permite realizar un pronóstico indicativo de las necesidades que debe contratar. Este carácter estimativo del Plan Anual de Adquisiciones fue reconocido por la Agencia Nacional de Contratación Pública </w:t>
      </w:r>
      <w:r w:rsidRPr="00504B16">
        <w:rPr>
          <w:rFonts w:ascii="Verdana" w:eastAsia="Calibri" w:hAnsi="Verdana" w:cs="Arial"/>
          <w:bCs/>
        </w:rPr>
        <w:t>–</w:t>
      </w:r>
      <w:r w:rsidRPr="00504B16">
        <w:rPr>
          <w:rFonts w:ascii="Verdana" w:eastAsia="Calibri" w:hAnsi="Verdana" w:cs="Arial"/>
          <w:b/>
        </w:rPr>
        <w:t xml:space="preserve"> </w:t>
      </w:r>
      <w:r w:rsidRPr="00504B16">
        <w:rPr>
          <w:rFonts w:ascii="Verdana" w:eastAsia="Calibri" w:hAnsi="Verdana" w:cs="Arial"/>
        </w:rPr>
        <w:t xml:space="preserve">Colombia Compra Eficiente en la guía sobre el tema, donde precisó, como una de sus finalidades, </w:t>
      </w:r>
      <w:r w:rsidRPr="00504B16">
        <w:rPr>
          <w:rFonts w:ascii="Verdana" w:eastAsia="Calibri" w:hAnsi="Verdana" w:cs="Arial"/>
          <w:i/>
          <w:iCs/>
        </w:rPr>
        <w:t>“[…] servir como referente inicial para evaluar la ejecución de presupuesto y pronosticar la demanda de bienes y servicios de la entidad durante el año referido del plan</w:t>
      </w:r>
      <w:bookmarkEnd w:id="0"/>
      <w:r w:rsidRPr="00504B16">
        <w:rPr>
          <w:rFonts w:ascii="Verdana" w:eastAsia="Calibri" w:hAnsi="Verdana" w:cs="Arial"/>
          <w:i/>
          <w:iCs/>
        </w:rPr>
        <w:t>”</w:t>
      </w:r>
      <w:r w:rsidRPr="00E47EE6">
        <w:rPr>
          <w:i/>
          <w:iCs/>
          <w:vertAlign w:val="superscript"/>
        </w:rPr>
        <w:footnoteReference w:id="3"/>
      </w:r>
      <w:r w:rsidRPr="00504B16">
        <w:rPr>
          <w:rFonts w:ascii="Verdana" w:eastAsia="Calibri" w:hAnsi="Verdana" w:cs="Arial"/>
          <w:i/>
          <w:iCs/>
        </w:rPr>
        <w:t>.</w:t>
      </w:r>
      <w:r w:rsidRPr="00504B16">
        <w:rPr>
          <w:rFonts w:ascii="Verdana" w:eastAsia="Calibri" w:hAnsi="Verdana" w:cs="Arial"/>
        </w:rPr>
        <w:t xml:space="preserve"> </w:t>
      </w:r>
    </w:p>
    <w:p w14:paraId="77B2F7F0" w14:textId="77777777" w:rsidR="006A3488" w:rsidRDefault="006A3488" w:rsidP="006A3488">
      <w:pPr>
        <w:pStyle w:val="Prrafodelista"/>
        <w:spacing w:after="120" w:line="276" w:lineRule="auto"/>
        <w:jc w:val="both"/>
        <w:rPr>
          <w:rFonts w:ascii="Verdana" w:eastAsia="Calibri" w:hAnsi="Verdana" w:cs="Arial"/>
        </w:rPr>
      </w:pPr>
    </w:p>
    <w:p w14:paraId="27DEA02F" w14:textId="77777777" w:rsidR="006A3488" w:rsidRPr="00997C5A" w:rsidRDefault="006A3488" w:rsidP="006A3488">
      <w:pPr>
        <w:pStyle w:val="Prrafodelista"/>
        <w:numPr>
          <w:ilvl w:val="0"/>
          <w:numId w:val="17"/>
        </w:numPr>
        <w:spacing w:after="120" w:line="276" w:lineRule="auto"/>
        <w:jc w:val="both"/>
        <w:rPr>
          <w:rFonts w:ascii="Verdana" w:eastAsia="Calibri" w:hAnsi="Verdana" w:cs="Arial"/>
        </w:rPr>
      </w:pPr>
      <w:r>
        <w:rPr>
          <w:rFonts w:ascii="Verdana" w:eastAsia="Calibri" w:hAnsi="Verdana" w:cs="Arial"/>
        </w:rPr>
        <w:t>Además, e</w:t>
      </w:r>
      <w:r w:rsidRPr="00997C5A">
        <w:rPr>
          <w:rFonts w:ascii="Verdana" w:eastAsia="Calibri" w:hAnsi="Verdana" w:cs="Arial"/>
        </w:rPr>
        <w:t xml:space="preserve">l artículo 2.2.1.1.1.4.4. del Decreto 1082 de 2015, en el inciso 1, fijó, en criterio de esta Subdirección, el alcance de la facultad otorgada a las entidades para actualizar el Plan Anual de Adquisiciones. Por ello es pertinente consultar el significado natural del verbo rector de la disposición y luego establecer los límites establecidos en la norma. </w:t>
      </w:r>
    </w:p>
    <w:p w14:paraId="22B3F76E" w14:textId="77777777" w:rsidR="006A3488" w:rsidRDefault="006A3488" w:rsidP="006A3488">
      <w:pPr>
        <w:pStyle w:val="Prrafodelista"/>
        <w:spacing w:after="120" w:line="276" w:lineRule="auto"/>
        <w:jc w:val="both"/>
        <w:rPr>
          <w:rFonts w:ascii="Verdana" w:eastAsia="Calibri" w:hAnsi="Verdana" w:cs="Arial"/>
        </w:rPr>
      </w:pPr>
    </w:p>
    <w:p w14:paraId="6D27EDF5" w14:textId="77777777" w:rsidR="006A3488" w:rsidRDefault="006A3488" w:rsidP="006A3488">
      <w:pPr>
        <w:pStyle w:val="Prrafodelista"/>
        <w:numPr>
          <w:ilvl w:val="0"/>
          <w:numId w:val="17"/>
        </w:numPr>
        <w:spacing w:after="120" w:line="276" w:lineRule="auto"/>
        <w:jc w:val="both"/>
        <w:rPr>
          <w:rFonts w:ascii="Verdana" w:eastAsia="Calibri" w:hAnsi="Verdana" w:cs="Arial"/>
        </w:rPr>
      </w:pPr>
      <w:r w:rsidRPr="00997C5A">
        <w:rPr>
          <w:rFonts w:ascii="Verdana" w:eastAsia="Calibri" w:hAnsi="Verdana" w:cs="Arial"/>
        </w:rPr>
        <w:lastRenderedPageBreak/>
        <w:t>El Diccionario de la Lengua Española define “</w:t>
      </w:r>
      <w:r w:rsidRPr="00997C5A">
        <w:rPr>
          <w:rFonts w:ascii="Verdana" w:eastAsia="Calibri" w:hAnsi="Verdana" w:cs="Arial"/>
          <w:i/>
          <w:iCs/>
        </w:rPr>
        <w:t>actualizar”</w:t>
      </w:r>
      <w:r w:rsidRPr="00997C5A">
        <w:rPr>
          <w:rFonts w:ascii="Verdana" w:eastAsia="Calibri" w:hAnsi="Verdana" w:cs="Arial"/>
        </w:rPr>
        <w:t xml:space="preserve"> como </w:t>
      </w:r>
      <w:r w:rsidRPr="00997C5A">
        <w:rPr>
          <w:rFonts w:ascii="Verdana" w:eastAsia="Calibri" w:hAnsi="Verdana" w:cs="Arial"/>
          <w:i/>
          <w:iCs/>
        </w:rPr>
        <w:t xml:space="preserve">“hacer actual algo, darle actualidad” </w:t>
      </w:r>
      <w:r w:rsidRPr="00997C5A">
        <w:rPr>
          <w:rFonts w:ascii="Verdana" w:eastAsia="Calibri" w:hAnsi="Verdana" w:cs="Arial"/>
        </w:rPr>
        <w:t xml:space="preserve">o </w:t>
      </w:r>
      <w:r w:rsidRPr="00997C5A">
        <w:rPr>
          <w:rFonts w:ascii="Verdana" w:eastAsia="Calibri" w:hAnsi="Verdana" w:cs="Arial"/>
          <w:i/>
          <w:iCs/>
        </w:rPr>
        <w:t>“poner al día datos, normas, precios rentas, salarios”</w:t>
      </w:r>
      <w:r w:rsidRPr="00997C5A">
        <w:rPr>
          <w:rFonts w:ascii="Verdana" w:eastAsia="Calibri" w:hAnsi="Verdana" w:cs="Arial"/>
        </w:rPr>
        <w:t xml:space="preserve">. Es decir, </w:t>
      </w:r>
      <w:r w:rsidRPr="00997C5A">
        <w:rPr>
          <w:rFonts w:ascii="Verdana" w:eastAsia="Calibri" w:hAnsi="Verdana" w:cs="Arial"/>
          <w:i/>
          <w:iCs/>
        </w:rPr>
        <w:t>“actualizar”</w:t>
      </w:r>
      <w:r w:rsidRPr="00997C5A">
        <w:rPr>
          <w:rFonts w:ascii="Verdana" w:eastAsia="Calibri" w:hAnsi="Verdana" w:cs="Arial"/>
        </w:rPr>
        <w:t xml:space="preserve"> se puede asociar con la acción de traer al presente un dato establecido en el pasado. Aplicada esta definición a la norma citada, se tendría que el reglamento facultó a las entidades públicas para poner al día la información contenida en el documento del plan anual de adquisiciones.</w:t>
      </w:r>
    </w:p>
    <w:p w14:paraId="2FE0B648" w14:textId="77777777" w:rsidR="006A3488" w:rsidRPr="00997C5A" w:rsidRDefault="006A3488" w:rsidP="006A3488">
      <w:pPr>
        <w:pStyle w:val="Prrafodelista"/>
        <w:rPr>
          <w:rFonts w:ascii="Verdana" w:eastAsia="Calibri" w:hAnsi="Verdana" w:cs="Arial"/>
        </w:rPr>
      </w:pPr>
    </w:p>
    <w:p w14:paraId="5ABDBFBF" w14:textId="77777777" w:rsidR="006A3488" w:rsidRDefault="006A3488" w:rsidP="006A3488">
      <w:pPr>
        <w:pStyle w:val="Prrafodelista"/>
        <w:numPr>
          <w:ilvl w:val="0"/>
          <w:numId w:val="17"/>
        </w:numPr>
        <w:spacing w:after="120" w:line="276" w:lineRule="auto"/>
        <w:jc w:val="both"/>
        <w:rPr>
          <w:rFonts w:ascii="Verdana" w:eastAsia="Calibri" w:hAnsi="Verdana" w:cs="Arial"/>
        </w:rPr>
      </w:pPr>
      <w:r w:rsidRPr="00997C5A">
        <w:rPr>
          <w:rFonts w:ascii="Verdana" w:eastAsia="Calibri" w:hAnsi="Verdana" w:cs="Arial"/>
        </w:rPr>
        <w:t xml:space="preserve">Con el deber de actualizar el plan, una vez al año cuando menos, implícitamente se señala que el contenido inicial no es rígido ni inmodificable y, en consecuencia, por la misma dinámica de la actividad contractual de la Administración, estos datos necesariamente tendrán que modificarse. Además, la norma no limita la actualización del plan a un tope máximo, pero estableció un número mínimo, pues indicó que debían actualizarlo por lo menos una vez durante su vigencia. </w:t>
      </w:r>
    </w:p>
    <w:p w14:paraId="3C71E930" w14:textId="77777777" w:rsidR="006A3488" w:rsidRPr="00997C5A" w:rsidRDefault="006A3488" w:rsidP="006A3488">
      <w:pPr>
        <w:pStyle w:val="Prrafodelista"/>
        <w:rPr>
          <w:rFonts w:ascii="Verdana" w:eastAsia="Calibri" w:hAnsi="Verdana" w:cs="Arial"/>
        </w:rPr>
      </w:pPr>
    </w:p>
    <w:p w14:paraId="790BB85E" w14:textId="77777777" w:rsidR="006A3488" w:rsidRDefault="006A3488" w:rsidP="006A3488">
      <w:pPr>
        <w:pStyle w:val="Prrafodelista"/>
        <w:numPr>
          <w:ilvl w:val="0"/>
          <w:numId w:val="17"/>
        </w:numPr>
        <w:spacing w:after="120" w:line="276" w:lineRule="auto"/>
        <w:jc w:val="both"/>
        <w:rPr>
          <w:rFonts w:ascii="Verdana" w:eastAsia="Calibri" w:hAnsi="Verdana" w:cs="Arial"/>
        </w:rPr>
      </w:pPr>
      <w:r w:rsidRPr="00997C5A">
        <w:rPr>
          <w:rFonts w:ascii="Verdana" w:eastAsia="Calibri" w:hAnsi="Verdana" w:cs="Arial"/>
        </w:rPr>
        <w:t xml:space="preserve">El inciso 2 del artículo citado estableció cuatro (4) eventos en los que procede actualizar el plan anual de adquisiciones: i) ajustes en los cronogramas de adquisición, valores, modalidad de selección y origen de los recursos; </w:t>
      </w:r>
      <w:proofErr w:type="spellStart"/>
      <w:r w:rsidRPr="00997C5A">
        <w:rPr>
          <w:rFonts w:ascii="Verdana" w:eastAsia="Calibri" w:hAnsi="Verdana" w:cs="Arial"/>
        </w:rPr>
        <w:t>ii</w:t>
      </w:r>
      <w:proofErr w:type="spellEnd"/>
      <w:r w:rsidRPr="00997C5A">
        <w:rPr>
          <w:rFonts w:ascii="Verdana" w:eastAsia="Calibri" w:hAnsi="Verdana" w:cs="Arial"/>
        </w:rPr>
        <w:t xml:space="preserve">) para incluir nuevas obras, bienes o servicios; </w:t>
      </w:r>
      <w:proofErr w:type="spellStart"/>
      <w:r w:rsidRPr="00997C5A">
        <w:rPr>
          <w:rFonts w:ascii="Verdana" w:eastAsia="Calibri" w:hAnsi="Verdana" w:cs="Arial"/>
        </w:rPr>
        <w:t>iii</w:t>
      </w:r>
      <w:proofErr w:type="spellEnd"/>
      <w:r w:rsidRPr="00997C5A">
        <w:rPr>
          <w:rFonts w:ascii="Verdana" w:eastAsia="Calibri" w:hAnsi="Verdana" w:cs="Arial"/>
        </w:rPr>
        <w:t xml:space="preserve">) excluir obras, bienes o servicios y </w:t>
      </w:r>
      <w:proofErr w:type="spellStart"/>
      <w:r w:rsidRPr="00997C5A">
        <w:rPr>
          <w:rFonts w:ascii="Verdana" w:eastAsia="Calibri" w:hAnsi="Verdana" w:cs="Arial"/>
        </w:rPr>
        <w:t>iv</w:t>
      </w:r>
      <w:proofErr w:type="spellEnd"/>
      <w:r w:rsidRPr="00997C5A">
        <w:rPr>
          <w:rFonts w:ascii="Verdana" w:eastAsia="Calibri" w:hAnsi="Verdana" w:cs="Arial"/>
        </w:rPr>
        <w:t xml:space="preserve">) modificar el presupuesto anual de adquisiciones. El inciso citado solo estableció los eventos en los que tiene que actualizarse, sin limitar la modificación a ciertos topes, como, por ejemplo, aumentar o disminuir valores. La norma no enfatizó en este punto, por lo cual, en principio, podrá modificarse. </w:t>
      </w:r>
    </w:p>
    <w:p w14:paraId="51ACD77F" w14:textId="77777777" w:rsidR="006A3488" w:rsidRPr="00997C5A" w:rsidRDefault="006A3488" w:rsidP="006A3488">
      <w:pPr>
        <w:pStyle w:val="Prrafodelista"/>
        <w:rPr>
          <w:rFonts w:ascii="Verdana" w:eastAsia="Calibri" w:hAnsi="Verdana" w:cs="Arial"/>
        </w:rPr>
      </w:pPr>
    </w:p>
    <w:p w14:paraId="6ED40BF5" w14:textId="77777777" w:rsidR="006A3488" w:rsidRDefault="006A3488" w:rsidP="006A3488">
      <w:pPr>
        <w:pStyle w:val="Prrafodelista"/>
        <w:numPr>
          <w:ilvl w:val="0"/>
          <w:numId w:val="17"/>
        </w:numPr>
        <w:spacing w:after="120" w:line="276" w:lineRule="auto"/>
        <w:jc w:val="both"/>
        <w:rPr>
          <w:rFonts w:ascii="Verdana" w:eastAsia="Calibri" w:hAnsi="Verdana" w:cs="Arial"/>
        </w:rPr>
      </w:pPr>
      <w:r w:rsidRPr="00997C5A">
        <w:rPr>
          <w:rFonts w:ascii="Verdana" w:eastAsia="Calibri" w:hAnsi="Verdana" w:cs="Arial"/>
        </w:rPr>
        <w:t xml:space="preserve">Así las cosas, la Subdirección de Gestión Contractual considera que 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w:t>
      </w:r>
    </w:p>
    <w:p w14:paraId="57DBBAA0" w14:textId="77777777" w:rsidR="006A3488" w:rsidRPr="00997C5A" w:rsidRDefault="006A3488" w:rsidP="006A3488">
      <w:pPr>
        <w:pStyle w:val="Prrafodelista"/>
        <w:rPr>
          <w:rFonts w:ascii="Verdana" w:eastAsia="Calibri" w:hAnsi="Verdana" w:cs="Arial"/>
        </w:rPr>
      </w:pPr>
    </w:p>
    <w:p w14:paraId="23937973" w14:textId="77777777" w:rsidR="006A3488" w:rsidRDefault="006A3488" w:rsidP="006A3488">
      <w:pPr>
        <w:pStyle w:val="Prrafodelista"/>
        <w:numPr>
          <w:ilvl w:val="0"/>
          <w:numId w:val="17"/>
        </w:numPr>
        <w:spacing w:after="120" w:line="276" w:lineRule="auto"/>
        <w:jc w:val="both"/>
        <w:rPr>
          <w:rFonts w:ascii="Verdana" w:eastAsia="Calibri" w:hAnsi="Verdana" w:cs="Arial"/>
        </w:rPr>
      </w:pPr>
      <w:r w:rsidRPr="00997C5A">
        <w:rPr>
          <w:rFonts w:ascii="Verdana" w:eastAsia="Calibri" w:hAnsi="Verdana" w:cs="Arial"/>
        </w:rPr>
        <w:t xml:space="preserve">Lo anterior, explica por qué </w:t>
      </w:r>
      <w:r w:rsidRPr="007C77E2">
        <w:rPr>
          <w:rFonts w:ascii="Verdana" w:eastAsia="Calibri" w:hAnsi="Verdana" w:cs="Arial"/>
        </w:rPr>
        <w:t xml:space="preserve">no tiene que existir necesariamente identidad entre la información del contrato previsto en el plan y la de cada procedimiento de contratación, porque la norma señaló que la información </w:t>
      </w:r>
      <w:r w:rsidRPr="007C77E2">
        <w:rPr>
          <w:rFonts w:ascii="Verdana" w:eastAsia="Calibri" w:hAnsi="Verdana" w:cs="Arial"/>
        </w:rPr>
        <w:lastRenderedPageBreak/>
        <w:t>del contrato, señalado en el plan, es “estimado”. La misma conclusión aplica para todas las modalidades de contratación que deberán ser incluidas en el Plan Anual de Adquisiciones, porque la norma señala que deben incluirse todas las necesidades de contratación, sin importar que generen o no erogación, la fecha aproximada en que se iniciará el proceso de contratación y, en general, para todo el contenido del plan. Incluso, por esta misma razón, es innecesaria la identidad entre la información señalada en el plan y cuando se suscribe el contrato</w:t>
      </w:r>
      <w:r w:rsidRPr="00997C5A">
        <w:rPr>
          <w:rFonts w:ascii="Verdana" w:eastAsia="Calibri" w:hAnsi="Verdana" w:cs="Arial"/>
        </w:rPr>
        <w:t>.</w:t>
      </w:r>
    </w:p>
    <w:p w14:paraId="6BA6E4C6" w14:textId="77777777" w:rsidR="006A3488" w:rsidRPr="00997C5A" w:rsidRDefault="006A3488" w:rsidP="006A3488">
      <w:pPr>
        <w:pStyle w:val="Prrafodelista"/>
        <w:spacing w:after="120" w:line="276" w:lineRule="auto"/>
        <w:jc w:val="both"/>
        <w:rPr>
          <w:rFonts w:ascii="Verdana" w:eastAsia="Calibri" w:hAnsi="Verdana" w:cs="Arial"/>
        </w:rPr>
      </w:pPr>
    </w:p>
    <w:p w14:paraId="7CA38260" w14:textId="77777777" w:rsidR="006A3488" w:rsidRPr="00262582" w:rsidRDefault="006A3488" w:rsidP="006A3488">
      <w:pPr>
        <w:tabs>
          <w:tab w:val="left" w:pos="142"/>
          <w:tab w:val="left" w:pos="284"/>
        </w:tabs>
        <w:spacing w:after="0" w:line="276" w:lineRule="auto"/>
        <w:jc w:val="both"/>
        <w:rPr>
          <w:rFonts w:ascii="Verdana" w:eastAsia="Century Gothic" w:hAnsi="Verdana" w:cs="Century Gothic"/>
          <w:b/>
          <w:bCs/>
        </w:rPr>
      </w:pPr>
      <w:r w:rsidRPr="00262582">
        <w:rPr>
          <w:rFonts w:ascii="Verdana" w:eastAsia="Century Gothic" w:hAnsi="Verdana" w:cs="Century Gothic"/>
          <w:b/>
          <w:bCs/>
        </w:rPr>
        <w:t>4. Referencias normativas, jurisprudenciales y otras fuentes:</w:t>
      </w:r>
    </w:p>
    <w:p w14:paraId="27CDA638" w14:textId="77777777" w:rsidR="006A3488" w:rsidRPr="00262582" w:rsidRDefault="006A3488" w:rsidP="006A348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A3488" w:rsidRPr="00262582" w14:paraId="28098F9F" w14:textId="77777777" w:rsidTr="00841F7B">
        <w:trPr>
          <w:trHeight w:val="870"/>
        </w:trPr>
        <w:tc>
          <w:tcPr>
            <w:tcW w:w="8647" w:type="dxa"/>
          </w:tcPr>
          <w:p w14:paraId="176E8A3D" w14:textId="77777777" w:rsidR="006A3488" w:rsidRPr="001D3534" w:rsidRDefault="006A3488" w:rsidP="006A3488">
            <w:pPr>
              <w:pStyle w:val="Prrafodelista"/>
              <w:widowControl w:val="0"/>
              <w:numPr>
                <w:ilvl w:val="0"/>
                <w:numId w:val="18"/>
              </w:numPr>
              <w:tabs>
                <w:tab w:val="left" w:pos="8419"/>
              </w:tabs>
              <w:autoSpaceDE w:val="0"/>
              <w:autoSpaceDN w:val="0"/>
              <w:spacing w:line="276" w:lineRule="auto"/>
              <w:jc w:val="both"/>
              <w:rPr>
                <w:rFonts w:ascii="Verdana" w:hAnsi="Verdana" w:cs="Arial"/>
              </w:rPr>
            </w:pPr>
            <w:r w:rsidRPr="00FD12EE">
              <w:rPr>
                <w:rFonts w:ascii="Verdana" w:hAnsi="Verdana" w:cs="Arial"/>
              </w:rPr>
              <w:t xml:space="preserve">Decreto 1082 de 2015, artículos </w:t>
            </w:r>
            <w:r w:rsidRPr="00FD12EE">
              <w:rPr>
                <w:rFonts w:ascii="Verdana" w:eastAsia="Calibri" w:hAnsi="Verdana" w:cs="Arial"/>
                <w:bCs/>
                <w:color w:val="000000"/>
                <w:szCs w:val="24"/>
                <w:lang w:eastAsia="es-ES_tradnl" w:bidi="es-ES"/>
              </w:rPr>
              <w:t>2.2.1.1.1.4.1, 2.2.1.1.1.4.3</w:t>
            </w:r>
            <w:r>
              <w:rPr>
                <w:rFonts w:ascii="Verdana" w:eastAsia="Calibri" w:hAnsi="Verdana" w:cs="Arial"/>
                <w:bCs/>
                <w:color w:val="000000"/>
                <w:szCs w:val="24"/>
                <w:lang w:eastAsia="es-ES_tradnl" w:bidi="es-ES"/>
              </w:rPr>
              <w:t xml:space="preserve"> </w:t>
            </w:r>
            <w:r w:rsidRPr="00FD12EE">
              <w:rPr>
                <w:rFonts w:ascii="Verdana" w:eastAsia="Calibri" w:hAnsi="Verdana" w:cs="Arial"/>
                <w:bCs/>
                <w:color w:val="000000"/>
                <w:szCs w:val="24"/>
                <w:lang w:eastAsia="es-ES_tradnl" w:bidi="es-ES"/>
              </w:rPr>
              <w:t>y</w:t>
            </w:r>
            <w:r>
              <w:rPr>
                <w:rFonts w:ascii="Verdana" w:eastAsia="Calibri" w:hAnsi="Verdana" w:cs="Arial"/>
                <w:bCs/>
                <w:color w:val="000000"/>
                <w:szCs w:val="24"/>
                <w:lang w:eastAsia="es-ES_tradnl" w:bidi="es-ES"/>
              </w:rPr>
              <w:t xml:space="preserve"> </w:t>
            </w:r>
            <w:r w:rsidRPr="00FD12EE">
              <w:rPr>
                <w:rFonts w:ascii="Verdana" w:eastAsia="Calibri" w:hAnsi="Verdana" w:cs="Arial"/>
                <w:bCs/>
                <w:color w:val="000000"/>
                <w:szCs w:val="24"/>
                <w:lang w:eastAsia="es-ES_tradnl" w:bidi="es-ES"/>
              </w:rPr>
              <w:t>2.2.1.1.1.4.4</w:t>
            </w:r>
            <w:r>
              <w:rPr>
                <w:rFonts w:ascii="Verdana" w:eastAsia="Calibri" w:hAnsi="Verdana" w:cs="Arial"/>
                <w:bCs/>
                <w:color w:val="000000"/>
                <w:szCs w:val="24"/>
                <w:lang w:eastAsia="es-ES_tradnl" w:bidi="es-ES"/>
              </w:rPr>
              <w:t>.</w:t>
            </w:r>
          </w:p>
          <w:p w14:paraId="06B9FC1D" w14:textId="77777777" w:rsidR="006A3488" w:rsidRPr="00FD12EE" w:rsidRDefault="006A3488" w:rsidP="006A3488">
            <w:pPr>
              <w:pStyle w:val="Prrafodelista"/>
              <w:widowControl w:val="0"/>
              <w:numPr>
                <w:ilvl w:val="0"/>
                <w:numId w:val="18"/>
              </w:numPr>
              <w:tabs>
                <w:tab w:val="left" w:pos="8419"/>
              </w:tabs>
              <w:autoSpaceDE w:val="0"/>
              <w:autoSpaceDN w:val="0"/>
              <w:spacing w:line="276" w:lineRule="auto"/>
              <w:jc w:val="both"/>
              <w:rPr>
                <w:rFonts w:ascii="Verdana" w:hAnsi="Verdana" w:cs="Arial"/>
              </w:rPr>
            </w:pPr>
            <w:r w:rsidRPr="001D3534">
              <w:rPr>
                <w:rFonts w:ascii="Verdana" w:hAnsi="Verdana" w:cs="Arial"/>
              </w:rPr>
              <w:t>Agencia Nacional de Contratación Pública ―Colombia Compra Eficiente, Guía para elaborar el plan anual de adquisiciones</w:t>
            </w:r>
            <w:r>
              <w:rPr>
                <w:rFonts w:ascii="Verdana" w:hAnsi="Verdana" w:cs="Arial"/>
              </w:rPr>
              <w:t xml:space="preserve">. Disponible en: </w:t>
            </w:r>
            <w:r w:rsidRPr="001D3534">
              <w:rPr>
                <w:rFonts w:ascii="Verdana" w:hAnsi="Verdana" w:cs="Arial"/>
              </w:rPr>
              <w:t>chrome-extension://efaidnbmnnnibpcajpcglclefindmkaj/https://www.colombiacompra.gov.co/sites/cce_public/files/cce_documents/guia_para_elaborar_el_plan_anual_de_adquisiciones_0.pdf</w:t>
            </w:r>
          </w:p>
        </w:tc>
      </w:tr>
    </w:tbl>
    <w:p w14:paraId="11D78B40" w14:textId="77777777" w:rsidR="006A3488" w:rsidRPr="00262582" w:rsidRDefault="006A3488" w:rsidP="006A348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1505CA7A" w14:textId="77777777" w:rsidR="006A3488" w:rsidRPr="00262582" w:rsidRDefault="006A3488" w:rsidP="006A348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262582">
        <w:rPr>
          <w:rFonts w:ascii="Verdana" w:eastAsia="Century Gothic" w:hAnsi="Verdana" w:cs="Century Gothic"/>
          <w:b/>
          <w:bCs/>
          <w:lang w:val="es-CO"/>
        </w:rPr>
        <w:t xml:space="preserve">5. </w:t>
      </w:r>
      <w:r w:rsidRPr="00262582">
        <w:rPr>
          <w:rFonts w:ascii="Verdana" w:eastAsia="Century Gothic" w:hAnsi="Verdana" w:cs="Century Gothic"/>
          <w:b/>
          <w:bCs/>
        </w:rPr>
        <w:t>Doctrina de la Agencia Nacional de Contratación Pública:</w:t>
      </w:r>
    </w:p>
    <w:p w14:paraId="1A3574F4" w14:textId="77777777" w:rsidR="006A3488" w:rsidRPr="00262582" w:rsidRDefault="006A3488" w:rsidP="006A3488">
      <w:pPr>
        <w:spacing w:after="0" w:line="276" w:lineRule="auto"/>
        <w:ind w:firstLine="709"/>
        <w:jc w:val="both"/>
        <w:rPr>
          <w:rFonts w:ascii="Verdana" w:eastAsia="Times New Roman" w:hAnsi="Verdana" w:cs="Arial"/>
          <w:szCs w:val="24"/>
          <w:lang w:val="es-ES" w:eastAsia="es-ES_tradnl"/>
        </w:rPr>
      </w:pPr>
    </w:p>
    <w:p w14:paraId="0FD464D3" w14:textId="77777777" w:rsidR="006A3488" w:rsidRPr="0053114C" w:rsidRDefault="006A3488" w:rsidP="006A3488">
      <w:pPr>
        <w:widowControl w:val="0"/>
        <w:autoSpaceDE w:val="0"/>
        <w:autoSpaceDN w:val="0"/>
        <w:spacing w:after="0" w:line="276" w:lineRule="auto"/>
        <w:jc w:val="both"/>
        <w:rPr>
          <w:rFonts w:ascii="Verdana" w:eastAsia="Calibri" w:hAnsi="Verdana" w:cs="Arial"/>
          <w:color w:val="000000"/>
          <w:shd w:val="clear" w:color="auto" w:fill="FFFFFF"/>
          <w:lang w:val="es-ES"/>
        </w:rPr>
      </w:pPr>
      <w:r w:rsidRPr="00BB47DC">
        <w:rPr>
          <w:rFonts w:ascii="Verdana" w:eastAsia="Calibri" w:hAnsi="Verdana" w:cs="Arial"/>
          <w:lang w:val="es-ES_tradnl" w:eastAsia="es-ES_tradnl"/>
        </w:rPr>
        <w:t xml:space="preserve">Sobre </w:t>
      </w:r>
      <w:r>
        <w:rPr>
          <w:rFonts w:ascii="Verdana" w:eastAsia="Calibri" w:hAnsi="Verdana" w:cs="Arial"/>
          <w:lang w:val="es-ES_tradnl" w:eastAsia="es-ES_tradnl"/>
        </w:rPr>
        <w:t>el</w:t>
      </w:r>
      <w:r w:rsidRPr="00BB47DC">
        <w:rPr>
          <w:rFonts w:ascii="Verdana" w:eastAsia="Calibri" w:hAnsi="Verdana" w:cs="Arial"/>
          <w:lang w:val="es-ES_tradnl" w:eastAsia="es-ES_tradnl"/>
        </w:rPr>
        <w:t xml:space="preserve"> plan anual de adquisiciones, se pronunció esta Subdirección en los conceptos No. 2201913000003587 del 27 de mayo de 2019, 4201913000006571 del 8 de noviembre</w:t>
      </w:r>
      <w:r w:rsidRPr="00943356">
        <w:rPr>
          <w:rFonts w:ascii="Verdana" w:eastAsia="Calibri" w:hAnsi="Verdana" w:cs="Arial"/>
          <w:lang w:val="es-ES_tradnl" w:eastAsia="es-ES_tradnl"/>
        </w:rPr>
        <w:t xml:space="preserve"> de 2019, reiterado y desarrollado en los conceptos 4201912000007258 del 4 de diciembre de 2019, C-048 del 13 de enero de 2020, C-106 del 20 de marzo de 2020, C-109 del 25 de marzo de 2020, C-177 del 31 de marzo de 2020, C- 158 del 03 de abril de 2020, C-237 del 27 de abril de 2020, C-266 del 21 de mayo de 2020, C- 329 del 16 de junio de 2020</w:t>
      </w:r>
      <w:r>
        <w:rPr>
          <w:rFonts w:ascii="Verdana" w:eastAsia="Calibri" w:hAnsi="Verdana" w:cs="Arial"/>
          <w:lang w:val="es-ES_tradnl" w:eastAsia="es-ES_tradnl"/>
        </w:rPr>
        <w:t>,</w:t>
      </w:r>
      <w:r w:rsidRPr="00943356">
        <w:rPr>
          <w:rFonts w:ascii="Verdana" w:eastAsia="Calibri" w:hAnsi="Verdana" w:cs="Arial"/>
          <w:lang w:val="es-ES_tradnl" w:eastAsia="es-ES_tradnl"/>
        </w:rPr>
        <w:t xml:space="preserve"> C-390 del 23 de junio de 2020, C-331 del 25 de junio de 2020, </w:t>
      </w:r>
      <w:r>
        <w:rPr>
          <w:rFonts w:ascii="Verdana" w:eastAsia="Calibri" w:hAnsi="Verdana" w:cs="Arial"/>
          <w:lang w:val="es-ES_tradnl" w:eastAsia="es-ES_tradnl"/>
        </w:rPr>
        <w:t xml:space="preserve">CU- 348 del 3 de julio de 2020, </w:t>
      </w:r>
      <w:r w:rsidRPr="00943356">
        <w:rPr>
          <w:rFonts w:ascii="Verdana" w:eastAsia="Calibri" w:hAnsi="Verdana" w:cs="Arial"/>
          <w:lang w:val="es-ES_tradnl" w:eastAsia="es-ES_tradnl"/>
        </w:rPr>
        <w:t>C-428 del 07 de julio de 2020, C-467 del 31 de julio de 2020, C-638 del 14 de octubre de 2020, C-648 del 25 de octubre de 2020 y C-686 del 01 de diciembre de 2020, C-131 de 6 de abril de 2021, C-257 de 3 de junio de 2021, C-258 de 3 de junio de 2021, C-345 de 13 de julio de 2021, C-376 de 26 de julio de 2021, C-489 de 13 de septiembre de 2021, C-637 del 7 de diciembre de 2021 y C-733 del 13 de enero de 2022, C-026 del 18 de febrero de 2022, C-027 del 25 de febrero de 2022, C-047 del 2 de marzo de 2022, C-</w:t>
      </w:r>
      <w:r w:rsidRPr="00943356">
        <w:rPr>
          <w:rFonts w:ascii="Verdana" w:eastAsia="Calibri" w:hAnsi="Verdana" w:cs="Arial"/>
          <w:lang w:val="es-ES_tradnl" w:eastAsia="es-ES_tradnl"/>
        </w:rPr>
        <w:lastRenderedPageBreak/>
        <w:t>087 del 17 de marzo de 2022, C-408 del 23 de junio de 2022, C-622 de 28 de septiembre de 2022, C-754 de 9 de noviembre de 2022, C-763 de 15 de noviembre de 2022, C-062 de 18 de abril de 2023, C-142 de 30 de mayo de 2023, C-196 de 15 de junio de 2023, C-122 de 21 de junio de 2023, C-364 de 6 de septiembre de 2023, C-438 del 24 de octubre 202</w:t>
      </w:r>
      <w:r>
        <w:rPr>
          <w:rFonts w:ascii="Verdana" w:eastAsia="Calibri" w:hAnsi="Verdana" w:cs="Arial"/>
          <w:lang w:val="es-ES_tradnl" w:eastAsia="es-ES_tradnl"/>
        </w:rPr>
        <w:t>3, CU-007 del 16 de enero de 2024, C-162 del 9 de julio de 2024, C-265 del 9 de julio de 2024 y C-819 del 18 de junio de 2025</w:t>
      </w:r>
      <w:r>
        <w:rPr>
          <w:rFonts w:ascii="Verdana" w:eastAsia="Calibri" w:hAnsi="Verdana" w:cs="Arial"/>
          <w:lang w:val="es-MX"/>
        </w:rPr>
        <w:t xml:space="preserve">. </w:t>
      </w:r>
      <w:r w:rsidRPr="0053114C">
        <w:rPr>
          <w:rFonts w:ascii="Verdana" w:eastAsia="Calibri" w:hAnsi="Verdana" w:cs="Arial"/>
          <w:lang w:val="es-ES" w:eastAsia="es-ES_tradnl"/>
        </w:rPr>
        <w:t>Estos</w:t>
      </w:r>
      <w:r w:rsidRPr="0053114C">
        <w:rPr>
          <w:rFonts w:ascii="Verdana" w:eastAsia="Calibri" w:hAnsi="Verdana" w:cs="Times New Roman"/>
        </w:rPr>
        <w:t xml:space="preserve"> y otros conceptos se encuentran disponibles para consulta en el Sistema de relatoría de la Agencia, al cual se puede acceder a través del siguiente enlace:</w:t>
      </w:r>
      <w:r w:rsidRPr="0053114C">
        <w:rPr>
          <w:rFonts w:ascii="Verdana" w:eastAsia="Calibri" w:hAnsi="Verdana" w:cs="Arial"/>
          <w:shd w:val="clear" w:color="auto" w:fill="FFFFFF"/>
          <w:lang w:val="es-ES"/>
        </w:rPr>
        <w:t xml:space="preserve"> </w:t>
      </w:r>
      <w:hyperlink r:id="rId11" w:history="1">
        <w:r w:rsidRPr="0053114C">
          <w:rPr>
            <w:rFonts w:ascii="Verdana" w:eastAsia="Calibri" w:hAnsi="Verdana" w:cs="Arial"/>
            <w:color w:val="0000FF"/>
            <w:u w:val="single"/>
            <w:shd w:val="clear" w:color="auto" w:fill="FFFFFF"/>
            <w:lang w:val="es-ES"/>
          </w:rPr>
          <w:t>https://relatoria.colombiacompra.gov.co/busqueda/conceptos</w:t>
        </w:r>
      </w:hyperlink>
    </w:p>
    <w:p w14:paraId="622C9E42" w14:textId="77777777" w:rsidR="006A3488" w:rsidRPr="0053114C" w:rsidRDefault="006A3488" w:rsidP="006A3488">
      <w:pPr>
        <w:widowControl w:val="0"/>
        <w:autoSpaceDE w:val="0"/>
        <w:autoSpaceDN w:val="0"/>
        <w:spacing w:after="0" w:line="276" w:lineRule="auto"/>
        <w:jc w:val="both"/>
        <w:rPr>
          <w:rFonts w:ascii="Verdana" w:eastAsia="Calibri" w:hAnsi="Verdana" w:cs="Arial"/>
          <w:color w:val="000000"/>
          <w:shd w:val="clear" w:color="auto" w:fill="FFFFFF"/>
          <w:lang w:val="es-ES"/>
        </w:rPr>
      </w:pPr>
    </w:p>
    <w:p w14:paraId="64C03F3D" w14:textId="77777777" w:rsidR="006A3488" w:rsidRPr="0053114C" w:rsidRDefault="006A3488" w:rsidP="006A3488">
      <w:pPr>
        <w:spacing w:after="0" w:line="276" w:lineRule="auto"/>
        <w:jc w:val="both"/>
        <w:rPr>
          <w:rFonts w:ascii="Verdana" w:eastAsia="Calibri" w:hAnsi="Verdana" w:cs="Times New Roman"/>
        </w:rPr>
      </w:pPr>
      <w:r w:rsidRPr="0053114C">
        <w:rPr>
          <w:rFonts w:ascii="Verdana" w:eastAsia="Calibri" w:hAnsi="Verdana" w:cs="Times New Roman"/>
        </w:rPr>
        <w:t>También le contamos que ya se encuentra disponible la </w:t>
      </w:r>
      <w:r w:rsidRPr="0053114C">
        <w:rPr>
          <w:rFonts w:ascii="Verdana" w:eastAsia="Calibri" w:hAnsi="Verdana" w:cs="Times New Roman"/>
          <w:b/>
          <w:bCs/>
        </w:rPr>
        <w:t>Guía de lineamientos de transparencia y selección objetiva para el departamento de La Guajira – Objetivo sexto constitucional de la Sentencia T-302 del 2017. </w:t>
      </w:r>
      <w:r w:rsidRPr="0053114C">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53114C">
        <w:rPr>
          <w:rFonts w:ascii="Verdana" w:eastAsia="Calibri" w:hAnsi="Verdana" w:cs="Times New Roman"/>
        </w:rPr>
        <w:t>Wayúu</w:t>
      </w:r>
      <w:proofErr w:type="spellEnd"/>
      <w:r w:rsidRPr="0053114C">
        <w:rPr>
          <w:rFonts w:ascii="Verdana" w:eastAsia="Calibri" w:hAnsi="Verdana" w:cs="Times New Roman"/>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53114C">
          <w:rPr>
            <w:rFonts w:ascii="Verdana" w:eastAsia="Calibri" w:hAnsi="Verdana" w:cs="Times New Roman"/>
            <w:color w:val="0000FF"/>
            <w:u w:val="single"/>
          </w:rPr>
          <w:t>Guía de lineamientos de transparencia y selección objetiva para el departamento de La Guajira – Objetivo sexto constitucional de la Sentencia T-302 del 2017</w:t>
        </w:r>
      </w:hyperlink>
    </w:p>
    <w:p w14:paraId="3E46EB44" w14:textId="77777777" w:rsidR="006A3488" w:rsidRPr="0053114C" w:rsidRDefault="006A3488" w:rsidP="006A3488">
      <w:pPr>
        <w:spacing w:after="0" w:line="240" w:lineRule="auto"/>
        <w:jc w:val="both"/>
        <w:rPr>
          <w:rFonts w:ascii="Verdana" w:eastAsia="Calibri" w:hAnsi="Verdana" w:cs="Times New Roman"/>
        </w:rPr>
      </w:pPr>
    </w:p>
    <w:p w14:paraId="41BC5CF4" w14:textId="77777777" w:rsidR="006A3488" w:rsidRPr="0053114C" w:rsidRDefault="006A3488" w:rsidP="006A3488">
      <w:pPr>
        <w:spacing w:after="0" w:line="240" w:lineRule="auto"/>
        <w:jc w:val="both"/>
        <w:rPr>
          <w:rFonts w:ascii="Verdana" w:eastAsia="Calibri" w:hAnsi="Verdana" w:cs="Times New Roman"/>
        </w:rPr>
      </w:pPr>
      <w:r w:rsidRPr="0053114C">
        <w:rPr>
          <w:rFonts w:ascii="Verdana" w:eastAsia="Calibri" w:hAnsi="Verdana" w:cs="Times New Roman"/>
        </w:rPr>
        <w:t xml:space="preserve">Por último, lo invitamos a seguirnos en las redes sociales en las cuales se difunde información institucional: </w:t>
      </w:r>
    </w:p>
    <w:p w14:paraId="7246E0E4" w14:textId="77777777" w:rsidR="006A3488" w:rsidRPr="0053114C" w:rsidRDefault="006A3488" w:rsidP="006A3488">
      <w:pPr>
        <w:spacing w:after="0" w:line="240" w:lineRule="auto"/>
        <w:jc w:val="both"/>
        <w:rPr>
          <w:rFonts w:ascii="Verdana" w:eastAsia="Calibri" w:hAnsi="Verdana" w:cs="Times New Roman"/>
        </w:rPr>
      </w:pPr>
    </w:p>
    <w:p w14:paraId="242E8C62" w14:textId="77777777" w:rsidR="006A3488" w:rsidRPr="0053114C" w:rsidRDefault="006A3488" w:rsidP="006A3488">
      <w:pPr>
        <w:spacing w:after="0" w:line="240" w:lineRule="auto"/>
        <w:jc w:val="both"/>
        <w:rPr>
          <w:rFonts w:ascii="Verdana" w:eastAsia="Calibri" w:hAnsi="Verdana" w:cs="Times New Roman"/>
        </w:rPr>
      </w:pPr>
      <w:r w:rsidRPr="0053114C">
        <w:rPr>
          <w:rFonts w:ascii="Verdana" w:eastAsia="Calibri" w:hAnsi="Verdana" w:cs="Times New Roman"/>
        </w:rPr>
        <w:t xml:space="preserve">Twitter: </w:t>
      </w:r>
      <w:r w:rsidRPr="0053114C">
        <w:rPr>
          <w:rFonts w:ascii="Verdana" w:eastAsia="Calibri" w:hAnsi="Verdana" w:cs="Times New Roman"/>
          <w:color w:val="4472C4"/>
          <w:u w:val="single"/>
        </w:rPr>
        <w:t>@colombiacompra</w:t>
      </w:r>
      <w:r w:rsidRPr="0053114C">
        <w:rPr>
          <w:rFonts w:ascii="Verdana" w:eastAsia="Calibri" w:hAnsi="Verdana" w:cs="Times New Roman"/>
          <w:color w:val="4472C4"/>
        </w:rPr>
        <w:t xml:space="preserve"> </w:t>
      </w:r>
    </w:p>
    <w:p w14:paraId="28CC4154" w14:textId="77777777" w:rsidR="006A3488" w:rsidRPr="0053114C" w:rsidRDefault="006A3488" w:rsidP="006A3488">
      <w:pPr>
        <w:spacing w:after="0" w:line="240" w:lineRule="auto"/>
        <w:jc w:val="both"/>
        <w:rPr>
          <w:rFonts w:ascii="Verdana" w:eastAsia="Calibri" w:hAnsi="Verdana" w:cs="Times New Roman"/>
        </w:rPr>
      </w:pPr>
      <w:r w:rsidRPr="0053114C">
        <w:rPr>
          <w:rFonts w:ascii="Verdana" w:eastAsia="Calibri" w:hAnsi="Verdana" w:cs="Times New Roman"/>
        </w:rPr>
        <w:t xml:space="preserve">Facebook: </w:t>
      </w:r>
      <w:proofErr w:type="spellStart"/>
      <w:r w:rsidRPr="0053114C">
        <w:rPr>
          <w:rFonts w:ascii="Verdana" w:eastAsia="Calibri" w:hAnsi="Verdana" w:cs="Times New Roman"/>
          <w:color w:val="4472C4"/>
          <w:u w:val="single"/>
        </w:rPr>
        <w:t>ColombiaCompraEficiente</w:t>
      </w:r>
      <w:proofErr w:type="spellEnd"/>
    </w:p>
    <w:p w14:paraId="3EF2F00F" w14:textId="77777777" w:rsidR="006A3488" w:rsidRPr="0053114C" w:rsidRDefault="006A3488" w:rsidP="006A3488">
      <w:pPr>
        <w:spacing w:after="0" w:line="240" w:lineRule="auto"/>
        <w:jc w:val="both"/>
        <w:rPr>
          <w:rFonts w:ascii="Verdana" w:eastAsia="Calibri" w:hAnsi="Verdana" w:cs="Times New Roman"/>
        </w:rPr>
      </w:pPr>
      <w:r w:rsidRPr="0053114C">
        <w:rPr>
          <w:rFonts w:ascii="Verdana" w:eastAsia="Calibri" w:hAnsi="Verdana" w:cs="Times New Roman"/>
        </w:rPr>
        <w:t xml:space="preserve">LinkedIn: </w:t>
      </w:r>
      <w:r w:rsidRPr="0053114C">
        <w:rPr>
          <w:rFonts w:ascii="Verdana" w:eastAsia="Calibri" w:hAnsi="Verdana" w:cs="Times New Roman"/>
          <w:color w:val="4472C4"/>
          <w:u w:val="single"/>
        </w:rPr>
        <w:t>Agencia Nacional de Contratación Pública - Colombia Compra Eficiente</w:t>
      </w:r>
      <w:r w:rsidRPr="0053114C">
        <w:rPr>
          <w:rFonts w:ascii="Verdana" w:eastAsia="Calibri" w:hAnsi="Verdana" w:cs="Times New Roman"/>
          <w:color w:val="4472C4"/>
        </w:rPr>
        <w:t xml:space="preserve"> </w:t>
      </w:r>
      <w:r w:rsidRPr="0053114C">
        <w:rPr>
          <w:rFonts w:ascii="Verdana" w:eastAsia="Calibri" w:hAnsi="Verdana" w:cs="Times New Roman"/>
        </w:rPr>
        <w:t xml:space="preserve">Instagram: </w:t>
      </w:r>
      <w:r w:rsidRPr="0053114C">
        <w:rPr>
          <w:rFonts w:ascii="Verdana" w:eastAsia="Calibri" w:hAnsi="Verdana" w:cs="Times New Roman"/>
          <w:color w:val="4472C4"/>
          <w:u w:val="single"/>
        </w:rPr>
        <w:t>@colombiacompraeficiente_cce</w:t>
      </w:r>
    </w:p>
    <w:p w14:paraId="08F0404D" w14:textId="77777777" w:rsidR="006A3488" w:rsidRPr="0053114C" w:rsidRDefault="006A3488" w:rsidP="006A3488">
      <w:pPr>
        <w:widowControl w:val="0"/>
        <w:autoSpaceDE w:val="0"/>
        <w:autoSpaceDN w:val="0"/>
        <w:spacing w:after="0" w:line="276" w:lineRule="auto"/>
        <w:jc w:val="both"/>
        <w:rPr>
          <w:rFonts w:ascii="Verdana" w:eastAsia="Calibri" w:hAnsi="Verdana" w:cs="Times New Roman"/>
        </w:rPr>
      </w:pPr>
    </w:p>
    <w:p w14:paraId="03DF7D14" w14:textId="77777777" w:rsidR="006A3488" w:rsidRPr="00262582" w:rsidRDefault="006A3488" w:rsidP="006A3488">
      <w:pPr>
        <w:widowControl w:val="0"/>
        <w:autoSpaceDE w:val="0"/>
        <w:autoSpaceDN w:val="0"/>
        <w:spacing w:after="0" w:line="276" w:lineRule="auto"/>
        <w:jc w:val="both"/>
        <w:rPr>
          <w:rFonts w:ascii="Verdana" w:hAnsi="Verdana" w:cs="Arial"/>
        </w:rPr>
      </w:pPr>
    </w:p>
    <w:p w14:paraId="2FCE1719" w14:textId="77777777" w:rsidR="006A3488" w:rsidRPr="00262582" w:rsidRDefault="006A3488" w:rsidP="006A3488">
      <w:pPr>
        <w:widowControl w:val="0"/>
        <w:autoSpaceDE w:val="0"/>
        <w:autoSpaceDN w:val="0"/>
        <w:spacing w:after="0" w:line="276" w:lineRule="auto"/>
        <w:jc w:val="both"/>
        <w:rPr>
          <w:rFonts w:ascii="Verdana" w:hAnsi="Verdana" w:cs="Arial"/>
          <w:lang w:val="es-ES_tradnl"/>
        </w:rPr>
      </w:pPr>
      <w:r w:rsidRPr="00262582">
        <w:rPr>
          <w:rFonts w:ascii="Verdana" w:hAnsi="Verdana" w:cs="Arial"/>
        </w:rPr>
        <w:t xml:space="preserve">Este concepto tiene el alcance previsto en el artículo 28 del Código de Procedimiento Administrativo y de lo Contencioso Administrativo </w:t>
      </w:r>
      <w:r w:rsidRPr="00262582">
        <w:rPr>
          <w:rFonts w:ascii="Verdana" w:hAnsi="Verdana" w:cs="Arial"/>
          <w:lang w:val="es-ES_tradnl"/>
        </w:rPr>
        <w:t>y las expresiones aquí utilizadas con mayúscula inicial deben ser entendidas con el significado que les otorga el artículo 2.2.1.1.1.3.1. del Decreto 1082 de 2015.</w:t>
      </w:r>
    </w:p>
    <w:p w14:paraId="1058E1B7" w14:textId="77777777" w:rsidR="006A3488" w:rsidRPr="00262582" w:rsidRDefault="006A3488" w:rsidP="006A3488">
      <w:pPr>
        <w:spacing w:after="0" w:line="276" w:lineRule="auto"/>
        <w:ind w:firstLine="709"/>
        <w:jc w:val="both"/>
        <w:rPr>
          <w:rFonts w:ascii="Verdana" w:eastAsia="Times New Roman" w:hAnsi="Verdana" w:cs="Arial"/>
          <w:szCs w:val="24"/>
          <w:lang w:val="es-ES_tradnl" w:eastAsia="es-ES_tradnl"/>
        </w:rPr>
      </w:pPr>
    </w:p>
    <w:p w14:paraId="3CD7F5D5" w14:textId="77777777" w:rsidR="006A3488" w:rsidRPr="00262582" w:rsidRDefault="006A3488" w:rsidP="006A3488">
      <w:pPr>
        <w:spacing w:after="0" w:line="276" w:lineRule="auto"/>
        <w:jc w:val="both"/>
        <w:rPr>
          <w:rFonts w:ascii="Verdana" w:eastAsia="Times New Roman" w:hAnsi="Verdana" w:cs="Arial"/>
          <w:lang w:val="es-ES_tradnl" w:eastAsia="es-CO"/>
        </w:rPr>
      </w:pPr>
      <w:bookmarkStart w:id="1" w:name="_Hlk117695077"/>
      <w:r w:rsidRPr="00262582">
        <w:rPr>
          <w:rFonts w:ascii="Verdana" w:eastAsia="Times New Roman" w:hAnsi="Verdana" w:cs="Arial"/>
          <w:lang w:val="es-ES_tradnl" w:eastAsia="es-CO"/>
        </w:rPr>
        <w:t>Atentamente,</w:t>
      </w:r>
    </w:p>
    <w:bookmarkEnd w:id="1"/>
    <w:p w14:paraId="43FEC9BD" w14:textId="44D694DC" w:rsidR="006A3488" w:rsidRPr="00262582" w:rsidRDefault="00AD0817" w:rsidP="006A3488">
      <w:pPr>
        <w:spacing w:after="18" w:line="240" w:lineRule="auto"/>
        <w:jc w:val="center"/>
        <w:rPr>
          <w:rFonts w:ascii="Verdana" w:eastAsia="Times New Roman" w:hAnsi="Verdana" w:cs="Arial"/>
          <w:sz w:val="24"/>
          <w:szCs w:val="24"/>
          <w:lang w:eastAsia="es-CO"/>
        </w:rPr>
      </w:pPr>
      <w:r>
        <w:rPr>
          <w:noProof/>
        </w:rPr>
        <w:lastRenderedPageBreak/>
        <w:drawing>
          <wp:inline distT="0" distB="0" distL="0" distR="0" wp14:anchorId="77198858" wp14:editId="2990A2AA">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p w14:paraId="208E3DF1" w14:textId="77777777" w:rsidR="006A3488" w:rsidRPr="00262582" w:rsidRDefault="006A3488" w:rsidP="006A3488">
      <w:pPr>
        <w:spacing w:after="18" w:line="240" w:lineRule="auto"/>
        <w:jc w:val="center"/>
        <w:rPr>
          <w:rFonts w:ascii="Verdana" w:eastAsia="Times New Roman" w:hAnsi="Verdana" w:cs="Arial"/>
          <w:sz w:val="24"/>
          <w:szCs w:val="24"/>
          <w:lang w:eastAsia="es-CO"/>
        </w:rPr>
      </w:pP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217"/>
      </w:tblGrid>
      <w:tr w:rsidR="006A3488" w:rsidRPr="00262582" w14:paraId="26A0DF74" w14:textId="77777777" w:rsidTr="00841F7B">
        <w:trPr>
          <w:trHeight w:val="286"/>
        </w:trPr>
        <w:tc>
          <w:tcPr>
            <w:tcW w:w="886" w:type="dxa"/>
            <w:vAlign w:val="center"/>
            <w:hideMark/>
          </w:tcPr>
          <w:p w14:paraId="0BEAF7B5" w14:textId="77777777" w:rsidR="006A3488" w:rsidRPr="00262582" w:rsidRDefault="006A3488" w:rsidP="00841F7B">
            <w:pPr>
              <w:rPr>
                <w:rFonts w:ascii="Verdana" w:eastAsia="Times New Roman" w:hAnsi="Verdana" w:cs="Arial"/>
                <w:sz w:val="14"/>
                <w:szCs w:val="14"/>
                <w:lang w:eastAsia="es-ES"/>
              </w:rPr>
            </w:pPr>
            <w:r w:rsidRPr="00262582">
              <w:rPr>
                <w:rFonts w:ascii="Verdana" w:eastAsia="Times New Roman" w:hAnsi="Verdana" w:cs="Arial"/>
                <w:sz w:val="16"/>
                <w:szCs w:val="16"/>
                <w:lang w:eastAsia="es-ES"/>
              </w:rPr>
              <w:t>Elaboró:</w:t>
            </w:r>
          </w:p>
        </w:tc>
        <w:tc>
          <w:tcPr>
            <w:tcW w:w="4217" w:type="dxa"/>
            <w:tcBorders>
              <w:top w:val="nil"/>
              <w:left w:val="nil"/>
              <w:bottom w:val="dotted" w:sz="4" w:space="0" w:color="7F7F7F" w:themeColor="text1" w:themeTint="80"/>
              <w:right w:val="nil"/>
            </w:tcBorders>
            <w:vAlign w:val="center"/>
            <w:hideMark/>
          </w:tcPr>
          <w:p w14:paraId="502D9439" w14:textId="77777777" w:rsidR="006A3488" w:rsidRPr="00262582" w:rsidRDefault="006A3488" w:rsidP="00841F7B">
            <w:pPr>
              <w:rPr>
                <w:rFonts w:ascii="Verdana" w:eastAsia="Times New Roman" w:hAnsi="Verdana" w:cs="Arial"/>
                <w:sz w:val="16"/>
                <w:szCs w:val="16"/>
                <w:lang w:val="es-ES_tradnl" w:eastAsia="es-ES"/>
              </w:rPr>
            </w:pPr>
            <w:r w:rsidRPr="00B57FD9">
              <w:rPr>
                <w:rFonts w:ascii="Verdana" w:eastAsia="Times New Roman" w:hAnsi="Verdana" w:cs="Arial"/>
                <w:sz w:val="16"/>
                <w:szCs w:val="16"/>
                <w:lang w:val="es-ES_tradnl" w:eastAsia="es-ES"/>
              </w:rPr>
              <w:t>Ximena Ríos López</w:t>
            </w:r>
          </w:p>
          <w:p w14:paraId="7F9C34C1" w14:textId="77777777" w:rsidR="006A3488" w:rsidRPr="00262582" w:rsidRDefault="006A3488" w:rsidP="00841F7B">
            <w:pPr>
              <w:rPr>
                <w:rFonts w:ascii="Verdana" w:eastAsia="Times New Roman" w:hAnsi="Verdana" w:cs="Arial"/>
                <w:sz w:val="14"/>
                <w:szCs w:val="14"/>
                <w:lang w:eastAsia="es-ES"/>
              </w:rPr>
            </w:pPr>
            <w:r>
              <w:rPr>
                <w:rFonts w:ascii="Verdana" w:eastAsia="Times New Roman" w:hAnsi="Verdana" w:cs="Arial"/>
                <w:sz w:val="16"/>
                <w:szCs w:val="16"/>
                <w:lang w:eastAsia="es-ES"/>
              </w:rPr>
              <w:t>Gestor</w:t>
            </w:r>
            <w:r w:rsidRPr="00262582">
              <w:rPr>
                <w:rFonts w:ascii="Verdana" w:eastAsia="Times New Roman" w:hAnsi="Verdana" w:cs="Arial"/>
                <w:sz w:val="16"/>
                <w:szCs w:val="16"/>
                <w:lang w:eastAsia="es-ES"/>
              </w:rPr>
              <w:t xml:space="preserve"> T1-1</w:t>
            </w:r>
            <w:r>
              <w:rPr>
                <w:rFonts w:ascii="Verdana" w:eastAsia="Times New Roman" w:hAnsi="Verdana" w:cs="Arial"/>
                <w:sz w:val="16"/>
                <w:szCs w:val="16"/>
                <w:lang w:eastAsia="es-ES"/>
              </w:rPr>
              <w:t>1</w:t>
            </w:r>
            <w:r w:rsidRPr="00262582">
              <w:rPr>
                <w:rFonts w:ascii="Verdana" w:eastAsia="Times New Roman" w:hAnsi="Verdana" w:cs="Arial"/>
                <w:sz w:val="16"/>
                <w:szCs w:val="16"/>
                <w:lang w:eastAsia="es-ES"/>
              </w:rPr>
              <w:t xml:space="preserve"> de la Subdirección de Gestión Contractual</w:t>
            </w:r>
          </w:p>
        </w:tc>
      </w:tr>
      <w:tr w:rsidR="006A3488" w:rsidRPr="00262582" w14:paraId="66453891" w14:textId="77777777" w:rsidTr="00841F7B">
        <w:trPr>
          <w:trHeight w:val="299"/>
        </w:trPr>
        <w:tc>
          <w:tcPr>
            <w:tcW w:w="886" w:type="dxa"/>
            <w:vAlign w:val="center"/>
            <w:hideMark/>
          </w:tcPr>
          <w:p w14:paraId="04A92B0D" w14:textId="77777777" w:rsidR="006A3488" w:rsidRPr="00262582" w:rsidRDefault="006A3488" w:rsidP="00841F7B">
            <w:pPr>
              <w:rPr>
                <w:rFonts w:ascii="Verdana" w:eastAsia="Times New Roman" w:hAnsi="Verdana" w:cs="Arial"/>
                <w:sz w:val="14"/>
                <w:szCs w:val="14"/>
                <w:lang w:eastAsia="es-ES"/>
              </w:rPr>
            </w:pPr>
            <w:r w:rsidRPr="00262582">
              <w:rPr>
                <w:rFonts w:ascii="Verdana" w:eastAsia="Times New Roman" w:hAnsi="Verdana" w:cs="Arial"/>
                <w:sz w:val="16"/>
                <w:szCs w:val="16"/>
                <w:lang w:eastAsia="es-ES"/>
              </w:rPr>
              <w:t>Revisó:</w:t>
            </w:r>
          </w:p>
        </w:tc>
        <w:tc>
          <w:tcPr>
            <w:tcW w:w="4217" w:type="dxa"/>
            <w:tcBorders>
              <w:top w:val="dotted" w:sz="4" w:space="0" w:color="7F7F7F" w:themeColor="text1" w:themeTint="80"/>
              <w:left w:val="nil"/>
              <w:bottom w:val="dotted" w:sz="4" w:space="0" w:color="7F7F7F" w:themeColor="text1" w:themeTint="80"/>
              <w:right w:val="nil"/>
            </w:tcBorders>
            <w:vAlign w:val="center"/>
            <w:hideMark/>
          </w:tcPr>
          <w:p w14:paraId="68E55741" w14:textId="77777777" w:rsidR="006A3488" w:rsidRPr="00262582" w:rsidRDefault="006A3488" w:rsidP="00841F7B">
            <w:pPr>
              <w:rPr>
                <w:rFonts w:ascii="Verdana" w:eastAsia="Times New Roman" w:hAnsi="Verdana" w:cs="Arial"/>
                <w:sz w:val="16"/>
                <w:szCs w:val="16"/>
                <w:lang w:val="es-ES" w:eastAsia="es-ES"/>
              </w:rPr>
            </w:pPr>
            <w:r w:rsidRPr="3634E612">
              <w:rPr>
                <w:rFonts w:ascii="Verdana" w:eastAsia="Times New Roman" w:hAnsi="Verdana" w:cs="Arial"/>
                <w:sz w:val="16"/>
                <w:szCs w:val="16"/>
                <w:lang w:val="es-ES" w:eastAsia="es-ES"/>
              </w:rPr>
              <w:t xml:space="preserve">Juan Carlos González </w:t>
            </w:r>
            <w:proofErr w:type="spellStart"/>
            <w:r w:rsidRPr="3634E612">
              <w:rPr>
                <w:rFonts w:ascii="Verdana" w:eastAsia="Times New Roman" w:hAnsi="Verdana" w:cs="Arial"/>
                <w:sz w:val="16"/>
                <w:szCs w:val="16"/>
                <w:lang w:val="es-ES" w:eastAsia="es-ES"/>
              </w:rPr>
              <w:t>Vasquez</w:t>
            </w:r>
            <w:proofErr w:type="spellEnd"/>
          </w:p>
          <w:p w14:paraId="41514808" w14:textId="77777777" w:rsidR="006A3488" w:rsidRPr="00262582" w:rsidRDefault="006A3488" w:rsidP="00841F7B">
            <w:pPr>
              <w:rPr>
                <w:rFonts w:ascii="Verdana" w:eastAsia="Times New Roman" w:hAnsi="Verdana" w:cs="Arial"/>
                <w:sz w:val="14"/>
                <w:szCs w:val="14"/>
                <w:lang w:eastAsia="es-ES"/>
              </w:rPr>
            </w:pPr>
            <w:r>
              <w:rPr>
                <w:rFonts w:ascii="Verdana" w:eastAsia="Times New Roman" w:hAnsi="Verdana" w:cs="Arial"/>
                <w:sz w:val="16"/>
                <w:szCs w:val="16"/>
                <w:lang w:eastAsia="es-ES"/>
              </w:rPr>
              <w:t>Contratista</w:t>
            </w:r>
            <w:r w:rsidRPr="00262582">
              <w:rPr>
                <w:rFonts w:ascii="Verdana" w:eastAsia="Times New Roman" w:hAnsi="Verdana" w:cs="Arial"/>
                <w:sz w:val="16"/>
                <w:szCs w:val="16"/>
                <w:lang w:eastAsia="es-ES"/>
              </w:rPr>
              <w:t xml:space="preserve"> de la Subdirección de Gestión Contractual</w:t>
            </w:r>
          </w:p>
        </w:tc>
      </w:tr>
      <w:tr w:rsidR="006A3488" w:rsidRPr="00262582" w14:paraId="28781F74" w14:textId="77777777" w:rsidTr="00841F7B">
        <w:trPr>
          <w:trHeight w:val="272"/>
        </w:trPr>
        <w:tc>
          <w:tcPr>
            <w:tcW w:w="886" w:type="dxa"/>
            <w:vAlign w:val="center"/>
            <w:hideMark/>
          </w:tcPr>
          <w:p w14:paraId="0897EE77" w14:textId="77777777" w:rsidR="006A3488" w:rsidRPr="00262582" w:rsidRDefault="006A3488" w:rsidP="00841F7B">
            <w:pPr>
              <w:rPr>
                <w:rFonts w:ascii="Verdana" w:eastAsia="Times New Roman" w:hAnsi="Verdana" w:cs="Arial"/>
                <w:sz w:val="14"/>
                <w:szCs w:val="14"/>
                <w:lang w:eastAsia="es-ES"/>
              </w:rPr>
            </w:pPr>
            <w:r w:rsidRPr="00262582">
              <w:rPr>
                <w:rFonts w:ascii="Verdana" w:eastAsia="Times New Roman" w:hAnsi="Verdana" w:cs="Arial"/>
                <w:sz w:val="16"/>
                <w:szCs w:val="16"/>
                <w:lang w:eastAsia="es-ES"/>
              </w:rPr>
              <w:t>Aprobó:</w:t>
            </w:r>
          </w:p>
        </w:tc>
        <w:tc>
          <w:tcPr>
            <w:tcW w:w="4217" w:type="dxa"/>
            <w:tcBorders>
              <w:top w:val="dotted" w:sz="4" w:space="0" w:color="7F7F7F" w:themeColor="text1" w:themeTint="80"/>
              <w:left w:val="nil"/>
              <w:bottom w:val="dotted" w:sz="4" w:space="0" w:color="7F7F7F" w:themeColor="text1" w:themeTint="80"/>
              <w:right w:val="nil"/>
            </w:tcBorders>
            <w:vAlign w:val="center"/>
            <w:hideMark/>
          </w:tcPr>
          <w:p w14:paraId="47A41243" w14:textId="77777777" w:rsidR="006A3488" w:rsidRPr="00262582" w:rsidRDefault="006A3488" w:rsidP="00841F7B">
            <w:pPr>
              <w:rPr>
                <w:rFonts w:ascii="Verdana" w:eastAsia="Times New Roman" w:hAnsi="Verdana" w:cs="Arial"/>
                <w:sz w:val="16"/>
                <w:szCs w:val="16"/>
                <w:lang w:eastAsia="es-ES"/>
              </w:rPr>
            </w:pPr>
            <w:r w:rsidRPr="00262582">
              <w:rPr>
                <w:rFonts w:ascii="Verdana" w:eastAsia="Times New Roman" w:hAnsi="Verdana" w:cs="Arial"/>
                <w:sz w:val="16"/>
                <w:szCs w:val="16"/>
                <w:lang w:eastAsia="es-ES"/>
              </w:rPr>
              <w:t xml:space="preserve">Carolina Quintero </w:t>
            </w:r>
            <w:proofErr w:type="spellStart"/>
            <w:r w:rsidRPr="00262582">
              <w:rPr>
                <w:rFonts w:ascii="Verdana" w:eastAsia="Times New Roman" w:hAnsi="Verdana" w:cs="Arial"/>
                <w:sz w:val="16"/>
                <w:szCs w:val="16"/>
                <w:lang w:eastAsia="es-ES"/>
              </w:rPr>
              <w:t>Gacharná</w:t>
            </w:r>
            <w:proofErr w:type="spellEnd"/>
          </w:p>
          <w:p w14:paraId="7C5D75AB" w14:textId="77777777" w:rsidR="006A3488" w:rsidRPr="00262582" w:rsidRDefault="006A3488" w:rsidP="00841F7B">
            <w:pPr>
              <w:rPr>
                <w:rFonts w:ascii="Verdana" w:eastAsia="Times New Roman" w:hAnsi="Verdana" w:cs="Arial"/>
                <w:sz w:val="14"/>
                <w:szCs w:val="14"/>
                <w:lang w:eastAsia="es-ES"/>
              </w:rPr>
            </w:pPr>
            <w:r w:rsidRPr="00262582">
              <w:rPr>
                <w:rFonts w:ascii="Verdana" w:eastAsia="Times New Roman" w:hAnsi="Verdana" w:cs="Arial"/>
                <w:sz w:val="16"/>
                <w:szCs w:val="16"/>
                <w:lang w:eastAsia="es-ES"/>
              </w:rPr>
              <w:t>Subdirectora de Gestión Contractual ANCP – CCE</w:t>
            </w:r>
          </w:p>
        </w:tc>
      </w:tr>
    </w:tbl>
    <w:p w14:paraId="235B6236" w14:textId="77777777" w:rsidR="006A3488" w:rsidRPr="00262582" w:rsidRDefault="006A3488" w:rsidP="006A3488">
      <w:pPr>
        <w:spacing w:after="0" w:line="276" w:lineRule="auto"/>
        <w:jc w:val="both"/>
        <w:rPr>
          <w:rFonts w:ascii="Verdana" w:eastAsia="Times New Roman" w:hAnsi="Verdana" w:cs="Arial"/>
          <w:lang w:val="es-ES_tradnl"/>
        </w:rPr>
      </w:pPr>
    </w:p>
    <w:p w14:paraId="03D36685" w14:textId="77777777" w:rsidR="006A3488" w:rsidRPr="00262582" w:rsidRDefault="006A3488" w:rsidP="006A3488">
      <w:pPr>
        <w:spacing w:after="0" w:line="240" w:lineRule="auto"/>
        <w:rPr>
          <w:rFonts w:ascii="Verdana" w:eastAsia="Times New Roman" w:hAnsi="Verdana" w:cs="Arial"/>
          <w:sz w:val="24"/>
          <w:szCs w:val="24"/>
          <w:lang w:eastAsia="es-ES_tradnl"/>
        </w:rPr>
      </w:pPr>
    </w:p>
    <w:p w14:paraId="6010B8EF" w14:textId="77777777" w:rsidR="006A3488" w:rsidRPr="00262582" w:rsidRDefault="006A3488" w:rsidP="006A3488">
      <w:pPr>
        <w:rPr>
          <w:rFonts w:ascii="Verdana" w:hAnsi="Verdana"/>
        </w:rPr>
      </w:pPr>
    </w:p>
    <w:p w14:paraId="7C9380A3" w14:textId="77777777" w:rsidR="006A3488" w:rsidRPr="00DC38D4" w:rsidRDefault="006A3488" w:rsidP="006A3488"/>
    <w:p w14:paraId="41BAE8EC" w14:textId="77777777" w:rsidR="006A3488" w:rsidRPr="00A23542" w:rsidRDefault="006A3488" w:rsidP="006A3488"/>
    <w:p w14:paraId="0F293BF4" w14:textId="33306B44" w:rsidR="00127233" w:rsidRPr="006A3488" w:rsidRDefault="00127233" w:rsidP="006A3488"/>
    <w:sectPr w:rsidR="00127233" w:rsidRPr="006A3488"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8DD6C1" w14:textId="77777777" w:rsidR="007C54C3" w:rsidRDefault="007C54C3" w:rsidP="004A1847">
      <w:pPr>
        <w:spacing w:after="0" w:line="240" w:lineRule="auto"/>
      </w:pPr>
      <w:r>
        <w:separator/>
      </w:r>
    </w:p>
  </w:endnote>
  <w:endnote w:type="continuationSeparator" w:id="0">
    <w:p w14:paraId="1921EBDE" w14:textId="77777777" w:rsidR="007C54C3" w:rsidRDefault="007C54C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53114C">
      <w:rPr>
        <w:rFonts w:ascii="Verdana" w:eastAsia="Times New Roman" w:hAnsi="Verdana" w:cs="Times New Roman"/>
        <w:b/>
        <w:bCs/>
        <w:sz w:val="16"/>
        <w:szCs w:val="16"/>
        <w:lang w:val="es-ES"/>
      </w:rPr>
      <w:t xml:space="preserve">pág. </w:t>
    </w:r>
    <w:r w:rsidRPr="0053114C">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53114C">
      <w:rPr>
        <w:rFonts w:ascii="Verdana" w:eastAsia="Times New Roman" w:hAnsi="Verdana"/>
        <w:b/>
        <w:bCs/>
        <w:sz w:val="16"/>
        <w:szCs w:val="16"/>
      </w:rPr>
      <w:fldChar w:fldCharType="separate"/>
    </w:r>
    <w:r w:rsidRPr="0053114C">
      <w:rPr>
        <w:rFonts w:ascii="Verdana" w:eastAsia="Times New Roman" w:hAnsi="Verdana"/>
        <w:b/>
        <w:bCs/>
        <w:sz w:val="16"/>
        <w:szCs w:val="16"/>
      </w:rPr>
      <w:t>1</w:t>
    </w:r>
    <w:r w:rsidRPr="0053114C">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4BD803" w14:textId="77777777" w:rsidR="007C54C3" w:rsidRDefault="007C54C3" w:rsidP="004A1847">
      <w:pPr>
        <w:spacing w:after="0" w:line="240" w:lineRule="auto"/>
      </w:pPr>
      <w:r>
        <w:separator/>
      </w:r>
    </w:p>
  </w:footnote>
  <w:footnote w:type="continuationSeparator" w:id="0">
    <w:p w14:paraId="414175F8" w14:textId="77777777" w:rsidR="007C54C3" w:rsidRDefault="007C54C3" w:rsidP="004A1847">
      <w:pPr>
        <w:spacing w:after="0" w:line="240" w:lineRule="auto"/>
      </w:pPr>
      <w:r>
        <w:continuationSeparator/>
      </w:r>
    </w:p>
  </w:footnote>
  <w:footnote w:id="1">
    <w:p w14:paraId="03E4146B" w14:textId="77777777" w:rsidR="006A3488" w:rsidRPr="00FD12EE" w:rsidRDefault="006A3488" w:rsidP="006A3488">
      <w:pPr>
        <w:pStyle w:val="Textonotapie"/>
        <w:ind w:firstLine="708"/>
        <w:jc w:val="both"/>
        <w:rPr>
          <w:rFonts w:ascii="Verdana" w:hAnsi="Verdana" w:cs="Arial"/>
          <w:sz w:val="18"/>
          <w:szCs w:val="18"/>
        </w:rPr>
      </w:pPr>
      <w:r w:rsidRPr="00FD12EE">
        <w:rPr>
          <w:rStyle w:val="Refdenotaalpie"/>
          <w:rFonts w:ascii="Verdana" w:hAnsi="Verdana" w:cs="Arial"/>
          <w:sz w:val="18"/>
          <w:szCs w:val="18"/>
        </w:rPr>
        <w:footnoteRef/>
      </w:r>
      <w:r w:rsidRPr="00FD12EE">
        <w:rPr>
          <w:rFonts w:ascii="Verdana" w:hAnsi="Verdana" w:cs="Arial"/>
          <w:sz w:val="18"/>
          <w:szCs w:val="18"/>
        </w:rPr>
        <w:t xml:space="preserve"> Decreto 1082 de 2015:” Artículo 2.2.1.1.1.4.3. Publicación del Plan Anual de Adquisiciones.</w:t>
      </w:r>
      <w:r w:rsidRPr="00FD12EE">
        <w:rPr>
          <w:rFonts w:ascii="Verdana" w:hAnsi="Verdana" w:cs="Arial"/>
          <w:i/>
          <w:iCs/>
          <w:sz w:val="18"/>
          <w:szCs w:val="18"/>
        </w:rPr>
        <w:t> </w:t>
      </w:r>
      <w:r w:rsidRPr="00FD12EE">
        <w:rPr>
          <w:rFonts w:ascii="Verdana" w:hAnsi="Verdana" w:cs="Arial"/>
          <w:sz w:val="18"/>
          <w:szCs w:val="18"/>
        </w:rPr>
        <w:t>La Entidad Estatal debe publicar su Plan Anual de Adquisiciones y las actualizaciones del mismo en su página web y en el SECOP, en la forma que para el efecto disponga Colombia Compra Eficiente”.</w:t>
      </w:r>
    </w:p>
  </w:footnote>
  <w:footnote w:id="2">
    <w:p w14:paraId="5FF0061D" w14:textId="77777777" w:rsidR="006A3488" w:rsidRPr="00FD12EE" w:rsidRDefault="006A3488" w:rsidP="006A3488">
      <w:pPr>
        <w:pStyle w:val="NormalWeb"/>
        <w:shd w:val="clear" w:color="auto" w:fill="FFFFFF"/>
        <w:spacing w:after="0"/>
        <w:ind w:firstLine="708"/>
        <w:jc w:val="both"/>
        <w:rPr>
          <w:rFonts w:ascii="Verdana" w:hAnsi="Verdana" w:cs="Arial"/>
          <w:sz w:val="18"/>
          <w:szCs w:val="18"/>
          <w:lang w:val="es-MX"/>
        </w:rPr>
      </w:pPr>
      <w:r w:rsidRPr="00FD12EE">
        <w:rPr>
          <w:rStyle w:val="Refdenotaalpie"/>
          <w:rFonts w:ascii="Verdana" w:hAnsi="Verdana" w:cs="Arial"/>
          <w:sz w:val="18"/>
          <w:szCs w:val="18"/>
        </w:rPr>
        <w:footnoteRef/>
      </w:r>
      <w:r w:rsidRPr="00FD12EE">
        <w:rPr>
          <w:rFonts w:ascii="Verdana" w:hAnsi="Verdana" w:cs="Arial"/>
          <w:sz w:val="18"/>
          <w:szCs w:val="18"/>
        </w:rPr>
        <w:t xml:space="preserve"> Decreto 1082 de 2015:”</w:t>
      </w:r>
      <w:r w:rsidRPr="00FD12EE">
        <w:rPr>
          <w:rFonts w:ascii="Verdana" w:hAnsi="Verdana" w:cs="Arial"/>
          <w:sz w:val="18"/>
          <w:szCs w:val="18"/>
          <w:lang w:val="es-MX"/>
        </w:rPr>
        <w:t xml:space="preserve"> Artículo 2.2.1.1.1.4.4. Actualización del Plan Anual de Adquisiciones. La Entidad Estatal debe actualizar el Plan Anual de Adquisiciones por lo menos una vez durante su vigencia, en la forma y la oportunidad que para el efecto disponga Colombia Compra Eficiente.</w:t>
      </w:r>
    </w:p>
    <w:p w14:paraId="16277E0C" w14:textId="77777777" w:rsidR="006A3488" w:rsidRPr="00FD12EE" w:rsidRDefault="006A3488" w:rsidP="006A3488">
      <w:pPr>
        <w:pStyle w:val="NormalWeb"/>
        <w:shd w:val="clear" w:color="auto" w:fill="FFFFFF"/>
        <w:spacing w:after="0"/>
        <w:ind w:firstLine="708"/>
        <w:jc w:val="both"/>
        <w:rPr>
          <w:rFonts w:ascii="Verdana" w:hAnsi="Verdana" w:cs="Arial"/>
          <w:sz w:val="18"/>
          <w:szCs w:val="18"/>
          <w:lang w:val="es-MX"/>
        </w:rPr>
      </w:pPr>
      <w:r w:rsidRPr="00FD12EE">
        <w:rPr>
          <w:rFonts w:ascii="Verdana" w:hAnsi="Verdana" w:cs="Arial"/>
          <w:sz w:val="18"/>
          <w:szCs w:val="18"/>
          <w:lang w:val="es-MX"/>
        </w:rPr>
        <w:t>“La Entidad Estatal debe actualizar el Plan Anual de Adquisiciones cuando: (i) haya ajustes en los cronogramas de adquisición, valores, modalidad de selección, origen de los recursos; (ii) para incluir nuevas obras, bienes y/o servicios; (iii) excluir obras, bienes y/o servicios; o (iv) modificar el presupuesto anual de adquisiciones”.</w:t>
      </w:r>
    </w:p>
    <w:p w14:paraId="041B6156" w14:textId="77777777" w:rsidR="006A3488" w:rsidRPr="00FD12EE" w:rsidRDefault="006A3488" w:rsidP="006A3488">
      <w:pPr>
        <w:pStyle w:val="NormalWeb"/>
        <w:shd w:val="clear" w:color="auto" w:fill="FFFFFF"/>
        <w:spacing w:after="0"/>
        <w:ind w:firstLine="708"/>
        <w:jc w:val="both"/>
        <w:rPr>
          <w:rFonts w:ascii="Verdana" w:hAnsi="Verdana" w:cs="Arial"/>
          <w:sz w:val="18"/>
          <w:szCs w:val="18"/>
          <w:lang w:val="es-MX"/>
        </w:rPr>
      </w:pPr>
    </w:p>
  </w:footnote>
  <w:footnote w:id="3">
    <w:p w14:paraId="2971E4F4" w14:textId="77777777" w:rsidR="006A3488" w:rsidRPr="00FD12EE" w:rsidRDefault="006A3488" w:rsidP="006A3488">
      <w:pPr>
        <w:pStyle w:val="Textonotapie"/>
        <w:ind w:firstLine="708"/>
        <w:jc w:val="both"/>
        <w:rPr>
          <w:rFonts w:ascii="Verdana" w:hAnsi="Verdana" w:cs="Arial"/>
          <w:sz w:val="18"/>
          <w:szCs w:val="18"/>
          <w:lang w:val="es-CO"/>
        </w:rPr>
      </w:pPr>
      <w:r w:rsidRPr="00FD12EE">
        <w:rPr>
          <w:rStyle w:val="Refdenotaalpie"/>
          <w:rFonts w:ascii="Verdana" w:hAnsi="Verdana" w:cs="Arial"/>
          <w:sz w:val="18"/>
          <w:szCs w:val="18"/>
        </w:rPr>
        <w:footnoteRef/>
      </w:r>
      <w:r w:rsidRPr="00FD12EE">
        <w:rPr>
          <w:rFonts w:ascii="Verdana" w:eastAsia="Calibri" w:hAnsi="Verdana" w:cs="Arial"/>
          <w:sz w:val="18"/>
          <w:szCs w:val="18"/>
        </w:rPr>
        <w:t xml:space="preserve"> Agencia Nacional de Contratación Pública </w:t>
      </w:r>
      <w:r w:rsidRPr="00FD12EE">
        <w:rPr>
          <w:rFonts w:ascii="Verdana" w:eastAsia="Calibri" w:hAnsi="Verdana" w:cs="Arial"/>
          <w:b/>
          <w:sz w:val="18"/>
          <w:szCs w:val="18"/>
        </w:rPr>
        <w:t>―</w:t>
      </w:r>
      <w:r w:rsidRPr="00FD12EE">
        <w:rPr>
          <w:rFonts w:ascii="Verdana" w:eastAsia="Calibri" w:hAnsi="Verdana" w:cs="Arial"/>
          <w:sz w:val="18"/>
          <w:szCs w:val="18"/>
        </w:rPr>
        <w:t>Colombia Compra Eficiente</w:t>
      </w:r>
      <w:r>
        <w:rPr>
          <w:rFonts w:ascii="Verdana" w:eastAsia="Calibri" w:hAnsi="Verdana" w:cs="Arial"/>
          <w:sz w:val="18"/>
          <w:szCs w:val="18"/>
        </w:rPr>
        <w:t>,</w:t>
      </w:r>
      <w:r w:rsidRPr="00FD12EE">
        <w:rPr>
          <w:rFonts w:ascii="Verdana" w:hAnsi="Verdana" w:cs="Arial"/>
          <w:sz w:val="18"/>
          <w:szCs w:val="18"/>
          <w:lang w:val="es-CO"/>
        </w:rPr>
        <w:t xml:space="preserve"> Guía para elaborar el plan anual de adquisiciones. Página 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6441DF"/>
    <w:multiLevelType w:val="hybridMultilevel"/>
    <w:tmpl w:val="B9A8E7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2A0562E"/>
    <w:multiLevelType w:val="hybridMultilevel"/>
    <w:tmpl w:val="DB2A5E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0"/>
  </w:num>
  <w:num w:numId="13" w16cid:durableId="1512908409">
    <w:abstractNumId w:val="2"/>
  </w:num>
  <w:num w:numId="14" w16cid:durableId="895897244">
    <w:abstractNumId w:val="15"/>
  </w:num>
  <w:num w:numId="15" w16cid:durableId="390349800">
    <w:abstractNumId w:val="11"/>
  </w:num>
  <w:num w:numId="16" w16cid:durableId="679089576">
    <w:abstractNumId w:val="9"/>
  </w:num>
  <w:num w:numId="17" w16cid:durableId="741297831">
    <w:abstractNumId w:val="3"/>
  </w:num>
  <w:num w:numId="18" w16cid:durableId="19034136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DAA"/>
    <w:rsid w:val="00016F78"/>
    <w:rsid w:val="00046945"/>
    <w:rsid w:val="00061B2A"/>
    <w:rsid w:val="00082362"/>
    <w:rsid w:val="00084469"/>
    <w:rsid w:val="000A683E"/>
    <w:rsid w:val="000B19B9"/>
    <w:rsid w:val="000D0334"/>
    <w:rsid w:val="000F6486"/>
    <w:rsid w:val="00125105"/>
    <w:rsid w:val="00127233"/>
    <w:rsid w:val="001E4177"/>
    <w:rsid w:val="001F7DC6"/>
    <w:rsid w:val="00213D89"/>
    <w:rsid w:val="00234247"/>
    <w:rsid w:val="002421BB"/>
    <w:rsid w:val="0025796E"/>
    <w:rsid w:val="00264E70"/>
    <w:rsid w:val="002707A2"/>
    <w:rsid w:val="002951A0"/>
    <w:rsid w:val="002962BC"/>
    <w:rsid w:val="002A093D"/>
    <w:rsid w:val="002A0DD0"/>
    <w:rsid w:val="002A49AC"/>
    <w:rsid w:val="002A64FD"/>
    <w:rsid w:val="002C2917"/>
    <w:rsid w:val="002C7A84"/>
    <w:rsid w:val="002E4FD9"/>
    <w:rsid w:val="002E52E8"/>
    <w:rsid w:val="003037A6"/>
    <w:rsid w:val="00322A85"/>
    <w:rsid w:val="00324168"/>
    <w:rsid w:val="003448F4"/>
    <w:rsid w:val="00374F5E"/>
    <w:rsid w:val="00377E3E"/>
    <w:rsid w:val="003918F7"/>
    <w:rsid w:val="003A779E"/>
    <w:rsid w:val="003D0F4D"/>
    <w:rsid w:val="003D5B0D"/>
    <w:rsid w:val="003E0499"/>
    <w:rsid w:val="003F3941"/>
    <w:rsid w:val="00400F1E"/>
    <w:rsid w:val="00406575"/>
    <w:rsid w:val="00414C74"/>
    <w:rsid w:val="0042722E"/>
    <w:rsid w:val="0044528D"/>
    <w:rsid w:val="00477B76"/>
    <w:rsid w:val="004A1847"/>
    <w:rsid w:val="004A305D"/>
    <w:rsid w:val="004F21C4"/>
    <w:rsid w:val="004F685F"/>
    <w:rsid w:val="005248AD"/>
    <w:rsid w:val="0053114C"/>
    <w:rsid w:val="005566E8"/>
    <w:rsid w:val="00574867"/>
    <w:rsid w:val="00591460"/>
    <w:rsid w:val="00591A4A"/>
    <w:rsid w:val="005A21AC"/>
    <w:rsid w:val="005C3777"/>
    <w:rsid w:val="005C5CDC"/>
    <w:rsid w:val="005D476C"/>
    <w:rsid w:val="006219F8"/>
    <w:rsid w:val="006302F7"/>
    <w:rsid w:val="00660A2E"/>
    <w:rsid w:val="00665D70"/>
    <w:rsid w:val="006900D9"/>
    <w:rsid w:val="006A3488"/>
    <w:rsid w:val="006A760C"/>
    <w:rsid w:val="006E3562"/>
    <w:rsid w:val="00706C16"/>
    <w:rsid w:val="00756841"/>
    <w:rsid w:val="007649AB"/>
    <w:rsid w:val="00771D0C"/>
    <w:rsid w:val="007833AC"/>
    <w:rsid w:val="007A47C4"/>
    <w:rsid w:val="007B268C"/>
    <w:rsid w:val="007B7171"/>
    <w:rsid w:val="007C0C0F"/>
    <w:rsid w:val="007C3DC2"/>
    <w:rsid w:val="007C54C3"/>
    <w:rsid w:val="007C77E2"/>
    <w:rsid w:val="007E5497"/>
    <w:rsid w:val="00806F5F"/>
    <w:rsid w:val="00820278"/>
    <w:rsid w:val="00867F95"/>
    <w:rsid w:val="008843B6"/>
    <w:rsid w:val="00891928"/>
    <w:rsid w:val="008953D0"/>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D5F80"/>
    <w:rsid w:val="009F3A13"/>
    <w:rsid w:val="00A122D3"/>
    <w:rsid w:val="00A17F13"/>
    <w:rsid w:val="00A20739"/>
    <w:rsid w:val="00A33C78"/>
    <w:rsid w:val="00AA0F1C"/>
    <w:rsid w:val="00AB0ADB"/>
    <w:rsid w:val="00AC5250"/>
    <w:rsid w:val="00AD0817"/>
    <w:rsid w:val="00AE538D"/>
    <w:rsid w:val="00B00C0E"/>
    <w:rsid w:val="00B01B1A"/>
    <w:rsid w:val="00B44A47"/>
    <w:rsid w:val="00B57FD9"/>
    <w:rsid w:val="00B72454"/>
    <w:rsid w:val="00B72CD3"/>
    <w:rsid w:val="00B72FFF"/>
    <w:rsid w:val="00BA1E53"/>
    <w:rsid w:val="00BC3D36"/>
    <w:rsid w:val="00BD7F72"/>
    <w:rsid w:val="00C04FB3"/>
    <w:rsid w:val="00C330EB"/>
    <w:rsid w:val="00C754BE"/>
    <w:rsid w:val="00C76B1C"/>
    <w:rsid w:val="00C86DEF"/>
    <w:rsid w:val="00CB6357"/>
    <w:rsid w:val="00CC1B26"/>
    <w:rsid w:val="00D423A2"/>
    <w:rsid w:val="00D520D8"/>
    <w:rsid w:val="00D550CF"/>
    <w:rsid w:val="00D63AC2"/>
    <w:rsid w:val="00D7383B"/>
    <w:rsid w:val="00DA231B"/>
    <w:rsid w:val="00DC38D4"/>
    <w:rsid w:val="00DC39FC"/>
    <w:rsid w:val="00DF5254"/>
    <w:rsid w:val="00E11A07"/>
    <w:rsid w:val="00E16408"/>
    <w:rsid w:val="00E20894"/>
    <w:rsid w:val="00E245AB"/>
    <w:rsid w:val="00E2764C"/>
    <w:rsid w:val="00E27F2E"/>
    <w:rsid w:val="00E50AFE"/>
    <w:rsid w:val="00E75C92"/>
    <w:rsid w:val="00E76C5F"/>
    <w:rsid w:val="00E771DC"/>
    <w:rsid w:val="00E8772A"/>
    <w:rsid w:val="00E90F6B"/>
    <w:rsid w:val="00E92C27"/>
    <w:rsid w:val="00EA0E3D"/>
    <w:rsid w:val="00EC38A7"/>
    <w:rsid w:val="00EE1AA8"/>
    <w:rsid w:val="00F17589"/>
    <w:rsid w:val="00F31EDC"/>
    <w:rsid w:val="00F462B3"/>
    <w:rsid w:val="00F5664F"/>
    <w:rsid w:val="00F666C4"/>
    <w:rsid w:val="00F76AFC"/>
    <w:rsid w:val="00FA47C0"/>
    <w:rsid w:val="00FB5DD1"/>
    <w:rsid w:val="00FC2B5D"/>
    <w:rsid w:val="00FF1449"/>
    <w:rsid w:val="0475A5E5"/>
    <w:rsid w:val="0A3B37AC"/>
    <w:rsid w:val="0ACF1571"/>
    <w:rsid w:val="1B97E7AC"/>
    <w:rsid w:val="1C3313B1"/>
    <w:rsid w:val="1CA3D488"/>
    <w:rsid w:val="2F9ED65D"/>
    <w:rsid w:val="391A3031"/>
    <w:rsid w:val="48DB4B22"/>
    <w:rsid w:val="4EE30AC0"/>
    <w:rsid w:val="5E8D0B7F"/>
    <w:rsid w:val="5F623F5C"/>
    <w:rsid w:val="5F8A4AF2"/>
    <w:rsid w:val="6C4CAEF4"/>
    <w:rsid w:val="703E0DF6"/>
    <w:rsid w:val="738012C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59"/>
    <w:rsid w:val="0053114C"/>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53114C"/>
    <w:pPr>
      <w:spacing w:line="240" w:lineRule="exact"/>
    </w:pPr>
    <w:rPr>
      <w:vertAlign w:val="superscript"/>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C38D4"/>
    <w:rPr>
      <w:rFonts w:ascii="Geomanist Light" w:hAnsi="Geomanist Light"/>
      <w:lang w:val="es-ES"/>
    </w:rPr>
  </w:style>
  <w:style w:type="character" w:customStyle="1" w:styleId="NormalWebCar">
    <w:name w:val="Normal (Web) Car"/>
    <w:link w:val="NormalWeb"/>
    <w:uiPriority w:val="99"/>
    <w:rsid w:val="00DC38D4"/>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purl.org/dc/elements/1.1/"/>
    <ds:schemaRef ds:uri="http://schemas.microsoft.com/office/2006/metadata/properties"/>
    <ds:schemaRef ds:uri="http://schemas.microsoft.com/office/infopath/2007/PartnerControls"/>
    <ds:schemaRef ds:uri="http://schemas.microsoft.com/office/2006/documentManagement/types"/>
    <ds:schemaRef ds:uri="http://purl.org/dc/terms/"/>
    <ds:schemaRef ds:uri="http://purl.org/dc/dcmitype/"/>
    <ds:schemaRef ds:uri="9d85dbaf-23eb-4e57-a637-93dcacc8b1a1"/>
    <ds:schemaRef ds:uri="http://schemas.openxmlformats.org/package/2006/metadata/core-properties"/>
    <ds:schemaRef ds:uri="a6cb9e4b-f1d1-4245-83ec-6cad768d538a"/>
    <ds:schemaRef ds:uri="http://www.w3.org/XML/1998/namespace"/>
  </ds:schemaRefs>
</ds:datastoreItem>
</file>

<file path=customXml/itemProps2.xml><?xml version="1.0" encoding="utf-8"?>
<ds:datastoreItem xmlns:ds="http://schemas.openxmlformats.org/officeDocument/2006/customXml" ds:itemID="{AA9DF5BD-3075-46DB-8CDD-83E46CD9F4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2828</Words>
  <Characters>15106</Characters>
  <Application>Microsoft Office Word</Application>
  <DocSecurity>0</DocSecurity>
  <Lines>335</Lines>
  <Paragraphs>73</Paragraphs>
  <ScaleCrop>false</ScaleCrop>
  <Company/>
  <LinksUpToDate>false</LinksUpToDate>
  <CharactersWithSpaces>17861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2025-09-25T19:02:00Z</dcterms:created>
  <dcterms:modified xsi:type="dcterms:W3CDTF">2025-09-25T19:02:00Z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