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AA108B" w14:textId="77777777" w:rsidR="00BF7BE7" w:rsidRPr="00D20014" w:rsidRDefault="00BF7BE7" w:rsidP="00BF7BE7">
      <w:pPr>
        <w:spacing w:after="0" w:line="240" w:lineRule="auto"/>
        <w:jc w:val="both"/>
        <w:rPr>
          <w:rFonts w:ascii="Verdana" w:eastAsia="Times New Roman" w:hAnsi="Verdana" w:cs="Arial"/>
          <w:b/>
          <w:bCs/>
          <w:lang w:eastAsia="es-ES_tradnl"/>
        </w:rPr>
      </w:pPr>
      <w:bookmarkStart w:id="0" w:name="_Hlk143780582"/>
      <w:r w:rsidRPr="00D20014">
        <w:rPr>
          <w:rFonts w:ascii="Verdana" w:eastAsia="Times New Roman" w:hAnsi="Verdana" w:cs="Arial"/>
          <w:b/>
          <w:bCs/>
          <w:lang w:eastAsia="es-ES_tradnl"/>
        </w:rPr>
        <w:t xml:space="preserve">DOCUMENTOS TIPO – Fundamento normativo – Obligatoriedad – Ámbito de aplicación – Entidades sometidas  </w:t>
      </w:r>
    </w:p>
    <w:p w14:paraId="1F497785" w14:textId="77777777" w:rsidR="00BF7BE7" w:rsidRPr="00D20014" w:rsidRDefault="00BF7BE7" w:rsidP="00BF7BE7">
      <w:pPr>
        <w:spacing w:after="0" w:line="240" w:lineRule="auto"/>
        <w:jc w:val="both"/>
        <w:rPr>
          <w:rFonts w:ascii="Verdana" w:eastAsia="Times New Roman" w:hAnsi="Verdana" w:cs="Arial"/>
          <w:b/>
          <w:bCs/>
          <w:sz w:val="20"/>
          <w:szCs w:val="20"/>
          <w:lang w:eastAsia="es-ES_tradnl"/>
        </w:rPr>
      </w:pPr>
    </w:p>
    <w:p w14:paraId="607AE6AE" w14:textId="77777777" w:rsidR="00BF7BE7" w:rsidRPr="00D20014" w:rsidRDefault="00BF7BE7" w:rsidP="00BF7BE7">
      <w:pPr>
        <w:spacing w:after="0" w:line="240" w:lineRule="auto"/>
        <w:jc w:val="both"/>
        <w:rPr>
          <w:rFonts w:ascii="Verdana" w:eastAsia="Calibri" w:hAnsi="Verdana" w:cs="Arial"/>
          <w:sz w:val="20"/>
          <w:szCs w:val="20"/>
          <w:lang w:val="es-ES_tradnl" w:eastAsia="es-ES"/>
        </w:rPr>
      </w:pPr>
      <w:r w:rsidRPr="00D20014">
        <w:rPr>
          <w:rFonts w:ascii="Verdana" w:eastAsia="Calibri" w:hAnsi="Verdana" w:cs="Arial"/>
          <w:sz w:val="20"/>
          <w:szCs w:val="20"/>
          <w:lang w:val="es-ES_tradnl" w:eastAsia="es-ES"/>
        </w:rPr>
        <w:t xml:space="preserve">[…] la Ley 2022 de 2020 […] modificó el contenido del parágrafo 7 del artículo 2 de la Ley 1150 de 2007, que había sido adicionado por la Ley 1882 de 2018. Con esta modificación, si bien se mantuvo el mandato de aplicación obligatoria de los Documentos Tipo por parte de las entidades sometidas al </w:t>
      </w:r>
      <w:r w:rsidRPr="00D20014">
        <w:rPr>
          <w:rFonts w:ascii="Verdana" w:eastAsia="Calibri" w:hAnsi="Verdana" w:cs="Arial"/>
          <w:bCs/>
          <w:sz w:val="20"/>
          <w:szCs w:val="20"/>
          <w:lang w:val="es-ES_tradnl" w:eastAsia="es-ES_tradnl"/>
        </w:rPr>
        <w:t>EGCAP</w:t>
      </w:r>
      <w:r w:rsidRPr="00D20014">
        <w:rPr>
          <w:rFonts w:ascii="Verdana" w:eastAsia="Calibri" w:hAnsi="Verdana" w:cs="Arial"/>
          <w:sz w:val="20"/>
          <w:szCs w:val="20"/>
          <w:lang w:val="es-ES_tradnl" w:eastAsia="es-ES"/>
        </w:rPr>
        <w:t xml:space="preserve">, se atribuyó a la </w:t>
      </w:r>
      <w:r w:rsidRPr="00D20014">
        <w:rPr>
          <w:rFonts w:ascii="Verdana" w:eastAsia="Calibri" w:hAnsi="Verdana" w:cs="Arial"/>
          <w:sz w:val="20"/>
          <w:szCs w:val="20"/>
          <w:lang w:val="es-ES_tradnl" w:eastAsia="es-ES_tradnl"/>
        </w:rPr>
        <w:t xml:space="preserve">Agencia Nacional de Contratación Pública – Colombia Compra Eficiente la competencia para su expedición. </w:t>
      </w:r>
    </w:p>
    <w:p w14:paraId="65F09858" w14:textId="77777777" w:rsidR="00BF7BE7" w:rsidRPr="00D20014" w:rsidRDefault="00BF7BE7" w:rsidP="00BF7BE7">
      <w:pPr>
        <w:spacing w:after="0" w:line="240" w:lineRule="auto"/>
        <w:jc w:val="both"/>
        <w:rPr>
          <w:rFonts w:ascii="Verdana" w:eastAsia="Calibri" w:hAnsi="Verdana" w:cs="Arial"/>
          <w:sz w:val="20"/>
          <w:szCs w:val="20"/>
          <w:lang w:val="es-ES_tradnl" w:eastAsia="es-ES"/>
        </w:rPr>
      </w:pPr>
    </w:p>
    <w:p w14:paraId="5A1160D4" w14:textId="77777777" w:rsidR="00BF7BE7" w:rsidRPr="00D20014" w:rsidRDefault="00BF7BE7" w:rsidP="00BF7BE7">
      <w:pPr>
        <w:spacing w:after="0" w:line="240" w:lineRule="auto"/>
        <w:jc w:val="both"/>
        <w:rPr>
          <w:rFonts w:ascii="Verdana" w:eastAsia="Calibri" w:hAnsi="Verdana" w:cs="Arial"/>
          <w:sz w:val="20"/>
          <w:szCs w:val="20"/>
        </w:rPr>
      </w:pPr>
      <w:r w:rsidRPr="00D20014">
        <w:rPr>
          <w:rFonts w:ascii="Verdana" w:eastAsia="Calibri" w:hAnsi="Verdana" w:cs="Arial"/>
          <w:sz w:val="20"/>
          <w:szCs w:val="20"/>
          <w:lang w:eastAsia="es-ES_tradnl"/>
        </w:rPr>
        <w:t xml:space="preserve">De acuerdo con lo expuesto, </w:t>
      </w:r>
      <w:r w:rsidRPr="00D20014">
        <w:rPr>
          <w:rFonts w:ascii="Verdana" w:eastAsia="Calibri" w:hAnsi="Verdana" w:cs="Arial"/>
          <w:sz w:val="20"/>
          <w:szCs w:val="20"/>
          <w:bdr w:val="none" w:sz="0" w:space="0" w:color="auto" w:frame="1"/>
          <w:lang w:eastAsia="es-ES_tradnl"/>
        </w:rPr>
        <w:t xml:space="preserve">los Documentos Tipo adoptados son obligatorios para las Entidades Estatales regidas por el </w:t>
      </w:r>
      <w:r w:rsidRPr="00D20014">
        <w:rPr>
          <w:rFonts w:ascii="Verdana" w:eastAsia="Calibri" w:hAnsi="Verdana" w:cs="Arial"/>
          <w:bCs/>
          <w:sz w:val="20"/>
          <w:szCs w:val="20"/>
          <w:lang w:val="es-ES_tradnl" w:eastAsia="es-ES_tradnl"/>
        </w:rPr>
        <w:t>EGCAP</w:t>
      </w:r>
      <w:r w:rsidRPr="00D20014">
        <w:rPr>
          <w:rFonts w:ascii="Verdana" w:eastAsia="Calibri" w:hAnsi="Verdana" w:cs="Arial"/>
          <w:sz w:val="20"/>
          <w:szCs w:val="20"/>
          <w:bdr w:val="none" w:sz="0" w:space="0" w:color="auto" w:frame="1"/>
          <w:lang w:eastAsia="es-ES_tradnl"/>
        </w:rPr>
        <w:t xml:space="preserve"> que adelanten Procesos de Contratación mediante las modalidades de selección y objetos contractuales cobijados por alguno de los Documentos Tipo vigentes en los diferentes sectores. </w:t>
      </w:r>
      <w:r w:rsidRPr="00D20014">
        <w:rPr>
          <w:rFonts w:ascii="Verdana" w:eastAsia="Calibri" w:hAnsi="Verdana" w:cs="Arial"/>
          <w:sz w:val="20"/>
          <w:szCs w:val="20"/>
        </w:rPr>
        <w:t>Esta obligatoriedad implica, a su vez, que las Entidades Estatales tengan que adelantar los Procesos de Contratación bajo las condiciones establecidas en los Documentos Tipo que rijan para el objeto a contratar y el procedimiento de selección aplicables, sin que puedan variarse los requisitos fijados en ellos.</w:t>
      </w:r>
    </w:p>
    <w:p w14:paraId="67BC7E54" w14:textId="77777777" w:rsidR="00BF7BE7" w:rsidRPr="00D20014" w:rsidRDefault="00BF7BE7" w:rsidP="00BF7BE7">
      <w:pPr>
        <w:spacing w:after="0" w:line="240" w:lineRule="auto"/>
        <w:jc w:val="both"/>
        <w:rPr>
          <w:rFonts w:ascii="Verdana" w:eastAsia="Times New Roman" w:hAnsi="Verdana" w:cs="Arial"/>
          <w:b/>
          <w:bCs/>
          <w:lang w:eastAsia="es-ES_tradnl"/>
        </w:rPr>
      </w:pPr>
    </w:p>
    <w:p w14:paraId="45474A23" w14:textId="77777777" w:rsidR="00BF7BE7" w:rsidRPr="00D20014" w:rsidRDefault="00BF7BE7" w:rsidP="00BF7BE7">
      <w:pPr>
        <w:spacing w:after="0" w:line="240" w:lineRule="auto"/>
        <w:jc w:val="both"/>
        <w:rPr>
          <w:rFonts w:ascii="Verdana" w:eastAsia="Calibri" w:hAnsi="Verdana" w:cs="Arial"/>
          <w:b/>
          <w:color w:val="000000"/>
          <w:szCs w:val="24"/>
          <w:lang w:val="es-ES_tradnl" w:eastAsia="es-ES_tradnl"/>
        </w:rPr>
      </w:pPr>
      <w:r w:rsidRPr="00D20014">
        <w:rPr>
          <w:rFonts w:ascii="Verdana" w:eastAsia="Calibri" w:hAnsi="Verdana" w:cs="Arial"/>
          <w:b/>
          <w:color w:val="000000"/>
          <w:szCs w:val="24"/>
          <w:lang w:val="es-ES_tradnl" w:eastAsia="es-ES_tradnl"/>
        </w:rPr>
        <w:t>LEY 2195 DE 2022 – Artículo 56 – Personas jurídicas de derecho privado – Documentos tipo – Estatuto General de Contratación de la Administración Pública</w:t>
      </w:r>
    </w:p>
    <w:p w14:paraId="5AF3F096" w14:textId="77777777" w:rsidR="00BF7BE7" w:rsidRPr="00D20014" w:rsidRDefault="00BF7BE7" w:rsidP="00BF7BE7">
      <w:pPr>
        <w:spacing w:after="0" w:line="240" w:lineRule="auto"/>
        <w:jc w:val="both"/>
        <w:rPr>
          <w:rFonts w:ascii="Verdana" w:eastAsia="Calibri" w:hAnsi="Verdana" w:cs="Arial"/>
          <w:b/>
          <w:color w:val="000000"/>
          <w:szCs w:val="24"/>
          <w:lang w:val="es-ES_tradnl" w:eastAsia="es-ES_tradnl"/>
        </w:rPr>
      </w:pPr>
    </w:p>
    <w:p w14:paraId="5B619C75" w14:textId="77777777" w:rsidR="00BF7BE7" w:rsidRPr="00CE1CFD" w:rsidRDefault="00BF7BE7" w:rsidP="00BF7BE7">
      <w:pPr>
        <w:spacing w:after="0" w:line="240" w:lineRule="auto"/>
        <w:jc w:val="both"/>
        <w:rPr>
          <w:rFonts w:ascii="Verdana" w:eastAsia="Times New Roman" w:hAnsi="Verdana" w:cs="Arial"/>
          <w:noProof/>
          <w:color w:val="000000"/>
          <w:sz w:val="20"/>
          <w:szCs w:val="20"/>
          <w:lang w:val="es-ES_tradnl" w:eastAsia="es-ES_tradnl"/>
        </w:rPr>
      </w:pPr>
      <w:r w:rsidRPr="00CE1CFD">
        <w:rPr>
          <w:rFonts w:ascii="Verdana" w:eastAsia="Calibri" w:hAnsi="Verdana" w:cs="Arial"/>
          <w:sz w:val="20"/>
          <w:szCs w:val="20"/>
          <w:lang w:val="es-ES_tradnl" w:eastAsia="es-ES"/>
        </w:rPr>
        <w:t xml:space="preserve">[…] </w:t>
      </w:r>
      <w:r w:rsidRPr="00CE1CFD">
        <w:rPr>
          <w:rFonts w:ascii="Verdana" w:eastAsia="Times New Roman" w:hAnsi="Verdana" w:cs="Arial"/>
          <w:noProof/>
          <w:color w:val="000000"/>
          <w:sz w:val="20"/>
          <w:szCs w:val="20"/>
          <w:lang w:val="es-ES_tradnl" w:eastAsia="es-ES_tradnl"/>
        </w:rPr>
        <w:t>el primer inciso del artículo 56 de la Ley 2195 de 2022 surge como una disposición complementaria de la Ley 2022 de 2020, en la medida en que, según se desprende de su texto, de una parte, la norma busca extender la aplicación obligatoria de los documentos tipo a la celebración de contratos o convenios interadministrativos entre entidades regidas por EGCAP y otros sujetos cuyo régimen de contratación prevalente es el derecho privado. Esto de tal forma que cuando una entidad estatal regida por el EGCAP celebre contratos o convenios con otra i) entidad estatal de régimen especial o con ii) patrimonios autónomos o iii) con personas naturales o jurídicas de derecho privado, tenga que hacerlo aplicando documentos tipo. Los efectos del primer inciso del artículo 56 se proyectarían entonces a los contratos o convenios interadministrativos o de cualquier otra índole, que se deban celebrar con estos sujetos, cuyos objetos comprendan la adquisición de bienes, obras o servicios, que, al tenor de lo dispuesto en el apartado normativo bajo examen, deberán celebrarse mediante documentos tipo.</w:t>
      </w:r>
    </w:p>
    <w:p w14:paraId="4ABC18E8" w14:textId="77777777" w:rsidR="00BF7BE7" w:rsidRPr="00D20014" w:rsidRDefault="00BF7BE7" w:rsidP="00BF7BE7">
      <w:pPr>
        <w:spacing w:after="0" w:line="276" w:lineRule="auto"/>
        <w:jc w:val="both"/>
        <w:rPr>
          <w:rFonts w:ascii="Verdana" w:eastAsia="Times New Roman" w:hAnsi="Verdana" w:cs="Arial"/>
          <w:noProof/>
          <w:color w:val="000000"/>
          <w:szCs w:val="24"/>
          <w:lang w:val="es-ES_tradnl" w:eastAsia="es-ES_tradnl"/>
        </w:rPr>
      </w:pPr>
    </w:p>
    <w:p w14:paraId="2D146568" w14:textId="77777777" w:rsidR="00BF7BE7" w:rsidRPr="00D20014" w:rsidRDefault="00BF7BE7" w:rsidP="00BF7BE7">
      <w:pPr>
        <w:tabs>
          <w:tab w:val="left" w:pos="0"/>
        </w:tabs>
        <w:spacing w:after="0" w:line="276" w:lineRule="auto"/>
        <w:jc w:val="both"/>
        <w:rPr>
          <w:rFonts w:ascii="Verdana" w:eastAsia="Calibri" w:hAnsi="Verdana" w:cs="Arial"/>
          <w:b/>
          <w:color w:val="000000"/>
          <w:szCs w:val="24"/>
          <w:lang w:val="es-ES_tradnl" w:eastAsia="es-ES_tradnl"/>
        </w:rPr>
      </w:pPr>
      <w:r w:rsidRPr="00D20014">
        <w:rPr>
          <w:rFonts w:ascii="Verdana" w:eastAsia="Calibri" w:hAnsi="Verdana" w:cs="Arial"/>
          <w:b/>
          <w:color w:val="000000"/>
          <w:szCs w:val="24"/>
          <w:lang w:val="es-ES_tradnl" w:eastAsia="es-ES_tradnl"/>
        </w:rPr>
        <w:t xml:space="preserve">LEY 2195 DE 2022 – Artículo 56 – Parágrafo – </w:t>
      </w:r>
      <w:r>
        <w:rPr>
          <w:rFonts w:ascii="Verdana" w:eastAsia="Calibri" w:hAnsi="Verdana" w:cs="Arial"/>
          <w:b/>
          <w:color w:val="000000"/>
          <w:szCs w:val="24"/>
          <w:lang w:val="es-ES_tradnl" w:eastAsia="es-ES_tradnl"/>
        </w:rPr>
        <w:t>Alcance</w:t>
      </w:r>
      <w:r w:rsidRPr="00D20014">
        <w:rPr>
          <w:rFonts w:ascii="Verdana" w:eastAsia="Calibri" w:hAnsi="Verdana" w:cs="Arial"/>
          <w:b/>
          <w:color w:val="000000"/>
          <w:szCs w:val="24"/>
          <w:lang w:val="es-ES_tradnl" w:eastAsia="es-ES_tradnl"/>
        </w:rPr>
        <w:t xml:space="preserve"> </w:t>
      </w:r>
    </w:p>
    <w:p w14:paraId="02831A8E" w14:textId="77777777" w:rsidR="00BF7BE7" w:rsidRDefault="00BF7BE7" w:rsidP="00BF7BE7">
      <w:pPr>
        <w:tabs>
          <w:tab w:val="left" w:pos="0"/>
        </w:tabs>
        <w:spacing w:after="0" w:line="240" w:lineRule="auto"/>
        <w:jc w:val="both"/>
        <w:rPr>
          <w:rFonts w:ascii="Arial" w:eastAsia="Times New Roman" w:hAnsi="Arial" w:cs="Arial"/>
          <w:noProof/>
          <w:color w:val="000000"/>
          <w:szCs w:val="24"/>
          <w:lang w:val="es-ES_tradnl" w:eastAsia="es-ES_tradnl"/>
        </w:rPr>
      </w:pPr>
    </w:p>
    <w:p w14:paraId="7A9E6FE8" w14:textId="77777777" w:rsidR="00BF7BE7" w:rsidRPr="00CE1CFD" w:rsidRDefault="00BF7BE7" w:rsidP="00BF7BE7">
      <w:pPr>
        <w:tabs>
          <w:tab w:val="left" w:pos="0"/>
        </w:tabs>
        <w:spacing w:after="0" w:line="240" w:lineRule="auto"/>
        <w:jc w:val="both"/>
        <w:rPr>
          <w:rFonts w:ascii="Arial" w:eastAsia="Calibri" w:hAnsi="Arial" w:cs="Arial"/>
          <w:bCs/>
          <w:sz w:val="20"/>
          <w:szCs w:val="20"/>
          <w:lang w:val="es-ES_tradnl"/>
        </w:rPr>
      </w:pPr>
      <w:r w:rsidRPr="00CE1CFD">
        <w:rPr>
          <w:rFonts w:ascii="Verdana" w:hAnsi="Verdana" w:cs="Arial"/>
          <w:color w:val="000000" w:themeColor="text1"/>
          <w:sz w:val="20"/>
          <w:szCs w:val="20"/>
        </w:rPr>
        <w:t xml:space="preserve">En este contexto, </w:t>
      </w:r>
      <w:r w:rsidRPr="00CE1CFD">
        <w:rPr>
          <w:rFonts w:ascii="Verdana" w:eastAsia="Calibri" w:hAnsi="Verdana" w:cs="Arial"/>
          <w:bCs/>
          <w:sz w:val="20"/>
          <w:szCs w:val="20"/>
          <w:lang w:val="es-ES_tradnl" w:eastAsia="es-ES_tradnl"/>
        </w:rPr>
        <w:t>de la lectura conjunta de los incisos primero y segundo</w:t>
      </w:r>
      <w:r w:rsidRPr="00CE1CFD">
        <w:rPr>
          <w:rFonts w:ascii="Verdana" w:eastAsia="Calibri" w:hAnsi="Verdana" w:cs="Arial"/>
          <w:bCs/>
          <w:sz w:val="20"/>
          <w:szCs w:val="20"/>
          <w:lang w:eastAsia="es-ES_tradnl"/>
        </w:rPr>
        <w:t xml:space="preserve"> del artículo 56 de la Ley 2195 de 2022,</w:t>
      </w:r>
      <w:r w:rsidRPr="00CE1CFD">
        <w:rPr>
          <w:rFonts w:ascii="Verdana" w:eastAsia="Calibri" w:hAnsi="Verdana" w:cs="Arial"/>
          <w:bCs/>
          <w:sz w:val="20"/>
          <w:szCs w:val="20"/>
          <w:lang w:val="es-ES_tradnl" w:eastAsia="es-ES_tradnl"/>
        </w:rPr>
        <w:t xml:space="preserve"> se desprende que </w:t>
      </w:r>
      <w:r w:rsidRPr="00CE1CFD">
        <w:rPr>
          <w:rFonts w:ascii="Verdana" w:eastAsia="Calibri" w:hAnsi="Verdana" w:cs="Arial"/>
          <w:bCs/>
          <w:sz w:val="20"/>
          <w:szCs w:val="20"/>
          <w:lang w:eastAsia="es-ES_tradnl"/>
        </w:rPr>
        <w:t>cuando se celebre un contrato o convenio interadministrativo o de cualquier otra índole entre una entidad sometida al EGCAP y los sujetos allí mencionados, del cual se derive la ejecución de objetos contractuales incluidos dentro del ámbito de aplicación de los documentos tipo, su celebración deberá realizarse por parte del ejecutor o de quien tenga a su cargo el deber legal de materializar dicha contratación, haciendo uso obligatorio de dichos documentos</w:t>
      </w:r>
      <w:r w:rsidRPr="00CE1CFD">
        <w:rPr>
          <w:rFonts w:ascii="Arial" w:eastAsia="Calibri" w:hAnsi="Arial" w:cs="Arial"/>
          <w:bCs/>
          <w:sz w:val="20"/>
          <w:szCs w:val="20"/>
          <w:lang w:val="es-ES_tradnl"/>
        </w:rPr>
        <w:t xml:space="preserve"> </w:t>
      </w:r>
      <w:r w:rsidRPr="00CE1CFD">
        <w:rPr>
          <w:rFonts w:ascii="Verdana" w:eastAsia="Calibri" w:hAnsi="Verdana" w:cs="Arial"/>
          <w:bCs/>
          <w:sz w:val="20"/>
          <w:szCs w:val="20"/>
          <w:lang w:val="es-ES_tradnl"/>
        </w:rPr>
        <w:t xml:space="preserve">siempre que exista documento tipo aplicable al objeto contractual que se planea contratar. Esto </w:t>
      </w:r>
      <w:r w:rsidRPr="00CE1CFD">
        <w:rPr>
          <w:rFonts w:ascii="Verdana" w:eastAsia="Calibri" w:hAnsi="Verdana" w:cs="Arial"/>
          <w:bCs/>
          <w:sz w:val="20"/>
          <w:szCs w:val="20"/>
          <w:lang w:val="es-ES_tradnl"/>
        </w:rPr>
        <w:lastRenderedPageBreak/>
        <w:t xml:space="preserve">significa que los contratos no relacionados con los contratos y convenios adquiridos con la entidad sometida al EGCAP no tendrían que aplicar los documentos tipo, salvo que quieran hacerlo como una buena práctica de contratación. </w:t>
      </w:r>
    </w:p>
    <w:p w14:paraId="2B380B93" w14:textId="77777777" w:rsidR="00BF7BE7" w:rsidRDefault="00BF7BE7" w:rsidP="00BF7BE7">
      <w:pPr>
        <w:tabs>
          <w:tab w:val="left" w:pos="0"/>
        </w:tabs>
        <w:spacing w:after="0" w:line="240" w:lineRule="auto"/>
        <w:jc w:val="both"/>
        <w:rPr>
          <w:rFonts w:ascii="Verdana" w:eastAsia="Calibri" w:hAnsi="Verdana" w:cs="Arial"/>
          <w:bCs/>
          <w:sz w:val="20"/>
          <w:szCs w:val="20"/>
          <w:lang w:val="es-ES_tradnl" w:eastAsia="es-ES_tradnl"/>
        </w:rPr>
      </w:pPr>
    </w:p>
    <w:p w14:paraId="2020CD5D" w14:textId="77777777" w:rsidR="00BF7BE7" w:rsidRPr="00CE1CFD" w:rsidRDefault="00BF7BE7" w:rsidP="00BF7BE7">
      <w:pPr>
        <w:tabs>
          <w:tab w:val="left" w:pos="0"/>
        </w:tabs>
        <w:spacing w:after="0" w:line="240" w:lineRule="auto"/>
        <w:jc w:val="both"/>
        <w:rPr>
          <w:rFonts w:ascii="Verdana" w:eastAsia="Calibri" w:hAnsi="Verdana" w:cs="Arial"/>
          <w:bCs/>
          <w:color w:val="000000"/>
          <w:sz w:val="20"/>
          <w:szCs w:val="20"/>
          <w:lang w:val="es-ES_tradnl" w:eastAsia="es-ES_tradnl"/>
        </w:rPr>
      </w:pPr>
      <w:r w:rsidRPr="00CE1CFD">
        <w:rPr>
          <w:rFonts w:ascii="Verdana" w:eastAsia="Calibri" w:hAnsi="Verdana" w:cs="Arial"/>
          <w:bCs/>
          <w:sz w:val="20"/>
          <w:szCs w:val="20"/>
          <w:lang w:val="es-ES_tradnl" w:eastAsia="es-ES_tradnl"/>
        </w:rPr>
        <w:t>Sin perjuicio de lo anterior</w:t>
      </w:r>
      <w:r w:rsidRPr="00CE1CFD">
        <w:rPr>
          <w:rFonts w:ascii="Verdana" w:eastAsia="Times New Roman" w:hAnsi="Verdana" w:cs="Arial"/>
          <w:sz w:val="20"/>
          <w:szCs w:val="20"/>
          <w:lang w:eastAsia="es-ES_tradnl"/>
        </w:rPr>
        <w:t xml:space="preserve">, </w:t>
      </w:r>
      <w:r w:rsidRPr="00CE1CFD">
        <w:rPr>
          <w:rFonts w:ascii="Verdana" w:eastAsia="Calibri" w:hAnsi="Verdana" w:cs="Arial"/>
          <w:bCs/>
          <w:sz w:val="20"/>
          <w:szCs w:val="20"/>
          <w:lang w:val="es-ES_tradnl" w:eastAsia="es-ES_tradnl"/>
        </w:rPr>
        <w:t xml:space="preserve">es necesario precisar el alcance del parágrafo del artículo 56 de la Ley 2195 de 2022 y lo dispuesto en los dos primeros incisos del mencionado artículo, del cual se excluye, a cierto tipo de entidades, en lo relacionado con la contratación de su </w:t>
      </w:r>
      <w:r w:rsidRPr="00CE1CFD">
        <w:rPr>
          <w:rFonts w:ascii="Verdana" w:eastAsia="Calibri" w:hAnsi="Verdana" w:cs="Arial"/>
          <w:bCs/>
          <w:i/>
          <w:iCs/>
          <w:sz w:val="20"/>
          <w:szCs w:val="20"/>
          <w:lang w:val="es-ES_tradnl" w:eastAsia="es-ES_tradnl"/>
        </w:rPr>
        <w:t>giro ordinario</w:t>
      </w:r>
      <w:r w:rsidRPr="00CE1CFD">
        <w:rPr>
          <w:rFonts w:ascii="Verdana" w:eastAsia="Calibri" w:hAnsi="Verdana" w:cs="Arial"/>
          <w:bCs/>
          <w:sz w:val="20"/>
          <w:szCs w:val="20"/>
          <w:lang w:val="es-ES_tradnl" w:eastAsia="es-ES_tradnl"/>
        </w:rPr>
        <w:t xml:space="preserve">. Conforme se desprende del texto del referido parágrafo, se exceptúa de lo señalado en los dos primeros incisos a: i) las instituciones de educación superior públicas, </w:t>
      </w:r>
      <w:proofErr w:type="spellStart"/>
      <w:r w:rsidRPr="00CE1CFD">
        <w:rPr>
          <w:rFonts w:ascii="Verdana" w:eastAsia="Calibri" w:hAnsi="Verdana" w:cs="Arial"/>
          <w:bCs/>
          <w:sz w:val="20"/>
          <w:szCs w:val="20"/>
          <w:lang w:val="es-ES_tradnl" w:eastAsia="es-ES_tradnl"/>
        </w:rPr>
        <w:t>ii</w:t>
      </w:r>
      <w:proofErr w:type="spellEnd"/>
      <w:r w:rsidRPr="00CE1CFD">
        <w:rPr>
          <w:rFonts w:ascii="Verdana" w:eastAsia="Calibri" w:hAnsi="Verdana" w:cs="Arial"/>
          <w:bCs/>
          <w:sz w:val="20"/>
          <w:szCs w:val="20"/>
          <w:lang w:val="es-ES_tradnl" w:eastAsia="es-ES_tradnl"/>
        </w:rPr>
        <w:t xml:space="preserve">) las </w:t>
      </w:r>
      <w:r w:rsidRPr="00CE1CFD">
        <w:rPr>
          <w:rFonts w:ascii="Verdana" w:eastAsia="Calibri" w:hAnsi="Verdana" w:cs="Arial"/>
          <w:bCs/>
          <w:i/>
          <w:iCs/>
          <w:sz w:val="20"/>
          <w:szCs w:val="20"/>
          <w:lang w:val="es-ES_tradnl" w:eastAsia="es-ES_tradnl"/>
        </w:rPr>
        <w:t>empresas sociales del Estado</w:t>
      </w:r>
      <w:r w:rsidRPr="00CE1CFD">
        <w:rPr>
          <w:rFonts w:ascii="Verdana" w:eastAsia="Calibri" w:hAnsi="Verdana" w:cs="Arial"/>
          <w:bCs/>
          <w:sz w:val="20"/>
          <w:szCs w:val="20"/>
          <w:lang w:val="es-ES_tradnl" w:eastAsia="es-ES_tradnl"/>
        </w:rPr>
        <w:t xml:space="preserve">, </w:t>
      </w:r>
      <w:proofErr w:type="spellStart"/>
      <w:r w:rsidRPr="00CE1CFD">
        <w:rPr>
          <w:rFonts w:ascii="Verdana" w:eastAsia="Calibri" w:hAnsi="Verdana" w:cs="Arial"/>
          <w:bCs/>
          <w:sz w:val="20"/>
          <w:szCs w:val="20"/>
          <w:lang w:val="es-ES_tradnl" w:eastAsia="es-ES_tradnl"/>
        </w:rPr>
        <w:t>iii</w:t>
      </w:r>
      <w:proofErr w:type="spellEnd"/>
      <w:r w:rsidRPr="00CE1CFD">
        <w:rPr>
          <w:rFonts w:ascii="Verdana" w:eastAsia="Calibri" w:hAnsi="Verdana" w:cs="Arial"/>
          <w:bCs/>
          <w:sz w:val="20"/>
          <w:szCs w:val="20"/>
          <w:lang w:val="es-ES_tradnl" w:eastAsia="es-ES_tradnl"/>
        </w:rPr>
        <w:t xml:space="preserve">) las sociedades de economía mixta y </w:t>
      </w:r>
      <w:proofErr w:type="spellStart"/>
      <w:r w:rsidRPr="00CE1CFD">
        <w:rPr>
          <w:rFonts w:ascii="Verdana" w:eastAsia="Calibri" w:hAnsi="Verdana" w:cs="Arial"/>
          <w:bCs/>
          <w:sz w:val="20"/>
          <w:szCs w:val="20"/>
          <w:lang w:val="es-ES_tradnl" w:eastAsia="es-ES_tradnl"/>
        </w:rPr>
        <w:t>iv</w:t>
      </w:r>
      <w:proofErr w:type="spellEnd"/>
      <w:r w:rsidRPr="00CE1CFD">
        <w:rPr>
          <w:rFonts w:ascii="Verdana" w:eastAsia="Calibri" w:hAnsi="Verdana" w:cs="Arial"/>
          <w:bCs/>
          <w:sz w:val="20"/>
          <w:szCs w:val="20"/>
          <w:lang w:val="es-ES_tradnl" w:eastAsia="es-ES_tradnl"/>
        </w:rPr>
        <w:t xml:space="preserve">) las empresas industriales y comerciales del Estado, únicamente, en la contratación relacionada con el </w:t>
      </w:r>
      <w:r w:rsidRPr="00CE1CFD">
        <w:rPr>
          <w:rFonts w:ascii="Verdana" w:eastAsia="Calibri" w:hAnsi="Verdana" w:cs="Arial"/>
          <w:bCs/>
          <w:i/>
          <w:iCs/>
          <w:sz w:val="20"/>
          <w:szCs w:val="20"/>
          <w:lang w:val="es-ES_tradnl" w:eastAsia="es-ES_tradnl"/>
        </w:rPr>
        <w:t>giro ordinario.</w:t>
      </w:r>
      <w:r w:rsidRPr="00CE1CFD">
        <w:rPr>
          <w:rFonts w:ascii="Verdana" w:eastAsia="Calibri" w:hAnsi="Verdana" w:cs="Arial"/>
          <w:bCs/>
          <w:sz w:val="20"/>
          <w:szCs w:val="20"/>
          <w:lang w:val="es-ES_tradnl" w:eastAsia="es-ES_tradnl"/>
        </w:rPr>
        <w:t xml:space="preserve"> Esto significa que, en la contratación asociada a su </w:t>
      </w:r>
      <w:r w:rsidRPr="00CE1CFD">
        <w:rPr>
          <w:rFonts w:ascii="Verdana" w:eastAsia="Calibri" w:hAnsi="Verdana" w:cs="Arial"/>
          <w:bCs/>
          <w:i/>
          <w:iCs/>
          <w:sz w:val="20"/>
          <w:szCs w:val="20"/>
          <w:lang w:val="es-ES_tradnl" w:eastAsia="es-ES_tradnl"/>
        </w:rPr>
        <w:t xml:space="preserve">giro ordinario, </w:t>
      </w:r>
      <w:r w:rsidRPr="00CE1CFD">
        <w:rPr>
          <w:rFonts w:ascii="Verdana" w:eastAsia="Calibri" w:hAnsi="Verdana" w:cs="Arial"/>
          <w:bCs/>
          <w:sz w:val="20"/>
          <w:szCs w:val="20"/>
          <w:lang w:val="es-ES_tradnl" w:eastAsia="es-ES_tradnl"/>
        </w:rPr>
        <w:t>estos tipos de entidades no tendrían que aplicar, de manera obligatoria, los Documentos Tipo, ni tampoco el EGCAP.</w:t>
      </w:r>
      <w:r w:rsidRPr="00CE1CFD">
        <w:rPr>
          <w:rFonts w:ascii="Verdana" w:eastAsia="Times New Roman" w:hAnsi="Verdana" w:cs="Arial"/>
          <w:sz w:val="20"/>
          <w:szCs w:val="20"/>
          <w:lang w:eastAsia="es-ES_tradnl"/>
        </w:rPr>
        <w:t xml:space="preserve"> </w:t>
      </w:r>
      <w:r w:rsidRPr="00CE1CFD">
        <w:rPr>
          <w:rFonts w:ascii="Verdana" w:eastAsia="Calibri" w:hAnsi="Verdana" w:cs="Arial"/>
          <w:bCs/>
          <w:sz w:val="20"/>
          <w:szCs w:val="20"/>
          <w:lang w:val="es-ES_tradnl" w:eastAsia="es-ES_tradnl"/>
        </w:rPr>
        <w:t>En este caso, la norma se limita a fomentar la implementación de Documentos Tipo a modo de buena práctica contractual, en los casos en los que se estime conveniente.</w:t>
      </w:r>
      <w:r w:rsidRPr="00CE1CFD">
        <w:rPr>
          <w:rFonts w:ascii="Verdana" w:eastAsia="Calibri" w:hAnsi="Verdana" w:cs="Arial"/>
          <w:bCs/>
          <w:color w:val="000000"/>
          <w:sz w:val="20"/>
          <w:szCs w:val="20"/>
          <w:lang w:val="es-ES_tradnl" w:eastAsia="es-ES_tradnl"/>
        </w:rPr>
        <w:t xml:space="preserve"> </w:t>
      </w:r>
    </w:p>
    <w:p w14:paraId="25731CCA" w14:textId="77777777" w:rsidR="00BF7BE7" w:rsidRPr="00D20014" w:rsidRDefault="00BF7BE7" w:rsidP="00BF7BE7">
      <w:pPr>
        <w:spacing w:after="0" w:line="276" w:lineRule="auto"/>
        <w:jc w:val="both"/>
        <w:rPr>
          <w:rFonts w:ascii="Arial" w:eastAsia="Times New Roman" w:hAnsi="Arial" w:cs="Arial"/>
          <w:noProof/>
          <w:color w:val="000000"/>
          <w:szCs w:val="24"/>
          <w:lang w:val="es-ES_tradnl" w:eastAsia="es-ES_tradnl"/>
        </w:rPr>
      </w:pPr>
    </w:p>
    <w:p w14:paraId="4C24271B" w14:textId="77777777" w:rsidR="00BF7BE7" w:rsidRPr="00D20014" w:rsidRDefault="00BF7BE7" w:rsidP="00BF7BE7">
      <w:pPr>
        <w:spacing w:after="0" w:line="276" w:lineRule="auto"/>
        <w:jc w:val="both"/>
        <w:rPr>
          <w:rFonts w:ascii="Arial" w:eastAsia="Times New Roman" w:hAnsi="Arial" w:cs="Arial"/>
          <w:noProof/>
          <w:color w:val="000000"/>
          <w:szCs w:val="24"/>
          <w:lang w:val="es-ES_tradnl" w:eastAsia="es-ES_tradnl"/>
        </w:rPr>
      </w:pPr>
    </w:p>
    <w:p w14:paraId="21FD19B7" w14:textId="77777777" w:rsidR="00BF7BE7" w:rsidRPr="00D20014" w:rsidRDefault="00BF7BE7" w:rsidP="00BF7BE7">
      <w:pPr>
        <w:spacing w:after="0" w:line="276" w:lineRule="auto"/>
        <w:jc w:val="both"/>
        <w:rPr>
          <w:rFonts w:ascii="Arial" w:eastAsia="Times New Roman" w:hAnsi="Arial" w:cs="Arial"/>
          <w:noProof/>
          <w:color w:val="000000"/>
          <w:szCs w:val="24"/>
          <w:lang w:val="es-ES_tradnl" w:eastAsia="es-ES_tradnl"/>
        </w:rPr>
      </w:pPr>
    </w:p>
    <w:p w14:paraId="05D05255" w14:textId="77777777" w:rsidR="00BF7BE7" w:rsidRPr="00D20014" w:rsidRDefault="00BF7BE7" w:rsidP="00BF7BE7">
      <w:pPr>
        <w:spacing w:after="0" w:line="276" w:lineRule="auto"/>
        <w:jc w:val="both"/>
        <w:rPr>
          <w:rFonts w:ascii="Arial" w:eastAsia="Times New Roman" w:hAnsi="Arial" w:cs="Arial"/>
          <w:noProof/>
          <w:color w:val="000000"/>
          <w:szCs w:val="24"/>
          <w:lang w:val="es-ES_tradnl" w:eastAsia="es-ES_tradnl"/>
        </w:rPr>
      </w:pPr>
    </w:p>
    <w:p w14:paraId="23F339FB" w14:textId="77777777" w:rsidR="00BF7BE7" w:rsidRPr="00D20014" w:rsidRDefault="00BF7BE7" w:rsidP="00BF7BE7">
      <w:pPr>
        <w:spacing w:after="0" w:line="276" w:lineRule="auto"/>
        <w:jc w:val="both"/>
        <w:rPr>
          <w:rFonts w:ascii="Arial" w:eastAsia="Times New Roman" w:hAnsi="Arial" w:cs="Arial"/>
          <w:noProof/>
          <w:color w:val="000000"/>
          <w:szCs w:val="24"/>
          <w:lang w:val="es-ES_tradnl" w:eastAsia="es-ES_tradnl"/>
        </w:rPr>
      </w:pPr>
    </w:p>
    <w:p w14:paraId="45042761" w14:textId="77777777" w:rsidR="00BF7BE7" w:rsidRDefault="00BF7BE7" w:rsidP="00BF7BE7">
      <w:pPr>
        <w:spacing w:after="0" w:line="276" w:lineRule="auto"/>
        <w:jc w:val="both"/>
        <w:rPr>
          <w:rFonts w:ascii="Arial" w:eastAsia="Times New Roman" w:hAnsi="Arial" w:cs="Arial"/>
          <w:noProof/>
          <w:color w:val="000000"/>
          <w:szCs w:val="24"/>
          <w:lang w:val="es-ES_tradnl" w:eastAsia="es-ES_tradnl"/>
        </w:rPr>
      </w:pPr>
    </w:p>
    <w:p w14:paraId="4B677BDF" w14:textId="77777777" w:rsidR="00BF7BE7" w:rsidRDefault="00BF7BE7" w:rsidP="00BF7BE7">
      <w:pPr>
        <w:spacing w:after="0" w:line="276" w:lineRule="auto"/>
        <w:jc w:val="both"/>
        <w:rPr>
          <w:rFonts w:ascii="Arial" w:eastAsia="Times New Roman" w:hAnsi="Arial" w:cs="Arial"/>
          <w:noProof/>
          <w:color w:val="000000"/>
          <w:szCs w:val="24"/>
          <w:lang w:val="es-ES_tradnl" w:eastAsia="es-ES_tradnl"/>
        </w:rPr>
      </w:pPr>
    </w:p>
    <w:p w14:paraId="5C07E65D" w14:textId="77777777" w:rsidR="00BF7BE7" w:rsidRDefault="00BF7BE7" w:rsidP="00BF7BE7">
      <w:pPr>
        <w:spacing w:after="0" w:line="240" w:lineRule="auto"/>
        <w:rPr>
          <w:rFonts w:ascii="Verdana" w:eastAsia="Geomanist Light" w:hAnsi="Verdana" w:cs="Arial"/>
          <w:color w:val="000000" w:themeColor="text1"/>
        </w:rPr>
      </w:pPr>
    </w:p>
    <w:p w14:paraId="361D5B26" w14:textId="77777777" w:rsidR="00BF7BE7" w:rsidRDefault="00BF7BE7" w:rsidP="00BF7BE7">
      <w:pPr>
        <w:spacing w:after="0" w:line="240" w:lineRule="auto"/>
        <w:rPr>
          <w:rFonts w:ascii="Verdana" w:eastAsia="Geomanist Light" w:hAnsi="Verdana" w:cs="Arial"/>
          <w:color w:val="000000" w:themeColor="text1"/>
        </w:rPr>
      </w:pPr>
    </w:p>
    <w:p w14:paraId="52D569BE" w14:textId="77777777" w:rsidR="00D764F5" w:rsidRDefault="00D764F5" w:rsidP="009B7B73">
      <w:pPr>
        <w:spacing w:after="0" w:line="240" w:lineRule="auto"/>
        <w:rPr>
          <w:rFonts w:ascii="Verdana" w:eastAsia="Geomanist Light" w:hAnsi="Verdana" w:cs="Arial"/>
          <w:color w:val="000000" w:themeColor="text1"/>
        </w:rPr>
      </w:pPr>
    </w:p>
    <w:p w14:paraId="0D76682C" w14:textId="77777777" w:rsidR="00D764F5" w:rsidRDefault="00D764F5" w:rsidP="009B7B73">
      <w:pPr>
        <w:spacing w:after="0" w:line="240" w:lineRule="auto"/>
        <w:rPr>
          <w:rFonts w:ascii="Verdana" w:eastAsia="Geomanist Light" w:hAnsi="Verdana" w:cs="Arial"/>
          <w:color w:val="000000" w:themeColor="text1"/>
        </w:rPr>
      </w:pPr>
    </w:p>
    <w:p w14:paraId="63898175" w14:textId="77777777" w:rsidR="00D764F5" w:rsidRDefault="00D764F5" w:rsidP="009B7B73">
      <w:pPr>
        <w:spacing w:after="0" w:line="240" w:lineRule="auto"/>
        <w:rPr>
          <w:rFonts w:ascii="Verdana" w:eastAsia="Geomanist Light" w:hAnsi="Verdana" w:cs="Arial"/>
          <w:color w:val="000000" w:themeColor="text1"/>
        </w:rPr>
      </w:pPr>
    </w:p>
    <w:p w14:paraId="6749866F" w14:textId="77777777" w:rsidR="00D764F5" w:rsidRDefault="00D764F5" w:rsidP="009B7B73">
      <w:pPr>
        <w:spacing w:after="0" w:line="240" w:lineRule="auto"/>
        <w:rPr>
          <w:rFonts w:ascii="Verdana" w:eastAsia="Geomanist Light" w:hAnsi="Verdana" w:cs="Arial"/>
          <w:color w:val="000000" w:themeColor="text1"/>
        </w:rPr>
      </w:pPr>
    </w:p>
    <w:p w14:paraId="31ADE9DA" w14:textId="77777777" w:rsidR="00D764F5" w:rsidRDefault="00D764F5" w:rsidP="009B7B73">
      <w:pPr>
        <w:spacing w:after="0" w:line="240" w:lineRule="auto"/>
        <w:rPr>
          <w:rFonts w:ascii="Verdana" w:eastAsia="Geomanist Light" w:hAnsi="Verdana" w:cs="Arial"/>
          <w:color w:val="000000" w:themeColor="text1"/>
        </w:rPr>
      </w:pPr>
    </w:p>
    <w:p w14:paraId="76E6EF78" w14:textId="77777777" w:rsidR="00D764F5" w:rsidRDefault="00D764F5" w:rsidP="009B7B73">
      <w:pPr>
        <w:spacing w:after="0" w:line="240" w:lineRule="auto"/>
        <w:rPr>
          <w:rFonts w:ascii="Verdana" w:eastAsia="Geomanist Light" w:hAnsi="Verdana" w:cs="Arial"/>
          <w:color w:val="000000" w:themeColor="text1"/>
        </w:rPr>
      </w:pPr>
    </w:p>
    <w:p w14:paraId="37904F95" w14:textId="77777777" w:rsidR="00D764F5" w:rsidRDefault="00D764F5" w:rsidP="009B7B73">
      <w:pPr>
        <w:spacing w:after="0" w:line="240" w:lineRule="auto"/>
        <w:rPr>
          <w:rFonts w:ascii="Verdana" w:eastAsia="Geomanist Light" w:hAnsi="Verdana" w:cs="Arial"/>
          <w:color w:val="000000" w:themeColor="text1"/>
        </w:rPr>
      </w:pPr>
    </w:p>
    <w:p w14:paraId="4C876D69" w14:textId="77777777" w:rsidR="00D764F5" w:rsidRDefault="00D764F5" w:rsidP="009B7B73">
      <w:pPr>
        <w:spacing w:after="0" w:line="240" w:lineRule="auto"/>
        <w:rPr>
          <w:rFonts w:ascii="Verdana" w:eastAsia="Geomanist Light" w:hAnsi="Verdana" w:cs="Arial"/>
          <w:color w:val="000000" w:themeColor="text1"/>
        </w:rPr>
      </w:pPr>
    </w:p>
    <w:p w14:paraId="17DF26F4" w14:textId="77777777" w:rsidR="00D764F5" w:rsidRDefault="00D764F5" w:rsidP="009B7B73">
      <w:pPr>
        <w:spacing w:after="0" w:line="240" w:lineRule="auto"/>
        <w:rPr>
          <w:rFonts w:ascii="Verdana" w:eastAsia="Geomanist Light" w:hAnsi="Verdana" w:cs="Arial"/>
          <w:color w:val="000000" w:themeColor="text1"/>
        </w:rPr>
      </w:pPr>
    </w:p>
    <w:p w14:paraId="25DE7438" w14:textId="77777777" w:rsidR="00D764F5" w:rsidRDefault="00D764F5" w:rsidP="009B7B73">
      <w:pPr>
        <w:spacing w:after="0" w:line="240" w:lineRule="auto"/>
        <w:rPr>
          <w:rFonts w:ascii="Verdana" w:eastAsia="Geomanist Light" w:hAnsi="Verdana" w:cs="Arial"/>
          <w:color w:val="000000" w:themeColor="text1"/>
        </w:rPr>
      </w:pPr>
    </w:p>
    <w:p w14:paraId="18A920A6" w14:textId="77777777" w:rsidR="00D764F5" w:rsidRDefault="00D764F5" w:rsidP="009B7B73">
      <w:pPr>
        <w:spacing w:after="0" w:line="240" w:lineRule="auto"/>
        <w:rPr>
          <w:rFonts w:ascii="Verdana" w:eastAsia="Geomanist Light" w:hAnsi="Verdana" w:cs="Arial"/>
          <w:color w:val="000000" w:themeColor="text1"/>
        </w:rPr>
      </w:pPr>
    </w:p>
    <w:p w14:paraId="299C5CD3" w14:textId="77777777" w:rsidR="00D764F5" w:rsidRDefault="00D764F5" w:rsidP="009B7B73">
      <w:pPr>
        <w:spacing w:after="0" w:line="240" w:lineRule="auto"/>
        <w:rPr>
          <w:rFonts w:ascii="Verdana" w:eastAsia="Geomanist Light" w:hAnsi="Verdana" w:cs="Arial"/>
          <w:color w:val="000000" w:themeColor="text1"/>
        </w:rPr>
      </w:pPr>
    </w:p>
    <w:p w14:paraId="502FB0D4" w14:textId="77777777" w:rsidR="00D764F5" w:rsidRDefault="00D764F5" w:rsidP="009B7B73">
      <w:pPr>
        <w:spacing w:after="0" w:line="240" w:lineRule="auto"/>
        <w:rPr>
          <w:rFonts w:ascii="Verdana" w:eastAsia="Geomanist Light" w:hAnsi="Verdana" w:cs="Arial"/>
          <w:color w:val="000000" w:themeColor="text1"/>
        </w:rPr>
      </w:pPr>
    </w:p>
    <w:p w14:paraId="1654A0EC" w14:textId="77777777" w:rsidR="00D764F5" w:rsidRDefault="00D764F5" w:rsidP="009B7B73">
      <w:pPr>
        <w:spacing w:after="0" w:line="240" w:lineRule="auto"/>
        <w:rPr>
          <w:rFonts w:ascii="Verdana" w:eastAsia="Geomanist Light" w:hAnsi="Verdana" w:cs="Arial"/>
          <w:color w:val="000000" w:themeColor="text1"/>
        </w:rPr>
      </w:pPr>
    </w:p>
    <w:p w14:paraId="7F7203FE" w14:textId="77777777" w:rsidR="00D764F5" w:rsidRDefault="00D764F5" w:rsidP="009B7B73">
      <w:pPr>
        <w:spacing w:after="0" w:line="240" w:lineRule="auto"/>
        <w:rPr>
          <w:rFonts w:ascii="Verdana" w:eastAsia="Geomanist Light" w:hAnsi="Verdana" w:cs="Arial"/>
          <w:color w:val="000000" w:themeColor="text1"/>
        </w:rPr>
      </w:pPr>
    </w:p>
    <w:p w14:paraId="0CEF2C3D" w14:textId="77777777" w:rsidR="00D764F5" w:rsidRDefault="00D764F5" w:rsidP="009B7B73">
      <w:pPr>
        <w:spacing w:after="0" w:line="240" w:lineRule="auto"/>
        <w:rPr>
          <w:rFonts w:ascii="Verdana" w:eastAsia="Geomanist Light" w:hAnsi="Verdana" w:cs="Arial"/>
          <w:color w:val="000000" w:themeColor="text1"/>
        </w:rPr>
      </w:pPr>
    </w:p>
    <w:p w14:paraId="4265E1CE" w14:textId="77777777" w:rsidR="00D764F5" w:rsidRDefault="00D764F5" w:rsidP="009B7B73">
      <w:pPr>
        <w:spacing w:after="0" w:line="240" w:lineRule="auto"/>
        <w:rPr>
          <w:rFonts w:ascii="Verdana" w:eastAsia="Geomanist Light" w:hAnsi="Verdana" w:cs="Arial"/>
          <w:color w:val="000000" w:themeColor="text1"/>
        </w:rPr>
      </w:pPr>
    </w:p>
    <w:p w14:paraId="2F8D1E5B" w14:textId="77777777" w:rsidR="00D764F5" w:rsidRDefault="00D764F5" w:rsidP="009B7B73">
      <w:pPr>
        <w:spacing w:after="0" w:line="240" w:lineRule="auto"/>
        <w:rPr>
          <w:rFonts w:ascii="Verdana" w:eastAsia="Geomanist Light" w:hAnsi="Verdana" w:cs="Arial"/>
          <w:color w:val="000000" w:themeColor="text1"/>
        </w:rPr>
      </w:pPr>
    </w:p>
    <w:p w14:paraId="494881CE" w14:textId="77777777" w:rsidR="00D764F5" w:rsidRDefault="00D764F5" w:rsidP="009B7B73">
      <w:pPr>
        <w:spacing w:after="0" w:line="240" w:lineRule="auto"/>
        <w:rPr>
          <w:rFonts w:ascii="Verdana" w:eastAsia="Geomanist Light" w:hAnsi="Verdana" w:cs="Arial"/>
          <w:color w:val="000000" w:themeColor="text1"/>
        </w:rPr>
      </w:pPr>
    </w:p>
    <w:p w14:paraId="1B5B691C" w14:textId="4C12CBA1" w:rsidR="009B7B73" w:rsidRPr="0097735F" w:rsidRDefault="009B7B73" w:rsidP="009B7B73">
      <w:pPr>
        <w:spacing w:after="0" w:line="240" w:lineRule="auto"/>
        <w:rPr>
          <w:rFonts w:ascii="Verdana" w:eastAsia="Geomanist Light" w:hAnsi="Verdana" w:cs="Arial"/>
          <w:color w:val="201F1E"/>
        </w:rPr>
      </w:pPr>
      <w:r w:rsidRPr="0097735F">
        <w:rPr>
          <w:rFonts w:ascii="Verdana" w:eastAsia="Geomanist Light" w:hAnsi="Verdana" w:cs="Arial"/>
          <w:color w:val="000000" w:themeColor="text1"/>
        </w:rPr>
        <w:lastRenderedPageBreak/>
        <w:t>Bogotá D.C., </w:t>
      </w:r>
      <w:r w:rsidR="00D764F5">
        <w:rPr>
          <w:rFonts w:ascii="Verdana" w:eastAsia="Geomanist Light" w:hAnsi="Verdana" w:cs="Arial"/>
          <w:color w:val="201F1E"/>
        </w:rPr>
        <w:t>30 de septiembre de 2025</w:t>
      </w:r>
    </w:p>
    <w:p w14:paraId="1CDC1F7B" w14:textId="5C7E2490" w:rsidR="009B7B73" w:rsidRDefault="009B7B73" w:rsidP="009B7B73">
      <w:pPr>
        <w:spacing w:after="0" w:line="240" w:lineRule="auto"/>
        <w:rPr>
          <w:rFonts w:ascii="Verdana" w:eastAsia="Geomanist Light" w:hAnsi="Verdana" w:cs="Arial"/>
          <w:lang w:val="es-MX"/>
        </w:rPr>
      </w:pPr>
    </w:p>
    <w:p w14:paraId="43B07006" w14:textId="6E4D94CE" w:rsidR="009B7B73" w:rsidRDefault="00AC2E55" w:rsidP="0036092B">
      <w:pPr>
        <w:spacing w:after="0" w:line="276" w:lineRule="auto"/>
        <w:jc w:val="right"/>
        <w:rPr>
          <w:rFonts w:ascii="Arial" w:eastAsia="Times New Roman" w:hAnsi="Arial" w:cs="Arial"/>
          <w:noProof/>
          <w:color w:val="000000"/>
          <w:szCs w:val="24"/>
          <w:lang w:val="es-ES_tradnl" w:eastAsia="es-ES_tradnl"/>
        </w:rPr>
      </w:pPr>
      <w:r w:rsidRPr="0036092B">
        <w:rPr>
          <w:rFonts w:ascii="Arial" w:eastAsia="Times New Roman" w:hAnsi="Arial" w:cs="Arial"/>
          <w:noProof/>
          <w:color w:val="000000"/>
          <w:szCs w:val="24"/>
          <w:lang w:val="es-ES_tradnl" w:eastAsia="es-ES_tradnl"/>
        </w:rPr>
        <w:drawing>
          <wp:anchor distT="0" distB="0" distL="114300" distR="114300" simplePos="0" relativeHeight="251658752" behindDoc="0" locked="0" layoutInCell="1" allowOverlap="1" wp14:anchorId="7E0C8235" wp14:editId="3152A3A4">
            <wp:simplePos x="0" y="0"/>
            <wp:positionH relativeFrom="margin">
              <wp:align>right</wp:align>
            </wp:positionH>
            <wp:positionV relativeFrom="paragraph">
              <wp:posOffset>9221</wp:posOffset>
            </wp:positionV>
            <wp:extent cx="2927350" cy="982980"/>
            <wp:effectExtent l="0" t="0" r="6350" b="7620"/>
            <wp:wrapSquare wrapText="bothSides"/>
            <wp:docPr id="41985434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27350" cy="982980"/>
                    </a:xfrm>
                    <a:prstGeom prst="rect">
                      <a:avLst/>
                    </a:prstGeom>
                    <a:noFill/>
                    <a:ln>
                      <a:noFill/>
                    </a:ln>
                  </pic:spPr>
                </pic:pic>
              </a:graphicData>
            </a:graphic>
            <wp14:sizeRelH relativeFrom="margin">
              <wp14:pctWidth>0</wp14:pctWidth>
            </wp14:sizeRelH>
          </wp:anchor>
        </w:drawing>
      </w:r>
    </w:p>
    <w:p w14:paraId="05CA46F0" w14:textId="77777777" w:rsidR="0036092B" w:rsidRPr="00D20014" w:rsidRDefault="0036092B" w:rsidP="009B7B73">
      <w:pPr>
        <w:spacing w:after="0" w:line="276" w:lineRule="auto"/>
        <w:jc w:val="both"/>
        <w:rPr>
          <w:rFonts w:ascii="Arial" w:eastAsia="Times New Roman" w:hAnsi="Arial" w:cs="Arial"/>
          <w:noProof/>
          <w:color w:val="000000"/>
          <w:szCs w:val="24"/>
          <w:lang w:val="es-ES_tradnl" w:eastAsia="es-ES_tradnl"/>
        </w:rPr>
      </w:pPr>
    </w:p>
    <w:p w14:paraId="62C674D0" w14:textId="77777777" w:rsidR="009B7B73" w:rsidRPr="00983598" w:rsidRDefault="009B7B73" w:rsidP="009B7B73">
      <w:pPr>
        <w:spacing w:after="0" w:line="240" w:lineRule="auto"/>
        <w:rPr>
          <w:rFonts w:ascii="Verdana" w:eastAsia="Calibri" w:hAnsi="Verdana" w:cs="Arial"/>
          <w:lang w:val="es-ES" w:eastAsia="es-ES"/>
        </w:rPr>
      </w:pPr>
      <w:r w:rsidRPr="00D20014">
        <w:rPr>
          <w:rFonts w:ascii="Verdana" w:eastAsia="Calibri" w:hAnsi="Verdana" w:cs="Arial"/>
          <w:lang w:val="es-ES" w:eastAsia="es-ES"/>
        </w:rPr>
        <w:t>Señor</w:t>
      </w:r>
      <w:r>
        <w:rPr>
          <w:rFonts w:ascii="Verdana" w:eastAsia="Calibri" w:hAnsi="Verdana" w:cs="Arial"/>
          <w:lang w:val="es-ES" w:eastAsia="es-ES"/>
        </w:rPr>
        <w:t xml:space="preserve"> </w:t>
      </w:r>
    </w:p>
    <w:p w14:paraId="727C3935" w14:textId="77777777" w:rsidR="009B7B73" w:rsidRPr="00D20014" w:rsidRDefault="009B7B73" w:rsidP="009B7B73">
      <w:pPr>
        <w:spacing w:after="0" w:line="240" w:lineRule="auto"/>
        <w:rPr>
          <w:rFonts w:ascii="Verdana" w:eastAsia="Calibri" w:hAnsi="Verdana" w:cs="Arial"/>
          <w:b/>
          <w:bCs/>
          <w:lang w:eastAsia="es-ES_tradnl"/>
        </w:rPr>
      </w:pPr>
      <w:r>
        <w:rPr>
          <w:rFonts w:ascii="Verdana" w:eastAsia="Calibri" w:hAnsi="Verdana" w:cs="Arial"/>
          <w:b/>
          <w:bCs/>
          <w:lang w:eastAsia="es-ES_tradnl"/>
        </w:rPr>
        <w:t xml:space="preserve">Pedro Alejandro Ariza Rubiano </w:t>
      </w:r>
    </w:p>
    <w:p w14:paraId="22ABAACE" w14:textId="77777777" w:rsidR="009B7B73" w:rsidRPr="004B3251" w:rsidRDefault="009B7B73" w:rsidP="009B7B73">
      <w:pPr>
        <w:spacing w:after="0" w:line="240" w:lineRule="auto"/>
        <w:rPr>
          <w:rFonts w:ascii="Verdana" w:hAnsi="Verdana"/>
        </w:rPr>
      </w:pPr>
      <w:hyperlink r:id="rId12" w:history="1">
        <w:r w:rsidRPr="0087324B">
          <w:rPr>
            <w:rStyle w:val="Hipervnculo"/>
            <w:rFonts w:ascii="Verdana" w:hAnsi="Verdana"/>
          </w:rPr>
          <w:t>pedaleja@hotmail.com</w:t>
        </w:r>
      </w:hyperlink>
      <w:r>
        <w:rPr>
          <w:rFonts w:ascii="Verdana" w:hAnsi="Verdana"/>
        </w:rPr>
        <w:t xml:space="preserve"> </w:t>
      </w:r>
    </w:p>
    <w:p w14:paraId="2EC460C0" w14:textId="77777777" w:rsidR="009B7B73" w:rsidRPr="00D20014" w:rsidRDefault="009B7B73" w:rsidP="009B7B73">
      <w:pPr>
        <w:spacing w:after="0" w:line="240" w:lineRule="auto"/>
        <w:rPr>
          <w:rFonts w:ascii="Verdana" w:eastAsia="Calibri" w:hAnsi="Verdana" w:cs="Arial"/>
          <w:b/>
          <w:bCs/>
          <w:lang w:val="es-ES" w:eastAsia="es-ES"/>
        </w:rPr>
      </w:pPr>
      <w:r>
        <w:rPr>
          <w:rFonts w:ascii="Verdana" w:eastAsia="Calibri" w:hAnsi="Verdana" w:cs="Arial"/>
          <w:lang w:val="es-ES" w:eastAsia="es-ES"/>
        </w:rPr>
        <w:t>Bogotá</w:t>
      </w:r>
      <w:r w:rsidRPr="00D20014">
        <w:rPr>
          <w:rFonts w:ascii="Verdana" w:eastAsia="Calibri" w:hAnsi="Verdana" w:cs="Arial"/>
          <w:lang w:val="es-ES" w:eastAsia="es-ES"/>
        </w:rPr>
        <w:t xml:space="preserve"> </w:t>
      </w:r>
    </w:p>
    <w:p w14:paraId="3EC07D44" w14:textId="77777777" w:rsidR="009B7B73" w:rsidRPr="00D20014" w:rsidRDefault="009B7B73" w:rsidP="009B7B73">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379"/>
      </w:tblGrid>
      <w:tr w:rsidR="009B7B73" w:rsidRPr="00D20014" w14:paraId="67BDE547" w14:textId="77777777" w:rsidTr="00C13BA5">
        <w:trPr>
          <w:trHeight w:val="229"/>
        </w:trPr>
        <w:tc>
          <w:tcPr>
            <w:tcW w:w="2410" w:type="dxa"/>
          </w:tcPr>
          <w:p w14:paraId="79927989" w14:textId="77777777" w:rsidR="009B7B73" w:rsidRPr="00D20014" w:rsidRDefault="009B7B73" w:rsidP="00C13BA5">
            <w:pPr>
              <w:jc w:val="both"/>
              <w:rPr>
                <w:rFonts w:ascii="Verdana" w:eastAsia="Calibri" w:hAnsi="Verdana" w:cs="Arial"/>
                <w:b/>
                <w:bCs/>
                <w:lang w:val="es-ES_tradnl" w:eastAsia="es-ES_tradnl"/>
              </w:rPr>
            </w:pPr>
          </w:p>
        </w:tc>
        <w:tc>
          <w:tcPr>
            <w:tcW w:w="6379" w:type="dxa"/>
          </w:tcPr>
          <w:p w14:paraId="034D62D3" w14:textId="77777777" w:rsidR="009B7B73" w:rsidRPr="00FC2ED1" w:rsidRDefault="009B7B73" w:rsidP="00C13BA5">
            <w:pPr>
              <w:jc w:val="both"/>
              <w:rPr>
                <w:rFonts w:ascii="Verdana" w:eastAsia="Calibri" w:hAnsi="Verdana" w:cs="Arial"/>
                <w:b/>
                <w:bCs/>
                <w:lang w:eastAsia="es-ES"/>
              </w:rPr>
            </w:pPr>
            <w:r w:rsidRPr="00801462">
              <w:rPr>
                <w:rFonts w:ascii="Verdana" w:eastAsia="Calibri" w:hAnsi="Verdana" w:cs="Arial"/>
                <w:b/>
                <w:bCs/>
                <w:lang w:eastAsia="es-ES"/>
              </w:rPr>
              <w:t xml:space="preserve">Concepto C- </w:t>
            </w:r>
            <w:r>
              <w:rPr>
                <w:rFonts w:ascii="Verdana" w:eastAsia="Calibri" w:hAnsi="Verdana" w:cs="Arial"/>
                <w:b/>
                <w:bCs/>
                <w:lang w:eastAsia="es-ES"/>
              </w:rPr>
              <w:t>1222</w:t>
            </w:r>
            <w:r w:rsidRPr="00801462">
              <w:rPr>
                <w:rFonts w:ascii="Verdana" w:eastAsia="Calibri" w:hAnsi="Verdana" w:cs="Arial"/>
                <w:b/>
                <w:bCs/>
                <w:lang w:eastAsia="es-ES"/>
              </w:rPr>
              <w:t xml:space="preserve"> de 2025</w:t>
            </w:r>
          </w:p>
          <w:p w14:paraId="4AD4FB6A" w14:textId="77777777" w:rsidR="009B7B73" w:rsidRPr="00D20014" w:rsidRDefault="009B7B73" w:rsidP="00C13BA5">
            <w:pPr>
              <w:jc w:val="both"/>
              <w:rPr>
                <w:rFonts w:ascii="Verdana" w:eastAsia="Calibri" w:hAnsi="Verdana" w:cs="Arial"/>
                <w:b/>
                <w:bCs/>
                <w:lang w:val="es-ES" w:eastAsia="es-ES"/>
              </w:rPr>
            </w:pPr>
          </w:p>
        </w:tc>
      </w:tr>
      <w:tr w:rsidR="009B7B73" w:rsidRPr="00D20014" w14:paraId="07552AAB" w14:textId="77777777" w:rsidTr="00C13BA5">
        <w:trPr>
          <w:trHeight w:val="884"/>
        </w:trPr>
        <w:tc>
          <w:tcPr>
            <w:tcW w:w="2410" w:type="dxa"/>
          </w:tcPr>
          <w:p w14:paraId="7B11C87B" w14:textId="77777777" w:rsidR="009B7B73" w:rsidRPr="00D20014" w:rsidRDefault="009B7B73" w:rsidP="00C13BA5">
            <w:pPr>
              <w:jc w:val="both"/>
              <w:rPr>
                <w:rFonts w:ascii="Verdana" w:eastAsia="Calibri" w:hAnsi="Verdana" w:cs="Arial"/>
                <w:lang w:val="es-ES_tradnl" w:eastAsia="es-ES_tradnl"/>
              </w:rPr>
            </w:pPr>
            <w:r w:rsidRPr="00D20014">
              <w:rPr>
                <w:rFonts w:ascii="Verdana" w:eastAsia="Calibri" w:hAnsi="Verdana" w:cs="Arial"/>
                <w:b/>
                <w:lang w:val="es-ES_tradnl" w:eastAsia="es-ES_tradnl"/>
              </w:rPr>
              <w:t>Temas:</w:t>
            </w:r>
            <w:r w:rsidRPr="00D20014">
              <w:rPr>
                <w:rFonts w:ascii="Verdana" w:eastAsia="Calibri" w:hAnsi="Verdana" w:cs="Arial"/>
                <w:lang w:val="es-ES_tradnl" w:eastAsia="es-ES_tradnl"/>
              </w:rPr>
              <w:t xml:space="preserve">                   </w:t>
            </w:r>
          </w:p>
        </w:tc>
        <w:tc>
          <w:tcPr>
            <w:tcW w:w="6379" w:type="dxa"/>
          </w:tcPr>
          <w:p w14:paraId="744501E7" w14:textId="77777777" w:rsidR="009B7B73" w:rsidRDefault="009B7B73" w:rsidP="00C13BA5">
            <w:pPr>
              <w:spacing w:line="276" w:lineRule="auto"/>
              <w:jc w:val="both"/>
              <w:rPr>
                <w:rFonts w:ascii="Verdana" w:eastAsia="Calibri" w:hAnsi="Verdana" w:cs="Arial"/>
                <w:color w:val="000000"/>
                <w:szCs w:val="24"/>
                <w:lang w:val="es-ES_tradnl" w:eastAsia="es-ES_tradnl"/>
              </w:rPr>
            </w:pPr>
            <w:r w:rsidRPr="00D20014">
              <w:rPr>
                <w:rFonts w:ascii="Verdana" w:eastAsia="Times New Roman" w:hAnsi="Verdana" w:cs="Arial"/>
                <w:lang w:eastAsia="es-ES_tradnl"/>
              </w:rPr>
              <w:t xml:space="preserve">DOCUMENTOS TIPO – Fundamento normativo – Obligatoriedad – Ámbito de aplicación – Entidades sometidas </w:t>
            </w:r>
            <w:r w:rsidRPr="00D20014">
              <w:rPr>
                <w:rFonts w:ascii="Verdana" w:eastAsia="Calibri" w:hAnsi="Verdana" w:cs="Arial"/>
                <w:color w:val="000000"/>
                <w:szCs w:val="24"/>
                <w:lang w:val="es-ES_tradnl" w:eastAsia="es-ES_tradnl"/>
              </w:rPr>
              <w:t xml:space="preserve">/ LEY 2195 DE 2022 – Artículo 56 – Personas jurídicas de derecho privado – Documentos tipo – Estatuto General de Contratación de la Administración Pública / LEY 2195 DE 2022 – Artículo 56 – Parágrafo – </w:t>
            </w:r>
            <w:r>
              <w:rPr>
                <w:rFonts w:ascii="Verdana" w:eastAsia="Calibri" w:hAnsi="Verdana" w:cs="Arial"/>
                <w:color w:val="000000"/>
                <w:szCs w:val="24"/>
                <w:lang w:val="es-ES_tradnl" w:eastAsia="es-ES_tradnl"/>
              </w:rPr>
              <w:t xml:space="preserve">Alcance </w:t>
            </w:r>
          </w:p>
          <w:p w14:paraId="1666F86D" w14:textId="77777777" w:rsidR="009B7B73" w:rsidRPr="00D20014" w:rsidRDefault="009B7B73" w:rsidP="00C13BA5">
            <w:pPr>
              <w:spacing w:line="276" w:lineRule="auto"/>
              <w:jc w:val="both"/>
              <w:rPr>
                <w:rFonts w:ascii="Verdana" w:eastAsia="Calibri" w:hAnsi="Verdana" w:cs="Arial"/>
                <w:lang w:val="es-ES" w:eastAsia="es-ES"/>
              </w:rPr>
            </w:pPr>
          </w:p>
        </w:tc>
      </w:tr>
      <w:tr w:rsidR="009B7B73" w:rsidRPr="00D20014" w14:paraId="497ED2ED" w14:textId="77777777" w:rsidTr="00C13BA5">
        <w:tc>
          <w:tcPr>
            <w:tcW w:w="2410" w:type="dxa"/>
          </w:tcPr>
          <w:p w14:paraId="69529705" w14:textId="77777777" w:rsidR="009B7B73" w:rsidRPr="00D20014" w:rsidRDefault="009B7B73" w:rsidP="00C13BA5">
            <w:pPr>
              <w:jc w:val="both"/>
              <w:rPr>
                <w:rFonts w:ascii="Verdana" w:eastAsia="Calibri" w:hAnsi="Verdana" w:cs="Arial"/>
                <w:b/>
                <w:lang w:val="es-ES_tradnl" w:eastAsia="es-ES_tradnl"/>
              </w:rPr>
            </w:pPr>
            <w:r w:rsidRPr="00D20014">
              <w:rPr>
                <w:rFonts w:ascii="Verdana" w:eastAsia="Calibri" w:hAnsi="Verdana" w:cs="Arial"/>
                <w:b/>
                <w:lang w:val="es-ES_tradnl" w:eastAsia="es-ES_tradnl"/>
              </w:rPr>
              <w:t>Radicación:</w:t>
            </w:r>
            <w:r w:rsidRPr="00D20014">
              <w:rPr>
                <w:rFonts w:ascii="Verdana" w:eastAsia="Calibri" w:hAnsi="Verdana" w:cs="Arial"/>
                <w:lang w:val="es-ES_tradnl" w:eastAsia="es-ES_tradnl"/>
              </w:rPr>
              <w:t xml:space="preserve">               </w:t>
            </w:r>
          </w:p>
        </w:tc>
        <w:tc>
          <w:tcPr>
            <w:tcW w:w="6379" w:type="dxa"/>
          </w:tcPr>
          <w:p w14:paraId="20787DCD" w14:textId="77777777" w:rsidR="009B7B73" w:rsidRPr="00D20014" w:rsidRDefault="009B7B73" w:rsidP="00C13BA5">
            <w:pPr>
              <w:ind w:left="-2" w:firstLine="2"/>
              <w:jc w:val="both"/>
              <w:rPr>
                <w:rFonts w:ascii="Verdana" w:eastAsia="Calibri" w:hAnsi="Verdana" w:cs="Arial"/>
                <w:lang w:val="es-ES_tradnl" w:eastAsia="es-ES_tradnl"/>
              </w:rPr>
            </w:pPr>
            <w:r w:rsidRPr="00D20014">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D20014">
              <w:rPr>
                <w:rFonts w:ascii="Verdana" w:eastAsia="Calibri" w:hAnsi="Verdana" w:cs="Arial"/>
                <w:lang w:val="es-ES_tradnl" w:eastAsia="es-ES_tradnl"/>
              </w:rPr>
              <w:t xml:space="preserve">consulta con radicado </w:t>
            </w:r>
            <w:r>
              <w:rPr>
                <w:rFonts w:ascii="Verdana" w:eastAsia="Calibri" w:hAnsi="Verdana" w:cs="Arial"/>
                <w:lang w:val="es-ES_tradnl" w:eastAsia="es-ES_tradnl"/>
              </w:rPr>
              <w:t xml:space="preserve">No. </w:t>
            </w:r>
            <w:r w:rsidRPr="00732D1A">
              <w:rPr>
                <w:rFonts w:ascii="Verdana" w:eastAsia="Calibri" w:hAnsi="Verdana" w:cs="Arial"/>
                <w:lang w:val="es-ES_tradnl" w:eastAsia="es-ES_tradnl"/>
              </w:rPr>
              <w:t>1_2025_08_27_009180</w:t>
            </w:r>
          </w:p>
        </w:tc>
      </w:tr>
    </w:tbl>
    <w:p w14:paraId="216EA371" w14:textId="77777777" w:rsidR="009B7B73" w:rsidRPr="00D20014" w:rsidRDefault="009B7B73" w:rsidP="009B7B73">
      <w:pPr>
        <w:spacing w:after="0" w:line="240" w:lineRule="auto"/>
        <w:jc w:val="both"/>
        <w:rPr>
          <w:rFonts w:ascii="Verdana" w:eastAsia="Calibri" w:hAnsi="Verdana" w:cs="Arial"/>
          <w:lang w:val="es-ES_tradnl" w:eastAsia="es-ES_tradnl"/>
        </w:rPr>
      </w:pPr>
    </w:p>
    <w:p w14:paraId="2C80FB9F" w14:textId="77777777" w:rsidR="009B7B73" w:rsidRPr="00D20014" w:rsidRDefault="009B7B73" w:rsidP="009B7B73">
      <w:pPr>
        <w:spacing w:after="0" w:line="276" w:lineRule="auto"/>
        <w:jc w:val="both"/>
        <w:rPr>
          <w:rFonts w:ascii="Verdana" w:eastAsia="Calibri" w:hAnsi="Verdana" w:cs="Arial"/>
          <w:lang w:val="es-ES" w:eastAsia="es-ES"/>
        </w:rPr>
      </w:pPr>
      <w:r w:rsidRPr="00D20014">
        <w:rPr>
          <w:rFonts w:ascii="Verdana" w:eastAsia="Calibri" w:hAnsi="Verdana" w:cs="Arial"/>
          <w:lang w:val="es-ES" w:eastAsia="es-ES"/>
        </w:rPr>
        <w:t>Estimado señor</w:t>
      </w:r>
      <w:r>
        <w:rPr>
          <w:rFonts w:ascii="Verdana" w:eastAsia="Calibri" w:hAnsi="Verdana" w:cs="Arial"/>
          <w:lang w:val="es-ES" w:eastAsia="es-ES"/>
        </w:rPr>
        <w:t xml:space="preserve"> Ariza</w:t>
      </w:r>
      <w:r w:rsidRPr="00D20014">
        <w:rPr>
          <w:rFonts w:ascii="Verdana" w:eastAsia="Calibri" w:hAnsi="Verdana" w:cs="Arial"/>
          <w:lang w:val="es-ES" w:eastAsia="es-ES"/>
        </w:rPr>
        <w:t xml:space="preserve">: </w:t>
      </w:r>
    </w:p>
    <w:p w14:paraId="6B41C6DF" w14:textId="77777777" w:rsidR="009B7B73" w:rsidRPr="00D20014" w:rsidRDefault="009B7B73" w:rsidP="009B7B73">
      <w:pPr>
        <w:tabs>
          <w:tab w:val="left" w:pos="3768"/>
        </w:tabs>
        <w:spacing w:after="0" w:line="276" w:lineRule="auto"/>
        <w:jc w:val="both"/>
        <w:rPr>
          <w:rFonts w:ascii="Verdana" w:eastAsia="Calibri" w:hAnsi="Verdana" w:cs="Arial"/>
          <w:lang w:val="es-ES" w:eastAsia="es-ES"/>
        </w:rPr>
      </w:pPr>
      <w:r w:rsidRPr="00D20014">
        <w:rPr>
          <w:rFonts w:ascii="Verdana" w:eastAsia="Calibri" w:hAnsi="Verdana" w:cs="Arial"/>
          <w:lang w:val="es-ES" w:eastAsia="es-ES"/>
        </w:rPr>
        <w:tab/>
      </w:r>
    </w:p>
    <w:p w14:paraId="5577371F" w14:textId="77777777" w:rsidR="009B7B73" w:rsidRPr="00D20014" w:rsidRDefault="009B7B73" w:rsidP="009B7B73">
      <w:pPr>
        <w:spacing w:after="0" w:line="276" w:lineRule="auto"/>
        <w:jc w:val="both"/>
        <w:rPr>
          <w:rFonts w:ascii="Verdana" w:eastAsia="Calibri" w:hAnsi="Verdana" w:cs="Arial"/>
          <w:lang w:val="es-ES" w:eastAsia="es-ES"/>
        </w:rPr>
      </w:pPr>
      <w:r w:rsidRPr="00D20014">
        <w:rPr>
          <w:rFonts w:ascii="Verdana" w:eastAsia="Calibri" w:hAnsi="Verdana" w:cs="Arial"/>
          <w:lang w:val="es-ES" w:eastAsia="es-ES"/>
        </w:rPr>
        <w:t>En ejercicio de la competencia otorgada por los artículos 3, numeral 5º, y 11, numeral 8º, del Decreto Ley 4170 de 2011,</w:t>
      </w:r>
      <w:r w:rsidRPr="00D20014">
        <w:rPr>
          <w:rFonts w:ascii="Verdana" w:eastAsia="Arial MT" w:hAnsi="Verdana" w:cs="Arial MT"/>
          <w:lang w:val="es-ES" w:eastAsia="es-ES"/>
        </w:rPr>
        <w:t xml:space="preserve"> </w:t>
      </w:r>
      <w:r w:rsidRPr="00D20014">
        <w:rPr>
          <w:rFonts w:ascii="Verdana" w:eastAsia="Aptos" w:hAnsi="Verdana" w:cs="Arial"/>
        </w:rPr>
        <w:t xml:space="preserve">así como lo establecido en </w:t>
      </w:r>
      <w:r>
        <w:rPr>
          <w:rFonts w:ascii="Verdana" w:eastAsia="Aptos" w:hAnsi="Verdana" w:cs="Arial"/>
        </w:rPr>
        <w:t xml:space="preserve">la </w:t>
      </w:r>
      <w:r w:rsidRPr="00713B63">
        <w:rPr>
          <w:rFonts w:ascii="Verdana" w:hAnsi="Verdana" w:cs="Arial"/>
        </w:rPr>
        <w:t xml:space="preserve">Resolución 469 de 2025 </w:t>
      </w:r>
      <w:r w:rsidRPr="00D20014">
        <w:rPr>
          <w:rFonts w:ascii="Verdana" w:eastAsia="Aptos" w:hAnsi="Verdana" w:cs="Arial"/>
        </w:rPr>
        <w:t xml:space="preserve">expedida por esta Entidad, </w:t>
      </w:r>
      <w:r w:rsidRPr="00D20014">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 xml:space="preserve">27 de agosto de </w:t>
      </w:r>
      <w:r w:rsidRPr="00D20014">
        <w:rPr>
          <w:rFonts w:ascii="Verdana" w:eastAsia="Calibri" w:hAnsi="Verdana" w:cs="Arial"/>
          <w:lang w:val="es-ES" w:eastAsia="es-ES"/>
        </w:rPr>
        <w:t>2025, en la</w:t>
      </w:r>
      <w:r>
        <w:rPr>
          <w:rFonts w:ascii="Verdana" w:eastAsia="Calibri" w:hAnsi="Verdana" w:cs="Arial"/>
          <w:lang w:val="es-ES" w:eastAsia="es-ES"/>
        </w:rPr>
        <w:t xml:space="preserve"> que</w:t>
      </w:r>
      <w:r w:rsidRPr="00D20014">
        <w:rPr>
          <w:rFonts w:ascii="Verdana" w:eastAsia="Calibri" w:hAnsi="Verdana" w:cs="Arial"/>
          <w:lang w:val="es-ES" w:eastAsia="es-ES"/>
        </w:rPr>
        <w:t xml:space="preserve"> manifiesta lo siguiente: </w:t>
      </w:r>
    </w:p>
    <w:p w14:paraId="598A7F7F" w14:textId="77777777" w:rsidR="009B7B73" w:rsidRPr="00D20014" w:rsidRDefault="009B7B73" w:rsidP="009B7B73">
      <w:pPr>
        <w:tabs>
          <w:tab w:val="left" w:pos="142"/>
          <w:tab w:val="left" w:pos="284"/>
        </w:tabs>
        <w:spacing w:after="0" w:line="276" w:lineRule="auto"/>
        <w:jc w:val="both"/>
        <w:rPr>
          <w:rFonts w:ascii="Verdana" w:eastAsia="Century Gothic" w:hAnsi="Verdana" w:cs="Century Gothic"/>
          <w:b/>
          <w:bCs/>
        </w:rPr>
      </w:pPr>
    </w:p>
    <w:p w14:paraId="3149FFCF" w14:textId="77777777" w:rsidR="009B7B73" w:rsidRDefault="009B7B73" w:rsidP="009B7B73">
      <w:pPr>
        <w:spacing w:after="0" w:line="240" w:lineRule="auto"/>
        <w:ind w:left="709" w:right="709"/>
        <w:jc w:val="both"/>
        <w:rPr>
          <w:rFonts w:ascii="Verdana" w:eastAsia="Century Gothic" w:hAnsi="Verdana" w:cs="Century Gothic"/>
          <w:sz w:val="20"/>
          <w:szCs w:val="20"/>
        </w:rPr>
      </w:pPr>
      <w:bookmarkStart w:id="1" w:name="_Hlk95313578"/>
      <w:r w:rsidRPr="00C563D0">
        <w:rPr>
          <w:rFonts w:ascii="Verdana" w:eastAsia="Century Gothic" w:hAnsi="Verdana" w:cs="Century Gothic"/>
          <w:sz w:val="20"/>
          <w:szCs w:val="20"/>
          <w:lang w:val="es-ES"/>
        </w:rPr>
        <w:t>“</w:t>
      </w:r>
      <w:bookmarkEnd w:id="1"/>
      <w:r w:rsidRPr="00AC113F">
        <w:rPr>
          <w:rFonts w:ascii="Verdana" w:eastAsia="Century Gothic" w:hAnsi="Verdana" w:cs="Century Gothic"/>
          <w:sz w:val="20"/>
          <w:szCs w:val="20"/>
        </w:rPr>
        <w:t xml:space="preserve">Frente a la aplicación del artículo 56 de la Ley 2195 de 2022: </w:t>
      </w:r>
    </w:p>
    <w:p w14:paraId="7EE7656A" w14:textId="77777777" w:rsidR="009B7B73" w:rsidRDefault="009B7B73" w:rsidP="009B7B73">
      <w:pPr>
        <w:spacing w:after="0" w:line="240" w:lineRule="auto"/>
        <w:ind w:left="709" w:right="709"/>
        <w:jc w:val="both"/>
        <w:rPr>
          <w:rFonts w:ascii="Verdana" w:eastAsia="Century Gothic" w:hAnsi="Verdana" w:cs="Century Gothic"/>
          <w:sz w:val="20"/>
          <w:szCs w:val="20"/>
        </w:rPr>
      </w:pPr>
      <w:r w:rsidRPr="00AC113F">
        <w:rPr>
          <w:rFonts w:ascii="Verdana" w:eastAsia="Century Gothic" w:hAnsi="Verdana" w:cs="Century Gothic"/>
          <w:sz w:val="20"/>
          <w:szCs w:val="20"/>
        </w:rPr>
        <w:t xml:space="preserve">1. Si se da un convenio tripartito entre tres entidades públicas de las cuales 2 son sometidas al EGCP y la tercera es régimen exceptuado: Puede la de régimen exceptuado adelantar la contratación del proyecto bajo su propio manual? </w:t>
      </w:r>
    </w:p>
    <w:p w14:paraId="0E2A7CB6" w14:textId="77777777" w:rsidR="009B7B73" w:rsidRPr="00C563D0" w:rsidRDefault="009B7B73" w:rsidP="009B7B73">
      <w:pPr>
        <w:spacing w:after="0" w:line="240" w:lineRule="auto"/>
        <w:ind w:left="709" w:right="709"/>
        <w:jc w:val="both"/>
        <w:rPr>
          <w:rFonts w:ascii="Verdana" w:hAnsi="Verdana"/>
          <w:sz w:val="20"/>
          <w:szCs w:val="20"/>
        </w:rPr>
      </w:pPr>
      <w:r w:rsidRPr="00AC113F">
        <w:rPr>
          <w:rFonts w:ascii="Verdana" w:eastAsia="Century Gothic" w:hAnsi="Verdana" w:cs="Century Gothic"/>
          <w:sz w:val="20"/>
          <w:szCs w:val="20"/>
        </w:rPr>
        <w:t xml:space="preserve">2. Si la naturaleza de la entidad exceptuada es un fondo mixto, entraría en las excepciones del parágrafo del artículo 56 de la Ley 2195 de 2022? 3. Si la entidad de régimen exceptuado puede ejecutar el proceso en el convenio tripartito pero debe aplicar los pliegos tipo: le obligaría a aplicar la Ley 80 de 1993 o puede adaptar los pliegos tipo a su manual de contratación? para que por </w:t>
      </w:r>
      <w:proofErr w:type="spellStart"/>
      <w:r w:rsidRPr="00AC113F">
        <w:rPr>
          <w:rFonts w:ascii="Verdana" w:eastAsia="Century Gothic" w:hAnsi="Verdana" w:cs="Century Gothic"/>
          <w:sz w:val="20"/>
          <w:szCs w:val="20"/>
        </w:rPr>
        <w:t>ejm</w:t>
      </w:r>
      <w:proofErr w:type="spellEnd"/>
      <w:r w:rsidRPr="00AC113F">
        <w:rPr>
          <w:rFonts w:ascii="Verdana" w:eastAsia="Century Gothic" w:hAnsi="Verdana" w:cs="Century Gothic"/>
          <w:sz w:val="20"/>
          <w:szCs w:val="20"/>
        </w:rPr>
        <w:t xml:space="preserve"> convocatorias de mayores o grandes </w:t>
      </w:r>
      <w:proofErr w:type="spellStart"/>
      <w:r w:rsidRPr="00AC113F">
        <w:rPr>
          <w:rFonts w:ascii="Verdana" w:eastAsia="Century Gothic" w:hAnsi="Verdana" w:cs="Century Gothic"/>
          <w:sz w:val="20"/>
          <w:szCs w:val="20"/>
        </w:rPr>
        <w:t>cuantias</w:t>
      </w:r>
      <w:proofErr w:type="spellEnd"/>
      <w:r w:rsidRPr="00AC113F">
        <w:rPr>
          <w:rFonts w:ascii="Verdana" w:eastAsia="Century Gothic" w:hAnsi="Verdana" w:cs="Century Gothic"/>
          <w:sz w:val="20"/>
          <w:szCs w:val="20"/>
        </w:rPr>
        <w:t xml:space="preserve"> privadas utilicen los pliegos tipo de licitaciones públicas.:</w:t>
      </w:r>
      <w:r>
        <w:rPr>
          <w:rFonts w:ascii="Verdana" w:hAnsi="Verdana"/>
          <w:sz w:val="20"/>
          <w:szCs w:val="20"/>
        </w:rPr>
        <w:t>”</w:t>
      </w:r>
    </w:p>
    <w:p w14:paraId="0EFF067F" w14:textId="77777777" w:rsidR="009B7B73" w:rsidRPr="00D20014" w:rsidRDefault="009B7B73" w:rsidP="009B7B73">
      <w:pPr>
        <w:spacing w:after="0" w:line="276" w:lineRule="auto"/>
        <w:ind w:left="709" w:right="709"/>
        <w:jc w:val="both"/>
        <w:rPr>
          <w:rFonts w:ascii="Verdana" w:eastAsia="Aptos" w:hAnsi="Verdana" w:cs="Arial"/>
          <w:sz w:val="20"/>
          <w:szCs w:val="20"/>
          <w:shd w:val="clear" w:color="auto" w:fill="FFFFFF"/>
        </w:rPr>
      </w:pPr>
    </w:p>
    <w:p w14:paraId="68A8E856" w14:textId="77777777" w:rsidR="009B7B73" w:rsidRPr="00D20014" w:rsidRDefault="009B7B73" w:rsidP="009B7B73">
      <w:pPr>
        <w:spacing w:after="120" w:line="276" w:lineRule="auto"/>
        <w:jc w:val="both"/>
        <w:rPr>
          <w:rFonts w:ascii="Verdana" w:eastAsia="Calibri" w:hAnsi="Verdana" w:cs="Arial"/>
          <w:color w:val="000000"/>
          <w:lang w:val="es-ES_tradnl" w:eastAsia="es-ES_tradnl"/>
        </w:rPr>
      </w:pPr>
      <w:r w:rsidRPr="00D20014">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20014">
        <w:rPr>
          <w:rFonts w:ascii="Verdana" w:eastAsia="Calibri" w:hAnsi="Verdana" w:cs="Arial"/>
          <w:color w:val="000000"/>
          <w:lang w:val="es-ES_tradnl" w:eastAsia="es-ES_tradnl"/>
        </w:rPr>
        <w:tab/>
      </w:r>
    </w:p>
    <w:p w14:paraId="32E61FE8" w14:textId="77777777" w:rsidR="009B7B73" w:rsidRPr="00D20014" w:rsidRDefault="009B7B73" w:rsidP="009B7B73">
      <w:pPr>
        <w:spacing w:after="0" w:line="276" w:lineRule="auto"/>
        <w:ind w:firstLine="709"/>
        <w:jc w:val="both"/>
        <w:rPr>
          <w:rFonts w:ascii="Verdana" w:eastAsia="Calibri" w:hAnsi="Verdana" w:cs="Arial"/>
          <w:lang w:val="es-ES" w:eastAsia="es-ES"/>
        </w:rPr>
      </w:pPr>
      <w:r w:rsidRPr="00D20014">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los problemas jurídicos de su consulta. </w:t>
      </w:r>
    </w:p>
    <w:p w14:paraId="4162DA01" w14:textId="77777777" w:rsidR="009B7B73" w:rsidRPr="00D20014" w:rsidRDefault="009B7B73" w:rsidP="009B7B73">
      <w:pPr>
        <w:spacing w:after="0" w:line="276" w:lineRule="auto"/>
        <w:ind w:firstLine="709"/>
        <w:jc w:val="both"/>
        <w:rPr>
          <w:rFonts w:ascii="Verdana" w:eastAsia="Calibri" w:hAnsi="Verdana" w:cs="Arial"/>
          <w:lang w:val="es-ES" w:eastAsia="es-ES"/>
        </w:rPr>
      </w:pPr>
    </w:p>
    <w:p w14:paraId="08522039" w14:textId="77777777" w:rsidR="009B7B73" w:rsidRPr="00D20014" w:rsidRDefault="009B7B73" w:rsidP="009B7B73">
      <w:pPr>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D20014">
        <w:rPr>
          <w:rFonts w:ascii="Verdana" w:eastAsia="Century Gothic" w:hAnsi="Verdana" w:cs="Century Gothic"/>
          <w:b/>
          <w:bCs/>
        </w:rPr>
        <w:t>Problema planteado:</w:t>
      </w:r>
    </w:p>
    <w:p w14:paraId="51AAE59A" w14:textId="77777777" w:rsidR="009B7B73" w:rsidRPr="00D20014" w:rsidRDefault="009B7B73" w:rsidP="009B7B73">
      <w:pPr>
        <w:tabs>
          <w:tab w:val="left" w:pos="426"/>
        </w:tabs>
        <w:spacing w:after="0" w:line="276" w:lineRule="auto"/>
        <w:jc w:val="both"/>
        <w:rPr>
          <w:rFonts w:ascii="Verdana" w:eastAsia="Century Gothic" w:hAnsi="Verdana" w:cs="Century Gothic"/>
          <w:lang w:val="es-ES"/>
        </w:rPr>
      </w:pPr>
    </w:p>
    <w:p w14:paraId="243715F2" w14:textId="77777777" w:rsidR="009B7B73" w:rsidRPr="00D20014" w:rsidRDefault="009B7B73" w:rsidP="009B7B73">
      <w:pPr>
        <w:spacing w:after="0" w:line="276" w:lineRule="auto"/>
        <w:jc w:val="both"/>
        <w:rPr>
          <w:rFonts w:ascii="Verdana" w:eastAsia="Century Gothic" w:hAnsi="Verdana" w:cs="Century Gothic"/>
        </w:rPr>
      </w:pPr>
      <w:r w:rsidRPr="00D20014">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D20014">
        <w:rPr>
          <w:rFonts w:ascii="Verdana" w:eastAsia="Century Gothic" w:hAnsi="Verdana" w:cs="Century Gothic"/>
        </w:rPr>
        <w:t xml:space="preserve"> siguiente problema jurídico: </w:t>
      </w:r>
      <w:r>
        <w:rPr>
          <w:rFonts w:ascii="Verdana" w:eastAsia="Century Gothic" w:hAnsi="Verdana" w:cs="Century Gothic"/>
        </w:rPr>
        <w:t xml:space="preserve">i) </w:t>
      </w:r>
      <w:r w:rsidRPr="00D20014">
        <w:rPr>
          <w:rFonts w:ascii="Verdana" w:eastAsia="Century Gothic" w:hAnsi="Verdana" w:cs="Century Gothic"/>
        </w:rPr>
        <w:t>¿Cuál es el alcance del artículo 56 de la Ley 2195 de 2022</w:t>
      </w:r>
      <w:r>
        <w:rPr>
          <w:rFonts w:ascii="Verdana" w:eastAsia="Century Gothic" w:hAnsi="Verdana" w:cs="Century Gothic"/>
        </w:rPr>
        <w:t xml:space="preserve"> frente a los convenios tripartitos en los que una de las entidades se rige por el derecho privado</w:t>
      </w:r>
      <w:r w:rsidRPr="00D20014">
        <w:rPr>
          <w:rFonts w:ascii="Verdana" w:eastAsia="Century Gothic" w:hAnsi="Verdana" w:cs="Century Gothic"/>
        </w:rPr>
        <w:t>?</w:t>
      </w:r>
      <w:r>
        <w:rPr>
          <w:rFonts w:ascii="Verdana" w:eastAsia="Century Gothic" w:hAnsi="Verdana" w:cs="Century Gothic"/>
        </w:rPr>
        <w:t xml:space="preserve">, y </w:t>
      </w:r>
      <w:proofErr w:type="spellStart"/>
      <w:r>
        <w:rPr>
          <w:rFonts w:ascii="Verdana" w:eastAsia="Century Gothic" w:hAnsi="Verdana" w:cs="Century Gothic"/>
        </w:rPr>
        <w:t>ii</w:t>
      </w:r>
      <w:proofErr w:type="spellEnd"/>
      <w:r>
        <w:rPr>
          <w:rFonts w:ascii="Verdana" w:eastAsia="Century Gothic" w:hAnsi="Verdana" w:cs="Century Gothic"/>
        </w:rPr>
        <w:t>) ¿Los fondos mixtos se encuentran</w:t>
      </w:r>
      <w:r w:rsidRPr="00977C7B">
        <w:rPr>
          <w:rFonts w:ascii="Verdana" w:eastAsia="Century Gothic" w:hAnsi="Verdana" w:cs="Century Gothic"/>
        </w:rPr>
        <w:t xml:space="preserve"> dentro de las excepciones establecidas en el parágrafo del artículo 56 de la Ley 2195 de 2022</w:t>
      </w:r>
      <w:r>
        <w:rPr>
          <w:rFonts w:ascii="Verdana" w:eastAsia="Century Gothic" w:hAnsi="Verdana" w:cs="Century Gothic"/>
        </w:rPr>
        <w:t>?</w:t>
      </w:r>
    </w:p>
    <w:p w14:paraId="7051A5F3" w14:textId="77777777" w:rsidR="009B7B73" w:rsidRPr="00D20014" w:rsidRDefault="009B7B73" w:rsidP="009B7B73">
      <w:pPr>
        <w:spacing w:after="0" w:line="276" w:lineRule="auto"/>
        <w:jc w:val="both"/>
        <w:rPr>
          <w:rFonts w:ascii="Verdana" w:eastAsia="Calibri" w:hAnsi="Verdana" w:cs="Arial"/>
          <w:color w:val="7030A0"/>
          <w:lang w:val="es-ES"/>
        </w:rPr>
      </w:pPr>
    </w:p>
    <w:p w14:paraId="07584E99" w14:textId="77777777" w:rsidR="009B7B73" w:rsidRPr="00D20014" w:rsidRDefault="009B7B73" w:rsidP="009B7B73">
      <w:pPr>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D20014">
        <w:rPr>
          <w:rFonts w:ascii="Verdana" w:eastAsia="Century Gothic" w:hAnsi="Verdana" w:cs="Century Gothic"/>
          <w:b/>
          <w:bCs/>
        </w:rPr>
        <w:t>Respuesta:</w:t>
      </w:r>
    </w:p>
    <w:p w14:paraId="61CBE5AC" w14:textId="77777777" w:rsidR="009B7B73" w:rsidRPr="00D20014" w:rsidRDefault="009B7B73" w:rsidP="009B7B7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B7B73" w:rsidRPr="00D20014" w14:paraId="40947679" w14:textId="77777777" w:rsidTr="00C13BA5">
        <w:tc>
          <w:tcPr>
            <w:tcW w:w="8828" w:type="dxa"/>
          </w:tcPr>
          <w:p w14:paraId="6636EA1F" w14:textId="77777777" w:rsidR="009B7B73" w:rsidRDefault="009B7B73" w:rsidP="00C13BA5">
            <w:pPr>
              <w:spacing w:before="120" w:line="276" w:lineRule="auto"/>
              <w:jc w:val="both"/>
              <w:rPr>
                <w:rFonts w:ascii="Verdana" w:eastAsia="Calibri" w:hAnsi="Verdana" w:cs="Arial"/>
                <w:lang w:val="es-ES"/>
              </w:rPr>
            </w:pPr>
            <w:r>
              <w:rPr>
                <w:rFonts w:ascii="Verdana" w:eastAsia="Calibri" w:hAnsi="Verdana" w:cs="Arial"/>
                <w:lang w:val="es-ES"/>
              </w:rPr>
              <w:t>i. De acuerdo con lo señalado en el concepto de unificación C-870 del 13 de agosto de 2025, esta Agencia considera que e</w:t>
            </w:r>
            <w:r w:rsidRPr="0018056C">
              <w:rPr>
                <w:rFonts w:ascii="Verdana" w:eastAsia="Calibri" w:hAnsi="Verdana" w:cs="Arial"/>
                <w:lang w:val="es-ES"/>
              </w:rPr>
              <w:t xml:space="preserve">l primer inciso del artículo 56 de la Ley 2195 de 2022 surge como una disposición complementaria de la Ley 2022 de 2020, en la medida en que, según se desprende de su texto, de una parte, la norma busca extender la aplicación obligatoria de los documentos </w:t>
            </w:r>
            <w:r w:rsidRPr="0018056C">
              <w:rPr>
                <w:rFonts w:ascii="Verdana" w:eastAsia="Calibri" w:hAnsi="Verdana" w:cs="Arial"/>
                <w:lang w:val="es-ES"/>
              </w:rPr>
              <w:lastRenderedPageBreak/>
              <w:t xml:space="preserve">tipo a la celebración de contratos o convenios interadministrativos entre entidades regidas por EGCAP y otros sujetos cuyo régimen de contratación prevalente es el derecho privado. Esto de tal forma que cuando una entidad estatal regida por el EGCAP celebre contratos o convenios con otra i) entidad estatal de régimen especial o con </w:t>
            </w:r>
            <w:proofErr w:type="spellStart"/>
            <w:r w:rsidRPr="0018056C">
              <w:rPr>
                <w:rFonts w:ascii="Verdana" w:eastAsia="Calibri" w:hAnsi="Verdana" w:cs="Arial"/>
                <w:lang w:val="es-ES"/>
              </w:rPr>
              <w:t>ii</w:t>
            </w:r>
            <w:proofErr w:type="spellEnd"/>
            <w:r w:rsidRPr="0018056C">
              <w:rPr>
                <w:rFonts w:ascii="Verdana" w:eastAsia="Calibri" w:hAnsi="Verdana" w:cs="Arial"/>
                <w:lang w:val="es-ES"/>
              </w:rPr>
              <w:t xml:space="preserve">) patrimonios autónomos o </w:t>
            </w:r>
            <w:proofErr w:type="spellStart"/>
            <w:r w:rsidRPr="0018056C">
              <w:rPr>
                <w:rFonts w:ascii="Verdana" w:eastAsia="Calibri" w:hAnsi="Verdana" w:cs="Arial"/>
                <w:lang w:val="es-ES"/>
              </w:rPr>
              <w:t>iii</w:t>
            </w:r>
            <w:proofErr w:type="spellEnd"/>
            <w:r w:rsidRPr="0018056C">
              <w:rPr>
                <w:rFonts w:ascii="Verdana" w:eastAsia="Calibri" w:hAnsi="Verdana" w:cs="Arial"/>
                <w:lang w:val="es-ES"/>
              </w:rPr>
              <w:t>) con personas naturales o jurídicas de derecho privado, tenga que hacerlo aplicando documentos tipo. Los efectos del primer inciso del artículo 56 se proyectarían entonces a los contratos o convenios interadministrativos o de cualquier otra índole, que se deban celebrar con estos sujetos, cuyos objetos comprendan la adquisición de bienes, obras o servicios, que, al tenor de lo dispuesto en el apartado normativo bajo examen, deberán celebrarse mediante documentos tipo</w:t>
            </w:r>
            <w:r w:rsidRPr="00893489">
              <w:rPr>
                <w:rFonts w:ascii="Verdana" w:eastAsia="Calibri" w:hAnsi="Verdana" w:cs="Arial"/>
                <w:lang w:val="es-ES"/>
              </w:rPr>
              <w:t>.</w:t>
            </w:r>
          </w:p>
          <w:p w14:paraId="63C0A404" w14:textId="77777777" w:rsidR="009B7B73" w:rsidRDefault="009B7B73" w:rsidP="00C13BA5">
            <w:pPr>
              <w:spacing w:after="120" w:line="276" w:lineRule="auto"/>
              <w:ind w:firstLine="743"/>
              <w:jc w:val="both"/>
              <w:rPr>
                <w:rFonts w:ascii="Verdana" w:eastAsia="Calibri" w:hAnsi="Verdana" w:cs="Arial"/>
                <w:lang w:val="es-ES"/>
              </w:rPr>
            </w:pPr>
            <w:r w:rsidRPr="00D20014">
              <w:rPr>
                <w:rFonts w:ascii="Verdana" w:eastAsia="Calibri" w:hAnsi="Verdana" w:cs="Arial"/>
                <w:lang w:val="es-ES" w:eastAsia="es-ES"/>
              </w:rPr>
              <w:t>Sin perjuicio de lo anterior, solo es posible comprender los efectos de lo dispuesto en el artículo 56 de la Ley 2195 de 202</w:t>
            </w:r>
            <w:r>
              <w:rPr>
                <w:rFonts w:ascii="Verdana" w:eastAsia="Calibri" w:hAnsi="Verdana" w:cs="Arial"/>
                <w:lang w:val="es-ES" w:eastAsia="es-ES"/>
              </w:rPr>
              <w:t>2</w:t>
            </w:r>
            <w:r w:rsidRPr="00D20014">
              <w:rPr>
                <w:rFonts w:ascii="Verdana" w:eastAsia="Calibri" w:hAnsi="Verdana" w:cs="Arial"/>
                <w:lang w:val="es-ES" w:eastAsia="es-ES"/>
              </w:rPr>
              <w:t xml:space="preserve"> cuando se interpretan en conjunto todos sus componentes. Esto comoquiera que, a lo anterior se le suman las implicaciones de lo ordenado por el segundo inciso de la norma en estudio cuando usa la expresión “los procedimientos de selección y contratos que realicen en desarrollo de los anteriores negocios jurídicos”, a los que se refiere el primer inciso, en los que, además de la aplicación de los documentos tipo, se dispone la aplicación del EGCAP.</w:t>
            </w:r>
          </w:p>
          <w:p w14:paraId="706117D9" w14:textId="77777777" w:rsidR="009B7B73" w:rsidRPr="004E7268" w:rsidRDefault="009B7B73" w:rsidP="00C13BA5">
            <w:pPr>
              <w:spacing w:after="120" w:line="276" w:lineRule="auto"/>
              <w:ind w:firstLine="601"/>
              <w:jc w:val="both"/>
              <w:rPr>
                <w:rFonts w:ascii="Verdana" w:eastAsia="Calibri" w:hAnsi="Verdana" w:cs="Arial"/>
                <w:bCs/>
                <w:lang w:val="es-ES_tradnl"/>
              </w:rPr>
            </w:pPr>
            <w:r>
              <w:rPr>
                <w:rFonts w:ascii="Verdana" w:eastAsia="Aptos" w:hAnsi="Verdana" w:cs="Arial"/>
                <w:color w:val="000000"/>
                <w:shd w:val="clear" w:color="auto" w:fill="FFFFFF"/>
                <w:lang w:val="es-ES"/>
              </w:rPr>
              <w:t>Así,</w:t>
            </w:r>
            <w:r w:rsidRPr="65879FAB">
              <w:rPr>
                <w:rFonts w:ascii="Verdana" w:eastAsia="Aptos" w:hAnsi="Verdana" w:cs="Arial"/>
                <w:color w:val="000000"/>
                <w:shd w:val="clear" w:color="auto" w:fill="FFFFFF"/>
                <w:lang w:val="es-ES"/>
              </w:rPr>
              <w:t xml:space="preserve"> </w:t>
            </w:r>
            <w:r w:rsidRPr="007D6E27">
              <w:rPr>
                <w:rFonts w:ascii="Verdana" w:eastAsia="Calibri" w:hAnsi="Verdana" w:cs="Arial"/>
                <w:bCs/>
                <w:lang w:val="es-ES_tradnl" w:eastAsia="es-ES_tradnl"/>
              </w:rPr>
              <w:t>de la lectura conjunta de los incisos primero y segundo</w:t>
            </w:r>
            <w:r w:rsidRPr="00202EAB">
              <w:rPr>
                <w:rFonts w:ascii="Verdana" w:eastAsia="Calibri" w:hAnsi="Verdana" w:cs="Arial"/>
                <w:bCs/>
                <w:lang w:eastAsia="es-ES_tradnl"/>
              </w:rPr>
              <w:t xml:space="preserve"> </w:t>
            </w:r>
            <w:r>
              <w:rPr>
                <w:rFonts w:ascii="Verdana" w:eastAsia="Calibri" w:hAnsi="Verdana" w:cs="Arial"/>
                <w:bCs/>
                <w:lang w:eastAsia="es-ES_tradnl"/>
              </w:rPr>
              <w:t>d</w:t>
            </w:r>
            <w:r w:rsidRPr="00202EAB">
              <w:rPr>
                <w:rFonts w:ascii="Verdana" w:eastAsia="Calibri" w:hAnsi="Verdana" w:cs="Arial"/>
                <w:bCs/>
                <w:lang w:eastAsia="es-ES_tradnl"/>
              </w:rPr>
              <w:t>el artículo 56 de la Ley 2195 de 2022,</w:t>
            </w:r>
            <w:r w:rsidRPr="007D6E27">
              <w:rPr>
                <w:rFonts w:ascii="Verdana" w:eastAsia="Calibri" w:hAnsi="Verdana" w:cs="Arial"/>
                <w:bCs/>
                <w:lang w:val="es-ES_tradnl" w:eastAsia="es-ES_tradnl"/>
              </w:rPr>
              <w:t xml:space="preserve"> se desprende que </w:t>
            </w:r>
            <w:r w:rsidRPr="00202EAB">
              <w:rPr>
                <w:rFonts w:ascii="Verdana" w:eastAsia="Calibri" w:hAnsi="Verdana" w:cs="Arial"/>
                <w:bCs/>
                <w:lang w:eastAsia="es-ES_tradnl"/>
              </w:rPr>
              <w:t>cuando se celebre un contrato</w:t>
            </w:r>
            <w:r>
              <w:rPr>
                <w:rFonts w:ascii="Verdana" w:eastAsia="Calibri" w:hAnsi="Verdana" w:cs="Arial"/>
                <w:bCs/>
                <w:lang w:eastAsia="es-ES_tradnl"/>
              </w:rPr>
              <w:t xml:space="preserve"> o </w:t>
            </w:r>
            <w:r w:rsidRPr="00202EAB">
              <w:rPr>
                <w:rFonts w:ascii="Verdana" w:eastAsia="Calibri" w:hAnsi="Verdana" w:cs="Arial"/>
                <w:bCs/>
                <w:lang w:eastAsia="es-ES_tradnl"/>
              </w:rPr>
              <w:t xml:space="preserve">convenio interadministrativo o </w:t>
            </w:r>
            <w:r>
              <w:rPr>
                <w:rFonts w:ascii="Verdana" w:eastAsia="Calibri" w:hAnsi="Verdana" w:cs="Arial"/>
                <w:bCs/>
                <w:lang w:eastAsia="es-ES_tradnl"/>
              </w:rPr>
              <w:t xml:space="preserve">de </w:t>
            </w:r>
            <w:r w:rsidRPr="00202EAB">
              <w:rPr>
                <w:rFonts w:ascii="Verdana" w:eastAsia="Calibri" w:hAnsi="Verdana" w:cs="Arial"/>
                <w:bCs/>
                <w:lang w:eastAsia="es-ES_tradnl"/>
              </w:rPr>
              <w:t>cualquier otr</w:t>
            </w:r>
            <w:r>
              <w:rPr>
                <w:rFonts w:ascii="Verdana" w:eastAsia="Calibri" w:hAnsi="Verdana" w:cs="Arial"/>
                <w:bCs/>
                <w:lang w:eastAsia="es-ES_tradnl"/>
              </w:rPr>
              <w:t>a índole entre una entidad sometida al EGCAP y los sujetos allí mencionados,</w:t>
            </w:r>
            <w:r w:rsidRPr="00202EAB">
              <w:rPr>
                <w:rFonts w:ascii="Verdana" w:eastAsia="Calibri" w:hAnsi="Verdana" w:cs="Arial"/>
                <w:bCs/>
                <w:lang w:eastAsia="es-ES_tradnl"/>
              </w:rPr>
              <w:t xml:space="preserve"> del cual se derive la ejecución de objetos contractuales incluidos dentro del ámbito de aplicación de los documentos tipo, su celebración deberá realizarse por parte del ejecutor o de quien tenga a su cargo el deber de materializar dicha contratación, haciendo uso obligatorio de dichos documentos</w:t>
            </w:r>
            <w:r w:rsidRPr="007C52C9">
              <w:rPr>
                <w:rFonts w:ascii="Arial" w:eastAsia="Calibri" w:hAnsi="Arial" w:cs="Arial"/>
                <w:bCs/>
                <w:lang w:val="es-ES_tradnl"/>
              </w:rPr>
              <w:t xml:space="preserve"> </w:t>
            </w:r>
            <w:r w:rsidRPr="007C52C9">
              <w:rPr>
                <w:rFonts w:ascii="Verdana" w:eastAsia="Calibri" w:hAnsi="Verdana" w:cs="Arial"/>
                <w:bCs/>
                <w:lang w:val="es-ES_tradnl"/>
              </w:rPr>
              <w:t>siempre que exista documento tipo aplicable al objeto contractual que se planea contratar. Esto significa que los contratos no relacionados con los contratos y convenios adquiridos con la entidad sometida al EGCAP no tendrían que aplicar los documentos tipo, salvo que quieran hacerlo como una buena práctica de contratación</w:t>
            </w:r>
            <w:r w:rsidRPr="65879FAB">
              <w:rPr>
                <w:rFonts w:ascii="Verdana" w:eastAsia="Aptos" w:hAnsi="Verdana" w:cs="Arial"/>
                <w:color w:val="000000"/>
                <w:shd w:val="clear" w:color="auto" w:fill="FFFFFF"/>
                <w:lang w:val="es-ES"/>
              </w:rPr>
              <w:t xml:space="preserve">. </w:t>
            </w:r>
          </w:p>
          <w:p w14:paraId="57DCDD56" w14:textId="77777777" w:rsidR="009B7B73" w:rsidRDefault="009B7B73" w:rsidP="00C13BA5">
            <w:pPr>
              <w:spacing w:after="120" w:line="276" w:lineRule="auto"/>
              <w:ind w:firstLine="601"/>
              <w:jc w:val="both"/>
              <w:rPr>
                <w:rFonts w:ascii="Verdana" w:eastAsia="Calibri" w:hAnsi="Verdana" w:cs="Arial"/>
              </w:rPr>
            </w:pPr>
            <w:r>
              <w:rPr>
                <w:rFonts w:ascii="Verdana" w:eastAsia="Aptos" w:hAnsi="Verdana" w:cs="Arial"/>
                <w:color w:val="000000"/>
                <w:shd w:val="clear" w:color="auto" w:fill="FFFFFF"/>
                <w:lang w:val="es-ES_tradnl"/>
              </w:rPr>
              <w:t xml:space="preserve">Los efectos de la norma en mención </w:t>
            </w:r>
            <w:r w:rsidRPr="00B61C5C">
              <w:rPr>
                <w:rFonts w:ascii="Verdana" w:eastAsia="Calibri" w:hAnsi="Verdana" w:cs="Arial"/>
              </w:rPr>
              <w:t>no está</w:t>
            </w:r>
            <w:r>
              <w:rPr>
                <w:rFonts w:ascii="Verdana" w:eastAsia="Calibri" w:hAnsi="Verdana" w:cs="Arial"/>
              </w:rPr>
              <w:t>n</w:t>
            </w:r>
            <w:r w:rsidRPr="00B61C5C">
              <w:rPr>
                <w:rFonts w:ascii="Verdana" w:eastAsia="Calibri" w:hAnsi="Verdana" w:cs="Arial"/>
              </w:rPr>
              <w:t xml:space="preserve"> condicionad</w:t>
            </w:r>
            <w:r>
              <w:rPr>
                <w:rFonts w:ascii="Verdana" w:eastAsia="Calibri" w:hAnsi="Verdana" w:cs="Arial"/>
              </w:rPr>
              <w:t>os</w:t>
            </w:r>
            <w:r w:rsidRPr="00B61C5C">
              <w:rPr>
                <w:rFonts w:ascii="Verdana" w:eastAsia="Calibri" w:hAnsi="Verdana" w:cs="Arial"/>
              </w:rPr>
              <w:t xml:space="preserve"> al número de entidades que suscriban el convenio ni a la proporción de participación de cada una</w:t>
            </w:r>
            <w:r>
              <w:rPr>
                <w:rFonts w:ascii="Verdana" w:eastAsia="Calibri" w:hAnsi="Verdana" w:cs="Arial"/>
              </w:rPr>
              <w:t>, puesto que</w:t>
            </w:r>
            <w:r w:rsidRPr="00B61C5C">
              <w:rPr>
                <w:rFonts w:ascii="Verdana" w:eastAsia="Calibri" w:hAnsi="Verdana" w:cs="Arial"/>
              </w:rPr>
              <w:t xml:space="preserve"> la sola celebración del convenio o contrato </w:t>
            </w:r>
            <w:r>
              <w:rPr>
                <w:rFonts w:ascii="Verdana" w:eastAsia="Calibri" w:hAnsi="Verdana" w:cs="Arial"/>
              </w:rPr>
              <w:t>interadministrativo entre las entidades</w:t>
            </w:r>
            <w:r w:rsidRPr="00B61C5C">
              <w:rPr>
                <w:rFonts w:ascii="Verdana" w:eastAsia="Calibri" w:hAnsi="Verdana" w:cs="Arial"/>
              </w:rPr>
              <w:t xml:space="preserve"> señaladas </w:t>
            </w:r>
            <w:r>
              <w:rPr>
                <w:rFonts w:ascii="Verdana" w:eastAsia="Calibri" w:hAnsi="Verdana" w:cs="Arial"/>
              </w:rPr>
              <w:t xml:space="preserve">en la norma conlleva a la </w:t>
            </w:r>
            <w:r>
              <w:rPr>
                <w:rFonts w:ascii="Verdana" w:eastAsia="Calibri" w:hAnsi="Verdana" w:cs="Arial"/>
              </w:rPr>
              <w:lastRenderedPageBreak/>
              <w:t>aplicación de los documentos tipo</w:t>
            </w:r>
            <w:r w:rsidRPr="00B61C5C">
              <w:rPr>
                <w:rFonts w:ascii="Verdana" w:eastAsia="Calibri" w:hAnsi="Verdana" w:cs="Arial"/>
              </w:rPr>
              <w:t>. En consecuencia, incluso si</w:t>
            </w:r>
            <w:r>
              <w:rPr>
                <w:rFonts w:ascii="Verdana" w:eastAsia="Calibri" w:hAnsi="Verdana" w:cs="Arial"/>
              </w:rPr>
              <w:t xml:space="preserve"> la mayoría</w:t>
            </w:r>
            <w:r w:rsidRPr="00B61C5C">
              <w:rPr>
                <w:rFonts w:ascii="Verdana" w:eastAsia="Calibri" w:hAnsi="Verdana" w:cs="Arial"/>
              </w:rPr>
              <w:t xml:space="preserve"> de las partes </w:t>
            </w:r>
            <w:r>
              <w:rPr>
                <w:rFonts w:ascii="Verdana" w:eastAsia="Calibri" w:hAnsi="Verdana" w:cs="Arial"/>
              </w:rPr>
              <w:t>del convenio</w:t>
            </w:r>
            <w:r w:rsidRPr="00B61C5C">
              <w:rPr>
                <w:rFonts w:ascii="Verdana" w:eastAsia="Calibri" w:hAnsi="Verdana" w:cs="Arial"/>
              </w:rPr>
              <w:t xml:space="preserve"> no está sometida a</w:t>
            </w:r>
            <w:r>
              <w:rPr>
                <w:rFonts w:ascii="Verdana" w:eastAsia="Calibri" w:hAnsi="Verdana" w:cs="Arial"/>
              </w:rPr>
              <w:t>l EGCAP</w:t>
            </w:r>
            <w:r w:rsidRPr="00B61C5C">
              <w:rPr>
                <w:rFonts w:ascii="Verdana" w:eastAsia="Calibri" w:hAnsi="Verdana" w:cs="Arial"/>
              </w:rPr>
              <w:t xml:space="preserve">, la inclusión de un sujeto que sí lo esté obliga a la aplicación </w:t>
            </w:r>
            <w:proofErr w:type="gramStart"/>
            <w:r w:rsidRPr="00B61C5C">
              <w:rPr>
                <w:rFonts w:ascii="Verdana" w:eastAsia="Calibri" w:hAnsi="Verdana" w:cs="Arial"/>
              </w:rPr>
              <w:t>del mismo</w:t>
            </w:r>
            <w:proofErr w:type="gramEnd"/>
            <w:r w:rsidRPr="00B61C5C">
              <w:rPr>
                <w:rFonts w:ascii="Verdana" w:eastAsia="Calibri" w:hAnsi="Verdana" w:cs="Arial"/>
              </w:rPr>
              <w:t xml:space="preserve"> para todo el</w:t>
            </w:r>
            <w:r>
              <w:rPr>
                <w:rFonts w:ascii="Verdana" w:eastAsia="Calibri" w:hAnsi="Verdana" w:cs="Arial"/>
              </w:rPr>
              <w:t xml:space="preserve"> convenio o contrato.</w:t>
            </w:r>
          </w:p>
          <w:p w14:paraId="4F240FAC" w14:textId="77777777" w:rsidR="009B7B73" w:rsidRPr="00963EB4" w:rsidRDefault="009B7B73" w:rsidP="00C13BA5">
            <w:pPr>
              <w:tabs>
                <w:tab w:val="left" w:pos="0"/>
              </w:tabs>
              <w:spacing w:after="120" w:line="276" w:lineRule="auto"/>
              <w:ind w:firstLine="709"/>
              <w:jc w:val="both"/>
              <w:rPr>
                <w:rFonts w:ascii="Verdana" w:eastAsia="Calibri" w:hAnsi="Verdana" w:cs="Arial"/>
                <w:bCs/>
                <w:lang w:val="es-ES_tradnl"/>
              </w:rPr>
            </w:pPr>
            <w:r w:rsidRPr="002D4B50">
              <w:rPr>
                <w:rFonts w:ascii="Verdana" w:eastAsia="Calibri" w:hAnsi="Verdana" w:cs="Arial"/>
                <w:bCs/>
                <w:lang w:val="es-ES_tradnl"/>
              </w:rPr>
              <w:t>Esto implica que, si un</w:t>
            </w:r>
            <w:r>
              <w:rPr>
                <w:rFonts w:ascii="Verdana" w:eastAsia="Calibri" w:hAnsi="Verdana" w:cs="Arial"/>
                <w:bCs/>
                <w:lang w:val="es-ES_tradnl"/>
              </w:rPr>
              <w:t xml:space="preserve">a entidad de régimen especial </w:t>
            </w:r>
            <w:r w:rsidRPr="002D4B50">
              <w:rPr>
                <w:rFonts w:ascii="Verdana" w:eastAsia="Calibri" w:hAnsi="Verdana" w:cs="Arial"/>
                <w:bCs/>
                <w:lang w:val="es-ES_tradnl"/>
              </w:rPr>
              <w:t>en cumplimiento de un compromiso asumido en el contrato celebrado con una entidad sometida al E</w:t>
            </w:r>
            <w:r>
              <w:rPr>
                <w:rFonts w:ascii="Verdana" w:eastAsia="Calibri" w:hAnsi="Verdana" w:cs="Arial"/>
                <w:bCs/>
                <w:lang w:val="es-ES_tradnl"/>
              </w:rPr>
              <w:t xml:space="preserve">GCAP </w:t>
            </w:r>
            <w:r w:rsidRPr="002D4B50">
              <w:rPr>
                <w:rFonts w:ascii="Verdana" w:eastAsia="Calibri" w:hAnsi="Verdana" w:cs="Arial"/>
                <w:bCs/>
                <w:lang w:val="es-ES_tradnl"/>
              </w:rPr>
              <w:t>debe contratar una obra o servicio</w:t>
            </w:r>
            <w:r>
              <w:rPr>
                <w:rFonts w:ascii="Verdana" w:eastAsia="Calibri" w:hAnsi="Verdana" w:cs="Arial"/>
                <w:bCs/>
                <w:lang w:val="es-ES_tradnl"/>
              </w:rPr>
              <w:t>,</w:t>
            </w:r>
            <w:r w:rsidRPr="002D4B50">
              <w:rPr>
                <w:rFonts w:ascii="Verdana" w:eastAsia="Calibri" w:hAnsi="Verdana" w:cs="Arial"/>
                <w:bCs/>
                <w:lang w:val="es-ES_tradnl"/>
              </w:rPr>
              <w:t xml:space="preserve"> estará obligada a hacerlo aplicando los mencionados documentos tipo, además de adelantar el proceso de contratación y celebrar el </w:t>
            </w:r>
            <w:r w:rsidRPr="00E7430F">
              <w:rPr>
                <w:rFonts w:ascii="Verdana" w:eastAsia="Calibri" w:hAnsi="Verdana" w:cs="Arial"/>
                <w:bCs/>
                <w:lang w:val="es-ES_tradnl"/>
              </w:rPr>
              <w:t xml:space="preserve">contrato conforme al Estatuto General de Contratación de la Administración Pública. </w:t>
            </w:r>
            <w:r w:rsidRPr="00E7430F">
              <w:rPr>
                <w:rFonts w:ascii="Verdana" w:eastAsia="Calibri" w:hAnsi="Verdana" w:cs="Arial"/>
                <w:bCs/>
              </w:rPr>
              <w:t xml:space="preserve">En consecuencia, la entidad no tiene facultad para adaptar los documentos tipo a su propio manual interno de contratación, dado que estos documentos han sido diseñados como estándares uniformes y sometidos a la regla de inalterabilidad y las modificaciones solo son admisibles en los casos y aspectos expresamente previstos en </w:t>
            </w:r>
            <w:r>
              <w:rPr>
                <w:rFonts w:ascii="Verdana" w:eastAsia="Calibri" w:hAnsi="Verdana" w:cs="Arial"/>
                <w:bCs/>
              </w:rPr>
              <w:t>estos</w:t>
            </w:r>
            <w:r w:rsidRPr="00E7430F">
              <w:rPr>
                <w:rFonts w:ascii="Verdana" w:eastAsia="Calibri" w:hAnsi="Verdana" w:cs="Arial"/>
                <w:bCs/>
              </w:rPr>
              <w:t xml:space="preserve"> documentos. En este sentido, será la entidad con régimen especial la que deberá ajustar y armonizar su manual interno de contratación para cumplir con la aplicación estricta de los documentos tipo.</w:t>
            </w:r>
          </w:p>
          <w:p w14:paraId="357A14BF" w14:textId="77777777" w:rsidR="009B7B73" w:rsidRDefault="009B7B73" w:rsidP="00C13BA5">
            <w:pPr>
              <w:snapToGrid w:val="0"/>
              <w:spacing w:after="120" w:line="276" w:lineRule="auto"/>
              <w:jc w:val="both"/>
              <w:rPr>
                <w:rFonts w:ascii="Verdana" w:eastAsia="Calibri" w:hAnsi="Verdana" w:cs="Arial"/>
                <w:lang w:val="es-ES" w:eastAsia="es-ES"/>
              </w:rPr>
            </w:pPr>
            <w:proofErr w:type="spellStart"/>
            <w:r>
              <w:rPr>
                <w:rFonts w:ascii="Verdana" w:eastAsia="Aptos" w:hAnsi="Verdana" w:cs="Arial"/>
                <w:shd w:val="clear" w:color="auto" w:fill="FFFFFF"/>
                <w:lang w:val="es-ES_tradnl"/>
              </w:rPr>
              <w:t>ii</w:t>
            </w:r>
            <w:proofErr w:type="spellEnd"/>
            <w:r>
              <w:rPr>
                <w:rFonts w:ascii="Verdana" w:eastAsia="Aptos" w:hAnsi="Verdana" w:cs="Arial"/>
                <w:shd w:val="clear" w:color="auto" w:fill="FFFFFF"/>
                <w:lang w:val="es-ES_tradnl"/>
              </w:rPr>
              <w:t xml:space="preserve">. </w:t>
            </w:r>
            <w:r>
              <w:rPr>
                <w:rFonts w:ascii="Verdana" w:eastAsia="Calibri" w:hAnsi="Verdana" w:cs="Arial"/>
                <w:lang w:val="es-ES" w:eastAsia="es-ES"/>
              </w:rPr>
              <w:t>L</w:t>
            </w:r>
            <w:r w:rsidRPr="00D20014">
              <w:rPr>
                <w:rFonts w:ascii="Verdana" w:eastAsia="Calibri" w:hAnsi="Verdana" w:cs="Arial"/>
                <w:lang w:val="es-ES" w:eastAsia="es-ES"/>
              </w:rPr>
              <w:t>o dispuesto en el parágrafo del artículo 56 implica que las instituciones de educación superior públicas, las empresas sociales del Estado, las sociedades de economía mixta</w:t>
            </w:r>
            <w:r>
              <w:rPr>
                <w:rFonts w:ascii="Verdana" w:eastAsia="Calibri" w:hAnsi="Verdana" w:cs="Arial"/>
                <w:lang w:val="es-ES" w:eastAsia="es-ES"/>
              </w:rPr>
              <w:t>, entre estas los fondos mixtos,</w:t>
            </w:r>
            <w:r w:rsidRPr="00D20014">
              <w:rPr>
                <w:rFonts w:ascii="Verdana" w:eastAsia="Calibri" w:hAnsi="Verdana" w:cs="Arial"/>
                <w:lang w:val="es-ES" w:eastAsia="es-ES"/>
              </w:rPr>
              <w:t xml:space="preserve"> y las empresas industriales y comerciales del Estado, no tendrán que implementar documentos tipo únicamente para la contratación relacionada con el </w:t>
            </w:r>
            <w:r w:rsidRPr="00D20014">
              <w:rPr>
                <w:rFonts w:ascii="Verdana" w:eastAsia="Calibri" w:hAnsi="Verdana" w:cs="Arial"/>
                <w:i/>
                <w:iCs/>
                <w:lang w:val="es-ES" w:eastAsia="es-ES"/>
              </w:rPr>
              <w:t xml:space="preserve">giro ordinario </w:t>
            </w:r>
            <w:r w:rsidRPr="00D20014">
              <w:rPr>
                <w:rFonts w:ascii="Verdana" w:eastAsia="Calibri" w:hAnsi="Verdana" w:cs="Arial"/>
                <w:lang w:val="es-ES" w:eastAsia="es-ES"/>
              </w:rPr>
              <w:t xml:space="preserve">de sus asuntos, salvo que los manuales internos de contratación de estas entidades dispongan la obligación de tener en cuenta los documentos tipo como una buena práctica contractual. De acuerdo con este entendimiento, estas entidades, en virtud de su enunciación en este parágrafo, quedan, en principio, exceptuadas de los documentos tipo, incluso para la contratación de obras o servicios cubiertos por documentos tipo, en el marco del cumplimiento de contratos o convenios con entidades sometidas al EGCAP y de los negocios jurídicos que se deriven de ellos, exclusivamente en lo que se refiere a </w:t>
            </w:r>
            <w:r w:rsidRPr="00D20014">
              <w:rPr>
                <w:rFonts w:ascii="Verdana" w:eastAsia="Calibri" w:hAnsi="Verdana" w:cs="Arial"/>
                <w:i/>
                <w:iCs/>
                <w:lang w:val="es-ES" w:eastAsia="es-ES"/>
              </w:rPr>
              <w:t>su giro ordinario</w:t>
            </w:r>
            <w:r w:rsidRPr="00D20014">
              <w:rPr>
                <w:rFonts w:ascii="Verdana" w:eastAsia="Calibri" w:hAnsi="Verdana" w:cs="Arial"/>
                <w:lang w:val="es-ES" w:eastAsia="es-ES"/>
              </w:rPr>
              <w:t>, entendido este conforme a los criterios jurisprudenciales y doctrinarios aquí explicados.</w:t>
            </w:r>
          </w:p>
          <w:p w14:paraId="277AC65E" w14:textId="77777777" w:rsidR="009B7B73" w:rsidRDefault="009B7B73" w:rsidP="00C13BA5">
            <w:pPr>
              <w:tabs>
                <w:tab w:val="left" w:pos="0"/>
              </w:tabs>
              <w:spacing w:after="120" w:line="276" w:lineRule="auto"/>
              <w:ind w:firstLine="709"/>
              <w:jc w:val="both"/>
              <w:rPr>
                <w:rFonts w:ascii="Verdana" w:eastAsia="Calibri" w:hAnsi="Verdana" w:cs="Arial"/>
                <w:bCs/>
                <w:lang w:val="es-ES"/>
              </w:rPr>
            </w:pPr>
            <w:r w:rsidRPr="00C51996">
              <w:rPr>
                <w:rFonts w:ascii="Verdana" w:eastAsia="Calibri" w:hAnsi="Verdana" w:cs="Arial"/>
                <w:bCs/>
                <w:lang w:val="es-ES"/>
              </w:rPr>
              <w:t xml:space="preserve"> </w:t>
            </w:r>
            <w:r>
              <w:rPr>
                <w:rFonts w:ascii="Verdana" w:eastAsia="Calibri" w:hAnsi="Verdana" w:cs="Arial"/>
                <w:bCs/>
                <w:lang w:val="es-ES_tradnl"/>
              </w:rPr>
              <w:t xml:space="preserve">Así las cosas, </w:t>
            </w:r>
            <w:r w:rsidRPr="00C51996">
              <w:rPr>
                <w:rFonts w:ascii="Verdana" w:eastAsia="Calibri" w:hAnsi="Verdana" w:cs="Arial"/>
                <w:bCs/>
                <w:lang w:val="es-ES"/>
              </w:rPr>
              <w:t>la excepción del parágrafo en comento es clara en establecer cuáles son las entidades exceptuadas de la aplicación del artículo 56 de la Ley 2195 de 2022</w:t>
            </w:r>
            <w:r>
              <w:rPr>
                <w:rFonts w:ascii="Verdana" w:eastAsia="Calibri" w:hAnsi="Verdana" w:cs="Arial"/>
                <w:bCs/>
                <w:lang w:val="es-ES"/>
              </w:rPr>
              <w:t xml:space="preserve">, dentro de las cuales no se encuentran expresamente los fondos mixtos. Al respecto, se precisa que </w:t>
            </w:r>
            <w:r w:rsidRPr="009C14C6">
              <w:rPr>
                <w:rFonts w:ascii="Verdana" w:eastAsia="Calibri" w:hAnsi="Verdana" w:cs="Arial"/>
                <w:bCs/>
                <w:lang w:val="es-ES"/>
              </w:rPr>
              <w:t xml:space="preserve">los </w:t>
            </w:r>
            <w:r>
              <w:rPr>
                <w:rFonts w:ascii="Verdana" w:eastAsia="Calibri" w:hAnsi="Verdana" w:cs="Arial"/>
                <w:bCs/>
                <w:lang w:val="es-ES"/>
              </w:rPr>
              <w:t>f</w:t>
            </w:r>
            <w:r w:rsidRPr="009C14C6">
              <w:rPr>
                <w:rFonts w:ascii="Verdana" w:eastAsia="Calibri" w:hAnsi="Verdana" w:cs="Arial"/>
                <w:bCs/>
                <w:lang w:val="es-ES"/>
              </w:rPr>
              <w:t xml:space="preserve">ondos </w:t>
            </w:r>
            <w:r>
              <w:rPr>
                <w:rFonts w:ascii="Verdana" w:eastAsia="Calibri" w:hAnsi="Verdana" w:cs="Arial"/>
                <w:bCs/>
                <w:lang w:val="es-ES"/>
              </w:rPr>
              <w:t>m</w:t>
            </w:r>
            <w:r w:rsidRPr="009C14C6">
              <w:rPr>
                <w:rFonts w:ascii="Verdana" w:eastAsia="Calibri" w:hAnsi="Verdana" w:cs="Arial"/>
                <w:bCs/>
                <w:lang w:val="es-ES"/>
              </w:rPr>
              <w:t xml:space="preserve">ixtos </w:t>
            </w:r>
            <w:r w:rsidRPr="009C14C6">
              <w:rPr>
                <w:rFonts w:ascii="Verdana" w:eastAsia="Calibri" w:hAnsi="Verdana" w:cs="Arial"/>
                <w:bCs/>
                <w:iCs/>
              </w:rPr>
              <w:t xml:space="preserve">creados de conformidad con el artículo 96 de la Ley 489 de 1998, al </w:t>
            </w:r>
            <w:r w:rsidRPr="009C14C6">
              <w:rPr>
                <w:rFonts w:ascii="Verdana" w:eastAsia="Calibri" w:hAnsi="Verdana" w:cs="Arial"/>
                <w:bCs/>
                <w:iCs/>
              </w:rPr>
              <w:lastRenderedPageBreak/>
              <w:t xml:space="preserve">constituirse como entidades descentralizadas indirectas, son susceptibles de ser consideradas entidades estatales en los términos del numeral 1 del artículo 2 de la Ley 80 de 1993, y en consecuencia, estar sometidas al EGCAP. No obstante, ello solo aplica respecto de aquellas que cuenten con una participación mayoritaria en cabeza de otras entidades públicas, por lo que las entidades descentralizadas indirectas en los que la participación del Estado es minoritaria, no se encontrarían sujetas al régimen de contratación de la Ley 80 de 1993.   </w:t>
            </w:r>
          </w:p>
          <w:p w14:paraId="2C18DBF7" w14:textId="77777777" w:rsidR="009B7B73" w:rsidRDefault="009B7B73" w:rsidP="00C13BA5">
            <w:pPr>
              <w:tabs>
                <w:tab w:val="left" w:pos="0"/>
              </w:tabs>
              <w:spacing w:after="120" w:line="276" w:lineRule="auto"/>
              <w:ind w:firstLine="709"/>
              <w:jc w:val="both"/>
              <w:rPr>
                <w:rFonts w:ascii="Verdana" w:eastAsia="Calibri" w:hAnsi="Verdana" w:cs="Arial"/>
                <w:bCs/>
                <w:lang w:val="es-ES"/>
              </w:rPr>
            </w:pPr>
            <w:r>
              <w:rPr>
                <w:rFonts w:ascii="Verdana" w:eastAsia="Calibri" w:hAnsi="Verdana" w:cs="Arial"/>
                <w:bCs/>
                <w:lang w:val="es-ES" w:eastAsia="es-ES_tradnl"/>
              </w:rPr>
              <w:t>De esta forma, vale aclarar que l</w:t>
            </w:r>
            <w:r w:rsidRPr="00CE48D2">
              <w:rPr>
                <w:rFonts w:ascii="Verdana" w:eastAsia="Calibri" w:hAnsi="Verdana" w:cs="Arial"/>
                <w:bCs/>
                <w:lang w:val="es-ES" w:eastAsia="es-ES_tradnl"/>
              </w:rPr>
              <w:t>a redacción de</w:t>
            </w:r>
            <w:r>
              <w:rPr>
                <w:rFonts w:ascii="Verdana" w:eastAsia="Calibri" w:hAnsi="Verdana" w:cs="Arial"/>
                <w:bCs/>
                <w:lang w:val="es-ES" w:eastAsia="es-ES_tradnl"/>
              </w:rPr>
              <w:t xml:space="preserve">l parágrafo del artículo 56 de la Ley 2195 de 2022 </w:t>
            </w:r>
            <w:r w:rsidRPr="00CE48D2">
              <w:rPr>
                <w:rFonts w:ascii="Verdana" w:eastAsia="Calibri" w:hAnsi="Verdana" w:cs="Arial"/>
                <w:bCs/>
                <w:lang w:val="es-ES" w:eastAsia="es-ES_tradnl"/>
              </w:rPr>
              <w:t>evidencia cómo la excepción a la aplicación forzosa es formulada respecto de ciertos tipos de Entidades Estatales, las cuales son mencionadas por su naturaleza jurídica, sin que se incluya consideración alguna relacionada con el régimen jurídico al que se encuentren sometidas. La norma tampoco determina algún supuesto en atención al cual pueda aplicarse la excepción a algún sujeto con una naturaleza jurídica distinta de las específicamente mencionadas.</w:t>
            </w:r>
          </w:p>
          <w:p w14:paraId="50BB6813" w14:textId="77777777" w:rsidR="009B7B73" w:rsidRPr="006739A0" w:rsidRDefault="009B7B73" w:rsidP="00C13BA5">
            <w:pPr>
              <w:tabs>
                <w:tab w:val="left" w:pos="0"/>
              </w:tabs>
              <w:spacing w:after="120" w:line="276" w:lineRule="auto"/>
              <w:ind w:firstLine="709"/>
              <w:jc w:val="both"/>
              <w:rPr>
                <w:rFonts w:ascii="Verdana" w:eastAsia="Calibri" w:hAnsi="Verdana" w:cs="Arial"/>
                <w:bCs/>
                <w:lang w:val="es-ES" w:eastAsia="es-ES_tradnl"/>
              </w:rPr>
            </w:pPr>
            <w:r>
              <w:rPr>
                <w:rFonts w:ascii="Verdana" w:eastAsia="Calibri" w:hAnsi="Verdana" w:cs="Arial"/>
                <w:bCs/>
                <w:lang w:val="es-ES" w:eastAsia="es-ES_tradnl"/>
              </w:rPr>
              <w:t xml:space="preserve">En este sentido, teniendo en cuenta que la norma no menciona a los fondos mixtos, </w:t>
            </w:r>
            <w:r>
              <w:rPr>
                <w:rFonts w:ascii="Verdana" w:eastAsia="Calibri" w:hAnsi="Verdana" w:cs="Arial"/>
                <w:bCs/>
                <w:lang w:val="es-ES"/>
              </w:rPr>
              <w:t xml:space="preserve">en principio, se puede concluir que </w:t>
            </w:r>
            <w:r>
              <w:rPr>
                <w:rFonts w:ascii="Verdana" w:eastAsia="Calibri" w:hAnsi="Verdana" w:cs="Arial"/>
                <w:bCs/>
                <w:lang w:val="es-ES_tradnl" w:eastAsia="es-ES_tradnl"/>
              </w:rPr>
              <w:t>dicha</w:t>
            </w:r>
            <w:r w:rsidRPr="00CE48D2">
              <w:rPr>
                <w:rFonts w:ascii="Verdana" w:eastAsia="Calibri" w:hAnsi="Verdana" w:cs="Arial"/>
                <w:bCs/>
                <w:lang w:val="es-ES_tradnl" w:eastAsia="es-ES_tradnl"/>
              </w:rPr>
              <w:t xml:space="preserve"> excepción no resulta extensible a </w:t>
            </w:r>
            <w:r>
              <w:rPr>
                <w:rFonts w:ascii="Verdana" w:eastAsia="Calibri" w:hAnsi="Verdana" w:cs="Arial"/>
                <w:bCs/>
                <w:lang w:val="es-ES_tradnl" w:eastAsia="es-ES_tradnl"/>
              </w:rPr>
              <w:t xml:space="preserve">estas entidades, lo que implica que siempre que estas celebren un contrato o convenio con una entidad sometida al EGCAP deban aplicar los documentos tipo cuando </w:t>
            </w:r>
            <w:r w:rsidRPr="002D4B50">
              <w:rPr>
                <w:rFonts w:ascii="Verdana" w:eastAsia="Calibri" w:hAnsi="Verdana" w:cs="Arial"/>
                <w:bCs/>
                <w:lang w:val="es-ES_tradnl"/>
              </w:rPr>
              <w:t>el objeto</w:t>
            </w:r>
            <w:r>
              <w:rPr>
                <w:rFonts w:ascii="Verdana" w:eastAsia="Calibri" w:hAnsi="Verdana" w:cs="Arial"/>
                <w:bCs/>
                <w:lang w:val="es-ES_tradnl"/>
              </w:rPr>
              <w:t xml:space="preserve"> a</w:t>
            </w:r>
            <w:r w:rsidRPr="002D4B50">
              <w:rPr>
                <w:rFonts w:ascii="Verdana" w:eastAsia="Calibri" w:hAnsi="Verdana" w:cs="Arial"/>
                <w:bCs/>
                <w:lang w:val="es-ES_tradnl"/>
              </w:rPr>
              <w:t xml:space="preserve"> contratar se encuentra cobijado por algún documento tipo existente</w:t>
            </w:r>
            <w:r>
              <w:rPr>
                <w:rFonts w:ascii="Verdana" w:eastAsia="Calibri" w:hAnsi="Verdana" w:cs="Arial"/>
                <w:bCs/>
                <w:lang w:val="es-ES_tradnl"/>
              </w:rPr>
              <w:t xml:space="preserve">. </w:t>
            </w:r>
            <w:r>
              <w:rPr>
                <w:rFonts w:ascii="Verdana" w:eastAsia="Calibri" w:hAnsi="Verdana" w:cs="Arial"/>
                <w:bCs/>
                <w:lang w:val="es-ES_tradnl" w:eastAsia="es-ES_tradnl"/>
              </w:rPr>
              <w:t xml:space="preserve">No obstante, corresponde a las entidades estatales realizar el análisis respectivo </w:t>
            </w:r>
            <w:r w:rsidRPr="00C51996">
              <w:rPr>
                <w:rFonts w:ascii="Verdana" w:eastAsia="Calibri" w:hAnsi="Verdana" w:cs="Arial"/>
                <w:bCs/>
                <w:lang w:val="es-ES"/>
              </w:rPr>
              <w:t>en cada caso concreto con el fin de</w:t>
            </w:r>
            <w:r>
              <w:rPr>
                <w:rFonts w:ascii="Verdana" w:eastAsia="Calibri" w:hAnsi="Verdana" w:cs="Arial"/>
                <w:bCs/>
                <w:lang w:val="es-ES"/>
              </w:rPr>
              <w:t xml:space="preserve"> </w:t>
            </w:r>
            <w:r w:rsidRPr="00C51996">
              <w:rPr>
                <w:rFonts w:ascii="Verdana" w:eastAsia="Calibri" w:hAnsi="Verdana" w:cs="Arial"/>
                <w:bCs/>
                <w:lang w:val="es-ES"/>
              </w:rPr>
              <w:t xml:space="preserve">determinar si </w:t>
            </w:r>
            <w:r>
              <w:rPr>
                <w:rFonts w:ascii="Verdana" w:eastAsia="Calibri" w:hAnsi="Verdana" w:cs="Arial"/>
                <w:bCs/>
                <w:lang w:val="es-ES"/>
              </w:rPr>
              <w:t>el fondo mixto</w:t>
            </w:r>
            <w:r w:rsidRPr="00C51996">
              <w:rPr>
                <w:rFonts w:ascii="Verdana" w:eastAsia="Calibri" w:hAnsi="Verdana" w:cs="Arial"/>
                <w:bCs/>
                <w:lang w:val="es-ES"/>
              </w:rPr>
              <w:t xml:space="preserve"> puede catalogarse como una de aquellas definidas en el parágrafo y</w:t>
            </w:r>
            <w:r>
              <w:rPr>
                <w:rFonts w:ascii="Verdana" w:eastAsia="Calibri" w:hAnsi="Verdana" w:cs="Arial"/>
                <w:bCs/>
                <w:lang w:val="es-ES"/>
              </w:rPr>
              <w:t xml:space="preserve"> </w:t>
            </w:r>
            <w:r w:rsidRPr="00C51996">
              <w:rPr>
                <w:rFonts w:ascii="Verdana" w:eastAsia="Calibri" w:hAnsi="Verdana" w:cs="Arial"/>
                <w:bCs/>
                <w:lang w:val="es-ES"/>
              </w:rPr>
              <w:t xml:space="preserve">si el objeto a contratar se enmarca en el concepto de </w:t>
            </w:r>
            <w:r w:rsidRPr="00C51996">
              <w:rPr>
                <w:rFonts w:ascii="Verdana" w:eastAsia="Calibri" w:hAnsi="Verdana" w:cs="Arial"/>
                <w:bCs/>
                <w:i/>
                <w:iCs/>
                <w:lang w:val="es-ES"/>
              </w:rPr>
              <w:t>giro ordinario.</w:t>
            </w:r>
            <w:r w:rsidRPr="00C51996">
              <w:rPr>
                <w:rFonts w:ascii="Verdana" w:eastAsia="Calibri" w:hAnsi="Verdana" w:cs="Arial"/>
                <w:bCs/>
                <w:lang w:val="es-ES"/>
              </w:rPr>
              <w:t xml:space="preserve"> </w:t>
            </w:r>
          </w:p>
        </w:tc>
      </w:tr>
    </w:tbl>
    <w:p w14:paraId="1A91C412" w14:textId="77777777" w:rsidR="009B7B73" w:rsidRPr="00D20014" w:rsidRDefault="009B7B73" w:rsidP="009B7B73">
      <w:pPr>
        <w:tabs>
          <w:tab w:val="left" w:pos="142"/>
          <w:tab w:val="left" w:pos="284"/>
        </w:tabs>
        <w:spacing w:after="0" w:line="276" w:lineRule="auto"/>
        <w:jc w:val="both"/>
        <w:rPr>
          <w:rFonts w:ascii="Verdana" w:eastAsia="Century Gothic" w:hAnsi="Verdana" w:cs="Century Gothic"/>
          <w:b/>
          <w:bCs/>
          <w:lang w:val="es-ES"/>
        </w:rPr>
      </w:pPr>
    </w:p>
    <w:p w14:paraId="651B9E49" w14:textId="77777777" w:rsidR="009B7B73" w:rsidRPr="00D20014" w:rsidRDefault="009B7B73" w:rsidP="009B7B73">
      <w:pPr>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D20014">
        <w:rPr>
          <w:rFonts w:ascii="Verdana" w:eastAsia="Century Gothic" w:hAnsi="Verdana" w:cs="Century Gothic"/>
          <w:b/>
          <w:bCs/>
        </w:rPr>
        <w:t>Razones de la respuesta:</w:t>
      </w:r>
    </w:p>
    <w:p w14:paraId="6F9435C0" w14:textId="77777777" w:rsidR="009B7B73" w:rsidRPr="00D20014" w:rsidRDefault="009B7B73" w:rsidP="009B7B73">
      <w:pPr>
        <w:spacing w:after="0" w:line="276" w:lineRule="auto"/>
        <w:jc w:val="both"/>
        <w:rPr>
          <w:rFonts w:ascii="Verdana" w:eastAsia="Calibri" w:hAnsi="Verdana" w:cs="Arial"/>
          <w:color w:val="7030A0"/>
          <w:lang w:val="es-ES"/>
        </w:rPr>
      </w:pPr>
    </w:p>
    <w:p w14:paraId="23DF01C9" w14:textId="77777777" w:rsidR="009B7B73" w:rsidRPr="00D20014" w:rsidRDefault="009B7B73" w:rsidP="009B7B73">
      <w:pPr>
        <w:spacing w:after="0" w:line="276" w:lineRule="auto"/>
        <w:jc w:val="both"/>
        <w:rPr>
          <w:rFonts w:ascii="Verdana" w:eastAsia="Calibri" w:hAnsi="Verdana" w:cs="Arial"/>
          <w:lang w:val="es-ES"/>
        </w:rPr>
      </w:pPr>
      <w:r w:rsidRPr="00D20014">
        <w:rPr>
          <w:rFonts w:ascii="Verdana" w:eastAsia="Calibri" w:hAnsi="Verdana" w:cs="Arial"/>
          <w:lang w:val="es-ES"/>
        </w:rPr>
        <w:t xml:space="preserve">Lo anterior se sustenta en las siguientes consideraciones: </w:t>
      </w:r>
    </w:p>
    <w:p w14:paraId="3D543963" w14:textId="77777777" w:rsidR="009B7B73" w:rsidRDefault="009B7B73" w:rsidP="009B7B73">
      <w:pPr>
        <w:spacing w:after="0" w:line="276" w:lineRule="auto"/>
        <w:jc w:val="both"/>
        <w:rPr>
          <w:rFonts w:ascii="Verdana" w:eastAsia="Aptos" w:hAnsi="Verdana" w:cs="Arial"/>
          <w:lang w:val="es-ES"/>
        </w:rPr>
      </w:pPr>
      <w:bookmarkStart w:id="2" w:name="_Hlk113022941"/>
    </w:p>
    <w:p w14:paraId="632A5BBC" w14:textId="77777777" w:rsidR="009B7B73" w:rsidRPr="001D0CEA" w:rsidRDefault="009B7B73" w:rsidP="009B7B73">
      <w:pPr>
        <w:spacing w:before="120" w:after="120" w:line="276" w:lineRule="auto"/>
        <w:jc w:val="both"/>
        <w:rPr>
          <w:rFonts w:ascii="Verdana" w:eastAsia="Calibri" w:hAnsi="Verdana" w:cs="Arial"/>
          <w:lang w:val="es-ES_tradnl" w:eastAsia="es-ES"/>
        </w:rPr>
      </w:pPr>
      <w:r w:rsidRPr="001D0CEA">
        <w:rPr>
          <w:rFonts w:ascii="Verdana" w:eastAsia="Calibri" w:hAnsi="Verdana" w:cs="Arial"/>
          <w:lang w:val="es-ES_tradnl" w:eastAsia="es-ES"/>
        </w:rPr>
        <w:t>i.</w:t>
      </w:r>
      <w:r>
        <w:rPr>
          <w:rFonts w:ascii="Verdana" w:eastAsia="Calibri" w:hAnsi="Verdana" w:cs="Arial"/>
          <w:lang w:val="es-ES_tradnl" w:eastAsia="es-ES"/>
        </w:rPr>
        <w:t xml:space="preserve"> </w:t>
      </w:r>
      <w:r w:rsidRPr="001D0CEA">
        <w:rPr>
          <w:rFonts w:ascii="Verdana" w:eastAsia="Calibri" w:hAnsi="Verdana" w:cs="Arial"/>
          <w:lang w:val="es-ES_tradnl" w:eastAsia="es-ES"/>
        </w:rPr>
        <w:t xml:space="preserve">La </w:t>
      </w:r>
      <w:bookmarkStart w:id="3" w:name="_Hlk176876754"/>
      <w:r w:rsidRPr="001D0CEA">
        <w:rPr>
          <w:rFonts w:ascii="Verdana" w:eastAsia="Calibri" w:hAnsi="Verdana" w:cs="Arial"/>
          <w:lang w:val="es-ES_tradnl" w:eastAsia="es-ES"/>
        </w:rPr>
        <w:t>Ley 2022 de 2020, modificó el contenido del parágrafo 7 del artículo 2 de la Ley 1150 de 2007, que había sido adicionado por la Ley 1882 de 2018</w:t>
      </w:r>
      <w:bookmarkEnd w:id="3"/>
      <w:r w:rsidRPr="00D20014">
        <w:rPr>
          <w:vertAlign w:val="superscript"/>
          <w:lang w:eastAsia="es-ES"/>
        </w:rPr>
        <w:footnoteReference w:id="1"/>
      </w:r>
      <w:r w:rsidRPr="001D0CEA">
        <w:rPr>
          <w:rFonts w:ascii="Verdana" w:eastAsia="Calibri" w:hAnsi="Verdana" w:cs="Arial"/>
          <w:lang w:val="es-ES_tradnl" w:eastAsia="es-ES"/>
        </w:rPr>
        <w:t xml:space="preserve">. Con </w:t>
      </w:r>
      <w:r w:rsidRPr="001D0CEA">
        <w:rPr>
          <w:rFonts w:ascii="Verdana" w:eastAsia="Calibri" w:hAnsi="Verdana" w:cs="Arial"/>
          <w:lang w:val="es-ES_tradnl" w:eastAsia="es-ES"/>
        </w:rPr>
        <w:lastRenderedPageBreak/>
        <w:t xml:space="preserve">esta modificación, si bien se mantuvo el mandato de aplicación obligatoria de los Documentos Tipo por parte de las entidades sometidas al </w:t>
      </w:r>
      <w:r w:rsidRPr="001D0CEA">
        <w:rPr>
          <w:rFonts w:ascii="Verdana" w:eastAsia="Calibri" w:hAnsi="Verdana" w:cs="Arial"/>
          <w:bCs/>
          <w:lang w:val="es-ES_tradnl" w:eastAsia="es-ES_tradnl"/>
        </w:rPr>
        <w:t>EGCAP</w:t>
      </w:r>
      <w:r w:rsidRPr="001D0CEA">
        <w:rPr>
          <w:rFonts w:ascii="Verdana" w:eastAsia="Calibri" w:hAnsi="Verdana" w:cs="Arial"/>
          <w:lang w:val="es-ES_tradnl" w:eastAsia="es-ES"/>
        </w:rPr>
        <w:t xml:space="preserve">, se atribuyó a la </w:t>
      </w:r>
      <w:r w:rsidRPr="001D0CEA">
        <w:rPr>
          <w:rFonts w:ascii="Verdana" w:eastAsia="Calibri" w:hAnsi="Verdana" w:cs="Arial"/>
          <w:lang w:val="es-ES_tradnl" w:eastAsia="es-ES_tradnl"/>
        </w:rPr>
        <w:t xml:space="preserve">Agencia Nacional de Contratación Pública – Colombia Compra Eficiente la competencia para su expedición. </w:t>
      </w:r>
    </w:p>
    <w:p w14:paraId="6B0E3427" w14:textId="77777777" w:rsidR="009B7B73" w:rsidRPr="00D20014" w:rsidRDefault="009B7B73" w:rsidP="009B7B73">
      <w:pPr>
        <w:spacing w:after="120" w:line="276" w:lineRule="auto"/>
        <w:ind w:firstLine="709"/>
        <w:jc w:val="both"/>
        <w:rPr>
          <w:rFonts w:ascii="Verdana" w:eastAsia="Aptos" w:hAnsi="Verdana" w:cs="Arial"/>
          <w:lang w:val="es-ES"/>
        </w:rPr>
      </w:pPr>
      <w:r w:rsidRPr="00D20014">
        <w:rPr>
          <w:rFonts w:ascii="Verdana" w:eastAsia="Aptos" w:hAnsi="Verdana" w:cs="Arial"/>
          <w:lang w:val="es-ES"/>
        </w:rPr>
        <w:t xml:space="preserve">Con sustento en esta competencia, esta Agencia ha expedido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 </w:t>
      </w:r>
    </w:p>
    <w:p w14:paraId="1AF3BBD9" w14:textId="77777777" w:rsidR="009B7B73" w:rsidRPr="00D20014" w:rsidRDefault="009B7B73" w:rsidP="009B7B73">
      <w:pPr>
        <w:spacing w:after="120" w:line="276" w:lineRule="auto"/>
        <w:ind w:firstLine="708"/>
        <w:jc w:val="both"/>
        <w:rPr>
          <w:rFonts w:ascii="Verdana" w:eastAsia="Calibri" w:hAnsi="Verdana" w:cs="Arial"/>
        </w:rPr>
      </w:pPr>
      <w:bookmarkStart w:id="4" w:name="_Hlk176861190"/>
      <w:bookmarkStart w:id="5" w:name="_Hlk176877108"/>
      <w:bookmarkEnd w:id="2"/>
      <w:r w:rsidRPr="00D20014">
        <w:rPr>
          <w:rFonts w:ascii="Verdana" w:eastAsia="Calibri" w:hAnsi="Verdana" w:cs="Arial"/>
          <w:lang w:eastAsia="es-ES_tradnl"/>
        </w:rPr>
        <w:t xml:space="preserve">De acuerdo con lo expuesto, </w:t>
      </w:r>
      <w:r w:rsidRPr="00D20014">
        <w:rPr>
          <w:rFonts w:ascii="Verdana" w:eastAsia="Calibri" w:hAnsi="Verdana" w:cs="Arial"/>
          <w:bdr w:val="none" w:sz="0" w:space="0" w:color="auto" w:frame="1"/>
          <w:lang w:eastAsia="es-ES_tradnl"/>
        </w:rPr>
        <w:t xml:space="preserve">los Documentos Tipo adoptados son obligatorios para las Entidades Estatales regidas por el </w:t>
      </w:r>
      <w:r w:rsidRPr="00D20014">
        <w:rPr>
          <w:rFonts w:ascii="Verdana" w:eastAsia="Calibri" w:hAnsi="Verdana" w:cs="Arial"/>
          <w:bCs/>
          <w:lang w:val="es-ES_tradnl" w:eastAsia="es-ES_tradnl"/>
        </w:rPr>
        <w:t>EGCAP</w:t>
      </w:r>
      <w:r w:rsidRPr="00D20014">
        <w:rPr>
          <w:rFonts w:ascii="Verdana" w:eastAsia="Calibri" w:hAnsi="Verdana" w:cs="Arial"/>
          <w:bdr w:val="none" w:sz="0" w:space="0" w:color="auto" w:frame="1"/>
          <w:lang w:eastAsia="es-ES_tradnl"/>
        </w:rPr>
        <w:t xml:space="preserve"> que adelanten Procesos de Contratación mediante las modalidades de selección y objetos contractuales cobijados por alguno de los Documentos Tipo vigentes en los diferentes sectores</w:t>
      </w:r>
      <w:r w:rsidRPr="00D20014">
        <w:rPr>
          <w:rFonts w:ascii="Verdana" w:eastAsia="Calibri" w:hAnsi="Verdana" w:cs="Arial"/>
          <w:bdr w:val="none" w:sz="0" w:space="0" w:color="auto" w:frame="1"/>
          <w:vertAlign w:val="superscript"/>
          <w:lang w:eastAsia="es-ES_tradnl"/>
        </w:rPr>
        <w:footnoteReference w:id="2"/>
      </w:r>
      <w:r w:rsidRPr="00D20014">
        <w:rPr>
          <w:rFonts w:ascii="Verdana" w:eastAsia="Calibri" w:hAnsi="Verdana" w:cs="Arial"/>
          <w:bdr w:val="none" w:sz="0" w:space="0" w:color="auto" w:frame="1"/>
          <w:lang w:eastAsia="es-ES_tradnl"/>
        </w:rPr>
        <w:t xml:space="preserve">. </w:t>
      </w:r>
      <w:r w:rsidRPr="00D20014">
        <w:rPr>
          <w:rFonts w:ascii="Verdana" w:eastAsia="Calibri" w:hAnsi="Verdana" w:cs="Arial"/>
        </w:rPr>
        <w:t xml:space="preserve">Esta obligatoriedad implica, a su vez, que las Entidades Estatales tengan que adelantar los Procesos de Contratación bajo las condiciones establecidas en los Documentos Tipo que rijan para el objeto a contratar y el procedimiento de selección aplicables, sin que puedan variarse los requisitos fijados en ellos. Lo anterior, por cuanto los Documentos Tipo se caracterizan por ser inalterables, es decir, que las Entidades Públicas carecen de la facultad de </w:t>
      </w:r>
      <w:r w:rsidRPr="00D20014">
        <w:rPr>
          <w:rFonts w:ascii="Verdana" w:eastAsia="Calibri" w:hAnsi="Verdana" w:cs="Arial"/>
        </w:rPr>
        <w:lastRenderedPageBreak/>
        <w:t xml:space="preserve">modificarlos, con excepción de aquellos aspectos que pueden diligenciar, que son las descripciones que están incluidas entre corchetes y resaltadas en gris en cada uno de los Documentos Tipo. </w:t>
      </w:r>
    </w:p>
    <w:p w14:paraId="137A3B18" w14:textId="77777777" w:rsidR="009B7B73" w:rsidRPr="00D20014" w:rsidRDefault="009B7B73" w:rsidP="009B7B73">
      <w:pPr>
        <w:spacing w:after="120" w:line="276" w:lineRule="auto"/>
        <w:ind w:firstLine="709"/>
        <w:jc w:val="both"/>
        <w:rPr>
          <w:rFonts w:ascii="Verdana" w:eastAsia="Calibri" w:hAnsi="Verdana" w:cs="Arial"/>
          <w:lang w:val="es-ES"/>
        </w:rPr>
      </w:pPr>
      <w:r w:rsidRPr="00D20014">
        <w:rPr>
          <w:rFonts w:ascii="Verdana" w:eastAsia="Calibri" w:hAnsi="Verdana" w:cs="Arial"/>
          <w:shd w:val="clear" w:color="auto" w:fill="FFFFFF"/>
          <w:lang w:val="es-ES"/>
        </w:rPr>
        <w:t xml:space="preserve">En ese orden, </w:t>
      </w:r>
      <w:r w:rsidRPr="00D20014">
        <w:rPr>
          <w:rFonts w:ascii="Verdana" w:eastAsia="Calibri" w:hAnsi="Verdana" w:cs="Arial"/>
          <w:lang w:val="es-ES"/>
        </w:rPr>
        <w:t xml:space="preserve">las Entidades Estatales regidas por el EGCAP, de conformidad con el parágrafo 7 del artículo 2 de la Ley 1150 de 2007, adicionado por la Ley 1882 de 2018 y modificado por la Ley 2022 de 2020, se encuentran obligadas a aplicar los Documentos Tipo implementados por esta Agencia para adelantar los Procesos de Contratación que se encuentren cobijados por los Documentos Tipo expedidos. Sin embargo, si el objeto contractual no se relaciona con actividades u objetos contractuales descritos en los Documentos Tipo que han sido expedidos por Colombia Compra Eficiente, o estos no aplican a la modalidad de escogencia aplicable, no será obligatorio aplicar los Pliegos Tipo. </w:t>
      </w:r>
    </w:p>
    <w:p w14:paraId="5339B13A" w14:textId="77777777" w:rsidR="009B7B73" w:rsidRPr="00D20014" w:rsidRDefault="009B7B73" w:rsidP="009B7B73">
      <w:pPr>
        <w:spacing w:after="120" w:line="276" w:lineRule="auto"/>
        <w:ind w:firstLine="709"/>
        <w:jc w:val="both"/>
        <w:rPr>
          <w:rFonts w:ascii="Verdana" w:eastAsia="Calibri" w:hAnsi="Verdana" w:cs="Arial"/>
          <w:lang w:val="es-ES_tradnl"/>
        </w:rPr>
      </w:pPr>
      <w:r w:rsidRPr="00D20014">
        <w:rPr>
          <w:rFonts w:ascii="Verdana" w:eastAsia="Calibri" w:hAnsi="Verdana" w:cs="Arial"/>
          <w:lang w:val="es-ES"/>
        </w:rPr>
        <w:t>Además del objeto y la modalidad de escogencia aplicable, para delimitar de forma más precisa el ámbito de aplicación de cada uno de los Documentos Tipo será necesario analizar la matriz de experiencia asociada a cada uno de ellos, pues estos aplicarán a los proyectos y/o actividades específicas contempladas en cada una de dichas matrices de experiencia. En este sentido, la matriz de experiencia de cada uno de los Documentos Tipo, además de estandarizar este importante requisito en los procedimientos de selección, delimita o precisa el ámbito de aplicación de estos, por lo que aplicarán a las actividades establecidas en cada una de estas matrices</w:t>
      </w:r>
      <w:r w:rsidRPr="00D20014">
        <w:rPr>
          <w:rFonts w:ascii="Verdana" w:eastAsia="Calibri" w:hAnsi="Verdana" w:cs="Arial"/>
          <w:vertAlign w:val="superscript"/>
          <w:lang w:val="es-ES"/>
        </w:rPr>
        <w:footnoteReference w:id="3"/>
      </w:r>
      <w:r w:rsidRPr="00D20014">
        <w:rPr>
          <w:rFonts w:ascii="Verdana" w:eastAsia="Calibri" w:hAnsi="Verdana" w:cs="Arial"/>
          <w:lang w:val="es-ES"/>
        </w:rPr>
        <w:t>.</w:t>
      </w:r>
    </w:p>
    <w:p w14:paraId="6750F009" w14:textId="77777777" w:rsidR="009B7B73" w:rsidRPr="00D20014" w:rsidRDefault="009B7B73" w:rsidP="009B7B73">
      <w:pPr>
        <w:spacing w:after="120" w:line="276" w:lineRule="auto"/>
        <w:jc w:val="both"/>
        <w:rPr>
          <w:rFonts w:ascii="Verdana" w:eastAsia="Aptos" w:hAnsi="Verdana" w:cs="Arial"/>
          <w:lang w:val="es-ES"/>
        </w:rPr>
      </w:pPr>
      <w:r w:rsidRPr="00D20014">
        <w:rPr>
          <w:rFonts w:ascii="Verdana" w:eastAsia="Aptos" w:hAnsi="Verdana" w:cs="Arial"/>
          <w:lang w:val="es-ES"/>
        </w:rPr>
        <w:tab/>
      </w:r>
      <w:bookmarkStart w:id="6" w:name="_Hlk104104535"/>
      <w:r w:rsidRPr="00D20014">
        <w:rPr>
          <w:rFonts w:ascii="Verdana" w:eastAsia="Aptos" w:hAnsi="Verdana" w:cs="Arial"/>
          <w:lang w:val="es-ES"/>
        </w:rPr>
        <w:t xml:space="preserve">En conclusión, la definición de si a un Proceso de Contratación le aplican los Documentos Tipo radicará en si el contrato a ejecutar </w:t>
      </w:r>
      <w:proofErr w:type="gramStart"/>
      <w:r w:rsidRPr="00D20014">
        <w:rPr>
          <w:rFonts w:ascii="Verdana" w:eastAsia="Aptos" w:hAnsi="Verdana" w:cs="Arial"/>
          <w:lang w:val="es-ES"/>
        </w:rPr>
        <w:t>se enmarca dentro de</w:t>
      </w:r>
      <w:proofErr w:type="gramEnd"/>
      <w:r w:rsidRPr="00D20014">
        <w:rPr>
          <w:rFonts w:ascii="Verdana" w:eastAsia="Aptos" w:hAnsi="Verdana" w:cs="Arial"/>
          <w:lang w:val="es-ES"/>
        </w:rPr>
        <w:t xml:space="preserve"> las actividades establecidas en la matriz de experiencia del Documento Tipo, de modo que las Entidades Estatales sometidas al EGCAP deberán aplicar los Documentos Tipo en dichos supuestos. En todo caso, independientemente de la correspondencia entre el objeto a contratar y alguna de las actividades tipificadas en las matrices de experiencia, la aplicación del Documento Tipo solo será forzosa, si además el correspondiente Documento Tipo ha sido expedido para la modalidad de escogencia en la que se debe adelantar el proceso de selección. </w:t>
      </w:r>
      <w:bookmarkEnd w:id="6"/>
    </w:p>
    <w:p w14:paraId="27156DAD" w14:textId="77777777" w:rsidR="009B7B73" w:rsidRPr="00D20014" w:rsidRDefault="009B7B73" w:rsidP="009B7B73">
      <w:pPr>
        <w:spacing w:after="120" w:line="276" w:lineRule="auto"/>
        <w:ind w:firstLine="708"/>
        <w:jc w:val="both"/>
        <w:rPr>
          <w:rFonts w:ascii="Verdana" w:eastAsia="Aptos" w:hAnsi="Verdana" w:cs="Arial"/>
          <w:lang w:val="es-ES"/>
        </w:rPr>
      </w:pPr>
      <w:r w:rsidRPr="00D20014">
        <w:rPr>
          <w:rFonts w:ascii="Verdana" w:eastAsia="Calibri" w:hAnsi="Verdana" w:cs="Arial"/>
          <w:bCs/>
          <w:lang w:val="es-ES_tradnl" w:eastAsia="es-ES_tradnl"/>
        </w:rPr>
        <w:lastRenderedPageBreak/>
        <w:t xml:space="preserve">Conforme se explicó en los párrafos anteriores, en virtud de la Ley 2022 de 2020, los Documentos Tipo expedidos por la Agencia Nacional de Contratación Pública – Colombia Compra Eficiente son de aplicación obligatoria para las Entidades Estatales sometidas al EGCAP. En ese sentido, el contenido normativo de la Ley 2022 de 2020, y en su momento también de la Ley 1882 de 2018, excluyen del ámbito de aplicación de los Documentos Tipo la contratación de Entidades Estatales de régimen exceptuado, por lo general, sujetas al derecho privado. </w:t>
      </w:r>
    </w:p>
    <w:p w14:paraId="7C1D489B" w14:textId="77777777" w:rsidR="009B7B73" w:rsidRPr="00D20014" w:rsidRDefault="009B7B73" w:rsidP="009B7B73">
      <w:pPr>
        <w:spacing w:after="120" w:line="276" w:lineRule="auto"/>
        <w:jc w:val="both"/>
        <w:rPr>
          <w:rFonts w:ascii="Verdana" w:eastAsia="Calibri" w:hAnsi="Verdana" w:cs="Arial"/>
          <w:lang w:val="es-ES" w:eastAsia="es-ES"/>
        </w:rPr>
      </w:pPr>
      <w:proofErr w:type="spellStart"/>
      <w:r>
        <w:rPr>
          <w:rFonts w:ascii="Verdana" w:eastAsia="Calibri" w:hAnsi="Verdana" w:cs="Arial"/>
          <w:lang w:val="es-ES" w:eastAsia="es-ES"/>
        </w:rPr>
        <w:t>ii</w:t>
      </w:r>
      <w:proofErr w:type="spellEnd"/>
      <w:r>
        <w:rPr>
          <w:rFonts w:ascii="Verdana" w:eastAsia="Calibri" w:hAnsi="Verdana" w:cs="Arial"/>
          <w:lang w:val="es-ES" w:eastAsia="es-ES"/>
        </w:rPr>
        <w:t xml:space="preserve">. </w:t>
      </w:r>
      <w:r w:rsidRPr="00D20014">
        <w:rPr>
          <w:rFonts w:ascii="Verdana" w:eastAsia="Calibri" w:hAnsi="Verdana" w:cs="Arial"/>
          <w:lang w:val="es-ES" w:eastAsia="es-ES"/>
        </w:rPr>
        <w:t xml:space="preserve">No obstante, este panorama </w:t>
      </w:r>
      <w:r>
        <w:rPr>
          <w:rFonts w:ascii="Verdana" w:eastAsia="Calibri" w:hAnsi="Verdana" w:cs="Arial"/>
          <w:lang w:val="es-ES" w:eastAsia="es-ES"/>
        </w:rPr>
        <w:t xml:space="preserve">varió </w:t>
      </w:r>
      <w:r w:rsidRPr="00D20014">
        <w:rPr>
          <w:rFonts w:ascii="Verdana" w:eastAsia="Calibri" w:hAnsi="Verdana" w:cs="Arial"/>
          <w:lang w:val="es-ES" w:eastAsia="es-ES"/>
        </w:rPr>
        <w:t xml:space="preserve">con la expedición de la Ley 2195 de 2022, “Por medio de la cual se adoptan medidas en materia de transparencia, prevención y lucha contra la corrupción y se dictan otras disposiciones”. De conformidad con su artículo 1, esta norma tiene por objeto la adopción de diferentes medidas tendientes a prevenir los actos de corrupción, reforzar la articulación de las entidades del Estado y a recuperar los daños ocasionados por la corrupción, promoviendo la cultura de la legalidad e integridad. </w:t>
      </w:r>
    </w:p>
    <w:p w14:paraId="0A775C72" w14:textId="77777777" w:rsidR="009B7B73" w:rsidRPr="00D20014" w:rsidRDefault="009B7B73" w:rsidP="009B7B73">
      <w:pPr>
        <w:spacing w:after="0" w:line="276" w:lineRule="auto"/>
        <w:ind w:firstLine="708"/>
        <w:jc w:val="both"/>
        <w:rPr>
          <w:rFonts w:ascii="Verdana" w:eastAsia="Calibri" w:hAnsi="Verdana" w:cs="Arial"/>
          <w:bCs/>
          <w:lang w:val="es-ES_tradnl" w:eastAsia="es-ES_tradnl"/>
        </w:rPr>
      </w:pPr>
      <w:r w:rsidRPr="00D20014">
        <w:rPr>
          <w:rFonts w:ascii="Verdana" w:eastAsia="Calibri" w:hAnsi="Verdana" w:cs="Arial"/>
          <w:bCs/>
          <w:lang w:val="es-ES_tradnl" w:eastAsia="es-ES_tradnl"/>
        </w:rPr>
        <w:t>Entre las medidas adoptadas por la Ley mencionada se destaca el artículo 56, norma sobre la que versa la presente consulta. Esta disposición se refiere de manera expresa a los documentos tipo y a su aplicabilidad a sujetos diferentes de las entidades estatales sometidas al Estatuto General de Contratación de la Administración Pública:</w:t>
      </w:r>
    </w:p>
    <w:p w14:paraId="202237E4" w14:textId="77777777" w:rsidR="009B7B73" w:rsidRPr="00D20014" w:rsidRDefault="009B7B73" w:rsidP="009B7B73">
      <w:pPr>
        <w:tabs>
          <w:tab w:val="left" w:pos="0"/>
        </w:tabs>
        <w:spacing w:after="0" w:line="276" w:lineRule="auto"/>
        <w:jc w:val="both"/>
        <w:rPr>
          <w:rFonts w:ascii="Arial" w:eastAsia="Calibri" w:hAnsi="Arial" w:cs="Arial"/>
          <w:bCs/>
          <w:szCs w:val="24"/>
          <w:lang w:val="es-ES_tradnl" w:eastAsia="es-ES_tradnl"/>
        </w:rPr>
      </w:pPr>
    </w:p>
    <w:p w14:paraId="5BC6DB53" w14:textId="77777777" w:rsidR="009B7B73" w:rsidRPr="00FD7250" w:rsidRDefault="009B7B73" w:rsidP="009B7B73">
      <w:pPr>
        <w:tabs>
          <w:tab w:val="left" w:pos="0"/>
        </w:tabs>
        <w:spacing w:after="0" w:line="240" w:lineRule="auto"/>
        <w:ind w:left="709" w:right="709"/>
        <w:jc w:val="both"/>
        <w:rPr>
          <w:rFonts w:ascii="Verdana" w:eastAsia="Times New Roman" w:hAnsi="Verdana" w:cs="Arial"/>
          <w:sz w:val="20"/>
          <w:szCs w:val="20"/>
          <w:lang w:val="es-ES_tradnl" w:eastAsia="es-ES_tradnl"/>
        </w:rPr>
      </w:pPr>
      <w:r w:rsidRPr="00FD7250">
        <w:rPr>
          <w:rFonts w:ascii="Verdana" w:eastAsia="Times New Roman" w:hAnsi="Verdana" w:cs="Arial"/>
          <w:sz w:val="20"/>
          <w:szCs w:val="20"/>
          <w:lang w:val="es-ES_tradnl" w:eastAsia="es-ES_tradnl"/>
        </w:rPr>
        <w:t xml:space="preserve">Artículo 56. Aplicación de los documentos tipo a entidades de régimen especial. Para la adquisición de bienes, obras o servicios, las entidades estatales sometidas al Estatuto General de Contratación de la Administración Pública que celebren contratos o convenios interadministrativos o de cualquier otra índole, con otra entidad estatal o con patrimonios autónomos o con personas naturales o jurídicas de derecho privado, cuyo régimen de contratación sea especial o de derecho privado, deberán aplicar los documentos tipo adoptados por la Agencia Nacional de Contratación Pública - Colombia Compra Eficiente o quien haga sus veces, conforme al parágrafo 7 del artículo 2 de la Ley 1150 de 2007 o las normas que lo modifiquen o sustituyan. </w:t>
      </w:r>
    </w:p>
    <w:p w14:paraId="76D8F383" w14:textId="77777777" w:rsidR="009B7B73" w:rsidRPr="00FD7250" w:rsidRDefault="009B7B73" w:rsidP="009B7B73">
      <w:pPr>
        <w:tabs>
          <w:tab w:val="left" w:pos="0"/>
        </w:tabs>
        <w:spacing w:after="0" w:line="240" w:lineRule="auto"/>
        <w:ind w:left="709" w:right="709"/>
        <w:jc w:val="both"/>
        <w:rPr>
          <w:rFonts w:ascii="Verdana" w:eastAsia="Times New Roman" w:hAnsi="Verdana" w:cs="Arial"/>
          <w:sz w:val="20"/>
          <w:szCs w:val="20"/>
          <w:lang w:val="es-ES_tradnl" w:eastAsia="es-ES_tradnl"/>
        </w:rPr>
      </w:pPr>
    </w:p>
    <w:p w14:paraId="7C02EC29" w14:textId="77777777" w:rsidR="009B7B73" w:rsidRPr="00FD7250" w:rsidRDefault="009B7B73" w:rsidP="009B7B73">
      <w:pPr>
        <w:tabs>
          <w:tab w:val="left" w:pos="0"/>
        </w:tabs>
        <w:spacing w:after="0" w:line="240" w:lineRule="auto"/>
        <w:ind w:left="709" w:right="709"/>
        <w:jc w:val="both"/>
        <w:rPr>
          <w:rFonts w:ascii="Verdana" w:eastAsia="Times New Roman" w:hAnsi="Verdana" w:cs="Arial"/>
          <w:sz w:val="20"/>
          <w:szCs w:val="20"/>
          <w:lang w:val="es-ES_tradnl" w:eastAsia="es-ES_tradnl"/>
        </w:rPr>
      </w:pPr>
      <w:r w:rsidRPr="00FD7250">
        <w:rPr>
          <w:rFonts w:ascii="Verdana" w:eastAsia="Times New Roman" w:hAnsi="Verdana" w:cs="Arial"/>
          <w:sz w:val="20"/>
          <w:szCs w:val="20"/>
          <w:lang w:val="es-ES_tradnl" w:eastAsia="es-ES_tradnl"/>
        </w:rPr>
        <w:t xml:space="preserve">Los procedimientos de selección y los contratos que realicen en desarrollo de los anteriores negocios jurídicos, donde apliquen los documentos tipo se regirán por el Estatuto General de Contratación de la Administración Pública. </w:t>
      </w:r>
    </w:p>
    <w:p w14:paraId="172ADF9A" w14:textId="77777777" w:rsidR="009B7B73" w:rsidRPr="00FD7250" w:rsidRDefault="009B7B73" w:rsidP="009B7B73">
      <w:pPr>
        <w:tabs>
          <w:tab w:val="left" w:pos="0"/>
        </w:tabs>
        <w:spacing w:after="0" w:line="240" w:lineRule="auto"/>
        <w:ind w:left="709" w:right="709"/>
        <w:jc w:val="both"/>
        <w:rPr>
          <w:rFonts w:ascii="Verdana" w:eastAsia="Times New Roman" w:hAnsi="Verdana" w:cs="Arial"/>
          <w:sz w:val="20"/>
          <w:szCs w:val="20"/>
          <w:lang w:val="es-ES_tradnl" w:eastAsia="es-ES_tradnl"/>
        </w:rPr>
      </w:pPr>
    </w:p>
    <w:p w14:paraId="62D0D06A" w14:textId="77777777" w:rsidR="009B7B73" w:rsidRPr="00FD7250" w:rsidRDefault="009B7B73" w:rsidP="009B7B73">
      <w:pPr>
        <w:spacing w:after="0" w:line="240" w:lineRule="auto"/>
        <w:ind w:left="709" w:right="709"/>
        <w:jc w:val="both"/>
        <w:rPr>
          <w:rFonts w:ascii="Verdana" w:eastAsia="Calibri" w:hAnsi="Verdana" w:cs="Arial"/>
          <w:sz w:val="20"/>
          <w:szCs w:val="20"/>
          <w:lang w:val="es-ES" w:eastAsia="es-ES"/>
        </w:rPr>
      </w:pPr>
      <w:r w:rsidRPr="00FD7250">
        <w:rPr>
          <w:rFonts w:ascii="Verdana" w:eastAsia="Times New Roman" w:hAnsi="Verdana" w:cs="Arial"/>
          <w:sz w:val="20"/>
          <w:szCs w:val="20"/>
          <w:lang w:val="es-ES" w:eastAsia="es-ES"/>
        </w:rPr>
        <w:t xml:space="preserve">Parágrafo. Se exceptúan del presente artículo las Instituciones de Educación Superior públicas, las empresas sociales del Estado, las sociedades de economía mixta y las empresas industriales y comerciales </w:t>
      </w:r>
      <w:r w:rsidRPr="00FD7250">
        <w:rPr>
          <w:rFonts w:ascii="Verdana" w:eastAsia="Times New Roman" w:hAnsi="Verdana" w:cs="Arial"/>
          <w:sz w:val="20"/>
          <w:szCs w:val="20"/>
          <w:lang w:val="es-ES" w:eastAsia="es-ES"/>
        </w:rPr>
        <w:lastRenderedPageBreak/>
        <w:t xml:space="preserve">del Estado, únicamente en cuanto a la contratación de su </w:t>
      </w:r>
      <w:r w:rsidRPr="00FD7250">
        <w:rPr>
          <w:rFonts w:ascii="Verdana" w:eastAsia="Times New Roman" w:hAnsi="Verdana" w:cs="Arial"/>
          <w:i/>
          <w:iCs/>
          <w:sz w:val="20"/>
          <w:szCs w:val="20"/>
          <w:lang w:val="es-ES" w:eastAsia="es-ES"/>
        </w:rPr>
        <w:t>giro ordinario</w:t>
      </w:r>
      <w:r w:rsidRPr="00FD7250">
        <w:rPr>
          <w:rFonts w:ascii="Verdana" w:eastAsia="Times New Roman" w:hAnsi="Verdana" w:cs="Arial"/>
          <w:sz w:val="20"/>
          <w:szCs w:val="20"/>
          <w:lang w:val="es-ES" w:eastAsia="es-ES"/>
        </w:rPr>
        <w:t>. En estos casos, en los manuales de contratación de estas entidades, se fomentará como buena práctica la aplicación de los pliegos tipo.</w:t>
      </w:r>
    </w:p>
    <w:p w14:paraId="7FD8588E" w14:textId="77777777" w:rsidR="009B7B73" w:rsidRPr="00D20014" w:rsidRDefault="009B7B73" w:rsidP="009B7B73">
      <w:pPr>
        <w:tabs>
          <w:tab w:val="left" w:pos="0"/>
        </w:tabs>
        <w:spacing w:after="0" w:line="276" w:lineRule="auto"/>
        <w:jc w:val="both"/>
        <w:rPr>
          <w:rFonts w:ascii="Arial" w:eastAsia="Calibri" w:hAnsi="Arial" w:cs="Arial"/>
          <w:bCs/>
          <w:szCs w:val="24"/>
          <w:lang w:val="es-ES_tradnl" w:eastAsia="es-ES_tradnl"/>
        </w:rPr>
      </w:pPr>
    </w:p>
    <w:p w14:paraId="29CA4EED" w14:textId="77777777" w:rsidR="009B7B73" w:rsidRDefault="009B7B73" w:rsidP="009B7B73">
      <w:pPr>
        <w:tabs>
          <w:tab w:val="left" w:pos="0"/>
        </w:tabs>
        <w:spacing w:after="120" w:line="276" w:lineRule="auto"/>
        <w:jc w:val="both"/>
        <w:rPr>
          <w:rFonts w:ascii="Verdana" w:hAnsi="Verdana" w:cs="Arial"/>
          <w:color w:val="000000" w:themeColor="text1"/>
        </w:rPr>
      </w:pPr>
      <w:r w:rsidRPr="00D20014">
        <w:rPr>
          <w:rFonts w:ascii="Arial" w:eastAsia="Calibri" w:hAnsi="Arial" w:cs="Arial"/>
          <w:bCs/>
          <w:szCs w:val="24"/>
          <w:lang w:val="es-ES_tradnl" w:eastAsia="es-ES_tradnl"/>
        </w:rPr>
        <w:tab/>
      </w:r>
      <w:r w:rsidRPr="00D20014">
        <w:rPr>
          <w:rFonts w:ascii="Verdana" w:eastAsia="Calibri" w:hAnsi="Verdana" w:cs="Arial"/>
          <w:bCs/>
          <w:szCs w:val="24"/>
          <w:lang w:val="es-ES_tradnl" w:eastAsia="es-ES_tradnl"/>
        </w:rPr>
        <w:t xml:space="preserve">Las implicaciones de lo establecido en esta norma son variadas y se presentan en múltiples ámbitos de la actividad contractual de las entidades estatales, que como consecuencia de la entrada en vigor de la disposición en cita, ven alterado su régimen jurídico. </w:t>
      </w:r>
      <w:r>
        <w:rPr>
          <w:rFonts w:ascii="Verdana" w:hAnsi="Verdana" w:cs="Arial"/>
          <w:color w:val="000000" w:themeColor="text1"/>
        </w:rPr>
        <w:t xml:space="preserve">En tal sentido, de acuerdo con el concepto de unificación C-870 del 13 de agosto de 2025, esta Subdirección determinó el alcance del artículo 56 de la Ley 2195 de 2022. </w:t>
      </w:r>
    </w:p>
    <w:p w14:paraId="5142A001" w14:textId="77777777" w:rsidR="009B7B73" w:rsidRPr="00B5229A" w:rsidRDefault="009B7B73" w:rsidP="009B7B73">
      <w:pPr>
        <w:spacing w:after="120" w:line="276" w:lineRule="auto"/>
        <w:ind w:firstLine="709"/>
        <w:jc w:val="both"/>
        <w:rPr>
          <w:rFonts w:ascii="Verdana" w:eastAsia="Calibri" w:hAnsi="Verdana" w:cs="Arial"/>
          <w:lang w:eastAsia="es-ES"/>
        </w:rPr>
      </w:pPr>
      <w:r>
        <w:rPr>
          <w:rFonts w:ascii="Verdana" w:eastAsia="Calibri" w:hAnsi="Verdana" w:cs="Arial"/>
          <w:lang w:val="es-ES" w:eastAsia="es-ES"/>
        </w:rPr>
        <w:t xml:space="preserve"> </w:t>
      </w:r>
      <w:r w:rsidRPr="00A83537">
        <w:rPr>
          <w:rFonts w:ascii="Verdana" w:eastAsia="Calibri" w:hAnsi="Verdana" w:cs="Arial"/>
          <w:lang w:eastAsia="es-ES"/>
        </w:rPr>
        <w:t>Para</w:t>
      </w:r>
      <w:r>
        <w:rPr>
          <w:rFonts w:ascii="Verdana" w:eastAsia="Calibri" w:hAnsi="Verdana" w:cs="Arial"/>
          <w:lang w:eastAsia="es-ES"/>
        </w:rPr>
        <w:t xml:space="preserve"> tales efectos</w:t>
      </w:r>
      <w:r w:rsidRPr="00A83537">
        <w:rPr>
          <w:rFonts w:ascii="Verdana" w:eastAsia="Calibri" w:hAnsi="Verdana" w:cs="Arial"/>
          <w:lang w:eastAsia="es-ES"/>
        </w:rPr>
        <w:t>, se estim</w:t>
      </w:r>
      <w:r>
        <w:rPr>
          <w:rFonts w:ascii="Verdana" w:eastAsia="Calibri" w:hAnsi="Verdana" w:cs="Arial"/>
          <w:lang w:eastAsia="es-ES"/>
        </w:rPr>
        <w:t>ó</w:t>
      </w:r>
      <w:r w:rsidRPr="00A83537">
        <w:rPr>
          <w:rFonts w:ascii="Verdana" w:eastAsia="Calibri" w:hAnsi="Verdana" w:cs="Arial"/>
          <w:lang w:eastAsia="es-ES"/>
        </w:rPr>
        <w:t xml:space="preserve"> que la interpretación más adecuada de la norma, atendiendo a su tenor literal y al espíritu </w:t>
      </w:r>
      <w:r>
        <w:rPr>
          <w:rFonts w:ascii="Verdana" w:eastAsia="Calibri" w:hAnsi="Verdana" w:cs="Arial"/>
          <w:lang w:eastAsia="es-ES"/>
        </w:rPr>
        <w:t>de la misma</w:t>
      </w:r>
      <w:r w:rsidRPr="00A83537">
        <w:rPr>
          <w:rFonts w:ascii="Verdana" w:eastAsia="Calibri" w:hAnsi="Verdana" w:cs="Arial"/>
          <w:lang w:eastAsia="es-ES"/>
        </w:rPr>
        <w:t xml:space="preserve">, se alinea con la tesis expuesta en el </w:t>
      </w:r>
      <w:r>
        <w:rPr>
          <w:rFonts w:ascii="Verdana" w:eastAsia="Calibri" w:hAnsi="Verdana" w:cs="Arial"/>
          <w:lang w:eastAsia="es-ES"/>
        </w:rPr>
        <w:t>c</w:t>
      </w:r>
      <w:r w:rsidRPr="00A83537">
        <w:rPr>
          <w:rFonts w:ascii="Verdana" w:eastAsia="Calibri" w:hAnsi="Verdana" w:cs="Arial"/>
          <w:lang w:eastAsia="es-ES"/>
        </w:rPr>
        <w:t>oncepto C-066 del 28 de enero de 2022</w:t>
      </w:r>
      <w:r>
        <w:rPr>
          <w:rFonts w:ascii="Verdana" w:eastAsia="Calibri" w:hAnsi="Verdana" w:cs="Arial"/>
          <w:lang w:eastAsia="es-ES"/>
        </w:rPr>
        <w:t xml:space="preserve"> </w:t>
      </w:r>
      <w:r w:rsidRPr="00FF2FD8">
        <w:rPr>
          <w:rFonts w:ascii="Verdana" w:hAnsi="Verdana"/>
        </w:rPr>
        <w:t>desarrollada y complementada en los conceptos</w:t>
      </w:r>
      <w:r>
        <w:rPr>
          <w:rFonts w:ascii="Verdana" w:hAnsi="Verdana"/>
          <w:sz w:val="16"/>
          <w:szCs w:val="16"/>
        </w:rPr>
        <w:t xml:space="preserve"> </w:t>
      </w:r>
      <w:r w:rsidRPr="00393D3E">
        <w:rPr>
          <w:rFonts w:ascii="Verdana" w:hAnsi="Verdana"/>
        </w:rPr>
        <w:t>C-320 del 20 de mayo de 2022, C-333 del 24 de mayo de 2022, C-404 del 26 de mayo de 2023, C-382 del 27 de mayo de 2022, C-388 del 15 de junio de 2022, C-423 del 5 de julio de 2022, C-435 del 6 de julio de 2023, C-453 del 15 de julio de 2022, C-483 del 5 de agosto de 2022, C-556 del 3 de agosto de 2022, C-532 del 22 de agosto de 2022, C-341 del 27 de mayo de 2022, C-382 del 27 de mayo de 2022, C-449 del 25 de julio de 2022, C-453 del 14 de julio de 2022,  C-488 del 29 de julio de 2022, C-501 del 29 de julio de 2022,  C-155 del 7 de marzo de 2025, C-202 del 26 de marzo de 2025, C-298 del 16 de abril de 2025 y C-808 del 30 de julio de</w:t>
      </w:r>
      <w:r>
        <w:rPr>
          <w:rFonts w:ascii="Verdana" w:hAnsi="Verdana"/>
        </w:rPr>
        <w:t xml:space="preserve"> </w:t>
      </w:r>
      <w:r w:rsidRPr="00393D3E">
        <w:rPr>
          <w:rFonts w:ascii="Verdana" w:hAnsi="Verdana"/>
        </w:rPr>
        <w:t>2025.</w:t>
      </w:r>
    </w:p>
    <w:p w14:paraId="04013244" w14:textId="77777777" w:rsidR="009B7B73" w:rsidRPr="00D20014" w:rsidRDefault="009B7B73" w:rsidP="009B7B73">
      <w:pPr>
        <w:spacing w:after="120" w:line="276" w:lineRule="auto"/>
        <w:jc w:val="both"/>
        <w:rPr>
          <w:rFonts w:ascii="Verdana" w:eastAsia="Calibri" w:hAnsi="Verdana" w:cs="Arial"/>
          <w:lang w:val="es-ES"/>
        </w:rPr>
      </w:pPr>
      <w:r w:rsidRPr="00D20014">
        <w:rPr>
          <w:rFonts w:ascii="Arial" w:eastAsia="Calibri" w:hAnsi="Arial" w:cs="Arial"/>
          <w:bCs/>
          <w:lang w:val="es-ES_tradnl"/>
        </w:rPr>
        <w:tab/>
      </w:r>
      <w:bookmarkStart w:id="7" w:name="_Hlk99351345"/>
      <w:r w:rsidRPr="00D20014">
        <w:rPr>
          <w:rFonts w:ascii="Verdana" w:eastAsia="Calibri" w:hAnsi="Verdana" w:cs="Arial"/>
          <w:lang w:val="es-ES"/>
        </w:rPr>
        <w:t xml:space="preserve"> </w:t>
      </w:r>
      <w:r>
        <w:rPr>
          <w:rFonts w:ascii="Verdana" w:eastAsia="Calibri" w:hAnsi="Verdana" w:cs="Arial"/>
          <w:lang w:val="es-ES"/>
        </w:rPr>
        <w:t xml:space="preserve">De esta forma, </w:t>
      </w:r>
      <w:r w:rsidRPr="0018056C">
        <w:rPr>
          <w:rFonts w:ascii="Verdana" w:eastAsia="Calibri" w:hAnsi="Verdana" w:cs="Arial"/>
          <w:lang w:val="es-ES"/>
        </w:rPr>
        <w:t xml:space="preserve">el primer inciso del artículo 56 de la Ley 2195 de 2022 surge como una disposición complementaria de la Ley 2022 de 2020, en la medida en que, según se desprende de su texto, de una parte, la norma busca extender la aplicación obligatoria de los documentos tipo a la celebración de contratos o convenios interadministrativos entre entidades regidas por EGCAP y otros sujetos cuyo régimen de contratación prevalente es el derecho privado. Esto de tal forma que cuando una entidad estatal regida por el EGCAP celebre contratos o convenios con otra i) entidad estatal de régimen especial o con </w:t>
      </w:r>
      <w:proofErr w:type="spellStart"/>
      <w:r w:rsidRPr="0018056C">
        <w:rPr>
          <w:rFonts w:ascii="Verdana" w:eastAsia="Calibri" w:hAnsi="Verdana" w:cs="Arial"/>
          <w:lang w:val="es-ES"/>
        </w:rPr>
        <w:t>ii</w:t>
      </w:r>
      <w:proofErr w:type="spellEnd"/>
      <w:r w:rsidRPr="0018056C">
        <w:rPr>
          <w:rFonts w:ascii="Verdana" w:eastAsia="Calibri" w:hAnsi="Verdana" w:cs="Arial"/>
          <w:lang w:val="es-ES"/>
        </w:rPr>
        <w:t xml:space="preserve">) patrimonios autónomos o </w:t>
      </w:r>
      <w:proofErr w:type="spellStart"/>
      <w:r w:rsidRPr="0018056C">
        <w:rPr>
          <w:rFonts w:ascii="Verdana" w:eastAsia="Calibri" w:hAnsi="Verdana" w:cs="Arial"/>
          <w:lang w:val="es-ES"/>
        </w:rPr>
        <w:t>iii</w:t>
      </w:r>
      <w:proofErr w:type="spellEnd"/>
      <w:r w:rsidRPr="0018056C">
        <w:rPr>
          <w:rFonts w:ascii="Verdana" w:eastAsia="Calibri" w:hAnsi="Verdana" w:cs="Arial"/>
          <w:lang w:val="es-ES"/>
        </w:rPr>
        <w:t>) con personas naturales o jurídicas de derecho privado, tenga que hacerlo aplicando documentos tipo. Los efectos del primer inciso del artículo 56 se proyectarían entonces a los contratos o convenios interadministrativos o de cualquier otra índole, que se deban celebrar con estos sujetos, cuyos objetos comprendan la adquisición de bienes, obras o servicios, que, al tenor de lo dispuesto en el apartado normativo bajo examen, deberán celebrarse mediante documentos tipo</w:t>
      </w:r>
      <w:r w:rsidRPr="00893489">
        <w:rPr>
          <w:rFonts w:ascii="Verdana" w:eastAsia="Calibri" w:hAnsi="Verdana" w:cs="Arial"/>
          <w:lang w:val="es-ES"/>
        </w:rPr>
        <w:t>.</w:t>
      </w:r>
    </w:p>
    <w:bookmarkEnd w:id="7"/>
    <w:p w14:paraId="3CF1FD65" w14:textId="77777777" w:rsidR="009B7B73" w:rsidRPr="00D20014" w:rsidRDefault="009B7B73" w:rsidP="009B7B73">
      <w:pPr>
        <w:tabs>
          <w:tab w:val="left" w:pos="0"/>
        </w:tabs>
        <w:spacing w:after="120" w:line="276" w:lineRule="auto"/>
        <w:jc w:val="both"/>
        <w:rPr>
          <w:rFonts w:ascii="Verdana" w:eastAsia="Calibri" w:hAnsi="Verdana" w:cs="Arial"/>
          <w:lang w:val="es-ES" w:eastAsia="es-ES"/>
        </w:rPr>
      </w:pPr>
      <w:r w:rsidRPr="00D20014">
        <w:rPr>
          <w:rFonts w:ascii="Verdana" w:eastAsia="Calibri" w:hAnsi="Verdana" w:cs="Arial"/>
          <w:bCs/>
          <w:lang w:val="es-ES_tradnl" w:eastAsia="es-ES_tradnl"/>
        </w:rPr>
        <w:lastRenderedPageBreak/>
        <w:tab/>
      </w:r>
      <w:r w:rsidRPr="00D20014">
        <w:rPr>
          <w:rFonts w:ascii="Verdana" w:eastAsia="Calibri" w:hAnsi="Verdana" w:cs="Arial"/>
          <w:lang w:val="es-ES" w:eastAsia="es-ES"/>
        </w:rPr>
        <w:t xml:space="preserve"> Sin perjuicio de lo anterior, solo es posible comprender los efectos de lo dispuesto en el artículo 56 de la </w:t>
      </w:r>
      <w:bookmarkStart w:id="8" w:name="_Hlk205276572"/>
      <w:r w:rsidRPr="00D20014">
        <w:rPr>
          <w:rFonts w:ascii="Verdana" w:eastAsia="Calibri" w:hAnsi="Verdana" w:cs="Arial"/>
          <w:lang w:val="es-ES" w:eastAsia="es-ES"/>
        </w:rPr>
        <w:t>Ley 2195 de 202</w:t>
      </w:r>
      <w:r>
        <w:rPr>
          <w:rFonts w:ascii="Verdana" w:eastAsia="Calibri" w:hAnsi="Verdana" w:cs="Arial"/>
          <w:lang w:val="es-ES" w:eastAsia="es-ES"/>
        </w:rPr>
        <w:t>2</w:t>
      </w:r>
      <w:r w:rsidRPr="00D20014">
        <w:rPr>
          <w:rFonts w:ascii="Verdana" w:eastAsia="Calibri" w:hAnsi="Verdana" w:cs="Arial"/>
          <w:lang w:val="es-ES" w:eastAsia="es-ES"/>
        </w:rPr>
        <w:t xml:space="preserve"> </w:t>
      </w:r>
      <w:bookmarkEnd w:id="8"/>
      <w:r w:rsidRPr="00D20014">
        <w:rPr>
          <w:rFonts w:ascii="Verdana" w:eastAsia="Calibri" w:hAnsi="Verdana" w:cs="Arial"/>
          <w:lang w:val="es-ES" w:eastAsia="es-ES"/>
        </w:rPr>
        <w:t xml:space="preserve">cuando se interpretan en conjunto todos sus componentes. Esto comoquiera que, a lo anterior se le suman las implicaciones de lo ordenado por el segundo inciso de la norma en estudio cuando usa la expresión “los procedimientos de selección y contratos que realicen en desarrollo de los anteriores negocios jurídicos”, a los que se refiere el primer inciso, en los que, además de la aplicación de los documentos tipo, se dispone la aplicación del EGCAP. </w:t>
      </w:r>
    </w:p>
    <w:p w14:paraId="2A92E95A" w14:textId="77777777" w:rsidR="009B7B73" w:rsidRPr="00D20014" w:rsidRDefault="009B7B73" w:rsidP="009B7B73">
      <w:pPr>
        <w:tabs>
          <w:tab w:val="left" w:pos="0"/>
        </w:tabs>
        <w:spacing w:after="120" w:line="276" w:lineRule="auto"/>
        <w:jc w:val="both"/>
        <w:rPr>
          <w:rFonts w:ascii="Verdana" w:eastAsia="Calibri" w:hAnsi="Verdana" w:cs="Arial"/>
          <w:lang w:val="es-ES" w:eastAsia="es-ES"/>
        </w:rPr>
      </w:pPr>
      <w:r w:rsidRPr="00D20014">
        <w:rPr>
          <w:rFonts w:ascii="Verdana" w:eastAsia="Calibri" w:hAnsi="Verdana" w:cs="Arial"/>
          <w:lang w:val="es-ES" w:eastAsia="es-ES"/>
        </w:rPr>
        <w:tab/>
        <w:t xml:space="preserve">De acuerdo con esto, el cambio normativo que supone el artículo en comento no se agota con el mandato de aplicación obligatoria de los documentos tipo en los convenios o contratos que celebren las entidades estatales regidas por el EGCAP con otras entidades de régimen especial, patrimonios autónomos, personas naturales o jurídicas de derecho privado, pues, según se desprende del segundo inciso de la norma, esta además ordena la aplicación del EGCAP a los Procesos de Contratación que se adelanten y a los contratos que se celebren con ocasión de los contratos o convenios a los que se refiere el primer inciso. Esto significa que, ya sea una entidad estatal de régimen especial, un patrimonio autónomo o una persona natural o jurídica de derecho privado, en virtud de lo dispuesto en los incisos primero y segundo del artículo 56 </w:t>
      </w:r>
      <w:proofErr w:type="spellStart"/>
      <w:r w:rsidRPr="00D20014">
        <w:rPr>
          <w:rFonts w:ascii="Verdana" w:eastAsia="Calibri" w:hAnsi="Verdana" w:cs="Arial"/>
          <w:lang w:val="es-ES" w:eastAsia="es-ES"/>
        </w:rPr>
        <w:t>ejusdem</w:t>
      </w:r>
      <w:proofErr w:type="spellEnd"/>
      <w:r w:rsidRPr="00D20014">
        <w:rPr>
          <w:rFonts w:ascii="Verdana" w:eastAsia="Calibri" w:hAnsi="Verdana" w:cs="Arial"/>
          <w:lang w:val="es-ES" w:eastAsia="es-ES"/>
        </w:rPr>
        <w:t xml:space="preserve">, si, en efecto, deben subcontratar bienes, obras o servicios, en cumplimiento de un contrato o convenio interadministrativo o de cualquier otra índole, con una entidad estatal sometida a la Ley 80 de 1993, deberá adelantar el procedimiento de selección, así como celebrar el respectivo contrato, implementando los documentos tipo  y aplicando las disposiciones del EGCAP. </w:t>
      </w:r>
    </w:p>
    <w:p w14:paraId="610EFD7B" w14:textId="77777777" w:rsidR="009B7B73" w:rsidRPr="00D20014" w:rsidRDefault="009B7B73" w:rsidP="009B7B73">
      <w:pPr>
        <w:tabs>
          <w:tab w:val="left" w:pos="0"/>
        </w:tabs>
        <w:spacing w:after="120" w:line="276" w:lineRule="auto"/>
        <w:jc w:val="both"/>
        <w:rPr>
          <w:rFonts w:ascii="Verdana" w:eastAsia="Calibri" w:hAnsi="Verdana" w:cs="Arial"/>
          <w:lang w:val="es-ES" w:eastAsia="es-ES"/>
        </w:rPr>
      </w:pPr>
      <w:r w:rsidRPr="00D20014">
        <w:rPr>
          <w:rFonts w:ascii="Arial" w:eastAsia="Calibri" w:hAnsi="Arial" w:cs="Arial"/>
          <w:bCs/>
          <w:color w:val="000000"/>
          <w:lang w:val="es-ES_tradnl"/>
        </w:rPr>
        <w:tab/>
      </w:r>
      <w:r w:rsidRPr="00D20014">
        <w:rPr>
          <w:rFonts w:ascii="Verdana" w:eastAsia="Calibri" w:hAnsi="Verdana" w:cs="Arial"/>
          <w:lang w:val="es-ES" w:eastAsia="es-ES"/>
        </w:rPr>
        <w:t xml:space="preserve">Esta, además, es la interpretación que se desprende de la justificación del proyecto normativo que se convirtió en la Ley 2195 de 2022, en la que, respecto de los contratos ejecutados por entidades de derecho privado, se refirió a la “[..] obligatoriedad de aplicar los documentos tipo, aun si son ejecutados con entidades de régimen especial”, como uno de los propósitos de la Ley.  Conforme se indica en la justificación </w:t>
      </w:r>
      <w:r>
        <w:rPr>
          <w:rFonts w:ascii="Verdana" w:eastAsia="Calibri" w:hAnsi="Verdana" w:cs="Arial"/>
          <w:lang w:val="es-ES" w:eastAsia="es-ES"/>
        </w:rPr>
        <w:t xml:space="preserve">jurídica </w:t>
      </w:r>
      <w:r w:rsidRPr="00D20014">
        <w:rPr>
          <w:rFonts w:ascii="Verdana" w:eastAsia="Calibri" w:hAnsi="Verdana" w:cs="Arial"/>
          <w:lang w:val="es-ES" w:eastAsia="es-ES"/>
        </w:rPr>
        <w:t>del proyecto ley</w:t>
      </w:r>
      <w:r>
        <w:rPr>
          <w:rFonts w:ascii="Verdana" w:eastAsia="Calibri" w:hAnsi="Verdana" w:cs="Arial"/>
          <w:lang w:val="es-ES" w:eastAsia="es-ES"/>
        </w:rPr>
        <w:t>, este</w:t>
      </w:r>
      <w:r w:rsidRPr="00D20014">
        <w:rPr>
          <w:rFonts w:ascii="Verdana" w:eastAsia="Calibri" w:hAnsi="Verdana" w:cs="Arial"/>
          <w:lang w:val="es-ES" w:eastAsia="es-ES"/>
        </w:rPr>
        <w:t xml:space="preserve">: </w:t>
      </w:r>
    </w:p>
    <w:p w14:paraId="171F4515" w14:textId="77777777" w:rsidR="009B7B73" w:rsidRPr="00D20014" w:rsidRDefault="009B7B73" w:rsidP="009B7B73">
      <w:pPr>
        <w:tabs>
          <w:tab w:val="left" w:pos="0"/>
        </w:tabs>
        <w:spacing w:after="0" w:line="276" w:lineRule="auto"/>
        <w:jc w:val="both"/>
        <w:rPr>
          <w:rFonts w:ascii="Verdana" w:eastAsia="Calibri" w:hAnsi="Verdana" w:cs="Arial"/>
          <w:lang w:val="es-ES" w:eastAsia="es-ES"/>
        </w:rPr>
      </w:pPr>
    </w:p>
    <w:p w14:paraId="25A9F199" w14:textId="77777777" w:rsidR="009B7B73" w:rsidRPr="00D26C5E" w:rsidRDefault="009B7B73" w:rsidP="009B7B73">
      <w:pPr>
        <w:tabs>
          <w:tab w:val="left" w:pos="0"/>
        </w:tabs>
        <w:spacing w:after="0"/>
        <w:ind w:left="709" w:right="709"/>
        <w:jc w:val="both"/>
        <w:rPr>
          <w:rFonts w:ascii="Verdana" w:eastAsia="Calibri" w:hAnsi="Verdana" w:cs="Arial"/>
          <w:bCs/>
          <w:color w:val="000000"/>
          <w:sz w:val="20"/>
          <w:szCs w:val="20"/>
          <w:lang w:val="es-ES_tradnl"/>
        </w:rPr>
      </w:pPr>
      <w:r w:rsidRPr="00D26C5E">
        <w:rPr>
          <w:rFonts w:ascii="Verdana" w:eastAsia="Calibri" w:hAnsi="Verdana" w:cs="Arial"/>
          <w:bCs/>
          <w:color w:val="000000"/>
          <w:sz w:val="20"/>
          <w:szCs w:val="20"/>
          <w:lang w:val="es-ES_tradnl"/>
        </w:rPr>
        <w:t xml:space="preserve">“[…] determina la aplicación de documentos tipo, en los términos del parágrafo 7 del artículo 2 de la Ley 1150 de 2007 o las normas que lo modifiquen o sustituyan, en los eventos en que entidades públicas sometidas al Estatuto General de Contratación de la Administración Pública celebren contratos o convenios interadministrativos o de cualquier otra índole con otras entidades estatales, patrimonios autónomos o </w:t>
      </w:r>
      <w:r w:rsidRPr="00D26C5E">
        <w:rPr>
          <w:rFonts w:ascii="Verdana" w:eastAsia="Calibri" w:hAnsi="Verdana" w:cs="Arial"/>
          <w:bCs/>
          <w:color w:val="000000"/>
          <w:sz w:val="20"/>
          <w:szCs w:val="20"/>
          <w:lang w:val="es-ES_tradnl"/>
        </w:rPr>
        <w:lastRenderedPageBreak/>
        <w:t>personas naturales o jurídicas de derecho privado. Así mismo, se determina que los procedimientos de selección y los contratos realizados en dichos negocios jurídicos deben regirse por las normas de contratación pública”</w:t>
      </w:r>
      <w:r w:rsidRPr="00D26C5E">
        <w:rPr>
          <w:rFonts w:ascii="Verdana" w:eastAsia="Calibri" w:hAnsi="Verdana" w:cs="Arial"/>
          <w:color w:val="000000"/>
          <w:sz w:val="20"/>
          <w:szCs w:val="20"/>
          <w:vertAlign w:val="superscript"/>
        </w:rPr>
        <w:footnoteReference w:id="4"/>
      </w:r>
      <w:r w:rsidRPr="00D26C5E">
        <w:rPr>
          <w:rFonts w:ascii="Verdana" w:eastAsia="Calibri" w:hAnsi="Verdana" w:cs="Arial"/>
          <w:bCs/>
          <w:color w:val="000000"/>
          <w:sz w:val="20"/>
          <w:szCs w:val="20"/>
          <w:lang w:val="es-ES_tradnl"/>
        </w:rPr>
        <w:t xml:space="preserve">. </w:t>
      </w:r>
    </w:p>
    <w:p w14:paraId="03A6528D" w14:textId="77777777" w:rsidR="009B7B73" w:rsidRPr="00D20014" w:rsidRDefault="009B7B73" w:rsidP="009B7B73">
      <w:pPr>
        <w:tabs>
          <w:tab w:val="left" w:pos="0"/>
        </w:tabs>
        <w:spacing w:after="0" w:line="276" w:lineRule="auto"/>
        <w:jc w:val="both"/>
        <w:rPr>
          <w:rFonts w:ascii="Arial" w:eastAsia="Calibri" w:hAnsi="Arial" w:cs="Arial"/>
          <w:bCs/>
          <w:color w:val="000000"/>
          <w:lang w:val="es-ES_tradnl"/>
        </w:rPr>
      </w:pPr>
      <w:r w:rsidRPr="00D20014">
        <w:rPr>
          <w:rFonts w:ascii="Arial" w:eastAsia="Calibri" w:hAnsi="Arial" w:cs="Arial"/>
          <w:bCs/>
          <w:color w:val="000000"/>
          <w:lang w:val="es-ES_tradnl"/>
        </w:rPr>
        <w:tab/>
        <w:t xml:space="preserve"> </w:t>
      </w:r>
    </w:p>
    <w:p w14:paraId="1EB9A824" w14:textId="77777777" w:rsidR="009B7B73" w:rsidRPr="00D20014" w:rsidRDefault="009B7B73" w:rsidP="009B7B73">
      <w:pPr>
        <w:spacing w:after="120" w:line="276" w:lineRule="auto"/>
        <w:jc w:val="both"/>
        <w:rPr>
          <w:rFonts w:ascii="Verdana" w:eastAsia="Calibri" w:hAnsi="Verdana" w:cs="Arial"/>
          <w:color w:val="000000"/>
          <w:lang w:val="es-ES"/>
        </w:rPr>
      </w:pPr>
      <w:r w:rsidRPr="00D20014">
        <w:rPr>
          <w:rFonts w:ascii="Arial" w:eastAsia="Calibri" w:hAnsi="Arial" w:cs="Arial"/>
          <w:bCs/>
          <w:color w:val="000000"/>
          <w:lang w:val="es-ES_tradnl"/>
        </w:rPr>
        <w:tab/>
      </w:r>
      <w:r w:rsidRPr="00D20014">
        <w:rPr>
          <w:rFonts w:ascii="Verdana" w:eastAsia="Calibri" w:hAnsi="Verdana" w:cs="Arial"/>
          <w:color w:val="000000"/>
          <w:lang w:val="es-ES"/>
        </w:rPr>
        <w:t xml:space="preserve">De lo anterior se </w:t>
      </w:r>
      <w:r>
        <w:rPr>
          <w:rFonts w:ascii="Verdana" w:eastAsia="Calibri" w:hAnsi="Verdana" w:cs="Arial"/>
          <w:color w:val="000000"/>
          <w:lang w:val="es-ES"/>
        </w:rPr>
        <w:t xml:space="preserve">evidencia </w:t>
      </w:r>
      <w:r w:rsidRPr="00D20014">
        <w:rPr>
          <w:rFonts w:ascii="Verdana" w:eastAsia="Calibri" w:hAnsi="Verdana" w:cs="Arial"/>
          <w:color w:val="000000"/>
          <w:lang w:val="es-ES"/>
        </w:rPr>
        <w:t>que el propósito del legislador con la expedición de la norma objeto de consulta, tal como se ha explicado, es que las entidades estatales que tienen como régimen contractual el EGCAP no puedan eludir su aplicación, ni la de los documentos tipo que resulten obligatorios, celebrando convenios o contratos interadministrativo o de cualquier otra índole, con entidades exceptuadas o particulares sometidos al derecho privado, para que sean estos últimos quienes, en el marco de sus regímenes especiales o de derecho privado, realicen la subcontratación de los bienes, obras o servicios que demanda la entidad estatal, en una suerte de tercerización de la contratación. Lo anterior teniendo en cuenta que, a la luz de lo dispuesto en el artículo 56 de la Ley 2195 de 2022, tales entidades exceptuadas, patrimonios autónomos o particulares, que han suscrito convenios o contratos de cualquier índole con entidades sometidas al EGCAP, estarán obligadas a aplicar dicho estatuto para la subcontratación derivada de obras, bienes</w:t>
      </w:r>
      <w:r>
        <w:rPr>
          <w:rFonts w:ascii="Verdana" w:eastAsia="Calibri" w:hAnsi="Verdana" w:cs="Arial"/>
          <w:color w:val="000000"/>
          <w:lang w:val="es-ES"/>
        </w:rPr>
        <w:t xml:space="preserve"> </w:t>
      </w:r>
      <w:r w:rsidRPr="00D20014">
        <w:rPr>
          <w:rFonts w:ascii="Verdana" w:eastAsia="Calibri" w:hAnsi="Verdana" w:cs="Arial"/>
          <w:color w:val="000000"/>
          <w:lang w:val="es-ES"/>
        </w:rPr>
        <w:t>o servicios, siempre que exista documento</w:t>
      </w:r>
      <w:r>
        <w:rPr>
          <w:rFonts w:ascii="Verdana" w:eastAsia="Calibri" w:hAnsi="Verdana" w:cs="Arial"/>
          <w:color w:val="000000"/>
          <w:lang w:val="es-ES"/>
        </w:rPr>
        <w:t>s</w:t>
      </w:r>
      <w:r w:rsidRPr="00D20014">
        <w:rPr>
          <w:rFonts w:ascii="Verdana" w:eastAsia="Calibri" w:hAnsi="Verdana" w:cs="Arial"/>
          <w:color w:val="000000"/>
          <w:lang w:val="es-ES"/>
        </w:rPr>
        <w:t xml:space="preserve"> tipo en el sector en el que se adelanta la contratación.  </w:t>
      </w:r>
    </w:p>
    <w:p w14:paraId="53743A67" w14:textId="77777777" w:rsidR="009B7B73" w:rsidRPr="00D20014" w:rsidRDefault="009B7B73" w:rsidP="009B7B73">
      <w:pPr>
        <w:spacing w:after="120" w:line="276" w:lineRule="auto"/>
        <w:ind w:firstLine="709"/>
        <w:jc w:val="both"/>
        <w:rPr>
          <w:rFonts w:ascii="Verdana" w:eastAsia="Calibri" w:hAnsi="Verdana" w:cs="Arial"/>
          <w:lang w:val="es-ES" w:eastAsia="es-ES"/>
        </w:rPr>
      </w:pPr>
      <w:r w:rsidRPr="00D20014">
        <w:rPr>
          <w:rFonts w:ascii="Verdana" w:eastAsia="Calibri" w:hAnsi="Verdana" w:cs="Arial"/>
          <w:lang w:val="es-ES" w:eastAsia="es-ES"/>
        </w:rPr>
        <w:t>En este punto es necesario analizar los efectos del artículo 56 de la Ley 2195 de 2022, respecto de lo dispuesto en el artículo 2, numeral 4, de la Ley 1150 de 2007, particularmente, de lo establecido en el tercer inciso del literal c). Lo anterior por cuanto esta norma, al establecer como causal de contratación directa la celebración de convenios o contratos interadministrativos regulaba la normativa aplicable a estos cuando el régimen prevalente de la entidad encargada de la ejecución no fuera el de la Ley 80 de 1993, casos en los que la norma imponía la aplicación de esta normativa, a menos que la entidad ejecutora desarrollara su actividad en competencia con el sector privado, o cuando la ejecución del contrato tuviere relación directa con el desarrollo de su actividad, eventos en los que se imponía el derecho privado.</w:t>
      </w:r>
    </w:p>
    <w:p w14:paraId="2CF16CA4" w14:textId="77777777" w:rsidR="009B7B73" w:rsidRPr="00D20014" w:rsidRDefault="009B7B73" w:rsidP="009B7B73">
      <w:pPr>
        <w:spacing w:after="120" w:line="276" w:lineRule="auto"/>
        <w:ind w:firstLine="709"/>
        <w:jc w:val="both"/>
        <w:rPr>
          <w:rFonts w:ascii="Verdana" w:eastAsia="Calibri" w:hAnsi="Verdana" w:cs="Arial"/>
          <w:lang w:val="es-ES" w:eastAsia="es-ES"/>
        </w:rPr>
      </w:pPr>
      <w:r w:rsidRPr="00D20014">
        <w:rPr>
          <w:rFonts w:ascii="Verdana" w:eastAsia="Calibri" w:hAnsi="Verdana" w:cs="Arial"/>
          <w:lang w:val="es-ES" w:eastAsia="es-ES"/>
        </w:rPr>
        <w:t xml:space="preserve"> En ese sentido, en este último evento el tercer inciso del literal c) del artículo 2, numeral 4 de la Ley 1150 de 2007 daba pie a la aplicación de normas de derecho privado, lo que evidencia una supuesta o aparente tensión entre este </w:t>
      </w:r>
      <w:r w:rsidRPr="00D20014">
        <w:rPr>
          <w:rFonts w:ascii="Verdana" w:eastAsia="Calibri" w:hAnsi="Verdana" w:cs="Arial"/>
          <w:lang w:val="es-ES" w:eastAsia="es-ES"/>
        </w:rPr>
        <w:lastRenderedPageBreak/>
        <w:t xml:space="preserve">y el artículo 56 de la Ley 2195 de 2022, en lo que se refiere al régimen aplicable en estas situaciones, comoquiera que, en estos eventos, al tenor de criterios interpretativos aplicados a lo dispuesto en esta última norma, se entendía que debía aplicarse el EGCAP y los Documentos Tipo. </w:t>
      </w:r>
    </w:p>
    <w:p w14:paraId="44E1A6A5" w14:textId="77777777" w:rsidR="009B7B73" w:rsidRPr="00D20014" w:rsidRDefault="009B7B73" w:rsidP="009B7B73">
      <w:pPr>
        <w:spacing w:after="120" w:line="276" w:lineRule="auto"/>
        <w:jc w:val="both"/>
        <w:rPr>
          <w:rFonts w:ascii="Verdana" w:eastAsia="Calibri" w:hAnsi="Verdana" w:cs="Arial"/>
          <w:lang w:val="es-ES" w:eastAsia="es-ES"/>
        </w:rPr>
      </w:pPr>
      <w:r w:rsidRPr="00D20014">
        <w:rPr>
          <w:rFonts w:ascii="Verdana" w:eastAsia="Calibri" w:hAnsi="Verdana" w:cs="Arial"/>
          <w:bCs/>
          <w:lang w:val="es-ES_tradnl" w:eastAsia="es-ES_tradnl"/>
        </w:rPr>
        <w:tab/>
      </w:r>
      <w:r w:rsidRPr="00D20014">
        <w:rPr>
          <w:rFonts w:ascii="Verdana" w:eastAsia="Calibri" w:hAnsi="Verdana" w:cs="Arial"/>
          <w:lang w:val="es-ES" w:eastAsia="es-ES"/>
        </w:rPr>
        <w:t>Lo anterior suponía una antinomia entre el literal c) del artículo 2, numeral 4, de la Ley 1150 de 2007 y el artículo 56 de la Ley 2195 de 2022, en la medida en que para un mismo supuesto de hecho –la celebración de un convenio interadministrativo entre una entidad sometida al EGCAP y otra exceptuada, en la que la última es la ejecutora y desarrolla su actividad en competencia con el sector privado–, se establecían diferentes consecuencias jurídicas, ya que mientras que la primera norma dispone la aplicación del derecho privado, la última impone la aplicación de Documentos Tipo y del EGCAP. Esta aparente contradicción, como se expuso en el numeral anterior, debe ser resuelta en favor del artículo 56 de la Ley 2195 de 2022.</w:t>
      </w:r>
    </w:p>
    <w:p w14:paraId="1FC2E455" w14:textId="77777777" w:rsidR="009B7B73" w:rsidRPr="00D20014" w:rsidRDefault="009B7B73" w:rsidP="009B7B73">
      <w:pPr>
        <w:tabs>
          <w:tab w:val="left" w:pos="0"/>
        </w:tabs>
        <w:spacing w:after="120" w:line="276" w:lineRule="auto"/>
        <w:jc w:val="both"/>
        <w:rPr>
          <w:rFonts w:ascii="Verdana" w:eastAsia="Calibri" w:hAnsi="Verdana" w:cs="Arial"/>
          <w:bCs/>
          <w:lang w:val="es-ES_tradnl" w:eastAsia="es-ES_tradnl"/>
        </w:rPr>
      </w:pPr>
      <w:r w:rsidRPr="00D20014">
        <w:rPr>
          <w:rFonts w:ascii="Verdana" w:eastAsia="Calibri" w:hAnsi="Verdana" w:cs="Arial"/>
          <w:bCs/>
          <w:lang w:val="es-ES_tradnl" w:eastAsia="es-ES_tradnl"/>
        </w:rPr>
        <w:tab/>
        <w:t xml:space="preserve">En efecto, tratándose de disposiciones de igual jerarquía normativa –ambas son leyes ordinarias–, que coinciden en su ámbito de aplicación, debe colegirse que, en lo que respecta al régimen aplicable a los contratos con entidades exceptuadas ejecutoras de contratos o convenios interadministrativos, que desarrollen su actividad en competencia con el sector privado, el artículo 56 de la Ley 2195 de 2022 supuso una modificación tácita del artículo 2, numeral 4, literal c), de la Ley 1150 de 2007. </w:t>
      </w:r>
    </w:p>
    <w:p w14:paraId="12BE42EF" w14:textId="77777777" w:rsidR="009B7B73" w:rsidRPr="00670F8B" w:rsidRDefault="009B7B73" w:rsidP="009B7B73">
      <w:pPr>
        <w:spacing w:after="120" w:line="276" w:lineRule="auto"/>
        <w:jc w:val="both"/>
        <w:rPr>
          <w:rFonts w:ascii="Verdana" w:eastAsia="Calibri" w:hAnsi="Verdana" w:cs="Arial"/>
          <w:lang w:val="es-ES" w:eastAsia="es-ES"/>
        </w:rPr>
      </w:pPr>
      <w:r w:rsidRPr="00D20014">
        <w:rPr>
          <w:rFonts w:ascii="Verdana" w:eastAsia="Calibri" w:hAnsi="Verdana" w:cs="Arial"/>
          <w:bCs/>
          <w:lang w:val="es-ES_tradnl" w:eastAsia="es-ES_tradnl"/>
        </w:rPr>
        <w:tab/>
      </w:r>
      <w:r w:rsidRPr="00D20014">
        <w:rPr>
          <w:rFonts w:ascii="Verdana" w:eastAsia="Calibri" w:hAnsi="Verdana" w:cs="Arial"/>
          <w:lang w:val="es-ES" w:eastAsia="es-ES"/>
        </w:rPr>
        <w:t xml:space="preserve">En tales términos, de lo analizado hasta aquí es posible concluir que el efecto principal de la norma bajo estudio es la ampliación de los Documentos Tipo, al hacerlos obligatorios frente a unos sujetos que, en principio, de acuerdo con la Ley 2022 de 2020 y el literal c) del numeral 4 del artículo 2 de la Ley 1150 de 2007, no estarían sometidos a esos documentos. Para complementar esta medida, la disposición además hace extensiva la aplicación del EGCAP a estos sujetos que, en virtud de su naturaleza jurídica, tienen, como regla general, un régimen de contratación diferente, tales como las entidades exceptuadas, los patrimonios autónomos y las personas naturales y jurídicas de derecho privado, a los que expresamente hace alusión el artículo 56. De esta forma, independientemente de que el inciso tercero del literal c) del artículo 2, numeral 4, de la Ley 1150 de 2007 parezca indicar que se debe aplicar el derecho privado, por ser este el régimen que por regla general aplica la entidad ejecutora, tratándose de objetos cobijados por Documentos Tipo, los mismos deberán ser </w:t>
      </w:r>
      <w:r w:rsidRPr="00D20014">
        <w:rPr>
          <w:rFonts w:ascii="Verdana" w:eastAsia="Calibri" w:hAnsi="Verdana" w:cs="Arial"/>
          <w:lang w:val="es-ES" w:eastAsia="es-ES"/>
        </w:rPr>
        <w:lastRenderedPageBreak/>
        <w:t xml:space="preserve">contratados aplicando tales Pliegos Tipo y las disposiciones del EGCAP, por efecto del artículo 56 de la Ley 2195 de 2022.  </w:t>
      </w:r>
      <w:r w:rsidRPr="00B12239">
        <w:rPr>
          <w:rFonts w:ascii="Verdana" w:eastAsia="Calibri" w:hAnsi="Verdana" w:cs="Arial"/>
          <w:bCs/>
          <w:highlight w:val="yellow"/>
          <w:lang w:val="es-ES_tradnl" w:eastAsia="es-ES_tradnl"/>
        </w:rPr>
        <w:t xml:space="preserve"> </w:t>
      </w:r>
    </w:p>
    <w:p w14:paraId="281A8B30" w14:textId="77777777" w:rsidR="009B7B73" w:rsidRDefault="009B7B73" w:rsidP="009B7B73">
      <w:pPr>
        <w:tabs>
          <w:tab w:val="left" w:pos="0"/>
        </w:tabs>
        <w:spacing w:after="120" w:line="276" w:lineRule="auto"/>
        <w:ind w:firstLine="709"/>
        <w:jc w:val="both"/>
        <w:rPr>
          <w:rFonts w:ascii="Verdana" w:eastAsia="Calibri" w:hAnsi="Verdana" w:cs="Arial"/>
          <w:bCs/>
          <w:lang w:val="es-ES_tradnl"/>
        </w:rPr>
      </w:pPr>
      <w:r>
        <w:rPr>
          <w:rFonts w:ascii="Verdana" w:hAnsi="Verdana" w:cs="Arial"/>
          <w:bCs/>
          <w:color w:val="000000" w:themeColor="text1"/>
          <w:lang w:val="es-ES_tradnl"/>
        </w:rPr>
        <w:t xml:space="preserve">En este contexto, </w:t>
      </w:r>
      <w:r>
        <w:rPr>
          <w:rFonts w:ascii="Verdana" w:eastAsia="Calibri" w:hAnsi="Verdana" w:cs="Arial"/>
          <w:bCs/>
          <w:lang w:val="es-ES_tradnl" w:eastAsia="es-ES_tradnl"/>
        </w:rPr>
        <w:t>d</w:t>
      </w:r>
      <w:r w:rsidRPr="007D6E27">
        <w:rPr>
          <w:rFonts w:ascii="Verdana" w:eastAsia="Calibri" w:hAnsi="Verdana" w:cs="Arial"/>
          <w:bCs/>
          <w:lang w:val="es-ES_tradnl" w:eastAsia="es-ES_tradnl"/>
        </w:rPr>
        <w:t>e la lectura conjunta de los incisos primero y segundo</w:t>
      </w:r>
      <w:r w:rsidRPr="00202EAB">
        <w:rPr>
          <w:rFonts w:ascii="Verdana" w:eastAsia="Calibri" w:hAnsi="Verdana" w:cs="Arial"/>
          <w:bCs/>
          <w:lang w:eastAsia="es-ES_tradnl"/>
        </w:rPr>
        <w:t xml:space="preserve"> </w:t>
      </w:r>
      <w:r>
        <w:rPr>
          <w:rFonts w:ascii="Verdana" w:eastAsia="Calibri" w:hAnsi="Verdana" w:cs="Arial"/>
          <w:bCs/>
          <w:lang w:eastAsia="es-ES_tradnl"/>
        </w:rPr>
        <w:t>d</w:t>
      </w:r>
      <w:r w:rsidRPr="00202EAB">
        <w:rPr>
          <w:rFonts w:ascii="Verdana" w:eastAsia="Calibri" w:hAnsi="Verdana" w:cs="Arial"/>
          <w:bCs/>
          <w:lang w:eastAsia="es-ES_tradnl"/>
        </w:rPr>
        <w:t>el artículo 56 de la Ley 2195 de 2022,</w:t>
      </w:r>
      <w:r w:rsidRPr="007D6E27">
        <w:rPr>
          <w:rFonts w:ascii="Verdana" w:eastAsia="Calibri" w:hAnsi="Verdana" w:cs="Arial"/>
          <w:bCs/>
          <w:lang w:val="es-ES_tradnl" w:eastAsia="es-ES_tradnl"/>
        </w:rPr>
        <w:t xml:space="preserve"> se desprende que </w:t>
      </w:r>
      <w:r w:rsidRPr="00202EAB">
        <w:rPr>
          <w:rFonts w:ascii="Verdana" w:eastAsia="Calibri" w:hAnsi="Verdana" w:cs="Arial"/>
          <w:bCs/>
          <w:lang w:eastAsia="es-ES_tradnl"/>
        </w:rPr>
        <w:t>cuando se celebre un contrato</w:t>
      </w:r>
      <w:r>
        <w:rPr>
          <w:rFonts w:ascii="Verdana" w:eastAsia="Calibri" w:hAnsi="Verdana" w:cs="Arial"/>
          <w:bCs/>
          <w:lang w:eastAsia="es-ES_tradnl"/>
        </w:rPr>
        <w:t xml:space="preserve"> o </w:t>
      </w:r>
      <w:r w:rsidRPr="00202EAB">
        <w:rPr>
          <w:rFonts w:ascii="Verdana" w:eastAsia="Calibri" w:hAnsi="Verdana" w:cs="Arial"/>
          <w:bCs/>
          <w:lang w:eastAsia="es-ES_tradnl"/>
        </w:rPr>
        <w:t xml:space="preserve">convenio interadministrativo o </w:t>
      </w:r>
      <w:r>
        <w:rPr>
          <w:rFonts w:ascii="Verdana" w:eastAsia="Calibri" w:hAnsi="Verdana" w:cs="Arial"/>
          <w:bCs/>
          <w:lang w:eastAsia="es-ES_tradnl"/>
        </w:rPr>
        <w:t xml:space="preserve">de </w:t>
      </w:r>
      <w:r w:rsidRPr="00202EAB">
        <w:rPr>
          <w:rFonts w:ascii="Verdana" w:eastAsia="Calibri" w:hAnsi="Verdana" w:cs="Arial"/>
          <w:bCs/>
          <w:lang w:eastAsia="es-ES_tradnl"/>
        </w:rPr>
        <w:t>cualquier otr</w:t>
      </w:r>
      <w:r>
        <w:rPr>
          <w:rFonts w:ascii="Verdana" w:eastAsia="Calibri" w:hAnsi="Verdana" w:cs="Arial"/>
          <w:bCs/>
          <w:lang w:eastAsia="es-ES_tradnl"/>
        </w:rPr>
        <w:t>a índole entre una entidad sometida al EGCAP y los sujetos allí mencionados,</w:t>
      </w:r>
      <w:r w:rsidRPr="00202EAB">
        <w:rPr>
          <w:rFonts w:ascii="Verdana" w:eastAsia="Calibri" w:hAnsi="Verdana" w:cs="Arial"/>
          <w:bCs/>
          <w:lang w:eastAsia="es-ES_tradnl"/>
        </w:rPr>
        <w:t xml:space="preserve"> del cual se derive la ejecución de objetos contractuales incluidos dentro del ámbito de aplicación de los documentos tipo, su celebración deberá realizarse por parte del ejecutor o de quien tenga a su cargo el deber legal de materializar dicha contratación, haciendo uso obligatorio de dichos documentos</w:t>
      </w:r>
      <w:r w:rsidRPr="007C52C9">
        <w:rPr>
          <w:rFonts w:ascii="Arial" w:eastAsia="Calibri" w:hAnsi="Arial" w:cs="Arial"/>
          <w:bCs/>
          <w:lang w:val="es-ES_tradnl"/>
        </w:rPr>
        <w:t xml:space="preserve"> </w:t>
      </w:r>
      <w:r w:rsidRPr="007C52C9">
        <w:rPr>
          <w:rFonts w:ascii="Verdana" w:eastAsia="Calibri" w:hAnsi="Verdana" w:cs="Arial"/>
          <w:bCs/>
          <w:lang w:val="es-ES_tradnl"/>
        </w:rPr>
        <w:t xml:space="preserve">siempre que exista documento tipo aplicable al objeto contractual que se planea contratar. Esto significa que los contratos no relacionados con los contratos y convenios adquiridos con la entidad sometida al EGCAP no tendrían que aplicar los documentos tipo, salvo que quieran hacerlo como una buena práctica de contratación. </w:t>
      </w:r>
    </w:p>
    <w:p w14:paraId="1D5A8B67" w14:textId="77777777" w:rsidR="009B7B73" w:rsidRDefault="009B7B73" w:rsidP="009B7B73">
      <w:pPr>
        <w:spacing w:after="120" w:line="276" w:lineRule="auto"/>
        <w:ind w:firstLine="601"/>
        <w:jc w:val="both"/>
        <w:rPr>
          <w:rFonts w:ascii="Verdana" w:eastAsia="Calibri" w:hAnsi="Verdana" w:cs="Arial"/>
        </w:rPr>
      </w:pPr>
      <w:r>
        <w:rPr>
          <w:rFonts w:ascii="Verdana" w:eastAsia="Aptos" w:hAnsi="Verdana" w:cs="Arial"/>
          <w:color w:val="000000"/>
          <w:shd w:val="clear" w:color="auto" w:fill="FFFFFF"/>
          <w:lang w:val="es-ES_tradnl"/>
        </w:rPr>
        <w:t xml:space="preserve">Los efectos de la norma en mención </w:t>
      </w:r>
      <w:r w:rsidRPr="00B61C5C">
        <w:rPr>
          <w:rFonts w:ascii="Verdana" w:eastAsia="Calibri" w:hAnsi="Verdana" w:cs="Arial"/>
        </w:rPr>
        <w:t>no está</w:t>
      </w:r>
      <w:r>
        <w:rPr>
          <w:rFonts w:ascii="Verdana" w:eastAsia="Calibri" w:hAnsi="Verdana" w:cs="Arial"/>
        </w:rPr>
        <w:t>n</w:t>
      </w:r>
      <w:r w:rsidRPr="00B61C5C">
        <w:rPr>
          <w:rFonts w:ascii="Verdana" w:eastAsia="Calibri" w:hAnsi="Verdana" w:cs="Arial"/>
        </w:rPr>
        <w:t xml:space="preserve"> condicionad</w:t>
      </w:r>
      <w:r>
        <w:rPr>
          <w:rFonts w:ascii="Verdana" w:eastAsia="Calibri" w:hAnsi="Verdana" w:cs="Arial"/>
        </w:rPr>
        <w:t>os</w:t>
      </w:r>
      <w:r w:rsidRPr="00B61C5C">
        <w:rPr>
          <w:rFonts w:ascii="Verdana" w:eastAsia="Calibri" w:hAnsi="Verdana" w:cs="Arial"/>
        </w:rPr>
        <w:t xml:space="preserve"> al número de entidades que suscriban el convenio ni a la proporción de participación de cada una</w:t>
      </w:r>
      <w:r>
        <w:rPr>
          <w:rFonts w:ascii="Verdana" w:eastAsia="Calibri" w:hAnsi="Verdana" w:cs="Arial"/>
        </w:rPr>
        <w:t>, puesto que</w:t>
      </w:r>
      <w:r w:rsidRPr="00B61C5C">
        <w:rPr>
          <w:rFonts w:ascii="Verdana" w:eastAsia="Calibri" w:hAnsi="Verdana" w:cs="Arial"/>
        </w:rPr>
        <w:t xml:space="preserve"> la sola celebración del convenio o contrato </w:t>
      </w:r>
      <w:r>
        <w:rPr>
          <w:rFonts w:ascii="Verdana" w:eastAsia="Calibri" w:hAnsi="Verdana" w:cs="Arial"/>
        </w:rPr>
        <w:t>interadministrativo entre las entidades</w:t>
      </w:r>
      <w:r w:rsidRPr="00B61C5C">
        <w:rPr>
          <w:rFonts w:ascii="Verdana" w:eastAsia="Calibri" w:hAnsi="Verdana" w:cs="Arial"/>
        </w:rPr>
        <w:t xml:space="preserve"> señaladas </w:t>
      </w:r>
      <w:r>
        <w:rPr>
          <w:rFonts w:ascii="Verdana" w:eastAsia="Calibri" w:hAnsi="Verdana" w:cs="Arial"/>
        </w:rPr>
        <w:t>en la norma conlleva a la aplicación de los documentos tipo</w:t>
      </w:r>
      <w:r w:rsidRPr="00B61C5C">
        <w:rPr>
          <w:rFonts w:ascii="Verdana" w:eastAsia="Calibri" w:hAnsi="Verdana" w:cs="Arial"/>
        </w:rPr>
        <w:t>. En consecuencia, incluso si</w:t>
      </w:r>
      <w:r>
        <w:rPr>
          <w:rFonts w:ascii="Verdana" w:eastAsia="Calibri" w:hAnsi="Verdana" w:cs="Arial"/>
        </w:rPr>
        <w:t xml:space="preserve"> la mayoría</w:t>
      </w:r>
      <w:r w:rsidRPr="00B61C5C">
        <w:rPr>
          <w:rFonts w:ascii="Verdana" w:eastAsia="Calibri" w:hAnsi="Verdana" w:cs="Arial"/>
        </w:rPr>
        <w:t xml:space="preserve"> de las partes </w:t>
      </w:r>
      <w:r>
        <w:rPr>
          <w:rFonts w:ascii="Verdana" w:eastAsia="Calibri" w:hAnsi="Verdana" w:cs="Arial"/>
        </w:rPr>
        <w:t>del convenio</w:t>
      </w:r>
      <w:r w:rsidRPr="00B61C5C">
        <w:rPr>
          <w:rFonts w:ascii="Verdana" w:eastAsia="Calibri" w:hAnsi="Verdana" w:cs="Arial"/>
        </w:rPr>
        <w:t xml:space="preserve"> no está sometida a</w:t>
      </w:r>
      <w:r>
        <w:rPr>
          <w:rFonts w:ascii="Verdana" w:eastAsia="Calibri" w:hAnsi="Verdana" w:cs="Arial"/>
        </w:rPr>
        <w:t>l EGCAP</w:t>
      </w:r>
      <w:r w:rsidRPr="00B61C5C">
        <w:rPr>
          <w:rFonts w:ascii="Verdana" w:eastAsia="Calibri" w:hAnsi="Verdana" w:cs="Arial"/>
        </w:rPr>
        <w:t xml:space="preserve">, la inclusión de un sujeto que sí lo esté obliga a la aplicación </w:t>
      </w:r>
      <w:proofErr w:type="gramStart"/>
      <w:r w:rsidRPr="00B61C5C">
        <w:rPr>
          <w:rFonts w:ascii="Verdana" w:eastAsia="Calibri" w:hAnsi="Verdana" w:cs="Arial"/>
        </w:rPr>
        <w:t>del mismo</w:t>
      </w:r>
      <w:proofErr w:type="gramEnd"/>
      <w:r w:rsidRPr="00B61C5C">
        <w:rPr>
          <w:rFonts w:ascii="Verdana" w:eastAsia="Calibri" w:hAnsi="Verdana" w:cs="Arial"/>
        </w:rPr>
        <w:t xml:space="preserve"> para todo el</w:t>
      </w:r>
      <w:r>
        <w:rPr>
          <w:rFonts w:ascii="Verdana" w:eastAsia="Calibri" w:hAnsi="Verdana" w:cs="Arial"/>
        </w:rPr>
        <w:t xml:space="preserve"> convenio o contrato. </w:t>
      </w:r>
    </w:p>
    <w:p w14:paraId="35A2B587" w14:textId="77777777" w:rsidR="009B7B73" w:rsidRPr="00F7189F" w:rsidRDefault="009B7B73" w:rsidP="009B7B73">
      <w:pPr>
        <w:tabs>
          <w:tab w:val="left" w:pos="0"/>
        </w:tabs>
        <w:spacing w:after="120" w:line="276" w:lineRule="auto"/>
        <w:ind w:firstLine="709"/>
        <w:jc w:val="both"/>
        <w:rPr>
          <w:rFonts w:ascii="Verdana" w:eastAsia="Calibri" w:hAnsi="Verdana" w:cs="Arial"/>
          <w:bCs/>
          <w:lang w:val="es-ES_tradnl"/>
        </w:rPr>
      </w:pPr>
      <w:r>
        <w:rPr>
          <w:rFonts w:ascii="Verdana" w:eastAsia="Calibri" w:hAnsi="Verdana" w:cs="Arial"/>
          <w:bCs/>
          <w:lang w:val="es-ES_tradnl"/>
        </w:rPr>
        <w:t>De esta manera</w:t>
      </w:r>
      <w:r w:rsidRPr="002D4B50">
        <w:rPr>
          <w:rFonts w:ascii="Verdana" w:eastAsia="Calibri" w:hAnsi="Verdana" w:cs="Arial"/>
          <w:bCs/>
          <w:lang w:val="es-ES_tradnl"/>
        </w:rPr>
        <w:t>, si un</w:t>
      </w:r>
      <w:r>
        <w:rPr>
          <w:rFonts w:ascii="Verdana" w:eastAsia="Calibri" w:hAnsi="Verdana" w:cs="Arial"/>
          <w:bCs/>
          <w:lang w:val="es-ES_tradnl"/>
        </w:rPr>
        <w:t xml:space="preserve">a entidad de régimen especial </w:t>
      </w:r>
      <w:r w:rsidRPr="002D4B50">
        <w:rPr>
          <w:rFonts w:ascii="Verdana" w:eastAsia="Calibri" w:hAnsi="Verdana" w:cs="Arial"/>
          <w:bCs/>
          <w:lang w:val="es-ES_tradnl"/>
        </w:rPr>
        <w:t>en cumplimiento de un compromiso asumido en el contrato celebrado con una entidad sometida al E</w:t>
      </w:r>
      <w:r>
        <w:rPr>
          <w:rFonts w:ascii="Verdana" w:eastAsia="Calibri" w:hAnsi="Verdana" w:cs="Arial"/>
          <w:bCs/>
          <w:lang w:val="es-ES_tradnl"/>
        </w:rPr>
        <w:t xml:space="preserve">GCAP </w:t>
      </w:r>
      <w:r w:rsidRPr="002D4B50">
        <w:rPr>
          <w:rFonts w:ascii="Verdana" w:eastAsia="Calibri" w:hAnsi="Verdana" w:cs="Arial"/>
          <w:bCs/>
          <w:lang w:val="es-ES_tradnl"/>
        </w:rPr>
        <w:t>debe contratar una obra o servicio</w:t>
      </w:r>
      <w:r>
        <w:rPr>
          <w:rFonts w:ascii="Verdana" w:eastAsia="Calibri" w:hAnsi="Verdana" w:cs="Arial"/>
          <w:bCs/>
          <w:lang w:val="es-ES_tradnl"/>
        </w:rPr>
        <w:t>,</w:t>
      </w:r>
      <w:r w:rsidRPr="002D4B50">
        <w:rPr>
          <w:rFonts w:ascii="Verdana" w:eastAsia="Calibri" w:hAnsi="Verdana" w:cs="Arial"/>
          <w:bCs/>
          <w:lang w:val="es-ES_tradnl"/>
        </w:rPr>
        <w:t xml:space="preserve"> estará obligada a hacerlo aplicando los mencionados documentos tipo, además de adelantar el proceso de contratación y celebrar el </w:t>
      </w:r>
      <w:r w:rsidRPr="00E7430F">
        <w:rPr>
          <w:rFonts w:ascii="Verdana" w:eastAsia="Calibri" w:hAnsi="Verdana" w:cs="Arial"/>
          <w:bCs/>
          <w:lang w:val="es-ES_tradnl"/>
        </w:rPr>
        <w:t xml:space="preserve">contrato conforme al Estatuto General de Contratación de la Administración Pública. </w:t>
      </w:r>
      <w:r w:rsidRPr="00E7430F">
        <w:rPr>
          <w:rFonts w:ascii="Verdana" w:eastAsia="Calibri" w:hAnsi="Verdana" w:cs="Arial"/>
          <w:bCs/>
        </w:rPr>
        <w:t xml:space="preserve">En consecuencia, la entidad no tiene facultad para adaptar los documentos tipo a su propio manual interno de contratación, dado que estos documentos han sido diseñados como estándares uniformes y sometidos a la regla de inalterabilidad y las modificaciones solo son admisibles en los casos y aspectos expresamente previstos en </w:t>
      </w:r>
      <w:r>
        <w:rPr>
          <w:rFonts w:ascii="Verdana" w:eastAsia="Calibri" w:hAnsi="Verdana" w:cs="Arial"/>
          <w:bCs/>
        </w:rPr>
        <w:t>estos</w:t>
      </w:r>
      <w:r w:rsidRPr="00E7430F">
        <w:rPr>
          <w:rFonts w:ascii="Verdana" w:eastAsia="Calibri" w:hAnsi="Verdana" w:cs="Arial"/>
          <w:bCs/>
        </w:rPr>
        <w:t xml:space="preserve"> documentos. En este sentido, será la entidad con régimen especial la que deberá ajustar y armonizar su manual interno de contratación para cumplir con la aplicación estricta de los documentos tipo.</w:t>
      </w:r>
    </w:p>
    <w:p w14:paraId="3E1ABDFB" w14:textId="77777777" w:rsidR="009B7B73" w:rsidRPr="002D4B50" w:rsidRDefault="009B7B73" w:rsidP="009B7B73">
      <w:pPr>
        <w:spacing w:after="120" w:line="276" w:lineRule="auto"/>
        <w:ind w:firstLine="709"/>
        <w:jc w:val="both"/>
        <w:rPr>
          <w:rFonts w:ascii="Verdana" w:eastAsia="Calibri" w:hAnsi="Verdana" w:cs="Arial"/>
          <w:lang w:val="es-ES"/>
        </w:rPr>
      </w:pPr>
      <w:r w:rsidRPr="224E309A">
        <w:rPr>
          <w:rFonts w:ascii="Verdana" w:eastAsia="Calibri" w:hAnsi="Verdana" w:cs="Arial"/>
          <w:lang w:val="es-ES"/>
        </w:rPr>
        <w:t xml:space="preserve">De acuerdo con esto, respecto de la aplicación del EGCAP por parte de entidades exceptuadas y particulares, es necesario recalcar que, conforme se </w:t>
      </w:r>
      <w:r w:rsidRPr="224E309A">
        <w:rPr>
          <w:rFonts w:ascii="Verdana" w:eastAsia="Calibri" w:hAnsi="Verdana" w:cs="Arial"/>
          <w:lang w:val="es-ES"/>
        </w:rPr>
        <w:lastRenderedPageBreak/>
        <w:t xml:space="preserve">interpreta de la redacción de la norma, esta solo es obligatoria en los casos en los que el objeto contractual derivado que se pretende contratar esté cobijado y sometido a algún documento tipo. Esto significa que la aplicación del EGCAP solo será forzosa cuando existe un documento tipo que contempla bienes, obras y servicios dentro de los que se subsume la actividad a contratar por parte de la entidad de régimen especial, patrimonio autónomo o particular. Por ejemplo, si en cumplimiento de un convenio con una entidad sometida al EGCAP, una entidad exceptuada debe contratar el desarrollo de un software o la compra de unos buses, no estará obligado a seguirse por el EGCAP, al no ser estos objetos cobijados por los documentos tipo vigentes, mientras que si lo que requiere es el mantenimiento o la rehabilitación de una vía secundaría, por el contrario sí estará sometido al EGCAP, al estar tales actividades incluidas dentro de los documentos tipo de infraestructura de transporte. Esto por supuesto puede cambiar si la Agencia, en el futuro, adopta más documentos tipo que incluyan los objetos mencionados. </w:t>
      </w:r>
    </w:p>
    <w:p w14:paraId="22F71A08" w14:textId="77777777" w:rsidR="009B7B73" w:rsidRDefault="009B7B73" w:rsidP="009B7B73">
      <w:pPr>
        <w:spacing w:after="120" w:line="276" w:lineRule="auto"/>
        <w:ind w:firstLine="709"/>
        <w:jc w:val="both"/>
        <w:rPr>
          <w:rFonts w:ascii="Verdana" w:eastAsia="Calibri" w:hAnsi="Verdana" w:cs="Arial"/>
          <w:lang w:val="es-ES"/>
        </w:rPr>
      </w:pPr>
      <w:r w:rsidRPr="224E309A">
        <w:rPr>
          <w:rFonts w:ascii="Verdana" w:eastAsia="Calibri" w:hAnsi="Verdana" w:cs="Arial"/>
          <w:lang w:val="es-ES"/>
        </w:rPr>
        <w:t xml:space="preserve">Bajo estas consideraciones, para efectos de la consulta es preciso señalar que los fondos mixtos, al contar con un régimen contractual distinto al establecido en el Estatuto General de Contratación de la Administración Pública, esto es, al regirse por el derecho privado, serán destinatarias de los documentos tipo, con fundamento en el artículo 56 de la Ley 2195 de 2022, siempre que se cumplan con los presupuestos para su aplicación. De esta manera, la obligación de aplicar los documentos tipo, y además, las disposiciones del Estatuto General de Contratación de la Administración Pública, se extiende no solamente a la celebración del contrato o convenio propiamente dicho, sino también a los compromisos contractuales derivados, según lo expresamente consagrado en el segundo inciso del artículo 56 de la ley citada. </w:t>
      </w:r>
    </w:p>
    <w:p w14:paraId="7CAE6232" w14:textId="77777777" w:rsidR="009B7B73" w:rsidRPr="002D4B50" w:rsidRDefault="009B7B73" w:rsidP="009B7B73">
      <w:pPr>
        <w:tabs>
          <w:tab w:val="left" w:pos="0"/>
        </w:tabs>
        <w:spacing w:after="120" w:line="276" w:lineRule="auto"/>
        <w:ind w:firstLine="709"/>
        <w:jc w:val="both"/>
        <w:rPr>
          <w:rFonts w:ascii="Verdana" w:eastAsia="Calibri" w:hAnsi="Verdana" w:cs="Arial"/>
          <w:bCs/>
          <w:lang w:val="es-ES_tradnl"/>
        </w:rPr>
      </w:pPr>
      <w:r>
        <w:rPr>
          <w:rFonts w:ascii="Verdana" w:eastAsia="Calibri" w:hAnsi="Verdana" w:cs="Arial"/>
          <w:bCs/>
          <w:lang w:val="es-ES_tradnl"/>
        </w:rPr>
        <w:t>Como se explicó, p</w:t>
      </w:r>
      <w:r w:rsidRPr="002D4B50">
        <w:rPr>
          <w:rFonts w:ascii="Verdana" w:eastAsia="Calibri" w:hAnsi="Verdana" w:cs="Arial"/>
          <w:bCs/>
          <w:lang w:val="es-ES_tradnl"/>
        </w:rPr>
        <w:t xml:space="preserve">ara determinar si se encuentran o no obligados a aplicar los documentos tipo, deberán verificar si el objeto contractual a contratar se encuentra cobijado por algún documento tipo existente. De no ser así, no solo no resultaría obligatoria la aplicación de los documentos tipo, sino que tampoco habría lugar a la aplicación del EGCAP, </w:t>
      </w:r>
      <w:r>
        <w:rPr>
          <w:rFonts w:ascii="Verdana" w:eastAsia="Calibri" w:hAnsi="Verdana" w:cs="Arial"/>
          <w:bCs/>
          <w:lang w:val="es-ES_tradnl"/>
        </w:rPr>
        <w:t xml:space="preserve">ya </w:t>
      </w:r>
      <w:r w:rsidRPr="002D4B50">
        <w:rPr>
          <w:rFonts w:ascii="Verdana" w:eastAsia="Calibri" w:hAnsi="Verdana" w:cs="Arial"/>
          <w:bCs/>
          <w:lang w:val="es-ES_tradnl"/>
        </w:rPr>
        <w:t xml:space="preserve">que tal medida contemplada en el inciso segundo de la norma en comento está condicionada a la aplicación de documentos tipo. </w:t>
      </w:r>
    </w:p>
    <w:p w14:paraId="48FA0855" w14:textId="77777777" w:rsidR="009B7B73" w:rsidRPr="002D4B50" w:rsidRDefault="009B7B73" w:rsidP="009B7B73">
      <w:pPr>
        <w:spacing w:after="120" w:line="276" w:lineRule="auto"/>
        <w:ind w:firstLine="709"/>
        <w:jc w:val="both"/>
        <w:rPr>
          <w:rFonts w:ascii="Verdana" w:eastAsia="Calibri" w:hAnsi="Verdana" w:cs="Arial"/>
          <w:lang w:val="es-ES"/>
        </w:rPr>
      </w:pPr>
      <w:r w:rsidRPr="224E309A">
        <w:rPr>
          <w:rFonts w:ascii="Verdana" w:eastAsia="Calibri" w:hAnsi="Verdana" w:cs="Arial"/>
          <w:lang w:val="es-ES"/>
        </w:rPr>
        <w:t xml:space="preserve">De esta manera, si el objeto a contratar no se subsume dentro de ningún documento tipo, la respectiva persona natural o jurídica, entidad exceptuada o patrimonio autónomo podrá contratar con sujeción a las normas y </w:t>
      </w:r>
      <w:r w:rsidRPr="224E309A">
        <w:rPr>
          <w:rFonts w:ascii="Verdana" w:eastAsia="Calibri" w:hAnsi="Verdana" w:cs="Arial"/>
          <w:lang w:val="es-ES"/>
        </w:rPr>
        <w:lastRenderedPageBreak/>
        <w:t xml:space="preserve">procedimientos que normalmente lo rigen, sin que con ello se vulnere lo dispuesto en el artículo 56 </w:t>
      </w:r>
      <w:proofErr w:type="spellStart"/>
      <w:r w:rsidRPr="224E309A">
        <w:rPr>
          <w:rFonts w:ascii="Verdana" w:eastAsia="Calibri" w:hAnsi="Verdana" w:cs="Arial"/>
          <w:i/>
          <w:lang w:val="es-ES"/>
        </w:rPr>
        <w:t>ibídem</w:t>
      </w:r>
      <w:proofErr w:type="spellEnd"/>
      <w:r w:rsidRPr="224E309A">
        <w:rPr>
          <w:rFonts w:ascii="Verdana" w:eastAsia="Calibri" w:hAnsi="Verdana" w:cs="Arial"/>
          <w:lang w:val="es-ES"/>
        </w:rPr>
        <w:t>. Esto sin perjuicio de que, en el marco de la autonomía que les corresponde, los referidos sujetos puedan incorporar o retomar componentes de los documentos tipo en sus procesos contractuales a modo de buena práctica contractual, siempre que así lo consideren pertinente.</w:t>
      </w:r>
    </w:p>
    <w:p w14:paraId="3B1E7B92" w14:textId="77777777" w:rsidR="009B7B73" w:rsidRDefault="009B7B73" w:rsidP="009B7B73">
      <w:pPr>
        <w:tabs>
          <w:tab w:val="left" w:pos="0"/>
        </w:tabs>
        <w:spacing w:after="120" w:line="276" w:lineRule="auto"/>
        <w:jc w:val="both"/>
        <w:rPr>
          <w:rFonts w:ascii="Verdana" w:eastAsia="Calibri" w:hAnsi="Verdana" w:cs="Arial"/>
          <w:bCs/>
          <w:color w:val="000000"/>
          <w:lang w:val="es-ES_tradnl" w:eastAsia="es-ES_tradnl"/>
        </w:rPr>
      </w:pPr>
      <w:proofErr w:type="spellStart"/>
      <w:r>
        <w:rPr>
          <w:rFonts w:ascii="Verdana" w:eastAsia="Calibri" w:hAnsi="Verdana" w:cs="Arial"/>
          <w:bCs/>
          <w:lang w:val="es-ES_tradnl" w:eastAsia="es-ES_tradnl"/>
        </w:rPr>
        <w:t>ii</w:t>
      </w:r>
      <w:proofErr w:type="spellEnd"/>
      <w:r>
        <w:rPr>
          <w:rFonts w:ascii="Verdana" w:eastAsia="Calibri" w:hAnsi="Verdana" w:cs="Arial"/>
          <w:bCs/>
          <w:lang w:val="es-ES_tradnl" w:eastAsia="es-ES_tradnl"/>
        </w:rPr>
        <w:t>. Sin perjuicio de lo anterior</w:t>
      </w:r>
      <w:r w:rsidRPr="00D20014">
        <w:rPr>
          <w:rFonts w:ascii="Verdana" w:eastAsia="Times New Roman" w:hAnsi="Verdana" w:cs="Arial"/>
          <w:lang w:eastAsia="es-ES_tradnl"/>
        </w:rPr>
        <w:t xml:space="preserve">, </w:t>
      </w:r>
      <w:r w:rsidRPr="00D20014">
        <w:rPr>
          <w:rFonts w:ascii="Verdana" w:eastAsia="Calibri" w:hAnsi="Verdana" w:cs="Arial"/>
          <w:bCs/>
          <w:lang w:val="es-ES_tradnl" w:eastAsia="es-ES_tradnl"/>
        </w:rPr>
        <w:t xml:space="preserve">es necesario precisar el alcance del parágrafo del artículo 56 de la Ley 2195 de 2022 y lo dispuesto en los dos primeros incisos del mencionado artículo, del cual se excluye, a cierto tipo de entidades, en lo relacionado con la contratación de su </w:t>
      </w:r>
      <w:r w:rsidRPr="00D20014">
        <w:rPr>
          <w:rFonts w:ascii="Verdana" w:eastAsia="Calibri" w:hAnsi="Verdana" w:cs="Arial"/>
          <w:bCs/>
          <w:i/>
          <w:iCs/>
          <w:lang w:val="es-ES_tradnl" w:eastAsia="es-ES_tradnl"/>
        </w:rPr>
        <w:t>giro ordinario</w:t>
      </w:r>
      <w:r w:rsidRPr="00D20014">
        <w:rPr>
          <w:rFonts w:ascii="Verdana" w:eastAsia="Calibri" w:hAnsi="Verdana" w:cs="Arial"/>
          <w:bCs/>
          <w:lang w:val="es-ES_tradnl" w:eastAsia="es-ES_tradnl"/>
        </w:rPr>
        <w:t xml:space="preserve">. Conforme se desprende del texto del referido parágrafo, se exceptúa de lo señalado en los dos primeros incisos a: i) las instituciones de educación superior públicas, </w:t>
      </w:r>
      <w:proofErr w:type="spellStart"/>
      <w:r w:rsidRPr="00D20014">
        <w:rPr>
          <w:rFonts w:ascii="Verdana" w:eastAsia="Calibri" w:hAnsi="Verdana" w:cs="Arial"/>
          <w:bCs/>
          <w:lang w:val="es-ES_tradnl" w:eastAsia="es-ES_tradnl"/>
        </w:rPr>
        <w:t>ii</w:t>
      </w:r>
      <w:proofErr w:type="spellEnd"/>
      <w:r w:rsidRPr="00D20014">
        <w:rPr>
          <w:rFonts w:ascii="Verdana" w:eastAsia="Calibri" w:hAnsi="Verdana" w:cs="Arial"/>
          <w:bCs/>
          <w:lang w:val="es-ES_tradnl" w:eastAsia="es-ES_tradnl"/>
        </w:rPr>
        <w:t xml:space="preserve">) </w:t>
      </w:r>
      <w:r w:rsidRPr="00F105B2">
        <w:rPr>
          <w:rFonts w:ascii="Verdana" w:eastAsia="Calibri" w:hAnsi="Verdana" w:cs="Arial"/>
          <w:bCs/>
          <w:i/>
          <w:iCs/>
          <w:lang w:val="es-ES_tradnl" w:eastAsia="es-ES_tradnl"/>
        </w:rPr>
        <w:t>las empresas sociales del Estado,</w:t>
      </w:r>
      <w:r w:rsidRPr="00D20014">
        <w:rPr>
          <w:rFonts w:ascii="Verdana" w:eastAsia="Calibri" w:hAnsi="Verdana" w:cs="Arial"/>
          <w:bCs/>
          <w:lang w:val="es-ES_tradnl" w:eastAsia="es-ES_tradnl"/>
        </w:rPr>
        <w:t xml:space="preserve"> </w:t>
      </w:r>
      <w:proofErr w:type="spellStart"/>
      <w:r w:rsidRPr="00D20014">
        <w:rPr>
          <w:rFonts w:ascii="Verdana" w:eastAsia="Calibri" w:hAnsi="Verdana" w:cs="Arial"/>
          <w:bCs/>
          <w:lang w:val="es-ES_tradnl" w:eastAsia="es-ES_tradnl"/>
        </w:rPr>
        <w:t>iii</w:t>
      </w:r>
      <w:proofErr w:type="spellEnd"/>
      <w:r w:rsidRPr="00D20014">
        <w:rPr>
          <w:rFonts w:ascii="Verdana" w:eastAsia="Calibri" w:hAnsi="Verdana" w:cs="Arial"/>
          <w:bCs/>
          <w:lang w:val="es-ES_tradnl" w:eastAsia="es-ES_tradnl"/>
        </w:rPr>
        <w:t xml:space="preserve">) las sociedades de economía mixta y </w:t>
      </w:r>
      <w:proofErr w:type="spellStart"/>
      <w:r w:rsidRPr="00D20014">
        <w:rPr>
          <w:rFonts w:ascii="Verdana" w:eastAsia="Calibri" w:hAnsi="Verdana" w:cs="Arial"/>
          <w:bCs/>
          <w:lang w:val="es-ES_tradnl" w:eastAsia="es-ES_tradnl"/>
        </w:rPr>
        <w:t>iv</w:t>
      </w:r>
      <w:proofErr w:type="spellEnd"/>
      <w:r w:rsidRPr="00D20014">
        <w:rPr>
          <w:rFonts w:ascii="Verdana" w:eastAsia="Calibri" w:hAnsi="Verdana" w:cs="Arial"/>
          <w:bCs/>
          <w:lang w:val="es-ES_tradnl" w:eastAsia="es-ES_tradnl"/>
        </w:rPr>
        <w:t xml:space="preserve">) las empresas industriales y comerciales del Estado, únicamente, en la contratación relacionada con el </w:t>
      </w:r>
      <w:r w:rsidRPr="00D20014">
        <w:rPr>
          <w:rFonts w:ascii="Verdana" w:eastAsia="Calibri" w:hAnsi="Verdana" w:cs="Arial"/>
          <w:bCs/>
          <w:i/>
          <w:iCs/>
          <w:lang w:val="es-ES_tradnl" w:eastAsia="es-ES_tradnl"/>
        </w:rPr>
        <w:t>giro ordinario.</w:t>
      </w:r>
      <w:r w:rsidRPr="00D20014">
        <w:rPr>
          <w:rFonts w:ascii="Verdana" w:eastAsia="Calibri" w:hAnsi="Verdana" w:cs="Arial"/>
          <w:bCs/>
          <w:lang w:val="es-ES_tradnl" w:eastAsia="es-ES_tradnl"/>
        </w:rPr>
        <w:t xml:space="preserve"> Esto significa que, en la contratación asociada a su </w:t>
      </w:r>
      <w:r w:rsidRPr="00D20014">
        <w:rPr>
          <w:rFonts w:ascii="Verdana" w:eastAsia="Calibri" w:hAnsi="Verdana" w:cs="Arial"/>
          <w:bCs/>
          <w:i/>
          <w:iCs/>
          <w:lang w:val="es-ES_tradnl" w:eastAsia="es-ES_tradnl"/>
        </w:rPr>
        <w:t xml:space="preserve">giro ordinario, </w:t>
      </w:r>
      <w:r w:rsidRPr="00D20014">
        <w:rPr>
          <w:rFonts w:ascii="Verdana" w:eastAsia="Calibri" w:hAnsi="Verdana" w:cs="Arial"/>
          <w:bCs/>
          <w:lang w:val="es-ES_tradnl" w:eastAsia="es-ES_tradnl"/>
        </w:rPr>
        <w:t>estos tipos de entidades no tendrían que aplicar, de manera obligatoria, los Documentos Tipo, ni tampoco el EGCAP.</w:t>
      </w:r>
      <w:r w:rsidRPr="00D20014">
        <w:rPr>
          <w:rFonts w:ascii="Verdana" w:eastAsia="Times New Roman" w:hAnsi="Verdana" w:cs="Arial"/>
          <w:lang w:eastAsia="es-ES_tradnl"/>
        </w:rPr>
        <w:t xml:space="preserve"> </w:t>
      </w:r>
      <w:r>
        <w:rPr>
          <w:rFonts w:ascii="Verdana" w:eastAsia="Calibri" w:hAnsi="Verdana" w:cs="Arial"/>
          <w:bCs/>
          <w:lang w:val="es-ES_tradnl" w:eastAsia="es-ES_tradnl"/>
        </w:rPr>
        <w:t>En este caso</w:t>
      </w:r>
      <w:r w:rsidRPr="00D20014">
        <w:rPr>
          <w:rFonts w:ascii="Verdana" w:eastAsia="Calibri" w:hAnsi="Verdana" w:cs="Arial"/>
          <w:bCs/>
          <w:lang w:val="es-ES_tradnl" w:eastAsia="es-ES_tradnl"/>
        </w:rPr>
        <w:t>, la norma se limita a fomentar la implementación de Documentos Tipo a modo de buena práctica contractual, en los casos en los que se estime conveniente.</w:t>
      </w:r>
      <w:r w:rsidRPr="00D20014">
        <w:rPr>
          <w:rFonts w:ascii="Verdana" w:eastAsia="Calibri" w:hAnsi="Verdana" w:cs="Arial"/>
          <w:bCs/>
          <w:color w:val="000000"/>
          <w:lang w:val="es-ES_tradnl" w:eastAsia="es-ES_tradnl"/>
        </w:rPr>
        <w:t xml:space="preserve"> </w:t>
      </w:r>
    </w:p>
    <w:p w14:paraId="1B776FF3" w14:textId="77777777" w:rsidR="009B7B73" w:rsidRPr="00D20014" w:rsidRDefault="009B7B73" w:rsidP="009B7B73">
      <w:pPr>
        <w:tabs>
          <w:tab w:val="left" w:pos="0"/>
        </w:tabs>
        <w:spacing w:after="120" w:line="276" w:lineRule="auto"/>
        <w:ind w:firstLine="709"/>
        <w:jc w:val="both"/>
        <w:rPr>
          <w:rFonts w:ascii="Verdana" w:eastAsia="Arial" w:hAnsi="Verdana" w:cs="Arial"/>
          <w:lang w:val="es-ES_tradnl" w:eastAsia="es-ES_tradnl"/>
        </w:rPr>
      </w:pPr>
      <w:r w:rsidRPr="00D20014">
        <w:rPr>
          <w:rFonts w:ascii="Verdana" w:eastAsia="Calibri" w:hAnsi="Verdana" w:cs="Arial"/>
          <w:bCs/>
          <w:lang w:val="es-ES_tradnl" w:eastAsia="es-ES_tradnl"/>
        </w:rPr>
        <w:t xml:space="preserve">Es importante tener en cuenta que cuando la norma se refiere a la contratación del </w:t>
      </w:r>
      <w:r w:rsidRPr="00D20014">
        <w:rPr>
          <w:rFonts w:ascii="Verdana" w:eastAsia="Calibri" w:hAnsi="Verdana" w:cs="Arial"/>
          <w:bCs/>
          <w:i/>
          <w:iCs/>
          <w:lang w:val="es-ES_tradnl" w:eastAsia="es-ES_tradnl"/>
        </w:rPr>
        <w:t>giro ordinario</w:t>
      </w:r>
      <w:r w:rsidRPr="00D20014">
        <w:rPr>
          <w:rFonts w:ascii="Verdana" w:eastAsia="Calibri" w:hAnsi="Verdana" w:cs="Arial"/>
          <w:bCs/>
          <w:lang w:val="es-ES_tradnl" w:eastAsia="es-ES_tradnl"/>
        </w:rPr>
        <w:t>, emplea un concepto jurídico indeterminado</w:t>
      </w:r>
      <w:r w:rsidRPr="00D20014">
        <w:rPr>
          <w:rFonts w:ascii="Verdana" w:eastAsia="Calibri" w:hAnsi="Verdana" w:cs="Arial"/>
          <w:vertAlign w:val="superscript"/>
          <w:lang w:eastAsia="es-ES_tradnl"/>
        </w:rPr>
        <w:footnoteReference w:id="5"/>
      </w:r>
      <w:r w:rsidRPr="00D20014">
        <w:rPr>
          <w:rFonts w:ascii="Verdana" w:eastAsia="Calibri" w:hAnsi="Verdana" w:cs="Arial"/>
          <w:bCs/>
          <w:lang w:val="es-ES_tradnl" w:eastAsia="es-ES_tradnl"/>
        </w:rPr>
        <w:t xml:space="preserve">. </w:t>
      </w:r>
      <w:r w:rsidRPr="00D20014">
        <w:rPr>
          <w:rFonts w:ascii="Verdana" w:eastAsia="Arial" w:hAnsi="Verdana" w:cs="Arial"/>
          <w:lang w:val="es-ES_tradnl" w:eastAsia="es-ES_tradnl"/>
        </w:rPr>
        <w:t xml:space="preserve">Un concepto adquiere esta denominación en el Derecho cuando se trata de un enunciado que goza de vaguedad y que debe materializarse en cada caso, atendiendo a las técnicas de la interpretación jurídica. De igual forma, se trata de un concepto para cuya concreción las Entidades Estatales gozan de cierto margen de apreciación en su aplicación, pero deben respetar los límites previstos en las normas de orden público. Por ejemplo, no podrán considerar que cualquier contrato que celebren hace parte del </w:t>
      </w:r>
      <w:r w:rsidRPr="00D20014">
        <w:rPr>
          <w:rFonts w:ascii="Verdana" w:eastAsia="Arial" w:hAnsi="Verdana" w:cs="Arial"/>
          <w:i/>
          <w:iCs/>
          <w:lang w:val="es-ES_tradnl" w:eastAsia="es-ES_tradnl"/>
        </w:rPr>
        <w:t>giro ordinario</w:t>
      </w:r>
      <w:r w:rsidRPr="00D20014">
        <w:rPr>
          <w:rFonts w:ascii="Verdana" w:eastAsia="Arial" w:hAnsi="Verdana" w:cs="Arial"/>
          <w:lang w:val="es-ES_tradnl" w:eastAsia="es-ES_tradnl"/>
        </w:rPr>
        <w:t xml:space="preserve"> de sus negocios. </w:t>
      </w:r>
    </w:p>
    <w:p w14:paraId="500E83EF" w14:textId="77777777" w:rsidR="009B7B73" w:rsidRPr="00D20014" w:rsidRDefault="009B7B73" w:rsidP="009B7B73">
      <w:pPr>
        <w:tabs>
          <w:tab w:val="left" w:pos="0"/>
        </w:tabs>
        <w:spacing w:after="120" w:line="276" w:lineRule="auto"/>
        <w:ind w:firstLine="709"/>
        <w:jc w:val="both"/>
        <w:rPr>
          <w:rFonts w:ascii="Verdana" w:eastAsia="Calibri" w:hAnsi="Verdana" w:cs="Arial"/>
          <w:bCs/>
          <w:lang w:val="es-ES_tradnl" w:eastAsia="es-ES_tradnl"/>
        </w:rPr>
      </w:pPr>
      <w:r w:rsidRPr="00D20014">
        <w:rPr>
          <w:rFonts w:ascii="Verdana" w:eastAsia="Arial" w:hAnsi="Verdana" w:cs="Arial"/>
          <w:lang w:val="es-ES_tradnl" w:eastAsia="es-ES_tradnl"/>
        </w:rPr>
        <w:t>La Corte Constitucional</w:t>
      </w:r>
      <w:r w:rsidRPr="00D20014">
        <w:rPr>
          <w:rFonts w:ascii="Verdana" w:eastAsia="Arial" w:hAnsi="Verdana" w:cs="Arial"/>
          <w:vertAlign w:val="superscript"/>
          <w:lang w:eastAsia="es-ES_tradnl"/>
        </w:rPr>
        <w:footnoteReference w:id="6"/>
      </w:r>
      <w:r w:rsidRPr="00D20014">
        <w:rPr>
          <w:rFonts w:ascii="Verdana" w:eastAsia="Arial" w:hAnsi="Verdana" w:cs="Arial"/>
          <w:lang w:val="es-ES_tradnl" w:eastAsia="es-ES_tradnl"/>
        </w:rPr>
        <w:t xml:space="preserve"> también ha reconocido que el Congreso de la República, dentro de su libertad de configuración legislativa, puede emplear este tipo de conceptos, que se caracterizan por tener un cierto halo de incertidumbre </w:t>
      </w:r>
      <w:r w:rsidRPr="00D20014">
        <w:rPr>
          <w:rFonts w:ascii="Verdana" w:eastAsia="Arial" w:hAnsi="Verdana" w:cs="Arial"/>
          <w:lang w:val="es-ES_tradnl" w:eastAsia="es-ES_tradnl"/>
        </w:rPr>
        <w:lastRenderedPageBreak/>
        <w:t>en su interpretación, quedando referida su determinación concreta a la actividad de los operadores jurídicos.</w:t>
      </w:r>
      <w:r w:rsidRPr="00D20014">
        <w:rPr>
          <w:rFonts w:ascii="Verdana" w:eastAsia="Calibri" w:hAnsi="Verdana" w:cs="Arial"/>
          <w:bCs/>
          <w:lang w:val="es-ES_tradnl" w:eastAsia="es-ES_tradnl"/>
        </w:rPr>
        <w:t xml:space="preserve"> </w:t>
      </w:r>
    </w:p>
    <w:p w14:paraId="57E84CAD" w14:textId="77777777" w:rsidR="009B7B73" w:rsidRPr="00D20014" w:rsidRDefault="009B7B73" w:rsidP="009B7B73">
      <w:pPr>
        <w:tabs>
          <w:tab w:val="left" w:pos="0"/>
        </w:tabs>
        <w:spacing w:after="0" w:line="276" w:lineRule="auto"/>
        <w:ind w:firstLine="709"/>
        <w:jc w:val="both"/>
        <w:rPr>
          <w:rFonts w:ascii="Verdana" w:eastAsia="Calibri" w:hAnsi="Verdana" w:cs="Arial"/>
          <w:bCs/>
          <w:lang w:val="es-ES_tradnl" w:eastAsia="es-ES_tradnl"/>
        </w:rPr>
      </w:pPr>
      <w:r w:rsidRPr="00D20014">
        <w:rPr>
          <w:rFonts w:ascii="Verdana" w:eastAsia="Calibri" w:hAnsi="Verdana" w:cs="Arial"/>
          <w:bCs/>
          <w:lang w:val="es-ES_tradnl" w:eastAsia="es-ES_tradnl"/>
        </w:rPr>
        <w:t xml:space="preserve">Aunque, como se indicó, la expresión giro ordinario de los negocios es un concepto jurídico indeterminado, el Consejo de Estado ha tenido la oportunidad de pronunciarse en distintas ocasiones sobre su alcance, estableciendo algunos criterios de interpretación. En su momento, en relación con el alcance de la expresión </w:t>
      </w:r>
      <w:r w:rsidRPr="00D20014">
        <w:rPr>
          <w:rFonts w:ascii="Verdana" w:eastAsia="Calibri" w:hAnsi="Verdana" w:cs="Arial"/>
          <w:bCs/>
          <w:i/>
          <w:iCs/>
          <w:lang w:val="es-ES_tradnl" w:eastAsia="es-ES_tradnl"/>
        </w:rPr>
        <w:t xml:space="preserve">giro ordinario </w:t>
      </w:r>
      <w:r w:rsidRPr="00D20014">
        <w:rPr>
          <w:rFonts w:ascii="Verdana" w:eastAsia="Calibri" w:hAnsi="Verdana" w:cs="Arial"/>
          <w:bCs/>
          <w:lang w:val="es-ES_tradnl" w:eastAsia="es-ES_tradnl"/>
        </w:rPr>
        <w:t>incluida en la redacción original del parágrafo 1° del artículo 32 de la Ley 80 de 1993</w:t>
      </w:r>
      <w:r w:rsidRPr="00D20014">
        <w:rPr>
          <w:rFonts w:ascii="Verdana" w:eastAsia="Calibri" w:hAnsi="Verdana" w:cs="Arial"/>
          <w:vertAlign w:val="superscript"/>
          <w:lang w:eastAsia="es-ES_tradnl"/>
        </w:rPr>
        <w:footnoteReference w:id="7"/>
      </w:r>
      <w:r w:rsidRPr="00D20014">
        <w:rPr>
          <w:rFonts w:ascii="Verdana" w:eastAsia="Calibri" w:hAnsi="Verdana" w:cs="Arial"/>
          <w:bCs/>
          <w:lang w:val="es-ES_tradnl" w:eastAsia="es-ES_tradnl"/>
        </w:rPr>
        <w:t xml:space="preserve">, la Sección Tercera manifestó lo siguiente: </w:t>
      </w:r>
    </w:p>
    <w:p w14:paraId="05D2756C" w14:textId="77777777" w:rsidR="009B7B73" w:rsidRPr="00D20014" w:rsidRDefault="009B7B73" w:rsidP="009B7B73">
      <w:pPr>
        <w:tabs>
          <w:tab w:val="left" w:pos="0"/>
        </w:tabs>
        <w:spacing w:after="0" w:line="276" w:lineRule="auto"/>
        <w:jc w:val="both"/>
        <w:rPr>
          <w:rFonts w:ascii="Verdana" w:eastAsia="Calibri" w:hAnsi="Verdana" w:cs="Arial"/>
          <w:bCs/>
          <w:lang w:val="es-ES_tradnl" w:eastAsia="es-ES_tradnl"/>
        </w:rPr>
      </w:pPr>
    </w:p>
    <w:p w14:paraId="75EF6B46" w14:textId="77777777" w:rsidR="009B7B73" w:rsidRPr="00D20014" w:rsidRDefault="009B7B73" w:rsidP="009B7B73">
      <w:pPr>
        <w:spacing w:after="0" w:line="240" w:lineRule="auto"/>
        <w:ind w:left="709" w:right="709"/>
        <w:jc w:val="both"/>
        <w:rPr>
          <w:rFonts w:ascii="Verdana" w:eastAsia="Times New Roman" w:hAnsi="Verdana" w:cs="Arial"/>
          <w:sz w:val="20"/>
          <w:szCs w:val="20"/>
          <w:lang w:val="es-ES_tradnl" w:eastAsia="es-CO"/>
        </w:rPr>
      </w:pPr>
      <w:r w:rsidRPr="00D20014">
        <w:rPr>
          <w:rFonts w:ascii="Verdana" w:eastAsia="Times New Roman" w:hAnsi="Verdana" w:cs="Arial"/>
          <w:sz w:val="20"/>
          <w:szCs w:val="20"/>
          <w:lang w:val="es-ES_tradnl" w:eastAsia="es-ES_tradnl"/>
        </w:rPr>
        <w:t>“[E]l giro ordinario de las actividades de una sociedad comercial no sólo comprende aquello que define en forma concreta su objeto social, sino todos los actos directamente relacionados con el mismo, lo que denota que entre éstos y aquéllas debe existir una relación de necesidad que los hace parte en el objeto de la sociedad. Siendo así las cosas, resulta que el concepto “giro ordinario de las actividades” […], hace relación tanto a las actividades o negocios realizados en cumplimiento del objeto social o de las funciones principales, expresamente definidas por la Ley, como también a todo aquello que es conexo con ellas y que se realiza para desarrollar la función principal, estableciéndose entre estos una relación de medio a fin, estrecha y complementaria”</w:t>
      </w:r>
      <w:r w:rsidRPr="00D20014">
        <w:rPr>
          <w:rFonts w:ascii="Verdana" w:eastAsia="Times New Roman" w:hAnsi="Verdana" w:cs="Arial"/>
          <w:sz w:val="20"/>
          <w:szCs w:val="20"/>
          <w:vertAlign w:val="superscript"/>
          <w:lang w:eastAsia="es-ES_tradnl"/>
        </w:rPr>
        <w:footnoteReference w:id="8"/>
      </w:r>
      <w:r w:rsidRPr="00D20014">
        <w:rPr>
          <w:rFonts w:ascii="Verdana" w:eastAsia="Times New Roman" w:hAnsi="Verdana" w:cs="Arial"/>
          <w:sz w:val="20"/>
          <w:szCs w:val="20"/>
          <w:lang w:val="es-ES_tradnl" w:eastAsia="es-ES_tradnl"/>
        </w:rPr>
        <w:t>.</w:t>
      </w:r>
    </w:p>
    <w:p w14:paraId="7CF361B9" w14:textId="77777777" w:rsidR="009B7B73" w:rsidRPr="00D20014" w:rsidRDefault="009B7B73" w:rsidP="009B7B73">
      <w:pPr>
        <w:tabs>
          <w:tab w:val="left" w:pos="0"/>
        </w:tabs>
        <w:spacing w:after="0" w:line="276" w:lineRule="auto"/>
        <w:jc w:val="both"/>
        <w:rPr>
          <w:rFonts w:ascii="Verdana" w:eastAsia="Calibri" w:hAnsi="Verdana" w:cs="Arial"/>
          <w:bCs/>
          <w:i/>
          <w:iCs/>
          <w:lang w:val="es-ES_tradnl" w:eastAsia="es-ES_tradnl"/>
        </w:rPr>
      </w:pPr>
    </w:p>
    <w:p w14:paraId="1FF8FBCE" w14:textId="77777777" w:rsidR="009B7B73" w:rsidRPr="00D20014" w:rsidRDefault="009B7B73" w:rsidP="009B7B73">
      <w:pPr>
        <w:tabs>
          <w:tab w:val="left" w:pos="0"/>
        </w:tabs>
        <w:spacing w:after="120" w:line="276" w:lineRule="auto"/>
        <w:jc w:val="both"/>
        <w:rPr>
          <w:rFonts w:ascii="Verdana" w:eastAsia="Calibri" w:hAnsi="Verdana" w:cs="Arial"/>
          <w:bCs/>
          <w:lang w:val="es-ES_tradnl" w:eastAsia="es-ES_tradnl"/>
        </w:rPr>
      </w:pPr>
      <w:r w:rsidRPr="00D20014">
        <w:rPr>
          <w:rFonts w:ascii="Verdana" w:eastAsia="Calibri" w:hAnsi="Verdana" w:cs="Arial"/>
          <w:bCs/>
          <w:lang w:val="es-ES_tradnl" w:eastAsia="es-ES_tradnl"/>
        </w:rPr>
        <w:tab/>
        <w:t xml:space="preserve">En el mismo sentido se pronunció el Alto Tribunal de lo Contencioso Administrativo, reiterando las anteriores consideraciones, al expresar que el concepto de </w:t>
      </w:r>
      <w:r w:rsidRPr="00D20014">
        <w:rPr>
          <w:rFonts w:ascii="Verdana" w:eastAsia="Calibri" w:hAnsi="Verdana" w:cs="Arial"/>
          <w:i/>
          <w:lang w:val="es-ES_tradnl" w:eastAsia="es-ES_tradnl"/>
        </w:rPr>
        <w:t xml:space="preserve">“giro ordinario de los negocios” </w:t>
      </w:r>
      <w:r w:rsidRPr="00D20014">
        <w:rPr>
          <w:rFonts w:ascii="Verdana" w:eastAsia="Calibri" w:hAnsi="Verdana" w:cs="Arial"/>
          <w:bCs/>
          <w:lang w:val="es-ES_tradnl" w:eastAsia="es-ES_tradnl"/>
        </w:rPr>
        <w:t>se refiere a aquellas actividades compatibles con el objeto social, funciones previstas en la ley, o en las normas de creación y en sus estatutos internos de las personas</w:t>
      </w:r>
      <w:r w:rsidRPr="00D20014">
        <w:rPr>
          <w:rFonts w:ascii="Verdana" w:eastAsia="Calibri" w:hAnsi="Verdana" w:cs="Arial"/>
          <w:vertAlign w:val="superscript"/>
          <w:lang w:eastAsia="es-ES_tradnl"/>
        </w:rPr>
        <w:footnoteReference w:id="9"/>
      </w:r>
      <w:r w:rsidRPr="00D20014">
        <w:rPr>
          <w:rFonts w:ascii="Verdana" w:eastAsia="Calibri" w:hAnsi="Verdana" w:cs="Arial"/>
          <w:bCs/>
          <w:lang w:val="es-ES_tradnl" w:eastAsia="es-ES_tradnl"/>
        </w:rPr>
        <w:t xml:space="preserve"> y la doctrina societaria</w:t>
      </w:r>
      <w:r w:rsidRPr="00D20014">
        <w:rPr>
          <w:rFonts w:ascii="Verdana" w:eastAsia="Calibri" w:hAnsi="Verdana" w:cs="Arial"/>
          <w:bCs/>
          <w:vertAlign w:val="superscript"/>
          <w:lang w:val="es-ES_tradnl" w:eastAsia="es-ES_tradnl"/>
        </w:rPr>
        <w:footnoteReference w:id="10"/>
      </w:r>
      <w:r w:rsidRPr="00D20014">
        <w:rPr>
          <w:rFonts w:ascii="Verdana" w:eastAsia="Calibri" w:hAnsi="Verdana" w:cs="Arial"/>
          <w:bCs/>
          <w:lang w:val="es-ES_tradnl" w:eastAsia="es-ES_tradnl"/>
        </w:rPr>
        <w:t xml:space="preserve">. </w:t>
      </w:r>
    </w:p>
    <w:p w14:paraId="2DE0E295" w14:textId="77777777" w:rsidR="009B7B73" w:rsidRPr="00D20014" w:rsidRDefault="009B7B73" w:rsidP="009B7B73">
      <w:pPr>
        <w:spacing w:after="120" w:line="276" w:lineRule="auto"/>
        <w:jc w:val="both"/>
        <w:rPr>
          <w:rFonts w:ascii="Verdana" w:eastAsia="Calibri" w:hAnsi="Verdana" w:cs="Arial"/>
          <w:lang w:val="es-ES" w:eastAsia="es-ES"/>
        </w:rPr>
      </w:pPr>
      <w:r w:rsidRPr="00D20014">
        <w:rPr>
          <w:rFonts w:ascii="Verdana" w:eastAsia="Calibri" w:hAnsi="Verdana" w:cs="Arial"/>
          <w:bCs/>
          <w:lang w:val="es-ES_tradnl" w:eastAsia="es-ES_tradnl"/>
        </w:rPr>
        <w:lastRenderedPageBreak/>
        <w:tab/>
      </w:r>
      <w:r w:rsidRPr="00D20014">
        <w:rPr>
          <w:rFonts w:ascii="Verdana" w:eastAsia="Calibri" w:hAnsi="Verdana" w:cs="Arial"/>
          <w:lang w:val="es-ES" w:eastAsia="es-ES"/>
        </w:rPr>
        <w:t xml:space="preserve">Conforme con lo expresado, el </w:t>
      </w:r>
      <w:r w:rsidRPr="00D20014">
        <w:rPr>
          <w:rFonts w:ascii="Verdana" w:eastAsia="Calibri" w:hAnsi="Verdana" w:cs="Arial"/>
          <w:i/>
          <w:lang w:val="es-ES" w:eastAsia="es-ES"/>
        </w:rPr>
        <w:t xml:space="preserve">giro ordinario </w:t>
      </w:r>
      <w:r w:rsidRPr="00D20014">
        <w:rPr>
          <w:rFonts w:ascii="Verdana" w:eastAsia="Calibri" w:hAnsi="Verdana" w:cs="Arial"/>
          <w:lang w:val="es-ES" w:eastAsia="es-ES"/>
        </w:rPr>
        <w:t>involucra los asuntos que integran el desarrollo del objeto social de una sociedad comercial, una empresa o Entidad Pública, lo cual comprende tanto unas actividades directamente relacionadas con dicho objeto social, así como otros actos conexos al mismo. Esta interpretación, en principio, es coherente con la regulación de la capacidad de las sociedades comerciales establecida en el Código de Comercio, cuyo artículo 99 dispone que “[</w:t>
      </w:r>
      <w:r w:rsidRPr="00D20014">
        <w:rPr>
          <w:rFonts w:ascii="Verdana" w:eastAsia="Times New Roman" w:hAnsi="Verdana" w:cs="Arial"/>
          <w:lang w:val="es-ES" w:eastAsia="es-ES"/>
        </w:rPr>
        <w:t>S]e</w:t>
      </w:r>
      <w:r w:rsidRPr="00D20014">
        <w:rPr>
          <w:rFonts w:ascii="Verdana" w:eastAsia="Calibri" w:hAnsi="Verdana" w:cs="Arial"/>
          <w:lang w:val="es-ES" w:eastAsia="es-ES"/>
        </w:rPr>
        <w:t xml:space="preserve"> entenderán incluidos en el objeto social los actos directamente relacionados con el mismo y los que tengan como finalidad ejercer los derechos o cumplir las obligaciones, legal o convencionalmente derivados de la existencia y actividad de la sociedad.”</w:t>
      </w:r>
      <w:r w:rsidRPr="00D20014">
        <w:rPr>
          <w:rFonts w:ascii="Verdana" w:eastAsia="Calibri" w:hAnsi="Verdana" w:cs="Arial"/>
          <w:vertAlign w:val="superscript"/>
          <w:lang w:eastAsia="es-ES"/>
        </w:rPr>
        <w:footnoteReference w:id="11"/>
      </w:r>
    </w:p>
    <w:p w14:paraId="27613251" w14:textId="77777777" w:rsidR="009B7B73" w:rsidRDefault="009B7B73" w:rsidP="009B7B73">
      <w:pPr>
        <w:spacing w:after="120" w:line="276" w:lineRule="auto"/>
        <w:jc w:val="both"/>
        <w:rPr>
          <w:rFonts w:ascii="Verdana" w:eastAsia="Calibri" w:hAnsi="Verdana" w:cs="Arial"/>
          <w:lang w:val="es-ES" w:eastAsia="es-ES"/>
        </w:rPr>
      </w:pPr>
      <w:r w:rsidRPr="00D20014">
        <w:rPr>
          <w:rFonts w:ascii="Verdana" w:eastAsia="Calibri" w:hAnsi="Verdana" w:cs="Arial"/>
          <w:bCs/>
          <w:lang w:val="es-ES_tradnl" w:eastAsia="es-ES_tradnl"/>
        </w:rPr>
        <w:tab/>
      </w:r>
      <w:r w:rsidRPr="00D20014">
        <w:rPr>
          <w:rFonts w:ascii="Verdana" w:eastAsia="Calibri" w:hAnsi="Verdana" w:cs="Arial"/>
          <w:lang w:val="es-ES" w:eastAsia="es-ES"/>
        </w:rPr>
        <w:t xml:space="preserve">En relación con la aplicación de lo dispuesto en el parágrafo del artículo 56 de la Ley 2195 de 2022, conviene aclarar que, a juicio de esta Agencia, la expresión </w:t>
      </w:r>
      <w:r w:rsidRPr="00D20014">
        <w:rPr>
          <w:rFonts w:ascii="Verdana" w:eastAsia="Calibri" w:hAnsi="Verdana" w:cs="Arial"/>
          <w:i/>
          <w:lang w:val="es-ES" w:eastAsia="es-ES"/>
        </w:rPr>
        <w:t xml:space="preserve">giro ordinario </w:t>
      </w:r>
      <w:r w:rsidRPr="00D20014">
        <w:rPr>
          <w:rFonts w:ascii="Verdana" w:eastAsia="Calibri" w:hAnsi="Verdana" w:cs="Arial"/>
          <w:lang w:val="es-ES" w:eastAsia="es-ES"/>
        </w:rPr>
        <w:t xml:space="preserve">se usa para designar a la contratación directamente relacionada con los asuntos de la gestión habitual u ordinaria de los tipos de entidades mencionadas en el parágrafo. No obstante, la determinación de las actividades que comprenden el </w:t>
      </w:r>
      <w:r w:rsidRPr="00D20014">
        <w:rPr>
          <w:rFonts w:ascii="Verdana" w:eastAsia="Calibri" w:hAnsi="Verdana" w:cs="Arial"/>
          <w:i/>
          <w:lang w:val="es-ES" w:eastAsia="es-ES"/>
        </w:rPr>
        <w:t>giro ordinario</w:t>
      </w:r>
      <w:r w:rsidRPr="00D20014">
        <w:rPr>
          <w:rFonts w:ascii="Verdana" w:eastAsia="Calibri" w:hAnsi="Verdana" w:cs="Arial"/>
          <w:lang w:val="es-ES" w:eastAsia="es-ES"/>
        </w:rPr>
        <w:t xml:space="preserve"> es un asunto que debe establecerse en cada caso concreto por parte de las Entidades Estatales –analizando lo establecido en sus actos de creación y verificando los negocios habituales u ordinarios que desarrollan–, pues el parágrafo del artículo 56 </w:t>
      </w:r>
      <w:proofErr w:type="spellStart"/>
      <w:r w:rsidRPr="00D20014">
        <w:rPr>
          <w:rFonts w:ascii="Verdana" w:eastAsia="Calibri" w:hAnsi="Verdana" w:cs="Arial"/>
          <w:i/>
          <w:lang w:val="es-ES" w:eastAsia="es-ES"/>
        </w:rPr>
        <w:t>ejusdem</w:t>
      </w:r>
      <w:proofErr w:type="spellEnd"/>
      <w:r w:rsidRPr="00D20014">
        <w:rPr>
          <w:rFonts w:ascii="Verdana" w:eastAsia="Calibri" w:hAnsi="Verdana" w:cs="Arial"/>
          <w:lang w:val="es-ES" w:eastAsia="es-ES"/>
        </w:rPr>
        <w:t xml:space="preserve"> se limita a enunciar algunos tipos de Entidades Estatales, las cuales no solo difieren en su naturaleza jurídica, sino también en las actividades que realizan. </w:t>
      </w:r>
    </w:p>
    <w:p w14:paraId="56D40C24" w14:textId="77777777" w:rsidR="009B7B73" w:rsidRDefault="009B7B73" w:rsidP="009B7B73">
      <w:pPr>
        <w:tabs>
          <w:tab w:val="left" w:pos="0"/>
        </w:tabs>
        <w:spacing w:after="120" w:line="276" w:lineRule="auto"/>
        <w:ind w:firstLine="709"/>
        <w:jc w:val="both"/>
        <w:rPr>
          <w:rFonts w:ascii="Verdana" w:eastAsia="Calibri" w:hAnsi="Verdana" w:cs="Arial"/>
          <w:bCs/>
          <w:lang w:val="es-ES_tradnl"/>
        </w:rPr>
      </w:pPr>
      <w:r w:rsidRPr="00D20014">
        <w:rPr>
          <w:rFonts w:ascii="Verdana" w:eastAsia="Calibri" w:hAnsi="Verdana" w:cs="Arial"/>
          <w:lang w:val="es-ES" w:eastAsia="es-ES"/>
        </w:rPr>
        <w:t xml:space="preserve">Esto impide que la Agencia Nacional de Contratación Pública – Colombia Compra Eficiente, en sede consultiva, pueda determinar, con un criterio universal y absoluto, qué actividades específicas hacen parte del giro ordinario de los negocios de dichas entidades y cuáles escapan de este, pues, como se indicó, al explicar la naturaleza de los conceptos jurídicos indeterminados, la concreción del alcance de la expresión </w:t>
      </w:r>
      <w:r w:rsidRPr="00D20014">
        <w:rPr>
          <w:rFonts w:ascii="Verdana" w:eastAsia="Calibri" w:hAnsi="Verdana" w:cs="Arial"/>
          <w:i/>
          <w:lang w:val="es-ES" w:eastAsia="es-ES"/>
        </w:rPr>
        <w:t>giro ordinario</w:t>
      </w:r>
      <w:r w:rsidRPr="00D20014">
        <w:rPr>
          <w:rFonts w:ascii="Verdana" w:eastAsia="Calibri" w:hAnsi="Verdana" w:cs="Arial"/>
          <w:lang w:val="es-ES" w:eastAsia="es-ES"/>
        </w:rPr>
        <w:t xml:space="preserve"> debe hacerse en el caso concreto, empleando un criterio de interpretación restrictiva. Ello en la medida en que el parágrafo del artículo 56 consagra una excepción a una regla general. </w:t>
      </w:r>
      <w:r w:rsidRPr="00D20014">
        <w:rPr>
          <w:rFonts w:ascii="Verdana" w:eastAsia="Calibri" w:hAnsi="Verdana" w:cs="Arial"/>
          <w:bCs/>
          <w:lang w:val="es-ES_tradnl"/>
        </w:rPr>
        <w:lastRenderedPageBreak/>
        <w:t>Además, cada una de las entidades estatales señaladas en dicho parágrafo se encuentra circunscrita, hermenéuticamente –para acotar aquel concepto–, a lo que establezcan sus normas estatutarias –actos de creación y demás reglamentos–, así como a la realidad de los negocios que hacen parte de su dinámica habitual.</w:t>
      </w:r>
    </w:p>
    <w:p w14:paraId="1FE29C31" w14:textId="77777777" w:rsidR="009B7B73" w:rsidRDefault="009B7B73" w:rsidP="009B7B73">
      <w:pPr>
        <w:spacing w:after="120" w:line="276" w:lineRule="auto"/>
        <w:jc w:val="both"/>
        <w:rPr>
          <w:rFonts w:ascii="Verdana" w:eastAsia="Calibri" w:hAnsi="Verdana" w:cs="Arial"/>
          <w:lang w:val="es-ES" w:eastAsia="es-ES"/>
        </w:rPr>
      </w:pPr>
      <w:r w:rsidRPr="00D20014">
        <w:rPr>
          <w:rFonts w:ascii="Verdana" w:eastAsia="Calibri" w:hAnsi="Verdana" w:cs="Arial"/>
          <w:bCs/>
          <w:lang w:val="es-ES_tradnl" w:eastAsia="es-ES_tradnl"/>
        </w:rPr>
        <w:tab/>
      </w:r>
      <w:r w:rsidRPr="00D20014">
        <w:rPr>
          <w:rFonts w:ascii="Verdana" w:eastAsia="Calibri" w:hAnsi="Verdana" w:cs="Arial"/>
          <w:color w:val="000000"/>
          <w:lang w:val="es-ES"/>
        </w:rPr>
        <w:t xml:space="preserve"> </w:t>
      </w:r>
      <w:r w:rsidRPr="00D20014">
        <w:rPr>
          <w:rFonts w:ascii="Verdana" w:eastAsia="Calibri" w:hAnsi="Verdana" w:cs="Arial"/>
          <w:lang w:val="es-ES" w:eastAsia="es-ES"/>
        </w:rPr>
        <w:t xml:space="preserve">En tales términos, lo dispuesto en el parágrafo del artículo 56 implica que las instituciones de educación superior públicas, las empresas sociales del Estado, las sociedades de economía mixta y las empresas industriales y comerciales del Estado, no tendrán que implementar documentos tipo únicamente para la contratación relacionada con el </w:t>
      </w:r>
      <w:r w:rsidRPr="00D20014">
        <w:rPr>
          <w:rFonts w:ascii="Verdana" w:eastAsia="Calibri" w:hAnsi="Verdana" w:cs="Arial"/>
          <w:i/>
          <w:iCs/>
          <w:lang w:val="es-ES" w:eastAsia="es-ES"/>
        </w:rPr>
        <w:t xml:space="preserve">giro ordinario </w:t>
      </w:r>
      <w:r w:rsidRPr="00D20014">
        <w:rPr>
          <w:rFonts w:ascii="Verdana" w:eastAsia="Calibri" w:hAnsi="Verdana" w:cs="Arial"/>
          <w:lang w:val="es-ES" w:eastAsia="es-ES"/>
        </w:rPr>
        <w:t xml:space="preserve">de sus asuntos, salvo que los manuales internos de contratación de estas entidades dispongan la obligación de tener en cuenta los documentos tipo como una buena práctica contractual. De acuerdo con este entendimiento, estas entidades, en virtud de su enunciación en este parágrafo, quedan, en principio, exceptuadas de los documentos tipo, incluso para la contratación de obras o servicios cubiertos por documentos tipo, en el marco del cumplimiento de contratos o convenios con entidades sometidas al EGCAP y de los negocios jurídicos que se deriven de ellos, exclusivamente en lo que se refiere a </w:t>
      </w:r>
      <w:r w:rsidRPr="00D20014">
        <w:rPr>
          <w:rFonts w:ascii="Verdana" w:eastAsia="Calibri" w:hAnsi="Verdana" w:cs="Arial"/>
          <w:i/>
          <w:iCs/>
          <w:lang w:val="es-ES" w:eastAsia="es-ES"/>
        </w:rPr>
        <w:t>su giro ordinario</w:t>
      </w:r>
      <w:r w:rsidRPr="00D20014">
        <w:rPr>
          <w:rFonts w:ascii="Verdana" w:eastAsia="Calibri" w:hAnsi="Verdana" w:cs="Arial"/>
          <w:lang w:val="es-ES" w:eastAsia="es-ES"/>
        </w:rPr>
        <w:t xml:space="preserve">, entendido este conforme a los criterios jurisprudenciales y doctrinarios aquí explicados. En otras palabras, ninguna entidad cuya naturaleza jurídica coincida con las mencionadas en el parágrafo del artículo 56, tendrá que someterse de manera obligatoria a los documentos tipo o el EGCAP para la contratación de obras o servicios asociadas a su </w:t>
      </w:r>
      <w:r w:rsidRPr="00D20014">
        <w:rPr>
          <w:rFonts w:ascii="Verdana" w:eastAsia="Calibri" w:hAnsi="Verdana" w:cs="Arial"/>
          <w:i/>
          <w:iCs/>
          <w:lang w:val="es-ES" w:eastAsia="es-ES"/>
        </w:rPr>
        <w:t>giro ordinario</w:t>
      </w:r>
      <w:r w:rsidRPr="00D20014">
        <w:rPr>
          <w:rFonts w:ascii="Verdana" w:eastAsia="Calibri" w:hAnsi="Verdana" w:cs="Arial"/>
          <w:lang w:val="es-ES" w:eastAsia="es-ES"/>
        </w:rPr>
        <w:t xml:space="preserve">, a menos que su manual de contratación establezca lo contrario. De hacerlo, primará el principio de inderogabilidad singular del reglamento, que obliga a aplicarlo en las actuaciones concretas.  </w:t>
      </w:r>
      <w:bookmarkEnd w:id="4"/>
      <w:bookmarkEnd w:id="5"/>
    </w:p>
    <w:p w14:paraId="538ED8D8" w14:textId="77777777" w:rsidR="009B7B73" w:rsidRPr="00160E09" w:rsidRDefault="009B7B73" w:rsidP="009B7B73">
      <w:pPr>
        <w:spacing w:after="120" w:line="276" w:lineRule="auto"/>
        <w:ind w:firstLine="709"/>
        <w:jc w:val="both"/>
        <w:rPr>
          <w:rFonts w:ascii="Verdana" w:eastAsia="Calibri" w:hAnsi="Verdana" w:cs="Arial"/>
          <w:lang w:val="es-ES" w:eastAsia="es-ES"/>
        </w:rPr>
      </w:pPr>
      <w:r w:rsidRPr="00D20014">
        <w:rPr>
          <w:rFonts w:ascii="Verdana" w:eastAsia="Calibri" w:hAnsi="Verdana" w:cs="Arial"/>
          <w:bCs/>
          <w:lang w:val="es-ES_tradnl" w:eastAsia="es-ES_tradnl"/>
        </w:rPr>
        <w:t>Esta interpretación, a juicio de la Agencia, se desprende de la literalidad del texto de la norma en comento, sino que además está en armonía con la voluntad del órgano legislativo. Al respecto se estima que, si bien es cierto que entre los propósitos del artículo está la extensión de los documentos tipo a entidades exceptuadas –a través de las cuales se podría estar eludiendo la aplicación de documentos tipo</w:t>
      </w:r>
      <w:r w:rsidRPr="00D20014">
        <w:rPr>
          <w:rFonts w:ascii="Verdana" w:eastAsia="Calibri" w:hAnsi="Verdana" w:cs="Arial"/>
          <w:vertAlign w:val="superscript"/>
          <w:lang w:eastAsia="es-ES_tradnl"/>
        </w:rPr>
        <w:footnoteReference w:id="12"/>
      </w:r>
      <w:r w:rsidRPr="00D20014">
        <w:rPr>
          <w:rFonts w:ascii="Verdana" w:eastAsia="Calibri" w:hAnsi="Verdana" w:cs="Arial"/>
          <w:bCs/>
          <w:lang w:val="es-ES_tradnl" w:eastAsia="es-ES_tradnl"/>
        </w:rPr>
        <w:t xml:space="preserve">–, no es menos cierto que el Legislador, en </w:t>
      </w:r>
      <w:r w:rsidRPr="00D20014">
        <w:rPr>
          <w:rFonts w:ascii="Verdana" w:eastAsia="Calibri" w:hAnsi="Verdana" w:cs="Arial"/>
          <w:bCs/>
          <w:lang w:val="es-ES_tradnl" w:eastAsia="es-ES_tradnl"/>
        </w:rPr>
        <w:lastRenderedPageBreak/>
        <w:t>materia de contratación estatal, goza de un amplio margen de configuración normativa, de conformidad con lo dispuesto en el inciso final del artículo 150 de la Constitución Política</w:t>
      </w:r>
      <w:r w:rsidRPr="00D20014">
        <w:rPr>
          <w:rFonts w:ascii="Verdana" w:eastAsia="Calibri" w:hAnsi="Verdana" w:cs="Arial"/>
          <w:vertAlign w:val="superscript"/>
          <w:lang w:eastAsia="es-ES_tradnl"/>
        </w:rPr>
        <w:footnoteReference w:id="13"/>
      </w:r>
      <w:r w:rsidRPr="00D20014">
        <w:rPr>
          <w:rFonts w:ascii="Verdana" w:eastAsia="Calibri" w:hAnsi="Verdana" w:cs="Arial"/>
          <w:bCs/>
          <w:lang w:val="es-ES_tradnl" w:eastAsia="es-ES_tradnl"/>
        </w:rPr>
        <w:t xml:space="preserve">. En ese sentido, en virtud de esta potestad de configuración normativa, resulta perfectamente válido que se establezca una regla general y unas excepciones, como se hace, por ejemplo, en el artículo 56 de la Ley 2195 de 2022, en el que se consagra un mandato general en los primeros dos incisos, y una excepción en el parágrafo, para lo que enuncian unos tipos de entidades que se excluyen de la regla general, únicamente respecto de la contratación de su </w:t>
      </w:r>
      <w:r w:rsidRPr="00D20014">
        <w:rPr>
          <w:rFonts w:ascii="Verdana" w:eastAsia="Calibri" w:hAnsi="Verdana" w:cs="Arial"/>
          <w:bCs/>
          <w:i/>
          <w:iCs/>
          <w:lang w:val="es-ES_tradnl" w:eastAsia="es-ES_tradnl"/>
        </w:rPr>
        <w:t>giro ordinario.</w:t>
      </w:r>
      <w:r w:rsidRPr="00D20014">
        <w:rPr>
          <w:rFonts w:ascii="Verdana" w:eastAsia="Calibri" w:hAnsi="Verdana" w:cs="Arial"/>
          <w:bCs/>
          <w:lang w:val="es-ES_tradnl" w:eastAsia="es-ES_tradnl"/>
        </w:rPr>
        <w:t xml:space="preserve"> A esto se suma el hecho de que el parágrafo bajo estudio es una norma restrictiva, por lo que, en virtud de dicho carácter, amerita una interpretación apegada a lo que literalmente se desprende del texto. Como lo ha establecido el Consejo de Estado, “[…] de conformidad con la jurisprudencia uniforme y reiterada de esta Corporación, la aplicación de las normas que contemplan […] prohibiciones o limitaciones, deben responder a una interpretación restrictiva que no permite su extensión, por vía de la figura de la analogía, a supuestos no contemplados por el ordenamiento”</w:t>
      </w:r>
      <w:r w:rsidRPr="00D20014">
        <w:rPr>
          <w:rFonts w:ascii="Verdana" w:eastAsia="Calibri" w:hAnsi="Verdana" w:cs="Arial"/>
          <w:vertAlign w:val="superscript"/>
          <w:lang w:eastAsia="es-ES_tradnl"/>
        </w:rPr>
        <w:footnoteReference w:id="14"/>
      </w:r>
      <w:r w:rsidRPr="00D20014">
        <w:rPr>
          <w:rFonts w:ascii="Verdana" w:eastAsia="Calibri" w:hAnsi="Verdana" w:cs="Arial"/>
          <w:bCs/>
          <w:lang w:val="es-ES_tradnl" w:eastAsia="es-ES_tradnl"/>
        </w:rPr>
        <w:t>.</w:t>
      </w:r>
    </w:p>
    <w:p w14:paraId="2A21B687" w14:textId="77777777" w:rsidR="009B7B73" w:rsidRDefault="009B7B73" w:rsidP="009B7B73">
      <w:pPr>
        <w:tabs>
          <w:tab w:val="left" w:pos="0"/>
        </w:tabs>
        <w:spacing w:after="120" w:line="276" w:lineRule="auto"/>
        <w:ind w:firstLine="709"/>
        <w:jc w:val="both"/>
        <w:rPr>
          <w:rFonts w:ascii="Verdana" w:eastAsia="Calibri" w:hAnsi="Verdana" w:cs="Arial"/>
          <w:bCs/>
          <w:lang w:val="es-ES"/>
        </w:rPr>
      </w:pPr>
      <w:r>
        <w:rPr>
          <w:rFonts w:ascii="Verdana" w:eastAsia="Calibri" w:hAnsi="Verdana" w:cs="Arial"/>
          <w:bCs/>
          <w:lang w:val="es-ES_tradnl"/>
        </w:rPr>
        <w:t xml:space="preserve">Así las cosas, </w:t>
      </w:r>
      <w:r w:rsidRPr="00C51996">
        <w:rPr>
          <w:rFonts w:ascii="Verdana" w:eastAsia="Calibri" w:hAnsi="Verdana" w:cs="Arial"/>
          <w:bCs/>
          <w:lang w:val="es-ES"/>
        </w:rPr>
        <w:t>la excepción del parágrafo en comento es clara en establecer cuáles son las entidades exceptuadas de la aplicación del artículo 56 de la Ley 2195 de 2022</w:t>
      </w:r>
      <w:r>
        <w:rPr>
          <w:rFonts w:ascii="Verdana" w:eastAsia="Calibri" w:hAnsi="Verdana" w:cs="Arial"/>
          <w:bCs/>
          <w:lang w:val="es-ES"/>
        </w:rPr>
        <w:t xml:space="preserve">, dentro de las cuales no se encuentran expresamente los fondos mixtos. Al respecto, se precisa que </w:t>
      </w:r>
      <w:r w:rsidRPr="009C14C6">
        <w:rPr>
          <w:rFonts w:ascii="Verdana" w:eastAsia="Calibri" w:hAnsi="Verdana" w:cs="Arial"/>
          <w:bCs/>
          <w:lang w:val="es-ES"/>
        </w:rPr>
        <w:t xml:space="preserve">los </w:t>
      </w:r>
      <w:r>
        <w:rPr>
          <w:rFonts w:ascii="Verdana" w:eastAsia="Calibri" w:hAnsi="Verdana" w:cs="Arial"/>
          <w:bCs/>
          <w:lang w:val="es-ES"/>
        </w:rPr>
        <w:t>f</w:t>
      </w:r>
      <w:r w:rsidRPr="009C14C6">
        <w:rPr>
          <w:rFonts w:ascii="Verdana" w:eastAsia="Calibri" w:hAnsi="Verdana" w:cs="Arial"/>
          <w:bCs/>
          <w:lang w:val="es-ES"/>
        </w:rPr>
        <w:t xml:space="preserve">ondos </w:t>
      </w:r>
      <w:r>
        <w:rPr>
          <w:rFonts w:ascii="Verdana" w:eastAsia="Calibri" w:hAnsi="Verdana" w:cs="Arial"/>
          <w:bCs/>
          <w:lang w:val="es-ES"/>
        </w:rPr>
        <w:t>m</w:t>
      </w:r>
      <w:r w:rsidRPr="009C14C6">
        <w:rPr>
          <w:rFonts w:ascii="Verdana" w:eastAsia="Calibri" w:hAnsi="Verdana" w:cs="Arial"/>
          <w:bCs/>
          <w:lang w:val="es-ES"/>
        </w:rPr>
        <w:t xml:space="preserve">ixtos </w:t>
      </w:r>
      <w:r w:rsidRPr="009C14C6">
        <w:rPr>
          <w:rFonts w:ascii="Verdana" w:eastAsia="Calibri" w:hAnsi="Verdana" w:cs="Arial"/>
          <w:bCs/>
          <w:iCs/>
        </w:rPr>
        <w:t xml:space="preserve">creados de conformidad con el artículo 96 de la Ley 489 de 1998, al constituirse como entidades descentralizadas indirectas, son susceptibles de ser consideradas entidades estatales en los términos del numeral 1 del artículo 2 de la Ley 80 de 1993, y en </w:t>
      </w:r>
      <w:r w:rsidRPr="009C14C6">
        <w:rPr>
          <w:rFonts w:ascii="Verdana" w:eastAsia="Calibri" w:hAnsi="Verdana" w:cs="Arial"/>
          <w:bCs/>
          <w:iCs/>
        </w:rPr>
        <w:lastRenderedPageBreak/>
        <w:t xml:space="preserve">consecuencia, estar sometidas al EGCAP. No obstante, ello solo aplica respecto de aquellas que cuenten con una participación mayoritaria en cabeza de otras entidades públicas, por lo que las entidades descentralizadas indirectas en los que la participación del Estado es minoritaria, no se encontrarían sujetas al régimen de contratación de la Ley 80 de 1993.   </w:t>
      </w:r>
    </w:p>
    <w:p w14:paraId="6A642DA2" w14:textId="77777777" w:rsidR="009B7B73" w:rsidRDefault="009B7B73" w:rsidP="009B7B73">
      <w:pPr>
        <w:tabs>
          <w:tab w:val="left" w:pos="0"/>
        </w:tabs>
        <w:spacing w:after="120" w:line="276" w:lineRule="auto"/>
        <w:ind w:firstLine="709"/>
        <w:jc w:val="both"/>
        <w:rPr>
          <w:rFonts w:ascii="Verdana" w:eastAsia="Calibri" w:hAnsi="Verdana" w:cs="Arial"/>
          <w:bCs/>
          <w:lang w:val="es-ES"/>
        </w:rPr>
      </w:pPr>
      <w:r>
        <w:rPr>
          <w:rFonts w:ascii="Verdana" w:eastAsia="Calibri" w:hAnsi="Verdana" w:cs="Arial"/>
          <w:bCs/>
          <w:lang w:val="es-ES" w:eastAsia="es-ES_tradnl"/>
        </w:rPr>
        <w:t>De esta forma, vale aclarar que l</w:t>
      </w:r>
      <w:r w:rsidRPr="00CE48D2">
        <w:rPr>
          <w:rFonts w:ascii="Verdana" w:eastAsia="Calibri" w:hAnsi="Verdana" w:cs="Arial"/>
          <w:bCs/>
          <w:lang w:val="es-ES" w:eastAsia="es-ES_tradnl"/>
        </w:rPr>
        <w:t>a redacción de</w:t>
      </w:r>
      <w:r>
        <w:rPr>
          <w:rFonts w:ascii="Verdana" w:eastAsia="Calibri" w:hAnsi="Verdana" w:cs="Arial"/>
          <w:bCs/>
          <w:lang w:val="es-ES" w:eastAsia="es-ES_tradnl"/>
        </w:rPr>
        <w:t xml:space="preserve">l parágrafo del artículo 56 de la Ley 2195 de 2022 </w:t>
      </w:r>
      <w:r w:rsidRPr="00CE48D2">
        <w:rPr>
          <w:rFonts w:ascii="Verdana" w:eastAsia="Calibri" w:hAnsi="Verdana" w:cs="Arial"/>
          <w:bCs/>
          <w:lang w:val="es-ES" w:eastAsia="es-ES_tradnl"/>
        </w:rPr>
        <w:t>evidencia cómo la excepción a la aplicación forzosa es formulada respecto de ciertos tipos de Entidades Estatales, las cuales son mencionadas por su naturaleza jurídica, sin que se incluya consideración alguna relacionada con el régimen jurídico al que se encuentren sometidas. La norma tampoco determina algún supuesto en atención al cual pueda aplicarse la excepción a algún sujeto con una naturaleza jurídica distinta de las específicamente mencionadas.</w:t>
      </w:r>
    </w:p>
    <w:p w14:paraId="2037A2D4" w14:textId="77777777" w:rsidR="009B7B73" w:rsidRPr="004C4ED7" w:rsidRDefault="009B7B73" w:rsidP="009B7B73">
      <w:pPr>
        <w:tabs>
          <w:tab w:val="left" w:pos="0"/>
        </w:tabs>
        <w:spacing w:after="120" w:line="276" w:lineRule="auto"/>
        <w:ind w:firstLine="709"/>
        <w:jc w:val="both"/>
        <w:rPr>
          <w:rFonts w:ascii="Verdana" w:eastAsia="Calibri" w:hAnsi="Verdana" w:cs="Arial"/>
          <w:bCs/>
          <w:lang w:val="es-ES" w:eastAsia="es-ES_tradnl"/>
        </w:rPr>
      </w:pPr>
      <w:r>
        <w:rPr>
          <w:rFonts w:ascii="Verdana" w:eastAsia="Calibri" w:hAnsi="Verdana" w:cs="Arial"/>
          <w:bCs/>
          <w:lang w:val="es-ES" w:eastAsia="es-ES_tradnl"/>
        </w:rPr>
        <w:t xml:space="preserve">En este sentido, teniendo en cuenta que la norma no menciona a los fondos mixtos, </w:t>
      </w:r>
      <w:r>
        <w:rPr>
          <w:rFonts w:ascii="Verdana" w:eastAsia="Calibri" w:hAnsi="Verdana" w:cs="Arial"/>
          <w:bCs/>
          <w:lang w:val="es-ES"/>
        </w:rPr>
        <w:t xml:space="preserve">en principio, se puede concluir que </w:t>
      </w:r>
      <w:r>
        <w:rPr>
          <w:rFonts w:ascii="Verdana" w:eastAsia="Calibri" w:hAnsi="Verdana" w:cs="Arial"/>
          <w:bCs/>
          <w:lang w:val="es-ES_tradnl" w:eastAsia="es-ES_tradnl"/>
        </w:rPr>
        <w:t>dicha</w:t>
      </w:r>
      <w:r w:rsidRPr="00CE48D2">
        <w:rPr>
          <w:rFonts w:ascii="Verdana" w:eastAsia="Calibri" w:hAnsi="Verdana" w:cs="Arial"/>
          <w:bCs/>
          <w:lang w:val="es-ES_tradnl" w:eastAsia="es-ES_tradnl"/>
        </w:rPr>
        <w:t xml:space="preserve"> excepción no resulta extensible a </w:t>
      </w:r>
      <w:r>
        <w:rPr>
          <w:rFonts w:ascii="Verdana" w:eastAsia="Calibri" w:hAnsi="Verdana" w:cs="Arial"/>
          <w:bCs/>
          <w:lang w:val="es-ES_tradnl" w:eastAsia="es-ES_tradnl"/>
        </w:rPr>
        <w:t xml:space="preserve">estas entidades, lo que implica que siempre que estas celebren un contrato o convenio con una entidad sometida al EGCAP deban aplicar los documentos tipo cuando </w:t>
      </w:r>
      <w:r w:rsidRPr="002D4B50">
        <w:rPr>
          <w:rFonts w:ascii="Verdana" w:eastAsia="Calibri" w:hAnsi="Verdana" w:cs="Arial"/>
          <w:bCs/>
          <w:lang w:val="es-ES_tradnl"/>
        </w:rPr>
        <w:t>el objeto</w:t>
      </w:r>
      <w:r>
        <w:rPr>
          <w:rFonts w:ascii="Verdana" w:eastAsia="Calibri" w:hAnsi="Verdana" w:cs="Arial"/>
          <w:bCs/>
          <w:lang w:val="es-ES_tradnl"/>
        </w:rPr>
        <w:t xml:space="preserve"> a</w:t>
      </w:r>
      <w:r w:rsidRPr="002D4B50">
        <w:rPr>
          <w:rFonts w:ascii="Verdana" w:eastAsia="Calibri" w:hAnsi="Verdana" w:cs="Arial"/>
          <w:bCs/>
          <w:lang w:val="es-ES_tradnl"/>
        </w:rPr>
        <w:t xml:space="preserve"> contratar se encuentra cobijado por algún documento tipo existente</w:t>
      </w:r>
      <w:r>
        <w:rPr>
          <w:rFonts w:ascii="Verdana" w:eastAsia="Calibri" w:hAnsi="Verdana" w:cs="Arial"/>
          <w:bCs/>
          <w:lang w:val="es-ES_tradnl"/>
        </w:rPr>
        <w:t xml:space="preserve">. </w:t>
      </w:r>
      <w:r>
        <w:rPr>
          <w:rFonts w:ascii="Verdana" w:eastAsia="Calibri" w:hAnsi="Verdana" w:cs="Arial"/>
          <w:bCs/>
          <w:lang w:val="es-ES_tradnl" w:eastAsia="es-ES_tradnl"/>
        </w:rPr>
        <w:t xml:space="preserve">No obstante, corresponde a las entidades estatales realizar el análisis respectivo </w:t>
      </w:r>
      <w:r w:rsidRPr="00C51996">
        <w:rPr>
          <w:rFonts w:ascii="Verdana" w:eastAsia="Calibri" w:hAnsi="Verdana" w:cs="Arial"/>
          <w:bCs/>
          <w:lang w:val="es-ES"/>
        </w:rPr>
        <w:t xml:space="preserve">en cada caso concreto con el fin de determinar si </w:t>
      </w:r>
      <w:r>
        <w:rPr>
          <w:rFonts w:ascii="Verdana" w:eastAsia="Calibri" w:hAnsi="Verdana" w:cs="Arial"/>
          <w:bCs/>
          <w:lang w:val="es-ES"/>
        </w:rPr>
        <w:t>el fondo mixto</w:t>
      </w:r>
      <w:r w:rsidRPr="00C51996">
        <w:rPr>
          <w:rFonts w:ascii="Verdana" w:eastAsia="Calibri" w:hAnsi="Verdana" w:cs="Arial"/>
          <w:bCs/>
          <w:lang w:val="es-ES"/>
        </w:rPr>
        <w:t xml:space="preserve"> puede catalogarse como una de aquellas definidas en el parágrafo y si el objeto a contratar se enmarca en el concepto de </w:t>
      </w:r>
      <w:r w:rsidRPr="00C51996">
        <w:rPr>
          <w:rFonts w:ascii="Verdana" w:eastAsia="Calibri" w:hAnsi="Verdana" w:cs="Arial"/>
          <w:bCs/>
          <w:i/>
          <w:iCs/>
          <w:lang w:val="es-ES"/>
        </w:rPr>
        <w:t>giro ordinario.</w:t>
      </w:r>
      <w:r w:rsidRPr="00C51996">
        <w:rPr>
          <w:rFonts w:ascii="Verdana" w:eastAsia="Calibri" w:hAnsi="Verdana" w:cs="Arial"/>
          <w:bCs/>
          <w:lang w:val="es-ES"/>
        </w:rPr>
        <w:t xml:space="preserve"> </w:t>
      </w:r>
    </w:p>
    <w:p w14:paraId="116E65FA" w14:textId="77777777" w:rsidR="009B7B73" w:rsidRPr="00F231E7" w:rsidRDefault="009B7B73" w:rsidP="009B7B73">
      <w:pPr>
        <w:tabs>
          <w:tab w:val="left" w:pos="0"/>
        </w:tabs>
        <w:spacing w:after="120" w:line="276" w:lineRule="auto"/>
        <w:ind w:firstLine="709"/>
        <w:jc w:val="both"/>
        <w:rPr>
          <w:rFonts w:ascii="Verdana" w:eastAsia="Times New Roman" w:hAnsi="Verdana" w:cs="Arial"/>
          <w:lang w:eastAsia="es-ES_tradnl"/>
        </w:rPr>
      </w:pPr>
      <w:r w:rsidRPr="00D20014">
        <w:rPr>
          <w:rFonts w:ascii="Verdana" w:eastAsia="Times New Roman" w:hAnsi="Verdana" w:cs="Arial"/>
          <w:bCs/>
          <w:color w:val="000000"/>
          <w:shd w:val="clear" w:color="auto" w:fill="FFFFFF"/>
          <w:lang w:val="es-ES_tradnl" w:eastAsia="es-ES_tradnl"/>
        </w:rPr>
        <w:t xml:space="preserve">En </w:t>
      </w:r>
      <w:r>
        <w:rPr>
          <w:rFonts w:ascii="Verdana" w:eastAsia="Times New Roman" w:hAnsi="Verdana" w:cs="Arial"/>
          <w:bCs/>
          <w:color w:val="000000"/>
          <w:shd w:val="clear" w:color="auto" w:fill="FFFFFF"/>
          <w:lang w:val="es-ES_tradnl" w:eastAsia="es-ES_tradnl"/>
        </w:rPr>
        <w:t>definitiva</w:t>
      </w:r>
      <w:r w:rsidRPr="00D20014">
        <w:rPr>
          <w:rFonts w:ascii="Verdana" w:eastAsia="Times New Roman" w:hAnsi="Verdana" w:cs="Arial"/>
          <w:bCs/>
          <w:color w:val="000000"/>
          <w:shd w:val="clear" w:color="auto" w:fill="FFFFFF"/>
          <w:lang w:val="es-ES_tradnl" w:eastAsia="es-ES_tradnl"/>
        </w:rPr>
        <w:t xml:space="preserve">, es pertinente indicar que </w:t>
      </w:r>
      <w:r w:rsidRPr="00D20014">
        <w:rPr>
          <w:rFonts w:ascii="Verdana" w:eastAsia="Calibri" w:hAnsi="Verdana" w:cs="Arial"/>
          <w:bCs/>
          <w:color w:val="000000"/>
          <w:lang w:val="es-ES_tradnl" w:eastAsia="es-ES_tradnl"/>
        </w:rPr>
        <w:t xml:space="preserve">las excepciones consagradas en el parágrafo del artículo 56 de la Ley 2195 de 2022 solo se aplican a los órganos del Estado cuya naturaleza jurídica coincida con la de las entidades allí indicadas de manera </w:t>
      </w:r>
      <w:r w:rsidRPr="00D20014">
        <w:rPr>
          <w:rFonts w:ascii="Verdana" w:eastAsia="Calibri" w:hAnsi="Verdana" w:cs="Arial"/>
          <w:bCs/>
          <w:i/>
          <w:iCs/>
          <w:color w:val="000000"/>
          <w:lang w:val="es-ES_tradnl" w:eastAsia="es-ES_tradnl"/>
        </w:rPr>
        <w:t>taxativa</w:t>
      </w:r>
      <w:r w:rsidRPr="00D20014">
        <w:rPr>
          <w:rFonts w:ascii="Verdana" w:eastAsia="Calibri" w:hAnsi="Verdana" w:cs="Arial"/>
          <w:bCs/>
          <w:color w:val="000000"/>
          <w:lang w:val="es-ES_tradnl" w:eastAsia="es-ES_tradnl"/>
        </w:rPr>
        <w:t>, esto es, a “</w:t>
      </w:r>
      <w:r w:rsidRPr="00D20014">
        <w:rPr>
          <w:rFonts w:ascii="Verdana" w:eastAsia="Times New Roman" w:hAnsi="Verdana" w:cs="Arial"/>
          <w:color w:val="000000"/>
          <w:lang w:eastAsia="es-ES_tradnl"/>
        </w:rPr>
        <w:t xml:space="preserve">[…] </w:t>
      </w:r>
      <w:r w:rsidRPr="00D20014">
        <w:rPr>
          <w:rFonts w:ascii="Verdana" w:eastAsia="Calibri" w:hAnsi="Verdana" w:cs="Arial"/>
          <w:bCs/>
          <w:color w:val="000000"/>
          <w:lang w:val="es-ES_tradnl" w:eastAsia="es-ES_tradnl"/>
        </w:rPr>
        <w:t xml:space="preserve">las Instituciones de Educación Superior públicas, las empresas sociales del Estado, las sociedades de economía mixta y las empresas industriales y comerciales del Estado, únicamente en cuanto a la contratación de su giro ordinario”. Por consiguiente, cada entidad estatal deberá analizar su naturaleza jurídica y hacer una interpretación restrictiva de este parágrafo, pues las excepciones deben leerse de manera acorde con dicho parámetro hermenéutico. </w:t>
      </w:r>
    </w:p>
    <w:p w14:paraId="534ADBD2" w14:textId="77777777" w:rsidR="009B7B73" w:rsidRPr="00D20014" w:rsidRDefault="009B7B73" w:rsidP="009B7B73">
      <w:pPr>
        <w:widowControl w:val="0"/>
        <w:autoSpaceDE w:val="0"/>
        <w:autoSpaceDN w:val="0"/>
        <w:spacing w:after="0" w:line="276" w:lineRule="auto"/>
        <w:jc w:val="both"/>
        <w:rPr>
          <w:rFonts w:ascii="Verdana" w:eastAsia="Aptos" w:hAnsi="Verdana" w:cs="Arial"/>
          <w:lang w:val="es-ES"/>
        </w:rPr>
      </w:pPr>
    </w:p>
    <w:p w14:paraId="79DFE35F" w14:textId="77777777" w:rsidR="009B7B73" w:rsidRPr="00D20014" w:rsidRDefault="009B7B73" w:rsidP="009B7B73">
      <w:pPr>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D20014">
        <w:rPr>
          <w:rFonts w:ascii="Verdana" w:eastAsia="Century Gothic" w:hAnsi="Verdana" w:cs="Century Gothic"/>
          <w:b/>
          <w:bCs/>
        </w:rPr>
        <w:t>Referencias normativas, jurisprudenciales y otras fuentes:</w:t>
      </w:r>
    </w:p>
    <w:p w14:paraId="1D22BCC8" w14:textId="77777777" w:rsidR="009B7B73" w:rsidRPr="00D20014" w:rsidRDefault="009B7B73" w:rsidP="009B7B73">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B7B73" w:rsidRPr="00D20014" w14:paraId="29F7E419" w14:textId="77777777" w:rsidTr="00C13BA5">
        <w:trPr>
          <w:trHeight w:val="440"/>
        </w:trPr>
        <w:tc>
          <w:tcPr>
            <w:tcW w:w="8647" w:type="dxa"/>
          </w:tcPr>
          <w:p w14:paraId="58B11581" w14:textId="77777777" w:rsidR="009B7B73" w:rsidRPr="00D20014" w:rsidRDefault="009B7B73" w:rsidP="00C13BA5">
            <w:pPr>
              <w:widowControl w:val="0"/>
              <w:numPr>
                <w:ilvl w:val="0"/>
                <w:numId w:val="17"/>
              </w:numPr>
              <w:autoSpaceDE w:val="0"/>
              <w:autoSpaceDN w:val="0"/>
              <w:spacing w:line="276" w:lineRule="auto"/>
              <w:contextualSpacing/>
              <w:jc w:val="both"/>
              <w:rPr>
                <w:rFonts w:ascii="Verdana" w:eastAsia="Aptos" w:hAnsi="Verdana" w:cs="Arial"/>
              </w:rPr>
            </w:pPr>
            <w:r w:rsidRPr="00D20014">
              <w:rPr>
                <w:rFonts w:ascii="Verdana" w:eastAsia="Aptos" w:hAnsi="Verdana" w:cs="Arial"/>
              </w:rPr>
              <w:lastRenderedPageBreak/>
              <w:t xml:space="preserve">Ley 2022 de 202 – artículo 1. </w:t>
            </w:r>
          </w:p>
          <w:p w14:paraId="1C92CF55" w14:textId="77777777" w:rsidR="009B7B73" w:rsidRPr="00D20014" w:rsidRDefault="009B7B73" w:rsidP="00C13BA5">
            <w:pPr>
              <w:widowControl w:val="0"/>
              <w:numPr>
                <w:ilvl w:val="0"/>
                <w:numId w:val="17"/>
              </w:numPr>
              <w:autoSpaceDE w:val="0"/>
              <w:autoSpaceDN w:val="0"/>
              <w:spacing w:line="276" w:lineRule="auto"/>
              <w:contextualSpacing/>
              <w:jc w:val="both"/>
              <w:rPr>
                <w:rFonts w:ascii="Verdana" w:eastAsia="Aptos" w:hAnsi="Verdana" w:cs="Arial"/>
              </w:rPr>
            </w:pPr>
            <w:r w:rsidRPr="00D20014">
              <w:rPr>
                <w:rFonts w:ascii="Verdana" w:eastAsia="Aptos" w:hAnsi="Verdana" w:cs="Arial"/>
              </w:rPr>
              <w:t xml:space="preserve">Ley </w:t>
            </w:r>
            <w:r>
              <w:rPr>
                <w:rFonts w:ascii="Verdana" w:eastAsia="Aptos" w:hAnsi="Verdana" w:cs="Arial"/>
              </w:rPr>
              <w:t>1150</w:t>
            </w:r>
            <w:r w:rsidRPr="00D20014">
              <w:rPr>
                <w:rFonts w:ascii="Verdana" w:eastAsia="Aptos" w:hAnsi="Verdana" w:cs="Arial"/>
              </w:rPr>
              <w:t xml:space="preserve"> de </w:t>
            </w:r>
            <w:r>
              <w:rPr>
                <w:rFonts w:ascii="Verdana" w:eastAsia="Aptos" w:hAnsi="Verdana" w:cs="Arial"/>
              </w:rPr>
              <w:t>2007</w:t>
            </w:r>
            <w:r w:rsidRPr="00D20014">
              <w:rPr>
                <w:rFonts w:ascii="Verdana" w:eastAsia="Aptos" w:hAnsi="Verdana" w:cs="Arial"/>
              </w:rPr>
              <w:t xml:space="preserve"> - </w:t>
            </w:r>
            <w:r w:rsidRPr="00D20014">
              <w:rPr>
                <w:rFonts w:ascii="Verdana" w:eastAsia="Calibri" w:hAnsi="Verdana" w:cs="Arial"/>
                <w:lang w:val="es-ES" w:eastAsia="es-ES"/>
              </w:rPr>
              <w:t>literal c</w:t>
            </w:r>
            <w:r>
              <w:rPr>
                <w:rFonts w:ascii="Verdana" w:eastAsia="Calibri" w:hAnsi="Verdana" w:cs="Arial"/>
                <w:lang w:val="es-ES" w:eastAsia="es-ES"/>
              </w:rPr>
              <w:t xml:space="preserve">, </w:t>
            </w:r>
            <w:r w:rsidRPr="00D20014">
              <w:rPr>
                <w:rFonts w:ascii="Verdana" w:eastAsia="Calibri" w:hAnsi="Verdana" w:cs="Arial"/>
                <w:lang w:val="es-ES" w:eastAsia="es-ES"/>
              </w:rPr>
              <w:t>numeral 4, del artículo 2,</w:t>
            </w:r>
          </w:p>
          <w:p w14:paraId="47289EB5" w14:textId="77777777" w:rsidR="009B7B73" w:rsidRPr="00D20014" w:rsidRDefault="009B7B73" w:rsidP="00C13BA5">
            <w:pPr>
              <w:widowControl w:val="0"/>
              <w:numPr>
                <w:ilvl w:val="0"/>
                <w:numId w:val="17"/>
              </w:numPr>
              <w:autoSpaceDE w:val="0"/>
              <w:autoSpaceDN w:val="0"/>
              <w:spacing w:line="276" w:lineRule="auto"/>
              <w:ind w:left="714" w:hanging="357"/>
              <w:jc w:val="both"/>
              <w:rPr>
                <w:rFonts w:ascii="Verdana" w:eastAsia="Aptos" w:hAnsi="Verdana" w:cs="Arial"/>
              </w:rPr>
            </w:pPr>
            <w:r w:rsidRPr="00D20014">
              <w:rPr>
                <w:rFonts w:ascii="Verdana" w:eastAsia="Aptos" w:hAnsi="Verdana" w:cs="Arial"/>
              </w:rPr>
              <w:t>Ley 2195 de 2022: Artículo 56.</w:t>
            </w:r>
          </w:p>
          <w:p w14:paraId="7C5D73BF" w14:textId="77777777" w:rsidR="009B7B73" w:rsidRPr="007702D3" w:rsidRDefault="009B7B73" w:rsidP="00C13BA5">
            <w:pPr>
              <w:widowControl w:val="0"/>
              <w:numPr>
                <w:ilvl w:val="0"/>
                <w:numId w:val="17"/>
              </w:numPr>
              <w:autoSpaceDE w:val="0"/>
              <w:autoSpaceDN w:val="0"/>
              <w:spacing w:line="276" w:lineRule="auto"/>
              <w:ind w:left="714" w:hanging="357"/>
              <w:jc w:val="both"/>
              <w:rPr>
                <w:rFonts w:ascii="Verdana" w:eastAsia="Aptos" w:hAnsi="Verdana" w:cs="Arial"/>
              </w:rPr>
            </w:pPr>
            <w:r w:rsidRPr="00D20014">
              <w:rPr>
                <w:rFonts w:ascii="Verdana" w:eastAsia="Aptos" w:hAnsi="Verdana" w:cs="Arial"/>
                <w:color w:val="000000"/>
              </w:rPr>
              <w:t xml:space="preserve">CONGRESO DE LA REPÚBLICA. Gaceta </w:t>
            </w:r>
            <w:proofErr w:type="spellStart"/>
            <w:r w:rsidRPr="00D20014">
              <w:rPr>
                <w:rFonts w:ascii="Verdana" w:eastAsia="Aptos" w:hAnsi="Verdana" w:cs="Arial"/>
                <w:color w:val="000000"/>
              </w:rPr>
              <w:t>Nº</w:t>
            </w:r>
            <w:proofErr w:type="spellEnd"/>
            <w:r w:rsidRPr="00D20014">
              <w:rPr>
                <w:rFonts w:ascii="Verdana" w:eastAsia="Aptos" w:hAnsi="Verdana" w:cs="Arial"/>
                <w:color w:val="000000"/>
              </w:rPr>
              <w:t xml:space="preserve"> 1677 del 23 de noviembre de 2021</w:t>
            </w:r>
          </w:p>
          <w:p w14:paraId="282E591B" w14:textId="77777777" w:rsidR="009B7B73" w:rsidRDefault="009B7B73" w:rsidP="00C13BA5">
            <w:pPr>
              <w:widowControl w:val="0"/>
              <w:numPr>
                <w:ilvl w:val="0"/>
                <w:numId w:val="17"/>
              </w:numPr>
              <w:autoSpaceDE w:val="0"/>
              <w:autoSpaceDN w:val="0"/>
              <w:spacing w:line="276" w:lineRule="auto"/>
              <w:ind w:left="714" w:hanging="357"/>
              <w:jc w:val="both"/>
              <w:rPr>
                <w:rFonts w:ascii="Verdana" w:eastAsia="Aptos" w:hAnsi="Verdana" w:cs="Arial"/>
              </w:rPr>
            </w:pPr>
            <w:r w:rsidRPr="007702D3">
              <w:rPr>
                <w:rFonts w:ascii="Verdana" w:eastAsia="Aptos" w:hAnsi="Verdana" w:cs="Arial"/>
              </w:rPr>
              <w:t xml:space="preserve">Consejo de Estado. Sección Tercera. Sentencia del 6 de julio de 2005. </w:t>
            </w:r>
            <w:proofErr w:type="spellStart"/>
            <w:r w:rsidRPr="007702D3">
              <w:rPr>
                <w:rFonts w:ascii="Verdana" w:eastAsia="Aptos" w:hAnsi="Verdana" w:cs="Arial"/>
              </w:rPr>
              <w:t>Exp</w:t>
            </w:r>
            <w:proofErr w:type="spellEnd"/>
            <w:r w:rsidRPr="007702D3">
              <w:rPr>
                <w:rFonts w:ascii="Verdana" w:eastAsia="Aptos" w:hAnsi="Verdana" w:cs="Arial"/>
              </w:rPr>
              <w:t>. No. 11575. C.P. Alier E. Hernández Enríquez</w:t>
            </w:r>
          </w:p>
          <w:p w14:paraId="151D17E2" w14:textId="77777777" w:rsidR="009B7B73" w:rsidRDefault="009B7B73" w:rsidP="00C13BA5">
            <w:pPr>
              <w:widowControl w:val="0"/>
              <w:numPr>
                <w:ilvl w:val="0"/>
                <w:numId w:val="17"/>
              </w:numPr>
              <w:autoSpaceDE w:val="0"/>
              <w:autoSpaceDN w:val="0"/>
              <w:spacing w:line="276" w:lineRule="auto"/>
              <w:ind w:left="714" w:hanging="357"/>
              <w:jc w:val="both"/>
              <w:rPr>
                <w:rFonts w:ascii="Verdana" w:eastAsia="Aptos" w:hAnsi="Verdana" w:cs="Arial"/>
              </w:rPr>
            </w:pPr>
            <w:r w:rsidRPr="007702D3">
              <w:rPr>
                <w:rFonts w:ascii="Verdana" w:eastAsia="Aptos" w:hAnsi="Verdana" w:cs="Arial"/>
              </w:rPr>
              <w:t xml:space="preserve">CONSEJO DE ESTADO. Sección Tercera. Subsección A. Sentencia del 3 de marzo de 2021. </w:t>
            </w:r>
            <w:proofErr w:type="spellStart"/>
            <w:r w:rsidRPr="007702D3">
              <w:rPr>
                <w:rFonts w:ascii="Verdana" w:eastAsia="Aptos" w:hAnsi="Verdana" w:cs="Arial"/>
              </w:rPr>
              <w:t>Exp</w:t>
            </w:r>
            <w:proofErr w:type="spellEnd"/>
            <w:r w:rsidRPr="007702D3">
              <w:rPr>
                <w:rFonts w:ascii="Verdana" w:eastAsia="Aptos" w:hAnsi="Verdana" w:cs="Arial"/>
              </w:rPr>
              <w:t>. No. 51373. C.P. José Roberto Sáchica Méndez.</w:t>
            </w:r>
          </w:p>
          <w:p w14:paraId="1829FFFD" w14:textId="77777777" w:rsidR="009B7B73" w:rsidRDefault="009B7B73" w:rsidP="00C13BA5">
            <w:pPr>
              <w:widowControl w:val="0"/>
              <w:numPr>
                <w:ilvl w:val="0"/>
                <w:numId w:val="17"/>
              </w:numPr>
              <w:autoSpaceDE w:val="0"/>
              <w:autoSpaceDN w:val="0"/>
              <w:spacing w:line="276" w:lineRule="auto"/>
              <w:ind w:left="714" w:hanging="357"/>
              <w:jc w:val="both"/>
              <w:rPr>
                <w:rFonts w:ascii="Verdana" w:eastAsia="Aptos" w:hAnsi="Verdana" w:cs="Arial"/>
              </w:rPr>
            </w:pPr>
            <w:r w:rsidRPr="007702D3">
              <w:rPr>
                <w:rFonts w:ascii="Verdana" w:eastAsia="Aptos" w:hAnsi="Verdana" w:cs="Arial"/>
              </w:rPr>
              <w:t xml:space="preserve">CONSEJO DE ESTADO. Sección Tercera. Subsección B. Sentencia del 12 de octubre de 2011. </w:t>
            </w:r>
            <w:proofErr w:type="spellStart"/>
            <w:r w:rsidRPr="007702D3">
              <w:rPr>
                <w:rFonts w:ascii="Verdana" w:eastAsia="Aptos" w:hAnsi="Verdana" w:cs="Arial"/>
              </w:rPr>
              <w:t>Exp</w:t>
            </w:r>
            <w:proofErr w:type="spellEnd"/>
            <w:r w:rsidRPr="007702D3">
              <w:rPr>
                <w:rFonts w:ascii="Verdana" w:eastAsia="Aptos" w:hAnsi="Verdana" w:cs="Arial"/>
              </w:rPr>
              <w:t>. No. 20070. C.P. Danilo Rojas Betancourt.</w:t>
            </w:r>
          </w:p>
          <w:p w14:paraId="1E4E39F2" w14:textId="77777777" w:rsidR="009B7B73" w:rsidRPr="00417A54" w:rsidRDefault="009B7B73" w:rsidP="00C13BA5">
            <w:pPr>
              <w:widowControl w:val="0"/>
              <w:numPr>
                <w:ilvl w:val="0"/>
                <w:numId w:val="17"/>
              </w:numPr>
              <w:autoSpaceDE w:val="0"/>
              <w:autoSpaceDN w:val="0"/>
              <w:spacing w:line="276" w:lineRule="auto"/>
              <w:jc w:val="both"/>
              <w:rPr>
                <w:rFonts w:ascii="Verdana" w:eastAsia="Aptos" w:hAnsi="Verdana" w:cs="Arial"/>
              </w:rPr>
            </w:pPr>
            <w:r w:rsidRPr="00417A54">
              <w:rPr>
                <w:rFonts w:ascii="Verdana" w:eastAsia="Aptos" w:hAnsi="Verdana" w:cs="Arial"/>
              </w:rPr>
              <w:t xml:space="preserve">Consejo de Estado. Sección Tercera. Subsección A. Sentencia del 24 de junio de 2015. </w:t>
            </w:r>
            <w:proofErr w:type="spellStart"/>
            <w:r w:rsidRPr="00417A54">
              <w:rPr>
                <w:rFonts w:ascii="Verdana" w:eastAsia="Aptos" w:hAnsi="Verdana" w:cs="Arial"/>
              </w:rPr>
              <w:t>Exp</w:t>
            </w:r>
            <w:proofErr w:type="spellEnd"/>
            <w:r w:rsidRPr="00417A54">
              <w:rPr>
                <w:rFonts w:ascii="Verdana" w:eastAsia="Aptos" w:hAnsi="Verdana" w:cs="Arial"/>
              </w:rPr>
              <w:t>. 40.635. Consejero Ponente: Hernán Andrade Rincón (E).</w:t>
            </w:r>
          </w:p>
          <w:p w14:paraId="3A11B2C2" w14:textId="77777777" w:rsidR="009B7B73" w:rsidRDefault="009B7B73" w:rsidP="00C13BA5">
            <w:pPr>
              <w:widowControl w:val="0"/>
              <w:numPr>
                <w:ilvl w:val="0"/>
                <w:numId w:val="17"/>
              </w:numPr>
              <w:autoSpaceDE w:val="0"/>
              <w:autoSpaceDN w:val="0"/>
              <w:spacing w:line="276" w:lineRule="auto"/>
              <w:jc w:val="both"/>
              <w:rPr>
                <w:rFonts w:ascii="Verdana" w:eastAsia="Aptos" w:hAnsi="Verdana" w:cs="Arial"/>
              </w:rPr>
            </w:pPr>
            <w:r w:rsidRPr="00417A54">
              <w:rPr>
                <w:rFonts w:ascii="Verdana" w:eastAsia="Aptos" w:hAnsi="Verdana" w:cs="Arial"/>
              </w:rPr>
              <w:t xml:space="preserve">Consejo de Estado. Sala de Consulta y Servicio Civil. Concepto del 30 de abril de 2015. Expediente: 2251. Consejero Ponente: Álvaro </w:t>
            </w:r>
            <w:proofErr w:type="spellStart"/>
            <w:r w:rsidRPr="00417A54">
              <w:rPr>
                <w:rFonts w:ascii="Verdana" w:eastAsia="Aptos" w:hAnsi="Verdana" w:cs="Arial"/>
              </w:rPr>
              <w:t>Namén</w:t>
            </w:r>
            <w:proofErr w:type="spellEnd"/>
            <w:r w:rsidRPr="00417A54">
              <w:rPr>
                <w:rFonts w:ascii="Verdana" w:eastAsia="Aptos" w:hAnsi="Verdana" w:cs="Arial"/>
              </w:rPr>
              <w:t xml:space="preserve"> Vargas.</w:t>
            </w:r>
          </w:p>
          <w:p w14:paraId="54039F02" w14:textId="77777777" w:rsidR="009B7B73" w:rsidRPr="009C0E98" w:rsidRDefault="009B7B73" w:rsidP="00C13BA5">
            <w:pPr>
              <w:widowControl w:val="0"/>
              <w:numPr>
                <w:ilvl w:val="0"/>
                <w:numId w:val="17"/>
              </w:numPr>
              <w:autoSpaceDE w:val="0"/>
              <w:autoSpaceDN w:val="0"/>
              <w:spacing w:line="276" w:lineRule="auto"/>
              <w:ind w:left="714" w:hanging="357"/>
              <w:jc w:val="both"/>
              <w:rPr>
                <w:rFonts w:ascii="Verdana" w:eastAsia="Aptos" w:hAnsi="Verdana" w:cs="Arial"/>
              </w:rPr>
            </w:pPr>
            <w:r w:rsidRPr="007702D3">
              <w:rPr>
                <w:rFonts w:ascii="Verdana" w:eastAsia="Aptos" w:hAnsi="Verdana" w:cs="Arial"/>
              </w:rPr>
              <w:t>CORTE CONSTITUCIONAL, Sentencia C-382 de 2019, M.P. Alejandro Linares Cantillo.</w:t>
            </w:r>
          </w:p>
        </w:tc>
      </w:tr>
    </w:tbl>
    <w:p w14:paraId="25F65ACA" w14:textId="77777777" w:rsidR="009B7B73" w:rsidRPr="00D20014" w:rsidRDefault="009B7B73" w:rsidP="009B7B73">
      <w:pPr>
        <w:widowControl w:val="0"/>
        <w:autoSpaceDE w:val="0"/>
        <w:autoSpaceDN w:val="0"/>
        <w:spacing w:after="0" w:line="276" w:lineRule="auto"/>
        <w:jc w:val="both"/>
        <w:rPr>
          <w:rFonts w:ascii="Verdana" w:eastAsia="Aptos" w:hAnsi="Verdana" w:cs="Arial"/>
        </w:rPr>
      </w:pPr>
    </w:p>
    <w:p w14:paraId="7705CAB3" w14:textId="77777777" w:rsidR="009B7B73" w:rsidRPr="00D20014" w:rsidRDefault="009B7B73" w:rsidP="009B7B73">
      <w:pPr>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D20014">
        <w:rPr>
          <w:rFonts w:ascii="Verdana" w:eastAsia="Century Gothic" w:hAnsi="Verdana" w:cs="Century Gothic"/>
          <w:b/>
          <w:bCs/>
        </w:rPr>
        <w:t>Doctrina de la Agencia Nacional de Contratación Pública:</w:t>
      </w:r>
    </w:p>
    <w:p w14:paraId="343E34A2" w14:textId="77777777" w:rsidR="009B7B73" w:rsidRPr="00D20014" w:rsidRDefault="009B7B73" w:rsidP="009B7B73">
      <w:pPr>
        <w:widowControl w:val="0"/>
        <w:autoSpaceDE w:val="0"/>
        <w:autoSpaceDN w:val="0"/>
        <w:spacing w:after="0" w:line="276" w:lineRule="auto"/>
        <w:jc w:val="both"/>
        <w:rPr>
          <w:rFonts w:ascii="Verdana" w:eastAsia="Aptos" w:hAnsi="Verdana" w:cs="Arial"/>
        </w:rPr>
      </w:pPr>
    </w:p>
    <w:p w14:paraId="5175EB37" w14:textId="77777777" w:rsidR="009B7B73" w:rsidRDefault="009B7B73" w:rsidP="009B7B73">
      <w:pPr>
        <w:widowControl w:val="0"/>
        <w:autoSpaceDE w:val="0"/>
        <w:autoSpaceDN w:val="0"/>
        <w:spacing w:after="0" w:line="276" w:lineRule="auto"/>
        <w:jc w:val="both"/>
        <w:rPr>
          <w:rFonts w:ascii="Verdana" w:eastAsia="Aptos" w:hAnsi="Verdana" w:cs="Arial"/>
          <w:color w:val="FF0000"/>
          <w:shd w:val="clear" w:color="auto" w:fill="FFFFFF"/>
          <w:lang w:val="es-ES"/>
        </w:rPr>
      </w:pPr>
      <w:r>
        <w:rPr>
          <w:rFonts w:ascii="Verdana" w:eastAsia="Calibri" w:hAnsi="Verdana" w:cs="Arial"/>
          <w:lang w:val="es-ES" w:eastAsia="es-ES_tradnl"/>
        </w:rPr>
        <w:t>L</w:t>
      </w:r>
      <w:r w:rsidRPr="00D20014">
        <w:rPr>
          <w:rFonts w:ascii="Verdana" w:eastAsia="Calibri" w:hAnsi="Verdana" w:cs="Arial"/>
          <w:lang w:val="es-ES" w:eastAsia="es-ES_tradnl"/>
        </w:rPr>
        <w:t xml:space="preserve">a </w:t>
      </w:r>
      <w:r w:rsidRPr="00D20014">
        <w:rPr>
          <w:rFonts w:ascii="Verdana" w:eastAsia="Calibri" w:hAnsi="Verdana" w:cs="Arial"/>
          <w:shd w:val="clear" w:color="auto" w:fill="FFFFFF"/>
          <w:lang w:val="es-ES"/>
        </w:rPr>
        <w:t xml:space="preserve">Agencia Nacional de Contratación Pública − Colombia Compra Eficiente, </w:t>
      </w:r>
      <w:r w:rsidRPr="00D20014">
        <w:rPr>
          <w:rFonts w:ascii="Verdana" w:eastAsia="Times New Roman" w:hAnsi="Verdana" w:cs="Arial"/>
          <w:lang w:val="es-ES_tradnl" w:eastAsia="es-ES_tradnl"/>
        </w:rPr>
        <w:t xml:space="preserve">se ha pronunciado sobre </w:t>
      </w:r>
      <w:r w:rsidRPr="00D20014">
        <w:rPr>
          <w:rFonts w:ascii="Verdana" w:eastAsia="Times New Roman" w:hAnsi="Verdana" w:cs="Arial"/>
          <w:lang w:eastAsia="es-ES_tradnl"/>
        </w:rPr>
        <w:t xml:space="preserve">el alcance del artículo 56 de la Ley 2195 de 2022, específicamente, a partir del concepto C-066 del 28 de enero de 2022, cuya tesis se desarrolló y complementó los </w:t>
      </w:r>
      <w:r>
        <w:rPr>
          <w:rFonts w:ascii="Verdana" w:eastAsia="Times New Roman" w:hAnsi="Verdana" w:cs="Arial"/>
          <w:lang w:eastAsia="es-ES_tradnl"/>
        </w:rPr>
        <w:t xml:space="preserve">conceptos </w:t>
      </w:r>
      <w:r w:rsidRPr="00393D3E">
        <w:rPr>
          <w:rFonts w:ascii="Verdana" w:hAnsi="Verdana"/>
        </w:rPr>
        <w:t xml:space="preserve">C-320 del 20 de mayo de 2022, C-333 del 24 de mayo de 2022, C-404 del 26 de mayo de 2023, C-382 del 27 de mayo de 2022, C-388 del 15 de junio de 2022, C-423 del 5 de julio de 2022, C-435 del 6 de julio de 2023, C-453 del 15 de julio de 2022, C-483 del 5 de agosto de 2022, C-556 del 3 de agosto de 2022, C-532 del 22 de agosto de 2022, C-341 del 27 de mayo de 2022, C-382 del 27 de mayo de 2022, C-449 del 25 de julio de 2022, C-453 del 14 de julio de 2022,  C-488 del 29 de julio de 2022, C-501 del 29 de julio de 2022,  </w:t>
      </w:r>
      <w:r>
        <w:rPr>
          <w:rFonts w:ascii="Verdana" w:hAnsi="Verdana"/>
        </w:rPr>
        <w:t xml:space="preserve">C-501del 30 de septiembre de 2024, </w:t>
      </w:r>
      <w:r w:rsidRPr="00393D3E">
        <w:rPr>
          <w:rFonts w:ascii="Verdana" w:hAnsi="Verdana"/>
        </w:rPr>
        <w:t>C-155 del 7 de marzo de 2025, C-202 del 26 de marzo de 2025, C-298 del 16 de abril de 2025</w:t>
      </w:r>
      <w:r>
        <w:rPr>
          <w:rFonts w:ascii="Verdana" w:hAnsi="Verdana"/>
        </w:rPr>
        <w:t>,</w:t>
      </w:r>
      <w:r w:rsidRPr="00393D3E">
        <w:rPr>
          <w:rFonts w:ascii="Verdana" w:hAnsi="Verdana"/>
        </w:rPr>
        <w:t xml:space="preserve"> C-808 del 30 de julio de</w:t>
      </w:r>
      <w:r>
        <w:rPr>
          <w:rFonts w:ascii="Verdana" w:hAnsi="Verdana"/>
        </w:rPr>
        <w:t xml:space="preserve"> </w:t>
      </w:r>
      <w:r w:rsidRPr="00393D3E">
        <w:rPr>
          <w:rFonts w:ascii="Verdana" w:hAnsi="Verdana"/>
        </w:rPr>
        <w:t>2025</w:t>
      </w:r>
      <w:r>
        <w:rPr>
          <w:rFonts w:ascii="Verdana" w:hAnsi="Verdana"/>
        </w:rPr>
        <w:t xml:space="preserve"> y C-870 del 13 de agosto de 2025</w:t>
      </w:r>
      <w:r w:rsidRPr="00393D3E">
        <w:rPr>
          <w:rFonts w:ascii="Verdana" w:hAnsi="Verdana"/>
        </w:rPr>
        <w:t>.</w:t>
      </w:r>
      <w:r>
        <w:rPr>
          <w:rFonts w:ascii="Verdana" w:hAnsi="Verdana"/>
        </w:rPr>
        <w:t xml:space="preserve"> </w:t>
      </w:r>
      <w:r w:rsidRPr="00D20014">
        <w:rPr>
          <w:rFonts w:ascii="Verdana" w:eastAsia="Aptos" w:hAnsi="Verdana" w:cs="Arial"/>
          <w:shd w:val="clear" w:color="auto" w:fill="FFFFFF"/>
          <w:lang w:val="es-ES"/>
        </w:rPr>
        <w:t>Es</w:t>
      </w:r>
      <w:r w:rsidRPr="00D20014">
        <w:rPr>
          <w:rFonts w:ascii="Verdana" w:eastAsia="Aptos" w:hAnsi="Verdana" w:cs="Times New Roman"/>
        </w:rPr>
        <w:t xml:space="preserve">tos conceptos se encuentran disponibles para consulta en el Sistema de relatoría de </w:t>
      </w:r>
      <w:r w:rsidRPr="00D20014">
        <w:rPr>
          <w:rFonts w:ascii="Verdana" w:eastAsia="Aptos" w:hAnsi="Verdana" w:cs="Times New Roman"/>
        </w:rPr>
        <w:lastRenderedPageBreak/>
        <w:t>la Agencia, al cual se puede acceder a través del siguiente enlace:</w:t>
      </w:r>
      <w:r w:rsidRPr="00D20014">
        <w:rPr>
          <w:rFonts w:ascii="Verdana" w:eastAsia="Aptos" w:hAnsi="Verdana" w:cs="Arial"/>
          <w:shd w:val="clear" w:color="auto" w:fill="FFFFFF"/>
          <w:lang w:val="es-ES"/>
        </w:rPr>
        <w:t xml:space="preserve"> </w:t>
      </w:r>
      <w:hyperlink r:id="rId13" w:history="1">
        <w:r w:rsidRPr="00D20014">
          <w:rPr>
            <w:rFonts w:ascii="Verdana" w:eastAsia="Aptos" w:hAnsi="Verdana" w:cs="Arial"/>
            <w:color w:val="0000FF"/>
            <w:u w:val="single"/>
            <w:shd w:val="clear" w:color="auto" w:fill="FFFFFF"/>
            <w:lang w:val="es-ES"/>
          </w:rPr>
          <w:t>https://relatoria.colombiacompra.gov.co/busqueda/conceptos</w:t>
        </w:r>
      </w:hyperlink>
      <w:r w:rsidRPr="00D20014">
        <w:rPr>
          <w:rFonts w:ascii="Verdana" w:eastAsia="Aptos" w:hAnsi="Verdana" w:cs="Arial"/>
          <w:color w:val="FF0000"/>
          <w:shd w:val="clear" w:color="auto" w:fill="FFFFFF"/>
          <w:lang w:val="es-ES"/>
        </w:rPr>
        <w:t xml:space="preserve"> </w:t>
      </w:r>
    </w:p>
    <w:p w14:paraId="33CD77F2" w14:textId="77777777" w:rsidR="009B7B73" w:rsidRPr="00D20014" w:rsidRDefault="009B7B73" w:rsidP="009B7B73">
      <w:pPr>
        <w:widowControl w:val="0"/>
        <w:autoSpaceDE w:val="0"/>
        <w:autoSpaceDN w:val="0"/>
        <w:spacing w:after="0" w:line="276" w:lineRule="auto"/>
        <w:jc w:val="both"/>
        <w:rPr>
          <w:rFonts w:ascii="Verdana" w:eastAsia="Aptos" w:hAnsi="Verdana" w:cs="Arial"/>
          <w:color w:val="FF0000"/>
          <w:shd w:val="clear" w:color="auto" w:fill="FFFFFF"/>
          <w:lang w:val="es-ES"/>
        </w:rPr>
      </w:pPr>
    </w:p>
    <w:p w14:paraId="6C7F4605" w14:textId="77777777" w:rsidR="009B7B73" w:rsidRPr="00D20014" w:rsidRDefault="009B7B73" w:rsidP="009B7B73">
      <w:pPr>
        <w:widowControl w:val="0"/>
        <w:autoSpaceDE w:val="0"/>
        <w:autoSpaceDN w:val="0"/>
        <w:spacing w:after="0" w:line="276" w:lineRule="auto"/>
        <w:jc w:val="both"/>
        <w:rPr>
          <w:rFonts w:ascii="Verdana" w:eastAsia="Aptos" w:hAnsi="Verdana" w:cs="Arial"/>
          <w:lang w:val="es-ES_tradnl"/>
        </w:rPr>
      </w:pPr>
      <w:r w:rsidRPr="00D20014">
        <w:rPr>
          <w:rFonts w:ascii="Verdana" w:eastAsia="Aptos" w:hAnsi="Verdana" w:cs="Arial"/>
        </w:rPr>
        <w:t xml:space="preserve">Este concepto tiene el alcance previsto en el artículo 28 del Código de Procedimiento Administrativo y de lo Contencioso Administrativo </w:t>
      </w:r>
      <w:r w:rsidRPr="00D20014">
        <w:rPr>
          <w:rFonts w:ascii="Verdana" w:eastAsia="Aptos" w:hAnsi="Verdana" w:cs="Arial"/>
          <w:lang w:val="es-ES_tradnl"/>
        </w:rPr>
        <w:t>y las expresiones aquí utilizadas con mayúscula inicial deben ser entendidas con el significado que les otorga el artículo 2.2.1.1.1.3.1. del Decreto 1082 de 2015.</w:t>
      </w:r>
    </w:p>
    <w:p w14:paraId="69AE161D" w14:textId="77777777" w:rsidR="009B7B73" w:rsidRPr="00D20014" w:rsidRDefault="009B7B73" w:rsidP="009B7B73">
      <w:pPr>
        <w:widowControl w:val="0"/>
        <w:autoSpaceDE w:val="0"/>
        <w:autoSpaceDN w:val="0"/>
        <w:spacing w:after="0" w:line="276" w:lineRule="auto"/>
        <w:jc w:val="both"/>
        <w:rPr>
          <w:rFonts w:ascii="Verdana" w:eastAsia="Aptos" w:hAnsi="Verdana" w:cs="Arial"/>
        </w:rPr>
      </w:pPr>
    </w:p>
    <w:p w14:paraId="569350BE" w14:textId="77777777" w:rsidR="009B7B73" w:rsidRPr="00D20014" w:rsidRDefault="009B7B73" w:rsidP="009B7B73">
      <w:pPr>
        <w:spacing w:after="0" w:line="240" w:lineRule="auto"/>
        <w:rPr>
          <w:rFonts w:ascii="Verdana" w:eastAsia="Aptos" w:hAnsi="Verdana" w:cs="Arial"/>
          <w:lang w:eastAsia="es-CO"/>
        </w:rPr>
      </w:pPr>
      <w:r w:rsidRPr="00D20014">
        <w:rPr>
          <w:rFonts w:ascii="Verdana" w:eastAsia="Times New Roman" w:hAnsi="Verdana" w:cs="Arial"/>
          <w:lang w:eastAsia="es-CO"/>
        </w:rPr>
        <w:t>Atentamente,</w:t>
      </w:r>
      <w:r w:rsidRPr="00D20014">
        <w:rPr>
          <w:rFonts w:ascii="Verdana" w:eastAsia="Aptos" w:hAnsi="Verdana" w:cs="Arial"/>
          <w:lang w:eastAsia="es-CO"/>
        </w:rPr>
        <w:t xml:space="preserve"> </w:t>
      </w:r>
    </w:p>
    <w:p w14:paraId="6C8D6CAD" w14:textId="77777777" w:rsidR="009B7B73" w:rsidRPr="00D20014" w:rsidRDefault="009B7B73" w:rsidP="009B7B73">
      <w:pPr>
        <w:spacing w:after="0" w:line="240" w:lineRule="auto"/>
        <w:jc w:val="center"/>
        <w:rPr>
          <w:rFonts w:ascii="Aptos" w:eastAsia="Aptos" w:hAnsi="Aptos" w:cs="Times New Roman"/>
          <w:noProof/>
          <w14:ligatures w14:val="standardContextual"/>
        </w:rPr>
      </w:pPr>
    </w:p>
    <w:p w14:paraId="088F1905" w14:textId="77777777" w:rsidR="009B7B73" w:rsidRPr="00D20014" w:rsidRDefault="009B7B73" w:rsidP="009B7B73">
      <w:pPr>
        <w:spacing w:after="0" w:line="240" w:lineRule="auto"/>
        <w:jc w:val="center"/>
        <w:rPr>
          <w:rFonts w:ascii="Verdana" w:eastAsia="Aptos" w:hAnsi="Verdana" w:cs="Arial"/>
          <w:lang w:eastAsia="es-CO"/>
        </w:rPr>
      </w:pPr>
    </w:p>
    <w:p w14:paraId="74BF8524" w14:textId="026CD6F6" w:rsidR="009B7B73" w:rsidRPr="0068390B" w:rsidRDefault="00A157C6" w:rsidP="009B7B73">
      <w:pPr>
        <w:spacing w:line="276" w:lineRule="auto"/>
        <w:jc w:val="center"/>
        <w:rPr>
          <w:rFonts w:ascii="Verdana" w:hAnsi="Verdana" w:cs="Arial"/>
          <w:color w:val="000000"/>
          <w:lang w:eastAsia="es-CO"/>
        </w:rPr>
      </w:pPr>
      <w:r>
        <w:rPr>
          <w:noProof/>
        </w:rPr>
        <w:drawing>
          <wp:inline distT="0" distB="0" distL="0" distR="0" wp14:anchorId="247F45C7" wp14:editId="41A4B5CB">
            <wp:extent cx="3462655" cy="1285240"/>
            <wp:effectExtent l="0" t="0" r="4445" b="0"/>
            <wp:docPr id="107950162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501621" name="Imagen 1" descr="Texto&#10;&#10;Descripción generada automáticamente"/>
                    <pic:cNvPicPr>
                      <a:picLocks noChangeAspect="1"/>
                    </pic:cNvPicPr>
                  </pic:nvPicPr>
                  <pic:blipFill>
                    <a:blip r:embed="rId14"/>
                    <a:stretch>
                      <a:fillRect/>
                    </a:stretch>
                  </pic:blipFill>
                  <pic:spPr>
                    <a:xfrm>
                      <a:off x="0" y="0"/>
                      <a:ext cx="3462655" cy="128524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B7B73" w:rsidRPr="0068390B" w14:paraId="21084B61" w14:textId="77777777" w:rsidTr="00C13BA5">
        <w:trPr>
          <w:trHeight w:val="315"/>
        </w:trPr>
        <w:tc>
          <w:tcPr>
            <w:tcW w:w="893" w:type="dxa"/>
            <w:vAlign w:val="center"/>
            <w:hideMark/>
          </w:tcPr>
          <w:p w14:paraId="7263BC59" w14:textId="77777777" w:rsidR="009B7B73" w:rsidRPr="0068390B" w:rsidRDefault="009B7B73" w:rsidP="00C13BA5">
            <w:pPr>
              <w:contextualSpacing/>
              <w:rPr>
                <w:rFonts w:ascii="Verdana" w:hAnsi="Verdana" w:cs="Arial"/>
                <w:sz w:val="16"/>
                <w:szCs w:val="16"/>
                <w:lang w:eastAsia="es-ES"/>
              </w:rPr>
            </w:pPr>
            <w:r w:rsidRPr="0068390B">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73D8F5A" w14:textId="77777777" w:rsidR="009B7B73" w:rsidRPr="0068390B" w:rsidRDefault="009B7B73" w:rsidP="00C13BA5">
            <w:pPr>
              <w:contextualSpacing/>
              <w:rPr>
                <w:rFonts w:ascii="Verdana" w:hAnsi="Verdana"/>
                <w:sz w:val="16"/>
                <w:szCs w:val="16"/>
              </w:rPr>
            </w:pPr>
            <w:r w:rsidRPr="0068390B">
              <w:rPr>
                <w:rFonts w:ascii="Verdana" w:hAnsi="Verdana"/>
                <w:sz w:val="16"/>
                <w:szCs w:val="16"/>
              </w:rPr>
              <w:t>Tatiana Baquero Iguarán</w:t>
            </w:r>
          </w:p>
          <w:p w14:paraId="0FB154A1" w14:textId="77777777" w:rsidR="009B7B73" w:rsidRPr="0068390B" w:rsidRDefault="009B7B73" w:rsidP="00C13BA5">
            <w:pPr>
              <w:contextualSpacing/>
              <w:rPr>
                <w:rFonts w:ascii="Verdana" w:eastAsia="Arial" w:hAnsi="Verdana" w:cs="Arial"/>
                <w:sz w:val="16"/>
                <w:szCs w:val="16"/>
              </w:rPr>
            </w:pPr>
            <w:r w:rsidRPr="0068390B">
              <w:rPr>
                <w:rFonts w:ascii="Verdana" w:hAnsi="Verdana"/>
                <w:sz w:val="16"/>
                <w:szCs w:val="16"/>
              </w:rPr>
              <w:t>Contratista de la Subdirección de Gestión Contractual</w:t>
            </w:r>
          </w:p>
        </w:tc>
      </w:tr>
      <w:tr w:rsidR="009B7B73" w:rsidRPr="0068390B" w14:paraId="3C5B2A5C" w14:textId="77777777" w:rsidTr="00C13BA5">
        <w:trPr>
          <w:trHeight w:val="330"/>
        </w:trPr>
        <w:tc>
          <w:tcPr>
            <w:tcW w:w="893" w:type="dxa"/>
            <w:vAlign w:val="center"/>
            <w:hideMark/>
          </w:tcPr>
          <w:p w14:paraId="56408621" w14:textId="77777777" w:rsidR="009B7B73" w:rsidRPr="0068390B" w:rsidRDefault="009B7B73" w:rsidP="00C13BA5">
            <w:pPr>
              <w:contextualSpacing/>
              <w:rPr>
                <w:rFonts w:ascii="Verdana" w:hAnsi="Verdana" w:cs="Arial"/>
                <w:sz w:val="16"/>
                <w:szCs w:val="16"/>
                <w:lang w:eastAsia="es-ES"/>
              </w:rPr>
            </w:pPr>
            <w:r w:rsidRPr="0068390B">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4667B2E" w14:textId="77777777" w:rsidR="009B7B73" w:rsidRPr="0068390B" w:rsidRDefault="009B7B73" w:rsidP="00C13BA5">
            <w:pPr>
              <w:textAlignment w:val="baseline"/>
              <w:rPr>
                <w:rFonts w:ascii="Verdana" w:eastAsia="Times New Roman" w:hAnsi="Verdana" w:cs="Arial"/>
                <w:sz w:val="16"/>
                <w:szCs w:val="16"/>
                <w:lang w:val="es-MX" w:eastAsia="es-CO"/>
              </w:rPr>
            </w:pPr>
            <w:r w:rsidRPr="0068390B">
              <w:rPr>
                <w:rFonts w:ascii="Verdana" w:eastAsia="Times New Roman" w:hAnsi="Verdana" w:cs="Arial"/>
                <w:sz w:val="16"/>
                <w:szCs w:val="16"/>
                <w:lang w:val="es-MX" w:eastAsia="es-CO"/>
              </w:rPr>
              <w:t>Alejandro Raúl Sarmiento Cantillo</w:t>
            </w:r>
          </w:p>
          <w:p w14:paraId="6A90495B" w14:textId="77777777" w:rsidR="009B7B73" w:rsidRPr="0068390B" w:rsidRDefault="009B7B73" w:rsidP="00C13BA5">
            <w:pPr>
              <w:spacing w:before="100" w:beforeAutospacing="1" w:after="100" w:afterAutospacing="1"/>
              <w:contextualSpacing/>
              <w:textAlignment w:val="baseline"/>
              <w:rPr>
                <w:rFonts w:ascii="Verdana" w:eastAsia="Times New Roman" w:hAnsi="Verdana" w:cs="Segoe UI"/>
                <w:sz w:val="16"/>
                <w:szCs w:val="16"/>
                <w:lang w:eastAsia="es-ES_tradnl"/>
              </w:rPr>
            </w:pPr>
            <w:r w:rsidRPr="0068390B">
              <w:rPr>
                <w:rFonts w:ascii="Verdana" w:eastAsia="Times New Roman" w:hAnsi="Verdana" w:cs="Arial"/>
                <w:sz w:val="16"/>
                <w:szCs w:val="16"/>
                <w:lang w:val="es-MX" w:eastAsia="es-CO"/>
              </w:rPr>
              <w:t>Gestor T1-15 de la Subdirección de Gestión Contractual</w:t>
            </w:r>
          </w:p>
        </w:tc>
      </w:tr>
      <w:tr w:rsidR="009B7B73" w:rsidRPr="0068390B" w14:paraId="3F6AB0BB" w14:textId="77777777" w:rsidTr="00C13BA5">
        <w:trPr>
          <w:trHeight w:val="300"/>
        </w:trPr>
        <w:tc>
          <w:tcPr>
            <w:tcW w:w="893" w:type="dxa"/>
            <w:vAlign w:val="center"/>
          </w:tcPr>
          <w:p w14:paraId="1074E065" w14:textId="77777777" w:rsidR="009B7B73" w:rsidRPr="0068390B" w:rsidRDefault="009B7B73" w:rsidP="00C13BA5">
            <w:pPr>
              <w:contextualSpacing/>
              <w:rPr>
                <w:rFonts w:ascii="Verdana" w:hAnsi="Verdana" w:cs="Arial"/>
                <w:sz w:val="16"/>
                <w:szCs w:val="16"/>
                <w:lang w:eastAsia="es-ES"/>
              </w:rPr>
            </w:pPr>
            <w:r w:rsidRPr="0068390B">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ED1356A" w14:textId="77777777" w:rsidR="009B7B73" w:rsidRPr="0068390B" w:rsidRDefault="009B7B73" w:rsidP="00C13BA5">
            <w:pPr>
              <w:contextualSpacing/>
              <w:rPr>
                <w:rFonts w:ascii="Verdana" w:eastAsia="Calibri" w:hAnsi="Verdana" w:cs="Arial"/>
                <w:sz w:val="16"/>
                <w:szCs w:val="16"/>
                <w:lang w:eastAsia="es-ES"/>
              </w:rPr>
            </w:pPr>
            <w:r w:rsidRPr="0068390B">
              <w:rPr>
                <w:rFonts w:ascii="Verdana" w:eastAsia="Calibri" w:hAnsi="Verdana" w:cs="Arial"/>
                <w:sz w:val="16"/>
                <w:szCs w:val="16"/>
                <w:lang w:eastAsia="es-ES"/>
              </w:rPr>
              <w:t xml:space="preserve">Carolina Quintero </w:t>
            </w:r>
            <w:proofErr w:type="spellStart"/>
            <w:r w:rsidRPr="0068390B">
              <w:rPr>
                <w:rFonts w:ascii="Verdana" w:eastAsia="Calibri" w:hAnsi="Verdana" w:cs="Arial"/>
                <w:sz w:val="16"/>
                <w:szCs w:val="16"/>
                <w:lang w:eastAsia="es-ES"/>
              </w:rPr>
              <w:t>Gacharná</w:t>
            </w:r>
            <w:proofErr w:type="spellEnd"/>
          </w:p>
          <w:p w14:paraId="6AFB2295" w14:textId="77777777" w:rsidR="009B7B73" w:rsidRPr="0068390B" w:rsidRDefault="009B7B73" w:rsidP="00C13BA5">
            <w:pPr>
              <w:contextualSpacing/>
              <w:rPr>
                <w:rFonts w:ascii="Verdana" w:eastAsia="Calibri" w:hAnsi="Verdana" w:cs="Arial"/>
                <w:sz w:val="16"/>
                <w:szCs w:val="16"/>
                <w:lang w:eastAsia="es-ES"/>
              </w:rPr>
            </w:pPr>
            <w:r w:rsidRPr="0068390B">
              <w:rPr>
                <w:rFonts w:ascii="Verdana" w:eastAsia="Calibri" w:hAnsi="Verdana" w:cs="Arial"/>
                <w:sz w:val="16"/>
                <w:szCs w:val="16"/>
                <w:lang w:eastAsia="es-ES"/>
              </w:rPr>
              <w:t>Subdirectora de Gestión Contractual ANCP – CCE</w:t>
            </w:r>
          </w:p>
        </w:tc>
      </w:tr>
    </w:tbl>
    <w:p w14:paraId="7B0AC07C" w14:textId="77777777" w:rsidR="009B7B73" w:rsidRPr="0068390B" w:rsidRDefault="009B7B73" w:rsidP="009B7B73"/>
    <w:p w14:paraId="66874AFB" w14:textId="77777777" w:rsidR="009B7B73" w:rsidRPr="0068390B" w:rsidRDefault="009B7B73" w:rsidP="009B7B73">
      <w:pPr>
        <w:spacing w:after="0" w:line="240" w:lineRule="auto"/>
        <w:rPr>
          <w:rFonts w:ascii="Verdana" w:eastAsia="Aptos" w:hAnsi="Verdana" w:cs="Times New Roman"/>
          <w:sz w:val="20"/>
          <w:szCs w:val="20"/>
        </w:rPr>
      </w:pPr>
    </w:p>
    <w:p w14:paraId="6F547BC9" w14:textId="77777777" w:rsidR="009B7B73" w:rsidRDefault="009B7B73" w:rsidP="009B7B73">
      <w:pPr>
        <w:spacing w:after="0" w:line="240" w:lineRule="auto"/>
        <w:rPr>
          <w:rFonts w:ascii="Arial" w:eastAsia="Times New Roman" w:hAnsi="Arial" w:cs="Arial"/>
          <w:noProof/>
          <w:color w:val="000000"/>
          <w:szCs w:val="24"/>
          <w:lang w:val="es-ES_tradnl" w:eastAsia="es-ES_tradnl"/>
        </w:rPr>
      </w:pPr>
    </w:p>
    <w:p w14:paraId="28D5AF12" w14:textId="77777777" w:rsidR="00BF7BE7" w:rsidRDefault="00BF7BE7" w:rsidP="00040C96">
      <w:pPr>
        <w:spacing w:after="0" w:line="240" w:lineRule="auto"/>
        <w:rPr>
          <w:rFonts w:ascii="Verdana" w:eastAsia="Geomanist Light" w:hAnsi="Verdana" w:cs="Arial"/>
          <w:color w:val="000000" w:themeColor="text1"/>
        </w:rPr>
      </w:pPr>
    </w:p>
    <w:bookmarkEnd w:id="0"/>
    <w:sectPr w:rsidR="00BF7BE7"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E5623B" w14:textId="77777777" w:rsidR="003608A3" w:rsidRDefault="003608A3" w:rsidP="004A1847">
      <w:pPr>
        <w:spacing w:after="0" w:line="240" w:lineRule="auto"/>
      </w:pPr>
      <w:r>
        <w:separator/>
      </w:r>
    </w:p>
  </w:endnote>
  <w:endnote w:type="continuationSeparator" w:id="0">
    <w:p w14:paraId="258232D5" w14:textId="77777777" w:rsidR="003608A3" w:rsidRDefault="003608A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D20014">
      <w:rPr>
        <w:rFonts w:ascii="Verdana" w:eastAsia="Times New Roman" w:hAnsi="Verdana" w:cs="Times New Roman"/>
        <w:b/>
        <w:bCs/>
        <w:sz w:val="16"/>
        <w:szCs w:val="16"/>
        <w:lang w:val="es-ES"/>
      </w:rPr>
      <w:t xml:space="preserve">pág. </w:t>
    </w:r>
    <w:r w:rsidRPr="00D20014">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D20014">
      <w:rPr>
        <w:rFonts w:ascii="Verdana" w:eastAsia="Times New Roman" w:hAnsi="Verdana"/>
        <w:b/>
        <w:bCs/>
        <w:sz w:val="16"/>
        <w:szCs w:val="16"/>
      </w:rPr>
      <w:fldChar w:fldCharType="separate"/>
    </w:r>
    <w:r w:rsidRPr="00D20014">
      <w:rPr>
        <w:rFonts w:ascii="Verdana" w:eastAsia="Times New Roman" w:hAnsi="Verdana"/>
        <w:b/>
        <w:bCs/>
        <w:sz w:val="16"/>
        <w:szCs w:val="16"/>
      </w:rPr>
      <w:t>1</w:t>
    </w:r>
    <w:r w:rsidRPr="00D20014">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581F2D" w14:textId="77777777" w:rsidR="003608A3" w:rsidRDefault="003608A3" w:rsidP="004A1847">
      <w:pPr>
        <w:spacing w:after="0" w:line="240" w:lineRule="auto"/>
      </w:pPr>
      <w:r>
        <w:separator/>
      </w:r>
    </w:p>
  </w:footnote>
  <w:footnote w:type="continuationSeparator" w:id="0">
    <w:p w14:paraId="4854E5F8" w14:textId="77777777" w:rsidR="003608A3" w:rsidRDefault="003608A3" w:rsidP="004A1847">
      <w:pPr>
        <w:spacing w:after="0" w:line="240" w:lineRule="auto"/>
      </w:pPr>
      <w:r>
        <w:continuationSeparator/>
      </w:r>
    </w:p>
  </w:footnote>
  <w:footnote w:id="1">
    <w:p w14:paraId="07D595BF" w14:textId="77777777" w:rsidR="009B7B73" w:rsidRPr="00A2588A" w:rsidRDefault="009B7B73" w:rsidP="009B7B73">
      <w:pPr>
        <w:pStyle w:val="NormalWeb"/>
        <w:spacing w:before="0" w:beforeAutospacing="0" w:after="0" w:afterAutospacing="0"/>
        <w:ind w:firstLine="708"/>
        <w:contextualSpacing/>
        <w:jc w:val="both"/>
        <w:rPr>
          <w:rFonts w:ascii="Verdana" w:hAnsi="Verdana" w:cs="Arial"/>
          <w:color w:val="000000"/>
          <w:sz w:val="14"/>
          <w:szCs w:val="14"/>
        </w:rPr>
      </w:pPr>
      <w:r w:rsidRPr="00A2588A">
        <w:rPr>
          <w:rStyle w:val="Refdenotaalpie"/>
          <w:rFonts w:ascii="Verdana" w:hAnsi="Verdana" w:cs="Arial"/>
          <w:color w:val="000000"/>
          <w:sz w:val="14"/>
          <w:szCs w:val="14"/>
        </w:rPr>
        <w:footnoteRef/>
      </w:r>
      <w:r w:rsidRPr="00A2588A">
        <w:rPr>
          <w:rFonts w:ascii="Verdana" w:hAnsi="Verdana" w:cs="Arial"/>
          <w:color w:val="000000"/>
          <w:sz w:val="14"/>
          <w:szCs w:val="14"/>
        </w:rPr>
        <w:t xml:space="preserve"> Ley 2022 de 2020: “</w:t>
      </w:r>
      <w:r w:rsidRPr="00A2588A">
        <w:rPr>
          <w:rStyle w:val="Textoennegrita"/>
          <w:rFonts w:ascii="Verdana" w:hAnsi="Verdana" w:cs="Arial"/>
          <w:b w:val="0"/>
          <w:bCs w:val="0"/>
          <w:color w:val="000000"/>
          <w:sz w:val="14"/>
          <w:szCs w:val="14"/>
        </w:rPr>
        <w:t xml:space="preserve">Artículo 1º. </w:t>
      </w:r>
      <w:r w:rsidRPr="00A2588A">
        <w:rPr>
          <w:rFonts w:ascii="Verdana" w:hAnsi="Verdana" w:cs="Arial"/>
          <w:color w:val="000000"/>
          <w:sz w:val="14"/>
          <w:szCs w:val="14"/>
        </w:rPr>
        <w:t>Modifíquese el artículo 4º de la Ley 1882 de 2018, el cual quedará así:</w:t>
      </w:r>
    </w:p>
    <w:p w14:paraId="27DE6C4C" w14:textId="77777777" w:rsidR="009B7B73" w:rsidRPr="00A2588A" w:rsidRDefault="009B7B73" w:rsidP="009B7B73">
      <w:pPr>
        <w:pStyle w:val="NormalWeb"/>
        <w:spacing w:before="0" w:beforeAutospacing="0" w:after="0" w:afterAutospacing="0"/>
        <w:ind w:firstLine="708"/>
        <w:contextualSpacing/>
        <w:jc w:val="both"/>
        <w:rPr>
          <w:rFonts w:ascii="Verdana" w:hAnsi="Verdana" w:cs="Arial"/>
          <w:color w:val="000000"/>
          <w:sz w:val="14"/>
          <w:szCs w:val="14"/>
        </w:rPr>
      </w:pPr>
      <w:r w:rsidRPr="00A2588A">
        <w:rPr>
          <w:rStyle w:val="Textoennegrita"/>
          <w:rFonts w:ascii="Verdana" w:hAnsi="Verdana" w:cs="Arial"/>
          <w:b w:val="0"/>
          <w:bCs w:val="0"/>
          <w:color w:val="000000"/>
          <w:sz w:val="14"/>
          <w:szCs w:val="14"/>
        </w:rPr>
        <w:t xml:space="preserve">“Artículo 4º. </w:t>
      </w:r>
      <w:r w:rsidRPr="00A2588A">
        <w:rPr>
          <w:rFonts w:ascii="Verdana" w:hAnsi="Verdana" w:cs="Arial"/>
          <w:color w:val="000000"/>
          <w:sz w:val="14"/>
          <w:szCs w:val="14"/>
        </w:rPr>
        <w:t>Adiciónese el siguiente parágrafo al artículo 2º de la Ley 1150 de 2007.</w:t>
      </w:r>
    </w:p>
    <w:p w14:paraId="1AED6406" w14:textId="77777777" w:rsidR="009B7B73" w:rsidRPr="00A2588A" w:rsidRDefault="009B7B73" w:rsidP="009B7B73">
      <w:pPr>
        <w:pStyle w:val="NormalWeb"/>
        <w:spacing w:before="0" w:beforeAutospacing="0" w:after="0" w:afterAutospacing="0"/>
        <w:ind w:firstLine="708"/>
        <w:contextualSpacing/>
        <w:jc w:val="both"/>
        <w:rPr>
          <w:rFonts w:ascii="Verdana" w:hAnsi="Verdana" w:cs="Arial"/>
          <w:color w:val="000000"/>
          <w:sz w:val="14"/>
          <w:szCs w:val="14"/>
        </w:rPr>
      </w:pPr>
      <w:r w:rsidRPr="00A2588A">
        <w:rPr>
          <w:rStyle w:val="Textoennegrita"/>
          <w:rFonts w:ascii="Verdana" w:hAnsi="Verdana" w:cs="Arial"/>
          <w:b w:val="0"/>
          <w:bCs w:val="0"/>
          <w:color w:val="000000"/>
          <w:sz w:val="14"/>
          <w:szCs w:val="14"/>
        </w:rPr>
        <w:t xml:space="preserve">Parágrafo 7º. </w:t>
      </w:r>
      <w:r w:rsidRPr="00A2588A">
        <w:rPr>
          <w:rFonts w:ascii="Verdana" w:hAnsi="Verdana" w:cs="Arial"/>
          <w:color w:val="000000"/>
          <w:sz w:val="14"/>
          <w:szCs w:val="14"/>
        </w:rPr>
        <w:t>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2022E770" w14:textId="77777777" w:rsidR="009B7B73" w:rsidRPr="00A2588A" w:rsidRDefault="009B7B73" w:rsidP="009B7B73">
      <w:pPr>
        <w:pStyle w:val="NormalWeb"/>
        <w:spacing w:before="0" w:beforeAutospacing="0" w:after="0" w:afterAutospacing="0"/>
        <w:ind w:firstLine="708"/>
        <w:contextualSpacing/>
        <w:jc w:val="both"/>
        <w:rPr>
          <w:rFonts w:ascii="Verdana" w:hAnsi="Verdana" w:cs="Arial"/>
          <w:color w:val="000000"/>
          <w:sz w:val="14"/>
          <w:szCs w:val="14"/>
        </w:rPr>
      </w:pPr>
      <w:r w:rsidRPr="00A2588A">
        <w:rPr>
          <w:rFonts w:ascii="Verdana" w:hAnsi="Verdana" w:cs="Arial"/>
          <w:color w:val="000000"/>
          <w:sz w:val="14"/>
          <w:szCs w:val="14"/>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7615826F" w14:textId="77777777" w:rsidR="009B7B73" w:rsidRPr="00A2588A" w:rsidRDefault="009B7B73" w:rsidP="009B7B73">
      <w:pPr>
        <w:pStyle w:val="NormalWeb"/>
        <w:spacing w:before="0" w:beforeAutospacing="0" w:after="0" w:afterAutospacing="0"/>
        <w:ind w:firstLine="708"/>
        <w:contextualSpacing/>
        <w:jc w:val="both"/>
        <w:rPr>
          <w:rFonts w:ascii="Verdana" w:hAnsi="Verdana" w:cs="Arial"/>
          <w:color w:val="000000"/>
          <w:sz w:val="14"/>
          <w:szCs w:val="14"/>
        </w:rPr>
      </w:pPr>
      <w:r w:rsidRPr="00A2588A">
        <w:rPr>
          <w:rFonts w:ascii="Verdana" w:hAnsi="Verdana" w:cs="Arial"/>
          <w:color w:val="000000"/>
          <w:sz w:val="14"/>
          <w:szCs w:val="14"/>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3239D8DB" w14:textId="77777777" w:rsidR="009B7B73" w:rsidRPr="00A2588A" w:rsidRDefault="009B7B73" w:rsidP="009B7B73">
      <w:pPr>
        <w:pStyle w:val="NormalWeb"/>
        <w:spacing w:before="0" w:beforeAutospacing="0" w:after="0" w:afterAutospacing="0"/>
        <w:ind w:firstLine="708"/>
        <w:contextualSpacing/>
        <w:jc w:val="both"/>
        <w:rPr>
          <w:rFonts w:ascii="Verdana" w:hAnsi="Verdana" w:cs="Arial"/>
          <w:color w:val="000000"/>
          <w:sz w:val="14"/>
          <w:szCs w:val="14"/>
        </w:rPr>
      </w:pPr>
      <w:r w:rsidRPr="00A2588A">
        <w:rPr>
          <w:rFonts w:ascii="Verdana" w:hAnsi="Verdana" w:cs="Arial"/>
          <w:color w:val="000000"/>
          <w:sz w:val="14"/>
          <w:szCs w:val="14"/>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70411F33" w14:textId="77777777" w:rsidR="009B7B73" w:rsidRPr="00A2588A" w:rsidRDefault="009B7B73" w:rsidP="009B7B73">
      <w:pPr>
        <w:pStyle w:val="NormalWeb"/>
        <w:spacing w:before="0" w:beforeAutospacing="0" w:after="0" w:afterAutospacing="0"/>
        <w:ind w:firstLine="708"/>
        <w:contextualSpacing/>
        <w:jc w:val="both"/>
        <w:rPr>
          <w:rFonts w:ascii="Verdana" w:hAnsi="Verdana" w:cs="Arial"/>
          <w:color w:val="000000"/>
          <w:sz w:val="14"/>
          <w:szCs w:val="14"/>
        </w:rPr>
      </w:pPr>
      <w:r w:rsidRPr="00A2588A">
        <w:rPr>
          <w:rFonts w:ascii="Verdana" w:hAnsi="Verdana" w:cs="Arial"/>
          <w:color w:val="000000"/>
          <w:sz w:val="14"/>
          <w:szCs w:val="14"/>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2">
    <w:p w14:paraId="0D56D8F9" w14:textId="77777777" w:rsidR="009B7B73" w:rsidRPr="00A2588A" w:rsidRDefault="009B7B73" w:rsidP="009B7B73">
      <w:pPr>
        <w:pStyle w:val="Textonotapie"/>
        <w:ind w:firstLine="708"/>
        <w:contextualSpacing/>
        <w:jc w:val="both"/>
        <w:rPr>
          <w:rFonts w:ascii="Verdana" w:hAnsi="Verdana" w:cs="Arial"/>
          <w:color w:val="000000"/>
          <w:sz w:val="14"/>
          <w:szCs w:val="14"/>
        </w:rPr>
      </w:pPr>
      <w:r w:rsidRPr="00A2588A">
        <w:rPr>
          <w:rStyle w:val="Refdenotaalpie"/>
          <w:rFonts w:ascii="Verdana" w:hAnsi="Verdana" w:cs="Arial"/>
          <w:color w:val="000000"/>
          <w:sz w:val="14"/>
          <w:szCs w:val="14"/>
        </w:rPr>
        <w:footnoteRef/>
      </w:r>
      <w:r w:rsidRPr="00A2588A">
        <w:rPr>
          <w:rFonts w:ascii="Verdana" w:hAnsi="Verdana" w:cs="Arial"/>
          <w:color w:val="000000"/>
          <w:sz w:val="14"/>
          <w:szCs w:val="14"/>
        </w:rPr>
        <w:t xml:space="preserve"> Los Documentos Tipo expedidos por la Agencia Nacional de Contratación Pública – Colombia Compra Eficiente pueden ser consultados en el siguiente enlace: </w:t>
      </w:r>
      <w:hyperlink r:id="rId1" w:history="1">
        <w:r w:rsidRPr="00A2588A">
          <w:rPr>
            <w:rStyle w:val="Hipervnculo"/>
            <w:rFonts w:ascii="Verdana" w:hAnsi="Verdana" w:cs="Arial"/>
            <w:color w:val="000000"/>
            <w:sz w:val="14"/>
            <w:szCs w:val="14"/>
          </w:rPr>
          <w:t>https://www.colombiacompra.gov.co/documentos-tipo/documentos-tipo</w:t>
        </w:r>
      </w:hyperlink>
      <w:r w:rsidRPr="00A2588A">
        <w:rPr>
          <w:rFonts w:ascii="Verdana" w:hAnsi="Verdana" w:cs="Arial"/>
          <w:color w:val="000000"/>
          <w:sz w:val="14"/>
          <w:szCs w:val="14"/>
        </w:rPr>
        <w:t xml:space="preserve"> </w:t>
      </w:r>
    </w:p>
  </w:footnote>
  <w:footnote w:id="3">
    <w:p w14:paraId="57CE7C3B" w14:textId="77777777" w:rsidR="009B7B73" w:rsidRPr="00A2588A" w:rsidRDefault="009B7B73" w:rsidP="009B7B73">
      <w:pPr>
        <w:pStyle w:val="Textonotapie"/>
        <w:ind w:firstLine="708"/>
        <w:contextualSpacing/>
        <w:jc w:val="both"/>
        <w:rPr>
          <w:rFonts w:ascii="Verdana" w:hAnsi="Verdana" w:cs="Arial"/>
          <w:color w:val="000000"/>
          <w:sz w:val="14"/>
          <w:szCs w:val="14"/>
        </w:rPr>
      </w:pPr>
      <w:r w:rsidRPr="00A2588A">
        <w:rPr>
          <w:rStyle w:val="Refdenotaalpie"/>
          <w:rFonts w:ascii="Verdana" w:hAnsi="Verdana" w:cs="Arial"/>
          <w:color w:val="000000"/>
          <w:sz w:val="14"/>
          <w:szCs w:val="14"/>
        </w:rPr>
        <w:footnoteRef/>
      </w:r>
      <w:r w:rsidRPr="00A2588A">
        <w:rPr>
          <w:rFonts w:ascii="Verdana" w:hAnsi="Verdana" w:cs="Arial"/>
          <w:color w:val="000000"/>
          <w:sz w:val="14"/>
          <w:szCs w:val="14"/>
        </w:rPr>
        <w:t xml:space="preserve"> En este sentido, a modo de ejemplo, en el «documento base» del documento tipo de licitación se establece lo siguiente: “Los Documentos Tipo aplica a los procesos de licitación de obra pública de infraestructura de transporte (versión 3), que correspondan a las actividades definidas en la Matriz 1 – Experiencia. En consecuencia, las actividades de infraestructura de transporte no contempladas en la Matriz 1 – Experiencia no tienen que aplicar los documentos tipo; sin perjuicio de lo previsto en el artículo 2.2.1.2.6.1.5. del Decreto 1082 de 2015”.</w:t>
      </w:r>
    </w:p>
  </w:footnote>
  <w:footnote w:id="4">
    <w:p w14:paraId="2780D0FB" w14:textId="77777777" w:rsidR="009B7B73" w:rsidRPr="00A2588A" w:rsidRDefault="009B7B73" w:rsidP="009B7B73">
      <w:pPr>
        <w:pStyle w:val="Textonotapie"/>
        <w:ind w:firstLine="709"/>
        <w:jc w:val="both"/>
        <w:rPr>
          <w:rFonts w:ascii="Verdana" w:hAnsi="Verdana" w:cs="Arial"/>
          <w:color w:val="000000"/>
          <w:sz w:val="14"/>
          <w:szCs w:val="14"/>
        </w:rPr>
      </w:pPr>
      <w:r w:rsidRPr="00A2588A">
        <w:rPr>
          <w:rStyle w:val="Refdenotaalpie"/>
          <w:rFonts w:ascii="Verdana" w:hAnsi="Verdana" w:cs="Arial"/>
          <w:color w:val="000000"/>
          <w:sz w:val="14"/>
          <w:szCs w:val="14"/>
        </w:rPr>
        <w:footnoteRef/>
      </w:r>
      <w:r w:rsidRPr="00A2588A">
        <w:rPr>
          <w:rFonts w:ascii="Verdana" w:hAnsi="Verdana" w:cs="Arial"/>
          <w:color w:val="000000"/>
          <w:sz w:val="14"/>
          <w:szCs w:val="14"/>
        </w:rPr>
        <w:t xml:space="preserve"> CONGRESO DE LA REPÚBLICA. Gaceta </w:t>
      </w:r>
      <w:r w:rsidRPr="00A2588A">
        <w:rPr>
          <w:rFonts w:ascii="Verdana" w:hAnsi="Verdana" w:cs="Arial"/>
          <w:color w:val="000000"/>
          <w:sz w:val="14"/>
          <w:szCs w:val="14"/>
        </w:rPr>
        <w:t>Nº 1677 del 23 de noviembre de 2021. Justificación jurídica del Proyecto de Ley No. 226 de 2021 Cámara. p. 15.</w:t>
      </w:r>
      <w:r w:rsidRPr="00A2588A">
        <w:rPr>
          <w:rFonts w:ascii="Verdana" w:hAnsi="Verdana" w:cs="Arial"/>
          <w:color w:val="000000"/>
          <w:sz w:val="14"/>
          <w:szCs w:val="14"/>
        </w:rPr>
        <w:cr/>
      </w:r>
    </w:p>
  </w:footnote>
  <w:footnote w:id="5">
    <w:p w14:paraId="13DDF618" w14:textId="77777777" w:rsidR="009B7B73" w:rsidRPr="00A2588A" w:rsidRDefault="009B7B73" w:rsidP="009B7B73">
      <w:pPr>
        <w:pStyle w:val="Textonotapie"/>
        <w:ind w:firstLine="709"/>
        <w:contextualSpacing/>
        <w:jc w:val="both"/>
        <w:rPr>
          <w:rFonts w:ascii="Verdana" w:hAnsi="Verdana" w:cs="Arial"/>
          <w:color w:val="000000"/>
          <w:sz w:val="14"/>
          <w:szCs w:val="14"/>
          <w:lang w:val="es-ES"/>
        </w:rPr>
      </w:pPr>
      <w:r w:rsidRPr="00A2588A">
        <w:rPr>
          <w:rStyle w:val="Refdenotaalpie"/>
          <w:rFonts w:ascii="Verdana" w:hAnsi="Verdana" w:cs="Arial"/>
          <w:color w:val="000000"/>
          <w:sz w:val="14"/>
          <w:szCs w:val="14"/>
        </w:rPr>
        <w:footnoteRef/>
      </w:r>
      <w:r w:rsidRPr="00A2588A">
        <w:rPr>
          <w:rFonts w:ascii="Verdana" w:hAnsi="Verdana" w:cs="Arial"/>
          <w:color w:val="000000"/>
          <w:sz w:val="14"/>
          <w:szCs w:val="14"/>
        </w:rPr>
        <w:t xml:space="preserve"> </w:t>
      </w:r>
      <w:r w:rsidRPr="00A2588A">
        <w:rPr>
          <w:rFonts w:ascii="Verdana" w:hAnsi="Verdana" w:cs="Arial"/>
          <w:color w:val="000000"/>
          <w:sz w:val="14"/>
          <w:szCs w:val="14"/>
          <w:lang w:val="es-ES"/>
        </w:rPr>
        <w:t xml:space="preserve">Según García de Enterría: “Estos conceptos jurídicos indeterminados, o que se contienen en lo que también se llaman las normas flexibles, son consustanciales a toda la técnica jurídica y no constituyen una particularidad del Derecho público […], son conceptos jurídicos indeterminados, en el sentido de que la medida concreta para la aplicación de </w:t>
      </w:r>
      <w:r w:rsidRPr="00A2588A">
        <w:rPr>
          <w:rFonts w:ascii="Verdana" w:hAnsi="Verdana" w:cs="Arial"/>
          <w:color w:val="000000"/>
          <w:sz w:val="14"/>
          <w:szCs w:val="14"/>
          <w:lang w:val="es-ES"/>
        </w:rPr>
        <w:t xml:space="preserve">los mismos en un caso particular no nos la resuelve o determina con exactitud la propia Ley que los ha creado y de cuya aplicación se trata”. (GARCÍA DE ENTERRÍA, Eduardo. La lucha contra las inmunidades del poder en el derecho administrativo. 3ª ed. Madrid: </w:t>
      </w:r>
      <w:r w:rsidRPr="00A2588A">
        <w:rPr>
          <w:rFonts w:ascii="Verdana" w:hAnsi="Verdana" w:cs="Arial"/>
          <w:color w:val="000000"/>
          <w:sz w:val="14"/>
          <w:szCs w:val="14"/>
          <w:lang w:val="es-ES"/>
        </w:rPr>
        <w:t>Civitas, 1983. pp. 33-34).</w:t>
      </w:r>
    </w:p>
  </w:footnote>
  <w:footnote w:id="6">
    <w:p w14:paraId="4536A014" w14:textId="77777777" w:rsidR="009B7B73" w:rsidRPr="00A2588A" w:rsidRDefault="009B7B73" w:rsidP="009B7B73">
      <w:pPr>
        <w:pStyle w:val="Textonotapie"/>
        <w:ind w:firstLine="709"/>
        <w:contextualSpacing/>
        <w:jc w:val="both"/>
        <w:rPr>
          <w:rFonts w:ascii="Verdana" w:hAnsi="Verdana" w:cs="Arial"/>
          <w:color w:val="000000"/>
          <w:sz w:val="14"/>
          <w:szCs w:val="14"/>
        </w:rPr>
      </w:pPr>
      <w:r w:rsidRPr="00A2588A">
        <w:rPr>
          <w:rStyle w:val="Refdenotaalpie"/>
          <w:rFonts w:ascii="Verdana" w:hAnsi="Verdana" w:cs="Arial"/>
          <w:color w:val="000000"/>
          <w:sz w:val="14"/>
          <w:szCs w:val="14"/>
        </w:rPr>
        <w:footnoteRef/>
      </w:r>
      <w:r w:rsidRPr="00A2588A">
        <w:rPr>
          <w:rFonts w:ascii="Verdana" w:hAnsi="Verdana" w:cs="Arial"/>
          <w:color w:val="000000"/>
          <w:sz w:val="14"/>
          <w:szCs w:val="14"/>
        </w:rPr>
        <w:t xml:space="preserve"> CORTE CONSTITUCIONAL, Sentencia C-382 de 2019, M.P. Alejandro Linares Cantillo.</w:t>
      </w:r>
    </w:p>
  </w:footnote>
  <w:footnote w:id="7">
    <w:p w14:paraId="5BA8034B" w14:textId="77777777" w:rsidR="009B7B73" w:rsidRPr="00A2588A" w:rsidRDefault="009B7B73" w:rsidP="009B7B73">
      <w:pPr>
        <w:pStyle w:val="Textonotapie"/>
        <w:ind w:firstLine="709"/>
        <w:contextualSpacing/>
        <w:jc w:val="both"/>
        <w:rPr>
          <w:rFonts w:ascii="Verdana" w:hAnsi="Verdana" w:cs="Arial"/>
          <w:color w:val="000000"/>
          <w:sz w:val="14"/>
          <w:szCs w:val="14"/>
        </w:rPr>
      </w:pPr>
      <w:r w:rsidRPr="00A2588A">
        <w:rPr>
          <w:rStyle w:val="Refdenotaalpie"/>
          <w:rFonts w:ascii="Verdana" w:hAnsi="Verdana" w:cs="Arial"/>
          <w:color w:val="000000"/>
          <w:sz w:val="14"/>
          <w:szCs w:val="14"/>
        </w:rPr>
        <w:footnoteRef/>
      </w:r>
      <w:r w:rsidRPr="00A2588A">
        <w:rPr>
          <w:rFonts w:ascii="Verdana" w:hAnsi="Verdana" w:cs="Arial"/>
          <w:color w:val="000000"/>
          <w:sz w:val="14"/>
          <w:szCs w:val="14"/>
        </w:rPr>
        <w:t xml:space="preserve"> La redacción original del parágrafo primero del artículo 32 de la Ley 80 de 1993, incluía la expresión giro ordinario, la cual servía de elemento calificante para la determinación del régimen aplicable a los contratos de los establecimientos de crédito público, las compañías de seguros y las demás entidades financieras públicas. Dicho parágrafo establecía “Sin perjuicio de lo dispuesto en esta ley sobre fiducia y encargo fiduciario, los contratos que celebren los establecimientos de crédito, las compañías de seguros y las demás entidades financieras de carácter estatal, que correspondan al giro ordinario de las actividades propias de su objeto social, no estarán sujetos a las disposiciones del presente estatuto y se regirán por las disposiciones legales y reglamentarias aplicables a dichas actividades” [Énfasis fuera de texto].</w:t>
      </w:r>
    </w:p>
  </w:footnote>
  <w:footnote w:id="8">
    <w:p w14:paraId="579340E4" w14:textId="77777777" w:rsidR="009B7B73" w:rsidRPr="00A2588A" w:rsidRDefault="009B7B73" w:rsidP="009B7B73">
      <w:pPr>
        <w:pStyle w:val="Textonotapie"/>
        <w:ind w:firstLine="709"/>
        <w:contextualSpacing/>
        <w:jc w:val="both"/>
        <w:rPr>
          <w:rFonts w:ascii="Verdana" w:hAnsi="Verdana" w:cs="Arial"/>
          <w:color w:val="000000"/>
          <w:sz w:val="14"/>
          <w:szCs w:val="14"/>
        </w:rPr>
      </w:pPr>
      <w:r w:rsidRPr="00A2588A">
        <w:rPr>
          <w:rStyle w:val="Refdenotaalpie"/>
          <w:rFonts w:ascii="Verdana" w:hAnsi="Verdana" w:cs="Arial"/>
          <w:color w:val="000000"/>
          <w:sz w:val="14"/>
          <w:szCs w:val="14"/>
        </w:rPr>
        <w:footnoteRef/>
      </w:r>
      <w:r w:rsidRPr="00A2588A">
        <w:rPr>
          <w:rFonts w:ascii="Verdana" w:hAnsi="Verdana" w:cs="Arial"/>
          <w:color w:val="000000"/>
          <w:sz w:val="14"/>
          <w:szCs w:val="14"/>
        </w:rPr>
        <w:t xml:space="preserve"> CONSEJO DE ESTADO. Sección Tercera. Subsección B. Sentencia del 12 de octubre de 2011. </w:t>
      </w:r>
      <w:r w:rsidRPr="00A2588A">
        <w:rPr>
          <w:rFonts w:ascii="Verdana" w:hAnsi="Verdana" w:cs="Arial"/>
          <w:color w:val="000000"/>
          <w:sz w:val="14"/>
          <w:szCs w:val="14"/>
        </w:rPr>
        <w:t>Exp. No. 20070. C.P. Danilo Rojas Betancourt.</w:t>
      </w:r>
    </w:p>
  </w:footnote>
  <w:footnote w:id="9">
    <w:p w14:paraId="472D5334" w14:textId="77777777" w:rsidR="009B7B73" w:rsidRPr="00A2588A" w:rsidRDefault="009B7B73" w:rsidP="009B7B73">
      <w:pPr>
        <w:tabs>
          <w:tab w:val="left" w:pos="0"/>
        </w:tabs>
        <w:spacing w:after="0" w:line="240" w:lineRule="auto"/>
        <w:contextualSpacing/>
        <w:jc w:val="both"/>
        <w:rPr>
          <w:rFonts w:ascii="Verdana" w:eastAsia="Calibri" w:hAnsi="Verdana" w:cs="Arial"/>
          <w:color w:val="000000"/>
          <w:sz w:val="14"/>
          <w:szCs w:val="14"/>
          <w:lang w:val="es-ES_tradnl" w:eastAsia="es-ES_tradnl"/>
        </w:rPr>
      </w:pPr>
      <w:r w:rsidRPr="00A2588A">
        <w:rPr>
          <w:rFonts w:ascii="Verdana" w:hAnsi="Verdana" w:cs="Arial"/>
          <w:color w:val="000000"/>
          <w:sz w:val="14"/>
          <w:szCs w:val="14"/>
        </w:rPr>
        <w:tab/>
      </w:r>
      <w:r w:rsidRPr="00A2588A">
        <w:rPr>
          <w:rStyle w:val="Refdenotaalpie"/>
          <w:rFonts w:ascii="Verdana" w:hAnsi="Verdana" w:cs="Arial"/>
          <w:color w:val="000000"/>
          <w:sz w:val="14"/>
          <w:szCs w:val="14"/>
        </w:rPr>
        <w:footnoteRef/>
      </w:r>
      <w:r w:rsidRPr="00A2588A">
        <w:rPr>
          <w:rFonts w:ascii="Verdana" w:hAnsi="Verdana" w:cs="Arial"/>
          <w:color w:val="000000"/>
          <w:sz w:val="14"/>
          <w:szCs w:val="14"/>
        </w:rPr>
        <w:t xml:space="preserve"> CONSEJO DE ESTADO. Sección Tercera. Subsección A. Sentencia del 3 de marzo de 2021. </w:t>
      </w:r>
      <w:r w:rsidRPr="00A2588A">
        <w:rPr>
          <w:rFonts w:ascii="Verdana" w:hAnsi="Verdana" w:cs="Arial"/>
          <w:color w:val="000000"/>
          <w:sz w:val="14"/>
          <w:szCs w:val="14"/>
        </w:rPr>
        <w:t xml:space="preserve">Exp. No. 51373. C.P. José Roberto Sáchica Méndez. </w:t>
      </w:r>
      <w:r w:rsidRPr="00A2588A">
        <w:rPr>
          <w:rFonts w:ascii="Verdana" w:eastAsia="Calibri" w:hAnsi="Verdana" w:cs="Arial"/>
          <w:color w:val="000000"/>
          <w:sz w:val="14"/>
          <w:szCs w:val="14"/>
          <w:lang w:val="es-ES_tradnl" w:eastAsia="es-ES_tradnl"/>
        </w:rPr>
        <w:t>“[E]l elemento central para la determinación de este concepto jurídico, remite al objeto social –cuando se trata de empresas públicas o privadas constituidas bajo alguno de los tipos societarios definidos en la ley– pero también se refiere, mutatis mutandis, al objeto y funciones expresamente definidas en los actos de creación de entidades públicas que, por su naturaleza, se orientan al desarrollo de actividades industriales y comerciales. De forma que, el giro ordinario de los negocios se explica a partir del objeto social o, también, de las funciones expresamente fijadas por ley, según se trate de una persona jurídica pública o privada, pues ambas categorías, para estos efectos, resultan equivalentes.”</w:t>
      </w:r>
    </w:p>
  </w:footnote>
  <w:footnote w:id="10">
    <w:p w14:paraId="30DDCCB4" w14:textId="77777777" w:rsidR="009B7B73" w:rsidRPr="00A2588A" w:rsidRDefault="009B7B73" w:rsidP="009B7B73">
      <w:pPr>
        <w:pStyle w:val="Textonotapie"/>
        <w:ind w:firstLine="708"/>
        <w:contextualSpacing/>
        <w:jc w:val="both"/>
        <w:rPr>
          <w:rFonts w:ascii="Verdana" w:hAnsi="Verdana" w:cs="Arial"/>
          <w:color w:val="000000"/>
          <w:sz w:val="14"/>
          <w:szCs w:val="14"/>
        </w:rPr>
      </w:pPr>
      <w:r w:rsidRPr="00A2588A">
        <w:rPr>
          <w:rStyle w:val="Refdenotaalpie"/>
          <w:rFonts w:ascii="Verdana" w:hAnsi="Verdana" w:cs="Arial"/>
          <w:color w:val="000000"/>
          <w:sz w:val="14"/>
          <w:szCs w:val="14"/>
        </w:rPr>
        <w:footnoteRef/>
      </w:r>
      <w:r w:rsidRPr="00A2588A">
        <w:rPr>
          <w:rFonts w:ascii="Verdana" w:hAnsi="Verdana" w:cs="Arial"/>
          <w:color w:val="000000"/>
          <w:sz w:val="14"/>
          <w:szCs w:val="14"/>
        </w:rPr>
        <w:t xml:space="preserve"> la Superintendencia de Sociedades, citando doctrina autorizada en la materia, ha señalado: “Si bien el llamado giro ordinario de los negocios se encuentra determinado por las actividades que constituyen el objeto social, resultan oportunas algunas precisiones conceptuales en torno al empleo constante en la práctica mercantil de la referida expresión "giro ordinario de los negocios". Partiendo de las anteriores consideraciones en cuanto al tema del objeto social, se concluye que éste alude a las actividades que desarrolla o se propone realizar el ente social, al paso que solamente quedan cobijadas por "giro ordinario" aquellas actividades que, en forma habitual u ordinaria, ejecuta la sociedad.</w:t>
      </w:r>
    </w:p>
  </w:footnote>
  <w:footnote w:id="11">
    <w:p w14:paraId="4802F4ED" w14:textId="77777777" w:rsidR="009B7B73" w:rsidRPr="00A2588A" w:rsidRDefault="009B7B73" w:rsidP="009B7B73">
      <w:pPr>
        <w:pStyle w:val="Textonotapie"/>
        <w:ind w:firstLine="709"/>
        <w:contextualSpacing/>
        <w:jc w:val="both"/>
        <w:rPr>
          <w:rFonts w:ascii="Verdana" w:hAnsi="Verdana" w:cs="Arial"/>
          <w:color w:val="000000"/>
          <w:sz w:val="14"/>
          <w:szCs w:val="14"/>
        </w:rPr>
      </w:pPr>
      <w:r w:rsidRPr="00A2588A">
        <w:rPr>
          <w:rStyle w:val="Refdenotaalpie"/>
          <w:rFonts w:ascii="Verdana" w:hAnsi="Verdana" w:cs="Arial"/>
          <w:color w:val="000000"/>
          <w:sz w:val="14"/>
          <w:szCs w:val="14"/>
        </w:rPr>
        <w:footnoteRef/>
      </w:r>
      <w:r w:rsidRPr="00A2588A">
        <w:rPr>
          <w:rFonts w:ascii="Verdana" w:hAnsi="Verdana" w:cs="Arial"/>
          <w:color w:val="000000"/>
          <w:sz w:val="14"/>
          <w:szCs w:val="14"/>
        </w:rPr>
        <w:t xml:space="preserve"> El Consejo de Estado ha precisado que: “Según esta norma, el giro ordinario de las actividades de una sociedad comercial no sólo comprende aquello que define en forma concreta su objeto social, sino todos los actos directamente relacionados con el mismo, lo que denota que entre éstos y aquéllas debe existir una relación de necesidad que los hace parte del objeto de la sociedad. Tal es el caso de la contratación de la publicidad para promocionar la empresa o sus productos, o la contratación de profesionales para que realicen una consultoría o asesoría relacionada con las actividades de la empresa, etc.</w:t>
      </w:r>
    </w:p>
    <w:p w14:paraId="347AF247" w14:textId="77777777" w:rsidR="009B7B73" w:rsidRPr="00A2588A" w:rsidRDefault="009B7B73" w:rsidP="009B7B73">
      <w:pPr>
        <w:pStyle w:val="Textonotapie"/>
        <w:ind w:firstLine="709"/>
        <w:contextualSpacing/>
        <w:jc w:val="both"/>
        <w:rPr>
          <w:rFonts w:ascii="Verdana" w:hAnsi="Verdana" w:cs="Arial"/>
          <w:color w:val="000000"/>
          <w:sz w:val="14"/>
          <w:szCs w:val="14"/>
        </w:rPr>
      </w:pPr>
      <w:r w:rsidRPr="00A2588A">
        <w:rPr>
          <w:rFonts w:ascii="Verdana" w:hAnsi="Verdana" w:cs="Arial"/>
          <w:color w:val="000000"/>
          <w:sz w:val="14"/>
          <w:szCs w:val="14"/>
        </w:rPr>
        <w:t xml:space="preserve">“En estos casos, mal podría decirse que la sociedad no puede realizar este tipo de actos necesarios para el buen desempeño de sus actividades comerciales. Lo propio cabe decir de las entidades financieras. De manera que la norma comercial citada es perfectamente trasladable al campo financiero”.  (Consejo de Estado. Sección Tercera. Sentencia del 6 de julio de 2005. </w:t>
      </w:r>
      <w:r w:rsidRPr="00A2588A">
        <w:rPr>
          <w:rFonts w:ascii="Verdana" w:hAnsi="Verdana" w:cs="Arial"/>
          <w:color w:val="000000"/>
          <w:sz w:val="14"/>
          <w:szCs w:val="14"/>
        </w:rPr>
        <w:t>Exp. No. 11575. C.P. Alier E. Hernández Enríquez).</w:t>
      </w:r>
    </w:p>
  </w:footnote>
  <w:footnote w:id="12">
    <w:p w14:paraId="6BAD60E3" w14:textId="77777777" w:rsidR="009B7B73" w:rsidRPr="00A2588A" w:rsidRDefault="009B7B73" w:rsidP="009B7B73">
      <w:pPr>
        <w:pStyle w:val="Textonotapie"/>
        <w:ind w:firstLine="709"/>
        <w:jc w:val="both"/>
        <w:rPr>
          <w:rFonts w:ascii="Verdana" w:hAnsi="Verdana" w:cs="Arial"/>
          <w:color w:val="000000"/>
          <w:sz w:val="14"/>
          <w:szCs w:val="14"/>
        </w:rPr>
      </w:pPr>
      <w:r w:rsidRPr="00A2588A">
        <w:rPr>
          <w:rStyle w:val="Refdenotaalpie"/>
          <w:rFonts w:ascii="Verdana" w:hAnsi="Verdana" w:cs="Arial"/>
          <w:sz w:val="14"/>
          <w:szCs w:val="14"/>
        </w:rPr>
        <w:footnoteRef/>
      </w:r>
      <w:r w:rsidRPr="00A2588A">
        <w:rPr>
          <w:rFonts w:ascii="Verdana" w:hAnsi="Verdana" w:cs="Arial"/>
          <w:color w:val="000000"/>
          <w:sz w:val="14"/>
          <w:szCs w:val="14"/>
        </w:rPr>
        <w:t xml:space="preserve"> En efecto, en audiencia Pública del 18 de marzo de 2021, esta Agencia llamó la atención sobre la necesidad  de incluir en el Proyecto de Ley  «[…] algunas disposiciones [..] relacionadas por ejemplo con impedir que las entidades sometidas al estatuto de contratación celebren contratos jurídicos de derecho privado, con lo que se prevé evitar escapar del ámbito del estatuto de contratación pública, asimismo fortalecer que en los convenios deben emplearse documentos tipos; extender la aplicación del estatuto de contratación algunos objetos en los cuales tienen un régimen especial y a patrimonios autónomos, así como empresas de servicios públicos». CONGRESO DE LA REPÚBLICA. Gaceta </w:t>
      </w:r>
      <w:r w:rsidRPr="00A2588A">
        <w:rPr>
          <w:rFonts w:ascii="Verdana" w:hAnsi="Verdana" w:cs="Arial"/>
          <w:color w:val="000000"/>
          <w:sz w:val="14"/>
          <w:szCs w:val="14"/>
        </w:rPr>
        <w:t>Nº 1677 del 23 de noviembre de 2021. Justificación jurídica del Proyecto de Ley No. 226 de 2021 Cámara. p. 15.</w:t>
      </w:r>
      <w:r w:rsidRPr="00A2588A">
        <w:rPr>
          <w:rFonts w:ascii="Verdana" w:hAnsi="Verdana" w:cs="Arial"/>
          <w:color w:val="000000"/>
          <w:sz w:val="14"/>
          <w:szCs w:val="14"/>
        </w:rPr>
        <w:cr/>
      </w:r>
    </w:p>
  </w:footnote>
  <w:footnote w:id="13">
    <w:p w14:paraId="756ACF29" w14:textId="77777777" w:rsidR="009B7B73" w:rsidRPr="00A2588A" w:rsidRDefault="009B7B73" w:rsidP="009B7B73">
      <w:pPr>
        <w:pStyle w:val="Textonotapie"/>
        <w:ind w:firstLine="709"/>
        <w:jc w:val="both"/>
        <w:rPr>
          <w:rFonts w:ascii="Verdana" w:hAnsi="Verdana" w:cs="Arial"/>
          <w:color w:val="000000"/>
          <w:sz w:val="14"/>
          <w:szCs w:val="14"/>
        </w:rPr>
      </w:pPr>
      <w:r w:rsidRPr="00A2588A">
        <w:rPr>
          <w:rStyle w:val="Refdenotaalpie"/>
          <w:rFonts w:ascii="Verdana" w:hAnsi="Verdana" w:cs="Arial"/>
          <w:sz w:val="14"/>
          <w:szCs w:val="14"/>
        </w:rPr>
        <w:footnoteRef/>
      </w:r>
      <w:r w:rsidRPr="00A2588A">
        <w:rPr>
          <w:rFonts w:ascii="Verdana" w:hAnsi="Verdana" w:cs="Arial"/>
          <w:color w:val="000000"/>
          <w:sz w:val="14"/>
          <w:szCs w:val="14"/>
        </w:rPr>
        <w:t xml:space="preserve"> Al respecto ha señalado la Corte Constitucional: «En relación con el ámbito de configuración del legislador en materia contractual la jurisprudencia constitucional ha señalado los siguientes criterios:</w:t>
      </w:r>
    </w:p>
    <w:p w14:paraId="1D9A4AE9" w14:textId="77777777" w:rsidR="009B7B73" w:rsidRPr="00A2588A" w:rsidRDefault="009B7B73" w:rsidP="009B7B73">
      <w:pPr>
        <w:pStyle w:val="Textonotapie"/>
        <w:ind w:firstLine="709"/>
        <w:jc w:val="both"/>
        <w:rPr>
          <w:rFonts w:ascii="Verdana" w:hAnsi="Verdana" w:cs="Arial"/>
          <w:color w:val="000000"/>
          <w:sz w:val="14"/>
          <w:szCs w:val="14"/>
        </w:rPr>
      </w:pPr>
      <w:r w:rsidRPr="00A2588A">
        <w:rPr>
          <w:rFonts w:ascii="Verdana" w:hAnsi="Verdana" w:cs="Arial"/>
          <w:color w:val="000000"/>
          <w:sz w:val="14"/>
          <w:szCs w:val="14"/>
        </w:rPr>
        <w:t>(i) De la Constitución no es posible inferir la obligación para el legislador de incorporar en un solo cuerpo normativo toda la legislación existente en materia contractual, pues si ésta hubiera sido la voluntad del constituyente, en el artículo 150 Fundamental se habría autorizado al Congreso de la República para expedir un estatuto único de contratación para el Estado y no un estatuto general como prevé la disposición constitucional.[27]</w:t>
      </w:r>
    </w:p>
    <w:p w14:paraId="43389F97" w14:textId="77777777" w:rsidR="009B7B73" w:rsidRPr="00A2588A" w:rsidRDefault="009B7B73" w:rsidP="009B7B73">
      <w:pPr>
        <w:pStyle w:val="Textonotapie"/>
        <w:spacing w:after="120"/>
        <w:ind w:firstLine="709"/>
        <w:jc w:val="both"/>
        <w:rPr>
          <w:rFonts w:ascii="Verdana" w:hAnsi="Verdana" w:cs="Arial"/>
          <w:color w:val="000000"/>
          <w:sz w:val="14"/>
          <w:szCs w:val="14"/>
        </w:rPr>
      </w:pPr>
      <w:r w:rsidRPr="00A2588A">
        <w:rPr>
          <w:rFonts w:ascii="Verdana" w:hAnsi="Verdana" w:cs="Arial"/>
          <w:color w:val="000000"/>
          <w:sz w:val="14"/>
          <w:szCs w:val="14"/>
        </w:rPr>
        <w:t>(</w:t>
      </w:r>
      <w:r w:rsidRPr="00A2588A">
        <w:rPr>
          <w:rFonts w:ascii="Verdana" w:hAnsi="Verdana" w:cs="Arial"/>
          <w:color w:val="000000"/>
          <w:sz w:val="14"/>
          <w:szCs w:val="14"/>
        </w:rPr>
        <w:t>ii) El mandato otorgado al Congreso de la República, en el artículo 150 de la Carta, para que dicte un estatuto general de contratación de la administración pública y en especial de la administración nacional, implica el reconocimiento de una amplia libertad de configuración del legislador para diseñar un régimen legal cuya finalidad sea la de propender por el logro de los objetivos constitucionales del Estado Social de Derecho, toda vez que el cumplimiento de estas metas requiere del aprovisionamiento de bienes y servicios por parte de los órganos públicos mediante la contratación. En este orden de ideas, es innegable el carácter instrumental que ostenta el contrato estatal, puesto que no es un fin en sí mismo sino un medio para la consecución de los altos objetivos del Estado.[28]</w:t>
      </w:r>
    </w:p>
    <w:p w14:paraId="6E4F409D" w14:textId="77777777" w:rsidR="009B7B73" w:rsidRPr="00A2588A" w:rsidRDefault="009B7B73" w:rsidP="009B7B73">
      <w:pPr>
        <w:pStyle w:val="Textonotapie"/>
        <w:ind w:firstLine="709"/>
        <w:jc w:val="both"/>
        <w:rPr>
          <w:rFonts w:ascii="Verdana" w:hAnsi="Verdana" w:cs="Arial"/>
          <w:color w:val="000000"/>
          <w:sz w:val="14"/>
          <w:szCs w:val="14"/>
        </w:rPr>
      </w:pPr>
      <w:r w:rsidRPr="00A2588A">
        <w:rPr>
          <w:rFonts w:ascii="Verdana" w:hAnsi="Verdana" w:cs="Arial"/>
          <w:color w:val="000000"/>
          <w:sz w:val="14"/>
          <w:szCs w:val="14"/>
        </w:rPr>
        <w:t>(iii) En virtud de la potestad de configuración que se comenta el Congreso tiene libertad para regular los aspectos más significativos de la contratación pública como son los referentes a las cláusulas excepcionales, la clasificación de los contratos estatales, los deberes y derechos de las partes contratantes, la competencia y capacidad para contratar, principios fundamentales, nulidades, control de la gestión contractual, responsabilidad contractual, liquidación de los contratos y solución de las controversias contractuales, entre otros, todo dentro de los límites de razonabilidad y proporcionalidad y con arreglo a los parámetros constitucionales». Sentencia C-713 del 7 de octubre de 2009. M.P. María Victoria Calle Correa.</w:t>
      </w:r>
    </w:p>
    <w:p w14:paraId="716EC24A" w14:textId="77777777" w:rsidR="009B7B73" w:rsidRPr="00A2588A" w:rsidRDefault="009B7B73" w:rsidP="009B7B73">
      <w:pPr>
        <w:pStyle w:val="Textonotapie"/>
        <w:ind w:firstLine="709"/>
        <w:jc w:val="both"/>
        <w:rPr>
          <w:rFonts w:ascii="Verdana" w:hAnsi="Verdana" w:cs="Arial"/>
          <w:color w:val="000000"/>
          <w:sz w:val="14"/>
          <w:szCs w:val="14"/>
        </w:rPr>
      </w:pPr>
      <w:r w:rsidRPr="00A2588A">
        <w:rPr>
          <w:rFonts w:ascii="Verdana" w:hAnsi="Verdana" w:cs="Arial"/>
          <w:color w:val="000000"/>
          <w:sz w:val="14"/>
          <w:szCs w:val="14"/>
        </w:rPr>
        <w:t xml:space="preserve"> </w:t>
      </w:r>
    </w:p>
  </w:footnote>
  <w:footnote w:id="14">
    <w:p w14:paraId="41208971" w14:textId="77777777" w:rsidR="009B7B73" w:rsidRPr="00A2588A" w:rsidRDefault="009B7B73" w:rsidP="009B7B73">
      <w:pPr>
        <w:pStyle w:val="Textonotapie"/>
        <w:ind w:firstLine="709"/>
        <w:jc w:val="both"/>
        <w:rPr>
          <w:rFonts w:ascii="Verdana" w:hAnsi="Verdana" w:cs="Arial"/>
          <w:color w:val="000000"/>
          <w:sz w:val="14"/>
          <w:szCs w:val="14"/>
        </w:rPr>
      </w:pPr>
      <w:r w:rsidRPr="00A2588A">
        <w:rPr>
          <w:rStyle w:val="Refdenotaalpie"/>
          <w:rFonts w:ascii="Verdana" w:hAnsi="Verdana" w:cs="Arial"/>
          <w:sz w:val="14"/>
          <w:szCs w:val="14"/>
        </w:rPr>
        <w:footnoteRef/>
      </w:r>
      <w:r w:rsidRPr="00A2588A">
        <w:rPr>
          <w:rFonts w:ascii="Verdana" w:hAnsi="Verdana" w:cs="Arial"/>
          <w:sz w:val="14"/>
          <w:szCs w:val="14"/>
        </w:rPr>
        <w:t xml:space="preserve"> </w:t>
      </w:r>
      <w:r w:rsidRPr="00A2588A">
        <w:rPr>
          <w:rFonts w:ascii="Verdana" w:hAnsi="Verdana" w:cs="Arial"/>
          <w:color w:val="000000"/>
          <w:sz w:val="14"/>
          <w:szCs w:val="14"/>
        </w:rPr>
        <w:t xml:space="preserve">Consejo de Estado. Sección Tercera. Subsección A. Sentencia del 24 de junio de 2015. </w:t>
      </w:r>
      <w:r w:rsidRPr="00A2588A">
        <w:rPr>
          <w:rFonts w:ascii="Verdana" w:hAnsi="Verdana" w:cs="Arial"/>
          <w:color w:val="000000"/>
          <w:sz w:val="14"/>
          <w:szCs w:val="14"/>
        </w:rPr>
        <w:t>Exp. 40.635. Consejero Ponente: Hernán Andrade Rincón (E).</w:t>
      </w:r>
    </w:p>
    <w:p w14:paraId="184597EF" w14:textId="77777777" w:rsidR="009B7B73" w:rsidRPr="00A2588A" w:rsidRDefault="009B7B73" w:rsidP="009B7B73">
      <w:pPr>
        <w:pStyle w:val="Textonotapie"/>
        <w:ind w:firstLine="709"/>
        <w:jc w:val="both"/>
        <w:rPr>
          <w:rFonts w:ascii="Verdana" w:hAnsi="Verdana" w:cs="Arial"/>
          <w:sz w:val="14"/>
          <w:szCs w:val="14"/>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visibility:visible;mso-wrap-style:square" o:bullet="t">
        <v:imagedata r:id="rId1" o:title=""/>
      </v:shape>
    </w:pict>
  </w:numPicBullet>
  <w:abstractNum w:abstractNumId="0" w15:restartNumberingAfterBreak="0">
    <w:nsid w:val="01C06310"/>
    <w:multiLevelType w:val="multilevel"/>
    <w:tmpl w:val="7F3A51E8"/>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1E463C4"/>
    <w:multiLevelType w:val="hybridMultilevel"/>
    <w:tmpl w:val="3EA81EB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3E640F8"/>
    <w:multiLevelType w:val="hybridMultilevel"/>
    <w:tmpl w:val="54CC6736"/>
    <w:lvl w:ilvl="0" w:tplc="1B2CF1F2">
      <w:start w:val="1"/>
      <w:numFmt w:val="lowerRoman"/>
      <w:lvlText w:val="%1)"/>
      <w:lvlJc w:val="left"/>
      <w:pPr>
        <w:ind w:left="720" w:hanging="72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3" w15:restartNumberingAfterBreak="0">
    <w:nsid w:val="66510317"/>
    <w:multiLevelType w:val="hybridMultilevel"/>
    <w:tmpl w:val="8F16C2A4"/>
    <w:lvl w:ilvl="0" w:tplc="5A6AF5BA">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5"/>
  </w:num>
  <w:num w:numId="8" w16cid:durableId="152644682">
    <w:abstractNumId w:val="15"/>
  </w:num>
  <w:num w:numId="9" w16cid:durableId="1317221377">
    <w:abstractNumId w:val="7"/>
  </w:num>
  <w:num w:numId="10" w16cid:durableId="1471245386">
    <w:abstractNumId w:val="14"/>
  </w:num>
  <w:num w:numId="11" w16cid:durableId="289172385">
    <w:abstractNumId w:val="8"/>
  </w:num>
  <w:num w:numId="12" w16cid:durableId="1470781324">
    <w:abstractNumId w:val="1"/>
  </w:num>
  <w:num w:numId="13" w16cid:durableId="1512908409">
    <w:abstractNumId w:val="3"/>
  </w:num>
  <w:num w:numId="14" w16cid:durableId="895897244">
    <w:abstractNumId w:val="17"/>
  </w:num>
  <w:num w:numId="15" w16cid:durableId="390349800">
    <w:abstractNumId w:val="11"/>
  </w:num>
  <w:num w:numId="16" w16cid:durableId="1330140246">
    <w:abstractNumId w:val="0"/>
  </w:num>
  <w:num w:numId="17" w16cid:durableId="679089576">
    <w:abstractNumId w:val="9"/>
  </w:num>
  <w:num w:numId="18" w16cid:durableId="336007235">
    <w:abstractNumId w:val="12"/>
  </w:num>
  <w:num w:numId="19" w16cid:durableId="1648051048">
    <w:abstractNumId w:val="13"/>
  </w:num>
  <w:num w:numId="20" w16cid:durableId="173061769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0167"/>
    <w:rsid w:val="00013B4A"/>
    <w:rsid w:val="00013F86"/>
    <w:rsid w:val="00016F78"/>
    <w:rsid w:val="000247AC"/>
    <w:rsid w:val="00027F54"/>
    <w:rsid w:val="00035FF0"/>
    <w:rsid w:val="000376E3"/>
    <w:rsid w:val="00040C96"/>
    <w:rsid w:val="00046945"/>
    <w:rsid w:val="00057C4D"/>
    <w:rsid w:val="00060061"/>
    <w:rsid w:val="00061B2A"/>
    <w:rsid w:val="0006393C"/>
    <w:rsid w:val="00070BF1"/>
    <w:rsid w:val="00070C9D"/>
    <w:rsid w:val="0007765B"/>
    <w:rsid w:val="00082362"/>
    <w:rsid w:val="00083D82"/>
    <w:rsid w:val="00091D59"/>
    <w:rsid w:val="00092BD3"/>
    <w:rsid w:val="00094A35"/>
    <w:rsid w:val="00096782"/>
    <w:rsid w:val="00097170"/>
    <w:rsid w:val="000A683E"/>
    <w:rsid w:val="000B149E"/>
    <w:rsid w:val="000B19B9"/>
    <w:rsid w:val="000D0334"/>
    <w:rsid w:val="000D1306"/>
    <w:rsid w:val="000D4D26"/>
    <w:rsid w:val="000D6A2C"/>
    <w:rsid w:val="000D7003"/>
    <w:rsid w:val="000E1043"/>
    <w:rsid w:val="000E20B7"/>
    <w:rsid w:val="000F2E74"/>
    <w:rsid w:val="000F51BC"/>
    <w:rsid w:val="000F6486"/>
    <w:rsid w:val="001032AB"/>
    <w:rsid w:val="00106DCE"/>
    <w:rsid w:val="00107B09"/>
    <w:rsid w:val="00121F3E"/>
    <w:rsid w:val="00125105"/>
    <w:rsid w:val="00127233"/>
    <w:rsid w:val="00133021"/>
    <w:rsid w:val="00134E38"/>
    <w:rsid w:val="001511A0"/>
    <w:rsid w:val="00160E09"/>
    <w:rsid w:val="00170486"/>
    <w:rsid w:val="00176A2E"/>
    <w:rsid w:val="0017770A"/>
    <w:rsid w:val="0018056C"/>
    <w:rsid w:val="00186AA1"/>
    <w:rsid w:val="00193119"/>
    <w:rsid w:val="001B3783"/>
    <w:rsid w:val="001B47C2"/>
    <w:rsid w:val="001C70AE"/>
    <w:rsid w:val="001D0CEA"/>
    <w:rsid w:val="001D1A71"/>
    <w:rsid w:val="001D4D42"/>
    <w:rsid w:val="001D7BDF"/>
    <w:rsid w:val="001E4177"/>
    <w:rsid w:val="001E7B49"/>
    <w:rsid w:val="001F08D3"/>
    <w:rsid w:val="001F7DC6"/>
    <w:rsid w:val="00202EAB"/>
    <w:rsid w:val="00203B47"/>
    <w:rsid w:val="00215C6E"/>
    <w:rsid w:val="00216026"/>
    <w:rsid w:val="002421BB"/>
    <w:rsid w:val="00244699"/>
    <w:rsid w:val="002522C7"/>
    <w:rsid w:val="00257557"/>
    <w:rsid w:val="0025796E"/>
    <w:rsid w:val="00266C48"/>
    <w:rsid w:val="002707A2"/>
    <w:rsid w:val="0028670B"/>
    <w:rsid w:val="00294D7A"/>
    <w:rsid w:val="002951A0"/>
    <w:rsid w:val="002962BC"/>
    <w:rsid w:val="002A093D"/>
    <w:rsid w:val="002A0DD0"/>
    <w:rsid w:val="002A1135"/>
    <w:rsid w:val="002A3697"/>
    <w:rsid w:val="002A49AC"/>
    <w:rsid w:val="002A62FF"/>
    <w:rsid w:val="002A64FD"/>
    <w:rsid w:val="002C52CA"/>
    <w:rsid w:val="002C7A84"/>
    <w:rsid w:val="002D1067"/>
    <w:rsid w:val="002D4B50"/>
    <w:rsid w:val="002E4FD9"/>
    <w:rsid w:val="002F0E84"/>
    <w:rsid w:val="00300CB4"/>
    <w:rsid w:val="003014C4"/>
    <w:rsid w:val="00313742"/>
    <w:rsid w:val="00314287"/>
    <w:rsid w:val="003144AA"/>
    <w:rsid w:val="00314A5C"/>
    <w:rsid w:val="0031727C"/>
    <w:rsid w:val="003227CC"/>
    <w:rsid w:val="00322A85"/>
    <w:rsid w:val="00324168"/>
    <w:rsid w:val="0033197B"/>
    <w:rsid w:val="00332D5A"/>
    <w:rsid w:val="00337113"/>
    <w:rsid w:val="0034340F"/>
    <w:rsid w:val="0034442A"/>
    <w:rsid w:val="003448F4"/>
    <w:rsid w:val="0034620E"/>
    <w:rsid w:val="003605F4"/>
    <w:rsid w:val="003608A3"/>
    <w:rsid w:val="0036092B"/>
    <w:rsid w:val="00370B01"/>
    <w:rsid w:val="0037476C"/>
    <w:rsid w:val="00374F5E"/>
    <w:rsid w:val="003769EC"/>
    <w:rsid w:val="00377E3E"/>
    <w:rsid w:val="00390F14"/>
    <w:rsid w:val="00393D3E"/>
    <w:rsid w:val="00396171"/>
    <w:rsid w:val="003A47EA"/>
    <w:rsid w:val="003A6D8A"/>
    <w:rsid w:val="003A779E"/>
    <w:rsid w:val="003B0EC8"/>
    <w:rsid w:val="003B5BFB"/>
    <w:rsid w:val="003C0854"/>
    <w:rsid w:val="003C3210"/>
    <w:rsid w:val="003D0F4D"/>
    <w:rsid w:val="003D5B0D"/>
    <w:rsid w:val="003E0499"/>
    <w:rsid w:val="003E0F23"/>
    <w:rsid w:val="003E357B"/>
    <w:rsid w:val="003F3941"/>
    <w:rsid w:val="003F4356"/>
    <w:rsid w:val="00406575"/>
    <w:rsid w:val="00414C74"/>
    <w:rsid w:val="00416A68"/>
    <w:rsid w:val="00417A54"/>
    <w:rsid w:val="0042722E"/>
    <w:rsid w:val="00433528"/>
    <w:rsid w:val="00440BA4"/>
    <w:rsid w:val="00442107"/>
    <w:rsid w:val="0044528D"/>
    <w:rsid w:val="00456196"/>
    <w:rsid w:val="00456763"/>
    <w:rsid w:val="00476251"/>
    <w:rsid w:val="00486B80"/>
    <w:rsid w:val="004A1847"/>
    <w:rsid w:val="004A2E55"/>
    <w:rsid w:val="004A305D"/>
    <w:rsid w:val="004A4068"/>
    <w:rsid w:val="004B3251"/>
    <w:rsid w:val="004B36C4"/>
    <w:rsid w:val="004C48ED"/>
    <w:rsid w:val="004C4E75"/>
    <w:rsid w:val="004C4ED7"/>
    <w:rsid w:val="004D441B"/>
    <w:rsid w:val="004E3E98"/>
    <w:rsid w:val="004E56B5"/>
    <w:rsid w:val="004E7268"/>
    <w:rsid w:val="004F1AFD"/>
    <w:rsid w:val="004F21C4"/>
    <w:rsid w:val="004F21D9"/>
    <w:rsid w:val="004F685F"/>
    <w:rsid w:val="004F7231"/>
    <w:rsid w:val="004F75E0"/>
    <w:rsid w:val="005035BF"/>
    <w:rsid w:val="0051370B"/>
    <w:rsid w:val="005214D7"/>
    <w:rsid w:val="00524028"/>
    <w:rsid w:val="00527CBA"/>
    <w:rsid w:val="0053016C"/>
    <w:rsid w:val="005310BC"/>
    <w:rsid w:val="00531850"/>
    <w:rsid w:val="005415D7"/>
    <w:rsid w:val="005533D7"/>
    <w:rsid w:val="00554CF2"/>
    <w:rsid w:val="005566E8"/>
    <w:rsid w:val="00564F3A"/>
    <w:rsid w:val="005701D0"/>
    <w:rsid w:val="00574867"/>
    <w:rsid w:val="00583075"/>
    <w:rsid w:val="005910BB"/>
    <w:rsid w:val="00591460"/>
    <w:rsid w:val="005A02DB"/>
    <w:rsid w:val="005A21B1"/>
    <w:rsid w:val="005A4171"/>
    <w:rsid w:val="005A454C"/>
    <w:rsid w:val="005B3816"/>
    <w:rsid w:val="005C0C01"/>
    <w:rsid w:val="005C3777"/>
    <w:rsid w:val="005C3F72"/>
    <w:rsid w:val="005C5CDC"/>
    <w:rsid w:val="005D476C"/>
    <w:rsid w:val="005D6E59"/>
    <w:rsid w:val="005D73AA"/>
    <w:rsid w:val="005E313C"/>
    <w:rsid w:val="005F2799"/>
    <w:rsid w:val="00604231"/>
    <w:rsid w:val="006046D7"/>
    <w:rsid w:val="006058EF"/>
    <w:rsid w:val="00607456"/>
    <w:rsid w:val="006079DD"/>
    <w:rsid w:val="0062039F"/>
    <w:rsid w:val="006219F8"/>
    <w:rsid w:val="00622437"/>
    <w:rsid w:val="006226E7"/>
    <w:rsid w:val="0062362F"/>
    <w:rsid w:val="00634892"/>
    <w:rsid w:val="006348C2"/>
    <w:rsid w:val="00636B5C"/>
    <w:rsid w:val="006378AD"/>
    <w:rsid w:val="0065475F"/>
    <w:rsid w:val="00655798"/>
    <w:rsid w:val="00655A5D"/>
    <w:rsid w:val="00656EEB"/>
    <w:rsid w:val="00665D70"/>
    <w:rsid w:val="006705E7"/>
    <w:rsid w:val="00670F8B"/>
    <w:rsid w:val="006739A0"/>
    <w:rsid w:val="006756E9"/>
    <w:rsid w:val="00675A4F"/>
    <w:rsid w:val="006853B5"/>
    <w:rsid w:val="006900D9"/>
    <w:rsid w:val="00695832"/>
    <w:rsid w:val="006A00D9"/>
    <w:rsid w:val="006A2FF8"/>
    <w:rsid w:val="006A30CF"/>
    <w:rsid w:val="006A3981"/>
    <w:rsid w:val="006A4FEF"/>
    <w:rsid w:val="006C6EDF"/>
    <w:rsid w:val="006E4C8F"/>
    <w:rsid w:val="006E6146"/>
    <w:rsid w:val="006E6196"/>
    <w:rsid w:val="00706C16"/>
    <w:rsid w:val="007074C0"/>
    <w:rsid w:val="00707597"/>
    <w:rsid w:val="00713191"/>
    <w:rsid w:val="00732D1A"/>
    <w:rsid w:val="00741F24"/>
    <w:rsid w:val="00750444"/>
    <w:rsid w:val="0075345F"/>
    <w:rsid w:val="00756841"/>
    <w:rsid w:val="00763744"/>
    <w:rsid w:val="007649AB"/>
    <w:rsid w:val="007702D3"/>
    <w:rsid w:val="00771D0C"/>
    <w:rsid w:val="00775A61"/>
    <w:rsid w:val="007833AC"/>
    <w:rsid w:val="007A0D97"/>
    <w:rsid w:val="007A108F"/>
    <w:rsid w:val="007A133E"/>
    <w:rsid w:val="007B268C"/>
    <w:rsid w:val="007B7171"/>
    <w:rsid w:val="007C0C0F"/>
    <w:rsid w:val="007C3DC2"/>
    <w:rsid w:val="007C52C9"/>
    <w:rsid w:val="007D06FB"/>
    <w:rsid w:val="007D6E27"/>
    <w:rsid w:val="007E35ED"/>
    <w:rsid w:val="007E5497"/>
    <w:rsid w:val="007E7EAC"/>
    <w:rsid w:val="0080067B"/>
    <w:rsid w:val="00806F5F"/>
    <w:rsid w:val="00810301"/>
    <w:rsid w:val="0081533F"/>
    <w:rsid w:val="0081536D"/>
    <w:rsid w:val="00820278"/>
    <w:rsid w:val="00822BE9"/>
    <w:rsid w:val="00831EA4"/>
    <w:rsid w:val="0085073F"/>
    <w:rsid w:val="00856778"/>
    <w:rsid w:val="00867F95"/>
    <w:rsid w:val="008736CC"/>
    <w:rsid w:val="0087595C"/>
    <w:rsid w:val="008843B6"/>
    <w:rsid w:val="00891928"/>
    <w:rsid w:val="00893489"/>
    <w:rsid w:val="00896E9B"/>
    <w:rsid w:val="0089721A"/>
    <w:rsid w:val="0089786A"/>
    <w:rsid w:val="008A388C"/>
    <w:rsid w:val="008A446D"/>
    <w:rsid w:val="008A54F2"/>
    <w:rsid w:val="008B5AD5"/>
    <w:rsid w:val="008B6655"/>
    <w:rsid w:val="008C7EA7"/>
    <w:rsid w:val="008D180B"/>
    <w:rsid w:val="008D75EE"/>
    <w:rsid w:val="008E13BF"/>
    <w:rsid w:val="008E3833"/>
    <w:rsid w:val="008F0EA7"/>
    <w:rsid w:val="008F2601"/>
    <w:rsid w:val="008F59B8"/>
    <w:rsid w:val="00901C9D"/>
    <w:rsid w:val="00902ED4"/>
    <w:rsid w:val="00903D09"/>
    <w:rsid w:val="0090612C"/>
    <w:rsid w:val="0090644E"/>
    <w:rsid w:val="0090692B"/>
    <w:rsid w:val="009102F3"/>
    <w:rsid w:val="00915E3D"/>
    <w:rsid w:val="00923EEF"/>
    <w:rsid w:val="00931664"/>
    <w:rsid w:val="00933BC9"/>
    <w:rsid w:val="00935560"/>
    <w:rsid w:val="009419F9"/>
    <w:rsid w:val="00942E49"/>
    <w:rsid w:val="00944395"/>
    <w:rsid w:val="00945AB7"/>
    <w:rsid w:val="00946B27"/>
    <w:rsid w:val="0095685E"/>
    <w:rsid w:val="00957344"/>
    <w:rsid w:val="00957765"/>
    <w:rsid w:val="00961B09"/>
    <w:rsid w:val="00963EB4"/>
    <w:rsid w:val="00965334"/>
    <w:rsid w:val="009661D9"/>
    <w:rsid w:val="009707DA"/>
    <w:rsid w:val="0097093E"/>
    <w:rsid w:val="00977C7B"/>
    <w:rsid w:val="00983598"/>
    <w:rsid w:val="00986AC5"/>
    <w:rsid w:val="009900EB"/>
    <w:rsid w:val="00997204"/>
    <w:rsid w:val="009A0630"/>
    <w:rsid w:val="009A0DFA"/>
    <w:rsid w:val="009B2D26"/>
    <w:rsid w:val="009B3517"/>
    <w:rsid w:val="009B7B73"/>
    <w:rsid w:val="009C0E98"/>
    <w:rsid w:val="009C14C6"/>
    <w:rsid w:val="009C71FA"/>
    <w:rsid w:val="009C72E7"/>
    <w:rsid w:val="009C78AB"/>
    <w:rsid w:val="009D2416"/>
    <w:rsid w:val="009D3058"/>
    <w:rsid w:val="009D4B48"/>
    <w:rsid w:val="009E76DC"/>
    <w:rsid w:val="009F3A13"/>
    <w:rsid w:val="009F4F3E"/>
    <w:rsid w:val="009F716D"/>
    <w:rsid w:val="00A04AC6"/>
    <w:rsid w:val="00A07DE6"/>
    <w:rsid w:val="00A122D3"/>
    <w:rsid w:val="00A140BA"/>
    <w:rsid w:val="00A15733"/>
    <w:rsid w:val="00A157C6"/>
    <w:rsid w:val="00A1652C"/>
    <w:rsid w:val="00A17F13"/>
    <w:rsid w:val="00A20739"/>
    <w:rsid w:val="00A2588A"/>
    <w:rsid w:val="00A304EB"/>
    <w:rsid w:val="00A33C78"/>
    <w:rsid w:val="00A358DC"/>
    <w:rsid w:val="00A410E8"/>
    <w:rsid w:val="00A43978"/>
    <w:rsid w:val="00A517B2"/>
    <w:rsid w:val="00A60E60"/>
    <w:rsid w:val="00A70E7D"/>
    <w:rsid w:val="00A82208"/>
    <w:rsid w:val="00A83537"/>
    <w:rsid w:val="00A91F4F"/>
    <w:rsid w:val="00AA4FBB"/>
    <w:rsid w:val="00AB0ADB"/>
    <w:rsid w:val="00AC064C"/>
    <w:rsid w:val="00AC113F"/>
    <w:rsid w:val="00AC2C76"/>
    <w:rsid w:val="00AC2E55"/>
    <w:rsid w:val="00AE071D"/>
    <w:rsid w:val="00AE547B"/>
    <w:rsid w:val="00AF043B"/>
    <w:rsid w:val="00AF2BB2"/>
    <w:rsid w:val="00B01B1A"/>
    <w:rsid w:val="00B030C7"/>
    <w:rsid w:val="00B12239"/>
    <w:rsid w:val="00B22A8E"/>
    <w:rsid w:val="00B30519"/>
    <w:rsid w:val="00B30977"/>
    <w:rsid w:val="00B42585"/>
    <w:rsid w:val="00B5229A"/>
    <w:rsid w:val="00B61AF3"/>
    <w:rsid w:val="00B61C5C"/>
    <w:rsid w:val="00B63F1D"/>
    <w:rsid w:val="00B66319"/>
    <w:rsid w:val="00B670F5"/>
    <w:rsid w:val="00B72CD3"/>
    <w:rsid w:val="00B72FFF"/>
    <w:rsid w:val="00B92E95"/>
    <w:rsid w:val="00BA1051"/>
    <w:rsid w:val="00BA17E0"/>
    <w:rsid w:val="00BA1F7F"/>
    <w:rsid w:val="00BA78B0"/>
    <w:rsid w:val="00BB0458"/>
    <w:rsid w:val="00BB4653"/>
    <w:rsid w:val="00BC3D36"/>
    <w:rsid w:val="00BC447F"/>
    <w:rsid w:val="00BD05A6"/>
    <w:rsid w:val="00BD0872"/>
    <w:rsid w:val="00BD0BD8"/>
    <w:rsid w:val="00BD4E43"/>
    <w:rsid w:val="00BD7F72"/>
    <w:rsid w:val="00BE2A50"/>
    <w:rsid w:val="00BE78E1"/>
    <w:rsid w:val="00BF7BE7"/>
    <w:rsid w:val="00C008E5"/>
    <w:rsid w:val="00C02A73"/>
    <w:rsid w:val="00C04FB3"/>
    <w:rsid w:val="00C147B7"/>
    <w:rsid w:val="00C161F4"/>
    <w:rsid w:val="00C330EB"/>
    <w:rsid w:val="00C37E1B"/>
    <w:rsid w:val="00C40569"/>
    <w:rsid w:val="00C41061"/>
    <w:rsid w:val="00C447D2"/>
    <w:rsid w:val="00C502B5"/>
    <w:rsid w:val="00C51996"/>
    <w:rsid w:val="00C563D0"/>
    <w:rsid w:val="00C57389"/>
    <w:rsid w:val="00C64271"/>
    <w:rsid w:val="00C677DC"/>
    <w:rsid w:val="00C754BE"/>
    <w:rsid w:val="00C76B1C"/>
    <w:rsid w:val="00C7715C"/>
    <w:rsid w:val="00C80850"/>
    <w:rsid w:val="00C969CA"/>
    <w:rsid w:val="00C9769B"/>
    <w:rsid w:val="00CA2290"/>
    <w:rsid w:val="00CB4ABC"/>
    <w:rsid w:val="00CB6357"/>
    <w:rsid w:val="00CC1B26"/>
    <w:rsid w:val="00CC6431"/>
    <w:rsid w:val="00CD06C0"/>
    <w:rsid w:val="00CD3A16"/>
    <w:rsid w:val="00CE03A0"/>
    <w:rsid w:val="00CE48D2"/>
    <w:rsid w:val="00CE57BF"/>
    <w:rsid w:val="00CF00E1"/>
    <w:rsid w:val="00CF06A1"/>
    <w:rsid w:val="00CF1DDE"/>
    <w:rsid w:val="00D20014"/>
    <w:rsid w:val="00D2408E"/>
    <w:rsid w:val="00D25420"/>
    <w:rsid w:val="00D26C5E"/>
    <w:rsid w:val="00D37B95"/>
    <w:rsid w:val="00D423A2"/>
    <w:rsid w:val="00D425D8"/>
    <w:rsid w:val="00D475CB"/>
    <w:rsid w:val="00D50645"/>
    <w:rsid w:val="00D520D8"/>
    <w:rsid w:val="00D55E2D"/>
    <w:rsid w:val="00D5613B"/>
    <w:rsid w:val="00D60A41"/>
    <w:rsid w:val="00D62E41"/>
    <w:rsid w:val="00D6303D"/>
    <w:rsid w:val="00D63AC2"/>
    <w:rsid w:val="00D7383B"/>
    <w:rsid w:val="00D764F5"/>
    <w:rsid w:val="00D82745"/>
    <w:rsid w:val="00D87306"/>
    <w:rsid w:val="00D90CB4"/>
    <w:rsid w:val="00D912A7"/>
    <w:rsid w:val="00D96A41"/>
    <w:rsid w:val="00DA0B6B"/>
    <w:rsid w:val="00DA231B"/>
    <w:rsid w:val="00DA5EE8"/>
    <w:rsid w:val="00DB48D0"/>
    <w:rsid w:val="00DC2966"/>
    <w:rsid w:val="00DC39FC"/>
    <w:rsid w:val="00DC7657"/>
    <w:rsid w:val="00DD61E8"/>
    <w:rsid w:val="00DE0570"/>
    <w:rsid w:val="00DE60C3"/>
    <w:rsid w:val="00DF5254"/>
    <w:rsid w:val="00E10047"/>
    <w:rsid w:val="00E16408"/>
    <w:rsid w:val="00E20894"/>
    <w:rsid w:val="00E21B65"/>
    <w:rsid w:val="00E245AB"/>
    <w:rsid w:val="00E2764C"/>
    <w:rsid w:val="00E27F2E"/>
    <w:rsid w:val="00E36616"/>
    <w:rsid w:val="00E40427"/>
    <w:rsid w:val="00E40849"/>
    <w:rsid w:val="00E46EBE"/>
    <w:rsid w:val="00E50AFE"/>
    <w:rsid w:val="00E7317B"/>
    <w:rsid w:val="00E7430F"/>
    <w:rsid w:val="00E75C92"/>
    <w:rsid w:val="00E771DC"/>
    <w:rsid w:val="00E8772A"/>
    <w:rsid w:val="00E9076A"/>
    <w:rsid w:val="00E908CC"/>
    <w:rsid w:val="00E90F6B"/>
    <w:rsid w:val="00E92C27"/>
    <w:rsid w:val="00E958E5"/>
    <w:rsid w:val="00EA0C29"/>
    <w:rsid w:val="00EA0E3D"/>
    <w:rsid w:val="00EA3177"/>
    <w:rsid w:val="00EA33E6"/>
    <w:rsid w:val="00EA58A9"/>
    <w:rsid w:val="00EA60FD"/>
    <w:rsid w:val="00EA668A"/>
    <w:rsid w:val="00EA67ED"/>
    <w:rsid w:val="00EC0366"/>
    <w:rsid w:val="00EC38A7"/>
    <w:rsid w:val="00ED225B"/>
    <w:rsid w:val="00ED7384"/>
    <w:rsid w:val="00EE1AA8"/>
    <w:rsid w:val="00EF5EA7"/>
    <w:rsid w:val="00F02105"/>
    <w:rsid w:val="00F105B2"/>
    <w:rsid w:val="00F149F8"/>
    <w:rsid w:val="00F21011"/>
    <w:rsid w:val="00F231E7"/>
    <w:rsid w:val="00F31EDC"/>
    <w:rsid w:val="00F337CE"/>
    <w:rsid w:val="00F45C12"/>
    <w:rsid w:val="00F462B3"/>
    <w:rsid w:val="00F538E4"/>
    <w:rsid w:val="00F55185"/>
    <w:rsid w:val="00F55FE5"/>
    <w:rsid w:val="00F5664F"/>
    <w:rsid w:val="00F6411F"/>
    <w:rsid w:val="00F65EA6"/>
    <w:rsid w:val="00F66118"/>
    <w:rsid w:val="00F666C4"/>
    <w:rsid w:val="00F7189F"/>
    <w:rsid w:val="00F72536"/>
    <w:rsid w:val="00F76AFC"/>
    <w:rsid w:val="00F7794C"/>
    <w:rsid w:val="00F807E0"/>
    <w:rsid w:val="00F84008"/>
    <w:rsid w:val="00F91E8A"/>
    <w:rsid w:val="00FA1314"/>
    <w:rsid w:val="00FA47C0"/>
    <w:rsid w:val="00FA67E3"/>
    <w:rsid w:val="00FB2702"/>
    <w:rsid w:val="00FB3AA2"/>
    <w:rsid w:val="00FB5DD1"/>
    <w:rsid w:val="00FC2B5D"/>
    <w:rsid w:val="00FC2ED1"/>
    <w:rsid w:val="00FC3D57"/>
    <w:rsid w:val="00FD7250"/>
    <w:rsid w:val="00FE63BA"/>
    <w:rsid w:val="00FE7214"/>
    <w:rsid w:val="00FE776C"/>
    <w:rsid w:val="00FF1449"/>
    <w:rsid w:val="00FF29EC"/>
    <w:rsid w:val="00FF2FD8"/>
    <w:rsid w:val="65879FA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20014"/>
    <w:pPr>
      <w:spacing w:line="240" w:lineRule="exact"/>
    </w:pPr>
    <w:rPr>
      <w:vertAlign w:val="superscript"/>
    </w:rPr>
  </w:style>
  <w:style w:type="character" w:styleId="Textoennegrita">
    <w:name w:val="Strong"/>
    <w:basedOn w:val="Fuentedeprrafopredeter"/>
    <w:uiPriority w:val="22"/>
    <w:qFormat/>
    <w:rsid w:val="00D20014"/>
    <w:rPr>
      <w:b/>
      <w:bCs/>
    </w:rPr>
  </w:style>
  <w:style w:type="character" w:customStyle="1" w:styleId="NormalWebCar">
    <w:name w:val="Normal (Web) Car"/>
    <w:link w:val="NormalWeb"/>
    <w:uiPriority w:val="99"/>
    <w:rsid w:val="00D20014"/>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edaleja@hot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BA9055-8C1F-4E13-A897-9C9BEEB9E2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documentManagement/types"/>
    <ds:schemaRef ds:uri="9d85dbaf-23eb-4e57-a637-93dcacc8b1a1"/>
    <ds:schemaRef ds:uri="http://schemas.openxmlformats.org/package/2006/metadata/core-properties"/>
    <ds:schemaRef ds:uri="http://purl.org/dc/elements/1.1/"/>
    <ds:schemaRef ds:uri="http://www.w3.org/XML/1998/namespace"/>
    <ds:schemaRef ds:uri="http://schemas.microsoft.com/office/infopath/2007/PartnerControls"/>
    <ds:schemaRef ds:uri="http://purl.org/dc/terms/"/>
    <ds:schemaRef ds:uri="a6cb9e4b-f1d1-4245-83ec-6cad768d538a"/>
    <ds:schemaRef ds:uri="http://schemas.microsoft.com/office/2006/metadata/properties"/>
    <ds:schemaRef ds:uri="http://purl.org/dc/dcmitype/"/>
  </ds:schemaRefs>
</ds:datastoreItem>
</file>

<file path=customXml/itemProps4.xml><?xml version="1.0" encoding="utf-8"?>
<ds:datastoreItem xmlns:ds="http://schemas.openxmlformats.org/officeDocument/2006/customXml" ds:itemID="{CD5EF3FF-1F95-4C17-9678-7A3050BAD3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24</Pages>
  <Words>8631</Words>
  <Characters>44882</Characters>
  <Application>Microsoft Office Word</Application>
  <DocSecurity>0</DocSecurity>
  <Lines>831</Lines>
  <Paragraphs>131</Paragraphs>
  <ScaleCrop>false</ScaleCrop>
  <Company/>
  <LinksUpToDate>false</LinksUpToDate>
  <CharactersWithSpaces>53382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2025-09-30T17:16:00Z</dcterms:created>
  <dcterms:modified xsi:type="dcterms:W3CDTF">2025-09-30T17:16:00Z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