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51DAF" w14:textId="77777777" w:rsidR="00E724E5" w:rsidRPr="00817382" w:rsidRDefault="00E724E5" w:rsidP="00E724E5">
      <w:pPr>
        <w:tabs>
          <w:tab w:val="left" w:pos="709"/>
        </w:tabs>
        <w:spacing w:after="0" w:line="240" w:lineRule="auto"/>
        <w:jc w:val="both"/>
        <w:rPr>
          <w:rFonts w:ascii="Verdana" w:eastAsia="Calibri" w:hAnsi="Verdana" w:cs="Arial"/>
          <w:bCs/>
          <w:sz w:val="20"/>
          <w:szCs w:val="20"/>
          <w:lang w:val="es-ES_tradnl" w:eastAsia="es-ES_tradnl"/>
        </w:rPr>
      </w:pPr>
    </w:p>
    <w:p w14:paraId="16B0BC69"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1538C8F6"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rPr>
      </w:pPr>
    </w:p>
    <w:p w14:paraId="3E823D6A"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257AE041"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eastAsia="es-ES_tradnl"/>
        </w:rPr>
      </w:pPr>
    </w:p>
    <w:p w14:paraId="75F9E1CC"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E583431" w14:textId="77777777" w:rsidR="00E724E5" w:rsidRPr="00817382" w:rsidRDefault="00E724E5" w:rsidP="00E724E5">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68D6F0A0" w14:textId="77777777" w:rsidR="00E724E5" w:rsidRPr="00817382" w:rsidRDefault="00E724E5" w:rsidP="00E724E5">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18DA0624" w14:textId="77777777" w:rsidR="00E724E5" w:rsidRPr="00817382" w:rsidRDefault="00E724E5" w:rsidP="00E724E5">
      <w:pPr>
        <w:spacing w:after="0" w:line="240" w:lineRule="auto"/>
        <w:rPr>
          <w:rFonts w:ascii="Verdana" w:eastAsia="Geomanist Light" w:hAnsi="Verdana" w:cs="Arial"/>
          <w:color w:val="000000" w:themeColor="text1"/>
          <w:sz w:val="20"/>
          <w:szCs w:val="20"/>
          <w:lang w:val="es-ES_tradnl"/>
        </w:rPr>
      </w:pPr>
    </w:p>
    <w:p w14:paraId="7F2A48A6" w14:textId="77777777" w:rsidR="00E724E5" w:rsidRPr="00817382" w:rsidRDefault="00E724E5" w:rsidP="00E724E5">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143203A4" w14:textId="77777777" w:rsidR="00E724E5" w:rsidRPr="00817382" w:rsidRDefault="00E724E5" w:rsidP="00E724E5">
      <w:pPr>
        <w:spacing w:after="0" w:line="240" w:lineRule="auto"/>
        <w:jc w:val="both"/>
        <w:rPr>
          <w:rFonts w:ascii="Verdana" w:eastAsia="Calibri" w:hAnsi="Verdana" w:cs="Arial"/>
          <w:b/>
          <w:sz w:val="20"/>
          <w:szCs w:val="20"/>
          <w:lang w:val="es-ES_tradnl"/>
        </w:rPr>
      </w:pPr>
    </w:p>
    <w:p w14:paraId="5DC25D4E" w14:textId="77777777" w:rsidR="00E724E5" w:rsidRPr="00817382" w:rsidRDefault="00E724E5" w:rsidP="00E724E5">
      <w:pPr>
        <w:spacing w:after="0" w:line="240" w:lineRule="auto"/>
        <w:jc w:val="both"/>
        <w:rPr>
          <w:rFonts w:ascii="Verdana" w:eastAsia="Calibri" w:hAnsi="Verdana" w:cs="Arial"/>
          <w:bCs/>
          <w:sz w:val="20"/>
          <w:szCs w:val="20"/>
          <w:lang w:val="es-ES_tradnl"/>
        </w:rPr>
      </w:pPr>
      <w:r w:rsidRPr="00817382">
        <w:rPr>
          <w:rFonts w:ascii="Verdana" w:eastAsia="Calibri" w:hAnsi="Verdana" w:cs="Arial"/>
          <w:bCs/>
          <w:sz w:val="20"/>
          <w:szCs w:val="20"/>
          <w:lang w:val="es-ES_tradnl"/>
        </w:rPr>
        <w:t xml:space="preserve">[…] aunque tenga una influencia limitada, las </w:t>
      </w:r>
      <w:r w:rsidRPr="00817382">
        <w:rPr>
          <w:rFonts w:ascii="Verdana" w:eastAsia="Calibri" w:hAnsi="Verdana" w:cs="Arial"/>
          <w:bCs/>
          <w:i/>
          <w:iCs/>
          <w:sz w:val="20"/>
          <w:szCs w:val="20"/>
          <w:lang w:val="es-ES_tradnl"/>
        </w:rPr>
        <w:t>entidades del régimen exceptuado</w:t>
      </w:r>
      <w:r w:rsidRPr="00817382">
        <w:rPr>
          <w:rFonts w:ascii="Verdana" w:eastAsia="Calibri" w:hAnsi="Verdana" w:cs="Arial"/>
          <w:bCs/>
          <w:sz w:val="20"/>
          <w:szCs w:val="20"/>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817382">
        <w:rPr>
          <w:rFonts w:ascii="Verdana" w:eastAsia="Calibri" w:hAnsi="Verdana" w:cs="Arial"/>
          <w:color w:val="000000"/>
          <w:sz w:val="20"/>
          <w:szCs w:val="20"/>
          <w:lang w:val="es-ES_tradnl"/>
        </w:rPr>
        <w:t>.</w:t>
      </w:r>
    </w:p>
    <w:p w14:paraId="0482520E" w14:textId="77777777" w:rsidR="00E724E5" w:rsidRPr="00817382" w:rsidRDefault="00E724E5" w:rsidP="00E724E5">
      <w:pPr>
        <w:spacing w:after="0" w:line="240" w:lineRule="auto"/>
        <w:jc w:val="both"/>
        <w:rPr>
          <w:rFonts w:ascii="Verdana" w:hAnsi="Verdana" w:cs="Arial"/>
          <w:color w:val="000000" w:themeColor="text1"/>
          <w:sz w:val="21"/>
          <w:szCs w:val="21"/>
          <w:lang w:val="es-ES_tradnl"/>
        </w:rPr>
      </w:pPr>
    </w:p>
    <w:p w14:paraId="169298F6"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1102DFD9"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p>
    <w:p w14:paraId="36525070"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0EE4B2E8"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76B01611"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hAnsi="Verdana" w:cs="Arial"/>
          <w:i/>
          <w:color w:val="000000" w:themeColor="text1"/>
          <w:sz w:val="20"/>
          <w:szCs w:val="20"/>
          <w:lang w:val="es-ES_tradnl"/>
        </w:rPr>
        <w:t>manual de contratación</w:t>
      </w:r>
      <w:r w:rsidRPr="00817382">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5C4B7552"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55E0C140"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hAnsi="Verdana" w:cs="Arial"/>
          <w:color w:val="000000" w:themeColor="text1"/>
          <w:sz w:val="20"/>
          <w:szCs w:val="20"/>
          <w:lang w:val="es-ES_tradnl"/>
        </w:rPr>
        <w:t>ii</w:t>
      </w:r>
      <w:proofErr w:type="spellEnd"/>
      <w:r w:rsidRPr="00817382">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817382">
        <w:rPr>
          <w:rFonts w:ascii="Verdana" w:hAnsi="Verdana" w:cs="Arial"/>
          <w:color w:val="000000" w:themeColor="text1"/>
          <w:sz w:val="20"/>
          <w:szCs w:val="20"/>
          <w:lang w:val="es-ES_tradnl"/>
        </w:rPr>
        <w:t>iii</w:t>
      </w:r>
      <w:proofErr w:type="spellEnd"/>
      <w:r w:rsidRPr="00817382">
        <w:rPr>
          <w:rFonts w:ascii="Verdana" w:hAnsi="Verdana" w:cs="Arial"/>
          <w:color w:val="000000" w:themeColor="text1"/>
          <w:sz w:val="20"/>
          <w:szCs w:val="20"/>
          <w:lang w:val="es-ES_tradnl"/>
        </w:rPr>
        <w:t xml:space="preserve">) procedimientos para su imposición, </w:t>
      </w:r>
      <w:proofErr w:type="spellStart"/>
      <w:r w:rsidRPr="00817382">
        <w:rPr>
          <w:rFonts w:ascii="Verdana" w:hAnsi="Verdana" w:cs="Arial"/>
          <w:color w:val="000000" w:themeColor="text1"/>
          <w:sz w:val="20"/>
          <w:szCs w:val="20"/>
          <w:lang w:val="es-ES_tradnl"/>
        </w:rPr>
        <w:t>iv</w:t>
      </w:r>
      <w:proofErr w:type="spellEnd"/>
      <w:r w:rsidRPr="00817382">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2A6294C2"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22F1AE85" w14:textId="77777777" w:rsidR="00E724E5" w:rsidRPr="00817382" w:rsidRDefault="00E724E5" w:rsidP="00E724E5">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MANUALES DE CONTRATACIÓN</w:t>
      </w:r>
      <w:r w:rsidRPr="00817382">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Entidades exceptuadas</w:t>
      </w:r>
      <w:r w:rsidRPr="00817382">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Entidades sometidas – Nulidad del artículo 160 del Decreto 1510 de 2013</w:t>
      </w:r>
      <w:r w:rsidRPr="00817382">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Potestad de autoorganización – Expedición facultativa</w:t>
      </w:r>
    </w:p>
    <w:p w14:paraId="2CC0E834" w14:textId="77777777" w:rsidR="00E724E5" w:rsidRPr="00817382" w:rsidRDefault="00E724E5" w:rsidP="00E724E5">
      <w:pPr>
        <w:spacing w:after="0" w:line="240" w:lineRule="auto"/>
        <w:jc w:val="both"/>
        <w:rPr>
          <w:rFonts w:ascii="Verdana" w:hAnsi="Verdana" w:cs="Arial"/>
          <w:color w:val="000000" w:themeColor="text1"/>
          <w:sz w:val="20"/>
          <w:szCs w:val="20"/>
          <w:lang w:val="es-ES_tradnl"/>
        </w:rPr>
      </w:pPr>
    </w:p>
    <w:p w14:paraId="7F98DC18" w14:textId="77777777" w:rsidR="00E724E5" w:rsidRDefault="00E724E5" w:rsidP="00E724E5">
      <w:pPr>
        <w:pStyle w:val="Sinespaciad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S</w:t>
      </w:r>
      <w:r w:rsidRPr="00C16797">
        <w:rPr>
          <w:rFonts w:ascii="Verdana" w:hAnsi="Verdana" w:cs="Arial"/>
          <w:color w:val="000000" w:themeColor="text1"/>
          <w:sz w:val="20"/>
          <w:szCs w:val="20"/>
          <w:lang w:val="es-ES_tradnl"/>
        </w:rPr>
        <w:t xml:space="preserve">i bien en la actualidad no existe un fundamento normativo expreso, tanto las entidades exceptuadas del EGCAP como las sometidas a la Ley 80 de 1993 pueden expedir manuales de contratación. </w:t>
      </w:r>
      <w:r w:rsidRPr="00C16797">
        <w:rPr>
          <w:rFonts w:ascii="Verdana" w:hAnsi="Verdana" w:cs="Arial"/>
          <w:i/>
          <w:iCs/>
          <w:color w:val="000000" w:themeColor="text1"/>
          <w:sz w:val="20"/>
          <w:szCs w:val="20"/>
          <w:lang w:val="es-ES_tradnl"/>
        </w:rPr>
        <w:t>Para las primeras</w:t>
      </w:r>
      <w:r w:rsidRPr="00C16797">
        <w:rPr>
          <w:rFonts w:ascii="Verdana" w:hAnsi="Verdana" w:cs="Arial"/>
          <w:color w:val="000000" w:themeColor="text1"/>
          <w:sz w:val="20"/>
          <w:szCs w:val="20"/>
          <w:lang w:val="es-ES_tradnl"/>
        </w:rPr>
        <w:t>, los manuales contribuyen al desarrollo de los principios enunciados en el artículo 13 de la Ley 1150 de 2007, por lo que es necesario que regulen aspectos asociados a la actividad contractual, como los procedimientos de selección, los requisitos de participación, las condiciones de ejecución del contrato, etc.</w:t>
      </w:r>
    </w:p>
    <w:p w14:paraId="26407051" w14:textId="77777777" w:rsidR="00E724E5" w:rsidRPr="00C16797" w:rsidRDefault="00E724E5" w:rsidP="00E724E5">
      <w:pPr>
        <w:pStyle w:val="Sinespaciado"/>
        <w:jc w:val="both"/>
        <w:rPr>
          <w:rFonts w:ascii="Verdana" w:hAnsi="Verdana" w:cs="Arial"/>
          <w:color w:val="000000" w:themeColor="text1"/>
          <w:sz w:val="20"/>
          <w:szCs w:val="20"/>
          <w:lang w:val="es-ES_tradnl"/>
        </w:rPr>
      </w:pPr>
    </w:p>
    <w:p w14:paraId="1121A6F9" w14:textId="77777777" w:rsidR="00E724E5" w:rsidRDefault="00E724E5" w:rsidP="00E724E5">
      <w:pPr>
        <w:pStyle w:val="Sinespaciado"/>
        <w:jc w:val="both"/>
        <w:rPr>
          <w:rFonts w:ascii="Verdana" w:hAnsi="Verdana" w:cs="Arial"/>
          <w:bCs/>
          <w:color w:val="000000" w:themeColor="text1"/>
          <w:sz w:val="20"/>
          <w:szCs w:val="20"/>
          <w:lang w:val="es-ES_tradnl"/>
        </w:rPr>
      </w:pPr>
      <w:r w:rsidRPr="00C16797">
        <w:rPr>
          <w:rFonts w:ascii="Verdana" w:hAnsi="Verdana" w:cs="Arial"/>
          <w:i/>
          <w:iCs/>
          <w:color w:val="000000" w:themeColor="text1"/>
          <w:sz w:val="20"/>
          <w:szCs w:val="20"/>
          <w:lang w:val="es-ES_tradnl"/>
        </w:rPr>
        <w:t>Para las segundas</w:t>
      </w:r>
      <w:r w:rsidRPr="00C16797">
        <w:rPr>
          <w:rFonts w:ascii="Verdana" w:hAnsi="Verdana" w:cs="Arial"/>
          <w:color w:val="000000" w:themeColor="text1"/>
          <w:sz w:val="20"/>
          <w:szCs w:val="20"/>
          <w:lang w:val="es-ES_tradnl"/>
        </w:rPr>
        <w:t xml:space="preserve">, </w:t>
      </w:r>
      <w:r w:rsidRPr="00C16797">
        <w:rPr>
          <w:rFonts w:ascii="Verdana" w:hAnsi="Verdana" w:cs="Arial"/>
          <w:bCs/>
          <w:color w:val="000000" w:themeColor="text1"/>
          <w:sz w:val="20"/>
          <w:szCs w:val="20"/>
          <w:lang w:val="es-ES_tradnl"/>
        </w:rPr>
        <w:t>aunque gran parte de los aspectos relacionados con la gestión contractual se encuentran en el EGCAP y en decretos que lo desarrollan, dichos manuales establecen flujogramas en la estructuración de los procesos; asignan responsabilidades específicas en la proyección, revisión y aprobación de los documentos; unifican y estandarizan trámites internos; fijan directrices respecto a la gestión de los procesos y la ejecución de los contratos; entre otros.</w:t>
      </w:r>
    </w:p>
    <w:p w14:paraId="530F663D" w14:textId="77777777" w:rsidR="00E724E5" w:rsidRPr="00C16797" w:rsidRDefault="00E724E5" w:rsidP="00E724E5">
      <w:pPr>
        <w:pStyle w:val="Sinespaciado"/>
        <w:jc w:val="both"/>
        <w:rPr>
          <w:rFonts w:ascii="Verdana" w:hAnsi="Verdana" w:cs="Arial"/>
          <w:color w:val="000000" w:themeColor="text1"/>
          <w:sz w:val="20"/>
          <w:szCs w:val="20"/>
          <w:lang w:val="es-ES_tradnl"/>
        </w:rPr>
      </w:pPr>
    </w:p>
    <w:p w14:paraId="10D20C74" w14:textId="77777777" w:rsidR="00E724E5" w:rsidRPr="00C16797" w:rsidRDefault="00E724E5" w:rsidP="00E724E5">
      <w:pPr>
        <w:pStyle w:val="Sinespaciado"/>
        <w:jc w:val="both"/>
        <w:rPr>
          <w:rFonts w:ascii="Verdana" w:hAnsi="Verdana" w:cs="Arial"/>
          <w:color w:val="000000" w:themeColor="text1"/>
          <w:sz w:val="20"/>
          <w:szCs w:val="20"/>
          <w:lang w:val="es-ES_tradnl"/>
        </w:rPr>
      </w:pPr>
      <w:r w:rsidRPr="00C16797">
        <w:rPr>
          <w:rFonts w:ascii="Verdana" w:hAnsi="Verdana" w:cs="Arial"/>
          <w:color w:val="000000" w:themeColor="text1"/>
          <w:sz w:val="20"/>
          <w:szCs w:val="20"/>
          <w:lang w:val="es-ES_tradnl"/>
        </w:rPr>
        <w:t xml:space="preserve">En este último caso, pese a que </w:t>
      </w:r>
      <w:r w:rsidRPr="00C16797">
        <w:rPr>
          <w:rFonts w:ascii="Verdana" w:hAnsi="Verdana" w:cs="Arial"/>
          <w:bCs/>
          <w:color w:val="000000" w:themeColor="text1"/>
          <w:sz w:val="20"/>
          <w:szCs w:val="20"/>
          <w:lang w:val="es-ES_tradnl"/>
        </w:rPr>
        <w:t xml:space="preserve">la Sentencia 3 de abril de 2020, </w:t>
      </w:r>
      <w:proofErr w:type="spellStart"/>
      <w:r w:rsidRPr="00C16797">
        <w:rPr>
          <w:rFonts w:ascii="Verdana" w:hAnsi="Verdana" w:cs="Arial"/>
          <w:bCs/>
          <w:color w:val="000000" w:themeColor="text1"/>
          <w:sz w:val="20"/>
          <w:szCs w:val="20"/>
          <w:lang w:val="es-ES_tradnl"/>
        </w:rPr>
        <w:t>exp</w:t>
      </w:r>
      <w:proofErr w:type="spellEnd"/>
      <w:r w:rsidRPr="00C16797">
        <w:rPr>
          <w:rFonts w:ascii="Verdana" w:hAnsi="Verdana" w:cs="Arial"/>
          <w:bCs/>
          <w:color w:val="000000" w:themeColor="text1"/>
          <w:sz w:val="20"/>
          <w:szCs w:val="20"/>
          <w:lang w:val="es-ES_tradnl"/>
        </w:rPr>
        <w:t xml:space="preserve">. 50199, con ponencia del </w:t>
      </w:r>
      <w:proofErr w:type="gramStart"/>
      <w:r w:rsidRPr="00C16797">
        <w:rPr>
          <w:rFonts w:ascii="Verdana" w:hAnsi="Verdana" w:cs="Arial"/>
          <w:bCs/>
          <w:color w:val="000000" w:themeColor="text1"/>
          <w:sz w:val="20"/>
          <w:szCs w:val="20"/>
          <w:lang w:val="es-ES_tradnl"/>
        </w:rPr>
        <w:t>Consejero</w:t>
      </w:r>
      <w:proofErr w:type="gramEnd"/>
      <w:r w:rsidRPr="00C16797">
        <w:rPr>
          <w:rFonts w:ascii="Verdana" w:hAnsi="Verdana" w:cs="Arial"/>
          <w:bCs/>
          <w:color w:val="000000" w:themeColor="text1"/>
          <w:sz w:val="20"/>
          <w:szCs w:val="20"/>
          <w:lang w:val="es-ES_tradnl"/>
        </w:rPr>
        <w:t xml:space="preserve"> Alberto Montaña Plata, anuló el artículo 160 del Decreto 1510 de 2013 –compilado en el artículo 2.2.1.2.5.3 del Decreto 1082 de 2015–, la jurisprudencia no proscribe los manuales de contratación, sino que éstos deban acatar los lineamientos de la ANCP – CCE. Bajo esta óptica, con la nulidad de las normas citadas, la expedición del manual de contratación, más que un deber, es una facultad de las entidades sometidas al Estatuto General de la Contratación de la Administración Pública. Dichos manuales hacen parte de la potestad de autoorganización de las entidades estatales; razón por la cual, su adopción constituye una buena práctica contractual.    </w:t>
      </w:r>
    </w:p>
    <w:p w14:paraId="65346CE5" w14:textId="77777777" w:rsidR="00E724E5" w:rsidRPr="00817382" w:rsidRDefault="00E724E5" w:rsidP="00E724E5">
      <w:pPr>
        <w:pStyle w:val="Sinespaciado"/>
        <w:rPr>
          <w:rFonts w:ascii="Verdana" w:hAnsi="Verdana" w:cs="Arial"/>
          <w:color w:val="000000" w:themeColor="text1"/>
          <w:sz w:val="20"/>
          <w:szCs w:val="20"/>
          <w:lang w:val="es-ES_tradnl"/>
        </w:rPr>
      </w:pPr>
    </w:p>
    <w:p w14:paraId="27427438" w14:textId="77777777" w:rsidR="00E724E5" w:rsidRPr="00817382" w:rsidRDefault="00E724E5" w:rsidP="00E724E5">
      <w:pPr>
        <w:spacing w:after="0" w:line="240" w:lineRule="auto"/>
        <w:rPr>
          <w:rFonts w:ascii="Verdana" w:hAnsi="Verdana" w:cs="Arial"/>
          <w:color w:val="000000" w:themeColor="text1"/>
          <w:sz w:val="20"/>
          <w:szCs w:val="20"/>
          <w:lang w:val="es-ES_tradnl"/>
        </w:rPr>
      </w:pPr>
    </w:p>
    <w:p w14:paraId="3B7158D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66926EA"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B06A27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892B52D"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4F3D36F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71B335"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6F4FB86"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2F624CE0"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92BF754"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6BC361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0D73213E"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4CEECB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15AF95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7A1D9EC1"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D604BD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524B8A4B"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370548BF"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60C497A2" w14:textId="77777777" w:rsidR="00E724E5" w:rsidRPr="00817382" w:rsidRDefault="00E724E5" w:rsidP="00E724E5">
      <w:pPr>
        <w:spacing w:after="0" w:line="240" w:lineRule="auto"/>
        <w:rPr>
          <w:rFonts w:ascii="Verdana" w:eastAsia="Geomanist Light" w:hAnsi="Verdana" w:cs="Arial"/>
          <w:color w:val="000000" w:themeColor="text1"/>
          <w:lang w:val="es-ES_tradnl"/>
        </w:rPr>
      </w:pPr>
    </w:p>
    <w:p w14:paraId="1DD4EF04" w14:textId="77777777" w:rsidR="00E724E5" w:rsidRDefault="00E724E5" w:rsidP="3239A092">
      <w:pPr>
        <w:spacing w:after="0" w:line="240" w:lineRule="auto"/>
        <w:rPr>
          <w:rFonts w:ascii="Verdana" w:eastAsia="Geomanist Light" w:hAnsi="Verdana" w:cs="Arial"/>
          <w:color w:val="000000" w:themeColor="text1"/>
          <w:lang w:val="es-ES_tradnl"/>
        </w:rPr>
      </w:pPr>
    </w:p>
    <w:p w14:paraId="0F7E4E34" w14:textId="77777777" w:rsidR="00E724E5" w:rsidRDefault="00E724E5" w:rsidP="3239A092">
      <w:pPr>
        <w:spacing w:after="0" w:line="240" w:lineRule="auto"/>
        <w:rPr>
          <w:rFonts w:ascii="Verdana" w:eastAsia="Geomanist Light" w:hAnsi="Verdana" w:cs="Arial"/>
          <w:color w:val="000000" w:themeColor="text1"/>
          <w:lang w:val="es-ES_tradnl"/>
        </w:rPr>
      </w:pPr>
    </w:p>
    <w:p w14:paraId="1AB3CCC9" w14:textId="77777777" w:rsidR="00E724E5" w:rsidRDefault="00E724E5" w:rsidP="3239A092">
      <w:pPr>
        <w:spacing w:after="0" w:line="240" w:lineRule="auto"/>
        <w:rPr>
          <w:rFonts w:ascii="Verdana" w:eastAsia="Geomanist Light" w:hAnsi="Verdana" w:cs="Arial"/>
          <w:color w:val="000000" w:themeColor="text1"/>
          <w:lang w:val="es-ES_tradnl"/>
        </w:rPr>
      </w:pPr>
    </w:p>
    <w:p w14:paraId="3ED2021A" w14:textId="77777777" w:rsidR="00E724E5" w:rsidRDefault="00E724E5" w:rsidP="3239A092">
      <w:pPr>
        <w:spacing w:after="0" w:line="240" w:lineRule="auto"/>
        <w:rPr>
          <w:rFonts w:ascii="Verdana" w:eastAsia="Geomanist Light" w:hAnsi="Verdana" w:cs="Arial"/>
          <w:color w:val="000000" w:themeColor="text1"/>
          <w:lang w:val="es-ES_tradnl"/>
        </w:rPr>
      </w:pPr>
    </w:p>
    <w:p w14:paraId="469A5193" w14:textId="77777777" w:rsidR="00E724E5" w:rsidRDefault="00E724E5" w:rsidP="3239A092">
      <w:pPr>
        <w:spacing w:after="0" w:line="240" w:lineRule="auto"/>
        <w:rPr>
          <w:rFonts w:ascii="Verdana" w:eastAsia="Geomanist Light" w:hAnsi="Verdana" w:cs="Arial"/>
          <w:color w:val="000000" w:themeColor="text1"/>
          <w:lang w:val="es-ES_tradnl"/>
        </w:rPr>
      </w:pPr>
    </w:p>
    <w:p w14:paraId="6F8EB8A9" w14:textId="77777777" w:rsidR="00E724E5" w:rsidRDefault="00E724E5" w:rsidP="3239A092">
      <w:pPr>
        <w:spacing w:after="0" w:line="240" w:lineRule="auto"/>
        <w:rPr>
          <w:rFonts w:ascii="Verdana" w:eastAsia="Geomanist Light" w:hAnsi="Verdana" w:cs="Arial"/>
          <w:color w:val="000000" w:themeColor="text1"/>
          <w:lang w:val="es-ES_tradnl"/>
        </w:rPr>
      </w:pPr>
    </w:p>
    <w:p w14:paraId="619988BF" w14:textId="77777777" w:rsidR="00E724E5" w:rsidRPr="00E724E5" w:rsidRDefault="00E724E5" w:rsidP="3239A092">
      <w:pPr>
        <w:spacing w:after="0" w:line="240" w:lineRule="auto"/>
        <w:rPr>
          <w:rFonts w:ascii="Verdana" w:eastAsia="Geomanist Light" w:hAnsi="Verdana" w:cs="Arial"/>
          <w:color w:val="000000" w:themeColor="text1"/>
          <w:lang w:val="es-ES_tradnl"/>
        </w:rPr>
      </w:pPr>
    </w:p>
    <w:p w14:paraId="47025F47" w14:textId="363B5913" w:rsidR="00F262D3" w:rsidRPr="00817382" w:rsidRDefault="00F262D3" w:rsidP="3239A092">
      <w:pPr>
        <w:spacing w:after="0" w:line="240" w:lineRule="auto"/>
        <w:rPr>
          <w:rFonts w:ascii="Verdana" w:eastAsia="Geomanist Light" w:hAnsi="Verdana" w:cs="Arial"/>
          <w:color w:val="201F1E"/>
          <w:lang w:val="es-ES"/>
        </w:rPr>
      </w:pPr>
      <w:r w:rsidRPr="3239A092">
        <w:rPr>
          <w:rFonts w:ascii="Verdana" w:eastAsia="Geomanist Light" w:hAnsi="Verdana" w:cs="Arial"/>
          <w:color w:val="000000" w:themeColor="text1"/>
          <w:lang w:val="es-ES"/>
        </w:rPr>
        <w:lastRenderedPageBreak/>
        <w:t>Bogotá D.C., </w:t>
      </w:r>
      <w:r w:rsidR="00A53477">
        <w:rPr>
          <w:rFonts w:ascii="Verdana" w:hAnsi="Verdana" w:cs="Verdana"/>
          <w:color w:val="000000"/>
          <w:lang w:val="es-MX"/>
        </w:rPr>
        <w:t xml:space="preserve">25 de </w:t>
      </w:r>
      <w:proofErr w:type="gramStart"/>
      <w:r w:rsidR="00A53477">
        <w:rPr>
          <w:rFonts w:ascii="Verdana" w:hAnsi="Verdana" w:cs="Verdana"/>
          <w:color w:val="000000"/>
          <w:lang w:val="es-MX"/>
        </w:rPr>
        <w:t>Septiembre</w:t>
      </w:r>
      <w:proofErr w:type="gramEnd"/>
      <w:r w:rsidR="00A53477">
        <w:rPr>
          <w:rFonts w:ascii="Verdana" w:hAnsi="Verdana" w:cs="Verdana"/>
          <w:color w:val="000000"/>
          <w:lang w:val="es-MX"/>
        </w:rPr>
        <w:t xml:space="preserve"> de 2025</w:t>
      </w:r>
    </w:p>
    <w:p w14:paraId="410DF1A6" w14:textId="77777777" w:rsidR="00F262D3" w:rsidRPr="00817382" w:rsidRDefault="00F262D3" w:rsidP="00F262D3">
      <w:pPr>
        <w:spacing w:after="0" w:line="240" w:lineRule="auto"/>
        <w:jc w:val="both"/>
        <w:rPr>
          <w:rFonts w:ascii="Verdana" w:eastAsia="Calibri" w:hAnsi="Verdana" w:cs="Arial"/>
          <w:color w:val="000000"/>
          <w:lang w:val="es-ES_tradnl"/>
        </w:rPr>
      </w:pPr>
    </w:p>
    <w:p w14:paraId="4EFC3263" w14:textId="79AC507A" w:rsidR="00F262D3" w:rsidRDefault="007138A2" w:rsidP="007138A2">
      <w:pPr>
        <w:spacing w:after="0" w:line="240" w:lineRule="auto"/>
        <w:jc w:val="right"/>
        <w:rPr>
          <w:rFonts w:ascii="Verdana" w:eastAsia="Calibri" w:hAnsi="Verdana" w:cs="Arial"/>
          <w:color w:val="000000"/>
          <w:lang w:val="es-ES_tradnl"/>
        </w:rPr>
      </w:pPr>
      <w:r w:rsidRPr="007138A2">
        <w:rPr>
          <w:rFonts w:ascii="Verdana" w:eastAsia="Calibri" w:hAnsi="Verdana" w:cs="Arial"/>
          <w:noProof/>
          <w:color w:val="000000"/>
          <w:lang w:val="es-ES_tradnl"/>
        </w:rPr>
        <w:drawing>
          <wp:inline distT="0" distB="0" distL="0" distR="0" wp14:anchorId="6298541A" wp14:editId="08DF45FC">
            <wp:extent cx="2400300" cy="622300"/>
            <wp:effectExtent l="0" t="0" r="0" b="0"/>
            <wp:docPr id="15984719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471950" name=""/>
                    <pic:cNvPicPr/>
                  </pic:nvPicPr>
                  <pic:blipFill>
                    <a:blip r:embed="rId10"/>
                    <a:stretch>
                      <a:fillRect/>
                    </a:stretch>
                  </pic:blipFill>
                  <pic:spPr>
                    <a:xfrm>
                      <a:off x="0" y="0"/>
                      <a:ext cx="2400300" cy="622300"/>
                    </a:xfrm>
                    <a:prstGeom prst="rect">
                      <a:avLst/>
                    </a:prstGeom>
                  </pic:spPr>
                </pic:pic>
              </a:graphicData>
            </a:graphic>
          </wp:inline>
        </w:drawing>
      </w:r>
    </w:p>
    <w:p w14:paraId="71B45297" w14:textId="77777777" w:rsidR="007138A2" w:rsidRPr="00817382" w:rsidRDefault="007138A2" w:rsidP="00F262D3">
      <w:pPr>
        <w:spacing w:after="0" w:line="240" w:lineRule="auto"/>
        <w:jc w:val="both"/>
        <w:rPr>
          <w:rFonts w:ascii="Verdana" w:eastAsia="Calibri" w:hAnsi="Verdana" w:cs="Arial"/>
          <w:color w:val="000000"/>
          <w:lang w:val="es-ES_tradnl"/>
        </w:rPr>
      </w:pPr>
    </w:p>
    <w:p w14:paraId="3C25EBF0" w14:textId="77777777" w:rsidR="00F262D3" w:rsidRPr="00817382" w:rsidRDefault="00F262D3" w:rsidP="00F262D3">
      <w:pPr>
        <w:spacing w:after="0" w:line="240" w:lineRule="auto"/>
        <w:jc w:val="both"/>
        <w:rPr>
          <w:rFonts w:ascii="Verdana" w:eastAsia="Calibri" w:hAnsi="Verdana" w:cs="Arial"/>
          <w:lang w:val="es-ES_tradnl" w:eastAsia="es-ES"/>
        </w:rPr>
      </w:pPr>
      <w:r w:rsidRPr="00817382">
        <w:rPr>
          <w:rFonts w:ascii="Verdana" w:eastAsia="Calibri" w:hAnsi="Verdana" w:cs="Arial"/>
          <w:lang w:val="es-ES_tradnl" w:eastAsia="es-ES"/>
        </w:rPr>
        <w:t>Señor</w:t>
      </w:r>
    </w:p>
    <w:p w14:paraId="15D92637" w14:textId="77777777" w:rsidR="00F262D3" w:rsidRPr="00817382" w:rsidRDefault="00F262D3" w:rsidP="00F262D3">
      <w:pPr>
        <w:spacing w:after="0" w:line="240" w:lineRule="auto"/>
        <w:rPr>
          <w:rFonts w:ascii="Verdana" w:eastAsia="Calibri" w:hAnsi="Verdana" w:cs="Arial"/>
          <w:b/>
          <w:lang w:val="es-ES_tradnl" w:eastAsia="es-ES_tradnl"/>
        </w:rPr>
      </w:pPr>
      <w:r w:rsidRPr="00817382">
        <w:rPr>
          <w:rFonts w:ascii="Verdana" w:eastAsia="Calibri" w:hAnsi="Verdana" w:cs="Arial"/>
          <w:b/>
          <w:lang w:val="es-ES_tradnl" w:eastAsia="es-ES_tradnl"/>
        </w:rPr>
        <w:t xml:space="preserve">Juan Pablo Bustos   </w:t>
      </w:r>
    </w:p>
    <w:p w14:paraId="469BBF28" w14:textId="77777777" w:rsidR="00F262D3" w:rsidRPr="00817382" w:rsidRDefault="00F262D3" w:rsidP="00F262D3">
      <w:pPr>
        <w:spacing w:after="0" w:line="240" w:lineRule="auto"/>
        <w:rPr>
          <w:rFonts w:ascii="Verdana" w:eastAsia="Calibri" w:hAnsi="Verdana" w:cs="Arial"/>
          <w:lang w:val="es-ES_tradnl" w:eastAsia="es-ES"/>
        </w:rPr>
      </w:pPr>
      <w:hyperlink r:id="rId11" w:history="1">
        <w:r w:rsidRPr="00566FFE">
          <w:rPr>
            <w:rStyle w:val="Hipervnculo"/>
            <w:rFonts w:ascii="Verdana" w:hAnsi="Verdana"/>
            <w:lang w:val="es-ES_tradnl"/>
          </w:rPr>
          <w:t>jpbustosj@dane.gov.co</w:t>
        </w:r>
      </w:hyperlink>
      <w:r>
        <w:rPr>
          <w:rFonts w:ascii="Verdana" w:hAnsi="Verdana"/>
          <w:lang w:val="es-ES_tradnl"/>
        </w:rPr>
        <w:t xml:space="preserve"> </w:t>
      </w:r>
      <w:r w:rsidRPr="00817382">
        <w:rPr>
          <w:rFonts w:ascii="Verdana" w:hAnsi="Verdana"/>
          <w:lang w:val="es-ES_tradnl"/>
        </w:rPr>
        <w:t xml:space="preserve">          </w:t>
      </w:r>
      <w:r w:rsidRPr="00817382">
        <w:rPr>
          <w:rFonts w:ascii="Verdana" w:eastAsia="Calibri" w:hAnsi="Verdana" w:cs="Arial"/>
          <w:lang w:val="es-ES_tradnl" w:eastAsia="es-ES"/>
        </w:rPr>
        <w:t xml:space="preserve">    </w:t>
      </w:r>
    </w:p>
    <w:p w14:paraId="60013DB1" w14:textId="77777777" w:rsidR="00F262D3" w:rsidRPr="00817382" w:rsidRDefault="00F262D3" w:rsidP="00F262D3">
      <w:pPr>
        <w:spacing w:after="0" w:line="240" w:lineRule="auto"/>
        <w:rPr>
          <w:rFonts w:ascii="Verdana" w:eastAsia="Calibri" w:hAnsi="Verdana" w:cs="Arial"/>
          <w:lang w:val="es-ES_tradnl" w:eastAsia="es-ES"/>
        </w:rPr>
      </w:pPr>
      <w:r w:rsidRPr="00817382">
        <w:rPr>
          <w:rFonts w:ascii="Verdana" w:eastAsia="Geomanist Light" w:hAnsi="Verdana" w:cs="Arial"/>
          <w:color w:val="000000" w:themeColor="text1"/>
          <w:lang w:val="es-ES_tradnl"/>
        </w:rPr>
        <w:t>Bogotá D.C.</w:t>
      </w:r>
    </w:p>
    <w:p w14:paraId="2AA8992D" w14:textId="77777777" w:rsidR="00F262D3" w:rsidRPr="00817382" w:rsidRDefault="00F262D3" w:rsidP="00F262D3">
      <w:pPr>
        <w:spacing w:after="0" w:line="240" w:lineRule="auto"/>
        <w:rPr>
          <w:rFonts w:ascii="Verdana" w:eastAsia="Calibri" w:hAnsi="Verdana" w:cs="Arial"/>
          <w:b/>
          <w:bCs/>
          <w:color w:val="000000"/>
          <w:lang w:val="es-ES_tradnl" w:eastAsia="es-ES_tradnl"/>
        </w:rPr>
      </w:pPr>
    </w:p>
    <w:p w14:paraId="21092014" w14:textId="77777777" w:rsidR="00F262D3" w:rsidRPr="00817382" w:rsidRDefault="00F262D3" w:rsidP="00F262D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262D3" w:rsidRPr="00817382" w14:paraId="640DCA0D" w14:textId="77777777" w:rsidTr="008764DE">
        <w:trPr>
          <w:trHeight w:val="884"/>
        </w:trPr>
        <w:tc>
          <w:tcPr>
            <w:tcW w:w="2689" w:type="dxa"/>
          </w:tcPr>
          <w:p w14:paraId="762052BD" w14:textId="77777777" w:rsidR="00F262D3" w:rsidRPr="00817382" w:rsidRDefault="00F262D3" w:rsidP="008764DE">
            <w:pPr>
              <w:jc w:val="both"/>
              <w:rPr>
                <w:rFonts w:ascii="Verdana" w:eastAsia="Calibri" w:hAnsi="Verdana" w:cs="Arial"/>
                <w:b/>
                <w:bCs/>
                <w:color w:val="7030A0"/>
                <w:lang w:val="es-ES_tradnl" w:eastAsia="es-ES_tradnl"/>
              </w:rPr>
            </w:pPr>
          </w:p>
        </w:tc>
        <w:tc>
          <w:tcPr>
            <w:tcW w:w="6100" w:type="dxa"/>
          </w:tcPr>
          <w:p w14:paraId="511314B2" w14:textId="77777777" w:rsidR="00F262D3" w:rsidRPr="00817382" w:rsidRDefault="00F262D3" w:rsidP="008764DE">
            <w:pPr>
              <w:jc w:val="both"/>
              <w:rPr>
                <w:rFonts w:ascii="Verdana" w:eastAsia="Calibri" w:hAnsi="Verdana" w:cs="Arial"/>
                <w:b/>
                <w:bCs/>
                <w:color w:val="7030A0"/>
                <w:lang w:val="es-ES_tradnl" w:eastAsia="es-ES"/>
              </w:rPr>
            </w:pPr>
            <w:r w:rsidRPr="00817382">
              <w:rPr>
                <w:rFonts w:ascii="Verdana" w:eastAsia="Calibri" w:hAnsi="Verdana" w:cs="Arial"/>
                <w:b/>
                <w:bCs/>
                <w:lang w:val="es-ES_tradnl" w:eastAsia="es-ES"/>
              </w:rPr>
              <w:t>Concepto C – 1224 de 2025</w:t>
            </w:r>
          </w:p>
        </w:tc>
      </w:tr>
      <w:tr w:rsidR="00F262D3" w:rsidRPr="00817382" w14:paraId="5CEB8A74" w14:textId="77777777" w:rsidTr="008764DE">
        <w:trPr>
          <w:trHeight w:val="884"/>
        </w:trPr>
        <w:tc>
          <w:tcPr>
            <w:tcW w:w="2689" w:type="dxa"/>
          </w:tcPr>
          <w:p w14:paraId="000D4951" w14:textId="77777777" w:rsidR="00F262D3" w:rsidRPr="00817382" w:rsidRDefault="00F262D3" w:rsidP="008764DE">
            <w:pPr>
              <w:jc w:val="both"/>
              <w:rPr>
                <w:rFonts w:ascii="Verdana" w:eastAsia="Calibri" w:hAnsi="Verdana" w:cs="Arial"/>
                <w:color w:val="000000"/>
                <w:lang w:val="es-ES_tradnl" w:eastAsia="es-ES_tradnl"/>
              </w:rPr>
            </w:pPr>
            <w:r w:rsidRPr="00817382">
              <w:rPr>
                <w:rFonts w:ascii="Verdana" w:eastAsia="Calibri" w:hAnsi="Verdana" w:cs="Arial"/>
                <w:b/>
                <w:color w:val="000000"/>
                <w:lang w:val="es-ES_tradnl" w:eastAsia="es-ES_tradnl"/>
              </w:rPr>
              <w:t>Temas:</w:t>
            </w:r>
            <w:r w:rsidRPr="00817382">
              <w:rPr>
                <w:rFonts w:ascii="Verdana" w:eastAsia="Calibri" w:hAnsi="Verdana" w:cs="Arial"/>
                <w:color w:val="000000"/>
                <w:lang w:val="es-ES_tradnl" w:eastAsia="es-ES_tradnl"/>
              </w:rPr>
              <w:t xml:space="preserve">                   </w:t>
            </w:r>
          </w:p>
        </w:tc>
        <w:tc>
          <w:tcPr>
            <w:tcW w:w="6100" w:type="dxa"/>
          </w:tcPr>
          <w:p w14:paraId="18C24DD1" w14:textId="77777777" w:rsidR="00F262D3" w:rsidRPr="00817382" w:rsidRDefault="00F262D3" w:rsidP="008764DE">
            <w:pPr>
              <w:spacing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 xml:space="preserve">EGCAP – Ámbito de aplicación – Entidades estatales / ENTIDADES EXCEPTUADAS – Aplicación de normas de derecho público / CONTRATOS ESTATALES – Régimen especial – Obligaciones transversales – Manual de contratación – Límites / </w:t>
            </w:r>
            <w:r w:rsidRPr="00C16797">
              <w:rPr>
                <w:rFonts w:ascii="Verdana" w:eastAsia="Calibri" w:hAnsi="Verdana" w:cs="Arial"/>
                <w:lang w:val="es-ES_tradnl" w:eastAsia="es-ES"/>
              </w:rPr>
              <w:t>MANUALES DE CONTRATACIÓN – Entidades exceptuadas – Entidades sometidas – Nulidad del artículo 160 del Decreto 1510 de 2013 – Potestad de autoorganización – Expedición facultativa</w:t>
            </w:r>
          </w:p>
          <w:p w14:paraId="713016E7" w14:textId="77777777" w:rsidR="00F262D3" w:rsidRPr="00817382" w:rsidRDefault="00F262D3" w:rsidP="008764DE">
            <w:pPr>
              <w:spacing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 xml:space="preserve">  </w:t>
            </w:r>
          </w:p>
        </w:tc>
      </w:tr>
      <w:tr w:rsidR="00F262D3" w:rsidRPr="00817382" w14:paraId="553409EE" w14:textId="77777777" w:rsidTr="008764DE">
        <w:tc>
          <w:tcPr>
            <w:tcW w:w="2689" w:type="dxa"/>
          </w:tcPr>
          <w:p w14:paraId="532B7967" w14:textId="77777777" w:rsidR="00F262D3" w:rsidRPr="00817382" w:rsidRDefault="00F262D3" w:rsidP="008764DE">
            <w:pPr>
              <w:jc w:val="both"/>
              <w:rPr>
                <w:rFonts w:ascii="Verdana" w:eastAsia="Calibri" w:hAnsi="Verdana" w:cs="Arial"/>
                <w:b/>
                <w:lang w:val="es-ES_tradnl" w:eastAsia="es-ES_tradnl"/>
              </w:rPr>
            </w:pPr>
            <w:r w:rsidRPr="00817382">
              <w:rPr>
                <w:rFonts w:ascii="Verdana" w:eastAsia="Calibri" w:hAnsi="Verdana" w:cs="Arial"/>
                <w:b/>
                <w:lang w:val="es-ES_tradnl" w:eastAsia="es-ES_tradnl"/>
              </w:rPr>
              <w:t>Radicación:</w:t>
            </w:r>
            <w:r w:rsidRPr="00817382">
              <w:rPr>
                <w:rFonts w:ascii="Verdana" w:eastAsia="Calibri" w:hAnsi="Verdana" w:cs="Arial"/>
                <w:lang w:val="es-ES_tradnl" w:eastAsia="es-ES_tradnl"/>
              </w:rPr>
              <w:t xml:space="preserve">               </w:t>
            </w:r>
          </w:p>
        </w:tc>
        <w:tc>
          <w:tcPr>
            <w:tcW w:w="6100" w:type="dxa"/>
          </w:tcPr>
          <w:p w14:paraId="45DD4886" w14:textId="77777777" w:rsidR="00F262D3" w:rsidRPr="00817382" w:rsidRDefault="00F262D3" w:rsidP="008764DE">
            <w:pPr>
              <w:spacing w:line="276" w:lineRule="auto"/>
              <w:jc w:val="both"/>
              <w:rPr>
                <w:rFonts w:ascii="Verdana" w:eastAsia="Calibri" w:hAnsi="Verdana" w:cs="Arial"/>
                <w:lang w:val="es-ES_tradnl" w:eastAsia="es-ES_tradnl"/>
              </w:rPr>
            </w:pPr>
            <w:r w:rsidRPr="00817382">
              <w:rPr>
                <w:rFonts w:ascii="Verdana" w:eastAsia="Calibri" w:hAnsi="Verdana" w:cs="Arial"/>
                <w:lang w:val="es-ES_tradnl" w:eastAsia="es-ES_tradnl"/>
              </w:rPr>
              <w:t xml:space="preserve">Respuesta a la consulta con radicado No. 1_2025_08_28_009238 </w:t>
            </w:r>
          </w:p>
        </w:tc>
      </w:tr>
    </w:tbl>
    <w:p w14:paraId="486DD3B7" w14:textId="77777777" w:rsidR="00F262D3" w:rsidRPr="00817382" w:rsidRDefault="00F262D3" w:rsidP="00F262D3">
      <w:pPr>
        <w:spacing w:after="0" w:line="240" w:lineRule="auto"/>
        <w:jc w:val="both"/>
        <w:rPr>
          <w:rFonts w:ascii="Verdana" w:eastAsia="Calibri" w:hAnsi="Verdana" w:cs="Arial"/>
          <w:color w:val="000000"/>
          <w:lang w:val="es-ES_tradnl" w:eastAsia="es-ES_tradnl"/>
        </w:rPr>
      </w:pPr>
    </w:p>
    <w:p w14:paraId="385FEEAB" w14:textId="77777777" w:rsidR="00F262D3" w:rsidRPr="00817382" w:rsidRDefault="00F262D3" w:rsidP="00F262D3">
      <w:pPr>
        <w:spacing w:after="0" w:line="240" w:lineRule="auto"/>
        <w:jc w:val="both"/>
        <w:rPr>
          <w:rFonts w:ascii="Verdana" w:eastAsia="Calibri" w:hAnsi="Verdana" w:cs="Arial"/>
          <w:color w:val="000000"/>
          <w:lang w:val="es-ES_tradnl" w:eastAsia="es-ES_tradnl"/>
        </w:rPr>
      </w:pPr>
    </w:p>
    <w:p w14:paraId="5353F222" w14:textId="77777777" w:rsidR="00F262D3" w:rsidRPr="00817382" w:rsidRDefault="00F262D3" w:rsidP="00F262D3">
      <w:pPr>
        <w:spacing w:after="0" w:line="276" w:lineRule="auto"/>
        <w:jc w:val="both"/>
        <w:rPr>
          <w:rFonts w:ascii="Verdana" w:eastAsia="Calibri" w:hAnsi="Verdana" w:cs="Arial"/>
          <w:lang w:val="es-ES_tradnl" w:eastAsia="es-ES"/>
        </w:rPr>
      </w:pPr>
      <w:r w:rsidRPr="00817382">
        <w:rPr>
          <w:rFonts w:ascii="Verdana" w:eastAsia="Calibri" w:hAnsi="Verdana" w:cs="Arial"/>
          <w:lang w:val="es-ES_tradnl" w:eastAsia="es-ES"/>
        </w:rPr>
        <w:t>Estimad</w:t>
      </w:r>
      <w:r>
        <w:rPr>
          <w:rFonts w:ascii="Verdana" w:eastAsia="Calibri" w:hAnsi="Verdana" w:cs="Arial"/>
          <w:lang w:val="es-ES_tradnl" w:eastAsia="es-ES"/>
        </w:rPr>
        <w:t>o</w:t>
      </w:r>
      <w:r w:rsidRPr="00817382">
        <w:rPr>
          <w:rFonts w:ascii="Verdana" w:eastAsia="Calibri" w:hAnsi="Verdana" w:cs="Arial"/>
          <w:lang w:val="es-ES_tradnl" w:eastAsia="es-ES"/>
        </w:rPr>
        <w:t xml:space="preserve"> señor Bustos: </w:t>
      </w:r>
    </w:p>
    <w:p w14:paraId="567CDE4A" w14:textId="77777777" w:rsidR="00F262D3" w:rsidRPr="00817382" w:rsidRDefault="00F262D3" w:rsidP="00F262D3">
      <w:pPr>
        <w:tabs>
          <w:tab w:val="left" w:pos="3768"/>
        </w:tabs>
        <w:spacing w:after="0" w:line="276" w:lineRule="auto"/>
        <w:jc w:val="both"/>
        <w:rPr>
          <w:rFonts w:ascii="Verdana" w:eastAsia="Calibri" w:hAnsi="Verdana" w:cs="Arial"/>
          <w:color w:val="000000" w:themeColor="text1"/>
          <w:lang w:val="es-ES_tradnl" w:eastAsia="es-ES"/>
        </w:rPr>
      </w:pPr>
      <w:r w:rsidRPr="00817382">
        <w:rPr>
          <w:rFonts w:ascii="Verdana" w:eastAsia="Calibri" w:hAnsi="Verdana" w:cs="Arial"/>
          <w:color w:val="000000" w:themeColor="text1"/>
          <w:lang w:val="es-ES_tradnl" w:eastAsia="es-ES"/>
        </w:rPr>
        <w:tab/>
      </w:r>
    </w:p>
    <w:p w14:paraId="0F6891DB" w14:textId="77777777" w:rsidR="00F262D3" w:rsidRPr="00817382" w:rsidRDefault="00F262D3" w:rsidP="00F262D3">
      <w:pPr>
        <w:spacing w:after="0" w:line="276" w:lineRule="auto"/>
        <w:jc w:val="both"/>
        <w:rPr>
          <w:rFonts w:ascii="Verdana" w:eastAsia="Calibri" w:hAnsi="Verdana" w:cs="Arial"/>
          <w:color w:val="7030A0"/>
          <w:lang w:val="es-ES_tradnl" w:eastAsia="es-ES"/>
        </w:rPr>
      </w:pPr>
      <w:r w:rsidRPr="00817382">
        <w:rPr>
          <w:rFonts w:ascii="Verdana" w:eastAsia="Calibri" w:hAnsi="Verdana" w:cs="Arial"/>
          <w:color w:val="000000" w:themeColor="text1"/>
          <w:lang w:val="es-ES_tradnl" w:eastAsia="es-ES"/>
        </w:rPr>
        <w:t>En ejercicio de la competencia otorgada por los artículos 3, numeral 5º, y 11, numeral 8º, del Decreto Ley 4170 de 2011,</w:t>
      </w:r>
      <w:r w:rsidRPr="00817382">
        <w:rPr>
          <w:rFonts w:ascii="Verdana" w:eastAsia="Arial MT" w:hAnsi="Verdana" w:cs="Arial MT"/>
          <w:lang w:val="es-ES_tradnl" w:eastAsia="es-ES"/>
        </w:rPr>
        <w:t xml:space="preserve"> </w:t>
      </w:r>
      <w:r w:rsidRPr="00817382">
        <w:rPr>
          <w:rFonts w:ascii="Verdana" w:hAnsi="Verdana" w:cs="Arial"/>
          <w:lang w:val="es-ES_tradnl"/>
        </w:rPr>
        <w:t xml:space="preserve">así como lo establecido en el artículo 4 de la Resolución 1707 de 2018 expedida por esta Entidad, </w:t>
      </w:r>
      <w:r w:rsidRPr="00817382">
        <w:rPr>
          <w:rFonts w:ascii="Verdana" w:eastAsia="Calibri" w:hAnsi="Verdana" w:cs="Arial"/>
          <w:color w:val="000000" w:themeColor="text1"/>
          <w:lang w:val="es-ES_tradnl" w:eastAsia="es-ES"/>
        </w:rPr>
        <w:t xml:space="preserve">la Agencia Nacional de Contratación Pública – Colombia Compra Eficiente responde su solicitud de consulta de </w:t>
      </w:r>
      <w:r w:rsidRPr="00817382">
        <w:rPr>
          <w:rFonts w:ascii="Verdana" w:eastAsia="Calibri" w:hAnsi="Verdana" w:cs="Arial"/>
          <w:lang w:val="es-ES_tradnl" w:eastAsia="es-ES"/>
        </w:rPr>
        <w:t xml:space="preserve">fecha </w:t>
      </w:r>
      <w:r>
        <w:rPr>
          <w:rFonts w:ascii="Verdana" w:eastAsia="Calibri" w:hAnsi="Verdana" w:cs="Arial"/>
          <w:lang w:val="es-ES_tradnl" w:eastAsia="es-ES"/>
        </w:rPr>
        <w:t>28 de agosto de 2025</w:t>
      </w:r>
      <w:r w:rsidRPr="00817382">
        <w:rPr>
          <w:rFonts w:ascii="Verdana" w:eastAsia="Calibri" w:hAnsi="Verdana" w:cs="Arial"/>
          <w:lang w:val="es-ES_tradnl" w:eastAsia="es-ES"/>
        </w:rPr>
        <w:t xml:space="preserve">, en la cual pregunta lo siguiente: </w:t>
      </w:r>
    </w:p>
    <w:p w14:paraId="022D4288" w14:textId="77777777" w:rsidR="00CB6638" w:rsidRPr="00817382" w:rsidRDefault="00CB6638" w:rsidP="00CB6638">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375F963C" w14:textId="77777777" w:rsidR="00F262D3" w:rsidRPr="00817382" w:rsidRDefault="00F262D3" w:rsidP="3239A092">
      <w:pPr>
        <w:spacing w:after="0" w:line="240" w:lineRule="auto"/>
        <w:ind w:left="709" w:right="709"/>
        <w:jc w:val="both"/>
        <w:rPr>
          <w:rFonts w:ascii="Verdana" w:eastAsia="Century Gothic" w:hAnsi="Verdana" w:cs="Century Gothic"/>
          <w:sz w:val="21"/>
          <w:szCs w:val="21"/>
          <w:lang w:val="es-ES"/>
        </w:rPr>
      </w:pPr>
      <w:bookmarkStart w:id="1" w:name="_Hlk95313578"/>
      <w:r w:rsidRPr="3239A092">
        <w:rPr>
          <w:rFonts w:ascii="Verdana" w:eastAsia="Century Gothic" w:hAnsi="Verdana" w:cs="Century Gothic"/>
          <w:sz w:val="21"/>
          <w:szCs w:val="21"/>
          <w:lang w:val="es-ES"/>
        </w:rPr>
        <w:t>“</w:t>
      </w:r>
      <w:bookmarkEnd w:id="1"/>
      <w:proofErr w:type="gramStart"/>
      <w:r w:rsidRPr="3239A092">
        <w:rPr>
          <w:rFonts w:ascii="Verdana" w:eastAsia="Century Gothic" w:hAnsi="Verdana" w:cs="Century Gothic"/>
          <w:sz w:val="21"/>
          <w:szCs w:val="21"/>
          <w:lang w:val="es-ES"/>
        </w:rPr>
        <w:t xml:space="preserve">¿Cuál es el sustento normativo que permite exigir a las entidades estatales la expedición de un manual de contratación, teniendo en cuenta que el artículo 160 del Decreto 1510 de 2013, cuyo contenido </w:t>
      </w:r>
      <w:r w:rsidRPr="3239A092">
        <w:rPr>
          <w:rFonts w:ascii="Verdana" w:eastAsia="Century Gothic" w:hAnsi="Verdana" w:cs="Century Gothic"/>
          <w:sz w:val="21"/>
          <w:szCs w:val="21"/>
          <w:lang w:val="es-ES"/>
        </w:rPr>
        <w:lastRenderedPageBreak/>
        <w:t>fue reproducido en el artículo 2.</w:t>
      </w:r>
      <w:proofErr w:type="gramEnd"/>
      <w:r w:rsidRPr="3239A092">
        <w:rPr>
          <w:rFonts w:ascii="Verdana" w:eastAsia="Century Gothic" w:hAnsi="Verdana" w:cs="Century Gothic"/>
          <w:sz w:val="21"/>
          <w:szCs w:val="21"/>
          <w:lang w:val="es-ES"/>
        </w:rPr>
        <w:t>2.1.2.5.3 del Decreto 1082 de 2015, fue declarado nulo mediante sentencia de la Sección Tercera del Consejo de Estado, No. 11001032600020140002900 (50199), del 3 de abril de 2020?”.</w:t>
      </w:r>
      <w:r w:rsidRPr="3239A092">
        <w:rPr>
          <w:rFonts w:ascii="Verdana" w:eastAsia="Century Gothic" w:hAnsi="Verdana" w:cs="Century Gothic"/>
          <w:sz w:val="20"/>
          <w:szCs w:val="20"/>
          <w:lang w:val="es-ES"/>
        </w:rPr>
        <w:t xml:space="preserve"> </w:t>
      </w:r>
    </w:p>
    <w:p w14:paraId="69135808" w14:textId="77777777" w:rsidR="00F262D3" w:rsidRPr="00817382" w:rsidRDefault="00F262D3" w:rsidP="00CB6638">
      <w:pPr>
        <w:pStyle w:val="Prrafodelista"/>
        <w:tabs>
          <w:tab w:val="left" w:pos="142"/>
          <w:tab w:val="left" w:pos="284"/>
        </w:tabs>
        <w:spacing w:after="0" w:line="276" w:lineRule="auto"/>
        <w:ind w:left="0"/>
        <w:jc w:val="both"/>
        <w:rPr>
          <w:rFonts w:ascii="Verdana" w:eastAsia="Century Gothic" w:hAnsi="Verdana" w:cs="Century Gothic"/>
          <w:b/>
          <w:bCs/>
          <w:lang w:val="es-ES_tradnl"/>
        </w:rPr>
      </w:pPr>
    </w:p>
    <w:p w14:paraId="26251BC0" w14:textId="77777777" w:rsidR="00F262D3" w:rsidRPr="00817382" w:rsidRDefault="00F262D3" w:rsidP="3239A092">
      <w:pPr>
        <w:spacing w:after="120" w:line="276" w:lineRule="auto"/>
        <w:ind w:firstLine="709"/>
        <w:jc w:val="both"/>
        <w:rPr>
          <w:rFonts w:ascii="Verdana" w:eastAsia="Calibri" w:hAnsi="Verdana" w:cs="Arial"/>
          <w:color w:val="000000"/>
          <w:lang w:val="es-ES" w:eastAsia="es-ES"/>
        </w:rPr>
      </w:pPr>
      <w:r w:rsidRPr="3239A092">
        <w:rPr>
          <w:rFonts w:ascii="Verdana" w:eastAsia="Calibri"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78A65D5A" w14:textId="77777777" w:rsidR="00F262D3" w:rsidRPr="00817382" w:rsidRDefault="00F262D3" w:rsidP="00F262D3">
      <w:pPr>
        <w:spacing w:after="0" w:line="276" w:lineRule="auto"/>
        <w:ind w:firstLine="709"/>
        <w:jc w:val="both"/>
        <w:rPr>
          <w:rFonts w:ascii="Verdana" w:eastAsia="Calibri" w:hAnsi="Verdana" w:cs="Arial"/>
          <w:color w:val="000000"/>
          <w:lang w:val="es-ES_tradnl" w:eastAsia="es-ES"/>
        </w:rPr>
      </w:pPr>
      <w:r w:rsidRPr="00817382">
        <w:rPr>
          <w:rFonts w:ascii="Verdana" w:eastAsia="Calibri"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problema</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jurídico</w:t>
      </w:r>
      <w:r w:rsidRPr="00817382">
        <w:rPr>
          <w:rFonts w:ascii="Verdana" w:eastAsia="Calibri" w:hAnsi="Verdana" w:cs="Arial"/>
          <w:color w:val="7030A0"/>
          <w:lang w:val="es-ES_tradnl" w:eastAsia="es-ES"/>
        </w:rPr>
        <w:t xml:space="preserve"> </w:t>
      </w:r>
      <w:r w:rsidRPr="00817382">
        <w:rPr>
          <w:rFonts w:ascii="Verdana" w:eastAsia="Calibri" w:hAnsi="Verdana" w:cs="Arial"/>
          <w:color w:val="000000"/>
          <w:lang w:val="es-ES_tradnl" w:eastAsia="es-ES"/>
        </w:rPr>
        <w:t xml:space="preserve">de su consulta. </w:t>
      </w:r>
      <w:r w:rsidRPr="00817382">
        <w:rPr>
          <w:rFonts w:ascii="Verdana" w:eastAsia="Calibri" w:hAnsi="Verdana" w:cs="Arial"/>
          <w:lang w:val="es-ES_tradnl" w:eastAsia="es-ES"/>
        </w:rPr>
        <w:t xml:space="preserve"> </w:t>
      </w:r>
    </w:p>
    <w:p w14:paraId="21584646" w14:textId="77777777" w:rsidR="00F262D3" w:rsidRPr="00817382" w:rsidRDefault="00F262D3" w:rsidP="00F262D3">
      <w:pPr>
        <w:spacing w:after="0" w:line="276" w:lineRule="auto"/>
        <w:ind w:firstLine="708"/>
        <w:jc w:val="both"/>
        <w:rPr>
          <w:rFonts w:ascii="Verdana" w:eastAsia="Calibri" w:hAnsi="Verdana" w:cs="Arial"/>
          <w:lang w:val="es-ES_tradnl" w:eastAsia="es-ES"/>
        </w:rPr>
      </w:pPr>
    </w:p>
    <w:p w14:paraId="528CB994" w14:textId="77777777" w:rsidR="00F262D3" w:rsidRPr="00817382" w:rsidRDefault="00F262D3" w:rsidP="00F262D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lang w:val="es-ES_tradnl"/>
        </w:rPr>
      </w:pPr>
      <w:r w:rsidRPr="00817382">
        <w:rPr>
          <w:rFonts w:ascii="Verdana" w:eastAsia="Century Gothic" w:hAnsi="Verdana" w:cs="Century Gothic"/>
          <w:b/>
          <w:bCs/>
          <w:lang w:val="es-ES_tradnl"/>
        </w:rPr>
        <w:t>Problema planteado:</w:t>
      </w:r>
    </w:p>
    <w:p w14:paraId="7BB84DE9" w14:textId="77777777" w:rsidR="00F262D3" w:rsidRPr="00817382" w:rsidRDefault="00F262D3" w:rsidP="00F262D3">
      <w:pPr>
        <w:tabs>
          <w:tab w:val="left" w:pos="426"/>
        </w:tabs>
        <w:spacing w:after="0" w:line="276" w:lineRule="auto"/>
        <w:jc w:val="both"/>
        <w:rPr>
          <w:rFonts w:ascii="Verdana" w:eastAsia="Century Gothic" w:hAnsi="Verdana" w:cs="Century Gothic"/>
          <w:lang w:val="es-ES_tradnl"/>
        </w:rPr>
      </w:pPr>
    </w:p>
    <w:p w14:paraId="6891DA1B" w14:textId="77777777" w:rsidR="00F262D3" w:rsidRPr="00817382" w:rsidRDefault="00F262D3" w:rsidP="00F262D3">
      <w:pPr>
        <w:spacing w:after="0" w:line="276" w:lineRule="auto"/>
        <w:jc w:val="both"/>
        <w:rPr>
          <w:rFonts w:ascii="Verdana" w:eastAsia="Century Gothic" w:hAnsi="Verdana" w:cs="Century Gothic"/>
          <w:lang w:val="es-ES_tradnl"/>
        </w:rPr>
      </w:pPr>
      <w:r w:rsidRPr="00817382">
        <w:rPr>
          <w:rFonts w:ascii="Verdana" w:eastAsia="Century Gothic" w:hAnsi="Verdana" w:cs="Century Gothic"/>
          <w:lang w:val="es-ES_tradnl"/>
        </w:rPr>
        <w:t xml:space="preserve">De acuerdo con el contenido de su solicitud, esta Agencia resolverá el siguiente problema jurídico: </w:t>
      </w:r>
      <w:r>
        <w:rPr>
          <w:rFonts w:ascii="Verdana" w:eastAsia="Century Gothic" w:hAnsi="Verdana" w:cs="Century Gothic"/>
          <w:lang w:val="es-ES_tradnl"/>
        </w:rPr>
        <w:t>¿cuál es el referente normativo para la expedición de los manuales de contratación?</w:t>
      </w:r>
      <w:r w:rsidRPr="00817382">
        <w:rPr>
          <w:rFonts w:ascii="Verdana" w:eastAsia="Century Gothic" w:hAnsi="Verdana" w:cs="Century Gothic"/>
          <w:lang w:val="es-ES_tradnl"/>
        </w:rPr>
        <w:t xml:space="preserve">      </w:t>
      </w:r>
      <w:r w:rsidRPr="00817382">
        <w:rPr>
          <w:rFonts w:ascii="Verdana" w:eastAsia="Century Gothic" w:hAnsi="Verdana" w:cs="Century Gothic"/>
          <w:color w:val="7030A0"/>
          <w:lang w:val="es-ES_tradnl"/>
        </w:rPr>
        <w:t xml:space="preserve"> </w:t>
      </w:r>
    </w:p>
    <w:p w14:paraId="3E691E64" w14:textId="77777777" w:rsidR="00F262D3" w:rsidRPr="00817382" w:rsidRDefault="00F262D3" w:rsidP="00F262D3">
      <w:pPr>
        <w:spacing w:after="0" w:line="276" w:lineRule="auto"/>
        <w:jc w:val="both"/>
        <w:rPr>
          <w:rFonts w:ascii="Verdana" w:eastAsia="Calibri" w:hAnsi="Verdana" w:cs="Arial"/>
          <w:color w:val="7030A0"/>
          <w:lang w:val="es-ES_tradnl"/>
        </w:rPr>
      </w:pPr>
    </w:p>
    <w:p w14:paraId="61BFC156" w14:textId="77777777" w:rsidR="00F262D3" w:rsidRPr="00817382" w:rsidRDefault="00F262D3" w:rsidP="00F262D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Respuesta:</w:t>
      </w:r>
    </w:p>
    <w:p w14:paraId="1468E65F" w14:textId="77777777" w:rsidR="00F262D3" w:rsidRPr="00817382" w:rsidRDefault="00F262D3" w:rsidP="00F262D3">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262D3" w:rsidRPr="00817382" w14:paraId="335E232E" w14:textId="77777777" w:rsidTr="3239A092">
        <w:trPr>
          <w:jc w:val="center"/>
        </w:trPr>
        <w:tc>
          <w:tcPr>
            <w:tcW w:w="8828" w:type="dxa"/>
          </w:tcPr>
          <w:p w14:paraId="175A9418" w14:textId="77777777" w:rsidR="00F262D3" w:rsidRDefault="00F262D3" w:rsidP="3239A092">
            <w:pPr>
              <w:spacing w:after="120" w:line="276" w:lineRule="auto"/>
              <w:jc w:val="both"/>
              <w:rPr>
                <w:rFonts w:ascii="Verdana" w:eastAsia="Calibri" w:hAnsi="Verdana" w:cs="Arial"/>
                <w:color w:val="000000" w:themeColor="text1"/>
                <w:lang w:val="es-ES"/>
              </w:rPr>
            </w:pPr>
            <w:bookmarkStart w:id="2" w:name="_Hlk171694685"/>
            <w:r w:rsidRPr="3239A092">
              <w:rPr>
                <w:rFonts w:ascii="Verdana" w:eastAsia="Calibri" w:hAnsi="Verdana" w:cs="Arial"/>
                <w:color w:val="000000" w:themeColor="text1"/>
                <w:lang w:val="es-ES"/>
              </w:rPr>
              <w:t xml:space="preserve">Conforme a la interpretación general de las normas del sistema de compras públicas, si bien en la actualidad no existe un fundamento normativo expreso, tanto las entidades exceptuadas del EGCAP como las sometidas a la Ley 80 de 1993 pueden expedir manuales de contratación. </w:t>
            </w:r>
            <w:r w:rsidRPr="3239A092">
              <w:rPr>
                <w:rFonts w:ascii="Verdana" w:eastAsia="Calibri" w:hAnsi="Verdana" w:cs="Arial"/>
                <w:i/>
                <w:iCs/>
                <w:color w:val="000000" w:themeColor="text1"/>
                <w:lang w:val="es-ES"/>
              </w:rPr>
              <w:t>Para las primeras</w:t>
            </w:r>
            <w:r w:rsidRPr="3239A092">
              <w:rPr>
                <w:rFonts w:ascii="Verdana" w:eastAsia="Calibri" w:hAnsi="Verdana" w:cs="Arial"/>
                <w:color w:val="000000" w:themeColor="text1"/>
                <w:lang w:val="es-ES"/>
              </w:rPr>
              <w:t xml:space="preserve">, los manuales contribuyen al desarrollo de los principios enunciados en el artículo 13 de la Ley 1150 de 2007, por lo que es necesario que regulen aspectos </w:t>
            </w:r>
            <w:r w:rsidRPr="3239A092">
              <w:rPr>
                <w:rFonts w:ascii="Verdana" w:eastAsia="Calibri" w:hAnsi="Verdana" w:cs="Arial"/>
                <w:color w:val="000000" w:themeColor="text1"/>
                <w:lang w:val="es-ES"/>
              </w:rPr>
              <w:lastRenderedPageBreak/>
              <w:t>asociados a la actividad contractual, como los procedimientos de selección, los requisitos de participación, las condiciones de ejecución del contrato, etc.</w:t>
            </w:r>
          </w:p>
          <w:p w14:paraId="08F01E6F" w14:textId="77777777" w:rsidR="00F262D3" w:rsidRPr="00817382" w:rsidRDefault="00F262D3" w:rsidP="008764DE">
            <w:pPr>
              <w:spacing w:after="120" w:line="276" w:lineRule="auto"/>
              <w:ind w:firstLine="737"/>
              <w:jc w:val="both"/>
              <w:rPr>
                <w:rFonts w:ascii="Verdana" w:eastAsia="Calibri" w:hAnsi="Verdana" w:cs="Arial"/>
                <w:color w:val="000000" w:themeColor="text1"/>
                <w:lang w:val="es-ES_tradnl"/>
              </w:rPr>
            </w:pPr>
            <w:r w:rsidRPr="00E21C3A">
              <w:rPr>
                <w:rFonts w:ascii="Verdana" w:eastAsia="Calibri" w:hAnsi="Verdana" w:cs="Arial"/>
                <w:i/>
                <w:iCs/>
                <w:color w:val="000000" w:themeColor="text1"/>
                <w:lang w:val="es-ES_tradnl"/>
              </w:rPr>
              <w:t>Para las segundas</w:t>
            </w:r>
            <w:r>
              <w:rPr>
                <w:rFonts w:ascii="Verdana" w:eastAsia="Calibri" w:hAnsi="Verdana" w:cs="Arial"/>
                <w:color w:val="000000" w:themeColor="text1"/>
                <w:lang w:val="es-ES_tradnl"/>
              </w:rPr>
              <w:t xml:space="preserve">, </w:t>
            </w:r>
            <w:r>
              <w:rPr>
                <w:rFonts w:ascii="Verdana" w:hAnsi="Verdana" w:cs="Arial"/>
                <w:bCs/>
                <w:lang w:val="es-ES_tradnl"/>
              </w:rPr>
              <w:t>aunque gran parte de los aspectos relacionados con la gestión contractual se encuentran en el EGCAP y en decretos que lo desarrollan, dichos manuales establecen flujogramas en la estructuración de los procesos; asignan responsabilidades específicas en la proyección, revisión y aprobación de los documentos; unifican y estandarizan trámites internos; fijan directrices respecto a la gestión de los procesos y la ejecución de los contratos; entre otros.</w:t>
            </w:r>
          </w:p>
          <w:p w14:paraId="7ECC4743" w14:textId="77777777" w:rsidR="00F262D3" w:rsidRPr="00817382" w:rsidRDefault="00F262D3" w:rsidP="3239A092">
            <w:pPr>
              <w:spacing w:after="120" w:line="276" w:lineRule="auto"/>
              <w:ind w:firstLine="709"/>
              <w:jc w:val="both"/>
              <w:rPr>
                <w:rFonts w:ascii="Verdana" w:eastAsia="Calibri" w:hAnsi="Verdana" w:cs="Arial"/>
                <w:color w:val="000000" w:themeColor="text1"/>
                <w:lang w:val="es-ES"/>
              </w:rPr>
            </w:pPr>
            <w:r w:rsidRPr="3239A092">
              <w:rPr>
                <w:rFonts w:ascii="Verdana" w:eastAsia="Calibri" w:hAnsi="Verdana" w:cs="Arial"/>
                <w:color w:val="000000" w:themeColor="text1"/>
                <w:lang w:val="es-ES"/>
              </w:rPr>
              <w:t xml:space="preserve">En este último caso, pese a que </w:t>
            </w:r>
            <w:r w:rsidRPr="3239A092">
              <w:rPr>
                <w:rFonts w:ascii="Verdana" w:hAnsi="Verdana" w:cs="Arial"/>
                <w:lang w:val="es-ES"/>
              </w:rPr>
              <w:t xml:space="preserve">la Sentencia 3 de abril de 2020, </w:t>
            </w:r>
            <w:proofErr w:type="spellStart"/>
            <w:r w:rsidRPr="3239A092">
              <w:rPr>
                <w:rFonts w:ascii="Verdana" w:hAnsi="Verdana" w:cs="Arial"/>
                <w:lang w:val="es-ES"/>
              </w:rPr>
              <w:t>exp</w:t>
            </w:r>
            <w:proofErr w:type="spellEnd"/>
            <w:r w:rsidRPr="3239A092">
              <w:rPr>
                <w:rFonts w:ascii="Verdana" w:hAnsi="Verdana" w:cs="Arial"/>
                <w:lang w:val="es-ES"/>
              </w:rPr>
              <w:t xml:space="preserve">. 50199, con ponencia del </w:t>
            </w:r>
            <w:proofErr w:type="gramStart"/>
            <w:r w:rsidRPr="3239A092">
              <w:rPr>
                <w:rFonts w:ascii="Verdana" w:hAnsi="Verdana" w:cs="Arial"/>
                <w:lang w:val="es-ES"/>
              </w:rPr>
              <w:t>Consejero</w:t>
            </w:r>
            <w:proofErr w:type="gramEnd"/>
            <w:r w:rsidRPr="3239A092">
              <w:rPr>
                <w:rFonts w:ascii="Verdana" w:hAnsi="Verdana" w:cs="Arial"/>
                <w:lang w:val="es-ES"/>
              </w:rPr>
              <w:t xml:space="preserve"> Alberto Montaña Plata, anuló el artículo 160 del Decreto 1510 de 2013 –compilado en el artículo 2.2.1.2.5.3 del Decreto 1082 de 2015–, la jurisprudencia no proscribe los manuales de contratación, sino que éstos deban acatar los lineamientos de la ANCP – CCE. Bajo esta óptica, con la nulidad de la norma precitada, la expedición del manual de contratación, más que un deber, es una facultad de las entidades sometidas al Estatuto General de la Contratación de la Administración Pública. Dichos manuales hacen parte de la potestad de autoorganización de las entidades estatales; razón por la cual, su adopción constituye una buena práctica contractual.    </w:t>
            </w:r>
          </w:p>
          <w:p w14:paraId="7DD6C55B" w14:textId="77777777" w:rsidR="00F262D3" w:rsidRPr="00817382" w:rsidRDefault="00F262D3" w:rsidP="008764DE">
            <w:pPr>
              <w:spacing w:line="276" w:lineRule="auto"/>
              <w:ind w:firstLine="709"/>
              <w:jc w:val="both"/>
              <w:rPr>
                <w:rFonts w:ascii="Verdana" w:eastAsia="Calibri" w:hAnsi="Verdana" w:cs="Arial"/>
                <w:color w:val="000000" w:themeColor="text1"/>
                <w:lang w:val="es-ES_tradnl"/>
              </w:rPr>
            </w:pPr>
            <w:r w:rsidRPr="00817382">
              <w:rPr>
                <w:rFonts w:ascii="Verdana" w:hAnsi="Verdana" w:cs="Arial"/>
                <w:lang w:val="es-ES_tradnl" w:eastAsia="es-ES"/>
              </w:rPr>
              <w:t xml:space="preserve">Al margen de la explicación precedente debe advertirse que el análisis requerido para resolver problemas específicos en torno a </w:t>
            </w:r>
            <w:r w:rsidRPr="00817382">
              <w:rPr>
                <w:rFonts w:ascii="Verdana" w:eastAsia="Calibri" w:hAnsi="Verdana" w:cs="Arial"/>
                <w:bCs/>
                <w:color w:val="000000" w:themeColor="text1"/>
                <w:lang w:val="es-ES_tradnl"/>
              </w:rPr>
              <w:t>la contratación de las entidades estatales</w:t>
            </w:r>
            <w:r w:rsidRPr="00817382">
              <w:rPr>
                <w:rFonts w:ascii="Verdana" w:hAnsi="Verdana" w:cs="Arial"/>
                <w:lang w:val="es-ES_tradnl" w:eastAsia="es-ES"/>
              </w:rPr>
              <w:t xml:space="preserve">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D785D93" w14:textId="77777777" w:rsidR="00F262D3" w:rsidRPr="00817382" w:rsidRDefault="00F262D3" w:rsidP="00F262D3">
      <w:pPr>
        <w:tabs>
          <w:tab w:val="left" w:pos="142"/>
          <w:tab w:val="left" w:pos="284"/>
        </w:tabs>
        <w:spacing w:after="0" w:line="276" w:lineRule="auto"/>
        <w:jc w:val="both"/>
        <w:rPr>
          <w:rFonts w:ascii="Verdana" w:eastAsia="Century Gothic" w:hAnsi="Verdana" w:cs="Century Gothic"/>
          <w:b/>
          <w:bCs/>
          <w:lang w:val="es-ES_tradnl"/>
        </w:rPr>
      </w:pPr>
    </w:p>
    <w:bookmarkEnd w:id="2"/>
    <w:p w14:paraId="4DAA9D47" w14:textId="77777777" w:rsidR="00F262D3" w:rsidRPr="00817382" w:rsidRDefault="00F262D3" w:rsidP="00F262D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Razones de la respuesta:</w:t>
      </w:r>
    </w:p>
    <w:p w14:paraId="25609492" w14:textId="77777777" w:rsidR="00F262D3" w:rsidRPr="00817382" w:rsidRDefault="00F262D3" w:rsidP="00F262D3">
      <w:pPr>
        <w:spacing w:after="0" w:line="276" w:lineRule="auto"/>
        <w:jc w:val="both"/>
        <w:rPr>
          <w:rFonts w:ascii="Verdana" w:eastAsia="Calibri" w:hAnsi="Verdana" w:cs="Arial"/>
          <w:color w:val="7030A0"/>
          <w:lang w:val="es-ES_tradnl"/>
        </w:rPr>
      </w:pPr>
    </w:p>
    <w:p w14:paraId="05306E79" w14:textId="77777777" w:rsidR="00F262D3" w:rsidRPr="00817382" w:rsidRDefault="00F262D3" w:rsidP="00F262D3">
      <w:pPr>
        <w:spacing w:after="0" w:line="276" w:lineRule="auto"/>
        <w:jc w:val="both"/>
        <w:rPr>
          <w:rFonts w:ascii="Verdana" w:eastAsia="Calibri" w:hAnsi="Verdana" w:cs="Arial"/>
          <w:lang w:val="es-ES_tradnl"/>
        </w:rPr>
      </w:pPr>
      <w:r w:rsidRPr="00817382">
        <w:rPr>
          <w:rFonts w:ascii="Verdana" w:eastAsia="Calibri" w:hAnsi="Verdana" w:cs="Arial"/>
          <w:lang w:val="es-ES_tradnl"/>
        </w:rPr>
        <w:t>Lo anterior se sustenta en las siguientes consideraciones:</w:t>
      </w:r>
    </w:p>
    <w:p w14:paraId="2E0ACBBC" w14:textId="77777777" w:rsidR="00F262D3" w:rsidRPr="00817382" w:rsidRDefault="00F262D3" w:rsidP="00F262D3">
      <w:pPr>
        <w:spacing w:after="0" w:line="276" w:lineRule="auto"/>
        <w:jc w:val="both"/>
        <w:rPr>
          <w:rFonts w:ascii="Verdana" w:eastAsia="Calibri" w:hAnsi="Verdana" w:cs="Arial"/>
          <w:lang w:val="es-ES_tradnl"/>
        </w:rPr>
      </w:pPr>
    </w:p>
    <w:p w14:paraId="6F36B27A" w14:textId="77777777" w:rsidR="00F262D3" w:rsidRPr="00817382" w:rsidRDefault="00F262D3" w:rsidP="3239A092">
      <w:pPr>
        <w:spacing w:after="120" w:line="276" w:lineRule="auto"/>
        <w:jc w:val="both"/>
        <w:rPr>
          <w:rFonts w:ascii="Verdana" w:hAnsi="Verdana" w:cs="Arial"/>
          <w:lang w:val="es-ES"/>
        </w:rPr>
      </w:pPr>
      <w:r w:rsidRPr="3239A092">
        <w:rPr>
          <w:rFonts w:ascii="Verdana" w:hAnsi="Verdana" w:cs="Arial"/>
          <w:lang w:val="es-ES"/>
        </w:rPr>
        <w:t xml:space="preserve">i. De acuerdo con el inciso final del artículo 150 superior, corresponde al Congreso de la República expedir el Estatuto General de Contratación de la </w:t>
      </w:r>
      <w:r w:rsidRPr="3239A092">
        <w:rPr>
          <w:rFonts w:ascii="Verdana" w:hAnsi="Verdana" w:cs="Arial"/>
          <w:lang w:val="es-ES"/>
        </w:rPr>
        <w:lastRenderedPageBreak/>
        <w:t xml:space="preserve">Administración Pública y, en especial, de la Administración Nacional. Esta competencia fue ejercida con la expedición de la Ley 80 de 1993, la cual rige para las </w:t>
      </w:r>
      <w:r w:rsidRPr="3239A092">
        <w:rPr>
          <w:rFonts w:ascii="Verdana" w:hAnsi="Verdana" w:cs="Arial"/>
          <w:i/>
          <w:iCs/>
          <w:lang w:val="es-ES"/>
        </w:rPr>
        <w:t>entidades estatales</w:t>
      </w:r>
      <w:r w:rsidRPr="3239A092">
        <w:rPr>
          <w:rFonts w:ascii="Verdana" w:hAnsi="Verdana" w:cs="Arial"/>
          <w:lang w:val="es-ES"/>
        </w:rPr>
        <w:t xml:space="preserve">, esto es, aquellas previstas en los literales a) y b) del numeral 1 del artículo 2 </w:t>
      </w:r>
      <w:r w:rsidRPr="3239A092">
        <w:rPr>
          <w:rFonts w:ascii="Verdana" w:hAnsi="Verdana" w:cs="Arial"/>
          <w:i/>
          <w:iCs/>
          <w:lang w:val="es-ES"/>
        </w:rPr>
        <w:t>ibidem</w:t>
      </w:r>
      <w:r w:rsidRPr="3239A092">
        <w:rPr>
          <w:rFonts w:ascii="Verdana" w:hAnsi="Verdana" w:cs="Arial"/>
          <w:lang w:val="es-ES"/>
        </w:rPr>
        <w:t xml:space="preserve">. La norma citada define la competencia contractual en los siguientes términos: </w:t>
      </w:r>
    </w:p>
    <w:p w14:paraId="2069E197" w14:textId="77777777" w:rsidR="00F262D3" w:rsidRPr="00817382" w:rsidRDefault="00F262D3" w:rsidP="00F262D3">
      <w:pPr>
        <w:spacing w:after="120" w:line="276" w:lineRule="auto"/>
        <w:ind w:firstLine="708"/>
        <w:jc w:val="both"/>
        <w:rPr>
          <w:rFonts w:ascii="Verdana" w:hAnsi="Verdana" w:cs="Arial"/>
          <w:lang w:val="es-ES_tradnl"/>
        </w:rPr>
      </w:pPr>
      <w:r w:rsidRPr="00817382">
        <w:rPr>
          <w:rFonts w:ascii="Verdana" w:hAnsi="Verdana" w:cs="Arial"/>
          <w:lang w:val="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19002DA8" w14:textId="77777777" w:rsidR="00F262D3" w:rsidRPr="00817382" w:rsidRDefault="00F262D3" w:rsidP="00F262D3">
      <w:pPr>
        <w:spacing w:after="120" w:line="276" w:lineRule="auto"/>
        <w:ind w:firstLine="708"/>
        <w:jc w:val="both"/>
        <w:rPr>
          <w:rFonts w:ascii="Verdana" w:hAnsi="Verdana" w:cs="Arial"/>
          <w:lang w:val="es-ES_tradnl"/>
        </w:rPr>
      </w:pPr>
      <w:r w:rsidRPr="00817382">
        <w:rPr>
          <w:rFonts w:ascii="Verdana" w:hAnsi="Verdana" w:cs="Arial"/>
          <w:lang w:val="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Style w:val="Refdenotaalpie"/>
          <w:rFonts w:ascii="Verdana" w:hAnsi="Verdana" w:cs="Arial"/>
          <w:lang w:val="es-ES_tradnl"/>
        </w:rPr>
        <w:footnoteReference w:id="2"/>
      </w:r>
      <w:r w:rsidRPr="00817382">
        <w:rPr>
          <w:rFonts w:ascii="Verdana" w:hAnsi="Verdana" w:cs="Arial"/>
          <w:lang w:val="es-ES_tradnl"/>
        </w:rPr>
        <w:t xml:space="preserve">. </w:t>
      </w:r>
    </w:p>
    <w:p w14:paraId="36E44AAB" w14:textId="77777777" w:rsidR="00F262D3" w:rsidRPr="00817382" w:rsidRDefault="00F262D3" w:rsidP="00F262D3">
      <w:pPr>
        <w:spacing w:after="0" w:line="276" w:lineRule="auto"/>
        <w:ind w:firstLine="709"/>
        <w:jc w:val="both"/>
        <w:rPr>
          <w:rFonts w:ascii="Verdana" w:hAnsi="Verdana" w:cs="Arial"/>
          <w:bCs/>
          <w:lang w:val="es-ES_tradnl"/>
        </w:rPr>
      </w:pPr>
      <w:r w:rsidRPr="00817382">
        <w:rPr>
          <w:rFonts w:ascii="Verdana" w:hAnsi="Verdana" w:cs="Arial"/>
          <w:lang w:val="es-ES_tradnl"/>
        </w:rPr>
        <w:lastRenderedPageBreak/>
        <w:t xml:space="preserve">Para las entidades de los párrafos anteriores, sin perjuicio de las excepciones puntales a la aplicación del EGCAP, los procesos de selección se rigen por el artículo 2 de la Ley 1150 de 2007. El </w:t>
      </w:r>
      <w:r w:rsidRPr="00817382">
        <w:rPr>
          <w:rFonts w:ascii="Verdana" w:hAnsi="Verdana" w:cs="Arial"/>
          <w:bCs/>
          <w:lang w:val="es-ES_tradnl"/>
        </w:rPr>
        <w:t xml:space="preserve">numeral uno, inciso primero, dispone que “La escogencia del contratista se efectuará por </w:t>
      </w:r>
      <w:r w:rsidRPr="00817382">
        <w:rPr>
          <w:rFonts w:ascii="Verdana" w:hAnsi="Verdana" w:cs="Arial"/>
          <w:bCs/>
          <w:i/>
          <w:iCs/>
          <w:lang w:val="es-ES_tradnl"/>
        </w:rPr>
        <w:t>regla general</w:t>
      </w:r>
      <w:r w:rsidRPr="00817382">
        <w:rPr>
          <w:rFonts w:ascii="Verdana" w:hAnsi="Verdana" w:cs="Arial"/>
          <w:bCs/>
          <w:lang w:val="es-ES_tradnl"/>
        </w:rPr>
        <w:t xml:space="preserve"> a través de licitación pública, con las </w:t>
      </w:r>
      <w:r w:rsidRPr="00817382">
        <w:rPr>
          <w:rFonts w:ascii="Verdana" w:hAnsi="Verdana" w:cs="Arial"/>
          <w:bCs/>
          <w:i/>
          <w:iCs/>
          <w:lang w:val="es-ES_tradnl"/>
        </w:rPr>
        <w:t>excepciones</w:t>
      </w:r>
      <w:r w:rsidRPr="00817382">
        <w:rPr>
          <w:rFonts w:ascii="Verdana" w:hAnsi="Verdana" w:cs="Arial"/>
          <w:bCs/>
          <w:lang w:val="es-ES_tradnl"/>
        </w:rPr>
        <w:t xml:space="preserve"> que se señalan en los numerales 2, 3 y 4 del presente artículo” (Énfasis fuera de texto), norma que sustituye el derogado numeral 1 del artículo 24 de la Ley 80 de 1993 sobre el principio de transparencia</w:t>
      </w:r>
      <w:r w:rsidRPr="00817382">
        <w:rPr>
          <w:rFonts w:ascii="Verdana" w:hAnsi="Verdana" w:cs="Arial"/>
          <w:bCs/>
          <w:vertAlign w:val="superscript"/>
          <w:lang w:val="es-ES_tradnl"/>
        </w:rPr>
        <w:footnoteReference w:id="3"/>
      </w:r>
      <w:r w:rsidRPr="00817382">
        <w:rPr>
          <w:rFonts w:ascii="Verdana" w:hAnsi="Verdana" w:cs="Arial"/>
          <w:bCs/>
          <w:lang w:val="es-ES_tradnl"/>
        </w:rPr>
        <w:t>. En este contexto, salvo norma especial que ordene la celebración del negocio jurídico por selección abreviada, concurso de méritos, mínima cuantía o contratación directa, debe aplicarse la regla general de licitación pública</w:t>
      </w:r>
      <w:r w:rsidRPr="00817382">
        <w:rPr>
          <w:rFonts w:ascii="Verdana" w:hAnsi="Verdana" w:cs="Arial"/>
          <w:bCs/>
          <w:vertAlign w:val="superscript"/>
          <w:lang w:val="es-ES_tradnl"/>
        </w:rPr>
        <w:footnoteReference w:id="4"/>
      </w:r>
      <w:r w:rsidRPr="00817382">
        <w:rPr>
          <w:rFonts w:ascii="Verdana" w:hAnsi="Verdana" w:cs="Arial"/>
          <w:bCs/>
          <w:lang w:val="es-ES_tradnl"/>
        </w:rPr>
        <w:t>.</w:t>
      </w:r>
    </w:p>
    <w:p w14:paraId="6F114448" w14:textId="77777777" w:rsidR="00F262D3" w:rsidRPr="00817382" w:rsidRDefault="00F262D3" w:rsidP="00F262D3">
      <w:pPr>
        <w:spacing w:after="0" w:line="276" w:lineRule="auto"/>
        <w:ind w:firstLine="709"/>
        <w:jc w:val="both"/>
        <w:rPr>
          <w:rFonts w:ascii="Verdana" w:hAnsi="Verdana" w:cs="Arial"/>
          <w:bCs/>
          <w:lang w:val="es-ES_tradnl"/>
        </w:rPr>
      </w:pPr>
    </w:p>
    <w:p w14:paraId="047566E9" w14:textId="77777777" w:rsidR="00F262D3" w:rsidRPr="00817382" w:rsidRDefault="00F262D3" w:rsidP="3239A092">
      <w:pPr>
        <w:spacing w:after="120" w:line="276" w:lineRule="auto"/>
        <w:jc w:val="both"/>
        <w:rPr>
          <w:rFonts w:ascii="Verdana" w:hAnsi="Verdana" w:cs="Arial"/>
          <w:lang w:val="es-ES"/>
        </w:rPr>
      </w:pPr>
      <w:proofErr w:type="spellStart"/>
      <w:r w:rsidRPr="3239A092">
        <w:rPr>
          <w:rFonts w:ascii="Verdana" w:hAnsi="Verdana" w:cs="Arial"/>
          <w:lang w:val="es-ES"/>
        </w:rPr>
        <w:t>ii</w:t>
      </w:r>
      <w:proofErr w:type="spellEnd"/>
      <w:r w:rsidRPr="3239A092">
        <w:rPr>
          <w:rFonts w:ascii="Verdana" w:hAnsi="Verdana" w:cs="Arial"/>
          <w:lang w:val="es-ES"/>
        </w:rPr>
        <w:t xml:space="preserve">. Pese a lo anterior, no resulta extraño que el sistema de compras públicas se apoye en normas de derecho civil y comercial, ya que la figura del contrato es transversal a todo el ordenamiento jurídico. Respecto a las </w:t>
      </w:r>
      <w:r w:rsidRPr="3239A092">
        <w:rPr>
          <w:rFonts w:ascii="Verdana" w:hAnsi="Verdana" w:cs="Arial"/>
          <w:i/>
          <w:iCs/>
          <w:lang w:val="es-ES"/>
        </w:rPr>
        <w:t>entidades sometidas a la Ley 80 de 1993</w:t>
      </w:r>
      <w:r w:rsidRPr="3239A092">
        <w:rPr>
          <w:rFonts w:ascii="Verdana" w:hAnsi="Verdana" w:cs="Arial"/>
          <w:lang w:val="es-ES"/>
        </w:rPr>
        <w:t xml:space="preserve">,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w:t>
      </w:r>
      <w:r w:rsidRPr="3239A092">
        <w:rPr>
          <w:rFonts w:ascii="Verdana" w:hAnsi="Verdana" w:cs="Arial"/>
          <w:lang w:val="es-ES"/>
        </w:rPr>
        <w:lastRenderedPageBreak/>
        <w:t>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26F9A993" w14:textId="77777777" w:rsidR="00F262D3" w:rsidRPr="00817382" w:rsidRDefault="00F262D3" w:rsidP="3239A092">
      <w:pPr>
        <w:spacing w:after="120" w:line="276" w:lineRule="auto"/>
        <w:ind w:firstLine="708"/>
        <w:jc w:val="both"/>
        <w:rPr>
          <w:rFonts w:ascii="Verdana" w:hAnsi="Verdana" w:cs="Arial"/>
          <w:lang w:val="es-ES"/>
        </w:rPr>
      </w:pPr>
      <w:r w:rsidRPr="3239A092">
        <w:rPr>
          <w:rFonts w:ascii="Verdana" w:hAnsi="Verdana" w:cs="Arial"/>
          <w:lang w:val="es-ES"/>
        </w:rPr>
        <w:t xml:space="preserve">No obstante, aunque tenga una influencia limitada, las </w:t>
      </w:r>
      <w:r w:rsidRPr="3239A092">
        <w:rPr>
          <w:rFonts w:ascii="Verdana" w:hAnsi="Verdana" w:cs="Arial"/>
          <w:i/>
          <w:iCs/>
          <w:lang w:val="es-ES"/>
        </w:rPr>
        <w:t>entidades del régimen exceptuado</w:t>
      </w:r>
      <w:r w:rsidRPr="3239A092">
        <w:rPr>
          <w:rFonts w:ascii="Verdana" w:hAnsi="Verdana" w:cs="Arial"/>
          <w:lang w:val="es-E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52EB3754" w14:textId="77777777" w:rsidR="00F262D3" w:rsidRPr="00817382" w:rsidRDefault="00F262D3" w:rsidP="3239A092">
      <w:pPr>
        <w:spacing w:after="0" w:line="276" w:lineRule="auto"/>
        <w:ind w:firstLine="709"/>
        <w:jc w:val="both"/>
        <w:rPr>
          <w:rFonts w:ascii="Verdana" w:hAnsi="Verdana" w:cs="Arial"/>
          <w:lang w:val="es-ES"/>
        </w:rPr>
      </w:pPr>
      <w:r w:rsidRPr="3239A092">
        <w:rPr>
          <w:rFonts w:ascii="Verdana" w:hAnsi="Verdana" w:cs="Arial"/>
          <w:lang w:val="es-E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3239A092">
        <w:rPr>
          <w:rFonts w:ascii="Verdana" w:hAnsi="Verdana" w:cs="Arial"/>
          <w:lang w:val="es-ES"/>
        </w:rPr>
        <w:t>ii</w:t>
      </w:r>
      <w:proofErr w:type="spellEnd"/>
      <w:r w:rsidRPr="3239A092">
        <w:rPr>
          <w:rFonts w:ascii="Verdana" w:hAnsi="Verdana" w:cs="Arial"/>
          <w:lang w:val="es-ES"/>
        </w:rPr>
        <w:t xml:space="preserve">) flexibilizar el ejercicio de la función administrativa –como en los contratos del Banco de la República o los de ciencia y tecnología– o </w:t>
      </w:r>
      <w:proofErr w:type="spellStart"/>
      <w:r w:rsidRPr="3239A092">
        <w:rPr>
          <w:rFonts w:ascii="Verdana" w:hAnsi="Verdana" w:cs="Arial"/>
          <w:lang w:val="es-ES"/>
        </w:rPr>
        <w:t>iii</w:t>
      </w:r>
      <w:proofErr w:type="spellEnd"/>
      <w:r w:rsidRPr="3239A092">
        <w:rPr>
          <w:rFonts w:ascii="Verdana" w:hAnsi="Verdana" w:cs="Arial"/>
          <w:lang w:val="es-ES"/>
        </w:rPr>
        <w:t>) establecer un régimen especial sin excluir por completo la aplicación de la Ley 80 de 1993 –como ocurre en la operaciones del crédito público–</w:t>
      </w:r>
      <w:r w:rsidRPr="3239A092">
        <w:rPr>
          <w:rFonts w:ascii="Verdana" w:hAnsi="Verdana" w:cs="Arial"/>
          <w:vertAlign w:val="superscript"/>
          <w:lang w:val="es-ES"/>
        </w:rPr>
        <w:footnoteReference w:id="5"/>
      </w:r>
      <w:r w:rsidRPr="3239A092">
        <w:rPr>
          <w:rFonts w:ascii="Verdana" w:hAnsi="Verdana" w:cs="Arial"/>
          <w:lang w:val="es-ES"/>
        </w:rPr>
        <w:t xml:space="preserve">.  Para estos efectos, la doctrina ha identificado 171 entidades y contratos que manejan un régimen excepcional, los cuales se clasifican de acuerdo i) al sector económico, </w:t>
      </w:r>
      <w:proofErr w:type="spellStart"/>
      <w:r w:rsidRPr="3239A092">
        <w:rPr>
          <w:rFonts w:ascii="Verdana" w:hAnsi="Verdana" w:cs="Arial"/>
          <w:lang w:val="es-ES"/>
        </w:rPr>
        <w:t>ii</w:t>
      </w:r>
      <w:proofErr w:type="spellEnd"/>
      <w:r w:rsidRPr="3239A092">
        <w:rPr>
          <w:rFonts w:ascii="Verdana" w:hAnsi="Verdana" w:cs="Arial"/>
          <w:lang w:val="es-ES"/>
        </w:rPr>
        <w:t xml:space="preserve">) la asignación de un esquema legal especial, </w:t>
      </w:r>
      <w:proofErr w:type="spellStart"/>
      <w:r w:rsidRPr="3239A092">
        <w:rPr>
          <w:rFonts w:ascii="Verdana" w:hAnsi="Verdana" w:cs="Arial"/>
          <w:lang w:val="es-ES"/>
        </w:rPr>
        <w:t>iii</w:t>
      </w:r>
      <w:proofErr w:type="spellEnd"/>
      <w:r w:rsidRPr="3239A092">
        <w:rPr>
          <w:rFonts w:ascii="Verdana" w:hAnsi="Verdana" w:cs="Arial"/>
          <w:lang w:val="es-ES"/>
        </w:rPr>
        <w:t xml:space="preserve">) el objeto del contrato celebrado y </w:t>
      </w:r>
      <w:proofErr w:type="spellStart"/>
      <w:r w:rsidRPr="3239A092">
        <w:rPr>
          <w:rFonts w:ascii="Verdana" w:hAnsi="Verdana" w:cs="Arial"/>
          <w:lang w:val="es-ES"/>
        </w:rPr>
        <w:t>iv</w:t>
      </w:r>
      <w:proofErr w:type="spellEnd"/>
      <w:r w:rsidRPr="3239A092">
        <w:rPr>
          <w:rFonts w:ascii="Verdana" w:hAnsi="Verdana" w:cs="Arial"/>
          <w:lang w:val="es-ES"/>
        </w:rPr>
        <w:t>) la existencia de fondos que administran recursos públicos</w:t>
      </w:r>
      <w:r w:rsidRPr="3239A092">
        <w:rPr>
          <w:rFonts w:ascii="Verdana" w:hAnsi="Verdana" w:cs="Arial"/>
          <w:vertAlign w:val="superscript"/>
          <w:lang w:val="es-ES"/>
        </w:rPr>
        <w:footnoteReference w:id="6"/>
      </w:r>
      <w:r w:rsidRPr="3239A092">
        <w:rPr>
          <w:rFonts w:ascii="Verdana" w:hAnsi="Verdana" w:cs="Arial"/>
          <w:lang w:val="es-ES"/>
        </w:rPr>
        <w:t>.</w:t>
      </w:r>
    </w:p>
    <w:p w14:paraId="24B683EF" w14:textId="77777777" w:rsidR="00F262D3" w:rsidRPr="00817382" w:rsidRDefault="00F262D3" w:rsidP="00F262D3">
      <w:pPr>
        <w:spacing w:after="0" w:line="276" w:lineRule="auto"/>
        <w:ind w:firstLine="709"/>
        <w:jc w:val="both"/>
        <w:rPr>
          <w:rFonts w:ascii="Verdana" w:hAnsi="Verdana" w:cs="Arial"/>
          <w:bCs/>
          <w:lang w:val="es-ES_tradnl"/>
        </w:rPr>
      </w:pPr>
    </w:p>
    <w:p w14:paraId="08F02951" w14:textId="77777777" w:rsidR="00F262D3" w:rsidRPr="00817382" w:rsidRDefault="00F262D3" w:rsidP="3239A092">
      <w:pPr>
        <w:tabs>
          <w:tab w:val="left" w:pos="426"/>
        </w:tabs>
        <w:spacing w:line="276" w:lineRule="auto"/>
        <w:jc w:val="both"/>
        <w:rPr>
          <w:rFonts w:ascii="Verdana" w:eastAsia="Calibri" w:hAnsi="Verdana" w:cs="Arial"/>
          <w:b/>
          <w:bCs/>
          <w:color w:val="000000" w:themeColor="text1"/>
          <w:lang w:val="es-ES"/>
        </w:rPr>
      </w:pPr>
      <w:proofErr w:type="spellStart"/>
      <w:r w:rsidRPr="3239A092">
        <w:rPr>
          <w:rFonts w:ascii="Verdana" w:hAnsi="Verdana" w:cs="Arial"/>
          <w:lang w:val="es-ES"/>
        </w:rPr>
        <w:t>iii</w:t>
      </w:r>
      <w:proofErr w:type="spellEnd"/>
      <w:r w:rsidRPr="3239A092">
        <w:rPr>
          <w:rFonts w:ascii="Verdana" w:hAnsi="Verdana" w:cs="Arial"/>
          <w:lang w:val="es-ES"/>
        </w:rPr>
        <w:t xml:space="preserve">. </w:t>
      </w:r>
      <w:r w:rsidRPr="3239A092">
        <w:rPr>
          <w:rFonts w:ascii="Verdana" w:eastAsia="Calibri" w:hAnsi="Verdana" w:cs="Arial"/>
          <w:color w:val="000000" w:themeColor="text1"/>
          <w:lang w:val="es-ES"/>
        </w:rPr>
        <w:t xml:space="preserve">Las </w:t>
      </w:r>
      <w:r w:rsidRPr="3239A092">
        <w:rPr>
          <w:rFonts w:ascii="Verdana" w:eastAsia="Calibri" w:hAnsi="Verdana" w:cs="Arial"/>
          <w:i/>
          <w:iCs/>
          <w:color w:val="000000" w:themeColor="text1"/>
          <w:lang w:val="es-ES"/>
        </w:rPr>
        <w:t>entidades de régimen especial</w:t>
      </w:r>
      <w:r w:rsidRPr="3239A092">
        <w:rPr>
          <w:rFonts w:ascii="Verdana" w:eastAsia="Calibri" w:hAnsi="Verdana" w:cs="Arial"/>
          <w:color w:val="000000" w:themeColor="text1"/>
          <w:lang w:val="es-ES"/>
        </w:rPr>
        <w:t xml:space="preserve">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w:t>
      </w:r>
      <w:r w:rsidRPr="3239A092">
        <w:rPr>
          <w:rFonts w:ascii="Verdana" w:eastAsia="Calibri" w:hAnsi="Verdana" w:cs="Arial"/>
          <w:color w:val="000000" w:themeColor="text1"/>
          <w:lang w:val="es-ES"/>
        </w:rPr>
        <w:lastRenderedPageBreak/>
        <w:t>normas de creación de las entidades de régimen especial y en sus manuales de contratación.</w:t>
      </w:r>
    </w:p>
    <w:p w14:paraId="006DB277" w14:textId="77777777" w:rsidR="00F262D3" w:rsidRPr="00817382" w:rsidRDefault="00F262D3" w:rsidP="3239A092">
      <w:pPr>
        <w:spacing w:before="120" w:after="120" w:line="276" w:lineRule="auto"/>
        <w:jc w:val="both"/>
        <w:rPr>
          <w:rFonts w:ascii="Verdana" w:eastAsia="Calibri" w:hAnsi="Verdana" w:cs="Arial"/>
          <w:color w:val="000000" w:themeColor="text1"/>
          <w:lang w:val="es-ES"/>
        </w:rPr>
      </w:pPr>
      <w:r w:rsidRPr="00817382">
        <w:rPr>
          <w:rFonts w:ascii="Verdana" w:eastAsia="Calibri" w:hAnsi="Verdana" w:cs="Arial"/>
          <w:color w:val="000000" w:themeColor="text1"/>
          <w:lang w:val="es-ES_tradnl"/>
        </w:rPr>
        <w:tab/>
      </w:r>
      <w:r w:rsidRPr="3239A092">
        <w:rPr>
          <w:rFonts w:ascii="Verdana" w:eastAsia="Calibri" w:hAnsi="Verdana" w:cs="Arial"/>
          <w:color w:val="000000" w:themeColor="text1"/>
          <w:lang w:val="es-ES"/>
        </w:rPr>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239A092">
        <w:rPr>
          <w:rStyle w:val="Refdenotaalpie"/>
          <w:rFonts w:ascii="Verdana" w:eastAsia="Calibri" w:hAnsi="Verdana" w:cs="Arial"/>
          <w:color w:val="000000" w:themeColor="text1"/>
          <w:lang w:val="es-ES"/>
        </w:rPr>
        <w:footnoteReference w:id="7"/>
      </w:r>
      <w:r w:rsidRPr="3239A092">
        <w:rPr>
          <w:rFonts w:ascii="Verdana" w:eastAsia="Calibri" w:hAnsi="Verdana" w:cs="Arial"/>
          <w:color w:val="000000" w:themeColor="text1"/>
          <w:lang w:val="es-ES"/>
        </w:rPr>
        <w:t>.</w:t>
      </w:r>
    </w:p>
    <w:p w14:paraId="0B642EE3" w14:textId="77777777" w:rsidR="00F262D3" w:rsidRPr="00817382" w:rsidRDefault="00F262D3" w:rsidP="00F262D3">
      <w:pPr>
        <w:spacing w:after="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1D678206" w14:textId="77777777" w:rsidR="00F262D3" w:rsidRPr="00817382" w:rsidRDefault="00F262D3" w:rsidP="00F262D3">
      <w:pPr>
        <w:spacing w:after="0" w:line="276" w:lineRule="auto"/>
        <w:jc w:val="both"/>
        <w:rPr>
          <w:rFonts w:ascii="Verdana" w:eastAsia="Calibri" w:hAnsi="Verdana" w:cs="Arial"/>
          <w:color w:val="000000" w:themeColor="text1"/>
          <w:lang w:val="es-ES_tradnl"/>
        </w:rPr>
      </w:pPr>
    </w:p>
    <w:p w14:paraId="26F3F111" w14:textId="77777777" w:rsidR="00F262D3" w:rsidRPr="00817382" w:rsidRDefault="00F262D3" w:rsidP="00F262D3">
      <w:pPr>
        <w:spacing w:line="240" w:lineRule="auto"/>
        <w:ind w:left="709" w:right="709"/>
        <w:jc w:val="both"/>
        <w:rPr>
          <w:rFonts w:ascii="Verdana" w:eastAsia="Calibri" w:hAnsi="Verdana" w:cs="Arial"/>
          <w:color w:val="000000" w:themeColor="text1"/>
          <w:sz w:val="21"/>
          <w:szCs w:val="21"/>
          <w:lang w:val="es-ES_tradnl"/>
        </w:rPr>
      </w:pPr>
      <w:r w:rsidRPr="00817382">
        <w:rPr>
          <w:rFonts w:ascii="Verdana" w:eastAsia="Calibri" w:hAnsi="Verdana" w:cs="Arial"/>
          <w:color w:val="000000" w:themeColor="text1"/>
          <w:sz w:val="21"/>
          <w:szCs w:val="21"/>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773E2F1" w14:textId="77777777" w:rsidR="00F262D3" w:rsidRPr="00817382" w:rsidRDefault="00F262D3" w:rsidP="3239A092">
      <w:pPr>
        <w:spacing w:line="240" w:lineRule="auto"/>
        <w:ind w:left="709" w:right="709"/>
        <w:jc w:val="both"/>
        <w:rPr>
          <w:rFonts w:ascii="Verdana" w:eastAsia="Calibri" w:hAnsi="Verdana" w:cs="Arial"/>
          <w:color w:val="000000" w:themeColor="text1"/>
          <w:sz w:val="21"/>
          <w:szCs w:val="21"/>
          <w:lang w:val="es-ES"/>
        </w:rPr>
      </w:pPr>
      <w:r w:rsidRPr="3239A092">
        <w:rPr>
          <w:rFonts w:ascii="Verdana" w:eastAsia="Calibri" w:hAnsi="Verdana" w:cs="Arial"/>
          <w:color w:val="000000" w:themeColor="text1"/>
          <w:sz w:val="21"/>
          <w:szCs w:val="21"/>
          <w:lang w:val="es-ES"/>
        </w:rPr>
        <w:t xml:space="preserve">La Sala entiende que el régimen preponderante domina y aporta el gran volumen de normas contractuales y que el régimen inspirador influye y ayuda a </w:t>
      </w:r>
      <w:proofErr w:type="gramStart"/>
      <w:r w:rsidRPr="3239A092">
        <w:rPr>
          <w:rFonts w:ascii="Verdana" w:eastAsia="Calibri" w:hAnsi="Verdana" w:cs="Arial"/>
          <w:color w:val="000000" w:themeColor="text1"/>
          <w:sz w:val="21"/>
          <w:szCs w:val="21"/>
          <w:lang w:val="es-ES"/>
        </w:rPr>
        <w:t>interpretar</w:t>
      </w:r>
      <w:proofErr w:type="gramEnd"/>
      <w:r w:rsidRPr="3239A092">
        <w:rPr>
          <w:rFonts w:ascii="Verdana" w:eastAsia="Calibri" w:hAnsi="Verdana" w:cs="Arial"/>
          <w:color w:val="000000" w:themeColor="text1"/>
          <w:sz w:val="21"/>
          <w:szCs w:val="21"/>
          <w:lang w:val="es-ES"/>
        </w:rPr>
        <w:t xml:space="preserve"> pero también transforma parte de esas instituciones, porque se suma a ellas, lo que no siempre se logra conservando intacta la institución privada sino introduciéndole modificaciones. </w:t>
      </w:r>
    </w:p>
    <w:p w14:paraId="33D61DDE" w14:textId="77777777" w:rsidR="00F262D3" w:rsidRPr="00817382" w:rsidRDefault="00F262D3" w:rsidP="00F262D3">
      <w:pPr>
        <w:spacing w:after="0" w:line="240" w:lineRule="auto"/>
        <w:ind w:left="709" w:right="709"/>
        <w:jc w:val="both"/>
        <w:rPr>
          <w:rFonts w:ascii="Verdana" w:eastAsia="Calibri" w:hAnsi="Verdana" w:cs="Arial"/>
          <w:color w:val="000000" w:themeColor="text1"/>
          <w:sz w:val="21"/>
          <w:szCs w:val="21"/>
          <w:lang w:val="es-ES_tradnl"/>
        </w:rPr>
      </w:pPr>
      <w:r w:rsidRPr="00817382">
        <w:rPr>
          <w:rFonts w:ascii="Verdana" w:eastAsia="Calibri" w:hAnsi="Verdana" w:cs="Arial"/>
          <w:color w:val="000000" w:themeColor="text1"/>
          <w:sz w:val="21"/>
          <w:szCs w:val="21"/>
          <w:lang w:val="es-ES_tradnl"/>
        </w:rPr>
        <w:lastRenderedPageBreak/>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817382">
        <w:rPr>
          <w:rStyle w:val="Refdenotaalpie"/>
          <w:rFonts w:ascii="Verdana" w:eastAsia="Calibri" w:hAnsi="Verdana" w:cs="Arial"/>
          <w:color w:val="000000" w:themeColor="text1"/>
          <w:sz w:val="21"/>
          <w:szCs w:val="21"/>
          <w:lang w:val="es-ES_tradnl"/>
        </w:rPr>
        <w:footnoteReference w:id="8"/>
      </w:r>
      <w:r w:rsidRPr="00817382">
        <w:rPr>
          <w:rFonts w:ascii="Verdana" w:eastAsia="Calibri" w:hAnsi="Verdana" w:cs="Arial"/>
          <w:color w:val="000000" w:themeColor="text1"/>
          <w:sz w:val="21"/>
          <w:szCs w:val="21"/>
          <w:lang w:val="es-ES_tradnl"/>
        </w:rPr>
        <w:t>.</w:t>
      </w:r>
    </w:p>
    <w:p w14:paraId="38449581" w14:textId="77777777" w:rsidR="00F262D3" w:rsidRPr="00817382" w:rsidRDefault="00F262D3" w:rsidP="00F262D3">
      <w:pPr>
        <w:spacing w:after="0" w:line="276" w:lineRule="auto"/>
        <w:ind w:left="709" w:right="709"/>
        <w:jc w:val="both"/>
        <w:rPr>
          <w:rFonts w:ascii="Verdana" w:eastAsia="Calibri" w:hAnsi="Verdana" w:cs="Arial"/>
          <w:color w:val="000000" w:themeColor="text1"/>
          <w:lang w:val="es-ES_tradnl"/>
        </w:rPr>
      </w:pPr>
    </w:p>
    <w:p w14:paraId="3A28571F" w14:textId="77777777" w:rsidR="00F262D3" w:rsidRPr="00817382" w:rsidRDefault="00F262D3" w:rsidP="00F262D3">
      <w:pPr>
        <w:spacing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38A31143" w14:textId="77777777" w:rsidR="00F262D3" w:rsidRPr="00817382" w:rsidRDefault="00F262D3" w:rsidP="00F262D3">
      <w:pPr>
        <w:spacing w:before="120" w:after="120"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14:paraId="62D9F860" w14:textId="77777777" w:rsidR="00F262D3" w:rsidRDefault="00F262D3" w:rsidP="76058E84">
      <w:pPr>
        <w:spacing w:after="0" w:line="276" w:lineRule="auto"/>
        <w:ind w:firstLine="709"/>
        <w:jc w:val="both"/>
        <w:rPr>
          <w:rFonts w:ascii="Verdana" w:eastAsia="Calibri" w:hAnsi="Verdana" w:cs="Arial"/>
          <w:color w:val="000000" w:themeColor="text1"/>
          <w:lang w:val="es-ES"/>
        </w:rPr>
      </w:pPr>
      <w:r w:rsidRPr="76058E84">
        <w:rPr>
          <w:rFonts w:ascii="Verdana" w:eastAsia="Calibri" w:hAnsi="Verdana" w:cs="Arial"/>
          <w:color w:val="000000" w:themeColor="text1"/>
          <w:lang w:val="es-ES"/>
        </w:rPr>
        <w:t xml:space="preserve">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w:t>
      </w:r>
      <w:proofErr w:type="gramStart"/>
      <w:r w:rsidRPr="76058E84">
        <w:rPr>
          <w:rFonts w:ascii="Verdana" w:eastAsia="Calibri" w:hAnsi="Verdana" w:cs="Arial"/>
          <w:color w:val="000000" w:themeColor="text1"/>
          <w:lang w:val="es-ES"/>
        </w:rPr>
        <w:t>que</w:t>
      </w:r>
      <w:proofErr w:type="gramEnd"/>
      <w:r w:rsidRPr="76058E84">
        <w:rPr>
          <w:rFonts w:ascii="Verdana" w:eastAsia="Calibri" w:hAnsi="Verdana" w:cs="Arial"/>
          <w:color w:val="000000" w:themeColor="text1"/>
          <w:lang w:val="es-ES"/>
        </w:rPr>
        <w:t xml:space="preserve"> si una Entidad sujeta al régimen especial requiere sancionar o dar por terminado el contrato, por regla general, debe acudir al juez competente.</w:t>
      </w:r>
    </w:p>
    <w:p w14:paraId="5F1A6E30" w14:textId="77777777" w:rsidR="00F262D3" w:rsidRPr="00817382" w:rsidRDefault="00F262D3" w:rsidP="00F262D3">
      <w:pPr>
        <w:spacing w:after="0" w:line="276" w:lineRule="auto"/>
        <w:ind w:firstLine="709"/>
        <w:jc w:val="both"/>
        <w:rPr>
          <w:rFonts w:ascii="Verdana" w:eastAsia="Calibri" w:hAnsi="Verdana" w:cs="Arial"/>
          <w:color w:val="000000" w:themeColor="text1"/>
          <w:lang w:val="es-ES_tradnl"/>
        </w:rPr>
      </w:pPr>
    </w:p>
    <w:p w14:paraId="1402162F" w14:textId="77777777" w:rsidR="00F262D3" w:rsidRPr="00817382" w:rsidRDefault="00F262D3" w:rsidP="76058E84">
      <w:pPr>
        <w:spacing w:line="276" w:lineRule="auto"/>
        <w:jc w:val="both"/>
        <w:rPr>
          <w:rFonts w:ascii="Verdana" w:eastAsia="Calibri" w:hAnsi="Verdana" w:cs="Arial"/>
          <w:color w:val="000000" w:themeColor="text1"/>
          <w:lang w:val="es-ES"/>
        </w:rPr>
      </w:pPr>
      <w:proofErr w:type="spellStart"/>
      <w:r w:rsidRPr="76058E84">
        <w:rPr>
          <w:rFonts w:ascii="Verdana" w:eastAsia="Calibri" w:hAnsi="Verdana" w:cs="Arial"/>
          <w:color w:val="000000" w:themeColor="text1"/>
          <w:lang w:val="es-ES"/>
        </w:rPr>
        <w:t>iv</w:t>
      </w:r>
      <w:proofErr w:type="spellEnd"/>
      <w:r w:rsidRPr="76058E84">
        <w:rPr>
          <w:rFonts w:ascii="Verdana" w:eastAsia="Calibri" w:hAnsi="Verdana" w:cs="Arial"/>
          <w:color w:val="000000" w:themeColor="text1"/>
          <w:lang w:val="es-ES"/>
        </w:rPr>
        <w:t>. Como se explicó, 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76058E84">
        <w:rPr>
          <w:rStyle w:val="Refdenotaalpie"/>
          <w:rFonts w:ascii="Verdana" w:eastAsia="Calibri" w:hAnsi="Verdana" w:cs="Arial"/>
          <w:color w:val="000000" w:themeColor="text1"/>
          <w:lang w:val="es-ES"/>
        </w:rPr>
        <w:footnoteReference w:id="9"/>
      </w:r>
      <w:r w:rsidRPr="76058E84">
        <w:rPr>
          <w:rFonts w:ascii="Verdana" w:eastAsia="Calibri" w:hAnsi="Verdana" w:cs="Arial"/>
          <w:color w:val="000000" w:themeColor="text1"/>
          <w:lang w:val="es-ES"/>
        </w:rPr>
        <w:t xml:space="preserve">. </w:t>
      </w:r>
    </w:p>
    <w:p w14:paraId="2F19CE62" w14:textId="77777777" w:rsidR="00F262D3" w:rsidRPr="00817382" w:rsidRDefault="00F262D3" w:rsidP="00F262D3">
      <w:pPr>
        <w:spacing w:before="12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Adicionalmente, las entidades estatales que, por disposición legal, cuentan con un régimen especial</w:t>
      </w:r>
      <w:r w:rsidRPr="00817382">
        <w:rPr>
          <w:rStyle w:val="Refdenotaalpie"/>
          <w:rFonts w:ascii="Verdana" w:eastAsia="Calibri" w:hAnsi="Verdana" w:cs="Arial"/>
          <w:color w:val="000000" w:themeColor="text1"/>
          <w:lang w:val="es-ES_tradnl"/>
        </w:rPr>
        <w:footnoteReference w:id="10"/>
      </w:r>
      <w:r w:rsidRPr="00817382">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817382">
        <w:rPr>
          <w:rStyle w:val="Refdenotaalpie"/>
          <w:rFonts w:ascii="Verdana" w:eastAsia="Calibri" w:hAnsi="Verdana" w:cs="Arial"/>
          <w:color w:val="000000" w:themeColor="text1"/>
          <w:lang w:val="es-ES_tradnl"/>
        </w:rPr>
        <w:footnoteReference w:id="11"/>
      </w:r>
      <w:r w:rsidRPr="00817382">
        <w:rPr>
          <w:rFonts w:ascii="Verdana" w:eastAsia="Calibri" w:hAnsi="Verdana" w:cs="Arial"/>
          <w:color w:val="000000" w:themeColor="text1"/>
          <w:lang w:val="es-ES_tradnl"/>
        </w:rPr>
        <w:t xml:space="preserve">–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0C0F601E" w14:textId="77777777" w:rsidR="00F262D3" w:rsidRPr="00817382" w:rsidRDefault="00F262D3" w:rsidP="76058E84">
      <w:pPr>
        <w:spacing w:before="120" w:after="0" w:line="276" w:lineRule="auto"/>
        <w:ind w:firstLine="709"/>
        <w:jc w:val="both"/>
        <w:rPr>
          <w:rFonts w:ascii="Verdana" w:eastAsia="Calibri" w:hAnsi="Verdana" w:cs="Arial"/>
          <w:color w:val="000000" w:themeColor="text1"/>
          <w:lang w:val="es-ES"/>
        </w:rPr>
      </w:pPr>
      <w:r w:rsidRPr="76058E84">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w:t>
      </w:r>
      <w:r w:rsidRPr="76058E84">
        <w:rPr>
          <w:rFonts w:ascii="Verdana" w:eastAsia="Calibri" w:hAnsi="Verdana" w:cs="Arial"/>
          <w:color w:val="000000" w:themeColor="text1"/>
          <w:lang w:val="es-ES"/>
        </w:rPr>
        <w:lastRenderedPageBreak/>
        <w:t xml:space="preserve">ciertas materias. En tal sentido, asuntos como: i) los requisitos de existencia y validez del contrato, </w:t>
      </w:r>
      <w:proofErr w:type="spellStart"/>
      <w:r w:rsidRPr="76058E84">
        <w:rPr>
          <w:rFonts w:ascii="Verdana" w:eastAsia="Calibri" w:hAnsi="Verdana" w:cs="Arial"/>
          <w:color w:val="000000" w:themeColor="text1"/>
          <w:lang w:val="es-ES"/>
        </w:rPr>
        <w:t>ii</w:t>
      </w:r>
      <w:proofErr w:type="spellEnd"/>
      <w:r w:rsidRPr="76058E84">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76058E84">
        <w:rPr>
          <w:rFonts w:ascii="Verdana" w:eastAsia="Calibri" w:hAnsi="Verdana" w:cs="Arial"/>
          <w:color w:val="000000" w:themeColor="text1"/>
          <w:lang w:val="es-ES"/>
        </w:rPr>
        <w:t>iii</w:t>
      </w:r>
      <w:proofErr w:type="spellEnd"/>
      <w:r w:rsidRPr="76058E84">
        <w:rPr>
          <w:rFonts w:ascii="Verdana" w:eastAsia="Calibri" w:hAnsi="Verdana" w:cs="Arial"/>
          <w:color w:val="000000" w:themeColor="text1"/>
          <w:lang w:val="es-ES"/>
        </w:rPr>
        <w:t xml:space="preserve">) procedimientos para su imposición, </w:t>
      </w:r>
      <w:proofErr w:type="spellStart"/>
      <w:r w:rsidRPr="76058E84">
        <w:rPr>
          <w:rFonts w:ascii="Verdana" w:eastAsia="Calibri" w:hAnsi="Verdana" w:cs="Arial"/>
          <w:color w:val="000000" w:themeColor="text1"/>
          <w:lang w:val="es-ES"/>
        </w:rPr>
        <w:t>iv</w:t>
      </w:r>
      <w:proofErr w:type="spellEnd"/>
      <w:r w:rsidRPr="76058E84">
        <w:rPr>
          <w:rFonts w:ascii="Verdana" w:eastAsia="Calibri" w:hAnsi="Verdana" w:cs="Arial"/>
          <w:color w:val="000000" w:themeColor="text1"/>
          <w:lang w:val="es-ES"/>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76058E84">
        <w:rPr>
          <w:rStyle w:val="Refdenotaalpie"/>
          <w:rFonts w:ascii="Verdana" w:eastAsia="Calibri" w:hAnsi="Verdana" w:cs="Arial"/>
          <w:color w:val="000000" w:themeColor="text1"/>
          <w:lang w:val="es-ES"/>
        </w:rPr>
        <w:footnoteReference w:id="12"/>
      </w:r>
      <w:r w:rsidRPr="76058E84">
        <w:rPr>
          <w:rFonts w:ascii="Verdana" w:eastAsia="Calibri" w:hAnsi="Verdana" w:cs="Arial"/>
          <w:color w:val="000000" w:themeColor="text1"/>
          <w:lang w:val="es-ES"/>
        </w:rPr>
        <w:t>.</w:t>
      </w:r>
    </w:p>
    <w:p w14:paraId="44E7228F" w14:textId="77777777" w:rsidR="00F262D3" w:rsidRPr="00817382" w:rsidRDefault="00F262D3" w:rsidP="00F262D3">
      <w:pPr>
        <w:spacing w:after="0" w:line="276" w:lineRule="auto"/>
        <w:ind w:firstLine="709"/>
        <w:jc w:val="both"/>
        <w:rPr>
          <w:rFonts w:ascii="Verdana" w:eastAsia="Calibri" w:hAnsi="Verdana" w:cs="Arial"/>
          <w:color w:val="000000" w:themeColor="text1"/>
          <w:lang w:val="es-ES_tradnl"/>
        </w:rPr>
      </w:pPr>
    </w:p>
    <w:p w14:paraId="7225A29C" w14:textId="77777777" w:rsidR="00F262D3" w:rsidRDefault="00F262D3" w:rsidP="00F262D3">
      <w:pPr>
        <w:spacing w:after="120" w:line="276" w:lineRule="auto"/>
        <w:jc w:val="both"/>
        <w:rPr>
          <w:rFonts w:ascii="Verdana" w:hAnsi="Verdana" w:cs="Arial"/>
          <w:bCs/>
          <w:lang w:val="es-ES_tradnl"/>
        </w:rPr>
      </w:pPr>
      <w:r w:rsidRPr="00817382">
        <w:rPr>
          <w:rFonts w:ascii="Verdana" w:hAnsi="Verdana" w:cs="Arial"/>
          <w:bCs/>
          <w:lang w:val="es-ES_tradnl"/>
        </w:rPr>
        <w:t xml:space="preserve">v. </w:t>
      </w:r>
      <w:r>
        <w:rPr>
          <w:rFonts w:ascii="Verdana" w:hAnsi="Verdana" w:cs="Arial"/>
          <w:bCs/>
          <w:lang w:val="es-ES_tradnl"/>
        </w:rPr>
        <w:t xml:space="preserve">Si bien los manuales de contratación tienen una connotación especial en las </w:t>
      </w:r>
      <w:r w:rsidRPr="00D50589">
        <w:rPr>
          <w:rFonts w:ascii="Verdana" w:hAnsi="Verdana" w:cs="Arial"/>
          <w:bCs/>
          <w:i/>
          <w:iCs/>
          <w:lang w:val="es-ES_tradnl"/>
        </w:rPr>
        <w:t>entidades de régimen exceptuado</w:t>
      </w:r>
      <w:r>
        <w:rPr>
          <w:rFonts w:ascii="Verdana" w:hAnsi="Verdana" w:cs="Arial"/>
          <w:bCs/>
          <w:lang w:val="es-ES_tradnl"/>
        </w:rPr>
        <w:t xml:space="preserve"> por las razones explicadas </w:t>
      </w:r>
      <w:r w:rsidRPr="00D50589">
        <w:rPr>
          <w:rFonts w:ascii="Verdana" w:hAnsi="Verdana" w:cs="Arial"/>
          <w:bCs/>
          <w:i/>
          <w:iCs/>
          <w:lang w:val="es-ES_tradnl"/>
        </w:rPr>
        <w:t>ut supra</w:t>
      </w:r>
      <w:r>
        <w:rPr>
          <w:rFonts w:ascii="Verdana" w:hAnsi="Verdana" w:cs="Arial"/>
          <w:bCs/>
          <w:lang w:val="es-ES_tradnl"/>
        </w:rPr>
        <w:t xml:space="preserve">, también juegan un rol relevante para las </w:t>
      </w:r>
      <w:r w:rsidRPr="00147338">
        <w:rPr>
          <w:rFonts w:ascii="Verdana" w:hAnsi="Verdana" w:cs="Arial"/>
          <w:bCs/>
          <w:i/>
          <w:iCs/>
          <w:lang w:val="es-ES_tradnl"/>
        </w:rPr>
        <w:t>entidades sometidas a la Ley 80 de 1993</w:t>
      </w:r>
      <w:r>
        <w:rPr>
          <w:rFonts w:ascii="Verdana" w:hAnsi="Verdana" w:cs="Arial"/>
          <w:bCs/>
          <w:lang w:val="es-ES_tradnl"/>
        </w:rPr>
        <w:t>. En este último caso, aunque gran parte de los aspectos relacionados con la gestión contractual se encuentran en el EGCAP y en decretos que lo desarrollan, dichos manuales establecen flujogramas en la estructuración de los procesos; asignan responsabilidades específicas en la proyección, revisión y aprobación de los documentos; unifican y estandarizan trámites internos; fijan directrices respecto a la gestión de los procesos y la ejecución de los contratos; entre otros.</w:t>
      </w:r>
    </w:p>
    <w:p w14:paraId="28DC32A2" w14:textId="77777777" w:rsidR="00F262D3" w:rsidRDefault="00F262D3" w:rsidP="00F262D3">
      <w:pPr>
        <w:spacing w:after="120" w:line="276" w:lineRule="auto"/>
        <w:jc w:val="both"/>
        <w:rPr>
          <w:rFonts w:ascii="Verdana" w:hAnsi="Verdana" w:cs="Arial"/>
          <w:bCs/>
          <w:lang w:val="es-ES_tradnl"/>
        </w:rPr>
      </w:pPr>
      <w:r>
        <w:rPr>
          <w:rFonts w:ascii="Verdana" w:hAnsi="Verdana" w:cs="Arial"/>
          <w:bCs/>
          <w:lang w:val="es-ES_tradnl"/>
        </w:rPr>
        <w:lastRenderedPageBreak/>
        <w:tab/>
        <w:t xml:space="preserve">Al estar subordinados a la ley y al reglamento, los manuales de contratación de las </w:t>
      </w:r>
      <w:r w:rsidRPr="00346387">
        <w:rPr>
          <w:rFonts w:ascii="Verdana" w:hAnsi="Verdana" w:cs="Arial"/>
          <w:bCs/>
          <w:i/>
          <w:iCs/>
          <w:lang w:val="es-ES_tradnl"/>
        </w:rPr>
        <w:t>entidades sometidas a la Ley 80 de 1993</w:t>
      </w:r>
      <w:r>
        <w:rPr>
          <w:rFonts w:ascii="Verdana" w:hAnsi="Verdana" w:cs="Arial"/>
          <w:bCs/>
          <w:lang w:val="es-ES_tradnl"/>
        </w:rPr>
        <w:t xml:space="preserve"> no pueden modificar aspectos como </w:t>
      </w:r>
      <w:r w:rsidRPr="00CB68C5">
        <w:rPr>
          <w:rFonts w:ascii="Verdana" w:hAnsi="Verdana" w:cs="Arial"/>
        </w:rPr>
        <w:t>la capacidad jurídica –inhabilidades, incompatibilidades, consorcios y uniones temporales y registro único de proponentes–,</w:t>
      </w:r>
      <w:r>
        <w:rPr>
          <w:rFonts w:ascii="Verdana" w:hAnsi="Verdana" w:cs="Arial"/>
        </w:rPr>
        <w:t xml:space="preserve"> la competencia para contratar,</w:t>
      </w:r>
      <w:r w:rsidRPr="00CB68C5">
        <w:rPr>
          <w:rFonts w:ascii="Verdana" w:hAnsi="Verdana" w:cs="Arial"/>
        </w:rPr>
        <w:t xml:space="preserve"> las reglas de selección objetiva –procedimientos de selección–, </w:t>
      </w:r>
      <w:r>
        <w:rPr>
          <w:rFonts w:ascii="Verdana" w:hAnsi="Verdana" w:cs="Arial"/>
        </w:rPr>
        <w:t xml:space="preserve">el régimen de perfeccionamiento del contrato, </w:t>
      </w:r>
      <w:r w:rsidRPr="00CB68C5">
        <w:rPr>
          <w:rFonts w:ascii="Verdana" w:hAnsi="Verdana" w:cs="Arial"/>
        </w:rPr>
        <w:t>así como algunos aspectos de ejecución contractual –manejo del riesgo, cláusulas exorbitantes</w:t>
      </w:r>
      <w:r>
        <w:rPr>
          <w:rFonts w:ascii="Verdana" w:hAnsi="Verdana" w:cs="Arial"/>
        </w:rPr>
        <w:t>,</w:t>
      </w:r>
      <w:r w:rsidRPr="00CB68C5">
        <w:rPr>
          <w:rFonts w:ascii="Verdana" w:hAnsi="Verdana" w:cs="Arial"/>
        </w:rPr>
        <w:t xml:space="preserve"> tipologías contractuales</w:t>
      </w:r>
      <w:r>
        <w:rPr>
          <w:rFonts w:ascii="Verdana" w:hAnsi="Verdana" w:cs="Arial"/>
        </w:rPr>
        <w:t xml:space="preserve"> y garantías</w:t>
      </w:r>
      <w:r w:rsidRPr="00CB68C5">
        <w:rPr>
          <w:rFonts w:ascii="Verdana" w:hAnsi="Verdana" w:cs="Arial"/>
        </w:rPr>
        <w:t>–</w:t>
      </w:r>
      <w:r>
        <w:rPr>
          <w:rFonts w:ascii="Verdana" w:hAnsi="Verdana" w:cs="Arial"/>
        </w:rPr>
        <w:t>. Sin embargo, siempre que estén en consonancia con las normas de carácter superior, pueden regular aspectos operativos de la gestión de procesos y contratos al interior de la entidad.</w:t>
      </w:r>
      <w:r>
        <w:rPr>
          <w:rFonts w:ascii="Verdana" w:hAnsi="Verdana" w:cs="Arial"/>
          <w:bCs/>
          <w:lang w:val="es-ES_tradnl"/>
        </w:rPr>
        <w:t xml:space="preserve"> </w:t>
      </w:r>
    </w:p>
    <w:p w14:paraId="644D0567" w14:textId="77777777" w:rsidR="00667952" w:rsidRDefault="00F262D3" w:rsidP="00667952">
      <w:pPr>
        <w:spacing w:after="0" w:line="276" w:lineRule="auto"/>
        <w:jc w:val="both"/>
        <w:rPr>
          <w:rFonts w:ascii="Verdana" w:hAnsi="Verdana" w:cs="Arial"/>
          <w:bCs/>
          <w:lang w:val="es-ES_tradnl"/>
        </w:rPr>
      </w:pPr>
      <w:r>
        <w:rPr>
          <w:rFonts w:ascii="Verdana" w:hAnsi="Verdana" w:cs="Arial"/>
          <w:bCs/>
          <w:lang w:val="es-ES_tradnl"/>
        </w:rPr>
        <w:tab/>
        <w:t>Para estos efectos, el derogado artículo 89 del Decreto del 2474 de 2008 disponía que “</w:t>
      </w:r>
      <w:r w:rsidRPr="00B17F28">
        <w:rPr>
          <w:rFonts w:ascii="Verdana" w:hAnsi="Verdana" w:cs="Arial"/>
          <w:bCs/>
          <w:lang w:val="es-ES_tradnl"/>
        </w:rPr>
        <w:t xml:space="preserve">Las entidades estatales sometidas al Estatuto General de Contratación deberán contar con un manual de contratación, en el que se señalen </w:t>
      </w:r>
      <w:r w:rsidRPr="002B56DE">
        <w:rPr>
          <w:rFonts w:ascii="Verdana" w:hAnsi="Verdana" w:cs="Arial"/>
          <w:bCs/>
          <w:i/>
          <w:iCs/>
          <w:u w:val="single"/>
          <w:lang w:val="es-ES_tradnl"/>
        </w:rPr>
        <w:t>los procedimientos internos</w:t>
      </w:r>
      <w:r w:rsidRPr="00B17F28">
        <w:rPr>
          <w:rFonts w:ascii="Verdana" w:hAnsi="Verdana" w:cs="Arial"/>
          <w:bCs/>
          <w:lang w:val="es-ES_tradnl"/>
        </w:rPr>
        <w:t xml:space="preserve">, los funcionarios intervinientes, </w:t>
      </w:r>
      <w:r w:rsidRPr="002B56DE">
        <w:rPr>
          <w:rFonts w:ascii="Verdana" w:hAnsi="Verdana" w:cs="Arial"/>
          <w:bCs/>
          <w:i/>
          <w:iCs/>
          <w:u w:val="single"/>
          <w:lang w:val="es-ES_tradnl"/>
        </w:rPr>
        <w:t>y todos los asuntos propios de la realización de los procesos de selección</w:t>
      </w:r>
      <w:r w:rsidRPr="00B17F28">
        <w:rPr>
          <w:rFonts w:ascii="Verdana" w:hAnsi="Verdana" w:cs="Arial"/>
          <w:bCs/>
          <w:lang w:val="es-ES_tradnl"/>
        </w:rPr>
        <w:t>, así como de la vigilancia y control de la ejecución contractual, en los términos establecidos en el presente decreto</w:t>
      </w:r>
      <w:r>
        <w:rPr>
          <w:rFonts w:ascii="Verdana" w:hAnsi="Verdana" w:cs="Arial"/>
          <w:bCs/>
          <w:lang w:val="es-ES_tradnl"/>
        </w:rPr>
        <w:t>” (Énfasis dentro del texto). Si bien las expresiones subrayadas fueron anuladas por exceso en la potestad reglamentaria, la Sección Tercera del Consejo de Estado declaró la legalidad del resto del artículo al considerar que</w:t>
      </w:r>
      <w:r w:rsidR="00667952">
        <w:rPr>
          <w:rFonts w:ascii="Verdana" w:hAnsi="Verdana" w:cs="Arial"/>
          <w:bCs/>
          <w:lang w:val="es-ES_tradnl"/>
        </w:rPr>
        <w:t>:</w:t>
      </w:r>
    </w:p>
    <w:p w14:paraId="25FA33D2" w14:textId="77777777" w:rsidR="00667952" w:rsidRDefault="00667952" w:rsidP="00667952">
      <w:pPr>
        <w:spacing w:after="0" w:line="276" w:lineRule="auto"/>
        <w:jc w:val="both"/>
        <w:rPr>
          <w:rFonts w:ascii="Verdana" w:hAnsi="Verdana" w:cs="Arial"/>
          <w:bCs/>
          <w:lang w:val="es-ES_tradnl"/>
        </w:rPr>
      </w:pPr>
    </w:p>
    <w:p w14:paraId="228F435A" w14:textId="79D51ADA" w:rsidR="00F262D3" w:rsidRPr="00E37A29" w:rsidRDefault="00F262D3" w:rsidP="76058E84">
      <w:pPr>
        <w:spacing w:after="0" w:line="240" w:lineRule="auto"/>
        <w:ind w:left="709" w:right="709"/>
        <w:jc w:val="both"/>
        <w:rPr>
          <w:rFonts w:ascii="Verdana" w:hAnsi="Verdana" w:cs="Arial"/>
          <w:sz w:val="21"/>
          <w:szCs w:val="21"/>
          <w:lang w:val="es-ES"/>
        </w:rPr>
      </w:pPr>
      <w:r w:rsidRPr="76058E84">
        <w:rPr>
          <w:rFonts w:ascii="Verdana" w:hAnsi="Verdana" w:cs="Arial"/>
          <w:sz w:val="21"/>
          <w:szCs w:val="21"/>
          <w:lang w:val="es-ES"/>
        </w:rPr>
        <w:t xml:space="preserve">“Los denominados manuales de contratación pueden </w:t>
      </w:r>
      <w:proofErr w:type="gramStart"/>
      <w:r w:rsidRPr="76058E84">
        <w:rPr>
          <w:rFonts w:ascii="Verdana" w:hAnsi="Verdana" w:cs="Arial"/>
          <w:sz w:val="21"/>
          <w:szCs w:val="21"/>
          <w:lang w:val="es-ES"/>
        </w:rPr>
        <w:t>enmarcarse dentro de</w:t>
      </w:r>
      <w:proofErr w:type="gramEnd"/>
      <w:r w:rsidRPr="76058E84">
        <w:rPr>
          <w:rFonts w:ascii="Verdana" w:hAnsi="Verdana" w:cs="Arial"/>
          <w:sz w:val="21"/>
          <w:szCs w:val="21"/>
          <w:lang w:val="es-ES"/>
        </w:rPr>
        <w:t xml:space="preserve"> la potestad de auto-organización reconocida a cada entidad estatal, toda vez que los mismos tienen un campo de aplicación que se restringe a cada organismo administrativo. En otras palabras, es una norma de carácter interno ya que regula relaciones de carácter inter-orgánico. Adicionalmente, su objeto no es </w:t>
      </w:r>
      <w:proofErr w:type="gramStart"/>
      <w:r w:rsidRPr="76058E84">
        <w:rPr>
          <w:rFonts w:ascii="Verdana" w:hAnsi="Verdana" w:cs="Arial"/>
          <w:sz w:val="21"/>
          <w:szCs w:val="21"/>
          <w:lang w:val="es-ES"/>
        </w:rPr>
        <w:t>otro distinto a reglamentar</w:t>
      </w:r>
      <w:proofErr w:type="gramEnd"/>
      <w:r w:rsidRPr="76058E84">
        <w:rPr>
          <w:rFonts w:ascii="Verdana" w:hAnsi="Verdana" w:cs="Arial"/>
          <w:sz w:val="21"/>
          <w:szCs w:val="21"/>
          <w:lang w:val="es-ES"/>
        </w:rPr>
        <w:t xml:space="preserve"> temas administrativos del manejo de la contratación estatal -funcionarios que intervienen en las distintas etapas de la contratación, en la vigilancia y ejecución del negocio jurídico, entre otros-, es decir aspectos administrativos del trámite y desarrollo contractual […]”</w:t>
      </w:r>
      <w:r w:rsidRPr="76058E84">
        <w:rPr>
          <w:rStyle w:val="Refdenotaalpie"/>
          <w:rFonts w:ascii="Verdana" w:hAnsi="Verdana" w:cs="Arial"/>
          <w:sz w:val="21"/>
          <w:szCs w:val="21"/>
          <w:lang w:val="es-ES"/>
        </w:rPr>
        <w:footnoteReference w:id="13"/>
      </w:r>
      <w:r w:rsidRPr="76058E84">
        <w:rPr>
          <w:rFonts w:ascii="Verdana" w:hAnsi="Verdana" w:cs="Arial"/>
          <w:sz w:val="21"/>
          <w:szCs w:val="21"/>
          <w:lang w:val="es-ES"/>
        </w:rPr>
        <w:t xml:space="preserve">. </w:t>
      </w:r>
    </w:p>
    <w:p w14:paraId="2328E768" w14:textId="77777777" w:rsidR="00667952" w:rsidRDefault="00667952" w:rsidP="00667952">
      <w:pPr>
        <w:spacing w:after="0" w:line="276" w:lineRule="auto"/>
        <w:jc w:val="both"/>
        <w:rPr>
          <w:rFonts w:ascii="Verdana" w:hAnsi="Verdana" w:cs="Arial"/>
          <w:bCs/>
          <w:lang w:val="es-ES_tradnl"/>
        </w:rPr>
      </w:pPr>
    </w:p>
    <w:p w14:paraId="6D1786A5" w14:textId="77777777" w:rsidR="00F262D3" w:rsidRDefault="00F262D3" w:rsidP="00F262D3">
      <w:pPr>
        <w:spacing w:after="120" w:line="276" w:lineRule="auto"/>
        <w:jc w:val="both"/>
        <w:rPr>
          <w:rFonts w:ascii="Verdana" w:hAnsi="Verdana" w:cs="Arial"/>
          <w:bCs/>
          <w:lang w:val="es-ES_tradnl"/>
        </w:rPr>
      </w:pPr>
      <w:r>
        <w:rPr>
          <w:rFonts w:ascii="Verdana" w:hAnsi="Verdana" w:cs="Arial"/>
          <w:bCs/>
          <w:lang w:val="es-ES_tradnl"/>
        </w:rPr>
        <w:tab/>
        <w:t>El artículo 89 del Decreto 2474 de 2008 fue modificado por el otrora artículo 35 del Decreto 3576 de 2009. La norma disponía lo siguiente: “</w:t>
      </w:r>
      <w:r w:rsidRPr="00741A89">
        <w:rPr>
          <w:rFonts w:ascii="Verdana" w:hAnsi="Verdana" w:cs="Arial"/>
          <w:bCs/>
          <w:lang w:val="es-ES_tradnl"/>
        </w:rPr>
        <w:t xml:space="preserve">Las entidades estatales sometidas al Estatuto General de Contratación deberán </w:t>
      </w:r>
      <w:r w:rsidRPr="00741A89">
        <w:rPr>
          <w:rFonts w:ascii="Verdana" w:hAnsi="Verdana" w:cs="Arial"/>
          <w:bCs/>
          <w:lang w:val="es-ES_tradnl"/>
        </w:rPr>
        <w:lastRenderedPageBreak/>
        <w:t>contar con un manual de contratación, en el que se señalen las funciones internas en materia contractual, las tareas que deban acometerse por virtud de la delegación o desconcentración de funciones, así como las que se derivan de la vigilancia y control de la ejecución contractual</w:t>
      </w:r>
      <w:r>
        <w:rPr>
          <w:rFonts w:ascii="Verdana" w:hAnsi="Verdana" w:cs="Arial"/>
          <w:bCs/>
          <w:lang w:val="es-ES_tradnl"/>
        </w:rPr>
        <w:t>”</w:t>
      </w:r>
      <w:r w:rsidRPr="00741A89">
        <w:rPr>
          <w:rFonts w:ascii="Verdana" w:hAnsi="Verdana" w:cs="Arial"/>
          <w:bCs/>
          <w:lang w:val="es-ES_tradnl"/>
        </w:rPr>
        <w:t>.</w:t>
      </w:r>
      <w:r>
        <w:rPr>
          <w:rFonts w:ascii="Verdana" w:hAnsi="Verdana" w:cs="Arial"/>
          <w:bCs/>
          <w:lang w:val="es-ES_tradnl"/>
        </w:rPr>
        <w:t xml:space="preserve"> Este contenido se reprodujo en el artículo </w:t>
      </w:r>
      <w:r w:rsidRPr="00741A89">
        <w:rPr>
          <w:rFonts w:ascii="Verdana" w:hAnsi="Verdana" w:cs="Arial"/>
          <w:bCs/>
          <w:lang w:val="es-ES_tradnl"/>
        </w:rPr>
        <w:t>8.1.11</w:t>
      </w:r>
      <w:r>
        <w:rPr>
          <w:rFonts w:ascii="Verdana" w:hAnsi="Verdana" w:cs="Arial"/>
          <w:bCs/>
          <w:lang w:val="es-ES_tradnl"/>
        </w:rPr>
        <w:t xml:space="preserve"> del Decreto 734 de 2012. </w:t>
      </w:r>
    </w:p>
    <w:p w14:paraId="3A955590" w14:textId="77777777" w:rsidR="00F262D3" w:rsidRDefault="00F262D3" w:rsidP="76058E84">
      <w:pPr>
        <w:spacing w:after="0" w:line="276" w:lineRule="auto"/>
        <w:ind w:firstLine="708"/>
        <w:jc w:val="both"/>
        <w:rPr>
          <w:rFonts w:ascii="Verdana" w:hAnsi="Verdana" w:cs="Arial"/>
          <w:lang w:val="es-ES"/>
        </w:rPr>
      </w:pPr>
      <w:r w:rsidRPr="76058E84">
        <w:rPr>
          <w:rFonts w:ascii="Verdana" w:hAnsi="Verdana" w:cs="Arial"/>
          <w:lang w:val="es-ES"/>
        </w:rPr>
        <w:t xml:space="preserve">Finalmente, el artículo 160 del Decreto 1510 de 2013 –compilado en el artículo 2.2.1.2.5.3 del Decreto 1082 de 2015– prescribía que “Las Entidades Estatales deben contar con un manual de contratación, el cual debe cumplir con los lineamientos que para el efecto señale Colombia Compra Eficiente”. Sin embargo, mediante la Sentencia 3 de abril de 2020, </w:t>
      </w:r>
      <w:proofErr w:type="spellStart"/>
      <w:r w:rsidRPr="76058E84">
        <w:rPr>
          <w:rFonts w:ascii="Verdana" w:hAnsi="Verdana" w:cs="Arial"/>
          <w:lang w:val="es-ES"/>
        </w:rPr>
        <w:t>exp</w:t>
      </w:r>
      <w:proofErr w:type="spellEnd"/>
      <w:r w:rsidRPr="76058E84">
        <w:rPr>
          <w:rFonts w:ascii="Verdana" w:hAnsi="Verdana" w:cs="Arial"/>
          <w:lang w:val="es-ES"/>
        </w:rPr>
        <w:t xml:space="preserve">. 50199, con ponencia del </w:t>
      </w:r>
      <w:proofErr w:type="gramStart"/>
      <w:r w:rsidRPr="76058E84">
        <w:rPr>
          <w:rFonts w:ascii="Verdana" w:hAnsi="Verdana" w:cs="Arial"/>
          <w:lang w:val="es-ES"/>
        </w:rPr>
        <w:t>Consejero</w:t>
      </w:r>
      <w:proofErr w:type="gramEnd"/>
      <w:r w:rsidRPr="76058E84">
        <w:rPr>
          <w:rFonts w:ascii="Verdana" w:hAnsi="Verdana" w:cs="Arial"/>
          <w:lang w:val="es-ES"/>
        </w:rPr>
        <w:t xml:space="preserve"> Alberto Montaña Plata, esta norma fue anulada por la Subsección B de la Sección Tercera del Consejo de Estado, para lo cual consideró que:</w:t>
      </w:r>
    </w:p>
    <w:p w14:paraId="0E004544" w14:textId="77777777" w:rsidR="00F262D3" w:rsidRDefault="00F262D3" w:rsidP="00F262D3">
      <w:pPr>
        <w:spacing w:after="0" w:line="276" w:lineRule="auto"/>
        <w:ind w:firstLine="708"/>
        <w:jc w:val="both"/>
        <w:rPr>
          <w:rFonts w:ascii="Verdana" w:hAnsi="Verdana" w:cs="Arial"/>
          <w:bCs/>
          <w:lang w:val="es-ES_tradnl"/>
        </w:rPr>
      </w:pPr>
    </w:p>
    <w:p w14:paraId="3B6DEDE9" w14:textId="77777777" w:rsidR="00F262D3" w:rsidRPr="008E70B3" w:rsidRDefault="00F262D3" w:rsidP="00F262D3">
      <w:pPr>
        <w:spacing w:after="120" w:line="240" w:lineRule="auto"/>
        <w:ind w:left="709" w:right="709"/>
        <w:jc w:val="both"/>
        <w:rPr>
          <w:rFonts w:ascii="Verdana" w:hAnsi="Verdana" w:cs="Arial"/>
          <w:bCs/>
          <w:sz w:val="21"/>
          <w:szCs w:val="21"/>
          <w:lang w:val="es-ES_tradnl"/>
        </w:rPr>
      </w:pPr>
      <w:r w:rsidRPr="008E70B3">
        <w:rPr>
          <w:rFonts w:ascii="Verdana" w:hAnsi="Verdana" w:cs="Arial"/>
          <w:bCs/>
          <w:sz w:val="21"/>
          <w:szCs w:val="21"/>
          <w:lang w:val="es-ES_tradnl"/>
        </w:rPr>
        <w:t>“[…] el artículo 158 instituyó el deber de Colombia Compra Eficiente de establecer los lineamientos y el formato que “</w:t>
      </w:r>
      <w:r w:rsidRPr="008E70B3">
        <w:rPr>
          <w:rFonts w:ascii="Verdana" w:hAnsi="Verdana" w:cs="Arial"/>
          <w:bCs/>
          <w:i/>
          <w:iCs/>
          <w:sz w:val="21"/>
          <w:szCs w:val="21"/>
          <w:lang w:val="es-ES_tradnl"/>
        </w:rPr>
        <w:t>deben ser utilizados</w:t>
      </w:r>
      <w:r w:rsidRPr="008E70B3">
        <w:rPr>
          <w:rFonts w:ascii="Verdana" w:hAnsi="Verdana" w:cs="Arial"/>
          <w:bCs/>
          <w:sz w:val="21"/>
          <w:szCs w:val="21"/>
          <w:lang w:val="es-ES_tradnl"/>
        </w:rPr>
        <w:t>” por las entidades para elaborar sus respectivos planes anuales de adquisiciones. Por su parte, el artículo 160 dispuso que la Agencia Nacional de Contratación debía señalar los lineamientos que “</w:t>
      </w:r>
      <w:r w:rsidRPr="008E70B3">
        <w:rPr>
          <w:rFonts w:ascii="Verdana" w:hAnsi="Verdana" w:cs="Arial"/>
          <w:bCs/>
          <w:i/>
          <w:iCs/>
          <w:sz w:val="21"/>
          <w:szCs w:val="21"/>
          <w:lang w:val="es-ES_tradnl"/>
        </w:rPr>
        <w:t>deben cumplir</w:t>
      </w:r>
      <w:r w:rsidRPr="008E70B3">
        <w:rPr>
          <w:rFonts w:ascii="Verdana" w:hAnsi="Verdana" w:cs="Arial"/>
          <w:bCs/>
          <w:sz w:val="21"/>
          <w:szCs w:val="21"/>
          <w:lang w:val="es-ES_tradnl"/>
        </w:rPr>
        <w:t>” las entidades estatales al elaborar sus manuales de contratación. En ambos casos, el reglamento le otorgó a CCE la potestad de reglamentar dos instrumentos puntuales en materia contractual con la expedición de normas de contenido obligatorio, que deben ser acatadas por todas las entidades públicas.</w:t>
      </w:r>
    </w:p>
    <w:p w14:paraId="034CE3EE" w14:textId="77777777" w:rsidR="00F262D3" w:rsidRDefault="00F262D3" w:rsidP="76058E84">
      <w:pPr>
        <w:spacing w:after="0" w:line="240" w:lineRule="auto"/>
        <w:ind w:left="709" w:right="709"/>
        <w:jc w:val="both"/>
        <w:rPr>
          <w:rFonts w:ascii="Verdana" w:hAnsi="Verdana" w:cs="Arial"/>
          <w:lang w:val="es-ES"/>
        </w:rPr>
      </w:pPr>
      <w:r w:rsidRPr="76058E84">
        <w:rPr>
          <w:rFonts w:ascii="Verdana" w:hAnsi="Verdana" w:cs="Arial"/>
          <w:sz w:val="21"/>
          <w:szCs w:val="21"/>
          <w:lang w:val="es-ES"/>
        </w:rPr>
        <w:t xml:space="preserve">50.  No resulta procedente que el </w:t>
      </w:r>
      <w:proofErr w:type="gramStart"/>
      <w:r w:rsidRPr="76058E84">
        <w:rPr>
          <w:rFonts w:ascii="Verdana" w:hAnsi="Verdana" w:cs="Arial"/>
          <w:sz w:val="21"/>
          <w:szCs w:val="21"/>
          <w:lang w:val="es-ES"/>
        </w:rPr>
        <w:t>Presidente</w:t>
      </w:r>
      <w:proofErr w:type="gramEnd"/>
      <w:r w:rsidRPr="76058E84">
        <w:rPr>
          <w:rFonts w:ascii="Verdana" w:hAnsi="Verdana" w:cs="Arial"/>
          <w:sz w:val="21"/>
          <w:szCs w:val="21"/>
          <w:lang w:val="es-ES"/>
        </w:rPr>
        <w:t xml:space="preserve"> de la República, a través de las normas demandadas, traslade a otra entidad, en este caso a Colombia Compra Eficiente, la reglamentación que le corresponde por mandato constitucional (artículo 189, numeral 11 de la Constitución Política de Colombia). Esto es, de las funciones asignadas a CCE en su norma de creación, que se circunscriben a desarrollar, implementar y difundir las políticas públicas, planes, programas, normas, instrumentos y herramientas que faciliten las compras públicas, no se puede pretender derivar una facultad reglamentaria”. (Énfasis dentro del texto)</w:t>
      </w:r>
    </w:p>
    <w:p w14:paraId="37D0E499" w14:textId="77777777" w:rsidR="00F262D3" w:rsidRDefault="00F262D3" w:rsidP="00F262D3">
      <w:pPr>
        <w:spacing w:after="0" w:line="276" w:lineRule="auto"/>
        <w:jc w:val="both"/>
        <w:rPr>
          <w:rFonts w:ascii="Verdana" w:hAnsi="Verdana" w:cs="Arial"/>
          <w:bCs/>
          <w:lang w:val="es-ES_tradnl"/>
        </w:rPr>
      </w:pPr>
    </w:p>
    <w:p w14:paraId="63DE91D5" w14:textId="77777777" w:rsidR="00F262D3" w:rsidRDefault="00F262D3" w:rsidP="00F262D3">
      <w:pPr>
        <w:spacing w:after="0" w:line="276" w:lineRule="auto"/>
        <w:jc w:val="both"/>
        <w:rPr>
          <w:rFonts w:ascii="Verdana" w:hAnsi="Verdana" w:cs="Arial"/>
          <w:bCs/>
          <w:lang w:val="es-ES_tradnl"/>
        </w:rPr>
      </w:pPr>
      <w:r>
        <w:rPr>
          <w:rFonts w:ascii="Verdana" w:hAnsi="Verdana" w:cs="Arial"/>
          <w:bCs/>
          <w:lang w:val="es-ES_tradnl"/>
        </w:rPr>
        <w:tab/>
        <w:t xml:space="preserve">Como se observa, la jurisprudencia no proscribe los manuales de contratación, sino que éstos deban acatar los lineamientos de la ANCP – CCE. Es decir, con la nulidad del </w:t>
      </w:r>
      <w:r w:rsidRPr="008F0A59">
        <w:rPr>
          <w:rFonts w:ascii="Verdana" w:hAnsi="Verdana" w:cs="Arial"/>
          <w:bCs/>
          <w:lang w:val="es-ES_tradnl"/>
        </w:rPr>
        <w:t>artículo 160 del Decreto 1510 de 2013</w:t>
      </w:r>
      <w:r>
        <w:rPr>
          <w:rFonts w:ascii="Verdana" w:hAnsi="Verdana" w:cs="Arial"/>
          <w:bCs/>
          <w:lang w:val="es-ES_tradnl"/>
        </w:rPr>
        <w:t>, la expedición del</w:t>
      </w:r>
      <w:r w:rsidRPr="00161FD5">
        <w:rPr>
          <w:rFonts w:ascii="Verdana" w:hAnsi="Verdana" w:cs="Arial"/>
          <w:bCs/>
          <w:lang w:val="es-ES_tradnl"/>
        </w:rPr>
        <w:t xml:space="preserve"> manual de contratación,</w:t>
      </w:r>
      <w:r>
        <w:rPr>
          <w:rFonts w:ascii="Verdana" w:hAnsi="Verdana" w:cs="Arial"/>
          <w:bCs/>
          <w:lang w:val="es-ES_tradnl"/>
        </w:rPr>
        <w:t xml:space="preserve"> </w:t>
      </w:r>
      <w:r w:rsidRPr="00161FD5">
        <w:rPr>
          <w:rFonts w:ascii="Verdana" w:hAnsi="Verdana" w:cs="Arial"/>
          <w:bCs/>
          <w:lang w:val="es-ES_tradnl"/>
        </w:rPr>
        <w:t>más que un deber, es una facultad de las entidades sometidas al Estatuto</w:t>
      </w:r>
      <w:r>
        <w:rPr>
          <w:rFonts w:ascii="Verdana" w:hAnsi="Verdana" w:cs="Arial"/>
          <w:bCs/>
          <w:lang w:val="es-ES_tradnl"/>
        </w:rPr>
        <w:t xml:space="preserve"> </w:t>
      </w:r>
      <w:r w:rsidRPr="00161FD5">
        <w:rPr>
          <w:rFonts w:ascii="Verdana" w:hAnsi="Verdana" w:cs="Arial"/>
          <w:bCs/>
          <w:lang w:val="es-ES_tradnl"/>
        </w:rPr>
        <w:t>General de la Contratación</w:t>
      </w:r>
      <w:r>
        <w:rPr>
          <w:rFonts w:ascii="Verdana" w:hAnsi="Verdana" w:cs="Arial"/>
          <w:bCs/>
          <w:lang w:val="es-ES_tradnl"/>
        </w:rPr>
        <w:t xml:space="preserve"> de la Administración Pública</w:t>
      </w:r>
      <w:r w:rsidRPr="00161FD5">
        <w:rPr>
          <w:rFonts w:ascii="Verdana" w:hAnsi="Verdana" w:cs="Arial"/>
          <w:bCs/>
          <w:lang w:val="es-ES_tradnl"/>
        </w:rPr>
        <w:t>.</w:t>
      </w:r>
      <w:r>
        <w:rPr>
          <w:rFonts w:ascii="Verdana" w:hAnsi="Verdana" w:cs="Arial"/>
          <w:bCs/>
          <w:lang w:val="es-ES_tradnl"/>
        </w:rPr>
        <w:t xml:space="preserve"> Como se explicó </w:t>
      </w:r>
      <w:r w:rsidRPr="00161FD5">
        <w:rPr>
          <w:rFonts w:ascii="Verdana" w:hAnsi="Verdana" w:cs="Arial"/>
          <w:bCs/>
          <w:i/>
          <w:iCs/>
          <w:lang w:val="es-ES_tradnl"/>
        </w:rPr>
        <w:t>ut supra</w:t>
      </w:r>
      <w:r>
        <w:rPr>
          <w:rFonts w:ascii="Verdana" w:hAnsi="Verdana" w:cs="Arial"/>
          <w:bCs/>
          <w:lang w:val="es-ES_tradnl"/>
        </w:rPr>
        <w:t xml:space="preserve">, dichos manuales hacen parte de la potestad de </w:t>
      </w:r>
      <w:r>
        <w:rPr>
          <w:rFonts w:ascii="Verdana" w:hAnsi="Verdana" w:cs="Arial"/>
          <w:bCs/>
          <w:lang w:val="es-ES_tradnl"/>
        </w:rPr>
        <w:lastRenderedPageBreak/>
        <w:t xml:space="preserve">autoorganización de las entidades estatales; razón por la cual, su adopción constituye una buena práctica contractual.    </w:t>
      </w:r>
    </w:p>
    <w:p w14:paraId="6C8D7776" w14:textId="77777777" w:rsidR="00F262D3" w:rsidRPr="00817382" w:rsidRDefault="00F262D3" w:rsidP="00F262D3">
      <w:pPr>
        <w:spacing w:after="0" w:line="276" w:lineRule="auto"/>
        <w:jc w:val="both"/>
        <w:rPr>
          <w:rFonts w:ascii="Verdana" w:hAnsi="Verdana" w:cs="Arial"/>
          <w:lang w:val="es-ES_tradnl" w:eastAsia="es-ES"/>
        </w:rPr>
      </w:pPr>
    </w:p>
    <w:p w14:paraId="0A2CD6F7" w14:textId="77777777" w:rsidR="00F262D3" w:rsidRPr="00817382" w:rsidRDefault="00F262D3" w:rsidP="76058E84">
      <w:pPr>
        <w:widowControl w:val="0"/>
        <w:autoSpaceDE w:val="0"/>
        <w:autoSpaceDN w:val="0"/>
        <w:spacing w:after="0" w:line="276" w:lineRule="auto"/>
        <w:jc w:val="both"/>
        <w:rPr>
          <w:rFonts w:ascii="Verdana" w:hAnsi="Verdana" w:cs="Arial"/>
          <w:lang w:val="es-ES" w:eastAsia="es-ES"/>
        </w:rPr>
      </w:pPr>
      <w:r w:rsidRPr="76058E84">
        <w:rPr>
          <w:rFonts w:ascii="Verdana" w:hAnsi="Verdana" w:cs="Arial"/>
          <w:lang w:val="es-ES" w:eastAsia="es-ES"/>
        </w:rPr>
        <w:t xml:space="preserve">vi. Al margen de la explicación precedente debe advertirse que el análisis requerido para resolver problemas específicos en torno a </w:t>
      </w:r>
      <w:r w:rsidRPr="76058E84">
        <w:rPr>
          <w:rFonts w:ascii="Verdana" w:eastAsia="Calibri" w:hAnsi="Verdana" w:cs="Arial"/>
          <w:color w:val="000000" w:themeColor="text1"/>
          <w:lang w:val="es-ES"/>
        </w:rPr>
        <w:t>la contratación de las entidades estatales</w:t>
      </w:r>
      <w:r w:rsidRPr="76058E84">
        <w:rPr>
          <w:rFonts w:ascii="Verdana" w:hAnsi="Verdana" w:cs="Arial"/>
          <w:lang w:val="es-ES" w:eastAsia="es-ES"/>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53F8730" w14:textId="77777777" w:rsidR="00F262D3" w:rsidRPr="00817382" w:rsidRDefault="00F262D3" w:rsidP="76058E84">
      <w:pPr>
        <w:spacing w:before="120" w:after="0" w:line="276" w:lineRule="auto"/>
        <w:ind w:firstLine="709"/>
        <w:jc w:val="both"/>
        <w:rPr>
          <w:rFonts w:ascii="Verdana" w:hAnsi="Verdana" w:cs="Arial"/>
          <w:lang w:val="es-ES" w:eastAsia="es-ES"/>
        </w:rPr>
      </w:pPr>
      <w:r w:rsidRPr="76058E84">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13224E4" w14:textId="77777777" w:rsidR="00F262D3" w:rsidRPr="00817382" w:rsidRDefault="00F262D3" w:rsidP="00F262D3">
      <w:pPr>
        <w:spacing w:after="0" w:line="276" w:lineRule="auto"/>
        <w:ind w:firstLine="709"/>
        <w:jc w:val="both"/>
        <w:rPr>
          <w:rFonts w:ascii="Verdana" w:hAnsi="Verdana" w:cs="Arial"/>
          <w:lang w:val="es-ES_tradnl" w:eastAsia="es-ES"/>
        </w:rPr>
      </w:pPr>
    </w:p>
    <w:p w14:paraId="1BBDFA40" w14:textId="77777777" w:rsidR="00F262D3" w:rsidRPr="00817382" w:rsidRDefault="00F262D3" w:rsidP="00F262D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Referencias normativas:</w:t>
      </w:r>
    </w:p>
    <w:p w14:paraId="62361E4C"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262D3" w:rsidRPr="00817382" w14:paraId="375CB93D" w14:textId="77777777" w:rsidTr="008764DE">
        <w:trPr>
          <w:trHeight w:val="870"/>
          <w:jc w:val="center"/>
        </w:trPr>
        <w:tc>
          <w:tcPr>
            <w:tcW w:w="8647" w:type="dxa"/>
          </w:tcPr>
          <w:p w14:paraId="51353A87" w14:textId="77777777" w:rsidR="00F262D3" w:rsidRPr="00817382" w:rsidRDefault="00F262D3" w:rsidP="00F262D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t>Constitución Política de 1991, artículo 150.</w:t>
            </w:r>
          </w:p>
          <w:p w14:paraId="02131C9F" w14:textId="77777777" w:rsidR="00F262D3" w:rsidRPr="00817382" w:rsidRDefault="00F262D3" w:rsidP="00F262D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t>Ley 80 de 1993, artículos 2, 13, 32 y 40.</w:t>
            </w:r>
          </w:p>
          <w:p w14:paraId="323DAF7E" w14:textId="77777777" w:rsidR="00F262D3" w:rsidRPr="00D50589" w:rsidRDefault="00F262D3" w:rsidP="00F262D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ES_tradnl"/>
              </w:rPr>
            </w:pPr>
            <w:r w:rsidRPr="00817382">
              <w:rPr>
                <w:rFonts w:ascii="Verdana" w:hAnsi="Verdana" w:cs="Arial"/>
                <w:lang w:val="es-ES_tradnl"/>
              </w:rPr>
              <w:t>Ley 1150 de 2007, artículos 2 y 13.</w:t>
            </w:r>
          </w:p>
          <w:p w14:paraId="0382434E" w14:textId="77777777" w:rsidR="00F262D3" w:rsidRPr="00817382" w:rsidRDefault="00F262D3" w:rsidP="00F262D3">
            <w:pPr>
              <w:pStyle w:val="Prrafodelista"/>
              <w:widowControl w:val="0"/>
              <w:numPr>
                <w:ilvl w:val="0"/>
                <w:numId w:val="17"/>
              </w:numPr>
              <w:autoSpaceDE w:val="0"/>
              <w:autoSpaceDN w:val="0"/>
              <w:spacing w:line="276" w:lineRule="auto"/>
              <w:ind w:left="714" w:hanging="357"/>
              <w:contextualSpacing w:val="0"/>
              <w:jc w:val="both"/>
              <w:rPr>
                <w:rFonts w:ascii="Verdana" w:hAnsi="Verdana" w:cs="Arial"/>
                <w:lang w:val="es-ES_tradnl"/>
              </w:rPr>
            </w:pPr>
            <w:r w:rsidRPr="00817382">
              <w:rPr>
                <w:rFonts w:ascii="Verdana" w:hAnsi="Verdana" w:cs="Arial"/>
                <w:lang w:val="es-ES_tradnl"/>
              </w:rPr>
              <w:t xml:space="preserve">Decreto 111 de 1996, artículo 110. </w:t>
            </w:r>
          </w:p>
        </w:tc>
      </w:tr>
    </w:tbl>
    <w:p w14:paraId="7B3B31F2"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p>
    <w:p w14:paraId="28F81A7C" w14:textId="77777777" w:rsidR="00F262D3" w:rsidRPr="00817382" w:rsidRDefault="00F262D3" w:rsidP="00F262D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ES_tradnl"/>
        </w:rPr>
      </w:pPr>
      <w:r w:rsidRPr="00817382">
        <w:rPr>
          <w:rFonts w:ascii="Verdana" w:eastAsia="Century Gothic" w:hAnsi="Verdana" w:cs="Century Gothic"/>
          <w:b/>
          <w:bCs/>
          <w:lang w:val="es-ES_tradnl"/>
        </w:rPr>
        <w:t>Doctrina de la Agencia Nacional de Contratación Pública:</w:t>
      </w:r>
    </w:p>
    <w:p w14:paraId="511CCD67"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p>
    <w:p w14:paraId="5900D7C3" w14:textId="77777777" w:rsidR="00F262D3" w:rsidRPr="00817382" w:rsidRDefault="00F262D3" w:rsidP="00F262D3">
      <w:pPr>
        <w:widowControl w:val="0"/>
        <w:autoSpaceDE w:val="0"/>
        <w:autoSpaceDN w:val="0"/>
        <w:spacing w:after="0" w:line="276" w:lineRule="auto"/>
        <w:jc w:val="both"/>
        <w:rPr>
          <w:rStyle w:val="normaltextrun"/>
          <w:rFonts w:ascii="Verdana" w:hAnsi="Verdana" w:cs="Arial"/>
          <w:shd w:val="clear" w:color="auto" w:fill="FFFFFF"/>
          <w:lang w:val="es-ES_tradnl"/>
        </w:rPr>
      </w:pPr>
      <w:r w:rsidRPr="00817382">
        <w:rPr>
          <w:rFonts w:ascii="Verdana" w:hAnsi="Verdana" w:cs="Arial"/>
          <w:shd w:val="clear" w:color="auto" w:fill="FFFFFF"/>
          <w:lang w:val="es-ES_tradnl"/>
        </w:rPr>
        <w:t>Est</w:t>
      </w:r>
      <w:r>
        <w:rPr>
          <w:rFonts w:ascii="Verdana" w:hAnsi="Verdana" w:cs="Arial"/>
          <w:shd w:val="clear" w:color="auto" w:fill="FFFFFF"/>
          <w:lang w:val="es-ES_tradnl"/>
        </w:rPr>
        <w:t>e</w:t>
      </w:r>
      <w:r w:rsidRPr="00817382">
        <w:rPr>
          <w:rFonts w:ascii="Verdana" w:hAnsi="Verdana" w:cs="Arial"/>
          <w:shd w:val="clear" w:color="auto" w:fill="FFFFFF"/>
          <w:lang w:val="es-ES_tradnl"/>
        </w:rPr>
        <w:t xml:space="preserve"> y otros</w:t>
      </w:r>
      <w:r>
        <w:rPr>
          <w:rFonts w:ascii="Verdana" w:hAnsi="Verdana" w:cs="Arial"/>
          <w:shd w:val="clear" w:color="auto" w:fill="FFFFFF"/>
          <w:lang w:val="es-ES_tradnl"/>
        </w:rPr>
        <w:t xml:space="preserve"> conceptos de las Subdirección</w:t>
      </w:r>
      <w:r w:rsidRPr="00817382">
        <w:rPr>
          <w:rFonts w:ascii="Verdana" w:hAnsi="Verdana" w:cs="Arial"/>
          <w:shd w:val="clear" w:color="auto" w:fill="FFFFFF"/>
          <w:lang w:val="es-ES_tradnl"/>
        </w:rPr>
        <w:t xml:space="preserve"> </w:t>
      </w:r>
      <w:r w:rsidRPr="00817382">
        <w:rPr>
          <w:rStyle w:val="normaltextrun"/>
          <w:rFonts w:ascii="Verdana" w:hAnsi="Verdana" w:cs="Arial"/>
          <w:shd w:val="clear" w:color="auto" w:fill="FFFFFF"/>
          <w:lang w:val="es-ES_tradnl"/>
        </w:rPr>
        <w:t xml:space="preserve">se encuentran disponibles para consulta en el Sistema de relatoría de la Agencia, al cual puede accederse a través del siguiente enlace: </w:t>
      </w:r>
      <w:hyperlink r:id="rId12" w:history="1">
        <w:r w:rsidRPr="00817382">
          <w:rPr>
            <w:rStyle w:val="Hipervnculo"/>
            <w:rFonts w:ascii="Verdana" w:hAnsi="Verdana" w:cs="Arial"/>
            <w:shd w:val="clear" w:color="auto" w:fill="FFFFFF"/>
            <w:lang w:val="es-ES_tradnl"/>
          </w:rPr>
          <w:t>https://relatoria.colombiacompra.gov.co/busqueda/conceptos</w:t>
        </w:r>
      </w:hyperlink>
      <w:r w:rsidRPr="00817382">
        <w:rPr>
          <w:rStyle w:val="normaltextrun"/>
          <w:rFonts w:ascii="Verdana" w:hAnsi="Verdana" w:cs="Arial"/>
          <w:shd w:val="clear" w:color="auto" w:fill="FFFFFF"/>
          <w:lang w:val="es-ES_tradnl"/>
        </w:rPr>
        <w:t xml:space="preserve">. </w:t>
      </w:r>
      <w:r w:rsidRPr="00817382">
        <w:rPr>
          <w:rStyle w:val="normaltextrun"/>
          <w:rFonts w:ascii="Verdana" w:hAnsi="Verdana" w:cs="Arial"/>
          <w:color w:val="FF0000"/>
          <w:shd w:val="clear" w:color="auto" w:fill="FFFFFF"/>
          <w:lang w:val="es-ES_tradnl"/>
        </w:rPr>
        <w:t xml:space="preserve"> </w:t>
      </w:r>
    </w:p>
    <w:p w14:paraId="10622A89" w14:textId="77777777" w:rsidR="00F262D3" w:rsidRPr="00817382" w:rsidRDefault="00F262D3" w:rsidP="00F262D3">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p>
    <w:p w14:paraId="21068351" w14:textId="77777777" w:rsidR="00F262D3" w:rsidRPr="00817382" w:rsidRDefault="00F262D3" w:rsidP="00F262D3">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r w:rsidRPr="00096788">
        <w:rPr>
          <w:rFonts w:ascii="Verdana" w:hAnsi="Verdana" w:cs="Arial"/>
          <w:color w:val="000000" w:themeColor="text1"/>
          <w:shd w:val="clear" w:color="auto" w:fill="FFFFFF"/>
        </w:rPr>
        <w:t>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r w:rsidRPr="00817382">
        <w:rPr>
          <w:rStyle w:val="normaltextrun"/>
          <w:rFonts w:ascii="Verdana" w:hAnsi="Verdana" w:cs="Arial"/>
          <w:color w:val="FF0000"/>
          <w:shd w:val="clear" w:color="auto" w:fill="FFFFFF"/>
          <w:lang w:val="es-ES_tradnl"/>
        </w:rPr>
        <w:t xml:space="preserve">     </w:t>
      </w:r>
    </w:p>
    <w:p w14:paraId="11E88116"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p>
    <w:p w14:paraId="1FACE77C"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r w:rsidRPr="00817382">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7394641" w14:textId="77777777" w:rsidR="00F262D3" w:rsidRPr="00817382" w:rsidRDefault="00F262D3" w:rsidP="00F262D3">
      <w:pPr>
        <w:widowControl w:val="0"/>
        <w:autoSpaceDE w:val="0"/>
        <w:autoSpaceDN w:val="0"/>
        <w:spacing w:after="0" w:line="276" w:lineRule="auto"/>
        <w:jc w:val="both"/>
        <w:rPr>
          <w:rFonts w:ascii="Verdana" w:hAnsi="Verdana" w:cs="Arial"/>
          <w:lang w:val="es-ES_tradnl"/>
        </w:rPr>
      </w:pPr>
    </w:p>
    <w:p w14:paraId="7B490D04" w14:textId="77777777" w:rsidR="00F262D3" w:rsidRPr="00817382" w:rsidRDefault="00F262D3" w:rsidP="00F262D3">
      <w:pPr>
        <w:spacing w:after="0" w:line="240" w:lineRule="auto"/>
        <w:rPr>
          <w:rFonts w:ascii="Verdana" w:hAnsi="Verdana" w:cs="Arial"/>
          <w:lang w:val="es-ES_tradnl" w:eastAsia="es-CO"/>
        </w:rPr>
      </w:pPr>
      <w:r w:rsidRPr="00817382">
        <w:rPr>
          <w:rFonts w:ascii="Verdana" w:eastAsia="Times New Roman" w:hAnsi="Verdana" w:cs="Arial"/>
          <w:lang w:val="es-ES_tradnl" w:eastAsia="es-CO"/>
        </w:rPr>
        <w:t>Atentamente,</w:t>
      </w:r>
      <w:r w:rsidRPr="00817382">
        <w:rPr>
          <w:rFonts w:ascii="Verdana" w:hAnsi="Verdana" w:cs="Arial"/>
          <w:lang w:val="es-ES_tradnl" w:eastAsia="es-CO"/>
        </w:rPr>
        <w:t xml:space="preserve"> </w:t>
      </w:r>
    </w:p>
    <w:p w14:paraId="3C8557C0" w14:textId="614317F5" w:rsidR="00F262D3" w:rsidRPr="00817382" w:rsidRDefault="00C262D5" w:rsidP="00F262D3">
      <w:pPr>
        <w:spacing w:line="276" w:lineRule="auto"/>
        <w:jc w:val="center"/>
        <w:rPr>
          <w:rFonts w:ascii="Verdana" w:hAnsi="Verdana" w:cs="Arial"/>
          <w:color w:val="000000"/>
          <w:lang w:val="es-ES_tradnl" w:eastAsia="es-CO"/>
        </w:rPr>
      </w:pPr>
      <w:r>
        <w:rPr>
          <w:noProof/>
        </w:rPr>
        <w:drawing>
          <wp:inline distT="0" distB="0" distL="0" distR="0" wp14:anchorId="65FAFB6D" wp14:editId="688C743D">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262D3" w:rsidRPr="00817382" w14:paraId="5C73E726" w14:textId="77777777" w:rsidTr="56EA2E15">
        <w:trPr>
          <w:trHeight w:val="315"/>
        </w:trPr>
        <w:tc>
          <w:tcPr>
            <w:tcW w:w="893" w:type="dxa"/>
            <w:vAlign w:val="center"/>
            <w:hideMark/>
          </w:tcPr>
          <w:p w14:paraId="62843FFB" w14:textId="77777777" w:rsidR="00F262D3" w:rsidRPr="00817382" w:rsidRDefault="00F262D3" w:rsidP="008764DE">
            <w:pPr>
              <w:contextualSpacing/>
              <w:rPr>
                <w:rFonts w:ascii="Verdana" w:hAnsi="Verdana" w:cs="Arial"/>
                <w:sz w:val="16"/>
                <w:szCs w:val="16"/>
                <w:lang w:val="es-ES_tradnl" w:eastAsia="es-ES"/>
              </w:rPr>
            </w:pPr>
            <w:r w:rsidRPr="00817382">
              <w:rPr>
                <w:rFonts w:ascii="Verdana"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06977B38" w14:textId="77777777" w:rsidR="00F262D3" w:rsidRPr="00817382" w:rsidRDefault="00F262D3" w:rsidP="008764DE">
            <w:pPr>
              <w:contextualSpacing/>
              <w:rPr>
                <w:rStyle w:val="normaltextrun"/>
                <w:rFonts w:ascii="Verdana" w:hAnsi="Verdana"/>
                <w:sz w:val="16"/>
                <w:szCs w:val="16"/>
                <w:lang w:val="es-ES_tradnl"/>
              </w:rPr>
            </w:pPr>
            <w:r w:rsidRPr="00817382">
              <w:rPr>
                <w:rStyle w:val="normaltextrun"/>
                <w:rFonts w:ascii="Verdana" w:hAnsi="Verdana"/>
                <w:sz w:val="16"/>
                <w:szCs w:val="16"/>
                <w:lang w:val="es-ES_tradnl"/>
              </w:rPr>
              <w:t>Juan David Montoya Penagos</w:t>
            </w:r>
          </w:p>
          <w:p w14:paraId="7C5ED08F" w14:textId="77777777" w:rsidR="00F262D3" w:rsidRPr="00817382" w:rsidRDefault="00F262D3" w:rsidP="008764DE">
            <w:pPr>
              <w:contextualSpacing/>
              <w:rPr>
                <w:rFonts w:ascii="Verdana" w:eastAsia="Arial" w:hAnsi="Verdana" w:cs="Arial"/>
                <w:sz w:val="16"/>
                <w:szCs w:val="16"/>
                <w:lang w:val="es-ES_tradnl"/>
              </w:rPr>
            </w:pPr>
            <w:r w:rsidRPr="00817382">
              <w:rPr>
                <w:rStyle w:val="normaltextrun"/>
                <w:rFonts w:ascii="Verdana" w:hAnsi="Verdana"/>
                <w:sz w:val="16"/>
                <w:szCs w:val="16"/>
                <w:lang w:val="es-ES_tradnl"/>
              </w:rPr>
              <w:t>Contratista de la Subdirección de Gestión Contractual</w:t>
            </w:r>
          </w:p>
        </w:tc>
      </w:tr>
      <w:tr w:rsidR="00F262D3" w:rsidRPr="00817382" w14:paraId="53C63741" w14:textId="77777777" w:rsidTr="56EA2E15">
        <w:trPr>
          <w:trHeight w:val="330"/>
        </w:trPr>
        <w:tc>
          <w:tcPr>
            <w:tcW w:w="893" w:type="dxa"/>
            <w:vAlign w:val="center"/>
            <w:hideMark/>
          </w:tcPr>
          <w:p w14:paraId="6577778A" w14:textId="77777777" w:rsidR="00F262D3" w:rsidRPr="00817382" w:rsidRDefault="00F262D3" w:rsidP="008764DE">
            <w:pPr>
              <w:contextualSpacing/>
              <w:rPr>
                <w:rFonts w:ascii="Verdana" w:hAnsi="Verdana" w:cs="Arial"/>
                <w:sz w:val="16"/>
                <w:szCs w:val="16"/>
                <w:lang w:val="es-ES_tradnl" w:eastAsia="es-ES"/>
              </w:rPr>
            </w:pPr>
            <w:r w:rsidRPr="00817382">
              <w:rPr>
                <w:rFonts w:ascii="Verdana"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31E810" w14:textId="77777777" w:rsidR="00F262D3" w:rsidRPr="00817382" w:rsidRDefault="00F262D3" w:rsidP="008764DE">
            <w:pPr>
              <w:pStyle w:val="paragraph"/>
              <w:spacing w:after="0"/>
              <w:contextualSpacing/>
              <w:textAlignment w:val="baseline"/>
              <w:rPr>
                <w:rStyle w:val="normaltextrun"/>
                <w:rFonts w:ascii="Verdana" w:hAnsi="Verdana" w:cs="Arial"/>
                <w:sz w:val="16"/>
                <w:szCs w:val="16"/>
                <w:lang w:val="es-ES_tradnl"/>
              </w:rPr>
            </w:pPr>
            <w:r w:rsidRPr="00817382">
              <w:rPr>
                <w:rStyle w:val="normaltextrun"/>
                <w:rFonts w:ascii="Verdana" w:hAnsi="Verdana" w:cs="Arial"/>
                <w:sz w:val="16"/>
                <w:szCs w:val="16"/>
                <w:lang w:val="es-ES_tradnl"/>
              </w:rPr>
              <w:t>Alejandro Sarmiento Cantillo</w:t>
            </w:r>
          </w:p>
          <w:p w14:paraId="1CA07C1D" w14:textId="77777777" w:rsidR="00F262D3" w:rsidRPr="00817382" w:rsidRDefault="00F262D3" w:rsidP="008764DE">
            <w:pPr>
              <w:pStyle w:val="paragraph"/>
              <w:spacing w:before="0" w:beforeAutospacing="0" w:after="0" w:afterAutospacing="0"/>
              <w:contextualSpacing/>
              <w:textAlignment w:val="baseline"/>
              <w:rPr>
                <w:rFonts w:ascii="Verdana" w:hAnsi="Verdana" w:cs="Segoe UI"/>
                <w:sz w:val="16"/>
                <w:szCs w:val="16"/>
                <w:lang w:val="es-ES_tradnl"/>
              </w:rPr>
            </w:pPr>
            <w:r w:rsidRPr="00817382">
              <w:rPr>
                <w:rStyle w:val="normaltextrun"/>
                <w:rFonts w:ascii="Verdana" w:hAnsi="Verdana" w:cs="Arial"/>
                <w:sz w:val="16"/>
                <w:szCs w:val="16"/>
                <w:lang w:val="es-ES_tradnl"/>
              </w:rPr>
              <w:t>Gestor T1 ‒ 15 de la Subdirección de Gestión Contractual</w:t>
            </w:r>
          </w:p>
        </w:tc>
      </w:tr>
      <w:tr w:rsidR="00F262D3" w:rsidRPr="00817382" w14:paraId="4E95EF18" w14:textId="77777777" w:rsidTr="56EA2E15">
        <w:trPr>
          <w:trHeight w:val="300"/>
        </w:trPr>
        <w:tc>
          <w:tcPr>
            <w:tcW w:w="893" w:type="dxa"/>
            <w:vAlign w:val="center"/>
          </w:tcPr>
          <w:p w14:paraId="7642A6D4" w14:textId="77777777" w:rsidR="00F262D3" w:rsidRPr="00817382" w:rsidRDefault="00F262D3" w:rsidP="008764DE">
            <w:pPr>
              <w:contextualSpacing/>
              <w:rPr>
                <w:rFonts w:ascii="Verdana" w:hAnsi="Verdana" w:cs="Arial"/>
                <w:sz w:val="16"/>
                <w:szCs w:val="16"/>
                <w:lang w:val="es-ES_tradnl" w:eastAsia="es-ES"/>
              </w:rPr>
            </w:pPr>
            <w:r w:rsidRPr="00817382">
              <w:rPr>
                <w:rFonts w:ascii="Verdana"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071AA2" w14:textId="77777777" w:rsidR="00F262D3" w:rsidRPr="00817382" w:rsidRDefault="00F262D3" w:rsidP="56EA2E15">
            <w:pPr>
              <w:contextualSpacing/>
              <w:rPr>
                <w:rFonts w:ascii="Verdana" w:eastAsia="Calibri" w:hAnsi="Verdana" w:cs="Arial"/>
                <w:sz w:val="16"/>
                <w:szCs w:val="16"/>
                <w:lang w:val="es-ES" w:eastAsia="es-ES"/>
              </w:rPr>
            </w:pPr>
            <w:r w:rsidRPr="56EA2E15">
              <w:rPr>
                <w:rFonts w:ascii="Verdana" w:eastAsia="Calibri" w:hAnsi="Verdana" w:cs="Arial"/>
                <w:sz w:val="16"/>
                <w:szCs w:val="16"/>
                <w:lang w:val="es-ES" w:eastAsia="es-ES"/>
              </w:rPr>
              <w:t xml:space="preserve">Carolina Quintero </w:t>
            </w:r>
            <w:proofErr w:type="spellStart"/>
            <w:r w:rsidRPr="56EA2E15">
              <w:rPr>
                <w:rFonts w:ascii="Verdana" w:eastAsia="Calibri" w:hAnsi="Verdana" w:cs="Arial"/>
                <w:sz w:val="16"/>
                <w:szCs w:val="16"/>
                <w:lang w:val="es-ES" w:eastAsia="es-ES"/>
              </w:rPr>
              <w:t>Gacharná</w:t>
            </w:r>
            <w:proofErr w:type="spellEnd"/>
          </w:p>
          <w:p w14:paraId="0995B037" w14:textId="77777777" w:rsidR="00F262D3" w:rsidRPr="00817382" w:rsidRDefault="00F262D3" w:rsidP="008764DE">
            <w:pPr>
              <w:contextualSpacing/>
              <w:rPr>
                <w:rFonts w:ascii="Verdana" w:eastAsia="Calibri" w:hAnsi="Verdana" w:cs="Arial"/>
                <w:sz w:val="16"/>
                <w:szCs w:val="16"/>
                <w:lang w:val="es-ES_tradnl" w:eastAsia="es-ES"/>
              </w:rPr>
            </w:pPr>
            <w:r w:rsidRPr="00817382">
              <w:rPr>
                <w:rFonts w:ascii="Verdana" w:eastAsia="Calibri" w:hAnsi="Verdana" w:cs="Arial"/>
                <w:sz w:val="16"/>
                <w:szCs w:val="16"/>
                <w:lang w:val="es-ES_tradnl" w:eastAsia="es-ES"/>
              </w:rPr>
              <w:t>Subdirectora de Gestión Contractual ANCP – CCE</w:t>
            </w:r>
          </w:p>
        </w:tc>
      </w:tr>
    </w:tbl>
    <w:p w14:paraId="69023FA3" w14:textId="77777777" w:rsidR="00F262D3" w:rsidRPr="00817382" w:rsidRDefault="00F262D3" w:rsidP="00F262D3">
      <w:pPr>
        <w:spacing w:after="0" w:line="240" w:lineRule="auto"/>
        <w:rPr>
          <w:rFonts w:ascii="Verdana" w:eastAsia="Times New Roman" w:hAnsi="Verdana" w:cs="Arial"/>
          <w:sz w:val="24"/>
          <w:szCs w:val="24"/>
          <w:lang w:val="es-ES_tradnl" w:eastAsia="es-ES"/>
        </w:rPr>
      </w:pPr>
    </w:p>
    <w:p w14:paraId="0F293BF4" w14:textId="6AF7BBED" w:rsidR="00127233" w:rsidRPr="00F262D3" w:rsidRDefault="00127233" w:rsidP="009415E7">
      <w:pPr>
        <w:rPr>
          <w:lang w:val="es-ES_tradnl"/>
        </w:rPr>
      </w:pPr>
    </w:p>
    <w:sectPr w:rsidR="00127233" w:rsidRPr="00F262D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2986A" w14:textId="77777777" w:rsidR="003005D1" w:rsidRDefault="003005D1" w:rsidP="004A1847">
      <w:pPr>
        <w:spacing w:after="0" w:line="240" w:lineRule="auto"/>
      </w:pPr>
      <w:r>
        <w:separator/>
      </w:r>
    </w:p>
  </w:endnote>
  <w:endnote w:type="continuationSeparator" w:id="0">
    <w:p w14:paraId="7031B33A" w14:textId="77777777" w:rsidR="003005D1" w:rsidRDefault="003005D1" w:rsidP="004A1847">
      <w:pPr>
        <w:spacing w:after="0" w:line="240" w:lineRule="auto"/>
      </w:pPr>
      <w:r>
        <w:continuationSeparator/>
      </w:r>
    </w:p>
  </w:endnote>
  <w:endnote w:type="continuationNotice" w:id="1">
    <w:p w14:paraId="7E711259" w14:textId="77777777" w:rsidR="003005D1" w:rsidRDefault="003005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90A89" w14:textId="77777777" w:rsidR="003005D1" w:rsidRDefault="003005D1" w:rsidP="004A1847">
      <w:pPr>
        <w:spacing w:after="0" w:line="240" w:lineRule="auto"/>
      </w:pPr>
      <w:r>
        <w:separator/>
      </w:r>
    </w:p>
  </w:footnote>
  <w:footnote w:type="continuationSeparator" w:id="0">
    <w:p w14:paraId="6A31ED18" w14:textId="77777777" w:rsidR="003005D1" w:rsidRDefault="003005D1" w:rsidP="004A1847">
      <w:pPr>
        <w:spacing w:after="0" w:line="240" w:lineRule="auto"/>
      </w:pPr>
      <w:r>
        <w:continuationSeparator/>
      </w:r>
    </w:p>
  </w:footnote>
  <w:footnote w:type="continuationNotice" w:id="1">
    <w:p w14:paraId="71CEF7A2" w14:textId="77777777" w:rsidR="003005D1" w:rsidRDefault="003005D1">
      <w:pPr>
        <w:spacing w:after="0" w:line="240" w:lineRule="auto"/>
      </w:pPr>
    </w:p>
  </w:footnote>
  <w:footnote w:id="2">
    <w:p w14:paraId="2DE08F60" w14:textId="77777777" w:rsidR="00F262D3" w:rsidRPr="001244F3" w:rsidRDefault="00F262D3" w:rsidP="00F262D3">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AE92B4C" w14:textId="77777777" w:rsidR="00F262D3" w:rsidRPr="001244F3" w:rsidRDefault="00F262D3" w:rsidP="00F262D3">
      <w:pPr>
        <w:pStyle w:val="Textonotapie"/>
        <w:ind w:firstLine="708"/>
        <w:jc w:val="both"/>
        <w:rPr>
          <w:rFonts w:ascii="Verdana" w:hAnsi="Verdana"/>
          <w:sz w:val="16"/>
          <w:szCs w:val="16"/>
        </w:rPr>
      </w:pPr>
      <w:r w:rsidRPr="001244F3">
        <w:rPr>
          <w:rFonts w:ascii="Verdana" w:hAnsi="Verdana"/>
          <w:sz w:val="16"/>
          <w:szCs w:val="16"/>
        </w:rPr>
        <w:t>[…]</w:t>
      </w:r>
    </w:p>
    <w:p w14:paraId="7E2EB8C7" w14:textId="77777777" w:rsidR="00F262D3" w:rsidRPr="001244F3" w:rsidRDefault="00F262D3" w:rsidP="00F262D3">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173B702" w14:textId="77777777" w:rsidR="00F262D3" w:rsidRPr="001244F3" w:rsidRDefault="00F262D3" w:rsidP="00F262D3">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3">
    <w:p w14:paraId="2F40A636" w14:textId="77777777" w:rsidR="00F262D3" w:rsidRPr="001244F3" w:rsidRDefault="00F262D3" w:rsidP="00F262D3">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5E354154" w14:textId="77777777" w:rsidR="00F262D3" w:rsidRPr="001244F3" w:rsidRDefault="00F262D3" w:rsidP="00F262D3">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3C1819F1" w14:textId="77777777" w:rsidR="00F262D3" w:rsidRPr="001244F3" w:rsidRDefault="00F262D3" w:rsidP="00F262D3">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6">
    <w:p w14:paraId="03A81802" w14:textId="77777777" w:rsidR="00F262D3" w:rsidRPr="001244F3" w:rsidRDefault="00F262D3" w:rsidP="00F262D3">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7">
    <w:p w14:paraId="62ADB5F4"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8">
    <w:p w14:paraId="3D2A3871"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9">
    <w:p w14:paraId="17C428FC"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10">
    <w:p w14:paraId="5B650E88" w14:textId="77777777" w:rsidR="00F262D3" w:rsidRPr="001244F3" w:rsidRDefault="00F262D3" w:rsidP="00F262D3">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1">
    <w:p w14:paraId="4EEB6015" w14:textId="77777777" w:rsidR="00F262D3" w:rsidRPr="001244F3" w:rsidRDefault="00F262D3" w:rsidP="00F262D3">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2">
    <w:p w14:paraId="36D1D5F4"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2B09C0B1"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303211FB"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0BE88F32"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73CA2FCD" w14:textId="77777777" w:rsidR="00F262D3" w:rsidRPr="001244F3" w:rsidRDefault="00F262D3" w:rsidP="00F262D3">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Exp. 25.801 C.P. Enrique Gil Botero). </w:t>
      </w:r>
    </w:p>
  </w:footnote>
  <w:footnote w:id="13">
    <w:p w14:paraId="2E98C5FB" w14:textId="77777777" w:rsidR="00F262D3" w:rsidRPr="00B67CDE" w:rsidRDefault="00F262D3" w:rsidP="00F262D3">
      <w:pPr>
        <w:pStyle w:val="Textonotapie"/>
        <w:ind w:firstLine="708"/>
        <w:jc w:val="both"/>
        <w:rPr>
          <w:rFonts w:ascii="Verdana" w:hAnsi="Verdana"/>
          <w:sz w:val="16"/>
          <w:szCs w:val="16"/>
          <w:lang w:val="es-CO"/>
        </w:rPr>
      </w:pPr>
      <w:r w:rsidRPr="00B67CDE">
        <w:rPr>
          <w:rStyle w:val="Refdenotaalpie"/>
          <w:rFonts w:ascii="Verdana" w:hAnsi="Verdana"/>
          <w:sz w:val="16"/>
          <w:szCs w:val="16"/>
        </w:rPr>
        <w:footnoteRef/>
      </w:r>
      <w:r w:rsidRPr="00B67CDE">
        <w:rPr>
          <w:rFonts w:ascii="Verdana" w:hAnsi="Verdana"/>
          <w:sz w:val="16"/>
          <w:szCs w:val="16"/>
        </w:rPr>
        <w:t xml:space="preserve"> </w:t>
      </w:r>
      <w:r>
        <w:rPr>
          <w:rFonts w:ascii="Verdana" w:hAnsi="Verdana"/>
          <w:sz w:val="16"/>
          <w:szCs w:val="16"/>
        </w:rPr>
        <w:t xml:space="preserve">CONSEJO DE ESTADO. Sección Tercera. Sentencia del 4 de abril de 2010. Exp. </w:t>
      </w:r>
      <w:r w:rsidRPr="0075632B">
        <w:rPr>
          <w:rFonts w:ascii="Verdana" w:hAnsi="Verdana"/>
          <w:sz w:val="16"/>
          <w:szCs w:val="16"/>
        </w:rPr>
        <w:t>36054B</w:t>
      </w:r>
      <w:r>
        <w:rPr>
          <w:rFonts w:ascii="Verdana" w:hAnsi="Verdana"/>
          <w:sz w:val="16"/>
          <w:szCs w:val="16"/>
        </w:rPr>
        <w:t>. C.P. Enrique Gil Botero.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0.85pt;height:10.8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3EF"/>
    <w:rsid w:val="00016F78"/>
    <w:rsid w:val="00046945"/>
    <w:rsid w:val="00061B2A"/>
    <w:rsid w:val="00082362"/>
    <w:rsid w:val="000A466B"/>
    <w:rsid w:val="000A683E"/>
    <w:rsid w:val="000B19B9"/>
    <w:rsid w:val="000D0334"/>
    <w:rsid w:val="000F59CB"/>
    <w:rsid w:val="000F6486"/>
    <w:rsid w:val="00110326"/>
    <w:rsid w:val="00125105"/>
    <w:rsid w:val="00127233"/>
    <w:rsid w:val="00154158"/>
    <w:rsid w:val="001E4177"/>
    <w:rsid w:val="001F7DC6"/>
    <w:rsid w:val="002421BB"/>
    <w:rsid w:val="0025796E"/>
    <w:rsid w:val="002707A2"/>
    <w:rsid w:val="002951A0"/>
    <w:rsid w:val="002962BC"/>
    <w:rsid w:val="002A093D"/>
    <w:rsid w:val="002A0DD0"/>
    <w:rsid w:val="002A49AC"/>
    <w:rsid w:val="002A64FD"/>
    <w:rsid w:val="002C7A84"/>
    <w:rsid w:val="002E4FD9"/>
    <w:rsid w:val="002E673B"/>
    <w:rsid w:val="003005D1"/>
    <w:rsid w:val="00322A85"/>
    <w:rsid w:val="00324168"/>
    <w:rsid w:val="003448F4"/>
    <w:rsid w:val="003675F3"/>
    <w:rsid w:val="00374F5E"/>
    <w:rsid w:val="00377E3E"/>
    <w:rsid w:val="003A779E"/>
    <w:rsid w:val="003D0F4D"/>
    <w:rsid w:val="003D5B0D"/>
    <w:rsid w:val="003E0499"/>
    <w:rsid w:val="003F3941"/>
    <w:rsid w:val="00405EE4"/>
    <w:rsid w:val="00406575"/>
    <w:rsid w:val="00414C74"/>
    <w:rsid w:val="0042722E"/>
    <w:rsid w:val="0044528D"/>
    <w:rsid w:val="004757AF"/>
    <w:rsid w:val="004A1847"/>
    <w:rsid w:val="004A305D"/>
    <w:rsid w:val="004D500A"/>
    <w:rsid w:val="004F21C4"/>
    <w:rsid w:val="004F685F"/>
    <w:rsid w:val="00530AC2"/>
    <w:rsid w:val="005563DD"/>
    <w:rsid w:val="005566E8"/>
    <w:rsid w:val="00574867"/>
    <w:rsid w:val="00591460"/>
    <w:rsid w:val="005C3777"/>
    <w:rsid w:val="005C5CDC"/>
    <w:rsid w:val="005D476C"/>
    <w:rsid w:val="006219F8"/>
    <w:rsid w:val="006302F7"/>
    <w:rsid w:val="00665D70"/>
    <w:rsid w:val="00667952"/>
    <w:rsid w:val="006900D9"/>
    <w:rsid w:val="006A760C"/>
    <w:rsid w:val="00706C16"/>
    <w:rsid w:val="007138A2"/>
    <w:rsid w:val="00756841"/>
    <w:rsid w:val="007649AB"/>
    <w:rsid w:val="00771D0C"/>
    <w:rsid w:val="007833AC"/>
    <w:rsid w:val="007B268C"/>
    <w:rsid w:val="007B7171"/>
    <w:rsid w:val="007C0C0F"/>
    <w:rsid w:val="007C3DC2"/>
    <w:rsid w:val="007E5497"/>
    <w:rsid w:val="00806F5F"/>
    <w:rsid w:val="00820278"/>
    <w:rsid w:val="00867F95"/>
    <w:rsid w:val="00882D7C"/>
    <w:rsid w:val="008843B6"/>
    <w:rsid w:val="00891928"/>
    <w:rsid w:val="00897A3A"/>
    <w:rsid w:val="008A446D"/>
    <w:rsid w:val="008A56F8"/>
    <w:rsid w:val="008D180B"/>
    <w:rsid w:val="008F0EA7"/>
    <w:rsid w:val="00923EEF"/>
    <w:rsid w:val="009415E7"/>
    <w:rsid w:val="009419F9"/>
    <w:rsid w:val="0095479D"/>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3477"/>
    <w:rsid w:val="00A736AF"/>
    <w:rsid w:val="00A81E66"/>
    <w:rsid w:val="00AB0ADB"/>
    <w:rsid w:val="00B00C0E"/>
    <w:rsid w:val="00B01B1A"/>
    <w:rsid w:val="00B44A47"/>
    <w:rsid w:val="00B72CD3"/>
    <w:rsid w:val="00B72FFF"/>
    <w:rsid w:val="00BC3D36"/>
    <w:rsid w:val="00BD7F72"/>
    <w:rsid w:val="00C04FB3"/>
    <w:rsid w:val="00C262D5"/>
    <w:rsid w:val="00C330EB"/>
    <w:rsid w:val="00C754BE"/>
    <w:rsid w:val="00C76B1C"/>
    <w:rsid w:val="00CB6357"/>
    <w:rsid w:val="00CB6638"/>
    <w:rsid w:val="00CC1B26"/>
    <w:rsid w:val="00CD5606"/>
    <w:rsid w:val="00CF78D5"/>
    <w:rsid w:val="00D35D66"/>
    <w:rsid w:val="00D423A2"/>
    <w:rsid w:val="00D520D8"/>
    <w:rsid w:val="00D63AC2"/>
    <w:rsid w:val="00D7383B"/>
    <w:rsid w:val="00DA231B"/>
    <w:rsid w:val="00DC39FC"/>
    <w:rsid w:val="00DF5254"/>
    <w:rsid w:val="00E16408"/>
    <w:rsid w:val="00E20894"/>
    <w:rsid w:val="00E245AB"/>
    <w:rsid w:val="00E2764C"/>
    <w:rsid w:val="00E27F2E"/>
    <w:rsid w:val="00E37A29"/>
    <w:rsid w:val="00E50AFE"/>
    <w:rsid w:val="00E724E5"/>
    <w:rsid w:val="00E75C92"/>
    <w:rsid w:val="00E771DC"/>
    <w:rsid w:val="00E8772A"/>
    <w:rsid w:val="00E90F6B"/>
    <w:rsid w:val="00E92C27"/>
    <w:rsid w:val="00EA0E3D"/>
    <w:rsid w:val="00EC38A7"/>
    <w:rsid w:val="00EE1AA8"/>
    <w:rsid w:val="00F109CF"/>
    <w:rsid w:val="00F262D3"/>
    <w:rsid w:val="00F27CF8"/>
    <w:rsid w:val="00F31EDC"/>
    <w:rsid w:val="00F462B3"/>
    <w:rsid w:val="00F5664F"/>
    <w:rsid w:val="00F666C4"/>
    <w:rsid w:val="00F76AFC"/>
    <w:rsid w:val="00FA47C0"/>
    <w:rsid w:val="00FB5DD1"/>
    <w:rsid w:val="00FC2B5D"/>
    <w:rsid w:val="00FF1449"/>
    <w:rsid w:val="3239A092"/>
    <w:rsid w:val="56EA2E15"/>
    <w:rsid w:val="76058E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262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262D3"/>
    <w:rPr>
      <w:rFonts w:ascii="Geomanist Light" w:hAnsi="Geomanist Light"/>
      <w:lang w:val="es-ES"/>
    </w:rPr>
  </w:style>
  <w:style w:type="paragraph" w:styleId="Sinespaciado">
    <w:name w:val="No Spacing"/>
    <w:aliases w:val="No Indent"/>
    <w:uiPriority w:val="3"/>
    <w:qFormat/>
    <w:rsid w:val="00F262D3"/>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pbustosj@dane.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25FFF6A-95C6-4293-9FB1-D5F9802D15E2}"/>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5627</Words>
  <Characters>30950</Characters>
  <Application>Microsoft Office Word</Application>
  <DocSecurity>0</DocSecurity>
  <Lines>257</Lines>
  <Paragraphs>73</Paragraphs>
  <ScaleCrop>false</ScaleCrop>
  <Company/>
  <LinksUpToDate>false</LinksUpToDate>
  <CharactersWithSpaces>36504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2025-09-25T15:42:00Z</dcterms:created>
  <dcterms:modified xsi:type="dcterms:W3CDTF">2025-09-26T14:49:00Z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