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24180" w14:textId="77777777" w:rsidR="00DE2ACF" w:rsidRPr="00123DAA" w:rsidRDefault="00DE2ACF" w:rsidP="00DE2ACF">
      <w:pPr>
        <w:spacing w:after="0" w:line="240" w:lineRule="auto"/>
        <w:jc w:val="both"/>
        <w:rPr>
          <w:rFonts w:ascii="Verdana" w:eastAsia="Calibri" w:hAnsi="Verdana" w:cs="Arial"/>
          <w:sz w:val="20"/>
          <w:szCs w:val="20"/>
          <w:lang w:val="es-ES_tradnl" w:eastAsia="es-ES"/>
        </w:rPr>
      </w:pPr>
    </w:p>
    <w:p w14:paraId="3027A02C" w14:textId="77777777" w:rsidR="00DE2ACF" w:rsidRPr="00123DAA" w:rsidRDefault="00DE2ACF" w:rsidP="00DE2ACF">
      <w:pPr>
        <w:spacing w:after="0" w:line="240" w:lineRule="auto"/>
        <w:jc w:val="both"/>
        <w:rPr>
          <w:rFonts w:ascii="Verdana" w:eastAsia="Calibri" w:hAnsi="Verdana" w:cs="Arial"/>
          <w:b/>
          <w:bCs/>
          <w:lang w:val="es-ES_tradnl" w:eastAsia="es-ES"/>
        </w:rPr>
      </w:pPr>
      <w:r w:rsidRPr="00CD225F">
        <w:rPr>
          <w:rFonts w:ascii="Verdana" w:eastAsia="Calibri" w:hAnsi="Verdana" w:cs="Arial"/>
          <w:b/>
          <w:bCs/>
          <w:lang w:val="es-ES_tradnl" w:eastAsia="es-ES"/>
        </w:rPr>
        <w:t>CONTRATO ESTATAL – Régimen mixto – Derecho público – Derecho privado</w:t>
      </w:r>
    </w:p>
    <w:p w14:paraId="7B387533" w14:textId="77777777" w:rsidR="00DE2ACF" w:rsidRPr="00123DAA" w:rsidRDefault="00DE2ACF" w:rsidP="00DE2ACF">
      <w:pPr>
        <w:spacing w:after="0" w:line="240" w:lineRule="auto"/>
        <w:jc w:val="both"/>
        <w:rPr>
          <w:rFonts w:ascii="Verdana" w:eastAsia="Calibri" w:hAnsi="Verdana" w:cs="Arial"/>
          <w:sz w:val="20"/>
          <w:szCs w:val="20"/>
          <w:lang w:val="es-ES_tradnl" w:eastAsia="es-ES"/>
        </w:rPr>
      </w:pPr>
    </w:p>
    <w:p w14:paraId="3FF50EBA" w14:textId="77777777" w:rsidR="00DE2ACF" w:rsidRPr="00CD225F" w:rsidRDefault="00DE2ACF" w:rsidP="00DE2ACF">
      <w:pPr>
        <w:spacing w:after="0" w:line="240" w:lineRule="auto"/>
        <w:jc w:val="both"/>
        <w:rPr>
          <w:rFonts w:ascii="Verdana" w:eastAsia="Calibri" w:hAnsi="Verdana" w:cs="Arial"/>
          <w:sz w:val="20"/>
          <w:szCs w:val="20"/>
          <w:lang w:eastAsia="es-ES"/>
        </w:rPr>
      </w:pPr>
      <w:r w:rsidRPr="00F26BDF">
        <w:rPr>
          <w:rFonts w:ascii="Verdana" w:eastAsia="Calibri" w:hAnsi="Verdana" w:cs="Arial"/>
          <w:sz w:val="20"/>
          <w:szCs w:val="20"/>
          <w:lang w:val="es-ES" w:eastAsia="es-ES"/>
        </w:rPr>
        <w:t>Tratándose de las entidades sometidas a la Ley 80 de 1993</w:t>
      </w:r>
      <w:r w:rsidRPr="00CD225F">
        <w:rPr>
          <w:rFonts w:ascii="Verdana" w:eastAsia="Calibri" w:hAnsi="Verdana" w:cs="Arial"/>
          <w:sz w:val="20"/>
          <w:szCs w:val="20"/>
          <w:lang w:val="es-ES" w:eastAsia="es-ES"/>
        </w:rPr>
        <w:t xml:space="preserve">, </w:t>
      </w:r>
      <w:r w:rsidRPr="00CD225F">
        <w:rPr>
          <w:rFonts w:ascii="Verdana" w:eastAsia="Calibri" w:hAnsi="Verdana" w:cs="Arial"/>
          <w:bCs/>
          <w:sz w:val="20"/>
          <w:szCs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r>
        <w:rPr>
          <w:rFonts w:ascii="Verdana" w:eastAsia="Calibri" w:hAnsi="Verdana" w:cs="Arial"/>
          <w:sz w:val="20"/>
          <w:szCs w:val="20"/>
          <w:lang w:eastAsia="es-ES"/>
        </w:rPr>
        <w:t xml:space="preserve"> </w:t>
      </w:r>
      <w:r w:rsidRPr="00CD225F">
        <w:rPr>
          <w:rFonts w:ascii="Verdana" w:eastAsia="Calibri" w:hAnsi="Verdana" w:cs="Arial"/>
          <w:sz w:val="20"/>
          <w:szCs w:val="20"/>
          <w:lang w:eastAsia="es-ES"/>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123DAA">
        <w:rPr>
          <w:rFonts w:ascii="Verdana" w:eastAsia="Calibri" w:hAnsi="Verdana" w:cs="Arial"/>
          <w:sz w:val="20"/>
          <w:szCs w:val="20"/>
          <w:lang w:val="es-ES_tradnl" w:eastAsia="es-ES"/>
        </w:rPr>
        <w:t>.</w:t>
      </w:r>
    </w:p>
    <w:p w14:paraId="3742D04F" w14:textId="77777777" w:rsidR="00DE2ACF" w:rsidRPr="00123DAA" w:rsidRDefault="00DE2ACF" w:rsidP="00DE2ACF">
      <w:pPr>
        <w:spacing w:after="0" w:line="240" w:lineRule="auto"/>
        <w:jc w:val="both"/>
        <w:rPr>
          <w:rFonts w:ascii="Verdana" w:eastAsia="Calibri" w:hAnsi="Verdana" w:cs="Arial"/>
          <w:sz w:val="20"/>
          <w:szCs w:val="20"/>
          <w:lang w:val="es-ES_tradnl" w:eastAsia="es-ES"/>
        </w:rPr>
      </w:pPr>
    </w:p>
    <w:p w14:paraId="193E3F44" w14:textId="77777777" w:rsidR="00DE2ACF" w:rsidRPr="00123DAA" w:rsidRDefault="00DE2ACF" w:rsidP="00DE2ACF">
      <w:pPr>
        <w:spacing w:after="0" w:line="240" w:lineRule="auto"/>
        <w:jc w:val="both"/>
        <w:rPr>
          <w:rFonts w:ascii="Verdana" w:eastAsia="Calibri" w:hAnsi="Verdana" w:cs="Arial"/>
          <w:sz w:val="20"/>
          <w:szCs w:val="20"/>
          <w:lang w:val="es-ES_tradnl" w:eastAsia="es-ES"/>
        </w:rPr>
      </w:pPr>
      <w:r w:rsidRPr="00CD225F">
        <w:rPr>
          <w:rFonts w:ascii="Verdana" w:eastAsia="Calibri" w:hAnsi="Verdana" w:cs="Arial"/>
          <w:b/>
          <w:bCs/>
          <w:lang w:val="es-ES_tradnl" w:eastAsia="es-ES"/>
        </w:rPr>
        <w:t>NULIDAD DEL CONTRATO – Causales</w:t>
      </w:r>
      <w:r w:rsidRPr="00B73955">
        <w:rPr>
          <w:rFonts w:ascii="Verdana" w:eastAsia="Calibri" w:hAnsi="Verdana" w:cs="Arial"/>
          <w:b/>
          <w:bCs/>
          <w:lang w:val="es-ES_tradnl" w:eastAsia="es-ES"/>
        </w:rPr>
        <w:t xml:space="preserve"> </w:t>
      </w:r>
    </w:p>
    <w:p w14:paraId="040DE202" w14:textId="77777777" w:rsidR="00DE2ACF" w:rsidRDefault="00DE2ACF" w:rsidP="00DE2ACF">
      <w:pPr>
        <w:spacing w:after="0" w:line="240" w:lineRule="auto"/>
        <w:jc w:val="both"/>
        <w:rPr>
          <w:rFonts w:ascii="Verdana" w:eastAsia="Calibri" w:hAnsi="Verdana" w:cs="Arial"/>
          <w:sz w:val="20"/>
          <w:szCs w:val="20"/>
          <w:lang w:val="es-ES_tradnl" w:eastAsia="es-ES"/>
        </w:rPr>
      </w:pPr>
    </w:p>
    <w:p w14:paraId="23A41316" w14:textId="77777777" w:rsidR="00DE2ACF" w:rsidRDefault="00DE2ACF" w:rsidP="00DE2ACF">
      <w:pPr>
        <w:spacing w:after="0" w:line="240" w:lineRule="auto"/>
        <w:jc w:val="both"/>
        <w:rPr>
          <w:rFonts w:ascii="Verdana" w:eastAsia="Calibri" w:hAnsi="Verdana" w:cs="Arial"/>
          <w:sz w:val="20"/>
          <w:szCs w:val="20"/>
          <w:lang w:val="es-ES_tradnl" w:eastAsia="es-ES"/>
        </w:rPr>
      </w:pPr>
      <w:r w:rsidRPr="00CD225F">
        <w:rPr>
          <w:rFonts w:ascii="Verdana" w:eastAsia="Calibri" w:hAnsi="Verdana" w:cs="Arial"/>
          <w:sz w:val="20"/>
          <w:szCs w:val="20"/>
          <w:lang w:val="es-ES" w:eastAsia="es-ES"/>
        </w:rPr>
        <w:t xml:space="preserve">De acuerdo con el artículo 1741 del Código Civil,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CD225F">
        <w:rPr>
          <w:rFonts w:ascii="Verdana" w:eastAsia="Calibri" w:hAnsi="Verdana" w:cs="Arial"/>
          <w:sz w:val="20"/>
          <w:szCs w:val="20"/>
          <w:lang w:val="es-ES" w:eastAsia="es-ES"/>
        </w:rPr>
        <w:t>mismo nulidad absoluta</w:t>
      </w:r>
      <w:proofErr w:type="gramEnd"/>
      <w:r w:rsidRPr="00CD225F">
        <w:rPr>
          <w:rFonts w:ascii="Verdana" w:eastAsia="Calibri" w:hAnsi="Verdana" w:cs="Arial"/>
          <w:sz w:val="20"/>
          <w:szCs w:val="20"/>
          <w:lang w:val="es-ES" w:eastAsia="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683DFF">
        <w:rPr>
          <w:rFonts w:ascii="Verdana" w:eastAsia="Calibri" w:hAnsi="Verdana" w:cs="Arial"/>
          <w:sz w:val="20"/>
          <w:szCs w:val="20"/>
          <w:lang w:val="es-ES_tradnl" w:eastAsia="es-ES"/>
        </w:rPr>
        <w:t xml:space="preserve">. </w:t>
      </w:r>
    </w:p>
    <w:p w14:paraId="687CFAD9" w14:textId="77777777" w:rsidR="00DE2ACF" w:rsidRDefault="00DE2ACF" w:rsidP="00DE2ACF">
      <w:pPr>
        <w:spacing w:after="0" w:line="240" w:lineRule="auto"/>
        <w:jc w:val="both"/>
        <w:rPr>
          <w:rFonts w:ascii="Verdana" w:eastAsia="Calibri" w:hAnsi="Verdana" w:cs="Arial"/>
          <w:sz w:val="20"/>
          <w:szCs w:val="20"/>
          <w:lang w:val="es-ES_tradnl" w:eastAsia="es-ES"/>
        </w:rPr>
      </w:pPr>
    </w:p>
    <w:p w14:paraId="1DB03817" w14:textId="77777777" w:rsidR="00DE2ACF" w:rsidRDefault="00DE2ACF" w:rsidP="00DE2ACF">
      <w:pPr>
        <w:spacing w:after="0" w:line="240" w:lineRule="auto"/>
        <w:jc w:val="both"/>
        <w:rPr>
          <w:rFonts w:ascii="Verdana" w:eastAsia="Calibri" w:hAnsi="Verdana" w:cs="Arial"/>
          <w:sz w:val="20"/>
          <w:szCs w:val="20"/>
          <w:lang w:val="es-ES" w:eastAsia="es-ES"/>
        </w:rPr>
      </w:pPr>
      <w:r w:rsidRPr="00CD225F">
        <w:rPr>
          <w:rFonts w:ascii="Verdana" w:eastAsia="Calibri" w:hAnsi="Verdana" w:cs="Arial"/>
          <w:sz w:val="20"/>
          <w:szCs w:val="20"/>
          <w:lang w:val="es-ES" w:eastAsia="es-ES"/>
        </w:rPr>
        <w:t xml:space="preserve">Asimismo, el artículo 899 del Código de Comercio dispone la </w:t>
      </w:r>
      <w:r w:rsidRPr="00CD225F">
        <w:rPr>
          <w:rFonts w:ascii="Verdana" w:eastAsia="Calibri" w:hAnsi="Verdana" w:cs="Arial"/>
          <w:i/>
          <w:iCs/>
          <w:sz w:val="20"/>
          <w:szCs w:val="20"/>
          <w:lang w:val="es-ES" w:eastAsia="es-ES"/>
        </w:rPr>
        <w:t>nulidad absoluta</w:t>
      </w:r>
      <w:r w:rsidRPr="00CD225F">
        <w:rPr>
          <w:rFonts w:ascii="Verdana" w:eastAsia="Calibri" w:hAnsi="Verdana" w:cs="Arial"/>
          <w:sz w:val="20"/>
          <w:szCs w:val="20"/>
          <w:lang w:val="es-ES" w:eastAsia="es-ES"/>
        </w:rPr>
        <w:t xml:space="preserve"> de los negocios jurídicos cuando contrarían una norma imperativa, salvo que la ley disponga otra cosa; tengan objeto y causa ilícita, o se hayan celebrado por persona absolutamente incapaz. Por su parte, el artículo 900 </w:t>
      </w:r>
      <w:r w:rsidRPr="00CD225F">
        <w:rPr>
          <w:rFonts w:ascii="Verdana" w:eastAsia="Calibri" w:hAnsi="Verdana" w:cs="Arial"/>
          <w:i/>
          <w:iCs/>
          <w:sz w:val="20"/>
          <w:szCs w:val="20"/>
          <w:lang w:val="es-ES" w:eastAsia="es-ES"/>
        </w:rPr>
        <w:t>ibidem</w:t>
      </w:r>
      <w:r w:rsidRPr="00CD225F">
        <w:rPr>
          <w:rFonts w:ascii="Verdana" w:eastAsia="Calibri" w:hAnsi="Verdana" w:cs="Arial"/>
          <w:sz w:val="20"/>
          <w:szCs w:val="20"/>
          <w:lang w:val="es-ES" w:eastAsia="es-ES"/>
        </w:rPr>
        <w:t xml:space="preserve"> precisa que la </w:t>
      </w:r>
      <w:r w:rsidRPr="00CD225F">
        <w:rPr>
          <w:rFonts w:ascii="Verdana" w:eastAsia="Calibri" w:hAnsi="Verdana" w:cs="Arial"/>
          <w:i/>
          <w:iCs/>
          <w:sz w:val="20"/>
          <w:szCs w:val="20"/>
          <w:lang w:val="es-ES" w:eastAsia="es-ES"/>
        </w:rPr>
        <w:t>anulabilidad</w:t>
      </w:r>
      <w:r w:rsidRPr="00CD225F">
        <w:rPr>
          <w:rFonts w:ascii="Verdana" w:eastAsia="Calibri" w:hAnsi="Verdana" w:cs="Arial"/>
          <w:sz w:val="20"/>
          <w:szCs w:val="20"/>
          <w:lang w:val="es-ES" w:eastAsia="es-ES"/>
        </w:rPr>
        <w:t xml:space="preserve"> aplica cuando los contratos hayan sido celebrados por persona relativamente incapaz o hayan sido consentidos por error, fuerza o dolo, conforme al Código Civil.</w:t>
      </w:r>
    </w:p>
    <w:p w14:paraId="0C649B5B" w14:textId="77777777" w:rsidR="00DE2ACF" w:rsidRDefault="00DE2ACF" w:rsidP="00DE2ACF">
      <w:pPr>
        <w:spacing w:after="0" w:line="240" w:lineRule="auto"/>
        <w:jc w:val="both"/>
        <w:rPr>
          <w:rFonts w:ascii="Verdana" w:eastAsia="Calibri" w:hAnsi="Verdana" w:cs="Arial"/>
          <w:sz w:val="20"/>
          <w:szCs w:val="20"/>
          <w:lang w:val="es-ES" w:eastAsia="es-ES"/>
        </w:rPr>
      </w:pPr>
    </w:p>
    <w:p w14:paraId="0AA8B31A" w14:textId="77777777" w:rsidR="00DE2ACF" w:rsidRDefault="00DE2ACF" w:rsidP="00DE2ACF">
      <w:pPr>
        <w:spacing w:after="0" w:line="240" w:lineRule="auto"/>
        <w:jc w:val="both"/>
        <w:rPr>
          <w:rFonts w:ascii="Verdana" w:eastAsia="Calibri" w:hAnsi="Verdana" w:cs="Arial"/>
          <w:sz w:val="20"/>
          <w:szCs w:val="20"/>
          <w:lang w:val="es-ES" w:eastAsia="es-ES"/>
        </w:rPr>
      </w:pPr>
      <w:r w:rsidRPr="00CD225F">
        <w:rPr>
          <w:rFonts w:ascii="Verdana" w:eastAsia="Calibri" w:hAnsi="Verdana" w:cs="Arial"/>
          <w:sz w:val="20"/>
          <w:szCs w:val="20"/>
          <w:lang w:val="es-ES" w:eastAsia="es-ES"/>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CD225F">
        <w:rPr>
          <w:rFonts w:ascii="Verdana" w:eastAsia="Calibri" w:hAnsi="Verdana" w:cs="Arial"/>
          <w:sz w:val="20"/>
          <w:szCs w:val="20"/>
          <w:lang w:val="es-ES" w:eastAsia="es-ES"/>
        </w:rPr>
        <w:t>ii</w:t>
      </w:r>
      <w:proofErr w:type="spellEnd"/>
      <w:r w:rsidRPr="00CD225F">
        <w:rPr>
          <w:rFonts w:ascii="Verdana" w:eastAsia="Calibri" w:hAnsi="Verdana" w:cs="Arial"/>
          <w:sz w:val="20"/>
          <w:szCs w:val="20"/>
          <w:lang w:val="es-ES" w:eastAsia="es-ES"/>
        </w:rPr>
        <w:t xml:space="preserve">) se celebre contra expresa prohibición constitucional o legal, </w:t>
      </w:r>
      <w:proofErr w:type="spellStart"/>
      <w:r w:rsidRPr="00CD225F">
        <w:rPr>
          <w:rFonts w:ascii="Verdana" w:eastAsia="Calibri" w:hAnsi="Verdana" w:cs="Arial"/>
          <w:sz w:val="20"/>
          <w:szCs w:val="20"/>
          <w:lang w:val="es-ES" w:eastAsia="es-ES"/>
        </w:rPr>
        <w:t>iii</w:t>
      </w:r>
      <w:proofErr w:type="spellEnd"/>
      <w:r w:rsidRPr="00CD225F">
        <w:rPr>
          <w:rFonts w:ascii="Verdana" w:eastAsia="Calibri" w:hAnsi="Verdana" w:cs="Arial"/>
          <w:sz w:val="20"/>
          <w:szCs w:val="20"/>
          <w:lang w:val="es-ES" w:eastAsia="es-ES"/>
        </w:rPr>
        <w:t xml:space="preserve">) se celebre con abuso o desviación de poder, </w:t>
      </w:r>
      <w:proofErr w:type="spellStart"/>
      <w:r w:rsidRPr="00CD225F">
        <w:rPr>
          <w:rFonts w:ascii="Verdana" w:eastAsia="Calibri" w:hAnsi="Verdana" w:cs="Arial"/>
          <w:sz w:val="20"/>
          <w:szCs w:val="20"/>
          <w:lang w:val="es-ES" w:eastAsia="es-ES"/>
        </w:rPr>
        <w:t>iv</w:t>
      </w:r>
      <w:proofErr w:type="spellEnd"/>
      <w:r w:rsidRPr="00CD225F">
        <w:rPr>
          <w:rFonts w:ascii="Verdana" w:eastAsia="Calibri" w:hAnsi="Verdana" w:cs="Arial"/>
          <w:sz w:val="20"/>
          <w:szCs w:val="20"/>
          <w:lang w:val="es-ES" w:eastAsia="es-ES"/>
        </w:rPr>
        <w:t xml:space="preserve">) se declaren nulos los actos administrativos en que se fundamenten, v) se hubieren </w:t>
      </w:r>
      <w:r w:rsidRPr="00CD225F">
        <w:rPr>
          <w:rFonts w:ascii="Verdana" w:eastAsia="Calibri" w:hAnsi="Verdana" w:cs="Arial"/>
          <w:sz w:val="20"/>
          <w:szCs w:val="20"/>
          <w:lang w:val="es-ES" w:eastAsia="es-ES"/>
        </w:rPr>
        <w:lastRenderedPageBreak/>
        <w:t>celebrado con desconocimiento de los criterios previstos para el tratamiento de ofertas nacionales y extranjeras o con violación de la reciprocidad.</w:t>
      </w:r>
    </w:p>
    <w:p w14:paraId="04EB930A" w14:textId="77777777" w:rsidR="00DE2ACF" w:rsidRPr="00CD225F" w:rsidRDefault="00DE2ACF" w:rsidP="00DE2ACF">
      <w:pPr>
        <w:spacing w:after="0" w:line="240" w:lineRule="auto"/>
        <w:jc w:val="both"/>
        <w:rPr>
          <w:rFonts w:ascii="Verdana" w:eastAsia="Calibri" w:hAnsi="Verdana" w:cs="Arial"/>
          <w:sz w:val="20"/>
          <w:szCs w:val="20"/>
          <w:lang w:val="es-ES" w:eastAsia="es-ES"/>
        </w:rPr>
      </w:pPr>
    </w:p>
    <w:p w14:paraId="5C7488A6" w14:textId="77777777" w:rsidR="00DE2ACF" w:rsidRDefault="00DE2ACF" w:rsidP="00DE2ACF">
      <w:pPr>
        <w:spacing w:after="0" w:line="240" w:lineRule="auto"/>
        <w:jc w:val="both"/>
        <w:rPr>
          <w:rFonts w:ascii="Verdana" w:eastAsia="Calibri" w:hAnsi="Verdana" w:cs="Arial"/>
          <w:sz w:val="20"/>
          <w:szCs w:val="20"/>
          <w:lang w:eastAsia="es-ES"/>
        </w:rPr>
      </w:pPr>
      <w:r w:rsidRPr="00CD225F">
        <w:rPr>
          <w:rFonts w:ascii="Verdana" w:eastAsia="Calibri" w:hAnsi="Verdana" w:cs="Arial"/>
          <w:sz w:val="20"/>
          <w:szCs w:val="20"/>
          <w:lang w:eastAsia="es-ES"/>
        </w:rPr>
        <w:t>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podrán sanearse por ratificación expresa de los interesados o por el transcurso de dos años, contados a partir de la ocurrencia del hecho que genera el vicio</w:t>
      </w:r>
      <w:r>
        <w:rPr>
          <w:rFonts w:ascii="Verdana" w:eastAsia="Calibri" w:hAnsi="Verdana" w:cs="Arial"/>
          <w:sz w:val="20"/>
          <w:szCs w:val="20"/>
          <w:lang w:eastAsia="es-ES"/>
        </w:rPr>
        <w:t>.</w:t>
      </w:r>
    </w:p>
    <w:p w14:paraId="7DAB33F9" w14:textId="77777777" w:rsidR="00DE2ACF" w:rsidRPr="00E86D5D" w:rsidRDefault="00DE2ACF" w:rsidP="00DE2ACF">
      <w:pPr>
        <w:spacing w:after="0" w:line="240" w:lineRule="auto"/>
        <w:jc w:val="both"/>
        <w:rPr>
          <w:rFonts w:ascii="Verdana" w:eastAsia="Calibri" w:hAnsi="Verdana" w:cs="Arial"/>
          <w:sz w:val="20"/>
          <w:szCs w:val="20"/>
          <w:lang w:eastAsia="es-ES"/>
        </w:rPr>
      </w:pPr>
    </w:p>
    <w:p w14:paraId="2BF5D856" w14:textId="77777777" w:rsidR="00DE2ACF" w:rsidRPr="00782519" w:rsidRDefault="00DE2ACF" w:rsidP="00DE2ACF">
      <w:pPr>
        <w:tabs>
          <w:tab w:val="left" w:pos="426"/>
        </w:tabs>
        <w:spacing w:after="0" w:line="240" w:lineRule="auto"/>
        <w:contextualSpacing/>
        <w:jc w:val="both"/>
        <w:rPr>
          <w:rFonts w:ascii="Verdana" w:eastAsia="Calibri" w:hAnsi="Verdana" w:cs="Arial"/>
          <w:noProof/>
          <w:sz w:val="20"/>
          <w:szCs w:val="20"/>
          <w:lang w:val="es-ES_tradnl"/>
        </w:rPr>
      </w:pPr>
      <w:r w:rsidRPr="00CC1214">
        <w:rPr>
          <w:rFonts w:ascii="Verdana" w:eastAsia="Calibri" w:hAnsi="Verdana" w:cs="Arial"/>
          <w:noProof/>
          <w:sz w:val="20"/>
          <w:szCs w:val="20"/>
          <w:lang w:val="es-ES_tradnl"/>
        </w:rPr>
        <w:t xml:space="preserve"> </w:t>
      </w:r>
      <w:r w:rsidRPr="009673B4">
        <w:rPr>
          <w:rFonts w:ascii="Verdana" w:eastAsia="Calibri" w:hAnsi="Verdana" w:cs="Arial"/>
          <w:noProof/>
          <w:sz w:val="20"/>
          <w:szCs w:val="20"/>
          <w:lang w:val="es-ES_tradnl"/>
        </w:rPr>
        <w:t xml:space="preserve">  </w:t>
      </w:r>
      <w:r w:rsidRPr="00782519">
        <w:rPr>
          <w:rFonts w:ascii="Verdana" w:eastAsia="Calibri" w:hAnsi="Verdana" w:cs="Arial"/>
          <w:noProof/>
          <w:sz w:val="20"/>
          <w:szCs w:val="20"/>
          <w:lang w:val="es-ES_tradnl"/>
        </w:rPr>
        <w:t xml:space="preserve"> </w:t>
      </w:r>
    </w:p>
    <w:p w14:paraId="11791EE8" w14:textId="77777777" w:rsidR="00DE2ACF" w:rsidRPr="005145C2" w:rsidRDefault="00DE2ACF" w:rsidP="00DE2ACF">
      <w:pPr>
        <w:spacing w:after="0" w:line="240" w:lineRule="auto"/>
        <w:rPr>
          <w:rFonts w:ascii="Verdana" w:eastAsia="Geomanist Light" w:hAnsi="Verdana" w:cs="Arial"/>
          <w:color w:val="000000" w:themeColor="text1"/>
          <w:lang w:val="es-ES_tradnl"/>
        </w:rPr>
      </w:pPr>
    </w:p>
    <w:p w14:paraId="6EA35E94" w14:textId="77777777" w:rsidR="00DE2ACF" w:rsidRDefault="00DE2ACF" w:rsidP="00DE2ACF">
      <w:pPr>
        <w:spacing w:after="0" w:line="240" w:lineRule="auto"/>
        <w:rPr>
          <w:rFonts w:ascii="Verdana" w:eastAsia="Geomanist Light" w:hAnsi="Verdana" w:cs="Arial"/>
          <w:color w:val="000000" w:themeColor="text1"/>
          <w:lang w:val="es-MX"/>
        </w:rPr>
      </w:pPr>
    </w:p>
    <w:p w14:paraId="0C704BBB" w14:textId="77777777" w:rsidR="00DE2ACF" w:rsidRDefault="00DE2ACF" w:rsidP="00DE2ACF">
      <w:pPr>
        <w:spacing w:after="0" w:line="240" w:lineRule="auto"/>
        <w:rPr>
          <w:rFonts w:ascii="Verdana" w:eastAsia="Geomanist Light" w:hAnsi="Verdana" w:cs="Arial"/>
          <w:color w:val="000000" w:themeColor="text1"/>
          <w:lang w:val="es-MX"/>
        </w:rPr>
      </w:pPr>
    </w:p>
    <w:p w14:paraId="4B15F111" w14:textId="77777777" w:rsidR="00DE2ACF" w:rsidRDefault="00DE2ACF" w:rsidP="00DE2ACF">
      <w:pPr>
        <w:spacing w:after="0" w:line="240" w:lineRule="auto"/>
        <w:rPr>
          <w:rFonts w:ascii="Verdana" w:eastAsia="Geomanist Light" w:hAnsi="Verdana" w:cs="Arial"/>
          <w:color w:val="000000" w:themeColor="text1"/>
          <w:lang w:val="es-MX"/>
        </w:rPr>
      </w:pPr>
    </w:p>
    <w:p w14:paraId="23CDF27E" w14:textId="77777777" w:rsidR="00DE2ACF" w:rsidRDefault="00DE2ACF" w:rsidP="00DE2ACF">
      <w:pPr>
        <w:spacing w:after="0" w:line="240" w:lineRule="auto"/>
        <w:rPr>
          <w:rFonts w:ascii="Verdana" w:eastAsia="Geomanist Light" w:hAnsi="Verdana" w:cs="Arial"/>
          <w:color w:val="000000" w:themeColor="text1"/>
          <w:lang w:val="es-MX"/>
        </w:rPr>
      </w:pPr>
    </w:p>
    <w:p w14:paraId="2EDC9308" w14:textId="77777777" w:rsidR="00DE2ACF" w:rsidRDefault="00DE2ACF" w:rsidP="00DE2ACF">
      <w:pPr>
        <w:spacing w:after="0" w:line="240" w:lineRule="auto"/>
        <w:rPr>
          <w:rFonts w:ascii="Verdana" w:eastAsia="Geomanist Light" w:hAnsi="Verdana" w:cs="Arial"/>
          <w:color w:val="000000" w:themeColor="text1"/>
          <w:lang w:val="es-MX"/>
        </w:rPr>
      </w:pPr>
    </w:p>
    <w:p w14:paraId="5F0169C7" w14:textId="77777777" w:rsidR="00DE2ACF" w:rsidRDefault="00DE2ACF" w:rsidP="00DE2ACF">
      <w:pPr>
        <w:spacing w:after="0" w:line="240" w:lineRule="auto"/>
        <w:rPr>
          <w:rFonts w:ascii="Verdana" w:eastAsia="Geomanist Light" w:hAnsi="Verdana" w:cs="Arial"/>
          <w:color w:val="000000" w:themeColor="text1"/>
          <w:lang w:val="es-MX"/>
        </w:rPr>
      </w:pPr>
    </w:p>
    <w:p w14:paraId="5443E942" w14:textId="77777777" w:rsidR="00DE2ACF" w:rsidRDefault="00DE2ACF" w:rsidP="00DE2ACF">
      <w:pPr>
        <w:spacing w:after="0" w:line="240" w:lineRule="auto"/>
        <w:rPr>
          <w:rFonts w:ascii="Verdana" w:eastAsia="Geomanist Light" w:hAnsi="Verdana" w:cs="Arial"/>
          <w:color w:val="000000" w:themeColor="text1"/>
          <w:lang w:val="es-MX"/>
        </w:rPr>
      </w:pPr>
    </w:p>
    <w:p w14:paraId="4C586D61" w14:textId="77777777" w:rsidR="00DE2ACF" w:rsidRDefault="00DE2ACF" w:rsidP="00DE2ACF">
      <w:pPr>
        <w:spacing w:after="0" w:line="240" w:lineRule="auto"/>
        <w:rPr>
          <w:rFonts w:ascii="Verdana" w:eastAsia="Geomanist Light" w:hAnsi="Verdana" w:cs="Arial"/>
          <w:color w:val="000000" w:themeColor="text1"/>
          <w:lang w:val="es-MX"/>
        </w:rPr>
      </w:pPr>
    </w:p>
    <w:p w14:paraId="77690B5C" w14:textId="77777777" w:rsidR="00DE2ACF" w:rsidRDefault="00DE2ACF" w:rsidP="00DE2ACF">
      <w:pPr>
        <w:spacing w:after="0" w:line="240" w:lineRule="auto"/>
        <w:rPr>
          <w:rFonts w:ascii="Verdana" w:eastAsia="Geomanist Light" w:hAnsi="Verdana" w:cs="Arial"/>
          <w:color w:val="000000" w:themeColor="text1"/>
          <w:lang w:val="es-MX"/>
        </w:rPr>
      </w:pPr>
    </w:p>
    <w:p w14:paraId="13E5C28F" w14:textId="77777777" w:rsidR="00DE2ACF" w:rsidRDefault="00DE2ACF" w:rsidP="00DE2ACF">
      <w:pPr>
        <w:spacing w:after="0" w:line="240" w:lineRule="auto"/>
        <w:rPr>
          <w:rFonts w:ascii="Verdana" w:eastAsia="Geomanist Light" w:hAnsi="Verdana" w:cs="Arial"/>
          <w:color w:val="000000" w:themeColor="text1"/>
          <w:lang w:val="es-MX"/>
        </w:rPr>
      </w:pPr>
    </w:p>
    <w:p w14:paraId="70659E45" w14:textId="77777777" w:rsidR="00DE2ACF" w:rsidRDefault="00DE2ACF" w:rsidP="00DE2ACF">
      <w:pPr>
        <w:spacing w:after="0" w:line="240" w:lineRule="auto"/>
        <w:rPr>
          <w:rFonts w:ascii="Verdana" w:eastAsia="Geomanist Light" w:hAnsi="Verdana" w:cs="Arial"/>
          <w:color w:val="000000" w:themeColor="text1"/>
          <w:lang w:val="es-MX"/>
        </w:rPr>
      </w:pPr>
    </w:p>
    <w:p w14:paraId="0575B15C" w14:textId="77777777" w:rsidR="00DE2ACF" w:rsidRDefault="00DE2ACF" w:rsidP="00DE2ACF">
      <w:pPr>
        <w:spacing w:after="0" w:line="240" w:lineRule="auto"/>
        <w:rPr>
          <w:rFonts w:ascii="Verdana" w:eastAsia="Geomanist Light" w:hAnsi="Verdana" w:cs="Arial"/>
          <w:color w:val="000000" w:themeColor="text1"/>
          <w:lang w:val="es-MX"/>
        </w:rPr>
      </w:pPr>
    </w:p>
    <w:p w14:paraId="0F21C64E" w14:textId="77777777" w:rsidR="00DE2ACF" w:rsidRDefault="00DE2ACF" w:rsidP="00DE2ACF">
      <w:pPr>
        <w:spacing w:after="0" w:line="240" w:lineRule="auto"/>
        <w:rPr>
          <w:rFonts w:ascii="Verdana" w:eastAsia="Geomanist Light" w:hAnsi="Verdana" w:cs="Arial"/>
          <w:color w:val="000000" w:themeColor="text1"/>
          <w:lang w:val="es-MX"/>
        </w:rPr>
      </w:pPr>
    </w:p>
    <w:p w14:paraId="1DC15470" w14:textId="77777777" w:rsidR="00DE2ACF" w:rsidRDefault="00DE2ACF" w:rsidP="00DE2ACF">
      <w:pPr>
        <w:spacing w:after="0" w:line="240" w:lineRule="auto"/>
        <w:rPr>
          <w:rFonts w:ascii="Verdana" w:eastAsia="Geomanist Light" w:hAnsi="Verdana" w:cs="Arial"/>
          <w:color w:val="000000" w:themeColor="text1"/>
          <w:lang w:val="es-MX"/>
        </w:rPr>
      </w:pPr>
    </w:p>
    <w:p w14:paraId="1CD105B6" w14:textId="77777777" w:rsidR="00DE2ACF" w:rsidRDefault="00DE2ACF" w:rsidP="00DE2ACF">
      <w:pPr>
        <w:spacing w:after="0" w:line="240" w:lineRule="auto"/>
        <w:rPr>
          <w:rFonts w:ascii="Verdana" w:eastAsia="Geomanist Light" w:hAnsi="Verdana" w:cs="Arial"/>
          <w:color w:val="000000" w:themeColor="text1"/>
          <w:lang w:val="es-MX"/>
        </w:rPr>
      </w:pPr>
    </w:p>
    <w:p w14:paraId="19D4D35D" w14:textId="77777777" w:rsidR="00DE2ACF" w:rsidRDefault="00DE2ACF" w:rsidP="00DE2ACF">
      <w:pPr>
        <w:spacing w:after="0" w:line="240" w:lineRule="auto"/>
        <w:rPr>
          <w:rFonts w:ascii="Verdana" w:eastAsia="Geomanist Light" w:hAnsi="Verdana" w:cs="Arial"/>
          <w:color w:val="000000" w:themeColor="text1"/>
          <w:lang w:val="es-MX"/>
        </w:rPr>
      </w:pPr>
    </w:p>
    <w:p w14:paraId="14BD4BC3" w14:textId="77777777" w:rsidR="00DE2ACF" w:rsidRDefault="00DE2ACF" w:rsidP="00DE2ACF">
      <w:pPr>
        <w:spacing w:after="0" w:line="240" w:lineRule="auto"/>
        <w:rPr>
          <w:rFonts w:ascii="Verdana" w:eastAsia="Geomanist Light" w:hAnsi="Verdana" w:cs="Arial"/>
          <w:color w:val="000000" w:themeColor="text1"/>
          <w:lang w:val="es-MX"/>
        </w:rPr>
      </w:pPr>
    </w:p>
    <w:p w14:paraId="3D103B6D" w14:textId="77777777" w:rsidR="00DE2ACF" w:rsidRDefault="00DE2ACF" w:rsidP="00DE2ACF">
      <w:pPr>
        <w:spacing w:after="0" w:line="240" w:lineRule="auto"/>
        <w:rPr>
          <w:rFonts w:ascii="Verdana" w:eastAsia="Geomanist Light" w:hAnsi="Verdana" w:cs="Arial"/>
          <w:color w:val="000000" w:themeColor="text1"/>
          <w:lang w:val="es-MX"/>
        </w:rPr>
      </w:pPr>
    </w:p>
    <w:p w14:paraId="32C4984B" w14:textId="77777777" w:rsidR="00DE2ACF" w:rsidRDefault="00DE2ACF" w:rsidP="00DE2ACF">
      <w:pPr>
        <w:spacing w:after="0" w:line="240" w:lineRule="auto"/>
        <w:rPr>
          <w:rFonts w:ascii="Verdana" w:eastAsia="Geomanist Light" w:hAnsi="Verdana" w:cs="Arial"/>
          <w:color w:val="000000" w:themeColor="text1"/>
          <w:lang w:val="es-MX"/>
        </w:rPr>
      </w:pPr>
    </w:p>
    <w:p w14:paraId="3B134AF7" w14:textId="77777777" w:rsidR="00DE2ACF" w:rsidRDefault="00DE2ACF" w:rsidP="00DE2ACF">
      <w:pPr>
        <w:spacing w:after="0" w:line="240" w:lineRule="auto"/>
        <w:rPr>
          <w:rFonts w:ascii="Verdana" w:eastAsia="Geomanist Light" w:hAnsi="Verdana" w:cs="Arial"/>
          <w:color w:val="000000" w:themeColor="text1"/>
          <w:lang w:val="es-MX"/>
        </w:rPr>
      </w:pPr>
    </w:p>
    <w:p w14:paraId="6E2FB7C6" w14:textId="77777777" w:rsidR="00DE2ACF" w:rsidRDefault="00DE2ACF" w:rsidP="00DE2ACF">
      <w:pPr>
        <w:spacing w:after="0" w:line="240" w:lineRule="auto"/>
        <w:rPr>
          <w:rFonts w:ascii="Verdana" w:eastAsia="Geomanist Light" w:hAnsi="Verdana" w:cs="Arial"/>
          <w:color w:val="000000" w:themeColor="text1"/>
          <w:lang w:val="es-MX"/>
        </w:rPr>
      </w:pPr>
    </w:p>
    <w:p w14:paraId="37AA2329" w14:textId="77777777" w:rsidR="00DE2ACF" w:rsidRDefault="00DE2ACF" w:rsidP="00DE2ACF">
      <w:pPr>
        <w:spacing w:after="0" w:line="240" w:lineRule="auto"/>
        <w:rPr>
          <w:rFonts w:ascii="Verdana" w:eastAsia="Geomanist Light" w:hAnsi="Verdana" w:cs="Arial"/>
          <w:color w:val="000000" w:themeColor="text1"/>
          <w:lang w:val="es-MX"/>
        </w:rPr>
      </w:pPr>
    </w:p>
    <w:p w14:paraId="1513BBE1" w14:textId="77777777" w:rsidR="00DE2ACF" w:rsidRDefault="00DE2ACF" w:rsidP="00DE2ACF">
      <w:pPr>
        <w:spacing w:after="0" w:line="240" w:lineRule="auto"/>
        <w:rPr>
          <w:rFonts w:ascii="Verdana" w:eastAsia="Geomanist Light" w:hAnsi="Verdana" w:cs="Arial"/>
          <w:color w:val="000000" w:themeColor="text1"/>
          <w:lang w:val="es-MX"/>
        </w:rPr>
      </w:pPr>
    </w:p>
    <w:p w14:paraId="7F4D5E14" w14:textId="77777777" w:rsidR="00DE2ACF" w:rsidRDefault="00DE2ACF" w:rsidP="00934AF7">
      <w:pPr>
        <w:spacing w:after="0" w:line="240" w:lineRule="auto"/>
        <w:rPr>
          <w:rFonts w:ascii="Verdana" w:eastAsia="Geomanist Light" w:hAnsi="Verdana" w:cs="Arial"/>
          <w:color w:val="000000" w:themeColor="text1"/>
          <w:lang w:val="es-MX"/>
        </w:rPr>
      </w:pPr>
    </w:p>
    <w:p w14:paraId="0B6F1188" w14:textId="77777777" w:rsidR="00DE2ACF" w:rsidRDefault="00DE2ACF" w:rsidP="00934AF7">
      <w:pPr>
        <w:spacing w:after="0" w:line="240" w:lineRule="auto"/>
        <w:rPr>
          <w:rFonts w:ascii="Verdana" w:eastAsia="Geomanist Light" w:hAnsi="Verdana" w:cs="Arial"/>
          <w:color w:val="000000" w:themeColor="text1"/>
          <w:lang w:val="es-MX"/>
        </w:rPr>
      </w:pPr>
    </w:p>
    <w:p w14:paraId="06BE7A5B" w14:textId="77777777" w:rsidR="00DE2ACF" w:rsidRDefault="00DE2ACF" w:rsidP="00934AF7">
      <w:pPr>
        <w:spacing w:after="0" w:line="240" w:lineRule="auto"/>
        <w:rPr>
          <w:rFonts w:ascii="Verdana" w:eastAsia="Geomanist Light" w:hAnsi="Verdana" w:cs="Arial"/>
          <w:color w:val="000000" w:themeColor="text1"/>
          <w:lang w:val="es-MX"/>
        </w:rPr>
      </w:pPr>
    </w:p>
    <w:p w14:paraId="4FA02FB9" w14:textId="77777777" w:rsidR="00DE2ACF" w:rsidRDefault="00DE2ACF" w:rsidP="00934AF7">
      <w:pPr>
        <w:spacing w:after="0" w:line="240" w:lineRule="auto"/>
        <w:rPr>
          <w:rFonts w:ascii="Verdana" w:eastAsia="Geomanist Light" w:hAnsi="Verdana" w:cs="Arial"/>
          <w:color w:val="000000" w:themeColor="text1"/>
          <w:lang w:val="es-MX"/>
        </w:rPr>
      </w:pPr>
    </w:p>
    <w:p w14:paraId="58A57A0E" w14:textId="77777777" w:rsidR="00DE2ACF" w:rsidRDefault="00DE2ACF" w:rsidP="00934AF7">
      <w:pPr>
        <w:spacing w:after="0" w:line="240" w:lineRule="auto"/>
        <w:rPr>
          <w:rFonts w:ascii="Verdana" w:eastAsia="Geomanist Light" w:hAnsi="Verdana" w:cs="Arial"/>
          <w:color w:val="000000" w:themeColor="text1"/>
          <w:lang w:val="es-MX"/>
        </w:rPr>
      </w:pPr>
    </w:p>
    <w:p w14:paraId="72DC6604" w14:textId="77777777" w:rsidR="00DE2ACF" w:rsidRDefault="00DE2ACF" w:rsidP="00934AF7">
      <w:pPr>
        <w:spacing w:after="0" w:line="240" w:lineRule="auto"/>
        <w:rPr>
          <w:rFonts w:ascii="Verdana" w:eastAsia="Geomanist Light" w:hAnsi="Verdana" w:cs="Arial"/>
          <w:color w:val="000000" w:themeColor="text1"/>
          <w:lang w:val="es-MX"/>
        </w:rPr>
      </w:pPr>
    </w:p>
    <w:p w14:paraId="736BD21B" w14:textId="77777777" w:rsidR="00DE2ACF" w:rsidRDefault="00DE2ACF" w:rsidP="00934AF7">
      <w:pPr>
        <w:spacing w:after="0" w:line="240" w:lineRule="auto"/>
        <w:rPr>
          <w:rFonts w:ascii="Verdana" w:eastAsia="Geomanist Light" w:hAnsi="Verdana" w:cs="Arial"/>
          <w:color w:val="000000" w:themeColor="text1"/>
          <w:lang w:val="es-MX"/>
        </w:rPr>
      </w:pPr>
    </w:p>
    <w:p w14:paraId="5F8D64B3" w14:textId="77777777" w:rsidR="00DE2ACF" w:rsidRDefault="00DE2ACF" w:rsidP="00934AF7">
      <w:pPr>
        <w:spacing w:after="0" w:line="240" w:lineRule="auto"/>
        <w:rPr>
          <w:rFonts w:ascii="Verdana" w:eastAsia="Geomanist Light" w:hAnsi="Verdana" w:cs="Arial"/>
          <w:color w:val="000000" w:themeColor="text1"/>
          <w:lang w:val="es-MX"/>
        </w:rPr>
      </w:pPr>
    </w:p>
    <w:p w14:paraId="0115FEFD" w14:textId="77777777" w:rsidR="00DE2ACF" w:rsidRDefault="00DE2ACF" w:rsidP="00934AF7">
      <w:pPr>
        <w:spacing w:after="0" w:line="240" w:lineRule="auto"/>
        <w:rPr>
          <w:rFonts w:ascii="Verdana" w:eastAsia="Geomanist Light" w:hAnsi="Verdana" w:cs="Arial"/>
          <w:color w:val="000000" w:themeColor="text1"/>
          <w:lang w:val="es-MX"/>
        </w:rPr>
      </w:pPr>
    </w:p>
    <w:p w14:paraId="1AF4C0F4" w14:textId="561F1283" w:rsidR="00934AF7" w:rsidRPr="00593A5F" w:rsidRDefault="00934AF7" w:rsidP="00934AF7">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4F78E4">
        <w:rPr>
          <w:rFonts w:ascii="Verdana" w:hAnsi="Verdana" w:cs="Verdana"/>
          <w:color w:val="000000"/>
          <w:lang w:val="es-MX"/>
        </w:rPr>
        <w:t>25 de Septiembre de 2025</w:t>
      </w:r>
    </w:p>
    <w:p w14:paraId="3A9B1101" w14:textId="77777777" w:rsidR="00934AF7" w:rsidRDefault="00934AF7" w:rsidP="00934AF7">
      <w:pPr>
        <w:spacing w:after="0" w:line="240" w:lineRule="auto"/>
        <w:jc w:val="both"/>
        <w:rPr>
          <w:rFonts w:ascii="Verdana" w:eastAsia="Calibri" w:hAnsi="Verdana" w:cs="Arial"/>
          <w:color w:val="000000"/>
          <w:lang w:val="es-ES"/>
        </w:rPr>
      </w:pPr>
    </w:p>
    <w:p w14:paraId="1F97ED88" w14:textId="4C222645" w:rsidR="00C55CF1" w:rsidRDefault="00C55CF1" w:rsidP="00C55CF1">
      <w:pPr>
        <w:spacing w:after="0" w:line="240" w:lineRule="auto"/>
        <w:jc w:val="right"/>
        <w:rPr>
          <w:rFonts w:ascii="Verdana" w:eastAsia="Calibri" w:hAnsi="Verdana" w:cs="Arial"/>
          <w:color w:val="000000"/>
          <w:lang w:val="es-ES"/>
        </w:rPr>
      </w:pPr>
      <w:r w:rsidRPr="00C55CF1">
        <w:rPr>
          <w:rFonts w:ascii="Verdana" w:eastAsia="Calibri" w:hAnsi="Verdana" w:cs="Arial"/>
          <w:noProof/>
          <w:color w:val="000000"/>
          <w:lang w:val="es-ES"/>
        </w:rPr>
        <w:drawing>
          <wp:inline distT="0" distB="0" distL="0" distR="0" wp14:anchorId="55230A98" wp14:editId="3C5A47C7">
            <wp:extent cx="2400300" cy="622300"/>
            <wp:effectExtent l="0" t="0" r="0" b="0"/>
            <wp:docPr id="705409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40967" name=""/>
                    <pic:cNvPicPr/>
                  </pic:nvPicPr>
                  <pic:blipFill>
                    <a:blip r:embed="rId10"/>
                    <a:stretch>
                      <a:fillRect/>
                    </a:stretch>
                  </pic:blipFill>
                  <pic:spPr>
                    <a:xfrm>
                      <a:off x="0" y="0"/>
                      <a:ext cx="2400300" cy="622300"/>
                    </a:xfrm>
                    <a:prstGeom prst="rect">
                      <a:avLst/>
                    </a:prstGeom>
                  </pic:spPr>
                </pic:pic>
              </a:graphicData>
            </a:graphic>
          </wp:inline>
        </w:drawing>
      </w:r>
    </w:p>
    <w:p w14:paraId="69E82E53" w14:textId="77777777" w:rsidR="00934AF7" w:rsidRPr="00593A5F" w:rsidRDefault="00934AF7" w:rsidP="00934AF7">
      <w:pPr>
        <w:spacing w:after="0" w:line="240" w:lineRule="auto"/>
        <w:jc w:val="both"/>
        <w:rPr>
          <w:rFonts w:ascii="Verdana" w:eastAsia="Calibri" w:hAnsi="Verdana" w:cs="Arial"/>
          <w:color w:val="000000"/>
          <w:lang w:val="es-ES"/>
        </w:rPr>
      </w:pPr>
    </w:p>
    <w:p w14:paraId="0B4613A0" w14:textId="77777777" w:rsidR="00934AF7" w:rsidRPr="00B96799" w:rsidRDefault="00934AF7" w:rsidP="00934AF7">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1A6BA311" w14:textId="77777777" w:rsidR="00934AF7" w:rsidRPr="0085423D" w:rsidRDefault="00934AF7" w:rsidP="00934AF7">
      <w:pPr>
        <w:spacing w:after="0" w:line="240" w:lineRule="auto"/>
        <w:rPr>
          <w:rFonts w:ascii="Verdana" w:eastAsia="Calibri" w:hAnsi="Verdana" w:cs="Arial"/>
          <w:b/>
          <w:lang w:val="es-ES_tradnl" w:eastAsia="es-ES_tradnl"/>
        </w:rPr>
      </w:pPr>
      <w:r w:rsidRPr="00694306">
        <w:rPr>
          <w:rFonts w:ascii="Verdana" w:eastAsia="Calibri" w:hAnsi="Verdana" w:cs="Arial"/>
          <w:b/>
          <w:lang w:val="es-ES_tradnl" w:eastAsia="es-ES_tradnl"/>
        </w:rPr>
        <w:t>Iván Darío Gutiérrez Cardozo</w:t>
      </w:r>
      <w:r w:rsidRPr="007F2F02">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p w14:paraId="2E5B70A9" w14:textId="77777777" w:rsidR="00934AF7" w:rsidRPr="00694306" w:rsidRDefault="00934AF7" w:rsidP="00934AF7">
      <w:pPr>
        <w:spacing w:after="0" w:line="240" w:lineRule="auto"/>
        <w:rPr>
          <w:rFonts w:ascii="Verdana" w:eastAsia="Calibri" w:hAnsi="Verdana" w:cs="Arial"/>
          <w:lang w:val="es-ES" w:eastAsia="es-ES"/>
        </w:rPr>
      </w:pPr>
      <w:hyperlink r:id="rId11" w:history="1">
        <w:r w:rsidRPr="006F5522">
          <w:rPr>
            <w:rStyle w:val="Hipervnculo"/>
            <w:rFonts w:ascii="Verdana" w:hAnsi="Verdana"/>
          </w:rPr>
          <w:t>ivandariog@hotmail.com</w:t>
        </w:r>
      </w:hyperlink>
      <w:r>
        <w:rPr>
          <w:rFonts w:ascii="Verdana" w:hAnsi="Verdana"/>
        </w:rPr>
        <w:t xml:space="preserve"> </w:t>
      </w:r>
      <w:r w:rsidRPr="00694306">
        <w:rPr>
          <w:rFonts w:ascii="Verdana" w:hAnsi="Verdana"/>
        </w:rPr>
        <w:t xml:space="preserve">         </w:t>
      </w:r>
      <w:r w:rsidRPr="00694306">
        <w:rPr>
          <w:rFonts w:ascii="Verdana" w:eastAsia="Calibri" w:hAnsi="Verdana" w:cs="Arial"/>
          <w:lang w:val="es-ES" w:eastAsia="es-ES"/>
        </w:rPr>
        <w:t xml:space="preserve">    </w:t>
      </w:r>
    </w:p>
    <w:p w14:paraId="04FDC0B1" w14:textId="77777777" w:rsidR="00934AF7" w:rsidRDefault="00934AF7" w:rsidP="00934AF7">
      <w:pPr>
        <w:spacing w:after="0" w:line="240" w:lineRule="auto"/>
        <w:rPr>
          <w:rFonts w:ascii="Verdana" w:eastAsia="Calibri" w:hAnsi="Verdana" w:cs="Arial"/>
          <w:lang w:val="es-ES" w:eastAsia="es-ES"/>
        </w:rPr>
      </w:pPr>
      <w:r>
        <w:rPr>
          <w:rFonts w:ascii="Verdana" w:eastAsia="Calibri" w:hAnsi="Verdana" w:cs="Arial"/>
          <w:lang w:val="es-ES" w:eastAsia="es-ES"/>
        </w:rPr>
        <w:t xml:space="preserve">Neiva, Huila </w:t>
      </w:r>
    </w:p>
    <w:p w14:paraId="15D5E9BF" w14:textId="77777777" w:rsidR="00934AF7" w:rsidRPr="00593A5F" w:rsidRDefault="00934AF7" w:rsidP="00934AF7">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34AF7" w:rsidRPr="00593A5F" w14:paraId="45704233" w14:textId="77777777">
        <w:trPr>
          <w:trHeight w:val="884"/>
        </w:trPr>
        <w:tc>
          <w:tcPr>
            <w:tcW w:w="2689" w:type="dxa"/>
          </w:tcPr>
          <w:p w14:paraId="03DA1086" w14:textId="77777777" w:rsidR="00934AF7" w:rsidRPr="00C00976" w:rsidRDefault="00934AF7">
            <w:pPr>
              <w:jc w:val="both"/>
              <w:rPr>
                <w:rFonts w:ascii="Verdana" w:eastAsia="Calibri" w:hAnsi="Verdana" w:cs="Arial"/>
                <w:b/>
                <w:bCs/>
                <w:color w:val="7030A0"/>
                <w:lang w:val="es-ES_tradnl" w:eastAsia="es-ES_tradnl"/>
              </w:rPr>
            </w:pPr>
          </w:p>
        </w:tc>
        <w:tc>
          <w:tcPr>
            <w:tcW w:w="6100" w:type="dxa"/>
          </w:tcPr>
          <w:p w14:paraId="5FB88918" w14:textId="77777777" w:rsidR="00934AF7" w:rsidRPr="00C00976" w:rsidRDefault="00934AF7">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1230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934AF7" w:rsidRPr="00593A5F" w14:paraId="45E689B6" w14:textId="77777777">
        <w:trPr>
          <w:trHeight w:val="884"/>
        </w:trPr>
        <w:tc>
          <w:tcPr>
            <w:tcW w:w="2689" w:type="dxa"/>
          </w:tcPr>
          <w:p w14:paraId="7EA86841" w14:textId="77777777" w:rsidR="00934AF7" w:rsidRPr="00593A5F" w:rsidRDefault="00934AF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DB47BA1" w14:textId="77777777" w:rsidR="00934AF7" w:rsidRPr="00A11406" w:rsidRDefault="00934AF7">
            <w:pPr>
              <w:spacing w:line="276" w:lineRule="auto"/>
              <w:jc w:val="both"/>
              <w:rPr>
                <w:rFonts w:ascii="Verdana" w:eastAsia="Calibri" w:hAnsi="Verdana" w:cs="Arial"/>
                <w:lang w:val="es-ES" w:eastAsia="es-ES"/>
              </w:rPr>
            </w:pPr>
            <w:r w:rsidRPr="00E86D5D">
              <w:rPr>
                <w:rFonts w:ascii="Verdana" w:eastAsia="Calibri" w:hAnsi="Verdana" w:cs="Arial"/>
                <w:lang w:val="es-ES" w:eastAsia="es-ES"/>
              </w:rPr>
              <w:t>CONTRATO ESTATAL – Régimen mixto – Derecho público – Derecho privado / NULIDAD DEL CONTRATO – Causales</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FF78643" w14:textId="77777777" w:rsidR="00934AF7" w:rsidRPr="00593A5F" w:rsidRDefault="00934AF7">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934AF7" w:rsidRPr="008E6AD9" w14:paraId="051C9F97" w14:textId="77777777">
        <w:tc>
          <w:tcPr>
            <w:tcW w:w="2689" w:type="dxa"/>
          </w:tcPr>
          <w:p w14:paraId="383DEEFF" w14:textId="77777777" w:rsidR="00934AF7" w:rsidRPr="008E6AD9" w:rsidRDefault="00934AF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B068B59" w14:textId="77777777" w:rsidR="00934AF7" w:rsidRPr="008E6AD9" w:rsidRDefault="00934AF7">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727E2A">
              <w:rPr>
                <w:rFonts w:ascii="Verdana" w:eastAsia="Calibri" w:hAnsi="Verdana" w:cs="Arial"/>
                <w:lang w:val="es-ES_tradnl" w:eastAsia="es-ES_tradnl"/>
              </w:rPr>
              <w:t>1_2025_08_29_009304</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623178F" w14:textId="77777777" w:rsidR="00934AF7" w:rsidRPr="00593A5F" w:rsidRDefault="00934AF7" w:rsidP="00934AF7">
      <w:pPr>
        <w:spacing w:after="0" w:line="240" w:lineRule="auto"/>
        <w:jc w:val="both"/>
        <w:rPr>
          <w:rFonts w:ascii="Verdana" w:eastAsia="Calibri" w:hAnsi="Verdana" w:cs="Arial"/>
          <w:color w:val="000000"/>
          <w:lang w:val="es-ES_tradnl" w:eastAsia="es-ES_tradnl"/>
        </w:rPr>
      </w:pPr>
    </w:p>
    <w:p w14:paraId="7B4B8929" w14:textId="77777777" w:rsidR="00934AF7" w:rsidRPr="00593A5F" w:rsidRDefault="00934AF7" w:rsidP="00934AF7">
      <w:pPr>
        <w:spacing w:after="0" w:line="240" w:lineRule="auto"/>
        <w:jc w:val="both"/>
        <w:rPr>
          <w:rFonts w:ascii="Verdana" w:eastAsia="Calibri" w:hAnsi="Verdana" w:cs="Arial"/>
          <w:color w:val="000000"/>
          <w:lang w:val="es-ES_tradnl" w:eastAsia="es-ES_tradnl"/>
        </w:rPr>
      </w:pPr>
    </w:p>
    <w:p w14:paraId="1BD9DD49" w14:textId="77777777" w:rsidR="00934AF7" w:rsidRPr="008E6AD9" w:rsidRDefault="00934AF7" w:rsidP="00934AF7">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694306">
        <w:rPr>
          <w:rFonts w:ascii="Verdana" w:eastAsia="Calibri" w:hAnsi="Verdana" w:cs="Arial"/>
          <w:lang w:val="es-ES" w:eastAsia="es-ES"/>
        </w:rPr>
        <w:t>Gutiérrez Cardozo</w:t>
      </w:r>
      <w:r w:rsidRPr="008E6AD9">
        <w:rPr>
          <w:rFonts w:ascii="Verdana" w:eastAsia="Calibri" w:hAnsi="Verdana" w:cs="Arial"/>
          <w:lang w:val="es-ES" w:eastAsia="es-ES"/>
        </w:rPr>
        <w:t xml:space="preserve">: </w:t>
      </w:r>
    </w:p>
    <w:p w14:paraId="100B08DF" w14:textId="77777777" w:rsidR="00934AF7" w:rsidRDefault="00934AF7" w:rsidP="00934AF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2601434" w14:textId="77777777" w:rsidR="00934AF7" w:rsidRPr="00593A5F" w:rsidRDefault="00934AF7" w:rsidP="00934AF7">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29 de agosto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 realiza las siguientes preguntas:</w:t>
      </w:r>
      <w:r w:rsidRPr="008E6AD9">
        <w:rPr>
          <w:rFonts w:ascii="Verdana" w:eastAsia="Calibri" w:hAnsi="Verdana" w:cs="Arial"/>
          <w:lang w:val="es-ES" w:eastAsia="es-ES"/>
        </w:rPr>
        <w:t xml:space="preserve"> </w:t>
      </w:r>
    </w:p>
    <w:p w14:paraId="0AF3C36B" w14:textId="77777777" w:rsidR="00934AF7" w:rsidRPr="00272A7B" w:rsidRDefault="00934AF7" w:rsidP="00934AF7">
      <w:pPr>
        <w:pStyle w:val="Prrafodelista"/>
        <w:tabs>
          <w:tab w:val="left" w:pos="142"/>
          <w:tab w:val="left" w:pos="284"/>
        </w:tabs>
        <w:spacing w:after="0" w:line="276" w:lineRule="auto"/>
        <w:ind w:left="0"/>
        <w:jc w:val="both"/>
        <w:rPr>
          <w:rFonts w:ascii="Verdana" w:eastAsia="Century Gothic" w:hAnsi="Verdana" w:cs="Century Gothic"/>
          <w:b/>
          <w:bCs/>
        </w:rPr>
      </w:pPr>
    </w:p>
    <w:p w14:paraId="449CA002" w14:textId="77777777" w:rsidR="00934AF7" w:rsidRPr="005B7798" w:rsidRDefault="00934AF7" w:rsidP="00934AF7">
      <w:pPr>
        <w:spacing w:after="0" w:line="240" w:lineRule="auto"/>
        <w:ind w:left="709" w:right="709"/>
        <w:jc w:val="both"/>
        <w:rPr>
          <w:rFonts w:ascii="Verdana" w:eastAsia="Century Gothic" w:hAnsi="Verdana" w:cs="Century Gothic"/>
          <w:sz w:val="21"/>
          <w:szCs w:val="21"/>
          <w:lang w:val="es-ES"/>
        </w:rPr>
      </w:pPr>
      <w:bookmarkStart w:id="0" w:name="_Hlk95313578"/>
      <w:r w:rsidRPr="006E7258">
        <w:rPr>
          <w:rFonts w:ascii="Verdana" w:eastAsia="Century Gothic" w:hAnsi="Verdana" w:cs="Century Gothic"/>
          <w:sz w:val="21"/>
          <w:szCs w:val="21"/>
          <w:lang w:val="es-ES"/>
        </w:rPr>
        <w:t>“</w:t>
      </w:r>
      <w:bookmarkEnd w:id="0"/>
      <w:r w:rsidRPr="00AD2D47">
        <w:rPr>
          <w:rFonts w:ascii="Verdana" w:eastAsia="Century Gothic" w:hAnsi="Verdana" w:cs="Century Gothic"/>
          <w:sz w:val="21"/>
          <w:szCs w:val="21"/>
          <w:lang w:val="es-ES"/>
        </w:rPr>
        <w:t>¿</w:t>
      </w:r>
      <w:r w:rsidRPr="00727E2A">
        <w:rPr>
          <w:rFonts w:ascii="Verdana" w:eastAsia="Century Gothic" w:hAnsi="Verdana" w:cs="Century Gothic"/>
          <w:sz w:val="21"/>
          <w:szCs w:val="21"/>
          <w:lang w:val="es-ES"/>
        </w:rPr>
        <w:t xml:space="preserve">es posible que una entidad estatal, en ejercicio del medio de control de controversias contractuales pueda pretender la nulidad de un contrato propio? </w:t>
      </w:r>
      <w:r>
        <w:rPr>
          <w:rFonts w:ascii="Verdana" w:eastAsia="Century Gothic" w:hAnsi="Verdana" w:cs="Century Gothic"/>
          <w:sz w:val="21"/>
          <w:szCs w:val="21"/>
          <w:lang w:val="es-ES"/>
        </w:rPr>
        <w:t>D</w:t>
      </w:r>
      <w:r w:rsidRPr="00727E2A">
        <w:rPr>
          <w:rFonts w:ascii="Verdana" w:eastAsia="Century Gothic" w:hAnsi="Verdana" w:cs="Century Gothic"/>
          <w:sz w:val="21"/>
          <w:szCs w:val="21"/>
          <w:lang w:val="es-ES"/>
        </w:rPr>
        <w:t>e ser posible</w:t>
      </w:r>
      <w:r>
        <w:rPr>
          <w:rFonts w:ascii="Verdana" w:eastAsia="Century Gothic" w:hAnsi="Verdana" w:cs="Century Gothic"/>
          <w:sz w:val="21"/>
          <w:szCs w:val="21"/>
          <w:lang w:val="es-ES"/>
        </w:rPr>
        <w:t>,</w:t>
      </w:r>
      <w:r w:rsidRPr="00727E2A">
        <w:rPr>
          <w:rFonts w:ascii="Verdana" w:eastAsia="Century Gothic" w:hAnsi="Verdana" w:cs="Century Gothic"/>
          <w:sz w:val="21"/>
          <w:szCs w:val="21"/>
          <w:lang w:val="es-ES"/>
        </w:rPr>
        <w:t xml:space="preserve"> </w:t>
      </w:r>
      <w:r>
        <w:rPr>
          <w:rFonts w:ascii="Verdana" w:eastAsia="Century Gothic" w:hAnsi="Verdana" w:cs="Century Gothic"/>
          <w:sz w:val="21"/>
          <w:szCs w:val="21"/>
          <w:lang w:val="es-ES"/>
        </w:rPr>
        <w:t>¿</w:t>
      </w:r>
      <w:r w:rsidRPr="00727E2A">
        <w:rPr>
          <w:rFonts w:ascii="Verdana" w:eastAsia="Century Gothic" w:hAnsi="Verdana" w:cs="Century Gothic"/>
          <w:sz w:val="21"/>
          <w:szCs w:val="21"/>
          <w:lang w:val="es-ES"/>
        </w:rPr>
        <w:t>qu</w:t>
      </w:r>
      <w:r>
        <w:rPr>
          <w:rFonts w:ascii="Verdana" w:eastAsia="Century Gothic" w:hAnsi="Verdana" w:cs="Century Gothic"/>
          <w:sz w:val="21"/>
          <w:szCs w:val="21"/>
          <w:lang w:val="es-ES"/>
        </w:rPr>
        <w:t>é</w:t>
      </w:r>
      <w:r w:rsidRPr="00727E2A">
        <w:rPr>
          <w:rFonts w:ascii="Verdana" w:eastAsia="Century Gothic" w:hAnsi="Verdana" w:cs="Century Gothic"/>
          <w:sz w:val="21"/>
          <w:szCs w:val="21"/>
          <w:lang w:val="es-ES"/>
        </w:rPr>
        <w:t xml:space="preserve"> ocurre de cara al principio que indica</w:t>
      </w:r>
      <w:r>
        <w:rPr>
          <w:rFonts w:ascii="Verdana" w:eastAsia="Century Gothic" w:hAnsi="Verdana" w:cs="Century Gothic"/>
          <w:sz w:val="21"/>
          <w:szCs w:val="21"/>
          <w:lang w:val="es-ES"/>
        </w:rPr>
        <w:t xml:space="preserve"> ‘</w:t>
      </w:r>
      <w:r w:rsidRPr="00727E2A">
        <w:rPr>
          <w:rFonts w:ascii="Verdana" w:eastAsia="Century Gothic" w:hAnsi="Verdana" w:cs="Century Gothic"/>
          <w:sz w:val="21"/>
          <w:szCs w:val="21"/>
          <w:lang w:val="es-ES"/>
        </w:rPr>
        <w:t>nadie puede alegar su propia culpa</w:t>
      </w:r>
      <w:r>
        <w:rPr>
          <w:rFonts w:ascii="Verdana" w:eastAsia="Century Gothic" w:hAnsi="Verdana" w:cs="Century Gothic"/>
          <w:sz w:val="21"/>
          <w:szCs w:val="21"/>
          <w:lang w:val="es-ES"/>
        </w:rPr>
        <w:t>’</w:t>
      </w:r>
      <w:r w:rsidRPr="00AD2D47">
        <w:rPr>
          <w:rFonts w:ascii="Verdana" w:eastAsia="Century Gothic" w:hAnsi="Verdana" w:cs="Century Gothic"/>
          <w:sz w:val="21"/>
          <w:szCs w:val="21"/>
          <w:lang w:val="es-ES"/>
        </w:rPr>
        <w:t>?</w:t>
      </w:r>
      <w:r w:rsidRPr="006040CE">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47B35926" w14:textId="77777777" w:rsidR="00934AF7" w:rsidRPr="008E6AD9" w:rsidRDefault="00934AF7" w:rsidP="00934AF7">
      <w:pPr>
        <w:pStyle w:val="Prrafodelista"/>
        <w:tabs>
          <w:tab w:val="left" w:pos="142"/>
          <w:tab w:val="left" w:pos="284"/>
        </w:tabs>
        <w:spacing w:after="0" w:line="276" w:lineRule="auto"/>
        <w:ind w:left="0"/>
        <w:jc w:val="both"/>
        <w:rPr>
          <w:rFonts w:ascii="Verdana" w:eastAsia="Century Gothic" w:hAnsi="Verdana" w:cs="Century Gothic"/>
          <w:b/>
          <w:bCs/>
        </w:rPr>
      </w:pPr>
    </w:p>
    <w:p w14:paraId="466FDA46" w14:textId="77777777" w:rsidR="00934AF7" w:rsidRPr="00A652FF" w:rsidRDefault="00934AF7" w:rsidP="00934AF7">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w:t>
      </w:r>
      <w:r w:rsidRPr="00593A5F">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C15969B" w14:textId="77777777" w:rsidR="00934AF7" w:rsidRDefault="00934AF7" w:rsidP="00934AF7">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33F96B7" w14:textId="77777777" w:rsidR="00934AF7" w:rsidRPr="00593A5F" w:rsidRDefault="00934AF7" w:rsidP="00934AF7">
      <w:pPr>
        <w:spacing w:after="0" w:line="276" w:lineRule="auto"/>
        <w:ind w:firstLine="709"/>
        <w:jc w:val="both"/>
        <w:rPr>
          <w:rFonts w:ascii="Verdana" w:eastAsia="Calibri" w:hAnsi="Verdana" w:cs="Arial"/>
          <w:color w:val="000000"/>
          <w:lang w:val="es-ES" w:eastAsia="es-ES"/>
        </w:rPr>
      </w:pPr>
    </w:p>
    <w:p w14:paraId="6985E596" w14:textId="77777777" w:rsidR="00934AF7" w:rsidRPr="00593A5F" w:rsidRDefault="00934AF7" w:rsidP="00934AF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0C5961D" w14:textId="77777777" w:rsidR="00934AF7" w:rsidRPr="00593A5F" w:rsidRDefault="00934AF7" w:rsidP="00934AF7">
      <w:pPr>
        <w:tabs>
          <w:tab w:val="left" w:pos="426"/>
        </w:tabs>
        <w:spacing w:after="0" w:line="276" w:lineRule="auto"/>
        <w:jc w:val="both"/>
        <w:rPr>
          <w:rFonts w:ascii="Verdana" w:eastAsia="Century Gothic" w:hAnsi="Verdana" w:cs="Century Gothic"/>
          <w:lang w:val="es-ES"/>
        </w:rPr>
      </w:pPr>
    </w:p>
    <w:p w14:paraId="471CC295" w14:textId="77777777" w:rsidR="00934AF7" w:rsidRPr="00593A5F" w:rsidRDefault="00934AF7" w:rsidP="00934AF7">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w:t>
      </w:r>
      <w:r>
        <w:rPr>
          <w:rFonts w:ascii="Verdana" w:eastAsia="Century Gothic" w:hAnsi="Verdana" w:cs="Century Gothic"/>
        </w:rPr>
        <w:t xml:space="preserve"> ¿existe algún fundamento normativo para sostener que, sobre la base del principio según el cual “</w:t>
      </w:r>
      <w:r w:rsidRPr="001A09C8">
        <w:rPr>
          <w:rFonts w:ascii="Verdana" w:eastAsia="Century Gothic" w:hAnsi="Verdana" w:cs="Century Gothic"/>
        </w:rPr>
        <w:t>nadie puede alegar su propia culpa</w:t>
      </w:r>
      <w:r>
        <w:rPr>
          <w:rFonts w:ascii="Verdana" w:eastAsia="Century Gothic" w:hAnsi="Verdana" w:cs="Century Gothic"/>
        </w:rPr>
        <w:t>”, las entidades carecen de legitimación para demandar la nulidad de los contratos en el medio de control del artículo 141 de la Ley 1437 de 2011?</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561A51F" w14:textId="77777777" w:rsidR="00934AF7" w:rsidRPr="004B140F" w:rsidRDefault="00934AF7" w:rsidP="00934AF7">
      <w:pPr>
        <w:spacing w:after="0" w:line="276" w:lineRule="auto"/>
        <w:jc w:val="both"/>
        <w:rPr>
          <w:rFonts w:ascii="Verdana" w:eastAsia="Calibri" w:hAnsi="Verdana" w:cs="Arial"/>
          <w:color w:val="7030A0"/>
        </w:rPr>
      </w:pPr>
    </w:p>
    <w:p w14:paraId="7E086BAD" w14:textId="77777777" w:rsidR="00934AF7" w:rsidRPr="00593A5F" w:rsidRDefault="00934AF7" w:rsidP="00934A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417CEC0" w14:textId="77777777" w:rsidR="00934AF7" w:rsidRPr="00593A5F" w:rsidRDefault="00934AF7" w:rsidP="00934AF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34AF7" w:rsidRPr="00593A5F" w14:paraId="7415A90A" w14:textId="77777777">
        <w:trPr>
          <w:jc w:val="center"/>
        </w:trPr>
        <w:tc>
          <w:tcPr>
            <w:tcW w:w="8828" w:type="dxa"/>
          </w:tcPr>
          <w:p w14:paraId="40635BD0" w14:textId="77777777" w:rsidR="00934AF7" w:rsidRDefault="00934AF7">
            <w:pPr>
              <w:spacing w:after="120" w:line="276" w:lineRule="auto"/>
              <w:jc w:val="both"/>
              <w:rPr>
                <w:rFonts w:ascii="Verdana" w:eastAsia="Calibri" w:hAnsi="Verdana" w:cs="Arial"/>
                <w:bCs/>
                <w:color w:val="000000" w:themeColor="text1"/>
              </w:rPr>
            </w:pPr>
            <w:bookmarkStart w:id="1" w:name="_Hlk171694685"/>
            <w:r>
              <w:rPr>
                <w:rFonts w:ascii="Verdana" w:eastAsia="Calibri" w:hAnsi="Verdana" w:cs="Times New Roman"/>
                <w:iCs/>
                <w:lang w:val="es-ES"/>
              </w:rPr>
              <w:t>Conforme a la interpretación general de las normas del sistema de compras públicas,</w:t>
            </w:r>
            <w:r w:rsidRPr="00185EE9">
              <w:rPr>
                <w:rFonts w:ascii="Verdana" w:eastAsia="Calibri" w:hAnsi="Verdana" w:cs="Times New Roman"/>
                <w:iCs/>
                <w:lang w:val="es-ES"/>
              </w:rPr>
              <w:t xml:space="preserve"> </w:t>
            </w:r>
            <w:r>
              <w:rPr>
                <w:rFonts w:ascii="Verdana" w:eastAsia="Calibri" w:hAnsi="Verdana" w:cs="Arial"/>
                <w:bCs/>
                <w:color w:val="000000" w:themeColor="text1"/>
              </w:rPr>
              <w:t>el artículo 1743 del Código Civil dispone que “</w:t>
            </w:r>
            <w:r w:rsidRPr="001C6C7F">
              <w:rPr>
                <w:rFonts w:ascii="Verdana" w:eastAsia="Calibri" w:hAnsi="Verdana" w:cs="Arial"/>
                <w:bCs/>
                <w:color w:val="000000" w:themeColor="text1"/>
              </w:rPr>
              <w:t xml:space="preserve">La nulidad relativa no </w:t>
            </w:r>
            <w:r>
              <w:rPr>
                <w:rFonts w:ascii="Verdana" w:eastAsia="Calibri" w:hAnsi="Verdana" w:cs="Arial"/>
                <w:bCs/>
                <w:color w:val="000000" w:themeColor="text1"/>
              </w:rPr>
              <w:t>[…]</w:t>
            </w:r>
            <w:r w:rsidRPr="001C6C7F">
              <w:rPr>
                <w:rFonts w:ascii="Verdana" w:eastAsia="Calibri" w:hAnsi="Verdana" w:cs="Arial"/>
                <w:bCs/>
                <w:color w:val="000000" w:themeColor="text1"/>
              </w:rPr>
              <w:t xml:space="preserve"> puede alegarse sino por aquellos en cuyo beneficio la han establecido las leyes, o por sus herederos o cesionarios</w:t>
            </w:r>
            <w:r>
              <w:rPr>
                <w:rFonts w:ascii="Verdana" w:eastAsia="Calibri" w:hAnsi="Verdana" w:cs="Arial"/>
                <w:bCs/>
                <w:color w:val="000000" w:themeColor="text1"/>
              </w:rPr>
              <w:t xml:space="preserve"> […]. En contraste, la redacción original del artículo 1742 </w:t>
            </w:r>
            <w:r w:rsidRPr="004B49D7">
              <w:rPr>
                <w:rFonts w:ascii="Verdana" w:eastAsia="Calibri" w:hAnsi="Verdana" w:cs="Arial"/>
                <w:bCs/>
                <w:i/>
                <w:iCs/>
                <w:color w:val="000000" w:themeColor="text1"/>
              </w:rPr>
              <w:t>ibidem</w:t>
            </w:r>
            <w:r>
              <w:rPr>
                <w:rFonts w:ascii="Verdana" w:eastAsia="Calibri" w:hAnsi="Verdana" w:cs="Arial"/>
                <w:bCs/>
                <w:color w:val="000000" w:themeColor="text1"/>
              </w:rPr>
              <w:t xml:space="preserve">, reformado por el artículo 90 de la Ley 153 de 1887 y subrogado por el artículo 15 de la Ley 95 de 1890, precisaba que la nulidad absoluta podía “[…] </w:t>
            </w:r>
            <w:r w:rsidRPr="004B49D7">
              <w:rPr>
                <w:rFonts w:ascii="Verdana" w:eastAsia="Calibri" w:hAnsi="Verdana" w:cs="Arial"/>
                <w:bCs/>
                <w:color w:val="000000" w:themeColor="text1"/>
              </w:rPr>
              <w:t xml:space="preserve">alegarse por todo el que tenga interés en ello, excepto el que ha ejecutado el acto </w:t>
            </w:r>
            <w:r>
              <w:rPr>
                <w:rFonts w:ascii="Verdana" w:eastAsia="Calibri" w:hAnsi="Verdana" w:cs="Arial"/>
                <w:bCs/>
                <w:color w:val="000000" w:themeColor="text1"/>
              </w:rPr>
              <w:t>o</w:t>
            </w:r>
            <w:r w:rsidRPr="004B49D7">
              <w:rPr>
                <w:rFonts w:ascii="Verdana" w:eastAsia="Calibri" w:hAnsi="Verdana" w:cs="Arial"/>
                <w:bCs/>
                <w:color w:val="000000" w:themeColor="text1"/>
              </w:rPr>
              <w:t xml:space="preserve"> celebrado el contrato sabiendo </w:t>
            </w:r>
            <w:r>
              <w:rPr>
                <w:rFonts w:ascii="Verdana" w:eastAsia="Calibri" w:hAnsi="Verdana" w:cs="Arial"/>
                <w:bCs/>
                <w:color w:val="000000" w:themeColor="text1"/>
              </w:rPr>
              <w:t>o</w:t>
            </w:r>
            <w:r w:rsidRPr="004B49D7">
              <w:rPr>
                <w:rFonts w:ascii="Verdana" w:eastAsia="Calibri" w:hAnsi="Verdana" w:cs="Arial"/>
                <w:bCs/>
                <w:color w:val="000000" w:themeColor="text1"/>
              </w:rPr>
              <w:t xml:space="preserve"> debiendo saber el vicio que lo invalidaba</w:t>
            </w:r>
            <w:r>
              <w:rPr>
                <w:rFonts w:ascii="Verdana" w:eastAsia="Calibri" w:hAnsi="Verdana" w:cs="Arial"/>
                <w:bCs/>
                <w:color w:val="000000" w:themeColor="text1"/>
              </w:rPr>
              <w:t xml:space="preserve"> […]”. Precisamente, esta restricción era una manifestación del principio según el cual “</w:t>
            </w:r>
            <w:r w:rsidRPr="004B49D7">
              <w:rPr>
                <w:rFonts w:ascii="Verdana" w:eastAsia="Calibri" w:hAnsi="Verdana" w:cs="Arial"/>
                <w:bCs/>
                <w:color w:val="000000" w:themeColor="text1"/>
              </w:rPr>
              <w:t>nadie será escuchado si alega su propia torpeza</w:t>
            </w:r>
            <w:r>
              <w:rPr>
                <w:rFonts w:ascii="Verdana" w:eastAsia="Calibri" w:hAnsi="Verdana" w:cs="Arial"/>
                <w:bCs/>
                <w:color w:val="000000" w:themeColor="text1"/>
              </w:rPr>
              <w:t>”.</w:t>
            </w:r>
          </w:p>
          <w:p w14:paraId="3EC62004" w14:textId="77777777" w:rsidR="00934AF7" w:rsidRDefault="00934AF7">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lastRenderedPageBreak/>
              <w:tab/>
              <w:t>Actualmente, el artículo 2 de la Ley 50 de 1936 elimina dicha excepción, pues dispone que “</w:t>
            </w:r>
            <w:r w:rsidRPr="00BE0489">
              <w:rPr>
                <w:rFonts w:ascii="Verdana" w:eastAsia="Calibri" w:hAnsi="Verdana" w:cs="Arial"/>
                <w:bCs/>
                <w:i/>
                <w:iCs/>
                <w:color w:val="000000" w:themeColor="text1"/>
              </w:rPr>
              <w:t>La nulidad absoluta</w:t>
            </w:r>
            <w:r w:rsidRPr="00BE0489">
              <w:rPr>
                <w:rFonts w:ascii="Verdana" w:eastAsia="Calibri" w:hAnsi="Verdana" w:cs="Arial"/>
                <w:bCs/>
                <w:color w:val="000000" w:themeColor="text1"/>
              </w:rPr>
              <w:t xml:space="preserve"> puede y debe ser declarada por el Juez, aun sin petición de parte, cuando aparezca de manifiesto en el acto o contrario; </w:t>
            </w:r>
            <w:r w:rsidRPr="00BE0489">
              <w:rPr>
                <w:rFonts w:ascii="Verdana" w:eastAsia="Calibri" w:hAnsi="Verdana" w:cs="Arial"/>
                <w:bCs/>
                <w:i/>
                <w:iCs/>
                <w:color w:val="000000" w:themeColor="text1"/>
              </w:rPr>
              <w:t>puede alegarse por todo el que tenga interés en ello</w:t>
            </w:r>
            <w:r w:rsidRPr="00BE0489">
              <w:rPr>
                <w:rFonts w:ascii="Verdana" w:eastAsia="Calibri" w:hAnsi="Verdana" w:cs="Arial"/>
                <w:bCs/>
                <w:color w:val="000000" w:themeColor="text1"/>
              </w:rPr>
              <w:t>; puede asimismo pedirse su declaración por el Ministerio Publico en el interés de la moral o de la ley</w:t>
            </w:r>
            <w:r>
              <w:rPr>
                <w:rFonts w:ascii="Verdana" w:eastAsia="Calibri" w:hAnsi="Verdana" w:cs="Arial"/>
                <w:bCs/>
                <w:color w:val="000000" w:themeColor="text1"/>
              </w:rPr>
              <w:t xml:space="preserve"> […]” (Énfasis fuera de texto). Para OSPINA FERNÁNDEZ y OSPINA ACOSTA, “[…] </w:t>
            </w:r>
            <w:r w:rsidRPr="00BE0489">
              <w:rPr>
                <w:rFonts w:ascii="Verdana" w:eastAsia="Calibri" w:hAnsi="Verdana" w:cs="Arial"/>
                <w:bCs/>
                <w:color w:val="000000" w:themeColor="text1"/>
              </w:rPr>
              <w:t>la conclusión a que hay que llegar es que quien haya participado</w:t>
            </w:r>
            <w:r>
              <w:rPr>
                <w:rFonts w:ascii="Verdana" w:eastAsia="Calibri" w:hAnsi="Verdana" w:cs="Arial"/>
                <w:bCs/>
                <w:color w:val="000000" w:themeColor="text1"/>
              </w:rPr>
              <w:t xml:space="preserve"> </w:t>
            </w:r>
            <w:r w:rsidRPr="00BE0489">
              <w:rPr>
                <w:rFonts w:ascii="Verdana" w:eastAsia="Calibri" w:hAnsi="Verdana" w:cs="Arial"/>
                <w:bCs/>
                <w:color w:val="000000" w:themeColor="text1"/>
              </w:rPr>
              <w:t>en un acto legalmente calificado como absolutamente nulo está legitimado para</w:t>
            </w:r>
            <w:r>
              <w:rPr>
                <w:rFonts w:ascii="Verdana" w:eastAsia="Calibri" w:hAnsi="Verdana" w:cs="Arial"/>
                <w:bCs/>
                <w:color w:val="000000" w:themeColor="text1"/>
              </w:rPr>
              <w:t xml:space="preserve"> </w:t>
            </w:r>
            <w:r w:rsidRPr="00BE0489">
              <w:rPr>
                <w:rFonts w:ascii="Verdana" w:eastAsia="Calibri" w:hAnsi="Verdana" w:cs="Arial"/>
                <w:bCs/>
                <w:color w:val="000000" w:themeColor="text1"/>
              </w:rPr>
              <w:t>alegar la nulidad</w:t>
            </w:r>
            <w:r>
              <w:rPr>
                <w:rFonts w:ascii="Verdana" w:eastAsia="Calibri" w:hAnsi="Verdana" w:cs="Arial"/>
                <w:bCs/>
                <w:color w:val="000000" w:themeColor="text1"/>
              </w:rPr>
              <w:t xml:space="preserve"> […]”. Por su parte, HINESTROSA señala que “[…] </w:t>
            </w:r>
            <w:r w:rsidRPr="00DB1D42">
              <w:rPr>
                <w:rFonts w:ascii="Verdana" w:eastAsia="Calibri" w:hAnsi="Verdana" w:cs="Arial"/>
                <w:bCs/>
                <w:color w:val="000000" w:themeColor="text1"/>
              </w:rPr>
              <w:t>está legitimada para impetrar la nulidad, tanto por vía de acción, como por vía de excepción, cualquiera persona que justifique necesidad o conveniencia en su pronunciamiento, sin restricciones de ninguna índole</w:t>
            </w:r>
            <w:r>
              <w:rPr>
                <w:rFonts w:ascii="Verdana" w:eastAsia="Calibri" w:hAnsi="Verdana" w:cs="Arial"/>
                <w:bCs/>
                <w:color w:val="000000" w:themeColor="text1"/>
              </w:rPr>
              <w:t xml:space="preserve"> […]”</w:t>
            </w:r>
            <w:r w:rsidRPr="00E0628F">
              <w:rPr>
                <w:rFonts w:ascii="Verdana" w:eastAsia="Calibri" w:hAnsi="Verdana" w:cs="Arial"/>
                <w:bCs/>
                <w:color w:val="000000" w:themeColor="text1"/>
              </w:rPr>
              <w:t>.</w:t>
            </w:r>
          </w:p>
          <w:p w14:paraId="51C7110B" w14:textId="77777777" w:rsidR="00934AF7" w:rsidRDefault="00934AF7">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t>Para efectos de los procesos contenciosos administrativos, la excepción contenida desde la redacción original del artículo 1742 del Código Civil hasta el artículo 15 de la Ley 95 de 1890 brilla por su ausencia en el artículo 141 de la Ley 1437 de 2011. La norma prescribe que “</w:t>
            </w:r>
            <w:r w:rsidRPr="00041034">
              <w:rPr>
                <w:rFonts w:ascii="Verdana" w:eastAsia="Calibri" w:hAnsi="Verdana" w:cs="Arial"/>
                <w:bCs/>
                <w:color w:val="000000" w:themeColor="text1"/>
              </w:rPr>
              <w:t>Cualquiera de las partes de un contrato del Estado podrá pedir que se declare su existencia o su nulidad</w:t>
            </w:r>
            <w:r>
              <w:rPr>
                <w:rFonts w:ascii="Verdana" w:eastAsia="Calibri" w:hAnsi="Verdana" w:cs="Arial"/>
                <w:bCs/>
                <w:color w:val="000000" w:themeColor="text1"/>
              </w:rPr>
              <w:t xml:space="preserve"> […]”, sin limitar el derecho de acceso a la administración de justicia a quien hubiera </w:t>
            </w:r>
            <w:r w:rsidRPr="004B49D7">
              <w:rPr>
                <w:rFonts w:ascii="Verdana" w:eastAsia="Calibri" w:hAnsi="Verdana" w:cs="Arial"/>
                <w:bCs/>
                <w:color w:val="000000" w:themeColor="text1"/>
              </w:rPr>
              <w:t xml:space="preserve">celebrado el contrato sabiendo </w:t>
            </w:r>
            <w:r>
              <w:rPr>
                <w:rFonts w:ascii="Verdana" w:eastAsia="Calibri" w:hAnsi="Verdana" w:cs="Arial"/>
                <w:bCs/>
                <w:color w:val="000000" w:themeColor="text1"/>
              </w:rPr>
              <w:t>o</w:t>
            </w:r>
            <w:r w:rsidRPr="004B49D7">
              <w:rPr>
                <w:rFonts w:ascii="Verdana" w:eastAsia="Calibri" w:hAnsi="Verdana" w:cs="Arial"/>
                <w:bCs/>
                <w:color w:val="000000" w:themeColor="text1"/>
              </w:rPr>
              <w:t xml:space="preserve"> debiendo saber el vicio </w:t>
            </w:r>
            <w:r>
              <w:rPr>
                <w:rFonts w:ascii="Verdana" w:eastAsia="Calibri" w:hAnsi="Verdana" w:cs="Arial"/>
                <w:bCs/>
                <w:color w:val="000000" w:themeColor="text1"/>
              </w:rPr>
              <w:t>invalidante. En estas controversias, tanto el contratante como el contratista podrán solicitar la nulidad del negocio; razón por la cual, sin limitación alguna, la entidad estatal que suscribe el contrato puede ser demandante o demanda.</w:t>
            </w:r>
          </w:p>
          <w:p w14:paraId="5CE5B9CC" w14:textId="77777777" w:rsidR="00934AF7" w:rsidRPr="001A09C8" w:rsidRDefault="00934AF7">
            <w:pPr>
              <w:spacing w:after="120"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7E02CDFB" w14:textId="77777777" w:rsidR="00934AF7" w:rsidRPr="00593A5F" w:rsidRDefault="00934AF7" w:rsidP="00934AF7">
      <w:pPr>
        <w:tabs>
          <w:tab w:val="left" w:pos="142"/>
          <w:tab w:val="left" w:pos="284"/>
        </w:tabs>
        <w:spacing w:after="0" w:line="276" w:lineRule="auto"/>
        <w:jc w:val="both"/>
        <w:rPr>
          <w:rFonts w:ascii="Verdana" w:eastAsia="Century Gothic" w:hAnsi="Verdana" w:cs="Century Gothic"/>
          <w:b/>
          <w:bCs/>
          <w:lang w:val="es-ES"/>
        </w:rPr>
      </w:pPr>
    </w:p>
    <w:bookmarkEnd w:id="1"/>
    <w:p w14:paraId="4CA4FEDC" w14:textId="77777777" w:rsidR="00934AF7" w:rsidRPr="00593A5F" w:rsidRDefault="00934AF7" w:rsidP="00934A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0D20E51" w14:textId="77777777" w:rsidR="00934AF7" w:rsidRPr="00593A5F" w:rsidRDefault="00934AF7" w:rsidP="00934AF7">
      <w:pPr>
        <w:spacing w:after="0" w:line="276" w:lineRule="auto"/>
        <w:jc w:val="both"/>
        <w:rPr>
          <w:rFonts w:ascii="Verdana" w:eastAsia="Calibri" w:hAnsi="Verdana" w:cs="Arial"/>
          <w:color w:val="7030A0"/>
          <w:lang w:val="es-ES"/>
        </w:rPr>
      </w:pPr>
    </w:p>
    <w:p w14:paraId="457C35CF" w14:textId="77777777" w:rsidR="00934AF7" w:rsidRDefault="00934AF7" w:rsidP="00934AF7">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9290DC1" w14:textId="77777777" w:rsidR="00934AF7" w:rsidRPr="00415608" w:rsidRDefault="00934AF7" w:rsidP="00934AF7">
      <w:pPr>
        <w:spacing w:after="0" w:line="276" w:lineRule="auto"/>
        <w:jc w:val="both"/>
        <w:rPr>
          <w:rFonts w:ascii="Verdana" w:eastAsia="Calibri" w:hAnsi="Verdana" w:cs="Arial"/>
          <w:lang w:val="es-ES"/>
        </w:rPr>
      </w:pPr>
    </w:p>
    <w:p w14:paraId="470190DC" w14:textId="77777777" w:rsidR="00934AF7" w:rsidRPr="00694306" w:rsidRDefault="00934AF7" w:rsidP="00934AF7">
      <w:pPr>
        <w:spacing w:after="120" w:line="276" w:lineRule="auto"/>
        <w:jc w:val="both"/>
        <w:rPr>
          <w:rFonts w:ascii="Verdana" w:eastAsia="Calibri" w:hAnsi="Verdana" w:cs="Arial"/>
          <w:lang w:val="es-ES"/>
        </w:rPr>
      </w:pPr>
      <w:r>
        <w:rPr>
          <w:rFonts w:ascii="Verdana" w:eastAsia="Calibri" w:hAnsi="Verdana" w:cs="Arial"/>
        </w:rPr>
        <w:lastRenderedPageBreak/>
        <w:t xml:space="preserve">i. </w:t>
      </w:r>
      <w:r w:rsidRPr="00E86D5D">
        <w:rPr>
          <w:rFonts w:ascii="Verdana" w:eastAsia="Calibri" w:hAnsi="Verdana" w:cs="Arial"/>
          <w:lang w:val="es-ES"/>
        </w:rPr>
        <w:t>Tratándose de las entidades sometidas a la Ley 80 de 1993</w:t>
      </w:r>
      <w:r w:rsidRPr="00666B6A">
        <w:rPr>
          <w:rFonts w:ascii="Verdana" w:eastAsia="Calibri" w:hAnsi="Verdana" w:cs="Arial"/>
          <w:lang w:val="es-ES"/>
        </w:rPr>
        <w:t xml:space="preserve">, </w:t>
      </w:r>
      <w:r w:rsidRPr="00FB2E1F">
        <w:rPr>
          <w:rFonts w:ascii="Verdana" w:hAnsi="Verdana" w:cs="Arial"/>
          <w:bCs/>
        </w:rPr>
        <w:t>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221F2968" w14:textId="77777777" w:rsidR="00934AF7" w:rsidRPr="00666B6A" w:rsidRDefault="00934AF7" w:rsidP="00934AF7">
      <w:pPr>
        <w:spacing w:after="0" w:line="276" w:lineRule="auto"/>
        <w:ind w:firstLine="708"/>
        <w:jc w:val="both"/>
        <w:rPr>
          <w:rFonts w:ascii="Verdana" w:hAnsi="Verdana" w:cs="Arial"/>
        </w:rPr>
      </w:pPr>
      <w:r w:rsidRPr="00666B6A">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666B6A">
        <w:rPr>
          <w:rStyle w:val="Refdenotaalpie"/>
          <w:rFonts w:ascii="Verdana" w:hAnsi="Verdana" w:cs="Arial"/>
        </w:rPr>
        <w:footnoteReference w:id="1"/>
      </w:r>
      <w:r w:rsidRPr="00666B6A">
        <w:rPr>
          <w:rFonts w:ascii="Verdana" w:hAnsi="Verdana" w:cs="Arial"/>
        </w:rPr>
        <w:t>. Para la doctrina, la mixtura del régimen contractual:</w:t>
      </w:r>
    </w:p>
    <w:p w14:paraId="20843A53" w14:textId="77777777" w:rsidR="00934AF7" w:rsidRPr="00666B6A" w:rsidRDefault="00934AF7" w:rsidP="00934AF7">
      <w:pPr>
        <w:spacing w:after="0" w:line="276" w:lineRule="auto"/>
        <w:ind w:firstLine="709"/>
        <w:jc w:val="both"/>
        <w:rPr>
          <w:rFonts w:ascii="Verdana" w:hAnsi="Verdana" w:cs="Arial"/>
        </w:rPr>
      </w:pPr>
    </w:p>
    <w:p w14:paraId="0BBE36D5" w14:textId="77777777" w:rsidR="00934AF7" w:rsidRPr="00CB68C5" w:rsidRDefault="00934AF7" w:rsidP="00934AF7">
      <w:pPr>
        <w:spacing w:after="0" w:line="240" w:lineRule="auto"/>
        <w:ind w:left="709" w:right="709"/>
        <w:jc w:val="both"/>
        <w:rPr>
          <w:rFonts w:ascii="Verdana" w:hAnsi="Verdana" w:cs="Arial"/>
          <w:sz w:val="21"/>
          <w:szCs w:val="21"/>
        </w:rPr>
      </w:pPr>
      <w:r w:rsidRPr="00CB68C5">
        <w:rPr>
          <w:rFonts w:ascii="Verdana" w:hAnsi="Verdana" w:cs="Arial"/>
          <w:sz w:val="21"/>
          <w:szCs w:val="21"/>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1B4A3118" w14:textId="77777777" w:rsidR="00934AF7" w:rsidRPr="00CB68C5" w:rsidRDefault="00934AF7" w:rsidP="00934AF7">
      <w:pPr>
        <w:spacing w:after="0" w:line="240" w:lineRule="auto"/>
        <w:ind w:right="709"/>
        <w:jc w:val="both"/>
        <w:rPr>
          <w:rFonts w:ascii="Verdana" w:hAnsi="Verdana" w:cs="Arial"/>
          <w:sz w:val="12"/>
          <w:szCs w:val="12"/>
        </w:rPr>
      </w:pPr>
      <w:r w:rsidRPr="00CB68C5">
        <w:rPr>
          <w:rFonts w:ascii="Verdana" w:hAnsi="Verdana" w:cs="Arial"/>
          <w:sz w:val="21"/>
          <w:szCs w:val="21"/>
        </w:rPr>
        <w:tab/>
      </w:r>
    </w:p>
    <w:p w14:paraId="084A238A" w14:textId="77777777" w:rsidR="00934AF7" w:rsidRPr="00CB68C5" w:rsidRDefault="00934AF7" w:rsidP="00934AF7">
      <w:pPr>
        <w:spacing w:after="0" w:line="240" w:lineRule="auto"/>
        <w:ind w:left="709" w:right="709"/>
        <w:jc w:val="both"/>
        <w:rPr>
          <w:rFonts w:ascii="Verdana" w:hAnsi="Verdana" w:cs="Arial"/>
          <w:sz w:val="21"/>
          <w:szCs w:val="21"/>
        </w:rPr>
      </w:pPr>
      <w:r w:rsidRPr="00CB68C5">
        <w:rPr>
          <w:rFonts w:ascii="Verdana"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CB68C5">
        <w:rPr>
          <w:rStyle w:val="Refdenotaalpie"/>
          <w:rFonts w:ascii="Verdana" w:hAnsi="Verdana" w:cs="Arial"/>
          <w:sz w:val="21"/>
          <w:szCs w:val="21"/>
        </w:rPr>
        <w:footnoteReference w:id="2"/>
      </w:r>
      <w:r w:rsidRPr="00CB68C5">
        <w:rPr>
          <w:rFonts w:ascii="Verdana" w:hAnsi="Verdana" w:cs="Arial"/>
          <w:sz w:val="21"/>
          <w:szCs w:val="21"/>
        </w:rPr>
        <w:t xml:space="preserve">. </w:t>
      </w:r>
    </w:p>
    <w:p w14:paraId="1F4212FE" w14:textId="77777777" w:rsidR="00934AF7" w:rsidRPr="00666B6A" w:rsidRDefault="00934AF7" w:rsidP="00934AF7">
      <w:pPr>
        <w:spacing w:after="0" w:line="276" w:lineRule="auto"/>
        <w:ind w:left="709" w:right="709"/>
        <w:jc w:val="both"/>
        <w:rPr>
          <w:rFonts w:ascii="Verdana" w:hAnsi="Verdana" w:cs="Arial"/>
        </w:rPr>
      </w:pPr>
      <w:r w:rsidRPr="00666B6A">
        <w:rPr>
          <w:rFonts w:ascii="Verdana" w:hAnsi="Verdana" w:cs="Arial"/>
        </w:rPr>
        <w:t xml:space="preserve"> </w:t>
      </w:r>
    </w:p>
    <w:p w14:paraId="44DF540B" w14:textId="77777777" w:rsidR="00934AF7" w:rsidRDefault="00934AF7" w:rsidP="00934AF7">
      <w:pPr>
        <w:widowControl w:val="0"/>
        <w:autoSpaceDE w:val="0"/>
        <w:autoSpaceDN w:val="0"/>
        <w:spacing w:after="0" w:line="276" w:lineRule="auto"/>
        <w:jc w:val="both"/>
        <w:rPr>
          <w:rFonts w:ascii="Verdana" w:hAnsi="Verdana" w:cs="Arial"/>
        </w:rPr>
      </w:pPr>
      <w:r w:rsidRPr="00666B6A">
        <w:rPr>
          <w:rFonts w:ascii="Verdana" w:hAnsi="Verdana" w:cs="Arial"/>
        </w:rPr>
        <w:tab/>
        <w:t xml:space="preserve">Ello no implica una privatización absoluta del régimen contractual de las </w:t>
      </w:r>
      <w:r w:rsidRPr="00666B6A">
        <w:rPr>
          <w:rFonts w:ascii="Verdana" w:hAnsi="Verdana" w:cs="Arial"/>
        </w:rPr>
        <w:lastRenderedPageBreak/>
        <w:t>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46A8058F" w14:textId="77777777" w:rsidR="00934AF7" w:rsidRDefault="00934AF7" w:rsidP="00934AF7">
      <w:pPr>
        <w:widowControl w:val="0"/>
        <w:autoSpaceDE w:val="0"/>
        <w:autoSpaceDN w:val="0"/>
        <w:spacing w:after="0" w:line="276" w:lineRule="auto"/>
        <w:jc w:val="both"/>
        <w:rPr>
          <w:rFonts w:ascii="Verdana" w:hAnsi="Verdana" w:cs="Arial"/>
        </w:rPr>
      </w:pPr>
    </w:p>
    <w:p w14:paraId="36EA1771" w14:textId="77777777" w:rsidR="00934AF7" w:rsidRPr="00370279" w:rsidRDefault="00934AF7" w:rsidP="00934AF7">
      <w:pPr>
        <w:tabs>
          <w:tab w:val="left" w:pos="426"/>
        </w:tabs>
        <w:spacing w:after="0" w:line="276" w:lineRule="auto"/>
        <w:jc w:val="both"/>
        <w:rPr>
          <w:rFonts w:ascii="Verdana" w:eastAsia="Calibri" w:hAnsi="Verdana" w:cs="Arial"/>
          <w:color w:val="000000" w:themeColor="text1"/>
          <w:lang w:val="es-ES_tradnl"/>
        </w:rPr>
      </w:pPr>
      <w:proofErr w:type="spellStart"/>
      <w:r w:rsidRPr="00E33D48">
        <w:rPr>
          <w:rFonts w:ascii="Verdana" w:hAnsi="Verdana" w:cs="Arial"/>
          <w:bCs/>
        </w:rPr>
        <w:t>i</w:t>
      </w:r>
      <w:r>
        <w:rPr>
          <w:rFonts w:ascii="Verdana" w:hAnsi="Verdana" w:cs="Arial"/>
          <w:bCs/>
        </w:rPr>
        <w:t>i</w:t>
      </w:r>
      <w:proofErr w:type="spellEnd"/>
      <w:r w:rsidRPr="00E33D48">
        <w:rPr>
          <w:rFonts w:ascii="Verdana" w:hAnsi="Verdana" w:cs="Arial"/>
          <w:bCs/>
        </w:rPr>
        <w:t xml:space="preserve">. </w:t>
      </w:r>
      <w:r>
        <w:rPr>
          <w:rFonts w:ascii="Verdana" w:hAnsi="Verdana" w:cs="Arial"/>
        </w:rPr>
        <w:t>Las nulidades son</w:t>
      </w:r>
      <w:r w:rsidRPr="006E45BA">
        <w:rPr>
          <w:rFonts w:ascii="Verdana" w:hAnsi="Verdana" w:cs="Arial"/>
          <w:color w:val="000000" w:themeColor="text1"/>
        </w:rPr>
        <w:t xml:space="preserve"> una sanción legal que afecta la validez de los contratos cuando han quebrantado determinadas normas del ordenamiento. Si bien la teoría general del negocio jurídico se estructura a partir de la autonomía de la voluntad, las partes no gozan de una libertad absoluta para regular sus intereses patrimoniales, puesto que –al no ser una facultad originaria– está circunscrita por criterios de orden su superior</w:t>
      </w:r>
      <w:r w:rsidRPr="006E45BA">
        <w:rPr>
          <w:rStyle w:val="Refdenotaalpie"/>
          <w:rFonts w:ascii="Verdana" w:hAnsi="Verdana" w:cs="Arial"/>
          <w:color w:val="000000" w:themeColor="text1"/>
        </w:rPr>
        <w:footnoteReference w:id="3"/>
      </w:r>
      <w:r w:rsidRPr="006E45BA">
        <w:rPr>
          <w:rFonts w:ascii="Verdana" w:hAnsi="Verdana" w:cs="Arial"/>
          <w:color w:val="000000" w:themeColor="text1"/>
        </w:rPr>
        <w:t xml:space="preserve">. Por ello, aunque el contrato sea ley obligatoria para los contratantes –art. 1602 del Código Civil–, no podrán derogarse por convenios particulares las leyes en cuya observancia están interesados el orden público y las buenas costumbres –art. 16 </w:t>
      </w:r>
      <w:r w:rsidRPr="006E45BA">
        <w:rPr>
          <w:rFonts w:ascii="Verdana" w:hAnsi="Verdana" w:cs="Arial"/>
          <w:i/>
          <w:iCs/>
          <w:color w:val="000000" w:themeColor="text1"/>
        </w:rPr>
        <w:t>ibidem</w:t>
      </w:r>
      <w:r w:rsidRPr="006E45BA">
        <w:rPr>
          <w:rFonts w:ascii="Verdana" w:hAnsi="Verdana" w:cs="Arial"/>
          <w:color w:val="000000" w:themeColor="text1"/>
        </w:rPr>
        <w:t>–. En este contexto:</w:t>
      </w:r>
    </w:p>
    <w:p w14:paraId="4D921162" w14:textId="77777777" w:rsidR="00934AF7" w:rsidRPr="006E45BA" w:rsidRDefault="00934AF7" w:rsidP="00934AF7">
      <w:pPr>
        <w:spacing w:after="0" w:line="276" w:lineRule="auto"/>
        <w:ind w:firstLine="708"/>
        <w:jc w:val="both"/>
        <w:rPr>
          <w:rFonts w:ascii="Verdana" w:hAnsi="Verdana" w:cs="Arial"/>
          <w:color w:val="000000" w:themeColor="text1"/>
        </w:rPr>
      </w:pPr>
    </w:p>
    <w:p w14:paraId="77B1B371" w14:textId="77777777" w:rsidR="00934AF7" w:rsidRPr="006E45BA" w:rsidRDefault="00934AF7" w:rsidP="00934AF7">
      <w:pPr>
        <w:spacing w:after="0" w:line="240" w:lineRule="auto"/>
        <w:ind w:left="709" w:right="709"/>
        <w:jc w:val="both"/>
        <w:rPr>
          <w:rFonts w:ascii="Verdana" w:eastAsia="Calibri" w:hAnsi="Verdana" w:cs="Arial"/>
          <w:sz w:val="21"/>
          <w:szCs w:val="21"/>
          <w:lang w:val="es-ES"/>
        </w:rPr>
      </w:pPr>
      <w:r w:rsidRPr="006E45BA">
        <w:rPr>
          <w:rFonts w:ascii="Verdana" w:eastAsia="Calibri" w:hAnsi="Verdana" w:cs="Arial"/>
          <w:sz w:val="21"/>
          <w:szCs w:val="21"/>
          <w:lang w:val="es-ES"/>
        </w:rPr>
        <w:t xml:space="preserve">“[…] La nulidad es una sanción que consiste en la privación al negocio de todos los efectos que está llamado a producir, mirando tanto al futuro como al pasado, </w:t>
      </w:r>
      <w:proofErr w:type="gramStart"/>
      <w:r w:rsidRPr="006E45BA">
        <w:rPr>
          <w:rFonts w:ascii="Verdana" w:eastAsia="Calibri" w:hAnsi="Verdana" w:cs="Arial"/>
          <w:sz w:val="21"/>
          <w:szCs w:val="21"/>
          <w:lang w:val="es-ES"/>
        </w:rPr>
        <w:t>en razón de</w:t>
      </w:r>
      <w:proofErr w:type="gramEnd"/>
      <w:r w:rsidRPr="006E45BA">
        <w:rPr>
          <w:rFonts w:ascii="Verdana" w:eastAsia="Calibri" w:hAnsi="Verdana" w:cs="Arial"/>
          <w:sz w:val="21"/>
          <w:szCs w:val="21"/>
          <w:lang w:val="es-ES"/>
        </w:rPr>
        <w:t xml:space="preserve"> que la disposición no reúne los requisitos considerados esenciales en general y específicamente para la figura correspondiente. El criterio político del ordenamiento, que ante todo refleja una experiencia antiquísima, en su ánimo de asegurar un nivel mínimo de legalidad y de moralidad del ejercicio de la autonomía privada, determina la privación de efectos de los negocios </w:t>
      </w:r>
      <w:r w:rsidRPr="006E45BA">
        <w:rPr>
          <w:rFonts w:ascii="Verdana" w:eastAsia="Calibri" w:hAnsi="Verdana" w:cs="Arial"/>
          <w:sz w:val="21"/>
          <w:szCs w:val="21"/>
          <w:lang w:val="es-ES"/>
        </w:rPr>
        <w:lastRenderedPageBreak/>
        <w:t xml:space="preserve">jurídicos desprovistos de los </w:t>
      </w:r>
      <w:proofErr w:type="spellStart"/>
      <w:r w:rsidRPr="006E45BA">
        <w:rPr>
          <w:rFonts w:ascii="Verdana" w:eastAsia="Calibri" w:hAnsi="Verdana" w:cs="Arial"/>
          <w:i/>
          <w:iCs/>
          <w:sz w:val="21"/>
          <w:szCs w:val="21"/>
          <w:lang w:val="es-ES"/>
        </w:rPr>
        <w:t>essentialia</w:t>
      </w:r>
      <w:proofErr w:type="spellEnd"/>
      <w:r w:rsidRPr="006E45BA">
        <w:rPr>
          <w:rFonts w:ascii="Verdana" w:eastAsia="Calibri" w:hAnsi="Verdana" w:cs="Arial"/>
          <w:i/>
          <w:iCs/>
          <w:sz w:val="21"/>
          <w:szCs w:val="21"/>
          <w:lang w:val="es-ES"/>
        </w:rPr>
        <w:t xml:space="preserve"> </w:t>
      </w:r>
      <w:proofErr w:type="spellStart"/>
      <w:r w:rsidRPr="006E45BA">
        <w:rPr>
          <w:rFonts w:ascii="Verdana" w:eastAsia="Calibri" w:hAnsi="Verdana" w:cs="Arial"/>
          <w:i/>
          <w:iCs/>
          <w:sz w:val="21"/>
          <w:szCs w:val="21"/>
          <w:lang w:val="es-ES"/>
        </w:rPr>
        <w:t>negotii</w:t>
      </w:r>
      <w:proofErr w:type="spellEnd"/>
      <w:r w:rsidRPr="006E45BA">
        <w:rPr>
          <w:rFonts w:ascii="Verdana" w:eastAsia="Calibri" w:hAnsi="Verdana" w:cs="Arial"/>
          <w:sz w:val="21"/>
          <w:szCs w:val="21"/>
          <w:lang w:val="es-ES"/>
        </w:rPr>
        <w:t xml:space="preserve"> correspondientes, como también de aquellos que quebrantan los principios básicos de la sociedad en su momento, y adicionalmente los fallos a requisito de orden tutelar establecido en interés particular o contrarios a normas dictadas en esa misma dirección […]”</w:t>
      </w:r>
      <w:r w:rsidRPr="006E45BA">
        <w:rPr>
          <w:rStyle w:val="Refdenotaalpie"/>
          <w:rFonts w:ascii="Verdana" w:eastAsia="Calibri" w:hAnsi="Verdana" w:cs="Arial"/>
          <w:sz w:val="21"/>
          <w:szCs w:val="21"/>
          <w:lang w:val="es-ES"/>
        </w:rPr>
        <w:footnoteReference w:id="4"/>
      </w:r>
      <w:r w:rsidRPr="006E45BA">
        <w:rPr>
          <w:rFonts w:ascii="Verdana" w:eastAsia="Calibri" w:hAnsi="Verdana" w:cs="Arial"/>
          <w:sz w:val="21"/>
          <w:szCs w:val="21"/>
          <w:lang w:val="es-ES"/>
        </w:rPr>
        <w:t>.</w:t>
      </w:r>
    </w:p>
    <w:p w14:paraId="773DE3E5" w14:textId="77777777" w:rsidR="00934AF7" w:rsidRPr="006E45BA" w:rsidRDefault="00934AF7" w:rsidP="00934AF7">
      <w:pPr>
        <w:spacing w:after="0" w:line="276" w:lineRule="auto"/>
        <w:jc w:val="both"/>
        <w:rPr>
          <w:rFonts w:ascii="Verdana" w:eastAsia="Calibri" w:hAnsi="Verdana" w:cs="Arial"/>
          <w:lang w:val="es-ES"/>
        </w:rPr>
      </w:pPr>
    </w:p>
    <w:p w14:paraId="1C5CACF9" w14:textId="77777777" w:rsidR="00934AF7" w:rsidRDefault="00934AF7" w:rsidP="00934AF7">
      <w:pPr>
        <w:spacing w:after="0" w:line="276" w:lineRule="auto"/>
        <w:ind w:firstLine="708"/>
        <w:jc w:val="both"/>
        <w:rPr>
          <w:rFonts w:ascii="Verdana" w:eastAsia="Calibri" w:hAnsi="Verdana" w:cs="Arial"/>
          <w:lang w:val="es-ES"/>
        </w:rPr>
      </w:pPr>
      <w:r w:rsidRPr="006E45BA">
        <w:rPr>
          <w:rFonts w:ascii="Verdana" w:eastAsia="Calibri" w:hAnsi="Verdana" w:cs="Arial"/>
          <w:lang w:val="es-ES"/>
        </w:rPr>
        <w:t xml:space="preserve">La naturaleza jurídica de la nulidad se fundamenta en el inciso primero del artículo 6 del Código Civil, el cual define la </w:t>
      </w:r>
      <w:r w:rsidRPr="006E45BA">
        <w:rPr>
          <w:rFonts w:ascii="Verdana" w:eastAsia="Calibri" w:hAnsi="Verdana" w:cs="Arial"/>
          <w:i/>
          <w:iCs/>
          <w:lang w:val="es-ES"/>
        </w:rPr>
        <w:t>sanción legal</w:t>
      </w:r>
      <w:r w:rsidRPr="006E45BA">
        <w:rPr>
          <w:rFonts w:ascii="Verdana" w:eastAsia="Calibri" w:hAnsi="Verdana" w:cs="Arial"/>
          <w:lang w:val="es-ES"/>
        </w:rPr>
        <w:t xml:space="preserve"> como una pena, esto es, como el mal que deriva de la transgresión de las prohibiciones contenidas en la ley. Dado que tienen carácter sancionatorio, las nulidades se restringen a aquellas circunstancias previstas por el legislador, pues no son aplicables por interpretación extensiva ni por analogía. A esto se refiere el inciso segundo de la norma precitada cuando dispone que “En materia civil son nulos los actos ejecutados contra expresa prohibición de la ley, si en ella misma no se dispone otra cosa […]”. La declaratoria de nulidad es una forma de extinción de las obligaciones en los términos del artículo 1625.8 </w:t>
      </w:r>
      <w:r w:rsidRPr="006E45BA">
        <w:rPr>
          <w:rFonts w:ascii="Verdana" w:eastAsia="Calibri" w:hAnsi="Verdana" w:cs="Arial"/>
          <w:i/>
          <w:iCs/>
          <w:lang w:val="es-ES"/>
        </w:rPr>
        <w:t>ibidem</w:t>
      </w:r>
      <w:r w:rsidRPr="006E45BA">
        <w:rPr>
          <w:rFonts w:ascii="Verdana" w:eastAsia="Calibri" w:hAnsi="Verdana" w:cs="Arial"/>
          <w:lang w:val="es-ES"/>
        </w:rPr>
        <w:t xml:space="preserve">, por lo que con ella cesa la existencia del contrato.  </w:t>
      </w:r>
    </w:p>
    <w:p w14:paraId="2A648BC6" w14:textId="77777777" w:rsidR="00934AF7" w:rsidRPr="006E45BA" w:rsidRDefault="00934AF7" w:rsidP="00934AF7">
      <w:pPr>
        <w:spacing w:after="0" w:line="276" w:lineRule="auto"/>
        <w:ind w:firstLine="708"/>
        <w:jc w:val="both"/>
        <w:rPr>
          <w:rFonts w:ascii="Verdana" w:eastAsia="Calibri" w:hAnsi="Verdana" w:cs="Arial"/>
          <w:lang w:val="es-ES"/>
        </w:rPr>
      </w:pPr>
      <w:r w:rsidRPr="006E45BA">
        <w:rPr>
          <w:rFonts w:ascii="Verdana" w:eastAsia="Calibri" w:hAnsi="Verdana" w:cs="Arial"/>
          <w:lang w:val="es-ES"/>
        </w:rPr>
        <w:t xml:space="preserve"> </w:t>
      </w:r>
    </w:p>
    <w:p w14:paraId="6E52F10F" w14:textId="77777777" w:rsidR="00934AF7" w:rsidRPr="00E86D5D" w:rsidRDefault="00934AF7" w:rsidP="00934AF7">
      <w:pPr>
        <w:spacing w:after="120" w:line="276" w:lineRule="auto"/>
        <w:jc w:val="both"/>
        <w:rPr>
          <w:rFonts w:ascii="Verdana" w:eastAsia="Calibri" w:hAnsi="Verdana" w:cs="Arial"/>
          <w:lang w:val="es-ES"/>
        </w:rPr>
      </w:pPr>
      <w:proofErr w:type="spellStart"/>
      <w:r>
        <w:rPr>
          <w:rFonts w:ascii="Verdana" w:eastAsia="Calibri" w:hAnsi="Verdana" w:cs="Arial"/>
          <w:lang w:val="es-ES"/>
        </w:rPr>
        <w:t>iii</w:t>
      </w:r>
      <w:proofErr w:type="spellEnd"/>
      <w:r>
        <w:rPr>
          <w:rFonts w:ascii="Verdana" w:eastAsia="Calibri" w:hAnsi="Verdana" w:cs="Arial"/>
          <w:lang w:val="es-ES"/>
        </w:rPr>
        <w:t xml:space="preserve">. </w:t>
      </w:r>
      <w:r w:rsidRPr="006E45BA">
        <w:rPr>
          <w:rFonts w:ascii="Verdana" w:eastAsia="Calibri" w:hAnsi="Verdana" w:cs="Arial"/>
          <w:lang w:val="es-ES"/>
        </w:rPr>
        <w:t xml:space="preserve">De acuerdo con el artículo 1741 del Código Civil, “La nulidad producida por un </w:t>
      </w:r>
      <w:r w:rsidRPr="00E86D5D">
        <w:rPr>
          <w:rFonts w:ascii="Verdana" w:eastAsia="Calibri" w:hAnsi="Verdana" w:cs="Arial"/>
          <w:lang w:val="es-ES"/>
        </w:rPr>
        <w:t xml:space="preserve">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 Hay así </w:t>
      </w:r>
      <w:proofErr w:type="gramStart"/>
      <w:r w:rsidRPr="00E86D5D">
        <w:rPr>
          <w:rFonts w:ascii="Verdana" w:eastAsia="Calibri" w:hAnsi="Verdana" w:cs="Arial"/>
          <w:lang w:val="es-ES"/>
        </w:rPr>
        <w:t>mismo nulidad absoluta</w:t>
      </w:r>
      <w:proofErr w:type="gramEnd"/>
      <w:r w:rsidRPr="00E86D5D">
        <w:rPr>
          <w:rFonts w:ascii="Verdana" w:eastAsia="Calibri" w:hAnsi="Verdana" w:cs="Arial"/>
          <w:lang w:val="es-ES"/>
        </w:rPr>
        <w:t xml:space="preserve"> en los actos y contratos de personas absolutamente incapaces. Cualquiera otra especie de vicio produce nulidad relativa, y da derecho a la rescisión del acto o contrato”. Para la doctrina, las circunstancias que producen nulidad relativa son los vicios del consentimiento –error, fuerza y dolo–, la lesión enorme, los actos de los relativamente incapaces, así como la omisión de formalidades habilitantes distintas a las que se enuncian en la norma precitada</w:t>
      </w:r>
      <w:r w:rsidRPr="00E86D5D">
        <w:rPr>
          <w:rStyle w:val="Refdenotaalpie"/>
          <w:rFonts w:ascii="Verdana" w:eastAsia="Calibri" w:hAnsi="Verdana" w:cs="Arial"/>
          <w:lang w:val="es-ES"/>
        </w:rPr>
        <w:footnoteReference w:id="5"/>
      </w:r>
      <w:r w:rsidRPr="00E86D5D">
        <w:rPr>
          <w:rFonts w:ascii="Verdana" w:eastAsia="Calibri" w:hAnsi="Verdana" w:cs="Arial"/>
          <w:lang w:val="es-ES"/>
        </w:rPr>
        <w:t xml:space="preserve">. </w:t>
      </w:r>
    </w:p>
    <w:p w14:paraId="7EF6CD3F" w14:textId="77777777" w:rsidR="00934AF7" w:rsidRPr="00E86D5D" w:rsidRDefault="00934AF7" w:rsidP="00934AF7">
      <w:pPr>
        <w:spacing w:after="120" w:line="276" w:lineRule="auto"/>
        <w:ind w:firstLine="708"/>
        <w:jc w:val="both"/>
        <w:rPr>
          <w:rFonts w:ascii="Verdana" w:eastAsia="Calibri" w:hAnsi="Verdana" w:cs="Arial"/>
          <w:lang w:val="es-ES"/>
        </w:rPr>
      </w:pPr>
      <w:r w:rsidRPr="00E86D5D">
        <w:rPr>
          <w:rFonts w:ascii="Verdana" w:eastAsia="Calibri" w:hAnsi="Verdana" w:cs="Arial"/>
          <w:lang w:val="es-ES"/>
        </w:rPr>
        <w:t xml:space="preserve">Asimismo, el artículo 899 del Código de Comercio dispone la </w:t>
      </w:r>
      <w:r w:rsidRPr="00E86D5D">
        <w:rPr>
          <w:rFonts w:ascii="Verdana" w:eastAsia="Calibri" w:hAnsi="Verdana" w:cs="Arial"/>
          <w:i/>
          <w:iCs/>
          <w:lang w:val="es-ES"/>
        </w:rPr>
        <w:t>nulidad absoluta</w:t>
      </w:r>
      <w:r w:rsidRPr="00E86D5D">
        <w:rPr>
          <w:rFonts w:ascii="Verdana" w:eastAsia="Calibri" w:hAnsi="Verdana" w:cs="Arial"/>
          <w:lang w:val="es-ES"/>
        </w:rPr>
        <w:t xml:space="preserve"> de los negocios jurídicos cuando contrarían una norma imperativa, salvo que la ley disponga otra cosa; tengan objeto y causa ilícita, o se hayan </w:t>
      </w:r>
      <w:r w:rsidRPr="00E86D5D">
        <w:rPr>
          <w:rFonts w:ascii="Verdana" w:eastAsia="Calibri" w:hAnsi="Verdana" w:cs="Arial"/>
          <w:lang w:val="es-ES"/>
        </w:rPr>
        <w:lastRenderedPageBreak/>
        <w:t>celebrado por persona absolutamente incapaz</w:t>
      </w:r>
      <w:r w:rsidRPr="00E86D5D">
        <w:rPr>
          <w:rStyle w:val="Refdenotaalpie"/>
          <w:rFonts w:ascii="Verdana" w:eastAsia="Calibri" w:hAnsi="Verdana" w:cs="Arial"/>
          <w:lang w:val="es-ES"/>
        </w:rPr>
        <w:footnoteReference w:id="6"/>
      </w:r>
      <w:r w:rsidRPr="00E86D5D">
        <w:rPr>
          <w:rFonts w:ascii="Verdana" w:eastAsia="Calibri" w:hAnsi="Verdana" w:cs="Arial"/>
          <w:lang w:val="es-ES"/>
        </w:rPr>
        <w:t xml:space="preserve">. Por su parte, el artículo 900 </w:t>
      </w:r>
      <w:r w:rsidRPr="00E86D5D">
        <w:rPr>
          <w:rFonts w:ascii="Verdana" w:eastAsia="Calibri" w:hAnsi="Verdana" w:cs="Arial"/>
          <w:i/>
          <w:iCs/>
          <w:lang w:val="es-ES"/>
        </w:rPr>
        <w:t>ibidem</w:t>
      </w:r>
      <w:r w:rsidRPr="00E86D5D">
        <w:rPr>
          <w:rFonts w:ascii="Verdana" w:eastAsia="Calibri" w:hAnsi="Verdana" w:cs="Arial"/>
          <w:lang w:val="es-ES"/>
        </w:rPr>
        <w:t xml:space="preserve"> precisa que la </w:t>
      </w:r>
      <w:r w:rsidRPr="00E86D5D">
        <w:rPr>
          <w:rFonts w:ascii="Verdana" w:eastAsia="Calibri" w:hAnsi="Verdana" w:cs="Arial"/>
          <w:i/>
          <w:iCs/>
          <w:lang w:val="es-ES"/>
        </w:rPr>
        <w:t>anulabilidad</w:t>
      </w:r>
      <w:r w:rsidRPr="00E86D5D">
        <w:rPr>
          <w:rFonts w:ascii="Verdana" w:eastAsia="Calibri" w:hAnsi="Verdana" w:cs="Arial"/>
          <w:lang w:val="es-ES"/>
        </w:rPr>
        <w:t xml:space="preserve"> aplica cuando los contratos hayan sido celebrados por persona relativamente incapaz o hayan sido consentidos por error, fuerza o dolo, conforme al Código Civil. Para la interpretación del régimen de nulidades en los asuntos mercantiles, es necesario tener en cuenta que el artículo 822 del Código de Comercio dispone que “Los principios que gobiernan la formación de los actos y contratos y las obligaciones de derecho civil, sus efectos, interpretación, modo de extinguirse, anularse o rescindirse, serán aplicables a las obligaciones y negocios jurídicos mercantiles, a menos que la ley establezca otra cosa”. </w:t>
      </w:r>
    </w:p>
    <w:p w14:paraId="5D2CF361" w14:textId="77777777" w:rsidR="00934AF7" w:rsidRPr="00E86D5D" w:rsidRDefault="00934AF7" w:rsidP="00934AF7">
      <w:pPr>
        <w:pStyle w:val="Textoindependiente"/>
        <w:ind w:right="108" w:firstLine="709"/>
        <w:jc w:val="both"/>
        <w:rPr>
          <w:rFonts w:ascii="Verdana" w:hAnsi="Verdana"/>
        </w:rPr>
      </w:pPr>
      <w:r w:rsidRPr="00E86D5D">
        <w:rPr>
          <w:rFonts w:ascii="Verdana" w:hAnsi="Verdana"/>
        </w:rPr>
        <w:t xml:space="preserve">Por su parte, el artículo 44 de la Ley 80 de 1993 consagra como causales de nulidad absoluta del contrato estatal, además de las antes mencionadas en el derecho común, las siguientes: i) que el contrato se celebre con personas incursas en causales de inhabilidad o incompatibilidad previstas en la Constitución y la ley, </w:t>
      </w:r>
      <w:proofErr w:type="spellStart"/>
      <w:r w:rsidRPr="00E86D5D">
        <w:rPr>
          <w:rFonts w:ascii="Verdana" w:hAnsi="Verdana"/>
        </w:rPr>
        <w:t>ii</w:t>
      </w:r>
      <w:proofErr w:type="spellEnd"/>
      <w:r w:rsidRPr="00E86D5D">
        <w:rPr>
          <w:rFonts w:ascii="Verdana" w:hAnsi="Verdana"/>
        </w:rPr>
        <w:t xml:space="preserve">) se celebre contra expresa prohibición constitucional o legal, </w:t>
      </w:r>
      <w:proofErr w:type="spellStart"/>
      <w:r w:rsidRPr="00E86D5D">
        <w:rPr>
          <w:rFonts w:ascii="Verdana" w:hAnsi="Verdana"/>
        </w:rPr>
        <w:t>iii</w:t>
      </w:r>
      <w:proofErr w:type="spellEnd"/>
      <w:r w:rsidRPr="00E86D5D">
        <w:rPr>
          <w:rFonts w:ascii="Verdana" w:hAnsi="Verdana"/>
        </w:rPr>
        <w:t xml:space="preserve">) se celebre con abuso o desviación de poder, </w:t>
      </w:r>
      <w:proofErr w:type="spellStart"/>
      <w:r w:rsidRPr="00E86D5D">
        <w:rPr>
          <w:rFonts w:ascii="Verdana" w:hAnsi="Verdana"/>
        </w:rPr>
        <w:t>iv</w:t>
      </w:r>
      <w:proofErr w:type="spellEnd"/>
      <w:r w:rsidRPr="00E86D5D">
        <w:rPr>
          <w:rFonts w:ascii="Verdana" w:hAnsi="Verdana"/>
        </w:rPr>
        <w:t>) se declaren nulos los actos administrativos en que se fundamenten, v) se hubieren celebrado con desconocimiento de los criterios previstos para el tratamiento de ofertas nacionales y extranjeras o con violación de la reciprocidad</w:t>
      </w:r>
      <w:r w:rsidRPr="00E86D5D">
        <w:rPr>
          <w:rStyle w:val="Refdenotaalpie"/>
          <w:rFonts w:ascii="Verdana" w:hAnsi="Verdana"/>
        </w:rPr>
        <w:footnoteReference w:id="7"/>
      </w:r>
      <w:r w:rsidRPr="00E86D5D">
        <w:rPr>
          <w:rFonts w:ascii="Verdana" w:hAnsi="Verdana"/>
        </w:rPr>
        <w:t>.</w:t>
      </w:r>
    </w:p>
    <w:p w14:paraId="2081B611" w14:textId="77777777" w:rsidR="00934AF7" w:rsidRPr="00E86D5D" w:rsidRDefault="00934AF7" w:rsidP="00934AF7">
      <w:pPr>
        <w:pStyle w:val="Textoindependiente"/>
        <w:spacing w:after="0"/>
        <w:ind w:right="105" w:firstLine="709"/>
        <w:jc w:val="both"/>
        <w:rPr>
          <w:rFonts w:ascii="Verdana" w:hAnsi="Verdana"/>
        </w:rPr>
      </w:pPr>
      <w:r w:rsidRPr="00E86D5D">
        <w:rPr>
          <w:rFonts w:ascii="Verdana" w:hAnsi="Verdana"/>
        </w:rPr>
        <w:t xml:space="preserve">En lo referente a la nulidad relativa, el artículo 46 de la Ley 80 de 1993 le atribuye carácter residual, pues una vez establecido el listado de causales de nulidad absoluta, señala que la nulidad relativa corresponde a los demás vicios que se presenten en los contratos. De igual manera, señala que estos vicios </w:t>
      </w:r>
      <w:r w:rsidRPr="00E86D5D">
        <w:rPr>
          <w:rFonts w:ascii="Verdana" w:hAnsi="Verdana"/>
        </w:rPr>
        <w:lastRenderedPageBreak/>
        <w:t>podrán sanearse por ratificación expresa de los interesados o por el transcurso de dos años, contados a partir de la ocurrencia del hecho que genera el</w:t>
      </w:r>
      <w:r w:rsidRPr="00E86D5D">
        <w:rPr>
          <w:rFonts w:ascii="Verdana" w:hAnsi="Verdana"/>
          <w:spacing w:val="-8"/>
        </w:rPr>
        <w:t xml:space="preserve"> </w:t>
      </w:r>
      <w:r w:rsidRPr="00E86D5D">
        <w:rPr>
          <w:rFonts w:ascii="Verdana" w:hAnsi="Verdana"/>
        </w:rPr>
        <w:t>vicio</w:t>
      </w:r>
      <w:r w:rsidRPr="00E86D5D">
        <w:rPr>
          <w:rStyle w:val="Refdenotaalpie"/>
          <w:rFonts w:ascii="Verdana" w:hAnsi="Verdana"/>
        </w:rPr>
        <w:footnoteReference w:id="8"/>
      </w:r>
      <w:r w:rsidRPr="00E86D5D">
        <w:rPr>
          <w:rFonts w:ascii="Verdana" w:hAnsi="Verdana"/>
        </w:rPr>
        <w:t>.</w:t>
      </w:r>
    </w:p>
    <w:p w14:paraId="2B327E3F" w14:textId="77777777" w:rsidR="00934AF7" w:rsidRDefault="00934AF7" w:rsidP="00934AF7">
      <w:pPr>
        <w:spacing w:after="0" w:line="276" w:lineRule="auto"/>
        <w:jc w:val="both"/>
        <w:rPr>
          <w:rFonts w:ascii="Verdana" w:eastAsia="Calibri" w:hAnsi="Verdana" w:cs="Arial"/>
          <w:color w:val="000000"/>
          <w:szCs w:val="24"/>
          <w:lang w:val="es-ES_tradnl" w:eastAsia="es-ES_tradnl"/>
        </w:rPr>
      </w:pPr>
    </w:p>
    <w:p w14:paraId="4B220915" w14:textId="77777777" w:rsidR="00934AF7" w:rsidRDefault="00934AF7" w:rsidP="00934AF7">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Respecto a la legitimación para demandar los vicios del contrato, el artículo 1743 del Código Civil dispone que “</w:t>
      </w:r>
      <w:r w:rsidRPr="001C6C7F">
        <w:rPr>
          <w:rFonts w:ascii="Verdana" w:eastAsia="Calibri" w:hAnsi="Verdana" w:cs="Arial"/>
          <w:bCs/>
          <w:color w:val="000000" w:themeColor="text1"/>
        </w:rPr>
        <w:t xml:space="preserve">La nulidad relativa no </w:t>
      </w:r>
      <w:r>
        <w:rPr>
          <w:rFonts w:ascii="Verdana" w:eastAsia="Calibri" w:hAnsi="Verdana" w:cs="Arial"/>
          <w:bCs/>
          <w:color w:val="000000" w:themeColor="text1"/>
        </w:rPr>
        <w:t>[…]</w:t>
      </w:r>
      <w:r w:rsidRPr="001C6C7F">
        <w:rPr>
          <w:rFonts w:ascii="Verdana" w:eastAsia="Calibri" w:hAnsi="Verdana" w:cs="Arial"/>
          <w:bCs/>
          <w:color w:val="000000" w:themeColor="text1"/>
        </w:rPr>
        <w:t xml:space="preserve"> puede alegarse sino por aquellos en cuyo beneficio la han establecido las leyes, o por sus herederos o cesionarios</w:t>
      </w:r>
      <w:r>
        <w:rPr>
          <w:rFonts w:ascii="Verdana" w:eastAsia="Calibri" w:hAnsi="Verdana" w:cs="Arial"/>
          <w:bCs/>
          <w:color w:val="000000" w:themeColor="text1"/>
        </w:rPr>
        <w:t xml:space="preserve"> […]. En contraste, la redacción original del artículo 1742 </w:t>
      </w:r>
      <w:r w:rsidRPr="004B49D7">
        <w:rPr>
          <w:rFonts w:ascii="Verdana" w:eastAsia="Calibri" w:hAnsi="Verdana" w:cs="Arial"/>
          <w:bCs/>
          <w:i/>
          <w:iCs/>
          <w:color w:val="000000" w:themeColor="text1"/>
        </w:rPr>
        <w:t>ibidem</w:t>
      </w:r>
      <w:r>
        <w:rPr>
          <w:rFonts w:ascii="Verdana" w:eastAsia="Calibri" w:hAnsi="Verdana" w:cs="Arial"/>
          <w:bCs/>
          <w:color w:val="000000" w:themeColor="text1"/>
        </w:rPr>
        <w:t xml:space="preserve">, reformado por el artículo 90 de la Ley 153 de 1887 y subrogado por el artículo 15 de la Ley 95 de 1890, precisaba que la nulidad absoluta podía “[…] </w:t>
      </w:r>
      <w:r w:rsidRPr="004B49D7">
        <w:rPr>
          <w:rFonts w:ascii="Verdana" w:eastAsia="Calibri" w:hAnsi="Verdana" w:cs="Arial"/>
          <w:bCs/>
          <w:color w:val="000000" w:themeColor="text1"/>
        </w:rPr>
        <w:t xml:space="preserve">alegarse por todo el que tenga interés en ello, excepto el que ha ejecutado el acto </w:t>
      </w:r>
      <w:r>
        <w:rPr>
          <w:rFonts w:ascii="Verdana" w:eastAsia="Calibri" w:hAnsi="Verdana" w:cs="Arial"/>
          <w:bCs/>
          <w:color w:val="000000" w:themeColor="text1"/>
        </w:rPr>
        <w:t>o</w:t>
      </w:r>
      <w:r w:rsidRPr="004B49D7">
        <w:rPr>
          <w:rFonts w:ascii="Verdana" w:eastAsia="Calibri" w:hAnsi="Verdana" w:cs="Arial"/>
          <w:bCs/>
          <w:color w:val="000000" w:themeColor="text1"/>
        </w:rPr>
        <w:t xml:space="preserve"> celebrado el contrato sabiendo </w:t>
      </w:r>
      <w:r>
        <w:rPr>
          <w:rFonts w:ascii="Verdana" w:eastAsia="Calibri" w:hAnsi="Verdana" w:cs="Arial"/>
          <w:bCs/>
          <w:color w:val="000000" w:themeColor="text1"/>
        </w:rPr>
        <w:t>o</w:t>
      </w:r>
      <w:r w:rsidRPr="004B49D7">
        <w:rPr>
          <w:rFonts w:ascii="Verdana" w:eastAsia="Calibri" w:hAnsi="Verdana" w:cs="Arial"/>
          <w:bCs/>
          <w:color w:val="000000" w:themeColor="text1"/>
        </w:rPr>
        <w:t xml:space="preserve"> debiendo saber el vicio que lo invalidaba</w:t>
      </w:r>
      <w:r>
        <w:rPr>
          <w:rFonts w:ascii="Verdana" w:eastAsia="Calibri" w:hAnsi="Verdana" w:cs="Arial"/>
          <w:bCs/>
          <w:color w:val="000000" w:themeColor="text1"/>
        </w:rPr>
        <w:t xml:space="preserve"> […]”. Precisamente, esta restricción era una manifestación del principio según el cual “</w:t>
      </w:r>
      <w:r w:rsidRPr="004B49D7">
        <w:rPr>
          <w:rFonts w:ascii="Verdana" w:eastAsia="Calibri" w:hAnsi="Verdana" w:cs="Arial"/>
          <w:bCs/>
          <w:color w:val="000000" w:themeColor="text1"/>
        </w:rPr>
        <w:t>nadie será escuchado si alega su propia torpeza</w:t>
      </w:r>
      <w:r>
        <w:rPr>
          <w:rFonts w:ascii="Verdana" w:eastAsia="Calibri" w:hAnsi="Verdana" w:cs="Arial"/>
          <w:bCs/>
          <w:color w:val="000000" w:themeColor="text1"/>
        </w:rPr>
        <w:t>”</w:t>
      </w:r>
      <w:r>
        <w:rPr>
          <w:rStyle w:val="Refdenotaalpie"/>
          <w:rFonts w:ascii="Verdana" w:eastAsia="Calibri" w:hAnsi="Verdana" w:cs="Arial"/>
          <w:bCs/>
          <w:color w:val="000000" w:themeColor="text1"/>
        </w:rPr>
        <w:footnoteReference w:id="9"/>
      </w:r>
      <w:r>
        <w:rPr>
          <w:rFonts w:ascii="Verdana" w:eastAsia="Calibri" w:hAnsi="Verdana" w:cs="Arial"/>
          <w:bCs/>
          <w:color w:val="000000" w:themeColor="text1"/>
        </w:rPr>
        <w:t>.</w:t>
      </w:r>
    </w:p>
    <w:p w14:paraId="73C34E6E" w14:textId="77777777" w:rsidR="00934AF7" w:rsidRDefault="00934AF7" w:rsidP="00934AF7">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ab/>
        <w:t>Actualmente, el artículo 2 de la Ley 50 de 1936 elimina dicha excepción, pues dispone que “</w:t>
      </w:r>
      <w:r w:rsidRPr="00BE0489">
        <w:rPr>
          <w:rFonts w:ascii="Verdana" w:eastAsia="Calibri" w:hAnsi="Verdana" w:cs="Arial"/>
          <w:bCs/>
          <w:i/>
          <w:iCs/>
          <w:color w:val="000000" w:themeColor="text1"/>
        </w:rPr>
        <w:t>La nulidad absoluta</w:t>
      </w:r>
      <w:r w:rsidRPr="00BE0489">
        <w:rPr>
          <w:rFonts w:ascii="Verdana" w:eastAsia="Calibri" w:hAnsi="Verdana" w:cs="Arial"/>
          <w:bCs/>
          <w:color w:val="000000" w:themeColor="text1"/>
        </w:rPr>
        <w:t xml:space="preserve"> puede y debe ser declarada por el Juez, aun sin petición de parte, cuando aparezca de manifiesto en el acto o contrario; </w:t>
      </w:r>
      <w:r w:rsidRPr="00BE0489">
        <w:rPr>
          <w:rFonts w:ascii="Verdana" w:eastAsia="Calibri" w:hAnsi="Verdana" w:cs="Arial"/>
          <w:bCs/>
          <w:i/>
          <w:iCs/>
          <w:color w:val="000000" w:themeColor="text1"/>
        </w:rPr>
        <w:t>puede alegarse por todo el que tenga interés en ello</w:t>
      </w:r>
      <w:r w:rsidRPr="00BE0489">
        <w:rPr>
          <w:rFonts w:ascii="Verdana" w:eastAsia="Calibri" w:hAnsi="Verdana" w:cs="Arial"/>
          <w:bCs/>
          <w:color w:val="000000" w:themeColor="text1"/>
        </w:rPr>
        <w:t>; puede asimismo pedirse su declaración por el Ministerio Publico en el interés de la moral o de la ley</w:t>
      </w:r>
      <w:r>
        <w:rPr>
          <w:rFonts w:ascii="Verdana" w:eastAsia="Calibri" w:hAnsi="Verdana" w:cs="Arial"/>
          <w:bCs/>
          <w:color w:val="000000" w:themeColor="text1"/>
        </w:rPr>
        <w:t xml:space="preserve"> […]” (Énfasis fuera de texto). Para OSPINA FERNÁNDEZ y OSPINA ACOSTA, “[…] </w:t>
      </w:r>
      <w:r w:rsidRPr="00BE0489">
        <w:rPr>
          <w:rFonts w:ascii="Verdana" w:eastAsia="Calibri" w:hAnsi="Verdana" w:cs="Arial"/>
          <w:bCs/>
          <w:color w:val="000000" w:themeColor="text1"/>
        </w:rPr>
        <w:t>la conclusión a que hay que llegar es que quien haya participado</w:t>
      </w:r>
      <w:r>
        <w:rPr>
          <w:rFonts w:ascii="Verdana" w:eastAsia="Calibri" w:hAnsi="Verdana" w:cs="Arial"/>
          <w:bCs/>
          <w:color w:val="000000" w:themeColor="text1"/>
        </w:rPr>
        <w:t xml:space="preserve"> </w:t>
      </w:r>
      <w:r w:rsidRPr="00BE0489">
        <w:rPr>
          <w:rFonts w:ascii="Verdana" w:eastAsia="Calibri" w:hAnsi="Verdana" w:cs="Arial"/>
          <w:bCs/>
          <w:color w:val="000000" w:themeColor="text1"/>
        </w:rPr>
        <w:t>en un acto legalmente calificado como absolutamente nulo está legitimado para</w:t>
      </w:r>
      <w:r>
        <w:rPr>
          <w:rFonts w:ascii="Verdana" w:eastAsia="Calibri" w:hAnsi="Verdana" w:cs="Arial"/>
          <w:bCs/>
          <w:color w:val="000000" w:themeColor="text1"/>
        </w:rPr>
        <w:t xml:space="preserve"> </w:t>
      </w:r>
      <w:r w:rsidRPr="00BE0489">
        <w:rPr>
          <w:rFonts w:ascii="Verdana" w:eastAsia="Calibri" w:hAnsi="Verdana" w:cs="Arial"/>
          <w:bCs/>
          <w:color w:val="000000" w:themeColor="text1"/>
        </w:rPr>
        <w:t xml:space="preserve">alegar la </w:t>
      </w:r>
      <w:r w:rsidRPr="00BE0489">
        <w:rPr>
          <w:rFonts w:ascii="Verdana" w:eastAsia="Calibri" w:hAnsi="Verdana" w:cs="Arial"/>
          <w:bCs/>
          <w:color w:val="000000" w:themeColor="text1"/>
        </w:rPr>
        <w:lastRenderedPageBreak/>
        <w:t>nulidad</w:t>
      </w:r>
      <w:r>
        <w:rPr>
          <w:rFonts w:ascii="Verdana" w:eastAsia="Calibri" w:hAnsi="Verdana" w:cs="Arial"/>
          <w:bCs/>
          <w:color w:val="000000" w:themeColor="text1"/>
        </w:rPr>
        <w:t xml:space="preserve"> […]”</w:t>
      </w:r>
      <w:r>
        <w:rPr>
          <w:rStyle w:val="Refdenotaalpie"/>
          <w:rFonts w:ascii="Verdana" w:eastAsia="Calibri" w:hAnsi="Verdana" w:cs="Arial"/>
          <w:bCs/>
          <w:color w:val="000000" w:themeColor="text1"/>
        </w:rPr>
        <w:footnoteReference w:id="10"/>
      </w:r>
      <w:r>
        <w:rPr>
          <w:rFonts w:ascii="Verdana" w:eastAsia="Calibri" w:hAnsi="Verdana" w:cs="Arial"/>
          <w:bCs/>
          <w:color w:val="000000" w:themeColor="text1"/>
        </w:rPr>
        <w:t xml:space="preserve">. Por su parte, HINESTROSA señala que “[…] </w:t>
      </w:r>
      <w:r w:rsidRPr="00DB1D42">
        <w:rPr>
          <w:rFonts w:ascii="Verdana" w:eastAsia="Calibri" w:hAnsi="Verdana" w:cs="Arial"/>
          <w:bCs/>
          <w:color w:val="000000" w:themeColor="text1"/>
        </w:rPr>
        <w:t>está legitimada para impetrar la nulidad, tanto por vía de acción, como por vía de excepción, cualquiera persona que justifique necesidad o conveniencia en su pronunciamiento, sin restricciones de ninguna índole</w:t>
      </w:r>
      <w:r>
        <w:rPr>
          <w:rFonts w:ascii="Verdana" w:eastAsia="Calibri" w:hAnsi="Verdana" w:cs="Arial"/>
          <w:bCs/>
          <w:color w:val="000000" w:themeColor="text1"/>
        </w:rPr>
        <w:t xml:space="preserve"> […]”</w:t>
      </w:r>
      <w:r>
        <w:rPr>
          <w:rStyle w:val="Refdenotaalpie"/>
          <w:rFonts w:ascii="Verdana" w:eastAsia="Calibri" w:hAnsi="Verdana" w:cs="Arial"/>
          <w:bCs/>
          <w:color w:val="000000" w:themeColor="text1"/>
        </w:rPr>
        <w:footnoteReference w:id="11"/>
      </w:r>
      <w:r w:rsidRPr="00E0628F">
        <w:rPr>
          <w:rFonts w:ascii="Verdana" w:eastAsia="Calibri" w:hAnsi="Verdana" w:cs="Arial"/>
          <w:bCs/>
          <w:color w:val="000000" w:themeColor="text1"/>
        </w:rPr>
        <w:t>.</w:t>
      </w:r>
    </w:p>
    <w:p w14:paraId="26A4D011" w14:textId="77777777" w:rsidR="00934AF7" w:rsidRDefault="00934AF7" w:rsidP="00934AF7">
      <w:pPr>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t>Para efectos de los procesos contenciosos administrativos, la excepción contenida desde la redacción original del artículo 1742 del Código Civil hasta el artículo 15 de la Ley 95 de 1890 brilla por su ausencia en el artículo 141 de la Ley 1437 de 2011. La norma prescribe que “</w:t>
      </w:r>
      <w:r w:rsidRPr="00041034">
        <w:rPr>
          <w:rFonts w:ascii="Verdana" w:eastAsia="Calibri" w:hAnsi="Verdana" w:cs="Arial"/>
          <w:bCs/>
          <w:color w:val="000000" w:themeColor="text1"/>
        </w:rPr>
        <w:t>Cualquiera de las partes de un contrato del Estado podrá pedir que se declare su existencia o su nulidad</w:t>
      </w:r>
      <w:r>
        <w:rPr>
          <w:rFonts w:ascii="Verdana" w:eastAsia="Calibri" w:hAnsi="Verdana" w:cs="Arial"/>
          <w:bCs/>
          <w:color w:val="000000" w:themeColor="text1"/>
        </w:rPr>
        <w:t xml:space="preserve"> […]”, sin limitar el derecho de acceso a la administración de justicia a quien hubiera </w:t>
      </w:r>
      <w:r w:rsidRPr="004B49D7">
        <w:rPr>
          <w:rFonts w:ascii="Verdana" w:eastAsia="Calibri" w:hAnsi="Verdana" w:cs="Arial"/>
          <w:bCs/>
          <w:color w:val="000000" w:themeColor="text1"/>
        </w:rPr>
        <w:t xml:space="preserve">celebrado el contrato sabiendo </w:t>
      </w:r>
      <w:r>
        <w:rPr>
          <w:rFonts w:ascii="Verdana" w:eastAsia="Calibri" w:hAnsi="Verdana" w:cs="Arial"/>
          <w:bCs/>
          <w:color w:val="000000" w:themeColor="text1"/>
        </w:rPr>
        <w:t>o</w:t>
      </w:r>
      <w:r w:rsidRPr="004B49D7">
        <w:rPr>
          <w:rFonts w:ascii="Verdana" w:eastAsia="Calibri" w:hAnsi="Verdana" w:cs="Arial"/>
          <w:bCs/>
          <w:color w:val="000000" w:themeColor="text1"/>
        </w:rPr>
        <w:t xml:space="preserve"> debiendo saber el vicio </w:t>
      </w:r>
      <w:r>
        <w:rPr>
          <w:rFonts w:ascii="Verdana" w:eastAsia="Calibri" w:hAnsi="Verdana" w:cs="Arial"/>
          <w:bCs/>
          <w:color w:val="000000" w:themeColor="text1"/>
        </w:rPr>
        <w:t>invalidante. En estas controversias, tanto el contratante como el contratista podrán solicitar la nulidad del negocio; razón por la cual, sin limitación alguna, la entidad estatal que suscribe el contrato puede ser demandante o demanda</w:t>
      </w:r>
      <w:r>
        <w:rPr>
          <w:rStyle w:val="Refdenotaalpie"/>
          <w:rFonts w:ascii="Verdana" w:eastAsia="Calibri" w:hAnsi="Verdana" w:cs="Arial"/>
          <w:bCs/>
          <w:color w:val="000000" w:themeColor="text1"/>
        </w:rPr>
        <w:footnoteReference w:id="12"/>
      </w:r>
      <w:r>
        <w:rPr>
          <w:rFonts w:ascii="Verdana" w:eastAsia="Calibri" w:hAnsi="Verdana" w:cs="Arial"/>
          <w:bCs/>
          <w:color w:val="000000" w:themeColor="text1"/>
        </w:rPr>
        <w:t>.</w:t>
      </w:r>
    </w:p>
    <w:p w14:paraId="1BCEEAA1" w14:textId="77777777" w:rsidR="00934AF7" w:rsidRDefault="00934AF7" w:rsidP="00934AF7">
      <w:pPr>
        <w:spacing w:after="0" w:line="276" w:lineRule="auto"/>
        <w:jc w:val="both"/>
        <w:rPr>
          <w:rFonts w:ascii="Verdana" w:eastAsia="Calibri" w:hAnsi="Verdana" w:cs="Arial"/>
          <w:bCs/>
          <w:color w:val="000000" w:themeColor="text1"/>
        </w:rPr>
      </w:pPr>
    </w:p>
    <w:p w14:paraId="6C0BDCC8" w14:textId="77777777" w:rsidR="00934AF7" w:rsidRDefault="00934AF7" w:rsidP="00934AF7">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 xml:space="preserve">v. </w:t>
      </w: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E21CAA3" w14:textId="77777777" w:rsidR="00934AF7" w:rsidRPr="00185EE9" w:rsidRDefault="00934AF7" w:rsidP="00934AF7">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E853DE">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11678AF0" w14:textId="77777777" w:rsidR="00934AF7" w:rsidRPr="00182C89" w:rsidRDefault="00934AF7" w:rsidP="00934AF7">
      <w:pPr>
        <w:tabs>
          <w:tab w:val="left" w:pos="709"/>
        </w:tabs>
        <w:spacing w:after="0" w:line="276" w:lineRule="auto"/>
        <w:jc w:val="both"/>
        <w:rPr>
          <w:rFonts w:ascii="Verdana" w:eastAsia="Calibri" w:hAnsi="Verdana" w:cs="Arial"/>
          <w:color w:val="000000" w:themeColor="text1"/>
        </w:rPr>
      </w:pPr>
    </w:p>
    <w:p w14:paraId="4C49C3BF" w14:textId="77777777" w:rsidR="00934AF7" w:rsidRPr="00593A5F" w:rsidRDefault="00934AF7" w:rsidP="00934A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44E756D2" w14:textId="77777777" w:rsidR="00934AF7" w:rsidRPr="00593A5F" w:rsidRDefault="00934AF7" w:rsidP="00934AF7">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34AF7" w:rsidRPr="002407CE" w14:paraId="10295BB5" w14:textId="77777777">
        <w:trPr>
          <w:trHeight w:val="870"/>
          <w:jc w:val="center"/>
        </w:trPr>
        <w:tc>
          <w:tcPr>
            <w:tcW w:w="8647" w:type="dxa"/>
          </w:tcPr>
          <w:p w14:paraId="79FA875C" w14:textId="77777777" w:rsidR="00934AF7" w:rsidRDefault="00934AF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50 de 1936, artículo 2.</w:t>
            </w:r>
          </w:p>
          <w:p w14:paraId="1B27C2CB" w14:textId="77777777" w:rsidR="00934AF7" w:rsidRDefault="00934AF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00C68">
              <w:rPr>
                <w:rFonts w:ascii="Verdana" w:hAnsi="Verdana" w:cs="Arial"/>
              </w:rPr>
              <w:t>Ley 80 de 1993, artículos 13, 32, 40, 44 y 46.</w:t>
            </w:r>
          </w:p>
          <w:p w14:paraId="5F68AEA6" w14:textId="77777777" w:rsidR="00934AF7" w:rsidRPr="00700C68" w:rsidRDefault="00934AF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141.</w:t>
            </w:r>
          </w:p>
          <w:p w14:paraId="4E010C64" w14:textId="77777777" w:rsidR="00934AF7" w:rsidRPr="007A5804" w:rsidRDefault="00934AF7">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eastAsia="Calibri" w:hAnsi="Verdana" w:cs="Arial"/>
                <w:bCs/>
                <w:color w:val="000000" w:themeColor="text1"/>
                <w:lang w:val="es-ES_tradnl"/>
              </w:rPr>
              <w:t>Código Civil, artículos 6, 16, 1602, 1625, 1741 y 1743.</w:t>
            </w:r>
          </w:p>
          <w:p w14:paraId="19453C5C" w14:textId="77777777" w:rsidR="00934AF7" w:rsidRPr="00DA543F" w:rsidRDefault="00934AF7">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eastAsia="Calibri" w:hAnsi="Verdana" w:cs="Arial"/>
                <w:bCs/>
                <w:color w:val="000000" w:themeColor="text1"/>
                <w:lang w:val="es-ES_tradnl"/>
              </w:rPr>
              <w:t>Código de Comercio, artículos 822, 899 y 900.</w:t>
            </w:r>
          </w:p>
        </w:tc>
      </w:tr>
    </w:tbl>
    <w:p w14:paraId="1DAFF0C5" w14:textId="77777777" w:rsidR="00934AF7" w:rsidRPr="002407CE" w:rsidRDefault="00934AF7" w:rsidP="00934AF7">
      <w:pPr>
        <w:widowControl w:val="0"/>
        <w:autoSpaceDE w:val="0"/>
        <w:autoSpaceDN w:val="0"/>
        <w:spacing w:after="0" w:line="276" w:lineRule="auto"/>
        <w:jc w:val="both"/>
        <w:rPr>
          <w:rFonts w:ascii="Verdana" w:hAnsi="Verdana" w:cs="Arial"/>
        </w:rPr>
      </w:pPr>
    </w:p>
    <w:p w14:paraId="01B46A05" w14:textId="77777777" w:rsidR="00934AF7" w:rsidRPr="00593A5F" w:rsidRDefault="00934AF7" w:rsidP="00934AF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153FAFE" w14:textId="77777777" w:rsidR="00934AF7" w:rsidRPr="00593A5F" w:rsidRDefault="00934AF7" w:rsidP="00934AF7">
      <w:pPr>
        <w:widowControl w:val="0"/>
        <w:autoSpaceDE w:val="0"/>
        <w:autoSpaceDN w:val="0"/>
        <w:spacing w:after="0" w:line="276" w:lineRule="auto"/>
        <w:jc w:val="both"/>
        <w:rPr>
          <w:rFonts w:ascii="Verdana" w:hAnsi="Verdana" w:cs="Arial"/>
        </w:rPr>
      </w:pPr>
    </w:p>
    <w:p w14:paraId="0DD08618" w14:textId="77777777" w:rsidR="00934AF7" w:rsidRPr="00ED0098" w:rsidRDefault="00934AF7" w:rsidP="00934AF7">
      <w:pPr>
        <w:widowControl w:val="0"/>
        <w:autoSpaceDE w:val="0"/>
        <w:autoSpaceDN w:val="0"/>
        <w:spacing w:after="0" w:line="276" w:lineRule="auto"/>
        <w:jc w:val="both"/>
        <w:rPr>
          <w:rStyle w:val="normaltextrun"/>
          <w:rFonts w:ascii="Verdana" w:hAnsi="Verdana" w:cs="Arial"/>
          <w:shd w:val="clear" w:color="auto" w:fill="FFFFFF"/>
        </w:rPr>
      </w:pPr>
      <w:r w:rsidRPr="00DA1FE4">
        <w:rPr>
          <w:rFonts w:ascii="Verdana" w:eastAsia="Calibri" w:hAnsi="Verdana" w:cs="Arial"/>
          <w:shd w:val="clear" w:color="auto" w:fill="FFFFFF"/>
        </w:rPr>
        <w:t xml:space="preserve">La Agencia Nacional de Contratación Pública – Colombia Compra Eficiente se pronunció sobre </w:t>
      </w:r>
      <w:r>
        <w:rPr>
          <w:rFonts w:ascii="Verdana" w:hAnsi="Verdana" w:cs="Arial"/>
          <w:shd w:val="clear" w:color="auto" w:fill="FFFFFF"/>
        </w:rPr>
        <w:t xml:space="preserve">el régimen general de la nulidad de los contratos estatales en los Conceptos C-901 del 18 de julio de 2025 y C-1113 del 24 de agosto de 2025. </w:t>
      </w: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13B50A73" w14:textId="77777777" w:rsidR="00934AF7" w:rsidRPr="00096788" w:rsidRDefault="00934AF7" w:rsidP="00934AF7">
      <w:pPr>
        <w:widowControl w:val="0"/>
        <w:autoSpaceDE w:val="0"/>
        <w:autoSpaceDN w:val="0"/>
        <w:spacing w:after="0" w:line="276" w:lineRule="auto"/>
        <w:jc w:val="both"/>
        <w:rPr>
          <w:rFonts w:ascii="Verdana" w:hAnsi="Verdana" w:cs="Arial"/>
          <w:color w:val="000000" w:themeColor="text1"/>
          <w:shd w:val="clear" w:color="auto" w:fill="FFFFFF"/>
        </w:rPr>
      </w:pPr>
    </w:p>
    <w:p w14:paraId="235EAC49" w14:textId="77777777" w:rsidR="00934AF7" w:rsidRPr="00E440FD" w:rsidRDefault="00934AF7" w:rsidP="00934AF7">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020435A3" w14:textId="77777777" w:rsidR="00934AF7" w:rsidRPr="009C4035" w:rsidRDefault="00934AF7" w:rsidP="00934AF7">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68A4DFB" w14:textId="77777777" w:rsidR="00934AF7" w:rsidRPr="00593A5F" w:rsidRDefault="00934AF7" w:rsidP="00934AF7">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2DE96FD" w14:textId="77777777" w:rsidR="00934AF7" w:rsidRPr="00593A5F" w:rsidRDefault="00934AF7" w:rsidP="00934AF7">
      <w:pPr>
        <w:widowControl w:val="0"/>
        <w:autoSpaceDE w:val="0"/>
        <w:autoSpaceDN w:val="0"/>
        <w:spacing w:after="0" w:line="276" w:lineRule="auto"/>
        <w:jc w:val="both"/>
        <w:rPr>
          <w:rFonts w:ascii="Verdana" w:hAnsi="Verdana" w:cs="Arial"/>
        </w:rPr>
      </w:pPr>
    </w:p>
    <w:p w14:paraId="20533B9B" w14:textId="77777777" w:rsidR="00934AF7" w:rsidRPr="00593A5F" w:rsidRDefault="00934AF7" w:rsidP="00934AF7">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4227F07" w14:textId="654ABF33" w:rsidR="00934AF7" w:rsidRPr="00593A5F" w:rsidRDefault="00545F39" w:rsidP="00934AF7">
      <w:pPr>
        <w:spacing w:line="276" w:lineRule="auto"/>
        <w:jc w:val="center"/>
        <w:rPr>
          <w:rFonts w:ascii="Verdana" w:hAnsi="Verdana" w:cs="Arial"/>
          <w:color w:val="000000"/>
          <w:lang w:val="es-ES_tradnl" w:eastAsia="es-CO"/>
        </w:rPr>
      </w:pPr>
      <w:r>
        <w:rPr>
          <w:noProof/>
        </w:rPr>
        <w:drawing>
          <wp:inline distT="0" distB="0" distL="0" distR="0" wp14:anchorId="7F95F3F2" wp14:editId="36BC84C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34AF7" w:rsidRPr="00593A5F" w14:paraId="2E77656E" w14:textId="77777777" w:rsidTr="51B460DF">
        <w:trPr>
          <w:trHeight w:val="315"/>
        </w:trPr>
        <w:tc>
          <w:tcPr>
            <w:tcW w:w="893" w:type="dxa"/>
            <w:vAlign w:val="center"/>
            <w:hideMark/>
          </w:tcPr>
          <w:p w14:paraId="2A700197" w14:textId="77777777" w:rsidR="00934AF7" w:rsidRPr="003751C7" w:rsidRDefault="00934AF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F9D3BA" w14:textId="77777777" w:rsidR="00934AF7" w:rsidRPr="00254A7A" w:rsidRDefault="00934AF7">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C3C4030" w14:textId="77777777" w:rsidR="00934AF7" w:rsidRPr="00254A7A" w:rsidRDefault="00934AF7">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934AF7" w:rsidRPr="00593A5F" w14:paraId="4CA7F071" w14:textId="77777777" w:rsidTr="51B460DF">
        <w:trPr>
          <w:trHeight w:val="330"/>
        </w:trPr>
        <w:tc>
          <w:tcPr>
            <w:tcW w:w="893" w:type="dxa"/>
            <w:vAlign w:val="center"/>
            <w:hideMark/>
          </w:tcPr>
          <w:p w14:paraId="357AE755" w14:textId="77777777" w:rsidR="00934AF7" w:rsidRPr="003751C7" w:rsidRDefault="00934AF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096E76" w14:textId="77777777" w:rsidR="00934AF7" w:rsidRPr="0033383A" w:rsidRDefault="00934AF7">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4FDF82C0" w14:textId="77777777" w:rsidR="00934AF7" w:rsidRPr="00254A7A" w:rsidRDefault="00934AF7">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934AF7" w:rsidRPr="00593A5F" w14:paraId="49E94B85" w14:textId="77777777" w:rsidTr="51B460DF">
        <w:trPr>
          <w:trHeight w:val="300"/>
        </w:trPr>
        <w:tc>
          <w:tcPr>
            <w:tcW w:w="893" w:type="dxa"/>
            <w:vAlign w:val="center"/>
          </w:tcPr>
          <w:p w14:paraId="61C00015" w14:textId="77777777" w:rsidR="00934AF7" w:rsidRPr="003751C7" w:rsidRDefault="00934AF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D00816" w14:textId="77777777" w:rsidR="00934AF7" w:rsidRPr="00731523" w:rsidRDefault="00934AF7" w:rsidP="51B460DF">
            <w:pPr>
              <w:contextualSpacing/>
              <w:rPr>
                <w:rFonts w:ascii="Verdana" w:eastAsia="Calibri" w:hAnsi="Verdana" w:cs="Arial"/>
                <w:sz w:val="16"/>
                <w:szCs w:val="16"/>
                <w:lang w:val="es-ES" w:eastAsia="es-ES"/>
              </w:rPr>
            </w:pPr>
            <w:r w:rsidRPr="51B460DF">
              <w:rPr>
                <w:rFonts w:ascii="Verdana" w:eastAsia="Calibri" w:hAnsi="Verdana" w:cs="Arial"/>
                <w:sz w:val="16"/>
                <w:szCs w:val="16"/>
                <w:lang w:val="es-ES" w:eastAsia="es-ES"/>
              </w:rPr>
              <w:t xml:space="preserve">Carolina Quintero </w:t>
            </w:r>
            <w:proofErr w:type="spellStart"/>
            <w:r w:rsidRPr="51B460DF">
              <w:rPr>
                <w:rFonts w:ascii="Verdana" w:eastAsia="Calibri" w:hAnsi="Verdana" w:cs="Arial"/>
                <w:sz w:val="16"/>
                <w:szCs w:val="16"/>
                <w:lang w:val="es-ES" w:eastAsia="es-ES"/>
              </w:rPr>
              <w:t>Gacharná</w:t>
            </w:r>
            <w:proofErr w:type="spellEnd"/>
          </w:p>
          <w:p w14:paraId="50D30164" w14:textId="77777777" w:rsidR="00934AF7" w:rsidRPr="003751C7" w:rsidRDefault="00934AF7">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16030044" w14:textId="77777777" w:rsidR="00934AF7" w:rsidRPr="00543BFE" w:rsidRDefault="00934AF7" w:rsidP="00934AF7"/>
    <w:p w14:paraId="0F293BF4" w14:textId="7253FCCB" w:rsidR="00127233" w:rsidRPr="00421E0D" w:rsidRDefault="00127233" w:rsidP="00421E0D"/>
    <w:sectPr w:rsidR="00127233" w:rsidRPr="00421E0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E0635" w14:textId="77777777" w:rsidR="00C06FD2" w:rsidRDefault="00C06FD2" w:rsidP="004A1847">
      <w:pPr>
        <w:spacing w:after="0" w:line="240" w:lineRule="auto"/>
      </w:pPr>
      <w:r>
        <w:separator/>
      </w:r>
    </w:p>
  </w:endnote>
  <w:endnote w:type="continuationSeparator" w:id="0">
    <w:p w14:paraId="658AE9BC" w14:textId="77777777" w:rsidR="00C06FD2" w:rsidRDefault="00C06FD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77009" w14:textId="77777777" w:rsidR="00C06FD2" w:rsidRDefault="00C06FD2" w:rsidP="004A1847">
      <w:pPr>
        <w:spacing w:after="0" w:line="240" w:lineRule="auto"/>
      </w:pPr>
      <w:r>
        <w:separator/>
      </w:r>
    </w:p>
  </w:footnote>
  <w:footnote w:type="continuationSeparator" w:id="0">
    <w:p w14:paraId="171126D1" w14:textId="77777777" w:rsidR="00C06FD2" w:rsidRDefault="00C06FD2" w:rsidP="004A1847">
      <w:pPr>
        <w:spacing w:after="0" w:line="240" w:lineRule="auto"/>
      </w:pPr>
      <w:r>
        <w:continuationSeparator/>
      </w:r>
    </w:p>
  </w:footnote>
  <w:footnote w:id="1">
    <w:p w14:paraId="385ECCBA" w14:textId="77777777" w:rsidR="00934AF7" w:rsidRPr="00E8735C" w:rsidRDefault="00934AF7" w:rsidP="00934AF7">
      <w:pPr>
        <w:pStyle w:val="Textonotapie"/>
        <w:ind w:firstLine="708"/>
        <w:jc w:val="both"/>
        <w:rPr>
          <w:rFonts w:ascii="Verdana" w:hAnsi="Verdana" w:cs="Arial"/>
          <w:sz w:val="16"/>
          <w:szCs w:val="16"/>
          <w:lang w:val="es-ES"/>
        </w:rPr>
      </w:pPr>
      <w:r w:rsidRPr="00E8735C">
        <w:rPr>
          <w:rStyle w:val="Refdenotaalpie"/>
          <w:rFonts w:ascii="Verdana" w:hAnsi="Verdana" w:cs="Arial"/>
          <w:sz w:val="16"/>
          <w:szCs w:val="16"/>
        </w:rPr>
        <w:footnoteRef/>
      </w:r>
      <w:r w:rsidRPr="00E8735C">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27E0D869" w14:textId="77777777" w:rsidR="00934AF7" w:rsidRPr="00E8735C" w:rsidRDefault="00934AF7" w:rsidP="00934AF7">
      <w:pPr>
        <w:pStyle w:val="Textonotapie"/>
        <w:ind w:firstLine="708"/>
        <w:jc w:val="both"/>
        <w:rPr>
          <w:rFonts w:ascii="Verdana" w:hAnsi="Verdana" w:cs="Arial"/>
          <w:sz w:val="16"/>
          <w:szCs w:val="16"/>
          <w:lang w:val="es-ES"/>
        </w:rPr>
      </w:pPr>
      <w:r w:rsidRPr="00E8735C">
        <w:rPr>
          <w:rStyle w:val="Refdenotaalpie"/>
          <w:rFonts w:ascii="Verdana" w:hAnsi="Verdana" w:cs="Arial"/>
          <w:sz w:val="16"/>
          <w:szCs w:val="16"/>
        </w:rPr>
        <w:footnoteRef/>
      </w:r>
      <w:r w:rsidRPr="00E8735C">
        <w:rPr>
          <w:rFonts w:ascii="Verdana" w:hAnsi="Verdana" w:cs="Arial"/>
          <w:sz w:val="16"/>
          <w:szCs w:val="16"/>
        </w:rPr>
        <w:t xml:space="preserve"> BETANCUR JARAMILLO, Carlos. Derecho procesal administrativo. Octava edición. Medellín: Señal Editora, 2013. p. 627. </w:t>
      </w:r>
    </w:p>
  </w:footnote>
  <w:footnote w:id="3">
    <w:p w14:paraId="77DAE9A4" w14:textId="77777777" w:rsidR="00934AF7" w:rsidRPr="006E45BA" w:rsidRDefault="00934AF7" w:rsidP="00934AF7">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Para la doctrina, “La autonomía privada no es un poder originario o soberano. Es un poder conferido a los individuos por una norma superior, la cual regula su actuación, estableciendo cargas y limitaciones. En la ley vemos la fuente de validez de la norma negocial. La ley, lo mismo que puede ampliar el campo en el que actúa la autonomía privada, puede también restringirlo. La ley puede incluso, interviniendo posteriormente, modificar el contenido de una norma negocial ya establecida. Aunque sean excepcionales, estas intervenciones de la ley tienen su justificación formal en la superioridad de la fuente legislativa sobre la negocial.</w:t>
      </w:r>
    </w:p>
    <w:p w14:paraId="24422CF2" w14:textId="77777777" w:rsidR="00934AF7" w:rsidRPr="006E45BA" w:rsidRDefault="00934AF7" w:rsidP="00934AF7">
      <w:pPr>
        <w:pStyle w:val="Textonotapie"/>
        <w:ind w:firstLine="708"/>
        <w:jc w:val="both"/>
        <w:rPr>
          <w:rFonts w:ascii="Verdana" w:hAnsi="Verdana"/>
          <w:sz w:val="16"/>
          <w:szCs w:val="16"/>
        </w:rPr>
      </w:pPr>
      <w:r w:rsidRPr="006E45BA">
        <w:rPr>
          <w:rFonts w:ascii="Verdana" w:hAnsi="Verdana"/>
          <w:sz w:val="16"/>
          <w:szCs w:val="16"/>
        </w:rPr>
        <w:t>[…]</w:t>
      </w:r>
    </w:p>
    <w:p w14:paraId="19C2F6D7" w14:textId="77777777" w:rsidR="00934AF7" w:rsidRPr="006E45BA" w:rsidRDefault="00934AF7" w:rsidP="00934AF7">
      <w:pPr>
        <w:pStyle w:val="Textonotapie"/>
        <w:ind w:firstLine="708"/>
        <w:jc w:val="both"/>
        <w:rPr>
          <w:rFonts w:ascii="Verdana" w:hAnsi="Verdana"/>
          <w:sz w:val="16"/>
          <w:szCs w:val="16"/>
        </w:rPr>
      </w:pPr>
      <w:r w:rsidRPr="006E45BA">
        <w:rPr>
          <w:rFonts w:ascii="Verdana" w:hAnsi="Verdana"/>
          <w:sz w:val="16"/>
          <w:szCs w:val="16"/>
        </w:rPr>
        <w:t xml:space="preserve">La autonomía privada no significa, pues, poder originario independiente o </w:t>
      </w:r>
      <w:r w:rsidRPr="006E45BA">
        <w:rPr>
          <w:rFonts w:ascii="Verdana" w:hAnsi="Verdana"/>
          <w:i/>
          <w:iCs/>
          <w:sz w:val="16"/>
          <w:szCs w:val="16"/>
        </w:rPr>
        <w:t>selbstherrlich</w:t>
      </w:r>
      <w:r w:rsidRPr="006E45BA">
        <w:rPr>
          <w:rFonts w:ascii="Verdana" w:hAnsi="Verdana"/>
          <w:sz w:val="16"/>
          <w:szCs w:val="16"/>
        </w:rPr>
        <w:t>, que no recibe de fuera la razón de su validez. El carácter no originario del poder en que se concreta la autonomía privada implica que no puede considerarse originaria o soberana tampoco la voluntad de los sujetos que establecen las normas negociales. No es que la voluntad privada cree derecho por sí o por fuerza propia.</w:t>
      </w:r>
    </w:p>
    <w:p w14:paraId="67844F0D" w14:textId="77777777" w:rsidR="00934AF7" w:rsidRPr="006E45BA" w:rsidRDefault="00934AF7" w:rsidP="00934AF7">
      <w:pPr>
        <w:pStyle w:val="Textonotapie"/>
        <w:ind w:firstLine="708"/>
        <w:jc w:val="both"/>
        <w:rPr>
          <w:rFonts w:ascii="Verdana" w:hAnsi="Verdana"/>
          <w:sz w:val="16"/>
          <w:szCs w:val="16"/>
        </w:rPr>
      </w:pPr>
      <w:r w:rsidRPr="006E45BA">
        <w:rPr>
          <w:rFonts w:ascii="Verdana" w:hAnsi="Verdana"/>
          <w:sz w:val="16"/>
          <w:szCs w:val="16"/>
        </w:rPr>
        <w:t>Admitir una atribución de poder por parte de una norma superior basta para excluir el carácter originario o soberanía de la voluntad privada y del poder atribuido a ella” (FERRI, Luigui. La autonomía privada. Santiago de Chile: Ediciones Olejnik, 2018. pp. 44-45).</w:t>
      </w:r>
    </w:p>
  </w:footnote>
  <w:footnote w:id="4">
    <w:p w14:paraId="59D9815C" w14:textId="77777777" w:rsidR="00934AF7" w:rsidRPr="006E45BA" w:rsidRDefault="00934AF7" w:rsidP="00934AF7">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HINESTROSA, Fernando. Tratado de las obligaciones II. De las fuentes de las obligaciones: el negocio jurídico. Volumen II. Bogotá: Universidad externando de Colombia, 2015. Libro en formato EPUB. </w:t>
      </w:r>
    </w:p>
  </w:footnote>
  <w:footnote w:id="5">
    <w:p w14:paraId="084485E2" w14:textId="77777777" w:rsidR="00934AF7" w:rsidRPr="006E45BA" w:rsidRDefault="00934AF7" w:rsidP="00934AF7">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ALESSANDRI BESA, Arturo. La nulidad y la recisión en el derecho civil chileno. Santiago de Chile: Ediar Editores LTDA, s/a. p. 689. Para el autor, “Aun cuando la nulidad relativa sea la regla general en materia de nulidades, esto no significa, que la nulidad en sí misma, por ser una sanción, no constituya una excepción […]” (</w:t>
      </w:r>
      <w:r w:rsidRPr="006E45BA">
        <w:rPr>
          <w:rFonts w:ascii="Verdana" w:hAnsi="Verdana"/>
          <w:i/>
          <w:iCs/>
          <w:sz w:val="16"/>
          <w:szCs w:val="16"/>
        </w:rPr>
        <w:t>Ibidem</w:t>
      </w:r>
      <w:r w:rsidRPr="006E45BA">
        <w:rPr>
          <w:rFonts w:ascii="Verdana" w:hAnsi="Verdana"/>
          <w:sz w:val="16"/>
          <w:szCs w:val="16"/>
        </w:rPr>
        <w:t xml:space="preserve">. p. 685). Por ello, a pesar de la formulación general del último aparte del artículo 1741 del Código Civil, la nulidad relativa se reduce a circunstancias específicas.   </w:t>
      </w:r>
    </w:p>
  </w:footnote>
  <w:footnote w:id="6">
    <w:p w14:paraId="47D0F250" w14:textId="77777777" w:rsidR="00934AF7" w:rsidRPr="006E45BA" w:rsidRDefault="00934AF7" w:rsidP="00934AF7">
      <w:pPr>
        <w:pStyle w:val="Textonotapie"/>
        <w:ind w:firstLine="708"/>
        <w:jc w:val="both"/>
        <w:rPr>
          <w:rFonts w:ascii="Verdana" w:hAnsi="Verdana"/>
          <w:sz w:val="16"/>
          <w:szCs w:val="16"/>
        </w:rPr>
      </w:pPr>
      <w:r w:rsidRPr="006E45BA">
        <w:rPr>
          <w:rStyle w:val="Refdenotaalpie"/>
          <w:rFonts w:ascii="Verdana" w:hAnsi="Verdana"/>
          <w:sz w:val="16"/>
          <w:szCs w:val="16"/>
        </w:rPr>
        <w:footnoteRef/>
      </w:r>
      <w:r w:rsidRPr="006E45BA">
        <w:rPr>
          <w:rFonts w:ascii="Verdana" w:hAnsi="Verdana"/>
          <w:sz w:val="16"/>
          <w:szCs w:val="16"/>
        </w:rPr>
        <w:t xml:space="preserve"> De acuerdo con la doctrina, “El legislador mercantil introduce una importante variación al establecer la nulidad absoluta corno la regla general en las sanciones. Cuando se contraria una norma imperativa en el ejercicio de la autonomía de la voluntad, si no hay una sanción específica, tendremos como resultado que habrá nulidad absoluta. En el campo civil, la sanción general no es la nulidad absoluta sino la nulidad relativa, pues el articulo 1741 luego de señalar las causales de nulidad absoluta, concluye: </w:t>
      </w:r>
      <w:r w:rsidRPr="006E45BA">
        <w:rPr>
          <w:rFonts w:ascii="Verdana" w:hAnsi="Verdana"/>
          <w:i/>
          <w:iCs/>
          <w:sz w:val="16"/>
          <w:szCs w:val="16"/>
        </w:rPr>
        <w:t>Cualquier otra especie de vicio produce nulidad relativa</w:t>
      </w:r>
      <w:r w:rsidRPr="006E45BA">
        <w:rPr>
          <w:rFonts w:ascii="Verdana" w:hAnsi="Verdana"/>
          <w:sz w:val="16"/>
          <w:szCs w:val="16"/>
        </w:rPr>
        <w:t>. Es una marcada diferencia en el tratamiento de las nulidades de las dos codificaciones” (ARRUBLA PAUCAR, Jaime Alberto. Contratos mercantiles: teoría general del negocio mercantil. Decimocuarta edición. Bogotá: Legis, 2021. p. 282. Énfasis dentro del texto).</w:t>
      </w:r>
    </w:p>
  </w:footnote>
  <w:footnote w:id="7">
    <w:p w14:paraId="35ECBE48" w14:textId="77777777" w:rsidR="00934AF7" w:rsidRPr="006E45BA" w:rsidRDefault="00934AF7" w:rsidP="00934AF7">
      <w:pPr>
        <w:spacing w:after="0"/>
        <w:ind w:firstLine="707"/>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44. Los contratos del Estado son absolutamente nulos en los casos previstos en el derecho común y además cuando:</w:t>
      </w:r>
    </w:p>
    <w:p w14:paraId="564C941D" w14:textId="77777777" w:rsidR="00934AF7" w:rsidRPr="006E45BA" w:rsidRDefault="00934AF7" w:rsidP="00934AF7">
      <w:pPr>
        <w:spacing w:after="0"/>
        <w:ind w:firstLine="708"/>
        <w:jc w:val="both"/>
        <w:rPr>
          <w:rFonts w:ascii="Verdana" w:hAnsi="Verdana" w:cs="Arial"/>
          <w:sz w:val="16"/>
          <w:szCs w:val="16"/>
        </w:rPr>
      </w:pPr>
      <w:r w:rsidRPr="006E45BA">
        <w:rPr>
          <w:rFonts w:ascii="Verdana" w:hAnsi="Verdana" w:cs="Arial"/>
          <w:sz w:val="16"/>
          <w:szCs w:val="16"/>
        </w:rPr>
        <w:t>1o. Se celebren con personas incursas en causales de inhabilidad o incompatibilidad previstas en la Constitución y la ley;</w:t>
      </w:r>
    </w:p>
    <w:p w14:paraId="52DB1312" w14:textId="77777777" w:rsidR="00934AF7" w:rsidRPr="006E45BA" w:rsidRDefault="00934AF7" w:rsidP="00934AF7">
      <w:pPr>
        <w:spacing w:after="0"/>
        <w:ind w:firstLine="708"/>
        <w:jc w:val="both"/>
        <w:rPr>
          <w:rFonts w:ascii="Verdana" w:hAnsi="Verdana" w:cs="Arial"/>
          <w:sz w:val="16"/>
          <w:szCs w:val="16"/>
        </w:rPr>
      </w:pPr>
      <w:r w:rsidRPr="006E45BA">
        <w:rPr>
          <w:rFonts w:ascii="Verdana" w:hAnsi="Verdana" w:cs="Arial"/>
          <w:sz w:val="16"/>
          <w:szCs w:val="16"/>
        </w:rPr>
        <w:t xml:space="preserve">2o. Se celebren contra expresa prohibición constitucional o legal; </w:t>
      </w:r>
    </w:p>
    <w:p w14:paraId="39778104" w14:textId="77777777" w:rsidR="00934AF7" w:rsidRPr="006E45BA" w:rsidRDefault="00934AF7" w:rsidP="00934AF7">
      <w:pPr>
        <w:spacing w:after="0"/>
        <w:ind w:firstLine="708"/>
        <w:jc w:val="both"/>
        <w:rPr>
          <w:rFonts w:ascii="Verdana" w:hAnsi="Verdana" w:cs="Arial"/>
          <w:sz w:val="16"/>
          <w:szCs w:val="16"/>
        </w:rPr>
      </w:pPr>
      <w:r w:rsidRPr="006E45BA">
        <w:rPr>
          <w:rFonts w:ascii="Verdana" w:hAnsi="Verdana" w:cs="Arial"/>
          <w:sz w:val="16"/>
          <w:szCs w:val="16"/>
        </w:rPr>
        <w:t>3o. Se celebren con abuso o desviación de poder;</w:t>
      </w:r>
    </w:p>
    <w:p w14:paraId="389D4A60" w14:textId="77777777" w:rsidR="00934AF7" w:rsidRPr="006E45BA" w:rsidRDefault="00934AF7" w:rsidP="00934AF7">
      <w:pPr>
        <w:spacing w:after="0"/>
        <w:ind w:firstLine="708"/>
        <w:jc w:val="both"/>
        <w:rPr>
          <w:rFonts w:ascii="Verdana" w:hAnsi="Verdana" w:cs="Arial"/>
          <w:sz w:val="16"/>
          <w:szCs w:val="16"/>
        </w:rPr>
      </w:pPr>
      <w:r w:rsidRPr="006E45BA">
        <w:rPr>
          <w:rFonts w:ascii="Verdana" w:hAnsi="Verdana" w:cs="Arial"/>
          <w:sz w:val="16"/>
          <w:szCs w:val="16"/>
        </w:rPr>
        <w:t>4o. Se declaren nulos los actos administrativos en que se fundamenten; y</w:t>
      </w:r>
    </w:p>
    <w:p w14:paraId="053B0923" w14:textId="77777777" w:rsidR="00934AF7" w:rsidRPr="006E45BA" w:rsidRDefault="00934AF7" w:rsidP="00934AF7">
      <w:pPr>
        <w:spacing w:after="0"/>
        <w:ind w:firstLine="708"/>
        <w:jc w:val="both"/>
        <w:rPr>
          <w:rFonts w:ascii="Verdana" w:hAnsi="Verdana" w:cs="Arial"/>
          <w:sz w:val="16"/>
          <w:szCs w:val="16"/>
        </w:rPr>
      </w:pPr>
      <w:r w:rsidRPr="006E45BA">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r>
        <w:rPr>
          <w:rFonts w:ascii="Verdana" w:hAnsi="Verdana" w:cs="Arial"/>
          <w:sz w:val="16"/>
          <w:szCs w:val="16"/>
        </w:rPr>
        <w:t>”</w:t>
      </w:r>
      <w:r w:rsidRPr="006E45BA">
        <w:rPr>
          <w:rFonts w:ascii="Verdana" w:hAnsi="Verdana" w:cs="Arial"/>
          <w:sz w:val="16"/>
          <w:szCs w:val="16"/>
        </w:rPr>
        <w:t>.</w:t>
      </w:r>
    </w:p>
  </w:footnote>
  <w:footnote w:id="8">
    <w:p w14:paraId="44DA4966" w14:textId="77777777" w:rsidR="00934AF7" w:rsidRPr="001A0C7A" w:rsidRDefault="00934AF7" w:rsidP="00934AF7">
      <w:pPr>
        <w:spacing w:after="0"/>
        <w:ind w:firstLine="708"/>
        <w:jc w:val="both"/>
        <w:rPr>
          <w:rFonts w:ascii="Verdana" w:hAnsi="Verdana" w:cs="Arial"/>
          <w:sz w:val="16"/>
          <w:szCs w:val="16"/>
        </w:rPr>
      </w:pPr>
      <w:r w:rsidRPr="006E45BA">
        <w:rPr>
          <w:rStyle w:val="Refdenotaalpie"/>
          <w:rFonts w:ascii="Verdana" w:hAnsi="Verdana" w:cs="Arial"/>
          <w:sz w:val="16"/>
          <w:szCs w:val="16"/>
        </w:rPr>
        <w:footnoteRef/>
      </w:r>
      <w:r w:rsidRPr="006E45BA">
        <w:rPr>
          <w:rFonts w:ascii="Verdana" w:hAnsi="Verdana" w:cs="Arial"/>
          <w:sz w:val="16"/>
          <w:szCs w:val="16"/>
        </w:rPr>
        <w:t xml:space="preserve"> </w:t>
      </w:r>
      <w:r>
        <w:rPr>
          <w:rFonts w:ascii="Verdana" w:hAnsi="Verdana" w:cs="Arial"/>
          <w:sz w:val="16"/>
          <w:szCs w:val="16"/>
        </w:rPr>
        <w:t>“</w:t>
      </w:r>
      <w:r w:rsidRPr="006E45BA">
        <w:rPr>
          <w:rFonts w:ascii="Verdana" w:hAnsi="Verdana" w:cs="Arial"/>
          <w:sz w:val="16"/>
          <w:szCs w:val="16"/>
        </w:rPr>
        <w:t>Artículo 46. de la nulidad relativa. Los demás vicios que se presenten en los contratos y que conforme al derecho común constituyen causales de nulidad relativa, pueden sanearse por ratificación expresa de los interesados o por el transcurso de dos (2) años contados a partir de la ocurrencia del hecho generador del vicio</w:t>
      </w:r>
      <w:r>
        <w:rPr>
          <w:rFonts w:ascii="Verdana" w:hAnsi="Verdana" w:cs="Arial"/>
          <w:sz w:val="16"/>
          <w:szCs w:val="16"/>
        </w:rPr>
        <w:t>”</w:t>
      </w:r>
      <w:r w:rsidRPr="006E45BA">
        <w:rPr>
          <w:rFonts w:ascii="Verdana" w:hAnsi="Verdana" w:cs="Arial"/>
          <w:sz w:val="16"/>
          <w:szCs w:val="16"/>
        </w:rPr>
        <w:t>.</w:t>
      </w:r>
    </w:p>
  </w:footnote>
  <w:footnote w:id="9">
    <w:p w14:paraId="053EA50D" w14:textId="77777777" w:rsidR="00934AF7" w:rsidRPr="002152EA" w:rsidRDefault="00934AF7" w:rsidP="00934AF7">
      <w:pPr>
        <w:pStyle w:val="Textonotapie"/>
        <w:ind w:firstLine="708"/>
        <w:jc w:val="both"/>
        <w:rPr>
          <w:rFonts w:ascii="Verdana" w:hAnsi="Verdana"/>
          <w:sz w:val="16"/>
          <w:szCs w:val="16"/>
        </w:rPr>
      </w:pPr>
      <w:r w:rsidRPr="002152EA">
        <w:rPr>
          <w:rStyle w:val="Refdenotaalpie"/>
          <w:rFonts w:ascii="Verdana" w:hAnsi="Verdana"/>
          <w:sz w:val="16"/>
          <w:szCs w:val="16"/>
        </w:rPr>
        <w:footnoteRef/>
      </w:r>
      <w:r w:rsidRPr="002152EA">
        <w:rPr>
          <w:rFonts w:ascii="Verdana" w:hAnsi="Verdana"/>
          <w:sz w:val="16"/>
          <w:szCs w:val="16"/>
        </w:rPr>
        <w:t xml:space="preserve"> </w:t>
      </w:r>
      <w:r>
        <w:rPr>
          <w:rFonts w:ascii="Verdana" w:hAnsi="Verdana"/>
          <w:sz w:val="16"/>
          <w:szCs w:val="16"/>
        </w:rPr>
        <w:t>En efecto, la doctrina chilena estima que “</w:t>
      </w:r>
      <w:r w:rsidRPr="002152EA">
        <w:rPr>
          <w:rFonts w:ascii="Verdana" w:hAnsi="Verdana"/>
          <w:sz w:val="16"/>
          <w:szCs w:val="16"/>
        </w:rPr>
        <w:t>La ley, al establecer la prohibición del artículo 1683</w:t>
      </w:r>
      <w:r>
        <w:rPr>
          <w:rFonts w:ascii="Verdana" w:hAnsi="Verdana"/>
          <w:sz w:val="16"/>
          <w:szCs w:val="16"/>
        </w:rPr>
        <w:t xml:space="preserve"> [norma equivalente a la redacción original del artículo 1742 del Código Civil colombiano] </w:t>
      </w:r>
      <w:r w:rsidRPr="002152EA">
        <w:rPr>
          <w:rFonts w:ascii="Verdana" w:hAnsi="Verdana"/>
          <w:sz w:val="16"/>
          <w:szCs w:val="16"/>
        </w:rPr>
        <w:t>que estamos analizando, tomó en cuenta consideraciones de moralidad, y quiso sancionar la reticencia en que incurre una persona que celebra un contrato, a sabiendas de que adolece de un</w:t>
      </w:r>
      <w:r>
        <w:rPr>
          <w:rFonts w:ascii="Verdana" w:hAnsi="Verdana"/>
          <w:sz w:val="16"/>
          <w:szCs w:val="16"/>
        </w:rPr>
        <w:t xml:space="preserve"> </w:t>
      </w:r>
      <w:r w:rsidRPr="002152EA">
        <w:rPr>
          <w:rFonts w:ascii="Verdana" w:hAnsi="Verdana"/>
          <w:sz w:val="16"/>
          <w:szCs w:val="16"/>
        </w:rPr>
        <w:t>vicio que acarrea su nulidad absoluta, porque esto significa que</w:t>
      </w:r>
      <w:r>
        <w:rPr>
          <w:rFonts w:ascii="Verdana" w:hAnsi="Verdana"/>
          <w:sz w:val="16"/>
          <w:szCs w:val="16"/>
        </w:rPr>
        <w:t xml:space="preserve"> </w:t>
      </w:r>
      <w:r w:rsidRPr="002152EA">
        <w:rPr>
          <w:rFonts w:ascii="Verdana" w:hAnsi="Verdana"/>
          <w:sz w:val="16"/>
          <w:szCs w:val="16"/>
        </w:rPr>
        <w:t>lo está celebrando con plena conciencia de que está infringiendo disposiciones de orden público y de interés general, que la</w:t>
      </w:r>
      <w:r>
        <w:rPr>
          <w:rFonts w:ascii="Verdana" w:hAnsi="Verdana"/>
          <w:sz w:val="16"/>
          <w:szCs w:val="16"/>
        </w:rPr>
        <w:t xml:space="preserve"> </w:t>
      </w:r>
      <w:r w:rsidRPr="002152EA">
        <w:rPr>
          <w:rFonts w:ascii="Verdana" w:hAnsi="Verdana"/>
          <w:sz w:val="16"/>
          <w:szCs w:val="16"/>
        </w:rPr>
        <w:t>ley tiene mucho interés en proteger, lo que constituye una acción reprobable.</w:t>
      </w:r>
    </w:p>
    <w:p w14:paraId="4F4E92C7" w14:textId="77777777" w:rsidR="00934AF7" w:rsidRDefault="00934AF7" w:rsidP="00934AF7">
      <w:pPr>
        <w:pStyle w:val="Textonotapie"/>
        <w:ind w:firstLine="708"/>
        <w:jc w:val="both"/>
        <w:rPr>
          <w:rFonts w:ascii="Verdana" w:hAnsi="Verdana"/>
          <w:sz w:val="16"/>
          <w:szCs w:val="16"/>
        </w:rPr>
      </w:pPr>
      <w:r w:rsidRPr="002152EA">
        <w:rPr>
          <w:rFonts w:ascii="Verdana" w:hAnsi="Verdana"/>
          <w:sz w:val="16"/>
          <w:szCs w:val="16"/>
        </w:rPr>
        <w:t>Además, sería contrario a toda lógica que una persona pudiere solicitar la nulidad de un contrato que celebró a sabiendas</w:t>
      </w:r>
      <w:r>
        <w:rPr>
          <w:rFonts w:ascii="Verdana" w:hAnsi="Verdana"/>
          <w:sz w:val="16"/>
          <w:szCs w:val="16"/>
        </w:rPr>
        <w:t xml:space="preserve"> </w:t>
      </w:r>
      <w:r w:rsidRPr="002152EA">
        <w:rPr>
          <w:rFonts w:ascii="Verdana" w:hAnsi="Verdana"/>
          <w:sz w:val="16"/>
          <w:szCs w:val="16"/>
        </w:rPr>
        <w:t>de que es nulo, porque así se le daría el medio de eludir el cumplimiento de las obligaciones que de él provengan</w:t>
      </w:r>
      <w:r>
        <w:rPr>
          <w:rFonts w:ascii="Verdana" w:hAnsi="Verdana"/>
          <w:sz w:val="16"/>
          <w:szCs w:val="16"/>
        </w:rPr>
        <w:t>.</w:t>
      </w:r>
    </w:p>
    <w:p w14:paraId="1461B8D5" w14:textId="77777777" w:rsidR="00934AF7" w:rsidRDefault="00934AF7" w:rsidP="00934AF7">
      <w:pPr>
        <w:pStyle w:val="Textonotapie"/>
        <w:ind w:firstLine="708"/>
        <w:jc w:val="both"/>
        <w:rPr>
          <w:rFonts w:ascii="Verdana" w:hAnsi="Verdana"/>
          <w:sz w:val="16"/>
          <w:szCs w:val="16"/>
        </w:rPr>
      </w:pPr>
      <w:r w:rsidRPr="002152EA">
        <w:rPr>
          <w:rFonts w:ascii="Verdana" w:hAnsi="Verdana"/>
          <w:sz w:val="16"/>
          <w:szCs w:val="16"/>
        </w:rPr>
        <w:t>La Corte de Apelaciones de Talca señaló con precisión el</w:t>
      </w:r>
      <w:r>
        <w:rPr>
          <w:rFonts w:ascii="Verdana" w:hAnsi="Verdana"/>
          <w:sz w:val="16"/>
          <w:szCs w:val="16"/>
        </w:rPr>
        <w:t xml:space="preserve"> </w:t>
      </w:r>
      <w:r w:rsidRPr="002152EA">
        <w:rPr>
          <w:rFonts w:ascii="Verdana" w:hAnsi="Verdana"/>
          <w:sz w:val="16"/>
          <w:szCs w:val="16"/>
        </w:rPr>
        <w:t xml:space="preserve">fundamento de esta regla excepcional al fallar que </w:t>
      </w:r>
      <w:r>
        <w:rPr>
          <w:rFonts w:ascii="Verdana" w:hAnsi="Verdana"/>
          <w:sz w:val="16"/>
          <w:szCs w:val="16"/>
        </w:rPr>
        <w:t>‘l</w:t>
      </w:r>
      <w:r w:rsidRPr="002152EA">
        <w:rPr>
          <w:rFonts w:ascii="Verdana" w:hAnsi="Verdana"/>
          <w:sz w:val="16"/>
          <w:szCs w:val="16"/>
        </w:rPr>
        <w:t>a prohibición del artículo 1683 es una san</w:t>
      </w:r>
      <w:r>
        <w:rPr>
          <w:rFonts w:ascii="Verdana" w:hAnsi="Verdana"/>
          <w:sz w:val="16"/>
          <w:szCs w:val="16"/>
        </w:rPr>
        <w:t>c</w:t>
      </w:r>
      <w:r w:rsidRPr="002152EA">
        <w:rPr>
          <w:rFonts w:ascii="Verdana" w:hAnsi="Verdana"/>
          <w:sz w:val="16"/>
          <w:szCs w:val="16"/>
        </w:rPr>
        <w:t>ión instituida por el legislador</w:t>
      </w:r>
      <w:r>
        <w:rPr>
          <w:rFonts w:ascii="Verdana" w:hAnsi="Verdana"/>
          <w:sz w:val="16"/>
          <w:szCs w:val="16"/>
        </w:rPr>
        <w:t xml:space="preserve"> </w:t>
      </w:r>
      <w:r w:rsidRPr="002152EA">
        <w:rPr>
          <w:rFonts w:ascii="Verdana" w:hAnsi="Verdana"/>
          <w:sz w:val="16"/>
          <w:szCs w:val="16"/>
        </w:rPr>
        <w:t>para castigar el dolo puesto en juego por aquel que ejecuta un</w:t>
      </w:r>
      <w:r>
        <w:rPr>
          <w:rFonts w:ascii="Verdana" w:hAnsi="Verdana"/>
          <w:sz w:val="16"/>
          <w:szCs w:val="16"/>
        </w:rPr>
        <w:t xml:space="preserve"> </w:t>
      </w:r>
      <w:r w:rsidRPr="002152EA">
        <w:rPr>
          <w:rFonts w:ascii="Verdana" w:hAnsi="Verdana"/>
          <w:sz w:val="16"/>
          <w:szCs w:val="16"/>
        </w:rPr>
        <w:t>acto o celebra un contrato con pleno y cabal conocimiento del</w:t>
      </w:r>
      <w:r>
        <w:rPr>
          <w:rFonts w:ascii="Verdana" w:hAnsi="Verdana"/>
          <w:sz w:val="16"/>
          <w:szCs w:val="16"/>
        </w:rPr>
        <w:t xml:space="preserve"> </w:t>
      </w:r>
      <w:r w:rsidRPr="002152EA">
        <w:rPr>
          <w:rFonts w:ascii="Verdana" w:hAnsi="Verdana"/>
          <w:sz w:val="16"/>
          <w:szCs w:val="16"/>
        </w:rPr>
        <w:t>vicio que lo anula</w:t>
      </w:r>
      <w:r>
        <w:rPr>
          <w:rFonts w:ascii="Verdana" w:hAnsi="Verdana"/>
          <w:sz w:val="16"/>
          <w:szCs w:val="16"/>
        </w:rPr>
        <w:t>’.</w:t>
      </w:r>
    </w:p>
    <w:p w14:paraId="03FC835F" w14:textId="77777777" w:rsidR="00934AF7" w:rsidRPr="002152EA" w:rsidRDefault="00934AF7" w:rsidP="00934AF7">
      <w:pPr>
        <w:pStyle w:val="Textonotapie"/>
        <w:ind w:firstLine="708"/>
        <w:jc w:val="both"/>
        <w:rPr>
          <w:rFonts w:ascii="Verdana" w:hAnsi="Verdana"/>
          <w:sz w:val="16"/>
          <w:szCs w:val="16"/>
        </w:rPr>
      </w:pPr>
      <w:r w:rsidRPr="002152EA">
        <w:rPr>
          <w:rFonts w:ascii="Verdana" w:hAnsi="Verdana"/>
          <w:sz w:val="16"/>
          <w:szCs w:val="16"/>
        </w:rPr>
        <w:t>Igual doctrina sustentan otras sentencias, según las cuales</w:t>
      </w:r>
      <w:r>
        <w:rPr>
          <w:rFonts w:ascii="Verdana" w:hAnsi="Verdana"/>
          <w:sz w:val="16"/>
          <w:szCs w:val="16"/>
        </w:rPr>
        <w:t xml:space="preserve"> </w:t>
      </w:r>
      <w:r w:rsidRPr="002152EA">
        <w:rPr>
          <w:rFonts w:ascii="Verdana" w:hAnsi="Verdana"/>
          <w:sz w:val="16"/>
          <w:szCs w:val="16"/>
        </w:rPr>
        <w:t xml:space="preserve">la prohibición citada la ha establecido la ley </w:t>
      </w:r>
      <w:r>
        <w:rPr>
          <w:rFonts w:ascii="Verdana" w:hAnsi="Verdana"/>
          <w:sz w:val="16"/>
          <w:szCs w:val="16"/>
        </w:rPr>
        <w:t>‘</w:t>
      </w:r>
      <w:r w:rsidRPr="002152EA">
        <w:rPr>
          <w:rFonts w:ascii="Verdana" w:hAnsi="Verdana"/>
          <w:sz w:val="16"/>
          <w:szCs w:val="16"/>
        </w:rPr>
        <w:t>por consideraciones de moralidad</w:t>
      </w:r>
      <w:r>
        <w:rPr>
          <w:rFonts w:ascii="Verdana" w:hAnsi="Verdana"/>
          <w:sz w:val="16"/>
          <w:szCs w:val="16"/>
        </w:rPr>
        <w:t>’</w:t>
      </w:r>
      <w:r w:rsidRPr="002152EA">
        <w:rPr>
          <w:rFonts w:ascii="Verdana" w:hAnsi="Verdana"/>
          <w:sz w:val="16"/>
          <w:szCs w:val="16"/>
        </w:rPr>
        <w:t xml:space="preserve">, o bien, </w:t>
      </w:r>
      <w:r>
        <w:rPr>
          <w:rFonts w:ascii="Verdana" w:hAnsi="Verdana"/>
          <w:sz w:val="16"/>
          <w:szCs w:val="16"/>
        </w:rPr>
        <w:t>‘</w:t>
      </w:r>
      <w:r w:rsidRPr="002152EA">
        <w:rPr>
          <w:rFonts w:ascii="Verdana" w:hAnsi="Verdana"/>
          <w:sz w:val="16"/>
          <w:szCs w:val="16"/>
        </w:rPr>
        <w:t>para impedir que así abuse</w:t>
      </w:r>
      <w:r>
        <w:rPr>
          <w:rFonts w:ascii="Verdana" w:hAnsi="Verdana"/>
          <w:sz w:val="16"/>
          <w:szCs w:val="16"/>
        </w:rPr>
        <w:t xml:space="preserve"> </w:t>
      </w:r>
      <w:r w:rsidRPr="002152EA">
        <w:rPr>
          <w:rFonts w:ascii="Verdana" w:hAnsi="Verdana"/>
          <w:sz w:val="16"/>
          <w:szCs w:val="16"/>
        </w:rPr>
        <w:t>el contratante de su propia inmoralidad, y porque repugna que</w:t>
      </w:r>
      <w:r>
        <w:rPr>
          <w:rFonts w:ascii="Verdana" w:hAnsi="Verdana"/>
          <w:sz w:val="16"/>
          <w:szCs w:val="16"/>
        </w:rPr>
        <w:t xml:space="preserve"> </w:t>
      </w:r>
      <w:r w:rsidRPr="002152EA">
        <w:rPr>
          <w:rFonts w:ascii="Verdana" w:hAnsi="Verdana"/>
          <w:sz w:val="16"/>
          <w:szCs w:val="16"/>
        </w:rPr>
        <w:t>el que celebra el acto o contrato en esas condiciones, sea el mismo que, prevaleciéndose de esas circunstancias, alegue la nulidad; en consecuencia, lo que la ley sanciona es el dolo del contratante</w:t>
      </w:r>
      <w:r>
        <w:rPr>
          <w:rFonts w:ascii="Verdana" w:hAnsi="Verdana"/>
          <w:sz w:val="16"/>
          <w:szCs w:val="16"/>
        </w:rPr>
        <w:t xml:space="preserve">’” (Cfr. </w:t>
      </w:r>
      <w:r w:rsidRPr="002152EA">
        <w:rPr>
          <w:rFonts w:ascii="Verdana" w:hAnsi="Verdana"/>
          <w:sz w:val="16"/>
          <w:szCs w:val="16"/>
        </w:rPr>
        <w:t>ALESSANDRI BESA</w:t>
      </w:r>
      <w:r>
        <w:rPr>
          <w:rFonts w:ascii="Verdana" w:hAnsi="Verdana"/>
          <w:sz w:val="16"/>
          <w:szCs w:val="16"/>
        </w:rPr>
        <w:t>, La nulidad… Ob. cit., p. 572-573. Corchetes fuera de texto).</w:t>
      </w:r>
    </w:p>
  </w:footnote>
  <w:footnote w:id="10">
    <w:p w14:paraId="09488BA3" w14:textId="77777777" w:rsidR="00934AF7" w:rsidRPr="00E0628F" w:rsidRDefault="00934AF7" w:rsidP="00934AF7">
      <w:pPr>
        <w:pStyle w:val="Textonotapie"/>
        <w:ind w:firstLine="708"/>
        <w:jc w:val="both"/>
        <w:rPr>
          <w:rFonts w:ascii="Verdana" w:hAnsi="Verdana"/>
          <w:sz w:val="16"/>
          <w:szCs w:val="16"/>
          <w:lang w:val="es-CO"/>
        </w:rPr>
      </w:pPr>
      <w:r w:rsidRPr="00E0628F">
        <w:rPr>
          <w:rStyle w:val="Refdenotaalpie"/>
          <w:rFonts w:ascii="Verdana" w:hAnsi="Verdana"/>
          <w:sz w:val="16"/>
          <w:szCs w:val="16"/>
        </w:rPr>
        <w:footnoteRef/>
      </w:r>
      <w:r w:rsidRPr="00E0628F">
        <w:rPr>
          <w:rFonts w:ascii="Verdana" w:hAnsi="Verdana"/>
          <w:sz w:val="16"/>
          <w:szCs w:val="16"/>
        </w:rPr>
        <w:t xml:space="preserve"> OSPINA FERNÁNDEZ</w:t>
      </w:r>
      <w:r>
        <w:rPr>
          <w:rFonts w:ascii="Verdana" w:hAnsi="Verdana"/>
          <w:sz w:val="16"/>
          <w:szCs w:val="16"/>
        </w:rPr>
        <w:t>, Guillermo</w:t>
      </w:r>
      <w:r w:rsidRPr="00E0628F">
        <w:rPr>
          <w:rFonts w:ascii="Verdana" w:hAnsi="Verdana"/>
          <w:sz w:val="16"/>
          <w:szCs w:val="16"/>
        </w:rPr>
        <w:t xml:space="preserve"> y OSPINA ACOSTA</w:t>
      </w:r>
      <w:r>
        <w:rPr>
          <w:rFonts w:ascii="Verdana" w:hAnsi="Verdana"/>
          <w:sz w:val="16"/>
          <w:szCs w:val="16"/>
        </w:rPr>
        <w:t>, Eduardo. Teoría general del contrato y del negocio jurídico. Séptima edición. Bogotá: Temis, 2021.</w:t>
      </w:r>
      <w:r w:rsidRPr="00E0628F">
        <w:rPr>
          <w:rFonts w:ascii="Verdana" w:hAnsi="Verdana"/>
          <w:sz w:val="16"/>
          <w:szCs w:val="16"/>
        </w:rPr>
        <w:t xml:space="preserve"> </w:t>
      </w:r>
      <w:r>
        <w:rPr>
          <w:rFonts w:ascii="Verdana" w:hAnsi="Verdana"/>
          <w:sz w:val="16"/>
          <w:szCs w:val="16"/>
        </w:rPr>
        <w:t>p. 445.</w:t>
      </w:r>
    </w:p>
  </w:footnote>
  <w:footnote w:id="11">
    <w:p w14:paraId="3F21A190" w14:textId="77777777" w:rsidR="00934AF7" w:rsidRPr="00934AF7" w:rsidRDefault="00934AF7" w:rsidP="00934AF7">
      <w:pPr>
        <w:pStyle w:val="Textonotapie"/>
        <w:ind w:firstLine="708"/>
        <w:rPr>
          <w:rFonts w:ascii="Verdana" w:hAnsi="Verdana"/>
          <w:sz w:val="16"/>
          <w:szCs w:val="16"/>
          <w:lang w:val="es-CO"/>
        </w:rPr>
      </w:pPr>
      <w:r w:rsidRPr="00DB1D42">
        <w:rPr>
          <w:rStyle w:val="Refdenotaalpie"/>
          <w:rFonts w:ascii="Verdana" w:hAnsi="Verdana"/>
          <w:sz w:val="16"/>
          <w:szCs w:val="16"/>
        </w:rPr>
        <w:footnoteRef/>
      </w:r>
      <w:r w:rsidRPr="00DB1D42">
        <w:rPr>
          <w:rFonts w:ascii="Verdana" w:hAnsi="Verdana"/>
          <w:sz w:val="16"/>
          <w:szCs w:val="16"/>
        </w:rPr>
        <w:t xml:space="preserve"> </w:t>
      </w:r>
      <w:r>
        <w:rPr>
          <w:rFonts w:ascii="Verdana" w:hAnsi="Verdana"/>
          <w:sz w:val="16"/>
          <w:szCs w:val="16"/>
        </w:rPr>
        <w:t>HINESTROSA, Tratado… Ob. cit.</w:t>
      </w:r>
    </w:p>
  </w:footnote>
  <w:footnote w:id="12">
    <w:p w14:paraId="083FF7BE" w14:textId="77777777" w:rsidR="00934AF7" w:rsidRPr="00FF60D7" w:rsidRDefault="00934AF7" w:rsidP="00934AF7">
      <w:pPr>
        <w:pStyle w:val="Textonotapie"/>
        <w:ind w:firstLine="708"/>
        <w:jc w:val="both"/>
        <w:rPr>
          <w:rFonts w:ascii="Verdana" w:hAnsi="Verdana"/>
          <w:sz w:val="16"/>
          <w:szCs w:val="16"/>
          <w:lang w:val="es-CO"/>
        </w:rPr>
      </w:pPr>
      <w:r w:rsidRPr="00FF60D7">
        <w:rPr>
          <w:rStyle w:val="Refdenotaalpie"/>
          <w:rFonts w:ascii="Verdana" w:hAnsi="Verdana"/>
          <w:sz w:val="16"/>
          <w:szCs w:val="16"/>
        </w:rPr>
        <w:footnoteRef/>
      </w:r>
      <w:r w:rsidRPr="00FF60D7">
        <w:rPr>
          <w:rFonts w:ascii="Verdana" w:hAnsi="Verdana"/>
          <w:sz w:val="16"/>
          <w:szCs w:val="16"/>
        </w:rPr>
        <w:t xml:space="preserve"> </w:t>
      </w:r>
      <w:r w:rsidRPr="00E8735C">
        <w:rPr>
          <w:rFonts w:ascii="Verdana" w:hAnsi="Verdana" w:cs="Arial"/>
          <w:sz w:val="16"/>
          <w:szCs w:val="16"/>
        </w:rPr>
        <w:t>BETANCUR JARAMILLO</w:t>
      </w:r>
      <w:r>
        <w:rPr>
          <w:rFonts w:ascii="Verdana" w:hAnsi="Verdana" w:cs="Arial"/>
          <w:sz w:val="16"/>
          <w:szCs w:val="16"/>
        </w:rPr>
        <w:t>, Derecho procesal… Ob. cit., p. 693.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31B8"/>
    <w:rsid w:val="000F6486"/>
    <w:rsid w:val="00125105"/>
    <w:rsid w:val="00127233"/>
    <w:rsid w:val="001E2620"/>
    <w:rsid w:val="001E4177"/>
    <w:rsid w:val="001F4E7A"/>
    <w:rsid w:val="001F7DC6"/>
    <w:rsid w:val="00205328"/>
    <w:rsid w:val="002421BB"/>
    <w:rsid w:val="0025796E"/>
    <w:rsid w:val="002707A2"/>
    <w:rsid w:val="002951A0"/>
    <w:rsid w:val="002962BC"/>
    <w:rsid w:val="002A093D"/>
    <w:rsid w:val="002A0DD0"/>
    <w:rsid w:val="002A49AC"/>
    <w:rsid w:val="002A64FD"/>
    <w:rsid w:val="002C0FEC"/>
    <w:rsid w:val="002C2028"/>
    <w:rsid w:val="002C7A84"/>
    <w:rsid w:val="002E4FD9"/>
    <w:rsid w:val="00322A85"/>
    <w:rsid w:val="00324168"/>
    <w:rsid w:val="003448F4"/>
    <w:rsid w:val="00347774"/>
    <w:rsid w:val="00374F5E"/>
    <w:rsid w:val="00377E3E"/>
    <w:rsid w:val="003A779E"/>
    <w:rsid w:val="003D0F4D"/>
    <w:rsid w:val="003D5B0D"/>
    <w:rsid w:val="003E0499"/>
    <w:rsid w:val="003F3941"/>
    <w:rsid w:val="00405EE4"/>
    <w:rsid w:val="00406575"/>
    <w:rsid w:val="00414C74"/>
    <w:rsid w:val="00421E0D"/>
    <w:rsid w:val="0042722E"/>
    <w:rsid w:val="0044528D"/>
    <w:rsid w:val="00473726"/>
    <w:rsid w:val="004A1847"/>
    <w:rsid w:val="004A305D"/>
    <w:rsid w:val="004F21C4"/>
    <w:rsid w:val="004F685F"/>
    <w:rsid w:val="004F78E4"/>
    <w:rsid w:val="00545F39"/>
    <w:rsid w:val="005566E8"/>
    <w:rsid w:val="00574867"/>
    <w:rsid w:val="00576865"/>
    <w:rsid w:val="00591460"/>
    <w:rsid w:val="005C3777"/>
    <w:rsid w:val="005C5CDC"/>
    <w:rsid w:val="005D476C"/>
    <w:rsid w:val="006219F8"/>
    <w:rsid w:val="006302F7"/>
    <w:rsid w:val="00665D70"/>
    <w:rsid w:val="006900D9"/>
    <w:rsid w:val="006A760C"/>
    <w:rsid w:val="00706C16"/>
    <w:rsid w:val="00756841"/>
    <w:rsid w:val="007649AB"/>
    <w:rsid w:val="00766C63"/>
    <w:rsid w:val="00771D0C"/>
    <w:rsid w:val="007833AC"/>
    <w:rsid w:val="007B268C"/>
    <w:rsid w:val="007B7171"/>
    <w:rsid w:val="007C0C0F"/>
    <w:rsid w:val="007C3DC2"/>
    <w:rsid w:val="007E5497"/>
    <w:rsid w:val="00806F5F"/>
    <w:rsid w:val="00820278"/>
    <w:rsid w:val="00845DCD"/>
    <w:rsid w:val="00867F95"/>
    <w:rsid w:val="008843B6"/>
    <w:rsid w:val="00891928"/>
    <w:rsid w:val="00892644"/>
    <w:rsid w:val="00893C5C"/>
    <w:rsid w:val="00897A3A"/>
    <w:rsid w:val="008A446D"/>
    <w:rsid w:val="008D180B"/>
    <w:rsid w:val="008F0EA7"/>
    <w:rsid w:val="00923EEF"/>
    <w:rsid w:val="00934AF7"/>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034FA"/>
    <w:rsid w:val="00B104FF"/>
    <w:rsid w:val="00B44A47"/>
    <w:rsid w:val="00B544FD"/>
    <w:rsid w:val="00B72CD3"/>
    <w:rsid w:val="00B72FFF"/>
    <w:rsid w:val="00BC3D36"/>
    <w:rsid w:val="00BD1132"/>
    <w:rsid w:val="00BD7F72"/>
    <w:rsid w:val="00BE616B"/>
    <w:rsid w:val="00C04FB3"/>
    <w:rsid w:val="00C06FD2"/>
    <w:rsid w:val="00C166E8"/>
    <w:rsid w:val="00C330EB"/>
    <w:rsid w:val="00C55CF1"/>
    <w:rsid w:val="00C754BE"/>
    <w:rsid w:val="00C76B1C"/>
    <w:rsid w:val="00CB6357"/>
    <w:rsid w:val="00CC1B26"/>
    <w:rsid w:val="00D423A2"/>
    <w:rsid w:val="00D520D8"/>
    <w:rsid w:val="00D63AC2"/>
    <w:rsid w:val="00D7383B"/>
    <w:rsid w:val="00DA231B"/>
    <w:rsid w:val="00DC39FC"/>
    <w:rsid w:val="00DE2ACF"/>
    <w:rsid w:val="00DF5254"/>
    <w:rsid w:val="00E110CE"/>
    <w:rsid w:val="00E16408"/>
    <w:rsid w:val="00E20894"/>
    <w:rsid w:val="00E245AB"/>
    <w:rsid w:val="00E2764C"/>
    <w:rsid w:val="00E27F2E"/>
    <w:rsid w:val="00E50AFE"/>
    <w:rsid w:val="00E53CE3"/>
    <w:rsid w:val="00E75C92"/>
    <w:rsid w:val="00E771DC"/>
    <w:rsid w:val="00E829AE"/>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 w:val="51B460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8CAE020-0E62-4B51-B93F-C5B2DE58E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34AF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934AF7"/>
    <w:rPr>
      <w:rFonts w:ascii="Geomanist Light" w:hAnsi="Geomanist Light"/>
      <w:lang w:val="es-ES"/>
    </w:rPr>
  </w:style>
  <w:style w:type="paragraph" w:styleId="Textoindependiente">
    <w:name w:val="Body Text"/>
    <w:basedOn w:val="Normal"/>
    <w:link w:val="TextoindependienteCar"/>
    <w:uiPriority w:val="99"/>
    <w:unhideWhenUsed/>
    <w:rsid w:val="00934AF7"/>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934AF7"/>
    <w:rPr>
      <w:rFonts w:eastAsiaTheme="minorEastAsia"/>
      <w:lang w:eastAsia="es-CO"/>
    </w:rPr>
  </w:style>
  <w:style w:type="character" w:customStyle="1" w:styleId="s15">
    <w:name w:val="s15"/>
    <w:basedOn w:val="Fuentedeprrafopredeter"/>
    <w:rsid w:val="00934AF7"/>
  </w:style>
  <w:style w:type="character" w:customStyle="1" w:styleId="apple-converted-space">
    <w:name w:val="apple-converted-space"/>
    <w:basedOn w:val="Fuentedeprrafopredeter"/>
    <w:rsid w:val="00934A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2.xml><?xml version="1.0" encoding="utf-8"?>
<ds:datastoreItem xmlns:ds="http://schemas.openxmlformats.org/officeDocument/2006/customXml" ds:itemID="{E6B91923-1C43-47EE-B7BA-5BC117877AE5}"/>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3817</Words>
  <Characters>20998</Characters>
  <Application>Microsoft Office Word</Application>
  <DocSecurity>0</DocSecurity>
  <Lines>174</Lines>
  <Paragraphs>49</Paragraphs>
  <ScaleCrop>false</ScaleCrop>
  <Company/>
  <LinksUpToDate>false</LinksUpToDate>
  <CharactersWithSpaces>24766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2023-01-11T00:18:00Z</cp:lastPrinted>
  <dcterms:created xsi:type="dcterms:W3CDTF">2025-09-25T15:47:00Z</dcterms:created>
  <dcterms:modified xsi:type="dcterms:W3CDTF">2025-09-26T14:52:00Z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