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9293924" w14:textId="1CF9C56C" w:rsidR="004E7E1E" w:rsidRPr="004E7E1E" w:rsidRDefault="004E7E1E" w:rsidP="00045B98">
      <w:pPr>
        <w:spacing w:after="0" w:line="240" w:lineRule="auto"/>
        <w:jc w:val="both"/>
        <w:rPr>
          <w:rFonts w:ascii="Verdana" w:eastAsia="Arial MT" w:hAnsi="Verdana" w:cs="Arial MT"/>
          <w:b/>
          <w:bCs/>
          <w:lang w:val="es-ES_tradnl"/>
        </w:rPr>
      </w:pPr>
      <w:bookmarkStart w:id="0" w:name="_Hlk143780582"/>
      <w:r w:rsidRPr="004E7E1E">
        <w:rPr>
          <w:rFonts w:ascii="Verdana" w:eastAsia="Arial MT" w:hAnsi="Verdana" w:cs="Arial MT"/>
          <w:b/>
          <w:bCs/>
          <w:lang w:val="es-ES_tradnl"/>
        </w:rPr>
        <w:t xml:space="preserve">PRECIOS ARTIFICIALMENTE BAJOS – Noción </w:t>
      </w:r>
      <w:r w:rsidR="007D26A5" w:rsidRPr="004E7E1E">
        <w:rPr>
          <w:rFonts w:ascii="Verdana" w:eastAsia="Arial MT" w:hAnsi="Verdana" w:cs="Arial MT"/>
          <w:b/>
          <w:bCs/>
          <w:lang w:val="es-ES_tradnl"/>
        </w:rPr>
        <w:t>–</w:t>
      </w:r>
      <w:r w:rsidR="007D26A5">
        <w:rPr>
          <w:rFonts w:ascii="Verdana" w:eastAsia="Arial MT" w:hAnsi="Verdana" w:cs="Arial MT"/>
          <w:b/>
          <w:bCs/>
          <w:lang w:val="es-ES_tradnl"/>
        </w:rPr>
        <w:t xml:space="preserve"> </w:t>
      </w:r>
      <w:r w:rsidRPr="004E7E1E">
        <w:rPr>
          <w:rFonts w:ascii="Verdana" w:eastAsia="Arial MT" w:hAnsi="Verdana" w:cs="Arial MT"/>
          <w:b/>
          <w:bCs/>
          <w:lang w:val="es-ES_tradnl"/>
        </w:rPr>
        <w:t xml:space="preserve">Deber de las entidades estatales </w:t>
      </w:r>
    </w:p>
    <w:p w14:paraId="550A81D2" w14:textId="2356E633" w:rsidR="004E7E1E" w:rsidRPr="004E7E1E" w:rsidRDefault="004E7E1E" w:rsidP="00045B98">
      <w:pPr>
        <w:spacing w:after="0" w:line="240" w:lineRule="auto"/>
        <w:jc w:val="both"/>
        <w:rPr>
          <w:rFonts w:ascii="Verdana" w:eastAsia="Arial MT" w:hAnsi="Verdana" w:cs="Arial MT"/>
          <w:b/>
          <w:bCs/>
          <w:sz w:val="20"/>
          <w:szCs w:val="20"/>
          <w:lang w:val="es-ES_tradnl"/>
        </w:rPr>
      </w:pPr>
    </w:p>
    <w:p w14:paraId="57CA094B" w14:textId="6786D12D" w:rsidR="004E7E1E" w:rsidRPr="004E7E1E" w:rsidRDefault="004E7E1E" w:rsidP="00045B98">
      <w:pPr>
        <w:spacing w:after="0" w:line="240" w:lineRule="auto"/>
        <w:jc w:val="both"/>
        <w:rPr>
          <w:rFonts w:ascii="Verdana" w:eastAsia="Arial" w:hAnsi="Verdana" w:cs="Arial"/>
          <w:sz w:val="20"/>
          <w:szCs w:val="20"/>
          <w:lang w:val="es-ES" w:eastAsia="es-ES" w:bidi="es-ES"/>
        </w:rPr>
      </w:pPr>
      <w:r w:rsidRPr="004E7E1E">
        <w:rPr>
          <w:rFonts w:ascii="Verdana" w:eastAsia="Arial" w:hAnsi="Verdana" w:cs="Arial"/>
          <w:sz w:val="20"/>
          <w:szCs w:val="20"/>
          <w:lang w:val="es-ES" w:eastAsia="es-ES" w:bidi="es-ES"/>
        </w:rPr>
        <w:t>La Ley 80 de 1993, en el artículo 26, numeral 6, indica como una de las manifestaciones del principio de responsabilidad que los contratistas respondan cuando formulen propuestas en las que se fijen condiciones económicas y de contratación artificialmente bajas con el propósito de obtener la adjudicación del contrato.</w:t>
      </w:r>
    </w:p>
    <w:p w14:paraId="0796874A" w14:textId="2A30E068" w:rsidR="004E7E1E" w:rsidRPr="004E7E1E" w:rsidRDefault="004E7E1E" w:rsidP="00045B98">
      <w:pPr>
        <w:spacing w:after="0" w:line="240" w:lineRule="auto"/>
        <w:jc w:val="both"/>
        <w:rPr>
          <w:rFonts w:ascii="Verdana" w:eastAsia="Arial MT" w:hAnsi="Verdana" w:cs="Arial MT"/>
          <w:bCs/>
          <w:sz w:val="20"/>
          <w:szCs w:val="20"/>
          <w:lang w:val="es-ES"/>
        </w:rPr>
      </w:pPr>
      <w:r w:rsidRPr="004E7E1E">
        <w:rPr>
          <w:rFonts w:ascii="Verdana" w:eastAsia="Arial MT" w:hAnsi="Verdana" w:cs="Arial MT"/>
          <w:bCs/>
          <w:sz w:val="20"/>
          <w:szCs w:val="20"/>
          <w:lang w:val="es-ES"/>
        </w:rPr>
        <w:t>[…]</w:t>
      </w:r>
    </w:p>
    <w:p w14:paraId="4695985F" w14:textId="77777777" w:rsidR="004E7E1E" w:rsidRPr="004E7E1E" w:rsidRDefault="004E7E1E" w:rsidP="00045B98">
      <w:pPr>
        <w:spacing w:after="0" w:line="240" w:lineRule="auto"/>
        <w:jc w:val="both"/>
        <w:rPr>
          <w:rFonts w:ascii="Verdana" w:eastAsia="Calibri" w:hAnsi="Verdana" w:cs="Arial"/>
          <w:sz w:val="20"/>
          <w:szCs w:val="20"/>
          <w:lang w:val="es-ES"/>
        </w:rPr>
      </w:pPr>
      <w:r w:rsidRPr="004E7E1E">
        <w:rPr>
          <w:rFonts w:ascii="Verdana" w:eastAsia="Calibri" w:hAnsi="Verdana" w:cs="Arial"/>
          <w:sz w:val="20"/>
          <w:szCs w:val="20"/>
          <w:lang w:val="es-MX"/>
        </w:rPr>
        <w:t xml:space="preserve">Así pues, el artículo 2.2.1.1.2.2.4 ibidem, establece lo que debe hacer la entidad cuando el precio de una oferta parece artificialmente bajo, esto es: i) solicitar explicación al oferente, </w:t>
      </w:r>
      <w:proofErr w:type="spellStart"/>
      <w:r w:rsidRPr="004E7E1E">
        <w:rPr>
          <w:rFonts w:ascii="Verdana" w:eastAsia="Calibri" w:hAnsi="Verdana" w:cs="Arial"/>
          <w:sz w:val="20"/>
          <w:szCs w:val="20"/>
          <w:lang w:val="es-MX"/>
        </w:rPr>
        <w:t>ii</w:t>
      </w:r>
      <w:proofErr w:type="spellEnd"/>
      <w:r w:rsidRPr="004E7E1E">
        <w:rPr>
          <w:rFonts w:ascii="Verdana" w:eastAsia="Calibri" w:hAnsi="Verdana" w:cs="Arial"/>
          <w:sz w:val="20"/>
          <w:szCs w:val="20"/>
          <w:lang w:val="es-MX"/>
        </w:rPr>
        <w:t xml:space="preserve">) analizar las explicaciones del oferente, </w:t>
      </w:r>
      <w:proofErr w:type="spellStart"/>
      <w:r w:rsidRPr="004E7E1E">
        <w:rPr>
          <w:rFonts w:ascii="Verdana" w:eastAsia="Calibri" w:hAnsi="Verdana" w:cs="Arial"/>
          <w:sz w:val="20"/>
          <w:szCs w:val="20"/>
          <w:lang w:val="es-MX"/>
        </w:rPr>
        <w:t>iii</w:t>
      </w:r>
      <w:proofErr w:type="spellEnd"/>
      <w:r w:rsidRPr="004E7E1E">
        <w:rPr>
          <w:rFonts w:ascii="Verdana" w:eastAsia="Calibri" w:hAnsi="Verdana" w:cs="Arial"/>
          <w:sz w:val="20"/>
          <w:szCs w:val="20"/>
          <w:lang w:val="es-MX"/>
        </w:rPr>
        <w:t xml:space="preserve">) el responsable de la evaluación de las ofertas debe recomendar rechazar o continuar la evaluación de la oferta, y </w:t>
      </w:r>
      <w:proofErr w:type="spellStart"/>
      <w:r w:rsidRPr="004E7E1E">
        <w:rPr>
          <w:rFonts w:ascii="Verdana" w:eastAsia="Calibri" w:hAnsi="Verdana" w:cs="Arial"/>
          <w:sz w:val="20"/>
          <w:szCs w:val="20"/>
          <w:lang w:val="es-MX"/>
        </w:rPr>
        <w:t>iv</w:t>
      </w:r>
      <w:proofErr w:type="spellEnd"/>
      <w:r w:rsidRPr="004E7E1E">
        <w:rPr>
          <w:rFonts w:ascii="Verdana" w:eastAsia="Calibri" w:hAnsi="Verdana" w:cs="Arial"/>
          <w:sz w:val="20"/>
          <w:szCs w:val="20"/>
          <w:lang w:val="es-MX"/>
        </w:rPr>
        <w:t>) para la subasta inversa, lo anterior se debe hacer al finalizar el evento.</w:t>
      </w:r>
    </w:p>
    <w:p w14:paraId="5FE486CA" w14:textId="77777777" w:rsidR="004E7E1E" w:rsidRPr="004E7E1E" w:rsidRDefault="004E7E1E" w:rsidP="00045B98">
      <w:pPr>
        <w:spacing w:after="0" w:line="240" w:lineRule="auto"/>
        <w:jc w:val="both"/>
        <w:rPr>
          <w:rFonts w:ascii="Verdana" w:eastAsia="Arial MT" w:hAnsi="Verdana" w:cs="Arial MT"/>
          <w:b/>
          <w:bCs/>
          <w:lang w:val="es-ES"/>
        </w:rPr>
      </w:pPr>
    </w:p>
    <w:p w14:paraId="662531BE" w14:textId="04F8BA2A" w:rsidR="004E7E1E" w:rsidRPr="004E7E1E" w:rsidRDefault="004E7E1E" w:rsidP="00045B98">
      <w:pPr>
        <w:spacing w:after="0" w:line="240" w:lineRule="auto"/>
        <w:jc w:val="both"/>
        <w:rPr>
          <w:rFonts w:ascii="Verdana" w:eastAsia="Arial MT" w:hAnsi="Verdana" w:cs="Arial MT"/>
          <w:b/>
          <w:bCs/>
          <w:lang w:val="es-ES_tradnl"/>
        </w:rPr>
      </w:pPr>
      <w:r w:rsidRPr="004E7E1E">
        <w:rPr>
          <w:rFonts w:ascii="Verdana" w:eastAsia="Arial MT" w:hAnsi="Verdana" w:cs="Arial MT"/>
          <w:b/>
          <w:bCs/>
          <w:lang w:val="es-ES_tradnl"/>
        </w:rPr>
        <w:t xml:space="preserve">EVALUACIÓN DE LAS OFERTAS – Finalidad – Oportunidad </w:t>
      </w:r>
    </w:p>
    <w:p w14:paraId="2B448CB9" w14:textId="6BACCCA3" w:rsidR="004E7E1E" w:rsidRDefault="004E7E1E" w:rsidP="00045B98">
      <w:pPr>
        <w:spacing w:after="0" w:line="240" w:lineRule="auto"/>
        <w:jc w:val="both"/>
        <w:rPr>
          <w:rFonts w:ascii="Verdana" w:eastAsia="Calibri" w:hAnsi="Verdana" w:cs="Arial"/>
          <w:lang w:val="es-ES"/>
        </w:rPr>
      </w:pPr>
    </w:p>
    <w:p w14:paraId="147DBC5A" w14:textId="75710590" w:rsidR="004E7E1E" w:rsidRPr="004E7E1E" w:rsidRDefault="004E7E1E" w:rsidP="00045B98">
      <w:pPr>
        <w:spacing w:after="0" w:line="240" w:lineRule="auto"/>
        <w:jc w:val="both"/>
        <w:rPr>
          <w:rFonts w:ascii="Verdana" w:eastAsia="Arial MT" w:hAnsi="Verdana" w:cs="Arial MT"/>
          <w:bCs/>
          <w:sz w:val="20"/>
          <w:lang w:val="es-MX"/>
        </w:rPr>
      </w:pPr>
      <w:r w:rsidRPr="004E7E1E">
        <w:rPr>
          <w:rFonts w:ascii="Verdana" w:eastAsia="Arial MT" w:hAnsi="Verdana" w:cs="Arial MT"/>
          <w:bCs/>
          <w:sz w:val="20"/>
          <w:lang w:val="es-ES"/>
        </w:rPr>
        <w:t>Sin embargo, debe precisarse que el análisis de los precios de una oferta se hace en la fase de evaluación del procedimiento de selección, que es la oportunidad para verificar, a través del comité evaluador</w:t>
      </w:r>
      <w:r w:rsidRPr="004E7E1E">
        <w:rPr>
          <w:rFonts w:ascii="Verdana" w:eastAsia="Arial MT" w:hAnsi="Verdana" w:cs="Arial MT"/>
          <w:bCs/>
          <w:sz w:val="20"/>
          <w:lang w:val="es-MX"/>
        </w:rPr>
        <w:t xml:space="preserve"> si se cumplen o no las reglas de los pliegos de condiciones. En efecto, el objeto de la evaluación de las ofertas es comprobar que estas cumplen con los parámetros exigidos, establecer la habilitación del proponente en dicho proceso de selección y definir si, de acuerdo con la ponderación de los factores de evaluación aplicables, cuál será el que resultará adjudicatario del futuro contrato.</w:t>
      </w:r>
    </w:p>
    <w:p w14:paraId="0BEF4DD7" w14:textId="77777777" w:rsidR="004E7E1E" w:rsidRPr="004E7E1E" w:rsidRDefault="004E7E1E" w:rsidP="00045B98">
      <w:pPr>
        <w:spacing w:after="0" w:line="240" w:lineRule="auto"/>
        <w:jc w:val="both"/>
        <w:rPr>
          <w:rFonts w:ascii="Verdana" w:eastAsia="Arial MT" w:hAnsi="Verdana" w:cs="Arial MT"/>
          <w:bCs/>
          <w:sz w:val="20"/>
        </w:rPr>
      </w:pPr>
    </w:p>
    <w:p w14:paraId="36AF8816" w14:textId="6FE77359" w:rsidR="004E7E1E" w:rsidRPr="004E7E1E" w:rsidRDefault="004E7E1E" w:rsidP="00045B98">
      <w:pPr>
        <w:spacing w:after="0" w:line="240" w:lineRule="auto"/>
        <w:jc w:val="both"/>
        <w:rPr>
          <w:rFonts w:ascii="Verdana" w:eastAsia="Arial MT" w:hAnsi="Verdana" w:cs="Arial MT"/>
          <w:bCs/>
          <w:sz w:val="20"/>
          <w:lang w:val="es-ES"/>
        </w:rPr>
      </w:pPr>
      <w:r w:rsidRPr="004E7E1E">
        <w:rPr>
          <w:rFonts w:ascii="Verdana" w:eastAsia="Arial MT" w:hAnsi="Verdana" w:cs="Arial MT"/>
          <w:bCs/>
          <w:sz w:val="20"/>
          <w:lang w:val="es-ES"/>
        </w:rPr>
        <w:t xml:space="preserve">En ese sentido, en la evaluación que se realiza antes de la adjudicación del contrato la entidad debe verificar la oferta y su componente económico, para determinar si corresponde con el resultado del análisis de la oferta en el estudio de mercado, o si los precios tienen un componente atípico que no se identificó al observar el comportamiento de los proveedores del bien, obra o servicio que pretende contratarse. En ese caso, la entidad podrá identificar las ofertas con precios que parecen artificialmente bajos, y seguir el procedimiento del Decreto 1082 de 2015. </w:t>
      </w:r>
    </w:p>
    <w:p w14:paraId="5F337D47" w14:textId="77777777" w:rsidR="004E7E1E" w:rsidRPr="004E7E1E" w:rsidRDefault="004E7E1E" w:rsidP="00045B98">
      <w:pPr>
        <w:spacing w:after="0" w:line="240" w:lineRule="auto"/>
        <w:jc w:val="both"/>
        <w:rPr>
          <w:rFonts w:ascii="Verdana" w:eastAsia="Arial MT" w:hAnsi="Verdana" w:cs="Arial MT"/>
          <w:b/>
          <w:bCs/>
          <w:lang w:val="es-ES"/>
        </w:rPr>
      </w:pPr>
    </w:p>
    <w:p w14:paraId="224EBF53" w14:textId="77777777" w:rsidR="004E7E1E" w:rsidRPr="004E7E1E" w:rsidRDefault="004E7E1E" w:rsidP="00045B98">
      <w:pPr>
        <w:spacing w:after="0" w:line="240" w:lineRule="auto"/>
        <w:jc w:val="both"/>
        <w:rPr>
          <w:rFonts w:ascii="Verdana" w:eastAsia="Arial MT" w:hAnsi="Verdana" w:cs="Arial MT"/>
          <w:b/>
          <w:bCs/>
          <w:lang w:val="es-ES_tradnl"/>
        </w:rPr>
      </w:pPr>
      <w:r w:rsidRPr="004E7E1E">
        <w:rPr>
          <w:rFonts w:ascii="Verdana" w:eastAsia="Arial MT" w:hAnsi="Verdana" w:cs="Arial MT"/>
          <w:b/>
          <w:bCs/>
          <w:lang w:val="es-ES_tradnl"/>
        </w:rPr>
        <w:t xml:space="preserve">GUÍA DE OFERTAS ARTIFICIALMENTE BAJAS – Manejo </w:t>
      </w:r>
    </w:p>
    <w:p w14:paraId="4BEE80B2" w14:textId="2A06D060" w:rsidR="004E7E1E" w:rsidRPr="004E7E1E" w:rsidRDefault="004E7E1E" w:rsidP="00045B98">
      <w:pPr>
        <w:spacing w:after="0" w:line="240" w:lineRule="auto"/>
        <w:jc w:val="both"/>
        <w:rPr>
          <w:rFonts w:ascii="Verdana" w:eastAsia="Arial MT" w:hAnsi="Verdana" w:cs="Arial MT"/>
          <w:bCs/>
          <w:sz w:val="20"/>
          <w:lang w:val="es-ES_tradnl"/>
        </w:rPr>
      </w:pPr>
    </w:p>
    <w:p w14:paraId="27A8FE40" w14:textId="77777777" w:rsidR="004E7E1E" w:rsidRDefault="004E7E1E" w:rsidP="00045B98">
      <w:pPr>
        <w:spacing w:after="0" w:line="240" w:lineRule="auto"/>
        <w:jc w:val="both"/>
        <w:rPr>
          <w:rFonts w:ascii="Verdana" w:eastAsia="Arial MT" w:hAnsi="Verdana" w:cs="Arial MT"/>
          <w:bCs/>
          <w:sz w:val="20"/>
          <w:lang w:val="es-ES"/>
        </w:rPr>
      </w:pPr>
      <w:r w:rsidRPr="004E7E1E">
        <w:rPr>
          <w:rFonts w:ascii="Verdana" w:eastAsia="Arial MT" w:hAnsi="Verdana" w:cs="Arial MT"/>
          <w:bCs/>
          <w:sz w:val="20"/>
          <w:lang w:val="es-ES"/>
        </w:rPr>
        <w:t xml:space="preserve">De esta forma, y con el objetivo de brindar herramientas que orienten a las Entidades Estatales en este asunto, la Agencia Nacional de Contratación Pública – Colombia Compra Eficiente el 16 de diciembre de 2024, actualizó la “Guía para el manejo de ofertas artificialmente bajas en Procesos de Contratación”, en la que se señalan no sólo las posibles causas y consecuencias de ofertas artificialmente bajas, sino que también se relaciona a modo de sugerencia dos metodologías que podrían aplicar las entidades para identificarlas y manejarlas. Estas son: i) la comparación absoluta y; </w:t>
      </w:r>
      <w:proofErr w:type="spellStart"/>
      <w:r w:rsidRPr="004E7E1E">
        <w:rPr>
          <w:rFonts w:ascii="Verdana" w:eastAsia="Arial MT" w:hAnsi="Verdana" w:cs="Arial MT"/>
          <w:bCs/>
          <w:sz w:val="20"/>
          <w:lang w:val="es-ES"/>
        </w:rPr>
        <w:t>ii</w:t>
      </w:r>
      <w:proofErr w:type="spellEnd"/>
      <w:r w:rsidRPr="004E7E1E">
        <w:rPr>
          <w:rFonts w:ascii="Verdana" w:eastAsia="Arial MT" w:hAnsi="Verdana" w:cs="Arial MT"/>
          <w:bCs/>
          <w:sz w:val="20"/>
          <w:lang w:val="es-ES"/>
        </w:rPr>
        <w:t xml:space="preserve">) la comparación relativa. </w:t>
      </w:r>
    </w:p>
    <w:p w14:paraId="3CBBC1B9" w14:textId="77777777" w:rsidR="003E6050" w:rsidRPr="004E7E1E" w:rsidRDefault="003E6050" w:rsidP="00045B98">
      <w:pPr>
        <w:spacing w:after="0" w:line="240" w:lineRule="auto"/>
        <w:jc w:val="both"/>
        <w:rPr>
          <w:rFonts w:ascii="Verdana" w:eastAsia="Arial MT" w:hAnsi="Verdana" w:cs="Arial MT"/>
          <w:bCs/>
          <w:sz w:val="20"/>
          <w:lang w:val="es-ES"/>
        </w:rPr>
      </w:pPr>
    </w:p>
    <w:p w14:paraId="6274B7BB" w14:textId="13E7E4DE" w:rsidR="004E7E1E" w:rsidRDefault="004E7E1E" w:rsidP="00045B98">
      <w:pPr>
        <w:spacing w:after="0" w:line="240" w:lineRule="auto"/>
        <w:jc w:val="both"/>
        <w:rPr>
          <w:rFonts w:ascii="Verdana" w:eastAsia="Arial MT" w:hAnsi="Verdana" w:cs="Arial MT"/>
          <w:bCs/>
          <w:sz w:val="20"/>
        </w:rPr>
      </w:pPr>
      <w:r w:rsidRPr="004E7E1E">
        <w:rPr>
          <w:rFonts w:ascii="Verdana" w:eastAsia="Arial MT" w:hAnsi="Verdana" w:cs="Arial MT"/>
          <w:bCs/>
          <w:sz w:val="20"/>
          <w:lang w:val="es-ES"/>
        </w:rPr>
        <w:t xml:space="preserve">Es importante precisar que dentro de la Guía para el manejo de ofertas artificialmente bajas en Procesos de Contratación” efectúa un análisis especial en torno a la subasta inversa, la cual puede ser </w:t>
      </w:r>
      <w:r w:rsidRPr="004E7E1E">
        <w:rPr>
          <w:rFonts w:ascii="Verdana" w:eastAsia="Arial MT" w:hAnsi="Verdana" w:cs="Arial MT"/>
          <w:bCs/>
          <w:sz w:val="20"/>
        </w:rPr>
        <w:t xml:space="preserve">ordinaria y a la inversa. La primera consiste en que los compradores compiten para obtener un bien o servicio, ofreciendo precios cada vez más </w:t>
      </w:r>
      <w:r w:rsidRPr="004E7E1E">
        <w:rPr>
          <w:rFonts w:ascii="Verdana" w:eastAsia="Arial MT" w:hAnsi="Verdana" w:cs="Arial MT"/>
          <w:bCs/>
          <w:sz w:val="20"/>
        </w:rPr>
        <w:lastRenderedPageBreak/>
        <w:t xml:space="preserve">altos, mediante lances, como es el caso de los procesos de contratación de enajenación directa a través de subasta pública mediante la modalidad de selección abreviada, </w:t>
      </w:r>
      <w:proofErr w:type="gramStart"/>
      <w:r w:rsidRPr="004E7E1E">
        <w:rPr>
          <w:rFonts w:ascii="Verdana" w:eastAsia="Arial MT" w:hAnsi="Verdana" w:cs="Arial MT"/>
          <w:bCs/>
          <w:sz w:val="20"/>
        </w:rPr>
        <w:t>de acuerdo a</w:t>
      </w:r>
      <w:proofErr w:type="gramEnd"/>
      <w:r w:rsidRPr="004E7E1E">
        <w:rPr>
          <w:rFonts w:ascii="Verdana" w:eastAsia="Arial MT" w:hAnsi="Verdana" w:cs="Arial MT"/>
          <w:bCs/>
          <w:sz w:val="20"/>
        </w:rPr>
        <w:t xml:space="preserve"> lo prescrito en el artículo 2.2.1.2.2.2.2 del Decreto 1082 de 1025. El segundo, es la subasta inversa que consiste en que los vendedores compiten para obtener un negocio del comprador, y para ello, los lances realizados sobre la oferta económica tienen como objetivo disminuir los precios de los bienes y servicios que se están ofertando.</w:t>
      </w:r>
    </w:p>
    <w:p w14:paraId="4243E0A8" w14:textId="77777777" w:rsidR="004E7E1E" w:rsidRPr="004E7E1E" w:rsidRDefault="004E7E1E" w:rsidP="00045B98">
      <w:pPr>
        <w:spacing w:after="0" w:line="240" w:lineRule="auto"/>
        <w:jc w:val="both"/>
        <w:rPr>
          <w:rFonts w:ascii="Verdana" w:eastAsia="Arial MT" w:hAnsi="Verdana" w:cs="Arial MT"/>
          <w:bCs/>
          <w:sz w:val="20"/>
          <w:lang w:val="es-ES_tradnl"/>
        </w:rPr>
      </w:pPr>
    </w:p>
    <w:p w14:paraId="6978F2BA" w14:textId="2610B64E" w:rsidR="004E7E1E" w:rsidRPr="004E7E1E" w:rsidRDefault="004E7E1E" w:rsidP="00045B98">
      <w:pPr>
        <w:spacing w:after="0" w:line="240" w:lineRule="auto"/>
        <w:jc w:val="both"/>
        <w:rPr>
          <w:rFonts w:ascii="Verdana" w:eastAsia="Arial MT" w:hAnsi="Verdana" w:cs="Arial MT"/>
          <w:b/>
          <w:bCs/>
          <w:lang w:val="es-ES_tradnl"/>
        </w:rPr>
      </w:pPr>
      <w:r w:rsidRPr="004E7E1E">
        <w:rPr>
          <w:rFonts w:ascii="Verdana" w:eastAsia="Arial MT" w:hAnsi="Verdana" w:cs="Arial MT"/>
          <w:b/>
          <w:bCs/>
          <w:lang w:val="es-ES_tradnl"/>
        </w:rPr>
        <w:t xml:space="preserve">PRECIOS ARTIFICIALMENTE BAJOS – Guía – Procesos de </w:t>
      </w:r>
      <w:r w:rsidR="007D26A5">
        <w:rPr>
          <w:rFonts w:ascii="Verdana" w:eastAsia="Arial MT" w:hAnsi="Verdana" w:cs="Arial MT"/>
          <w:b/>
          <w:bCs/>
          <w:lang w:val="es-ES_tradnl"/>
        </w:rPr>
        <w:t>s</w:t>
      </w:r>
      <w:r w:rsidRPr="004E7E1E">
        <w:rPr>
          <w:rFonts w:ascii="Verdana" w:eastAsia="Arial MT" w:hAnsi="Verdana" w:cs="Arial MT"/>
          <w:b/>
          <w:bCs/>
          <w:lang w:val="es-ES_tradnl"/>
        </w:rPr>
        <w:t xml:space="preserve">ubasta – Subasta </w:t>
      </w:r>
      <w:r w:rsidR="007D26A5">
        <w:rPr>
          <w:rFonts w:ascii="Verdana" w:eastAsia="Arial MT" w:hAnsi="Verdana" w:cs="Arial MT"/>
          <w:b/>
          <w:bCs/>
          <w:lang w:val="es-ES_tradnl"/>
        </w:rPr>
        <w:t>i</w:t>
      </w:r>
      <w:r w:rsidRPr="004E7E1E">
        <w:rPr>
          <w:rFonts w:ascii="Verdana" w:eastAsia="Arial MT" w:hAnsi="Verdana" w:cs="Arial MT"/>
          <w:b/>
          <w:bCs/>
          <w:lang w:val="es-ES_tradnl"/>
        </w:rPr>
        <w:t>nversa</w:t>
      </w:r>
    </w:p>
    <w:p w14:paraId="439E3939" w14:textId="2DF637CB" w:rsidR="004E7E1E" w:rsidRDefault="004E7E1E" w:rsidP="00045B98">
      <w:pPr>
        <w:spacing w:after="0" w:line="240" w:lineRule="auto"/>
        <w:jc w:val="both"/>
        <w:rPr>
          <w:rFonts w:ascii="Verdana" w:eastAsia="Arial MT" w:hAnsi="Verdana" w:cs="Arial MT"/>
          <w:b/>
          <w:bCs/>
          <w:lang w:val="es-ES_tradnl"/>
        </w:rPr>
      </w:pPr>
    </w:p>
    <w:p w14:paraId="3CD07572" w14:textId="3B84F4E8" w:rsidR="004E7E1E" w:rsidRPr="005C2082" w:rsidRDefault="004E7E1E" w:rsidP="00045B98">
      <w:pPr>
        <w:spacing w:after="0" w:line="240" w:lineRule="auto"/>
        <w:jc w:val="both"/>
        <w:rPr>
          <w:rFonts w:ascii="Verdana" w:eastAsia="Arial MT" w:hAnsi="Verdana" w:cs="Arial MT"/>
          <w:bCs/>
          <w:sz w:val="20"/>
          <w:szCs w:val="20"/>
        </w:rPr>
      </w:pPr>
      <w:r w:rsidRPr="005C2082">
        <w:rPr>
          <w:rFonts w:ascii="Verdana" w:eastAsia="Arial MT" w:hAnsi="Verdana" w:cs="Arial MT"/>
          <w:bCs/>
          <w:sz w:val="20"/>
          <w:szCs w:val="20"/>
        </w:rPr>
        <w:t xml:space="preserve">Ahora bien, en el evento en que los lances presentados en la audiencia del proceso de subasta inversa se evidencian que son precios artificialmente bajos, debe tener en cuenta lo siguiente: i) requerir al oferente con relación a los precios ofertados que parecen bajos, con el fin de que sustente las razones o motivos del valor; </w:t>
      </w:r>
      <w:proofErr w:type="spellStart"/>
      <w:r w:rsidRPr="005C2082">
        <w:rPr>
          <w:rFonts w:ascii="Verdana" w:eastAsia="Arial MT" w:hAnsi="Verdana" w:cs="Arial MT"/>
          <w:bCs/>
          <w:sz w:val="20"/>
          <w:szCs w:val="20"/>
        </w:rPr>
        <w:t>ii</w:t>
      </w:r>
      <w:proofErr w:type="spellEnd"/>
      <w:r w:rsidRPr="005C2082">
        <w:rPr>
          <w:rFonts w:ascii="Verdana" w:eastAsia="Arial MT" w:hAnsi="Verdana" w:cs="Arial MT"/>
          <w:bCs/>
          <w:sz w:val="20"/>
          <w:szCs w:val="20"/>
        </w:rPr>
        <w:t xml:space="preserve">) analizar las explicaciones del oferente, para verificar si están sustentados en los valores ofrecidos y si son suficientes para ejecutar el contrato; </w:t>
      </w:r>
      <w:proofErr w:type="spellStart"/>
      <w:r w:rsidRPr="005C2082">
        <w:rPr>
          <w:rFonts w:ascii="Verdana" w:eastAsia="Arial MT" w:hAnsi="Verdana" w:cs="Arial MT"/>
          <w:bCs/>
          <w:sz w:val="20"/>
          <w:szCs w:val="20"/>
        </w:rPr>
        <w:t>iii</w:t>
      </w:r>
      <w:proofErr w:type="spellEnd"/>
      <w:r w:rsidRPr="005C2082">
        <w:rPr>
          <w:rFonts w:ascii="Verdana" w:eastAsia="Arial MT" w:hAnsi="Verdana" w:cs="Arial MT"/>
          <w:bCs/>
          <w:sz w:val="20"/>
          <w:szCs w:val="20"/>
        </w:rPr>
        <w:t xml:space="preserve">) definir si continúa con la evaluación de la oferta, en el sentido de que la explicación demuestra la capacidad del proponente para cumplir adecuadamente con el contrato con los precios ofertados o, si por el contrario, rechaza la oferta porque no fue sustentada. Esto debe realizarse al finalizar el evento de subasta, de acuerdo con el precio ofrecido al final de esta. </w:t>
      </w:r>
    </w:p>
    <w:p w14:paraId="238BC888" w14:textId="24091051" w:rsidR="004E7E1E" w:rsidRPr="005C2082" w:rsidRDefault="004E7E1E" w:rsidP="00045B98">
      <w:pPr>
        <w:spacing w:after="0" w:line="240" w:lineRule="auto"/>
        <w:jc w:val="both"/>
        <w:rPr>
          <w:rFonts w:ascii="Verdana" w:eastAsia="Arial MT" w:hAnsi="Verdana" w:cs="Arial MT"/>
          <w:bCs/>
          <w:sz w:val="20"/>
          <w:szCs w:val="20"/>
        </w:rPr>
      </w:pPr>
      <w:r w:rsidRPr="005C2082">
        <w:rPr>
          <w:rFonts w:ascii="Verdana" w:eastAsia="Arial MT" w:hAnsi="Verdana" w:cs="Arial MT"/>
          <w:bCs/>
          <w:sz w:val="20"/>
          <w:szCs w:val="20"/>
        </w:rPr>
        <w:t>[…]</w:t>
      </w:r>
    </w:p>
    <w:p w14:paraId="569A2980" w14:textId="47585A44" w:rsidR="004E7E1E" w:rsidRPr="005C2082" w:rsidRDefault="004E7E1E" w:rsidP="00045B98">
      <w:pPr>
        <w:spacing w:after="0" w:line="240" w:lineRule="auto"/>
        <w:jc w:val="both"/>
        <w:rPr>
          <w:rFonts w:ascii="Verdana" w:eastAsia="Arial MT" w:hAnsi="Verdana" w:cs="Arial MT"/>
          <w:bCs/>
          <w:sz w:val="20"/>
          <w:szCs w:val="20"/>
        </w:rPr>
      </w:pPr>
      <w:r w:rsidRPr="005C2082">
        <w:rPr>
          <w:rFonts w:ascii="Verdana" w:eastAsia="Arial MT" w:hAnsi="Verdana" w:cs="Arial MT"/>
          <w:bCs/>
          <w:sz w:val="20"/>
          <w:szCs w:val="20"/>
        </w:rPr>
        <w:t xml:space="preserve">En este escenario, dentro de la Guía expresa: “[…] la entidad en el marco de su autonomía puede evaluar la procedencia de volver a realizar el evento de subasta, retirando al proponente si está contemplado inicialmente en los pliegos; esto, con el fin de evitar que un participante de la subasta beneficie a otro a través de la presentación de una oferta artificialmente baja”. De igual modo, dichos eventos deben ponerse al conocimiento de la Superintendencia de Industria y Comercio. </w:t>
      </w:r>
    </w:p>
    <w:p w14:paraId="59C73711" w14:textId="77777777" w:rsidR="004E7E1E" w:rsidRPr="004E7E1E" w:rsidRDefault="004E7E1E" w:rsidP="00045B98">
      <w:pPr>
        <w:spacing w:after="0" w:line="240" w:lineRule="auto"/>
        <w:jc w:val="both"/>
        <w:rPr>
          <w:rFonts w:ascii="Verdana" w:eastAsia="Arial MT" w:hAnsi="Verdana" w:cs="Arial MT"/>
          <w:b/>
          <w:bCs/>
        </w:rPr>
      </w:pPr>
    </w:p>
    <w:p w14:paraId="1EB8E35F" w14:textId="77777777" w:rsidR="004E7E1E" w:rsidRDefault="004E7E1E" w:rsidP="003937AF">
      <w:pPr>
        <w:spacing w:after="0"/>
        <w:rPr>
          <w:rFonts w:ascii="Verdana" w:hAnsi="Verdana"/>
        </w:rPr>
      </w:pPr>
    </w:p>
    <w:p w14:paraId="20504420" w14:textId="77777777" w:rsidR="00955976" w:rsidRDefault="00955976" w:rsidP="003937AF">
      <w:pPr>
        <w:spacing w:after="0"/>
        <w:rPr>
          <w:rFonts w:ascii="Verdana" w:hAnsi="Verdana"/>
        </w:rPr>
      </w:pPr>
    </w:p>
    <w:p w14:paraId="688786B5" w14:textId="77777777" w:rsidR="00955976" w:rsidRDefault="00955976" w:rsidP="003937AF">
      <w:pPr>
        <w:spacing w:after="0"/>
        <w:rPr>
          <w:rFonts w:ascii="Verdana" w:hAnsi="Verdana"/>
        </w:rPr>
      </w:pPr>
    </w:p>
    <w:p w14:paraId="05173FD0" w14:textId="77777777" w:rsidR="00955976" w:rsidRDefault="00955976" w:rsidP="003937AF">
      <w:pPr>
        <w:spacing w:after="0"/>
        <w:rPr>
          <w:rFonts w:ascii="Verdana" w:hAnsi="Verdana"/>
        </w:rPr>
      </w:pPr>
    </w:p>
    <w:p w14:paraId="26F5AA24" w14:textId="77777777" w:rsidR="00955976" w:rsidRDefault="00955976" w:rsidP="003937AF">
      <w:pPr>
        <w:spacing w:after="0"/>
        <w:rPr>
          <w:rFonts w:ascii="Verdana" w:hAnsi="Verdana"/>
        </w:rPr>
      </w:pPr>
    </w:p>
    <w:p w14:paraId="7188A79E" w14:textId="77777777" w:rsidR="00955976" w:rsidRDefault="00955976" w:rsidP="003937AF">
      <w:pPr>
        <w:spacing w:after="0"/>
        <w:rPr>
          <w:rFonts w:ascii="Verdana" w:hAnsi="Verdana"/>
        </w:rPr>
      </w:pPr>
    </w:p>
    <w:p w14:paraId="089E4A6D" w14:textId="77777777" w:rsidR="00955976" w:rsidRDefault="00955976" w:rsidP="003937AF">
      <w:pPr>
        <w:spacing w:after="0"/>
        <w:rPr>
          <w:rFonts w:ascii="Verdana" w:hAnsi="Verdana"/>
        </w:rPr>
      </w:pPr>
    </w:p>
    <w:p w14:paraId="18B14289" w14:textId="77777777" w:rsidR="00955976" w:rsidRDefault="00955976" w:rsidP="003937AF">
      <w:pPr>
        <w:spacing w:after="0"/>
        <w:rPr>
          <w:rFonts w:ascii="Verdana" w:hAnsi="Verdana"/>
        </w:rPr>
      </w:pPr>
    </w:p>
    <w:p w14:paraId="67F633D6" w14:textId="77777777" w:rsidR="00955976" w:rsidRDefault="00955976" w:rsidP="003937AF">
      <w:pPr>
        <w:spacing w:after="0"/>
        <w:rPr>
          <w:rFonts w:ascii="Verdana" w:hAnsi="Verdana"/>
        </w:rPr>
      </w:pPr>
    </w:p>
    <w:p w14:paraId="184E18A7" w14:textId="77777777" w:rsidR="00955976" w:rsidRDefault="00955976" w:rsidP="003937AF">
      <w:pPr>
        <w:spacing w:after="0"/>
        <w:rPr>
          <w:rFonts w:ascii="Verdana" w:hAnsi="Verdana"/>
        </w:rPr>
      </w:pPr>
    </w:p>
    <w:p w14:paraId="3ACCD4AD" w14:textId="77777777" w:rsidR="00955976" w:rsidRDefault="00955976" w:rsidP="003937AF">
      <w:pPr>
        <w:spacing w:after="0"/>
        <w:rPr>
          <w:rFonts w:ascii="Verdana" w:hAnsi="Verdana"/>
        </w:rPr>
      </w:pPr>
    </w:p>
    <w:p w14:paraId="49818D67" w14:textId="77777777" w:rsidR="00955976" w:rsidRDefault="00955976" w:rsidP="003937AF">
      <w:pPr>
        <w:spacing w:after="0"/>
        <w:rPr>
          <w:rFonts w:ascii="Verdana" w:hAnsi="Verdana"/>
        </w:rPr>
      </w:pPr>
    </w:p>
    <w:p w14:paraId="350CBAC5" w14:textId="77777777" w:rsidR="00955976" w:rsidRDefault="00955976" w:rsidP="003937AF">
      <w:pPr>
        <w:spacing w:after="0"/>
        <w:rPr>
          <w:rFonts w:ascii="Verdana" w:hAnsi="Verdana"/>
        </w:rPr>
      </w:pPr>
    </w:p>
    <w:p w14:paraId="4BB6B383" w14:textId="77777777" w:rsidR="005C2082" w:rsidRDefault="005C2082" w:rsidP="00955976">
      <w:pPr>
        <w:spacing w:after="0" w:line="240" w:lineRule="auto"/>
        <w:jc w:val="both"/>
        <w:rPr>
          <w:rFonts w:ascii="Verdana" w:eastAsia="Times New Roman" w:hAnsi="Verdana" w:cs="Arial"/>
          <w:noProof/>
          <w:lang w:val="es-ES_tradnl" w:eastAsia="es-ES_tradnl"/>
        </w:rPr>
      </w:pPr>
    </w:p>
    <w:p w14:paraId="29D6C6DC" w14:textId="77777777" w:rsidR="005C2082" w:rsidRDefault="005C2082" w:rsidP="00955976">
      <w:pPr>
        <w:spacing w:after="0" w:line="240" w:lineRule="auto"/>
        <w:jc w:val="both"/>
        <w:rPr>
          <w:rFonts w:ascii="Verdana" w:eastAsia="Times New Roman" w:hAnsi="Verdana" w:cs="Arial"/>
          <w:noProof/>
          <w:lang w:val="es-ES_tradnl" w:eastAsia="es-ES_tradnl"/>
        </w:rPr>
      </w:pPr>
    </w:p>
    <w:p w14:paraId="67DE98F7" w14:textId="77777777" w:rsidR="005C2082" w:rsidRDefault="005C2082" w:rsidP="00955976">
      <w:pPr>
        <w:spacing w:after="0" w:line="240" w:lineRule="auto"/>
        <w:jc w:val="both"/>
        <w:rPr>
          <w:rFonts w:ascii="Verdana" w:eastAsia="Times New Roman" w:hAnsi="Verdana" w:cs="Arial"/>
          <w:noProof/>
          <w:lang w:val="es-ES_tradnl" w:eastAsia="es-ES_tradnl"/>
        </w:rPr>
      </w:pPr>
    </w:p>
    <w:p w14:paraId="2F840E48" w14:textId="77777777" w:rsidR="005C2082" w:rsidRDefault="005C2082" w:rsidP="00955976">
      <w:pPr>
        <w:spacing w:after="0" w:line="240" w:lineRule="auto"/>
        <w:jc w:val="both"/>
        <w:rPr>
          <w:rFonts w:ascii="Verdana" w:eastAsia="Times New Roman" w:hAnsi="Verdana" w:cs="Arial"/>
          <w:noProof/>
          <w:lang w:val="es-ES_tradnl" w:eastAsia="es-ES_tradnl"/>
        </w:rPr>
      </w:pPr>
    </w:p>
    <w:p w14:paraId="1D90D369" w14:textId="70C126D2" w:rsidR="00955976" w:rsidRDefault="00955976" w:rsidP="00955976">
      <w:pPr>
        <w:spacing w:after="0" w:line="240" w:lineRule="auto"/>
        <w:jc w:val="both"/>
        <w:rPr>
          <w:rFonts w:ascii="Verdana" w:eastAsia="Times New Roman" w:hAnsi="Verdana" w:cs="Arial"/>
          <w:noProof/>
          <w:lang w:val="es-ES_tradnl" w:eastAsia="es-ES_tradnl"/>
        </w:rPr>
      </w:pPr>
      <w:r w:rsidRPr="00B04DF4">
        <w:rPr>
          <w:rFonts w:ascii="Verdana" w:eastAsia="Times New Roman" w:hAnsi="Verdana" w:cs="Arial"/>
          <w:noProof/>
          <w:lang w:val="es-ES_tradnl" w:eastAsia="es-ES_tradnl"/>
        </w:rPr>
        <w:lastRenderedPageBreak/>
        <w:t xml:space="preserve">Bogotá D.C., </w:t>
      </w:r>
      <w:r w:rsidR="00E15BD5">
        <w:rPr>
          <w:rFonts w:ascii="Verdana" w:eastAsia="Times New Roman" w:hAnsi="Verdana" w:cs="Arial"/>
          <w:noProof/>
          <w:lang w:val="es-ES_tradnl" w:eastAsia="es-ES_tradnl"/>
        </w:rPr>
        <w:t>24 de septiembre de 2025</w:t>
      </w:r>
    </w:p>
    <w:p w14:paraId="0A1A9795" w14:textId="77777777" w:rsidR="00E15BD5" w:rsidRDefault="00E15BD5" w:rsidP="00955976">
      <w:pPr>
        <w:spacing w:after="0" w:line="240" w:lineRule="auto"/>
        <w:jc w:val="both"/>
        <w:rPr>
          <w:rFonts w:ascii="Verdana" w:eastAsia="Times New Roman" w:hAnsi="Verdana" w:cs="Arial"/>
          <w:noProof/>
          <w:lang w:val="es-ES_tradnl" w:eastAsia="es-ES_tradnl"/>
        </w:rPr>
      </w:pPr>
    </w:p>
    <w:p w14:paraId="63AD8132" w14:textId="0582882D" w:rsidR="00E15BD5" w:rsidRPr="00B04DF4" w:rsidRDefault="00E15BD5" w:rsidP="00E15BD5">
      <w:pPr>
        <w:spacing w:after="0" w:line="240" w:lineRule="auto"/>
        <w:jc w:val="right"/>
        <w:rPr>
          <w:rFonts w:ascii="Verdana" w:eastAsia="Times New Roman" w:hAnsi="Verdana" w:cs="Arial"/>
          <w:noProof/>
          <w:lang w:val="es-ES_tradnl" w:eastAsia="es-ES_tradnl"/>
        </w:rPr>
      </w:pPr>
    </w:p>
    <w:p w14:paraId="325ADDB2" w14:textId="6998DAD8" w:rsidR="003937AF" w:rsidRPr="00955976" w:rsidRDefault="003937AF" w:rsidP="003937AF">
      <w:pPr>
        <w:spacing w:after="0"/>
        <w:rPr>
          <w:rFonts w:ascii="Verdana" w:hAnsi="Verdana"/>
          <w:lang w:val="es-ES_tradnl"/>
        </w:rPr>
      </w:pPr>
    </w:p>
    <w:p w14:paraId="62F7B188" w14:textId="77777777" w:rsidR="003937AF" w:rsidRPr="005E5B81" w:rsidRDefault="003937AF" w:rsidP="003937AF">
      <w:pPr>
        <w:spacing w:after="0" w:line="240" w:lineRule="auto"/>
        <w:jc w:val="both"/>
        <w:rPr>
          <w:rFonts w:ascii="Verdana" w:hAnsi="Verdana" w:cs="Arial"/>
          <w:bCs/>
          <w:lang w:val="es-ES" w:eastAsia="es-ES" w:bidi="es-ES"/>
        </w:rPr>
      </w:pPr>
    </w:p>
    <w:p w14:paraId="53628D44" w14:textId="7BAEE390" w:rsidR="003937AF" w:rsidRPr="005E5B81" w:rsidRDefault="005C2082" w:rsidP="003937AF">
      <w:pPr>
        <w:widowControl w:val="0"/>
        <w:autoSpaceDE w:val="0"/>
        <w:autoSpaceDN w:val="0"/>
        <w:spacing w:after="0" w:line="266" w:lineRule="exact"/>
        <w:rPr>
          <w:rFonts w:ascii="Verdana" w:eastAsia="Verdana" w:hAnsi="Verdana" w:cs="Verdana"/>
          <w:lang w:val="es-ES"/>
        </w:rPr>
      </w:pPr>
      <w:r w:rsidRPr="00E15BD5">
        <w:rPr>
          <w:rFonts w:ascii="Verdana" w:eastAsia="Times New Roman" w:hAnsi="Verdana" w:cs="Arial"/>
          <w:noProof/>
          <w:lang w:val="es-ES_tradnl" w:eastAsia="es-ES_tradnl"/>
        </w:rPr>
        <w:drawing>
          <wp:anchor distT="0" distB="0" distL="114300" distR="114300" simplePos="0" relativeHeight="251657216" behindDoc="0" locked="0" layoutInCell="1" allowOverlap="1" wp14:anchorId="7EA78FF2" wp14:editId="4BD3FD4D">
            <wp:simplePos x="0" y="0"/>
            <wp:positionH relativeFrom="margin">
              <wp:align>right</wp:align>
            </wp:positionH>
            <wp:positionV relativeFrom="paragraph">
              <wp:posOffset>10795</wp:posOffset>
            </wp:positionV>
            <wp:extent cx="2803525" cy="795020"/>
            <wp:effectExtent l="0" t="0" r="0" b="5080"/>
            <wp:wrapSquare wrapText="bothSides"/>
            <wp:docPr id="1666155883"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6155883" name="Imagen 1" descr="Texto&#10;&#10;El contenido generado por IA puede ser incorrecto."/>
                    <pic:cNvPicPr/>
                  </pic:nvPicPr>
                  <pic:blipFill>
                    <a:blip r:embed="rId11">
                      <a:extLst>
                        <a:ext uri="{28A0092B-C50C-407E-A947-70E740481C1C}">
                          <a14:useLocalDpi xmlns:a14="http://schemas.microsoft.com/office/drawing/2010/main" val="0"/>
                        </a:ext>
                      </a:extLst>
                    </a:blip>
                    <a:stretch>
                      <a:fillRect/>
                    </a:stretch>
                  </pic:blipFill>
                  <pic:spPr>
                    <a:xfrm>
                      <a:off x="0" y="0"/>
                      <a:ext cx="2811103" cy="797280"/>
                    </a:xfrm>
                    <a:prstGeom prst="rect">
                      <a:avLst/>
                    </a:prstGeom>
                  </pic:spPr>
                </pic:pic>
              </a:graphicData>
            </a:graphic>
            <wp14:sizeRelH relativeFrom="margin">
              <wp14:pctWidth>0</wp14:pctWidth>
            </wp14:sizeRelH>
            <wp14:sizeRelV relativeFrom="margin">
              <wp14:pctHeight>0</wp14:pctHeight>
            </wp14:sizeRelV>
          </wp:anchor>
        </w:drawing>
      </w:r>
      <w:r w:rsidR="003937AF" w:rsidRPr="005E5B81">
        <w:rPr>
          <w:rFonts w:ascii="Verdana" w:eastAsia="Verdana" w:hAnsi="Verdana" w:cs="Verdana"/>
          <w:spacing w:val="-2"/>
          <w:lang w:val="es-ES"/>
        </w:rPr>
        <w:t>Señor</w:t>
      </w:r>
    </w:p>
    <w:p w14:paraId="06D241E6" w14:textId="30FDDFF8" w:rsidR="003937AF" w:rsidRPr="002046DD" w:rsidRDefault="005C2082" w:rsidP="003937AF">
      <w:pPr>
        <w:widowControl w:val="0"/>
        <w:autoSpaceDE w:val="0"/>
        <w:autoSpaceDN w:val="0"/>
        <w:spacing w:before="5" w:after="0" w:line="237" w:lineRule="auto"/>
        <w:ind w:right="4443"/>
        <w:rPr>
          <w:rFonts w:ascii="Verdana" w:hAnsi="Verdana"/>
          <w:b/>
        </w:rPr>
      </w:pPr>
      <w:r>
        <w:rPr>
          <w:rFonts w:ascii="Verdana" w:hAnsi="Verdana"/>
          <w:b/>
        </w:rPr>
        <w:t>Andrés</w:t>
      </w:r>
      <w:r w:rsidR="00955976">
        <w:rPr>
          <w:rFonts w:ascii="Verdana" w:hAnsi="Verdana"/>
          <w:b/>
        </w:rPr>
        <w:t xml:space="preserve"> Soto de la Valle</w:t>
      </w:r>
    </w:p>
    <w:p w14:paraId="4B36C003" w14:textId="1DE29597" w:rsidR="003937AF" w:rsidRPr="00955976" w:rsidRDefault="00955976" w:rsidP="00955976">
      <w:pPr>
        <w:widowControl w:val="0"/>
        <w:autoSpaceDE w:val="0"/>
        <w:autoSpaceDN w:val="0"/>
        <w:spacing w:before="5" w:after="0" w:line="237" w:lineRule="auto"/>
        <w:ind w:right="5055"/>
        <w:rPr>
          <w:rFonts w:ascii="Verdana" w:hAnsi="Verdana"/>
        </w:rPr>
      </w:pPr>
      <w:r w:rsidRPr="00955976">
        <w:rPr>
          <w:rFonts w:ascii="Verdana" w:hAnsi="Verdana"/>
        </w:rPr>
        <w:t>ae.soto017@gmail.co</w:t>
      </w:r>
      <w:r w:rsidR="003937AF" w:rsidRPr="00955976">
        <w:rPr>
          <w:rFonts w:ascii="Verdana" w:hAnsi="Verdana"/>
        </w:rPr>
        <w:t xml:space="preserve"> </w:t>
      </w:r>
    </w:p>
    <w:p w14:paraId="0E711A6B" w14:textId="210726B0" w:rsidR="003937AF" w:rsidRPr="005E5B81" w:rsidRDefault="00955976" w:rsidP="003937AF">
      <w:pPr>
        <w:widowControl w:val="0"/>
        <w:autoSpaceDE w:val="0"/>
        <w:autoSpaceDN w:val="0"/>
        <w:spacing w:before="5" w:after="0" w:line="237" w:lineRule="auto"/>
        <w:ind w:right="5055"/>
        <w:rPr>
          <w:rFonts w:ascii="Verdana" w:eastAsia="Verdana" w:hAnsi="Verdana" w:cs="Verdana"/>
          <w:lang w:val="es-ES"/>
        </w:rPr>
      </w:pPr>
      <w:r>
        <w:rPr>
          <w:rFonts w:ascii="Verdana" w:eastAsia="Verdana" w:hAnsi="Verdana" w:cs="Verdana"/>
          <w:lang w:val="es-ES"/>
        </w:rPr>
        <w:t>Ciudad</w:t>
      </w:r>
    </w:p>
    <w:p w14:paraId="240F40DB" w14:textId="77777777" w:rsidR="003937AF" w:rsidRPr="005E5B81" w:rsidRDefault="003937AF" w:rsidP="003937AF">
      <w:pPr>
        <w:spacing w:after="0" w:line="240" w:lineRule="auto"/>
        <w:jc w:val="both"/>
        <w:rPr>
          <w:rFonts w:ascii="Verdana" w:hAnsi="Verdana" w:cs="Arial"/>
          <w:b/>
          <w:bCs/>
          <w:lang w:val="es-ES_tradnl" w:eastAsia="es-ES" w:bidi="es-ES"/>
        </w:rPr>
      </w:pPr>
    </w:p>
    <w:p w14:paraId="7837DE0F" w14:textId="77777777" w:rsidR="003937AF" w:rsidRPr="005E5B81" w:rsidRDefault="003937AF" w:rsidP="003937AF">
      <w:pPr>
        <w:spacing w:after="0" w:line="240" w:lineRule="auto"/>
        <w:jc w:val="both"/>
        <w:rPr>
          <w:rFonts w:ascii="Verdana" w:hAnsi="Verdana" w:cs="Arial"/>
          <w:b/>
          <w:bCs/>
          <w:lang w:val="es-ES_tradnl" w:eastAsia="es-ES" w:bidi="es-ES"/>
        </w:rPr>
      </w:pPr>
    </w:p>
    <w:tbl>
      <w:tblPr>
        <w:tblStyle w:val="Tablaconcuadrcula"/>
        <w:tblW w:w="893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242"/>
      </w:tblGrid>
      <w:tr w:rsidR="003937AF" w:rsidRPr="005E5B81" w14:paraId="612EC080" w14:textId="77777777" w:rsidTr="00181518">
        <w:trPr>
          <w:trHeight w:val="463"/>
        </w:trPr>
        <w:tc>
          <w:tcPr>
            <w:tcW w:w="2689" w:type="dxa"/>
          </w:tcPr>
          <w:p w14:paraId="124ED0C0" w14:textId="77777777" w:rsidR="003937AF" w:rsidRPr="005E5B81" w:rsidRDefault="003937AF" w:rsidP="00181518">
            <w:pPr>
              <w:jc w:val="both"/>
              <w:rPr>
                <w:rFonts w:ascii="Verdana" w:hAnsi="Verdana" w:cs="Arial"/>
                <w:b/>
                <w:bCs/>
                <w:lang w:val="es-ES_tradnl" w:eastAsia="es-ES" w:bidi="es-ES"/>
              </w:rPr>
            </w:pPr>
          </w:p>
        </w:tc>
        <w:tc>
          <w:tcPr>
            <w:tcW w:w="6242" w:type="dxa"/>
          </w:tcPr>
          <w:p w14:paraId="74AB0D6B" w14:textId="4815927D" w:rsidR="003937AF" w:rsidRPr="005E5B81" w:rsidRDefault="003937AF" w:rsidP="00181518">
            <w:pPr>
              <w:jc w:val="both"/>
              <w:rPr>
                <w:rFonts w:ascii="Verdana" w:hAnsi="Verdana" w:cs="Arial"/>
                <w:b/>
                <w:bCs/>
                <w:lang w:val="es-MX" w:eastAsia="es-ES" w:bidi="es-ES"/>
              </w:rPr>
            </w:pPr>
            <w:r w:rsidRPr="005E5B81">
              <w:rPr>
                <w:rFonts w:ascii="Verdana" w:hAnsi="Verdana" w:cs="Arial"/>
                <w:b/>
                <w:bCs/>
                <w:lang w:val="es-MX" w:eastAsia="es-ES" w:bidi="es-ES"/>
              </w:rPr>
              <w:t>Concepto C- 1</w:t>
            </w:r>
            <w:r w:rsidR="00955976">
              <w:rPr>
                <w:rFonts w:ascii="Verdana" w:hAnsi="Verdana" w:cs="Arial"/>
                <w:b/>
                <w:bCs/>
                <w:lang w:val="es-MX" w:eastAsia="es-ES" w:bidi="es-ES"/>
              </w:rPr>
              <w:t>237</w:t>
            </w:r>
            <w:r w:rsidRPr="005E5B81">
              <w:rPr>
                <w:rFonts w:ascii="Verdana" w:hAnsi="Verdana" w:cs="Arial"/>
                <w:b/>
                <w:bCs/>
                <w:lang w:val="es-MX" w:eastAsia="es-ES" w:bidi="es-ES"/>
              </w:rPr>
              <w:t xml:space="preserve"> de 2025</w:t>
            </w:r>
          </w:p>
        </w:tc>
      </w:tr>
      <w:tr w:rsidR="003937AF" w:rsidRPr="005E5B81" w14:paraId="56DD5ADD" w14:textId="77777777" w:rsidTr="00181518">
        <w:trPr>
          <w:trHeight w:val="884"/>
        </w:trPr>
        <w:tc>
          <w:tcPr>
            <w:tcW w:w="2689" w:type="dxa"/>
          </w:tcPr>
          <w:p w14:paraId="599BC770" w14:textId="77777777" w:rsidR="003937AF" w:rsidRPr="005E5B81" w:rsidRDefault="003937AF" w:rsidP="00181518">
            <w:pPr>
              <w:spacing w:line="276" w:lineRule="auto"/>
              <w:jc w:val="both"/>
              <w:rPr>
                <w:rFonts w:ascii="Verdana" w:hAnsi="Verdana" w:cs="Arial"/>
                <w:b/>
                <w:bCs/>
                <w:lang w:val="es-MX" w:eastAsia="es-ES" w:bidi="es-ES"/>
              </w:rPr>
            </w:pPr>
            <w:r w:rsidRPr="005E5B81">
              <w:rPr>
                <w:rFonts w:ascii="Verdana" w:hAnsi="Verdana" w:cs="Arial"/>
                <w:b/>
                <w:bCs/>
                <w:lang w:val="es-MX" w:eastAsia="es-ES" w:bidi="es-ES"/>
              </w:rPr>
              <w:t xml:space="preserve">Temas:                   </w:t>
            </w:r>
          </w:p>
        </w:tc>
        <w:tc>
          <w:tcPr>
            <w:tcW w:w="6242" w:type="dxa"/>
          </w:tcPr>
          <w:p w14:paraId="34A91D7F" w14:textId="47BB67EF" w:rsidR="003937AF" w:rsidRPr="001D1EE1" w:rsidRDefault="001D1EE1" w:rsidP="00181518">
            <w:pPr>
              <w:spacing w:line="276" w:lineRule="auto"/>
              <w:jc w:val="both"/>
              <w:rPr>
                <w:rFonts w:ascii="Verdana" w:hAnsi="Verdana" w:cs="Arial"/>
                <w:bCs/>
                <w:lang w:val="es-ES_tradnl" w:eastAsia="es-ES" w:bidi="es-ES"/>
              </w:rPr>
            </w:pPr>
            <w:r w:rsidRPr="00FF383E">
              <w:rPr>
                <w:rFonts w:ascii="Verdana" w:eastAsia="Arial MT" w:hAnsi="Verdana" w:cs="Arial MT"/>
                <w:bCs/>
                <w:lang w:val="es-ES_tradnl"/>
              </w:rPr>
              <w:t xml:space="preserve">PRECIOS ARTIFICIALMENTE BAJOS – Noción – Deber de las entidades estatales </w:t>
            </w:r>
            <w:r w:rsidR="003937AF" w:rsidRPr="00FF383E">
              <w:rPr>
                <w:rFonts w:ascii="Verdana" w:eastAsia="Arial MT" w:hAnsi="Verdana" w:cs="Arial MT"/>
                <w:bCs/>
                <w:lang w:val="es-ES_tradnl"/>
              </w:rPr>
              <w:t xml:space="preserve">/ EVALUACIÓN DE LAS OFERTAS – Finalidad – Oportunidad / GUÍA DE OFERTAS ARTIFICIALMENTE BAJAS – Manejo / </w:t>
            </w:r>
            <w:r w:rsidRPr="00FF383E">
              <w:rPr>
                <w:rFonts w:ascii="Verdana" w:eastAsia="Arial MT" w:hAnsi="Verdana" w:cs="Arial MT"/>
                <w:bCs/>
                <w:lang w:val="es-ES_tradnl"/>
              </w:rPr>
              <w:t>PRECIOS ARTIFICIALMENTE BAJOS – Guía – Procesos de subasta – Subasta inversa</w:t>
            </w:r>
          </w:p>
        </w:tc>
      </w:tr>
      <w:tr w:rsidR="003937AF" w:rsidRPr="005E5B81" w14:paraId="230A46E4" w14:textId="77777777" w:rsidTr="00181518">
        <w:tc>
          <w:tcPr>
            <w:tcW w:w="2689" w:type="dxa"/>
          </w:tcPr>
          <w:p w14:paraId="04F3C64D" w14:textId="77777777" w:rsidR="003937AF" w:rsidRPr="005E5B81" w:rsidRDefault="003937AF" w:rsidP="00181518">
            <w:pPr>
              <w:jc w:val="both"/>
              <w:rPr>
                <w:rFonts w:ascii="Verdana" w:hAnsi="Verdana" w:cs="Arial"/>
                <w:b/>
                <w:bCs/>
                <w:lang w:val="es-MX" w:eastAsia="es-ES" w:bidi="es-ES"/>
              </w:rPr>
            </w:pPr>
            <w:r w:rsidRPr="005E5B81">
              <w:rPr>
                <w:rFonts w:ascii="Verdana" w:hAnsi="Verdana" w:cs="Arial"/>
                <w:b/>
                <w:bCs/>
                <w:lang w:val="es-MX" w:eastAsia="es-ES" w:bidi="es-ES"/>
              </w:rPr>
              <w:t xml:space="preserve">Radicación:               </w:t>
            </w:r>
          </w:p>
        </w:tc>
        <w:tc>
          <w:tcPr>
            <w:tcW w:w="6242" w:type="dxa"/>
          </w:tcPr>
          <w:p w14:paraId="170B2EAC" w14:textId="124D194E" w:rsidR="003937AF" w:rsidRPr="005E5B81" w:rsidRDefault="003937AF" w:rsidP="00181518">
            <w:pPr>
              <w:jc w:val="both"/>
              <w:rPr>
                <w:rFonts w:ascii="Verdana" w:hAnsi="Verdana" w:cs="Arial"/>
                <w:bCs/>
                <w:lang w:val="es-MX" w:eastAsia="es-ES" w:bidi="es-ES"/>
              </w:rPr>
            </w:pPr>
            <w:r w:rsidRPr="005E5B81">
              <w:rPr>
                <w:rFonts w:ascii="Verdana" w:hAnsi="Verdana" w:cs="Arial"/>
                <w:bCs/>
                <w:lang w:val="es-MX" w:eastAsia="es-ES" w:bidi="es-ES"/>
              </w:rPr>
              <w:t xml:space="preserve">Respuesta a consulta con radicado No. </w:t>
            </w:r>
            <w:r w:rsidR="00955976" w:rsidRPr="00955976">
              <w:rPr>
                <w:rFonts w:ascii="Verdana" w:hAnsi="Verdana" w:cs="Arial"/>
                <w:bCs/>
                <w:lang w:eastAsia="es-ES" w:bidi="es-ES"/>
              </w:rPr>
              <w:t>1_2025_09_01_009360</w:t>
            </w:r>
          </w:p>
        </w:tc>
      </w:tr>
    </w:tbl>
    <w:p w14:paraId="5C4E5A77" w14:textId="77777777" w:rsidR="003937AF" w:rsidRPr="005E5B81" w:rsidRDefault="003937AF" w:rsidP="003937AF">
      <w:pPr>
        <w:spacing w:after="0" w:line="240" w:lineRule="auto"/>
        <w:jc w:val="both"/>
        <w:rPr>
          <w:rFonts w:ascii="Verdana" w:hAnsi="Verdana" w:cs="Arial"/>
          <w:bCs/>
          <w:lang w:val="es-ES_tradnl" w:eastAsia="es-ES" w:bidi="es-ES"/>
        </w:rPr>
      </w:pPr>
    </w:p>
    <w:p w14:paraId="44F16591" w14:textId="77777777" w:rsidR="003937AF" w:rsidRPr="0094448B" w:rsidRDefault="003937AF" w:rsidP="003937AF">
      <w:pPr>
        <w:spacing w:after="0" w:line="240" w:lineRule="auto"/>
        <w:jc w:val="both"/>
        <w:rPr>
          <w:rFonts w:ascii="Verdana" w:hAnsi="Verdana" w:cs="Arial"/>
          <w:bCs/>
          <w:lang w:val="es-ES_tradnl" w:eastAsia="es-ES" w:bidi="es-ES"/>
        </w:rPr>
      </w:pPr>
    </w:p>
    <w:p w14:paraId="7BD23973" w14:textId="616C0003" w:rsidR="003937AF" w:rsidRPr="0094448B" w:rsidRDefault="003937AF" w:rsidP="003937AF">
      <w:pPr>
        <w:spacing w:after="0" w:line="240" w:lineRule="auto"/>
        <w:jc w:val="both"/>
        <w:rPr>
          <w:rFonts w:ascii="Verdana" w:hAnsi="Verdana" w:cs="Arial"/>
          <w:bCs/>
          <w:lang w:val="es-MX" w:eastAsia="es-ES" w:bidi="es-ES"/>
        </w:rPr>
      </w:pPr>
      <w:r>
        <w:rPr>
          <w:rFonts w:ascii="Verdana" w:hAnsi="Verdana" w:cs="Arial"/>
          <w:bCs/>
          <w:lang w:val="es-MX" w:eastAsia="es-ES" w:bidi="es-ES"/>
        </w:rPr>
        <w:t>Estimad</w:t>
      </w:r>
      <w:r w:rsidR="00955976">
        <w:rPr>
          <w:rFonts w:ascii="Verdana" w:hAnsi="Verdana" w:cs="Arial"/>
          <w:bCs/>
          <w:lang w:val="es-MX" w:eastAsia="es-ES" w:bidi="es-ES"/>
        </w:rPr>
        <w:t>o</w:t>
      </w:r>
      <w:r>
        <w:rPr>
          <w:rFonts w:ascii="Verdana" w:hAnsi="Verdana" w:cs="Arial"/>
          <w:bCs/>
          <w:lang w:val="es-MX" w:eastAsia="es-ES" w:bidi="es-ES"/>
        </w:rPr>
        <w:t xml:space="preserve"> </w:t>
      </w:r>
      <w:r w:rsidR="00955976">
        <w:rPr>
          <w:rFonts w:ascii="Verdana" w:hAnsi="Verdana" w:cs="Arial"/>
          <w:bCs/>
          <w:lang w:val="es-MX" w:eastAsia="es-ES" w:bidi="es-ES"/>
        </w:rPr>
        <w:t>s</w:t>
      </w:r>
      <w:r>
        <w:rPr>
          <w:rFonts w:ascii="Verdana" w:hAnsi="Verdana" w:cs="Arial"/>
          <w:bCs/>
          <w:lang w:val="es-MX" w:eastAsia="es-ES" w:bidi="es-ES"/>
        </w:rPr>
        <w:t>eñor</w:t>
      </w:r>
      <w:r w:rsidR="00955976">
        <w:rPr>
          <w:rFonts w:ascii="Verdana" w:hAnsi="Verdana" w:cs="Arial"/>
          <w:bCs/>
          <w:lang w:val="es-MX" w:eastAsia="es-ES" w:bidi="es-ES"/>
        </w:rPr>
        <w:t xml:space="preserve"> Soto</w:t>
      </w:r>
      <w:r w:rsidRPr="0094448B">
        <w:rPr>
          <w:rFonts w:ascii="Verdana" w:hAnsi="Verdana" w:cs="Arial"/>
          <w:bCs/>
          <w:lang w:val="es-MX" w:eastAsia="es-ES" w:bidi="es-ES"/>
        </w:rPr>
        <w:t xml:space="preserve">: </w:t>
      </w:r>
    </w:p>
    <w:p w14:paraId="4AF2DF72" w14:textId="77777777" w:rsidR="003937AF" w:rsidRPr="0094448B" w:rsidRDefault="003937AF" w:rsidP="003937AF">
      <w:pPr>
        <w:spacing w:after="0" w:line="240" w:lineRule="auto"/>
        <w:jc w:val="both"/>
        <w:rPr>
          <w:rFonts w:ascii="Verdana" w:hAnsi="Verdana" w:cs="Arial"/>
          <w:bCs/>
          <w:lang w:val="es-ES" w:eastAsia="es-ES" w:bidi="es-ES"/>
        </w:rPr>
      </w:pPr>
      <w:r w:rsidRPr="0094448B">
        <w:rPr>
          <w:rFonts w:ascii="Verdana" w:hAnsi="Verdana" w:cs="Arial"/>
          <w:bCs/>
          <w:lang w:val="es-ES" w:eastAsia="es-ES" w:bidi="es-ES"/>
        </w:rPr>
        <w:tab/>
      </w:r>
    </w:p>
    <w:p w14:paraId="6272FD31" w14:textId="726FFE16" w:rsidR="003937AF" w:rsidRPr="0094448B" w:rsidRDefault="003937AF" w:rsidP="003937AF">
      <w:pPr>
        <w:spacing w:after="0" w:line="276" w:lineRule="auto"/>
        <w:jc w:val="both"/>
        <w:rPr>
          <w:rFonts w:ascii="Verdana" w:hAnsi="Verdana" w:cs="Arial"/>
          <w:bCs/>
          <w:lang w:val="es-ES" w:eastAsia="es-ES" w:bidi="es-ES"/>
        </w:rPr>
      </w:pPr>
      <w:r w:rsidRPr="0094448B">
        <w:rPr>
          <w:rFonts w:ascii="Verdana" w:hAnsi="Verdana" w:cs="Arial"/>
          <w:bCs/>
          <w:lang w:val="es-ES" w:eastAsia="es-ES" w:bidi="es-ES"/>
        </w:rPr>
        <w:t xml:space="preserve">En ejercicio de la competencia otorgada por los artículos 3, numeral 5º, y 11, numeral 8º, del Decreto Ley 4170 de 2011, </w:t>
      </w:r>
      <w:r w:rsidRPr="0094448B">
        <w:rPr>
          <w:rFonts w:ascii="Verdana" w:hAnsi="Verdana" w:cs="Arial"/>
          <w:bCs/>
          <w:lang w:eastAsia="es-ES" w:bidi="es-ES"/>
        </w:rPr>
        <w:t xml:space="preserve">así como lo establecido por la Resolución 469 de 2025 expedida por esta Entidad, </w:t>
      </w:r>
      <w:r w:rsidRPr="0094448B">
        <w:rPr>
          <w:rFonts w:ascii="Verdana" w:hAnsi="Verdana" w:cs="Arial"/>
          <w:bCs/>
          <w:lang w:val="es-ES" w:eastAsia="es-ES" w:bidi="es-ES"/>
        </w:rPr>
        <w:t>la Agencia Nacional de Contratación Pública – Colombia Compra Eficiente– responde su solicitud de consulta del</w:t>
      </w:r>
      <w:r>
        <w:rPr>
          <w:rFonts w:ascii="Verdana" w:hAnsi="Verdana" w:cs="Arial"/>
          <w:bCs/>
          <w:lang w:val="es-ES" w:eastAsia="es-ES" w:bidi="es-ES"/>
        </w:rPr>
        <w:t xml:space="preserve"> 1 de </w:t>
      </w:r>
      <w:r w:rsidR="00AD48A0">
        <w:rPr>
          <w:rFonts w:ascii="Verdana" w:hAnsi="Verdana" w:cs="Arial"/>
          <w:bCs/>
          <w:lang w:val="es-ES" w:eastAsia="es-ES" w:bidi="es-ES"/>
        </w:rPr>
        <w:t>septiembre de 2025</w:t>
      </w:r>
      <w:r w:rsidRPr="0094448B">
        <w:rPr>
          <w:rFonts w:ascii="Verdana" w:hAnsi="Verdana" w:cs="Arial"/>
          <w:bCs/>
          <w:lang w:val="es-ES" w:eastAsia="es-ES" w:bidi="es-ES"/>
        </w:rPr>
        <w:t xml:space="preserve">, en la cual manifiesta: </w:t>
      </w:r>
    </w:p>
    <w:p w14:paraId="70682667" w14:textId="77777777" w:rsidR="003937AF" w:rsidRDefault="003937AF" w:rsidP="003937AF">
      <w:pPr>
        <w:spacing w:after="0" w:line="240" w:lineRule="auto"/>
        <w:jc w:val="both"/>
        <w:rPr>
          <w:rFonts w:ascii="Verdana" w:hAnsi="Verdana" w:cs="Arial"/>
          <w:b/>
          <w:bCs/>
          <w:lang w:val="es-ES" w:eastAsia="es-ES" w:bidi="es-ES"/>
        </w:rPr>
      </w:pPr>
    </w:p>
    <w:p w14:paraId="1CEC7E10" w14:textId="18D831FD" w:rsidR="00860D5A" w:rsidRPr="00860D5A" w:rsidRDefault="003937AF" w:rsidP="00860D5A">
      <w:pPr>
        <w:spacing w:after="0" w:line="240" w:lineRule="auto"/>
        <w:ind w:left="709" w:right="709"/>
        <w:jc w:val="both"/>
        <w:rPr>
          <w:rFonts w:ascii="Verdana" w:hAnsi="Verdana" w:cs="Arial"/>
          <w:bCs/>
          <w:sz w:val="20"/>
          <w:szCs w:val="20"/>
          <w:lang w:eastAsia="es-ES" w:bidi="es-ES"/>
        </w:rPr>
      </w:pPr>
      <w:r>
        <w:rPr>
          <w:rFonts w:ascii="Verdana" w:hAnsi="Verdana" w:cs="Arial"/>
          <w:bCs/>
          <w:sz w:val="20"/>
          <w:szCs w:val="20"/>
          <w:lang w:eastAsia="es-ES" w:bidi="es-ES"/>
        </w:rPr>
        <w:t>“</w:t>
      </w:r>
      <w:r w:rsidR="00860D5A" w:rsidRPr="00860D5A">
        <w:rPr>
          <w:rFonts w:ascii="Verdana" w:hAnsi="Verdana" w:cs="Arial"/>
          <w:bCs/>
          <w:sz w:val="20"/>
          <w:szCs w:val="20"/>
          <w:lang w:eastAsia="es-ES" w:bidi="es-ES"/>
        </w:rPr>
        <w:t>Cordialmente me dirijo a ustedes a fin de que se amplié y conceptúe sobre el</w:t>
      </w:r>
      <w:r w:rsidR="00860D5A">
        <w:rPr>
          <w:rFonts w:ascii="Verdana" w:hAnsi="Verdana" w:cs="Arial"/>
          <w:bCs/>
          <w:sz w:val="20"/>
          <w:szCs w:val="20"/>
          <w:lang w:eastAsia="es-ES" w:bidi="es-ES"/>
        </w:rPr>
        <w:t xml:space="preserve"> </w:t>
      </w:r>
      <w:r w:rsidR="00860D5A" w:rsidRPr="00860D5A">
        <w:rPr>
          <w:rFonts w:ascii="Verdana" w:hAnsi="Verdana" w:cs="Arial"/>
          <w:bCs/>
          <w:sz w:val="20"/>
          <w:szCs w:val="20"/>
          <w:lang w:eastAsia="es-ES" w:bidi="es-ES"/>
        </w:rPr>
        <w:t>procedimiento para la verificación de artificialidad de precios en los procesos de</w:t>
      </w:r>
      <w:r w:rsidR="00860D5A">
        <w:rPr>
          <w:rFonts w:ascii="Verdana" w:hAnsi="Verdana" w:cs="Arial"/>
          <w:bCs/>
          <w:sz w:val="20"/>
          <w:szCs w:val="20"/>
          <w:lang w:eastAsia="es-ES" w:bidi="es-ES"/>
        </w:rPr>
        <w:t xml:space="preserve"> </w:t>
      </w:r>
      <w:r w:rsidR="00860D5A" w:rsidRPr="00860D5A">
        <w:rPr>
          <w:rFonts w:ascii="Verdana" w:hAnsi="Verdana" w:cs="Arial"/>
          <w:bCs/>
          <w:sz w:val="20"/>
          <w:szCs w:val="20"/>
          <w:lang w:eastAsia="es-ES" w:bidi="es-ES"/>
        </w:rPr>
        <w:t>subasta inversa; específicamente en el momento de verificación del sobre</w:t>
      </w:r>
      <w:r w:rsidR="00860D5A">
        <w:rPr>
          <w:rFonts w:ascii="Verdana" w:hAnsi="Verdana" w:cs="Arial"/>
          <w:bCs/>
          <w:sz w:val="20"/>
          <w:szCs w:val="20"/>
          <w:lang w:eastAsia="es-ES" w:bidi="es-ES"/>
        </w:rPr>
        <w:t xml:space="preserve"> </w:t>
      </w:r>
      <w:r w:rsidR="00860D5A" w:rsidRPr="00860D5A">
        <w:rPr>
          <w:rFonts w:ascii="Verdana" w:hAnsi="Verdana" w:cs="Arial"/>
          <w:bCs/>
          <w:sz w:val="20"/>
          <w:szCs w:val="20"/>
          <w:lang w:eastAsia="es-ES" w:bidi="es-ES"/>
        </w:rPr>
        <w:t xml:space="preserve">económico así: </w:t>
      </w:r>
    </w:p>
    <w:p w14:paraId="19B648B2" w14:textId="18D44C35" w:rsidR="003937AF" w:rsidRPr="00A8203D" w:rsidRDefault="00860D5A" w:rsidP="00860D5A">
      <w:pPr>
        <w:spacing w:after="0" w:line="240" w:lineRule="auto"/>
        <w:ind w:left="709" w:right="709"/>
        <w:jc w:val="both"/>
        <w:rPr>
          <w:rFonts w:ascii="Verdana" w:hAnsi="Verdana" w:cs="Arial"/>
          <w:bCs/>
          <w:sz w:val="20"/>
          <w:szCs w:val="20"/>
          <w:lang w:eastAsia="es-ES" w:bidi="es-ES"/>
        </w:rPr>
      </w:pPr>
      <w:proofErr w:type="gramStart"/>
      <w:r w:rsidRPr="00860D5A">
        <w:rPr>
          <w:rFonts w:ascii="Verdana" w:hAnsi="Verdana" w:cs="Arial"/>
          <w:bCs/>
          <w:sz w:val="20"/>
          <w:szCs w:val="20"/>
          <w:lang w:eastAsia="es-ES" w:bidi="es-ES"/>
        </w:rPr>
        <w:t>¿Es propio de la entidad compradora requerir a un oferente en los términos del</w:t>
      </w:r>
      <w:r>
        <w:rPr>
          <w:rFonts w:ascii="Verdana" w:hAnsi="Verdana" w:cs="Arial"/>
          <w:bCs/>
          <w:sz w:val="20"/>
          <w:szCs w:val="20"/>
          <w:lang w:eastAsia="es-ES" w:bidi="es-ES"/>
        </w:rPr>
        <w:t xml:space="preserve"> </w:t>
      </w:r>
      <w:r w:rsidRPr="00860D5A">
        <w:rPr>
          <w:rFonts w:ascii="Verdana" w:hAnsi="Verdana" w:cs="Arial"/>
          <w:bCs/>
          <w:sz w:val="20"/>
          <w:szCs w:val="20"/>
          <w:lang w:eastAsia="es-ES" w:bidi="es-ES"/>
        </w:rPr>
        <w:t>ARTÍCULO 2.</w:t>
      </w:r>
      <w:proofErr w:type="gramEnd"/>
      <w:r w:rsidRPr="00860D5A">
        <w:rPr>
          <w:rFonts w:ascii="Verdana" w:hAnsi="Verdana" w:cs="Arial"/>
          <w:bCs/>
          <w:sz w:val="20"/>
          <w:szCs w:val="20"/>
          <w:lang w:eastAsia="es-ES" w:bidi="es-ES"/>
        </w:rPr>
        <w:t>2.1.1.2.2.4. sí detecta que el precio inicial de subasta puede llegar a</w:t>
      </w:r>
      <w:r>
        <w:rPr>
          <w:rFonts w:ascii="Verdana" w:hAnsi="Verdana" w:cs="Arial"/>
          <w:bCs/>
          <w:sz w:val="20"/>
          <w:szCs w:val="20"/>
          <w:lang w:eastAsia="es-ES" w:bidi="es-ES"/>
        </w:rPr>
        <w:t xml:space="preserve"> </w:t>
      </w:r>
      <w:r w:rsidRPr="00860D5A">
        <w:rPr>
          <w:rFonts w:ascii="Verdana" w:hAnsi="Verdana" w:cs="Arial"/>
          <w:bCs/>
          <w:sz w:val="20"/>
          <w:szCs w:val="20"/>
          <w:lang w:eastAsia="es-ES" w:bidi="es-ES"/>
        </w:rPr>
        <w:t>ser artificialmente bajo, o por el contrario la entidad debe habilitar al oferente e iniciar</w:t>
      </w:r>
      <w:r>
        <w:rPr>
          <w:rFonts w:ascii="Verdana" w:hAnsi="Verdana" w:cs="Arial"/>
          <w:bCs/>
          <w:sz w:val="20"/>
          <w:szCs w:val="20"/>
          <w:lang w:eastAsia="es-ES" w:bidi="es-ES"/>
        </w:rPr>
        <w:t xml:space="preserve"> </w:t>
      </w:r>
      <w:r w:rsidRPr="00860D5A">
        <w:rPr>
          <w:rFonts w:ascii="Verdana" w:hAnsi="Verdana" w:cs="Arial"/>
          <w:bCs/>
          <w:sz w:val="20"/>
          <w:szCs w:val="20"/>
          <w:lang w:eastAsia="es-ES" w:bidi="es-ES"/>
        </w:rPr>
        <w:t>el evento y de acuerdo con el mismo artículo solo requerir al final de la misma "En</w:t>
      </w:r>
      <w:r>
        <w:rPr>
          <w:rFonts w:ascii="Verdana" w:hAnsi="Verdana" w:cs="Arial"/>
          <w:bCs/>
          <w:sz w:val="20"/>
          <w:szCs w:val="20"/>
          <w:lang w:eastAsia="es-ES" w:bidi="es-ES"/>
        </w:rPr>
        <w:t xml:space="preserve"> </w:t>
      </w:r>
      <w:r w:rsidRPr="00860D5A">
        <w:rPr>
          <w:rFonts w:ascii="Verdana" w:hAnsi="Verdana" w:cs="Arial"/>
          <w:bCs/>
          <w:sz w:val="20"/>
          <w:szCs w:val="20"/>
          <w:lang w:eastAsia="es-ES" w:bidi="es-ES"/>
        </w:rPr>
        <w:t>la subasta inversa esta disposición es aplicable sobre el precio obtenido al final de</w:t>
      </w:r>
      <w:r>
        <w:rPr>
          <w:rFonts w:ascii="Verdana" w:hAnsi="Verdana" w:cs="Arial"/>
          <w:bCs/>
          <w:sz w:val="20"/>
          <w:szCs w:val="20"/>
          <w:lang w:eastAsia="es-ES" w:bidi="es-ES"/>
        </w:rPr>
        <w:t xml:space="preserve"> </w:t>
      </w:r>
      <w:r w:rsidRPr="00860D5A">
        <w:rPr>
          <w:rFonts w:ascii="Verdana" w:hAnsi="Verdana" w:cs="Arial"/>
          <w:bCs/>
          <w:sz w:val="20"/>
          <w:szCs w:val="20"/>
          <w:lang w:eastAsia="es-ES" w:bidi="es-ES"/>
        </w:rPr>
        <w:t>la misma."?; De ser necesario requerir antes de habilitar al oferente y dar inicio al</w:t>
      </w:r>
      <w:r>
        <w:rPr>
          <w:rFonts w:ascii="Verdana" w:hAnsi="Verdana" w:cs="Arial"/>
          <w:bCs/>
          <w:sz w:val="20"/>
          <w:szCs w:val="20"/>
          <w:lang w:eastAsia="es-ES" w:bidi="es-ES"/>
        </w:rPr>
        <w:t xml:space="preserve"> </w:t>
      </w:r>
      <w:r w:rsidRPr="00860D5A">
        <w:rPr>
          <w:rFonts w:ascii="Verdana" w:hAnsi="Verdana" w:cs="Arial"/>
          <w:bCs/>
          <w:sz w:val="20"/>
          <w:szCs w:val="20"/>
          <w:lang w:eastAsia="es-ES" w:bidi="es-ES"/>
        </w:rPr>
        <w:t xml:space="preserve">evento </w:t>
      </w:r>
      <w:r w:rsidRPr="00860D5A">
        <w:rPr>
          <w:rFonts w:ascii="Verdana" w:hAnsi="Verdana" w:cs="Arial"/>
          <w:bCs/>
          <w:sz w:val="20"/>
          <w:szCs w:val="20"/>
          <w:lang w:eastAsia="es-ES" w:bidi="es-ES"/>
        </w:rPr>
        <w:lastRenderedPageBreak/>
        <w:t>electrónico de subasta ¿Qué termino debería dar la entidad al oferente para</w:t>
      </w:r>
      <w:r>
        <w:rPr>
          <w:rFonts w:ascii="Verdana" w:hAnsi="Verdana" w:cs="Arial"/>
          <w:bCs/>
          <w:sz w:val="20"/>
          <w:szCs w:val="20"/>
          <w:lang w:eastAsia="es-ES" w:bidi="es-ES"/>
        </w:rPr>
        <w:t xml:space="preserve"> </w:t>
      </w:r>
      <w:r w:rsidRPr="00860D5A">
        <w:rPr>
          <w:rFonts w:ascii="Verdana" w:hAnsi="Verdana" w:cs="Arial"/>
          <w:bCs/>
          <w:sz w:val="20"/>
          <w:szCs w:val="20"/>
          <w:lang w:eastAsia="es-ES" w:bidi="es-ES"/>
        </w:rPr>
        <w:t>que pueda allegar sus justificaciones</w:t>
      </w:r>
      <w:r w:rsidR="003937AF" w:rsidRPr="00A8203D">
        <w:rPr>
          <w:rFonts w:ascii="Verdana" w:hAnsi="Verdana" w:cs="Arial"/>
          <w:bCs/>
          <w:sz w:val="20"/>
          <w:szCs w:val="20"/>
          <w:lang w:eastAsia="es-ES" w:bidi="es-ES"/>
        </w:rPr>
        <w:t>?</w:t>
      </w:r>
      <w:r w:rsidR="003937AF">
        <w:rPr>
          <w:rFonts w:ascii="Verdana" w:hAnsi="Verdana" w:cs="Arial"/>
          <w:bCs/>
          <w:sz w:val="20"/>
          <w:szCs w:val="20"/>
          <w:lang w:eastAsia="es-ES" w:bidi="es-ES"/>
        </w:rPr>
        <w:t>”</w:t>
      </w:r>
    </w:p>
    <w:p w14:paraId="010F93FC" w14:textId="77777777" w:rsidR="003937AF" w:rsidRPr="0094448B" w:rsidRDefault="003937AF" w:rsidP="003937AF">
      <w:pPr>
        <w:spacing w:after="0" w:line="240" w:lineRule="auto"/>
        <w:jc w:val="both"/>
        <w:rPr>
          <w:rFonts w:ascii="Verdana" w:hAnsi="Verdana" w:cs="Arial"/>
          <w:b/>
          <w:bCs/>
          <w:lang w:val="es-ES" w:eastAsia="es-ES" w:bidi="es-ES"/>
        </w:rPr>
      </w:pPr>
    </w:p>
    <w:p w14:paraId="4DACCA51" w14:textId="77777777" w:rsidR="003937AF" w:rsidRPr="0094448B" w:rsidRDefault="003937AF" w:rsidP="003937AF">
      <w:pPr>
        <w:spacing w:after="120" w:line="276" w:lineRule="auto"/>
        <w:ind w:firstLine="709"/>
        <w:jc w:val="both"/>
        <w:rPr>
          <w:rFonts w:ascii="Verdana" w:eastAsia="Calibri" w:hAnsi="Verdana" w:cs="Times New Roman"/>
          <w:lang w:val="es-ES"/>
        </w:rPr>
      </w:pPr>
      <w:r w:rsidRPr="0094448B">
        <w:rPr>
          <w:rFonts w:ascii="Verdana" w:eastAsia="Calibri" w:hAnsi="Verdana" w:cs="Times New Roman"/>
          <w:lang w:val="es-ES"/>
        </w:rPr>
        <w:t>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ni a determinar grados de responsabilidad por las actuaciones de los diferentes participes del sistema de compra pública.</w:t>
      </w:r>
    </w:p>
    <w:p w14:paraId="78DA5FDD" w14:textId="3D46D658" w:rsidR="003937AF" w:rsidRPr="0094448B" w:rsidRDefault="003937AF" w:rsidP="003937AF">
      <w:pPr>
        <w:spacing w:after="0" w:line="276" w:lineRule="auto"/>
        <w:ind w:firstLine="708"/>
        <w:jc w:val="both"/>
        <w:rPr>
          <w:rFonts w:ascii="Verdana" w:eastAsia="Calibri" w:hAnsi="Verdana" w:cs="Times New Roman"/>
          <w:lang w:val="es-ES"/>
        </w:rPr>
      </w:pPr>
      <w:r w:rsidRPr="0094448B">
        <w:rPr>
          <w:rFonts w:ascii="Verdana" w:eastAsia="Calibri" w:hAnsi="Verdana" w:cs="Times New Roman"/>
          <w:lang w:val="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w:t>
      </w:r>
      <w:r w:rsidR="007D3E6A">
        <w:rPr>
          <w:rFonts w:ascii="Verdana" w:eastAsia="Calibri" w:hAnsi="Verdana" w:cs="Times New Roman"/>
          <w:lang w:val="es-ES"/>
        </w:rPr>
        <w:t>el</w:t>
      </w:r>
      <w:r w:rsidRPr="0094448B">
        <w:rPr>
          <w:rFonts w:ascii="Verdana" w:eastAsia="Calibri" w:hAnsi="Verdana" w:cs="Times New Roman"/>
          <w:lang w:val="es-ES"/>
        </w:rPr>
        <w:t xml:space="preserve"> problema jurídico</w:t>
      </w:r>
      <w:r w:rsidR="007D3E6A">
        <w:rPr>
          <w:rFonts w:ascii="Verdana" w:eastAsia="Calibri" w:hAnsi="Verdana" w:cs="Times New Roman"/>
          <w:lang w:val="es-ES"/>
        </w:rPr>
        <w:t xml:space="preserve"> </w:t>
      </w:r>
      <w:r w:rsidRPr="0094448B">
        <w:rPr>
          <w:rFonts w:ascii="Verdana" w:eastAsia="Calibri" w:hAnsi="Verdana" w:cs="Times New Roman"/>
          <w:lang w:val="es-ES"/>
        </w:rPr>
        <w:t>de su consulta.</w:t>
      </w:r>
    </w:p>
    <w:p w14:paraId="6C9C8FCD" w14:textId="77777777" w:rsidR="003937AF" w:rsidRPr="0094448B" w:rsidRDefault="003937AF" w:rsidP="003937AF">
      <w:pPr>
        <w:spacing w:after="0" w:line="256" w:lineRule="auto"/>
        <w:rPr>
          <w:rFonts w:ascii="Verdana" w:eastAsia="Calibri" w:hAnsi="Verdana" w:cs="Times New Roman"/>
          <w:lang w:val="es-ES"/>
        </w:rPr>
      </w:pPr>
    </w:p>
    <w:p w14:paraId="4D45A8AD" w14:textId="77777777" w:rsidR="003937AF" w:rsidRPr="0094448B" w:rsidRDefault="003937AF" w:rsidP="003937AF">
      <w:pPr>
        <w:numPr>
          <w:ilvl w:val="0"/>
          <w:numId w:val="19"/>
        </w:numPr>
        <w:spacing w:after="0" w:line="256" w:lineRule="auto"/>
        <w:contextualSpacing/>
        <w:rPr>
          <w:rFonts w:ascii="Verdana" w:eastAsia="Calibri" w:hAnsi="Verdana" w:cs="Times New Roman"/>
          <w:b/>
          <w:bCs/>
          <w:lang w:val="es-ES"/>
        </w:rPr>
      </w:pPr>
      <w:r w:rsidRPr="0094448B">
        <w:rPr>
          <w:rFonts w:ascii="Verdana" w:eastAsia="Calibri" w:hAnsi="Verdana" w:cs="Times New Roman"/>
          <w:b/>
          <w:bCs/>
          <w:lang w:val="es-ES"/>
        </w:rPr>
        <w:t>Problema planteado:</w:t>
      </w:r>
    </w:p>
    <w:p w14:paraId="0464E2C5" w14:textId="77777777" w:rsidR="003937AF" w:rsidRPr="0094448B" w:rsidRDefault="003937AF" w:rsidP="003937AF">
      <w:pPr>
        <w:spacing w:after="0" w:line="256" w:lineRule="auto"/>
        <w:rPr>
          <w:rFonts w:ascii="Verdana" w:eastAsia="Calibri" w:hAnsi="Verdana" w:cs="Times New Roman"/>
        </w:rPr>
      </w:pPr>
    </w:p>
    <w:p w14:paraId="2D5C64F4" w14:textId="42005169" w:rsidR="003937AF" w:rsidRPr="00DA1125" w:rsidRDefault="003937AF" w:rsidP="003937AF">
      <w:pPr>
        <w:spacing w:after="0" w:line="276" w:lineRule="auto"/>
        <w:jc w:val="both"/>
        <w:rPr>
          <w:rFonts w:ascii="Verdana" w:eastAsia="Calibri" w:hAnsi="Verdana" w:cs="Times New Roman"/>
        </w:rPr>
      </w:pPr>
      <w:r w:rsidRPr="0094448B">
        <w:rPr>
          <w:rFonts w:ascii="Verdana" w:eastAsia="Calibri" w:hAnsi="Verdana" w:cs="Times New Roman"/>
        </w:rPr>
        <w:t xml:space="preserve">De acuerdo con el contenido de su solicitud, esta Agencia procede a </w:t>
      </w:r>
      <w:r w:rsidR="0036202D">
        <w:rPr>
          <w:rFonts w:ascii="Verdana" w:eastAsia="Calibri" w:hAnsi="Verdana" w:cs="Times New Roman"/>
        </w:rPr>
        <w:t>responder</w:t>
      </w:r>
      <w:r>
        <w:rPr>
          <w:rFonts w:ascii="Verdana" w:eastAsia="Calibri" w:hAnsi="Verdana" w:cs="Times New Roman"/>
        </w:rPr>
        <w:t xml:space="preserve"> el siguiente problema jurídico: </w:t>
      </w:r>
      <w:r w:rsidR="005764A7">
        <w:rPr>
          <w:rFonts w:ascii="Verdana" w:eastAsia="Calibri" w:hAnsi="Verdana" w:cs="Times New Roman"/>
        </w:rPr>
        <w:t xml:space="preserve">En la subasta </w:t>
      </w:r>
      <w:r w:rsidR="002350D5">
        <w:rPr>
          <w:rFonts w:ascii="Verdana" w:eastAsia="Calibri" w:hAnsi="Verdana" w:cs="Times New Roman"/>
        </w:rPr>
        <w:t>inversa ¿</w:t>
      </w:r>
      <w:r w:rsidR="005764A7">
        <w:rPr>
          <w:rFonts w:ascii="Verdana" w:eastAsia="Calibri" w:hAnsi="Verdana" w:cs="Times New Roman"/>
        </w:rPr>
        <w:t>En qué momento se debe requerir al proponente cuya oferta parece artificialmente baja y qué termino se da para allegar las justificaciones</w:t>
      </w:r>
      <w:r>
        <w:rPr>
          <w:rFonts w:ascii="Verdana" w:eastAsia="Calibri" w:hAnsi="Verdana" w:cs="Times New Roman"/>
        </w:rPr>
        <w:t>?</w:t>
      </w:r>
    </w:p>
    <w:p w14:paraId="4C999FC2" w14:textId="77777777" w:rsidR="003937AF" w:rsidRPr="0094448B" w:rsidRDefault="003937AF" w:rsidP="003937AF">
      <w:pPr>
        <w:spacing w:after="0" w:line="276" w:lineRule="auto"/>
        <w:jc w:val="both"/>
        <w:rPr>
          <w:rFonts w:ascii="Verdana" w:eastAsia="Calibri" w:hAnsi="Verdana" w:cs="Times New Roman"/>
          <w:bCs/>
        </w:rPr>
      </w:pPr>
    </w:p>
    <w:p w14:paraId="3C92BB61" w14:textId="77777777" w:rsidR="003937AF" w:rsidRPr="0094448B" w:rsidRDefault="003937AF" w:rsidP="003937AF">
      <w:pPr>
        <w:numPr>
          <w:ilvl w:val="0"/>
          <w:numId w:val="19"/>
        </w:numPr>
        <w:spacing w:after="0" w:line="256" w:lineRule="auto"/>
        <w:contextualSpacing/>
        <w:rPr>
          <w:rFonts w:ascii="Verdana" w:eastAsia="Calibri" w:hAnsi="Verdana" w:cs="Times New Roman"/>
          <w:b/>
          <w:bCs/>
          <w:lang w:val="es-ES"/>
        </w:rPr>
      </w:pPr>
      <w:r w:rsidRPr="0094448B">
        <w:rPr>
          <w:rFonts w:ascii="Verdana" w:eastAsia="Calibri" w:hAnsi="Verdana" w:cs="Times New Roman"/>
          <w:b/>
          <w:bCs/>
          <w:lang w:val="es-ES"/>
        </w:rPr>
        <w:t>Respuesta:</w:t>
      </w:r>
    </w:p>
    <w:p w14:paraId="642B5346" w14:textId="77777777" w:rsidR="003937AF" w:rsidRPr="0094448B" w:rsidRDefault="003937AF" w:rsidP="003937AF">
      <w:pPr>
        <w:spacing w:after="0" w:line="240" w:lineRule="auto"/>
        <w:jc w:val="both"/>
        <w:rPr>
          <w:rFonts w:ascii="Verdana" w:hAnsi="Verdana" w:cs="Arial"/>
          <w:bCs/>
          <w:lang w:val="es-ES" w:eastAsia="es-ES" w:bidi="es-ES"/>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3937AF" w:rsidRPr="0094448B" w14:paraId="6C48B2E0" w14:textId="77777777" w:rsidTr="00181518">
        <w:trPr>
          <w:trHeight w:val="70"/>
          <w:jc w:val="center"/>
        </w:trPr>
        <w:tc>
          <w:tcPr>
            <w:tcW w:w="8647" w:type="dxa"/>
          </w:tcPr>
          <w:p w14:paraId="6D2698DE" w14:textId="3C7C386D" w:rsidR="003937AF" w:rsidRDefault="002350D5" w:rsidP="00181518">
            <w:pPr>
              <w:spacing w:before="120" w:after="120" w:line="276" w:lineRule="auto"/>
              <w:jc w:val="both"/>
              <w:rPr>
                <w:rFonts w:ascii="Verdana" w:hAnsi="Verdana"/>
              </w:rPr>
            </w:pPr>
            <w:r>
              <w:rPr>
                <w:rFonts w:ascii="Verdana" w:hAnsi="Verdana"/>
              </w:rPr>
              <w:t>Como</w:t>
            </w:r>
            <w:r w:rsidR="003937AF" w:rsidRPr="00527F01">
              <w:rPr>
                <w:rFonts w:ascii="Verdana" w:hAnsi="Verdana"/>
              </w:rPr>
              <w:t xml:space="preserve"> se expresa en la </w:t>
            </w:r>
            <w:r w:rsidR="003937AF">
              <w:rPr>
                <w:rFonts w:ascii="Verdana" w:hAnsi="Verdana"/>
              </w:rPr>
              <w:t>“</w:t>
            </w:r>
            <w:r w:rsidR="003937AF" w:rsidRPr="00527F01">
              <w:rPr>
                <w:rFonts w:ascii="Verdana" w:hAnsi="Verdana"/>
              </w:rPr>
              <w:t>Gu</w:t>
            </w:r>
            <w:r w:rsidR="003937AF">
              <w:rPr>
                <w:rFonts w:ascii="Verdana" w:hAnsi="Verdana"/>
              </w:rPr>
              <w:t>ía para el manejo de ofertas artificialmente bajas en procesos de contratación”</w:t>
            </w:r>
            <w:r>
              <w:rPr>
                <w:rFonts w:ascii="Verdana" w:hAnsi="Verdana"/>
              </w:rPr>
              <w:t xml:space="preserve"> de esta Agencia</w:t>
            </w:r>
            <w:r w:rsidR="003937AF" w:rsidRPr="00527F01">
              <w:rPr>
                <w:rFonts w:ascii="Verdana" w:hAnsi="Verdana"/>
              </w:rPr>
              <w:t xml:space="preserve">: </w:t>
            </w:r>
            <w:r w:rsidR="003937AF" w:rsidRPr="00666BAC">
              <w:rPr>
                <w:rFonts w:ascii="Verdana" w:hAnsi="Verdana"/>
                <w:i/>
                <w:iCs/>
              </w:rPr>
              <w:t>“[…]</w:t>
            </w:r>
            <w:r w:rsidRPr="002350D5">
              <w:rPr>
                <w:rFonts w:ascii="Verdana" w:hAnsi="Verdana"/>
                <w:i/>
                <w:iCs/>
              </w:rPr>
              <w:t>En la subasta inversa, lo anterior deberá realizarse al finalizar el evento de subasta, de acuerdo con el precio ofrecido al final de esta</w:t>
            </w:r>
            <w:r w:rsidR="003937AF" w:rsidRPr="00666BAC">
              <w:rPr>
                <w:rFonts w:ascii="Verdana" w:hAnsi="Verdana"/>
                <w:i/>
                <w:iCs/>
              </w:rPr>
              <w:t>”.</w:t>
            </w:r>
          </w:p>
          <w:p w14:paraId="7CC360D3" w14:textId="08BD55C8" w:rsidR="003937AF" w:rsidRDefault="002350D5" w:rsidP="00181518">
            <w:pPr>
              <w:spacing w:before="120" w:after="120" w:line="276" w:lineRule="auto"/>
              <w:ind w:firstLine="708"/>
              <w:jc w:val="both"/>
              <w:rPr>
                <w:rFonts w:ascii="Verdana" w:eastAsia="Calibri" w:hAnsi="Verdana" w:cs="Arial"/>
                <w:color w:val="000000" w:themeColor="text1"/>
                <w:lang w:eastAsia="es-ES_tradnl"/>
              </w:rPr>
            </w:pPr>
            <w:r>
              <w:rPr>
                <w:rFonts w:ascii="Verdana" w:hAnsi="Verdana"/>
              </w:rPr>
              <w:t xml:space="preserve">Respecto del término para allegar las justificaciones, la Guía citada señala que se debe otorgar un término proporcional a la complejidad del </w:t>
            </w:r>
            <w:r>
              <w:rPr>
                <w:rFonts w:ascii="Verdana" w:hAnsi="Verdana"/>
              </w:rPr>
              <w:lastRenderedPageBreak/>
              <w:t>objeto contractual y que en todo caso debe ser un tiempo suficiente para que los proponentes puedan responder el requerimiento sobre su oferta que parece artificialmente baja.</w:t>
            </w:r>
          </w:p>
          <w:p w14:paraId="6E66794F" w14:textId="77777777" w:rsidR="003937AF" w:rsidRPr="0094448B" w:rsidRDefault="003937AF" w:rsidP="00181518">
            <w:pPr>
              <w:spacing w:before="120" w:after="120" w:line="276" w:lineRule="auto"/>
              <w:ind w:firstLine="708"/>
              <w:jc w:val="both"/>
              <w:rPr>
                <w:rFonts w:ascii="Verdana" w:eastAsia="Calibri" w:hAnsi="Verdana" w:cs="Arial"/>
                <w:bCs/>
                <w:color w:val="000000" w:themeColor="text1"/>
              </w:rPr>
            </w:pPr>
            <w:r w:rsidRPr="0094448B">
              <w:rPr>
                <w:rFonts w:ascii="Verdana" w:hAnsi="Verdana" w:cs="Arial"/>
                <w:bCs/>
                <w:lang w:val="es-ES_tradnl" w:eastAsia="es-ES"/>
              </w:rPr>
              <w:t>E</w:t>
            </w:r>
            <w:r>
              <w:rPr>
                <w:rFonts w:ascii="Verdana" w:hAnsi="Verdana" w:cs="Arial"/>
                <w:bCs/>
                <w:lang w:val="es-ES_tradnl" w:eastAsia="es-ES"/>
              </w:rPr>
              <w:t>n todo caso</w:t>
            </w:r>
            <w:r w:rsidRPr="0094448B">
              <w:rPr>
                <w:rFonts w:ascii="Verdana" w:hAnsi="Verdana" w:cs="Arial"/>
                <w:bCs/>
                <w:lang w:val="es-ES_tradnl" w:eastAsia="es-ES"/>
              </w:rPr>
              <w:t xml:space="preserve">, </w:t>
            </w:r>
            <w:r w:rsidRPr="0094448B">
              <w:rPr>
                <w:rFonts w:ascii="Verdana" w:hAnsi="Verdana" w:cs="Arial"/>
                <w:bCs/>
                <w:lang w:eastAsia="es-ES"/>
              </w:rPr>
              <w:t xml:space="preserve">la entidad pública definirá en cada </w:t>
            </w:r>
            <w:r>
              <w:rPr>
                <w:rFonts w:ascii="Verdana" w:hAnsi="Verdana" w:cs="Arial"/>
                <w:bCs/>
                <w:lang w:eastAsia="es-ES"/>
              </w:rPr>
              <w:t xml:space="preserve">supuesto </w:t>
            </w:r>
            <w:r w:rsidRPr="0094448B">
              <w:rPr>
                <w:rFonts w:ascii="Verdana" w:hAnsi="Verdana" w:cs="Arial"/>
                <w:bCs/>
                <w:lang w:eastAsia="es-ES"/>
              </w:rPr>
              <w:t>lo relacionado con el tema objeto de consulta y teniendo en cuenta lo dispuesto en las normas previamente citadas. Al tratarse de un análisis que debe realizarse en el procedimiento contractual específico, la Agencia no puede definir un criterio universal y absoluto por vía consultiva, sino que brinda elementos de carácter general para que los partícipes del sistema de contratación pública adopten la decisión que corresponda, que sea acorde con el principio de juridicidad, sin que sea atribución de esta Agencia validar su gestión contractual.</w:t>
            </w:r>
          </w:p>
        </w:tc>
      </w:tr>
    </w:tbl>
    <w:p w14:paraId="3C0319DC" w14:textId="77777777" w:rsidR="003937AF" w:rsidRDefault="003937AF" w:rsidP="003937AF">
      <w:pPr>
        <w:spacing w:after="0" w:line="276" w:lineRule="auto"/>
        <w:jc w:val="both"/>
        <w:rPr>
          <w:rFonts w:ascii="Verdana" w:eastAsia="Calibri" w:hAnsi="Verdana" w:cs="Arial"/>
          <w:bCs/>
          <w:color w:val="000000" w:themeColor="text1"/>
        </w:rPr>
      </w:pPr>
    </w:p>
    <w:p w14:paraId="5E03E8B5" w14:textId="77777777" w:rsidR="003937AF" w:rsidRPr="0094448B" w:rsidRDefault="003937AF" w:rsidP="003937AF">
      <w:pPr>
        <w:numPr>
          <w:ilvl w:val="0"/>
          <w:numId w:val="19"/>
        </w:numPr>
        <w:spacing w:after="0" w:line="256" w:lineRule="auto"/>
        <w:rPr>
          <w:rFonts w:ascii="Verdana" w:eastAsia="Calibri" w:hAnsi="Verdana" w:cs="Times New Roman"/>
          <w:b/>
          <w:bCs/>
          <w:lang w:val="es-ES"/>
        </w:rPr>
      </w:pPr>
      <w:r w:rsidRPr="0094448B">
        <w:rPr>
          <w:rFonts w:ascii="Verdana" w:eastAsia="Calibri" w:hAnsi="Verdana" w:cs="Times New Roman"/>
          <w:b/>
          <w:bCs/>
          <w:lang w:val="es-ES"/>
        </w:rPr>
        <w:t>Razones de la respuesta:</w:t>
      </w:r>
    </w:p>
    <w:p w14:paraId="57035526" w14:textId="77777777" w:rsidR="003937AF" w:rsidRPr="0094448B" w:rsidRDefault="003937AF" w:rsidP="003937AF">
      <w:pPr>
        <w:spacing w:after="0" w:line="256" w:lineRule="auto"/>
        <w:rPr>
          <w:rFonts w:ascii="Verdana" w:eastAsia="Calibri" w:hAnsi="Verdana" w:cs="Times New Roman"/>
          <w:b/>
          <w:bCs/>
          <w:lang w:val="es-ES"/>
        </w:rPr>
      </w:pPr>
    </w:p>
    <w:p w14:paraId="35E67423" w14:textId="77777777" w:rsidR="003937AF" w:rsidRPr="0094448B" w:rsidRDefault="003937AF" w:rsidP="003937AF">
      <w:pPr>
        <w:spacing w:after="0" w:line="276" w:lineRule="auto"/>
        <w:jc w:val="both"/>
        <w:rPr>
          <w:rFonts w:ascii="Verdana" w:eastAsia="Calibri" w:hAnsi="Verdana" w:cs="Arial"/>
          <w:lang w:val="es-ES"/>
        </w:rPr>
      </w:pPr>
      <w:r w:rsidRPr="0094448B">
        <w:rPr>
          <w:rFonts w:ascii="Verdana" w:eastAsia="Calibri" w:hAnsi="Verdana" w:cs="Arial"/>
          <w:lang w:val="es-ES"/>
        </w:rPr>
        <w:t xml:space="preserve">Lo anterior se sustenta en las siguientes consideraciones: </w:t>
      </w:r>
    </w:p>
    <w:p w14:paraId="65023AAE" w14:textId="77777777" w:rsidR="003937AF" w:rsidRPr="0094448B" w:rsidRDefault="003937AF" w:rsidP="003937AF">
      <w:pPr>
        <w:spacing w:after="0" w:line="276" w:lineRule="auto"/>
        <w:jc w:val="both"/>
        <w:rPr>
          <w:rFonts w:ascii="Verdana" w:eastAsia="Calibri" w:hAnsi="Verdana" w:cs="Arial"/>
          <w:lang w:val="es-ES"/>
        </w:rPr>
      </w:pPr>
    </w:p>
    <w:p w14:paraId="2192087E" w14:textId="77777777" w:rsidR="003937AF" w:rsidRPr="00910028" w:rsidRDefault="003937AF" w:rsidP="003937AF">
      <w:pPr>
        <w:widowControl w:val="0"/>
        <w:autoSpaceDE w:val="0"/>
        <w:autoSpaceDN w:val="0"/>
        <w:snapToGrid w:val="0"/>
        <w:spacing w:after="0" w:line="276" w:lineRule="auto"/>
        <w:jc w:val="both"/>
        <w:rPr>
          <w:rFonts w:ascii="Verdana" w:eastAsia="Arial" w:hAnsi="Verdana" w:cs="Arial"/>
          <w:lang w:val="es-ES" w:eastAsia="es-ES" w:bidi="es-ES"/>
        </w:rPr>
      </w:pPr>
      <w:r w:rsidRPr="0094448B">
        <w:rPr>
          <w:rFonts w:ascii="Verdana" w:eastAsia="Calibri" w:hAnsi="Verdana" w:cs="Arial"/>
          <w:bCs/>
          <w:lang w:val="es-ES_tradnl"/>
        </w:rPr>
        <w:t xml:space="preserve">i. </w:t>
      </w:r>
      <w:r w:rsidRPr="00910028">
        <w:rPr>
          <w:rFonts w:ascii="Verdana" w:eastAsia="Arial" w:hAnsi="Verdana" w:cs="Arial"/>
          <w:lang w:val="es-ES" w:eastAsia="es-ES" w:bidi="es-ES"/>
        </w:rPr>
        <w:t>La Ley 80 de 1993, en el artículo 26, numeral 6, indica como una de las manifestaciones del principio de responsabilidad que los contratistas respondan cuando formulen propuestas en las que se fijen condiciones económicas y de contratación artificialmente bajas con el propósito de obtener la adjudicación del contrato</w:t>
      </w:r>
      <w:r w:rsidRPr="00910028">
        <w:rPr>
          <w:rFonts w:ascii="Verdana" w:eastAsia="Arial" w:hAnsi="Verdana" w:cs="Arial"/>
          <w:vertAlign w:val="superscript"/>
          <w:lang w:val="es-ES" w:eastAsia="es-ES" w:bidi="es-ES"/>
        </w:rPr>
        <w:footnoteReference w:id="2"/>
      </w:r>
      <w:r w:rsidRPr="00910028">
        <w:rPr>
          <w:rFonts w:ascii="Verdana" w:eastAsia="Arial" w:hAnsi="Verdana" w:cs="Arial"/>
          <w:lang w:val="es-ES" w:eastAsia="es-ES" w:bidi="es-ES"/>
        </w:rPr>
        <w:t>.</w:t>
      </w:r>
      <w:r>
        <w:rPr>
          <w:rFonts w:ascii="Verdana" w:eastAsia="Arial" w:hAnsi="Verdana" w:cs="Arial"/>
          <w:lang w:val="es-ES" w:eastAsia="es-ES" w:bidi="es-ES"/>
        </w:rPr>
        <w:t xml:space="preserve"> Al respecto, e</w:t>
      </w:r>
      <w:r w:rsidRPr="00910028">
        <w:rPr>
          <w:rFonts w:ascii="Verdana" w:eastAsia="Arial" w:hAnsi="Verdana" w:cs="Arial"/>
          <w:lang w:val="es-ES" w:eastAsia="es-ES" w:bidi="es-ES"/>
        </w:rPr>
        <w:t>l Consejo de Estado, Sección Tercera, sentencia 4 de junio de 2008, radicado No. 17.783, M.P. Myriam Guerrero de Escobar, define el precio artificialmente bajo como aquel que no tiene sustento o fundamento en su</w:t>
      </w:r>
      <w:r w:rsidRPr="00910028">
        <w:rPr>
          <w:rFonts w:ascii="Verdana" w:eastAsia="Arial" w:hAnsi="Verdana" w:cs="Arial"/>
          <w:spacing w:val="-45"/>
          <w:lang w:val="es-ES" w:eastAsia="es-ES" w:bidi="es-ES"/>
        </w:rPr>
        <w:t xml:space="preserve"> </w:t>
      </w:r>
      <w:r w:rsidRPr="00910028">
        <w:rPr>
          <w:rFonts w:ascii="Verdana" w:eastAsia="Arial" w:hAnsi="Verdana" w:cs="Arial"/>
          <w:lang w:val="es-ES" w:eastAsia="es-ES" w:bidi="es-ES"/>
        </w:rPr>
        <w:t>estructuración dentro del tráfico comercial:</w:t>
      </w:r>
    </w:p>
    <w:p w14:paraId="7A5C9719" w14:textId="77777777" w:rsidR="003937AF" w:rsidRPr="00910028" w:rsidRDefault="003937AF" w:rsidP="003937AF">
      <w:pPr>
        <w:widowControl w:val="0"/>
        <w:autoSpaceDE w:val="0"/>
        <w:autoSpaceDN w:val="0"/>
        <w:spacing w:after="0" w:line="276" w:lineRule="auto"/>
        <w:ind w:left="720"/>
        <w:rPr>
          <w:rFonts w:ascii="Verdana" w:eastAsia="Arial" w:hAnsi="Verdana" w:cs="Arial"/>
          <w:lang w:val="es-ES" w:eastAsia="es-ES" w:bidi="es-ES"/>
        </w:rPr>
      </w:pPr>
    </w:p>
    <w:p w14:paraId="4D1D854E" w14:textId="77777777" w:rsidR="003937AF" w:rsidRPr="00666BAC" w:rsidRDefault="003937AF" w:rsidP="003937AF">
      <w:pPr>
        <w:spacing w:after="0" w:line="240" w:lineRule="auto"/>
        <w:ind w:left="709" w:right="709"/>
        <w:jc w:val="both"/>
        <w:rPr>
          <w:rFonts w:ascii="Verdana" w:eastAsia="Aptos" w:hAnsi="Verdana" w:cs="Times New Roman"/>
          <w:kern w:val="2"/>
          <w:sz w:val="20"/>
          <w:szCs w:val="20"/>
          <w14:ligatures w14:val="standardContextual"/>
        </w:rPr>
      </w:pPr>
      <w:r w:rsidRPr="00666BAC">
        <w:rPr>
          <w:rFonts w:ascii="Verdana" w:eastAsia="Aptos" w:hAnsi="Verdana" w:cs="Times New Roman"/>
          <w:kern w:val="2"/>
          <w:sz w:val="20"/>
          <w:szCs w:val="20"/>
          <w14:ligatures w14:val="standardContextual"/>
        </w:rPr>
        <w:t>“El denominado “precio artificialmente bajo” de que trata la Ley 80, es aquel que resulta artificioso o falso, disimulado, muy reducido o disminuido, pero además, que no encuentre sustentación o fundamento alguno en su estructuración dentro del tráfico comercial en el cual se desarrolla el negocio, es decir, que dicho precio no pueda ser justificado y por lo tanto, la Administración estaría imposibilitada para admitirlo, so pena de incurrir en violación de los principios de transparencia, equilibrio e imparcialidad que gobiernan la actividad contractual y como parte de ella, el procedimiento de la licitación</w:t>
      </w:r>
      <w:r w:rsidRPr="00666BAC">
        <w:rPr>
          <w:rFonts w:ascii="Verdana" w:eastAsia="Aptos" w:hAnsi="Verdana" w:cs="Times New Roman"/>
          <w:spacing w:val="-8"/>
          <w:kern w:val="2"/>
          <w:sz w:val="20"/>
          <w:szCs w:val="20"/>
          <w14:ligatures w14:val="standardContextual"/>
        </w:rPr>
        <w:t xml:space="preserve"> </w:t>
      </w:r>
      <w:r w:rsidRPr="00666BAC">
        <w:rPr>
          <w:rFonts w:ascii="Verdana" w:eastAsia="Aptos" w:hAnsi="Verdana" w:cs="Times New Roman"/>
          <w:kern w:val="2"/>
          <w:sz w:val="20"/>
          <w:szCs w:val="20"/>
          <w14:ligatures w14:val="standardContextual"/>
        </w:rPr>
        <w:t>[…]”.</w:t>
      </w:r>
    </w:p>
    <w:p w14:paraId="008FD87B" w14:textId="77777777" w:rsidR="003937AF" w:rsidRPr="00910028" w:rsidRDefault="003937AF" w:rsidP="003937AF">
      <w:pPr>
        <w:widowControl w:val="0"/>
        <w:autoSpaceDE w:val="0"/>
        <w:autoSpaceDN w:val="0"/>
        <w:spacing w:after="0" w:line="276" w:lineRule="auto"/>
        <w:ind w:left="720"/>
        <w:jc w:val="both"/>
        <w:rPr>
          <w:rFonts w:ascii="Verdana" w:eastAsia="Arial" w:hAnsi="Verdana" w:cs="Arial"/>
          <w:lang w:val="es-ES" w:eastAsia="es-ES" w:bidi="es-ES"/>
        </w:rPr>
      </w:pPr>
    </w:p>
    <w:p w14:paraId="2970A3AD" w14:textId="77777777" w:rsidR="003937AF" w:rsidRDefault="003937AF" w:rsidP="003937AF">
      <w:pPr>
        <w:widowControl w:val="0"/>
        <w:autoSpaceDE w:val="0"/>
        <w:autoSpaceDN w:val="0"/>
        <w:spacing w:after="0" w:line="276" w:lineRule="auto"/>
        <w:ind w:firstLine="709"/>
        <w:jc w:val="both"/>
        <w:rPr>
          <w:rFonts w:ascii="Verdana" w:eastAsia="Arial" w:hAnsi="Verdana" w:cs="Arial"/>
          <w:lang w:val="es-ES" w:eastAsia="es-ES" w:bidi="es-ES"/>
        </w:rPr>
      </w:pPr>
      <w:r w:rsidRPr="00910028">
        <w:rPr>
          <w:rFonts w:ascii="Verdana" w:eastAsia="Arial" w:hAnsi="Verdana" w:cs="Arial"/>
          <w:lang w:val="es-ES" w:eastAsia="es-ES" w:bidi="es-ES"/>
        </w:rPr>
        <w:lastRenderedPageBreak/>
        <w:t xml:space="preserve">Por su parte, el artículo 2.2.1.1.2.2.4. del Decreto 1082 de 2015 establece que cuando el valor de una oferta parezca artificialmente bajo, la entidad debe requerir al oferente para que explique las razones que sustentan el valor ofrecido. Frente a estas explicaciones le corresponde al comité evaluador </w:t>
      </w:r>
      <w:r>
        <w:rPr>
          <w:rFonts w:ascii="Verdana" w:eastAsia="Arial" w:hAnsi="Verdana" w:cs="Arial"/>
          <w:lang w:val="es-ES" w:eastAsia="es-ES" w:bidi="es-ES"/>
        </w:rPr>
        <w:t>analizarlas y recomendar si d</w:t>
      </w:r>
      <w:r w:rsidRPr="00910028">
        <w:rPr>
          <w:rFonts w:ascii="Verdana" w:eastAsia="Arial" w:hAnsi="Verdana" w:cs="Arial"/>
          <w:lang w:val="es-ES" w:eastAsia="es-ES" w:bidi="es-ES"/>
        </w:rPr>
        <w:t>ebe rechazar la oferta o continuar con el análisis de la oferta durante la evaluación de las ofertas</w:t>
      </w:r>
      <w:r>
        <w:rPr>
          <w:rFonts w:ascii="Verdana" w:eastAsia="Arial" w:hAnsi="Verdana" w:cs="Arial"/>
          <w:lang w:val="es-ES" w:eastAsia="es-ES" w:bidi="es-ES"/>
        </w:rPr>
        <w:t>:</w:t>
      </w:r>
    </w:p>
    <w:p w14:paraId="6143F824" w14:textId="77777777" w:rsidR="003937AF" w:rsidRPr="001F4545" w:rsidRDefault="003937AF" w:rsidP="003937AF">
      <w:pPr>
        <w:spacing w:after="0" w:line="240" w:lineRule="auto"/>
        <w:ind w:left="708" w:right="616" w:firstLine="1"/>
        <w:jc w:val="both"/>
        <w:rPr>
          <w:rFonts w:ascii="Verdana" w:hAnsi="Verdana"/>
          <w:sz w:val="21"/>
          <w:szCs w:val="21"/>
        </w:rPr>
      </w:pPr>
    </w:p>
    <w:p w14:paraId="07936FAF" w14:textId="77777777" w:rsidR="003937AF" w:rsidRPr="00666BAC" w:rsidRDefault="003937AF" w:rsidP="003937AF">
      <w:pPr>
        <w:spacing w:after="0" w:line="240" w:lineRule="auto"/>
        <w:ind w:left="708" w:right="616" w:firstLine="1"/>
        <w:jc w:val="both"/>
        <w:rPr>
          <w:rFonts w:ascii="Verdana" w:hAnsi="Verdana"/>
          <w:sz w:val="20"/>
          <w:szCs w:val="20"/>
        </w:rPr>
      </w:pPr>
      <w:r w:rsidRPr="00666BAC">
        <w:rPr>
          <w:rFonts w:ascii="Verdana" w:hAnsi="Verdana"/>
          <w:bCs/>
          <w:sz w:val="20"/>
          <w:szCs w:val="20"/>
        </w:rPr>
        <w:t>“Artículo 2.2.1.1.2.2.4. </w:t>
      </w:r>
      <w:r w:rsidRPr="00666BAC">
        <w:rPr>
          <w:rFonts w:ascii="Verdana" w:hAnsi="Verdana"/>
          <w:bCs/>
          <w:i/>
          <w:iCs/>
          <w:sz w:val="20"/>
          <w:szCs w:val="20"/>
        </w:rPr>
        <w:t>Oferta con valor artificialmente bajo.</w:t>
      </w:r>
      <w:r w:rsidRPr="00666BAC">
        <w:rPr>
          <w:rFonts w:ascii="Verdana" w:hAnsi="Verdana"/>
          <w:i/>
          <w:iCs/>
          <w:sz w:val="20"/>
          <w:szCs w:val="20"/>
        </w:rPr>
        <w:t> </w:t>
      </w:r>
      <w:r w:rsidRPr="00666BAC">
        <w:rPr>
          <w:rFonts w:ascii="Verdana" w:hAnsi="Verdana"/>
          <w:sz w:val="20"/>
          <w:szCs w:val="20"/>
        </w:rPr>
        <w:t xml:space="preserve">Si de acuerdo con la información obtenida por la Entidad Estatal en su deber de análisis de que trata el artículo 2.2.1.1.1.6.1 del presente decreto, el valor de una oferta parece artificialmente bajo, la Entidad Estatal debe requerir al oferente para que explique las razones que sustentan el valor ofrecido. Analizadas las explicaciones, el comité evaluador de que trata el artículo anterior, o quien haga la evaluación de las ofertas, debe recomendar rechazar la oferta o continuar con el análisis de </w:t>
      </w:r>
      <w:proofErr w:type="gramStart"/>
      <w:r w:rsidRPr="00666BAC">
        <w:rPr>
          <w:rFonts w:ascii="Verdana" w:hAnsi="Verdana"/>
          <w:sz w:val="20"/>
          <w:szCs w:val="20"/>
        </w:rPr>
        <w:t>la misma</w:t>
      </w:r>
      <w:proofErr w:type="gramEnd"/>
      <w:r w:rsidRPr="00666BAC">
        <w:rPr>
          <w:rFonts w:ascii="Verdana" w:hAnsi="Verdana"/>
          <w:sz w:val="20"/>
          <w:szCs w:val="20"/>
        </w:rPr>
        <w:t xml:space="preserve"> en la evaluación de las ofertas.</w:t>
      </w:r>
    </w:p>
    <w:p w14:paraId="4C6BF0E0" w14:textId="77777777" w:rsidR="005F0EB8" w:rsidRDefault="005F0EB8" w:rsidP="003937AF">
      <w:pPr>
        <w:spacing w:after="0" w:line="240" w:lineRule="auto"/>
        <w:ind w:left="708" w:right="616" w:firstLine="1"/>
        <w:jc w:val="both"/>
        <w:rPr>
          <w:rFonts w:ascii="Verdana" w:hAnsi="Verdana"/>
          <w:sz w:val="20"/>
          <w:szCs w:val="20"/>
        </w:rPr>
      </w:pPr>
    </w:p>
    <w:p w14:paraId="3E304C44" w14:textId="634E42F7" w:rsidR="003937AF" w:rsidRPr="00666BAC" w:rsidRDefault="003937AF" w:rsidP="003937AF">
      <w:pPr>
        <w:spacing w:after="0" w:line="240" w:lineRule="auto"/>
        <w:ind w:left="708" w:right="616" w:firstLine="1"/>
        <w:jc w:val="both"/>
        <w:rPr>
          <w:rFonts w:ascii="Verdana" w:hAnsi="Verdana"/>
          <w:sz w:val="20"/>
          <w:szCs w:val="20"/>
        </w:rPr>
      </w:pPr>
      <w:r w:rsidRPr="00666BAC">
        <w:rPr>
          <w:rFonts w:ascii="Verdana" w:hAnsi="Verdana"/>
          <w:sz w:val="20"/>
          <w:szCs w:val="20"/>
        </w:rPr>
        <w:t xml:space="preserve">Cuando el valor de la oferta sobre la cual la Entidad Estatal tuvo dudas sobre su </w:t>
      </w:r>
      <w:proofErr w:type="gramStart"/>
      <w:r w:rsidRPr="00666BAC">
        <w:rPr>
          <w:rFonts w:ascii="Verdana" w:hAnsi="Verdana"/>
          <w:sz w:val="20"/>
          <w:szCs w:val="20"/>
        </w:rPr>
        <w:t>valor,</w:t>
      </w:r>
      <w:proofErr w:type="gramEnd"/>
      <w:r w:rsidRPr="00666BAC">
        <w:rPr>
          <w:rFonts w:ascii="Verdana" w:hAnsi="Verdana"/>
          <w:sz w:val="20"/>
          <w:szCs w:val="20"/>
        </w:rPr>
        <w:t xml:space="preserve"> responde a circunstancias objetivas del oferente y de su oferta que no ponen en riesgo el cumplimiento del contrato si este es adjudicado a tal oferta, la Entidad Estatal debe continuar con su análisis en el proceso de evaluación de ofertas.</w:t>
      </w:r>
    </w:p>
    <w:p w14:paraId="5DEA8F50" w14:textId="77777777" w:rsidR="003937AF" w:rsidRPr="00666BAC" w:rsidRDefault="003937AF" w:rsidP="003937AF">
      <w:pPr>
        <w:spacing w:after="0" w:line="240" w:lineRule="auto"/>
        <w:ind w:left="708" w:right="616" w:firstLine="1"/>
        <w:jc w:val="both"/>
        <w:rPr>
          <w:rFonts w:ascii="Verdana" w:hAnsi="Verdana"/>
          <w:sz w:val="20"/>
          <w:szCs w:val="20"/>
        </w:rPr>
      </w:pPr>
      <w:r w:rsidRPr="00666BAC">
        <w:rPr>
          <w:rFonts w:ascii="Verdana" w:hAnsi="Verdana"/>
          <w:sz w:val="20"/>
          <w:szCs w:val="20"/>
        </w:rPr>
        <w:t xml:space="preserve">En la subasta inversa esta disposición es aplicable sobre el precio obtenido al final de </w:t>
      </w:r>
      <w:proofErr w:type="gramStart"/>
      <w:r w:rsidRPr="00666BAC">
        <w:rPr>
          <w:rFonts w:ascii="Verdana" w:hAnsi="Verdana"/>
          <w:sz w:val="20"/>
          <w:szCs w:val="20"/>
        </w:rPr>
        <w:t>la misma</w:t>
      </w:r>
      <w:proofErr w:type="gramEnd"/>
      <w:r w:rsidRPr="00666BAC">
        <w:rPr>
          <w:rFonts w:ascii="Verdana" w:hAnsi="Verdana"/>
          <w:sz w:val="20"/>
          <w:szCs w:val="20"/>
        </w:rPr>
        <w:t>”.</w:t>
      </w:r>
    </w:p>
    <w:p w14:paraId="0A88DC43" w14:textId="77777777" w:rsidR="003937AF" w:rsidRPr="00C71D70" w:rsidRDefault="003937AF" w:rsidP="003937AF">
      <w:pPr>
        <w:spacing w:after="0" w:line="240" w:lineRule="auto"/>
        <w:ind w:left="708" w:right="616" w:firstLine="1"/>
        <w:jc w:val="both"/>
        <w:rPr>
          <w:rFonts w:ascii="Verdana" w:hAnsi="Verdana"/>
          <w:sz w:val="21"/>
          <w:szCs w:val="21"/>
        </w:rPr>
      </w:pPr>
    </w:p>
    <w:p w14:paraId="3F76B4E8" w14:textId="77777777" w:rsidR="003937AF" w:rsidRPr="00AC1339" w:rsidRDefault="003937AF" w:rsidP="003937AF">
      <w:pPr>
        <w:spacing w:after="120" w:line="276" w:lineRule="auto"/>
        <w:ind w:firstLine="708"/>
        <w:jc w:val="both"/>
        <w:rPr>
          <w:rFonts w:ascii="Verdana" w:eastAsia="Calibri" w:hAnsi="Verdana" w:cs="Arial"/>
          <w:lang w:val="es-ES"/>
        </w:rPr>
      </w:pPr>
      <w:r w:rsidRPr="00AC1339">
        <w:rPr>
          <w:rFonts w:ascii="Verdana" w:eastAsia="Calibri" w:hAnsi="Verdana" w:cs="Arial"/>
          <w:lang w:val="es-MX"/>
        </w:rPr>
        <w:t xml:space="preserve">Así pues, el artículo 2.2.1.1.2.2.4 ibidem, establece lo que debe hacer la entidad cuando el precio de una oferta parece artificialmente bajo, esto es: i) solicitar explicación al oferente, </w:t>
      </w:r>
      <w:proofErr w:type="spellStart"/>
      <w:r w:rsidRPr="00AC1339">
        <w:rPr>
          <w:rFonts w:ascii="Verdana" w:eastAsia="Calibri" w:hAnsi="Verdana" w:cs="Arial"/>
          <w:lang w:val="es-MX"/>
        </w:rPr>
        <w:t>ii</w:t>
      </w:r>
      <w:proofErr w:type="spellEnd"/>
      <w:r w:rsidRPr="00AC1339">
        <w:rPr>
          <w:rFonts w:ascii="Verdana" w:eastAsia="Calibri" w:hAnsi="Verdana" w:cs="Arial"/>
          <w:lang w:val="es-MX"/>
        </w:rPr>
        <w:t xml:space="preserve">) analizar las explicaciones del oferente, </w:t>
      </w:r>
      <w:proofErr w:type="spellStart"/>
      <w:r w:rsidRPr="00AC1339">
        <w:rPr>
          <w:rFonts w:ascii="Verdana" w:eastAsia="Calibri" w:hAnsi="Verdana" w:cs="Arial"/>
          <w:lang w:val="es-MX"/>
        </w:rPr>
        <w:t>iii</w:t>
      </w:r>
      <w:proofErr w:type="spellEnd"/>
      <w:r w:rsidRPr="00AC1339">
        <w:rPr>
          <w:rFonts w:ascii="Verdana" w:eastAsia="Calibri" w:hAnsi="Verdana" w:cs="Arial"/>
          <w:lang w:val="es-MX"/>
        </w:rPr>
        <w:t xml:space="preserve">) el responsable de la evaluación de las ofertas debe recomendar rechazar o continuar la evaluación de la oferta, y </w:t>
      </w:r>
      <w:proofErr w:type="spellStart"/>
      <w:r w:rsidRPr="00AC1339">
        <w:rPr>
          <w:rFonts w:ascii="Verdana" w:eastAsia="Calibri" w:hAnsi="Verdana" w:cs="Arial"/>
          <w:lang w:val="es-MX"/>
        </w:rPr>
        <w:t>iv</w:t>
      </w:r>
      <w:proofErr w:type="spellEnd"/>
      <w:r w:rsidRPr="00AC1339">
        <w:rPr>
          <w:rFonts w:ascii="Verdana" w:eastAsia="Calibri" w:hAnsi="Verdana" w:cs="Arial"/>
          <w:lang w:val="es-MX"/>
        </w:rPr>
        <w:t>) para la subasta inversa, lo anterior se debe hacer al finalizar el evento.</w:t>
      </w:r>
    </w:p>
    <w:p w14:paraId="4806F575" w14:textId="77777777" w:rsidR="003937AF" w:rsidRPr="00AC1339" w:rsidRDefault="003937AF" w:rsidP="003937AF">
      <w:pPr>
        <w:spacing w:before="120" w:line="276" w:lineRule="auto"/>
        <w:ind w:firstLine="708"/>
        <w:jc w:val="both"/>
        <w:rPr>
          <w:rFonts w:ascii="Verdana" w:eastAsia="Calibri" w:hAnsi="Verdana" w:cs="Arial"/>
        </w:rPr>
      </w:pPr>
      <w:r w:rsidRPr="00AC1339">
        <w:rPr>
          <w:rFonts w:ascii="Verdana" w:eastAsia="Calibri" w:hAnsi="Verdana" w:cs="Arial"/>
          <w:lang w:val="es-ES"/>
        </w:rPr>
        <w:t>Sin embargo, debe precisarse que el análisis de los precios de una oferta se hace en la fase de evaluación del procedimiento</w:t>
      </w:r>
      <w:r>
        <w:rPr>
          <w:rFonts w:ascii="Verdana" w:eastAsia="Calibri" w:hAnsi="Verdana" w:cs="Arial"/>
          <w:lang w:val="es-ES"/>
        </w:rPr>
        <w:t xml:space="preserve"> de selección</w:t>
      </w:r>
      <w:r w:rsidRPr="00AC1339">
        <w:rPr>
          <w:rFonts w:ascii="Verdana" w:eastAsia="Calibri" w:hAnsi="Verdana" w:cs="Arial"/>
          <w:lang w:val="es-ES"/>
        </w:rPr>
        <w:t>, que es la oportunidad para verificar, a través del comité evaluador</w:t>
      </w:r>
      <w:r w:rsidRPr="00AC1339">
        <w:rPr>
          <w:rFonts w:ascii="Verdana" w:eastAsia="Aptos" w:hAnsi="Verdana" w:cs="Times New Roman"/>
          <w:kern w:val="2"/>
          <w:vertAlign w:val="superscript"/>
          <w:lang w:val="es-MX"/>
          <w14:ligatures w14:val="standardContextual"/>
        </w:rPr>
        <w:footnoteReference w:id="3"/>
      </w:r>
      <w:r>
        <w:rPr>
          <w:rFonts w:ascii="Verdana" w:eastAsia="Calibri" w:hAnsi="Verdana" w:cs="Arial"/>
          <w:lang w:val="es-MX"/>
        </w:rPr>
        <w:t xml:space="preserve"> si se cumplen o no</w:t>
      </w:r>
      <w:r w:rsidRPr="00AC1339">
        <w:rPr>
          <w:rFonts w:ascii="Verdana" w:eastAsia="Calibri" w:hAnsi="Verdana" w:cs="Arial"/>
          <w:lang w:val="es-MX"/>
        </w:rPr>
        <w:t xml:space="preserve"> las </w:t>
      </w:r>
      <w:r w:rsidRPr="00AC1339">
        <w:rPr>
          <w:rFonts w:ascii="Verdana" w:eastAsia="Calibri" w:hAnsi="Verdana" w:cs="Arial"/>
          <w:lang w:val="es-MX"/>
        </w:rPr>
        <w:lastRenderedPageBreak/>
        <w:t xml:space="preserve">reglas </w:t>
      </w:r>
      <w:r>
        <w:rPr>
          <w:rFonts w:ascii="Verdana" w:eastAsia="Calibri" w:hAnsi="Verdana" w:cs="Arial"/>
          <w:lang w:val="es-MX"/>
        </w:rPr>
        <w:t>de</w:t>
      </w:r>
      <w:r w:rsidRPr="00AC1339">
        <w:rPr>
          <w:rFonts w:ascii="Verdana" w:eastAsia="Calibri" w:hAnsi="Verdana" w:cs="Arial"/>
          <w:lang w:val="es-MX"/>
        </w:rPr>
        <w:t xml:space="preserve"> los pliegos de condiciones. En efecto, el objeto de la evaluación de las ofertas es comprobar que estas cumplen con los parámetros exigidos, establecer la habilitación del proponente en dicho proceso de selección y definir si, de acuerdo con la ponderación de los factores de evaluación aplicables, cuál será el que resultará adjudicatario del futuro contrato.</w:t>
      </w:r>
    </w:p>
    <w:p w14:paraId="4E0366CA" w14:textId="77777777" w:rsidR="003937AF" w:rsidRPr="00AC1339" w:rsidRDefault="003937AF" w:rsidP="003937AF">
      <w:pPr>
        <w:spacing w:after="120" w:line="276" w:lineRule="auto"/>
        <w:ind w:firstLine="708"/>
        <w:jc w:val="both"/>
        <w:rPr>
          <w:rFonts w:ascii="Verdana" w:eastAsia="Calibri" w:hAnsi="Verdana" w:cs="Arial"/>
          <w:highlight w:val="yellow"/>
          <w:lang w:val="es-ES"/>
        </w:rPr>
      </w:pPr>
      <w:r w:rsidRPr="00AC1339">
        <w:rPr>
          <w:rFonts w:ascii="Verdana" w:eastAsia="Calibri" w:hAnsi="Verdana" w:cs="Arial"/>
          <w:lang w:val="es-ES"/>
        </w:rPr>
        <w:t>En ese sentid</w:t>
      </w:r>
      <w:r>
        <w:rPr>
          <w:rFonts w:ascii="Verdana" w:eastAsia="Calibri" w:hAnsi="Verdana" w:cs="Arial"/>
          <w:lang w:val="es-ES"/>
        </w:rPr>
        <w:t xml:space="preserve">o, </w:t>
      </w:r>
      <w:r w:rsidRPr="00AC1339">
        <w:rPr>
          <w:rFonts w:ascii="Verdana" w:eastAsia="Calibri" w:hAnsi="Verdana" w:cs="Arial"/>
          <w:lang w:val="es-ES"/>
        </w:rPr>
        <w:t>en la evaluación</w:t>
      </w:r>
      <w:r>
        <w:rPr>
          <w:rFonts w:ascii="Verdana" w:eastAsia="Calibri" w:hAnsi="Verdana" w:cs="Arial"/>
          <w:lang w:val="es-ES"/>
        </w:rPr>
        <w:t xml:space="preserve"> que se realiza antes de la adjudicación del contrato</w:t>
      </w:r>
      <w:r w:rsidRPr="00AC1339">
        <w:rPr>
          <w:rFonts w:ascii="Verdana" w:eastAsia="Calibri" w:hAnsi="Verdana" w:cs="Arial"/>
          <w:lang w:val="es-ES"/>
        </w:rPr>
        <w:t xml:space="preserve"> la entidad debe verificar la oferta y su componente económico, para determinar si corresponde con el resultado del análisis de la oferta en el estudio de mercado, o si los precios tienen un componente atípico que no se identificó al observar el comportamiento de los proveedores d</w:t>
      </w:r>
      <w:r>
        <w:rPr>
          <w:rFonts w:ascii="Verdana" w:eastAsia="Calibri" w:hAnsi="Verdana" w:cs="Arial"/>
          <w:lang w:val="es-ES"/>
        </w:rPr>
        <w:t xml:space="preserve">el bien, obra o servicio que </w:t>
      </w:r>
      <w:r w:rsidRPr="00AC1339">
        <w:rPr>
          <w:rFonts w:ascii="Verdana" w:eastAsia="Calibri" w:hAnsi="Verdana" w:cs="Arial"/>
          <w:lang w:val="es-ES"/>
        </w:rPr>
        <w:t>pretende contratar</w:t>
      </w:r>
      <w:r>
        <w:rPr>
          <w:rFonts w:ascii="Verdana" w:eastAsia="Calibri" w:hAnsi="Verdana" w:cs="Arial"/>
          <w:lang w:val="es-ES"/>
        </w:rPr>
        <w:t>se</w:t>
      </w:r>
      <w:r w:rsidRPr="00AC1339">
        <w:rPr>
          <w:rFonts w:ascii="Verdana" w:eastAsia="Calibri" w:hAnsi="Verdana" w:cs="Arial"/>
          <w:lang w:val="es-ES"/>
        </w:rPr>
        <w:t>. En ese caso, la entidad podrá identificar las ofertas con precios que parecen artificialmente bajos, y seguir el procedimiento del Decreto 1082 de 2015. Concluido dicho análisis, es posible que a partir de las explicaciones ofrecidas por el proponente se determine que el valor responde a circunstancias objetivas que le permiten cumplir el contrato, sin que con ello termine la evaluación, porque el Decreto 1082 de 2015 señala que la entidad puede continuar el análisis en esta fase de evaluación.</w:t>
      </w:r>
    </w:p>
    <w:p w14:paraId="738B32B0" w14:textId="77777777" w:rsidR="003937AF" w:rsidRDefault="003937AF" w:rsidP="003937AF">
      <w:pPr>
        <w:spacing w:after="120" w:line="276" w:lineRule="auto"/>
        <w:ind w:firstLine="708"/>
        <w:jc w:val="both"/>
        <w:rPr>
          <w:rFonts w:ascii="Verdana" w:eastAsia="Times New Roman" w:hAnsi="Verdana" w:cs="Arial"/>
          <w:lang w:val="es-ES"/>
        </w:rPr>
      </w:pPr>
      <w:r w:rsidRPr="00AC1339">
        <w:rPr>
          <w:rFonts w:ascii="Verdana" w:eastAsia="Times New Roman" w:hAnsi="Verdana" w:cs="Arial"/>
          <w:lang w:val="es-ES"/>
        </w:rPr>
        <w:t xml:space="preserve">De esta forma, y con el objetivo de brindar herramientas que orienten a las Entidades Estatales en este asunto, la Agencia Nacional de Contratación Pública – Colombia Compra Eficiente el 16 de diciembre de 2024, actualizó la “Guía para el manejo de ofertas artificialmente bajas en Procesos de Contratación”, en la que se señalan no sólo las posibles causas y consecuencias de ofertas artificialmente bajas, sino que también se relaciona a modo de sugerencia dos metodologías que podrían aplicar las entidades para identificarlas y manejarlas. Estas son: i) la comparación absoluta y; </w:t>
      </w:r>
      <w:proofErr w:type="spellStart"/>
      <w:r w:rsidRPr="00AC1339">
        <w:rPr>
          <w:rFonts w:ascii="Verdana" w:eastAsia="Times New Roman" w:hAnsi="Verdana" w:cs="Arial"/>
          <w:lang w:val="es-ES"/>
        </w:rPr>
        <w:t>ii</w:t>
      </w:r>
      <w:proofErr w:type="spellEnd"/>
      <w:r w:rsidRPr="00AC1339">
        <w:rPr>
          <w:rFonts w:ascii="Verdana" w:eastAsia="Times New Roman" w:hAnsi="Verdana" w:cs="Arial"/>
          <w:lang w:val="es-ES"/>
        </w:rPr>
        <w:t>) la comparación relativa.</w:t>
      </w:r>
      <w:r>
        <w:rPr>
          <w:rFonts w:ascii="Verdana" w:eastAsia="Times New Roman" w:hAnsi="Verdana" w:cs="Arial"/>
          <w:lang w:val="es-ES"/>
        </w:rPr>
        <w:t xml:space="preserve"> </w:t>
      </w:r>
    </w:p>
    <w:p w14:paraId="3E248BF0" w14:textId="4FE9EF5D" w:rsidR="003937AF" w:rsidRPr="00D40E49" w:rsidRDefault="003937AF" w:rsidP="003937AF">
      <w:pPr>
        <w:spacing w:after="120" w:line="276" w:lineRule="auto"/>
        <w:ind w:firstLine="708"/>
        <w:jc w:val="both"/>
        <w:rPr>
          <w:rFonts w:ascii="Verdana" w:eastAsia="Times New Roman" w:hAnsi="Verdana" w:cs="Arial"/>
          <w:lang w:val="es-ES"/>
        </w:rPr>
      </w:pPr>
      <w:r>
        <w:rPr>
          <w:rFonts w:ascii="Verdana" w:eastAsia="Times New Roman" w:hAnsi="Verdana" w:cs="Arial"/>
          <w:lang w:val="es-ES"/>
        </w:rPr>
        <w:t xml:space="preserve">Es importante precisar que dentro de la Guía para el manejo de ofertas artificialmente bajas en Procesos de Contratación” efectúa un análisis especial en torno a la subasta inversa, la cual puede ser </w:t>
      </w:r>
      <w:r w:rsidRPr="001E5EA5">
        <w:rPr>
          <w:rFonts w:ascii="Verdana" w:eastAsia="Times New Roman" w:hAnsi="Verdana" w:cs="Arial"/>
        </w:rPr>
        <w:t>ordinaria y a la inversa.</w:t>
      </w:r>
      <w:r>
        <w:rPr>
          <w:rFonts w:ascii="Verdana" w:eastAsia="Times New Roman" w:hAnsi="Verdana" w:cs="Arial"/>
        </w:rPr>
        <w:t xml:space="preserve"> La primera consiste en que </w:t>
      </w:r>
      <w:r w:rsidRPr="001E5EA5">
        <w:rPr>
          <w:rFonts w:ascii="Verdana" w:eastAsia="Times New Roman" w:hAnsi="Verdana" w:cs="Arial"/>
        </w:rPr>
        <w:t>los compradores compiten para obtener un bien o servicio, ofreciend</w:t>
      </w:r>
      <w:r>
        <w:rPr>
          <w:rFonts w:ascii="Verdana" w:eastAsia="Times New Roman" w:hAnsi="Verdana" w:cs="Arial"/>
        </w:rPr>
        <w:t xml:space="preserve">o precios cada vez más altos, mediante </w:t>
      </w:r>
      <w:r w:rsidRPr="001E5EA5">
        <w:rPr>
          <w:rFonts w:ascii="Verdana" w:eastAsia="Times New Roman" w:hAnsi="Verdana" w:cs="Arial"/>
        </w:rPr>
        <w:t xml:space="preserve">lances, </w:t>
      </w:r>
      <w:r>
        <w:rPr>
          <w:rFonts w:ascii="Verdana" w:eastAsia="Times New Roman" w:hAnsi="Verdana" w:cs="Arial"/>
        </w:rPr>
        <w:t xml:space="preserve">como es el caso de los procesos de contratación de enajenación </w:t>
      </w:r>
      <w:r w:rsidRPr="001E5EA5">
        <w:rPr>
          <w:rFonts w:ascii="Verdana" w:eastAsia="Times New Roman" w:hAnsi="Verdana" w:cs="Arial"/>
        </w:rPr>
        <w:t>directa a través de subasta pública mediante la modalidad de selecció</w:t>
      </w:r>
      <w:r>
        <w:rPr>
          <w:rFonts w:ascii="Verdana" w:eastAsia="Times New Roman" w:hAnsi="Verdana" w:cs="Arial"/>
        </w:rPr>
        <w:t xml:space="preserve">n abreviada, </w:t>
      </w:r>
      <w:r w:rsidR="006D2392">
        <w:rPr>
          <w:rFonts w:ascii="Verdana" w:eastAsia="Times New Roman" w:hAnsi="Verdana" w:cs="Arial"/>
        </w:rPr>
        <w:t>de acuerdo con</w:t>
      </w:r>
      <w:r>
        <w:rPr>
          <w:rFonts w:ascii="Verdana" w:eastAsia="Times New Roman" w:hAnsi="Verdana" w:cs="Arial"/>
        </w:rPr>
        <w:t xml:space="preserve"> lo prescrito en el artículo </w:t>
      </w:r>
      <w:r w:rsidRPr="001E5EA5">
        <w:rPr>
          <w:rFonts w:ascii="Verdana" w:eastAsia="Times New Roman" w:hAnsi="Verdana" w:cs="Arial"/>
        </w:rPr>
        <w:t xml:space="preserve">2.2.1.2.2.2.2 del Decreto 1082 </w:t>
      </w:r>
      <w:r>
        <w:rPr>
          <w:rFonts w:ascii="Verdana" w:eastAsia="Times New Roman" w:hAnsi="Verdana" w:cs="Arial"/>
        </w:rPr>
        <w:t>de 1025</w:t>
      </w:r>
      <w:r>
        <w:rPr>
          <w:rStyle w:val="Refdenotaalpie"/>
          <w:rFonts w:ascii="Verdana" w:eastAsia="Times New Roman" w:hAnsi="Verdana" w:cs="Arial"/>
        </w:rPr>
        <w:footnoteReference w:id="4"/>
      </w:r>
      <w:r>
        <w:rPr>
          <w:rFonts w:ascii="Verdana" w:eastAsia="Times New Roman" w:hAnsi="Verdana" w:cs="Arial"/>
        </w:rPr>
        <w:t xml:space="preserve">. El segundo, es </w:t>
      </w:r>
      <w:r>
        <w:rPr>
          <w:rFonts w:ascii="Verdana" w:eastAsia="Times New Roman" w:hAnsi="Verdana" w:cs="Arial"/>
        </w:rPr>
        <w:lastRenderedPageBreak/>
        <w:t xml:space="preserve">la subasta inversa que consiste en que los vendedores compiten para obtener </w:t>
      </w:r>
      <w:r w:rsidRPr="001E5EA5">
        <w:rPr>
          <w:rFonts w:ascii="Verdana" w:eastAsia="Times New Roman" w:hAnsi="Verdana" w:cs="Arial"/>
        </w:rPr>
        <w:t>un negocio del comprador, y para ello, los lances realizados sobre la oferta económica tienen como objetivo disminuir los precios</w:t>
      </w:r>
      <w:r>
        <w:rPr>
          <w:rFonts w:ascii="Verdana" w:eastAsia="Times New Roman" w:hAnsi="Verdana" w:cs="Arial"/>
        </w:rPr>
        <w:t xml:space="preserve"> de los bienes y servicios que se están ofertando</w:t>
      </w:r>
      <w:r w:rsidRPr="001E5EA5">
        <w:rPr>
          <w:rFonts w:ascii="Verdana" w:eastAsia="Times New Roman" w:hAnsi="Verdana" w:cs="Arial"/>
        </w:rPr>
        <w:t>. E</w:t>
      </w:r>
      <w:r>
        <w:rPr>
          <w:rFonts w:ascii="Verdana" w:eastAsia="Times New Roman" w:hAnsi="Verdana" w:cs="Arial"/>
        </w:rPr>
        <w:t xml:space="preserve">jemplo de este escenario, es el procedimiento de la selección abreviada mediante subasta inversa, en la que se busca </w:t>
      </w:r>
      <w:r w:rsidRPr="001E5EA5">
        <w:rPr>
          <w:rFonts w:ascii="Verdana" w:eastAsia="Times New Roman" w:hAnsi="Verdana" w:cs="Arial"/>
        </w:rPr>
        <w:t>la adquisición o s</w:t>
      </w:r>
      <w:r>
        <w:rPr>
          <w:rFonts w:ascii="Verdana" w:eastAsia="Times New Roman" w:hAnsi="Verdana" w:cs="Arial"/>
        </w:rPr>
        <w:t xml:space="preserve">uministro de bienes y servicios </w:t>
      </w:r>
      <w:r w:rsidRPr="001E5EA5">
        <w:rPr>
          <w:rFonts w:ascii="Verdana" w:eastAsia="Times New Roman" w:hAnsi="Verdana" w:cs="Arial"/>
        </w:rPr>
        <w:t xml:space="preserve">de características técnicas uniformes y de común utilización por parte de las Entidades Estatales, </w:t>
      </w:r>
      <w:r>
        <w:rPr>
          <w:rFonts w:ascii="Verdana" w:eastAsia="Times New Roman" w:hAnsi="Verdana" w:cs="Arial"/>
        </w:rPr>
        <w:t xml:space="preserve">que está regulada en el artículo </w:t>
      </w:r>
      <w:r w:rsidRPr="001E5EA5">
        <w:rPr>
          <w:rFonts w:ascii="Verdana" w:eastAsia="Times New Roman" w:hAnsi="Verdana" w:cs="Arial"/>
        </w:rPr>
        <w:t>2</w:t>
      </w:r>
      <w:r>
        <w:rPr>
          <w:rFonts w:ascii="Verdana" w:eastAsia="Times New Roman" w:hAnsi="Verdana" w:cs="Arial"/>
        </w:rPr>
        <w:t>, numeral 2, literal a)</w:t>
      </w:r>
      <w:r w:rsidRPr="001E5EA5">
        <w:rPr>
          <w:rFonts w:ascii="Verdana" w:eastAsia="Times New Roman" w:hAnsi="Verdana" w:cs="Arial"/>
        </w:rPr>
        <w:t xml:space="preserve"> de la Ley 1150 de 2007, y el artículo 2.2.1.2.1.2.2 del Decreto 1082 de 2015</w:t>
      </w:r>
      <w:r>
        <w:rPr>
          <w:rStyle w:val="Refdenotaalpie"/>
          <w:rFonts w:ascii="Verdana" w:eastAsia="Times New Roman" w:hAnsi="Verdana" w:cs="Arial"/>
        </w:rPr>
        <w:footnoteReference w:id="5"/>
      </w:r>
      <w:r w:rsidRPr="001E5EA5">
        <w:rPr>
          <w:rFonts w:ascii="Verdana" w:eastAsia="Times New Roman" w:hAnsi="Verdana" w:cs="Arial"/>
        </w:rPr>
        <w:t>.</w:t>
      </w:r>
    </w:p>
    <w:p w14:paraId="1B1955B9" w14:textId="77777777" w:rsidR="003937AF" w:rsidRDefault="003937AF" w:rsidP="003937AF">
      <w:pPr>
        <w:spacing w:after="0" w:line="276" w:lineRule="auto"/>
        <w:ind w:firstLine="709"/>
        <w:jc w:val="both"/>
        <w:rPr>
          <w:rFonts w:ascii="Verdana" w:eastAsia="Times New Roman" w:hAnsi="Verdana" w:cs="Arial"/>
        </w:rPr>
      </w:pPr>
      <w:r>
        <w:rPr>
          <w:rFonts w:ascii="Verdana" w:eastAsia="Times New Roman" w:hAnsi="Verdana" w:cs="Arial"/>
          <w:lang w:val="es-ES"/>
        </w:rPr>
        <w:t xml:space="preserve">Dentro de la subasta inversa </w:t>
      </w:r>
      <w:r w:rsidRPr="001E5EA5">
        <w:rPr>
          <w:rFonts w:ascii="Verdana" w:eastAsia="Times New Roman" w:hAnsi="Verdana" w:cs="Arial"/>
        </w:rPr>
        <w:t xml:space="preserve">el único criterio de selección es el precio, </w:t>
      </w:r>
      <w:r>
        <w:rPr>
          <w:rFonts w:ascii="Verdana" w:eastAsia="Times New Roman" w:hAnsi="Verdana" w:cs="Arial"/>
        </w:rPr>
        <w:t>que se origina de los lances que son manifestación de pujas competitivas, en las que los procesos terminen en pre</w:t>
      </w:r>
      <w:r w:rsidRPr="001E5EA5">
        <w:rPr>
          <w:rFonts w:ascii="Verdana" w:eastAsia="Times New Roman" w:hAnsi="Verdana" w:cs="Arial"/>
        </w:rPr>
        <w:t xml:space="preserve">cios u ofertas bajas. </w:t>
      </w:r>
      <w:r>
        <w:rPr>
          <w:rFonts w:ascii="Verdana" w:eastAsia="Times New Roman" w:hAnsi="Verdana" w:cs="Arial"/>
        </w:rPr>
        <w:t xml:space="preserve">No obstante, dichas ofertas dentro de la audiencia de subasta </w:t>
      </w:r>
      <w:r w:rsidRPr="001E5EA5">
        <w:rPr>
          <w:rFonts w:ascii="Verdana" w:eastAsia="Times New Roman" w:hAnsi="Verdana" w:cs="Arial"/>
        </w:rPr>
        <w:t xml:space="preserve">no siempre deben </w:t>
      </w:r>
      <w:r>
        <w:rPr>
          <w:rFonts w:ascii="Verdana" w:eastAsia="Times New Roman" w:hAnsi="Verdana" w:cs="Arial"/>
        </w:rPr>
        <w:t xml:space="preserve">interpretarse como artificialmente bajas. En torno a este proceso de contratación, la Guía recomienda: </w:t>
      </w:r>
    </w:p>
    <w:p w14:paraId="35FA6463" w14:textId="77777777" w:rsidR="003937AF" w:rsidRDefault="003937AF" w:rsidP="003937AF">
      <w:pPr>
        <w:spacing w:after="120" w:line="240" w:lineRule="auto"/>
        <w:jc w:val="both"/>
        <w:rPr>
          <w:rFonts w:ascii="Verdana" w:eastAsia="Times New Roman" w:hAnsi="Verdana" w:cs="Arial"/>
        </w:rPr>
      </w:pPr>
    </w:p>
    <w:p w14:paraId="61E9FD0F" w14:textId="77777777" w:rsidR="003937AF" w:rsidRPr="009653FC" w:rsidRDefault="003937AF" w:rsidP="003937AF">
      <w:pPr>
        <w:pStyle w:val="Prrafodelista"/>
        <w:numPr>
          <w:ilvl w:val="0"/>
          <w:numId w:val="40"/>
        </w:numPr>
        <w:spacing w:after="0" w:line="240" w:lineRule="auto"/>
        <w:ind w:right="709"/>
        <w:jc w:val="both"/>
        <w:rPr>
          <w:rFonts w:ascii="Verdana" w:eastAsia="Times New Roman" w:hAnsi="Verdana" w:cs="Arial"/>
          <w:sz w:val="21"/>
          <w:szCs w:val="21"/>
        </w:rPr>
      </w:pPr>
      <w:r w:rsidRPr="009653FC">
        <w:rPr>
          <w:rFonts w:ascii="Verdana" w:eastAsia="Times New Roman" w:hAnsi="Verdana" w:cs="Arial"/>
          <w:sz w:val="21"/>
          <w:szCs w:val="21"/>
        </w:rPr>
        <w:t xml:space="preserve">Verificar la oferta y su componente económico, para así determinar si los precios tienen un componente extraño que no fue posible determinar al momento de realizar el Estudio del sector, en relación con los proveedores del bien, obra o servicio que se pretende contratar. </w:t>
      </w:r>
    </w:p>
    <w:p w14:paraId="689E1325" w14:textId="77777777" w:rsidR="003937AF" w:rsidRDefault="003937AF" w:rsidP="003937AF">
      <w:pPr>
        <w:pStyle w:val="Prrafodelista"/>
        <w:numPr>
          <w:ilvl w:val="0"/>
          <w:numId w:val="40"/>
        </w:numPr>
        <w:spacing w:after="0" w:line="240" w:lineRule="auto"/>
        <w:ind w:right="709"/>
        <w:jc w:val="both"/>
        <w:rPr>
          <w:rFonts w:ascii="Verdana" w:eastAsia="Times New Roman" w:hAnsi="Verdana" w:cs="Arial"/>
          <w:sz w:val="21"/>
          <w:szCs w:val="21"/>
        </w:rPr>
      </w:pPr>
      <w:r w:rsidRPr="009653FC">
        <w:rPr>
          <w:rFonts w:ascii="Verdana" w:eastAsia="Times New Roman" w:hAnsi="Verdana" w:cs="Arial"/>
          <w:sz w:val="21"/>
          <w:szCs w:val="21"/>
        </w:rPr>
        <w:t xml:space="preserve">Comparar el valor de cada oferta con el costo estimado de la provisión del bien o servicio de acuerdo con el Estudio del Sector. La verificación de ofertas artificialmente bajas puede sustentarse en información adicional a la utilizada en el Estudio del Sector, como precios de fabricantes y otros factores económicos relevantes. </w:t>
      </w:r>
    </w:p>
    <w:p w14:paraId="13516576" w14:textId="77777777" w:rsidR="003937AF" w:rsidRPr="009653FC" w:rsidRDefault="003937AF" w:rsidP="003937AF">
      <w:pPr>
        <w:pStyle w:val="Prrafodelista"/>
        <w:numPr>
          <w:ilvl w:val="0"/>
          <w:numId w:val="40"/>
        </w:numPr>
        <w:spacing w:after="0" w:line="240" w:lineRule="auto"/>
        <w:ind w:right="709"/>
        <w:jc w:val="both"/>
        <w:rPr>
          <w:rFonts w:ascii="Verdana" w:eastAsia="Times New Roman" w:hAnsi="Verdana" w:cs="Arial"/>
          <w:sz w:val="21"/>
          <w:szCs w:val="21"/>
        </w:rPr>
      </w:pPr>
      <w:r w:rsidRPr="009653FC">
        <w:rPr>
          <w:rFonts w:ascii="Verdana" w:eastAsia="Times New Roman" w:hAnsi="Verdana" w:cs="Arial"/>
          <w:sz w:val="21"/>
          <w:szCs w:val="21"/>
          <w:lang w:val="es-CO"/>
        </w:rPr>
        <w:t xml:space="preserve">Solicitar explicaciones a los </w:t>
      </w:r>
      <w:proofErr w:type="spellStart"/>
      <w:r w:rsidRPr="009653FC">
        <w:rPr>
          <w:rFonts w:ascii="Verdana" w:eastAsia="Times New Roman" w:hAnsi="Verdana" w:cs="Arial"/>
          <w:sz w:val="21"/>
          <w:szCs w:val="21"/>
          <w:lang w:val="es-CO"/>
        </w:rPr>
        <w:t>pr</w:t>
      </w:r>
      <w:proofErr w:type="spellEnd"/>
      <w:r w:rsidRPr="009653FC">
        <w:rPr>
          <w:rFonts w:ascii="Verdana" w:eastAsia="Times New Roman" w:hAnsi="Verdana" w:cs="Arial"/>
          <w:sz w:val="21"/>
          <w:szCs w:val="21"/>
        </w:rPr>
        <w:t>oponentes cuyas ofertas sean me</w:t>
      </w:r>
      <w:proofErr w:type="spellStart"/>
      <w:r w:rsidRPr="009653FC">
        <w:rPr>
          <w:rFonts w:ascii="Verdana" w:eastAsia="Times New Roman" w:hAnsi="Verdana" w:cs="Arial"/>
          <w:sz w:val="21"/>
          <w:szCs w:val="21"/>
          <w:lang w:val="es-CO"/>
        </w:rPr>
        <w:t>nores</w:t>
      </w:r>
      <w:proofErr w:type="spellEnd"/>
      <w:r w:rsidRPr="009653FC">
        <w:rPr>
          <w:rFonts w:ascii="Verdana" w:eastAsia="Times New Roman" w:hAnsi="Verdana" w:cs="Arial"/>
          <w:sz w:val="21"/>
          <w:szCs w:val="21"/>
          <w:lang w:val="es-CO"/>
        </w:rPr>
        <w:t xml:space="preserve"> en un 20%, o un mayor porcentaje, al costo total estimado por la Entidad Estatal (comparación absoluta, ver numeral 2.1.1). </w:t>
      </w:r>
    </w:p>
    <w:p w14:paraId="34AE0C60" w14:textId="77777777" w:rsidR="003937AF" w:rsidRPr="009653FC" w:rsidRDefault="003937AF" w:rsidP="003937AF">
      <w:pPr>
        <w:pStyle w:val="Prrafodelista"/>
        <w:numPr>
          <w:ilvl w:val="0"/>
          <w:numId w:val="40"/>
        </w:numPr>
        <w:spacing w:after="0" w:line="240" w:lineRule="auto"/>
        <w:ind w:right="709"/>
        <w:jc w:val="both"/>
        <w:rPr>
          <w:rFonts w:ascii="Verdana" w:eastAsia="Times New Roman" w:hAnsi="Verdana" w:cs="Arial"/>
          <w:sz w:val="21"/>
          <w:szCs w:val="21"/>
        </w:rPr>
      </w:pPr>
      <w:r w:rsidRPr="009653FC">
        <w:rPr>
          <w:rFonts w:ascii="Verdana" w:eastAsia="Times New Roman" w:hAnsi="Verdana" w:cs="Arial"/>
          <w:sz w:val="21"/>
          <w:szCs w:val="21"/>
          <w:lang w:val="es-CO"/>
        </w:rPr>
        <w:t>Analizar la información remitida por el proponente y considerar el rechazo de las ofertas que cumplan con alguna de las condiciones establecidas en el numeral 4.2 de la presente Guía</w:t>
      </w:r>
      <w:r>
        <w:rPr>
          <w:rStyle w:val="Refdenotaalpie"/>
          <w:rFonts w:ascii="Verdana" w:eastAsia="Times New Roman" w:hAnsi="Verdana" w:cs="Arial"/>
          <w:sz w:val="21"/>
          <w:szCs w:val="21"/>
          <w:lang w:val="es-CO"/>
        </w:rPr>
        <w:footnoteReference w:id="6"/>
      </w:r>
      <w:r w:rsidRPr="009653FC">
        <w:rPr>
          <w:rFonts w:ascii="Verdana" w:eastAsia="Times New Roman" w:hAnsi="Verdana" w:cs="Arial"/>
          <w:sz w:val="21"/>
          <w:szCs w:val="21"/>
          <w:lang w:val="es-CO"/>
        </w:rPr>
        <w:t xml:space="preserve">. </w:t>
      </w:r>
    </w:p>
    <w:p w14:paraId="141D94AC" w14:textId="77777777" w:rsidR="003937AF" w:rsidRPr="001E5EA5" w:rsidRDefault="003937AF" w:rsidP="003937AF">
      <w:pPr>
        <w:spacing w:after="120" w:line="240" w:lineRule="auto"/>
        <w:ind w:firstLine="708"/>
        <w:jc w:val="both"/>
        <w:rPr>
          <w:rFonts w:ascii="Verdana" w:eastAsia="Times New Roman" w:hAnsi="Verdana" w:cs="Arial"/>
        </w:rPr>
      </w:pPr>
    </w:p>
    <w:p w14:paraId="4DDD3D23" w14:textId="77777777" w:rsidR="003937AF" w:rsidRPr="00527F01" w:rsidRDefault="003937AF" w:rsidP="003937AF">
      <w:pPr>
        <w:spacing w:after="120" w:line="276" w:lineRule="auto"/>
        <w:ind w:firstLine="708"/>
        <w:jc w:val="both"/>
        <w:rPr>
          <w:rFonts w:ascii="Verdana" w:hAnsi="Verdana"/>
        </w:rPr>
      </w:pPr>
      <w:r w:rsidRPr="00527F01">
        <w:rPr>
          <w:rFonts w:ascii="Verdana" w:eastAsia="Times New Roman" w:hAnsi="Verdana" w:cs="Arial"/>
        </w:rPr>
        <w:t>En este aspecto, también se destaca la importancia de hacer un análisis cuidadoso de la sostenibilidad de las ofertas</w:t>
      </w:r>
      <w:r>
        <w:rPr>
          <w:rFonts w:ascii="Verdana" w:eastAsia="Times New Roman" w:hAnsi="Verdana" w:cs="Arial"/>
        </w:rPr>
        <w:t xml:space="preserve"> en dichos procesos de contratación</w:t>
      </w:r>
      <w:r w:rsidRPr="00527F01">
        <w:rPr>
          <w:rFonts w:ascii="Verdana" w:eastAsia="Times New Roman" w:hAnsi="Verdana" w:cs="Arial"/>
        </w:rPr>
        <w:t xml:space="preserve">. Ahora bien, en el evento en que los lances presentados en la audiencia del </w:t>
      </w:r>
      <w:r w:rsidRPr="00527F01">
        <w:rPr>
          <w:rFonts w:ascii="Verdana" w:eastAsia="Times New Roman" w:hAnsi="Verdana" w:cs="Arial"/>
        </w:rPr>
        <w:lastRenderedPageBreak/>
        <w:t xml:space="preserve">proceso de subasta inversa se evidencian que son precios artificialmente bajos, debe tener en cuenta lo siguiente: i) requerir al oferente con relación a los precios ofertados que parecen bajos, con el fin de que sustente las razones o motivos del valor; </w:t>
      </w:r>
      <w:proofErr w:type="spellStart"/>
      <w:r w:rsidRPr="00527F01">
        <w:rPr>
          <w:rFonts w:ascii="Verdana" w:eastAsia="Times New Roman" w:hAnsi="Verdana" w:cs="Arial"/>
        </w:rPr>
        <w:t>ii</w:t>
      </w:r>
      <w:proofErr w:type="spellEnd"/>
      <w:r w:rsidRPr="00527F01">
        <w:rPr>
          <w:rFonts w:ascii="Verdana" w:eastAsia="Times New Roman" w:hAnsi="Verdana" w:cs="Arial"/>
        </w:rPr>
        <w:t>) a</w:t>
      </w:r>
      <w:r w:rsidRPr="00527F01">
        <w:rPr>
          <w:rFonts w:ascii="Verdana" w:hAnsi="Verdana"/>
        </w:rPr>
        <w:t xml:space="preserve">nalizar las explicaciones del oferente, para verificar si están sustentados en los valores ofrecidos y si son suficientes para ejecutar el contrato; </w:t>
      </w:r>
      <w:proofErr w:type="spellStart"/>
      <w:r w:rsidRPr="00527F01">
        <w:rPr>
          <w:rFonts w:ascii="Verdana" w:hAnsi="Verdana"/>
        </w:rPr>
        <w:t>iii</w:t>
      </w:r>
      <w:proofErr w:type="spellEnd"/>
      <w:r w:rsidRPr="00527F01">
        <w:rPr>
          <w:rFonts w:ascii="Verdana" w:hAnsi="Verdana"/>
        </w:rPr>
        <w:t>) definir si continúa con la evaluación de la oferta, en el sentido de que la explicación demuestra la capacidad del proponente para cumplir adecuadamente con el contrato con los precios ofertados o, si por el contrario, rechaza la oferta porque no fue sustentada</w:t>
      </w:r>
      <w:r>
        <w:rPr>
          <w:rStyle w:val="Refdenotaalpie"/>
          <w:rFonts w:ascii="Verdana" w:hAnsi="Verdana"/>
        </w:rPr>
        <w:footnoteReference w:id="7"/>
      </w:r>
      <w:r w:rsidRPr="00527F01">
        <w:rPr>
          <w:rFonts w:ascii="Verdana" w:hAnsi="Verdana"/>
        </w:rPr>
        <w:t xml:space="preserve">. Esto debe realizarse al finalizar el evento de subasta, de acuerdo con el precio ofrecido al final de esta. </w:t>
      </w:r>
    </w:p>
    <w:p w14:paraId="0567984E" w14:textId="512CBD34" w:rsidR="003937AF" w:rsidRPr="00527F01" w:rsidRDefault="003937AF" w:rsidP="00D14128">
      <w:pPr>
        <w:spacing w:after="120" w:line="276" w:lineRule="auto"/>
        <w:ind w:firstLine="708"/>
        <w:jc w:val="both"/>
        <w:rPr>
          <w:rFonts w:ascii="Verdana" w:eastAsia="Calibri" w:hAnsi="Verdana" w:cs="Arial"/>
        </w:rPr>
      </w:pPr>
      <w:r w:rsidRPr="00527F01">
        <w:rPr>
          <w:rFonts w:ascii="Verdana" w:eastAsia="Calibri" w:hAnsi="Verdana" w:cs="Arial"/>
        </w:rPr>
        <w:t xml:space="preserve">Finalmente, debe advertirse que el análisis requerido para resolver problemas específicos en torno a la verificación de ofertas que puedan resultar artificialmente bajas debe ser realizado por las Entidades.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de adoptar la decisión y, en caso de conflicto, a las autoridades judiciales, fiscales y disciplinarias.  </w:t>
      </w:r>
    </w:p>
    <w:p w14:paraId="724AA2C7" w14:textId="77777777" w:rsidR="003937AF" w:rsidRPr="00E61635" w:rsidRDefault="003937AF" w:rsidP="003937AF">
      <w:pPr>
        <w:widowControl w:val="0"/>
        <w:autoSpaceDE w:val="0"/>
        <w:autoSpaceDN w:val="0"/>
        <w:spacing w:after="0" w:line="276" w:lineRule="auto"/>
        <w:ind w:right="176" w:firstLine="708"/>
        <w:jc w:val="both"/>
        <w:rPr>
          <w:rFonts w:ascii="Verdana" w:hAnsi="Verdana"/>
        </w:rPr>
      </w:pPr>
      <w:r w:rsidRPr="00E61635">
        <w:rPr>
          <w:rFonts w:ascii="Verdana" w:hAnsi="Verdana"/>
        </w:rPr>
        <w:t xml:space="preserve">Dentro de este marco, corresponde a cada </w:t>
      </w:r>
      <w:r w:rsidRPr="005F3B31">
        <w:rPr>
          <w:rFonts w:ascii="Verdana" w:hAnsi="Verdana"/>
        </w:rPr>
        <w:t>entidad pública</w:t>
      </w:r>
      <w:r w:rsidRPr="00E61635">
        <w:rPr>
          <w:rFonts w:ascii="Verdana" w:hAnsi="Verdana"/>
        </w:rPr>
        <w:t>, en ejercicio de su competencia y previa valoración de los elementos fácticos y jurídicos, así como de las disposiciones legales mencionadas,</w:t>
      </w:r>
      <w:r>
        <w:rPr>
          <w:rFonts w:ascii="Verdana" w:hAnsi="Verdana"/>
        </w:rPr>
        <w:t xml:space="preserve"> en la fase de evaluación analizar los precios de las ofertas recibidas. </w:t>
      </w:r>
      <w:r w:rsidRPr="00E61635">
        <w:rPr>
          <w:rFonts w:ascii="Verdana" w:hAnsi="Verdana"/>
        </w:rPr>
        <w:t>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3453A035" w14:textId="77777777" w:rsidR="003937AF" w:rsidRDefault="003937AF" w:rsidP="003937AF">
      <w:pPr>
        <w:spacing w:after="120" w:line="276" w:lineRule="auto"/>
        <w:jc w:val="both"/>
        <w:rPr>
          <w:rFonts w:ascii="Verdana" w:eastAsia="Calibri" w:hAnsi="Verdana" w:cs="Arial"/>
          <w:bCs/>
          <w:lang w:val="es-ES_tradnl"/>
        </w:rPr>
      </w:pPr>
    </w:p>
    <w:p w14:paraId="0735EB19" w14:textId="77777777" w:rsidR="003937AF" w:rsidRPr="006B4516" w:rsidRDefault="003937AF" w:rsidP="003937AF">
      <w:pPr>
        <w:pStyle w:val="Prrafodelista"/>
        <w:numPr>
          <w:ilvl w:val="0"/>
          <w:numId w:val="19"/>
        </w:numPr>
        <w:spacing w:after="120" w:line="276" w:lineRule="auto"/>
        <w:jc w:val="both"/>
        <w:rPr>
          <w:rFonts w:ascii="Verdana" w:eastAsia="Century Gothic" w:hAnsi="Verdana" w:cs="Century Gothic"/>
          <w:b/>
          <w:bCs/>
        </w:rPr>
      </w:pPr>
      <w:r w:rsidRPr="006B4516">
        <w:rPr>
          <w:rFonts w:ascii="Verdana" w:eastAsia="Century Gothic" w:hAnsi="Verdana" w:cs="Century Gothic"/>
          <w:b/>
          <w:bCs/>
        </w:rPr>
        <w:t>Referencias normativas, jurisprudenciales y otras fuentes:</w:t>
      </w: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3937AF" w:rsidRPr="0094448B" w14:paraId="1BF42ECC" w14:textId="77777777" w:rsidTr="00181518">
        <w:trPr>
          <w:trHeight w:val="501"/>
          <w:jc w:val="center"/>
        </w:trPr>
        <w:tc>
          <w:tcPr>
            <w:tcW w:w="8647" w:type="dxa"/>
          </w:tcPr>
          <w:p w14:paraId="3A88C964" w14:textId="77777777" w:rsidR="003937AF" w:rsidRDefault="003937AF" w:rsidP="003937AF">
            <w:pPr>
              <w:widowControl w:val="0"/>
              <w:numPr>
                <w:ilvl w:val="0"/>
                <w:numId w:val="20"/>
              </w:numPr>
              <w:tabs>
                <w:tab w:val="left" w:pos="1181"/>
                <w:tab w:val="left" w:pos="2253"/>
                <w:tab w:val="left" w:pos="2437"/>
                <w:tab w:val="left" w:pos="3171"/>
                <w:tab w:val="left" w:pos="3400"/>
                <w:tab w:val="left" w:pos="3880"/>
                <w:tab w:val="left" w:pos="4036"/>
                <w:tab w:val="left" w:pos="4444"/>
                <w:tab w:val="left" w:pos="5490"/>
                <w:tab w:val="left" w:pos="5741"/>
                <w:tab w:val="left" w:pos="6365"/>
                <w:tab w:val="left" w:pos="6493"/>
                <w:tab w:val="left" w:pos="6589"/>
                <w:tab w:val="left" w:pos="6803"/>
                <w:tab w:val="left" w:pos="7503"/>
                <w:tab w:val="left" w:pos="8035"/>
                <w:tab w:val="left" w:pos="8273"/>
                <w:tab w:val="left" w:pos="8616"/>
              </w:tabs>
              <w:autoSpaceDE w:val="0"/>
              <w:autoSpaceDN w:val="0"/>
              <w:spacing w:before="120" w:after="120" w:line="276" w:lineRule="auto"/>
              <w:jc w:val="both"/>
              <w:rPr>
                <w:rFonts w:ascii="Verdana" w:hAnsi="Verdana"/>
              </w:rPr>
            </w:pPr>
            <w:r w:rsidRPr="005E5B81">
              <w:rPr>
                <w:rFonts w:ascii="Verdana" w:hAnsi="Verdana"/>
              </w:rPr>
              <w:t>Ley 80 de 1993. Artículo 26</w:t>
            </w:r>
          </w:p>
          <w:p w14:paraId="2CA2DAB8" w14:textId="77777777" w:rsidR="003937AF" w:rsidRPr="005E5B81" w:rsidRDefault="003937AF" w:rsidP="003937AF">
            <w:pPr>
              <w:widowControl w:val="0"/>
              <w:numPr>
                <w:ilvl w:val="0"/>
                <w:numId w:val="20"/>
              </w:numPr>
              <w:tabs>
                <w:tab w:val="left" w:pos="1181"/>
                <w:tab w:val="left" w:pos="2253"/>
                <w:tab w:val="left" w:pos="2437"/>
                <w:tab w:val="left" w:pos="3171"/>
                <w:tab w:val="left" w:pos="3400"/>
                <w:tab w:val="left" w:pos="3880"/>
                <w:tab w:val="left" w:pos="4036"/>
                <w:tab w:val="left" w:pos="4444"/>
                <w:tab w:val="left" w:pos="5490"/>
                <w:tab w:val="left" w:pos="5741"/>
                <w:tab w:val="left" w:pos="6365"/>
                <w:tab w:val="left" w:pos="6493"/>
                <w:tab w:val="left" w:pos="6589"/>
                <w:tab w:val="left" w:pos="6803"/>
                <w:tab w:val="left" w:pos="7503"/>
                <w:tab w:val="left" w:pos="8035"/>
                <w:tab w:val="left" w:pos="8273"/>
                <w:tab w:val="left" w:pos="8616"/>
              </w:tabs>
              <w:autoSpaceDE w:val="0"/>
              <w:autoSpaceDN w:val="0"/>
              <w:spacing w:before="120" w:after="120" w:line="276" w:lineRule="auto"/>
              <w:jc w:val="both"/>
              <w:rPr>
                <w:rFonts w:ascii="Verdana" w:hAnsi="Verdana"/>
              </w:rPr>
            </w:pPr>
            <w:r w:rsidRPr="005E5B81">
              <w:rPr>
                <w:rFonts w:ascii="Verdana" w:hAnsi="Verdana"/>
              </w:rPr>
              <w:t>Ley 1150 de 2007, artículo</w:t>
            </w:r>
            <w:r>
              <w:rPr>
                <w:rFonts w:ascii="Verdana" w:hAnsi="Verdana"/>
              </w:rPr>
              <w:t>s</w:t>
            </w:r>
            <w:r w:rsidRPr="005E5B81">
              <w:rPr>
                <w:rFonts w:ascii="Verdana" w:hAnsi="Verdana"/>
              </w:rPr>
              <w:t xml:space="preserve"> 4,</w:t>
            </w:r>
            <w:r>
              <w:rPr>
                <w:rFonts w:ascii="Verdana" w:hAnsi="Verdana"/>
              </w:rPr>
              <w:t xml:space="preserve"> 5 y 7. </w:t>
            </w:r>
          </w:p>
          <w:p w14:paraId="7EAD9311" w14:textId="77777777" w:rsidR="003937AF" w:rsidRPr="00156132" w:rsidRDefault="003937AF" w:rsidP="003937AF">
            <w:pPr>
              <w:widowControl w:val="0"/>
              <w:numPr>
                <w:ilvl w:val="0"/>
                <w:numId w:val="20"/>
              </w:numPr>
              <w:tabs>
                <w:tab w:val="left" w:pos="1181"/>
                <w:tab w:val="left" w:pos="2253"/>
                <w:tab w:val="left" w:pos="2437"/>
                <w:tab w:val="left" w:pos="3171"/>
                <w:tab w:val="left" w:pos="3400"/>
                <w:tab w:val="left" w:pos="3880"/>
                <w:tab w:val="left" w:pos="4036"/>
                <w:tab w:val="left" w:pos="4444"/>
                <w:tab w:val="left" w:pos="5490"/>
                <w:tab w:val="left" w:pos="5741"/>
                <w:tab w:val="left" w:pos="6365"/>
                <w:tab w:val="left" w:pos="6493"/>
                <w:tab w:val="left" w:pos="6589"/>
                <w:tab w:val="left" w:pos="6803"/>
                <w:tab w:val="left" w:pos="7503"/>
                <w:tab w:val="left" w:pos="8035"/>
                <w:tab w:val="left" w:pos="8273"/>
                <w:tab w:val="left" w:pos="8616"/>
              </w:tabs>
              <w:autoSpaceDE w:val="0"/>
              <w:autoSpaceDN w:val="0"/>
              <w:spacing w:before="120" w:after="120" w:line="276" w:lineRule="auto"/>
              <w:jc w:val="both"/>
              <w:rPr>
                <w:rFonts w:ascii="Verdana" w:hAnsi="Verdana"/>
              </w:rPr>
            </w:pPr>
            <w:r w:rsidRPr="005E5B81">
              <w:rPr>
                <w:rFonts w:ascii="Verdana" w:hAnsi="Verdana"/>
              </w:rPr>
              <w:t xml:space="preserve">Decreto 1082 de 2015, artículo 2.2.1.1.2.1.3. numeral 8 y 9 artículo </w:t>
            </w:r>
            <w:r w:rsidRPr="005E5B81">
              <w:rPr>
                <w:rFonts w:ascii="Verdana" w:hAnsi="Verdana"/>
              </w:rPr>
              <w:lastRenderedPageBreak/>
              <w:t>2.2.1.2.3.1.6 y 2.2.1.2.3.1.9., 2.2.1.2.3.1.13., 2.2.1.2.3.1.14</w:t>
            </w:r>
            <w:r>
              <w:rPr>
                <w:rFonts w:ascii="Verdana" w:hAnsi="Verdana"/>
              </w:rPr>
              <w:t xml:space="preserve"> 2.2.1.2.3.2.8. y 2.2.1.2.1.5.5, </w:t>
            </w:r>
            <w:r w:rsidRPr="00156132">
              <w:rPr>
                <w:rFonts w:ascii="Verdana" w:hAnsi="Verdana"/>
                <w:lang w:val="es-ES"/>
              </w:rPr>
              <w:t>2.2.1.1.1.6.1</w:t>
            </w:r>
            <w:r>
              <w:rPr>
                <w:rFonts w:ascii="Verdana" w:hAnsi="Verdana"/>
                <w:lang w:val="es-ES"/>
              </w:rPr>
              <w:t xml:space="preserve">, 2.2.1.1.2.2.3 y 2.2.1.1.2.2.4. </w:t>
            </w:r>
          </w:p>
          <w:p w14:paraId="63EFE54A" w14:textId="77777777" w:rsidR="003937AF" w:rsidRPr="005E5B81" w:rsidRDefault="003937AF" w:rsidP="003937AF">
            <w:pPr>
              <w:widowControl w:val="0"/>
              <w:numPr>
                <w:ilvl w:val="0"/>
                <w:numId w:val="20"/>
              </w:numPr>
              <w:tabs>
                <w:tab w:val="left" w:pos="1181"/>
                <w:tab w:val="left" w:pos="2253"/>
                <w:tab w:val="left" w:pos="2437"/>
                <w:tab w:val="left" w:pos="3171"/>
                <w:tab w:val="left" w:pos="3400"/>
                <w:tab w:val="left" w:pos="3880"/>
                <w:tab w:val="left" w:pos="4036"/>
                <w:tab w:val="left" w:pos="4444"/>
                <w:tab w:val="left" w:pos="5490"/>
                <w:tab w:val="left" w:pos="5741"/>
                <w:tab w:val="left" w:pos="6365"/>
                <w:tab w:val="left" w:pos="6493"/>
                <w:tab w:val="left" w:pos="6589"/>
                <w:tab w:val="left" w:pos="6803"/>
                <w:tab w:val="left" w:pos="7503"/>
                <w:tab w:val="left" w:pos="8035"/>
                <w:tab w:val="left" w:pos="8273"/>
                <w:tab w:val="left" w:pos="8616"/>
              </w:tabs>
              <w:autoSpaceDE w:val="0"/>
              <w:autoSpaceDN w:val="0"/>
              <w:spacing w:before="120" w:after="120" w:line="276" w:lineRule="auto"/>
              <w:jc w:val="both"/>
              <w:rPr>
                <w:rFonts w:ascii="Verdana" w:hAnsi="Verdana"/>
              </w:rPr>
            </w:pPr>
            <w:r w:rsidRPr="005E5B81">
              <w:rPr>
                <w:rFonts w:ascii="Verdana" w:hAnsi="Verdana"/>
              </w:rPr>
              <w:t xml:space="preserve">Código de Comercio, artículos 846, 847 y 1068 </w:t>
            </w:r>
          </w:p>
          <w:p w14:paraId="053C3A4D" w14:textId="77777777" w:rsidR="003937AF" w:rsidRPr="005E5B81" w:rsidRDefault="003937AF" w:rsidP="003937AF">
            <w:pPr>
              <w:widowControl w:val="0"/>
              <w:numPr>
                <w:ilvl w:val="0"/>
                <w:numId w:val="20"/>
              </w:numPr>
              <w:tabs>
                <w:tab w:val="left" w:pos="1181"/>
                <w:tab w:val="left" w:pos="2253"/>
                <w:tab w:val="left" w:pos="2437"/>
                <w:tab w:val="left" w:pos="3171"/>
                <w:tab w:val="left" w:pos="3400"/>
                <w:tab w:val="left" w:pos="3880"/>
                <w:tab w:val="left" w:pos="4036"/>
                <w:tab w:val="left" w:pos="4444"/>
                <w:tab w:val="left" w:pos="5490"/>
                <w:tab w:val="left" w:pos="5741"/>
                <w:tab w:val="left" w:pos="6365"/>
                <w:tab w:val="left" w:pos="6493"/>
                <w:tab w:val="left" w:pos="6589"/>
                <w:tab w:val="left" w:pos="6803"/>
                <w:tab w:val="left" w:pos="7503"/>
                <w:tab w:val="left" w:pos="8035"/>
                <w:tab w:val="left" w:pos="8273"/>
                <w:tab w:val="left" w:pos="8616"/>
              </w:tabs>
              <w:autoSpaceDE w:val="0"/>
              <w:autoSpaceDN w:val="0"/>
              <w:spacing w:before="120" w:after="120" w:line="276" w:lineRule="auto"/>
              <w:jc w:val="both"/>
              <w:rPr>
                <w:rFonts w:ascii="Verdana" w:hAnsi="Verdana"/>
              </w:rPr>
            </w:pPr>
            <w:r w:rsidRPr="005E5B81">
              <w:rPr>
                <w:rFonts w:ascii="Verdana" w:hAnsi="Verdana"/>
              </w:rPr>
              <w:t>CORTE CONSTITUCIONAL. Sentencia C-452 de 1999. M.P. Eduardo Cifuentes Muñoz.</w:t>
            </w:r>
          </w:p>
          <w:p w14:paraId="72955D75" w14:textId="77777777" w:rsidR="003937AF" w:rsidRPr="005E5B81" w:rsidRDefault="003937AF" w:rsidP="003937AF">
            <w:pPr>
              <w:widowControl w:val="0"/>
              <w:numPr>
                <w:ilvl w:val="0"/>
                <w:numId w:val="20"/>
              </w:numPr>
              <w:tabs>
                <w:tab w:val="left" w:pos="1181"/>
                <w:tab w:val="left" w:pos="2253"/>
                <w:tab w:val="left" w:pos="2437"/>
                <w:tab w:val="left" w:pos="3171"/>
                <w:tab w:val="left" w:pos="3400"/>
                <w:tab w:val="left" w:pos="3880"/>
                <w:tab w:val="left" w:pos="4036"/>
                <w:tab w:val="left" w:pos="4444"/>
                <w:tab w:val="left" w:pos="5490"/>
                <w:tab w:val="left" w:pos="5741"/>
                <w:tab w:val="left" w:pos="6365"/>
                <w:tab w:val="left" w:pos="6493"/>
                <w:tab w:val="left" w:pos="6589"/>
                <w:tab w:val="left" w:pos="6803"/>
                <w:tab w:val="left" w:pos="7503"/>
                <w:tab w:val="left" w:pos="8035"/>
                <w:tab w:val="left" w:pos="8273"/>
                <w:tab w:val="left" w:pos="8616"/>
              </w:tabs>
              <w:autoSpaceDE w:val="0"/>
              <w:autoSpaceDN w:val="0"/>
              <w:spacing w:before="120" w:after="120" w:line="276" w:lineRule="auto"/>
              <w:jc w:val="both"/>
              <w:rPr>
                <w:rFonts w:ascii="Verdana" w:hAnsi="Verdana"/>
              </w:rPr>
            </w:pPr>
            <w:r w:rsidRPr="005E5B81">
              <w:rPr>
                <w:rFonts w:ascii="Verdana" w:hAnsi="Verdana"/>
              </w:rPr>
              <w:t xml:space="preserve">CONSEJO DE ESTADO. Sección Tercera. Sentencia del 4 de junio de 2008. </w:t>
            </w:r>
            <w:proofErr w:type="spellStart"/>
            <w:r w:rsidRPr="005E5B81">
              <w:rPr>
                <w:rFonts w:ascii="Verdana" w:hAnsi="Verdana"/>
              </w:rPr>
              <w:t>Exp</w:t>
            </w:r>
            <w:proofErr w:type="spellEnd"/>
            <w:r w:rsidRPr="005E5B81">
              <w:rPr>
                <w:rFonts w:ascii="Verdana" w:hAnsi="Verdana"/>
              </w:rPr>
              <w:t>. No. 17.783. C.P. Myriam Guerrero de Escobar.</w:t>
            </w:r>
          </w:p>
          <w:p w14:paraId="672F4843" w14:textId="77777777" w:rsidR="003937AF" w:rsidRPr="005E5B81" w:rsidRDefault="003937AF" w:rsidP="003937AF">
            <w:pPr>
              <w:widowControl w:val="0"/>
              <w:numPr>
                <w:ilvl w:val="0"/>
                <w:numId w:val="20"/>
              </w:numPr>
              <w:tabs>
                <w:tab w:val="left" w:pos="1181"/>
                <w:tab w:val="left" w:pos="2253"/>
                <w:tab w:val="left" w:pos="2437"/>
                <w:tab w:val="left" w:pos="3171"/>
                <w:tab w:val="left" w:pos="3400"/>
                <w:tab w:val="left" w:pos="3880"/>
                <w:tab w:val="left" w:pos="4036"/>
                <w:tab w:val="left" w:pos="4444"/>
                <w:tab w:val="left" w:pos="5490"/>
                <w:tab w:val="left" w:pos="5741"/>
                <w:tab w:val="left" w:pos="6365"/>
                <w:tab w:val="left" w:pos="6493"/>
                <w:tab w:val="left" w:pos="6589"/>
                <w:tab w:val="left" w:pos="6803"/>
                <w:tab w:val="left" w:pos="7503"/>
                <w:tab w:val="left" w:pos="8035"/>
                <w:tab w:val="left" w:pos="8273"/>
                <w:tab w:val="left" w:pos="8616"/>
              </w:tabs>
              <w:autoSpaceDE w:val="0"/>
              <w:autoSpaceDN w:val="0"/>
              <w:spacing w:before="120" w:after="120" w:line="276" w:lineRule="auto"/>
              <w:jc w:val="both"/>
              <w:rPr>
                <w:rFonts w:ascii="Verdana" w:hAnsi="Verdana"/>
              </w:rPr>
            </w:pPr>
            <w:r w:rsidRPr="00156132">
              <w:rPr>
                <w:rFonts w:ascii="Verdana" w:hAnsi="Verdana"/>
              </w:rPr>
              <w:t xml:space="preserve">AGENCIA NACIONAL DE CONTRATACIÓN PÚBLICA –COLOMBIA COMPRA EFICIENTE. Guía para el manejo de ofertas artificialmente bajas en procesos de contratación. Disponible en línea: </w:t>
            </w:r>
            <w:hyperlink r:id="rId12" w:history="1">
              <w:r w:rsidRPr="00156132">
                <w:rPr>
                  <w:rStyle w:val="Hipervnculo"/>
                  <w:rFonts w:ascii="Verdana" w:hAnsi="Verdana"/>
                </w:rPr>
                <w:t>https://www.colombiacompra.gov.co/archivos/manual/guia-para-el-manejo-de-ofertas-artificialmente-bajas-en-procesos-de-contratacion-2</w:t>
              </w:r>
            </w:hyperlink>
            <w:r w:rsidRPr="00156132">
              <w:rPr>
                <w:rFonts w:ascii="Verdana" w:hAnsi="Verdana"/>
              </w:rPr>
              <w:t xml:space="preserve">. </w:t>
            </w:r>
            <w:r>
              <w:rPr>
                <w:rFonts w:ascii="Verdana" w:hAnsi="Verdana"/>
              </w:rPr>
              <w:t>2024.</w:t>
            </w:r>
          </w:p>
        </w:tc>
      </w:tr>
    </w:tbl>
    <w:p w14:paraId="01B416A3" w14:textId="77777777" w:rsidR="003937AF" w:rsidRPr="0094448B" w:rsidRDefault="003937AF" w:rsidP="003937AF">
      <w:pPr>
        <w:spacing w:after="0" w:line="276" w:lineRule="auto"/>
        <w:ind w:right="709"/>
        <w:jc w:val="both"/>
        <w:rPr>
          <w:rFonts w:ascii="Verdana" w:hAnsi="Verdana" w:cs="Arial"/>
          <w:color w:val="000000" w:themeColor="text1"/>
        </w:rPr>
      </w:pPr>
    </w:p>
    <w:p w14:paraId="74D52C79" w14:textId="77777777" w:rsidR="003937AF" w:rsidRPr="006B4516" w:rsidRDefault="003937AF" w:rsidP="003937AF">
      <w:pPr>
        <w:pStyle w:val="Prrafodelista"/>
        <w:numPr>
          <w:ilvl w:val="0"/>
          <w:numId w:val="19"/>
        </w:numPr>
        <w:spacing w:after="0" w:line="256" w:lineRule="auto"/>
        <w:rPr>
          <w:rFonts w:ascii="Verdana" w:eastAsia="Calibri" w:hAnsi="Verdana" w:cs="Times New Roman"/>
          <w:b/>
          <w:bCs/>
        </w:rPr>
      </w:pPr>
      <w:r w:rsidRPr="006B4516">
        <w:rPr>
          <w:rFonts w:ascii="Verdana" w:eastAsia="Calibri" w:hAnsi="Verdana" w:cs="Times New Roman"/>
          <w:b/>
          <w:bCs/>
        </w:rPr>
        <w:t>Doctrina de la Agencia Nacional de Contratación Pública:</w:t>
      </w:r>
    </w:p>
    <w:p w14:paraId="3118262E" w14:textId="77777777" w:rsidR="003937AF" w:rsidRPr="0094448B" w:rsidRDefault="003937AF" w:rsidP="003937AF">
      <w:pPr>
        <w:widowControl w:val="0"/>
        <w:autoSpaceDE w:val="0"/>
        <w:autoSpaceDN w:val="0"/>
        <w:spacing w:after="0" w:line="276" w:lineRule="auto"/>
        <w:jc w:val="both"/>
        <w:rPr>
          <w:rFonts w:ascii="Verdana" w:hAnsi="Verdana" w:cs="Arial"/>
          <w:bCs/>
          <w:shd w:val="clear" w:color="auto" w:fill="FFFFFF"/>
        </w:rPr>
      </w:pPr>
    </w:p>
    <w:p w14:paraId="067D85CF" w14:textId="245B9F57" w:rsidR="003937AF" w:rsidRPr="005E5B81" w:rsidRDefault="003937AF" w:rsidP="003937AF">
      <w:pPr>
        <w:widowControl w:val="0"/>
        <w:autoSpaceDE w:val="0"/>
        <w:autoSpaceDN w:val="0"/>
        <w:spacing w:after="0" w:line="276" w:lineRule="auto"/>
        <w:jc w:val="both"/>
        <w:rPr>
          <w:rFonts w:ascii="Verdana" w:hAnsi="Verdana" w:cs="Arial"/>
          <w:bCs/>
          <w:shd w:val="clear" w:color="auto" w:fill="FFFFFF"/>
        </w:rPr>
      </w:pPr>
      <w:r w:rsidRPr="0094448B">
        <w:rPr>
          <w:rFonts w:ascii="Verdana" w:hAnsi="Verdana" w:cs="Arial"/>
          <w:bCs/>
          <w:shd w:val="clear" w:color="auto" w:fill="FFFFFF"/>
        </w:rPr>
        <w:t>La Agencia Nacional de Contratación Pública – Colombia Compra Eficiente ha expedido los siguientes conceptos</w:t>
      </w:r>
      <w:r w:rsidR="000F3F42">
        <w:rPr>
          <w:rFonts w:ascii="Verdana" w:hAnsi="Verdana" w:cs="Arial"/>
          <w:bCs/>
          <w:shd w:val="clear" w:color="auto" w:fill="FFFFFF"/>
        </w:rPr>
        <w:t xml:space="preserve"> sobre precios artificialmente bajos en subasta inversa:</w:t>
      </w:r>
      <w:r w:rsidRPr="0094448B">
        <w:rPr>
          <w:rFonts w:ascii="Verdana" w:hAnsi="Verdana" w:cs="Arial"/>
          <w:bCs/>
          <w:shd w:val="clear" w:color="auto" w:fill="FFFFFF"/>
        </w:rPr>
        <w:t xml:space="preserve"> </w:t>
      </w:r>
      <w:r w:rsidRPr="005E5B81">
        <w:rPr>
          <w:rFonts w:ascii="Verdana" w:hAnsi="Verdana" w:cs="Arial"/>
          <w:bCs/>
          <w:shd w:val="clear" w:color="auto" w:fill="FFFFFF"/>
          <w:lang w:val="es-ES"/>
        </w:rPr>
        <w:t xml:space="preserve">C–163 del 31 de marzo de 2020, C–200 del 14 de abril de 2020, C–767 del 7 de enero de 2021, C-205 del 7 de mayo de 2021, C-299 del 14 de mayo de 2022, C-484 de 2022, C-952 del 20 de enero de 2023, C-860 del 27 de diciembre de 2024, C-329 del 25 de abril de 2025, C-573 del 16 de junio de 2025, C-769 de 25 de julio de 2025, </w:t>
      </w:r>
      <w:r>
        <w:rPr>
          <w:rFonts w:ascii="Verdana" w:hAnsi="Verdana" w:cs="Arial"/>
          <w:bCs/>
          <w:shd w:val="clear" w:color="auto" w:fill="FFFFFF"/>
          <w:lang w:val="es-ES"/>
        </w:rPr>
        <w:t>C-1042 del 5 de septiembre de 2025</w:t>
      </w:r>
      <w:r w:rsidR="000F3F42">
        <w:rPr>
          <w:rFonts w:ascii="Verdana" w:hAnsi="Verdana" w:cs="Arial"/>
          <w:bCs/>
          <w:shd w:val="clear" w:color="auto" w:fill="FFFFFF"/>
          <w:lang w:val="es-ES"/>
        </w:rPr>
        <w:t xml:space="preserve"> y C-1069 del 12 de septiembre de 2025</w:t>
      </w:r>
      <w:r>
        <w:rPr>
          <w:rFonts w:ascii="Verdana" w:hAnsi="Verdana" w:cs="Arial"/>
          <w:bCs/>
          <w:shd w:val="clear" w:color="auto" w:fill="FFFFFF"/>
          <w:lang w:val="es-ES"/>
        </w:rPr>
        <w:t xml:space="preserve">, </w:t>
      </w:r>
      <w:r w:rsidRPr="005E5B81">
        <w:rPr>
          <w:rFonts w:ascii="Verdana" w:hAnsi="Verdana" w:cs="Arial"/>
          <w:bCs/>
          <w:shd w:val="clear" w:color="auto" w:fill="FFFFFF"/>
          <w:lang w:val="es-ES"/>
        </w:rPr>
        <w:t>entre otros</w:t>
      </w:r>
      <w:r>
        <w:rPr>
          <w:rFonts w:ascii="Verdana" w:hAnsi="Verdana" w:cs="Arial"/>
          <w:bCs/>
          <w:shd w:val="clear" w:color="auto" w:fill="FFFFFF"/>
          <w:lang w:val="es-ES"/>
        </w:rPr>
        <w:t xml:space="preserve">. </w:t>
      </w:r>
      <w:r w:rsidRPr="0094448B">
        <w:rPr>
          <w:rFonts w:ascii="Verdana" w:eastAsia="Calibri" w:hAnsi="Verdana" w:cs="Times New Roman"/>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w:t>
      </w:r>
    </w:p>
    <w:p w14:paraId="18831A89" w14:textId="77777777" w:rsidR="003937AF" w:rsidRPr="0094448B" w:rsidRDefault="003937AF" w:rsidP="003937AF">
      <w:pPr>
        <w:spacing w:after="0" w:line="256" w:lineRule="auto"/>
        <w:jc w:val="both"/>
        <w:rPr>
          <w:rFonts w:ascii="Verdana" w:eastAsia="Calibri" w:hAnsi="Verdana" w:cs="Times New Roman"/>
        </w:rPr>
      </w:pPr>
      <w:hyperlink r:id="rId13" w:history="1">
        <w:r w:rsidRPr="0094448B">
          <w:rPr>
            <w:rFonts w:ascii="Verdana" w:eastAsia="Calibri" w:hAnsi="Verdana" w:cs="Times New Roman"/>
            <w:color w:val="0000FF"/>
            <w:u w:val="single"/>
            <w:lang w:val="es-ES"/>
          </w:rPr>
          <w:t>https://relatoria.colombiacompra.gov.co/busqueda/conceptos</w:t>
        </w:r>
      </w:hyperlink>
      <w:r w:rsidRPr="0094448B">
        <w:rPr>
          <w:rFonts w:ascii="Verdana" w:eastAsia="Calibri" w:hAnsi="Verdana" w:cs="Times New Roman"/>
        </w:rPr>
        <w:t xml:space="preserve">. </w:t>
      </w:r>
    </w:p>
    <w:p w14:paraId="789DC66B" w14:textId="77777777" w:rsidR="003937AF" w:rsidRPr="0094448B" w:rsidRDefault="003937AF" w:rsidP="003937AF">
      <w:pPr>
        <w:spacing w:after="0" w:line="256" w:lineRule="auto"/>
        <w:jc w:val="both"/>
        <w:rPr>
          <w:rFonts w:ascii="Verdana" w:eastAsia="Calibri" w:hAnsi="Verdana" w:cs="Times New Roman"/>
        </w:rPr>
      </w:pPr>
    </w:p>
    <w:bookmarkEnd w:id="0"/>
    <w:p w14:paraId="096EC24D" w14:textId="77777777" w:rsidR="00340854" w:rsidRPr="00067BB4" w:rsidRDefault="00340854" w:rsidP="00340854">
      <w:pPr>
        <w:spacing w:after="0" w:line="276" w:lineRule="auto"/>
        <w:jc w:val="both"/>
        <w:rPr>
          <w:rFonts w:ascii="Verdana" w:hAnsi="Verdana"/>
        </w:rPr>
      </w:pPr>
      <w:r w:rsidRPr="00067BB4">
        <w:rPr>
          <w:rFonts w:ascii="Verdana" w:hAnsi="Verdana"/>
        </w:rPr>
        <w:t>También le contamos que ya se encuentra disponible la </w:t>
      </w:r>
      <w:r w:rsidRPr="00067BB4">
        <w:rPr>
          <w:rFonts w:ascii="Verdana" w:hAnsi="Verdana"/>
          <w:b/>
          <w:bCs/>
        </w:rPr>
        <w:t>Guía de lineamientos de transparencia y selección objetiva para el departamento de La Guajira – Objetivo sexto constitucional de la Sentencia T-302 del 2017. </w:t>
      </w:r>
      <w:r w:rsidRPr="00067BB4">
        <w:rPr>
          <w:rFonts w:ascii="Verdana" w:hAnsi="Verdana"/>
        </w:rPr>
        <w:t xml:space="preserve">Esta Guía se expedide en el marco del cumplimiento de la orden proferida por la Honorable Corte Constitucional en la Sentencia T-302 del 2017. Con su </w:t>
      </w:r>
      <w:r w:rsidRPr="00067BB4">
        <w:rPr>
          <w:rFonts w:ascii="Verdana" w:hAnsi="Verdana"/>
        </w:rPr>
        <w:lastRenderedPageBreak/>
        <w:t xml:space="preserve">implementación se busca contribuir a la superación del Estado de Cosas Inconstitucional declarado por la situación de vulneración masiva y recurrente de los derechos fundamentales de los niños y de las niñas del Pueblo </w:t>
      </w:r>
      <w:proofErr w:type="spellStart"/>
      <w:r w:rsidRPr="00067BB4">
        <w:rPr>
          <w:rFonts w:ascii="Verdana" w:hAnsi="Verdana"/>
        </w:rPr>
        <w:t>Wayúu</w:t>
      </w:r>
      <w:proofErr w:type="spellEnd"/>
      <w:r w:rsidRPr="00067BB4">
        <w:rPr>
          <w:rFonts w:ascii="Verdana" w:hAnsi="Verdana"/>
        </w:rPr>
        <w:t>. Puede consultar la guía en el siguiente enlace: </w:t>
      </w:r>
      <w:hyperlink r:id="rId14" w:tgtFrame="_blank" w:tooltip="Dirección URL original: https://www.colombiacompra.gov.co/wp-content/uploads/2025/05/GUIA-DE-LINEAMIENTOS-DE-TRANSPARENCIA-Y-SELECCION-OBJETIVA-1.0.pdf. Haga clic o pulse si confía en este vínculo." w:history="1">
        <w:r w:rsidRPr="00067BB4">
          <w:rPr>
            <w:rStyle w:val="Hipervnculo"/>
            <w:rFonts w:ascii="Verdana" w:hAnsi="Verdana"/>
          </w:rPr>
          <w:t>Guía de lineamientos de transparencia y selección objetiva para el departamento de La Guajira – Objetivo sexto constitucional de la Sentencia T-302 del 2017</w:t>
        </w:r>
      </w:hyperlink>
    </w:p>
    <w:p w14:paraId="7920ACBB" w14:textId="77777777" w:rsidR="00340854" w:rsidRPr="00CC5C68" w:rsidRDefault="00340854" w:rsidP="00340854">
      <w:pPr>
        <w:spacing w:after="0" w:line="240" w:lineRule="auto"/>
        <w:jc w:val="both"/>
        <w:rPr>
          <w:rFonts w:ascii="Verdana" w:hAnsi="Verdana"/>
        </w:rPr>
      </w:pPr>
    </w:p>
    <w:p w14:paraId="758F7AF1" w14:textId="77777777" w:rsidR="00340854" w:rsidRPr="00CC5C68" w:rsidRDefault="00340854" w:rsidP="00340854">
      <w:pPr>
        <w:spacing w:after="0" w:line="240" w:lineRule="auto"/>
        <w:jc w:val="both"/>
        <w:rPr>
          <w:rFonts w:ascii="Verdana" w:hAnsi="Verdana"/>
        </w:rPr>
      </w:pPr>
      <w:r w:rsidRPr="00CC5C68">
        <w:rPr>
          <w:rFonts w:ascii="Verdana" w:hAnsi="Verdana"/>
        </w:rPr>
        <w:t xml:space="preserve">Por último, lo invitamos a seguirnos en las redes sociales en las cuales se difunde información institucional: </w:t>
      </w:r>
    </w:p>
    <w:p w14:paraId="1C6C56E1" w14:textId="77777777" w:rsidR="00340854" w:rsidRPr="00CC5C68" w:rsidRDefault="00340854" w:rsidP="00340854">
      <w:pPr>
        <w:spacing w:after="0" w:line="240" w:lineRule="auto"/>
        <w:jc w:val="both"/>
        <w:rPr>
          <w:rFonts w:ascii="Verdana" w:hAnsi="Verdana"/>
        </w:rPr>
      </w:pPr>
    </w:p>
    <w:p w14:paraId="034DBBCD" w14:textId="77777777" w:rsidR="00340854" w:rsidRPr="00CC5C68" w:rsidRDefault="00340854" w:rsidP="00340854">
      <w:pPr>
        <w:spacing w:after="0" w:line="240" w:lineRule="auto"/>
        <w:jc w:val="both"/>
        <w:rPr>
          <w:rFonts w:ascii="Verdana" w:hAnsi="Verdana"/>
        </w:rPr>
      </w:pPr>
      <w:r w:rsidRPr="00CC5C68">
        <w:rPr>
          <w:rFonts w:ascii="Verdana" w:hAnsi="Verdana"/>
        </w:rPr>
        <w:t xml:space="preserve">Twitter: </w:t>
      </w:r>
      <w:r w:rsidRPr="00CC5C68">
        <w:rPr>
          <w:rStyle w:val="Hipervnculo"/>
          <w:rFonts w:ascii="Verdana" w:hAnsi="Verdana"/>
          <w:color w:val="4472C4" w:themeColor="accent1"/>
        </w:rPr>
        <w:t>@colombiacompra</w:t>
      </w:r>
      <w:r w:rsidRPr="00CC5C68">
        <w:rPr>
          <w:rFonts w:ascii="Verdana" w:hAnsi="Verdana"/>
          <w:color w:val="4472C4" w:themeColor="accent1"/>
        </w:rPr>
        <w:t xml:space="preserve"> </w:t>
      </w:r>
    </w:p>
    <w:p w14:paraId="582A5494" w14:textId="77777777" w:rsidR="00340854" w:rsidRPr="00CC5C68" w:rsidRDefault="00340854" w:rsidP="00340854">
      <w:pPr>
        <w:spacing w:after="0" w:line="240" w:lineRule="auto"/>
        <w:jc w:val="both"/>
        <w:rPr>
          <w:rFonts w:ascii="Verdana" w:hAnsi="Verdana"/>
        </w:rPr>
      </w:pPr>
      <w:r w:rsidRPr="00CC5C68">
        <w:rPr>
          <w:rFonts w:ascii="Verdana" w:hAnsi="Verdana"/>
        </w:rPr>
        <w:t xml:space="preserve">Facebook: </w:t>
      </w:r>
      <w:proofErr w:type="spellStart"/>
      <w:r w:rsidRPr="00CC5C68">
        <w:rPr>
          <w:rStyle w:val="Hipervnculo"/>
          <w:rFonts w:ascii="Verdana" w:hAnsi="Verdana"/>
          <w:color w:val="4472C4" w:themeColor="accent1"/>
        </w:rPr>
        <w:t>ColombiaCompraEficiente</w:t>
      </w:r>
      <w:proofErr w:type="spellEnd"/>
    </w:p>
    <w:p w14:paraId="6AFB98F1" w14:textId="77777777" w:rsidR="00340854" w:rsidRPr="00CC5C68" w:rsidRDefault="00340854" w:rsidP="00340854">
      <w:pPr>
        <w:spacing w:after="0" w:line="240" w:lineRule="auto"/>
        <w:jc w:val="both"/>
        <w:rPr>
          <w:rFonts w:ascii="Verdana" w:hAnsi="Verdana"/>
        </w:rPr>
      </w:pPr>
      <w:r w:rsidRPr="00CC5C68">
        <w:rPr>
          <w:rFonts w:ascii="Verdana" w:hAnsi="Verdana"/>
        </w:rPr>
        <w:t xml:space="preserve">LinkedIn: </w:t>
      </w:r>
      <w:r w:rsidRPr="00CC5C68">
        <w:rPr>
          <w:rStyle w:val="Hipervnculo"/>
          <w:rFonts w:ascii="Verdana" w:hAnsi="Verdana"/>
          <w:color w:val="4472C4" w:themeColor="accent1"/>
        </w:rPr>
        <w:t>Agencia Nacional de Contratación Pública - Colombia Compra Eficiente</w:t>
      </w:r>
      <w:r w:rsidRPr="00CC5C68">
        <w:rPr>
          <w:rFonts w:ascii="Verdana" w:hAnsi="Verdana"/>
          <w:color w:val="4472C4" w:themeColor="accent1"/>
        </w:rPr>
        <w:t xml:space="preserve"> </w:t>
      </w:r>
      <w:r w:rsidRPr="00CC5C68">
        <w:rPr>
          <w:rFonts w:ascii="Verdana" w:hAnsi="Verdana"/>
        </w:rPr>
        <w:t xml:space="preserve">Instagram: </w:t>
      </w:r>
      <w:r w:rsidRPr="00CC5C68">
        <w:rPr>
          <w:rStyle w:val="Hipervnculo"/>
          <w:rFonts w:ascii="Verdana" w:hAnsi="Verdana"/>
          <w:color w:val="4472C4" w:themeColor="accent1"/>
        </w:rPr>
        <w:t>@colombiacompraeficiente_cce</w:t>
      </w:r>
    </w:p>
    <w:p w14:paraId="51274AF6" w14:textId="77777777" w:rsidR="00340854" w:rsidRPr="0044528D" w:rsidRDefault="00340854" w:rsidP="00340854">
      <w:pPr>
        <w:widowControl w:val="0"/>
        <w:autoSpaceDE w:val="0"/>
        <w:autoSpaceDN w:val="0"/>
        <w:spacing w:after="0" w:line="276" w:lineRule="auto"/>
        <w:jc w:val="both"/>
        <w:rPr>
          <w:rFonts w:ascii="Verdana" w:hAnsi="Verdana"/>
        </w:rPr>
      </w:pPr>
    </w:p>
    <w:p w14:paraId="6B73B17B" w14:textId="77777777" w:rsidR="00340854" w:rsidRPr="00CC5C68" w:rsidRDefault="00340854" w:rsidP="00340854">
      <w:pPr>
        <w:widowControl w:val="0"/>
        <w:autoSpaceDE w:val="0"/>
        <w:autoSpaceDN w:val="0"/>
        <w:spacing w:after="0" w:line="276" w:lineRule="auto"/>
        <w:jc w:val="both"/>
        <w:rPr>
          <w:rFonts w:ascii="Verdana" w:hAnsi="Verdana" w:cs="Arial"/>
          <w:lang w:val="es-ES_tradnl"/>
        </w:rPr>
      </w:pPr>
      <w:r w:rsidRPr="00CC5C68">
        <w:rPr>
          <w:rFonts w:ascii="Verdana" w:hAnsi="Verdana" w:cs="Arial"/>
        </w:rPr>
        <w:t xml:space="preserve">Este concepto tiene el alcance previsto en el artículo 28 del Código de Procedimiento Administrativo y de lo Contencioso Administrativo </w:t>
      </w:r>
      <w:r w:rsidRPr="00CC5C68">
        <w:rPr>
          <w:rFonts w:ascii="Verdana" w:hAnsi="Verdana" w:cs="Arial"/>
          <w:lang w:val="es-ES_tradnl"/>
        </w:rPr>
        <w:t>y las expresiones aquí utilizadas con mayúscula inicial deben ser entendidas con el significado que les otorga el artículo 2.2.1.1.1.3.1. del Decreto 1082 de 2015.</w:t>
      </w:r>
    </w:p>
    <w:p w14:paraId="506CAE06" w14:textId="77777777" w:rsidR="00340854" w:rsidRPr="00CC5C68" w:rsidRDefault="00340854" w:rsidP="00340854">
      <w:pPr>
        <w:spacing w:after="0" w:line="276" w:lineRule="auto"/>
        <w:ind w:firstLine="709"/>
        <w:jc w:val="both"/>
        <w:rPr>
          <w:rFonts w:ascii="Verdana" w:eastAsia="Times New Roman" w:hAnsi="Verdana" w:cs="Arial"/>
          <w:szCs w:val="24"/>
          <w:lang w:val="es-ES_tradnl" w:eastAsia="es-ES_tradnl"/>
        </w:rPr>
      </w:pPr>
    </w:p>
    <w:p w14:paraId="745CFD35" w14:textId="77777777" w:rsidR="00340854" w:rsidRPr="00CC5C68" w:rsidRDefault="00340854" w:rsidP="00340854">
      <w:pPr>
        <w:spacing w:after="0" w:line="276" w:lineRule="auto"/>
        <w:jc w:val="both"/>
        <w:rPr>
          <w:rFonts w:ascii="Verdana" w:eastAsia="Times New Roman" w:hAnsi="Verdana" w:cs="Arial"/>
          <w:lang w:val="es-ES_tradnl" w:eastAsia="es-CO"/>
        </w:rPr>
      </w:pPr>
      <w:bookmarkStart w:id="1" w:name="_Hlk117695077"/>
      <w:r w:rsidRPr="00CC5C68">
        <w:rPr>
          <w:rFonts w:ascii="Verdana" w:eastAsia="Times New Roman" w:hAnsi="Verdana" w:cs="Arial"/>
          <w:lang w:val="es-ES_tradnl" w:eastAsia="es-CO"/>
        </w:rPr>
        <w:t>Atentamente,</w:t>
      </w:r>
    </w:p>
    <w:bookmarkEnd w:id="1"/>
    <w:p w14:paraId="2E6AE313" w14:textId="6B81F7DD" w:rsidR="00340854" w:rsidRPr="00CC5C68" w:rsidRDefault="00E15BD5" w:rsidP="00340854">
      <w:pPr>
        <w:spacing w:after="18" w:line="240" w:lineRule="auto"/>
        <w:jc w:val="center"/>
        <w:rPr>
          <w:rFonts w:ascii="Verdana" w:eastAsia="Times New Roman" w:hAnsi="Verdana" w:cs="Arial"/>
          <w:sz w:val="24"/>
          <w:szCs w:val="24"/>
          <w:lang w:eastAsia="es-CO"/>
        </w:rPr>
      </w:pPr>
      <w:r>
        <w:rPr>
          <w:noProof/>
        </w:rPr>
        <w:drawing>
          <wp:inline distT="0" distB="0" distL="0" distR="0" wp14:anchorId="740EC2B5" wp14:editId="75508978">
            <wp:extent cx="3771900" cy="1400175"/>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a:picLocks noChangeAspect="1"/>
                    </pic:cNvPicPr>
                  </pic:nvPicPr>
                  <pic:blipFill>
                    <a:blip r:embed="rId15"/>
                    <a:stretch>
                      <a:fillRect/>
                    </a:stretch>
                  </pic:blipFill>
                  <pic:spPr>
                    <a:xfrm>
                      <a:off x="0" y="0"/>
                      <a:ext cx="3771900" cy="1400175"/>
                    </a:xfrm>
                    <a:prstGeom prst="rect">
                      <a:avLst/>
                    </a:prstGeom>
                  </pic:spPr>
                </pic:pic>
              </a:graphicData>
            </a:graphic>
          </wp:inline>
        </w:drawing>
      </w:r>
    </w:p>
    <w:tbl>
      <w:tblPr>
        <w:tblStyle w:val="Tablaconcuadrcula1"/>
        <w:tblpPr w:leftFromText="141" w:rightFromText="141" w:vertAnchor="text" w:horzAnchor="margin" w:tblpY="4"/>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4777"/>
      </w:tblGrid>
      <w:tr w:rsidR="00340854" w:rsidRPr="00CC5C68" w14:paraId="056F1B23" w14:textId="77777777" w:rsidTr="57E0B9D2">
        <w:trPr>
          <w:trHeight w:val="286"/>
        </w:trPr>
        <w:tc>
          <w:tcPr>
            <w:tcW w:w="893" w:type="dxa"/>
            <w:vAlign w:val="center"/>
            <w:hideMark/>
          </w:tcPr>
          <w:p w14:paraId="55961D74" w14:textId="77777777" w:rsidR="00340854" w:rsidRPr="00CC5C68" w:rsidRDefault="00340854" w:rsidP="00947519">
            <w:pPr>
              <w:rPr>
                <w:rFonts w:ascii="Verdana" w:eastAsia="Times New Roman" w:hAnsi="Verdana" w:cs="Arial"/>
                <w:sz w:val="14"/>
                <w:szCs w:val="14"/>
                <w:lang w:eastAsia="es-ES"/>
              </w:rPr>
            </w:pPr>
            <w:r w:rsidRPr="00CC5C68">
              <w:rPr>
                <w:rFonts w:ascii="Verdana" w:eastAsia="Times New Roman" w:hAnsi="Verdana" w:cs="Arial"/>
                <w:sz w:val="16"/>
                <w:szCs w:val="16"/>
                <w:lang w:eastAsia="es-ES"/>
              </w:rPr>
              <w:t>Elaboró:</w:t>
            </w:r>
          </w:p>
        </w:tc>
        <w:tc>
          <w:tcPr>
            <w:tcW w:w="4777" w:type="dxa"/>
            <w:vAlign w:val="center"/>
            <w:hideMark/>
          </w:tcPr>
          <w:p w14:paraId="7AF4C4E7" w14:textId="77777777" w:rsidR="00340854" w:rsidRPr="00CC5C68" w:rsidRDefault="00340854" w:rsidP="00947519">
            <w:pPr>
              <w:rPr>
                <w:rFonts w:ascii="Verdana" w:eastAsia="Times New Roman" w:hAnsi="Verdana" w:cs="Arial"/>
                <w:sz w:val="16"/>
                <w:szCs w:val="16"/>
                <w:lang w:val="es-ES_tradnl" w:eastAsia="es-ES"/>
              </w:rPr>
            </w:pPr>
            <w:r w:rsidRPr="00EC5A97">
              <w:rPr>
                <w:rFonts w:ascii="Verdana" w:eastAsia="Times New Roman" w:hAnsi="Verdana" w:cs="Arial"/>
                <w:sz w:val="16"/>
                <w:szCs w:val="16"/>
                <w:lang w:val="es-ES_tradnl" w:eastAsia="es-ES"/>
              </w:rPr>
              <w:t>Ximena Ríos López</w:t>
            </w:r>
          </w:p>
          <w:p w14:paraId="1B32C2FD" w14:textId="77777777" w:rsidR="00340854" w:rsidRPr="00CC5C68" w:rsidRDefault="00340854" w:rsidP="00947519">
            <w:pPr>
              <w:rPr>
                <w:rFonts w:ascii="Verdana" w:eastAsia="Times New Roman" w:hAnsi="Verdana" w:cs="Arial"/>
                <w:sz w:val="14"/>
                <w:szCs w:val="14"/>
                <w:lang w:eastAsia="es-ES"/>
              </w:rPr>
            </w:pPr>
            <w:r>
              <w:rPr>
                <w:rFonts w:ascii="Verdana" w:eastAsia="Times New Roman" w:hAnsi="Verdana" w:cs="Arial"/>
                <w:sz w:val="16"/>
                <w:szCs w:val="16"/>
                <w:lang w:eastAsia="es-ES"/>
              </w:rPr>
              <w:t>Gestor</w:t>
            </w:r>
            <w:r w:rsidRPr="00CC5C68">
              <w:rPr>
                <w:rFonts w:ascii="Verdana" w:eastAsia="Times New Roman" w:hAnsi="Verdana" w:cs="Arial"/>
                <w:sz w:val="16"/>
                <w:szCs w:val="16"/>
                <w:lang w:eastAsia="es-ES"/>
              </w:rPr>
              <w:t xml:space="preserve"> T</w:t>
            </w:r>
            <w:r>
              <w:rPr>
                <w:rFonts w:ascii="Verdana" w:eastAsia="Times New Roman" w:hAnsi="Verdana" w:cs="Arial"/>
                <w:sz w:val="16"/>
                <w:szCs w:val="16"/>
                <w:lang w:eastAsia="es-ES"/>
              </w:rPr>
              <w:t>1</w:t>
            </w:r>
            <w:r w:rsidRPr="00CC5C68">
              <w:rPr>
                <w:rFonts w:ascii="Verdana" w:eastAsia="Times New Roman" w:hAnsi="Verdana" w:cs="Arial"/>
                <w:sz w:val="16"/>
                <w:szCs w:val="16"/>
                <w:lang w:eastAsia="es-ES"/>
              </w:rPr>
              <w:t>-1</w:t>
            </w:r>
            <w:r>
              <w:rPr>
                <w:rFonts w:ascii="Verdana" w:eastAsia="Times New Roman" w:hAnsi="Verdana" w:cs="Arial"/>
                <w:sz w:val="16"/>
                <w:szCs w:val="16"/>
                <w:lang w:eastAsia="es-ES"/>
              </w:rPr>
              <w:t>1</w:t>
            </w:r>
            <w:r w:rsidRPr="00CC5C68">
              <w:rPr>
                <w:rFonts w:ascii="Verdana" w:eastAsia="Times New Roman" w:hAnsi="Verdana" w:cs="Arial"/>
                <w:sz w:val="16"/>
                <w:szCs w:val="16"/>
                <w:lang w:eastAsia="es-ES"/>
              </w:rPr>
              <w:t xml:space="preserve"> de la Subdirección de Gestión Contractual</w:t>
            </w:r>
          </w:p>
        </w:tc>
      </w:tr>
      <w:tr w:rsidR="00340854" w:rsidRPr="00CC5C68" w14:paraId="73B94BF8" w14:textId="77777777" w:rsidTr="57E0B9D2">
        <w:trPr>
          <w:trHeight w:val="299"/>
        </w:trPr>
        <w:tc>
          <w:tcPr>
            <w:tcW w:w="893" w:type="dxa"/>
            <w:vAlign w:val="center"/>
            <w:hideMark/>
          </w:tcPr>
          <w:p w14:paraId="1270BC2C" w14:textId="77777777" w:rsidR="00340854" w:rsidRPr="00CC5C68" w:rsidRDefault="00340854" w:rsidP="00947519">
            <w:pPr>
              <w:rPr>
                <w:rFonts w:ascii="Verdana" w:eastAsia="Times New Roman" w:hAnsi="Verdana" w:cs="Arial"/>
                <w:sz w:val="14"/>
                <w:szCs w:val="14"/>
                <w:lang w:eastAsia="es-ES"/>
              </w:rPr>
            </w:pPr>
            <w:r w:rsidRPr="00CC5C68">
              <w:rPr>
                <w:rFonts w:ascii="Verdana" w:eastAsia="Times New Roman" w:hAnsi="Verdana" w:cs="Arial"/>
                <w:sz w:val="16"/>
                <w:szCs w:val="16"/>
                <w:lang w:eastAsia="es-ES"/>
              </w:rPr>
              <w:t>Revisó:</w:t>
            </w:r>
          </w:p>
        </w:tc>
        <w:tc>
          <w:tcPr>
            <w:tcW w:w="4777" w:type="dxa"/>
            <w:vAlign w:val="center"/>
            <w:hideMark/>
          </w:tcPr>
          <w:p w14:paraId="09EFAF24" w14:textId="77777777" w:rsidR="00340854" w:rsidRPr="00CC5C68" w:rsidRDefault="00340854" w:rsidP="57E0B9D2">
            <w:pPr>
              <w:rPr>
                <w:rFonts w:ascii="Verdana" w:eastAsia="Times New Roman" w:hAnsi="Verdana" w:cs="Arial"/>
                <w:sz w:val="16"/>
                <w:szCs w:val="16"/>
                <w:lang w:val="es-ES" w:eastAsia="es-ES"/>
              </w:rPr>
            </w:pPr>
            <w:r w:rsidRPr="57E0B9D2">
              <w:rPr>
                <w:rFonts w:ascii="Verdana" w:eastAsia="Times New Roman" w:hAnsi="Verdana" w:cs="Arial"/>
                <w:sz w:val="16"/>
                <w:szCs w:val="16"/>
                <w:lang w:val="es-ES" w:eastAsia="es-ES"/>
              </w:rPr>
              <w:t xml:space="preserve">Juan Carlos </w:t>
            </w:r>
            <w:proofErr w:type="spellStart"/>
            <w:r w:rsidRPr="57E0B9D2">
              <w:rPr>
                <w:rFonts w:ascii="Verdana" w:eastAsia="Times New Roman" w:hAnsi="Verdana" w:cs="Arial"/>
                <w:sz w:val="16"/>
                <w:szCs w:val="16"/>
                <w:lang w:val="es-ES" w:eastAsia="es-ES"/>
              </w:rPr>
              <w:t>Gonzalez</w:t>
            </w:r>
            <w:proofErr w:type="spellEnd"/>
          </w:p>
          <w:p w14:paraId="4B1EB2AC" w14:textId="77777777" w:rsidR="00340854" w:rsidRPr="00CC5C68" w:rsidRDefault="00340854" w:rsidP="00947519">
            <w:pPr>
              <w:rPr>
                <w:rFonts w:ascii="Verdana" w:eastAsia="Times New Roman" w:hAnsi="Verdana" w:cs="Arial"/>
                <w:sz w:val="14"/>
                <w:szCs w:val="14"/>
                <w:lang w:eastAsia="es-ES"/>
              </w:rPr>
            </w:pPr>
            <w:r>
              <w:rPr>
                <w:rFonts w:ascii="Verdana" w:eastAsia="Times New Roman" w:hAnsi="Verdana" w:cs="Arial"/>
                <w:sz w:val="16"/>
                <w:szCs w:val="16"/>
                <w:lang w:eastAsia="es-ES"/>
              </w:rPr>
              <w:t>Contratista</w:t>
            </w:r>
            <w:r w:rsidRPr="00CC5C68">
              <w:rPr>
                <w:rFonts w:ascii="Verdana" w:eastAsia="Times New Roman" w:hAnsi="Verdana" w:cs="Arial"/>
                <w:sz w:val="16"/>
                <w:szCs w:val="16"/>
                <w:lang w:eastAsia="es-ES"/>
              </w:rPr>
              <w:t xml:space="preserve"> de la Subdirección de Gestión Contractual</w:t>
            </w:r>
          </w:p>
        </w:tc>
      </w:tr>
      <w:tr w:rsidR="00340854" w:rsidRPr="00CC5C68" w14:paraId="7533E393" w14:textId="77777777" w:rsidTr="57E0B9D2">
        <w:trPr>
          <w:trHeight w:val="272"/>
        </w:trPr>
        <w:tc>
          <w:tcPr>
            <w:tcW w:w="893" w:type="dxa"/>
            <w:vAlign w:val="center"/>
            <w:hideMark/>
          </w:tcPr>
          <w:p w14:paraId="26A460FB" w14:textId="77777777" w:rsidR="00340854" w:rsidRPr="00CC5C68" w:rsidRDefault="00340854" w:rsidP="00947519">
            <w:pPr>
              <w:rPr>
                <w:rFonts w:ascii="Verdana" w:eastAsia="Times New Roman" w:hAnsi="Verdana" w:cs="Arial"/>
                <w:sz w:val="14"/>
                <w:szCs w:val="14"/>
                <w:lang w:eastAsia="es-ES"/>
              </w:rPr>
            </w:pPr>
            <w:r w:rsidRPr="00CC5C68">
              <w:rPr>
                <w:rFonts w:ascii="Verdana" w:eastAsia="Times New Roman" w:hAnsi="Verdana" w:cs="Arial"/>
                <w:sz w:val="16"/>
                <w:szCs w:val="16"/>
                <w:lang w:eastAsia="es-ES"/>
              </w:rPr>
              <w:t>Aprobó:</w:t>
            </w:r>
          </w:p>
        </w:tc>
        <w:tc>
          <w:tcPr>
            <w:tcW w:w="4777" w:type="dxa"/>
            <w:vAlign w:val="center"/>
            <w:hideMark/>
          </w:tcPr>
          <w:p w14:paraId="0B2948A4" w14:textId="77777777" w:rsidR="00340854" w:rsidRPr="00CC5C68" w:rsidRDefault="00340854" w:rsidP="00947519">
            <w:pPr>
              <w:rPr>
                <w:rFonts w:ascii="Verdana" w:eastAsia="Times New Roman" w:hAnsi="Verdana" w:cs="Arial"/>
                <w:sz w:val="16"/>
                <w:szCs w:val="16"/>
                <w:lang w:eastAsia="es-ES"/>
              </w:rPr>
            </w:pPr>
            <w:r w:rsidRPr="00CC5C68">
              <w:rPr>
                <w:rFonts w:ascii="Verdana" w:eastAsia="Times New Roman" w:hAnsi="Verdana" w:cs="Arial"/>
                <w:sz w:val="16"/>
                <w:szCs w:val="16"/>
                <w:lang w:eastAsia="es-ES"/>
              </w:rPr>
              <w:t xml:space="preserve">Carolina Quintero </w:t>
            </w:r>
            <w:proofErr w:type="spellStart"/>
            <w:r w:rsidRPr="00CC5C68">
              <w:rPr>
                <w:rFonts w:ascii="Verdana" w:eastAsia="Times New Roman" w:hAnsi="Verdana" w:cs="Arial"/>
                <w:sz w:val="16"/>
                <w:szCs w:val="16"/>
                <w:lang w:eastAsia="es-ES"/>
              </w:rPr>
              <w:t>Gacharná</w:t>
            </w:r>
            <w:proofErr w:type="spellEnd"/>
          </w:p>
          <w:p w14:paraId="49D46BAF" w14:textId="77777777" w:rsidR="00340854" w:rsidRPr="00CC5C68" w:rsidRDefault="00340854" w:rsidP="00947519">
            <w:pPr>
              <w:rPr>
                <w:rFonts w:ascii="Verdana" w:eastAsia="Times New Roman" w:hAnsi="Verdana" w:cs="Arial"/>
                <w:sz w:val="14"/>
                <w:szCs w:val="14"/>
                <w:lang w:eastAsia="es-ES"/>
              </w:rPr>
            </w:pPr>
            <w:r w:rsidRPr="00CC5C68">
              <w:rPr>
                <w:rFonts w:ascii="Verdana" w:eastAsia="Times New Roman" w:hAnsi="Verdana" w:cs="Arial"/>
                <w:sz w:val="16"/>
                <w:szCs w:val="16"/>
                <w:lang w:eastAsia="es-ES"/>
              </w:rPr>
              <w:t>Subdirectora de Gestión Contractual ANCP – CCE</w:t>
            </w:r>
          </w:p>
        </w:tc>
      </w:tr>
    </w:tbl>
    <w:p w14:paraId="62AE77C9" w14:textId="77777777" w:rsidR="00340854" w:rsidRPr="00CC5C68" w:rsidRDefault="00340854" w:rsidP="00340854">
      <w:pPr>
        <w:spacing w:after="0" w:line="276" w:lineRule="auto"/>
        <w:jc w:val="both"/>
        <w:rPr>
          <w:rFonts w:ascii="Verdana" w:eastAsia="Times New Roman" w:hAnsi="Verdana" w:cs="Arial"/>
          <w:lang w:val="es-ES_tradnl"/>
        </w:rPr>
      </w:pPr>
    </w:p>
    <w:p w14:paraId="5A363DBF" w14:textId="77777777" w:rsidR="00340854" w:rsidRPr="00CC5C68" w:rsidRDefault="00340854" w:rsidP="00340854">
      <w:pPr>
        <w:spacing w:after="0" w:line="240" w:lineRule="auto"/>
        <w:rPr>
          <w:rFonts w:ascii="Verdana" w:eastAsia="Times New Roman" w:hAnsi="Verdana" w:cs="Arial"/>
          <w:sz w:val="24"/>
          <w:szCs w:val="24"/>
          <w:lang w:eastAsia="es-ES_tradnl"/>
        </w:rPr>
      </w:pPr>
    </w:p>
    <w:p w14:paraId="6DEBBF85" w14:textId="77777777" w:rsidR="00340854" w:rsidRPr="00CC5C68" w:rsidRDefault="00340854" w:rsidP="00340854">
      <w:pPr>
        <w:rPr>
          <w:rFonts w:ascii="Verdana" w:hAnsi="Verdana"/>
        </w:rPr>
      </w:pPr>
    </w:p>
    <w:p w14:paraId="081F4A2E" w14:textId="77777777" w:rsidR="00340854" w:rsidRPr="002A2C48" w:rsidRDefault="00340854" w:rsidP="00340854"/>
    <w:p w14:paraId="549C8A29" w14:textId="3345C394" w:rsidR="007B5D8B" w:rsidRPr="003937AF" w:rsidRDefault="007B5D8B" w:rsidP="00340854">
      <w:pPr>
        <w:spacing w:after="0"/>
        <w:jc w:val="both"/>
      </w:pPr>
    </w:p>
    <w:sectPr w:rsidR="007B5D8B" w:rsidRPr="003937AF" w:rsidSect="007C0C0F">
      <w:headerReference w:type="default" r:id="rId16"/>
      <w:footerReference w:type="default" r:id="rId17"/>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C29BDDB" w14:textId="77777777" w:rsidR="00B63469" w:rsidRDefault="00B63469" w:rsidP="004A1847">
      <w:pPr>
        <w:spacing w:after="0" w:line="240" w:lineRule="auto"/>
      </w:pPr>
      <w:r>
        <w:separator/>
      </w:r>
    </w:p>
  </w:endnote>
  <w:endnote w:type="continuationSeparator" w:id="0">
    <w:p w14:paraId="6343D4A3" w14:textId="77777777" w:rsidR="00B63469" w:rsidRDefault="00B63469" w:rsidP="004A1847">
      <w:pPr>
        <w:spacing w:after="0" w:line="240" w:lineRule="auto"/>
      </w:pPr>
      <w:r>
        <w:continuationSeparator/>
      </w:r>
    </w:p>
  </w:endnote>
  <w:endnote w:type="continuationNotice" w:id="1">
    <w:p w14:paraId="336A0169" w14:textId="77777777" w:rsidR="00B63469" w:rsidRDefault="00B6346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Segoe UI">
    <w:panose1 w:val="020B0502040204020203"/>
    <w:charset w:val="00"/>
    <w:family w:val="swiss"/>
    <w:pitch w:val="variable"/>
    <w:sig w:usb0="E4002EFF" w:usb1="C000E47F" w:usb2="00000009" w:usb3="00000000" w:csb0="000001FF" w:csb1="00000000"/>
  </w:font>
  <w:font w:name="Arial MT">
    <w:altName w:val="Arial"/>
    <w:charset w:val="01"/>
    <w:family w:val="swiss"/>
    <w:pitch w:val="variable"/>
  </w:font>
  <w:font w:name="Aptos">
    <w:charset w:val="00"/>
    <w:family w:val="swiss"/>
    <w:pitch w:val="variable"/>
    <w:sig w:usb0="20000287" w:usb1="00000003" w:usb2="00000000" w:usb3="00000000" w:csb0="0000019F" w:csb1="00000000"/>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Arial Nova">
    <w:altName w:val="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AB4F28" w:rsidRDefault="00AB4F28">
    <w:pPr>
      <w:pStyle w:val="Piedepgina"/>
    </w:pPr>
  </w:p>
  <w:p w14:paraId="594D6D9F" w14:textId="5E34B4CC" w:rsidR="00AB4F28" w:rsidRPr="00174B77" w:rsidRDefault="00AB4F2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FD2400">
      <w:rPr>
        <w:rFonts w:ascii="Verdana" w:eastAsia="MS Gothic" w:hAnsi="Verdana" w:cs="Times New Roman"/>
        <w:b/>
        <w:bCs/>
        <w:sz w:val="16"/>
        <w:szCs w:val="16"/>
        <w:lang w:val="es-ES"/>
      </w:rPr>
      <w:t xml:space="preserve">pág. </w:t>
    </w:r>
    <w:r w:rsidRPr="00FD2400">
      <w:rPr>
        <w:rFonts w:ascii="Verdana" w:eastAsia="MS Mincho" w:hAnsi="Verdana"/>
        <w:b/>
        <w:bCs/>
        <w:sz w:val="16"/>
        <w:szCs w:val="16"/>
      </w:rPr>
      <w:fldChar w:fldCharType="begin"/>
    </w:r>
    <w:r w:rsidRPr="002E1330">
      <w:rPr>
        <w:rFonts w:ascii="Verdana" w:hAnsi="Verdana"/>
        <w:b/>
        <w:bCs/>
        <w:sz w:val="16"/>
        <w:szCs w:val="16"/>
      </w:rPr>
      <w:instrText>PAGE    \* MERGEFORMAT</w:instrText>
    </w:r>
    <w:r w:rsidRPr="00FD2400">
      <w:rPr>
        <w:rFonts w:ascii="Verdana" w:eastAsia="MS Mincho" w:hAnsi="Verdana"/>
        <w:b/>
        <w:bCs/>
        <w:sz w:val="16"/>
        <w:szCs w:val="16"/>
      </w:rPr>
      <w:fldChar w:fldCharType="separate"/>
    </w:r>
    <w:r w:rsidR="00045B98" w:rsidRPr="00045B98">
      <w:rPr>
        <w:rFonts w:ascii="Verdana" w:eastAsia="MS Mincho" w:hAnsi="Verdana"/>
        <w:b/>
        <w:bCs/>
        <w:noProof/>
        <w:sz w:val="16"/>
        <w:szCs w:val="16"/>
      </w:rPr>
      <w:t>3</w:t>
    </w:r>
    <w:r w:rsidRPr="00FD2400">
      <w:rPr>
        <w:rFonts w:ascii="Verdana" w:eastAsia="MS Gothic" w:hAnsi="Verdana" w:cs="Times New Roman"/>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AB4F28" w:rsidRDefault="00AB4F2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AB4F28" w:rsidRPr="00E41027" w:rsidRDefault="00AB4F2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AB4F28" w:rsidRDefault="00AB4F2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Pr="004A305D">
      <w:rPr>
        <w:rFonts w:ascii="Century Gothic" w:eastAsia="Geo" w:hAnsi="Century Gothic" w:cs="Geo"/>
        <w:b/>
        <w:color w:val="000000"/>
        <w:sz w:val="16"/>
        <w:szCs w:val="16"/>
        <w:lang w:eastAsia="es-CO"/>
      </w:rPr>
      <w:t xml:space="preserve">Código: </w:t>
    </w:r>
    <w:r w:rsidRPr="004A305D">
      <w:rPr>
        <w:rFonts w:ascii="Century Gothic" w:eastAsia="Geo" w:hAnsi="Century Gothic" w:cs="Geo"/>
        <w:bCs/>
        <w:color w:val="000000"/>
        <w:sz w:val="16"/>
        <w:szCs w:val="16"/>
        <w:lang w:eastAsia="es-CO"/>
      </w:rPr>
      <w:t>CCE-</w:t>
    </w:r>
    <w:r>
      <w:rPr>
        <w:rFonts w:ascii="Century Gothic" w:eastAsia="Geo" w:hAnsi="Century Gothic" w:cs="Geo"/>
        <w:bCs/>
        <w:color w:val="000000"/>
        <w:sz w:val="16"/>
        <w:szCs w:val="16"/>
        <w:lang w:eastAsia="es-CO"/>
      </w:rPr>
      <w:t>REC</w:t>
    </w:r>
    <w:r w:rsidRPr="004A305D">
      <w:rPr>
        <w:rFonts w:ascii="Century Gothic" w:eastAsia="Geo" w:hAnsi="Century Gothic" w:cs="Geo"/>
        <w:bCs/>
        <w:color w:val="000000"/>
        <w:sz w:val="16"/>
        <w:szCs w:val="16"/>
        <w:lang w:eastAsia="es-CO"/>
      </w:rPr>
      <w:t>-FM-</w:t>
    </w:r>
    <w:r>
      <w:rPr>
        <w:rFonts w:ascii="Century Gothic" w:eastAsia="Geo" w:hAnsi="Century Gothic" w:cs="Geo"/>
        <w:bCs/>
        <w:color w:val="000000"/>
        <w:sz w:val="16"/>
        <w:szCs w:val="16"/>
        <w:lang w:eastAsia="es-CO"/>
      </w:rPr>
      <w:t xml:space="preserve">17 </w:t>
    </w:r>
    <w:r w:rsidRPr="004A305D">
      <w:rPr>
        <w:rFonts w:ascii="Century Gothic" w:eastAsia="Geo" w:hAnsi="Century Gothic" w:cs="Geo"/>
        <w:b/>
        <w:color w:val="000000"/>
        <w:sz w:val="16"/>
        <w:szCs w:val="16"/>
        <w:lang w:eastAsia="es-CO"/>
      </w:rPr>
      <w:t>Versión</w:t>
    </w:r>
    <w:r w:rsidRPr="004A305D">
      <w:rPr>
        <w:rFonts w:ascii="Century Gothic" w:eastAsia="Arial Nova" w:hAnsi="Century Gothic" w:cs="Arial Nova"/>
        <w:b/>
        <w:color w:val="000000"/>
        <w:sz w:val="16"/>
        <w:szCs w:val="16"/>
        <w:lang w:eastAsia="es-CO"/>
      </w:rPr>
      <w:t xml:space="preserve">: </w:t>
    </w:r>
    <w:r w:rsidRPr="004A305D">
      <w:rPr>
        <w:rFonts w:ascii="Century Gothic" w:eastAsia="Geo" w:hAnsi="Century Gothic" w:cs="Geo"/>
        <w:sz w:val="16"/>
        <w:szCs w:val="16"/>
        <w:lang w:eastAsia="es-CO"/>
      </w:rPr>
      <w:t>0</w:t>
    </w:r>
    <w:r>
      <w:rPr>
        <w:rFonts w:ascii="Century Gothic" w:eastAsia="Geo" w:hAnsi="Century Gothic" w:cs="Geo"/>
        <w:sz w:val="16"/>
        <w:szCs w:val="16"/>
        <w:lang w:eastAsia="es-CO"/>
      </w:rPr>
      <w:t>2</w:t>
    </w:r>
    <w:r w:rsidRPr="004A305D">
      <w:rPr>
        <w:rFonts w:ascii="Century Gothic" w:eastAsia="Geo" w:hAnsi="Century Gothic" w:cs="Geo"/>
        <w:sz w:val="16"/>
        <w:szCs w:val="16"/>
        <w:lang w:eastAsia="es-CO"/>
      </w:rPr>
      <w:t xml:space="preserve"> </w:t>
    </w:r>
    <w:r>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64A6558" w14:textId="77777777" w:rsidR="00B63469" w:rsidRDefault="00B63469" w:rsidP="004A1847">
      <w:pPr>
        <w:spacing w:after="0" w:line="240" w:lineRule="auto"/>
      </w:pPr>
      <w:r>
        <w:separator/>
      </w:r>
    </w:p>
  </w:footnote>
  <w:footnote w:type="continuationSeparator" w:id="0">
    <w:p w14:paraId="7ACBB387" w14:textId="77777777" w:rsidR="00B63469" w:rsidRDefault="00B63469" w:rsidP="004A1847">
      <w:pPr>
        <w:spacing w:after="0" w:line="240" w:lineRule="auto"/>
      </w:pPr>
      <w:r>
        <w:continuationSeparator/>
      </w:r>
    </w:p>
  </w:footnote>
  <w:footnote w:type="continuationNotice" w:id="1">
    <w:p w14:paraId="40854B40" w14:textId="77777777" w:rsidR="00B63469" w:rsidRDefault="00B63469">
      <w:pPr>
        <w:spacing w:after="0" w:line="240" w:lineRule="auto"/>
      </w:pPr>
    </w:p>
  </w:footnote>
  <w:footnote w:id="2">
    <w:p w14:paraId="0B944D94" w14:textId="77777777" w:rsidR="003937AF" w:rsidRPr="00666BAC" w:rsidRDefault="003937AF" w:rsidP="003937AF">
      <w:pPr>
        <w:spacing w:after="0" w:line="240" w:lineRule="auto"/>
        <w:ind w:firstLine="709"/>
        <w:jc w:val="both"/>
        <w:rPr>
          <w:rFonts w:ascii="Verdana" w:hAnsi="Verdana"/>
          <w:sz w:val="16"/>
          <w:szCs w:val="16"/>
        </w:rPr>
      </w:pPr>
      <w:r w:rsidRPr="00666BAC">
        <w:rPr>
          <w:rStyle w:val="Refdenotaalpie"/>
          <w:rFonts w:ascii="Verdana" w:hAnsi="Verdana"/>
          <w:sz w:val="16"/>
          <w:szCs w:val="16"/>
        </w:rPr>
        <w:footnoteRef/>
      </w:r>
      <w:r w:rsidRPr="00666BAC">
        <w:rPr>
          <w:rFonts w:ascii="Verdana" w:hAnsi="Verdana"/>
          <w:sz w:val="16"/>
          <w:szCs w:val="16"/>
        </w:rPr>
        <w:t xml:space="preserve"> Ley 80 de 1993: “Artículo 26. Del Principio de Responsabilidad. En virtud de este principio:</w:t>
      </w:r>
    </w:p>
    <w:p w14:paraId="5370DB97" w14:textId="77777777" w:rsidR="003937AF" w:rsidRPr="00666BAC" w:rsidRDefault="003937AF" w:rsidP="003937AF">
      <w:pPr>
        <w:spacing w:after="0" w:line="240" w:lineRule="auto"/>
        <w:ind w:firstLine="709"/>
        <w:jc w:val="both"/>
        <w:rPr>
          <w:rFonts w:ascii="Verdana" w:hAnsi="Verdana"/>
          <w:sz w:val="16"/>
          <w:szCs w:val="16"/>
        </w:rPr>
      </w:pPr>
      <w:r w:rsidRPr="00666BAC">
        <w:rPr>
          <w:rFonts w:ascii="Verdana" w:hAnsi="Verdana"/>
          <w:sz w:val="16"/>
          <w:szCs w:val="16"/>
        </w:rPr>
        <w:t>[…]</w:t>
      </w:r>
    </w:p>
    <w:p w14:paraId="2BA50BDE" w14:textId="77777777" w:rsidR="003937AF" w:rsidRPr="00666BAC" w:rsidRDefault="003937AF" w:rsidP="003937AF">
      <w:pPr>
        <w:spacing w:after="0" w:line="240" w:lineRule="auto"/>
        <w:ind w:firstLine="709"/>
        <w:jc w:val="both"/>
        <w:rPr>
          <w:rFonts w:ascii="Verdana" w:hAnsi="Verdana"/>
          <w:sz w:val="16"/>
          <w:szCs w:val="16"/>
        </w:rPr>
      </w:pPr>
      <w:r w:rsidRPr="00666BAC">
        <w:rPr>
          <w:rFonts w:ascii="Verdana" w:hAnsi="Verdana"/>
          <w:sz w:val="16"/>
          <w:szCs w:val="16"/>
        </w:rPr>
        <w:t>6o. Los contratistas responderán cuando formulen propuestas en las que se fijen condiciones económicas y de contratación artificialmente bajas con el propósito de obtener la adjudicación del contrato”.</w:t>
      </w:r>
    </w:p>
  </w:footnote>
  <w:footnote w:id="3">
    <w:p w14:paraId="75C51F95" w14:textId="77777777" w:rsidR="003937AF" w:rsidRPr="00666BAC" w:rsidRDefault="003937AF" w:rsidP="003937AF">
      <w:pPr>
        <w:pStyle w:val="Textonotapie"/>
        <w:ind w:firstLine="709"/>
        <w:jc w:val="both"/>
        <w:rPr>
          <w:rFonts w:ascii="Verdana" w:hAnsi="Verdana" w:cs="Arial"/>
          <w:sz w:val="16"/>
          <w:szCs w:val="16"/>
        </w:rPr>
      </w:pPr>
      <w:r w:rsidRPr="00666BAC">
        <w:rPr>
          <w:rStyle w:val="Refdenotaalpie"/>
          <w:rFonts w:ascii="Verdana" w:hAnsi="Verdana" w:cs="Arial"/>
          <w:sz w:val="16"/>
          <w:szCs w:val="16"/>
        </w:rPr>
        <w:footnoteRef/>
      </w:r>
      <w:r w:rsidRPr="00666BAC">
        <w:rPr>
          <w:rFonts w:ascii="Verdana" w:hAnsi="Verdana" w:cs="Arial"/>
          <w:sz w:val="16"/>
          <w:szCs w:val="16"/>
        </w:rPr>
        <w:t xml:space="preserve"> Decreto 1082 de 2015: </w:t>
      </w:r>
      <w:r w:rsidRPr="00666BAC">
        <w:rPr>
          <w:rFonts w:ascii="Verdana" w:eastAsia="Times New Roman" w:hAnsi="Verdana" w:cs="Arial"/>
          <w:sz w:val="16"/>
          <w:szCs w:val="16"/>
          <w:lang w:val="es-CO"/>
        </w:rPr>
        <w:t>“</w:t>
      </w:r>
      <w:r w:rsidRPr="00666BAC">
        <w:rPr>
          <w:rFonts w:ascii="Verdana" w:hAnsi="Verdana" w:cs="Arial"/>
          <w:sz w:val="16"/>
          <w:szCs w:val="16"/>
        </w:rPr>
        <w:t>Artículo 2.2.1.1.2.2.3. Comité evaluador. La Entidad Estatal puede designar un comité evaluador conformado por servidores públicos o por particulares contratados para el efecto para evaluar las ofertas y las manifestaciones de interés para cada Proceso de Contratación por licitación, selección abreviada y concurso de méritos. El comité evaluador debe realizar su labor de manera objetiva, ciñéndose exclusivamente a las reglas contenidas en los pliegos de condiciones. El carácter asesor del comité no lo exime de la responsabilidad del ejercicio de la labor encomendada. En el evento en el cual la Entidad Estatal no acoja la recomendación efectuada por el comité evaluador, debe justificar su decisión.</w:t>
      </w:r>
    </w:p>
    <w:p w14:paraId="26599276" w14:textId="77777777" w:rsidR="003937AF" w:rsidRPr="00666BAC" w:rsidRDefault="003937AF" w:rsidP="003937AF">
      <w:pPr>
        <w:pStyle w:val="Textonotapie"/>
        <w:ind w:firstLine="709"/>
        <w:jc w:val="both"/>
        <w:rPr>
          <w:rFonts w:ascii="Verdana" w:hAnsi="Verdana" w:cs="Arial"/>
          <w:sz w:val="16"/>
          <w:szCs w:val="16"/>
        </w:rPr>
      </w:pPr>
      <w:r w:rsidRPr="00666BAC">
        <w:rPr>
          <w:rFonts w:ascii="Verdana" w:hAnsi="Verdana" w:cs="Arial"/>
          <w:sz w:val="16"/>
          <w:szCs w:val="16"/>
        </w:rPr>
        <w:t>Los miembros del comité evaluador están sujetos al régimen de inhabilidades e incompatibilidades y conflicto de interés previstos en la Constitución y la ley.</w:t>
      </w:r>
    </w:p>
    <w:p w14:paraId="5554921B" w14:textId="77777777" w:rsidR="003937AF" w:rsidRPr="00666BAC" w:rsidRDefault="003937AF" w:rsidP="003937AF">
      <w:pPr>
        <w:pStyle w:val="Textonotapie"/>
        <w:ind w:firstLine="709"/>
        <w:jc w:val="both"/>
        <w:rPr>
          <w:rFonts w:ascii="Verdana" w:hAnsi="Verdana" w:cs="Arial"/>
          <w:sz w:val="16"/>
          <w:szCs w:val="16"/>
          <w:lang w:val="es-ES"/>
        </w:rPr>
      </w:pPr>
      <w:r w:rsidRPr="00666BAC">
        <w:rPr>
          <w:rFonts w:ascii="Verdana" w:hAnsi="Verdana" w:cs="Arial"/>
          <w:sz w:val="16"/>
          <w:szCs w:val="16"/>
        </w:rPr>
        <w:t>La verificación y la evaluación de las ofertas para la mínima cuantía será adelantada por quien sea designado por el ordenador del gasto sin que se requiera un comité plural”.</w:t>
      </w:r>
    </w:p>
  </w:footnote>
  <w:footnote w:id="4">
    <w:p w14:paraId="2875FC76" w14:textId="77777777" w:rsidR="003937AF" w:rsidRPr="00666BAC" w:rsidRDefault="003937AF" w:rsidP="003937AF">
      <w:pPr>
        <w:pStyle w:val="Textonotapie"/>
        <w:ind w:firstLine="708"/>
        <w:jc w:val="both"/>
        <w:rPr>
          <w:rFonts w:ascii="Verdana" w:hAnsi="Verdana"/>
          <w:sz w:val="16"/>
          <w:szCs w:val="16"/>
          <w:lang w:val="es-ES"/>
        </w:rPr>
      </w:pPr>
      <w:r w:rsidRPr="00666BAC">
        <w:rPr>
          <w:rStyle w:val="Refdenotaalpie"/>
          <w:rFonts w:ascii="Verdana" w:hAnsi="Verdana"/>
          <w:sz w:val="16"/>
          <w:szCs w:val="16"/>
        </w:rPr>
        <w:footnoteRef/>
      </w:r>
      <w:r w:rsidRPr="00666BAC">
        <w:rPr>
          <w:rFonts w:ascii="Verdana" w:hAnsi="Verdana"/>
          <w:sz w:val="16"/>
          <w:szCs w:val="16"/>
        </w:rPr>
        <w:t xml:space="preserve"> AGENCIA NACIONAL DE CONTRATACIÓN PÚBLICA –COLOMBIA COMPRA EFICIENTE. Guía para el manejo de ofertas artificialmente bajas en procesos de contratación. Disponible en línea: </w:t>
      </w:r>
      <w:hyperlink r:id="rId1" w:history="1">
        <w:r w:rsidRPr="00666BAC">
          <w:rPr>
            <w:rStyle w:val="Hipervnculo"/>
            <w:rFonts w:ascii="Verdana" w:hAnsi="Verdana"/>
            <w:sz w:val="16"/>
            <w:szCs w:val="16"/>
          </w:rPr>
          <w:t>https://www.colombiacompra.gov.co/archivos/manual/guia-para-el-manejo-de-ofertas-artificialmente-bajas-en-procesos-de-contratacion-2</w:t>
        </w:r>
      </w:hyperlink>
      <w:r w:rsidRPr="00666BAC">
        <w:rPr>
          <w:rFonts w:ascii="Verdana" w:hAnsi="Verdana"/>
          <w:sz w:val="16"/>
          <w:szCs w:val="16"/>
        </w:rPr>
        <w:t xml:space="preserve">. 2024. p.14. </w:t>
      </w:r>
    </w:p>
  </w:footnote>
  <w:footnote w:id="5">
    <w:p w14:paraId="51630EDC" w14:textId="77777777" w:rsidR="003937AF" w:rsidRPr="00666BAC" w:rsidRDefault="003937AF" w:rsidP="003937AF">
      <w:pPr>
        <w:pStyle w:val="Textonotapie"/>
        <w:ind w:firstLine="708"/>
        <w:rPr>
          <w:rFonts w:ascii="Verdana" w:hAnsi="Verdana"/>
          <w:sz w:val="16"/>
          <w:szCs w:val="16"/>
          <w:lang w:val="es-ES"/>
        </w:rPr>
      </w:pPr>
      <w:r w:rsidRPr="00666BAC">
        <w:rPr>
          <w:rStyle w:val="Refdenotaalpie"/>
          <w:rFonts w:ascii="Verdana" w:hAnsi="Verdana"/>
          <w:sz w:val="16"/>
          <w:szCs w:val="16"/>
        </w:rPr>
        <w:footnoteRef/>
      </w:r>
      <w:r w:rsidRPr="00666BAC">
        <w:rPr>
          <w:rFonts w:ascii="Verdana" w:hAnsi="Verdana"/>
          <w:sz w:val="16"/>
          <w:szCs w:val="16"/>
        </w:rPr>
        <w:t xml:space="preserve"> Ibídem., p. 14. </w:t>
      </w:r>
    </w:p>
  </w:footnote>
  <w:footnote w:id="6">
    <w:p w14:paraId="603DFF83" w14:textId="77777777" w:rsidR="003937AF" w:rsidRPr="00666BAC" w:rsidRDefault="003937AF" w:rsidP="003937AF">
      <w:pPr>
        <w:pStyle w:val="Textonotapie"/>
        <w:ind w:firstLine="708"/>
        <w:rPr>
          <w:rFonts w:ascii="Verdana" w:hAnsi="Verdana"/>
          <w:sz w:val="16"/>
          <w:szCs w:val="16"/>
          <w:lang w:val="es-ES"/>
        </w:rPr>
      </w:pPr>
      <w:r w:rsidRPr="00666BAC">
        <w:rPr>
          <w:rStyle w:val="Refdenotaalpie"/>
          <w:rFonts w:ascii="Verdana" w:hAnsi="Verdana"/>
          <w:sz w:val="16"/>
          <w:szCs w:val="16"/>
        </w:rPr>
        <w:footnoteRef/>
      </w:r>
      <w:r w:rsidRPr="00666BAC">
        <w:rPr>
          <w:rFonts w:ascii="Verdana" w:hAnsi="Verdana"/>
          <w:sz w:val="16"/>
          <w:szCs w:val="16"/>
        </w:rPr>
        <w:t xml:space="preserve"> Ibídem., p. 15. </w:t>
      </w:r>
    </w:p>
  </w:footnote>
  <w:footnote w:id="7">
    <w:p w14:paraId="45802C84" w14:textId="77777777" w:rsidR="003937AF" w:rsidRPr="00666BAC" w:rsidRDefault="003937AF" w:rsidP="003937AF">
      <w:pPr>
        <w:pStyle w:val="Textonotapie"/>
        <w:ind w:firstLine="708"/>
        <w:rPr>
          <w:rFonts w:ascii="Verdana" w:hAnsi="Verdana"/>
          <w:sz w:val="16"/>
          <w:szCs w:val="16"/>
          <w:lang w:val="es-ES"/>
        </w:rPr>
      </w:pPr>
      <w:r w:rsidRPr="00666BAC">
        <w:rPr>
          <w:rStyle w:val="Refdenotaalpie"/>
          <w:rFonts w:ascii="Verdana" w:hAnsi="Verdana"/>
          <w:sz w:val="16"/>
          <w:szCs w:val="16"/>
        </w:rPr>
        <w:footnoteRef/>
      </w:r>
      <w:r w:rsidRPr="00666BAC">
        <w:rPr>
          <w:rFonts w:ascii="Verdana" w:hAnsi="Verdana"/>
          <w:sz w:val="16"/>
          <w:szCs w:val="16"/>
        </w:rPr>
        <w:t xml:space="preserve"> Ibidem., p. 16.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AB4F28" w:rsidRDefault="00AB4F28">
    <w:pPr>
      <w:pStyle w:val="Encabezado"/>
    </w:pPr>
    <w:r>
      <w:rPr>
        <w:rFonts w:ascii="Geomanist Bold" w:hAnsi="Geomanist Bold"/>
        <w:b/>
        <w:bCs/>
        <w:noProof/>
        <w:color w:val="002060"/>
        <w:sz w:val="24"/>
        <w:szCs w:val="24"/>
        <w:lang w:val="en-US"/>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lang w:val="en-US"/>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AB4F28" w:rsidRDefault="00AB4F28">
    <w:pPr>
      <w:pStyle w:val="Encabezado"/>
    </w:pPr>
  </w:p>
  <w:p w14:paraId="3079FC11" w14:textId="77777777" w:rsidR="00AB4F28" w:rsidRDefault="00AB4F28" w:rsidP="004A305D">
    <w:pPr>
      <w:spacing w:after="0"/>
      <w:rPr>
        <w:rFonts w:ascii="Verdana" w:hAnsi="Verdana"/>
        <w:b/>
        <w:bCs/>
      </w:rPr>
    </w:pPr>
  </w:p>
  <w:p w14:paraId="5E18350A" w14:textId="705F7B76" w:rsidR="00AB4F28" w:rsidRPr="004A305D" w:rsidRDefault="00AB4F28" w:rsidP="00B01B1A">
    <w:pPr>
      <w:spacing w:after="0" w:line="120" w:lineRule="auto"/>
      <w:rPr>
        <w:rFonts w:ascii="Century Gothic" w:eastAsia="Geo" w:hAnsi="Century Gothic" w:cs="Geo"/>
        <w:sz w:val="16"/>
        <w:szCs w:val="16"/>
        <w:lang w:eastAsia="es-CO"/>
      </w:rPr>
    </w:pPr>
  </w:p>
  <w:p w14:paraId="1FD1C243" w14:textId="6D74A3CF" w:rsidR="00AB4F28" w:rsidRDefault="00AB4F28"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1.25pt;height:11.25pt;visibility:visible;mso-wrap-style:square" o:bullet="t">
        <v:imagedata r:id="rId1" o:title=""/>
      </v:shape>
    </w:pict>
  </w:numPicBullet>
  <w:abstractNum w:abstractNumId="0" w15:restartNumberingAfterBreak="0">
    <w:nsid w:val="B900BDFC"/>
    <w:multiLevelType w:val="hybridMultilevel"/>
    <w:tmpl w:val="2B856CC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2"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4" w15:restartNumberingAfterBreak="0">
    <w:nsid w:val="0B1C6819"/>
    <w:multiLevelType w:val="multilevel"/>
    <w:tmpl w:val="A35A4E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101D5810"/>
    <w:multiLevelType w:val="multilevel"/>
    <w:tmpl w:val="2F0C24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117A1800"/>
    <w:multiLevelType w:val="hybridMultilevel"/>
    <w:tmpl w:val="9C3292AA"/>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7" w15:restartNumberingAfterBreak="0">
    <w:nsid w:val="18BB7509"/>
    <w:multiLevelType w:val="multilevel"/>
    <w:tmpl w:val="69F442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2BCD0247"/>
    <w:multiLevelType w:val="multilevel"/>
    <w:tmpl w:val="2D4C02A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2D5425A2"/>
    <w:multiLevelType w:val="hybridMultilevel"/>
    <w:tmpl w:val="58DEB14A"/>
    <w:lvl w:ilvl="0" w:tplc="E4762024">
      <w:start w:val="1"/>
      <w:numFmt w:val="upperRoman"/>
      <w:lvlText w:val="%1."/>
      <w:lvlJc w:val="left"/>
      <w:pPr>
        <w:ind w:left="1080" w:hanging="720"/>
      </w:pPr>
      <w:rPr>
        <w:rFonts w:hint="default"/>
        <w:lang w:val="es-CO"/>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1" w15:restartNumberingAfterBreak="0">
    <w:nsid w:val="30F736BA"/>
    <w:multiLevelType w:val="hybridMultilevel"/>
    <w:tmpl w:val="8B64E5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3"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5" w15:restartNumberingAfterBreak="0">
    <w:nsid w:val="36644CDA"/>
    <w:multiLevelType w:val="hybridMultilevel"/>
    <w:tmpl w:val="1B341B84"/>
    <w:lvl w:ilvl="0" w:tplc="04090001">
      <w:start w:val="1"/>
      <w:numFmt w:val="bullet"/>
      <w:lvlText w:val=""/>
      <w:lvlJc w:val="left"/>
      <w:pPr>
        <w:ind w:left="1429" w:hanging="360"/>
      </w:pPr>
      <w:rPr>
        <w:rFonts w:ascii="Symbol" w:hAnsi="Symbol" w:hint="default"/>
      </w:rPr>
    </w:lvl>
    <w:lvl w:ilvl="1" w:tplc="04090003" w:tentative="1">
      <w:start w:val="1"/>
      <w:numFmt w:val="bullet"/>
      <w:lvlText w:val="o"/>
      <w:lvlJc w:val="left"/>
      <w:pPr>
        <w:ind w:left="2149" w:hanging="360"/>
      </w:pPr>
      <w:rPr>
        <w:rFonts w:ascii="Courier New" w:hAnsi="Courier New" w:cs="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cs="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cs="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16" w15:restartNumberingAfterBreak="0">
    <w:nsid w:val="36E11F12"/>
    <w:multiLevelType w:val="hybridMultilevel"/>
    <w:tmpl w:val="7D5A6E06"/>
    <w:lvl w:ilvl="0" w:tplc="040A0001">
      <w:start w:val="1"/>
      <w:numFmt w:val="bullet"/>
      <w:lvlText w:val=""/>
      <w:lvlJc w:val="left"/>
      <w:pPr>
        <w:ind w:left="2149" w:hanging="360"/>
      </w:pPr>
      <w:rPr>
        <w:rFonts w:ascii="Symbol" w:hAnsi="Symbol" w:hint="default"/>
      </w:rPr>
    </w:lvl>
    <w:lvl w:ilvl="1" w:tplc="04090003" w:tentative="1">
      <w:start w:val="1"/>
      <w:numFmt w:val="bullet"/>
      <w:lvlText w:val="o"/>
      <w:lvlJc w:val="left"/>
      <w:pPr>
        <w:ind w:left="2869" w:hanging="360"/>
      </w:pPr>
      <w:rPr>
        <w:rFonts w:ascii="Courier New" w:hAnsi="Courier New" w:cs="Courier New" w:hint="default"/>
      </w:rPr>
    </w:lvl>
    <w:lvl w:ilvl="2" w:tplc="04090005" w:tentative="1">
      <w:start w:val="1"/>
      <w:numFmt w:val="bullet"/>
      <w:lvlText w:val=""/>
      <w:lvlJc w:val="left"/>
      <w:pPr>
        <w:ind w:left="3589" w:hanging="360"/>
      </w:pPr>
      <w:rPr>
        <w:rFonts w:ascii="Wingdings" w:hAnsi="Wingdings" w:hint="default"/>
      </w:rPr>
    </w:lvl>
    <w:lvl w:ilvl="3" w:tplc="04090001" w:tentative="1">
      <w:start w:val="1"/>
      <w:numFmt w:val="bullet"/>
      <w:lvlText w:val=""/>
      <w:lvlJc w:val="left"/>
      <w:pPr>
        <w:ind w:left="4309" w:hanging="360"/>
      </w:pPr>
      <w:rPr>
        <w:rFonts w:ascii="Symbol" w:hAnsi="Symbol" w:hint="default"/>
      </w:rPr>
    </w:lvl>
    <w:lvl w:ilvl="4" w:tplc="04090003" w:tentative="1">
      <w:start w:val="1"/>
      <w:numFmt w:val="bullet"/>
      <w:lvlText w:val="o"/>
      <w:lvlJc w:val="left"/>
      <w:pPr>
        <w:ind w:left="5029" w:hanging="360"/>
      </w:pPr>
      <w:rPr>
        <w:rFonts w:ascii="Courier New" w:hAnsi="Courier New" w:cs="Courier New" w:hint="default"/>
      </w:rPr>
    </w:lvl>
    <w:lvl w:ilvl="5" w:tplc="04090005" w:tentative="1">
      <w:start w:val="1"/>
      <w:numFmt w:val="bullet"/>
      <w:lvlText w:val=""/>
      <w:lvlJc w:val="left"/>
      <w:pPr>
        <w:ind w:left="5749" w:hanging="360"/>
      </w:pPr>
      <w:rPr>
        <w:rFonts w:ascii="Wingdings" w:hAnsi="Wingdings" w:hint="default"/>
      </w:rPr>
    </w:lvl>
    <w:lvl w:ilvl="6" w:tplc="04090001" w:tentative="1">
      <w:start w:val="1"/>
      <w:numFmt w:val="bullet"/>
      <w:lvlText w:val=""/>
      <w:lvlJc w:val="left"/>
      <w:pPr>
        <w:ind w:left="6469" w:hanging="360"/>
      </w:pPr>
      <w:rPr>
        <w:rFonts w:ascii="Symbol" w:hAnsi="Symbol" w:hint="default"/>
      </w:rPr>
    </w:lvl>
    <w:lvl w:ilvl="7" w:tplc="04090003" w:tentative="1">
      <w:start w:val="1"/>
      <w:numFmt w:val="bullet"/>
      <w:lvlText w:val="o"/>
      <w:lvlJc w:val="left"/>
      <w:pPr>
        <w:ind w:left="7189" w:hanging="360"/>
      </w:pPr>
      <w:rPr>
        <w:rFonts w:ascii="Courier New" w:hAnsi="Courier New" w:cs="Courier New" w:hint="default"/>
      </w:rPr>
    </w:lvl>
    <w:lvl w:ilvl="8" w:tplc="04090005" w:tentative="1">
      <w:start w:val="1"/>
      <w:numFmt w:val="bullet"/>
      <w:lvlText w:val=""/>
      <w:lvlJc w:val="left"/>
      <w:pPr>
        <w:ind w:left="7909" w:hanging="360"/>
      </w:pPr>
      <w:rPr>
        <w:rFonts w:ascii="Wingdings" w:hAnsi="Wingdings" w:hint="default"/>
      </w:rPr>
    </w:lvl>
  </w:abstractNum>
  <w:abstractNum w:abstractNumId="1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0" w15:restartNumberingAfterBreak="0">
    <w:nsid w:val="490472F2"/>
    <w:multiLevelType w:val="hybridMultilevel"/>
    <w:tmpl w:val="167ABF28"/>
    <w:lvl w:ilvl="0" w:tplc="0AC2F006">
      <w:numFmt w:val="bullet"/>
      <w:lvlText w:val=""/>
      <w:lvlJc w:val="left"/>
      <w:pPr>
        <w:ind w:left="1181" w:hanging="360"/>
      </w:pPr>
      <w:rPr>
        <w:rFonts w:ascii="Symbol" w:eastAsia="Symbol" w:hAnsi="Symbol" w:cs="Symbol" w:hint="default"/>
        <w:b w:val="0"/>
        <w:bCs w:val="0"/>
        <w:i w:val="0"/>
        <w:iCs w:val="0"/>
        <w:spacing w:val="0"/>
        <w:w w:val="100"/>
        <w:sz w:val="22"/>
        <w:szCs w:val="22"/>
        <w:lang w:val="es-ES" w:eastAsia="en-US" w:bidi="ar-SA"/>
      </w:rPr>
    </w:lvl>
    <w:lvl w:ilvl="1" w:tplc="B3B6F79E">
      <w:numFmt w:val="bullet"/>
      <w:lvlText w:val="•"/>
      <w:lvlJc w:val="left"/>
      <w:pPr>
        <w:ind w:left="1998" w:hanging="360"/>
      </w:pPr>
      <w:rPr>
        <w:rFonts w:hint="default"/>
        <w:lang w:val="es-ES" w:eastAsia="en-US" w:bidi="ar-SA"/>
      </w:rPr>
    </w:lvl>
    <w:lvl w:ilvl="2" w:tplc="0B3C5E0E">
      <w:numFmt w:val="bullet"/>
      <w:lvlText w:val="•"/>
      <w:lvlJc w:val="left"/>
      <w:pPr>
        <w:ind w:left="2816" w:hanging="360"/>
      </w:pPr>
      <w:rPr>
        <w:rFonts w:hint="default"/>
        <w:lang w:val="es-ES" w:eastAsia="en-US" w:bidi="ar-SA"/>
      </w:rPr>
    </w:lvl>
    <w:lvl w:ilvl="3" w:tplc="B7862390">
      <w:numFmt w:val="bullet"/>
      <w:lvlText w:val="•"/>
      <w:lvlJc w:val="left"/>
      <w:pPr>
        <w:ind w:left="3634" w:hanging="360"/>
      </w:pPr>
      <w:rPr>
        <w:rFonts w:hint="default"/>
        <w:lang w:val="es-ES" w:eastAsia="en-US" w:bidi="ar-SA"/>
      </w:rPr>
    </w:lvl>
    <w:lvl w:ilvl="4" w:tplc="90E87D84">
      <w:numFmt w:val="bullet"/>
      <w:lvlText w:val="•"/>
      <w:lvlJc w:val="left"/>
      <w:pPr>
        <w:ind w:left="4452" w:hanging="360"/>
      </w:pPr>
      <w:rPr>
        <w:rFonts w:hint="default"/>
        <w:lang w:val="es-ES" w:eastAsia="en-US" w:bidi="ar-SA"/>
      </w:rPr>
    </w:lvl>
    <w:lvl w:ilvl="5" w:tplc="9BE638DC">
      <w:numFmt w:val="bullet"/>
      <w:lvlText w:val="•"/>
      <w:lvlJc w:val="left"/>
      <w:pPr>
        <w:ind w:left="5270" w:hanging="360"/>
      </w:pPr>
      <w:rPr>
        <w:rFonts w:hint="default"/>
        <w:lang w:val="es-ES" w:eastAsia="en-US" w:bidi="ar-SA"/>
      </w:rPr>
    </w:lvl>
    <w:lvl w:ilvl="6" w:tplc="994A4E1C">
      <w:numFmt w:val="bullet"/>
      <w:lvlText w:val="•"/>
      <w:lvlJc w:val="left"/>
      <w:pPr>
        <w:ind w:left="6088" w:hanging="360"/>
      </w:pPr>
      <w:rPr>
        <w:rFonts w:hint="default"/>
        <w:lang w:val="es-ES" w:eastAsia="en-US" w:bidi="ar-SA"/>
      </w:rPr>
    </w:lvl>
    <w:lvl w:ilvl="7" w:tplc="1E40C10C">
      <w:numFmt w:val="bullet"/>
      <w:lvlText w:val="•"/>
      <w:lvlJc w:val="left"/>
      <w:pPr>
        <w:ind w:left="6906" w:hanging="360"/>
      </w:pPr>
      <w:rPr>
        <w:rFonts w:hint="default"/>
        <w:lang w:val="es-ES" w:eastAsia="en-US" w:bidi="ar-SA"/>
      </w:rPr>
    </w:lvl>
    <w:lvl w:ilvl="8" w:tplc="9874411C">
      <w:numFmt w:val="bullet"/>
      <w:lvlText w:val="•"/>
      <w:lvlJc w:val="left"/>
      <w:pPr>
        <w:ind w:left="7724" w:hanging="360"/>
      </w:pPr>
      <w:rPr>
        <w:rFonts w:hint="default"/>
        <w:lang w:val="es-ES" w:eastAsia="en-US" w:bidi="ar-SA"/>
      </w:rPr>
    </w:lvl>
  </w:abstractNum>
  <w:abstractNum w:abstractNumId="21" w15:restartNumberingAfterBreak="0">
    <w:nsid w:val="4AA7326E"/>
    <w:multiLevelType w:val="multilevel"/>
    <w:tmpl w:val="5CE2D418"/>
    <w:lvl w:ilvl="0">
      <w:start w:val="1"/>
      <w:numFmt w:val="decimal"/>
      <w:lvlText w:val="%1."/>
      <w:lvlJc w:val="left"/>
      <w:pPr>
        <w:ind w:left="480" w:hanging="360"/>
      </w:pPr>
      <w:rPr>
        <w:rFonts w:ascii="Arial" w:eastAsia="Arial" w:hAnsi="Arial" w:cs="Arial" w:hint="default"/>
        <w:b/>
        <w:bCs/>
        <w:color w:val="4E4D4D"/>
        <w:spacing w:val="-8"/>
        <w:w w:val="100"/>
        <w:sz w:val="22"/>
        <w:szCs w:val="22"/>
        <w:lang w:val="es-ES" w:eastAsia="en-US" w:bidi="ar-SA"/>
      </w:rPr>
    </w:lvl>
    <w:lvl w:ilvl="1">
      <w:start w:val="1"/>
      <w:numFmt w:val="decimal"/>
      <w:lvlText w:val="%1.%2"/>
      <w:lvlJc w:val="left"/>
      <w:pPr>
        <w:ind w:left="688" w:hanging="578"/>
      </w:pPr>
      <w:rPr>
        <w:rFonts w:ascii="Arial" w:eastAsia="Arial" w:hAnsi="Arial" w:cs="Arial" w:hint="default"/>
        <w:b/>
        <w:bCs/>
        <w:color w:val="4E4D4D"/>
        <w:spacing w:val="-3"/>
        <w:w w:val="100"/>
        <w:sz w:val="22"/>
        <w:szCs w:val="22"/>
        <w:lang w:val="es-ES" w:eastAsia="en-US" w:bidi="ar-SA"/>
      </w:rPr>
    </w:lvl>
    <w:lvl w:ilvl="2">
      <w:start w:val="1"/>
      <w:numFmt w:val="lowerLetter"/>
      <w:lvlText w:val="%3)"/>
      <w:lvlJc w:val="left"/>
      <w:pPr>
        <w:ind w:left="800" w:hanging="325"/>
      </w:pPr>
      <w:rPr>
        <w:rFonts w:ascii="Arial" w:eastAsia="Arial" w:hAnsi="Arial" w:cs="Arial" w:hint="default"/>
        <w:color w:val="000000" w:themeColor="text1"/>
        <w:spacing w:val="-3"/>
        <w:w w:val="100"/>
        <w:sz w:val="22"/>
        <w:szCs w:val="22"/>
        <w:lang w:val="es-ES" w:eastAsia="en-US" w:bidi="ar-SA"/>
      </w:rPr>
    </w:lvl>
    <w:lvl w:ilvl="3">
      <w:numFmt w:val="bullet"/>
      <w:lvlText w:val="•"/>
      <w:lvlJc w:val="left"/>
      <w:pPr>
        <w:ind w:left="1845" w:hanging="325"/>
      </w:pPr>
      <w:rPr>
        <w:rFonts w:hint="default"/>
        <w:lang w:val="es-ES" w:eastAsia="en-US" w:bidi="ar-SA"/>
      </w:rPr>
    </w:lvl>
    <w:lvl w:ilvl="4">
      <w:numFmt w:val="bullet"/>
      <w:lvlText w:val="•"/>
      <w:lvlJc w:val="left"/>
      <w:pPr>
        <w:ind w:left="2890" w:hanging="325"/>
      </w:pPr>
      <w:rPr>
        <w:rFonts w:hint="default"/>
        <w:lang w:val="es-ES" w:eastAsia="en-US" w:bidi="ar-SA"/>
      </w:rPr>
    </w:lvl>
    <w:lvl w:ilvl="5">
      <w:numFmt w:val="bullet"/>
      <w:lvlText w:val="•"/>
      <w:lvlJc w:val="left"/>
      <w:pPr>
        <w:ind w:left="3935" w:hanging="325"/>
      </w:pPr>
      <w:rPr>
        <w:rFonts w:hint="default"/>
        <w:lang w:val="es-ES" w:eastAsia="en-US" w:bidi="ar-SA"/>
      </w:rPr>
    </w:lvl>
    <w:lvl w:ilvl="6">
      <w:numFmt w:val="bullet"/>
      <w:lvlText w:val="•"/>
      <w:lvlJc w:val="left"/>
      <w:pPr>
        <w:ind w:left="4980" w:hanging="325"/>
      </w:pPr>
      <w:rPr>
        <w:rFonts w:hint="default"/>
        <w:lang w:val="es-ES" w:eastAsia="en-US" w:bidi="ar-SA"/>
      </w:rPr>
    </w:lvl>
    <w:lvl w:ilvl="7">
      <w:numFmt w:val="bullet"/>
      <w:lvlText w:val="•"/>
      <w:lvlJc w:val="left"/>
      <w:pPr>
        <w:ind w:left="6025" w:hanging="325"/>
      </w:pPr>
      <w:rPr>
        <w:rFonts w:hint="default"/>
        <w:lang w:val="es-ES" w:eastAsia="en-US" w:bidi="ar-SA"/>
      </w:rPr>
    </w:lvl>
    <w:lvl w:ilvl="8">
      <w:numFmt w:val="bullet"/>
      <w:lvlText w:val="•"/>
      <w:lvlJc w:val="left"/>
      <w:pPr>
        <w:ind w:left="7070" w:hanging="325"/>
      </w:pPr>
      <w:rPr>
        <w:rFonts w:hint="default"/>
        <w:lang w:val="es-ES" w:eastAsia="en-US" w:bidi="ar-SA"/>
      </w:rPr>
    </w:lvl>
  </w:abstractNum>
  <w:abstractNum w:abstractNumId="22" w15:restartNumberingAfterBreak="0">
    <w:nsid w:val="522C350D"/>
    <w:multiLevelType w:val="hybridMultilevel"/>
    <w:tmpl w:val="89B6917E"/>
    <w:lvl w:ilvl="0" w:tplc="A7B2FCBE">
      <w:start w:val="1"/>
      <w:numFmt w:val="decimal"/>
      <w:lvlText w:val="%1."/>
      <w:lvlJc w:val="left"/>
      <w:pPr>
        <w:ind w:left="1494" w:hanging="360"/>
      </w:pPr>
      <w:rPr>
        <w:rFonts w:hint="default"/>
      </w:rPr>
    </w:lvl>
    <w:lvl w:ilvl="1" w:tplc="240A0019" w:tentative="1">
      <w:start w:val="1"/>
      <w:numFmt w:val="lowerLetter"/>
      <w:lvlText w:val="%2."/>
      <w:lvlJc w:val="left"/>
      <w:pPr>
        <w:ind w:left="2214" w:hanging="360"/>
      </w:pPr>
    </w:lvl>
    <w:lvl w:ilvl="2" w:tplc="240A001B" w:tentative="1">
      <w:start w:val="1"/>
      <w:numFmt w:val="lowerRoman"/>
      <w:lvlText w:val="%3."/>
      <w:lvlJc w:val="right"/>
      <w:pPr>
        <w:ind w:left="2934" w:hanging="180"/>
      </w:pPr>
    </w:lvl>
    <w:lvl w:ilvl="3" w:tplc="240A000F" w:tentative="1">
      <w:start w:val="1"/>
      <w:numFmt w:val="decimal"/>
      <w:lvlText w:val="%4."/>
      <w:lvlJc w:val="left"/>
      <w:pPr>
        <w:ind w:left="3654" w:hanging="360"/>
      </w:pPr>
    </w:lvl>
    <w:lvl w:ilvl="4" w:tplc="240A0019" w:tentative="1">
      <w:start w:val="1"/>
      <w:numFmt w:val="lowerLetter"/>
      <w:lvlText w:val="%5."/>
      <w:lvlJc w:val="left"/>
      <w:pPr>
        <w:ind w:left="4374" w:hanging="360"/>
      </w:pPr>
    </w:lvl>
    <w:lvl w:ilvl="5" w:tplc="240A001B" w:tentative="1">
      <w:start w:val="1"/>
      <w:numFmt w:val="lowerRoman"/>
      <w:lvlText w:val="%6."/>
      <w:lvlJc w:val="right"/>
      <w:pPr>
        <w:ind w:left="5094" w:hanging="180"/>
      </w:pPr>
    </w:lvl>
    <w:lvl w:ilvl="6" w:tplc="240A000F" w:tentative="1">
      <w:start w:val="1"/>
      <w:numFmt w:val="decimal"/>
      <w:lvlText w:val="%7."/>
      <w:lvlJc w:val="left"/>
      <w:pPr>
        <w:ind w:left="5814" w:hanging="360"/>
      </w:pPr>
    </w:lvl>
    <w:lvl w:ilvl="7" w:tplc="240A0019" w:tentative="1">
      <w:start w:val="1"/>
      <w:numFmt w:val="lowerLetter"/>
      <w:lvlText w:val="%8."/>
      <w:lvlJc w:val="left"/>
      <w:pPr>
        <w:ind w:left="6534" w:hanging="360"/>
      </w:pPr>
    </w:lvl>
    <w:lvl w:ilvl="8" w:tplc="240A001B" w:tentative="1">
      <w:start w:val="1"/>
      <w:numFmt w:val="lowerRoman"/>
      <w:lvlText w:val="%9."/>
      <w:lvlJc w:val="right"/>
      <w:pPr>
        <w:ind w:left="7254" w:hanging="180"/>
      </w:pPr>
    </w:lvl>
  </w:abstractNum>
  <w:abstractNum w:abstractNumId="23" w15:restartNumberingAfterBreak="0">
    <w:nsid w:val="540506B6"/>
    <w:multiLevelType w:val="hybridMultilevel"/>
    <w:tmpl w:val="974E041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4" w15:restartNumberingAfterBreak="0">
    <w:nsid w:val="58D539B6"/>
    <w:multiLevelType w:val="multilevel"/>
    <w:tmpl w:val="7890C78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5AE07B1E"/>
    <w:multiLevelType w:val="multilevel"/>
    <w:tmpl w:val="6F14CB5E"/>
    <w:lvl w:ilvl="0">
      <w:start w:val="1"/>
      <w:numFmt w:val="decimal"/>
      <w:lvlText w:val="%1."/>
      <w:lvlJc w:val="left"/>
      <w:pPr>
        <w:ind w:left="360" w:hanging="360"/>
      </w:pPr>
      <w:rPr>
        <w:rFonts w:hint="default"/>
        <w:b/>
        <w:bCs/>
      </w:rPr>
    </w:lvl>
    <w:lvl w:ilvl="1">
      <w:start w:val="1"/>
      <w:numFmt w:val="decimal"/>
      <w:isLgl/>
      <w:lvlText w:val="%1.%2"/>
      <w:lvlJc w:val="left"/>
      <w:pPr>
        <w:ind w:left="372" w:hanging="372"/>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26" w15:restartNumberingAfterBreak="0">
    <w:nsid w:val="5C0276A9"/>
    <w:multiLevelType w:val="hybridMultilevel"/>
    <w:tmpl w:val="6484BC98"/>
    <w:lvl w:ilvl="0" w:tplc="0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04178A9"/>
    <w:multiLevelType w:val="hybridMultilevel"/>
    <w:tmpl w:val="7486A3C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8" w15:restartNumberingAfterBreak="0">
    <w:nsid w:val="60711A51"/>
    <w:multiLevelType w:val="hybridMultilevel"/>
    <w:tmpl w:val="A518028C"/>
    <w:lvl w:ilvl="0" w:tplc="063EE9EE">
      <w:start w:val="1"/>
      <w:numFmt w:val="decimal"/>
      <w:lvlText w:val="%1."/>
      <w:lvlJc w:val="left"/>
      <w:pPr>
        <w:ind w:left="545" w:hanging="284"/>
      </w:pPr>
      <w:rPr>
        <w:rFonts w:ascii="Verdana" w:eastAsia="Verdana" w:hAnsi="Verdana" w:cs="Verdana" w:hint="default"/>
        <w:b/>
        <w:bCs/>
        <w:i w:val="0"/>
        <w:iCs w:val="0"/>
        <w:spacing w:val="-1"/>
        <w:w w:val="99"/>
        <w:sz w:val="22"/>
        <w:szCs w:val="22"/>
        <w:lang w:val="es-ES" w:eastAsia="en-US" w:bidi="ar-SA"/>
      </w:rPr>
    </w:lvl>
    <w:lvl w:ilvl="1" w:tplc="E3C4932E">
      <w:start w:val="1"/>
      <w:numFmt w:val="lowerLetter"/>
      <w:lvlText w:val="%2)"/>
      <w:lvlJc w:val="left"/>
      <w:pPr>
        <w:ind w:left="261" w:hanging="383"/>
      </w:pPr>
      <w:rPr>
        <w:rFonts w:ascii="Verdana" w:eastAsia="Verdana" w:hAnsi="Verdana" w:cs="Verdana" w:hint="default"/>
        <w:b w:val="0"/>
        <w:bCs w:val="0"/>
        <w:i w:val="0"/>
        <w:iCs w:val="0"/>
        <w:spacing w:val="-1"/>
        <w:w w:val="99"/>
        <w:sz w:val="22"/>
        <w:szCs w:val="22"/>
        <w:lang w:val="es-ES" w:eastAsia="en-US" w:bidi="ar-SA"/>
      </w:rPr>
    </w:lvl>
    <w:lvl w:ilvl="2" w:tplc="B1BCF86C">
      <w:start w:val="1"/>
      <w:numFmt w:val="lowerLetter"/>
      <w:lvlText w:val="%3)"/>
      <w:lvlJc w:val="left"/>
      <w:pPr>
        <w:ind w:left="981" w:hanging="360"/>
      </w:pPr>
      <w:rPr>
        <w:rFonts w:ascii="Verdana" w:eastAsia="Verdana" w:hAnsi="Verdana" w:cs="Verdana" w:hint="default"/>
        <w:b w:val="0"/>
        <w:bCs w:val="0"/>
        <w:i w:val="0"/>
        <w:iCs w:val="0"/>
        <w:spacing w:val="-1"/>
        <w:w w:val="99"/>
        <w:sz w:val="22"/>
        <w:szCs w:val="22"/>
        <w:lang w:val="es-ES" w:eastAsia="en-US" w:bidi="ar-SA"/>
      </w:rPr>
    </w:lvl>
    <w:lvl w:ilvl="3" w:tplc="DA86040E">
      <w:numFmt w:val="bullet"/>
      <w:lvlText w:val="•"/>
      <w:lvlJc w:val="left"/>
      <w:pPr>
        <w:ind w:left="2072" w:hanging="360"/>
      </w:pPr>
      <w:rPr>
        <w:rFonts w:hint="default"/>
        <w:lang w:val="es-ES" w:eastAsia="en-US" w:bidi="ar-SA"/>
      </w:rPr>
    </w:lvl>
    <w:lvl w:ilvl="4" w:tplc="CE88E080">
      <w:numFmt w:val="bullet"/>
      <w:lvlText w:val="•"/>
      <w:lvlJc w:val="left"/>
      <w:pPr>
        <w:ind w:left="3165" w:hanging="360"/>
      </w:pPr>
      <w:rPr>
        <w:rFonts w:hint="default"/>
        <w:lang w:val="es-ES" w:eastAsia="en-US" w:bidi="ar-SA"/>
      </w:rPr>
    </w:lvl>
    <w:lvl w:ilvl="5" w:tplc="1B5AB794">
      <w:numFmt w:val="bullet"/>
      <w:lvlText w:val="•"/>
      <w:lvlJc w:val="left"/>
      <w:pPr>
        <w:ind w:left="4257" w:hanging="360"/>
      </w:pPr>
      <w:rPr>
        <w:rFonts w:hint="default"/>
        <w:lang w:val="es-ES" w:eastAsia="en-US" w:bidi="ar-SA"/>
      </w:rPr>
    </w:lvl>
    <w:lvl w:ilvl="6" w:tplc="57C474B0">
      <w:numFmt w:val="bullet"/>
      <w:lvlText w:val="•"/>
      <w:lvlJc w:val="left"/>
      <w:pPr>
        <w:ind w:left="5350" w:hanging="360"/>
      </w:pPr>
      <w:rPr>
        <w:rFonts w:hint="default"/>
        <w:lang w:val="es-ES" w:eastAsia="en-US" w:bidi="ar-SA"/>
      </w:rPr>
    </w:lvl>
    <w:lvl w:ilvl="7" w:tplc="ED962E92">
      <w:numFmt w:val="bullet"/>
      <w:lvlText w:val="•"/>
      <w:lvlJc w:val="left"/>
      <w:pPr>
        <w:ind w:left="6442" w:hanging="360"/>
      </w:pPr>
      <w:rPr>
        <w:rFonts w:hint="default"/>
        <w:lang w:val="es-ES" w:eastAsia="en-US" w:bidi="ar-SA"/>
      </w:rPr>
    </w:lvl>
    <w:lvl w:ilvl="8" w:tplc="E7EC06B6">
      <w:numFmt w:val="bullet"/>
      <w:lvlText w:val="•"/>
      <w:lvlJc w:val="left"/>
      <w:pPr>
        <w:ind w:left="7535" w:hanging="360"/>
      </w:pPr>
      <w:rPr>
        <w:rFonts w:hint="default"/>
        <w:lang w:val="es-ES" w:eastAsia="en-US" w:bidi="ar-SA"/>
      </w:rPr>
    </w:lvl>
  </w:abstractNum>
  <w:abstractNum w:abstractNumId="29" w15:restartNumberingAfterBreak="0">
    <w:nsid w:val="61E905C1"/>
    <w:multiLevelType w:val="hybridMultilevel"/>
    <w:tmpl w:val="84F880E2"/>
    <w:lvl w:ilvl="0" w:tplc="60586CCE">
      <w:start w:val="4"/>
      <w:numFmt w:val="lowerLetter"/>
      <w:lvlText w:val="%1)"/>
      <w:lvlJc w:val="left"/>
      <w:pPr>
        <w:ind w:left="1069" w:hanging="360"/>
      </w:pPr>
      <w:rPr>
        <w:rFonts w:hint="default"/>
      </w:rPr>
    </w:lvl>
    <w:lvl w:ilvl="1" w:tplc="04090019">
      <w:start w:val="1"/>
      <w:numFmt w:val="lowerLetter"/>
      <w:lvlText w:val="%2."/>
      <w:lvlJc w:val="left"/>
      <w:pPr>
        <w:ind w:left="1789" w:hanging="360"/>
      </w:pPr>
    </w:lvl>
    <w:lvl w:ilvl="2" w:tplc="0409001B">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30"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3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6C17059A"/>
    <w:multiLevelType w:val="hybridMultilevel"/>
    <w:tmpl w:val="A4CEFBFA"/>
    <w:lvl w:ilvl="0" w:tplc="240A0001">
      <w:start w:val="1"/>
      <w:numFmt w:val="bullet"/>
      <w:lvlText w:val=""/>
      <w:lvlJc w:val="left"/>
      <w:pPr>
        <w:ind w:left="1428" w:hanging="360"/>
      </w:pPr>
      <w:rPr>
        <w:rFonts w:ascii="Symbol" w:hAnsi="Symbol" w:hint="default"/>
      </w:rPr>
    </w:lvl>
    <w:lvl w:ilvl="1" w:tplc="240A0003" w:tentative="1">
      <w:start w:val="1"/>
      <w:numFmt w:val="bullet"/>
      <w:lvlText w:val="o"/>
      <w:lvlJc w:val="left"/>
      <w:pPr>
        <w:ind w:left="2148" w:hanging="360"/>
      </w:pPr>
      <w:rPr>
        <w:rFonts w:ascii="Courier New" w:hAnsi="Courier New" w:cs="Courier New" w:hint="default"/>
      </w:rPr>
    </w:lvl>
    <w:lvl w:ilvl="2" w:tplc="240A0005" w:tentative="1">
      <w:start w:val="1"/>
      <w:numFmt w:val="bullet"/>
      <w:lvlText w:val=""/>
      <w:lvlJc w:val="left"/>
      <w:pPr>
        <w:ind w:left="2868" w:hanging="360"/>
      </w:pPr>
      <w:rPr>
        <w:rFonts w:ascii="Wingdings" w:hAnsi="Wingdings" w:hint="default"/>
      </w:rPr>
    </w:lvl>
    <w:lvl w:ilvl="3" w:tplc="240A0001" w:tentative="1">
      <w:start w:val="1"/>
      <w:numFmt w:val="bullet"/>
      <w:lvlText w:val=""/>
      <w:lvlJc w:val="left"/>
      <w:pPr>
        <w:ind w:left="3588" w:hanging="360"/>
      </w:pPr>
      <w:rPr>
        <w:rFonts w:ascii="Symbol" w:hAnsi="Symbol" w:hint="default"/>
      </w:rPr>
    </w:lvl>
    <w:lvl w:ilvl="4" w:tplc="240A0003" w:tentative="1">
      <w:start w:val="1"/>
      <w:numFmt w:val="bullet"/>
      <w:lvlText w:val="o"/>
      <w:lvlJc w:val="left"/>
      <w:pPr>
        <w:ind w:left="4308" w:hanging="360"/>
      </w:pPr>
      <w:rPr>
        <w:rFonts w:ascii="Courier New" w:hAnsi="Courier New" w:cs="Courier New" w:hint="default"/>
      </w:rPr>
    </w:lvl>
    <w:lvl w:ilvl="5" w:tplc="240A0005" w:tentative="1">
      <w:start w:val="1"/>
      <w:numFmt w:val="bullet"/>
      <w:lvlText w:val=""/>
      <w:lvlJc w:val="left"/>
      <w:pPr>
        <w:ind w:left="5028" w:hanging="360"/>
      </w:pPr>
      <w:rPr>
        <w:rFonts w:ascii="Wingdings" w:hAnsi="Wingdings" w:hint="default"/>
      </w:rPr>
    </w:lvl>
    <w:lvl w:ilvl="6" w:tplc="240A0001" w:tentative="1">
      <w:start w:val="1"/>
      <w:numFmt w:val="bullet"/>
      <w:lvlText w:val=""/>
      <w:lvlJc w:val="left"/>
      <w:pPr>
        <w:ind w:left="5748" w:hanging="360"/>
      </w:pPr>
      <w:rPr>
        <w:rFonts w:ascii="Symbol" w:hAnsi="Symbol" w:hint="default"/>
      </w:rPr>
    </w:lvl>
    <w:lvl w:ilvl="7" w:tplc="240A0003" w:tentative="1">
      <w:start w:val="1"/>
      <w:numFmt w:val="bullet"/>
      <w:lvlText w:val="o"/>
      <w:lvlJc w:val="left"/>
      <w:pPr>
        <w:ind w:left="6468" w:hanging="360"/>
      </w:pPr>
      <w:rPr>
        <w:rFonts w:ascii="Courier New" w:hAnsi="Courier New" w:cs="Courier New" w:hint="default"/>
      </w:rPr>
    </w:lvl>
    <w:lvl w:ilvl="8" w:tplc="240A0005" w:tentative="1">
      <w:start w:val="1"/>
      <w:numFmt w:val="bullet"/>
      <w:lvlText w:val=""/>
      <w:lvlJc w:val="left"/>
      <w:pPr>
        <w:ind w:left="7188" w:hanging="360"/>
      </w:pPr>
      <w:rPr>
        <w:rFonts w:ascii="Wingdings" w:hAnsi="Wingdings" w:hint="default"/>
      </w:rPr>
    </w:lvl>
  </w:abstractNum>
  <w:abstractNum w:abstractNumId="33"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15:restartNumberingAfterBreak="0">
    <w:nsid w:val="7C5E69C5"/>
    <w:multiLevelType w:val="hybridMultilevel"/>
    <w:tmpl w:val="D1EA8408"/>
    <w:lvl w:ilvl="0" w:tplc="04090001">
      <w:start w:val="1"/>
      <w:numFmt w:val="bullet"/>
      <w:lvlText w:val=""/>
      <w:lvlJc w:val="left"/>
      <w:pPr>
        <w:ind w:left="1428" w:hanging="360"/>
      </w:pPr>
      <w:rPr>
        <w:rFonts w:ascii="Symbol" w:hAnsi="Symbol" w:hint="default"/>
      </w:rPr>
    </w:lvl>
    <w:lvl w:ilvl="1" w:tplc="04090003" w:tentative="1">
      <w:start w:val="1"/>
      <w:numFmt w:val="bullet"/>
      <w:lvlText w:val="o"/>
      <w:lvlJc w:val="left"/>
      <w:pPr>
        <w:ind w:left="2148" w:hanging="360"/>
      </w:pPr>
      <w:rPr>
        <w:rFonts w:ascii="Courier New" w:hAnsi="Courier New" w:cs="Courier New" w:hint="default"/>
      </w:rPr>
    </w:lvl>
    <w:lvl w:ilvl="2" w:tplc="04090005" w:tentative="1">
      <w:start w:val="1"/>
      <w:numFmt w:val="bullet"/>
      <w:lvlText w:val=""/>
      <w:lvlJc w:val="left"/>
      <w:pPr>
        <w:ind w:left="2868" w:hanging="360"/>
      </w:pPr>
      <w:rPr>
        <w:rFonts w:ascii="Wingdings" w:hAnsi="Wingdings" w:hint="default"/>
      </w:rPr>
    </w:lvl>
    <w:lvl w:ilvl="3" w:tplc="04090001" w:tentative="1">
      <w:start w:val="1"/>
      <w:numFmt w:val="bullet"/>
      <w:lvlText w:val=""/>
      <w:lvlJc w:val="left"/>
      <w:pPr>
        <w:ind w:left="3588" w:hanging="360"/>
      </w:pPr>
      <w:rPr>
        <w:rFonts w:ascii="Symbol" w:hAnsi="Symbol" w:hint="default"/>
      </w:rPr>
    </w:lvl>
    <w:lvl w:ilvl="4" w:tplc="04090003" w:tentative="1">
      <w:start w:val="1"/>
      <w:numFmt w:val="bullet"/>
      <w:lvlText w:val="o"/>
      <w:lvlJc w:val="left"/>
      <w:pPr>
        <w:ind w:left="4308" w:hanging="360"/>
      </w:pPr>
      <w:rPr>
        <w:rFonts w:ascii="Courier New" w:hAnsi="Courier New" w:cs="Courier New" w:hint="default"/>
      </w:rPr>
    </w:lvl>
    <w:lvl w:ilvl="5" w:tplc="04090005" w:tentative="1">
      <w:start w:val="1"/>
      <w:numFmt w:val="bullet"/>
      <w:lvlText w:val=""/>
      <w:lvlJc w:val="left"/>
      <w:pPr>
        <w:ind w:left="5028" w:hanging="360"/>
      </w:pPr>
      <w:rPr>
        <w:rFonts w:ascii="Wingdings" w:hAnsi="Wingdings" w:hint="default"/>
      </w:rPr>
    </w:lvl>
    <w:lvl w:ilvl="6" w:tplc="04090001" w:tentative="1">
      <w:start w:val="1"/>
      <w:numFmt w:val="bullet"/>
      <w:lvlText w:val=""/>
      <w:lvlJc w:val="left"/>
      <w:pPr>
        <w:ind w:left="5748" w:hanging="360"/>
      </w:pPr>
      <w:rPr>
        <w:rFonts w:ascii="Symbol" w:hAnsi="Symbol" w:hint="default"/>
      </w:rPr>
    </w:lvl>
    <w:lvl w:ilvl="7" w:tplc="04090003" w:tentative="1">
      <w:start w:val="1"/>
      <w:numFmt w:val="bullet"/>
      <w:lvlText w:val="o"/>
      <w:lvlJc w:val="left"/>
      <w:pPr>
        <w:ind w:left="6468" w:hanging="360"/>
      </w:pPr>
      <w:rPr>
        <w:rFonts w:ascii="Courier New" w:hAnsi="Courier New" w:cs="Courier New" w:hint="default"/>
      </w:rPr>
    </w:lvl>
    <w:lvl w:ilvl="8" w:tplc="04090005" w:tentative="1">
      <w:start w:val="1"/>
      <w:numFmt w:val="bullet"/>
      <w:lvlText w:val=""/>
      <w:lvlJc w:val="left"/>
      <w:pPr>
        <w:ind w:left="7188" w:hanging="360"/>
      </w:pPr>
      <w:rPr>
        <w:rFonts w:ascii="Wingdings" w:hAnsi="Wingdings" w:hint="default"/>
      </w:rPr>
    </w:lvl>
  </w:abstractNum>
  <w:num w:numId="1" w16cid:durableId="1160773771">
    <w:abstractNumId w:val="14"/>
  </w:num>
  <w:num w:numId="2" w16cid:durableId="1402488749">
    <w:abstractNumId w:val="3"/>
  </w:num>
  <w:num w:numId="3" w16cid:durableId="1232959360">
    <w:abstractNumId w:val="12"/>
  </w:num>
  <w:num w:numId="4" w16cid:durableId="1300037758">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962419759">
    <w:abstractNumId w:val="3"/>
  </w:num>
  <w:num w:numId="6" w16cid:durableId="476185391">
    <w:abstractNumId w:val="34"/>
  </w:num>
  <w:num w:numId="7" w16cid:durableId="1027680051">
    <w:abstractNumId w:val="13"/>
  </w:num>
  <w:num w:numId="8" w16cid:durableId="1325622054">
    <w:abstractNumId w:val="33"/>
  </w:num>
  <w:num w:numId="9" w16cid:durableId="1550726356">
    <w:abstractNumId w:val="17"/>
  </w:num>
  <w:num w:numId="10" w16cid:durableId="5905354">
    <w:abstractNumId w:val="31"/>
  </w:num>
  <w:num w:numId="11" w16cid:durableId="713769247">
    <w:abstractNumId w:val="18"/>
  </w:num>
  <w:num w:numId="12" w16cid:durableId="2062484572">
    <w:abstractNumId w:val="2"/>
  </w:num>
  <w:num w:numId="13" w16cid:durableId="144471667">
    <w:abstractNumId w:val="8"/>
  </w:num>
  <w:num w:numId="14" w16cid:durableId="262417651">
    <w:abstractNumId w:val="35"/>
  </w:num>
  <w:num w:numId="15" w16cid:durableId="506285016">
    <w:abstractNumId w:val="30"/>
  </w:num>
  <w:num w:numId="16" w16cid:durableId="1490172398">
    <w:abstractNumId w:val="1"/>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829641659">
    <w:abstractNumId w:val="6"/>
  </w:num>
  <w:num w:numId="18" w16cid:durableId="419178131">
    <w:abstractNumId w:val="25"/>
  </w:num>
  <w:num w:numId="19" w16cid:durableId="685055289">
    <w:abstractNumId w:val="10"/>
  </w:num>
  <w:num w:numId="20" w16cid:durableId="468135061">
    <w:abstractNumId w:val="19"/>
  </w:num>
  <w:num w:numId="21" w16cid:durableId="840394134">
    <w:abstractNumId w:val="36"/>
  </w:num>
  <w:num w:numId="22" w16cid:durableId="912660718">
    <w:abstractNumId w:val="21"/>
  </w:num>
  <w:num w:numId="23" w16cid:durableId="497883641">
    <w:abstractNumId w:val="1"/>
  </w:num>
  <w:num w:numId="24" w16cid:durableId="570776404">
    <w:abstractNumId w:val="27"/>
  </w:num>
  <w:num w:numId="25" w16cid:durableId="37973564">
    <w:abstractNumId w:val="23"/>
  </w:num>
  <w:num w:numId="26" w16cid:durableId="1717847262">
    <w:abstractNumId w:val="22"/>
  </w:num>
  <w:num w:numId="27" w16cid:durableId="279453002">
    <w:abstractNumId w:val="7"/>
  </w:num>
  <w:num w:numId="28" w16cid:durableId="447549408">
    <w:abstractNumId w:val="9"/>
  </w:num>
  <w:num w:numId="29" w16cid:durableId="1082608243">
    <w:abstractNumId w:val="4"/>
  </w:num>
  <w:num w:numId="30" w16cid:durableId="908270034">
    <w:abstractNumId w:val="5"/>
  </w:num>
  <w:num w:numId="31" w16cid:durableId="1748846049">
    <w:abstractNumId w:val="24"/>
  </w:num>
  <w:num w:numId="32" w16cid:durableId="451288582">
    <w:abstractNumId w:val="32"/>
  </w:num>
  <w:num w:numId="33" w16cid:durableId="1667174881">
    <w:abstractNumId w:val="28"/>
  </w:num>
  <w:num w:numId="34" w16cid:durableId="144976412">
    <w:abstractNumId w:val="11"/>
  </w:num>
  <w:num w:numId="35" w16cid:durableId="115099218">
    <w:abstractNumId w:val="29"/>
  </w:num>
  <w:num w:numId="36" w16cid:durableId="501120596">
    <w:abstractNumId w:val="20"/>
  </w:num>
  <w:num w:numId="37" w16cid:durableId="445467401">
    <w:abstractNumId w:val="0"/>
  </w:num>
  <w:num w:numId="38" w16cid:durableId="1415738247">
    <w:abstractNumId w:val="15"/>
  </w:num>
  <w:num w:numId="39" w16cid:durableId="660625338">
    <w:abstractNumId w:val="16"/>
  </w:num>
  <w:num w:numId="40" w16cid:durableId="288123532">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3073"/>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A1847"/>
    <w:rsid w:val="000025A3"/>
    <w:rsid w:val="000039A2"/>
    <w:rsid w:val="000062F3"/>
    <w:rsid w:val="0000797D"/>
    <w:rsid w:val="0001328B"/>
    <w:rsid w:val="0002077F"/>
    <w:rsid w:val="000224F2"/>
    <w:rsid w:val="00023C3E"/>
    <w:rsid w:val="0002470C"/>
    <w:rsid w:val="0002653B"/>
    <w:rsid w:val="00026784"/>
    <w:rsid w:val="00032821"/>
    <w:rsid w:val="000360EA"/>
    <w:rsid w:val="00036498"/>
    <w:rsid w:val="0004028C"/>
    <w:rsid w:val="00040F37"/>
    <w:rsid w:val="00041860"/>
    <w:rsid w:val="0004434A"/>
    <w:rsid w:val="00045B98"/>
    <w:rsid w:val="0005264B"/>
    <w:rsid w:val="0005281E"/>
    <w:rsid w:val="000539CB"/>
    <w:rsid w:val="0005682C"/>
    <w:rsid w:val="00056D71"/>
    <w:rsid w:val="00061B2A"/>
    <w:rsid w:val="00062BAF"/>
    <w:rsid w:val="000630B9"/>
    <w:rsid w:val="000635D0"/>
    <w:rsid w:val="000643B2"/>
    <w:rsid w:val="00065E80"/>
    <w:rsid w:val="0007022C"/>
    <w:rsid w:val="00071DE6"/>
    <w:rsid w:val="0007232E"/>
    <w:rsid w:val="00077439"/>
    <w:rsid w:val="000774B8"/>
    <w:rsid w:val="00082362"/>
    <w:rsid w:val="0008328D"/>
    <w:rsid w:val="00083B95"/>
    <w:rsid w:val="000876F0"/>
    <w:rsid w:val="00090C58"/>
    <w:rsid w:val="000920CF"/>
    <w:rsid w:val="0009387A"/>
    <w:rsid w:val="0009387B"/>
    <w:rsid w:val="000963C6"/>
    <w:rsid w:val="00096C02"/>
    <w:rsid w:val="0009762F"/>
    <w:rsid w:val="000A31B9"/>
    <w:rsid w:val="000A3330"/>
    <w:rsid w:val="000A3D63"/>
    <w:rsid w:val="000A683A"/>
    <w:rsid w:val="000A683E"/>
    <w:rsid w:val="000B1082"/>
    <w:rsid w:val="000B158F"/>
    <w:rsid w:val="000B19B9"/>
    <w:rsid w:val="000B3A5B"/>
    <w:rsid w:val="000C022C"/>
    <w:rsid w:val="000C2889"/>
    <w:rsid w:val="000C53BE"/>
    <w:rsid w:val="000D0152"/>
    <w:rsid w:val="000D0334"/>
    <w:rsid w:val="000D25D7"/>
    <w:rsid w:val="000D3B29"/>
    <w:rsid w:val="000D42B3"/>
    <w:rsid w:val="000E06F4"/>
    <w:rsid w:val="000E0F63"/>
    <w:rsid w:val="000E4CE4"/>
    <w:rsid w:val="000F1C56"/>
    <w:rsid w:val="000F3F42"/>
    <w:rsid w:val="000F4D07"/>
    <w:rsid w:val="000F6486"/>
    <w:rsid w:val="000F669F"/>
    <w:rsid w:val="001063B3"/>
    <w:rsid w:val="00107ACA"/>
    <w:rsid w:val="001114A9"/>
    <w:rsid w:val="00111979"/>
    <w:rsid w:val="00116537"/>
    <w:rsid w:val="00117B68"/>
    <w:rsid w:val="00120766"/>
    <w:rsid w:val="00121EA1"/>
    <w:rsid w:val="001240BD"/>
    <w:rsid w:val="00125105"/>
    <w:rsid w:val="00127233"/>
    <w:rsid w:val="00131D34"/>
    <w:rsid w:val="0013422E"/>
    <w:rsid w:val="00143E81"/>
    <w:rsid w:val="00143FD9"/>
    <w:rsid w:val="00145047"/>
    <w:rsid w:val="001450FF"/>
    <w:rsid w:val="00146C57"/>
    <w:rsid w:val="00147078"/>
    <w:rsid w:val="00150565"/>
    <w:rsid w:val="001514FA"/>
    <w:rsid w:val="00151952"/>
    <w:rsid w:val="00156132"/>
    <w:rsid w:val="00160D5C"/>
    <w:rsid w:val="0016332F"/>
    <w:rsid w:val="00165268"/>
    <w:rsid w:val="001717E9"/>
    <w:rsid w:val="00171F81"/>
    <w:rsid w:val="0017238A"/>
    <w:rsid w:val="00180A30"/>
    <w:rsid w:val="0018159B"/>
    <w:rsid w:val="00185EE9"/>
    <w:rsid w:val="00187F79"/>
    <w:rsid w:val="00191775"/>
    <w:rsid w:val="0019251B"/>
    <w:rsid w:val="00195992"/>
    <w:rsid w:val="00196153"/>
    <w:rsid w:val="00196709"/>
    <w:rsid w:val="00197274"/>
    <w:rsid w:val="001979E2"/>
    <w:rsid w:val="001A237A"/>
    <w:rsid w:val="001A26CF"/>
    <w:rsid w:val="001A2919"/>
    <w:rsid w:val="001A5D09"/>
    <w:rsid w:val="001B0A41"/>
    <w:rsid w:val="001B1F2D"/>
    <w:rsid w:val="001B2717"/>
    <w:rsid w:val="001B2CFE"/>
    <w:rsid w:val="001C222E"/>
    <w:rsid w:val="001C22F9"/>
    <w:rsid w:val="001D1C29"/>
    <w:rsid w:val="001D1EE1"/>
    <w:rsid w:val="001D318E"/>
    <w:rsid w:val="001E3C06"/>
    <w:rsid w:val="001E4177"/>
    <w:rsid w:val="001E5EA5"/>
    <w:rsid w:val="001F4545"/>
    <w:rsid w:val="001F4EFD"/>
    <w:rsid w:val="001F5E13"/>
    <w:rsid w:val="001F6D11"/>
    <w:rsid w:val="001F7DC6"/>
    <w:rsid w:val="00202886"/>
    <w:rsid w:val="002046DD"/>
    <w:rsid w:val="00206A83"/>
    <w:rsid w:val="002121FB"/>
    <w:rsid w:val="002133F0"/>
    <w:rsid w:val="00215CEF"/>
    <w:rsid w:val="00217A08"/>
    <w:rsid w:val="00220B77"/>
    <w:rsid w:val="00221D27"/>
    <w:rsid w:val="0022564A"/>
    <w:rsid w:val="00227C89"/>
    <w:rsid w:val="002307E9"/>
    <w:rsid w:val="002350D5"/>
    <w:rsid w:val="00237233"/>
    <w:rsid w:val="002421BB"/>
    <w:rsid w:val="00246A81"/>
    <w:rsid w:val="00251A5F"/>
    <w:rsid w:val="0025796E"/>
    <w:rsid w:val="002603E5"/>
    <w:rsid w:val="00260FD9"/>
    <w:rsid w:val="002638B2"/>
    <w:rsid w:val="00264400"/>
    <w:rsid w:val="002660F2"/>
    <w:rsid w:val="002664BB"/>
    <w:rsid w:val="00267317"/>
    <w:rsid w:val="002703AA"/>
    <w:rsid w:val="002707A2"/>
    <w:rsid w:val="00270FB6"/>
    <w:rsid w:val="002715B9"/>
    <w:rsid w:val="00273D8D"/>
    <w:rsid w:val="00281E93"/>
    <w:rsid w:val="002835A6"/>
    <w:rsid w:val="002844ED"/>
    <w:rsid w:val="00285858"/>
    <w:rsid w:val="00285CD4"/>
    <w:rsid w:val="00290EBC"/>
    <w:rsid w:val="002951A0"/>
    <w:rsid w:val="002962BC"/>
    <w:rsid w:val="002A093D"/>
    <w:rsid w:val="002A0DC4"/>
    <w:rsid w:val="002A0DD0"/>
    <w:rsid w:val="002A2CDE"/>
    <w:rsid w:val="002A49AC"/>
    <w:rsid w:val="002A5BC8"/>
    <w:rsid w:val="002A64FD"/>
    <w:rsid w:val="002A6BBF"/>
    <w:rsid w:val="002B169C"/>
    <w:rsid w:val="002B1E57"/>
    <w:rsid w:val="002B1F7F"/>
    <w:rsid w:val="002B290B"/>
    <w:rsid w:val="002B631F"/>
    <w:rsid w:val="002B6519"/>
    <w:rsid w:val="002B73B9"/>
    <w:rsid w:val="002C110E"/>
    <w:rsid w:val="002C2C3C"/>
    <w:rsid w:val="002C379A"/>
    <w:rsid w:val="002C765E"/>
    <w:rsid w:val="002C7A84"/>
    <w:rsid w:val="002D0F6A"/>
    <w:rsid w:val="002D13A1"/>
    <w:rsid w:val="002D3D6F"/>
    <w:rsid w:val="002D3F0D"/>
    <w:rsid w:val="002D762F"/>
    <w:rsid w:val="002E1D98"/>
    <w:rsid w:val="002E2C3F"/>
    <w:rsid w:val="002E2F4F"/>
    <w:rsid w:val="002E4FD9"/>
    <w:rsid w:val="002E6DBE"/>
    <w:rsid w:val="002E6F15"/>
    <w:rsid w:val="002F13FD"/>
    <w:rsid w:val="002F533E"/>
    <w:rsid w:val="00303544"/>
    <w:rsid w:val="003037A6"/>
    <w:rsid w:val="003039C1"/>
    <w:rsid w:val="00310DBE"/>
    <w:rsid w:val="00311C99"/>
    <w:rsid w:val="0031430F"/>
    <w:rsid w:val="00320BBD"/>
    <w:rsid w:val="00322A85"/>
    <w:rsid w:val="003232A5"/>
    <w:rsid w:val="00324168"/>
    <w:rsid w:val="0033032A"/>
    <w:rsid w:val="00334C6A"/>
    <w:rsid w:val="00336C05"/>
    <w:rsid w:val="00340854"/>
    <w:rsid w:val="00340983"/>
    <w:rsid w:val="00340C6A"/>
    <w:rsid w:val="00342675"/>
    <w:rsid w:val="00343512"/>
    <w:rsid w:val="003448F4"/>
    <w:rsid w:val="00345112"/>
    <w:rsid w:val="00345330"/>
    <w:rsid w:val="003528DF"/>
    <w:rsid w:val="00352C12"/>
    <w:rsid w:val="00354BCA"/>
    <w:rsid w:val="00354F33"/>
    <w:rsid w:val="003603BD"/>
    <w:rsid w:val="0036202D"/>
    <w:rsid w:val="00362A94"/>
    <w:rsid w:val="0036594E"/>
    <w:rsid w:val="003665EE"/>
    <w:rsid w:val="0037010E"/>
    <w:rsid w:val="00371EDF"/>
    <w:rsid w:val="003734F4"/>
    <w:rsid w:val="00374F5E"/>
    <w:rsid w:val="00377E2D"/>
    <w:rsid w:val="00377E3E"/>
    <w:rsid w:val="003815E8"/>
    <w:rsid w:val="00382B7C"/>
    <w:rsid w:val="003906F8"/>
    <w:rsid w:val="003907E7"/>
    <w:rsid w:val="00392A49"/>
    <w:rsid w:val="003937AF"/>
    <w:rsid w:val="003A26D1"/>
    <w:rsid w:val="003A3B30"/>
    <w:rsid w:val="003A779E"/>
    <w:rsid w:val="003B005A"/>
    <w:rsid w:val="003B0EAC"/>
    <w:rsid w:val="003C1BFE"/>
    <w:rsid w:val="003C1C0E"/>
    <w:rsid w:val="003C1C92"/>
    <w:rsid w:val="003C3FA5"/>
    <w:rsid w:val="003D0F4D"/>
    <w:rsid w:val="003D5B0D"/>
    <w:rsid w:val="003D66C4"/>
    <w:rsid w:val="003E0499"/>
    <w:rsid w:val="003E40F2"/>
    <w:rsid w:val="003E5168"/>
    <w:rsid w:val="003E6050"/>
    <w:rsid w:val="003E60AE"/>
    <w:rsid w:val="003F3941"/>
    <w:rsid w:val="003F4BAF"/>
    <w:rsid w:val="00400676"/>
    <w:rsid w:val="004008A9"/>
    <w:rsid w:val="00405A3E"/>
    <w:rsid w:val="00406575"/>
    <w:rsid w:val="00407C75"/>
    <w:rsid w:val="00410906"/>
    <w:rsid w:val="0041655A"/>
    <w:rsid w:val="0041694B"/>
    <w:rsid w:val="00426FD7"/>
    <w:rsid w:val="0042722E"/>
    <w:rsid w:val="00427DA0"/>
    <w:rsid w:val="0043485F"/>
    <w:rsid w:val="00440391"/>
    <w:rsid w:val="00441FCF"/>
    <w:rsid w:val="00442C7F"/>
    <w:rsid w:val="0044528D"/>
    <w:rsid w:val="00447218"/>
    <w:rsid w:val="00450920"/>
    <w:rsid w:val="0045320E"/>
    <w:rsid w:val="00454D48"/>
    <w:rsid w:val="004554F9"/>
    <w:rsid w:val="004574E1"/>
    <w:rsid w:val="0046004D"/>
    <w:rsid w:val="004633DE"/>
    <w:rsid w:val="0046513D"/>
    <w:rsid w:val="00465E71"/>
    <w:rsid w:val="00470571"/>
    <w:rsid w:val="004712E0"/>
    <w:rsid w:val="004734BD"/>
    <w:rsid w:val="00474931"/>
    <w:rsid w:val="00482608"/>
    <w:rsid w:val="00483749"/>
    <w:rsid w:val="00484809"/>
    <w:rsid w:val="00484BB1"/>
    <w:rsid w:val="004871C2"/>
    <w:rsid w:val="004953D7"/>
    <w:rsid w:val="004A0980"/>
    <w:rsid w:val="004A0B8B"/>
    <w:rsid w:val="004A1847"/>
    <w:rsid w:val="004A305D"/>
    <w:rsid w:val="004A3312"/>
    <w:rsid w:val="004A6D9B"/>
    <w:rsid w:val="004B0CA2"/>
    <w:rsid w:val="004B6F2F"/>
    <w:rsid w:val="004B703F"/>
    <w:rsid w:val="004B740F"/>
    <w:rsid w:val="004C37CC"/>
    <w:rsid w:val="004C4B37"/>
    <w:rsid w:val="004D026D"/>
    <w:rsid w:val="004D3A9E"/>
    <w:rsid w:val="004D46AB"/>
    <w:rsid w:val="004D5998"/>
    <w:rsid w:val="004D657F"/>
    <w:rsid w:val="004E221E"/>
    <w:rsid w:val="004E2892"/>
    <w:rsid w:val="004E2BAE"/>
    <w:rsid w:val="004E4C0B"/>
    <w:rsid w:val="004E505B"/>
    <w:rsid w:val="004E7E1E"/>
    <w:rsid w:val="004F21C4"/>
    <w:rsid w:val="004F2B72"/>
    <w:rsid w:val="004F3012"/>
    <w:rsid w:val="004F49A9"/>
    <w:rsid w:val="004F5559"/>
    <w:rsid w:val="004F5A86"/>
    <w:rsid w:val="004F685F"/>
    <w:rsid w:val="004F7EC9"/>
    <w:rsid w:val="00504CBE"/>
    <w:rsid w:val="00514598"/>
    <w:rsid w:val="00515557"/>
    <w:rsid w:val="00515E1E"/>
    <w:rsid w:val="005163B5"/>
    <w:rsid w:val="0052543A"/>
    <w:rsid w:val="0052785C"/>
    <w:rsid w:val="00527F01"/>
    <w:rsid w:val="00533E1B"/>
    <w:rsid w:val="0054043A"/>
    <w:rsid w:val="00540C2D"/>
    <w:rsid w:val="00541685"/>
    <w:rsid w:val="00541793"/>
    <w:rsid w:val="00552502"/>
    <w:rsid w:val="005566E8"/>
    <w:rsid w:val="00560CB5"/>
    <w:rsid w:val="00562B23"/>
    <w:rsid w:val="00564F8B"/>
    <w:rsid w:val="00570DE1"/>
    <w:rsid w:val="00571CB1"/>
    <w:rsid w:val="00574122"/>
    <w:rsid w:val="00574867"/>
    <w:rsid w:val="005764A7"/>
    <w:rsid w:val="0057702A"/>
    <w:rsid w:val="00577D09"/>
    <w:rsid w:val="0058087F"/>
    <w:rsid w:val="00591460"/>
    <w:rsid w:val="00592628"/>
    <w:rsid w:val="00595D0C"/>
    <w:rsid w:val="00597C75"/>
    <w:rsid w:val="005A0868"/>
    <w:rsid w:val="005A0CFB"/>
    <w:rsid w:val="005A282F"/>
    <w:rsid w:val="005A2AC9"/>
    <w:rsid w:val="005A2D71"/>
    <w:rsid w:val="005B2C3C"/>
    <w:rsid w:val="005B2CCE"/>
    <w:rsid w:val="005B496D"/>
    <w:rsid w:val="005B58C1"/>
    <w:rsid w:val="005B6033"/>
    <w:rsid w:val="005B6EC5"/>
    <w:rsid w:val="005C04E6"/>
    <w:rsid w:val="005C053C"/>
    <w:rsid w:val="005C2082"/>
    <w:rsid w:val="005C3777"/>
    <w:rsid w:val="005C3C16"/>
    <w:rsid w:val="005C4831"/>
    <w:rsid w:val="005C5CDC"/>
    <w:rsid w:val="005C6939"/>
    <w:rsid w:val="005C7629"/>
    <w:rsid w:val="005D17C8"/>
    <w:rsid w:val="005D2649"/>
    <w:rsid w:val="005D2B2B"/>
    <w:rsid w:val="005D476C"/>
    <w:rsid w:val="005D5F91"/>
    <w:rsid w:val="005D7B25"/>
    <w:rsid w:val="005E5B81"/>
    <w:rsid w:val="005F0EB8"/>
    <w:rsid w:val="005F0EE5"/>
    <w:rsid w:val="005F2F7C"/>
    <w:rsid w:val="005F62C2"/>
    <w:rsid w:val="005F7C43"/>
    <w:rsid w:val="0060080C"/>
    <w:rsid w:val="00601603"/>
    <w:rsid w:val="00605004"/>
    <w:rsid w:val="00605A00"/>
    <w:rsid w:val="00610812"/>
    <w:rsid w:val="00612CE7"/>
    <w:rsid w:val="006138E1"/>
    <w:rsid w:val="00615297"/>
    <w:rsid w:val="006219F8"/>
    <w:rsid w:val="006227AC"/>
    <w:rsid w:val="00622C6F"/>
    <w:rsid w:val="006238A0"/>
    <w:rsid w:val="00624567"/>
    <w:rsid w:val="0063165E"/>
    <w:rsid w:val="0063166A"/>
    <w:rsid w:val="00632C08"/>
    <w:rsid w:val="00636BF8"/>
    <w:rsid w:val="00642DD4"/>
    <w:rsid w:val="00643577"/>
    <w:rsid w:val="00644072"/>
    <w:rsid w:val="00650FF7"/>
    <w:rsid w:val="006569FB"/>
    <w:rsid w:val="00662B5C"/>
    <w:rsid w:val="00664263"/>
    <w:rsid w:val="00664B4D"/>
    <w:rsid w:val="00665D70"/>
    <w:rsid w:val="00667199"/>
    <w:rsid w:val="00671BD2"/>
    <w:rsid w:val="00671DAC"/>
    <w:rsid w:val="006747C7"/>
    <w:rsid w:val="006827AC"/>
    <w:rsid w:val="00682AD9"/>
    <w:rsid w:val="006859A3"/>
    <w:rsid w:val="00685A0D"/>
    <w:rsid w:val="006860DA"/>
    <w:rsid w:val="006900D9"/>
    <w:rsid w:val="006A0008"/>
    <w:rsid w:val="006A10DF"/>
    <w:rsid w:val="006A3147"/>
    <w:rsid w:val="006B3285"/>
    <w:rsid w:val="006B4516"/>
    <w:rsid w:val="006C0240"/>
    <w:rsid w:val="006C1E81"/>
    <w:rsid w:val="006C4F24"/>
    <w:rsid w:val="006C5595"/>
    <w:rsid w:val="006C6CA5"/>
    <w:rsid w:val="006D071F"/>
    <w:rsid w:val="006D12F8"/>
    <w:rsid w:val="006D2392"/>
    <w:rsid w:val="006F0D40"/>
    <w:rsid w:val="006F21DE"/>
    <w:rsid w:val="006F2501"/>
    <w:rsid w:val="006F50C3"/>
    <w:rsid w:val="006F5964"/>
    <w:rsid w:val="006F7C51"/>
    <w:rsid w:val="0070023F"/>
    <w:rsid w:val="00704D9B"/>
    <w:rsid w:val="00705E5F"/>
    <w:rsid w:val="00706793"/>
    <w:rsid w:val="00706C16"/>
    <w:rsid w:val="00711A1B"/>
    <w:rsid w:val="00711C85"/>
    <w:rsid w:val="0071287D"/>
    <w:rsid w:val="0071458F"/>
    <w:rsid w:val="0071627C"/>
    <w:rsid w:val="00717903"/>
    <w:rsid w:val="00723A7F"/>
    <w:rsid w:val="007312C3"/>
    <w:rsid w:val="00737C53"/>
    <w:rsid w:val="00737DFA"/>
    <w:rsid w:val="00741FE1"/>
    <w:rsid w:val="007431EA"/>
    <w:rsid w:val="007442BD"/>
    <w:rsid w:val="00751A8E"/>
    <w:rsid w:val="00752A44"/>
    <w:rsid w:val="0075663D"/>
    <w:rsid w:val="00756841"/>
    <w:rsid w:val="00762AA9"/>
    <w:rsid w:val="007649AB"/>
    <w:rsid w:val="00771D0C"/>
    <w:rsid w:val="007833AC"/>
    <w:rsid w:val="0078358E"/>
    <w:rsid w:val="00784D58"/>
    <w:rsid w:val="0078648E"/>
    <w:rsid w:val="00786FBF"/>
    <w:rsid w:val="00790AB7"/>
    <w:rsid w:val="00791769"/>
    <w:rsid w:val="007922D3"/>
    <w:rsid w:val="00796340"/>
    <w:rsid w:val="007A23EA"/>
    <w:rsid w:val="007A5189"/>
    <w:rsid w:val="007A5796"/>
    <w:rsid w:val="007B0D88"/>
    <w:rsid w:val="007B268C"/>
    <w:rsid w:val="007B59CE"/>
    <w:rsid w:val="007B5D8B"/>
    <w:rsid w:val="007B7171"/>
    <w:rsid w:val="007B7D02"/>
    <w:rsid w:val="007C0C0F"/>
    <w:rsid w:val="007C1E3A"/>
    <w:rsid w:val="007C3DC2"/>
    <w:rsid w:val="007D0457"/>
    <w:rsid w:val="007D1051"/>
    <w:rsid w:val="007D26A5"/>
    <w:rsid w:val="007D3E6A"/>
    <w:rsid w:val="007D43C9"/>
    <w:rsid w:val="007E5497"/>
    <w:rsid w:val="007F28CA"/>
    <w:rsid w:val="007F52A4"/>
    <w:rsid w:val="007F60FB"/>
    <w:rsid w:val="007F7B94"/>
    <w:rsid w:val="00804981"/>
    <w:rsid w:val="00804BC0"/>
    <w:rsid w:val="0080567E"/>
    <w:rsid w:val="00806F5F"/>
    <w:rsid w:val="008134A0"/>
    <w:rsid w:val="0081621D"/>
    <w:rsid w:val="008163D7"/>
    <w:rsid w:val="00820278"/>
    <w:rsid w:val="008202D9"/>
    <w:rsid w:val="00834530"/>
    <w:rsid w:val="00834554"/>
    <w:rsid w:val="00834B31"/>
    <w:rsid w:val="00840450"/>
    <w:rsid w:val="00840ADC"/>
    <w:rsid w:val="00843BF7"/>
    <w:rsid w:val="008449B3"/>
    <w:rsid w:val="00845869"/>
    <w:rsid w:val="00845EF0"/>
    <w:rsid w:val="00846276"/>
    <w:rsid w:val="00850E23"/>
    <w:rsid w:val="00851137"/>
    <w:rsid w:val="00853978"/>
    <w:rsid w:val="0085432F"/>
    <w:rsid w:val="00860D5A"/>
    <w:rsid w:val="00864209"/>
    <w:rsid w:val="008647A2"/>
    <w:rsid w:val="0086568C"/>
    <w:rsid w:val="00866586"/>
    <w:rsid w:val="0087325B"/>
    <w:rsid w:val="00881ABA"/>
    <w:rsid w:val="008843B6"/>
    <w:rsid w:val="00884709"/>
    <w:rsid w:val="00886C89"/>
    <w:rsid w:val="00891928"/>
    <w:rsid w:val="00894B8B"/>
    <w:rsid w:val="0089556C"/>
    <w:rsid w:val="0089599E"/>
    <w:rsid w:val="00897635"/>
    <w:rsid w:val="008A00A4"/>
    <w:rsid w:val="008A24A2"/>
    <w:rsid w:val="008A446D"/>
    <w:rsid w:val="008A4709"/>
    <w:rsid w:val="008A7A64"/>
    <w:rsid w:val="008A7F08"/>
    <w:rsid w:val="008B2F0E"/>
    <w:rsid w:val="008B5A2E"/>
    <w:rsid w:val="008C6F30"/>
    <w:rsid w:val="008C72B9"/>
    <w:rsid w:val="008C7645"/>
    <w:rsid w:val="008C7651"/>
    <w:rsid w:val="008D180B"/>
    <w:rsid w:val="008D53B6"/>
    <w:rsid w:val="008D7227"/>
    <w:rsid w:val="008E1F92"/>
    <w:rsid w:val="008E45B5"/>
    <w:rsid w:val="008E7333"/>
    <w:rsid w:val="008E7B09"/>
    <w:rsid w:val="008F0322"/>
    <w:rsid w:val="008F0EA7"/>
    <w:rsid w:val="008F2A3E"/>
    <w:rsid w:val="008F7BB9"/>
    <w:rsid w:val="00900019"/>
    <w:rsid w:val="009029F9"/>
    <w:rsid w:val="00904692"/>
    <w:rsid w:val="00910097"/>
    <w:rsid w:val="00911C7C"/>
    <w:rsid w:val="00913A75"/>
    <w:rsid w:val="00913DBA"/>
    <w:rsid w:val="0091561E"/>
    <w:rsid w:val="00923EEF"/>
    <w:rsid w:val="009316AD"/>
    <w:rsid w:val="009317CE"/>
    <w:rsid w:val="009411F5"/>
    <w:rsid w:val="009419F9"/>
    <w:rsid w:val="00953AA4"/>
    <w:rsid w:val="00955305"/>
    <w:rsid w:val="00955976"/>
    <w:rsid w:val="0095685E"/>
    <w:rsid w:val="00956E12"/>
    <w:rsid w:val="009572D9"/>
    <w:rsid w:val="009600D2"/>
    <w:rsid w:val="00961409"/>
    <w:rsid w:val="00961656"/>
    <w:rsid w:val="00961694"/>
    <w:rsid w:val="00961B09"/>
    <w:rsid w:val="00962300"/>
    <w:rsid w:val="009647D2"/>
    <w:rsid w:val="00965334"/>
    <w:rsid w:val="009653FC"/>
    <w:rsid w:val="00967DCC"/>
    <w:rsid w:val="0097093E"/>
    <w:rsid w:val="00971705"/>
    <w:rsid w:val="00971B6B"/>
    <w:rsid w:val="0097547B"/>
    <w:rsid w:val="00976025"/>
    <w:rsid w:val="00977A51"/>
    <w:rsid w:val="009800BE"/>
    <w:rsid w:val="00982BD4"/>
    <w:rsid w:val="00982E41"/>
    <w:rsid w:val="00983862"/>
    <w:rsid w:val="00984649"/>
    <w:rsid w:val="009858BE"/>
    <w:rsid w:val="00987FE0"/>
    <w:rsid w:val="009A0DFA"/>
    <w:rsid w:val="009A3C2C"/>
    <w:rsid w:val="009A4A40"/>
    <w:rsid w:val="009A6D43"/>
    <w:rsid w:val="009B2D26"/>
    <w:rsid w:val="009B780F"/>
    <w:rsid w:val="009C00CC"/>
    <w:rsid w:val="009C0C09"/>
    <w:rsid w:val="009C2DD0"/>
    <w:rsid w:val="009C3291"/>
    <w:rsid w:val="009C3AC7"/>
    <w:rsid w:val="009C699C"/>
    <w:rsid w:val="009C71FA"/>
    <w:rsid w:val="009C72E7"/>
    <w:rsid w:val="009D0555"/>
    <w:rsid w:val="009D3058"/>
    <w:rsid w:val="009D3A11"/>
    <w:rsid w:val="009D44C4"/>
    <w:rsid w:val="009D67FD"/>
    <w:rsid w:val="009E5A30"/>
    <w:rsid w:val="009E6C11"/>
    <w:rsid w:val="009E7C05"/>
    <w:rsid w:val="009F3831"/>
    <w:rsid w:val="009F3832"/>
    <w:rsid w:val="009F3A13"/>
    <w:rsid w:val="009F4AB2"/>
    <w:rsid w:val="009F73F7"/>
    <w:rsid w:val="00A02465"/>
    <w:rsid w:val="00A03415"/>
    <w:rsid w:val="00A04A81"/>
    <w:rsid w:val="00A122D3"/>
    <w:rsid w:val="00A14D3D"/>
    <w:rsid w:val="00A17F13"/>
    <w:rsid w:val="00A20739"/>
    <w:rsid w:val="00A211D0"/>
    <w:rsid w:val="00A23361"/>
    <w:rsid w:val="00A24433"/>
    <w:rsid w:val="00A2443A"/>
    <w:rsid w:val="00A246FA"/>
    <w:rsid w:val="00A332DD"/>
    <w:rsid w:val="00A339A9"/>
    <w:rsid w:val="00A33C78"/>
    <w:rsid w:val="00A34B38"/>
    <w:rsid w:val="00A34D87"/>
    <w:rsid w:val="00A352BD"/>
    <w:rsid w:val="00A35538"/>
    <w:rsid w:val="00A37BC4"/>
    <w:rsid w:val="00A42050"/>
    <w:rsid w:val="00A43292"/>
    <w:rsid w:val="00A445C0"/>
    <w:rsid w:val="00A466EE"/>
    <w:rsid w:val="00A50E16"/>
    <w:rsid w:val="00A56FCA"/>
    <w:rsid w:val="00A6004A"/>
    <w:rsid w:val="00A613C2"/>
    <w:rsid w:val="00A74DE6"/>
    <w:rsid w:val="00A8086A"/>
    <w:rsid w:val="00A80F32"/>
    <w:rsid w:val="00A8203D"/>
    <w:rsid w:val="00A87F7D"/>
    <w:rsid w:val="00A9244C"/>
    <w:rsid w:val="00A94D14"/>
    <w:rsid w:val="00AA5784"/>
    <w:rsid w:val="00AB0ADB"/>
    <w:rsid w:val="00AB3FD1"/>
    <w:rsid w:val="00AB4F28"/>
    <w:rsid w:val="00AB6C82"/>
    <w:rsid w:val="00AC0EAB"/>
    <w:rsid w:val="00AC1435"/>
    <w:rsid w:val="00AC4701"/>
    <w:rsid w:val="00AC49A2"/>
    <w:rsid w:val="00AC6FA5"/>
    <w:rsid w:val="00AD48A0"/>
    <w:rsid w:val="00AD73E2"/>
    <w:rsid w:val="00AE2631"/>
    <w:rsid w:val="00AE3AF2"/>
    <w:rsid w:val="00AF1BEC"/>
    <w:rsid w:val="00B009B8"/>
    <w:rsid w:val="00B01B1A"/>
    <w:rsid w:val="00B04B6A"/>
    <w:rsid w:val="00B07F33"/>
    <w:rsid w:val="00B109FC"/>
    <w:rsid w:val="00B14E03"/>
    <w:rsid w:val="00B225EE"/>
    <w:rsid w:val="00B24457"/>
    <w:rsid w:val="00B26B98"/>
    <w:rsid w:val="00B306A0"/>
    <w:rsid w:val="00B31124"/>
    <w:rsid w:val="00B35ADC"/>
    <w:rsid w:val="00B37C24"/>
    <w:rsid w:val="00B40FBC"/>
    <w:rsid w:val="00B46F27"/>
    <w:rsid w:val="00B47FD7"/>
    <w:rsid w:val="00B51F75"/>
    <w:rsid w:val="00B52CDB"/>
    <w:rsid w:val="00B53E27"/>
    <w:rsid w:val="00B558AF"/>
    <w:rsid w:val="00B6105C"/>
    <w:rsid w:val="00B615BA"/>
    <w:rsid w:val="00B62D8B"/>
    <w:rsid w:val="00B63469"/>
    <w:rsid w:val="00B72CD3"/>
    <w:rsid w:val="00B72FFF"/>
    <w:rsid w:val="00B76CEB"/>
    <w:rsid w:val="00B818C3"/>
    <w:rsid w:val="00B8257D"/>
    <w:rsid w:val="00B828EF"/>
    <w:rsid w:val="00B82B8B"/>
    <w:rsid w:val="00B86FE2"/>
    <w:rsid w:val="00B87278"/>
    <w:rsid w:val="00B878ED"/>
    <w:rsid w:val="00B87F69"/>
    <w:rsid w:val="00B91186"/>
    <w:rsid w:val="00B93423"/>
    <w:rsid w:val="00BA2EF4"/>
    <w:rsid w:val="00BB08C0"/>
    <w:rsid w:val="00BC0036"/>
    <w:rsid w:val="00BC05A6"/>
    <w:rsid w:val="00BC34E2"/>
    <w:rsid w:val="00BC3D36"/>
    <w:rsid w:val="00BC4B34"/>
    <w:rsid w:val="00BC7DBD"/>
    <w:rsid w:val="00BD3612"/>
    <w:rsid w:val="00BD576B"/>
    <w:rsid w:val="00BD7F72"/>
    <w:rsid w:val="00BE03BC"/>
    <w:rsid w:val="00BE0A18"/>
    <w:rsid w:val="00BE12F9"/>
    <w:rsid w:val="00BE175E"/>
    <w:rsid w:val="00BE2120"/>
    <w:rsid w:val="00BF1201"/>
    <w:rsid w:val="00BF1D4A"/>
    <w:rsid w:val="00BF20DB"/>
    <w:rsid w:val="00BF230F"/>
    <w:rsid w:val="00BF6160"/>
    <w:rsid w:val="00C002E3"/>
    <w:rsid w:val="00C012CC"/>
    <w:rsid w:val="00C04FB3"/>
    <w:rsid w:val="00C10179"/>
    <w:rsid w:val="00C10FA6"/>
    <w:rsid w:val="00C147D0"/>
    <w:rsid w:val="00C159C1"/>
    <w:rsid w:val="00C16346"/>
    <w:rsid w:val="00C21B15"/>
    <w:rsid w:val="00C30417"/>
    <w:rsid w:val="00C32523"/>
    <w:rsid w:val="00C32EE5"/>
    <w:rsid w:val="00C330EB"/>
    <w:rsid w:val="00C371C9"/>
    <w:rsid w:val="00C40E9F"/>
    <w:rsid w:val="00C41345"/>
    <w:rsid w:val="00C41481"/>
    <w:rsid w:val="00C42469"/>
    <w:rsid w:val="00C46D91"/>
    <w:rsid w:val="00C47A07"/>
    <w:rsid w:val="00C57281"/>
    <w:rsid w:val="00C65D65"/>
    <w:rsid w:val="00C67703"/>
    <w:rsid w:val="00C70553"/>
    <w:rsid w:val="00C7173F"/>
    <w:rsid w:val="00C730B6"/>
    <w:rsid w:val="00C754BE"/>
    <w:rsid w:val="00C76466"/>
    <w:rsid w:val="00C76B1C"/>
    <w:rsid w:val="00C84561"/>
    <w:rsid w:val="00C915DD"/>
    <w:rsid w:val="00C91B94"/>
    <w:rsid w:val="00CA6A9D"/>
    <w:rsid w:val="00CA7F6B"/>
    <w:rsid w:val="00CA7FB6"/>
    <w:rsid w:val="00CB6357"/>
    <w:rsid w:val="00CB6BA4"/>
    <w:rsid w:val="00CC0FA3"/>
    <w:rsid w:val="00CC1B26"/>
    <w:rsid w:val="00CC49F7"/>
    <w:rsid w:val="00CC54DB"/>
    <w:rsid w:val="00CC733A"/>
    <w:rsid w:val="00CD087D"/>
    <w:rsid w:val="00CD41CB"/>
    <w:rsid w:val="00CD5EE0"/>
    <w:rsid w:val="00CE41B0"/>
    <w:rsid w:val="00CE509A"/>
    <w:rsid w:val="00CE5414"/>
    <w:rsid w:val="00CF1121"/>
    <w:rsid w:val="00CF1287"/>
    <w:rsid w:val="00CF2007"/>
    <w:rsid w:val="00CF5D8C"/>
    <w:rsid w:val="00CF77E1"/>
    <w:rsid w:val="00CF7826"/>
    <w:rsid w:val="00D0157A"/>
    <w:rsid w:val="00D036D8"/>
    <w:rsid w:val="00D038ED"/>
    <w:rsid w:val="00D06D26"/>
    <w:rsid w:val="00D10B75"/>
    <w:rsid w:val="00D13351"/>
    <w:rsid w:val="00D14128"/>
    <w:rsid w:val="00D15E25"/>
    <w:rsid w:val="00D20368"/>
    <w:rsid w:val="00D21D0B"/>
    <w:rsid w:val="00D22361"/>
    <w:rsid w:val="00D22598"/>
    <w:rsid w:val="00D23BF1"/>
    <w:rsid w:val="00D26924"/>
    <w:rsid w:val="00D345EC"/>
    <w:rsid w:val="00D40E49"/>
    <w:rsid w:val="00D413F6"/>
    <w:rsid w:val="00D41AFE"/>
    <w:rsid w:val="00D4231B"/>
    <w:rsid w:val="00D423A2"/>
    <w:rsid w:val="00D50708"/>
    <w:rsid w:val="00D520D8"/>
    <w:rsid w:val="00D52961"/>
    <w:rsid w:val="00D55048"/>
    <w:rsid w:val="00D55978"/>
    <w:rsid w:val="00D57FA4"/>
    <w:rsid w:val="00D62DE7"/>
    <w:rsid w:val="00D63AC2"/>
    <w:rsid w:val="00D665B4"/>
    <w:rsid w:val="00D7383B"/>
    <w:rsid w:val="00D7609E"/>
    <w:rsid w:val="00D81A63"/>
    <w:rsid w:val="00D81D25"/>
    <w:rsid w:val="00D85C60"/>
    <w:rsid w:val="00D908FC"/>
    <w:rsid w:val="00D94C40"/>
    <w:rsid w:val="00DA1125"/>
    <w:rsid w:val="00DA231B"/>
    <w:rsid w:val="00DA23A0"/>
    <w:rsid w:val="00DA2DB3"/>
    <w:rsid w:val="00DA7F66"/>
    <w:rsid w:val="00DB186F"/>
    <w:rsid w:val="00DB322A"/>
    <w:rsid w:val="00DB6C54"/>
    <w:rsid w:val="00DC1E5D"/>
    <w:rsid w:val="00DC39FC"/>
    <w:rsid w:val="00DC4385"/>
    <w:rsid w:val="00DC484F"/>
    <w:rsid w:val="00DC4C27"/>
    <w:rsid w:val="00DC51BC"/>
    <w:rsid w:val="00DC793F"/>
    <w:rsid w:val="00DE4629"/>
    <w:rsid w:val="00DF11FD"/>
    <w:rsid w:val="00DF5254"/>
    <w:rsid w:val="00E12426"/>
    <w:rsid w:val="00E12432"/>
    <w:rsid w:val="00E15BD5"/>
    <w:rsid w:val="00E16408"/>
    <w:rsid w:val="00E1678E"/>
    <w:rsid w:val="00E20599"/>
    <w:rsid w:val="00E20894"/>
    <w:rsid w:val="00E241EC"/>
    <w:rsid w:val="00E245AB"/>
    <w:rsid w:val="00E26239"/>
    <w:rsid w:val="00E2764C"/>
    <w:rsid w:val="00E27F2E"/>
    <w:rsid w:val="00E377A2"/>
    <w:rsid w:val="00E413EA"/>
    <w:rsid w:val="00E47F28"/>
    <w:rsid w:val="00E47FFD"/>
    <w:rsid w:val="00E50AFE"/>
    <w:rsid w:val="00E52E49"/>
    <w:rsid w:val="00E577AC"/>
    <w:rsid w:val="00E578B6"/>
    <w:rsid w:val="00E61547"/>
    <w:rsid w:val="00E61702"/>
    <w:rsid w:val="00E744BA"/>
    <w:rsid w:val="00E75B66"/>
    <w:rsid w:val="00E75C92"/>
    <w:rsid w:val="00E761BC"/>
    <w:rsid w:val="00E76808"/>
    <w:rsid w:val="00E770CD"/>
    <w:rsid w:val="00E771DC"/>
    <w:rsid w:val="00E77478"/>
    <w:rsid w:val="00E77E1B"/>
    <w:rsid w:val="00E8013F"/>
    <w:rsid w:val="00E80C9F"/>
    <w:rsid w:val="00E84695"/>
    <w:rsid w:val="00E847D2"/>
    <w:rsid w:val="00E85A9C"/>
    <w:rsid w:val="00E85AA8"/>
    <w:rsid w:val="00E870E5"/>
    <w:rsid w:val="00E875F3"/>
    <w:rsid w:val="00E8772A"/>
    <w:rsid w:val="00E90F6B"/>
    <w:rsid w:val="00E91079"/>
    <w:rsid w:val="00E92C27"/>
    <w:rsid w:val="00E92E10"/>
    <w:rsid w:val="00EA0E3D"/>
    <w:rsid w:val="00EA19FA"/>
    <w:rsid w:val="00EA1CD8"/>
    <w:rsid w:val="00EA393B"/>
    <w:rsid w:val="00EA39A5"/>
    <w:rsid w:val="00EA6FC4"/>
    <w:rsid w:val="00EB185D"/>
    <w:rsid w:val="00EB2C4B"/>
    <w:rsid w:val="00EB5836"/>
    <w:rsid w:val="00EB5F37"/>
    <w:rsid w:val="00EB7090"/>
    <w:rsid w:val="00EB7E00"/>
    <w:rsid w:val="00EC0E3F"/>
    <w:rsid w:val="00EC1A2C"/>
    <w:rsid w:val="00EC1FE1"/>
    <w:rsid w:val="00EC38A7"/>
    <w:rsid w:val="00ED042A"/>
    <w:rsid w:val="00ED0D4A"/>
    <w:rsid w:val="00ED77BC"/>
    <w:rsid w:val="00EE1AA8"/>
    <w:rsid w:val="00EF26C3"/>
    <w:rsid w:val="00EF419E"/>
    <w:rsid w:val="00EF489F"/>
    <w:rsid w:val="00EF753D"/>
    <w:rsid w:val="00F07875"/>
    <w:rsid w:val="00F11213"/>
    <w:rsid w:val="00F11BAA"/>
    <w:rsid w:val="00F1445A"/>
    <w:rsid w:val="00F177C1"/>
    <w:rsid w:val="00F23592"/>
    <w:rsid w:val="00F238F2"/>
    <w:rsid w:val="00F260AA"/>
    <w:rsid w:val="00F27B26"/>
    <w:rsid w:val="00F31EDC"/>
    <w:rsid w:val="00F34D02"/>
    <w:rsid w:val="00F34E84"/>
    <w:rsid w:val="00F40BAD"/>
    <w:rsid w:val="00F410B6"/>
    <w:rsid w:val="00F4491A"/>
    <w:rsid w:val="00F462B3"/>
    <w:rsid w:val="00F51119"/>
    <w:rsid w:val="00F5184B"/>
    <w:rsid w:val="00F5261F"/>
    <w:rsid w:val="00F55081"/>
    <w:rsid w:val="00F55168"/>
    <w:rsid w:val="00F5664F"/>
    <w:rsid w:val="00F626C4"/>
    <w:rsid w:val="00F64D9E"/>
    <w:rsid w:val="00F665D0"/>
    <w:rsid w:val="00F666C4"/>
    <w:rsid w:val="00F7684C"/>
    <w:rsid w:val="00F76AFC"/>
    <w:rsid w:val="00F80CBE"/>
    <w:rsid w:val="00F85198"/>
    <w:rsid w:val="00F85A91"/>
    <w:rsid w:val="00F87AB9"/>
    <w:rsid w:val="00F905A7"/>
    <w:rsid w:val="00F939CB"/>
    <w:rsid w:val="00F9479C"/>
    <w:rsid w:val="00F965EE"/>
    <w:rsid w:val="00F97949"/>
    <w:rsid w:val="00FA0A8F"/>
    <w:rsid w:val="00FA1110"/>
    <w:rsid w:val="00FA358D"/>
    <w:rsid w:val="00FA47C0"/>
    <w:rsid w:val="00FA52E6"/>
    <w:rsid w:val="00FB4425"/>
    <w:rsid w:val="00FB5615"/>
    <w:rsid w:val="00FB5DD1"/>
    <w:rsid w:val="00FB5F87"/>
    <w:rsid w:val="00FC07B5"/>
    <w:rsid w:val="00FC1503"/>
    <w:rsid w:val="00FC2B5D"/>
    <w:rsid w:val="00FD00E9"/>
    <w:rsid w:val="00FD03E3"/>
    <w:rsid w:val="00FD07E4"/>
    <w:rsid w:val="00FD2400"/>
    <w:rsid w:val="00FE122A"/>
    <w:rsid w:val="00FE20E6"/>
    <w:rsid w:val="00FE42B3"/>
    <w:rsid w:val="00FE5975"/>
    <w:rsid w:val="00FF1187"/>
    <w:rsid w:val="00FF1449"/>
    <w:rsid w:val="00FF383E"/>
    <w:rsid w:val="00FF4218"/>
    <w:rsid w:val="00FF74EA"/>
    <w:rsid w:val="0FB71FC4"/>
    <w:rsid w:val="2832C13D"/>
    <w:rsid w:val="57E0B9D2"/>
    <w:rsid w:val="5CEADB7B"/>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3073"/>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937AF"/>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
    <w:basedOn w:val="Normal"/>
    <w:link w:val="PrrafodelistaCar"/>
    <w:uiPriority w:val="1"/>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customStyle="1" w:styleId="Mencinsinresolver1">
    <w:name w:val="Mención sin resolver1"/>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table" w:customStyle="1" w:styleId="Tablaconcuadrcula1">
    <w:name w:val="Tabla con cuadrícula1"/>
    <w:basedOn w:val="Tablanormal"/>
    <w:next w:val="Tablaconcuadrcula"/>
    <w:uiPriority w:val="59"/>
    <w:qFormat/>
    <w:rsid w:val="0008328D"/>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elnotedebasde">
    <w:name w:val="Appel note de bas de..."/>
    <w:basedOn w:val="Normal"/>
    <w:link w:val="Refdenotaalpie"/>
    <w:rsid w:val="0008328D"/>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1"/>
    <w:qFormat/>
    <w:locked/>
    <w:rsid w:val="0008328D"/>
    <w:rPr>
      <w:rFonts w:ascii="Geomanist Light" w:hAnsi="Geomanist Light"/>
      <w:lang w:val="es-ES"/>
    </w:rPr>
  </w:style>
  <w:style w:type="character" w:styleId="Textoennegrita">
    <w:name w:val="Strong"/>
    <w:basedOn w:val="Fuentedeprrafopredeter"/>
    <w:uiPriority w:val="22"/>
    <w:qFormat/>
    <w:rsid w:val="0008328D"/>
    <w:rPr>
      <w:b/>
      <w:bCs/>
    </w:rPr>
  </w:style>
  <w:style w:type="paragraph" w:customStyle="1" w:styleId="fn1">
    <w:name w:val="fn1"/>
    <w:basedOn w:val="Normal"/>
    <w:next w:val="Textonotapie"/>
    <w:uiPriority w:val="99"/>
    <w:unhideWhenUsed/>
    <w:qFormat/>
    <w:rsid w:val="004F3012"/>
    <w:pPr>
      <w:spacing w:after="0" w:line="240" w:lineRule="auto"/>
    </w:pPr>
    <w:rPr>
      <w:sz w:val="20"/>
      <w:szCs w:val="20"/>
      <w:lang w:val="es-MX"/>
    </w:rPr>
  </w:style>
  <w:style w:type="paragraph" w:styleId="Textoindependiente">
    <w:name w:val="Body Text"/>
    <w:basedOn w:val="Normal"/>
    <w:link w:val="TextoindependienteCar"/>
    <w:uiPriority w:val="1"/>
    <w:qFormat/>
    <w:rsid w:val="00FF74EA"/>
    <w:pPr>
      <w:widowControl w:val="0"/>
      <w:autoSpaceDE w:val="0"/>
      <w:autoSpaceDN w:val="0"/>
      <w:spacing w:after="0" w:line="240" w:lineRule="auto"/>
    </w:pPr>
    <w:rPr>
      <w:rFonts w:ascii="Arial" w:eastAsia="Arial" w:hAnsi="Arial" w:cs="Arial"/>
      <w:lang w:val="es-ES"/>
    </w:rPr>
  </w:style>
  <w:style w:type="character" w:customStyle="1" w:styleId="TextoindependienteCar">
    <w:name w:val="Texto independiente Car"/>
    <w:basedOn w:val="Fuentedeprrafopredeter"/>
    <w:link w:val="Textoindependiente"/>
    <w:uiPriority w:val="1"/>
    <w:rsid w:val="00FF74EA"/>
    <w:rPr>
      <w:rFonts w:ascii="Arial" w:eastAsia="Arial" w:hAnsi="Arial" w:cs="Arial"/>
      <w:lang w:val="es-ES"/>
    </w:rPr>
  </w:style>
  <w:style w:type="character" w:customStyle="1" w:styleId="NormalWebCar">
    <w:name w:val="Normal (Web) Car"/>
    <w:link w:val="NormalWeb"/>
    <w:uiPriority w:val="99"/>
    <w:locked/>
    <w:rsid w:val="00FF74EA"/>
    <w:rPr>
      <w:rFonts w:ascii="Times New Roman" w:eastAsia="Times New Roman" w:hAnsi="Times New Roman" w:cs="Times New Roman"/>
      <w:sz w:val="24"/>
      <w:szCs w:val="24"/>
      <w:lang w:eastAsia="es-CO"/>
    </w:rPr>
  </w:style>
  <w:style w:type="character" w:styleId="nfasis">
    <w:name w:val="Emphasis"/>
    <w:basedOn w:val="Fuentedeprrafopredeter"/>
    <w:uiPriority w:val="20"/>
    <w:qFormat/>
    <w:rsid w:val="00A24433"/>
    <w:rPr>
      <w:i/>
      <w:iCs/>
    </w:rPr>
  </w:style>
  <w:style w:type="character" w:styleId="Refdecomentario">
    <w:name w:val="annotation reference"/>
    <w:basedOn w:val="Fuentedeprrafopredeter"/>
    <w:uiPriority w:val="99"/>
    <w:semiHidden/>
    <w:unhideWhenUsed/>
    <w:rsid w:val="0052785C"/>
    <w:rPr>
      <w:sz w:val="16"/>
      <w:szCs w:val="16"/>
    </w:rPr>
  </w:style>
  <w:style w:type="paragraph" w:styleId="Textocomentario">
    <w:name w:val="annotation text"/>
    <w:basedOn w:val="Normal"/>
    <w:link w:val="TextocomentarioCar"/>
    <w:uiPriority w:val="99"/>
    <w:unhideWhenUsed/>
    <w:rsid w:val="0052785C"/>
    <w:pPr>
      <w:spacing w:line="240" w:lineRule="auto"/>
    </w:pPr>
    <w:rPr>
      <w:sz w:val="20"/>
      <w:szCs w:val="20"/>
    </w:rPr>
  </w:style>
  <w:style w:type="character" w:customStyle="1" w:styleId="TextocomentarioCar">
    <w:name w:val="Texto comentario Car"/>
    <w:basedOn w:val="Fuentedeprrafopredeter"/>
    <w:link w:val="Textocomentario"/>
    <w:uiPriority w:val="99"/>
    <w:rsid w:val="0052785C"/>
    <w:rPr>
      <w:sz w:val="20"/>
      <w:szCs w:val="20"/>
    </w:rPr>
  </w:style>
  <w:style w:type="paragraph" w:styleId="Asuntodelcomentario">
    <w:name w:val="annotation subject"/>
    <w:basedOn w:val="Textocomentario"/>
    <w:next w:val="Textocomentario"/>
    <w:link w:val="AsuntodelcomentarioCar"/>
    <w:uiPriority w:val="99"/>
    <w:semiHidden/>
    <w:unhideWhenUsed/>
    <w:rsid w:val="0052785C"/>
    <w:rPr>
      <w:b/>
      <w:bCs/>
    </w:rPr>
  </w:style>
  <w:style w:type="character" w:customStyle="1" w:styleId="AsuntodelcomentarioCar">
    <w:name w:val="Asunto del comentario Car"/>
    <w:basedOn w:val="TextocomentarioCar"/>
    <w:link w:val="Asuntodelcomentario"/>
    <w:uiPriority w:val="99"/>
    <w:semiHidden/>
    <w:rsid w:val="0052785C"/>
    <w:rPr>
      <w:b/>
      <w:bCs/>
      <w:sz w:val="20"/>
      <w:szCs w:val="20"/>
    </w:rPr>
  </w:style>
  <w:style w:type="paragraph" w:styleId="Textodeglobo">
    <w:name w:val="Balloon Text"/>
    <w:basedOn w:val="Normal"/>
    <w:link w:val="TextodegloboCar"/>
    <w:uiPriority w:val="99"/>
    <w:semiHidden/>
    <w:unhideWhenUsed/>
    <w:rsid w:val="00120766"/>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120766"/>
    <w:rPr>
      <w:rFonts w:ascii="Segoe UI" w:hAnsi="Segoe UI" w:cs="Segoe UI"/>
      <w:sz w:val="18"/>
      <w:szCs w:val="18"/>
    </w:rPr>
  </w:style>
  <w:style w:type="paragraph" w:styleId="Subttulo">
    <w:name w:val="Subtitle"/>
    <w:basedOn w:val="Normal"/>
    <w:next w:val="Normal"/>
    <w:link w:val="SubttuloCar"/>
    <w:uiPriority w:val="11"/>
    <w:qFormat/>
    <w:rsid w:val="00B52CDB"/>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B52CDB"/>
    <w:rPr>
      <w:rFonts w:eastAsiaTheme="majorEastAsia" w:cstheme="majorBidi"/>
      <w:color w:val="595959" w:themeColor="text1" w:themeTint="A6"/>
      <w:spacing w:val="15"/>
      <w:sz w:val="28"/>
      <w:szCs w:val="28"/>
    </w:rPr>
  </w:style>
  <w:style w:type="paragraph" w:styleId="Sinespaciado">
    <w:name w:val="No Spacing"/>
    <w:uiPriority w:val="1"/>
    <w:qFormat/>
    <w:rsid w:val="00191775"/>
    <w:pPr>
      <w:spacing w:after="0" w:line="240" w:lineRule="auto"/>
    </w:pPr>
    <w:rPr>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501546">
      <w:bodyDiv w:val="1"/>
      <w:marLeft w:val="0"/>
      <w:marRight w:val="0"/>
      <w:marTop w:val="0"/>
      <w:marBottom w:val="0"/>
      <w:divBdr>
        <w:top w:val="none" w:sz="0" w:space="0" w:color="auto"/>
        <w:left w:val="none" w:sz="0" w:space="0" w:color="auto"/>
        <w:bottom w:val="none" w:sz="0" w:space="0" w:color="auto"/>
        <w:right w:val="none" w:sz="0" w:space="0" w:color="auto"/>
      </w:divBdr>
    </w:div>
    <w:div w:id="203835437">
      <w:bodyDiv w:val="1"/>
      <w:marLeft w:val="0"/>
      <w:marRight w:val="0"/>
      <w:marTop w:val="0"/>
      <w:marBottom w:val="0"/>
      <w:divBdr>
        <w:top w:val="none" w:sz="0" w:space="0" w:color="auto"/>
        <w:left w:val="none" w:sz="0" w:space="0" w:color="auto"/>
        <w:bottom w:val="none" w:sz="0" w:space="0" w:color="auto"/>
        <w:right w:val="none" w:sz="0" w:space="0" w:color="auto"/>
      </w:divBdr>
    </w:div>
    <w:div w:id="429475947">
      <w:bodyDiv w:val="1"/>
      <w:marLeft w:val="0"/>
      <w:marRight w:val="0"/>
      <w:marTop w:val="0"/>
      <w:marBottom w:val="0"/>
      <w:divBdr>
        <w:top w:val="none" w:sz="0" w:space="0" w:color="auto"/>
        <w:left w:val="none" w:sz="0" w:space="0" w:color="auto"/>
        <w:bottom w:val="none" w:sz="0" w:space="0" w:color="auto"/>
        <w:right w:val="none" w:sz="0" w:space="0" w:color="auto"/>
      </w:divBdr>
    </w:div>
    <w:div w:id="502475250">
      <w:bodyDiv w:val="1"/>
      <w:marLeft w:val="0"/>
      <w:marRight w:val="0"/>
      <w:marTop w:val="0"/>
      <w:marBottom w:val="0"/>
      <w:divBdr>
        <w:top w:val="none" w:sz="0" w:space="0" w:color="auto"/>
        <w:left w:val="none" w:sz="0" w:space="0" w:color="auto"/>
        <w:bottom w:val="none" w:sz="0" w:space="0" w:color="auto"/>
        <w:right w:val="none" w:sz="0" w:space="0" w:color="auto"/>
      </w:divBdr>
    </w:div>
    <w:div w:id="513416965">
      <w:bodyDiv w:val="1"/>
      <w:marLeft w:val="0"/>
      <w:marRight w:val="0"/>
      <w:marTop w:val="0"/>
      <w:marBottom w:val="0"/>
      <w:divBdr>
        <w:top w:val="none" w:sz="0" w:space="0" w:color="auto"/>
        <w:left w:val="none" w:sz="0" w:space="0" w:color="auto"/>
        <w:bottom w:val="none" w:sz="0" w:space="0" w:color="auto"/>
        <w:right w:val="none" w:sz="0" w:space="0" w:color="auto"/>
      </w:divBdr>
    </w:div>
    <w:div w:id="543443762">
      <w:bodyDiv w:val="1"/>
      <w:marLeft w:val="0"/>
      <w:marRight w:val="0"/>
      <w:marTop w:val="0"/>
      <w:marBottom w:val="0"/>
      <w:divBdr>
        <w:top w:val="none" w:sz="0" w:space="0" w:color="auto"/>
        <w:left w:val="none" w:sz="0" w:space="0" w:color="auto"/>
        <w:bottom w:val="none" w:sz="0" w:space="0" w:color="auto"/>
        <w:right w:val="none" w:sz="0" w:space="0" w:color="auto"/>
      </w:divBdr>
    </w:div>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48189111">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773356954">
      <w:bodyDiv w:val="1"/>
      <w:marLeft w:val="0"/>
      <w:marRight w:val="0"/>
      <w:marTop w:val="0"/>
      <w:marBottom w:val="0"/>
      <w:divBdr>
        <w:top w:val="none" w:sz="0" w:space="0" w:color="auto"/>
        <w:left w:val="none" w:sz="0" w:space="0" w:color="auto"/>
        <w:bottom w:val="none" w:sz="0" w:space="0" w:color="auto"/>
        <w:right w:val="none" w:sz="0" w:space="0" w:color="auto"/>
      </w:divBdr>
    </w:div>
    <w:div w:id="823744084">
      <w:bodyDiv w:val="1"/>
      <w:marLeft w:val="0"/>
      <w:marRight w:val="0"/>
      <w:marTop w:val="0"/>
      <w:marBottom w:val="0"/>
      <w:divBdr>
        <w:top w:val="none" w:sz="0" w:space="0" w:color="auto"/>
        <w:left w:val="none" w:sz="0" w:space="0" w:color="auto"/>
        <w:bottom w:val="none" w:sz="0" w:space="0" w:color="auto"/>
        <w:right w:val="none" w:sz="0" w:space="0" w:color="auto"/>
      </w:divBdr>
      <w:divsChild>
        <w:div w:id="1665283950">
          <w:marLeft w:val="0"/>
          <w:marRight w:val="0"/>
          <w:marTop w:val="0"/>
          <w:marBottom w:val="160"/>
          <w:divBdr>
            <w:top w:val="none" w:sz="0" w:space="0" w:color="auto"/>
            <w:left w:val="none" w:sz="0" w:space="0" w:color="auto"/>
            <w:bottom w:val="none" w:sz="0" w:space="0" w:color="auto"/>
            <w:right w:val="none" w:sz="0" w:space="0" w:color="auto"/>
          </w:divBdr>
        </w:div>
        <w:div w:id="133375842">
          <w:marLeft w:val="0"/>
          <w:marRight w:val="0"/>
          <w:marTop w:val="0"/>
          <w:marBottom w:val="160"/>
          <w:divBdr>
            <w:top w:val="none" w:sz="0" w:space="0" w:color="auto"/>
            <w:left w:val="none" w:sz="0" w:space="0" w:color="auto"/>
            <w:bottom w:val="none" w:sz="0" w:space="0" w:color="auto"/>
            <w:right w:val="none" w:sz="0" w:space="0" w:color="auto"/>
          </w:divBdr>
        </w:div>
        <w:div w:id="1806265997">
          <w:marLeft w:val="0"/>
          <w:marRight w:val="0"/>
          <w:marTop w:val="0"/>
          <w:marBottom w:val="160"/>
          <w:divBdr>
            <w:top w:val="none" w:sz="0" w:space="0" w:color="auto"/>
            <w:left w:val="none" w:sz="0" w:space="0" w:color="auto"/>
            <w:bottom w:val="none" w:sz="0" w:space="0" w:color="auto"/>
            <w:right w:val="none" w:sz="0" w:space="0" w:color="auto"/>
          </w:divBdr>
        </w:div>
      </w:divsChild>
    </w:div>
    <w:div w:id="828248822">
      <w:bodyDiv w:val="1"/>
      <w:marLeft w:val="0"/>
      <w:marRight w:val="0"/>
      <w:marTop w:val="0"/>
      <w:marBottom w:val="0"/>
      <w:divBdr>
        <w:top w:val="none" w:sz="0" w:space="0" w:color="auto"/>
        <w:left w:val="none" w:sz="0" w:space="0" w:color="auto"/>
        <w:bottom w:val="none" w:sz="0" w:space="0" w:color="auto"/>
        <w:right w:val="none" w:sz="0" w:space="0" w:color="auto"/>
      </w:divBdr>
    </w:div>
    <w:div w:id="939751492">
      <w:bodyDiv w:val="1"/>
      <w:marLeft w:val="0"/>
      <w:marRight w:val="0"/>
      <w:marTop w:val="0"/>
      <w:marBottom w:val="0"/>
      <w:divBdr>
        <w:top w:val="none" w:sz="0" w:space="0" w:color="auto"/>
        <w:left w:val="none" w:sz="0" w:space="0" w:color="auto"/>
        <w:bottom w:val="none" w:sz="0" w:space="0" w:color="auto"/>
        <w:right w:val="none" w:sz="0" w:space="0" w:color="auto"/>
      </w:divBdr>
    </w:div>
    <w:div w:id="1000542314">
      <w:bodyDiv w:val="1"/>
      <w:marLeft w:val="0"/>
      <w:marRight w:val="0"/>
      <w:marTop w:val="0"/>
      <w:marBottom w:val="0"/>
      <w:divBdr>
        <w:top w:val="none" w:sz="0" w:space="0" w:color="auto"/>
        <w:left w:val="none" w:sz="0" w:space="0" w:color="auto"/>
        <w:bottom w:val="none" w:sz="0" w:space="0" w:color="auto"/>
        <w:right w:val="none" w:sz="0" w:space="0" w:color="auto"/>
      </w:divBdr>
      <w:divsChild>
        <w:div w:id="961616185">
          <w:marLeft w:val="0"/>
          <w:marRight w:val="0"/>
          <w:marTop w:val="0"/>
          <w:marBottom w:val="0"/>
          <w:divBdr>
            <w:top w:val="none" w:sz="0" w:space="0" w:color="auto"/>
            <w:left w:val="none" w:sz="0" w:space="0" w:color="auto"/>
            <w:bottom w:val="none" w:sz="0" w:space="0" w:color="auto"/>
            <w:right w:val="none" w:sz="0" w:space="0" w:color="auto"/>
          </w:divBdr>
        </w:div>
      </w:divsChild>
    </w:div>
    <w:div w:id="1025399029">
      <w:bodyDiv w:val="1"/>
      <w:marLeft w:val="0"/>
      <w:marRight w:val="0"/>
      <w:marTop w:val="0"/>
      <w:marBottom w:val="0"/>
      <w:divBdr>
        <w:top w:val="none" w:sz="0" w:space="0" w:color="auto"/>
        <w:left w:val="none" w:sz="0" w:space="0" w:color="auto"/>
        <w:bottom w:val="none" w:sz="0" w:space="0" w:color="auto"/>
        <w:right w:val="none" w:sz="0" w:space="0" w:color="auto"/>
      </w:divBdr>
    </w:div>
    <w:div w:id="1078407130">
      <w:bodyDiv w:val="1"/>
      <w:marLeft w:val="0"/>
      <w:marRight w:val="0"/>
      <w:marTop w:val="0"/>
      <w:marBottom w:val="0"/>
      <w:divBdr>
        <w:top w:val="none" w:sz="0" w:space="0" w:color="auto"/>
        <w:left w:val="none" w:sz="0" w:space="0" w:color="auto"/>
        <w:bottom w:val="none" w:sz="0" w:space="0" w:color="auto"/>
        <w:right w:val="none" w:sz="0" w:space="0" w:color="auto"/>
      </w:divBdr>
    </w:div>
    <w:div w:id="1101219196">
      <w:bodyDiv w:val="1"/>
      <w:marLeft w:val="0"/>
      <w:marRight w:val="0"/>
      <w:marTop w:val="0"/>
      <w:marBottom w:val="0"/>
      <w:divBdr>
        <w:top w:val="none" w:sz="0" w:space="0" w:color="auto"/>
        <w:left w:val="none" w:sz="0" w:space="0" w:color="auto"/>
        <w:bottom w:val="none" w:sz="0" w:space="0" w:color="auto"/>
        <w:right w:val="none" w:sz="0" w:space="0" w:color="auto"/>
      </w:divBdr>
    </w:div>
    <w:div w:id="1124930395">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182819155">
      <w:bodyDiv w:val="1"/>
      <w:marLeft w:val="0"/>
      <w:marRight w:val="0"/>
      <w:marTop w:val="0"/>
      <w:marBottom w:val="0"/>
      <w:divBdr>
        <w:top w:val="none" w:sz="0" w:space="0" w:color="auto"/>
        <w:left w:val="none" w:sz="0" w:space="0" w:color="auto"/>
        <w:bottom w:val="none" w:sz="0" w:space="0" w:color="auto"/>
        <w:right w:val="none" w:sz="0" w:space="0" w:color="auto"/>
      </w:divBdr>
    </w:div>
    <w:div w:id="1236013034">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1343514720">
      <w:bodyDiv w:val="1"/>
      <w:marLeft w:val="0"/>
      <w:marRight w:val="0"/>
      <w:marTop w:val="0"/>
      <w:marBottom w:val="0"/>
      <w:divBdr>
        <w:top w:val="none" w:sz="0" w:space="0" w:color="auto"/>
        <w:left w:val="none" w:sz="0" w:space="0" w:color="auto"/>
        <w:bottom w:val="none" w:sz="0" w:space="0" w:color="auto"/>
        <w:right w:val="none" w:sz="0" w:space="0" w:color="auto"/>
      </w:divBdr>
    </w:div>
    <w:div w:id="1348216786">
      <w:bodyDiv w:val="1"/>
      <w:marLeft w:val="0"/>
      <w:marRight w:val="0"/>
      <w:marTop w:val="0"/>
      <w:marBottom w:val="0"/>
      <w:divBdr>
        <w:top w:val="none" w:sz="0" w:space="0" w:color="auto"/>
        <w:left w:val="none" w:sz="0" w:space="0" w:color="auto"/>
        <w:bottom w:val="none" w:sz="0" w:space="0" w:color="auto"/>
        <w:right w:val="none" w:sz="0" w:space="0" w:color="auto"/>
      </w:divBdr>
    </w:div>
    <w:div w:id="1362366812">
      <w:bodyDiv w:val="1"/>
      <w:marLeft w:val="0"/>
      <w:marRight w:val="0"/>
      <w:marTop w:val="0"/>
      <w:marBottom w:val="0"/>
      <w:divBdr>
        <w:top w:val="none" w:sz="0" w:space="0" w:color="auto"/>
        <w:left w:val="none" w:sz="0" w:space="0" w:color="auto"/>
        <w:bottom w:val="none" w:sz="0" w:space="0" w:color="auto"/>
        <w:right w:val="none" w:sz="0" w:space="0" w:color="auto"/>
      </w:divBdr>
      <w:divsChild>
        <w:div w:id="1933707204">
          <w:marLeft w:val="0"/>
          <w:marRight w:val="0"/>
          <w:marTop w:val="0"/>
          <w:marBottom w:val="0"/>
          <w:divBdr>
            <w:top w:val="none" w:sz="0" w:space="0" w:color="auto"/>
            <w:left w:val="none" w:sz="0" w:space="0" w:color="auto"/>
            <w:bottom w:val="none" w:sz="0" w:space="0" w:color="auto"/>
            <w:right w:val="none" w:sz="0" w:space="0" w:color="auto"/>
          </w:divBdr>
        </w:div>
        <w:div w:id="2124493292">
          <w:marLeft w:val="0"/>
          <w:marRight w:val="0"/>
          <w:marTop w:val="0"/>
          <w:marBottom w:val="0"/>
          <w:divBdr>
            <w:top w:val="none" w:sz="0" w:space="0" w:color="auto"/>
            <w:left w:val="none" w:sz="0" w:space="0" w:color="auto"/>
            <w:bottom w:val="none" w:sz="0" w:space="0" w:color="auto"/>
            <w:right w:val="none" w:sz="0" w:space="0" w:color="auto"/>
          </w:divBdr>
        </w:div>
        <w:div w:id="993290630">
          <w:marLeft w:val="0"/>
          <w:marRight w:val="0"/>
          <w:marTop w:val="0"/>
          <w:marBottom w:val="0"/>
          <w:divBdr>
            <w:top w:val="none" w:sz="0" w:space="0" w:color="auto"/>
            <w:left w:val="none" w:sz="0" w:space="0" w:color="auto"/>
            <w:bottom w:val="none" w:sz="0" w:space="0" w:color="auto"/>
            <w:right w:val="none" w:sz="0" w:space="0" w:color="auto"/>
          </w:divBdr>
        </w:div>
      </w:divsChild>
    </w:div>
    <w:div w:id="1388527428">
      <w:bodyDiv w:val="1"/>
      <w:marLeft w:val="0"/>
      <w:marRight w:val="0"/>
      <w:marTop w:val="0"/>
      <w:marBottom w:val="0"/>
      <w:divBdr>
        <w:top w:val="none" w:sz="0" w:space="0" w:color="auto"/>
        <w:left w:val="none" w:sz="0" w:space="0" w:color="auto"/>
        <w:bottom w:val="none" w:sz="0" w:space="0" w:color="auto"/>
        <w:right w:val="none" w:sz="0" w:space="0" w:color="auto"/>
      </w:divBdr>
      <w:divsChild>
        <w:div w:id="1126967197">
          <w:marLeft w:val="0"/>
          <w:marRight w:val="0"/>
          <w:marTop w:val="0"/>
          <w:marBottom w:val="160"/>
          <w:divBdr>
            <w:top w:val="none" w:sz="0" w:space="0" w:color="auto"/>
            <w:left w:val="none" w:sz="0" w:space="0" w:color="auto"/>
            <w:bottom w:val="none" w:sz="0" w:space="0" w:color="auto"/>
            <w:right w:val="none" w:sz="0" w:space="0" w:color="auto"/>
          </w:divBdr>
        </w:div>
        <w:div w:id="1450123274">
          <w:marLeft w:val="0"/>
          <w:marRight w:val="0"/>
          <w:marTop w:val="0"/>
          <w:marBottom w:val="160"/>
          <w:divBdr>
            <w:top w:val="none" w:sz="0" w:space="0" w:color="auto"/>
            <w:left w:val="none" w:sz="0" w:space="0" w:color="auto"/>
            <w:bottom w:val="none" w:sz="0" w:space="0" w:color="auto"/>
            <w:right w:val="none" w:sz="0" w:space="0" w:color="auto"/>
          </w:divBdr>
        </w:div>
        <w:div w:id="522205550">
          <w:marLeft w:val="0"/>
          <w:marRight w:val="0"/>
          <w:marTop w:val="0"/>
          <w:marBottom w:val="160"/>
          <w:divBdr>
            <w:top w:val="none" w:sz="0" w:space="0" w:color="auto"/>
            <w:left w:val="none" w:sz="0" w:space="0" w:color="auto"/>
            <w:bottom w:val="none" w:sz="0" w:space="0" w:color="auto"/>
            <w:right w:val="none" w:sz="0" w:space="0" w:color="auto"/>
          </w:divBdr>
        </w:div>
      </w:divsChild>
    </w:div>
    <w:div w:id="1390762709">
      <w:bodyDiv w:val="1"/>
      <w:marLeft w:val="0"/>
      <w:marRight w:val="0"/>
      <w:marTop w:val="0"/>
      <w:marBottom w:val="0"/>
      <w:divBdr>
        <w:top w:val="none" w:sz="0" w:space="0" w:color="auto"/>
        <w:left w:val="none" w:sz="0" w:space="0" w:color="auto"/>
        <w:bottom w:val="none" w:sz="0" w:space="0" w:color="auto"/>
        <w:right w:val="none" w:sz="0" w:space="0" w:color="auto"/>
      </w:divBdr>
    </w:div>
    <w:div w:id="1471678187">
      <w:bodyDiv w:val="1"/>
      <w:marLeft w:val="0"/>
      <w:marRight w:val="0"/>
      <w:marTop w:val="0"/>
      <w:marBottom w:val="0"/>
      <w:divBdr>
        <w:top w:val="none" w:sz="0" w:space="0" w:color="auto"/>
        <w:left w:val="none" w:sz="0" w:space="0" w:color="auto"/>
        <w:bottom w:val="none" w:sz="0" w:space="0" w:color="auto"/>
        <w:right w:val="none" w:sz="0" w:space="0" w:color="auto"/>
      </w:divBdr>
      <w:divsChild>
        <w:div w:id="331952033">
          <w:marLeft w:val="0"/>
          <w:marRight w:val="0"/>
          <w:marTop w:val="0"/>
          <w:marBottom w:val="0"/>
          <w:divBdr>
            <w:top w:val="none" w:sz="0" w:space="0" w:color="auto"/>
            <w:left w:val="none" w:sz="0" w:space="0" w:color="auto"/>
            <w:bottom w:val="none" w:sz="0" w:space="0" w:color="auto"/>
            <w:right w:val="none" w:sz="0" w:space="0" w:color="auto"/>
          </w:divBdr>
        </w:div>
        <w:div w:id="1549146269">
          <w:marLeft w:val="0"/>
          <w:marRight w:val="0"/>
          <w:marTop w:val="0"/>
          <w:marBottom w:val="0"/>
          <w:divBdr>
            <w:top w:val="none" w:sz="0" w:space="0" w:color="auto"/>
            <w:left w:val="none" w:sz="0" w:space="0" w:color="auto"/>
            <w:bottom w:val="none" w:sz="0" w:space="0" w:color="auto"/>
            <w:right w:val="none" w:sz="0" w:space="0" w:color="auto"/>
          </w:divBdr>
        </w:div>
      </w:divsChild>
    </w:div>
    <w:div w:id="1496606819">
      <w:bodyDiv w:val="1"/>
      <w:marLeft w:val="0"/>
      <w:marRight w:val="0"/>
      <w:marTop w:val="0"/>
      <w:marBottom w:val="0"/>
      <w:divBdr>
        <w:top w:val="none" w:sz="0" w:space="0" w:color="auto"/>
        <w:left w:val="none" w:sz="0" w:space="0" w:color="auto"/>
        <w:bottom w:val="none" w:sz="0" w:space="0" w:color="auto"/>
        <w:right w:val="none" w:sz="0" w:space="0" w:color="auto"/>
      </w:divBdr>
    </w:div>
    <w:div w:id="1561134819">
      <w:bodyDiv w:val="1"/>
      <w:marLeft w:val="0"/>
      <w:marRight w:val="0"/>
      <w:marTop w:val="0"/>
      <w:marBottom w:val="0"/>
      <w:divBdr>
        <w:top w:val="none" w:sz="0" w:space="0" w:color="auto"/>
        <w:left w:val="none" w:sz="0" w:space="0" w:color="auto"/>
        <w:bottom w:val="none" w:sz="0" w:space="0" w:color="auto"/>
        <w:right w:val="none" w:sz="0" w:space="0" w:color="auto"/>
      </w:divBdr>
      <w:divsChild>
        <w:div w:id="854223492">
          <w:marLeft w:val="0"/>
          <w:marRight w:val="0"/>
          <w:marTop w:val="0"/>
          <w:marBottom w:val="0"/>
          <w:divBdr>
            <w:top w:val="none" w:sz="0" w:space="0" w:color="auto"/>
            <w:left w:val="none" w:sz="0" w:space="0" w:color="auto"/>
            <w:bottom w:val="none" w:sz="0" w:space="0" w:color="auto"/>
            <w:right w:val="none" w:sz="0" w:space="0" w:color="auto"/>
          </w:divBdr>
        </w:div>
        <w:div w:id="2102289317">
          <w:marLeft w:val="0"/>
          <w:marRight w:val="0"/>
          <w:marTop w:val="0"/>
          <w:marBottom w:val="0"/>
          <w:divBdr>
            <w:top w:val="none" w:sz="0" w:space="0" w:color="auto"/>
            <w:left w:val="none" w:sz="0" w:space="0" w:color="auto"/>
            <w:bottom w:val="none" w:sz="0" w:space="0" w:color="auto"/>
            <w:right w:val="none" w:sz="0" w:space="0" w:color="auto"/>
          </w:divBdr>
        </w:div>
      </w:divsChild>
    </w:div>
    <w:div w:id="1661929042">
      <w:bodyDiv w:val="1"/>
      <w:marLeft w:val="0"/>
      <w:marRight w:val="0"/>
      <w:marTop w:val="0"/>
      <w:marBottom w:val="0"/>
      <w:divBdr>
        <w:top w:val="none" w:sz="0" w:space="0" w:color="auto"/>
        <w:left w:val="none" w:sz="0" w:space="0" w:color="auto"/>
        <w:bottom w:val="none" w:sz="0" w:space="0" w:color="auto"/>
        <w:right w:val="none" w:sz="0" w:space="0" w:color="auto"/>
      </w:divBdr>
      <w:divsChild>
        <w:div w:id="1221401708">
          <w:marLeft w:val="0"/>
          <w:marRight w:val="0"/>
          <w:marTop w:val="0"/>
          <w:marBottom w:val="160"/>
          <w:divBdr>
            <w:top w:val="none" w:sz="0" w:space="0" w:color="auto"/>
            <w:left w:val="none" w:sz="0" w:space="0" w:color="auto"/>
            <w:bottom w:val="none" w:sz="0" w:space="0" w:color="auto"/>
            <w:right w:val="none" w:sz="0" w:space="0" w:color="auto"/>
          </w:divBdr>
        </w:div>
        <w:div w:id="1959291753">
          <w:marLeft w:val="0"/>
          <w:marRight w:val="0"/>
          <w:marTop w:val="0"/>
          <w:marBottom w:val="160"/>
          <w:divBdr>
            <w:top w:val="none" w:sz="0" w:space="0" w:color="auto"/>
            <w:left w:val="none" w:sz="0" w:space="0" w:color="auto"/>
            <w:bottom w:val="none" w:sz="0" w:space="0" w:color="auto"/>
            <w:right w:val="none" w:sz="0" w:space="0" w:color="auto"/>
          </w:divBdr>
        </w:div>
        <w:div w:id="1179394306">
          <w:marLeft w:val="0"/>
          <w:marRight w:val="0"/>
          <w:marTop w:val="0"/>
          <w:marBottom w:val="160"/>
          <w:divBdr>
            <w:top w:val="none" w:sz="0" w:space="0" w:color="auto"/>
            <w:left w:val="none" w:sz="0" w:space="0" w:color="auto"/>
            <w:bottom w:val="none" w:sz="0" w:space="0" w:color="auto"/>
            <w:right w:val="none" w:sz="0" w:space="0" w:color="auto"/>
          </w:divBdr>
        </w:div>
      </w:divsChild>
    </w:div>
    <w:div w:id="1739789570">
      <w:bodyDiv w:val="1"/>
      <w:marLeft w:val="0"/>
      <w:marRight w:val="0"/>
      <w:marTop w:val="0"/>
      <w:marBottom w:val="0"/>
      <w:divBdr>
        <w:top w:val="none" w:sz="0" w:space="0" w:color="auto"/>
        <w:left w:val="none" w:sz="0" w:space="0" w:color="auto"/>
        <w:bottom w:val="none" w:sz="0" w:space="0" w:color="auto"/>
        <w:right w:val="none" w:sz="0" w:space="0" w:color="auto"/>
      </w:divBdr>
    </w:div>
    <w:div w:id="1963146418">
      <w:bodyDiv w:val="1"/>
      <w:marLeft w:val="0"/>
      <w:marRight w:val="0"/>
      <w:marTop w:val="0"/>
      <w:marBottom w:val="0"/>
      <w:divBdr>
        <w:top w:val="none" w:sz="0" w:space="0" w:color="auto"/>
        <w:left w:val="none" w:sz="0" w:space="0" w:color="auto"/>
        <w:bottom w:val="none" w:sz="0" w:space="0" w:color="auto"/>
        <w:right w:val="none" w:sz="0" w:space="0" w:color="auto"/>
      </w:divBdr>
    </w:div>
    <w:div w:id="1988826652">
      <w:bodyDiv w:val="1"/>
      <w:marLeft w:val="0"/>
      <w:marRight w:val="0"/>
      <w:marTop w:val="0"/>
      <w:marBottom w:val="0"/>
      <w:divBdr>
        <w:top w:val="none" w:sz="0" w:space="0" w:color="auto"/>
        <w:left w:val="none" w:sz="0" w:space="0" w:color="auto"/>
        <w:bottom w:val="none" w:sz="0" w:space="0" w:color="auto"/>
        <w:right w:val="none" w:sz="0" w:space="0" w:color="auto"/>
      </w:divBdr>
    </w:div>
    <w:div w:id="2003848616">
      <w:bodyDiv w:val="1"/>
      <w:marLeft w:val="0"/>
      <w:marRight w:val="0"/>
      <w:marTop w:val="0"/>
      <w:marBottom w:val="0"/>
      <w:divBdr>
        <w:top w:val="none" w:sz="0" w:space="0" w:color="auto"/>
        <w:left w:val="none" w:sz="0" w:space="0" w:color="auto"/>
        <w:bottom w:val="none" w:sz="0" w:space="0" w:color="auto"/>
        <w:right w:val="none" w:sz="0" w:space="0" w:color="auto"/>
      </w:divBdr>
    </w:div>
    <w:div w:id="2017226503">
      <w:bodyDiv w:val="1"/>
      <w:marLeft w:val="0"/>
      <w:marRight w:val="0"/>
      <w:marTop w:val="0"/>
      <w:marBottom w:val="0"/>
      <w:divBdr>
        <w:top w:val="none" w:sz="0" w:space="0" w:color="auto"/>
        <w:left w:val="none" w:sz="0" w:space="0" w:color="auto"/>
        <w:bottom w:val="none" w:sz="0" w:space="0" w:color="auto"/>
        <w:right w:val="none" w:sz="0" w:space="0" w:color="auto"/>
      </w:divBdr>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relatoria.colombiacompra.gov.co/busqueda/conceptos"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ww.colombiacompra.gov.co/archivos/manual/guia-para-el-manejo-de-ofertas-artificialmente-bajas-en-procesos-de-contratacion-2"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image" Target="media/image3.png"/><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nam02.safelinks.protection.outlook.com/?url=https%3A%2F%2Fwww.colombiacompra.gov.co%2Fwp-content%2Fuploads%2F2025%2F05%2FGUIA-DE-LINEAMIENTOS-DE-TRANSPARENCIA-Y-SELECCION-OBJETIVA-1.0.pdf&amp;data=05%7C02%7Cximena.rios%40colombiacompra.gov.co%7C7cfff6dece924643582c08dd97bfed90%7C7b09041e245149d08cb179d5e3d8c1be%7C0%7C0%7C638833572792160509%7CUnknown%7CTWFpbGZsb3d8eyJFbXB0eU1hcGkiOnRydWUsIlYiOiIwLjAuMDAwMCIsIlAiOiJXaW4zMiIsIkFOIjoiTWFpbCIsIldUIjoyfQ%3D%3D%7C0%7C%7C%7C&amp;sdata=c9fXX0l2fbd%2FlYjjmEFFr2nh5svDqag5kY1fYvsSiKY%3D&amp;reserved=0"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s://www.colombiacompra.gov.co/archivos/manual/guia-para-el-manejo-de-ofertas-artificialmente-bajas-en-procesos-de-contratacion-2"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SharedWithUsers xmlns="a6cb9e4b-f1d1-4245-83ec-6cad768d538a">
      <UserInfo>
        <DisplayName>Poxta IOIP</DisplayName>
        <AccountId>719</AccountId>
        <AccountType/>
      </UserInfo>
    </SharedWithUsers>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C581F5EA-4479-4947-88C1-E9BF28ABF15D}">
  <ds:schemaRefs>
    <ds:schemaRef ds:uri="http://schemas.openxmlformats.org/officeDocument/2006/bibliography"/>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2006/documentManagement/types"/>
    <ds:schemaRef ds:uri="http://purl.org/dc/elements/1.1/"/>
    <ds:schemaRef ds:uri="http://schemas.openxmlformats.org/package/2006/metadata/core-properties"/>
    <ds:schemaRef ds:uri="http://www.w3.org/XML/1998/namespace"/>
    <ds:schemaRef ds:uri="http://schemas.microsoft.com/office/infopath/2007/PartnerControls"/>
    <ds:schemaRef ds:uri="http://purl.org/dc/terms/"/>
    <ds:schemaRef ds:uri="a6cb9e4b-f1d1-4245-83ec-6cad768d538a"/>
    <ds:schemaRef ds:uri="9d85dbaf-23eb-4e57-a637-93dcacc8b1a1"/>
    <ds:schemaRef ds:uri="http://purl.org/dc/dcmitype/"/>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4.xml><?xml version="1.0" encoding="utf-8"?>
<ds:datastoreItem xmlns:ds="http://schemas.openxmlformats.org/officeDocument/2006/customXml" ds:itemID="{E13505DD-BD8A-4C72-9BF3-E233AAE1D48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11</Pages>
  <Words>3874</Words>
  <Characters>20886</Characters>
  <Application>Microsoft Office Word</Application>
  <DocSecurity>0</DocSecurity>
  <Lines>444</Lines>
  <Paragraphs>104</Paragraphs>
  <ScaleCrop>false</ScaleCrop>
  <Company/>
  <LinksUpToDate>false</LinksUpToDate>
  <CharactersWithSpaces>24656</CharactersWithSpaces>
  <SharedDoc>false</SharedDoc>
  <HLinks>
    <vt:vector size="24" baseType="variant">
      <vt:variant>
        <vt:i4>3276900</vt:i4>
      </vt:variant>
      <vt:variant>
        <vt:i4>6</vt:i4>
      </vt:variant>
      <vt:variant>
        <vt:i4>0</vt:i4>
      </vt:variant>
      <vt:variant>
        <vt:i4>5</vt:i4>
      </vt:variant>
      <vt:variant>
        <vt:lpwstr>https://nam02.safelinks.protection.outlook.com/?url=https%3A%2F%2Fwww.colombiacompra.gov.co%2Fwp-content%2Fuploads%2F2025%2F05%2FGUIA-DE-LINEAMIENTOS-DE-TRANSPARENCIA-Y-SELECCION-OBJETIVA-1.0.pdf&amp;data=05%7C02%7Cximena.rios%40colombiacompra.gov.co%7C7cfff6dece924643582c08dd97bfed90%7C7b09041e245149d08cb179d5e3d8c1be%7C0%7C0%7C638833572792160509%7CUnknown%7CTWFpbGZsb3d8eyJFbXB0eU1hcGkiOnRydWUsIlYiOiIwLjAuMDAwMCIsIlAiOiJXaW4zMiIsIkFOIjoiTWFpbCIsIldUIjoyfQ%3D%3D%7C0%7C%7C%7C&amp;sdata=c9fXX0l2fbd%2FlYjjmEFFr2nh5svDqag5kY1fYvsSiKY%3D&amp;reserved=0</vt:lpwstr>
      </vt:variant>
      <vt:variant>
        <vt:lpwstr/>
      </vt:variant>
      <vt:variant>
        <vt:i4>7471218</vt:i4>
      </vt:variant>
      <vt:variant>
        <vt:i4>3</vt:i4>
      </vt:variant>
      <vt:variant>
        <vt:i4>0</vt:i4>
      </vt:variant>
      <vt:variant>
        <vt:i4>5</vt:i4>
      </vt:variant>
      <vt:variant>
        <vt:lpwstr>https://relatoria.colombiacompra.gov.co/busqueda/conceptos</vt:lpwstr>
      </vt:variant>
      <vt:variant>
        <vt:lpwstr/>
      </vt:variant>
      <vt:variant>
        <vt:i4>1245194</vt:i4>
      </vt:variant>
      <vt:variant>
        <vt:i4>0</vt:i4>
      </vt:variant>
      <vt:variant>
        <vt:i4>0</vt:i4>
      </vt:variant>
      <vt:variant>
        <vt:i4>5</vt:i4>
      </vt:variant>
      <vt:variant>
        <vt:lpwstr>https://www.colombiacompra.gov.co/archivos/manual/guia-para-el-manejo-de-ofertas-artificialmente-bajas-en-procesos-de-contratacion-2</vt:lpwstr>
      </vt:variant>
      <vt:variant>
        <vt:lpwstr/>
      </vt:variant>
      <vt:variant>
        <vt:i4>1245194</vt:i4>
      </vt:variant>
      <vt:variant>
        <vt:i4>0</vt:i4>
      </vt:variant>
      <vt:variant>
        <vt:i4>0</vt:i4>
      </vt:variant>
      <vt:variant>
        <vt:i4>5</vt:i4>
      </vt:variant>
      <vt:variant>
        <vt:lpwstr>https://www.colombiacompra.gov.co/archivos/manual/guia-para-el-manejo-de-ofertas-artificialmente-bajas-en-procesos-de-contratacion-2</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2</cp:revision>
  <cp:lastPrinted>2023-01-10T21:18:00Z</cp:lastPrinted>
  <dcterms:created xsi:type="dcterms:W3CDTF">2025-09-26T23:08:00Z</dcterms:created>
  <dcterms:modified xsi:type="dcterms:W3CDTF">2025-09-26T23:08:00Z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