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0EF58" w14:textId="77777777" w:rsidR="00F456DF" w:rsidRPr="00AF1555" w:rsidRDefault="00F456DF" w:rsidP="00F456DF">
      <w:pPr>
        <w:spacing w:after="0" w:line="240" w:lineRule="auto"/>
        <w:rPr>
          <w:rFonts w:ascii="Verdana" w:eastAsia="Geomanist Light" w:hAnsi="Verdana" w:cs="Arial"/>
          <w:color w:val="000000" w:themeColor="text1"/>
          <w:sz w:val="20"/>
          <w:szCs w:val="20"/>
          <w:lang w:val="es-ES_tradnl"/>
        </w:rPr>
      </w:pPr>
    </w:p>
    <w:p w14:paraId="2AEAF3D0" w14:textId="77777777" w:rsidR="00F456DF" w:rsidRPr="00AF1555" w:rsidRDefault="00F456DF" w:rsidP="00F456DF">
      <w:pPr>
        <w:spacing w:after="0" w:line="240" w:lineRule="auto"/>
        <w:jc w:val="both"/>
        <w:rPr>
          <w:rFonts w:ascii="Verdana" w:eastAsia="Calibri" w:hAnsi="Verdana" w:cs="Arial"/>
          <w:b/>
          <w:lang w:val="es-ES"/>
        </w:rPr>
      </w:pPr>
      <w:r w:rsidRPr="00AF1555">
        <w:rPr>
          <w:rFonts w:ascii="Verdana" w:eastAsia="Calibri" w:hAnsi="Verdana" w:cs="Arial"/>
          <w:b/>
          <w:lang w:val="es-ES"/>
        </w:rPr>
        <w:t>GARANTÍA DE CUMPLIMIENTO – Amparos – Finalidad</w:t>
      </w:r>
    </w:p>
    <w:p w14:paraId="12983B2C" w14:textId="77777777" w:rsidR="00F456DF" w:rsidRPr="00AF1555" w:rsidRDefault="00F456DF" w:rsidP="00F456DF">
      <w:pPr>
        <w:spacing w:after="0" w:line="240" w:lineRule="auto"/>
        <w:jc w:val="both"/>
        <w:rPr>
          <w:rFonts w:ascii="Verdana" w:eastAsia="Calibri" w:hAnsi="Verdana" w:cs="Arial"/>
          <w:b/>
          <w:sz w:val="20"/>
          <w:szCs w:val="20"/>
          <w:lang w:val="es-ES"/>
        </w:rPr>
      </w:pPr>
    </w:p>
    <w:p w14:paraId="7522BAD5" w14:textId="77777777" w:rsidR="00F456DF" w:rsidRPr="00AF1555" w:rsidRDefault="00F456DF" w:rsidP="00F456DF">
      <w:pPr>
        <w:spacing w:after="0" w:line="240" w:lineRule="auto"/>
        <w:jc w:val="both"/>
        <w:rPr>
          <w:rFonts w:ascii="Verdana" w:eastAsia="Times New Roman" w:hAnsi="Verdana" w:cs="Arial"/>
          <w:bCs/>
          <w:color w:val="000000" w:themeColor="text1"/>
          <w:sz w:val="20"/>
          <w:szCs w:val="20"/>
          <w:lang w:val="es-ES_tradnl"/>
        </w:rPr>
      </w:pPr>
      <w:r w:rsidRPr="00AF1555">
        <w:rPr>
          <w:rFonts w:ascii="Verdana" w:eastAsia="Calibri" w:hAnsi="Verdana" w:cs="Arial"/>
          <w:bCs/>
          <w:sz w:val="20"/>
          <w:szCs w:val="20"/>
          <w:lang w:val="es-ES"/>
        </w:rPr>
        <w:t xml:space="preserve">[…] </w:t>
      </w:r>
      <w:r w:rsidRPr="00AF1555">
        <w:rPr>
          <w:rFonts w:ascii="Verdana" w:eastAsia="Times New Roman" w:hAnsi="Verdana" w:cs="Arial"/>
          <w:bCs/>
          <w:color w:val="000000" w:themeColor="text1"/>
          <w:sz w:val="20"/>
          <w:szCs w:val="20"/>
          <w:lang w:val="es-ES_tradnl"/>
        </w:rPr>
        <w:t xml:space="preserve">la finalidad y principal objetivo de la garantía de cumplimiento es proteger el patrimonio de la entidad de los potenciales riesgos y efectos derivados de un incumplimiento del contratista. Esta función, se advierte, debe irradiar la comprensión de las normas sobre garantías en general y sobre su vigencia en particular. </w:t>
      </w:r>
    </w:p>
    <w:p w14:paraId="506671E4" w14:textId="77777777" w:rsidR="00F456DF" w:rsidRPr="00AF1555" w:rsidRDefault="00F456DF" w:rsidP="00F456DF">
      <w:pPr>
        <w:spacing w:after="0" w:line="240" w:lineRule="auto"/>
        <w:jc w:val="both"/>
        <w:rPr>
          <w:rFonts w:ascii="Verdana" w:eastAsia="Times New Roman" w:hAnsi="Verdana" w:cs="Arial"/>
          <w:bCs/>
          <w:color w:val="000000" w:themeColor="text1"/>
          <w:sz w:val="20"/>
          <w:szCs w:val="20"/>
          <w:lang w:val="es-ES_tradnl"/>
        </w:rPr>
      </w:pPr>
    </w:p>
    <w:p w14:paraId="052C230E" w14:textId="77777777" w:rsidR="00F456DF" w:rsidRPr="00AF1555" w:rsidRDefault="00F456DF" w:rsidP="00F456DF">
      <w:pPr>
        <w:spacing w:after="0" w:line="240" w:lineRule="auto"/>
        <w:jc w:val="both"/>
        <w:rPr>
          <w:rFonts w:ascii="Verdana" w:eastAsia="Calibri" w:hAnsi="Verdana" w:cs="Arial"/>
          <w:color w:val="000000"/>
          <w:sz w:val="20"/>
          <w:szCs w:val="20"/>
          <w:lang w:val="es-ES_tradnl"/>
        </w:rPr>
      </w:pPr>
      <w:r w:rsidRPr="00AF1555">
        <w:rPr>
          <w:rFonts w:ascii="Verdana" w:eastAsia="Times New Roman" w:hAnsi="Verdana" w:cs="Arial"/>
          <w:bCs/>
          <w:color w:val="000000" w:themeColor="text1"/>
          <w:sz w:val="20"/>
          <w:szCs w:val="20"/>
          <w:lang w:val="es-ES_tradnl"/>
        </w:rPr>
        <w:t>L</w:t>
      </w:r>
      <w:r w:rsidRPr="00AF1555">
        <w:rPr>
          <w:rFonts w:ascii="Verdana" w:eastAsia="Calibri" w:hAnsi="Verdana" w:cs="Arial"/>
          <w:color w:val="000000"/>
          <w:sz w:val="20"/>
          <w:szCs w:val="20"/>
          <w:lang w:val="es-ES" w:eastAsia="es-ES_tradnl"/>
        </w:rPr>
        <w:t xml:space="preserve">os artículos 2.2.1.2.3.1.6 y 2.2.1.2.3.1.9 establecen las condiciones que debe cumplir la garantía de los riesgos derivados del incumplimiento de la oferta. </w:t>
      </w:r>
      <w:r w:rsidRPr="00AF1555">
        <w:rPr>
          <w:rFonts w:ascii="Verdana" w:eastAsia="Calibri" w:hAnsi="Verdana" w:cs="Arial"/>
          <w:color w:val="000000"/>
          <w:sz w:val="20"/>
          <w:szCs w:val="20"/>
          <w:lang w:val="es-ES_tradnl"/>
        </w:rPr>
        <w:t xml:space="preserve">De otro lado, el artículo 2.2.1.3.1.7 prescribe que la garantía de cumplimiento debe cubrir: i) el buen manejo y correcta inversión del anticipo; </w:t>
      </w:r>
      <w:proofErr w:type="spellStart"/>
      <w:r w:rsidRPr="00AF1555">
        <w:rPr>
          <w:rFonts w:ascii="Verdana" w:eastAsia="Calibri" w:hAnsi="Verdana" w:cs="Arial"/>
          <w:color w:val="000000"/>
          <w:sz w:val="20"/>
          <w:szCs w:val="20"/>
          <w:lang w:val="es-ES_tradnl"/>
        </w:rPr>
        <w:t>ii</w:t>
      </w:r>
      <w:proofErr w:type="spellEnd"/>
      <w:r w:rsidRPr="00AF1555">
        <w:rPr>
          <w:rFonts w:ascii="Verdana" w:eastAsia="Calibri" w:hAnsi="Verdana" w:cs="Arial"/>
          <w:color w:val="000000"/>
          <w:sz w:val="20"/>
          <w:szCs w:val="20"/>
          <w:lang w:val="es-ES_tradnl"/>
        </w:rPr>
        <w:t xml:space="preserve">) la devolución del pago anticipado; </w:t>
      </w:r>
      <w:proofErr w:type="spellStart"/>
      <w:r w:rsidRPr="00AF1555">
        <w:rPr>
          <w:rFonts w:ascii="Verdana" w:eastAsia="Calibri" w:hAnsi="Verdana" w:cs="Arial"/>
          <w:color w:val="000000"/>
          <w:sz w:val="20"/>
          <w:szCs w:val="20"/>
          <w:lang w:val="es-ES_tradnl"/>
        </w:rPr>
        <w:t>iii</w:t>
      </w:r>
      <w:proofErr w:type="spellEnd"/>
      <w:r w:rsidRPr="00AF1555">
        <w:rPr>
          <w:rFonts w:ascii="Verdana" w:eastAsia="Calibri" w:hAnsi="Verdana" w:cs="Arial"/>
          <w:color w:val="000000"/>
          <w:sz w:val="20"/>
          <w:szCs w:val="20"/>
          <w:lang w:val="es-ES_tradnl"/>
        </w:rPr>
        <w:t xml:space="preserve">) el cumplimiento del contrato; </w:t>
      </w:r>
      <w:proofErr w:type="spellStart"/>
      <w:r w:rsidRPr="00AF1555">
        <w:rPr>
          <w:rFonts w:ascii="Verdana" w:eastAsia="Calibri" w:hAnsi="Verdana" w:cs="Arial"/>
          <w:color w:val="000000"/>
          <w:sz w:val="20"/>
          <w:szCs w:val="20"/>
          <w:lang w:val="es-ES_tradnl"/>
        </w:rPr>
        <w:t>iv</w:t>
      </w:r>
      <w:proofErr w:type="spellEnd"/>
      <w:r w:rsidRPr="00AF1555">
        <w:rPr>
          <w:rFonts w:ascii="Verdana" w:eastAsia="Calibri" w:hAnsi="Verdana" w:cs="Arial"/>
          <w:color w:val="000000"/>
          <w:sz w:val="20"/>
          <w:szCs w:val="20"/>
          <w:lang w:val="es-ES_tradnl"/>
        </w:rPr>
        <w:t xml:space="preserve">) el pago de salarios, prestaciones sociales legales e indemnizaciones laborales; v) la estabilidad y calidad de la obra; vi) la calidad del servicio; </w:t>
      </w:r>
      <w:proofErr w:type="spellStart"/>
      <w:r w:rsidRPr="00AF1555">
        <w:rPr>
          <w:rFonts w:ascii="Verdana" w:eastAsia="Calibri" w:hAnsi="Verdana" w:cs="Arial"/>
          <w:color w:val="000000"/>
          <w:sz w:val="20"/>
          <w:szCs w:val="20"/>
          <w:lang w:val="es-ES_tradnl"/>
        </w:rPr>
        <w:t>vii</w:t>
      </w:r>
      <w:proofErr w:type="spellEnd"/>
      <w:r w:rsidRPr="00AF1555">
        <w:rPr>
          <w:rFonts w:ascii="Verdana" w:eastAsia="Calibri" w:hAnsi="Verdana" w:cs="Arial"/>
          <w:color w:val="000000"/>
          <w:sz w:val="20"/>
          <w:szCs w:val="20"/>
          <w:lang w:val="es-ES_tradnl"/>
        </w:rPr>
        <w:t xml:space="preserve">) la calidad y correcto funcionamiento de los bienes; y </w:t>
      </w:r>
      <w:proofErr w:type="spellStart"/>
      <w:r w:rsidRPr="00AF1555">
        <w:rPr>
          <w:rFonts w:ascii="Verdana" w:eastAsia="Calibri" w:hAnsi="Verdana" w:cs="Arial"/>
          <w:color w:val="000000"/>
          <w:sz w:val="20"/>
          <w:szCs w:val="20"/>
          <w:lang w:val="es-ES_tradnl"/>
        </w:rPr>
        <w:t>viii</w:t>
      </w:r>
      <w:proofErr w:type="spellEnd"/>
      <w:r w:rsidRPr="00AF1555">
        <w:rPr>
          <w:rFonts w:ascii="Verdana" w:eastAsia="Calibri" w:hAnsi="Verdana" w:cs="Arial"/>
          <w:color w:val="000000"/>
          <w:sz w:val="20"/>
          <w:szCs w:val="20"/>
          <w:lang w:val="es-ES_tradnl"/>
        </w:rPr>
        <w:t>) los demás incumplimientos de las obligaciones que la entidad estatal considere deben ser amparados.</w:t>
      </w:r>
    </w:p>
    <w:p w14:paraId="094980CB" w14:textId="77777777" w:rsidR="00F456DF" w:rsidRPr="00AF1555" w:rsidRDefault="00F456DF" w:rsidP="00F456DF">
      <w:pPr>
        <w:spacing w:after="0" w:line="240" w:lineRule="auto"/>
        <w:rPr>
          <w:rFonts w:ascii="Verdana" w:eastAsia="Geomanist Light" w:hAnsi="Verdana" w:cs="Arial"/>
          <w:color w:val="000000" w:themeColor="text1"/>
          <w:sz w:val="20"/>
          <w:szCs w:val="20"/>
          <w:lang w:val="es-ES_tradnl"/>
        </w:rPr>
      </w:pPr>
    </w:p>
    <w:p w14:paraId="63DEA1C4" w14:textId="77777777" w:rsidR="00F456DF" w:rsidRPr="00AF1555" w:rsidRDefault="00F456DF" w:rsidP="00F456DF">
      <w:pPr>
        <w:tabs>
          <w:tab w:val="left" w:pos="426"/>
        </w:tabs>
        <w:spacing w:after="0" w:line="240" w:lineRule="auto"/>
        <w:jc w:val="both"/>
        <w:rPr>
          <w:rFonts w:ascii="Verdana" w:hAnsi="Verdana" w:cs="Arial"/>
          <w:b/>
          <w:lang w:eastAsia="es-CO"/>
        </w:rPr>
      </w:pPr>
      <w:r w:rsidRPr="00AF1555">
        <w:rPr>
          <w:rFonts w:ascii="Verdana" w:hAnsi="Verdana" w:cs="Arial"/>
          <w:b/>
          <w:lang w:eastAsia="es-CO"/>
        </w:rPr>
        <w:t xml:space="preserve">GARANTÍA </w:t>
      </w:r>
      <w:r>
        <w:rPr>
          <w:rFonts w:ascii="Verdana" w:hAnsi="Verdana" w:cs="Arial"/>
          <w:b/>
          <w:lang w:eastAsia="es-CO"/>
        </w:rPr>
        <w:t>DE RESPONSABILIDAD CIVIL EXTRACONTRACTUAL</w:t>
      </w:r>
      <w:r w:rsidRPr="00AF1555">
        <w:rPr>
          <w:rFonts w:ascii="Verdana" w:hAnsi="Verdana" w:cs="Arial"/>
          <w:b/>
          <w:lang w:eastAsia="es-CO"/>
        </w:rPr>
        <w:t xml:space="preserve"> –</w:t>
      </w:r>
      <w:r>
        <w:rPr>
          <w:rFonts w:ascii="Verdana" w:hAnsi="Verdana" w:cs="Arial"/>
          <w:b/>
          <w:lang w:eastAsia="es-CO"/>
        </w:rPr>
        <w:t xml:space="preserve"> Características</w:t>
      </w:r>
      <w:r w:rsidRPr="00AF1555">
        <w:rPr>
          <w:rFonts w:ascii="Verdana" w:hAnsi="Verdana" w:cs="Arial"/>
          <w:b/>
          <w:lang w:eastAsia="es-CO"/>
        </w:rPr>
        <w:t xml:space="preserve">  </w:t>
      </w:r>
    </w:p>
    <w:p w14:paraId="6EF0DAFB" w14:textId="77777777" w:rsidR="00F456DF" w:rsidRPr="00AF1555" w:rsidRDefault="00F456DF" w:rsidP="00F456DF">
      <w:pPr>
        <w:tabs>
          <w:tab w:val="left" w:pos="426"/>
        </w:tabs>
        <w:spacing w:after="0" w:line="240" w:lineRule="auto"/>
        <w:jc w:val="both"/>
        <w:rPr>
          <w:rFonts w:ascii="Verdana" w:hAnsi="Verdana" w:cs="Arial"/>
          <w:b/>
          <w:sz w:val="20"/>
          <w:szCs w:val="20"/>
          <w:lang w:eastAsia="es-CO"/>
        </w:rPr>
      </w:pPr>
    </w:p>
    <w:p w14:paraId="290DB5E9" w14:textId="77777777" w:rsidR="00F456DF" w:rsidRDefault="00F456DF" w:rsidP="00F456DF">
      <w:pPr>
        <w:spacing w:after="0" w:line="240" w:lineRule="auto"/>
        <w:jc w:val="both"/>
        <w:rPr>
          <w:rFonts w:ascii="Verdana" w:hAnsi="Verdana" w:cs="Arial"/>
          <w:bCs/>
          <w:sz w:val="20"/>
          <w:szCs w:val="20"/>
          <w:lang w:eastAsia="es-CO"/>
        </w:rPr>
      </w:pPr>
      <w:r w:rsidRPr="00536442">
        <w:rPr>
          <w:rFonts w:ascii="Verdana" w:hAnsi="Verdana" w:cs="Arial"/>
          <w:bCs/>
          <w:sz w:val="20"/>
          <w:szCs w:val="20"/>
          <w:lang w:eastAsia="es-CO"/>
        </w:rPr>
        <w:t xml:space="preserve">El amparo de responsabilidad civil extracontractual es obligatorio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De acuerdo con el inciso segundo del artículo 2.2.1.2.3.1.8 </w:t>
      </w:r>
      <w:r w:rsidRPr="00F61ED6">
        <w:rPr>
          <w:rFonts w:ascii="Verdana" w:hAnsi="Verdana" w:cs="Arial"/>
          <w:bCs/>
          <w:i/>
          <w:iCs/>
          <w:sz w:val="20"/>
          <w:szCs w:val="20"/>
          <w:lang w:eastAsia="es-CO"/>
        </w:rPr>
        <w:t>ibidem</w:t>
      </w:r>
      <w:r w:rsidRPr="00536442">
        <w:rPr>
          <w:rFonts w:ascii="Verdana" w:hAnsi="Verdana" w:cs="Arial"/>
          <w:bCs/>
          <w:sz w:val="20"/>
          <w:szCs w:val="20"/>
          <w:lang w:eastAsia="es-CO"/>
        </w:rPr>
        <w:t>,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r>
        <w:rPr>
          <w:rFonts w:ascii="Verdana" w:hAnsi="Verdana" w:cs="Arial"/>
          <w:bCs/>
          <w:sz w:val="20"/>
          <w:szCs w:val="20"/>
          <w:lang w:eastAsia="es-CO"/>
        </w:rPr>
        <w:t xml:space="preserve"> </w:t>
      </w:r>
      <w:r w:rsidRPr="009C5E8B">
        <w:rPr>
          <w:rFonts w:ascii="Verdana" w:hAnsi="Verdana" w:cs="Arial"/>
          <w:bCs/>
          <w:sz w:val="20"/>
          <w:szCs w:val="20"/>
          <w:lang w:eastAsia="es-CO"/>
        </w:rPr>
        <w:t xml:space="preserve">Conforme al artículo 2.2.1.2.3.1.5 del Decreto 1082 de 2015, dicho amparo sólo admite su cobertura a través de una póliza expedida por una compañía aseguradora, la cual –para efectos de su aprobación– debe cumplir con los requisitos y suficiencia de los artículos 2.2.1.2.3.2.9 y 2.2.1.2.3.1.17 </w:t>
      </w:r>
      <w:r w:rsidRPr="009C5E8B">
        <w:rPr>
          <w:rFonts w:ascii="Verdana" w:hAnsi="Verdana" w:cs="Arial"/>
          <w:bCs/>
          <w:i/>
          <w:iCs/>
          <w:sz w:val="20"/>
          <w:szCs w:val="20"/>
          <w:lang w:eastAsia="es-CO"/>
        </w:rPr>
        <w:t>ibidem</w:t>
      </w:r>
      <w:r w:rsidRPr="009C5E8B">
        <w:rPr>
          <w:rFonts w:ascii="Verdana" w:hAnsi="Verdana" w:cs="Arial"/>
          <w:bCs/>
          <w:sz w:val="20"/>
          <w:szCs w:val="20"/>
          <w:lang w:eastAsia="es-CO"/>
        </w:rPr>
        <w:t>.</w:t>
      </w:r>
    </w:p>
    <w:p w14:paraId="0E0886B0" w14:textId="77777777" w:rsidR="00F456DF" w:rsidRPr="00051B3E" w:rsidRDefault="00F456DF" w:rsidP="00F456DF">
      <w:pPr>
        <w:spacing w:after="0" w:line="240" w:lineRule="auto"/>
        <w:jc w:val="both"/>
        <w:rPr>
          <w:rFonts w:ascii="Verdana" w:eastAsia="Calibri" w:hAnsi="Verdana" w:cs="Arial"/>
          <w:sz w:val="20"/>
          <w:szCs w:val="20"/>
          <w:lang w:val="es-ES_tradnl"/>
        </w:rPr>
      </w:pPr>
    </w:p>
    <w:p w14:paraId="7823B5A5" w14:textId="77777777" w:rsidR="00F456DF" w:rsidRPr="00051B3E" w:rsidRDefault="00F456DF" w:rsidP="00F456DF">
      <w:pPr>
        <w:spacing w:after="0" w:line="240" w:lineRule="auto"/>
        <w:jc w:val="both"/>
        <w:rPr>
          <w:rFonts w:ascii="Verdana" w:eastAsia="Calibri" w:hAnsi="Verdana" w:cs="Arial"/>
          <w:b/>
          <w:lang w:val="es-ES_tradnl"/>
        </w:rPr>
      </w:pPr>
      <w:r>
        <w:rPr>
          <w:rFonts w:ascii="Verdana" w:eastAsia="Calibri" w:hAnsi="Verdana" w:cs="Arial"/>
          <w:b/>
          <w:lang w:val="es-ES_tradnl"/>
        </w:rPr>
        <w:t>DEDUCIBLES</w:t>
      </w:r>
      <w:r w:rsidRPr="00051B3E">
        <w:rPr>
          <w:rFonts w:ascii="Verdana" w:eastAsia="Calibri" w:hAnsi="Verdana" w:cs="Arial"/>
          <w:b/>
          <w:lang w:val="es-ES_tradnl"/>
        </w:rPr>
        <w:t xml:space="preserve"> </w:t>
      </w:r>
      <w:r w:rsidRPr="00051B3E">
        <w:rPr>
          <w:rFonts w:ascii="Verdana" w:eastAsia="Calibri" w:hAnsi="Verdana" w:cs="Arial"/>
          <w:b/>
          <w:color w:val="000000" w:themeColor="text1"/>
        </w:rPr>
        <w:t>–</w:t>
      </w:r>
      <w:r w:rsidRPr="00051B3E">
        <w:rPr>
          <w:rFonts w:ascii="Verdana" w:eastAsia="Calibri" w:hAnsi="Verdana" w:cs="Arial"/>
          <w:b/>
          <w:lang w:val="es-ES_tradnl"/>
        </w:rPr>
        <w:t xml:space="preserve"> </w:t>
      </w:r>
      <w:r>
        <w:rPr>
          <w:rFonts w:ascii="Verdana" w:eastAsia="Calibri" w:hAnsi="Verdana" w:cs="Arial"/>
          <w:b/>
          <w:lang w:val="es-ES_tradnl"/>
        </w:rPr>
        <w:t>Concepto</w:t>
      </w:r>
      <w:r w:rsidRPr="00051B3E">
        <w:rPr>
          <w:rFonts w:ascii="Verdana" w:eastAsia="Calibri" w:hAnsi="Verdana" w:cs="Arial"/>
          <w:b/>
          <w:lang w:val="es-ES_tradnl"/>
        </w:rPr>
        <w:t xml:space="preserve"> </w:t>
      </w:r>
      <w:r w:rsidRPr="00051B3E">
        <w:rPr>
          <w:rFonts w:ascii="Verdana" w:eastAsia="Calibri" w:hAnsi="Verdana" w:cs="Arial"/>
          <w:b/>
          <w:color w:val="000000" w:themeColor="text1"/>
        </w:rPr>
        <w:t xml:space="preserve">– </w:t>
      </w:r>
      <w:r>
        <w:rPr>
          <w:rFonts w:ascii="Verdana" w:eastAsia="Calibri" w:hAnsi="Verdana" w:cs="Arial"/>
          <w:b/>
          <w:color w:val="000000" w:themeColor="text1"/>
        </w:rPr>
        <w:t>Limitaciones</w:t>
      </w:r>
      <w:r w:rsidRPr="00051B3E">
        <w:rPr>
          <w:rFonts w:ascii="Verdana" w:eastAsia="Calibri" w:hAnsi="Verdana" w:cs="Arial"/>
          <w:b/>
          <w:lang w:val="es-ES_tradnl"/>
        </w:rPr>
        <w:t xml:space="preserve"> </w:t>
      </w:r>
    </w:p>
    <w:p w14:paraId="0CFC857D" w14:textId="77777777" w:rsidR="00F456DF" w:rsidRPr="00051B3E" w:rsidRDefault="00F456DF" w:rsidP="00F456DF">
      <w:pPr>
        <w:spacing w:after="0" w:line="240" w:lineRule="auto"/>
        <w:jc w:val="both"/>
        <w:rPr>
          <w:rFonts w:ascii="Verdana" w:eastAsia="Calibri" w:hAnsi="Verdana" w:cs="Arial"/>
          <w:sz w:val="20"/>
          <w:szCs w:val="20"/>
          <w:lang w:val="es-ES_tradnl"/>
        </w:rPr>
      </w:pPr>
    </w:p>
    <w:p w14:paraId="4E99BA57" w14:textId="77777777" w:rsidR="00F456DF" w:rsidRDefault="00F456DF" w:rsidP="00F456DF">
      <w:pPr>
        <w:tabs>
          <w:tab w:val="left" w:pos="426"/>
        </w:tabs>
        <w:spacing w:after="0" w:line="240" w:lineRule="auto"/>
        <w:jc w:val="both"/>
        <w:rPr>
          <w:rFonts w:ascii="Verdana" w:eastAsia="Calibri" w:hAnsi="Verdana" w:cs="Arial"/>
          <w:sz w:val="20"/>
          <w:szCs w:val="20"/>
        </w:rPr>
      </w:pPr>
      <w:r>
        <w:rPr>
          <w:rFonts w:ascii="Verdana" w:eastAsia="Calibri" w:hAnsi="Verdana" w:cs="Arial"/>
          <w:sz w:val="20"/>
          <w:szCs w:val="20"/>
        </w:rPr>
        <w:t>E</w:t>
      </w:r>
      <w:r w:rsidRPr="009C5E8B">
        <w:rPr>
          <w:rFonts w:ascii="Verdana" w:eastAsia="Calibri" w:hAnsi="Verdana" w:cs="Arial"/>
          <w:sz w:val="20"/>
          <w:szCs w:val="20"/>
        </w:rPr>
        <w:t xml:space="preserve">l artículo 2.2.1.3.3.2.10 del Decreto Único Reglamentario del Sector Administrativo de Planeación Nacional dispone que “En el contrato de seguro que ampara la responsabilidad civil extracontractual solamente se pueden pactar deducibles hasta del diez por ciento (10%) del valor de cada pérdida y en ningún caso pueden ser superiores a dos mil (2.000) </w:t>
      </w:r>
      <w:proofErr w:type="spellStart"/>
      <w:r w:rsidRPr="009C5E8B">
        <w:rPr>
          <w:rFonts w:ascii="Verdana" w:eastAsia="Calibri" w:hAnsi="Verdana" w:cs="Arial"/>
          <w:sz w:val="20"/>
          <w:szCs w:val="20"/>
        </w:rPr>
        <w:t>smmlv</w:t>
      </w:r>
      <w:proofErr w:type="spellEnd"/>
      <w:r w:rsidRPr="009C5E8B">
        <w:rPr>
          <w:rFonts w:ascii="Verdana" w:eastAsia="Calibri" w:hAnsi="Verdana" w:cs="Arial"/>
          <w:sz w:val="20"/>
          <w:szCs w:val="20"/>
        </w:rPr>
        <w:t>. No serán admisibles las franquicias, coaseguros obligatorios y demás formas de estipulación que impliquen la asunción de parte de la pérdida por la entidad asegurada”. Por tanto, en este seguro pueden pactarse deducibles con las limitaciones citadas; pero el pago no podrá estar a cargo de la entidad estatal, de manera que es responsabilidad exclusiva del contratista tomador del seguro.</w:t>
      </w:r>
    </w:p>
    <w:p w14:paraId="7A8E82B4" w14:textId="77777777" w:rsidR="00F456DF" w:rsidRPr="009C5E8B" w:rsidRDefault="00F456DF" w:rsidP="00F456DF">
      <w:pPr>
        <w:tabs>
          <w:tab w:val="left" w:pos="426"/>
        </w:tabs>
        <w:spacing w:after="0" w:line="240" w:lineRule="auto"/>
        <w:jc w:val="both"/>
        <w:rPr>
          <w:rFonts w:ascii="Verdana" w:eastAsia="Calibri" w:hAnsi="Verdana" w:cs="Arial"/>
          <w:sz w:val="20"/>
          <w:szCs w:val="20"/>
        </w:rPr>
      </w:pPr>
    </w:p>
    <w:p w14:paraId="48393132" w14:textId="77777777" w:rsidR="00F456DF" w:rsidRDefault="00F456DF" w:rsidP="00F456DF">
      <w:pPr>
        <w:tabs>
          <w:tab w:val="left" w:pos="426"/>
        </w:tabs>
        <w:spacing w:after="0" w:line="240" w:lineRule="auto"/>
        <w:jc w:val="both"/>
        <w:rPr>
          <w:rFonts w:ascii="Verdana" w:eastAsia="Calibri" w:hAnsi="Verdana" w:cs="Arial"/>
          <w:sz w:val="20"/>
          <w:szCs w:val="20"/>
        </w:rPr>
      </w:pPr>
      <w:r w:rsidRPr="009C5E8B">
        <w:rPr>
          <w:rFonts w:ascii="Verdana" w:eastAsia="Calibri" w:hAnsi="Verdana" w:cs="Arial"/>
          <w:sz w:val="20"/>
          <w:szCs w:val="20"/>
        </w:rPr>
        <w:t xml:space="preserve">Dicha restricción debe entenderse en concordancia con el artículo 1103 del Código de Comercio, pues dispone que “Las cláusulas según las cuales el asegurado deba soportar una cuota en el riesgo o en la pérdida, o afrontar la primera parte del daño, implican, salvo estipulación en contrario, la prohibición para el asegurado de protegerse respecto de tales cuotas, mediante la contratación de un seguro adicional […]”. Sobre esta base, autores como OSSA definen la franquicia como “[…] la primera parte del daño que […] ha de soportar el asegurado en virtud de expresa estipulación del contrato” y que “Es deducible cuando sea cual fuere la extensión del daño […], el asegurado debe cargar con la primera parte de él, y el asegurador con el excedente”. </w:t>
      </w:r>
    </w:p>
    <w:p w14:paraId="5521241A" w14:textId="77777777" w:rsidR="00F456DF" w:rsidRPr="009C5E8B" w:rsidRDefault="00F456DF" w:rsidP="00F456DF">
      <w:pPr>
        <w:tabs>
          <w:tab w:val="left" w:pos="426"/>
        </w:tabs>
        <w:spacing w:after="0" w:line="240" w:lineRule="auto"/>
        <w:jc w:val="both"/>
        <w:rPr>
          <w:rFonts w:ascii="Verdana" w:eastAsia="Calibri" w:hAnsi="Verdana" w:cs="Arial"/>
          <w:sz w:val="20"/>
          <w:szCs w:val="20"/>
        </w:rPr>
      </w:pPr>
    </w:p>
    <w:p w14:paraId="7372EA96" w14:textId="77777777" w:rsidR="00F456DF" w:rsidRDefault="00F456DF" w:rsidP="00F456DF">
      <w:pPr>
        <w:tabs>
          <w:tab w:val="left" w:pos="426"/>
        </w:tabs>
        <w:spacing w:after="0" w:line="240" w:lineRule="auto"/>
        <w:jc w:val="both"/>
        <w:rPr>
          <w:rFonts w:ascii="Verdana" w:eastAsia="Calibri" w:hAnsi="Verdana" w:cs="Arial"/>
          <w:sz w:val="20"/>
          <w:szCs w:val="20"/>
        </w:rPr>
      </w:pPr>
      <w:r w:rsidRPr="009C5E8B">
        <w:rPr>
          <w:rFonts w:ascii="Verdana" w:eastAsia="Calibri" w:hAnsi="Verdana" w:cs="Arial"/>
          <w:sz w:val="20"/>
          <w:szCs w:val="20"/>
        </w:rPr>
        <w:t xml:space="preserve">Este pacto corresponde a la libertad de estipulación entre las partes del contrato de seguro, el cual contribuye a la vigilancia, cuidado y buen manejo del riesgo. Para el contratista del Estado implica asumir parte de los efectos patrimoniales del siniestro, que puede establecerse como una suma fija o como un porcentaje del valor asegurado. En este sentido, es un mecanismo para compartir los riesgos entre la aseguradora y el contratista, quien deberá soportar una porción de la pérdida. Por tanto, con los límites del artículo 2.2.1.3.3.2.10 del Decreto 1082 de 2015, deberá analizarse las condiciones de la póliza para determinar el valor efectivo que la aseguradora debe pagar, luego de aplicar el deducible correspondiente. </w:t>
      </w:r>
    </w:p>
    <w:p w14:paraId="1A9E60F9" w14:textId="77777777" w:rsidR="00F456DF" w:rsidRPr="009C5E8B" w:rsidRDefault="00F456DF" w:rsidP="00F456DF">
      <w:pPr>
        <w:tabs>
          <w:tab w:val="left" w:pos="426"/>
        </w:tabs>
        <w:spacing w:after="0" w:line="240" w:lineRule="auto"/>
        <w:jc w:val="both"/>
        <w:rPr>
          <w:rFonts w:ascii="Verdana" w:eastAsia="Calibri" w:hAnsi="Verdana" w:cs="Arial"/>
          <w:sz w:val="20"/>
          <w:szCs w:val="20"/>
        </w:rPr>
      </w:pPr>
    </w:p>
    <w:p w14:paraId="48FAFA43" w14:textId="77777777" w:rsidR="00F456DF" w:rsidRPr="00051B3E" w:rsidRDefault="00F456DF" w:rsidP="00F456DF">
      <w:pPr>
        <w:tabs>
          <w:tab w:val="left" w:pos="426"/>
        </w:tabs>
        <w:spacing w:after="0" w:line="240" w:lineRule="auto"/>
        <w:jc w:val="both"/>
        <w:rPr>
          <w:rFonts w:ascii="Verdana" w:eastAsia="Calibri" w:hAnsi="Verdana" w:cs="Arial"/>
          <w:sz w:val="20"/>
          <w:lang w:val="es-ES_tradnl"/>
        </w:rPr>
      </w:pPr>
      <w:r w:rsidRPr="009C5E8B">
        <w:rPr>
          <w:rFonts w:ascii="Verdana" w:eastAsia="Calibri" w:hAnsi="Verdana" w:cs="Arial"/>
          <w:sz w:val="20"/>
          <w:szCs w:val="20"/>
        </w:rPr>
        <w:t>Salvo de que los documentos del proceso establezcan algo distinto, las restricciones de los deducibles se rigen por la norma citada del Decreto Único Reglamentario del Sector Administrativo de Planeación Nacional. Limitaciones adicionales, como la prohibición de amparar la responsabilidad civil extracontractual bajo las cláusulas de que trata el artículo 1103 del Código de Comercio, deben provenir expresamente del pliego de condiciones o de la minuta del contrato. La entidad deberá analizar su inclusión a la luz de las dificultades para asegurar el riesgo si no se permite el pacto de deducibles entre el contratista y la aseguradora, sin perjuicio de la eventual impugnación judicial de las estipulaciones que restrinjan el artículo 2.2.1.3.3.2.10 del Decreto 1082 de 2015</w:t>
      </w:r>
      <w:r w:rsidRPr="00051B3E">
        <w:rPr>
          <w:rFonts w:ascii="Verdana" w:eastAsia="Calibri" w:hAnsi="Verdana" w:cs="Arial"/>
          <w:sz w:val="20"/>
          <w:lang w:val="es-ES_tradnl"/>
        </w:rPr>
        <w:t>.</w:t>
      </w:r>
    </w:p>
    <w:p w14:paraId="5F5FB2F5" w14:textId="77777777" w:rsidR="00F456DF" w:rsidRPr="005145C2" w:rsidRDefault="00F456DF" w:rsidP="00F456DF">
      <w:pPr>
        <w:spacing w:after="0" w:line="240" w:lineRule="auto"/>
        <w:rPr>
          <w:rFonts w:ascii="Verdana" w:eastAsia="Geomanist Light" w:hAnsi="Verdana" w:cs="Arial"/>
          <w:color w:val="000000" w:themeColor="text1"/>
          <w:lang w:val="es-ES_tradnl"/>
        </w:rPr>
      </w:pPr>
    </w:p>
    <w:p w14:paraId="756139F1" w14:textId="77777777" w:rsidR="00F456DF" w:rsidRDefault="00F456DF" w:rsidP="00F456DF">
      <w:pPr>
        <w:spacing w:after="0" w:line="240" w:lineRule="auto"/>
        <w:rPr>
          <w:rFonts w:ascii="Verdana" w:eastAsia="Geomanist Light" w:hAnsi="Verdana" w:cs="Arial"/>
          <w:color w:val="000000" w:themeColor="text1"/>
          <w:lang w:val="es-MX"/>
        </w:rPr>
      </w:pPr>
    </w:p>
    <w:p w14:paraId="2DF8C3B2" w14:textId="77777777" w:rsidR="00F456DF" w:rsidRDefault="00F456DF" w:rsidP="00F456DF">
      <w:pPr>
        <w:spacing w:after="0" w:line="240" w:lineRule="auto"/>
        <w:rPr>
          <w:rFonts w:ascii="Verdana" w:eastAsia="Geomanist Light" w:hAnsi="Verdana" w:cs="Arial"/>
          <w:color w:val="000000" w:themeColor="text1"/>
          <w:lang w:val="es-MX"/>
        </w:rPr>
      </w:pPr>
    </w:p>
    <w:p w14:paraId="3B7841C8" w14:textId="77777777" w:rsidR="00F456DF" w:rsidRDefault="00F456DF" w:rsidP="00F456DF">
      <w:pPr>
        <w:spacing w:after="0" w:line="240" w:lineRule="auto"/>
        <w:rPr>
          <w:rFonts w:ascii="Verdana" w:eastAsia="Geomanist Light" w:hAnsi="Verdana" w:cs="Arial"/>
          <w:color w:val="000000" w:themeColor="text1"/>
          <w:lang w:val="es-MX"/>
        </w:rPr>
      </w:pPr>
    </w:p>
    <w:p w14:paraId="0F805F64" w14:textId="77777777" w:rsidR="00F456DF" w:rsidRDefault="00F456DF" w:rsidP="00F456DF">
      <w:pPr>
        <w:spacing w:after="0" w:line="240" w:lineRule="auto"/>
        <w:rPr>
          <w:rFonts w:ascii="Verdana" w:eastAsia="Geomanist Light" w:hAnsi="Verdana" w:cs="Arial"/>
          <w:color w:val="000000" w:themeColor="text1"/>
          <w:lang w:val="es-MX"/>
        </w:rPr>
      </w:pPr>
    </w:p>
    <w:p w14:paraId="4AD8289D" w14:textId="77777777" w:rsidR="00F456DF" w:rsidRDefault="00F456DF" w:rsidP="00F456DF">
      <w:pPr>
        <w:spacing w:after="0" w:line="240" w:lineRule="auto"/>
        <w:rPr>
          <w:rFonts w:ascii="Verdana" w:eastAsia="Geomanist Light" w:hAnsi="Verdana" w:cs="Arial"/>
          <w:color w:val="000000" w:themeColor="text1"/>
          <w:lang w:val="es-MX"/>
        </w:rPr>
      </w:pPr>
    </w:p>
    <w:p w14:paraId="619AEC18" w14:textId="77777777" w:rsidR="00F456DF" w:rsidRDefault="00F456DF" w:rsidP="00F456DF">
      <w:pPr>
        <w:spacing w:after="0" w:line="240" w:lineRule="auto"/>
        <w:rPr>
          <w:rFonts w:ascii="Verdana" w:eastAsia="Geomanist Light" w:hAnsi="Verdana" w:cs="Arial"/>
          <w:color w:val="000000" w:themeColor="text1"/>
          <w:lang w:val="es-MX"/>
        </w:rPr>
      </w:pPr>
    </w:p>
    <w:p w14:paraId="0F60457D" w14:textId="77777777" w:rsidR="00F456DF" w:rsidRDefault="00F456DF" w:rsidP="00F456DF">
      <w:pPr>
        <w:spacing w:after="0" w:line="240" w:lineRule="auto"/>
        <w:rPr>
          <w:rFonts w:ascii="Verdana" w:eastAsia="Geomanist Light" w:hAnsi="Verdana" w:cs="Arial"/>
          <w:color w:val="000000" w:themeColor="text1"/>
          <w:lang w:val="es-MX"/>
        </w:rPr>
      </w:pPr>
    </w:p>
    <w:p w14:paraId="7B568E0B" w14:textId="77777777" w:rsidR="00F456DF" w:rsidRDefault="00F456DF" w:rsidP="00F456DF">
      <w:pPr>
        <w:spacing w:after="0" w:line="240" w:lineRule="auto"/>
        <w:rPr>
          <w:rFonts w:ascii="Verdana" w:eastAsia="Geomanist Light" w:hAnsi="Verdana" w:cs="Arial"/>
          <w:color w:val="000000" w:themeColor="text1"/>
          <w:lang w:val="es-MX"/>
        </w:rPr>
      </w:pPr>
    </w:p>
    <w:p w14:paraId="429440B2" w14:textId="77777777" w:rsidR="00F456DF" w:rsidRDefault="00F456DF" w:rsidP="00F456DF">
      <w:pPr>
        <w:spacing w:after="0" w:line="240" w:lineRule="auto"/>
        <w:rPr>
          <w:rFonts w:ascii="Verdana" w:eastAsia="Geomanist Light" w:hAnsi="Verdana" w:cs="Arial"/>
          <w:color w:val="000000" w:themeColor="text1"/>
          <w:lang w:val="es-MX"/>
        </w:rPr>
      </w:pPr>
    </w:p>
    <w:p w14:paraId="4C82BA84" w14:textId="77777777" w:rsidR="00F456DF" w:rsidRDefault="00F456DF" w:rsidP="00F456DF">
      <w:pPr>
        <w:spacing w:after="0" w:line="240" w:lineRule="auto"/>
        <w:rPr>
          <w:rFonts w:ascii="Verdana" w:eastAsia="Geomanist Light" w:hAnsi="Verdana" w:cs="Arial"/>
          <w:color w:val="000000" w:themeColor="text1"/>
          <w:lang w:val="es-MX"/>
        </w:rPr>
      </w:pPr>
    </w:p>
    <w:p w14:paraId="4E3A293A" w14:textId="77777777" w:rsidR="00F456DF" w:rsidRDefault="00F456DF" w:rsidP="00F456DF">
      <w:pPr>
        <w:spacing w:after="0" w:line="240" w:lineRule="auto"/>
        <w:rPr>
          <w:rFonts w:ascii="Verdana" w:eastAsia="Geomanist Light" w:hAnsi="Verdana" w:cs="Arial"/>
          <w:color w:val="000000" w:themeColor="text1"/>
          <w:lang w:val="es-MX"/>
        </w:rPr>
      </w:pPr>
    </w:p>
    <w:p w14:paraId="284C76A8" w14:textId="77777777" w:rsidR="00F456DF" w:rsidRDefault="00F456DF" w:rsidP="00F456DF">
      <w:pPr>
        <w:spacing w:after="0" w:line="240" w:lineRule="auto"/>
        <w:rPr>
          <w:rFonts w:ascii="Verdana" w:eastAsia="Geomanist Light" w:hAnsi="Verdana" w:cs="Arial"/>
          <w:color w:val="000000" w:themeColor="text1"/>
          <w:lang w:val="es-MX"/>
        </w:rPr>
      </w:pPr>
    </w:p>
    <w:p w14:paraId="1870C3AE" w14:textId="77777777" w:rsidR="00F456DF" w:rsidRDefault="00F456DF" w:rsidP="00F456DF">
      <w:pPr>
        <w:spacing w:after="0" w:line="240" w:lineRule="auto"/>
        <w:rPr>
          <w:rFonts w:ascii="Verdana" w:eastAsia="Geomanist Light" w:hAnsi="Verdana" w:cs="Arial"/>
          <w:color w:val="000000" w:themeColor="text1"/>
          <w:lang w:val="es-MX"/>
        </w:rPr>
      </w:pPr>
    </w:p>
    <w:p w14:paraId="14D2C9C7" w14:textId="77777777" w:rsidR="00F456DF" w:rsidRDefault="00F456DF" w:rsidP="00145A5D">
      <w:pPr>
        <w:spacing w:after="0" w:line="240" w:lineRule="auto"/>
        <w:rPr>
          <w:rFonts w:ascii="Verdana" w:eastAsia="Geomanist Light" w:hAnsi="Verdana" w:cs="Arial"/>
          <w:color w:val="000000" w:themeColor="text1"/>
          <w:lang w:val="es-MX"/>
        </w:rPr>
      </w:pPr>
    </w:p>
    <w:p w14:paraId="11C88F0F" w14:textId="2232E047" w:rsidR="00145A5D" w:rsidRPr="00593A5F" w:rsidRDefault="00145A5D" w:rsidP="00145A5D">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6D5831">
        <w:rPr>
          <w:rFonts w:ascii="Verdana" w:hAnsi="Verdana" w:cs="Verdana"/>
          <w:color w:val="000000"/>
          <w:lang w:val="es-MX"/>
        </w:rPr>
        <w:t>25 de Septiembre de 2025</w:t>
      </w:r>
    </w:p>
    <w:p w14:paraId="5624FA01" w14:textId="77777777" w:rsidR="00145A5D" w:rsidRDefault="00145A5D" w:rsidP="00145A5D">
      <w:pPr>
        <w:spacing w:after="0" w:line="240" w:lineRule="auto"/>
        <w:jc w:val="both"/>
        <w:rPr>
          <w:rFonts w:ascii="Verdana" w:eastAsia="Calibri" w:hAnsi="Verdana" w:cs="Arial"/>
          <w:color w:val="000000"/>
          <w:lang w:val="es-ES"/>
        </w:rPr>
      </w:pPr>
    </w:p>
    <w:p w14:paraId="0A511AF1" w14:textId="4A020DF8" w:rsidR="00DF6739" w:rsidRDefault="00DF6739" w:rsidP="00DF6739">
      <w:pPr>
        <w:spacing w:after="0" w:line="240" w:lineRule="auto"/>
        <w:jc w:val="right"/>
        <w:rPr>
          <w:rFonts w:ascii="Verdana" w:eastAsia="Calibri" w:hAnsi="Verdana" w:cs="Arial"/>
          <w:color w:val="000000"/>
          <w:lang w:val="es-ES"/>
        </w:rPr>
      </w:pPr>
      <w:r w:rsidRPr="00DF6739">
        <w:rPr>
          <w:rFonts w:ascii="Verdana" w:eastAsia="Calibri" w:hAnsi="Verdana" w:cs="Arial"/>
          <w:noProof/>
          <w:color w:val="000000"/>
          <w:lang w:val="es-ES"/>
        </w:rPr>
        <w:drawing>
          <wp:inline distT="0" distB="0" distL="0" distR="0" wp14:anchorId="4BDEBDFB" wp14:editId="3B2B2CB0">
            <wp:extent cx="2400300" cy="622300"/>
            <wp:effectExtent l="0" t="0" r="0" b="0"/>
            <wp:docPr id="13489901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990167" name=""/>
                    <pic:cNvPicPr/>
                  </pic:nvPicPr>
                  <pic:blipFill>
                    <a:blip r:embed="rId10"/>
                    <a:stretch>
                      <a:fillRect/>
                    </a:stretch>
                  </pic:blipFill>
                  <pic:spPr>
                    <a:xfrm>
                      <a:off x="0" y="0"/>
                      <a:ext cx="2400300" cy="622300"/>
                    </a:xfrm>
                    <a:prstGeom prst="rect">
                      <a:avLst/>
                    </a:prstGeom>
                  </pic:spPr>
                </pic:pic>
              </a:graphicData>
            </a:graphic>
          </wp:inline>
        </w:drawing>
      </w:r>
    </w:p>
    <w:p w14:paraId="6397E41C" w14:textId="77777777" w:rsidR="00145A5D" w:rsidRPr="00593A5F" w:rsidRDefault="00145A5D" w:rsidP="00145A5D">
      <w:pPr>
        <w:spacing w:after="0" w:line="240" w:lineRule="auto"/>
        <w:jc w:val="both"/>
        <w:rPr>
          <w:rFonts w:ascii="Verdana" w:eastAsia="Calibri" w:hAnsi="Verdana" w:cs="Arial"/>
          <w:color w:val="000000"/>
          <w:lang w:val="es-ES"/>
        </w:rPr>
      </w:pPr>
    </w:p>
    <w:p w14:paraId="5516E7A7" w14:textId="77777777" w:rsidR="00145A5D" w:rsidRPr="00B96799" w:rsidRDefault="00145A5D" w:rsidP="00145A5D">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6AC1D791" w14:textId="77777777" w:rsidR="00145A5D" w:rsidRPr="0085423D" w:rsidRDefault="00145A5D" w:rsidP="00145A5D">
      <w:pPr>
        <w:spacing w:after="0" w:line="240" w:lineRule="auto"/>
        <w:rPr>
          <w:rFonts w:ascii="Verdana" w:eastAsia="Calibri" w:hAnsi="Verdana" w:cs="Arial"/>
          <w:b/>
          <w:lang w:val="es-ES_tradnl" w:eastAsia="es-ES_tradnl"/>
        </w:rPr>
      </w:pPr>
      <w:r w:rsidRPr="0019017D">
        <w:rPr>
          <w:rFonts w:ascii="Verdana" w:eastAsia="Calibri" w:hAnsi="Verdana" w:cs="Arial"/>
          <w:b/>
          <w:lang w:val="es-ES_tradnl" w:eastAsia="es-ES_tradnl"/>
        </w:rPr>
        <w:t>Nelson Andrés Castellanos Montana</w:t>
      </w:r>
      <w:r w:rsidRPr="007F2F02">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p w14:paraId="2977D714" w14:textId="77777777" w:rsidR="00145A5D" w:rsidRPr="0019017D" w:rsidRDefault="00145A5D" w:rsidP="00145A5D">
      <w:pPr>
        <w:spacing w:after="0" w:line="240" w:lineRule="auto"/>
        <w:rPr>
          <w:rFonts w:ascii="Verdana" w:eastAsia="Calibri" w:hAnsi="Verdana" w:cs="Arial"/>
          <w:lang w:val="es-ES" w:eastAsia="es-ES"/>
        </w:rPr>
      </w:pPr>
      <w:hyperlink r:id="rId11" w:history="1">
        <w:r w:rsidRPr="0099529C">
          <w:rPr>
            <w:rStyle w:val="Hipervnculo"/>
            <w:rFonts w:ascii="Verdana" w:hAnsi="Verdana"/>
          </w:rPr>
          <w:t>andrescaste1007@gmail.com</w:t>
        </w:r>
      </w:hyperlink>
      <w:r>
        <w:rPr>
          <w:rFonts w:ascii="Verdana" w:hAnsi="Verdana"/>
        </w:rPr>
        <w:t xml:space="preserve"> </w:t>
      </w:r>
      <w:r w:rsidRPr="0019017D">
        <w:rPr>
          <w:rFonts w:ascii="Verdana" w:hAnsi="Verdana"/>
        </w:rPr>
        <w:t xml:space="preserve">           </w:t>
      </w:r>
      <w:r w:rsidRPr="0019017D">
        <w:rPr>
          <w:rFonts w:ascii="Verdana" w:eastAsia="Calibri" w:hAnsi="Verdana" w:cs="Arial"/>
          <w:lang w:val="es-ES" w:eastAsia="es-ES"/>
        </w:rPr>
        <w:t xml:space="preserve">    </w:t>
      </w:r>
    </w:p>
    <w:p w14:paraId="7582E857" w14:textId="77777777" w:rsidR="00145A5D" w:rsidRDefault="00145A5D" w:rsidP="00145A5D">
      <w:pPr>
        <w:spacing w:after="0" w:line="240" w:lineRule="auto"/>
        <w:rPr>
          <w:rFonts w:ascii="Verdana" w:eastAsia="Calibri" w:hAnsi="Verdana" w:cs="Arial"/>
          <w:lang w:val="es-ES" w:eastAsia="es-ES"/>
        </w:rPr>
      </w:pPr>
      <w:r w:rsidRPr="00593A5F">
        <w:rPr>
          <w:rFonts w:ascii="Verdana" w:eastAsia="Geomanist Light" w:hAnsi="Verdana" w:cs="Arial"/>
          <w:color w:val="000000" w:themeColor="text1"/>
          <w:lang w:val="es-MX"/>
        </w:rPr>
        <w:t>Bogotá D.C.</w:t>
      </w:r>
      <w:r>
        <w:rPr>
          <w:rFonts w:ascii="Verdana" w:eastAsia="Calibri" w:hAnsi="Verdana" w:cs="Arial"/>
          <w:lang w:val="es-ES" w:eastAsia="es-ES"/>
        </w:rPr>
        <w:t xml:space="preserve"> </w:t>
      </w:r>
    </w:p>
    <w:p w14:paraId="3A1835C9" w14:textId="77777777" w:rsidR="00145A5D" w:rsidRPr="00593A5F" w:rsidRDefault="00145A5D" w:rsidP="00145A5D">
      <w:pPr>
        <w:spacing w:after="0" w:line="240" w:lineRule="auto"/>
        <w:rPr>
          <w:rFonts w:ascii="Verdana" w:eastAsia="Calibri" w:hAnsi="Verdana" w:cs="Arial"/>
          <w:b/>
          <w:bCs/>
          <w:color w:val="000000"/>
          <w:lang w:val="es-ES_tradnl" w:eastAsia="es-ES_tradnl"/>
        </w:rPr>
      </w:pPr>
    </w:p>
    <w:p w14:paraId="4DD43450" w14:textId="77777777" w:rsidR="00145A5D" w:rsidRPr="00593A5F" w:rsidRDefault="00145A5D" w:rsidP="00145A5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45A5D" w:rsidRPr="00593A5F" w14:paraId="34CB0DE5" w14:textId="77777777" w:rsidTr="00A6169D">
        <w:trPr>
          <w:trHeight w:val="884"/>
        </w:trPr>
        <w:tc>
          <w:tcPr>
            <w:tcW w:w="2689" w:type="dxa"/>
          </w:tcPr>
          <w:p w14:paraId="60E7C82A" w14:textId="77777777" w:rsidR="00145A5D" w:rsidRPr="00C00976" w:rsidRDefault="00145A5D" w:rsidP="00A6169D">
            <w:pPr>
              <w:jc w:val="both"/>
              <w:rPr>
                <w:rFonts w:ascii="Verdana" w:eastAsia="Calibri" w:hAnsi="Verdana" w:cs="Arial"/>
                <w:b/>
                <w:bCs/>
                <w:color w:val="7030A0"/>
                <w:lang w:val="es-ES_tradnl" w:eastAsia="es-ES_tradnl"/>
              </w:rPr>
            </w:pPr>
          </w:p>
        </w:tc>
        <w:tc>
          <w:tcPr>
            <w:tcW w:w="6100" w:type="dxa"/>
          </w:tcPr>
          <w:p w14:paraId="36F6CAB3" w14:textId="77777777" w:rsidR="00145A5D" w:rsidRPr="00C00976" w:rsidRDefault="00145A5D" w:rsidP="00A6169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1260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145A5D" w:rsidRPr="00593A5F" w14:paraId="31ABD425" w14:textId="77777777" w:rsidTr="00A6169D">
        <w:trPr>
          <w:trHeight w:val="884"/>
        </w:trPr>
        <w:tc>
          <w:tcPr>
            <w:tcW w:w="2689" w:type="dxa"/>
          </w:tcPr>
          <w:p w14:paraId="6CE0CE00" w14:textId="77777777" w:rsidR="00145A5D" w:rsidRPr="00593A5F" w:rsidRDefault="00145A5D" w:rsidP="00A6169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74BBE9B" w14:textId="252D5D31" w:rsidR="00145A5D" w:rsidRPr="00A11406" w:rsidRDefault="00145A5D" w:rsidP="00A6169D">
            <w:pPr>
              <w:spacing w:line="276" w:lineRule="auto"/>
              <w:jc w:val="both"/>
              <w:rPr>
                <w:rFonts w:ascii="Verdana" w:eastAsia="Calibri" w:hAnsi="Verdana" w:cs="Arial"/>
                <w:lang w:val="es-ES" w:eastAsia="es-ES"/>
              </w:rPr>
            </w:pPr>
            <w:r w:rsidRPr="009C5E8B">
              <w:rPr>
                <w:rFonts w:ascii="Verdana" w:eastAsia="Calibri" w:hAnsi="Verdana" w:cs="Arial"/>
                <w:lang w:val="es-ES" w:eastAsia="es-ES"/>
              </w:rPr>
              <w:t>GARANTÍA DE CUMPLIMIENTO – Amparos – Finalidad</w:t>
            </w:r>
            <w:r>
              <w:rPr>
                <w:rFonts w:ascii="Verdana" w:eastAsia="Calibri" w:hAnsi="Verdana" w:cs="Arial"/>
                <w:lang w:val="es-ES" w:eastAsia="es-ES"/>
              </w:rPr>
              <w:t xml:space="preserve"> / </w:t>
            </w:r>
            <w:r w:rsidRPr="009C5E8B">
              <w:rPr>
                <w:rFonts w:ascii="Verdana" w:eastAsia="Calibri" w:hAnsi="Verdana" w:cs="Arial"/>
                <w:lang w:val="es-ES" w:eastAsia="es-ES"/>
              </w:rPr>
              <w:t>GARANTÍA DE RESPONSABILIDAD CIVIL</w:t>
            </w:r>
            <w:r w:rsidR="002E4993">
              <w:rPr>
                <w:rFonts w:ascii="Verdana" w:eastAsia="Calibri" w:hAnsi="Verdana" w:cs="Arial"/>
                <w:lang w:val="es-ES" w:eastAsia="es-ES"/>
              </w:rPr>
              <w:t xml:space="preserve"> </w:t>
            </w:r>
            <w:r>
              <w:rPr>
                <w:rFonts w:ascii="Verdana" w:eastAsia="Calibri" w:hAnsi="Verdana" w:cs="Arial"/>
                <w:lang w:val="es-ES" w:eastAsia="es-ES"/>
              </w:rPr>
              <w:t xml:space="preserve">/ </w:t>
            </w:r>
            <w:r w:rsidRPr="009C5E8B">
              <w:rPr>
                <w:rFonts w:ascii="Verdana" w:eastAsia="Calibri" w:hAnsi="Verdana" w:cs="Arial"/>
                <w:lang w:val="es-ES" w:eastAsia="es-ES"/>
              </w:rPr>
              <w:t>EXTRACONTRACTUAL – Características</w:t>
            </w:r>
            <w:r>
              <w:rPr>
                <w:rFonts w:ascii="Verdana" w:eastAsia="Calibri" w:hAnsi="Verdana" w:cs="Arial"/>
                <w:lang w:val="es-ES" w:eastAsia="es-ES"/>
              </w:rPr>
              <w:t xml:space="preserve"> / </w:t>
            </w:r>
            <w:r w:rsidRPr="009C5E8B">
              <w:rPr>
                <w:rFonts w:ascii="Verdana" w:eastAsia="Calibri" w:hAnsi="Verdana" w:cs="Arial"/>
                <w:lang w:val="es-ES" w:eastAsia="es-ES"/>
              </w:rPr>
              <w:t xml:space="preserve">DEDUCIBLES – Concepto – Limitaciones </w:t>
            </w: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FDBE34C" w14:textId="77777777" w:rsidR="00145A5D" w:rsidRPr="00593A5F" w:rsidRDefault="00145A5D" w:rsidP="00A6169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145A5D" w:rsidRPr="008E6AD9" w14:paraId="05631F9F" w14:textId="77777777" w:rsidTr="00A6169D">
        <w:tc>
          <w:tcPr>
            <w:tcW w:w="2689" w:type="dxa"/>
          </w:tcPr>
          <w:p w14:paraId="27F65ABF" w14:textId="77777777" w:rsidR="00145A5D" w:rsidRPr="008E6AD9" w:rsidRDefault="00145A5D" w:rsidP="00A6169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10419EB" w14:textId="77777777" w:rsidR="00145A5D" w:rsidRPr="008E6AD9" w:rsidRDefault="00145A5D" w:rsidP="00A6169D">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523964">
              <w:rPr>
                <w:rFonts w:ascii="Verdana" w:eastAsia="Calibri" w:hAnsi="Verdana" w:cs="Arial"/>
                <w:lang w:val="es-ES_tradnl" w:eastAsia="es-ES_tradnl"/>
              </w:rPr>
              <w:t>1_2025_09_03_009550</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46C0C2AB" w14:textId="77777777" w:rsidR="00145A5D" w:rsidRPr="00593A5F" w:rsidRDefault="00145A5D" w:rsidP="00145A5D">
      <w:pPr>
        <w:spacing w:after="0" w:line="240" w:lineRule="auto"/>
        <w:jc w:val="both"/>
        <w:rPr>
          <w:rFonts w:ascii="Verdana" w:eastAsia="Calibri" w:hAnsi="Verdana" w:cs="Arial"/>
          <w:color w:val="000000"/>
          <w:lang w:val="es-ES_tradnl" w:eastAsia="es-ES_tradnl"/>
        </w:rPr>
      </w:pPr>
    </w:p>
    <w:p w14:paraId="6BF904E4" w14:textId="77777777" w:rsidR="00145A5D" w:rsidRPr="00593A5F" w:rsidRDefault="00145A5D" w:rsidP="00145A5D">
      <w:pPr>
        <w:spacing w:after="0" w:line="240" w:lineRule="auto"/>
        <w:jc w:val="both"/>
        <w:rPr>
          <w:rFonts w:ascii="Verdana" w:eastAsia="Calibri" w:hAnsi="Verdana" w:cs="Arial"/>
          <w:color w:val="000000"/>
          <w:lang w:val="es-ES_tradnl" w:eastAsia="es-ES_tradnl"/>
        </w:rPr>
      </w:pPr>
    </w:p>
    <w:p w14:paraId="4B3D98D0" w14:textId="77777777" w:rsidR="00145A5D" w:rsidRPr="008E6AD9" w:rsidRDefault="00145A5D" w:rsidP="00145A5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19017D">
        <w:rPr>
          <w:rFonts w:ascii="Verdana" w:eastAsia="Calibri" w:hAnsi="Verdana" w:cs="Arial"/>
          <w:lang w:val="es-ES" w:eastAsia="es-ES"/>
        </w:rPr>
        <w:t>Castellanos Montana</w:t>
      </w:r>
      <w:r w:rsidRPr="008E6AD9">
        <w:rPr>
          <w:rFonts w:ascii="Verdana" w:eastAsia="Calibri" w:hAnsi="Verdana" w:cs="Arial"/>
          <w:lang w:val="es-ES" w:eastAsia="es-ES"/>
        </w:rPr>
        <w:t xml:space="preserve">: </w:t>
      </w:r>
    </w:p>
    <w:p w14:paraId="151C3251" w14:textId="77777777" w:rsidR="00145A5D" w:rsidRDefault="00145A5D" w:rsidP="00145A5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5C2FD3A" w14:textId="77777777" w:rsidR="00145A5D" w:rsidRPr="00593A5F" w:rsidRDefault="00145A5D" w:rsidP="00145A5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3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manifiesta que:</w:t>
      </w:r>
      <w:r w:rsidRPr="008E6AD9">
        <w:rPr>
          <w:rFonts w:ascii="Verdana" w:eastAsia="Calibri" w:hAnsi="Verdana" w:cs="Arial"/>
          <w:lang w:val="es-ES" w:eastAsia="es-ES"/>
        </w:rPr>
        <w:t xml:space="preserve"> </w:t>
      </w:r>
    </w:p>
    <w:p w14:paraId="547995ED" w14:textId="77777777" w:rsidR="00145A5D" w:rsidRPr="00272A7B" w:rsidRDefault="00145A5D" w:rsidP="00145A5D">
      <w:pPr>
        <w:pStyle w:val="Prrafodelista"/>
        <w:tabs>
          <w:tab w:val="left" w:pos="142"/>
          <w:tab w:val="left" w:pos="284"/>
        </w:tabs>
        <w:spacing w:after="0" w:line="276" w:lineRule="auto"/>
        <w:ind w:left="0"/>
        <w:jc w:val="both"/>
        <w:rPr>
          <w:rFonts w:ascii="Verdana" w:eastAsia="Century Gothic" w:hAnsi="Verdana" w:cs="Century Gothic"/>
          <w:b/>
          <w:bCs/>
        </w:rPr>
      </w:pPr>
    </w:p>
    <w:p w14:paraId="577988AD" w14:textId="77777777" w:rsidR="00145A5D" w:rsidRPr="0019017D" w:rsidRDefault="00145A5D" w:rsidP="00145A5D">
      <w:pPr>
        <w:spacing w:after="120" w:line="240" w:lineRule="auto"/>
        <w:ind w:left="709" w:right="709"/>
        <w:jc w:val="both"/>
        <w:rPr>
          <w:rFonts w:ascii="Verdana" w:eastAsia="Century Gothic" w:hAnsi="Verdana" w:cs="Century Gothic"/>
          <w:sz w:val="21"/>
          <w:szCs w:val="21"/>
          <w:lang w:val="es-ES"/>
        </w:rPr>
      </w:pPr>
      <w:bookmarkStart w:id="0" w:name="_Hlk95313578"/>
      <w:r w:rsidRPr="006E7258">
        <w:rPr>
          <w:rFonts w:ascii="Verdana" w:eastAsia="Century Gothic" w:hAnsi="Verdana" w:cs="Century Gothic"/>
          <w:sz w:val="21"/>
          <w:szCs w:val="21"/>
          <w:lang w:val="es-ES"/>
        </w:rPr>
        <w:t>“</w:t>
      </w:r>
      <w:bookmarkEnd w:id="0"/>
      <w:r w:rsidRPr="0019017D">
        <w:rPr>
          <w:rFonts w:ascii="Verdana" w:eastAsia="Century Gothic" w:hAnsi="Verdana" w:cs="Century Gothic"/>
          <w:sz w:val="21"/>
          <w:szCs w:val="21"/>
          <w:lang w:val="es-ES"/>
        </w:rPr>
        <w:t>Una entidad en sus pliegos de condiciones y demás documentos del proceso solicito una póliza de RCE con cobertura de 200 SMLMV, y la entidad aseguradora la emite con un deducible del 10%, motivo por el cual, la entidad rechaza la garantía indicando que, de conformidad a lo establecido en el decreto 1082 de 2015, en su artículo 2.2.1.3.3.2.10., nunca se pactó tal deducible, ni en los documentos previos, ni en el pliego de condiciones, ni en el contrato.</w:t>
      </w:r>
    </w:p>
    <w:p w14:paraId="6C7D3E0B" w14:textId="77777777" w:rsidR="00145A5D" w:rsidRPr="0019017D" w:rsidRDefault="00145A5D" w:rsidP="00145A5D">
      <w:pPr>
        <w:spacing w:after="120" w:line="240" w:lineRule="auto"/>
        <w:ind w:left="709" w:right="709"/>
        <w:jc w:val="both"/>
        <w:rPr>
          <w:rFonts w:ascii="Verdana" w:eastAsia="Century Gothic" w:hAnsi="Verdana" w:cs="Century Gothic"/>
          <w:sz w:val="21"/>
          <w:szCs w:val="21"/>
          <w:lang w:val="es-ES"/>
        </w:rPr>
      </w:pPr>
      <w:r w:rsidRPr="0019017D">
        <w:rPr>
          <w:rFonts w:ascii="Verdana" w:eastAsia="Century Gothic" w:hAnsi="Verdana" w:cs="Century Gothic"/>
          <w:sz w:val="21"/>
          <w:szCs w:val="21"/>
          <w:lang w:val="es-ES"/>
        </w:rPr>
        <w:lastRenderedPageBreak/>
        <w:t xml:space="preserve">La aseguradora indica que efectivamente en la cláusula de garantías no ha sido estipulada la inclusión de un deducible, sin perjuicio de lo cual tampoco se ha determinado una exclusión clara del mismo, es decir, existe un vacío contractual al respecto y que por este motivo la póliza con deducible se ajusta y debe ser aprobada. </w:t>
      </w:r>
    </w:p>
    <w:p w14:paraId="1BC22D1A" w14:textId="77777777" w:rsidR="00145A5D" w:rsidRDefault="00145A5D" w:rsidP="00145A5D">
      <w:pPr>
        <w:spacing w:after="0" w:line="240" w:lineRule="auto"/>
        <w:ind w:left="709" w:right="709"/>
        <w:jc w:val="both"/>
        <w:rPr>
          <w:rFonts w:ascii="Verdana" w:eastAsia="Century Gothic" w:hAnsi="Verdana" w:cs="Century Gothic"/>
          <w:sz w:val="20"/>
          <w:szCs w:val="20"/>
          <w:lang w:val="es-ES"/>
        </w:rPr>
      </w:pPr>
      <w:r w:rsidRPr="0019017D">
        <w:rPr>
          <w:rFonts w:ascii="Verdana" w:eastAsia="Century Gothic" w:hAnsi="Verdana" w:cs="Century Gothic"/>
          <w:sz w:val="21"/>
          <w:szCs w:val="21"/>
          <w:lang w:val="es-ES"/>
        </w:rPr>
        <w:t>Por lo anterior, requiero saber si la postura de la aseguradora es viable y si una póliza de RCE en estas condiciones (con deducible) puede aprobarse, teniendo en cuenta que en ningún momento se pactó</w:t>
      </w:r>
      <w:r w:rsidRPr="006040CE">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0348F0BA" w14:textId="77777777" w:rsidR="00145A5D" w:rsidRPr="0019017D" w:rsidRDefault="00145A5D" w:rsidP="00145A5D">
      <w:pPr>
        <w:spacing w:after="0" w:line="276" w:lineRule="auto"/>
        <w:ind w:left="709" w:right="709"/>
        <w:jc w:val="both"/>
        <w:rPr>
          <w:rFonts w:ascii="Verdana" w:eastAsia="Century Gothic" w:hAnsi="Verdana" w:cs="Century Gothic"/>
          <w:lang w:val="es-ES"/>
        </w:rPr>
      </w:pPr>
    </w:p>
    <w:p w14:paraId="2047BE7A" w14:textId="77777777" w:rsidR="00145A5D" w:rsidRPr="00A652FF" w:rsidRDefault="00145A5D" w:rsidP="00145A5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B631CEB" w14:textId="77777777" w:rsidR="00145A5D" w:rsidRDefault="00145A5D" w:rsidP="00145A5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45968F8" w14:textId="77777777" w:rsidR="00145A5D" w:rsidRPr="00593A5F" w:rsidRDefault="00145A5D" w:rsidP="00145A5D">
      <w:pPr>
        <w:spacing w:after="0" w:line="276" w:lineRule="auto"/>
        <w:ind w:firstLine="709"/>
        <w:jc w:val="both"/>
        <w:rPr>
          <w:rFonts w:ascii="Verdana" w:eastAsia="Calibri" w:hAnsi="Verdana" w:cs="Arial"/>
          <w:color w:val="000000"/>
          <w:lang w:val="es-ES" w:eastAsia="es-ES"/>
        </w:rPr>
      </w:pPr>
    </w:p>
    <w:p w14:paraId="151CC6D7" w14:textId="77777777" w:rsidR="00145A5D" w:rsidRPr="00593A5F" w:rsidRDefault="00145A5D" w:rsidP="00145A5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C04EA4B" w14:textId="77777777" w:rsidR="00145A5D" w:rsidRPr="00593A5F" w:rsidRDefault="00145A5D" w:rsidP="00145A5D">
      <w:pPr>
        <w:tabs>
          <w:tab w:val="left" w:pos="426"/>
        </w:tabs>
        <w:spacing w:after="0" w:line="276" w:lineRule="auto"/>
        <w:jc w:val="both"/>
        <w:rPr>
          <w:rFonts w:ascii="Verdana" w:eastAsia="Century Gothic" w:hAnsi="Verdana" w:cs="Century Gothic"/>
          <w:lang w:val="es-ES"/>
        </w:rPr>
      </w:pPr>
    </w:p>
    <w:p w14:paraId="339CFDF6" w14:textId="77777777" w:rsidR="00145A5D" w:rsidRPr="00593A5F" w:rsidRDefault="00145A5D" w:rsidP="00145A5D">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w:t>
      </w:r>
      <w:r>
        <w:rPr>
          <w:rFonts w:ascii="Verdana" w:eastAsia="Century Gothic" w:hAnsi="Verdana" w:cs="Century Gothic"/>
        </w:rPr>
        <w:t xml:space="preserve"> ¿cuáles son las limitaciones a los deducibles en el amparo de responsabilidad civil extracontractual del Decreto 1082 de 2015?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28C7A17B" w14:textId="77777777" w:rsidR="00145A5D" w:rsidRPr="004B140F" w:rsidRDefault="00145A5D" w:rsidP="00145A5D">
      <w:pPr>
        <w:spacing w:after="0" w:line="276" w:lineRule="auto"/>
        <w:jc w:val="both"/>
        <w:rPr>
          <w:rFonts w:ascii="Verdana" w:eastAsia="Calibri" w:hAnsi="Verdana" w:cs="Arial"/>
          <w:color w:val="7030A0"/>
        </w:rPr>
      </w:pPr>
    </w:p>
    <w:p w14:paraId="0D8AC0BB" w14:textId="77777777" w:rsidR="00145A5D" w:rsidRPr="00593A5F" w:rsidRDefault="00145A5D" w:rsidP="00145A5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F107FA1" w14:textId="77777777" w:rsidR="00145A5D" w:rsidRPr="00593A5F" w:rsidRDefault="00145A5D" w:rsidP="00145A5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45A5D" w:rsidRPr="00593A5F" w14:paraId="3E5B8065" w14:textId="77777777" w:rsidTr="00A6169D">
        <w:trPr>
          <w:jc w:val="center"/>
        </w:trPr>
        <w:tc>
          <w:tcPr>
            <w:tcW w:w="8828" w:type="dxa"/>
            <w:shd w:val="clear" w:color="auto" w:fill="auto"/>
          </w:tcPr>
          <w:p w14:paraId="56FD1815" w14:textId="77777777" w:rsidR="00145A5D" w:rsidRDefault="00145A5D" w:rsidP="00A6169D">
            <w:pPr>
              <w:spacing w:after="120" w:line="276" w:lineRule="auto"/>
              <w:jc w:val="both"/>
              <w:rPr>
                <w:rFonts w:ascii="Verdana" w:eastAsia="Times New Roman" w:hAnsi="Verdana" w:cs="Arial"/>
                <w:color w:val="000000" w:themeColor="text1"/>
                <w:lang w:eastAsia="es-CO"/>
              </w:rPr>
            </w:pPr>
            <w:bookmarkStart w:id="1" w:name="_Hlk171694685"/>
            <w:r>
              <w:rPr>
                <w:rFonts w:ascii="Verdana" w:eastAsia="Calibri" w:hAnsi="Verdana" w:cs="Times New Roman"/>
                <w:iCs/>
                <w:lang w:val="es-ES"/>
              </w:rPr>
              <w:t xml:space="preserve">Conforme a la interpretación general de las normas del sistema de compras públicas, </w:t>
            </w:r>
            <w:r>
              <w:rPr>
                <w:rFonts w:ascii="Verdana" w:eastAsia="Times New Roman" w:hAnsi="Verdana" w:cs="Arial"/>
                <w:color w:val="000000" w:themeColor="text1"/>
                <w:lang w:eastAsia="es-CO"/>
              </w:rPr>
              <w:t xml:space="preserve">el artículo </w:t>
            </w:r>
            <w:r w:rsidRPr="009839D4">
              <w:rPr>
                <w:rFonts w:ascii="Verdana" w:eastAsia="Times New Roman" w:hAnsi="Verdana" w:cs="Arial"/>
                <w:color w:val="000000" w:themeColor="text1"/>
                <w:lang w:eastAsia="es-CO"/>
              </w:rPr>
              <w:t>2.2.1.3.3.2.10</w:t>
            </w:r>
            <w:r>
              <w:rPr>
                <w:rFonts w:ascii="Verdana" w:eastAsia="Times New Roman" w:hAnsi="Verdana" w:cs="Arial"/>
                <w:color w:val="000000" w:themeColor="text1"/>
                <w:lang w:eastAsia="es-CO"/>
              </w:rPr>
              <w:t xml:space="preserve"> del Decreto Único Reglamentario del Sector Administrativo de Planeación Nacional dispone que “</w:t>
            </w:r>
            <w:r w:rsidRPr="009839D4">
              <w:rPr>
                <w:rFonts w:ascii="Verdana" w:eastAsia="Times New Roman" w:hAnsi="Verdana" w:cs="Arial"/>
                <w:color w:val="000000" w:themeColor="text1"/>
                <w:lang w:eastAsia="es-CO"/>
              </w:rPr>
              <w:t xml:space="preserve">En el contrato de seguro </w:t>
            </w:r>
            <w:r w:rsidRPr="009839D4">
              <w:rPr>
                <w:rFonts w:ascii="Verdana" w:eastAsia="Times New Roman" w:hAnsi="Verdana" w:cs="Arial"/>
                <w:color w:val="000000" w:themeColor="text1"/>
                <w:lang w:eastAsia="es-CO"/>
              </w:rPr>
              <w:lastRenderedPageBreak/>
              <w:t xml:space="preserve">que ampara la responsabilidad civil extracontractual solamente se pueden pactar deducibles hasta del diez por ciento (10%) del valor de cada pérdida y en ningún caso pueden ser superiores a dos mil (2.000) </w:t>
            </w:r>
            <w:proofErr w:type="spellStart"/>
            <w:r w:rsidRPr="009839D4">
              <w:rPr>
                <w:rFonts w:ascii="Verdana" w:eastAsia="Times New Roman" w:hAnsi="Verdana" w:cs="Arial"/>
                <w:color w:val="000000" w:themeColor="text1"/>
                <w:lang w:eastAsia="es-CO"/>
              </w:rPr>
              <w:t>smmlv</w:t>
            </w:r>
            <w:proofErr w:type="spellEnd"/>
            <w:r w:rsidRPr="009839D4">
              <w:rPr>
                <w:rFonts w:ascii="Verdana" w:eastAsia="Times New Roman" w:hAnsi="Verdana" w:cs="Arial"/>
                <w:color w:val="000000" w:themeColor="text1"/>
                <w:lang w:eastAsia="es-CO"/>
              </w:rPr>
              <w:t>. No serán admisibles las franquicias, coaseguros obligatorios y demás formas de estipulación que impliquen la asunción de parte de la pérdida por la entidad asegurada</w:t>
            </w:r>
            <w:r>
              <w:rPr>
                <w:rFonts w:ascii="Verdana" w:eastAsia="Times New Roman" w:hAnsi="Verdana" w:cs="Arial"/>
                <w:color w:val="000000" w:themeColor="text1"/>
                <w:lang w:eastAsia="es-CO"/>
              </w:rPr>
              <w:t>”</w:t>
            </w:r>
            <w:r w:rsidRPr="009839D4">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Por tanto, </w:t>
            </w:r>
            <w:r w:rsidRPr="009839D4">
              <w:rPr>
                <w:rFonts w:ascii="Verdana" w:eastAsia="Times New Roman" w:hAnsi="Verdana" w:cs="Arial"/>
                <w:color w:val="000000" w:themeColor="text1"/>
                <w:lang w:eastAsia="es-CO"/>
              </w:rPr>
              <w:t>en este seguro pueden pactar</w:t>
            </w:r>
            <w:r>
              <w:rPr>
                <w:rFonts w:ascii="Verdana" w:eastAsia="Times New Roman" w:hAnsi="Verdana" w:cs="Arial"/>
                <w:color w:val="000000" w:themeColor="text1"/>
                <w:lang w:eastAsia="es-CO"/>
              </w:rPr>
              <w:t>se</w:t>
            </w:r>
            <w:r w:rsidRPr="009839D4">
              <w:rPr>
                <w:rFonts w:ascii="Verdana" w:eastAsia="Times New Roman" w:hAnsi="Verdana" w:cs="Arial"/>
                <w:color w:val="000000" w:themeColor="text1"/>
                <w:lang w:eastAsia="es-CO"/>
              </w:rPr>
              <w:t xml:space="preserve"> deducibles</w:t>
            </w:r>
            <w:r>
              <w:rPr>
                <w:rFonts w:ascii="Verdana" w:eastAsia="Times New Roman" w:hAnsi="Verdana" w:cs="Arial"/>
                <w:color w:val="000000" w:themeColor="text1"/>
                <w:lang w:eastAsia="es-CO"/>
              </w:rPr>
              <w:t xml:space="preserve"> con las limitaciones citadas; pero el pago no</w:t>
            </w:r>
            <w:r w:rsidRPr="009839D4">
              <w:rPr>
                <w:rFonts w:ascii="Verdana" w:eastAsia="Times New Roman" w:hAnsi="Verdana" w:cs="Arial"/>
                <w:color w:val="000000" w:themeColor="text1"/>
                <w:lang w:eastAsia="es-CO"/>
              </w:rPr>
              <w:t xml:space="preserve"> podrá estar a cargo de la entidad estatal, </w:t>
            </w:r>
            <w:r>
              <w:rPr>
                <w:rFonts w:ascii="Verdana" w:eastAsia="Times New Roman" w:hAnsi="Verdana" w:cs="Arial"/>
                <w:color w:val="000000" w:themeColor="text1"/>
                <w:lang w:eastAsia="es-CO"/>
              </w:rPr>
              <w:t>de manera que es responsabilidad</w:t>
            </w:r>
            <w:r w:rsidRPr="009839D4">
              <w:rPr>
                <w:rFonts w:ascii="Verdana" w:eastAsia="Times New Roman" w:hAnsi="Verdana" w:cs="Arial"/>
                <w:color w:val="000000" w:themeColor="text1"/>
                <w:lang w:eastAsia="es-CO"/>
              </w:rPr>
              <w:t xml:space="preserve"> </w:t>
            </w:r>
            <w:r>
              <w:rPr>
                <w:rFonts w:ascii="Verdana" w:eastAsia="Times New Roman" w:hAnsi="Verdana" w:cs="Arial"/>
                <w:color w:val="000000" w:themeColor="text1"/>
                <w:lang w:eastAsia="es-CO"/>
              </w:rPr>
              <w:t xml:space="preserve">exclusiva </w:t>
            </w:r>
            <w:r w:rsidRPr="009839D4">
              <w:rPr>
                <w:rFonts w:ascii="Verdana" w:eastAsia="Times New Roman" w:hAnsi="Verdana" w:cs="Arial"/>
                <w:color w:val="000000" w:themeColor="text1"/>
                <w:lang w:eastAsia="es-CO"/>
              </w:rPr>
              <w:t>del contratista tomador del seguro</w:t>
            </w:r>
            <w:r>
              <w:rPr>
                <w:rFonts w:ascii="Verdana" w:eastAsia="Times New Roman" w:hAnsi="Verdana" w:cs="Arial"/>
                <w:color w:val="000000" w:themeColor="text1"/>
                <w:lang w:eastAsia="es-CO"/>
              </w:rPr>
              <w:t>.</w:t>
            </w:r>
          </w:p>
          <w:p w14:paraId="4691BA3D" w14:textId="77777777" w:rsidR="00145A5D" w:rsidRDefault="00145A5D" w:rsidP="00A6169D">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Dicha restricción debe entenderse en concordancia con el artículo 1103 del Código de Comercio, pues dispone que “</w:t>
            </w:r>
            <w:r w:rsidRPr="00574F7C">
              <w:rPr>
                <w:rFonts w:ascii="Verdana" w:eastAsia="Times New Roman" w:hAnsi="Verdana" w:cs="Arial"/>
                <w:color w:val="000000" w:themeColor="text1"/>
                <w:lang w:eastAsia="es-CO"/>
              </w:rPr>
              <w:t>Las cláusulas según las cuales el asegurado deba soportar una cuota en el riesgo o en la pérdida, o afrontar la primera parte del daño, implican, salvo estipulación en contrario, la prohibición para el asegurado de protegerse respecto de tales cuotas, mediante la contratación de un seguro adicional</w:t>
            </w:r>
            <w:r>
              <w:rPr>
                <w:rFonts w:ascii="Verdana" w:eastAsia="Times New Roman" w:hAnsi="Verdana" w:cs="Arial"/>
                <w:color w:val="000000" w:themeColor="text1"/>
                <w:lang w:eastAsia="es-CO"/>
              </w:rPr>
              <w:t xml:space="preserve"> […]”. Sobre esta base, autores como OSSA definen la franquicia como “[…] l</w:t>
            </w:r>
            <w:r w:rsidRPr="00574F7C">
              <w:rPr>
                <w:rFonts w:ascii="Verdana" w:eastAsia="Times New Roman" w:hAnsi="Verdana" w:cs="Arial"/>
                <w:color w:val="000000" w:themeColor="text1"/>
                <w:lang w:eastAsia="es-CO"/>
              </w:rPr>
              <w:t>a primera parte del daño que</w:t>
            </w:r>
            <w:r>
              <w:rPr>
                <w:rFonts w:ascii="Verdana" w:eastAsia="Times New Roman" w:hAnsi="Verdana" w:cs="Arial"/>
                <w:color w:val="000000" w:themeColor="text1"/>
                <w:lang w:eastAsia="es-CO"/>
              </w:rPr>
              <w:t xml:space="preserve"> […]</w:t>
            </w:r>
            <w:r w:rsidRPr="00574F7C">
              <w:rPr>
                <w:rFonts w:ascii="Verdana" w:eastAsia="Times New Roman" w:hAnsi="Verdana" w:cs="Arial"/>
                <w:color w:val="000000" w:themeColor="text1"/>
                <w:lang w:eastAsia="es-CO"/>
              </w:rPr>
              <w:t xml:space="preserve"> ha de soportar</w:t>
            </w:r>
            <w:r>
              <w:rPr>
                <w:rFonts w:ascii="Verdana" w:eastAsia="Times New Roman" w:hAnsi="Verdana" w:cs="Arial"/>
                <w:color w:val="000000" w:themeColor="text1"/>
                <w:lang w:eastAsia="es-CO"/>
              </w:rPr>
              <w:t xml:space="preserve"> </w:t>
            </w:r>
            <w:r w:rsidRPr="00574F7C">
              <w:rPr>
                <w:rFonts w:ascii="Verdana" w:eastAsia="Times New Roman" w:hAnsi="Verdana" w:cs="Arial"/>
                <w:color w:val="000000" w:themeColor="text1"/>
                <w:lang w:eastAsia="es-CO"/>
              </w:rPr>
              <w:t>el asegurado en virtud de expresa estipulación del contrato</w:t>
            </w:r>
            <w:r>
              <w:rPr>
                <w:rFonts w:ascii="Verdana" w:eastAsia="Times New Roman" w:hAnsi="Verdana" w:cs="Arial"/>
                <w:color w:val="000000" w:themeColor="text1"/>
                <w:lang w:eastAsia="es-CO"/>
              </w:rPr>
              <w:t>” y que “</w:t>
            </w:r>
            <w:r w:rsidRPr="002F22FF">
              <w:rPr>
                <w:rFonts w:ascii="Verdana" w:eastAsia="Times New Roman" w:hAnsi="Verdana" w:cs="Arial"/>
                <w:color w:val="000000" w:themeColor="text1"/>
                <w:lang w:eastAsia="es-CO"/>
              </w:rPr>
              <w:t xml:space="preserve">Es deducible cuando sea cual fuere la extensión del daño </w:t>
            </w:r>
            <w:r>
              <w:rPr>
                <w:rFonts w:ascii="Verdana" w:eastAsia="Times New Roman" w:hAnsi="Verdana" w:cs="Arial"/>
                <w:color w:val="000000" w:themeColor="text1"/>
                <w:lang w:eastAsia="es-CO"/>
              </w:rPr>
              <w:t>[…]</w:t>
            </w:r>
            <w:r w:rsidRPr="002F22FF">
              <w:rPr>
                <w:rFonts w:ascii="Verdana" w:eastAsia="Times New Roman" w:hAnsi="Verdana" w:cs="Arial"/>
                <w:color w:val="000000" w:themeColor="text1"/>
                <w:lang w:eastAsia="es-CO"/>
              </w:rPr>
              <w:t>, el asegurado debe cargar con la primera parte de él, y el asegurador con el excedente</w:t>
            </w:r>
            <w:r>
              <w:rPr>
                <w:rFonts w:ascii="Verdana" w:eastAsia="Times New Roman" w:hAnsi="Verdana" w:cs="Arial"/>
                <w:color w:val="000000" w:themeColor="text1"/>
                <w:lang w:eastAsia="es-CO"/>
              </w:rPr>
              <w:t>”</w:t>
            </w:r>
            <w:r w:rsidRPr="00574F7C">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p>
          <w:p w14:paraId="5FA2A37B" w14:textId="77777777" w:rsidR="00145A5D" w:rsidRDefault="00145A5D" w:rsidP="00A6169D">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Este pacto corresponde a la libertad de estipulación entre las partes del contrato de seguro, el cual contribuye a la vigilancia</w:t>
            </w:r>
            <w:r w:rsidRPr="006A7946">
              <w:rPr>
                <w:rFonts w:ascii="Verdana" w:eastAsia="Times New Roman" w:hAnsi="Verdana" w:cs="Arial"/>
                <w:color w:val="000000" w:themeColor="text1"/>
                <w:lang w:eastAsia="es-CO"/>
              </w:rPr>
              <w:t>, cui</w:t>
            </w:r>
            <w:r>
              <w:rPr>
                <w:rFonts w:ascii="Verdana" w:eastAsia="Times New Roman" w:hAnsi="Verdana" w:cs="Arial"/>
                <w:color w:val="000000" w:themeColor="text1"/>
                <w:lang w:eastAsia="es-CO"/>
              </w:rPr>
              <w:t>dado</w:t>
            </w:r>
            <w:r w:rsidRPr="006A7946">
              <w:rPr>
                <w:rFonts w:ascii="Verdana" w:eastAsia="Times New Roman" w:hAnsi="Verdana" w:cs="Arial"/>
                <w:color w:val="000000" w:themeColor="text1"/>
                <w:lang w:eastAsia="es-CO"/>
              </w:rPr>
              <w:t xml:space="preserve"> </w:t>
            </w:r>
            <w:r>
              <w:rPr>
                <w:rFonts w:ascii="Verdana" w:eastAsia="Times New Roman" w:hAnsi="Verdana" w:cs="Arial"/>
                <w:color w:val="000000" w:themeColor="text1"/>
                <w:lang w:eastAsia="es-CO"/>
              </w:rPr>
              <w:t>y</w:t>
            </w:r>
            <w:r w:rsidRPr="006A7946">
              <w:rPr>
                <w:rFonts w:ascii="Verdana" w:eastAsia="Times New Roman" w:hAnsi="Verdana" w:cs="Arial"/>
                <w:color w:val="000000" w:themeColor="text1"/>
                <w:lang w:eastAsia="es-CO"/>
              </w:rPr>
              <w:t xml:space="preserve"> buen manejo del riesgo</w:t>
            </w:r>
            <w:r>
              <w:rPr>
                <w:rFonts w:ascii="Verdana" w:eastAsia="Times New Roman" w:hAnsi="Verdana" w:cs="Arial"/>
                <w:color w:val="000000" w:themeColor="text1"/>
                <w:lang w:eastAsia="es-CO"/>
              </w:rPr>
              <w:t>. Para el contratista del Estado implica</w:t>
            </w:r>
            <w:r w:rsidRPr="000550FA">
              <w:rPr>
                <w:rFonts w:ascii="Verdana" w:eastAsia="Times New Roman" w:hAnsi="Verdana" w:cs="Arial"/>
                <w:color w:val="000000" w:themeColor="text1"/>
                <w:lang w:eastAsia="es-CO"/>
              </w:rPr>
              <w:t xml:space="preserve"> </w:t>
            </w:r>
            <w:r>
              <w:rPr>
                <w:rFonts w:ascii="Verdana" w:eastAsia="Times New Roman" w:hAnsi="Verdana" w:cs="Arial"/>
                <w:color w:val="000000" w:themeColor="text1"/>
                <w:lang w:eastAsia="es-CO"/>
              </w:rPr>
              <w:t>asumir parte de</w:t>
            </w:r>
            <w:r w:rsidRPr="000550FA">
              <w:rPr>
                <w:rFonts w:ascii="Verdana" w:eastAsia="Times New Roman" w:hAnsi="Verdana" w:cs="Arial"/>
                <w:color w:val="000000" w:themeColor="text1"/>
                <w:lang w:eastAsia="es-CO"/>
              </w:rPr>
              <w:t xml:space="preserve"> los efectos patrimoniales del siniestro,</w:t>
            </w:r>
            <w:r>
              <w:rPr>
                <w:rFonts w:ascii="Verdana" w:eastAsia="Times New Roman" w:hAnsi="Verdana" w:cs="Arial"/>
                <w:color w:val="000000" w:themeColor="text1"/>
                <w:lang w:eastAsia="es-CO"/>
              </w:rPr>
              <w:t xml:space="preserve"> </w:t>
            </w:r>
            <w:r w:rsidRPr="000550FA">
              <w:rPr>
                <w:rFonts w:ascii="Verdana" w:eastAsia="Times New Roman" w:hAnsi="Verdana" w:cs="Arial"/>
                <w:color w:val="000000" w:themeColor="text1"/>
                <w:lang w:eastAsia="es-CO"/>
              </w:rPr>
              <w:t xml:space="preserve">que puede </w:t>
            </w:r>
            <w:r>
              <w:rPr>
                <w:rFonts w:ascii="Verdana" w:eastAsia="Times New Roman" w:hAnsi="Verdana" w:cs="Arial"/>
                <w:color w:val="000000" w:themeColor="text1"/>
                <w:lang w:eastAsia="es-CO"/>
              </w:rPr>
              <w:t>establecerse</w:t>
            </w:r>
            <w:r w:rsidRPr="000550FA">
              <w:rPr>
                <w:rFonts w:ascii="Verdana" w:eastAsia="Times New Roman" w:hAnsi="Verdana" w:cs="Arial"/>
                <w:color w:val="000000" w:themeColor="text1"/>
                <w:lang w:eastAsia="es-CO"/>
              </w:rPr>
              <w:t xml:space="preserve"> como una suma fija o como un porcentaje del valor asegurado.</w:t>
            </w:r>
            <w:r>
              <w:rPr>
                <w:rFonts w:ascii="Verdana" w:eastAsia="Times New Roman" w:hAnsi="Verdana" w:cs="Arial"/>
                <w:color w:val="000000" w:themeColor="text1"/>
                <w:lang w:eastAsia="es-CO"/>
              </w:rPr>
              <w:t xml:space="preserve"> En este sentido, es </w:t>
            </w:r>
            <w:r w:rsidRPr="000550FA">
              <w:rPr>
                <w:rFonts w:ascii="Verdana" w:eastAsia="Times New Roman" w:hAnsi="Verdana" w:cs="Arial"/>
                <w:color w:val="000000" w:themeColor="text1"/>
                <w:lang w:eastAsia="es-CO"/>
              </w:rPr>
              <w:t>un mecanismo para compartir</w:t>
            </w:r>
            <w:r>
              <w:rPr>
                <w:rFonts w:ascii="Verdana" w:eastAsia="Times New Roman" w:hAnsi="Verdana" w:cs="Arial"/>
                <w:color w:val="000000" w:themeColor="text1"/>
                <w:lang w:eastAsia="es-CO"/>
              </w:rPr>
              <w:t xml:space="preserve"> </w:t>
            </w:r>
            <w:r w:rsidRPr="000550FA">
              <w:rPr>
                <w:rFonts w:ascii="Verdana" w:eastAsia="Times New Roman" w:hAnsi="Verdana" w:cs="Arial"/>
                <w:color w:val="000000" w:themeColor="text1"/>
                <w:lang w:eastAsia="es-CO"/>
              </w:rPr>
              <w:t xml:space="preserve">los riesgos entre la aseguradora y el </w:t>
            </w:r>
            <w:r>
              <w:rPr>
                <w:rFonts w:ascii="Verdana" w:eastAsia="Times New Roman" w:hAnsi="Verdana" w:cs="Arial"/>
                <w:color w:val="000000" w:themeColor="text1"/>
                <w:lang w:eastAsia="es-CO"/>
              </w:rPr>
              <w:t>contratista</w:t>
            </w:r>
            <w:r w:rsidRPr="000550FA">
              <w:rPr>
                <w:rFonts w:ascii="Verdana" w:eastAsia="Times New Roman" w:hAnsi="Verdana" w:cs="Arial"/>
                <w:color w:val="000000" w:themeColor="text1"/>
                <w:lang w:eastAsia="es-CO"/>
              </w:rPr>
              <w:t>, quien deberá soportar una porción de</w:t>
            </w:r>
            <w:r>
              <w:rPr>
                <w:rFonts w:ascii="Verdana" w:eastAsia="Times New Roman" w:hAnsi="Verdana" w:cs="Arial"/>
                <w:color w:val="000000" w:themeColor="text1"/>
                <w:lang w:eastAsia="es-CO"/>
              </w:rPr>
              <w:t xml:space="preserve"> </w:t>
            </w:r>
            <w:r w:rsidRPr="000550FA">
              <w:rPr>
                <w:rFonts w:ascii="Verdana" w:eastAsia="Times New Roman" w:hAnsi="Verdana" w:cs="Arial"/>
                <w:color w:val="000000" w:themeColor="text1"/>
                <w:lang w:eastAsia="es-CO"/>
              </w:rPr>
              <w:t xml:space="preserve">la pérdida. </w:t>
            </w:r>
            <w:r>
              <w:rPr>
                <w:rFonts w:ascii="Verdana" w:eastAsia="Times New Roman" w:hAnsi="Verdana" w:cs="Arial"/>
                <w:color w:val="000000" w:themeColor="text1"/>
                <w:lang w:eastAsia="es-CO"/>
              </w:rPr>
              <w:t>Por tanto</w:t>
            </w:r>
            <w:r w:rsidRPr="000550FA">
              <w:rPr>
                <w:rFonts w:ascii="Verdana" w:eastAsia="Times New Roman" w:hAnsi="Verdana" w:cs="Arial"/>
                <w:color w:val="000000" w:themeColor="text1"/>
                <w:lang w:eastAsia="es-CO"/>
              </w:rPr>
              <w:t xml:space="preserve">, </w:t>
            </w:r>
            <w:r>
              <w:rPr>
                <w:rFonts w:ascii="Verdana" w:eastAsia="Times New Roman" w:hAnsi="Verdana" w:cs="Arial"/>
                <w:color w:val="000000" w:themeColor="text1"/>
                <w:lang w:eastAsia="es-CO"/>
              </w:rPr>
              <w:t xml:space="preserve">con los límites del artículo </w:t>
            </w:r>
            <w:r w:rsidRPr="009839D4">
              <w:rPr>
                <w:rFonts w:ascii="Verdana" w:eastAsia="Times New Roman" w:hAnsi="Verdana" w:cs="Arial"/>
                <w:color w:val="000000" w:themeColor="text1"/>
                <w:lang w:eastAsia="es-CO"/>
              </w:rPr>
              <w:t>2.2.1.3.3.2.10</w:t>
            </w:r>
            <w:r>
              <w:rPr>
                <w:rFonts w:ascii="Verdana" w:eastAsia="Times New Roman" w:hAnsi="Verdana" w:cs="Arial"/>
                <w:color w:val="000000" w:themeColor="text1"/>
                <w:lang w:eastAsia="es-CO"/>
              </w:rPr>
              <w:t xml:space="preserve"> del Decreto 1082 de 2015, deberá analizarse las condiciones de la póliza </w:t>
            </w:r>
            <w:r w:rsidRPr="000550FA">
              <w:rPr>
                <w:rFonts w:ascii="Verdana" w:eastAsia="Times New Roman" w:hAnsi="Verdana" w:cs="Arial"/>
                <w:color w:val="000000" w:themeColor="text1"/>
                <w:lang w:eastAsia="es-CO"/>
              </w:rPr>
              <w:t>para determinar el valor efectivo que la aseguradora debe pagar, luego de aplicar el</w:t>
            </w:r>
            <w:r>
              <w:rPr>
                <w:rFonts w:ascii="Verdana" w:eastAsia="Times New Roman" w:hAnsi="Verdana" w:cs="Arial"/>
                <w:color w:val="000000" w:themeColor="text1"/>
                <w:lang w:eastAsia="es-CO"/>
              </w:rPr>
              <w:t xml:space="preserve"> </w:t>
            </w:r>
            <w:r w:rsidRPr="000550FA">
              <w:rPr>
                <w:rFonts w:ascii="Verdana" w:eastAsia="Times New Roman" w:hAnsi="Verdana" w:cs="Arial"/>
                <w:color w:val="000000" w:themeColor="text1"/>
                <w:lang w:eastAsia="es-CO"/>
              </w:rPr>
              <w:t>deducible correspondiente</w:t>
            </w:r>
            <w:r>
              <w:rPr>
                <w:rFonts w:ascii="Verdana" w:eastAsia="Times New Roman" w:hAnsi="Verdana" w:cs="Arial"/>
                <w:color w:val="000000" w:themeColor="text1"/>
                <w:lang w:eastAsia="es-CO"/>
              </w:rPr>
              <w:t xml:space="preserve">. </w:t>
            </w:r>
          </w:p>
          <w:p w14:paraId="7D66800B" w14:textId="77777777" w:rsidR="00145A5D" w:rsidRPr="00CD7ADA" w:rsidRDefault="00145A5D" w:rsidP="00A6169D">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Salvo de que los documentos del proceso establezcan algo distinto, las restricciones de los deducibles se rigen por la norma citada del Decreto Único Reglamentario del Sector Administrativo de Planeación Nacional. Limitaciones adicionales, como la prohibición de amparar la responsabilidad civil extracontractual bajo las cláusulas de que trata el artículo 1103 del Código de Comercio, deben provenir expresamente del pliego de condiciones o de la minuta del contrato. La entidad deberá analizar su inclusión a la luz de las </w:t>
            </w:r>
            <w:r>
              <w:rPr>
                <w:rFonts w:ascii="Verdana" w:eastAsia="Times New Roman" w:hAnsi="Verdana" w:cs="Arial"/>
                <w:color w:val="000000" w:themeColor="text1"/>
                <w:lang w:eastAsia="es-CO"/>
              </w:rPr>
              <w:lastRenderedPageBreak/>
              <w:t xml:space="preserve">dificultades para asegurar el riesgo si no se permite el pacto de deducibles entre el contratista y la aseguradora, sin perjuicio de la eventual impugnación judicial de las estipulaciones que restrinjan el artículo </w:t>
            </w:r>
            <w:r w:rsidRPr="009839D4">
              <w:rPr>
                <w:rFonts w:ascii="Verdana" w:eastAsia="Times New Roman" w:hAnsi="Verdana" w:cs="Arial"/>
                <w:color w:val="000000" w:themeColor="text1"/>
                <w:lang w:eastAsia="es-CO"/>
              </w:rPr>
              <w:t>2.2.1.3.3.2.10</w:t>
            </w:r>
            <w:r>
              <w:rPr>
                <w:rFonts w:ascii="Verdana" w:eastAsia="Times New Roman" w:hAnsi="Verdana" w:cs="Arial"/>
                <w:color w:val="000000" w:themeColor="text1"/>
                <w:lang w:eastAsia="es-CO"/>
              </w:rPr>
              <w:t xml:space="preserve"> del Decreto 1082 de 2015.</w:t>
            </w:r>
          </w:p>
          <w:p w14:paraId="604B2872" w14:textId="77777777" w:rsidR="00145A5D" w:rsidRPr="001A09C8" w:rsidRDefault="00145A5D" w:rsidP="00A6169D">
            <w:pPr>
              <w:spacing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7597A82" w14:textId="77777777" w:rsidR="00145A5D" w:rsidRPr="00593A5F" w:rsidRDefault="00145A5D" w:rsidP="00145A5D">
      <w:pPr>
        <w:tabs>
          <w:tab w:val="left" w:pos="142"/>
          <w:tab w:val="left" w:pos="284"/>
        </w:tabs>
        <w:spacing w:after="0" w:line="276" w:lineRule="auto"/>
        <w:jc w:val="both"/>
        <w:rPr>
          <w:rFonts w:ascii="Verdana" w:eastAsia="Century Gothic" w:hAnsi="Verdana" w:cs="Century Gothic"/>
          <w:b/>
          <w:bCs/>
          <w:lang w:val="es-ES"/>
        </w:rPr>
      </w:pPr>
    </w:p>
    <w:bookmarkEnd w:id="1"/>
    <w:p w14:paraId="1EBDA292" w14:textId="77777777" w:rsidR="00145A5D" w:rsidRPr="00593A5F" w:rsidRDefault="00145A5D" w:rsidP="00145A5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C12909B" w14:textId="77777777" w:rsidR="00145A5D" w:rsidRPr="00593A5F" w:rsidRDefault="00145A5D" w:rsidP="00145A5D">
      <w:pPr>
        <w:spacing w:after="0" w:line="276" w:lineRule="auto"/>
        <w:jc w:val="both"/>
        <w:rPr>
          <w:rFonts w:ascii="Verdana" w:eastAsia="Calibri" w:hAnsi="Verdana" w:cs="Arial"/>
          <w:color w:val="7030A0"/>
          <w:lang w:val="es-ES"/>
        </w:rPr>
      </w:pPr>
    </w:p>
    <w:p w14:paraId="1F4274C9" w14:textId="77777777" w:rsidR="00145A5D" w:rsidRDefault="00145A5D" w:rsidP="00145A5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386FAD7" w14:textId="77777777" w:rsidR="00145A5D" w:rsidRPr="00415608" w:rsidRDefault="00145A5D" w:rsidP="00145A5D">
      <w:pPr>
        <w:spacing w:after="0" w:line="276" w:lineRule="auto"/>
        <w:jc w:val="both"/>
        <w:rPr>
          <w:rFonts w:ascii="Verdana" w:eastAsia="Calibri" w:hAnsi="Verdana" w:cs="Arial"/>
          <w:lang w:val="es-ES"/>
        </w:rPr>
      </w:pPr>
    </w:p>
    <w:p w14:paraId="7C51F04E" w14:textId="77777777" w:rsidR="00145A5D" w:rsidRPr="004E30F3" w:rsidRDefault="00145A5D" w:rsidP="00145A5D">
      <w:pPr>
        <w:spacing w:after="0" w:line="276" w:lineRule="auto"/>
        <w:jc w:val="both"/>
        <w:rPr>
          <w:rFonts w:ascii="Verdana" w:eastAsia="Calibri" w:hAnsi="Verdana" w:cs="Arial"/>
          <w:color w:val="000000" w:themeColor="text1"/>
          <w:lang w:val="es-ES_tradnl"/>
        </w:rPr>
      </w:pPr>
      <w:r w:rsidRPr="004E30F3">
        <w:rPr>
          <w:rFonts w:ascii="Verdana" w:eastAsia="Calibri" w:hAnsi="Verdana" w:cs="Arial"/>
          <w:bCs/>
          <w:lang w:val="es-MX" w:eastAsia="es-ES_tradnl"/>
        </w:rPr>
        <w:t>D</w:t>
      </w:r>
      <w:proofErr w:type="spellStart"/>
      <w:r w:rsidRPr="004E30F3">
        <w:rPr>
          <w:rFonts w:ascii="Verdana" w:eastAsia="Calibri" w:hAnsi="Verdana" w:cs="Arial"/>
          <w:color w:val="000000"/>
          <w:lang w:val="es-ES_tradnl"/>
        </w:rPr>
        <w:t>e</w:t>
      </w:r>
      <w:proofErr w:type="spellEnd"/>
      <w:r w:rsidRPr="004E30F3">
        <w:rPr>
          <w:rFonts w:ascii="Verdana" w:eastAsia="Calibri" w:hAnsi="Verdana" w:cs="Arial"/>
          <w:color w:val="000000"/>
          <w:lang w:val="es-ES_tradnl"/>
        </w:rPr>
        <w:t xml:space="preserve"> acuerdo con el Estatuto General de Contratación</w:t>
      </w:r>
      <w:r>
        <w:rPr>
          <w:rFonts w:ascii="Verdana" w:eastAsia="Calibri" w:hAnsi="Verdana" w:cs="Arial"/>
          <w:color w:val="000000"/>
          <w:lang w:val="es-ES_tradnl"/>
        </w:rPr>
        <w:t>,</w:t>
      </w:r>
      <w:r w:rsidRPr="004E30F3">
        <w:rPr>
          <w:rFonts w:ascii="Verdana" w:eastAsia="Calibri" w:hAnsi="Verdana" w:cs="Arial"/>
          <w:color w:val="000000" w:themeColor="text1"/>
          <w:lang w:val="es-ES_tradnl"/>
        </w:rPr>
        <w:t xml:space="preserve"> </w:t>
      </w:r>
      <w:r w:rsidRPr="004E30F3">
        <w:rPr>
          <w:rFonts w:ascii="Verdana" w:eastAsia="Calibri" w:hAnsi="Verdana" w:cs="Arial"/>
          <w:color w:val="000000" w:themeColor="text1"/>
          <w:lang w:val="es-ES"/>
        </w:rPr>
        <w:t>para seleccionar los contratistas y para ejecutar los contratos se requiere la constitución de garantías</w:t>
      </w:r>
      <w:r>
        <w:rPr>
          <w:rFonts w:ascii="Verdana" w:eastAsia="Calibri" w:hAnsi="Verdana" w:cs="Arial"/>
          <w:color w:val="000000" w:themeColor="text1"/>
          <w:lang w:val="es-ES"/>
        </w:rPr>
        <w:t xml:space="preserve"> como regla general</w:t>
      </w:r>
      <w:r w:rsidRPr="004E30F3">
        <w:rPr>
          <w:rFonts w:ascii="Verdana" w:eastAsia="Calibri" w:hAnsi="Verdana" w:cs="Arial"/>
          <w:color w:val="000000" w:themeColor="text1"/>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dispone lo siguiente:</w:t>
      </w:r>
    </w:p>
    <w:p w14:paraId="6E7CD73F" w14:textId="77777777" w:rsidR="00145A5D" w:rsidRPr="004E30F3" w:rsidRDefault="00145A5D" w:rsidP="00145A5D">
      <w:pPr>
        <w:spacing w:after="0" w:line="276" w:lineRule="auto"/>
        <w:ind w:firstLine="708"/>
        <w:jc w:val="both"/>
        <w:rPr>
          <w:rFonts w:ascii="Verdana" w:hAnsi="Verdana" w:cs="Arial"/>
          <w:color w:val="000000" w:themeColor="text1"/>
          <w:lang w:eastAsia="es-CO"/>
        </w:rPr>
      </w:pPr>
    </w:p>
    <w:p w14:paraId="465A6FEA" w14:textId="77777777" w:rsidR="00145A5D" w:rsidRPr="004E30F3" w:rsidRDefault="00145A5D" w:rsidP="00145A5D">
      <w:pPr>
        <w:spacing w:after="120" w:line="240" w:lineRule="auto"/>
        <w:ind w:left="709" w:right="709"/>
        <w:jc w:val="both"/>
        <w:rPr>
          <w:rFonts w:ascii="Verdana" w:hAnsi="Verdana" w:cs="Arial"/>
          <w:color w:val="000000" w:themeColor="text1"/>
          <w:sz w:val="21"/>
          <w:szCs w:val="21"/>
          <w:lang w:eastAsia="es-CO"/>
        </w:rPr>
      </w:pPr>
      <w:r w:rsidRPr="004E30F3">
        <w:rPr>
          <w:rFonts w:ascii="Verdana" w:hAnsi="Verdana" w:cs="Arial"/>
          <w:color w:val="000000" w:themeColor="text1"/>
          <w:sz w:val="21"/>
          <w:szCs w:val="21"/>
          <w:lang w:eastAsia="es-CO"/>
        </w:rPr>
        <w:t>“Artículo 7. Los contratistas prestarán garantía única para el cumplimiento de las obligaciones surgidas del contrato. Los proponentes prestarán garantía de seriedad de los ofrecimientos hechos. </w:t>
      </w:r>
    </w:p>
    <w:p w14:paraId="168450BB" w14:textId="77777777" w:rsidR="00145A5D" w:rsidRPr="004E30F3" w:rsidRDefault="00145A5D" w:rsidP="00145A5D">
      <w:pPr>
        <w:spacing w:after="120" w:line="240" w:lineRule="auto"/>
        <w:ind w:left="709" w:right="709"/>
        <w:jc w:val="both"/>
        <w:rPr>
          <w:rFonts w:ascii="Verdana" w:hAnsi="Verdana" w:cs="Arial"/>
          <w:color w:val="000000" w:themeColor="text1"/>
          <w:sz w:val="21"/>
          <w:szCs w:val="21"/>
          <w:lang w:eastAsia="es-CO"/>
        </w:rPr>
      </w:pPr>
      <w:r w:rsidRPr="004E30F3">
        <w:rPr>
          <w:rFonts w:ascii="Verdana" w:hAnsi="Verdana" w:cs="Arial"/>
          <w:color w:val="000000" w:themeColor="text1"/>
          <w:sz w:val="21"/>
          <w:szCs w:val="21"/>
          <w:lang w:eastAsia="es-CO"/>
        </w:rPr>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w:t>
      </w:r>
      <w:r w:rsidRPr="004E30F3">
        <w:rPr>
          <w:rFonts w:ascii="Verdana" w:hAnsi="Verdana" w:cs="Arial"/>
          <w:color w:val="000000" w:themeColor="text1"/>
          <w:sz w:val="21"/>
          <w:szCs w:val="21"/>
          <w:lang w:eastAsia="es-CO"/>
        </w:rPr>
        <w:lastRenderedPageBreak/>
        <w:t>condiciones generales que deberán ser incluidas en las pólizas de cumplimiento de los contratos estatales. </w:t>
      </w:r>
    </w:p>
    <w:p w14:paraId="6D19DEE9" w14:textId="77777777" w:rsidR="00145A5D" w:rsidRPr="004E30F3" w:rsidRDefault="00145A5D" w:rsidP="00145A5D">
      <w:pPr>
        <w:spacing w:after="120" w:line="240" w:lineRule="auto"/>
        <w:ind w:left="709" w:right="709"/>
        <w:jc w:val="both"/>
        <w:rPr>
          <w:rFonts w:ascii="Verdana" w:hAnsi="Verdana" w:cs="Arial"/>
          <w:color w:val="000000" w:themeColor="text1"/>
          <w:sz w:val="21"/>
          <w:szCs w:val="21"/>
          <w:lang w:eastAsia="es-CO"/>
        </w:rPr>
      </w:pPr>
      <w:r w:rsidRPr="004E30F3">
        <w:rPr>
          <w:rFonts w:ascii="Verdana" w:hAnsi="Verdana" w:cs="Arial"/>
          <w:color w:val="000000" w:themeColor="text1"/>
          <w:sz w:val="21"/>
          <w:szCs w:val="21"/>
          <w:lang w:eastAsia="es-CO"/>
        </w:rPr>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14898DB4" w14:textId="77777777" w:rsidR="00145A5D" w:rsidRPr="004E30F3" w:rsidRDefault="00145A5D" w:rsidP="00145A5D">
      <w:pPr>
        <w:spacing w:after="120" w:line="240" w:lineRule="auto"/>
        <w:ind w:left="709" w:right="709"/>
        <w:jc w:val="both"/>
        <w:rPr>
          <w:rFonts w:ascii="Verdana" w:hAnsi="Verdana" w:cs="Arial"/>
          <w:color w:val="000000" w:themeColor="text1"/>
          <w:sz w:val="21"/>
          <w:szCs w:val="21"/>
          <w:lang w:eastAsia="es-CO"/>
        </w:rPr>
      </w:pPr>
      <w:r w:rsidRPr="004E30F3">
        <w:rPr>
          <w:rFonts w:ascii="Verdana" w:hAnsi="Verdana" w:cs="Arial"/>
          <w:color w:val="000000" w:themeColor="text1"/>
          <w:sz w:val="21"/>
          <w:szCs w:val="21"/>
          <w:lang w:eastAsia="es-CO"/>
        </w:rPr>
        <w:t>El acaecimiento del siniestro que amparan las garantías será comunicado por la entidad pública al respectivo asegurador mediante la notificación del acto administrativo que así lo declare. </w:t>
      </w:r>
    </w:p>
    <w:p w14:paraId="7C0DEC02" w14:textId="77777777" w:rsidR="00145A5D" w:rsidRPr="004E30F3" w:rsidRDefault="00145A5D" w:rsidP="00145A5D">
      <w:pPr>
        <w:spacing w:after="0" w:line="240" w:lineRule="auto"/>
        <w:ind w:left="709" w:right="709"/>
        <w:jc w:val="both"/>
        <w:rPr>
          <w:rFonts w:ascii="Verdana" w:hAnsi="Verdana" w:cs="Arial"/>
          <w:color w:val="000000" w:themeColor="text1"/>
          <w:sz w:val="21"/>
          <w:szCs w:val="21"/>
          <w:lang w:eastAsia="es-CO"/>
        </w:rPr>
      </w:pPr>
      <w:r w:rsidRPr="004E30F3">
        <w:rPr>
          <w:rFonts w:ascii="Verdana" w:hAnsi="Verdana" w:cs="Arial"/>
          <w:color w:val="000000" w:themeColor="text1"/>
          <w:sz w:val="21"/>
          <w:szCs w:val="21"/>
          <w:lang w:eastAsia="es-CO"/>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3D23FCB7" w14:textId="77777777" w:rsidR="00145A5D" w:rsidRPr="004E30F3" w:rsidRDefault="00145A5D" w:rsidP="00145A5D">
      <w:pPr>
        <w:spacing w:after="0" w:line="276" w:lineRule="auto"/>
        <w:ind w:left="709" w:right="709"/>
        <w:jc w:val="both"/>
        <w:rPr>
          <w:rFonts w:ascii="Verdana" w:hAnsi="Verdana" w:cs="Arial"/>
          <w:color w:val="000000" w:themeColor="text1"/>
          <w:lang w:eastAsia="es-CO"/>
        </w:rPr>
      </w:pPr>
    </w:p>
    <w:p w14:paraId="28A2D937" w14:textId="77777777" w:rsidR="00145A5D" w:rsidRPr="00CA6FDA" w:rsidRDefault="00145A5D" w:rsidP="00145A5D">
      <w:pPr>
        <w:spacing w:after="0" w:line="276" w:lineRule="auto"/>
        <w:ind w:firstLine="708"/>
        <w:jc w:val="both"/>
        <w:rPr>
          <w:rFonts w:ascii="Verdana" w:eastAsia="Calibri" w:hAnsi="Verdana" w:cs="Arial"/>
          <w:color w:val="000000" w:themeColor="text1"/>
          <w:lang w:val="es-ES"/>
        </w:rPr>
      </w:pPr>
      <w:bookmarkStart w:id="2" w:name="_Hlk47893233"/>
      <w:r w:rsidRPr="00CA6FDA">
        <w:rPr>
          <w:rFonts w:ascii="Verdana" w:hAnsi="Verdana" w:cs="Arial"/>
          <w:color w:val="000000"/>
          <w:shd w:val="clear" w:color="auto" w:fill="FFFFFF"/>
        </w:rPr>
        <w:t>Por un lado, l</w:t>
      </w:r>
      <w:r w:rsidRPr="00CA6FDA">
        <w:rPr>
          <w:rFonts w:ascii="Verdana" w:eastAsia="Calibri" w:hAnsi="Verdana" w:cs="Arial"/>
          <w:color w:val="000000" w:themeColor="text1"/>
          <w:lang w:val="es-ES"/>
        </w:rPr>
        <w:t xml:space="preserve">a </w:t>
      </w:r>
      <w:r w:rsidRPr="00CA6FDA">
        <w:rPr>
          <w:rFonts w:ascii="Verdana" w:eastAsia="Calibri" w:hAnsi="Verdana" w:cs="Arial"/>
          <w:i/>
          <w:iCs/>
          <w:color w:val="000000" w:themeColor="text1"/>
          <w:lang w:val="es-ES"/>
        </w:rPr>
        <w:t>garantía de seriedad</w:t>
      </w:r>
      <w:r w:rsidRPr="00CA6FDA">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w:t>
      </w:r>
      <w:r>
        <w:rPr>
          <w:rFonts w:ascii="Verdana" w:eastAsia="Calibri" w:hAnsi="Verdana" w:cs="Arial"/>
          <w:color w:val="000000" w:themeColor="text1"/>
          <w:lang w:val="es-ES"/>
        </w:rPr>
        <w:t xml:space="preserve">ello </w:t>
      </w:r>
      <w:r w:rsidRPr="00CA6FDA">
        <w:rPr>
          <w:rFonts w:ascii="Verdana" w:eastAsia="Calibri" w:hAnsi="Verdana" w:cs="Arial"/>
          <w:color w:val="000000" w:themeColor="text1"/>
          <w:lang w:val="es-ES"/>
        </w:rPr>
        <w:t>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2"/>
      <w:r w:rsidRPr="00CA6FDA">
        <w:rPr>
          <w:rStyle w:val="Refdenotaalpie"/>
          <w:rFonts w:ascii="Verdana" w:eastAsia="Calibri" w:hAnsi="Verdana" w:cs="Arial"/>
          <w:color w:val="000000" w:themeColor="text1"/>
        </w:rPr>
        <w:footnoteReference w:id="2"/>
      </w:r>
      <w:r w:rsidRPr="00CA6FDA">
        <w:rPr>
          <w:rFonts w:ascii="Verdana" w:eastAsia="Calibri" w:hAnsi="Verdana" w:cs="Arial"/>
          <w:color w:val="000000" w:themeColor="text1"/>
          <w:lang w:val="es-ES"/>
        </w:rPr>
        <w:t>. Sobre este aspecto, la doctrina explica que:</w:t>
      </w:r>
    </w:p>
    <w:p w14:paraId="0A73D991" w14:textId="77777777" w:rsidR="00145A5D" w:rsidRPr="00CA6FDA" w:rsidRDefault="00145A5D" w:rsidP="00145A5D">
      <w:pPr>
        <w:spacing w:after="0" w:line="276" w:lineRule="auto"/>
        <w:jc w:val="both"/>
        <w:rPr>
          <w:rFonts w:ascii="Verdana" w:eastAsia="Calibri" w:hAnsi="Verdana" w:cs="Arial"/>
          <w:color w:val="000000" w:themeColor="text1"/>
          <w:lang w:val="es-ES"/>
        </w:rPr>
      </w:pPr>
    </w:p>
    <w:p w14:paraId="196E4733" w14:textId="77777777" w:rsidR="00145A5D" w:rsidRPr="00CA6FDA" w:rsidRDefault="00145A5D" w:rsidP="00145A5D">
      <w:pPr>
        <w:spacing w:after="0" w:line="240" w:lineRule="auto"/>
        <w:ind w:left="709" w:right="709"/>
        <w:jc w:val="both"/>
        <w:rPr>
          <w:rFonts w:ascii="Verdana" w:eastAsia="Calibri" w:hAnsi="Verdana" w:cs="Arial"/>
          <w:color w:val="000000" w:themeColor="text1"/>
          <w:sz w:val="21"/>
          <w:szCs w:val="21"/>
          <w:lang w:val="es-ES"/>
        </w:rPr>
      </w:pPr>
      <w:r w:rsidRPr="00CA6FDA">
        <w:rPr>
          <w:rFonts w:ascii="Verdana" w:eastAsia="Calibri" w:hAnsi="Verdana" w:cs="Arial"/>
          <w:color w:val="000000" w:themeColor="text1"/>
          <w:sz w:val="21"/>
          <w:szCs w:val="21"/>
          <w:lang w:val="es-ES"/>
        </w:rPr>
        <w:t xml:space="preserve">“Las </w:t>
      </w:r>
      <w:r w:rsidRPr="00CA6FDA">
        <w:rPr>
          <w:rFonts w:ascii="Verdana" w:eastAsia="Calibri" w:hAnsi="Verdana" w:cs="Arial"/>
          <w:i/>
          <w:iCs/>
          <w:color w:val="000000" w:themeColor="text1"/>
          <w:sz w:val="21"/>
          <w:szCs w:val="21"/>
          <w:lang w:val="es-ES"/>
        </w:rPr>
        <w:t>garantías provisionales</w:t>
      </w:r>
      <w:r w:rsidRPr="00CA6FDA">
        <w:rPr>
          <w:rFonts w:ascii="Verdana" w:eastAsia="Calibri" w:hAnsi="Verdana" w:cs="Arial"/>
          <w:color w:val="000000" w:themeColor="text1"/>
          <w:sz w:val="21"/>
          <w:szCs w:val="21"/>
          <w:lang w:val="es-ES"/>
        </w:rPr>
        <w:t xml:space="preserve"> </w:t>
      </w:r>
      <w:r>
        <w:rPr>
          <w:rFonts w:ascii="Verdana" w:eastAsia="Calibri" w:hAnsi="Verdana" w:cs="Arial"/>
          <w:color w:val="000000" w:themeColor="text1"/>
          <w:sz w:val="21"/>
          <w:szCs w:val="21"/>
          <w:lang w:val="es-ES"/>
        </w:rPr>
        <w:t>‘</w:t>
      </w:r>
      <w:r w:rsidRPr="00CA6FDA">
        <w:rPr>
          <w:rFonts w:ascii="Verdana" w:eastAsia="Calibri" w:hAnsi="Verdana" w:cs="Arial"/>
          <w:color w:val="000000" w:themeColor="text1"/>
          <w:sz w:val="21"/>
          <w:szCs w:val="21"/>
          <w:lang w:val="es-ES"/>
        </w:rPr>
        <w:t>avalan la solemnidad de la oferta por parte del contratista</w:t>
      </w:r>
      <w:r>
        <w:rPr>
          <w:rFonts w:ascii="Verdana" w:eastAsia="Calibri" w:hAnsi="Verdana" w:cs="Arial"/>
          <w:color w:val="000000" w:themeColor="text1"/>
          <w:sz w:val="21"/>
          <w:szCs w:val="21"/>
          <w:lang w:val="es-ES"/>
        </w:rPr>
        <w:t>’</w:t>
      </w:r>
      <w:r w:rsidRPr="00CA6FDA">
        <w:rPr>
          <w:rFonts w:ascii="Verdana" w:eastAsia="Calibri" w:hAnsi="Verdana" w:cs="Arial"/>
          <w:color w:val="000000" w:themeColor="text1"/>
          <w:sz w:val="21"/>
          <w:szCs w:val="21"/>
          <w:lang w:val="es-ES"/>
        </w:rPr>
        <w:t xml:space="preserve">; constituyen una seña pre-contractual destinada a </w:t>
      </w:r>
      <w:r w:rsidRPr="00CA6FDA">
        <w:rPr>
          <w:rFonts w:ascii="Verdana" w:eastAsia="Calibri" w:hAnsi="Verdana" w:cs="Arial"/>
          <w:i/>
          <w:iCs/>
          <w:color w:val="000000" w:themeColor="text1"/>
          <w:sz w:val="21"/>
          <w:szCs w:val="21"/>
          <w:lang w:val="es-ES"/>
        </w:rPr>
        <w:t>asegurar la celebración del contrato</w:t>
      </w:r>
      <w:r w:rsidRPr="00CA6FDA">
        <w:rPr>
          <w:rFonts w:ascii="Verdana" w:eastAsia="Calibri" w:hAnsi="Verdana" w:cs="Arial"/>
          <w:color w:val="000000" w:themeColor="text1"/>
          <w:sz w:val="21"/>
          <w:szCs w:val="21"/>
          <w:lang w:val="es-ES"/>
        </w:rPr>
        <w:t xml:space="preserve">, no su cumplimiento. La administración procede a devolver a los oferentes no adjudicatarios, y a transformar en definitiva respecto al adjudicatario, las garantías provisionales, deduciéndose entonces que las </w:t>
      </w:r>
      <w:r w:rsidRPr="00CA6FDA">
        <w:rPr>
          <w:rFonts w:ascii="Verdana" w:eastAsia="Calibri" w:hAnsi="Verdana" w:cs="Arial"/>
          <w:i/>
          <w:iCs/>
          <w:color w:val="000000" w:themeColor="text1"/>
          <w:sz w:val="21"/>
          <w:szCs w:val="21"/>
          <w:lang w:val="es-ES"/>
        </w:rPr>
        <w:t>arras</w:t>
      </w:r>
      <w:r w:rsidRPr="00CA6FDA">
        <w:rPr>
          <w:rFonts w:ascii="Verdana" w:eastAsia="Calibri" w:hAnsi="Verdana" w:cs="Arial"/>
          <w:color w:val="000000" w:themeColor="text1"/>
          <w:sz w:val="21"/>
          <w:szCs w:val="21"/>
          <w:lang w:val="es-ES"/>
        </w:rPr>
        <w:t xml:space="preserve"> no forman parte </w:t>
      </w:r>
      <w:r w:rsidRPr="00CA6FDA">
        <w:rPr>
          <w:rFonts w:ascii="Verdana" w:eastAsia="Calibri" w:hAnsi="Verdana" w:cs="Arial"/>
          <w:color w:val="000000" w:themeColor="text1"/>
          <w:sz w:val="21"/>
          <w:szCs w:val="21"/>
          <w:lang w:val="es-ES"/>
        </w:rPr>
        <w:lastRenderedPageBreak/>
        <w:t xml:space="preserve">del precio, ni son por tanto arras confirmatorias […], sino puramente penitenciales […] como garantías y compensación del </w:t>
      </w:r>
      <w:r w:rsidRPr="00CA6FDA">
        <w:rPr>
          <w:rFonts w:ascii="Verdana" w:eastAsia="Calibri" w:hAnsi="Verdana" w:cs="Arial"/>
          <w:i/>
          <w:iCs/>
          <w:color w:val="000000" w:themeColor="text1"/>
          <w:sz w:val="21"/>
          <w:szCs w:val="21"/>
          <w:lang w:val="es-ES"/>
        </w:rPr>
        <w:t xml:space="preserve">ius </w:t>
      </w:r>
      <w:proofErr w:type="spellStart"/>
      <w:r w:rsidRPr="00CA6FDA">
        <w:rPr>
          <w:rFonts w:ascii="Verdana" w:eastAsia="Calibri" w:hAnsi="Verdana" w:cs="Arial"/>
          <w:i/>
          <w:iCs/>
          <w:color w:val="000000" w:themeColor="text1"/>
          <w:sz w:val="21"/>
          <w:szCs w:val="21"/>
          <w:lang w:val="es-ES"/>
        </w:rPr>
        <w:t>poenitendi</w:t>
      </w:r>
      <w:proofErr w:type="spellEnd"/>
      <w:r w:rsidRPr="00CA6FDA">
        <w:rPr>
          <w:rFonts w:ascii="Verdana" w:eastAsia="Calibri" w:hAnsi="Verdana" w:cs="Arial"/>
          <w:color w:val="000000" w:themeColor="text1"/>
          <w:sz w:val="21"/>
          <w:szCs w:val="21"/>
          <w:lang w:val="es-ES"/>
        </w:rPr>
        <w:t xml:space="preserve"> del licitante. Son, en consecuencia, </w:t>
      </w:r>
      <w:r>
        <w:rPr>
          <w:rFonts w:ascii="Verdana" w:eastAsia="Calibri" w:hAnsi="Verdana" w:cs="Arial"/>
          <w:color w:val="000000" w:themeColor="text1"/>
          <w:sz w:val="21"/>
          <w:szCs w:val="21"/>
          <w:lang w:val="es-ES"/>
        </w:rPr>
        <w:t>‘</w:t>
      </w:r>
      <w:r w:rsidRPr="00CA6FDA">
        <w:rPr>
          <w:rFonts w:ascii="Verdana" w:eastAsia="Calibri" w:hAnsi="Verdana" w:cs="Arial"/>
          <w:color w:val="000000" w:themeColor="text1"/>
          <w:sz w:val="21"/>
          <w:szCs w:val="21"/>
          <w:lang w:val="es-ES"/>
        </w:rPr>
        <w:t>la medida de la responsabilidad pre-contractual del oferente</w:t>
      </w:r>
      <w:r>
        <w:rPr>
          <w:rFonts w:ascii="Verdana" w:eastAsia="Calibri" w:hAnsi="Verdana" w:cs="Arial"/>
          <w:color w:val="000000" w:themeColor="text1"/>
          <w:sz w:val="21"/>
          <w:szCs w:val="21"/>
          <w:lang w:val="es-ES"/>
        </w:rPr>
        <w:t>’</w:t>
      </w:r>
      <w:r w:rsidRPr="00CA6FDA">
        <w:rPr>
          <w:rFonts w:ascii="Verdana" w:eastAsia="Calibri" w:hAnsi="Verdana" w:cs="Arial"/>
          <w:color w:val="000000" w:themeColor="text1"/>
          <w:sz w:val="21"/>
          <w:szCs w:val="21"/>
          <w:lang w:val="es-ES"/>
        </w:rPr>
        <w:t>; o, más bien, la garantía de oferta representa en definitiva la medida de la responsabilidad”</w:t>
      </w:r>
      <w:r w:rsidRPr="00CA6FDA">
        <w:rPr>
          <w:rStyle w:val="Refdenotaalpie"/>
          <w:rFonts w:ascii="Verdana" w:eastAsia="Calibri" w:hAnsi="Verdana" w:cs="Arial"/>
          <w:color w:val="000000" w:themeColor="text1"/>
          <w:sz w:val="21"/>
          <w:szCs w:val="21"/>
        </w:rPr>
        <w:footnoteReference w:id="3"/>
      </w:r>
      <w:r w:rsidRPr="00CA6FDA">
        <w:rPr>
          <w:rFonts w:ascii="Verdana" w:eastAsia="Calibri" w:hAnsi="Verdana" w:cs="Arial"/>
          <w:color w:val="000000" w:themeColor="text1"/>
          <w:sz w:val="21"/>
          <w:szCs w:val="21"/>
          <w:lang w:val="es-ES"/>
        </w:rPr>
        <w:t xml:space="preserve">. (Cursivas dentro del texto)   </w:t>
      </w:r>
    </w:p>
    <w:p w14:paraId="36AE39DB" w14:textId="77777777" w:rsidR="00145A5D" w:rsidRPr="00CA6FDA" w:rsidRDefault="00145A5D" w:rsidP="00145A5D">
      <w:pPr>
        <w:spacing w:after="0" w:line="276" w:lineRule="auto"/>
        <w:jc w:val="both"/>
        <w:rPr>
          <w:rFonts w:ascii="Verdana" w:eastAsia="Calibri" w:hAnsi="Verdana" w:cs="Arial"/>
          <w:color w:val="000000" w:themeColor="text1"/>
          <w:lang w:val="es-ES"/>
        </w:rPr>
      </w:pPr>
    </w:p>
    <w:p w14:paraId="54EE6797" w14:textId="77777777" w:rsidR="00145A5D" w:rsidRPr="00CA6FDA" w:rsidRDefault="00145A5D" w:rsidP="00145A5D">
      <w:pPr>
        <w:spacing w:after="120" w:line="276" w:lineRule="auto"/>
        <w:ind w:firstLine="709"/>
        <w:jc w:val="both"/>
        <w:rPr>
          <w:rFonts w:ascii="Verdana" w:eastAsia="Calibri" w:hAnsi="Verdana" w:cs="Arial"/>
          <w:color w:val="000000" w:themeColor="text1"/>
          <w:lang w:val="es-ES"/>
        </w:rPr>
      </w:pPr>
      <w:r w:rsidRPr="00CA6FDA">
        <w:rPr>
          <w:rFonts w:ascii="Verdana" w:eastAsia="Calibri" w:hAnsi="Verdana" w:cs="Arial"/>
          <w:color w:val="000000" w:themeColor="text1"/>
          <w:lang w:val="es-ES"/>
        </w:rPr>
        <w:t xml:space="preserve">En contraste, mediante la </w:t>
      </w:r>
      <w:r w:rsidRPr="00CA6FDA">
        <w:rPr>
          <w:rFonts w:ascii="Verdana" w:eastAsia="Calibri" w:hAnsi="Verdana" w:cs="Arial"/>
          <w:i/>
          <w:iCs/>
          <w:color w:val="000000" w:themeColor="text1"/>
          <w:lang w:val="es-ES"/>
        </w:rPr>
        <w:t>garantía de única de cumplimiento</w:t>
      </w:r>
      <w:r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4"/>
      </w:r>
      <w:r w:rsidRPr="00CA6FDA">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5"/>
      </w:r>
      <w:r w:rsidRPr="00CA6FDA">
        <w:rPr>
          <w:rFonts w:ascii="Verdana" w:hAnsi="Verdana" w:cs="Arial"/>
          <w:color w:val="000000" w:themeColor="text1"/>
          <w:lang w:val="es-ES_tradnl"/>
        </w:rPr>
        <w:t xml:space="preserve">.    </w:t>
      </w:r>
    </w:p>
    <w:p w14:paraId="5908EE4F" w14:textId="77777777" w:rsidR="00145A5D" w:rsidRPr="00CA6FDA" w:rsidRDefault="00145A5D" w:rsidP="00145A5D">
      <w:pPr>
        <w:spacing w:after="120" w:line="276" w:lineRule="auto"/>
        <w:ind w:firstLine="708"/>
        <w:jc w:val="both"/>
        <w:rPr>
          <w:rFonts w:ascii="Verdana" w:hAnsi="Verdana" w:cs="Arial"/>
          <w:color w:val="000000" w:themeColor="text1"/>
          <w:lang w:val="es-ES"/>
        </w:rPr>
      </w:pPr>
      <w:r w:rsidRPr="067A50E4">
        <w:rPr>
          <w:rFonts w:ascii="Verdana" w:hAnsi="Verdana" w:cs="Arial"/>
          <w:color w:val="000000" w:themeColor="text1"/>
          <w:lang w:val="es-ES"/>
        </w:rPr>
        <w:t xml:space="preserve">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67A50E4">
        <w:rPr>
          <w:rFonts w:ascii="Verdana" w:hAnsi="Verdana" w:cs="Arial"/>
          <w:color w:val="000000" w:themeColor="text1"/>
          <w:lang w:val="es-ES"/>
        </w:rPr>
        <w:t>ii</w:t>
      </w:r>
      <w:proofErr w:type="spellEnd"/>
      <w:r w:rsidRPr="067A50E4">
        <w:rPr>
          <w:rFonts w:ascii="Verdana" w:hAnsi="Verdana" w:cs="Arial"/>
          <w:color w:val="000000" w:themeColor="text1"/>
          <w:lang w:val="es-ES"/>
        </w:rPr>
        <w:t xml:space="preserve">) garantías bancarias o </w:t>
      </w:r>
      <w:proofErr w:type="spellStart"/>
      <w:r w:rsidRPr="067A50E4">
        <w:rPr>
          <w:rFonts w:ascii="Verdana" w:hAnsi="Verdana" w:cs="Arial"/>
          <w:color w:val="000000" w:themeColor="text1"/>
          <w:lang w:val="es-ES"/>
        </w:rPr>
        <w:t>iii</w:t>
      </w:r>
      <w:proofErr w:type="spellEnd"/>
      <w:r w:rsidRPr="067A50E4">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67A50E4">
        <w:rPr>
          <w:rStyle w:val="Refdenotaalpie"/>
          <w:rFonts w:ascii="Verdana" w:hAnsi="Verdana" w:cs="Arial"/>
          <w:color w:val="000000" w:themeColor="text1"/>
          <w:lang w:val="es-ES"/>
        </w:rPr>
        <w:footnoteReference w:id="6"/>
      </w:r>
      <w:r w:rsidRPr="067A50E4">
        <w:rPr>
          <w:rFonts w:ascii="Verdana" w:hAnsi="Verdana" w:cs="Arial"/>
          <w:color w:val="000000" w:themeColor="text1"/>
          <w:lang w:val="es-ES"/>
        </w:rPr>
        <w:t xml:space="preserve">. De esta manera, </w:t>
      </w:r>
      <w:r w:rsidRPr="067A50E4">
        <w:rPr>
          <w:rFonts w:ascii="Verdana" w:hAnsi="Verdana" w:cs="Arial"/>
          <w:color w:val="000000" w:themeColor="text1"/>
          <w:lang w:val="es-ES"/>
        </w:rPr>
        <w:lastRenderedPageBreak/>
        <w:t>las garantías previstas en la ley tienen como objetivo asegurar la solvencia del garante</w:t>
      </w:r>
      <w:r w:rsidRPr="067A50E4">
        <w:rPr>
          <w:rStyle w:val="Refdenotaalpie"/>
          <w:rFonts w:ascii="Verdana" w:hAnsi="Verdana" w:cs="Arial"/>
          <w:color w:val="000000" w:themeColor="text1"/>
          <w:lang w:val="es-ES"/>
        </w:rPr>
        <w:footnoteReference w:id="7"/>
      </w:r>
      <w:r w:rsidRPr="067A50E4">
        <w:rPr>
          <w:rFonts w:ascii="Verdana" w:hAnsi="Verdana" w:cs="Arial"/>
          <w:color w:val="000000" w:themeColor="text1"/>
          <w:lang w:val="es-ES"/>
        </w:rPr>
        <w:t>.</w:t>
      </w:r>
    </w:p>
    <w:p w14:paraId="46AB4077" w14:textId="77777777" w:rsidR="00145A5D" w:rsidRPr="00CA6FDA" w:rsidRDefault="00145A5D" w:rsidP="00145A5D">
      <w:pPr>
        <w:spacing w:after="120" w:line="276" w:lineRule="auto"/>
        <w:ind w:firstLine="708"/>
        <w:jc w:val="both"/>
        <w:rPr>
          <w:rFonts w:ascii="Verdana" w:hAnsi="Verdana" w:cs="Arial"/>
          <w:color w:val="000000" w:themeColor="text1"/>
        </w:rPr>
      </w:pPr>
      <w:r w:rsidRPr="00CA6FDA">
        <w:rPr>
          <w:rFonts w:ascii="Verdana" w:hAnsi="Verdana" w:cs="Arial"/>
          <w:color w:val="000000" w:themeColor="text1"/>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32D4E10F" w14:textId="77777777" w:rsidR="00145A5D" w:rsidRDefault="00145A5D" w:rsidP="00145A5D">
      <w:pPr>
        <w:spacing w:before="120" w:after="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A6FDA">
        <w:rPr>
          <w:rStyle w:val="Refdenotaalpie"/>
          <w:rFonts w:ascii="Verdana" w:hAnsi="Verdana" w:cs="Arial"/>
          <w:color w:val="000000" w:themeColor="text1"/>
        </w:rPr>
        <w:footnoteReference w:id="8"/>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w:t>
      </w:r>
      <w:r w:rsidRPr="00CA6FDA">
        <w:rPr>
          <w:rFonts w:ascii="Verdana" w:eastAsia="Times New Roman" w:hAnsi="Verdana" w:cs="Arial"/>
          <w:color w:val="000000" w:themeColor="text1"/>
          <w:lang w:eastAsia="es-CO"/>
        </w:rPr>
        <w:lastRenderedPageBreak/>
        <w:t xml:space="preserve">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9"/>
      </w:r>
      <w:r w:rsidRPr="00CA6FDA">
        <w:rPr>
          <w:rFonts w:ascii="Verdana" w:eastAsia="Times New Roman" w:hAnsi="Verdana" w:cs="Arial"/>
          <w:color w:val="000000" w:themeColor="text1"/>
          <w:lang w:eastAsia="es-CO"/>
        </w:rPr>
        <w:t>.</w:t>
      </w:r>
    </w:p>
    <w:p w14:paraId="2BCACF65" w14:textId="77777777" w:rsidR="00145A5D" w:rsidRDefault="00145A5D" w:rsidP="00145A5D">
      <w:pPr>
        <w:spacing w:before="120" w:after="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Conforme al artículo </w:t>
      </w:r>
      <w:r w:rsidRPr="00DA2A6A">
        <w:rPr>
          <w:rFonts w:ascii="Verdana" w:eastAsia="Times New Roman" w:hAnsi="Verdana" w:cs="Arial"/>
          <w:color w:val="000000" w:themeColor="text1"/>
          <w:lang w:eastAsia="es-CO"/>
        </w:rPr>
        <w:t>2.2.1.2.1.4.5</w:t>
      </w:r>
      <w:r>
        <w:rPr>
          <w:rFonts w:ascii="Verdana" w:eastAsia="Times New Roman" w:hAnsi="Verdana" w:cs="Arial"/>
          <w:color w:val="000000" w:themeColor="text1"/>
          <w:lang w:eastAsia="es-CO"/>
        </w:rPr>
        <w:t xml:space="preserve"> del Decreto 1082 de 2015, “</w:t>
      </w:r>
      <w:r w:rsidRPr="00DA2A6A">
        <w:rPr>
          <w:rFonts w:ascii="Verdana" w:eastAsia="Times New Roman" w:hAnsi="Verdana" w:cs="Arial"/>
          <w:color w:val="000000" w:themeColor="text1"/>
          <w:lang w:eastAsia="es-CO"/>
        </w:rPr>
        <w:t>En la contratación directa la exigencia de garantías establecidas en la Sección 3, que comprende los artículos 2.2.1.2.3.1.1 al 2.2.1.2.3.5.1.</w:t>
      </w:r>
      <w:r>
        <w:rPr>
          <w:rFonts w:ascii="Verdana" w:eastAsia="Times New Roman" w:hAnsi="Verdana" w:cs="Arial"/>
          <w:color w:val="000000" w:themeColor="text1"/>
          <w:lang w:eastAsia="es-CO"/>
        </w:rPr>
        <w:t xml:space="preserve"> </w:t>
      </w:r>
      <w:r w:rsidRPr="00DA2A6A">
        <w:rPr>
          <w:rFonts w:ascii="Verdana" w:eastAsia="Times New Roman" w:hAnsi="Verdana" w:cs="Arial"/>
          <w:color w:val="000000" w:themeColor="text1"/>
          <w:lang w:eastAsia="es-CO"/>
        </w:rPr>
        <w:t>del presente decreto no es obligatoria y la justificación para exigirlas o no debe estar en los estudios y documentos previos</w:t>
      </w:r>
      <w:r>
        <w:rPr>
          <w:rFonts w:ascii="Verdana" w:eastAsia="Times New Roman" w:hAnsi="Verdana" w:cs="Arial"/>
          <w:color w:val="000000" w:themeColor="text1"/>
          <w:lang w:eastAsia="es-CO"/>
        </w:rPr>
        <w:t>”</w:t>
      </w:r>
      <w:r w:rsidRPr="00DA2A6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Tratándose de la causal prevista en el inciso primero del literal c) del artículo 2.4 de la Ley 1150 de 2007 para la celebración de contratos interadministrativos, podrán incluirse los amparos contemplados en el Decreto Único Reglamentario </w:t>
      </w:r>
      <w:r w:rsidRPr="00DA2A6A">
        <w:rPr>
          <w:rFonts w:ascii="Verdana" w:eastAsia="Times New Roman" w:hAnsi="Verdana" w:cs="Arial"/>
          <w:color w:val="000000" w:themeColor="text1"/>
          <w:lang w:eastAsia="es-CO"/>
        </w:rPr>
        <w:t>del sector Administrativo de Planeación Naciona</w:t>
      </w:r>
      <w:r>
        <w:rPr>
          <w:rFonts w:ascii="Verdana" w:eastAsia="Times New Roman" w:hAnsi="Verdana" w:cs="Arial"/>
          <w:color w:val="000000" w:themeColor="text1"/>
          <w:lang w:eastAsia="es-CO"/>
        </w:rPr>
        <w:t xml:space="preserve">l. Ello en función de los riesgos identificados por la entidad tanto en el análisis del sector –art. </w:t>
      </w:r>
      <w:r w:rsidRPr="006C43EA">
        <w:rPr>
          <w:rFonts w:ascii="Verdana" w:eastAsia="Times New Roman" w:hAnsi="Verdana" w:cs="Arial"/>
          <w:color w:val="000000" w:themeColor="text1"/>
          <w:lang w:eastAsia="es-CO"/>
        </w:rPr>
        <w:t>2.2.1.1.1.6.1</w:t>
      </w:r>
      <w:r>
        <w:rPr>
          <w:rFonts w:ascii="Verdana" w:eastAsia="Times New Roman" w:hAnsi="Verdana" w:cs="Arial"/>
          <w:color w:val="000000" w:themeColor="text1"/>
          <w:lang w:eastAsia="es-CO"/>
        </w:rPr>
        <w:t xml:space="preserve"> del Decreto 1082 de 2015–  como los estudios y documentos previos –</w:t>
      </w:r>
      <w:proofErr w:type="spellStart"/>
      <w:r>
        <w:rPr>
          <w:rFonts w:ascii="Verdana" w:eastAsia="Times New Roman" w:hAnsi="Verdana" w:cs="Arial"/>
          <w:color w:val="000000" w:themeColor="text1"/>
          <w:lang w:eastAsia="es-CO"/>
        </w:rPr>
        <w:t>num</w:t>
      </w:r>
      <w:proofErr w:type="spellEnd"/>
      <w:r>
        <w:rPr>
          <w:rFonts w:ascii="Verdana" w:eastAsia="Times New Roman" w:hAnsi="Verdana" w:cs="Arial"/>
          <w:color w:val="000000" w:themeColor="text1"/>
          <w:lang w:eastAsia="es-CO"/>
        </w:rPr>
        <w:t xml:space="preserve">. 6 del art. </w:t>
      </w:r>
      <w:r w:rsidRPr="006C43EA">
        <w:rPr>
          <w:rFonts w:ascii="Verdana" w:eastAsia="Times New Roman" w:hAnsi="Verdana" w:cs="Arial"/>
          <w:color w:val="000000" w:themeColor="text1"/>
          <w:lang w:eastAsia="es-CO"/>
        </w:rPr>
        <w:t>2.2.1.1.2.1.1</w:t>
      </w:r>
      <w:r>
        <w:rPr>
          <w:rFonts w:ascii="Verdana" w:eastAsia="Times New Roman" w:hAnsi="Verdana" w:cs="Arial"/>
          <w:color w:val="000000" w:themeColor="text1"/>
          <w:lang w:eastAsia="es-CO"/>
        </w:rPr>
        <w:t xml:space="preserve"> </w:t>
      </w:r>
      <w:r w:rsidRPr="006C43EA">
        <w:rPr>
          <w:rFonts w:ascii="Verdana" w:eastAsia="Times New Roman" w:hAnsi="Verdana" w:cs="Arial"/>
          <w:i/>
          <w:iCs/>
          <w:color w:val="000000" w:themeColor="text1"/>
          <w:lang w:eastAsia="es-CO"/>
        </w:rPr>
        <w:t>ibidem</w:t>
      </w:r>
      <w:r>
        <w:rPr>
          <w:rFonts w:ascii="Verdana" w:eastAsia="Times New Roman" w:hAnsi="Verdana" w:cs="Arial"/>
          <w:color w:val="000000" w:themeColor="text1"/>
          <w:lang w:eastAsia="es-CO"/>
        </w:rPr>
        <w:t xml:space="preserve">–. </w:t>
      </w:r>
    </w:p>
    <w:p w14:paraId="1E833274" w14:textId="77777777" w:rsidR="00145A5D" w:rsidRDefault="00145A5D" w:rsidP="00145A5D">
      <w:pPr>
        <w:spacing w:before="120" w:after="120" w:line="276" w:lineRule="auto"/>
        <w:ind w:firstLine="709"/>
        <w:jc w:val="both"/>
        <w:rPr>
          <w:rFonts w:ascii="Verdana" w:eastAsia="Times New Roman" w:hAnsi="Verdana" w:cs="Arial"/>
          <w:color w:val="000000" w:themeColor="text1"/>
          <w:lang w:eastAsia="es-CO"/>
        </w:rPr>
      </w:pPr>
      <w:r w:rsidRPr="00CA6FDA">
        <w:rPr>
          <w:rFonts w:ascii="Verdana" w:eastAsia="Times New Roman" w:hAnsi="Verdana" w:cs="Arial"/>
          <w:color w:val="000000" w:themeColor="text1"/>
          <w:lang w:eastAsia="es-CO"/>
        </w:rPr>
        <w:t>E</w:t>
      </w:r>
      <w:r>
        <w:rPr>
          <w:rFonts w:ascii="Verdana" w:eastAsia="Times New Roman" w:hAnsi="Verdana" w:cs="Arial"/>
          <w:color w:val="000000" w:themeColor="text1"/>
          <w:lang w:eastAsia="es-CO"/>
        </w:rPr>
        <w:t>n torno al amparo</w:t>
      </w:r>
      <w:r w:rsidRPr="00CA6FDA">
        <w:rPr>
          <w:rFonts w:ascii="Verdana" w:eastAsia="Times New Roman" w:hAnsi="Verdana" w:cs="Arial"/>
          <w:color w:val="000000" w:themeColor="text1"/>
          <w:lang w:eastAsia="es-CO"/>
        </w:rPr>
        <w:t xml:space="preserve"> de responsabilidad civil extracontractual</w:t>
      </w:r>
      <w:r>
        <w:rPr>
          <w:rFonts w:ascii="Verdana" w:eastAsia="Times New Roman" w:hAnsi="Verdana" w:cs="Arial"/>
          <w:color w:val="000000" w:themeColor="text1"/>
          <w:lang w:eastAsia="es-CO"/>
        </w:rPr>
        <w:t>, éste es obligatorio</w:t>
      </w:r>
      <w:r w:rsidRPr="00CA6FDA">
        <w:rPr>
          <w:rFonts w:ascii="Verdana" w:eastAsia="Times New Roman" w:hAnsi="Verdana" w:cs="Arial"/>
          <w:color w:val="000000" w:themeColor="text1"/>
          <w:lang w:eastAsia="es-CO"/>
        </w:rPr>
        <w:t xml:space="preserve"> en los contratos de obra, así </w:t>
      </w:r>
      <w:r>
        <w:rPr>
          <w:rFonts w:ascii="Verdana" w:eastAsia="Times New Roman" w:hAnsi="Verdana" w:cs="Arial"/>
          <w:color w:val="000000" w:themeColor="text1"/>
          <w:lang w:eastAsia="es-CO"/>
        </w:rPr>
        <w:t xml:space="preserve">como </w:t>
      </w:r>
      <w:r w:rsidRPr="00CA6FDA">
        <w:rPr>
          <w:rFonts w:ascii="Verdana" w:eastAsia="Times New Roman" w:hAnsi="Verdana" w:cs="Arial"/>
          <w:color w:val="000000" w:themeColor="text1"/>
          <w:lang w:eastAsia="es-CO"/>
        </w:rPr>
        <w:t xml:space="preserve">en aquellos en que por su objeto </w:t>
      </w:r>
      <w:r w:rsidRPr="00CA6FDA">
        <w:rPr>
          <w:rFonts w:ascii="Verdana" w:eastAsia="Times New Roman" w:hAnsi="Verdana" w:cs="Arial"/>
          <w:color w:val="000000" w:themeColor="text1"/>
          <w:lang w:eastAsia="es-CO"/>
        </w:rPr>
        <w:lastRenderedPageBreak/>
        <w:t xml:space="preserve">o naturaleza se considere necesario con ocasión de los riesgos previstos en el negocio, </w:t>
      </w:r>
      <w:r>
        <w:rPr>
          <w:rFonts w:ascii="Verdana" w:eastAsia="Times New Roman" w:hAnsi="Verdana" w:cs="Arial"/>
          <w:color w:val="000000" w:themeColor="text1"/>
          <w:lang w:eastAsia="es-CO"/>
        </w:rPr>
        <w:t xml:space="preserve">para efectos de la cobertura frente a </w:t>
      </w:r>
      <w:r w:rsidRPr="00EC3E69">
        <w:rPr>
          <w:rFonts w:ascii="Verdana" w:eastAsia="Times New Roman" w:hAnsi="Verdana" w:cs="Arial"/>
          <w:color w:val="000000" w:themeColor="text1"/>
          <w:lang w:eastAsia="es-CO"/>
        </w:rPr>
        <w:t>eventuales reclamaciones de terceros que surja de las actuaciones, hechos u omisiones de su contratista</w:t>
      </w:r>
      <w:r w:rsidRPr="00CA6FD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D</w:t>
      </w:r>
      <w:r w:rsidRPr="00CA6FDA">
        <w:rPr>
          <w:rFonts w:ascii="Verdana" w:eastAsia="Times New Roman" w:hAnsi="Verdana" w:cs="Arial"/>
          <w:color w:val="000000" w:themeColor="text1"/>
          <w:lang w:eastAsia="es-CO"/>
        </w:rPr>
        <w:t xml:space="preserve">e acuerdo con el </w:t>
      </w:r>
      <w:r>
        <w:rPr>
          <w:rFonts w:ascii="Verdana" w:eastAsia="Times New Roman" w:hAnsi="Verdana" w:cs="Arial"/>
          <w:color w:val="000000" w:themeColor="text1"/>
          <w:lang w:eastAsia="es-CO"/>
        </w:rPr>
        <w:t xml:space="preserve">inciso segundo del </w:t>
      </w:r>
      <w:r w:rsidRPr="00CA6FDA">
        <w:rPr>
          <w:rFonts w:ascii="Verdana" w:eastAsia="Times New Roman" w:hAnsi="Verdana" w:cs="Arial"/>
          <w:color w:val="000000" w:themeColor="text1"/>
          <w:lang w:eastAsia="es-CO"/>
        </w:rPr>
        <w:t xml:space="preserve">artículo 2.2.1.2.3.1.8 </w:t>
      </w:r>
      <w:r w:rsidRPr="00CA6FDA">
        <w:rPr>
          <w:rFonts w:ascii="Verdana" w:eastAsia="Times New Roman" w:hAnsi="Verdana" w:cs="Arial"/>
          <w:i/>
          <w:iCs/>
          <w:color w:val="000000" w:themeColor="text1"/>
          <w:lang w:eastAsia="es-CO"/>
        </w:rPr>
        <w:t>ibidem</w:t>
      </w:r>
      <w:r>
        <w:rPr>
          <w:rFonts w:ascii="Verdana" w:eastAsia="Times New Roman" w:hAnsi="Verdana" w:cs="Arial"/>
          <w:color w:val="000000" w:themeColor="text1"/>
          <w:lang w:eastAsia="es-CO"/>
        </w:rPr>
        <w:t>, “L</w:t>
      </w:r>
      <w:r w:rsidRPr="00EC3E69">
        <w:rPr>
          <w:rFonts w:ascii="Verdana" w:eastAsia="Times New Roman" w:hAnsi="Verdana" w:cs="Arial"/>
          <w:color w:val="000000" w:themeColor="text1"/>
          <w:lang w:eastAsia="es-CO"/>
        </w:rPr>
        <w:t>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r>
        <w:rPr>
          <w:rFonts w:ascii="Verdana" w:eastAsia="Times New Roman" w:hAnsi="Verdana" w:cs="Arial"/>
          <w:color w:val="000000" w:themeColor="text1"/>
          <w:lang w:eastAsia="es-CO"/>
        </w:rPr>
        <w:t>”</w:t>
      </w:r>
      <w:r w:rsidRPr="00EC3E69">
        <w:rPr>
          <w:rFonts w:ascii="Verdana" w:eastAsia="Times New Roman" w:hAnsi="Verdana" w:cs="Arial"/>
          <w:color w:val="000000" w:themeColor="text1"/>
          <w:lang w:eastAsia="es-CO"/>
        </w:rPr>
        <w:t>.</w:t>
      </w:r>
    </w:p>
    <w:p w14:paraId="2A336109" w14:textId="77777777" w:rsidR="00145A5D" w:rsidRDefault="00145A5D" w:rsidP="00145A5D">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Conforme al artículo </w:t>
      </w:r>
      <w:r w:rsidRPr="00526C41">
        <w:rPr>
          <w:rFonts w:ascii="Verdana" w:eastAsia="Times New Roman" w:hAnsi="Verdana" w:cs="Arial"/>
          <w:color w:val="000000" w:themeColor="text1"/>
          <w:lang w:eastAsia="es-CO"/>
        </w:rPr>
        <w:t>2.2.1.2.3.1.5</w:t>
      </w:r>
      <w:r>
        <w:rPr>
          <w:rFonts w:ascii="Verdana" w:eastAsia="Times New Roman" w:hAnsi="Verdana" w:cs="Arial"/>
          <w:color w:val="000000" w:themeColor="text1"/>
          <w:lang w:eastAsia="es-CO"/>
        </w:rPr>
        <w:t xml:space="preserve"> del Decreto 1082 de 2015, dicho amparo sólo admite su cobertura a través de una póliza expedida por una compañía aseguradora, la cual –para efectos de su aprobación– debe cumplir con los requisitos y suficiencia de los artículos </w:t>
      </w:r>
      <w:r w:rsidRPr="009839D4">
        <w:rPr>
          <w:rFonts w:ascii="Verdana" w:eastAsia="Times New Roman" w:hAnsi="Verdana" w:cs="Arial"/>
          <w:color w:val="000000" w:themeColor="text1"/>
          <w:lang w:eastAsia="es-CO"/>
        </w:rPr>
        <w:t>2.2.1.2.3.2.9</w:t>
      </w:r>
      <w:r>
        <w:rPr>
          <w:rFonts w:ascii="Verdana" w:eastAsia="Times New Roman" w:hAnsi="Verdana" w:cs="Arial"/>
          <w:color w:val="000000" w:themeColor="text1"/>
          <w:lang w:eastAsia="es-CO"/>
        </w:rPr>
        <w:t xml:space="preserve"> y </w:t>
      </w:r>
      <w:r w:rsidRPr="00526C41">
        <w:rPr>
          <w:rFonts w:ascii="Verdana" w:eastAsia="Times New Roman" w:hAnsi="Verdana" w:cs="Arial"/>
          <w:color w:val="000000" w:themeColor="text1"/>
          <w:lang w:eastAsia="es-CO"/>
        </w:rPr>
        <w:t>2.2.1.2.3.1.17</w:t>
      </w:r>
      <w:r>
        <w:rPr>
          <w:rFonts w:ascii="Verdana" w:eastAsia="Times New Roman" w:hAnsi="Verdana" w:cs="Arial"/>
          <w:color w:val="000000" w:themeColor="text1"/>
          <w:lang w:eastAsia="es-CO"/>
        </w:rPr>
        <w:t xml:space="preserve"> </w:t>
      </w:r>
      <w:r w:rsidRPr="00526C41">
        <w:rPr>
          <w:rFonts w:ascii="Verdana" w:eastAsia="Times New Roman" w:hAnsi="Verdana" w:cs="Arial"/>
          <w:i/>
          <w:iCs/>
          <w:color w:val="000000" w:themeColor="text1"/>
          <w:lang w:eastAsia="es-CO"/>
        </w:rPr>
        <w:t>ibidem</w:t>
      </w:r>
      <w:r>
        <w:rPr>
          <w:rFonts w:ascii="Verdana" w:eastAsia="Times New Roman" w:hAnsi="Verdana" w:cs="Arial"/>
          <w:color w:val="000000" w:themeColor="text1"/>
          <w:lang w:eastAsia="es-CO"/>
        </w:rPr>
        <w:t xml:space="preserve">. Por lo demás, el artículo </w:t>
      </w:r>
      <w:r w:rsidRPr="009839D4">
        <w:rPr>
          <w:rFonts w:ascii="Verdana" w:eastAsia="Times New Roman" w:hAnsi="Verdana" w:cs="Arial"/>
          <w:color w:val="000000" w:themeColor="text1"/>
          <w:lang w:eastAsia="es-CO"/>
        </w:rPr>
        <w:t>2.2.1.3.3.2.10</w:t>
      </w:r>
      <w:r>
        <w:rPr>
          <w:rFonts w:ascii="Verdana" w:eastAsia="Times New Roman" w:hAnsi="Verdana" w:cs="Arial"/>
          <w:color w:val="000000" w:themeColor="text1"/>
          <w:lang w:eastAsia="es-CO"/>
        </w:rPr>
        <w:t xml:space="preserve"> del Decreto Único Reglamentario del Sector Administrativo de Planeación Nacional dispone que “</w:t>
      </w:r>
      <w:r w:rsidRPr="009839D4">
        <w:rPr>
          <w:rFonts w:ascii="Verdana" w:eastAsia="Times New Roman" w:hAnsi="Verdana" w:cs="Arial"/>
          <w:color w:val="000000" w:themeColor="text1"/>
          <w:lang w:eastAsia="es-CO"/>
        </w:rPr>
        <w:t xml:space="preserve">En el contrato de seguro que ampara la responsabilidad civil extracontractual solamente se pueden pactar deducibles hasta del diez por ciento (10%) del valor de cada pérdida y en ningún caso pueden ser superiores a dos mil (2.000) </w:t>
      </w:r>
      <w:proofErr w:type="spellStart"/>
      <w:r w:rsidRPr="009839D4">
        <w:rPr>
          <w:rFonts w:ascii="Verdana" w:eastAsia="Times New Roman" w:hAnsi="Verdana" w:cs="Arial"/>
          <w:color w:val="000000" w:themeColor="text1"/>
          <w:lang w:eastAsia="es-CO"/>
        </w:rPr>
        <w:t>smmlv</w:t>
      </w:r>
      <w:proofErr w:type="spellEnd"/>
      <w:r w:rsidRPr="009839D4">
        <w:rPr>
          <w:rFonts w:ascii="Verdana" w:eastAsia="Times New Roman" w:hAnsi="Verdana" w:cs="Arial"/>
          <w:color w:val="000000" w:themeColor="text1"/>
          <w:lang w:eastAsia="es-CO"/>
        </w:rPr>
        <w:t>. No serán admisibles las franquicias, coaseguros obligatorios y demás formas de estipulación que impliquen la asunción de parte de la pérdida por la entidad asegurada</w:t>
      </w:r>
      <w:r>
        <w:rPr>
          <w:rFonts w:ascii="Verdana" w:eastAsia="Times New Roman" w:hAnsi="Verdana" w:cs="Arial"/>
          <w:color w:val="000000" w:themeColor="text1"/>
          <w:lang w:eastAsia="es-CO"/>
        </w:rPr>
        <w:t>”</w:t>
      </w:r>
      <w:r w:rsidRPr="009839D4">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Por tanto, </w:t>
      </w:r>
      <w:r w:rsidRPr="009839D4">
        <w:rPr>
          <w:rFonts w:ascii="Verdana" w:eastAsia="Times New Roman" w:hAnsi="Verdana" w:cs="Arial"/>
          <w:color w:val="000000" w:themeColor="text1"/>
          <w:lang w:eastAsia="es-CO"/>
        </w:rPr>
        <w:t>en este seguro pueden pactar</w:t>
      </w:r>
      <w:r>
        <w:rPr>
          <w:rFonts w:ascii="Verdana" w:eastAsia="Times New Roman" w:hAnsi="Verdana" w:cs="Arial"/>
          <w:color w:val="000000" w:themeColor="text1"/>
          <w:lang w:eastAsia="es-CO"/>
        </w:rPr>
        <w:t>se</w:t>
      </w:r>
      <w:r w:rsidRPr="009839D4">
        <w:rPr>
          <w:rFonts w:ascii="Verdana" w:eastAsia="Times New Roman" w:hAnsi="Verdana" w:cs="Arial"/>
          <w:color w:val="000000" w:themeColor="text1"/>
          <w:lang w:eastAsia="es-CO"/>
        </w:rPr>
        <w:t xml:space="preserve"> deducibles</w:t>
      </w:r>
      <w:r>
        <w:rPr>
          <w:rFonts w:ascii="Verdana" w:eastAsia="Times New Roman" w:hAnsi="Verdana" w:cs="Arial"/>
          <w:color w:val="000000" w:themeColor="text1"/>
          <w:lang w:eastAsia="es-CO"/>
        </w:rPr>
        <w:t xml:space="preserve"> con las limitaciones citadas; pero el pago no</w:t>
      </w:r>
      <w:r w:rsidRPr="009839D4">
        <w:rPr>
          <w:rFonts w:ascii="Verdana" w:eastAsia="Times New Roman" w:hAnsi="Verdana" w:cs="Arial"/>
          <w:color w:val="000000" w:themeColor="text1"/>
          <w:lang w:eastAsia="es-CO"/>
        </w:rPr>
        <w:t xml:space="preserve"> podrá estar a cargo de la entidad estatal, </w:t>
      </w:r>
      <w:r>
        <w:rPr>
          <w:rFonts w:ascii="Verdana" w:eastAsia="Times New Roman" w:hAnsi="Verdana" w:cs="Arial"/>
          <w:color w:val="000000" w:themeColor="text1"/>
          <w:lang w:eastAsia="es-CO"/>
        </w:rPr>
        <w:t>de manera que es responsabilidad</w:t>
      </w:r>
      <w:r w:rsidRPr="009839D4">
        <w:rPr>
          <w:rFonts w:ascii="Verdana" w:eastAsia="Times New Roman" w:hAnsi="Verdana" w:cs="Arial"/>
          <w:color w:val="000000" w:themeColor="text1"/>
          <w:lang w:eastAsia="es-CO"/>
        </w:rPr>
        <w:t xml:space="preserve"> </w:t>
      </w:r>
      <w:r>
        <w:rPr>
          <w:rFonts w:ascii="Verdana" w:eastAsia="Times New Roman" w:hAnsi="Verdana" w:cs="Arial"/>
          <w:color w:val="000000" w:themeColor="text1"/>
          <w:lang w:eastAsia="es-CO"/>
        </w:rPr>
        <w:t xml:space="preserve">exclusiva </w:t>
      </w:r>
      <w:r w:rsidRPr="009839D4">
        <w:rPr>
          <w:rFonts w:ascii="Verdana" w:eastAsia="Times New Roman" w:hAnsi="Verdana" w:cs="Arial"/>
          <w:color w:val="000000" w:themeColor="text1"/>
          <w:lang w:eastAsia="es-CO"/>
        </w:rPr>
        <w:t>del contratista tomador del seguro</w:t>
      </w:r>
      <w:r>
        <w:rPr>
          <w:rFonts w:ascii="Verdana" w:eastAsia="Times New Roman" w:hAnsi="Verdana" w:cs="Arial"/>
          <w:color w:val="000000" w:themeColor="text1"/>
          <w:lang w:eastAsia="es-CO"/>
        </w:rPr>
        <w:t>.</w:t>
      </w:r>
    </w:p>
    <w:p w14:paraId="101E6865" w14:textId="77777777" w:rsidR="00145A5D" w:rsidRDefault="00145A5D" w:rsidP="00145A5D">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Dicha restricción debe entenderse en concordancia con el artículo 1103 del Código de Comercio, pues dispone que “</w:t>
      </w:r>
      <w:r w:rsidRPr="00574F7C">
        <w:rPr>
          <w:rFonts w:ascii="Verdana" w:eastAsia="Times New Roman" w:hAnsi="Verdana" w:cs="Arial"/>
          <w:color w:val="000000" w:themeColor="text1"/>
          <w:lang w:eastAsia="es-CO"/>
        </w:rPr>
        <w:t>Las cláusulas según las cuales el asegurado deba soportar una cuota en el riesgo o en la pérdida, o afrontar la primera parte del daño, implican, salvo estipulación en contrario, la prohibición para el asegurado de protegerse respecto de tales cuotas, mediante la contratación de un seguro adicional</w:t>
      </w:r>
      <w:r>
        <w:rPr>
          <w:rFonts w:ascii="Verdana" w:eastAsia="Times New Roman" w:hAnsi="Verdana" w:cs="Arial"/>
          <w:color w:val="000000" w:themeColor="text1"/>
          <w:lang w:eastAsia="es-CO"/>
        </w:rPr>
        <w:t xml:space="preserve"> […]”. Sobre esta base, autores como OSSA definen la franquicia como “[…] l</w:t>
      </w:r>
      <w:r w:rsidRPr="00574F7C">
        <w:rPr>
          <w:rFonts w:ascii="Verdana" w:eastAsia="Times New Roman" w:hAnsi="Verdana" w:cs="Arial"/>
          <w:color w:val="000000" w:themeColor="text1"/>
          <w:lang w:eastAsia="es-CO"/>
        </w:rPr>
        <w:t>a primera parte del daño que</w:t>
      </w:r>
      <w:r>
        <w:rPr>
          <w:rFonts w:ascii="Verdana" w:eastAsia="Times New Roman" w:hAnsi="Verdana" w:cs="Arial"/>
          <w:color w:val="000000" w:themeColor="text1"/>
          <w:lang w:eastAsia="es-CO"/>
        </w:rPr>
        <w:t xml:space="preserve"> […]</w:t>
      </w:r>
      <w:r w:rsidRPr="00574F7C">
        <w:rPr>
          <w:rFonts w:ascii="Verdana" w:eastAsia="Times New Roman" w:hAnsi="Verdana" w:cs="Arial"/>
          <w:color w:val="000000" w:themeColor="text1"/>
          <w:lang w:eastAsia="es-CO"/>
        </w:rPr>
        <w:t xml:space="preserve"> ha de soportar</w:t>
      </w:r>
      <w:r>
        <w:rPr>
          <w:rFonts w:ascii="Verdana" w:eastAsia="Times New Roman" w:hAnsi="Verdana" w:cs="Arial"/>
          <w:color w:val="000000" w:themeColor="text1"/>
          <w:lang w:eastAsia="es-CO"/>
        </w:rPr>
        <w:t xml:space="preserve"> </w:t>
      </w:r>
      <w:r w:rsidRPr="00574F7C">
        <w:rPr>
          <w:rFonts w:ascii="Verdana" w:eastAsia="Times New Roman" w:hAnsi="Verdana" w:cs="Arial"/>
          <w:color w:val="000000" w:themeColor="text1"/>
          <w:lang w:eastAsia="es-CO"/>
        </w:rPr>
        <w:t>el asegurado en virtud de expresa estipulación del contrato</w:t>
      </w:r>
      <w:r>
        <w:rPr>
          <w:rFonts w:ascii="Verdana" w:eastAsia="Times New Roman" w:hAnsi="Verdana" w:cs="Arial"/>
          <w:color w:val="000000" w:themeColor="text1"/>
          <w:lang w:eastAsia="es-CO"/>
        </w:rPr>
        <w:t>” y que “</w:t>
      </w:r>
      <w:r w:rsidRPr="002F22FF">
        <w:rPr>
          <w:rFonts w:ascii="Verdana" w:eastAsia="Times New Roman" w:hAnsi="Verdana" w:cs="Arial"/>
          <w:color w:val="000000" w:themeColor="text1"/>
          <w:lang w:eastAsia="es-CO"/>
        </w:rPr>
        <w:t xml:space="preserve">Es deducible cuando sea cual fuere la extensión del daño </w:t>
      </w:r>
      <w:r>
        <w:rPr>
          <w:rFonts w:ascii="Verdana" w:eastAsia="Times New Roman" w:hAnsi="Verdana" w:cs="Arial"/>
          <w:color w:val="000000" w:themeColor="text1"/>
          <w:lang w:eastAsia="es-CO"/>
        </w:rPr>
        <w:t>[…]</w:t>
      </w:r>
      <w:r w:rsidRPr="002F22FF">
        <w:rPr>
          <w:rFonts w:ascii="Verdana" w:eastAsia="Times New Roman" w:hAnsi="Verdana" w:cs="Arial"/>
          <w:color w:val="000000" w:themeColor="text1"/>
          <w:lang w:eastAsia="es-CO"/>
        </w:rPr>
        <w:t>, el asegurado debe cargar con la primera parte de él, y el asegurador con el excedente</w:t>
      </w:r>
      <w:r>
        <w:rPr>
          <w:rFonts w:ascii="Verdana" w:eastAsia="Times New Roman" w:hAnsi="Verdana" w:cs="Arial"/>
          <w:color w:val="000000" w:themeColor="text1"/>
          <w:lang w:eastAsia="es-CO"/>
        </w:rPr>
        <w:t>”</w:t>
      </w:r>
      <w:r>
        <w:rPr>
          <w:rStyle w:val="Refdenotaalpie"/>
          <w:rFonts w:ascii="Verdana" w:eastAsia="Times New Roman" w:hAnsi="Verdana" w:cs="Arial"/>
          <w:color w:val="000000" w:themeColor="text1"/>
          <w:lang w:eastAsia="es-CO"/>
        </w:rPr>
        <w:footnoteReference w:id="10"/>
      </w:r>
      <w:r w:rsidRPr="00574F7C">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p>
    <w:p w14:paraId="7997A129" w14:textId="77777777" w:rsidR="00145A5D" w:rsidRDefault="00145A5D" w:rsidP="00145A5D">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lastRenderedPageBreak/>
        <w:t>Este pacto corresponde a la libertad de estipulación entre las partes del contrato de seguro, el cual contribuye a la vigilancia</w:t>
      </w:r>
      <w:r w:rsidRPr="006A7946">
        <w:rPr>
          <w:rFonts w:ascii="Verdana" w:eastAsia="Times New Roman" w:hAnsi="Verdana" w:cs="Arial"/>
          <w:color w:val="000000" w:themeColor="text1"/>
          <w:lang w:eastAsia="es-CO"/>
        </w:rPr>
        <w:t>, cui</w:t>
      </w:r>
      <w:r>
        <w:rPr>
          <w:rFonts w:ascii="Verdana" w:eastAsia="Times New Roman" w:hAnsi="Verdana" w:cs="Arial"/>
          <w:color w:val="000000" w:themeColor="text1"/>
          <w:lang w:eastAsia="es-CO"/>
        </w:rPr>
        <w:t>dado</w:t>
      </w:r>
      <w:r w:rsidRPr="006A7946">
        <w:rPr>
          <w:rFonts w:ascii="Verdana" w:eastAsia="Times New Roman" w:hAnsi="Verdana" w:cs="Arial"/>
          <w:color w:val="000000" w:themeColor="text1"/>
          <w:lang w:eastAsia="es-CO"/>
        </w:rPr>
        <w:t xml:space="preserve"> </w:t>
      </w:r>
      <w:r>
        <w:rPr>
          <w:rFonts w:ascii="Verdana" w:eastAsia="Times New Roman" w:hAnsi="Verdana" w:cs="Arial"/>
          <w:color w:val="000000" w:themeColor="text1"/>
          <w:lang w:eastAsia="es-CO"/>
        </w:rPr>
        <w:t>y</w:t>
      </w:r>
      <w:r w:rsidRPr="006A7946">
        <w:rPr>
          <w:rFonts w:ascii="Verdana" w:eastAsia="Times New Roman" w:hAnsi="Verdana" w:cs="Arial"/>
          <w:color w:val="000000" w:themeColor="text1"/>
          <w:lang w:eastAsia="es-CO"/>
        </w:rPr>
        <w:t xml:space="preserve"> buen manejo del riesgo</w:t>
      </w:r>
      <w:r>
        <w:rPr>
          <w:rStyle w:val="Refdenotaalpie"/>
          <w:rFonts w:ascii="Verdana" w:eastAsia="Times New Roman" w:hAnsi="Verdana" w:cs="Arial"/>
          <w:color w:val="000000" w:themeColor="text1"/>
          <w:lang w:eastAsia="es-CO"/>
        </w:rPr>
        <w:footnoteReference w:id="11"/>
      </w:r>
      <w:r>
        <w:rPr>
          <w:rFonts w:ascii="Verdana" w:eastAsia="Times New Roman" w:hAnsi="Verdana" w:cs="Arial"/>
          <w:color w:val="000000" w:themeColor="text1"/>
          <w:lang w:eastAsia="es-CO"/>
        </w:rPr>
        <w:t>. Para el contratista del Estado implica</w:t>
      </w:r>
      <w:r w:rsidRPr="000550FA">
        <w:rPr>
          <w:rFonts w:ascii="Verdana" w:eastAsia="Times New Roman" w:hAnsi="Verdana" w:cs="Arial"/>
          <w:color w:val="000000" w:themeColor="text1"/>
          <w:lang w:eastAsia="es-CO"/>
        </w:rPr>
        <w:t xml:space="preserve"> </w:t>
      </w:r>
      <w:r>
        <w:rPr>
          <w:rFonts w:ascii="Verdana" w:eastAsia="Times New Roman" w:hAnsi="Verdana" w:cs="Arial"/>
          <w:color w:val="000000" w:themeColor="text1"/>
          <w:lang w:eastAsia="es-CO"/>
        </w:rPr>
        <w:t>asumir parte de</w:t>
      </w:r>
      <w:r w:rsidRPr="000550FA">
        <w:rPr>
          <w:rFonts w:ascii="Verdana" w:eastAsia="Times New Roman" w:hAnsi="Verdana" w:cs="Arial"/>
          <w:color w:val="000000" w:themeColor="text1"/>
          <w:lang w:eastAsia="es-CO"/>
        </w:rPr>
        <w:t xml:space="preserve"> los efectos patrimoniales del siniestro,</w:t>
      </w:r>
      <w:r>
        <w:rPr>
          <w:rFonts w:ascii="Verdana" w:eastAsia="Times New Roman" w:hAnsi="Verdana" w:cs="Arial"/>
          <w:color w:val="000000" w:themeColor="text1"/>
          <w:lang w:eastAsia="es-CO"/>
        </w:rPr>
        <w:t xml:space="preserve"> </w:t>
      </w:r>
      <w:r w:rsidRPr="000550FA">
        <w:rPr>
          <w:rFonts w:ascii="Verdana" w:eastAsia="Times New Roman" w:hAnsi="Verdana" w:cs="Arial"/>
          <w:color w:val="000000" w:themeColor="text1"/>
          <w:lang w:eastAsia="es-CO"/>
        </w:rPr>
        <w:t xml:space="preserve">que puede </w:t>
      </w:r>
      <w:r>
        <w:rPr>
          <w:rFonts w:ascii="Verdana" w:eastAsia="Times New Roman" w:hAnsi="Verdana" w:cs="Arial"/>
          <w:color w:val="000000" w:themeColor="text1"/>
          <w:lang w:eastAsia="es-CO"/>
        </w:rPr>
        <w:t>establecerse</w:t>
      </w:r>
      <w:r w:rsidRPr="000550FA">
        <w:rPr>
          <w:rFonts w:ascii="Verdana" w:eastAsia="Times New Roman" w:hAnsi="Verdana" w:cs="Arial"/>
          <w:color w:val="000000" w:themeColor="text1"/>
          <w:lang w:eastAsia="es-CO"/>
        </w:rPr>
        <w:t xml:space="preserve"> como una suma fija o como un porcentaje del valor asegurado.</w:t>
      </w:r>
      <w:r>
        <w:rPr>
          <w:rFonts w:ascii="Verdana" w:eastAsia="Times New Roman" w:hAnsi="Verdana" w:cs="Arial"/>
          <w:color w:val="000000" w:themeColor="text1"/>
          <w:lang w:eastAsia="es-CO"/>
        </w:rPr>
        <w:t xml:space="preserve"> En este sentido, es </w:t>
      </w:r>
      <w:r w:rsidRPr="000550FA">
        <w:rPr>
          <w:rFonts w:ascii="Verdana" w:eastAsia="Times New Roman" w:hAnsi="Verdana" w:cs="Arial"/>
          <w:color w:val="000000" w:themeColor="text1"/>
          <w:lang w:eastAsia="es-CO"/>
        </w:rPr>
        <w:t>un mecanismo para compartir</w:t>
      </w:r>
      <w:r>
        <w:rPr>
          <w:rFonts w:ascii="Verdana" w:eastAsia="Times New Roman" w:hAnsi="Verdana" w:cs="Arial"/>
          <w:color w:val="000000" w:themeColor="text1"/>
          <w:lang w:eastAsia="es-CO"/>
        </w:rPr>
        <w:t xml:space="preserve"> </w:t>
      </w:r>
      <w:r w:rsidRPr="000550FA">
        <w:rPr>
          <w:rFonts w:ascii="Verdana" w:eastAsia="Times New Roman" w:hAnsi="Verdana" w:cs="Arial"/>
          <w:color w:val="000000" w:themeColor="text1"/>
          <w:lang w:eastAsia="es-CO"/>
        </w:rPr>
        <w:t xml:space="preserve">los riesgos entre la aseguradora y el </w:t>
      </w:r>
      <w:r>
        <w:rPr>
          <w:rFonts w:ascii="Verdana" w:eastAsia="Times New Roman" w:hAnsi="Verdana" w:cs="Arial"/>
          <w:color w:val="000000" w:themeColor="text1"/>
          <w:lang w:eastAsia="es-CO"/>
        </w:rPr>
        <w:t>contratista</w:t>
      </w:r>
      <w:r w:rsidRPr="000550FA">
        <w:rPr>
          <w:rFonts w:ascii="Verdana" w:eastAsia="Times New Roman" w:hAnsi="Verdana" w:cs="Arial"/>
          <w:color w:val="000000" w:themeColor="text1"/>
          <w:lang w:eastAsia="es-CO"/>
        </w:rPr>
        <w:t>, quien deberá soportar una porción de</w:t>
      </w:r>
      <w:r>
        <w:rPr>
          <w:rFonts w:ascii="Verdana" w:eastAsia="Times New Roman" w:hAnsi="Verdana" w:cs="Arial"/>
          <w:color w:val="000000" w:themeColor="text1"/>
          <w:lang w:eastAsia="es-CO"/>
        </w:rPr>
        <w:t xml:space="preserve"> </w:t>
      </w:r>
      <w:r w:rsidRPr="000550FA">
        <w:rPr>
          <w:rFonts w:ascii="Verdana" w:eastAsia="Times New Roman" w:hAnsi="Verdana" w:cs="Arial"/>
          <w:color w:val="000000" w:themeColor="text1"/>
          <w:lang w:eastAsia="es-CO"/>
        </w:rPr>
        <w:t xml:space="preserve">la pérdida. </w:t>
      </w:r>
      <w:r>
        <w:rPr>
          <w:rFonts w:ascii="Verdana" w:eastAsia="Times New Roman" w:hAnsi="Verdana" w:cs="Arial"/>
          <w:color w:val="000000" w:themeColor="text1"/>
          <w:lang w:eastAsia="es-CO"/>
        </w:rPr>
        <w:t>Por tanto</w:t>
      </w:r>
      <w:r w:rsidRPr="000550FA">
        <w:rPr>
          <w:rFonts w:ascii="Verdana" w:eastAsia="Times New Roman" w:hAnsi="Verdana" w:cs="Arial"/>
          <w:color w:val="000000" w:themeColor="text1"/>
          <w:lang w:eastAsia="es-CO"/>
        </w:rPr>
        <w:t xml:space="preserve">, </w:t>
      </w:r>
      <w:r>
        <w:rPr>
          <w:rFonts w:ascii="Verdana" w:eastAsia="Times New Roman" w:hAnsi="Verdana" w:cs="Arial"/>
          <w:color w:val="000000" w:themeColor="text1"/>
          <w:lang w:eastAsia="es-CO"/>
        </w:rPr>
        <w:t xml:space="preserve">con los límites del artículo </w:t>
      </w:r>
      <w:r w:rsidRPr="009839D4">
        <w:rPr>
          <w:rFonts w:ascii="Verdana" w:eastAsia="Times New Roman" w:hAnsi="Verdana" w:cs="Arial"/>
          <w:color w:val="000000" w:themeColor="text1"/>
          <w:lang w:eastAsia="es-CO"/>
        </w:rPr>
        <w:t>2.2.1.3.3.2.10</w:t>
      </w:r>
      <w:r>
        <w:rPr>
          <w:rFonts w:ascii="Verdana" w:eastAsia="Times New Roman" w:hAnsi="Verdana" w:cs="Arial"/>
          <w:color w:val="000000" w:themeColor="text1"/>
          <w:lang w:eastAsia="es-CO"/>
        </w:rPr>
        <w:t xml:space="preserve"> del Decreto 1082 de 2015, deberá analizarse las condiciones de la póliza </w:t>
      </w:r>
      <w:r w:rsidRPr="000550FA">
        <w:rPr>
          <w:rFonts w:ascii="Verdana" w:eastAsia="Times New Roman" w:hAnsi="Verdana" w:cs="Arial"/>
          <w:color w:val="000000" w:themeColor="text1"/>
          <w:lang w:eastAsia="es-CO"/>
        </w:rPr>
        <w:t>para determinar el valor efectivo que la aseguradora debe pagar, luego de aplicar el</w:t>
      </w:r>
      <w:r>
        <w:rPr>
          <w:rFonts w:ascii="Verdana" w:eastAsia="Times New Roman" w:hAnsi="Verdana" w:cs="Arial"/>
          <w:color w:val="000000" w:themeColor="text1"/>
          <w:lang w:eastAsia="es-CO"/>
        </w:rPr>
        <w:t xml:space="preserve"> </w:t>
      </w:r>
      <w:r w:rsidRPr="000550FA">
        <w:rPr>
          <w:rFonts w:ascii="Verdana" w:eastAsia="Times New Roman" w:hAnsi="Verdana" w:cs="Arial"/>
          <w:color w:val="000000" w:themeColor="text1"/>
          <w:lang w:eastAsia="es-CO"/>
        </w:rPr>
        <w:t>deducible correspondiente</w:t>
      </w:r>
      <w:r>
        <w:rPr>
          <w:rFonts w:ascii="Verdana" w:eastAsia="Times New Roman" w:hAnsi="Verdana" w:cs="Arial"/>
          <w:color w:val="000000" w:themeColor="text1"/>
          <w:lang w:eastAsia="es-CO"/>
        </w:rPr>
        <w:t xml:space="preserve">. </w:t>
      </w:r>
    </w:p>
    <w:p w14:paraId="490EA41F" w14:textId="77777777" w:rsidR="00145A5D" w:rsidRPr="00DE7E96" w:rsidRDefault="00145A5D" w:rsidP="00145A5D">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Salvo de que los documentos del proceso establezcan algo distinto, las restricciones de los deducibles se rigen por la norma citada del Decreto Único Reglamentario del Sector Administrativo de Planeación Nacional. Limitaciones adicionales, como la prohibición de amparar la responsabilidad civil extracontractual bajo las cláusulas de que trata el artículo 1103 del Código de Comercio, deben provenir expresamente del pliego de condiciones o de la minuta del contrato. La entidad deberá analizar su inclusión a la luz de las dificultades para asegurar el riesgo si no se permite el pacto de deducibles entre el contratista y la aseguradora, sin perjuicio de la eventual impugnación judicial de las estipulaciones que restrinjan el artículo </w:t>
      </w:r>
      <w:r w:rsidRPr="009839D4">
        <w:rPr>
          <w:rFonts w:ascii="Verdana" w:eastAsia="Times New Roman" w:hAnsi="Verdana" w:cs="Arial"/>
          <w:color w:val="000000" w:themeColor="text1"/>
          <w:lang w:eastAsia="es-CO"/>
        </w:rPr>
        <w:t>2.2.1.3.3.2.10</w:t>
      </w:r>
      <w:r>
        <w:rPr>
          <w:rFonts w:ascii="Verdana" w:eastAsia="Times New Roman" w:hAnsi="Verdana" w:cs="Arial"/>
          <w:color w:val="000000" w:themeColor="text1"/>
          <w:lang w:eastAsia="es-CO"/>
        </w:rPr>
        <w:t xml:space="preserve"> del Decreto 1082 de 2015.</w:t>
      </w:r>
    </w:p>
    <w:p w14:paraId="51BB0743" w14:textId="77777777" w:rsidR="00145A5D" w:rsidRDefault="00145A5D" w:rsidP="00145A5D">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F12728E" w14:textId="77777777" w:rsidR="00145A5D" w:rsidRPr="00185EE9" w:rsidRDefault="00145A5D" w:rsidP="00145A5D">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1C16390" w14:textId="77777777" w:rsidR="00145A5D" w:rsidRPr="00182C89" w:rsidRDefault="00145A5D" w:rsidP="00145A5D">
      <w:pPr>
        <w:tabs>
          <w:tab w:val="left" w:pos="709"/>
        </w:tabs>
        <w:spacing w:after="0" w:line="276" w:lineRule="auto"/>
        <w:jc w:val="both"/>
        <w:rPr>
          <w:rFonts w:ascii="Verdana" w:eastAsia="Calibri" w:hAnsi="Verdana" w:cs="Arial"/>
          <w:color w:val="000000" w:themeColor="text1"/>
        </w:rPr>
      </w:pPr>
    </w:p>
    <w:p w14:paraId="03156B13" w14:textId="77777777" w:rsidR="00145A5D" w:rsidRPr="00593A5F" w:rsidRDefault="00145A5D" w:rsidP="00145A5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67B9709F" w14:textId="77777777" w:rsidR="00145A5D" w:rsidRPr="00593A5F" w:rsidRDefault="00145A5D" w:rsidP="00145A5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45A5D" w:rsidRPr="002407CE" w14:paraId="2BF4E027" w14:textId="77777777" w:rsidTr="00A6169D">
        <w:trPr>
          <w:trHeight w:val="870"/>
          <w:jc w:val="center"/>
        </w:trPr>
        <w:tc>
          <w:tcPr>
            <w:tcW w:w="8647" w:type="dxa"/>
          </w:tcPr>
          <w:p w14:paraId="502270DC" w14:textId="77777777" w:rsidR="00145A5D" w:rsidRPr="005447E6" w:rsidRDefault="00145A5D" w:rsidP="00A6169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7.</w:t>
            </w:r>
          </w:p>
          <w:p w14:paraId="54508462" w14:textId="77777777" w:rsidR="00145A5D" w:rsidRPr="00B954AE" w:rsidRDefault="00145A5D" w:rsidP="00A6169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4076CB">
              <w:rPr>
                <w:rFonts w:ascii="Verdana" w:hAnsi="Verdana" w:cs="Arial"/>
              </w:rPr>
              <w:t>Decreto 1082 de 2015</w:t>
            </w:r>
            <w:r>
              <w:rPr>
                <w:rFonts w:ascii="Verdana" w:hAnsi="Verdana" w:cs="Arial"/>
              </w:rPr>
              <w:t xml:space="preserve">, artículos </w:t>
            </w:r>
            <w:r w:rsidRPr="004076CB">
              <w:rPr>
                <w:rFonts w:ascii="Verdana" w:hAnsi="Verdana" w:cs="Arial"/>
              </w:rPr>
              <w:t>2.2.1.2.3.1.1 a 2.2.1.2.3.1.19</w:t>
            </w:r>
            <w:r>
              <w:rPr>
                <w:rFonts w:ascii="Verdana" w:hAnsi="Verdana" w:cs="Arial"/>
              </w:rPr>
              <w:t xml:space="preserve">. </w:t>
            </w:r>
          </w:p>
          <w:p w14:paraId="2FF382FD" w14:textId="77777777" w:rsidR="00145A5D" w:rsidRPr="00DA543F" w:rsidRDefault="00145A5D" w:rsidP="00A6169D">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de Comercio, artículos 1068, 1071 y 1103.</w:t>
            </w:r>
            <w:r w:rsidRPr="002407CE">
              <w:rPr>
                <w:rFonts w:ascii="Verdana" w:hAnsi="Verdana" w:cs="Arial"/>
              </w:rPr>
              <w:t xml:space="preserve">  </w:t>
            </w:r>
          </w:p>
        </w:tc>
      </w:tr>
    </w:tbl>
    <w:p w14:paraId="6C481381" w14:textId="77777777" w:rsidR="00145A5D" w:rsidRPr="002407CE" w:rsidRDefault="00145A5D" w:rsidP="00145A5D">
      <w:pPr>
        <w:widowControl w:val="0"/>
        <w:autoSpaceDE w:val="0"/>
        <w:autoSpaceDN w:val="0"/>
        <w:spacing w:after="0" w:line="276" w:lineRule="auto"/>
        <w:jc w:val="both"/>
        <w:rPr>
          <w:rFonts w:ascii="Verdana" w:hAnsi="Verdana" w:cs="Arial"/>
        </w:rPr>
      </w:pPr>
    </w:p>
    <w:p w14:paraId="242125D0" w14:textId="77777777" w:rsidR="00145A5D" w:rsidRPr="00593A5F" w:rsidRDefault="00145A5D" w:rsidP="00145A5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6B47042" w14:textId="77777777" w:rsidR="00145A5D" w:rsidRPr="00593A5F" w:rsidRDefault="00145A5D" w:rsidP="00145A5D">
      <w:pPr>
        <w:widowControl w:val="0"/>
        <w:autoSpaceDE w:val="0"/>
        <w:autoSpaceDN w:val="0"/>
        <w:spacing w:after="0" w:line="276" w:lineRule="auto"/>
        <w:jc w:val="both"/>
        <w:rPr>
          <w:rFonts w:ascii="Verdana" w:hAnsi="Verdana" w:cs="Arial"/>
        </w:rPr>
      </w:pPr>
    </w:p>
    <w:p w14:paraId="734369B1" w14:textId="77777777" w:rsidR="00145A5D" w:rsidRPr="00ED0098" w:rsidRDefault="00145A5D" w:rsidP="00145A5D">
      <w:pPr>
        <w:widowControl w:val="0"/>
        <w:autoSpaceDE w:val="0"/>
        <w:autoSpaceDN w:val="0"/>
        <w:spacing w:after="0" w:line="276" w:lineRule="auto"/>
        <w:jc w:val="both"/>
        <w:rPr>
          <w:rStyle w:val="normaltextrun"/>
          <w:rFonts w:ascii="Verdana" w:hAnsi="Verdana" w:cs="Arial"/>
          <w:shd w:val="clear" w:color="auto" w:fill="FFFFFF"/>
        </w:rPr>
      </w:pPr>
      <w:r w:rsidRPr="00106FA6">
        <w:rPr>
          <w:rFonts w:ascii="Verdana" w:eastAsia="Calibri" w:hAnsi="Verdana" w:cs="Arial"/>
          <w:shd w:val="clear" w:color="auto" w:fill="FFFFFF"/>
        </w:rPr>
        <w:t>Esta Subdirección se ha pronunciado sobre el régimen de garantías en los Conceptos 2201913000009075 del 9 de diciembre de 2019, C-080 del 8 de abril de 2021, C-525 del 27 de septiembre de 2021, C-567 del 08 de octubre del 2021, C-036 del 28 de febrero del 2022, C-126 de 25 de marzo de 2022, C-583 del 19 de octubre de 2022, C-584 del 26 de septiembre de 2022, C-712 del 13 de octubre de 2022 y C-845 del 7 de diciembre de 2022, C-036 del 31 de marzo de 2023, C-386 del 31 de enero de 2024</w:t>
      </w:r>
      <w:r>
        <w:rPr>
          <w:rFonts w:ascii="Verdana" w:eastAsia="Calibri" w:hAnsi="Verdana" w:cs="Arial"/>
          <w:shd w:val="clear" w:color="auto" w:fill="FFFFFF"/>
        </w:rPr>
        <w:t>,</w:t>
      </w:r>
      <w:r w:rsidRPr="00106FA6">
        <w:rPr>
          <w:rFonts w:ascii="Verdana" w:eastAsia="Calibri" w:hAnsi="Verdana" w:cs="Arial"/>
          <w:shd w:val="clear" w:color="auto" w:fill="FFFFFF"/>
        </w:rPr>
        <w:t xml:space="preserve"> C-306 del 12 de agosto de 2024</w:t>
      </w:r>
      <w:r>
        <w:rPr>
          <w:rFonts w:ascii="Verdana" w:eastAsia="Calibri" w:hAnsi="Verdana" w:cs="Arial"/>
          <w:shd w:val="clear" w:color="auto" w:fill="FFFFFF"/>
        </w:rPr>
        <w:t xml:space="preserve"> y C-099 del 21 de febrero de 2025</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C3AA3B5" w14:textId="77777777" w:rsidR="00145A5D" w:rsidRPr="00096788" w:rsidRDefault="00145A5D" w:rsidP="00145A5D">
      <w:pPr>
        <w:widowControl w:val="0"/>
        <w:autoSpaceDE w:val="0"/>
        <w:autoSpaceDN w:val="0"/>
        <w:spacing w:after="0" w:line="276" w:lineRule="auto"/>
        <w:jc w:val="both"/>
        <w:rPr>
          <w:rFonts w:ascii="Verdana" w:hAnsi="Verdana" w:cs="Arial"/>
          <w:color w:val="000000" w:themeColor="text1"/>
          <w:shd w:val="clear" w:color="auto" w:fill="FFFFFF"/>
        </w:rPr>
      </w:pPr>
    </w:p>
    <w:p w14:paraId="70A7530F" w14:textId="77777777" w:rsidR="00145A5D" w:rsidRPr="00E440FD" w:rsidRDefault="00145A5D" w:rsidP="00145A5D">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032009">
        <w:rPr>
          <w:rFonts w:ascii="Verdana" w:hAnsi="Verdana"/>
          <w:color w:val="000000"/>
        </w:rPr>
        <w:lastRenderedPageBreak/>
        <w:t xml:space="preserve">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5E2A4D79" w14:textId="77777777" w:rsidR="00145A5D" w:rsidRPr="009C4035" w:rsidRDefault="00145A5D" w:rsidP="00145A5D">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17EB11DF" w14:textId="77777777" w:rsidR="00145A5D" w:rsidRPr="00593A5F" w:rsidRDefault="00145A5D" w:rsidP="00145A5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019559B" w14:textId="77777777" w:rsidR="00145A5D" w:rsidRPr="00593A5F" w:rsidRDefault="00145A5D" w:rsidP="00145A5D">
      <w:pPr>
        <w:widowControl w:val="0"/>
        <w:autoSpaceDE w:val="0"/>
        <w:autoSpaceDN w:val="0"/>
        <w:spacing w:after="0" w:line="276" w:lineRule="auto"/>
        <w:jc w:val="both"/>
        <w:rPr>
          <w:rFonts w:ascii="Verdana" w:hAnsi="Verdana" w:cs="Arial"/>
        </w:rPr>
      </w:pPr>
    </w:p>
    <w:p w14:paraId="56F5DA9F" w14:textId="77777777" w:rsidR="00145A5D" w:rsidRPr="00593A5F" w:rsidRDefault="00145A5D" w:rsidP="00145A5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0D0F242" w14:textId="435ABC9C" w:rsidR="00145A5D" w:rsidRPr="00593A5F" w:rsidRDefault="00A32E87" w:rsidP="00145A5D">
      <w:pPr>
        <w:spacing w:line="276" w:lineRule="auto"/>
        <w:jc w:val="center"/>
        <w:rPr>
          <w:rFonts w:ascii="Verdana" w:hAnsi="Verdana" w:cs="Arial"/>
          <w:color w:val="000000"/>
          <w:lang w:val="es-ES_tradnl" w:eastAsia="es-CO"/>
        </w:rPr>
      </w:pPr>
      <w:r>
        <w:rPr>
          <w:noProof/>
        </w:rPr>
        <w:drawing>
          <wp:inline distT="0" distB="0" distL="0" distR="0" wp14:anchorId="0B02944D" wp14:editId="7D00097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45A5D" w:rsidRPr="00593A5F" w14:paraId="27834C62" w14:textId="77777777" w:rsidTr="00A6169D">
        <w:trPr>
          <w:trHeight w:val="315"/>
        </w:trPr>
        <w:tc>
          <w:tcPr>
            <w:tcW w:w="893" w:type="dxa"/>
            <w:vAlign w:val="center"/>
            <w:hideMark/>
          </w:tcPr>
          <w:p w14:paraId="5AEAA86A" w14:textId="77777777" w:rsidR="00145A5D" w:rsidRPr="003751C7" w:rsidRDefault="00145A5D" w:rsidP="00A6169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74BCD8F" w14:textId="77777777" w:rsidR="00145A5D" w:rsidRPr="00254A7A" w:rsidRDefault="00145A5D" w:rsidP="00A6169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219EC19" w14:textId="77777777" w:rsidR="00145A5D" w:rsidRPr="00254A7A" w:rsidRDefault="00145A5D" w:rsidP="00A6169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145A5D" w:rsidRPr="00593A5F" w14:paraId="799A8F2C" w14:textId="77777777" w:rsidTr="00A6169D">
        <w:trPr>
          <w:trHeight w:val="330"/>
        </w:trPr>
        <w:tc>
          <w:tcPr>
            <w:tcW w:w="893" w:type="dxa"/>
            <w:vAlign w:val="center"/>
            <w:hideMark/>
          </w:tcPr>
          <w:p w14:paraId="73160226" w14:textId="77777777" w:rsidR="00145A5D" w:rsidRPr="003751C7" w:rsidRDefault="00145A5D" w:rsidP="00A6169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5D4EA3" w14:textId="77777777" w:rsidR="00145A5D" w:rsidRPr="0033383A" w:rsidRDefault="00145A5D" w:rsidP="00A6169D">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4C9E8D2B" w14:textId="77777777" w:rsidR="00145A5D" w:rsidRPr="00254A7A" w:rsidRDefault="00145A5D" w:rsidP="00A6169D">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145A5D" w:rsidRPr="00593A5F" w14:paraId="0EA4A4B2" w14:textId="77777777" w:rsidTr="00A6169D">
        <w:trPr>
          <w:trHeight w:val="300"/>
        </w:trPr>
        <w:tc>
          <w:tcPr>
            <w:tcW w:w="893" w:type="dxa"/>
            <w:vAlign w:val="center"/>
          </w:tcPr>
          <w:p w14:paraId="3973820C" w14:textId="77777777" w:rsidR="00145A5D" w:rsidRPr="003751C7" w:rsidRDefault="00145A5D" w:rsidP="00A6169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50D1F7" w14:textId="77777777" w:rsidR="00145A5D" w:rsidRPr="00731523" w:rsidRDefault="00145A5D" w:rsidP="00A6169D">
            <w:pPr>
              <w:contextualSpacing/>
              <w:rPr>
                <w:rFonts w:ascii="Verdana" w:eastAsia="Calibri" w:hAnsi="Verdana" w:cs="Arial"/>
                <w:sz w:val="16"/>
                <w:szCs w:val="16"/>
                <w:lang w:val="es-ES" w:eastAsia="es-ES"/>
              </w:rPr>
            </w:pPr>
            <w:r w:rsidRPr="067A50E4">
              <w:rPr>
                <w:rFonts w:ascii="Verdana" w:eastAsia="Calibri" w:hAnsi="Verdana" w:cs="Arial"/>
                <w:sz w:val="16"/>
                <w:szCs w:val="16"/>
                <w:lang w:val="es-ES" w:eastAsia="es-ES"/>
              </w:rPr>
              <w:t xml:space="preserve">Carolina Quintero </w:t>
            </w:r>
            <w:proofErr w:type="spellStart"/>
            <w:r w:rsidRPr="067A50E4">
              <w:rPr>
                <w:rFonts w:ascii="Verdana" w:eastAsia="Calibri" w:hAnsi="Verdana" w:cs="Arial"/>
                <w:sz w:val="16"/>
                <w:szCs w:val="16"/>
                <w:lang w:val="es-ES" w:eastAsia="es-ES"/>
              </w:rPr>
              <w:t>Gacharná</w:t>
            </w:r>
            <w:proofErr w:type="spellEnd"/>
          </w:p>
          <w:p w14:paraId="7A93AEC5" w14:textId="77777777" w:rsidR="00145A5D" w:rsidRPr="003751C7" w:rsidRDefault="00145A5D" w:rsidP="00A6169D">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5D4EEE25" w14:textId="77777777" w:rsidR="00145A5D" w:rsidRPr="00543BFE" w:rsidRDefault="00145A5D" w:rsidP="00145A5D"/>
    <w:p w14:paraId="0F293BF4" w14:textId="552FFEC6" w:rsidR="00127233" w:rsidRPr="003A3481" w:rsidRDefault="00127233" w:rsidP="003A3481"/>
    <w:sectPr w:rsidR="00127233" w:rsidRPr="003A348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400C4" w14:textId="77777777" w:rsidR="00A569C3" w:rsidRDefault="00A569C3" w:rsidP="004A1847">
      <w:pPr>
        <w:spacing w:after="0" w:line="240" w:lineRule="auto"/>
      </w:pPr>
      <w:r>
        <w:separator/>
      </w:r>
    </w:p>
  </w:endnote>
  <w:endnote w:type="continuationSeparator" w:id="0">
    <w:p w14:paraId="6363F9CD" w14:textId="77777777" w:rsidR="00A569C3" w:rsidRDefault="00A569C3" w:rsidP="004A1847">
      <w:pPr>
        <w:spacing w:after="0" w:line="240" w:lineRule="auto"/>
      </w:pPr>
      <w:r>
        <w:continuationSeparator/>
      </w:r>
    </w:p>
  </w:endnote>
  <w:endnote w:type="continuationNotice" w:id="1">
    <w:p w14:paraId="13AF79EC" w14:textId="77777777" w:rsidR="00A569C3" w:rsidRDefault="00A569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B8F133" w14:textId="77777777" w:rsidR="00A569C3" w:rsidRDefault="00A569C3" w:rsidP="004A1847">
      <w:pPr>
        <w:spacing w:after="0" w:line="240" w:lineRule="auto"/>
      </w:pPr>
      <w:r>
        <w:separator/>
      </w:r>
    </w:p>
  </w:footnote>
  <w:footnote w:type="continuationSeparator" w:id="0">
    <w:p w14:paraId="5BA8663F" w14:textId="77777777" w:rsidR="00A569C3" w:rsidRDefault="00A569C3" w:rsidP="004A1847">
      <w:pPr>
        <w:spacing w:after="0" w:line="240" w:lineRule="auto"/>
      </w:pPr>
      <w:r>
        <w:continuationSeparator/>
      </w:r>
    </w:p>
  </w:footnote>
  <w:footnote w:type="continuationNotice" w:id="1">
    <w:p w14:paraId="264AC32A" w14:textId="77777777" w:rsidR="00A569C3" w:rsidRDefault="00A569C3">
      <w:pPr>
        <w:spacing w:after="0" w:line="240" w:lineRule="auto"/>
      </w:pPr>
    </w:p>
  </w:footnote>
  <w:footnote w:id="2">
    <w:p w14:paraId="39471015" w14:textId="77777777" w:rsidR="00145A5D" w:rsidRPr="005C303C" w:rsidRDefault="00145A5D" w:rsidP="00145A5D">
      <w:pPr>
        <w:pStyle w:val="Textonotapie"/>
        <w:ind w:firstLine="708"/>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CORTE CONSTITUCIONAL. Sentencia C-452 de 1999. M.P. Eduardo Cifuentes Muñoz. </w:t>
      </w:r>
    </w:p>
  </w:footnote>
  <w:footnote w:id="3">
    <w:p w14:paraId="7640CE91" w14:textId="77777777" w:rsidR="00145A5D" w:rsidRPr="005C303C" w:rsidRDefault="00145A5D" w:rsidP="00145A5D">
      <w:pPr>
        <w:pStyle w:val="Textonotapie"/>
        <w:ind w:firstLine="708"/>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DROMI, José Roberto. La licitación pública. Buenos Aires: Ciudad Argentina, 1980. pp. 288-289.</w:t>
      </w:r>
    </w:p>
  </w:footnote>
  <w:footnote w:id="4">
    <w:p w14:paraId="2F4181D2" w14:textId="77777777" w:rsidR="00145A5D" w:rsidRPr="005C303C" w:rsidRDefault="00145A5D" w:rsidP="00145A5D">
      <w:pPr>
        <w:pStyle w:val="Textonotapie"/>
        <w:ind w:firstLine="708"/>
        <w:jc w:val="both"/>
        <w:rPr>
          <w:rFonts w:ascii="Verdana" w:hAnsi="Verdana" w:cs="Arial"/>
          <w:sz w:val="16"/>
          <w:szCs w:val="16"/>
        </w:rPr>
      </w:pPr>
      <w:r w:rsidRPr="005C303C">
        <w:rPr>
          <w:rStyle w:val="Refdenotaalpie"/>
          <w:rFonts w:ascii="Verdana" w:hAnsi="Verdana" w:cs="Arial"/>
          <w:sz w:val="16"/>
          <w:szCs w:val="16"/>
        </w:rPr>
        <w:footnoteRef/>
      </w:r>
      <w:r w:rsidRPr="005C303C">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5">
    <w:p w14:paraId="7F1E1367" w14:textId="77777777" w:rsidR="00145A5D" w:rsidRPr="005C303C" w:rsidRDefault="00145A5D" w:rsidP="00145A5D">
      <w:pPr>
        <w:pStyle w:val="Textonotapie"/>
        <w:ind w:firstLine="709"/>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6">
    <w:p w14:paraId="3FDB4683" w14:textId="77777777" w:rsidR="00145A5D" w:rsidRPr="005C303C" w:rsidRDefault="00145A5D" w:rsidP="00145A5D">
      <w:pPr>
        <w:pStyle w:val="Textonotapie"/>
        <w:ind w:firstLine="709"/>
        <w:jc w:val="both"/>
        <w:rPr>
          <w:rFonts w:ascii="Verdana" w:hAnsi="Verdana" w:cs="Arial"/>
          <w:color w:val="000000" w:themeColor="text1"/>
          <w:sz w:val="16"/>
          <w:szCs w:val="16"/>
          <w:lang w:val="es-ES"/>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5C303C">
        <w:rPr>
          <w:rFonts w:ascii="Verdana" w:hAnsi="Verdana" w:cs="Arial"/>
          <w:color w:val="000000" w:themeColor="text1"/>
          <w:sz w:val="16"/>
          <w:szCs w:val="16"/>
          <w:lang w:val="es-ES"/>
        </w:rPr>
        <w:t xml:space="preserve">Igualmente, el inciso primero del artículo 1071 </w:t>
      </w:r>
      <w:r w:rsidRPr="005C303C">
        <w:rPr>
          <w:rFonts w:ascii="Verdana" w:hAnsi="Verdana" w:cs="Arial"/>
          <w:i/>
          <w:iCs/>
          <w:color w:val="000000" w:themeColor="text1"/>
          <w:sz w:val="16"/>
          <w:szCs w:val="16"/>
          <w:lang w:val="es-ES"/>
        </w:rPr>
        <w:t>ibidem</w:t>
      </w:r>
      <w:r w:rsidRPr="005C303C">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7">
    <w:p w14:paraId="5A2CDF3D" w14:textId="77777777" w:rsidR="00145A5D" w:rsidRPr="005C303C" w:rsidRDefault="00145A5D" w:rsidP="00145A5D">
      <w:pPr>
        <w:pStyle w:val="Textonotapie"/>
        <w:ind w:firstLine="709"/>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8">
    <w:p w14:paraId="067D043A"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w:t>
      </w:r>
      <w:r w:rsidRPr="005C303C">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0517C91D"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7C8B1F2B"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0037B953"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74CD4CA3"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0301FEDC"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9">
    <w:p w14:paraId="7E9AE029"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w:t>
      </w:r>
      <w:r w:rsidRPr="005C303C">
        <w:rPr>
          <w:rFonts w:ascii="Verdana" w:hAnsi="Verdana" w:cs="Arial"/>
          <w:color w:val="000000" w:themeColor="text1"/>
          <w:sz w:val="16"/>
          <w:szCs w:val="16"/>
          <w:lang w:val="es-CO"/>
        </w:rPr>
        <w:t xml:space="preserve">“Artículo </w:t>
      </w:r>
      <w:bookmarkStart w:id="3" w:name="_Hlk67919994"/>
      <w:r w:rsidRPr="005C303C">
        <w:rPr>
          <w:rFonts w:ascii="Verdana" w:hAnsi="Verdana" w:cs="Arial"/>
          <w:color w:val="000000" w:themeColor="text1"/>
          <w:sz w:val="16"/>
          <w:szCs w:val="16"/>
          <w:lang w:val="es-CO"/>
        </w:rPr>
        <w:t>2.2.1.2.3.1.7</w:t>
      </w:r>
      <w:bookmarkEnd w:id="3"/>
      <w:r w:rsidRPr="005C303C">
        <w:rPr>
          <w:rFonts w:ascii="Verdana" w:hAnsi="Verdana" w:cs="Arial"/>
          <w:color w:val="000000" w:themeColor="text1"/>
          <w:sz w:val="16"/>
          <w:szCs w:val="16"/>
          <w:lang w:val="es-CO"/>
        </w:rPr>
        <w:t xml:space="preserve">. Garantía de cumplimiento. La garantía de cumplimiento del contrato debe cubrir: </w:t>
      </w:r>
    </w:p>
    <w:p w14:paraId="1696857A" w14:textId="77777777" w:rsidR="00145A5D" w:rsidRPr="005C303C" w:rsidRDefault="00145A5D" w:rsidP="00145A5D">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278B580A"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27BD2C62"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 Cumplimiento del contrato. Este amparo cubre a la Entidad Estatal de los perjuicios derivados de: </w:t>
      </w:r>
    </w:p>
    <w:p w14:paraId="1F5C80A6" w14:textId="77777777" w:rsidR="00145A5D" w:rsidRPr="005C303C" w:rsidRDefault="00145A5D" w:rsidP="00145A5D">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 xml:space="preserve">3.1. </w:t>
      </w:r>
      <w:bookmarkStart w:id="4" w:name="_Hlk67920056"/>
      <w:r w:rsidRPr="005C303C">
        <w:rPr>
          <w:rFonts w:ascii="Verdana" w:hAnsi="Verdana" w:cs="Arial"/>
          <w:color w:val="000000" w:themeColor="text1"/>
          <w:sz w:val="16"/>
          <w:szCs w:val="16"/>
          <w:lang w:val="es-CO"/>
        </w:rPr>
        <w:t xml:space="preserve">El incumplimiento total o parcial del contrato, cuando el incumplimiento es imputable al contratista; </w:t>
      </w:r>
    </w:p>
    <w:p w14:paraId="3AC01A00" w14:textId="77777777" w:rsidR="00145A5D" w:rsidRPr="005C303C" w:rsidRDefault="00145A5D" w:rsidP="00145A5D">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76B24697"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4"/>
    <w:p w14:paraId="304B11D5"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3.4. El pago del valor de las multas y de la cláusula penal pecuniaria. </w:t>
      </w:r>
    </w:p>
    <w:p w14:paraId="4AF7DF56"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223FC09C"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02CCD666"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0749C39A"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33E1956F"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702E8D6B"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8. </w:t>
      </w:r>
      <w:bookmarkStart w:id="5" w:name="_Hlk143267015"/>
      <w:r w:rsidRPr="005C303C">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5"/>
      <w:r w:rsidRPr="005C303C">
        <w:rPr>
          <w:rFonts w:ascii="Verdana" w:hAnsi="Verdana" w:cs="Arial"/>
          <w:color w:val="000000" w:themeColor="text1"/>
          <w:sz w:val="16"/>
          <w:szCs w:val="16"/>
          <w:lang w:val="es-CO"/>
        </w:rPr>
        <w:t>”.</w:t>
      </w:r>
    </w:p>
    <w:p w14:paraId="44F4251D" w14:textId="77777777" w:rsidR="00145A5D" w:rsidRPr="005C303C" w:rsidRDefault="00145A5D" w:rsidP="00145A5D">
      <w:pPr>
        <w:pStyle w:val="Textonotapie"/>
        <w:ind w:firstLine="708"/>
        <w:jc w:val="both"/>
        <w:rPr>
          <w:rFonts w:ascii="Verdana" w:hAnsi="Verdana" w:cs="Arial"/>
          <w:color w:val="000000" w:themeColor="text1"/>
          <w:sz w:val="16"/>
          <w:szCs w:val="16"/>
          <w:lang w:val="es-CO"/>
        </w:rPr>
      </w:pPr>
    </w:p>
  </w:footnote>
  <w:footnote w:id="10">
    <w:p w14:paraId="6540A685" w14:textId="77777777" w:rsidR="00145A5D" w:rsidRPr="002F22FF" w:rsidRDefault="00145A5D" w:rsidP="00145A5D">
      <w:pPr>
        <w:pStyle w:val="Textonotapie"/>
        <w:ind w:firstLine="708"/>
        <w:jc w:val="both"/>
        <w:rPr>
          <w:rFonts w:ascii="Verdana" w:hAnsi="Verdana"/>
          <w:sz w:val="16"/>
          <w:szCs w:val="16"/>
          <w:lang w:val="es-CO"/>
        </w:rPr>
      </w:pPr>
      <w:r w:rsidRPr="002F22FF">
        <w:rPr>
          <w:rStyle w:val="Refdenotaalpie"/>
          <w:rFonts w:ascii="Verdana" w:hAnsi="Verdana"/>
          <w:sz w:val="16"/>
          <w:szCs w:val="16"/>
        </w:rPr>
        <w:footnoteRef/>
      </w:r>
      <w:r w:rsidRPr="002F22FF">
        <w:rPr>
          <w:rFonts w:ascii="Verdana" w:hAnsi="Verdana"/>
          <w:sz w:val="16"/>
          <w:szCs w:val="16"/>
        </w:rPr>
        <w:t xml:space="preserve"> </w:t>
      </w:r>
      <w:r>
        <w:rPr>
          <w:rFonts w:ascii="Verdana" w:hAnsi="Verdana"/>
          <w:sz w:val="16"/>
          <w:szCs w:val="16"/>
        </w:rPr>
        <w:t>OSSA G., J. Efren. Teoría general del seguro. Segunda edición. Bogotá: Temis, 1991. pp. 245-246.</w:t>
      </w:r>
    </w:p>
  </w:footnote>
  <w:footnote w:id="11">
    <w:p w14:paraId="7C41261D" w14:textId="77777777" w:rsidR="00145A5D" w:rsidRPr="00556C02" w:rsidRDefault="00145A5D" w:rsidP="00145A5D">
      <w:pPr>
        <w:pStyle w:val="Textonotapie"/>
        <w:ind w:firstLine="708"/>
        <w:jc w:val="both"/>
        <w:rPr>
          <w:rFonts w:ascii="Verdana" w:hAnsi="Verdana"/>
          <w:sz w:val="16"/>
          <w:szCs w:val="16"/>
        </w:rPr>
      </w:pPr>
      <w:r w:rsidRPr="00A0111D">
        <w:rPr>
          <w:rStyle w:val="Refdenotaalpie"/>
          <w:rFonts w:ascii="Verdana" w:hAnsi="Verdana"/>
          <w:sz w:val="16"/>
          <w:szCs w:val="16"/>
        </w:rPr>
        <w:footnoteRef/>
      </w:r>
      <w:r>
        <w:rPr>
          <w:rFonts w:ascii="Verdana" w:hAnsi="Verdana"/>
          <w:sz w:val="16"/>
          <w:szCs w:val="16"/>
        </w:rPr>
        <w:t xml:space="preserve"> Así, “</w:t>
      </w:r>
      <w:r w:rsidRPr="00556C02">
        <w:rPr>
          <w:rFonts w:ascii="Verdana" w:hAnsi="Verdana"/>
          <w:sz w:val="16"/>
          <w:szCs w:val="16"/>
        </w:rPr>
        <w:t>Todas las cláusulas que dividan</w:t>
      </w:r>
      <w:r>
        <w:rPr>
          <w:rFonts w:ascii="Verdana" w:hAnsi="Verdana"/>
          <w:sz w:val="16"/>
          <w:szCs w:val="16"/>
        </w:rPr>
        <w:t xml:space="preserve"> </w:t>
      </w:r>
      <w:r w:rsidRPr="00556C02">
        <w:rPr>
          <w:rFonts w:ascii="Verdana" w:hAnsi="Verdana"/>
          <w:sz w:val="16"/>
          <w:szCs w:val="16"/>
        </w:rPr>
        <w:t>entre el asegurador y el asegurado la carga de la indemnización</w:t>
      </w:r>
      <w:r>
        <w:rPr>
          <w:rFonts w:ascii="Verdana" w:hAnsi="Verdana"/>
          <w:sz w:val="16"/>
          <w:szCs w:val="16"/>
        </w:rPr>
        <w:t xml:space="preserve"> </w:t>
      </w:r>
      <w:r w:rsidRPr="00556C02">
        <w:rPr>
          <w:rFonts w:ascii="Verdana" w:hAnsi="Verdana"/>
          <w:sz w:val="16"/>
          <w:szCs w:val="16"/>
        </w:rPr>
        <w:t>presentan las mayores ventajas. Le hacen soportar al asegurado</w:t>
      </w:r>
      <w:r>
        <w:rPr>
          <w:rFonts w:ascii="Verdana" w:hAnsi="Verdana"/>
          <w:sz w:val="16"/>
          <w:szCs w:val="16"/>
        </w:rPr>
        <w:t xml:space="preserve"> </w:t>
      </w:r>
      <w:r w:rsidRPr="00556C02">
        <w:rPr>
          <w:rFonts w:ascii="Verdana" w:hAnsi="Verdana"/>
          <w:sz w:val="16"/>
          <w:szCs w:val="16"/>
        </w:rPr>
        <w:t>una parte del daño causado por su culpa. El asegurado se muestra</w:t>
      </w:r>
      <w:r>
        <w:rPr>
          <w:rFonts w:ascii="Verdana" w:hAnsi="Verdana"/>
          <w:sz w:val="16"/>
          <w:szCs w:val="16"/>
        </w:rPr>
        <w:t xml:space="preserve"> </w:t>
      </w:r>
      <w:r w:rsidRPr="00556C02">
        <w:rPr>
          <w:rFonts w:ascii="Verdana" w:hAnsi="Verdana"/>
          <w:sz w:val="16"/>
          <w:szCs w:val="16"/>
        </w:rPr>
        <w:t>entonces más prudente que si, enteramente garantizado, no tuviera</w:t>
      </w:r>
      <w:r>
        <w:rPr>
          <w:rFonts w:ascii="Verdana" w:hAnsi="Verdana"/>
          <w:sz w:val="16"/>
          <w:szCs w:val="16"/>
        </w:rPr>
        <w:t xml:space="preserve"> </w:t>
      </w:r>
      <w:r w:rsidRPr="00556C02">
        <w:rPr>
          <w:rFonts w:ascii="Verdana" w:hAnsi="Verdana"/>
          <w:sz w:val="16"/>
          <w:szCs w:val="16"/>
        </w:rPr>
        <w:t>que temer las resultas de sus imprudencias. Causa así menos daños</w:t>
      </w:r>
      <w:r>
        <w:rPr>
          <w:rFonts w:ascii="Verdana" w:hAnsi="Verdana"/>
          <w:sz w:val="16"/>
          <w:szCs w:val="16"/>
        </w:rPr>
        <w:t xml:space="preserve"> […]” (Cfr. </w:t>
      </w:r>
      <w:r w:rsidRPr="00D72280">
        <w:rPr>
          <w:rFonts w:ascii="Verdana" w:hAnsi="Verdana"/>
          <w:sz w:val="16"/>
          <w:szCs w:val="16"/>
        </w:rPr>
        <w:t xml:space="preserve">MAZEUD, Henri; MAZEUD, León &amp; TUNC, André. Tratado teórico y práctico de la responsabilidad civil delictual y contractual. Tomo </w:t>
      </w:r>
      <w:r>
        <w:rPr>
          <w:rFonts w:ascii="Verdana" w:hAnsi="Verdana"/>
          <w:sz w:val="16"/>
          <w:szCs w:val="16"/>
        </w:rPr>
        <w:t>Tercero</w:t>
      </w:r>
      <w:r w:rsidRPr="00D72280">
        <w:rPr>
          <w:rFonts w:ascii="Verdana" w:hAnsi="Verdana"/>
          <w:sz w:val="16"/>
          <w:szCs w:val="16"/>
        </w:rPr>
        <w:t>. Volumen I</w:t>
      </w:r>
      <w:r>
        <w:rPr>
          <w:rFonts w:ascii="Verdana" w:hAnsi="Verdana"/>
          <w:sz w:val="16"/>
          <w:szCs w:val="16"/>
        </w:rPr>
        <w:t>I</w:t>
      </w:r>
      <w:r w:rsidRPr="00D72280">
        <w:rPr>
          <w:rFonts w:ascii="Verdana" w:hAnsi="Verdana"/>
          <w:sz w:val="16"/>
          <w:szCs w:val="16"/>
        </w:rPr>
        <w:t>. Buenos Aires: Ediciones Jurídicas Europa América, 2018. p. 1</w:t>
      </w:r>
      <w:r>
        <w:rPr>
          <w:rFonts w:ascii="Verdana" w:hAnsi="Verdana"/>
          <w:sz w:val="16"/>
          <w:szCs w:val="16"/>
        </w:rPr>
        <w:t>85).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0D5A"/>
    <w:rsid w:val="00061B2A"/>
    <w:rsid w:val="00082362"/>
    <w:rsid w:val="000A683E"/>
    <w:rsid w:val="000B19B9"/>
    <w:rsid w:val="000D0334"/>
    <w:rsid w:val="000F6486"/>
    <w:rsid w:val="0011453F"/>
    <w:rsid w:val="00125105"/>
    <w:rsid w:val="00127233"/>
    <w:rsid w:val="00145A5D"/>
    <w:rsid w:val="00166D05"/>
    <w:rsid w:val="001E4177"/>
    <w:rsid w:val="001F7DC6"/>
    <w:rsid w:val="002421BB"/>
    <w:rsid w:val="0025796E"/>
    <w:rsid w:val="002707A2"/>
    <w:rsid w:val="00274565"/>
    <w:rsid w:val="002951A0"/>
    <w:rsid w:val="002962BC"/>
    <w:rsid w:val="002A093D"/>
    <w:rsid w:val="002A0DD0"/>
    <w:rsid w:val="002A49AC"/>
    <w:rsid w:val="002A64FD"/>
    <w:rsid w:val="002C7A84"/>
    <w:rsid w:val="002E4993"/>
    <w:rsid w:val="002E4FD9"/>
    <w:rsid w:val="00322A85"/>
    <w:rsid w:val="00324168"/>
    <w:rsid w:val="003448F4"/>
    <w:rsid w:val="00374F5E"/>
    <w:rsid w:val="00377E3E"/>
    <w:rsid w:val="00396AD2"/>
    <w:rsid w:val="003A3481"/>
    <w:rsid w:val="003A779E"/>
    <w:rsid w:val="003D0F4D"/>
    <w:rsid w:val="003D5B0D"/>
    <w:rsid w:val="003E0499"/>
    <w:rsid w:val="003F3941"/>
    <w:rsid w:val="003F7EB1"/>
    <w:rsid w:val="00405EE4"/>
    <w:rsid w:val="00406575"/>
    <w:rsid w:val="00414C74"/>
    <w:rsid w:val="0042722E"/>
    <w:rsid w:val="0044528D"/>
    <w:rsid w:val="00446F29"/>
    <w:rsid w:val="0049588B"/>
    <w:rsid w:val="004A1847"/>
    <w:rsid w:val="004A305D"/>
    <w:rsid w:val="004F21C4"/>
    <w:rsid w:val="004F685F"/>
    <w:rsid w:val="00520F6D"/>
    <w:rsid w:val="005566E8"/>
    <w:rsid w:val="00574867"/>
    <w:rsid w:val="00591460"/>
    <w:rsid w:val="005C3777"/>
    <w:rsid w:val="005C5CDC"/>
    <w:rsid w:val="005D476C"/>
    <w:rsid w:val="006219F8"/>
    <w:rsid w:val="006302F7"/>
    <w:rsid w:val="00665D70"/>
    <w:rsid w:val="006900D9"/>
    <w:rsid w:val="006A760C"/>
    <w:rsid w:val="006D5831"/>
    <w:rsid w:val="00706C16"/>
    <w:rsid w:val="00756841"/>
    <w:rsid w:val="007649AB"/>
    <w:rsid w:val="00771D0C"/>
    <w:rsid w:val="007833AC"/>
    <w:rsid w:val="007B268C"/>
    <w:rsid w:val="007B7171"/>
    <w:rsid w:val="007C0C0F"/>
    <w:rsid w:val="007C3DC2"/>
    <w:rsid w:val="007E5497"/>
    <w:rsid w:val="007F5DB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005E"/>
    <w:rsid w:val="009C71FA"/>
    <w:rsid w:val="009C72E7"/>
    <w:rsid w:val="009D3058"/>
    <w:rsid w:val="009F3A13"/>
    <w:rsid w:val="00A122D3"/>
    <w:rsid w:val="00A17F13"/>
    <w:rsid w:val="00A20739"/>
    <w:rsid w:val="00A32E87"/>
    <w:rsid w:val="00A33C78"/>
    <w:rsid w:val="00A569C3"/>
    <w:rsid w:val="00A94850"/>
    <w:rsid w:val="00AB0ADB"/>
    <w:rsid w:val="00B00C0E"/>
    <w:rsid w:val="00B01B1A"/>
    <w:rsid w:val="00B27323"/>
    <w:rsid w:val="00B44A47"/>
    <w:rsid w:val="00B72CD3"/>
    <w:rsid w:val="00B72FFF"/>
    <w:rsid w:val="00BB15A8"/>
    <w:rsid w:val="00BC3D36"/>
    <w:rsid w:val="00BD7F72"/>
    <w:rsid w:val="00C04FB3"/>
    <w:rsid w:val="00C330EB"/>
    <w:rsid w:val="00C754BE"/>
    <w:rsid w:val="00C76B1C"/>
    <w:rsid w:val="00CB6357"/>
    <w:rsid w:val="00CC1B26"/>
    <w:rsid w:val="00D423A2"/>
    <w:rsid w:val="00D520D8"/>
    <w:rsid w:val="00D63AC2"/>
    <w:rsid w:val="00D7383B"/>
    <w:rsid w:val="00D95006"/>
    <w:rsid w:val="00DA231B"/>
    <w:rsid w:val="00DC39FC"/>
    <w:rsid w:val="00DF5254"/>
    <w:rsid w:val="00DF6739"/>
    <w:rsid w:val="00E16408"/>
    <w:rsid w:val="00E20894"/>
    <w:rsid w:val="00E245AB"/>
    <w:rsid w:val="00E2764C"/>
    <w:rsid w:val="00E27F2E"/>
    <w:rsid w:val="00E50AFE"/>
    <w:rsid w:val="00E72458"/>
    <w:rsid w:val="00E75C92"/>
    <w:rsid w:val="00E771DC"/>
    <w:rsid w:val="00E8772A"/>
    <w:rsid w:val="00E90F6B"/>
    <w:rsid w:val="00E92C27"/>
    <w:rsid w:val="00EA0E3D"/>
    <w:rsid w:val="00EC38A7"/>
    <w:rsid w:val="00EE1AA8"/>
    <w:rsid w:val="00F31EDC"/>
    <w:rsid w:val="00F456DF"/>
    <w:rsid w:val="00F462B3"/>
    <w:rsid w:val="00F5664F"/>
    <w:rsid w:val="00F666C4"/>
    <w:rsid w:val="00F76AFC"/>
    <w:rsid w:val="00F94077"/>
    <w:rsid w:val="00FA47C0"/>
    <w:rsid w:val="00FB4D51"/>
    <w:rsid w:val="00FB5DD1"/>
    <w:rsid w:val="00FC2B5D"/>
    <w:rsid w:val="00FF1449"/>
    <w:rsid w:val="067A50E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45A5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45A5D"/>
    <w:rPr>
      <w:rFonts w:ascii="Geomanist Light" w:hAnsi="Geomanist Light"/>
      <w:lang w:val="es-ES"/>
    </w:rPr>
  </w:style>
  <w:style w:type="character" w:customStyle="1" w:styleId="s15">
    <w:name w:val="s15"/>
    <w:basedOn w:val="Fuentedeprrafopredeter"/>
    <w:rsid w:val="00145A5D"/>
  </w:style>
  <w:style w:type="character" w:customStyle="1" w:styleId="apple-converted-space">
    <w:name w:val="apple-converted-space"/>
    <w:basedOn w:val="Fuentedeprrafopredeter"/>
    <w:rsid w:val="00145A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caste1007@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D34388-DC14-465D-B3DE-556073A95669}"/>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4490</Words>
  <Characters>24700</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2025-09-25T15:54:00Z</dcterms:created>
  <dcterms:modified xsi:type="dcterms:W3CDTF">2025-09-26T14:54:00Z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