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B177F9" w14:textId="77777777" w:rsidR="009B7D85" w:rsidRPr="009B46EA" w:rsidRDefault="009B7D85" w:rsidP="009B7D85">
      <w:pPr>
        <w:pStyle w:val="Textoindependiente"/>
        <w:spacing w:after="0" w:line="240" w:lineRule="auto"/>
        <w:ind w:right="102"/>
        <w:jc w:val="both"/>
        <w:rPr>
          <w:rFonts w:ascii="Verdana" w:hAnsi="Verdana" w:cs="Arial"/>
          <w:b/>
          <w:color w:val="000000" w:themeColor="text1"/>
          <w:sz w:val="20"/>
          <w:szCs w:val="20"/>
          <w:lang w:val="es-ES_tradnl"/>
        </w:rPr>
      </w:pPr>
    </w:p>
    <w:p w14:paraId="43546A04" w14:textId="77777777" w:rsidR="009B7D85" w:rsidRPr="009B46EA" w:rsidRDefault="009B7D85" w:rsidP="009B7D85">
      <w:pPr>
        <w:pStyle w:val="Textoindependiente"/>
        <w:spacing w:after="0" w:line="240" w:lineRule="auto"/>
        <w:ind w:right="102"/>
        <w:jc w:val="both"/>
        <w:rPr>
          <w:rFonts w:ascii="Verdana" w:hAnsi="Verdana" w:cs="Arial"/>
          <w:b/>
          <w:color w:val="000000" w:themeColor="text1"/>
          <w:lang w:val="es-ES_tradnl"/>
        </w:rPr>
      </w:pPr>
      <w:r w:rsidRPr="009B46EA">
        <w:rPr>
          <w:rFonts w:ascii="Verdana" w:hAnsi="Verdana" w:cs="Arial"/>
          <w:b/>
          <w:color w:val="000000" w:themeColor="text1"/>
          <w:lang w:val="es-ES_tradnl"/>
        </w:rPr>
        <w:t xml:space="preserve">DECRETO 092 DE 2017 – Finalidad – Clases de contratos </w:t>
      </w:r>
    </w:p>
    <w:p w14:paraId="1873FE23" w14:textId="77777777" w:rsidR="009B7D85" w:rsidRPr="009B46EA" w:rsidRDefault="009B7D85" w:rsidP="009B7D85">
      <w:pPr>
        <w:pStyle w:val="Textoindependiente"/>
        <w:spacing w:after="0" w:line="240" w:lineRule="auto"/>
        <w:ind w:right="102"/>
        <w:jc w:val="both"/>
        <w:rPr>
          <w:rFonts w:ascii="Verdana" w:hAnsi="Verdana" w:cs="Arial"/>
          <w:color w:val="000000" w:themeColor="text1"/>
          <w:sz w:val="20"/>
          <w:szCs w:val="20"/>
          <w:lang w:val="es-ES_tradnl"/>
        </w:rPr>
      </w:pPr>
    </w:p>
    <w:p w14:paraId="34E940A9" w14:textId="77777777" w:rsidR="009B7D85" w:rsidRPr="009B46EA" w:rsidRDefault="009B7D85" w:rsidP="009B7D85">
      <w:pPr>
        <w:spacing w:after="0" w:line="240" w:lineRule="auto"/>
        <w:jc w:val="both"/>
        <w:rPr>
          <w:rFonts w:ascii="Verdana" w:eastAsia="Arial" w:hAnsi="Verdana" w:cs="Arial"/>
          <w:color w:val="000000" w:themeColor="text1"/>
          <w:sz w:val="20"/>
          <w:szCs w:val="20"/>
          <w:lang w:val="es-ES_tradnl"/>
        </w:rPr>
      </w:pPr>
      <w:r w:rsidRPr="009B46EA">
        <w:rPr>
          <w:rFonts w:ascii="Verdana" w:eastAsia="Arial" w:hAnsi="Verdana" w:cs="Arial"/>
          <w:color w:val="000000" w:themeColor="text1"/>
          <w:sz w:val="20"/>
          <w:szCs w:val="20"/>
          <w:lang w:val="es-ES_tradnl"/>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9B46EA">
        <w:rPr>
          <w:rFonts w:ascii="Verdana" w:eastAsia="Arial" w:hAnsi="Verdana" w:cs="Arial"/>
          <w:color w:val="000000" w:themeColor="text1"/>
          <w:sz w:val="20"/>
          <w:szCs w:val="20"/>
          <w:lang w:val="es-ES_tradnl"/>
        </w:rPr>
        <w:t>ii</w:t>
      </w:r>
      <w:proofErr w:type="spellEnd"/>
      <w:r w:rsidRPr="009B46EA">
        <w:rPr>
          <w:rFonts w:ascii="Verdana" w:eastAsia="Arial" w:hAnsi="Verdana" w:cs="Arial"/>
          <w:color w:val="000000" w:themeColor="text1"/>
          <w:sz w:val="20"/>
          <w:szCs w:val="20"/>
          <w:lang w:val="es-ES_tradnl"/>
        </w:rPr>
        <w:t>) los convenios de asociación, para el desarrollo conjunto de actividades relacionadas con las funciones de las entidades estatales, en desarrollo del artículo 96 de la Ley 489 de 1998.</w:t>
      </w:r>
    </w:p>
    <w:p w14:paraId="736252DB" w14:textId="77777777" w:rsidR="009B7D85" w:rsidRPr="009B46EA" w:rsidRDefault="009B7D85" w:rsidP="009B7D85">
      <w:pPr>
        <w:spacing w:after="0" w:line="240" w:lineRule="auto"/>
        <w:jc w:val="both"/>
        <w:rPr>
          <w:rFonts w:ascii="Verdana" w:eastAsia="Calibri" w:hAnsi="Verdana" w:cs="Arial"/>
          <w:b/>
          <w:color w:val="000000" w:themeColor="text1"/>
          <w:lang w:val="es-ES_tradnl"/>
        </w:rPr>
      </w:pPr>
    </w:p>
    <w:p w14:paraId="1E1195FE" w14:textId="77777777" w:rsidR="009B7D85" w:rsidRPr="009B46EA" w:rsidRDefault="009B7D85" w:rsidP="009B7D85">
      <w:pPr>
        <w:spacing w:after="0" w:line="240" w:lineRule="auto"/>
        <w:jc w:val="both"/>
        <w:rPr>
          <w:rFonts w:ascii="Verdana" w:eastAsia="Calibri" w:hAnsi="Verdana" w:cs="Arial"/>
          <w:b/>
          <w:color w:val="000000" w:themeColor="text1"/>
          <w:lang w:val="es-ES_tradnl"/>
        </w:rPr>
      </w:pPr>
      <w:r w:rsidRPr="009B46EA">
        <w:rPr>
          <w:rFonts w:ascii="Verdana" w:eastAsia="Calibri" w:hAnsi="Verdana" w:cs="Arial"/>
          <w:b/>
          <w:color w:val="000000" w:themeColor="text1"/>
          <w:lang w:val="es-ES_tradnl"/>
        </w:rPr>
        <w:t xml:space="preserve">CONTRATACIÓN CON ESAL – Contrato de colaboración – Objeto – Alcance </w:t>
      </w:r>
    </w:p>
    <w:p w14:paraId="23B40379" w14:textId="77777777" w:rsidR="009B7D85" w:rsidRPr="009B46EA" w:rsidRDefault="009B7D85" w:rsidP="009B7D85">
      <w:pPr>
        <w:spacing w:after="0" w:line="240" w:lineRule="auto"/>
        <w:jc w:val="both"/>
        <w:rPr>
          <w:rFonts w:ascii="Verdana" w:eastAsia="Calibri" w:hAnsi="Verdana" w:cs="Arial"/>
          <w:bCs/>
          <w:color w:val="000000" w:themeColor="text1"/>
          <w:sz w:val="20"/>
          <w:szCs w:val="20"/>
          <w:lang w:val="es-ES_tradnl"/>
        </w:rPr>
      </w:pPr>
    </w:p>
    <w:p w14:paraId="4BF5F666" w14:textId="77777777" w:rsidR="009B7D85" w:rsidRPr="009B46EA" w:rsidRDefault="009B7D85" w:rsidP="009B7D85">
      <w:pPr>
        <w:spacing w:after="0" w:line="240" w:lineRule="aut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Los contratos del artículo 355 de la Constitución Política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Para celebrar estos contratos, según lo establece el artículo 3 del Decreto 092 de 2017, por regla general, la entidad debe adelantar un proceso competitivo para seleccionar la entidad sin ánimo de lucro contratista.</w:t>
      </w:r>
    </w:p>
    <w:p w14:paraId="35FA7ECC" w14:textId="77777777" w:rsidR="009B7D85" w:rsidRPr="009B46EA" w:rsidRDefault="009B7D85" w:rsidP="009B7D85">
      <w:pPr>
        <w:spacing w:after="0" w:line="240" w:lineRule="auto"/>
        <w:jc w:val="both"/>
        <w:rPr>
          <w:rFonts w:ascii="Verdana" w:hAnsi="Verdana" w:cs="Arial"/>
          <w:color w:val="000000" w:themeColor="text1"/>
          <w:sz w:val="21"/>
          <w:szCs w:val="21"/>
          <w:lang w:val="es-ES_tradnl"/>
        </w:rPr>
      </w:pPr>
    </w:p>
    <w:p w14:paraId="65DF267B" w14:textId="77777777" w:rsidR="009B7D85" w:rsidRPr="009B46EA" w:rsidRDefault="009B7D85" w:rsidP="009B7D85">
      <w:pPr>
        <w:spacing w:after="0" w:line="240" w:lineRule="auto"/>
        <w:jc w:val="both"/>
        <w:rPr>
          <w:rFonts w:ascii="Verdana" w:eastAsia="Calibri" w:hAnsi="Verdana" w:cs="Arial"/>
          <w:b/>
          <w:color w:val="000000" w:themeColor="text1"/>
          <w:lang w:val="es-ES_tradnl"/>
        </w:rPr>
      </w:pPr>
      <w:bookmarkStart w:id="0" w:name="_Hlk109118876"/>
      <w:r w:rsidRPr="009B46EA">
        <w:rPr>
          <w:rFonts w:ascii="Verdana" w:eastAsia="Calibri" w:hAnsi="Verdana" w:cs="Arial"/>
          <w:b/>
          <w:color w:val="000000" w:themeColor="text1"/>
          <w:lang w:val="es-ES_tradnl"/>
        </w:rPr>
        <w:t>CONTRATACIÓN CON ESAL –</w:t>
      </w:r>
      <w:bookmarkEnd w:id="0"/>
      <w:r w:rsidRPr="009B46EA">
        <w:rPr>
          <w:rFonts w:ascii="Verdana" w:eastAsia="Calibri" w:hAnsi="Verdana" w:cs="Arial"/>
          <w:b/>
          <w:color w:val="000000" w:themeColor="text1"/>
          <w:lang w:val="es-ES_tradnl"/>
        </w:rPr>
        <w:t xml:space="preserve"> Contrato de asociación – Objeto – Alcance </w:t>
      </w:r>
    </w:p>
    <w:p w14:paraId="3CD43CBD" w14:textId="77777777" w:rsidR="009B7D85" w:rsidRPr="009B46EA" w:rsidRDefault="009B7D85" w:rsidP="009B7D85">
      <w:pPr>
        <w:spacing w:after="0" w:line="240" w:lineRule="auto"/>
        <w:jc w:val="both"/>
        <w:rPr>
          <w:rFonts w:ascii="Verdana" w:eastAsia="Calibri" w:hAnsi="Verdana" w:cs="Arial"/>
          <w:b/>
          <w:color w:val="000000" w:themeColor="text1"/>
          <w:lang w:val="es-ES_tradnl"/>
        </w:rPr>
      </w:pPr>
    </w:p>
    <w:p w14:paraId="352AE265" w14:textId="77777777" w:rsidR="009B7D85" w:rsidRPr="009B46EA" w:rsidRDefault="009B7D85" w:rsidP="009B7D85">
      <w:pPr>
        <w:spacing w:after="0" w:line="240" w:lineRule="aut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De otro lado, los convenios de asociación «[t]</w:t>
      </w:r>
      <w:proofErr w:type="spellStart"/>
      <w:r w:rsidRPr="009B46EA">
        <w:rPr>
          <w:rFonts w:ascii="Verdana" w:hAnsi="Verdana" w:cs="Arial"/>
          <w:color w:val="000000" w:themeColor="text1"/>
          <w:sz w:val="20"/>
          <w:szCs w:val="20"/>
          <w:lang w:val="es-ES_tradnl"/>
        </w:rPr>
        <w:t>ienen</w:t>
      </w:r>
      <w:proofErr w:type="spellEnd"/>
      <w:r w:rsidRPr="009B46EA">
        <w:rPr>
          <w:rFonts w:ascii="Verdana" w:hAnsi="Verdana" w:cs="Arial"/>
          <w:color w:val="000000" w:themeColor="text1"/>
          <w:sz w:val="20"/>
          <w:szCs w:val="20"/>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w:t>
      </w:r>
      <w:proofErr w:type="gramStart"/>
      <w:r w:rsidRPr="009B46EA">
        <w:rPr>
          <w:rFonts w:ascii="Verdana" w:hAnsi="Verdana" w:cs="Arial"/>
          <w:color w:val="000000" w:themeColor="text1"/>
          <w:sz w:val="20"/>
          <w:szCs w:val="20"/>
          <w:lang w:val="es-ES_tradnl"/>
        </w:rPr>
        <w:t>y</w:t>
      </w:r>
      <w:proofErr w:type="gramEnd"/>
      <w:r w:rsidRPr="009B46EA">
        <w:rPr>
          <w:rFonts w:ascii="Verdana" w:hAnsi="Verdana" w:cs="Arial"/>
          <w:color w:val="000000" w:themeColor="text1"/>
          <w:sz w:val="20"/>
          <w:szCs w:val="20"/>
          <w:lang w:val="es-ES_tradnl"/>
        </w:rPr>
        <w:t xml:space="preserve"> por tanto, la entidad no instruye al contratista para desarrollar los programas o actividades previstas, sino que se asocia con él para el cumplimiento de objetivos comunes.</w:t>
      </w:r>
    </w:p>
    <w:p w14:paraId="493C1E53" w14:textId="77777777" w:rsidR="009B7D85" w:rsidRPr="009B46EA" w:rsidRDefault="009B7D85" w:rsidP="009B7D85">
      <w:pPr>
        <w:spacing w:after="0" w:line="240" w:lineRule="auto"/>
        <w:jc w:val="both"/>
        <w:rPr>
          <w:rFonts w:ascii="Verdana" w:hAnsi="Verdana" w:cs="Arial"/>
          <w:color w:val="000000" w:themeColor="text1"/>
          <w:sz w:val="20"/>
          <w:szCs w:val="20"/>
          <w:lang w:val="es-ES_tradnl"/>
        </w:rPr>
      </w:pPr>
    </w:p>
    <w:p w14:paraId="226423A1" w14:textId="77777777" w:rsidR="009B7D85" w:rsidRPr="009B46EA" w:rsidRDefault="009B7D85" w:rsidP="009B7D85">
      <w:pPr>
        <w:spacing w:after="0" w:line="240" w:lineRule="auto"/>
        <w:jc w:val="both"/>
        <w:rPr>
          <w:rFonts w:ascii="Verdana" w:eastAsia="Calibri" w:hAnsi="Verdana" w:cs="Arial"/>
          <w:b/>
          <w:color w:val="000000" w:themeColor="text1"/>
          <w:lang w:val="es-ES_tradnl"/>
        </w:rPr>
      </w:pPr>
      <w:r w:rsidRPr="009B46EA">
        <w:rPr>
          <w:rFonts w:ascii="Verdana" w:eastAsia="Calibri" w:hAnsi="Verdana" w:cs="Arial"/>
          <w:b/>
          <w:color w:val="000000" w:themeColor="text1"/>
          <w:lang w:val="es-ES_tradnl"/>
        </w:rPr>
        <w:t>CONVENIOS DE ASOCIACIÓN – Multiplicidad de sujetos – Límites legales</w:t>
      </w:r>
    </w:p>
    <w:p w14:paraId="76B7AA48" w14:textId="77777777" w:rsidR="009B7D85" w:rsidRPr="009B46EA" w:rsidRDefault="009B7D85" w:rsidP="009B7D85">
      <w:pPr>
        <w:spacing w:after="0" w:line="240" w:lineRule="auto"/>
        <w:jc w:val="both"/>
        <w:rPr>
          <w:rFonts w:ascii="Verdana" w:hAnsi="Verdana" w:cs="Arial"/>
          <w:color w:val="000000" w:themeColor="text1"/>
          <w:sz w:val="20"/>
          <w:szCs w:val="20"/>
          <w:lang w:val="es-ES_tradnl"/>
        </w:rPr>
      </w:pPr>
    </w:p>
    <w:p w14:paraId="7F0C8157" w14:textId="77777777" w:rsidR="009B7D85" w:rsidRPr="009B46EA" w:rsidRDefault="009B7D85" w:rsidP="009B7D85">
      <w:pPr>
        <w:pStyle w:val="Sinespaciad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 xml:space="preserve">La normativa vigente no impide que varias entidades suscriban conjuntamente el convenio de asociación y tampoco que dos o más ESAL pueden hacerlo, a través de las figuras asociativas autorizadas por la ley, por ejemplo, como unión temporal o como consorcio. Sin embargo,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w:t>
      </w:r>
      <w:r w:rsidRPr="009B46EA">
        <w:rPr>
          <w:rFonts w:ascii="Verdana" w:hAnsi="Verdana" w:cs="Arial"/>
          <w:color w:val="000000" w:themeColor="text1"/>
          <w:sz w:val="20"/>
          <w:szCs w:val="20"/>
          <w:lang w:val="es-ES_tradnl"/>
        </w:rPr>
        <w:lastRenderedPageBreak/>
        <w:t>coincidir. Igualmente, atendiendo a que los convenios de asociación «no estarán sujetos a competencia cuando la entidad sin ánimo de lucro comprometa recursos en dinero para la ejecución de esas actividades en una proporción no inferior al 30% del valor total del convenio», la o las entidades deben asegurarse de que su contratista, es decir, una o varias ESAL, aporten al menos el treinta por ciento del valor del convenio para celebrarlo directamente. Además, en atención al inciso 2 del artículo 5 del Decreto 092 de 2017, deben «asegurarse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1DCAEA1B" w14:textId="77777777" w:rsidR="009B7D85" w:rsidRPr="009B46EA" w:rsidRDefault="009B7D85" w:rsidP="009B7D85">
      <w:pPr>
        <w:pStyle w:val="Sinespaciado"/>
        <w:jc w:val="both"/>
        <w:rPr>
          <w:rFonts w:ascii="Verdana" w:hAnsi="Verdana" w:cs="Arial"/>
          <w:color w:val="000000" w:themeColor="text1"/>
          <w:sz w:val="20"/>
          <w:szCs w:val="20"/>
          <w:lang w:val="es-ES_tradnl"/>
        </w:rPr>
      </w:pPr>
    </w:p>
    <w:p w14:paraId="0C83DF42" w14:textId="77777777" w:rsidR="009B7D85" w:rsidRPr="009B46EA" w:rsidRDefault="009B7D85" w:rsidP="009B7D85">
      <w:pPr>
        <w:spacing w:after="0" w:line="240" w:lineRule="auto"/>
        <w:jc w:val="both"/>
        <w:rPr>
          <w:rFonts w:ascii="Verdana" w:eastAsia="Calibri" w:hAnsi="Verdana" w:cs="Arial"/>
          <w:b/>
          <w:color w:val="000000" w:themeColor="text1"/>
          <w:lang w:val="es-ES_tradnl"/>
        </w:rPr>
      </w:pPr>
      <w:r w:rsidRPr="009B46EA">
        <w:rPr>
          <w:rFonts w:ascii="Verdana" w:eastAsia="Calibri" w:hAnsi="Verdana" w:cs="Arial"/>
          <w:b/>
          <w:color w:val="000000" w:themeColor="text1"/>
          <w:lang w:val="es-ES_tradnl"/>
        </w:rPr>
        <w:t xml:space="preserve">DECRETO 092 DE 2017 – Criterios – Aplicación </w:t>
      </w:r>
    </w:p>
    <w:p w14:paraId="3A18AB76" w14:textId="77777777" w:rsidR="009B7D85" w:rsidRPr="009B46EA" w:rsidRDefault="009B7D85" w:rsidP="009B7D85">
      <w:pPr>
        <w:spacing w:after="0" w:line="240" w:lineRule="auto"/>
        <w:jc w:val="both"/>
        <w:rPr>
          <w:rFonts w:ascii="Verdana" w:hAnsi="Verdana" w:cs="Arial"/>
          <w:color w:val="000000" w:themeColor="text1"/>
          <w:sz w:val="21"/>
          <w:szCs w:val="21"/>
          <w:lang w:val="es-ES_tradnl"/>
        </w:rPr>
      </w:pPr>
    </w:p>
    <w:p w14:paraId="5F76A874" w14:textId="77777777" w:rsidR="009B7D85" w:rsidRDefault="009B7D85" w:rsidP="009B7D85">
      <w:pPr>
        <w:spacing w:after="0" w:line="240" w:lineRule="aut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 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w:t>
      </w:r>
    </w:p>
    <w:p w14:paraId="66295B21" w14:textId="77777777" w:rsidR="009B7D85" w:rsidRPr="009B46EA" w:rsidRDefault="009B7D85" w:rsidP="009B7D85">
      <w:pPr>
        <w:spacing w:after="0" w:line="240" w:lineRule="auto"/>
        <w:jc w:val="both"/>
        <w:rPr>
          <w:rFonts w:ascii="Verdana" w:hAnsi="Verdana" w:cs="Arial"/>
          <w:color w:val="000000" w:themeColor="text1"/>
          <w:sz w:val="20"/>
          <w:szCs w:val="20"/>
          <w:lang w:val="es-ES_tradnl"/>
        </w:rPr>
      </w:pPr>
    </w:p>
    <w:p w14:paraId="5B99FDE4" w14:textId="77777777" w:rsidR="009B7D85" w:rsidRPr="009B46EA" w:rsidRDefault="009B7D85" w:rsidP="009B7D85">
      <w:pPr>
        <w:spacing w:after="0" w:line="240" w:lineRule="auto"/>
        <w:jc w:val="both"/>
        <w:rPr>
          <w:rFonts w:ascii="Verdana" w:eastAsia="Arial" w:hAnsi="Verdana" w:cs="Arial"/>
          <w:b/>
          <w:bCs/>
          <w:color w:val="000000" w:themeColor="text1"/>
          <w:lang w:val="es-ES_tradnl"/>
        </w:rPr>
      </w:pPr>
      <w:r w:rsidRPr="009B46EA">
        <w:rPr>
          <w:rFonts w:ascii="Verdana" w:eastAsia="Arial" w:hAnsi="Verdana" w:cs="Arial"/>
          <w:b/>
          <w:bCs/>
          <w:color w:val="000000" w:themeColor="text1"/>
          <w:lang w:val="es-ES_tradnl"/>
        </w:rPr>
        <w:t xml:space="preserve">DECRETO 092 DE 2017 – Normativa vigente </w:t>
      </w:r>
    </w:p>
    <w:p w14:paraId="3DAE0C2A" w14:textId="77777777" w:rsidR="009B7D85" w:rsidRPr="009B46EA" w:rsidRDefault="009B7D85" w:rsidP="009B7D85">
      <w:pPr>
        <w:spacing w:after="0" w:line="240" w:lineRule="auto"/>
        <w:jc w:val="both"/>
        <w:rPr>
          <w:rFonts w:ascii="Verdana" w:eastAsia="Arial" w:hAnsi="Verdana" w:cs="Arial"/>
          <w:b/>
          <w:bCs/>
          <w:color w:val="000000" w:themeColor="text1"/>
          <w:lang w:val="es-ES_tradnl"/>
        </w:rPr>
      </w:pPr>
    </w:p>
    <w:p w14:paraId="59157628" w14:textId="77777777" w:rsidR="009B7D85" w:rsidRDefault="009B7D85" w:rsidP="009B7D85">
      <w:pPr>
        <w:spacing w:after="0" w:line="240" w:lineRule="auto"/>
        <w:jc w:val="both"/>
        <w:rPr>
          <w:rFonts w:ascii="Verdana" w:hAnsi="Verdana" w:cs="Arial"/>
          <w:color w:val="000000" w:themeColor="text1"/>
          <w:sz w:val="20"/>
          <w:szCs w:val="20"/>
          <w:lang w:val="es-ES_tradnl"/>
        </w:rPr>
      </w:pPr>
      <w:r w:rsidRPr="008251D0">
        <w:rPr>
          <w:rFonts w:ascii="Verdana" w:hAnsi="Verdana" w:cs="Arial"/>
          <w:color w:val="000000" w:themeColor="text1"/>
          <w:sz w:val="20"/>
          <w:szCs w:val="20"/>
          <w:lang w:val="es-ES_tradnl"/>
        </w:rPr>
        <w:t xml:space="preserve">Es importante tener en cuenta que la contratación con entidades sin ánimo de lucro se rige por el Decreto 092 de 2017, salvo lo que ha sido objeto de suspensión provisional por parte del Consejo de Estado. Por lo tanto, las entidades públicas que desean celebrar contratos del artículo 355 de la Constitución Política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8251D0">
        <w:rPr>
          <w:rFonts w:ascii="Verdana" w:hAnsi="Verdana" w:cs="Arial"/>
          <w:color w:val="000000" w:themeColor="text1"/>
          <w:sz w:val="20"/>
          <w:szCs w:val="20"/>
          <w:lang w:val="es-ES_tradnl"/>
        </w:rPr>
        <w:t>ii</w:t>
      </w:r>
      <w:proofErr w:type="spellEnd"/>
      <w:r w:rsidRPr="008251D0">
        <w:rPr>
          <w:rFonts w:ascii="Verdana" w:hAnsi="Verdana" w:cs="Arial"/>
          <w:color w:val="000000" w:themeColor="text1"/>
          <w:sz w:val="20"/>
          <w:szCs w:val="20"/>
          <w:lang w:val="es-ES_tradnl"/>
        </w:rPr>
        <w:t xml:space="preserve">) tampoco debe condicionarse a que la contratación con las ESAL garantice la optimización de los recursos públicos en términos de eficiencia, eficacia, economía y manejo del riesgo; </w:t>
      </w:r>
      <w:proofErr w:type="spellStart"/>
      <w:r w:rsidRPr="008251D0">
        <w:rPr>
          <w:rFonts w:ascii="Verdana" w:hAnsi="Verdana" w:cs="Arial"/>
          <w:color w:val="000000" w:themeColor="text1"/>
          <w:sz w:val="20"/>
          <w:szCs w:val="20"/>
          <w:lang w:val="es-ES_tradnl"/>
        </w:rPr>
        <w:t>iii</w:t>
      </w:r>
      <w:proofErr w:type="spellEnd"/>
      <w:r w:rsidRPr="008251D0">
        <w:rPr>
          <w:rFonts w:ascii="Verdana" w:hAnsi="Verdana" w:cs="Arial"/>
          <w:color w:val="000000" w:themeColor="text1"/>
          <w:sz w:val="20"/>
          <w:szCs w:val="20"/>
          <w:lang w:val="es-ES_tradnl"/>
        </w:rPr>
        <w:t xml:space="preserve">) el objeto del contrato debe estar acorde con el plan nacional o seccional de desarrollo; </w:t>
      </w:r>
      <w:proofErr w:type="spellStart"/>
      <w:r w:rsidRPr="008251D0">
        <w:rPr>
          <w:rFonts w:ascii="Verdana" w:hAnsi="Verdana" w:cs="Arial"/>
          <w:color w:val="000000" w:themeColor="text1"/>
          <w:sz w:val="20"/>
          <w:szCs w:val="20"/>
          <w:lang w:val="es-ES_tradnl"/>
        </w:rPr>
        <w:t>iv</w:t>
      </w:r>
      <w:proofErr w:type="spellEnd"/>
      <w:r w:rsidRPr="008251D0">
        <w:rPr>
          <w:rFonts w:ascii="Verdana" w:hAnsi="Verdana" w:cs="Arial"/>
          <w:color w:val="000000" w:themeColor="text1"/>
          <w:sz w:val="20"/>
          <w:szCs w:val="20"/>
          <w:lang w:val="es-ES_tradnl"/>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8251D0">
        <w:rPr>
          <w:rFonts w:ascii="Verdana" w:hAnsi="Verdana" w:cs="Arial"/>
          <w:color w:val="000000" w:themeColor="text1"/>
          <w:sz w:val="20"/>
          <w:szCs w:val="20"/>
          <w:lang w:val="es-ES_tradnl"/>
        </w:rPr>
        <w:t>iii</w:t>
      </w:r>
      <w:proofErr w:type="spellEnd"/>
      <w:r w:rsidRPr="008251D0">
        <w:rPr>
          <w:rFonts w:ascii="Verdana" w:hAnsi="Verdana" w:cs="Arial"/>
          <w:color w:val="000000" w:themeColor="text1"/>
          <w:sz w:val="20"/>
          <w:szCs w:val="20"/>
          <w:lang w:val="es-ES_tradnl"/>
        </w:rPr>
        <w:t>); y v) el contrato no debe establecer una relación conmutativa en el cual haya una contraprestación directa a favor de la entidad, ni instrucciones precisas dadas por esta al contratista para cumplir con el objeto del contrato</w:t>
      </w:r>
      <w:r w:rsidRPr="009B46EA">
        <w:rPr>
          <w:rFonts w:ascii="Verdana" w:hAnsi="Verdana" w:cs="Arial"/>
          <w:color w:val="000000" w:themeColor="text1"/>
          <w:sz w:val="20"/>
          <w:szCs w:val="20"/>
          <w:lang w:val="es-ES_tradnl"/>
        </w:rPr>
        <w:t>.</w:t>
      </w:r>
    </w:p>
    <w:p w14:paraId="2762C0A3" w14:textId="77777777" w:rsidR="009B7D85" w:rsidRPr="009B46EA" w:rsidRDefault="009B7D85" w:rsidP="009B7D85">
      <w:pPr>
        <w:spacing w:after="0" w:line="240" w:lineRule="auto"/>
        <w:jc w:val="both"/>
        <w:rPr>
          <w:rFonts w:ascii="Verdana" w:hAnsi="Verdana" w:cs="Arial"/>
          <w:color w:val="000000" w:themeColor="text1"/>
          <w:sz w:val="20"/>
          <w:szCs w:val="20"/>
          <w:lang w:val="es-ES_tradnl"/>
        </w:rPr>
      </w:pPr>
    </w:p>
    <w:p w14:paraId="1284FA78" w14:textId="77777777" w:rsidR="009B7D85" w:rsidRPr="009B46EA" w:rsidRDefault="009B7D85" w:rsidP="009B7D85">
      <w:pPr>
        <w:spacing w:after="0" w:line="240" w:lineRule="auto"/>
        <w:jc w:val="both"/>
        <w:rPr>
          <w:rFonts w:ascii="Verdana" w:eastAsia="Arial" w:hAnsi="Verdana" w:cs="Arial"/>
          <w:b/>
          <w:bCs/>
          <w:color w:val="000000" w:themeColor="text1"/>
          <w:lang w:val="es-ES_tradnl"/>
        </w:rPr>
      </w:pPr>
      <w:r>
        <w:rPr>
          <w:rFonts w:ascii="Verdana" w:eastAsia="Arial" w:hAnsi="Verdana" w:cs="Arial"/>
          <w:b/>
          <w:bCs/>
          <w:color w:val="000000" w:themeColor="text1"/>
          <w:lang w:val="es-ES_tradnl"/>
        </w:rPr>
        <w:t>INTEGRACIÓN NORMATIVA – Reglas</w:t>
      </w:r>
      <w:r w:rsidRPr="008251D0">
        <w:rPr>
          <w:rFonts w:ascii="Verdana" w:eastAsia="Arial" w:hAnsi="Verdana" w:cs="Arial"/>
          <w:b/>
          <w:bCs/>
          <w:color w:val="000000" w:themeColor="text1"/>
          <w:lang w:val="es-ES_tradnl"/>
        </w:rPr>
        <w:t xml:space="preserve"> generales del sistema de contratación pública</w:t>
      </w:r>
      <w:r>
        <w:rPr>
          <w:rFonts w:ascii="Verdana" w:eastAsia="Arial" w:hAnsi="Verdana" w:cs="Arial"/>
          <w:b/>
          <w:bCs/>
          <w:color w:val="000000" w:themeColor="text1"/>
          <w:lang w:val="es-ES_tradnl"/>
        </w:rPr>
        <w:t xml:space="preserve"> </w:t>
      </w:r>
    </w:p>
    <w:p w14:paraId="12898B7D" w14:textId="77777777" w:rsidR="009B7D85" w:rsidRPr="009B46EA" w:rsidRDefault="009B7D85" w:rsidP="009B7D85">
      <w:pPr>
        <w:spacing w:after="0" w:line="240" w:lineRule="auto"/>
        <w:jc w:val="both"/>
        <w:rPr>
          <w:rFonts w:ascii="Verdana" w:eastAsia="Arial" w:hAnsi="Verdana" w:cs="Arial"/>
          <w:b/>
          <w:bCs/>
          <w:color w:val="000000" w:themeColor="text1"/>
          <w:lang w:val="es-ES_tradnl"/>
        </w:rPr>
      </w:pPr>
    </w:p>
    <w:p w14:paraId="41B8EF3C" w14:textId="77777777" w:rsidR="009B7D85" w:rsidRDefault="009B7D85" w:rsidP="009B7D85">
      <w:pPr>
        <w:spacing w:after="0" w:line="240" w:lineRule="auto"/>
        <w:jc w:val="both"/>
        <w:rPr>
          <w:rFonts w:ascii="Verdana" w:hAnsi="Verdana" w:cs="Arial"/>
          <w:color w:val="000000" w:themeColor="text1"/>
          <w:sz w:val="20"/>
          <w:szCs w:val="20"/>
          <w:lang w:val="es-ES_tradnl"/>
        </w:rPr>
      </w:pPr>
      <w:r>
        <w:rPr>
          <w:rFonts w:ascii="Verdana" w:hAnsi="Verdana" w:cs="Arial"/>
          <w:color w:val="000000" w:themeColor="text1"/>
          <w:sz w:val="20"/>
          <w:szCs w:val="20"/>
          <w:lang w:val="es-ES_tradnl"/>
        </w:rPr>
        <w:t>E</w:t>
      </w:r>
      <w:r w:rsidRPr="008251D0">
        <w:rPr>
          <w:rFonts w:ascii="Verdana" w:hAnsi="Verdana" w:cs="Arial"/>
          <w:color w:val="000000" w:themeColor="text1"/>
          <w:sz w:val="20"/>
          <w:szCs w:val="20"/>
          <w:lang w:val="es-ES_tradnl"/>
        </w:rPr>
        <w:t xml:space="preserve">l artículo 8 del Decreto 092 de 2017 </w:t>
      </w:r>
      <w:r w:rsidRPr="008251D0">
        <w:rPr>
          <w:rFonts w:ascii="Verdana" w:hAnsi="Verdana" w:cs="Arial"/>
          <w:i/>
          <w:iCs/>
          <w:color w:val="000000" w:themeColor="text1"/>
          <w:sz w:val="20"/>
          <w:szCs w:val="20"/>
          <w:lang w:val="es-ES_tradnl"/>
        </w:rPr>
        <w:t>remite integralmente</w:t>
      </w:r>
      <w:r w:rsidRPr="008251D0">
        <w:rPr>
          <w:rFonts w:ascii="Verdana" w:hAnsi="Verdana" w:cs="Arial"/>
          <w:color w:val="000000" w:themeColor="text1"/>
          <w:sz w:val="20"/>
          <w:szCs w:val="20"/>
          <w:lang w:val="es-ES_tradnl"/>
        </w:rPr>
        <w:t xml:space="preserve"> al Estatuto de Contratación. Esta remisión alcanza tanto el régimen de inhabilidades e incompatibilidades como los principios aplicables a la contratación estatal. Por tanto, los artículos 6, 7 y 8 del reglamento autónomo deben interpretarse en bloque, es decir, aplicando la Ley 80 de 1993 a todo supuesto que no esté expresamente regulado en el Decreto 092 de 2017. En esta medida, los </w:t>
      </w:r>
      <w:r w:rsidRPr="008251D0">
        <w:rPr>
          <w:rFonts w:ascii="Verdana" w:hAnsi="Verdana" w:cs="Arial"/>
          <w:i/>
          <w:iCs/>
          <w:color w:val="000000" w:themeColor="text1"/>
          <w:sz w:val="20"/>
          <w:szCs w:val="20"/>
          <w:lang w:val="es-ES_tradnl"/>
        </w:rPr>
        <w:t xml:space="preserve">contratos del artículo 355 de la Constitución </w:t>
      </w:r>
      <w:r w:rsidRPr="008251D0">
        <w:rPr>
          <w:rFonts w:ascii="Verdana" w:hAnsi="Verdana" w:cs="Arial"/>
          <w:color w:val="000000" w:themeColor="text1"/>
          <w:sz w:val="20"/>
          <w:szCs w:val="20"/>
          <w:lang w:val="es-ES_tradnl"/>
        </w:rPr>
        <w:t xml:space="preserve">y los </w:t>
      </w:r>
      <w:r w:rsidRPr="008251D0">
        <w:rPr>
          <w:rFonts w:ascii="Verdana" w:hAnsi="Verdana" w:cs="Arial"/>
          <w:i/>
          <w:iCs/>
          <w:color w:val="000000" w:themeColor="text1"/>
          <w:sz w:val="20"/>
          <w:szCs w:val="20"/>
          <w:lang w:val="es-ES_tradnl"/>
        </w:rPr>
        <w:t>convenios de asociación</w:t>
      </w:r>
      <w:r w:rsidRPr="008251D0">
        <w:rPr>
          <w:rFonts w:ascii="Verdana" w:hAnsi="Verdana" w:cs="Arial"/>
          <w:color w:val="000000" w:themeColor="text1"/>
          <w:sz w:val="20"/>
          <w:szCs w:val="20"/>
          <w:lang w:val="es-ES_tradnl"/>
        </w:rPr>
        <w:t xml:space="preserve"> se rigen por el decreto y las normas del Estatuto General que sean compatibles con él.</w:t>
      </w:r>
    </w:p>
    <w:p w14:paraId="6EBEACCE" w14:textId="77777777" w:rsidR="009B7D85" w:rsidRDefault="009B7D85" w:rsidP="009B7D85">
      <w:pPr>
        <w:spacing w:after="0" w:line="240" w:lineRule="auto"/>
        <w:jc w:val="both"/>
        <w:rPr>
          <w:rFonts w:ascii="Verdana" w:hAnsi="Verdana" w:cs="Arial"/>
          <w:color w:val="000000" w:themeColor="text1"/>
          <w:sz w:val="20"/>
          <w:szCs w:val="20"/>
          <w:lang w:val="es-ES_tradnl"/>
        </w:rPr>
      </w:pPr>
    </w:p>
    <w:p w14:paraId="23F85D23" w14:textId="77777777" w:rsidR="009B7D85" w:rsidRPr="00FD1291" w:rsidRDefault="009B7D85" w:rsidP="009B7D85">
      <w:pPr>
        <w:spacing w:after="0" w:line="240" w:lineRule="auto"/>
        <w:jc w:val="both"/>
        <w:rPr>
          <w:rFonts w:ascii="Verdana" w:hAnsi="Verdana" w:cs="Arial"/>
          <w:b/>
          <w:bCs/>
          <w:color w:val="000000" w:themeColor="text1"/>
          <w:lang w:val="es-ES_tradnl"/>
        </w:rPr>
      </w:pPr>
      <w:r w:rsidRPr="00FD1291">
        <w:rPr>
          <w:rFonts w:ascii="Verdana" w:hAnsi="Verdana" w:cs="Arial"/>
          <w:b/>
          <w:bCs/>
          <w:color w:val="000000" w:themeColor="text1"/>
          <w:lang w:val="es-ES_tradnl"/>
        </w:rPr>
        <w:t xml:space="preserve">DECRETO 092 DE 2017 – Adjudicación – Perfeccionamiento – </w:t>
      </w:r>
      <w:r>
        <w:rPr>
          <w:rFonts w:ascii="Verdana" w:hAnsi="Verdana" w:cs="Arial"/>
          <w:b/>
          <w:bCs/>
          <w:color w:val="000000" w:themeColor="text1"/>
          <w:lang w:val="es-ES_tradnl"/>
        </w:rPr>
        <w:t xml:space="preserve">Régimen aplicable </w:t>
      </w:r>
    </w:p>
    <w:p w14:paraId="0A19DCC3" w14:textId="77777777" w:rsidR="009B7D85" w:rsidRPr="008251D0" w:rsidRDefault="009B7D85" w:rsidP="009B7D85">
      <w:pPr>
        <w:spacing w:after="0" w:line="240" w:lineRule="auto"/>
        <w:jc w:val="both"/>
        <w:rPr>
          <w:rFonts w:ascii="Verdana" w:hAnsi="Verdana" w:cs="Arial"/>
          <w:color w:val="000000" w:themeColor="text1"/>
          <w:sz w:val="20"/>
          <w:szCs w:val="20"/>
          <w:lang w:val="es-ES_tradnl"/>
        </w:rPr>
      </w:pPr>
    </w:p>
    <w:p w14:paraId="1D36DE89" w14:textId="77777777" w:rsidR="009B7D85" w:rsidRDefault="009B7D85" w:rsidP="009B7D85">
      <w:pPr>
        <w:tabs>
          <w:tab w:val="left" w:pos="426"/>
        </w:tabs>
        <w:spacing w:after="0" w:line="240" w:lineRule="auto"/>
        <w:contextualSpacing/>
        <w:jc w:val="both"/>
        <w:rPr>
          <w:rFonts w:ascii="Verdana" w:hAnsi="Verdana" w:cs="Arial"/>
          <w:bCs/>
          <w:color w:val="000000" w:themeColor="text1"/>
          <w:sz w:val="20"/>
          <w:szCs w:val="20"/>
          <w:lang w:val="es-ES"/>
        </w:rPr>
      </w:pPr>
      <w:r>
        <w:rPr>
          <w:rFonts w:ascii="Verdana" w:hAnsi="Verdana" w:cs="Arial"/>
          <w:bCs/>
          <w:color w:val="000000" w:themeColor="text1"/>
          <w:sz w:val="20"/>
          <w:szCs w:val="20"/>
          <w:lang w:val="es-ES"/>
        </w:rPr>
        <w:t>L</w:t>
      </w:r>
      <w:r w:rsidRPr="00FD1291">
        <w:rPr>
          <w:rFonts w:ascii="Verdana" w:hAnsi="Verdana" w:cs="Arial"/>
          <w:bCs/>
          <w:color w:val="000000" w:themeColor="text1"/>
          <w:sz w:val="20"/>
          <w:szCs w:val="20"/>
          <w:lang w:val="es-ES"/>
        </w:rPr>
        <w:t xml:space="preserve">a adjudicación es una de las formalidades principales dentro del recorrido de formación del contrato del Estado, ya que su existencia genera de manera inmediata una relación jurídica que compromete a las partes a celebrar el respectivo contrato. Esto es, firmar un documento en el que conste el acuerdo sobre el objeto y la contraprestación, así como las respectivas previsiones para el correcto desarrollo del objeto contractual. Así se desprende del artículo 9° de la Ley 1150 de 2007 cuando expresa que </w:t>
      </w:r>
      <w:r w:rsidRPr="00FD1291">
        <w:rPr>
          <w:rFonts w:ascii="Verdana" w:hAnsi="Verdana" w:cs="Arial"/>
          <w:bCs/>
          <w:i/>
          <w:iCs/>
          <w:color w:val="000000" w:themeColor="text1"/>
          <w:sz w:val="20"/>
          <w:szCs w:val="20"/>
          <w:lang w:val="es-ES"/>
        </w:rPr>
        <w:t>“</w:t>
      </w:r>
      <w:r w:rsidRPr="00FD1291">
        <w:rPr>
          <w:rFonts w:ascii="Verdana" w:hAnsi="Verdana" w:cs="Arial"/>
          <w:bCs/>
          <w:color w:val="000000" w:themeColor="text1"/>
          <w:sz w:val="20"/>
          <w:szCs w:val="20"/>
          <w:lang w:val="es-ES"/>
        </w:rPr>
        <w:t>El acto de adjudicación es irrevocable y obliga a la entidad y al adjudicatario […]”. Se concluye entonces que, es una obligación reciproca, esto es, oponible tanto a la Administración como al adjudicatario.</w:t>
      </w:r>
    </w:p>
    <w:p w14:paraId="5D04025D" w14:textId="77777777" w:rsidR="009B7D85" w:rsidRPr="00FD1291" w:rsidRDefault="009B7D85" w:rsidP="009B7D85">
      <w:pPr>
        <w:tabs>
          <w:tab w:val="left" w:pos="426"/>
        </w:tabs>
        <w:spacing w:after="0" w:line="240" w:lineRule="auto"/>
        <w:contextualSpacing/>
        <w:jc w:val="both"/>
        <w:rPr>
          <w:rFonts w:ascii="Verdana" w:hAnsi="Verdana" w:cs="Arial"/>
          <w:bCs/>
          <w:color w:val="000000" w:themeColor="text1"/>
          <w:sz w:val="20"/>
          <w:szCs w:val="20"/>
          <w:lang w:val="es-ES"/>
        </w:rPr>
      </w:pPr>
    </w:p>
    <w:p w14:paraId="7DDB8665" w14:textId="77777777" w:rsidR="009B7D85" w:rsidRDefault="009B7D85" w:rsidP="009B7D85">
      <w:pPr>
        <w:tabs>
          <w:tab w:val="left" w:pos="426"/>
        </w:tabs>
        <w:spacing w:after="0" w:line="240" w:lineRule="auto"/>
        <w:contextualSpacing/>
        <w:jc w:val="both"/>
        <w:rPr>
          <w:rFonts w:ascii="Verdana" w:hAnsi="Verdana" w:cs="Arial"/>
          <w:bCs/>
          <w:color w:val="000000" w:themeColor="text1"/>
          <w:sz w:val="20"/>
          <w:szCs w:val="20"/>
          <w:lang w:val="es-ES"/>
        </w:rPr>
      </w:pPr>
      <w:r w:rsidRPr="00FD1291">
        <w:rPr>
          <w:rFonts w:ascii="Verdana" w:hAnsi="Verdana" w:cs="Arial"/>
          <w:bCs/>
          <w:color w:val="000000" w:themeColor="text1"/>
          <w:sz w:val="20"/>
          <w:szCs w:val="20"/>
          <w:lang w:val="es-ES"/>
        </w:rPr>
        <w:t xml:space="preserve">Esta obligatoriedad del acto de adjudicación se traslada </w:t>
      </w:r>
      <w:r w:rsidRPr="00FD1291">
        <w:rPr>
          <w:rFonts w:ascii="Verdana" w:hAnsi="Verdana" w:cs="Arial"/>
          <w:bCs/>
          <w:i/>
          <w:iCs/>
          <w:color w:val="000000" w:themeColor="text1"/>
          <w:sz w:val="20"/>
          <w:szCs w:val="20"/>
          <w:lang w:val="es-ES"/>
        </w:rPr>
        <w:t>mutatis mutandis</w:t>
      </w:r>
      <w:r w:rsidRPr="00FD1291">
        <w:rPr>
          <w:rFonts w:ascii="Verdana" w:hAnsi="Verdana" w:cs="Arial"/>
          <w:bCs/>
          <w:color w:val="000000" w:themeColor="text1"/>
          <w:sz w:val="20"/>
          <w:szCs w:val="20"/>
          <w:lang w:val="es-ES"/>
        </w:rPr>
        <w:t xml:space="preserve"> a los negocios jurídicos del Decreto 092 de 2017, pues –como se explicó </w:t>
      </w:r>
      <w:r w:rsidRPr="00FD1291">
        <w:rPr>
          <w:rFonts w:ascii="Verdana" w:hAnsi="Verdana" w:cs="Arial"/>
          <w:bCs/>
          <w:i/>
          <w:iCs/>
          <w:color w:val="000000" w:themeColor="text1"/>
          <w:sz w:val="20"/>
          <w:szCs w:val="20"/>
          <w:lang w:val="es-ES"/>
        </w:rPr>
        <w:t>ut supra</w:t>
      </w:r>
      <w:r w:rsidRPr="00FD1291">
        <w:rPr>
          <w:rFonts w:ascii="Verdana" w:hAnsi="Verdana" w:cs="Arial"/>
          <w:bCs/>
          <w:color w:val="000000" w:themeColor="text1"/>
          <w:sz w:val="20"/>
          <w:szCs w:val="20"/>
          <w:lang w:val="es-ES"/>
        </w:rPr>
        <w:t xml:space="preserve">, salvo lo expresamente regulado en el reglamento autónomo– existe una remisión integra las normas generales de contratación estatal. Por tanto, la adjudicación obliga al perfeccionamiento del contrato o convenio, salvo que se presente alguna causal de revocatoria directa, la cual se concreta cuando “[…] dentro del plazo comprendido entre la adjudicación del contrato y la suscripción </w:t>
      </w:r>
      <w:proofErr w:type="gramStart"/>
      <w:r w:rsidRPr="00FD1291">
        <w:rPr>
          <w:rFonts w:ascii="Verdana" w:hAnsi="Verdana" w:cs="Arial"/>
          <w:bCs/>
          <w:color w:val="000000" w:themeColor="text1"/>
          <w:sz w:val="20"/>
          <w:szCs w:val="20"/>
          <w:lang w:val="es-ES"/>
        </w:rPr>
        <w:t>del mismo</w:t>
      </w:r>
      <w:proofErr w:type="gramEnd"/>
      <w:r w:rsidRPr="00FD1291">
        <w:rPr>
          <w:rFonts w:ascii="Verdana" w:hAnsi="Verdana" w:cs="Arial"/>
          <w:bCs/>
          <w:color w:val="000000" w:themeColor="text1"/>
          <w:sz w:val="20"/>
          <w:szCs w:val="20"/>
          <w:lang w:val="es-ES"/>
        </w:rPr>
        <w:t>, sobreviene una inhabilidad o incompatibilidad o si se demuestra que el acto se obtuvo por medios ilegales […]”.</w:t>
      </w:r>
    </w:p>
    <w:p w14:paraId="69BFBE02" w14:textId="77777777" w:rsidR="009B7D85" w:rsidRPr="00FD1291" w:rsidRDefault="009B7D85" w:rsidP="009B7D85">
      <w:pPr>
        <w:tabs>
          <w:tab w:val="left" w:pos="426"/>
        </w:tabs>
        <w:spacing w:after="0" w:line="240" w:lineRule="auto"/>
        <w:contextualSpacing/>
        <w:jc w:val="both"/>
        <w:rPr>
          <w:rFonts w:ascii="Verdana" w:hAnsi="Verdana" w:cs="Arial"/>
          <w:bCs/>
          <w:color w:val="000000" w:themeColor="text1"/>
          <w:sz w:val="20"/>
          <w:szCs w:val="20"/>
          <w:lang w:val="es-ES"/>
        </w:rPr>
      </w:pPr>
    </w:p>
    <w:p w14:paraId="7BE95386" w14:textId="77777777" w:rsidR="009B7D85" w:rsidRDefault="009B7D85" w:rsidP="009B7D85">
      <w:pPr>
        <w:tabs>
          <w:tab w:val="left" w:pos="426"/>
        </w:tabs>
        <w:spacing w:after="0" w:line="240" w:lineRule="auto"/>
        <w:contextualSpacing/>
        <w:jc w:val="both"/>
        <w:rPr>
          <w:rFonts w:ascii="Verdana" w:hAnsi="Verdana" w:cs="Arial"/>
          <w:color w:val="000000" w:themeColor="text1"/>
          <w:sz w:val="20"/>
          <w:szCs w:val="20"/>
          <w:lang w:val="es-ES"/>
        </w:rPr>
      </w:pPr>
      <w:r w:rsidRPr="00FD1291">
        <w:rPr>
          <w:rFonts w:ascii="Verdana" w:hAnsi="Verdana" w:cs="Arial"/>
          <w:color w:val="000000" w:themeColor="text1"/>
          <w:sz w:val="20"/>
          <w:szCs w:val="20"/>
          <w:lang w:val="es-ES"/>
        </w:rPr>
        <w:t xml:space="preserve">Como la adjudicación es obligatoria, ello presupone que antes de la expedición del acto administrativo hubo una verificación de los criterios habilitantes y una ponderación de los factores evaluables conforme a los requisitos establecidos previamente en los documentos del proceso. En este contexto, una vez adjudicado, el perfeccionamiento de los contratos del artículo 355 superior o </w:t>
      </w:r>
      <w:r>
        <w:rPr>
          <w:rFonts w:ascii="Verdana" w:hAnsi="Verdana" w:cs="Arial"/>
          <w:color w:val="000000" w:themeColor="text1"/>
          <w:sz w:val="20"/>
          <w:szCs w:val="20"/>
          <w:lang w:val="es-ES"/>
        </w:rPr>
        <w:t xml:space="preserve">los convenios </w:t>
      </w:r>
      <w:r w:rsidRPr="00FD1291">
        <w:rPr>
          <w:rFonts w:ascii="Verdana" w:hAnsi="Verdana" w:cs="Arial"/>
          <w:color w:val="000000" w:themeColor="text1"/>
          <w:sz w:val="20"/>
          <w:szCs w:val="20"/>
          <w:lang w:val="es-ES"/>
        </w:rPr>
        <w:t xml:space="preserve">del artículo 96 de la Ley 489 de 1998 –por remisión del Decreto 092 de 2017 en las condiciones explicadas </w:t>
      </w:r>
      <w:r w:rsidRPr="00FD1291">
        <w:rPr>
          <w:rFonts w:ascii="Verdana" w:hAnsi="Verdana" w:cs="Arial"/>
          <w:i/>
          <w:iCs/>
          <w:color w:val="000000" w:themeColor="text1"/>
          <w:sz w:val="20"/>
          <w:szCs w:val="20"/>
          <w:lang w:val="es-ES"/>
        </w:rPr>
        <w:t>ut supra</w:t>
      </w:r>
      <w:r w:rsidRPr="00FD1291">
        <w:rPr>
          <w:rFonts w:ascii="Verdana" w:hAnsi="Verdana" w:cs="Arial"/>
          <w:color w:val="000000" w:themeColor="text1"/>
          <w:sz w:val="20"/>
          <w:szCs w:val="20"/>
          <w:lang w:val="es-ES"/>
        </w:rPr>
        <w:t>– se rige por los incisos primero de los artículos 39 y 41 de la Ley 80 de 1993.</w:t>
      </w:r>
    </w:p>
    <w:p w14:paraId="41364519" w14:textId="77777777" w:rsidR="009B7D85" w:rsidRPr="00FD1291" w:rsidRDefault="009B7D85" w:rsidP="009B7D85">
      <w:pPr>
        <w:tabs>
          <w:tab w:val="left" w:pos="426"/>
        </w:tabs>
        <w:spacing w:after="0" w:line="240" w:lineRule="auto"/>
        <w:contextualSpacing/>
        <w:jc w:val="both"/>
        <w:rPr>
          <w:rFonts w:ascii="Verdana" w:hAnsi="Verdana" w:cs="Arial"/>
          <w:bCs/>
          <w:color w:val="000000" w:themeColor="text1"/>
          <w:sz w:val="20"/>
          <w:szCs w:val="20"/>
          <w:lang w:val="es-ES"/>
        </w:rPr>
      </w:pPr>
    </w:p>
    <w:p w14:paraId="5A05AEDD" w14:textId="77777777" w:rsidR="009B7D85" w:rsidRPr="00782519" w:rsidRDefault="009B7D85" w:rsidP="009B7D85">
      <w:pPr>
        <w:tabs>
          <w:tab w:val="left" w:pos="426"/>
        </w:tabs>
        <w:spacing w:after="0" w:line="240" w:lineRule="auto"/>
        <w:contextualSpacing/>
        <w:jc w:val="both"/>
        <w:rPr>
          <w:rFonts w:ascii="Verdana" w:eastAsia="Calibri" w:hAnsi="Verdana" w:cs="Arial"/>
          <w:noProof/>
          <w:sz w:val="20"/>
          <w:szCs w:val="20"/>
          <w:lang w:val="es-ES_tradnl"/>
        </w:rPr>
      </w:pPr>
      <w:r w:rsidRPr="00FD1291">
        <w:rPr>
          <w:rFonts w:ascii="Verdana" w:hAnsi="Verdana" w:cs="Arial"/>
          <w:color w:val="000000" w:themeColor="text1"/>
          <w:sz w:val="20"/>
          <w:szCs w:val="20"/>
          <w:lang w:val="es-ES"/>
        </w:rPr>
        <w:t xml:space="preserve">Por tanto, entre la adjudicación y el perfeccionamiento del contrato, las normas generales de contratación pública no imponen la entrega de documentación adicional, la cual debió ser previamente verificada en la evaluación de la propuesta de acuerdo con los requisitos exigidos en el proceso de selección. Para estos efectos, conforme al artículo 25.2 del EGCAP, es necesario tener en cuenta que “Las normas de los procedimientos contractuales se interpretarán de tal manera que no den ocasión a seguir trámites distintos y adicionales a los expresamente previstos o que permitan valerse de los </w:t>
      </w:r>
      <w:r w:rsidRPr="00FD1291">
        <w:rPr>
          <w:rFonts w:ascii="Verdana" w:hAnsi="Verdana" w:cs="Arial"/>
          <w:color w:val="000000" w:themeColor="text1"/>
          <w:sz w:val="20"/>
          <w:szCs w:val="20"/>
          <w:lang w:val="es-ES"/>
        </w:rPr>
        <w:lastRenderedPageBreak/>
        <w:t xml:space="preserve">defectos de forma o de la inobservancia de requisitos para no decidir o proferir providencias inhibitorias”.  </w:t>
      </w:r>
      <w:r w:rsidRPr="00CC1214">
        <w:rPr>
          <w:rFonts w:ascii="Verdana" w:eastAsia="Calibri" w:hAnsi="Verdana" w:cs="Arial"/>
          <w:noProof/>
          <w:sz w:val="20"/>
          <w:szCs w:val="20"/>
          <w:lang w:val="es-ES_tradnl"/>
        </w:rPr>
        <w:t xml:space="preserve"> </w:t>
      </w:r>
      <w:r w:rsidRPr="009673B4">
        <w:rPr>
          <w:rFonts w:ascii="Verdana" w:eastAsia="Calibri" w:hAnsi="Verdana" w:cs="Arial"/>
          <w:noProof/>
          <w:sz w:val="20"/>
          <w:szCs w:val="20"/>
          <w:lang w:val="es-ES_tradnl"/>
        </w:rPr>
        <w:t xml:space="preserve">  </w:t>
      </w:r>
      <w:r w:rsidRPr="00782519">
        <w:rPr>
          <w:rFonts w:ascii="Verdana" w:eastAsia="Calibri" w:hAnsi="Verdana" w:cs="Arial"/>
          <w:noProof/>
          <w:sz w:val="20"/>
          <w:szCs w:val="20"/>
          <w:lang w:val="es-ES_tradnl"/>
        </w:rPr>
        <w:t xml:space="preserve"> </w:t>
      </w:r>
    </w:p>
    <w:p w14:paraId="27124BDF" w14:textId="77777777" w:rsidR="009B7D85" w:rsidRPr="005145C2" w:rsidRDefault="009B7D85" w:rsidP="009B7D85">
      <w:pPr>
        <w:spacing w:after="0" w:line="240" w:lineRule="auto"/>
        <w:rPr>
          <w:rFonts w:ascii="Verdana" w:eastAsia="Geomanist Light" w:hAnsi="Verdana" w:cs="Arial"/>
          <w:color w:val="000000" w:themeColor="text1"/>
          <w:lang w:val="es-ES_tradnl"/>
        </w:rPr>
      </w:pPr>
    </w:p>
    <w:p w14:paraId="03F57FF5" w14:textId="77777777" w:rsidR="009B7D85" w:rsidRDefault="009B7D85" w:rsidP="009B7D85">
      <w:pPr>
        <w:spacing w:after="0" w:line="240" w:lineRule="auto"/>
        <w:rPr>
          <w:rFonts w:ascii="Verdana" w:eastAsia="Geomanist Light" w:hAnsi="Verdana" w:cs="Arial"/>
          <w:color w:val="000000" w:themeColor="text1"/>
          <w:lang w:val="es-MX"/>
        </w:rPr>
      </w:pPr>
    </w:p>
    <w:p w14:paraId="3113D665" w14:textId="77777777" w:rsidR="009B7D85" w:rsidRDefault="009B7D85" w:rsidP="002F3469">
      <w:pPr>
        <w:spacing w:after="0" w:line="240" w:lineRule="auto"/>
        <w:rPr>
          <w:rFonts w:ascii="Verdana" w:eastAsia="Geomanist Light" w:hAnsi="Verdana" w:cs="Arial"/>
          <w:color w:val="000000" w:themeColor="text1"/>
          <w:lang w:val="es-MX"/>
        </w:rPr>
      </w:pPr>
    </w:p>
    <w:p w14:paraId="2F930C93" w14:textId="77777777" w:rsidR="009B7D85" w:rsidRDefault="009B7D85" w:rsidP="002F3469">
      <w:pPr>
        <w:spacing w:after="0" w:line="240" w:lineRule="auto"/>
        <w:rPr>
          <w:rFonts w:ascii="Verdana" w:eastAsia="Geomanist Light" w:hAnsi="Verdana" w:cs="Arial"/>
          <w:color w:val="000000" w:themeColor="text1"/>
          <w:lang w:val="es-MX"/>
        </w:rPr>
      </w:pPr>
    </w:p>
    <w:p w14:paraId="011994FA" w14:textId="77777777" w:rsidR="009B7D85" w:rsidRDefault="009B7D85" w:rsidP="002F3469">
      <w:pPr>
        <w:spacing w:after="0" w:line="240" w:lineRule="auto"/>
        <w:rPr>
          <w:rFonts w:ascii="Verdana" w:eastAsia="Geomanist Light" w:hAnsi="Verdana" w:cs="Arial"/>
          <w:color w:val="000000" w:themeColor="text1"/>
          <w:lang w:val="es-MX"/>
        </w:rPr>
      </w:pPr>
    </w:p>
    <w:p w14:paraId="1A70A514" w14:textId="77777777" w:rsidR="009B7D85" w:rsidRDefault="009B7D85" w:rsidP="002F3469">
      <w:pPr>
        <w:spacing w:after="0" w:line="240" w:lineRule="auto"/>
        <w:rPr>
          <w:rFonts w:ascii="Verdana" w:eastAsia="Geomanist Light" w:hAnsi="Verdana" w:cs="Arial"/>
          <w:color w:val="000000" w:themeColor="text1"/>
          <w:lang w:val="es-MX"/>
        </w:rPr>
      </w:pPr>
    </w:p>
    <w:p w14:paraId="4C4C1908" w14:textId="77777777" w:rsidR="009B7D85" w:rsidRDefault="009B7D85" w:rsidP="002F3469">
      <w:pPr>
        <w:spacing w:after="0" w:line="240" w:lineRule="auto"/>
        <w:rPr>
          <w:rFonts w:ascii="Verdana" w:eastAsia="Geomanist Light" w:hAnsi="Verdana" w:cs="Arial"/>
          <w:color w:val="000000" w:themeColor="text1"/>
          <w:lang w:val="es-MX"/>
        </w:rPr>
      </w:pPr>
    </w:p>
    <w:p w14:paraId="410FBBC4" w14:textId="77777777" w:rsidR="009B7D85" w:rsidRDefault="009B7D85" w:rsidP="002F3469">
      <w:pPr>
        <w:spacing w:after="0" w:line="240" w:lineRule="auto"/>
        <w:rPr>
          <w:rFonts w:ascii="Verdana" w:eastAsia="Geomanist Light" w:hAnsi="Verdana" w:cs="Arial"/>
          <w:color w:val="000000" w:themeColor="text1"/>
          <w:lang w:val="es-MX"/>
        </w:rPr>
      </w:pPr>
    </w:p>
    <w:p w14:paraId="776BE6D6" w14:textId="77777777" w:rsidR="009B7D85" w:rsidRDefault="009B7D85" w:rsidP="002F3469">
      <w:pPr>
        <w:spacing w:after="0" w:line="240" w:lineRule="auto"/>
        <w:rPr>
          <w:rFonts w:ascii="Verdana" w:eastAsia="Geomanist Light" w:hAnsi="Verdana" w:cs="Arial"/>
          <w:color w:val="000000" w:themeColor="text1"/>
          <w:lang w:val="es-MX"/>
        </w:rPr>
      </w:pPr>
    </w:p>
    <w:p w14:paraId="2DF2C2D3" w14:textId="77777777" w:rsidR="009B7D85" w:rsidRDefault="009B7D85" w:rsidP="002F3469">
      <w:pPr>
        <w:spacing w:after="0" w:line="240" w:lineRule="auto"/>
        <w:rPr>
          <w:rFonts w:ascii="Verdana" w:eastAsia="Geomanist Light" w:hAnsi="Verdana" w:cs="Arial"/>
          <w:color w:val="000000" w:themeColor="text1"/>
          <w:lang w:val="es-MX"/>
        </w:rPr>
      </w:pPr>
    </w:p>
    <w:p w14:paraId="1A42BE9F" w14:textId="77777777" w:rsidR="009B7D85" w:rsidRDefault="009B7D85" w:rsidP="002F3469">
      <w:pPr>
        <w:spacing w:after="0" w:line="240" w:lineRule="auto"/>
        <w:rPr>
          <w:rFonts w:ascii="Verdana" w:eastAsia="Geomanist Light" w:hAnsi="Verdana" w:cs="Arial"/>
          <w:color w:val="000000" w:themeColor="text1"/>
          <w:lang w:val="es-MX"/>
        </w:rPr>
      </w:pPr>
    </w:p>
    <w:p w14:paraId="09CA5212" w14:textId="77777777" w:rsidR="009B7D85" w:rsidRDefault="009B7D85" w:rsidP="002F3469">
      <w:pPr>
        <w:spacing w:after="0" w:line="240" w:lineRule="auto"/>
        <w:rPr>
          <w:rFonts w:ascii="Verdana" w:eastAsia="Geomanist Light" w:hAnsi="Verdana" w:cs="Arial"/>
          <w:color w:val="000000" w:themeColor="text1"/>
          <w:lang w:val="es-MX"/>
        </w:rPr>
      </w:pPr>
    </w:p>
    <w:p w14:paraId="734DD0B8" w14:textId="77777777" w:rsidR="009B7D85" w:rsidRDefault="009B7D85" w:rsidP="002F3469">
      <w:pPr>
        <w:spacing w:after="0" w:line="240" w:lineRule="auto"/>
        <w:rPr>
          <w:rFonts w:ascii="Verdana" w:eastAsia="Geomanist Light" w:hAnsi="Verdana" w:cs="Arial"/>
          <w:color w:val="000000" w:themeColor="text1"/>
          <w:lang w:val="es-MX"/>
        </w:rPr>
      </w:pPr>
    </w:p>
    <w:p w14:paraId="28DBF9D1" w14:textId="77777777" w:rsidR="009B7D85" w:rsidRDefault="009B7D85" w:rsidP="002F3469">
      <w:pPr>
        <w:spacing w:after="0" w:line="240" w:lineRule="auto"/>
        <w:rPr>
          <w:rFonts w:ascii="Verdana" w:eastAsia="Geomanist Light" w:hAnsi="Verdana" w:cs="Arial"/>
          <w:color w:val="000000" w:themeColor="text1"/>
          <w:lang w:val="es-MX"/>
        </w:rPr>
      </w:pPr>
    </w:p>
    <w:p w14:paraId="4AECB355" w14:textId="77777777" w:rsidR="009B7D85" w:rsidRDefault="009B7D85" w:rsidP="002F3469">
      <w:pPr>
        <w:spacing w:after="0" w:line="240" w:lineRule="auto"/>
        <w:rPr>
          <w:rFonts w:ascii="Verdana" w:eastAsia="Geomanist Light" w:hAnsi="Verdana" w:cs="Arial"/>
          <w:color w:val="000000" w:themeColor="text1"/>
          <w:lang w:val="es-MX"/>
        </w:rPr>
      </w:pPr>
    </w:p>
    <w:p w14:paraId="60E28B93" w14:textId="77777777" w:rsidR="009B7D85" w:rsidRDefault="009B7D85" w:rsidP="002F3469">
      <w:pPr>
        <w:spacing w:after="0" w:line="240" w:lineRule="auto"/>
        <w:rPr>
          <w:rFonts w:ascii="Verdana" w:eastAsia="Geomanist Light" w:hAnsi="Verdana" w:cs="Arial"/>
          <w:color w:val="000000" w:themeColor="text1"/>
          <w:lang w:val="es-MX"/>
        </w:rPr>
      </w:pPr>
    </w:p>
    <w:p w14:paraId="2DD3A31C" w14:textId="77777777" w:rsidR="009B7D85" w:rsidRDefault="009B7D85" w:rsidP="002F3469">
      <w:pPr>
        <w:spacing w:after="0" w:line="240" w:lineRule="auto"/>
        <w:rPr>
          <w:rFonts w:ascii="Verdana" w:eastAsia="Geomanist Light" w:hAnsi="Verdana" w:cs="Arial"/>
          <w:color w:val="000000" w:themeColor="text1"/>
          <w:lang w:val="es-MX"/>
        </w:rPr>
      </w:pPr>
    </w:p>
    <w:p w14:paraId="4AA35426" w14:textId="77777777" w:rsidR="009B7D85" w:rsidRDefault="009B7D85" w:rsidP="002F3469">
      <w:pPr>
        <w:spacing w:after="0" w:line="240" w:lineRule="auto"/>
        <w:rPr>
          <w:rFonts w:ascii="Verdana" w:eastAsia="Geomanist Light" w:hAnsi="Verdana" w:cs="Arial"/>
          <w:color w:val="000000" w:themeColor="text1"/>
          <w:lang w:val="es-MX"/>
        </w:rPr>
      </w:pPr>
    </w:p>
    <w:p w14:paraId="0BC24A42" w14:textId="77777777" w:rsidR="009B7D85" w:rsidRDefault="009B7D85" w:rsidP="002F3469">
      <w:pPr>
        <w:spacing w:after="0" w:line="240" w:lineRule="auto"/>
        <w:rPr>
          <w:rFonts w:ascii="Verdana" w:eastAsia="Geomanist Light" w:hAnsi="Verdana" w:cs="Arial"/>
          <w:color w:val="000000" w:themeColor="text1"/>
          <w:lang w:val="es-MX"/>
        </w:rPr>
      </w:pPr>
    </w:p>
    <w:p w14:paraId="2CF13F93" w14:textId="77777777" w:rsidR="009B7D85" w:rsidRDefault="009B7D85" w:rsidP="002F3469">
      <w:pPr>
        <w:spacing w:after="0" w:line="240" w:lineRule="auto"/>
        <w:rPr>
          <w:rFonts w:ascii="Verdana" w:eastAsia="Geomanist Light" w:hAnsi="Verdana" w:cs="Arial"/>
          <w:color w:val="000000" w:themeColor="text1"/>
          <w:lang w:val="es-MX"/>
        </w:rPr>
      </w:pPr>
    </w:p>
    <w:p w14:paraId="097A172F" w14:textId="77777777" w:rsidR="009B7D85" w:rsidRDefault="009B7D85" w:rsidP="002F3469">
      <w:pPr>
        <w:spacing w:after="0" w:line="240" w:lineRule="auto"/>
        <w:rPr>
          <w:rFonts w:ascii="Verdana" w:eastAsia="Geomanist Light" w:hAnsi="Verdana" w:cs="Arial"/>
          <w:color w:val="000000" w:themeColor="text1"/>
          <w:lang w:val="es-MX"/>
        </w:rPr>
      </w:pPr>
    </w:p>
    <w:p w14:paraId="1B2295DD" w14:textId="77777777" w:rsidR="009B7D85" w:rsidRDefault="009B7D85" w:rsidP="002F3469">
      <w:pPr>
        <w:spacing w:after="0" w:line="240" w:lineRule="auto"/>
        <w:rPr>
          <w:rFonts w:ascii="Verdana" w:eastAsia="Geomanist Light" w:hAnsi="Verdana" w:cs="Arial"/>
          <w:color w:val="000000" w:themeColor="text1"/>
          <w:lang w:val="es-MX"/>
        </w:rPr>
      </w:pPr>
    </w:p>
    <w:p w14:paraId="4C610D74" w14:textId="77777777" w:rsidR="009B7D85" w:rsidRDefault="009B7D85" w:rsidP="002F3469">
      <w:pPr>
        <w:spacing w:after="0" w:line="240" w:lineRule="auto"/>
        <w:rPr>
          <w:rFonts w:ascii="Verdana" w:eastAsia="Geomanist Light" w:hAnsi="Verdana" w:cs="Arial"/>
          <w:color w:val="000000" w:themeColor="text1"/>
          <w:lang w:val="es-MX"/>
        </w:rPr>
      </w:pPr>
    </w:p>
    <w:p w14:paraId="46E0EEA5" w14:textId="77777777" w:rsidR="009B7D85" w:rsidRDefault="009B7D85" w:rsidP="002F3469">
      <w:pPr>
        <w:spacing w:after="0" w:line="240" w:lineRule="auto"/>
        <w:rPr>
          <w:rFonts w:ascii="Verdana" w:eastAsia="Geomanist Light" w:hAnsi="Verdana" w:cs="Arial"/>
          <w:color w:val="000000" w:themeColor="text1"/>
          <w:lang w:val="es-MX"/>
        </w:rPr>
      </w:pPr>
    </w:p>
    <w:p w14:paraId="536FD547" w14:textId="77777777" w:rsidR="009B7D85" w:rsidRDefault="009B7D85" w:rsidP="002F3469">
      <w:pPr>
        <w:spacing w:after="0" w:line="240" w:lineRule="auto"/>
        <w:rPr>
          <w:rFonts w:ascii="Verdana" w:eastAsia="Geomanist Light" w:hAnsi="Verdana" w:cs="Arial"/>
          <w:color w:val="000000" w:themeColor="text1"/>
          <w:lang w:val="es-MX"/>
        </w:rPr>
      </w:pPr>
    </w:p>
    <w:p w14:paraId="6CE3432D" w14:textId="77777777" w:rsidR="009B7D85" w:rsidRDefault="009B7D85" w:rsidP="002F3469">
      <w:pPr>
        <w:spacing w:after="0" w:line="240" w:lineRule="auto"/>
        <w:rPr>
          <w:rFonts w:ascii="Verdana" w:eastAsia="Geomanist Light" w:hAnsi="Verdana" w:cs="Arial"/>
          <w:color w:val="000000" w:themeColor="text1"/>
          <w:lang w:val="es-MX"/>
        </w:rPr>
      </w:pPr>
    </w:p>
    <w:p w14:paraId="2293DD8B" w14:textId="77777777" w:rsidR="009B7D85" w:rsidRDefault="009B7D85" w:rsidP="002F3469">
      <w:pPr>
        <w:spacing w:after="0" w:line="240" w:lineRule="auto"/>
        <w:rPr>
          <w:rFonts w:ascii="Verdana" w:eastAsia="Geomanist Light" w:hAnsi="Verdana" w:cs="Arial"/>
          <w:color w:val="000000" w:themeColor="text1"/>
          <w:lang w:val="es-MX"/>
        </w:rPr>
      </w:pPr>
    </w:p>
    <w:p w14:paraId="245B0A3E" w14:textId="77777777" w:rsidR="009B7D85" w:rsidRDefault="009B7D85" w:rsidP="002F3469">
      <w:pPr>
        <w:spacing w:after="0" w:line="240" w:lineRule="auto"/>
        <w:rPr>
          <w:rFonts w:ascii="Verdana" w:eastAsia="Geomanist Light" w:hAnsi="Verdana" w:cs="Arial"/>
          <w:color w:val="000000" w:themeColor="text1"/>
          <w:lang w:val="es-MX"/>
        </w:rPr>
      </w:pPr>
    </w:p>
    <w:p w14:paraId="701BF4D4" w14:textId="77777777" w:rsidR="009B7D85" w:rsidRDefault="009B7D85" w:rsidP="002F3469">
      <w:pPr>
        <w:spacing w:after="0" w:line="240" w:lineRule="auto"/>
        <w:rPr>
          <w:rFonts w:ascii="Verdana" w:eastAsia="Geomanist Light" w:hAnsi="Verdana" w:cs="Arial"/>
          <w:color w:val="000000" w:themeColor="text1"/>
          <w:lang w:val="es-MX"/>
        </w:rPr>
      </w:pPr>
    </w:p>
    <w:p w14:paraId="54DE38D1" w14:textId="77777777" w:rsidR="009B7D85" w:rsidRDefault="009B7D85" w:rsidP="002F3469">
      <w:pPr>
        <w:spacing w:after="0" w:line="240" w:lineRule="auto"/>
        <w:rPr>
          <w:rFonts w:ascii="Verdana" w:eastAsia="Geomanist Light" w:hAnsi="Verdana" w:cs="Arial"/>
          <w:color w:val="000000" w:themeColor="text1"/>
          <w:lang w:val="es-MX"/>
        </w:rPr>
      </w:pPr>
    </w:p>
    <w:p w14:paraId="035B3D04" w14:textId="77777777" w:rsidR="009B7D85" w:rsidRDefault="009B7D85" w:rsidP="002F3469">
      <w:pPr>
        <w:spacing w:after="0" w:line="240" w:lineRule="auto"/>
        <w:rPr>
          <w:rFonts w:ascii="Verdana" w:eastAsia="Geomanist Light" w:hAnsi="Verdana" w:cs="Arial"/>
          <w:color w:val="000000" w:themeColor="text1"/>
          <w:lang w:val="es-MX"/>
        </w:rPr>
      </w:pPr>
    </w:p>
    <w:p w14:paraId="69C53F75" w14:textId="77777777" w:rsidR="009B7D85" w:rsidRDefault="009B7D85" w:rsidP="002F3469">
      <w:pPr>
        <w:spacing w:after="0" w:line="240" w:lineRule="auto"/>
        <w:rPr>
          <w:rFonts w:ascii="Verdana" w:eastAsia="Geomanist Light" w:hAnsi="Verdana" w:cs="Arial"/>
          <w:color w:val="000000" w:themeColor="text1"/>
          <w:lang w:val="es-MX"/>
        </w:rPr>
      </w:pPr>
    </w:p>
    <w:p w14:paraId="295DD59A" w14:textId="77777777" w:rsidR="009B7D85" w:rsidRDefault="009B7D85" w:rsidP="002F3469">
      <w:pPr>
        <w:spacing w:after="0" w:line="240" w:lineRule="auto"/>
        <w:rPr>
          <w:rFonts w:ascii="Verdana" w:eastAsia="Geomanist Light" w:hAnsi="Verdana" w:cs="Arial"/>
          <w:color w:val="000000" w:themeColor="text1"/>
          <w:lang w:val="es-MX"/>
        </w:rPr>
      </w:pPr>
    </w:p>
    <w:p w14:paraId="74373606" w14:textId="77777777" w:rsidR="009B7D85" w:rsidRDefault="009B7D85" w:rsidP="002F3469">
      <w:pPr>
        <w:spacing w:after="0" w:line="240" w:lineRule="auto"/>
        <w:rPr>
          <w:rFonts w:ascii="Verdana" w:eastAsia="Geomanist Light" w:hAnsi="Verdana" w:cs="Arial"/>
          <w:color w:val="000000" w:themeColor="text1"/>
          <w:lang w:val="es-MX"/>
        </w:rPr>
      </w:pPr>
    </w:p>
    <w:p w14:paraId="47842363" w14:textId="77777777" w:rsidR="009B7D85" w:rsidRDefault="009B7D85" w:rsidP="002F3469">
      <w:pPr>
        <w:spacing w:after="0" w:line="240" w:lineRule="auto"/>
        <w:rPr>
          <w:rFonts w:ascii="Verdana" w:eastAsia="Geomanist Light" w:hAnsi="Verdana" w:cs="Arial"/>
          <w:color w:val="000000" w:themeColor="text1"/>
          <w:lang w:val="es-MX"/>
        </w:rPr>
      </w:pPr>
    </w:p>
    <w:p w14:paraId="64294338" w14:textId="77777777" w:rsidR="009B7D85" w:rsidRDefault="009B7D85" w:rsidP="002F3469">
      <w:pPr>
        <w:spacing w:after="0" w:line="240" w:lineRule="auto"/>
        <w:rPr>
          <w:rFonts w:ascii="Verdana" w:eastAsia="Geomanist Light" w:hAnsi="Verdana" w:cs="Arial"/>
          <w:color w:val="000000" w:themeColor="text1"/>
          <w:lang w:val="es-MX"/>
        </w:rPr>
      </w:pPr>
    </w:p>
    <w:p w14:paraId="32B64869" w14:textId="77777777" w:rsidR="009B7D85" w:rsidRDefault="009B7D85" w:rsidP="002F3469">
      <w:pPr>
        <w:spacing w:after="0" w:line="240" w:lineRule="auto"/>
        <w:rPr>
          <w:rFonts w:ascii="Verdana" w:eastAsia="Geomanist Light" w:hAnsi="Verdana" w:cs="Arial"/>
          <w:color w:val="000000" w:themeColor="text1"/>
          <w:lang w:val="es-MX"/>
        </w:rPr>
      </w:pPr>
    </w:p>
    <w:p w14:paraId="4ABD8EF9" w14:textId="77777777" w:rsidR="009B7D85" w:rsidRDefault="009B7D85" w:rsidP="002F3469">
      <w:pPr>
        <w:spacing w:after="0" w:line="240" w:lineRule="auto"/>
        <w:rPr>
          <w:rFonts w:ascii="Verdana" w:eastAsia="Geomanist Light" w:hAnsi="Verdana" w:cs="Arial"/>
          <w:color w:val="000000" w:themeColor="text1"/>
          <w:lang w:val="es-MX"/>
        </w:rPr>
      </w:pPr>
    </w:p>
    <w:p w14:paraId="0403B515" w14:textId="77777777" w:rsidR="009B7D85" w:rsidRDefault="009B7D85" w:rsidP="002F3469">
      <w:pPr>
        <w:spacing w:after="0" w:line="240" w:lineRule="auto"/>
        <w:rPr>
          <w:rFonts w:ascii="Verdana" w:eastAsia="Geomanist Light" w:hAnsi="Verdana" w:cs="Arial"/>
          <w:color w:val="000000" w:themeColor="text1"/>
          <w:lang w:val="es-MX"/>
        </w:rPr>
      </w:pPr>
    </w:p>
    <w:p w14:paraId="39F45F93" w14:textId="77777777" w:rsidR="009B7D85" w:rsidRDefault="009B7D85" w:rsidP="002F3469">
      <w:pPr>
        <w:spacing w:after="0" w:line="240" w:lineRule="auto"/>
        <w:rPr>
          <w:rFonts w:ascii="Verdana" w:eastAsia="Geomanist Light" w:hAnsi="Verdana" w:cs="Arial"/>
          <w:color w:val="000000" w:themeColor="text1"/>
          <w:lang w:val="es-MX"/>
        </w:rPr>
      </w:pPr>
    </w:p>
    <w:p w14:paraId="74197B81" w14:textId="77777777" w:rsidR="009B7D85" w:rsidRDefault="009B7D85" w:rsidP="002F3469">
      <w:pPr>
        <w:spacing w:after="0" w:line="240" w:lineRule="auto"/>
        <w:rPr>
          <w:rFonts w:ascii="Verdana" w:eastAsia="Geomanist Light" w:hAnsi="Verdana" w:cs="Arial"/>
          <w:color w:val="000000" w:themeColor="text1"/>
          <w:lang w:val="es-MX"/>
        </w:rPr>
      </w:pPr>
    </w:p>
    <w:p w14:paraId="4882A5F8" w14:textId="6114C013" w:rsidR="002F3469" w:rsidRPr="00593A5F" w:rsidRDefault="002F3469" w:rsidP="002F3469">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1838D0">
        <w:rPr>
          <w:rFonts w:ascii="Verdana" w:hAnsi="Verdana" w:cs="Verdana"/>
          <w:color w:val="000000"/>
          <w:lang w:val="es-MX"/>
        </w:rPr>
        <w:t>25 de Septiembre de 2025</w:t>
      </w:r>
    </w:p>
    <w:p w14:paraId="5725F827" w14:textId="77777777" w:rsidR="002F3469" w:rsidRDefault="002F3469" w:rsidP="002F3469">
      <w:pPr>
        <w:spacing w:after="0" w:line="240" w:lineRule="auto"/>
        <w:jc w:val="both"/>
        <w:rPr>
          <w:rFonts w:ascii="Verdana" w:eastAsia="Calibri" w:hAnsi="Verdana" w:cs="Arial"/>
          <w:color w:val="000000"/>
          <w:lang w:val="es-ES"/>
        </w:rPr>
      </w:pPr>
    </w:p>
    <w:p w14:paraId="2F98526D" w14:textId="6AEE1E12" w:rsidR="008B194D" w:rsidRDefault="008B194D" w:rsidP="008B194D">
      <w:pPr>
        <w:spacing w:after="0" w:line="240" w:lineRule="auto"/>
        <w:jc w:val="right"/>
        <w:rPr>
          <w:rFonts w:ascii="Verdana" w:eastAsia="Calibri" w:hAnsi="Verdana" w:cs="Arial"/>
          <w:color w:val="000000"/>
          <w:lang w:val="es-ES"/>
        </w:rPr>
      </w:pPr>
      <w:r w:rsidRPr="008B194D">
        <w:rPr>
          <w:rFonts w:ascii="Verdana" w:eastAsia="Calibri" w:hAnsi="Verdana" w:cs="Arial"/>
          <w:noProof/>
          <w:color w:val="000000"/>
          <w:lang w:val="es-ES"/>
        </w:rPr>
        <w:drawing>
          <wp:inline distT="0" distB="0" distL="0" distR="0" wp14:anchorId="4C048D80" wp14:editId="65B5562B">
            <wp:extent cx="2400300" cy="622300"/>
            <wp:effectExtent l="0" t="0" r="0" b="0"/>
            <wp:docPr id="14877990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799067" name=""/>
                    <pic:cNvPicPr/>
                  </pic:nvPicPr>
                  <pic:blipFill>
                    <a:blip r:embed="rId10"/>
                    <a:stretch>
                      <a:fillRect/>
                    </a:stretch>
                  </pic:blipFill>
                  <pic:spPr>
                    <a:xfrm>
                      <a:off x="0" y="0"/>
                      <a:ext cx="2400300" cy="622300"/>
                    </a:xfrm>
                    <a:prstGeom prst="rect">
                      <a:avLst/>
                    </a:prstGeom>
                  </pic:spPr>
                </pic:pic>
              </a:graphicData>
            </a:graphic>
          </wp:inline>
        </w:drawing>
      </w:r>
    </w:p>
    <w:p w14:paraId="66ADE0EF" w14:textId="77777777" w:rsidR="002F3469" w:rsidRPr="00593A5F" w:rsidRDefault="002F3469" w:rsidP="002F3469">
      <w:pPr>
        <w:spacing w:after="0" w:line="240" w:lineRule="auto"/>
        <w:jc w:val="both"/>
        <w:rPr>
          <w:rFonts w:ascii="Verdana" w:eastAsia="Calibri" w:hAnsi="Verdana" w:cs="Arial"/>
          <w:color w:val="000000"/>
          <w:lang w:val="es-ES"/>
        </w:rPr>
      </w:pPr>
    </w:p>
    <w:p w14:paraId="379B18D3" w14:textId="77777777" w:rsidR="002F3469" w:rsidRPr="00B96799" w:rsidRDefault="002F3469" w:rsidP="002F3469">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541434FC" w14:textId="77777777" w:rsidR="002F3469" w:rsidRPr="0085423D" w:rsidRDefault="002F3469" w:rsidP="002F3469">
      <w:pPr>
        <w:spacing w:after="0" w:line="240" w:lineRule="auto"/>
        <w:rPr>
          <w:rFonts w:ascii="Verdana" w:eastAsia="Calibri" w:hAnsi="Verdana" w:cs="Arial"/>
          <w:b/>
          <w:lang w:val="es-ES" w:eastAsia="es-ES"/>
        </w:rPr>
      </w:pPr>
      <w:r w:rsidRPr="5EC9823D">
        <w:rPr>
          <w:rFonts w:ascii="Verdana" w:eastAsia="Calibri" w:hAnsi="Verdana" w:cs="Arial"/>
          <w:b/>
          <w:lang w:val="es-ES" w:eastAsia="es-ES"/>
        </w:rPr>
        <w:t xml:space="preserve">Jairo </w:t>
      </w:r>
      <w:proofErr w:type="spellStart"/>
      <w:r w:rsidRPr="5EC9823D">
        <w:rPr>
          <w:rFonts w:ascii="Verdana" w:eastAsia="Calibri" w:hAnsi="Verdana" w:cs="Arial"/>
          <w:b/>
          <w:lang w:val="es-ES" w:eastAsia="es-ES"/>
        </w:rPr>
        <w:t>Riaga</w:t>
      </w:r>
      <w:proofErr w:type="spellEnd"/>
      <w:r w:rsidRPr="5EC9823D">
        <w:rPr>
          <w:rFonts w:ascii="Verdana" w:eastAsia="Calibri" w:hAnsi="Verdana" w:cs="Arial"/>
          <w:b/>
          <w:lang w:val="es-ES" w:eastAsia="es-ES"/>
        </w:rPr>
        <w:t xml:space="preserve"> Acuña  </w:t>
      </w:r>
    </w:p>
    <w:p w14:paraId="26419BB0" w14:textId="77777777" w:rsidR="002F3469" w:rsidRPr="00D00FF6" w:rsidRDefault="002F3469" w:rsidP="002F3469">
      <w:pPr>
        <w:spacing w:after="0" w:line="240" w:lineRule="auto"/>
        <w:rPr>
          <w:rFonts w:ascii="Verdana" w:eastAsia="Calibri" w:hAnsi="Verdana" w:cs="Arial"/>
          <w:lang w:val="es-ES" w:eastAsia="es-ES"/>
        </w:rPr>
      </w:pPr>
      <w:hyperlink r:id="rId11" w:history="1">
        <w:r w:rsidRPr="001727E0">
          <w:rPr>
            <w:rStyle w:val="Hipervnculo"/>
            <w:rFonts w:ascii="Verdana" w:hAnsi="Verdana"/>
          </w:rPr>
          <w:t>yvega@fuga.gov.co</w:t>
        </w:r>
      </w:hyperlink>
      <w:r>
        <w:rPr>
          <w:rFonts w:ascii="Verdana" w:hAnsi="Verdana"/>
        </w:rPr>
        <w:t xml:space="preserve"> </w:t>
      </w:r>
      <w:r w:rsidRPr="00D00FF6">
        <w:rPr>
          <w:rFonts w:ascii="Verdana" w:hAnsi="Verdana"/>
        </w:rPr>
        <w:t xml:space="preserve">          </w:t>
      </w:r>
      <w:r w:rsidRPr="00D00FF6">
        <w:rPr>
          <w:rFonts w:ascii="Verdana" w:eastAsia="Calibri" w:hAnsi="Verdana" w:cs="Arial"/>
          <w:lang w:val="es-ES" w:eastAsia="es-ES"/>
        </w:rPr>
        <w:t xml:space="preserve">    </w:t>
      </w:r>
    </w:p>
    <w:p w14:paraId="3DFE773E" w14:textId="77777777" w:rsidR="002F3469" w:rsidRDefault="002F3469" w:rsidP="002F3469">
      <w:pPr>
        <w:spacing w:after="0" w:line="240" w:lineRule="auto"/>
        <w:rPr>
          <w:rFonts w:ascii="Verdana" w:eastAsia="Calibri" w:hAnsi="Verdana" w:cs="Arial"/>
          <w:lang w:val="es-ES" w:eastAsia="es-ES"/>
        </w:rPr>
      </w:pPr>
      <w:r w:rsidRPr="00593A5F">
        <w:rPr>
          <w:rFonts w:ascii="Verdana" w:eastAsia="Geomanist Light" w:hAnsi="Verdana" w:cs="Arial"/>
          <w:color w:val="000000" w:themeColor="text1"/>
          <w:lang w:val="es-MX"/>
        </w:rPr>
        <w:t>Bogotá D.C.</w:t>
      </w:r>
      <w:r>
        <w:rPr>
          <w:rFonts w:ascii="Verdana" w:eastAsia="Calibri" w:hAnsi="Verdana" w:cs="Arial"/>
          <w:lang w:val="es-ES" w:eastAsia="es-ES"/>
        </w:rPr>
        <w:t xml:space="preserve"> </w:t>
      </w:r>
    </w:p>
    <w:p w14:paraId="66316A3A" w14:textId="77777777" w:rsidR="002F3469" w:rsidRPr="00593A5F" w:rsidRDefault="002F3469" w:rsidP="002F3469">
      <w:pPr>
        <w:spacing w:after="0" w:line="240" w:lineRule="auto"/>
        <w:rPr>
          <w:rFonts w:ascii="Verdana" w:eastAsia="Calibri" w:hAnsi="Verdana" w:cs="Arial"/>
          <w:b/>
          <w:bCs/>
          <w:color w:val="000000"/>
          <w:lang w:val="es-ES_tradnl" w:eastAsia="es-ES_tradnl"/>
        </w:rPr>
      </w:pPr>
    </w:p>
    <w:p w14:paraId="10C511B5" w14:textId="77777777" w:rsidR="002F3469" w:rsidRPr="00593A5F" w:rsidRDefault="002F3469" w:rsidP="002F346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F3469" w:rsidRPr="00593A5F" w14:paraId="7F3B9133" w14:textId="77777777" w:rsidTr="0020568A">
        <w:trPr>
          <w:trHeight w:val="884"/>
        </w:trPr>
        <w:tc>
          <w:tcPr>
            <w:tcW w:w="2689" w:type="dxa"/>
          </w:tcPr>
          <w:p w14:paraId="73451009" w14:textId="77777777" w:rsidR="002F3469" w:rsidRPr="00C00976" w:rsidRDefault="002F3469" w:rsidP="0020568A">
            <w:pPr>
              <w:jc w:val="both"/>
              <w:rPr>
                <w:rFonts w:ascii="Verdana" w:eastAsia="Calibri" w:hAnsi="Verdana" w:cs="Arial"/>
                <w:b/>
                <w:bCs/>
                <w:color w:val="7030A0"/>
                <w:lang w:val="es-ES_tradnl" w:eastAsia="es-ES_tradnl"/>
              </w:rPr>
            </w:pPr>
          </w:p>
        </w:tc>
        <w:tc>
          <w:tcPr>
            <w:tcW w:w="6100" w:type="dxa"/>
          </w:tcPr>
          <w:p w14:paraId="3B852DD1" w14:textId="77777777" w:rsidR="002F3469" w:rsidRPr="00C00976" w:rsidRDefault="002F3469" w:rsidP="0020568A">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1273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2F3469" w:rsidRPr="00593A5F" w14:paraId="192235F8" w14:textId="77777777" w:rsidTr="0020568A">
        <w:trPr>
          <w:trHeight w:val="884"/>
        </w:trPr>
        <w:tc>
          <w:tcPr>
            <w:tcW w:w="2689" w:type="dxa"/>
          </w:tcPr>
          <w:p w14:paraId="2B3E4F69" w14:textId="77777777" w:rsidR="002F3469" w:rsidRPr="00593A5F" w:rsidRDefault="002F3469" w:rsidP="0020568A">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079289E" w14:textId="77777777" w:rsidR="002F3469" w:rsidRPr="00A11406" w:rsidRDefault="002F3469" w:rsidP="0020568A">
            <w:pPr>
              <w:spacing w:line="276" w:lineRule="auto"/>
              <w:jc w:val="both"/>
              <w:rPr>
                <w:rFonts w:ascii="Verdana" w:eastAsia="Calibri" w:hAnsi="Verdana" w:cs="Arial"/>
                <w:lang w:val="es-ES" w:eastAsia="es-ES"/>
              </w:rPr>
            </w:pPr>
            <w:r w:rsidRPr="008247C9">
              <w:rPr>
                <w:rFonts w:ascii="Verdana" w:eastAsia="Calibri" w:hAnsi="Verdana" w:cs="Arial"/>
                <w:lang w:val="es-ES" w:eastAsia="es-ES"/>
              </w:rPr>
              <w:t xml:space="preserve">DECRETO 092 DE 2017 – Finalidad – Clases de contratos / CONTRATACIÓN CON ESAL – Contrato de colaboración – Objeto – Alcance / CONTRATACIÓN CON ESAL – Contrato de asociación – Objeto – Alcance / CONVENIOS DE ASOCIACIÓN – Multiplicidad de sujetos – Límites legales / DECRETO 092 DE 2017 – Criterios – Aplicación / DECRETO 092 DE 2017 – Normativa vigente / </w:t>
            </w:r>
            <w:r w:rsidRPr="00FD1291">
              <w:rPr>
                <w:rFonts w:ascii="Verdana" w:eastAsia="Calibri" w:hAnsi="Verdana" w:cs="Arial"/>
                <w:lang w:val="es-ES" w:eastAsia="es-ES"/>
              </w:rPr>
              <w:t>INTEGRACIÓN NORMATIVA – Reglas generales del sistema de contratación pública</w:t>
            </w:r>
            <w:r>
              <w:rPr>
                <w:rFonts w:ascii="Verdana" w:eastAsia="Calibri" w:hAnsi="Verdana" w:cs="Arial"/>
                <w:lang w:val="es-ES" w:eastAsia="es-ES"/>
              </w:rPr>
              <w:t xml:space="preserve"> / </w:t>
            </w:r>
            <w:r w:rsidRPr="00FD1291">
              <w:rPr>
                <w:rFonts w:ascii="Verdana" w:eastAsia="Calibri" w:hAnsi="Verdana" w:cs="Arial"/>
                <w:lang w:val="es-ES" w:eastAsia="es-ES"/>
              </w:rPr>
              <w:t xml:space="preserve">DECRETO 092 DE 2017 – Adjudicación – Perfeccionamiento – Régimen aplicable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1317F517" w14:textId="77777777" w:rsidR="002F3469" w:rsidRPr="00593A5F" w:rsidRDefault="002F3469" w:rsidP="0020568A">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2F3469" w:rsidRPr="008E6AD9" w14:paraId="19F4AEB9" w14:textId="77777777" w:rsidTr="0020568A">
        <w:tc>
          <w:tcPr>
            <w:tcW w:w="2689" w:type="dxa"/>
          </w:tcPr>
          <w:p w14:paraId="507D30ED" w14:textId="77777777" w:rsidR="002F3469" w:rsidRPr="008E6AD9" w:rsidRDefault="002F3469" w:rsidP="0020568A">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6DCAD906" w14:textId="77777777" w:rsidR="002F3469" w:rsidRPr="008E6AD9" w:rsidRDefault="002F3469" w:rsidP="0020568A">
            <w:pPr>
              <w:spacing w:line="276" w:lineRule="auto"/>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0B501E">
              <w:rPr>
                <w:rFonts w:ascii="Verdana" w:eastAsia="Calibri" w:hAnsi="Verdana" w:cs="Arial"/>
                <w:lang w:val="es-ES_tradnl" w:eastAsia="es-ES_tradnl"/>
              </w:rPr>
              <w:t>1_2025_09_05_009690</w:t>
            </w:r>
            <w:r w:rsidRPr="0085423D">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5ADFA621" w14:textId="77777777" w:rsidR="002F3469" w:rsidRPr="00593A5F" w:rsidRDefault="002F3469" w:rsidP="002F3469">
      <w:pPr>
        <w:spacing w:after="0" w:line="240" w:lineRule="auto"/>
        <w:jc w:val="both"/>
        <w:rPr>
          <w:rFonts w:ascii="Verdana" w:eastAsia="Calibri" w:hAnsi="Verdana" w:cs="Arial"/>
          <w:color w:val="000000"/>
          <w:lang w:val="es-ES_tradnl" w:eastAsia="es-ES_tradnl"/>
        </w:rPr>
      </w:pPr>
    </w:p>
    <w:p w14:paraId="50F51F4C" w14:textId="77777777" w:rsidR="002F3469" w:rsidRPr="00593A5F" w:rsidRDefault="002F3469" w:rsidP="002F3469">
      <w:pPr>
        <w:spacing w:after="0" w:line="240" w:lineRule="auto"/>
        <w:jc w:val="both"/>
        <w:rPr>
          <w:rFonts w:ascii="Verdana" w:eastAsia="Calibri" w:hAnsi="Verdana" w:cs="Arial"/>
          <w:color w:val="000000"/>
          <w:lang w:val="es-ES_tradnl" w:eastAsia="es-ES_tradnl"/>
        </w:rPr>
      </w:pPr>
    </w:p>
    <w:p w14:paraId="66BE823F" w14:textId="77777777" w:rsidR="002F3469" w:rsidRPr="008E6AD9" w:rsidRDefault="002F3469" w:rsidP="002F3469">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proofErr w:type="spellStart"/>
      <w:r w:rsidRPr="00D00FF6">
        <w:rPr>
          <w:rFonts w:ascii="Verdana" w:eastAsia="Calibri" w:hAnsi="Verdana" w:cs="Arial"/>
          <w:lang w:val="es-ES" w:eastAsia="es-ES"/>
        </w:rPr>
        <w:t>Riaga</w:t>
      </w:r>
      <w:proofErr w:type="spellEnd"/>
      <w:r w:rsidRPr="00D00FF6">
        <w:rPr>
          <w:rFonts w:ascii="Verdana" w:eastAsia="Calibri" w:hAnsi="Verdana" w:cs="Arial"/>
          <w:lang w:val="es-ES" w:eastAsia="es-ES"/>
        </w:rPr>
        <w:t xml:space="preserve"> Acuña</w:t>
      </w:r>
      <w:r w:rsidRPr="008E6AD9">
        <w:rPr>
          <w:rFonts w:ascii="Verdana" w:eastAsia="Calibri" w:hAnsi="Verdana" w:cs="Arial"/>
          <w:lang w:val="es-ES" w:eastAsia="es-ES"/>
        </w:rPr>
        <w:t xml:space="preserve">: </w:t>
      </w:r>
    </w:p>
    <w:p w14:paraId="35978A59" w14:textId="77777777" w:rsidR="002F3469" w:rsidRDefault="002F3469" w:rsidP="002F346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1A33B8C" w14:textId="77777777" w:rsidR="002F3469" w:rsidRPr="00593A5F" w:rsidRDefault="002F3469" w:rsidP="002F3469">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5 de septiembre de 2025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en la cua</w:t>
      </w:r>
      <w:r>
        <w:rPr>
          <w:rFonts w:ascii="Verdana" w:eastAsia="Calibri" w:hAnsi="Verdana" w:cs="Arial"/>
          <w:lang w:val="es-ES" w:eastAsia="es-ES"/>
        </w:rPr>
        <w:t>l manifiesta que:</w:t>
      </w:r>
      <w:r w:rsidRPr="008E6AD9">
        <w:rPr>
          <w:rFonts w:ascii="Verdana" w:eastAsia="Calibri" w:hAnsi="Verdana" w:cs="Arial"/>
          <w:lang w:val="es-ES" w:eastAsia="es-ES"/>
        </w:rPr>
        <w:t xml:space="preserve"> </w:t>
      </w:r>
    </w:p>
    <w:p w14:paraId="3E301AB7" w14:textId="77777777" w:rsidR="002F3469" w:rsidRPr="00272A7B" w:rsidRDefault="002F3469" w:rsidP="002F3469">
      <w:pPr>
        <w:pStyle w:val="Prrafodelista"/>
        <w:tabs>
          <w:tab w:val="left" w:pos="142"/>
          <w:tab w:val="left" w:pos="284"/>
        </w:tabs>
        <w:spacing w:after="0" w:line="276" w:lineRule="auto"/>
        <w:ind w:left="0"/>
        <w:jc w:val="both"/>
        <w:rPr>
          <w:rFonts w:ascii="Verdana" w:eastAsia="Century Gothic" w:hAnsi="Verdana" w:cs="Century Gothic"/>
          <w:b/>
          <w:bCs/>
        </w:rPr>
      </w:pPr>
    </w:p>
    <w:p w14:paraId="7ACB7B26" w14:textId="77777777" w:rsidR="002F3469" w:rsidRDefault="002F3469" w:rsidP="002F3469">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lastRenderedPageBreak/>
        <w:t>A la luz de estas circunstancias, realiza las siguientes preguntas:</w:t>
      </w:r>
    </w:p>
    <w:p w14:paraId="6B405C95" w14:textId="77777777" w:rsidR="002F3469" w:rsidRDefault="002F3469" w:rsidP="002F3469">
      <w:pPr>
        <w:spacing w:after="0" w:line="276" w:lineRule="auto"/>
        <w:ind w:firstLine="709"/>
        <w:jc w:val="both"/>
        <w:rPr>
          <w:rFonts w:ascii="Verdana" w:eastAsia="Calibri" w:hAnsi="Verdana" w:cs="Arial"/>
          <w:color w:val="000000"/>
          <w:lang w:val="es-ES" w:eastAsia="es-ES"/>
        </w:rPr>
      </w:pPr>
    </w:p>
    <w:p w14:paraId="1F2CC308" w14:textId="77777777" w:rsidR="002F3469" w:rsidRPr="00CA0818" w:rsidRDefault="002F3469" w:rsidP="002F3469">
      <w:pPr>
        <w:spacing w:after="120" w:line="240" w:lineRule="auto"/>
        <w:ind w:left="709" w:right="709"/>
        <w:jc w:val="both"/>
        <w:rPr>
          <w:rFonts w:ascii="Verdana" w:eastAsia="Calibri" w:hAnsi="Verdana" w:cs="Arial"/>
          <w:color w:val="000000"/>
          <w:sz w:val="21"/>
          <w:szCs w:val="21"/>
          <w:lang w:val="es-ES" w:eastAsia="es-ES"/>
        </w:rPr>
      </w:pPr>
      <w:r w:rsidRPr="00CA0818">
        <w:rPr>
          <w:rFonts w:ascii="Verdana" w:eastAsia="Calibri" w:hAnsi="Verdana" w:cs="Arial"/>
          <w:color w:val="000000"/>
          <w:sz w:val="21"/>
          <w:szCs w:val="21"/>
          <w:lang w:val="es-ES" w:eastAsia="es-ES"/>
        </w:rPr>
        <w:t>“1. En virtud del principio de jerarquía normativa consagrado en el artículo 4 de la Constitución Política, ¿cuál es la norma prevalente en caso de conflicto entre las disposiciones del Estatuto General de Contratación de la Administración Pública (Leyes 80 de 1993 y 1150 de 2007), que regulan de manera taxativa los requisitos de perfeccionamiento y ejecución del contrato estatal, y una norma de carácter distrital (Decreto 479 de 2024 de Bogotá D.C.) que impone una verificación de capacidad a las ESAL para poder contratar con el Distrito?</w:t>
      </w:r>
    </w:p>
    <w:p w14:paraId="1342C9F9" w14:textId="77777777" w:rsidR="002F3469" w:rsidRPr="00CA0818" w:rsidRDefault="002F3469" w:rsidP="002F3469">
      <w:pPr>
        <w:spacing w:after="120" w:line="240" w:lineRule="auto"/>
        <w:ind w:left="709" w:right="709"/>
        <w:jc w:val="both"/>
        <w:rPr>
          <w:rFonts w:ascii="Verdana" w:eastAsia="Calibri" w:hAnsi="Verdana" w:cs="Arial"/>
          <w:color w:val="000000"/>
          <w:sz w:val="21"/>
          <w:szCs w:val="21"/>
          <w:lang w:val="es-ES" w:eastAsia="es-ES"/>
        </w:rPr>
      </w:pPr>
      <w:r w:rsidRPr="00CA0818">
        <w:rPr>
          <w:rFonts w:ascii="Verdana" w:eastAsia="Calibri" w:hAnsi="Verdana" w:cs="Arial"/>
          <w:color w:val="000000"/>
          <w:sz w:val="21"/>
          <w:szCs w:val="21"/>
          <w:lang w:val="es-ES" w:eastAsia="es-ES"/>
        </w:rPr>
        <w:t>2. Considerando que el acto de adjudicación se encuentra en firme, ¿puede una entidad estatal, en la etapa de perfeccionamiento del contrato, exigir al adjudicatario el cumplimiento de un requisito o la presentación de un documento que no fue contemplado en los pliegos de condiciones  como requisito habilitante o como condición para la firma, sin que ello implique la vulneración de los derechos y obligaciones recíprocamente adquiridos por la entidad estatal y el adjudicatario, ni el  desconocimiento de los principios de planeación, transparencia, selección objetiva y buena fe que rigen la contratación pública?</w:t>
      </w:r>
    </w:p>
    <w:p w14:paraId="044B148D" w14:textId="77777777" w:rsidR="002F3469" w:rsidRPr="00CA0818" w:rsidRDefault="002F3469" w:rsidP="002F3469">
      <w:pPr>
        <w:spacing w:after="120" w:line="240" w:lineRule="auto"/>
        <w:ind w:left="709" w:right="709"/>
        <w:jc w:val="both"/>
        <w:rPr>
          <w:rFonts w:ascii="Verdana" w:eastAsia="Calibri" w:hAnsi="Verdana" w:cs="Arial"/>
          <w:color w:val="000000"/>
          <w:sz w:val="21"/>
          <w:szCs w:val="21"/>
          <w:lang w:val="es-ES" w:eastAsia="es-ES"/>
        </w:rPr>
      </w:pPr>
      <w:r w:rsidRPr="00CA0818">
        <w:rPr>
          <w:rFonts w:ascii="Verdana" w:eastAsia="Calibri" w:hAnsi="Verdana" w:cs="Arial"/>
          <w:color w:val="000000"/>
          <w:sz w:val="21"/>
          <w:szCs w:val="21"/>
          <w:lang w:val="es-ES" w:eastAsia="es-ES"/>
        </w:rPr>
        <w:t xml:space="preserve">3. A la luz del Artículo 41 de la Ley 80 de 1993, ¿la exigencia de un certificado de IVC puede ser interpretada como un requisito para el perfeccionamiento del contrato (acuerdo escrito) o debe entenderse, en el mejor de los casos para la entidad, como una obligación que se puede cumplir durante la ejecución </w:t>
      </w:r>
      <w:proofErr w:type="gramStart"/>
      <w:r w:rsidRPr="00CA0818">
        <w:rPr>
          <w:rFonts w:ascii="Verdana" w:eastAsia="Calibri" w:hAnsi="Verdana" w:cs="Arial"/>
          <w:color w:val="000000"/>
          <w:sz w:val="21"/>
          <w:szCs w:val="21"/>
          <w:lang w:val="es-ES" w:eastAsia="es-ES"/>
        </w:rPr>
        <w:t>del mismo</w:t>
      </w:r>
      <w:proofErr w:type="gramEnd"/>
      <w:r w:rsidRPr="00CA0818">
        <w:rPr>
          <w:rFonts w:ascii="Verdana" w:eastAsia="Calibri" w:hAnsi="Verdana" w:cs="Arial"/>
          <w:color w:val="000000"/>
          <w:sz w:val="21"/>
          <w:szCs w:val="21"/>
          <w:lang w:val="es-ES" w:eastAsia="es-ES"/>
        </w:rPr>
        <w:t>, que no puede impedir su suscripción?</w:t>
      </w:r>
    </w:p>
    <w:p w14:paraId="4F601673" w14:textId="77777777" w:rsidR="002F3469" w:rsidRPr="00CA0818" w:rsidRDefault="002F3469" w:rsidP="002F3469">
      <w:pPr>
        <w:spacing w:after="0" w:line="240" w:lineRule="auto"/>
        <w:ind w:left="709" w:right="709"/>
        <w:jc w:val="both"/>
        <w:rPr>
          <w:rFonts w:ascii="Verdana" w:eastAsia="Calibri" w:hAnsi="Verdana" w:cs="Arial"/>
          <w:color w:val="000000"/>
          <w:sz w:val="21"/>
          <w:szCs w:val="21"/>
          <w:lang w:val="es-ES" w:eastAsia="es-ES"/>
        </w:rPr>
      </w:pPr>
      <w:r w:rsidRPr="00CA0818">
        <w:rPr>
          <w:rFonts w:ascii="Verdana" w:eastAsia="Calibri" w:hAnsi="Verdana" w:cs="Arial"/>
          <w:color w:val="000000"/>
          <w:sz w:val="21"/>
          <w:szCs w:val="21"/>
          <w:lang w:val="es-ES" w:eastAsia="es-ES"/>
        </w:rPr>
        <w:t>4. Conforme al carácter irrevocable del acto de adjudicación, establecido en el Artículo 9 de la Ley 1150 de 2007 y desarrollado por la pacífica y reiterada jurisprudencia del Consejo de Estado, ¿la suscripción del contrato puede quedar suspendida indefinidamente por el tiempo que tome obtener el certificado en mención?”.</w:t>
      </w:r>
    </w:p>
    <w:p w14:paraId="344A2094" w14:textId="77777777" w:rsidR="002F3469" w:rsidRDefault="002F3469" w:rsidP="002F3469">
      <w:pPr>
        <w:spacing w:after="0" w:line="276" w:lineRule="auto"/>
        <w:jc w:val="both"/>
        <w:rPr>
          <w:rFonts w:ascii="Verdana" w:eastAsia="Calibri" w:hAnsi="Verdana" w:cs="Arial"/>
          <w:color w:val="000000"/>
          <w:lang w:val="es-ES" w:eastAsia="es-ES"/>
        </w:rPr>
      </w:pPr>
    </w:p>
    <w:p w14:paraId="1AD0AFB3" w14:textId="77777777" w:rsidR="002F3469" w:rsidRPr="00A652FF" w:rsidRDefault="002F3469" w:rsidP="002F3469">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w:t>
      </w:r>
      <w:r w:rsidRPr="00593A5F">
        <w:rPr>
          <w:rFonts w:ascii="Verdana" w:eastAsia="Calibri" w:hAnsi="Verdana" w:cs="Arial"/>
          <w:color w:val="000000"/>
          <w:lang w:val="es-ES" w:eastAsia="es-ES"/>
        </w:rPr>
        <w:lastRenderedPageBreak/>
        <w:t xml:space="preserve">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2F12903" w14:textId="77777777" w:rsidR="002F3469" w:rsidRDefault="002F3469" w:rsidP="002F346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08BF40C5" w14:textId="77777777" w:rsidR="002F3469" w:rsidRPr="00593A5F" w:rsidRDefault="002F3469" w:rsidP="002F3469">
      <w:pPr>
        <w:spacing w:after="0" w:line="276" w:lineRule="auto"/>
        <w:ind w:firstLine="709"/>
        <w:jc w:val="both"/>
        <w:rPr>
          <w:rFonts w:ascii="Verdana" w:eastAsia="Calibri" w:hAnsi="Verdana" w:cs="Arial"/>
          <w:color w:val="000000"/>
          <w:lang w:val="es-ES" w:eastAsia="es-ES"/>
        </w:rPr>
      </w:pPr>
    </w:p>
    <w:p w14:paraId="2C246F87" w14:textId="77777777" w:rsidR="002F3469" w:rsidRPr="00593A5F" w:rsidRDefault="002F3469" w:rsidP="002F346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0CD75D19" w14:textId="77777777" w:rsidR="002F3469" w:rsidRPr="00593A5F" w:rsidRDefault="002F3469" w:rsidP="002F3469">
      <w:pPr>
        <w:tabs>
          <w:tab w:val="left" w:pos="426"/>
        </w:tabs>
        <w:spacing w:after="0" w:line="276" w:lineRule="auto"/>
        <w:jc w:val="both"/>
        <w:rPr>
          <w:rFonts w:ascii="Verdana" w:eastAsia="Century Gothic" w:hAnsi="Verdana" w:cs="Century Gothic"/>
          <w:lang w:val="es-ES"/>
        </w:rPr>
      </w:pPr>
    </w:p>
    <w:p w14:paraId="3D1B2D66" w14:textId="77777777" w:rsidR="002F3469" w:rsidRPr="00593A5F" w:rsidRDefault="002F3469" w:rsidP="002F3469">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 problema jurídico: </w:t>
      </w:r>
      <w:r>
        <w:rPr>
          <w:rFonts w:ascii="Verdana" w:eastAsia="Century Gothic" w:hAnsi="Verdana" w:cs="Century Gothic"/>
        </w:rPr>
        <w:t xml:space="preserve">¿cuál es el marco normativo de </w:t>
      </w:r>
      <w:r w:rsidRPr="008254BC">
        <w:rPr>
          <w:rFonts w:ascii="Verdana" w:eastAsia="Century Gothic" w:hAnsi="Verdana" w:cs="Century Gothic"/>
        </w:rPr>
        <w:t>los contratos del artículo 355 de la Constitución Política y</w:t>
      </w:r>
      <w:r>
        <w:rPr>
          <w:rFonts w:ascii="Verdana" w:eastAsia="Century Gothic" w:hAnsi="Verdana" w:cs="Century Gothic"/>
        </w:rPr>
        <w:t xml:space="preserve"> de</w:t>
      </w:r>
      <w:r w:rsidRPr="008254BC">
        <w:rPr>
          <w:rFonts w:ascii="Verdana" w:eastAsia="Century Gothic" w:hAnsi="Verdana" w:cs="Century Gothic"/>
        </w:rPr>
        <w:t xml:space="preserve"> los convenios de asociación del artículo 96 de la Ley 489 de 1998</w:t>
      </w:r>
      <w:r>
        <w:rPr>
          <w:rFonts w:ascii="Verdana" w:eastAsia="Century Gothic" w:hAnsi="Verdana" w:cs="Century Gothic"/>
        </w:rPr>
        <w:t xml:space="preserve"> en materia de adjudicación y perfeccionamiento?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56A96710" w14:textId="77777777" w:rsidR="002F3469" w:rsidRPr="004B140F" w:rsidRDefault="002F3469" w:rsidP="002F3469">
      <w:pPr>
        <w:spacing w:after="0" w:line="276" w:lineRule="auto"/>
        <w:jc w:val="both"/>
        <w:rPr>
          <w:rFonts w:ascii="Verdana" w:eastAsia="Calibri" w:hAnsi="Verdana" w:cs="Arial"/>
          <w:color w:val="7030A0"/>
        </w:rPr>
      </w:pPr>
    </w:p>
    <w:p w14:paraId="3BE3B5D1" w14:textId="77777777" w:rsidR="002F3469" w:rsidRPr="00593A5F" w:rsidRDefault="002F3469" w:rsidP="002F346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9C2E712" w14:textId="77777777" w:rsidR="002F3469" w:rsidRPr="00593A5F" w:rsidRDefault="002F3469" w:rsidP="002F346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F3469" w:rsidRPr="00593A5F" w14:paraId="6B56BF53" w14:textId="77777777">
        <w:trPr>
          <w:jc w:val="center"/>
        </w:trPr>
        <w:tc>
          <w:tcPr>
            <w:tcW w:w="8828" w:type="dxa"/>
          </w:tcPr>
          <w:p w14:paraId="352776B4" w14:textId="25655B2F" w:rsidR="002F3469" w:rsidRDefault="002F3469" w:rsidP="0020568A">
            <w:pPr>
              <w:spacing w:after="120" w:line="276" w:lineRule="auto"/>
              <w:jc w:val="both"/>
              <w:rPr>
                <w:rFonts w:ascii="Verdana" w:eastAsia="Calibri" w:hAnsi="Verdana" w:cs="Arial"/>
                <w:lang w:val="es-ES_tradnl"/>
              </w:rPr>
            </w:pPr>
            <w:bookmarkStart w:id="1" w:name="_Hlk171694685"/>
            <w:r>
              <w:rPr>
                <w:rFonts w:ascii="Verdana" w:eastAsia="Calibri" w:hAnsi="Verdana" w:cs="Times New Roman"/>
                <w:iCs/>
                <w:lang w:val="es-ES"/>
              </w:rPr>
              <w:t>Conforme a la interpretación general de las normas del sistema de compras públicas,</w:t>
            </w:r>
            <w:r w:rsidRPr="00185EE9">
              <w:rPr>
                <w:rFonts w:ascii="Verdana" w:eastAsia="Calibri" w:hAnsi="Verdana" w:cs="Times New Roman"/>
                <w:iCs/>
                <w:lang w:val="es-ES"/>
              </w:rPr>
              <w:t xml:space="preserve"> </w:t>
            </w:r>
            <w:r w:rsidRPr="000A33B7">
              <w:rPr>
                <w:rFonts w:ascii="Verdana" w:eastAsia="Calibri" w:hAnsi="Verdana" w:cs="Arial"/>
                <w:lang w:val="es-ES_tradnl"/>
              </w:rPr>
              <w:t xml:space="preserve">el artículo 8 del Decreto 092 de 2017 </w:t>
            </w:r>
            <w:r w:rsidRPr="000A33B7">
              <w:rPr>
                <w:rFonts w:ascii="Verdana" w:eastAsia="Calibri" w:hAnsi="Verdana" w:cs="Arial"/>
                <w:i/>
                <w:iCs/>
                <w:lang w:val="es-ES_tradnl"/>
              </w:rPr>
              <w:t>remite integralmente</w:t>
            </w:r>
            <w:r w:rsidRPr="000A33B7">
              <w:rPr>
                <w:rFonts w:ascii="Verdana" w:eastAsia="Calibri" w:hAnsi="Verdana" w:cs="Arial"/>
                <w:lang w:val="es-ES_tradnl"/>
              </w:rPr>
              <w:t xml:space="preserve"> al Estatuto </w:t>
            </w:r>
            <w:r w:rsidR="008812B4">
              <w:rPr>
                <w:rFonts w:ascii="Verdana" w:eastAsia="Calibri" w:hAnsi="Verdana" w:cs="Arial"/>
                <w:lang w:val="es-ES_tradnl"/>
              </w:rPr>
              <w:t xml:space="preserve">General </w:t>
            </w:r>
            <w:r w:rsidRPr="000A33B7">
              <w:rPr>
                <w:rFonts w:ascii="Verdana" w:eastAsia="Calibri" w:hAnsi="Verdana" w:cs="Arial"/>
                <w:lang w:val="es-ES_tradnl"/>
              </w:rPr>
              <w:t>de Contratación</w:t>
            </w:r>
            <w:r w:rsidR="008812B4">
              <w:rPr>
                <w:rFonts w:ascii="Verdana" w:eastAsia="Calibri" w:hAnsi="Verdana" w:cs="Arial"/>
                <w:lang w:val="es-ES_tradnl"/>
              </w:rPr>
              <w:t xml:space="preserve"> de la Administración Pública</w:t>
            </w:r>
            <w:r w:rsidRPr="000A33B7">
              <w:rPr>
                <w:rFonts w:ascii="Verdana" w:eastAsia="Calibri" w:hAnsi="Verdana" w:cs="Arial"/>
                <w:lang w:val="es-ES_tradnl"/>
              </w:rPr>
              <w:t>. Esta remisión alcanza tanto el régimen de inhabilidades e incompatibilidades como los principios aplicables a la contratación estatal. Por tanto, los artículos 6, 7 y 8 del reglamento autónomo deben interpretarse en bloque, es decir, aplicando la Ley 80 de 1993 a todo supuesto que no esté expresamente regulado en el Decreto 092 de 2017.</w:t>
            </w:r>
            <w:r>
              <w:rPr>
                <w:rFonts w:ascii="Verdana" w:eastAsia="Calibri" w:hAnsi="Verdana" w:cs="Arial"/>
                <w:lang w:val="es-ES_tradnl"/>
              </w:rPr>
              <w:t xml:space="preserve"> </w:t>
            </w:r>
            <w:r w:rsidRPr="000A33B7">
              <w:rPr>
                <w:rFonts w:ascii="Verdana" w:eastAsia="Calibri" w:hAnsi="Verdana" w:cs="Arial"/>
                <w:lang w:val="es-ES_tradnl"/>
              </w:rPr>
              <w:t xml:space="preserve">En esta medida, los </w:t>
            </w:r>
            <w:r w:rsidRPr="000A33B7">
              <w:rPr>
                <w:rFonts w:ascii="Verdana" w:eastAsia="Calibri" w:hAnsi="Verdana" w:cs="Arial"/>
                <w:i/>
                <w:iCs/>
                <w:lang w:val="es-ES_tradnl"/>
              </w:rPr>
              <w:t xml:space="preserve">contratos del artículo 355 de la Constitución </w:t>
            </w:r>
            <w:r w:rsidRPr="000A33B7">
              <w:rPr>
                <w:rFonts w:ascii="Verdana" w:eastAsia="Calibri" w:hAnsi="Verdana" w:cs="Arial"/>
                <w:lang w:val="es-ES_tradnl"/>
              </w:rPr>
              <w:t xml:space="preserve">y los </w:t>
            </w:r>
            <w:r w:rsidRPr="000A33B7">
              <w:rPr>
                <w:rFonts w:ascii="Verdana" w:eastAsia="Calibri" w:hAnsi="Verdana" w:cs="Arial"/>
                <w:i/>
                <w:iCs/>
                <w:lang w:val="es-ES_tradnl"/>
              </w:rPr>
              <w:t>convenios de asociación</w:t>
            </w:r>
            <w:r w:rsidRPr="000A33B7">
              <w:rPr>
                <w:rFonts w:ascii="Verdana" w:eastAsia="Calibri" w:hAnsi="Verdana" w:cs="Arial"/>
                <w:lang w:val="es-ES_tradnl"/>
              </w:rPr>
              <w:t xml:space="preserve"> se rigen por el decreto y las normas del Estatuto General que sean compatibles con él</w:t>
            </w:r>
            <w:r>
              <w:rPr>
                <w:rFonts w:ascii="Verdana" w:eastAsia="Calibri" w:hAnsi="Verdana" w:cs="Arial"/>
                <w:lang w:val="es-ES_tradnl"/>
              </w:rPr>
              <w:t>.</w:t>
            </w:r>
          </w:p>
          <w:p w14:paraId="4601B713" w14:textId="77777777" w:rsidR="002F3469" w:rsidRPr="00FD1291" w:rsidRDefault="002F3469" w:rsidP="0020568A">
            <w:pPr>
              <w:spacing w:after="120" w:line="276" w:lineRule="auto"/>
              <w:ind w:firstLine="737"/>
              <w:jc w:val="both"/>
              <w:rPr>
                <w:rFonts w:ascii="Verdana" w:eastAsia="Calibri" w:hAnsi="Verdana" w:cs="Arial"/>
                <w:bCs/>
                <w:color w:val="000000" w:themeColor="text1"/>
                <w:lang w:val="es-ES"/>
              </w:rPr>
            </w:pPr>
            <w:r>
              <w:rPr>
                <w:rFonts w:ascii="Verdana" w:eastAsia="Calibri" w:hAnsi="Verdana" w:cs="Arial"/>
                <w:bCs/>
                <w:color w:val="000000" w:themeColor="text1"/>
              </w:rPr>
              <w:t xml:space="preserve">En este marco, </w:t>
            </w:r>
            <w:r w:rsidRPr="00FD1291">
              <w:rPr>
                <w:rFonts w:ascii="Verdana" w:eastAsia="Calibri" w:hAnsi="Verdana" w:cs="Arial"/>
                <w:bCs/>
                <w:color w:val="000000" w:themeColor="text1"/>
                <w:lang w:val="es-ES"/>
              </w:rPr>
              <w:t xml:space="preserve">la adjudicación es una de las formalidades principales dentro del recorrido de formación del contrato del Estado, ya que su existencia genera de manera inmediata una relación jurídica que compromete a las partes a celebrar el respectivo contrato. Esto es, firmar un documento en el que conste el acuerdo sobre el objeto y la contraprestación, así como las respectivas previsiones para el correcto desarrollo del objeto contractual. Así se desprende del artículo 9° de la Ley 1150 de 2007 cuando expresa que </w:t>
            </w:r>
            <w:r w:rsidRPr="00FD1291">
              <w:rPr>
                <w:rFonts w:ascii="Verdana" w:eastAsia="Calibri" w:hAnsi="Verdana" w:cs="Arial"/>
                <w:bCs/>
                <w:i/>
                <w:iCs/>
                <w:color w:val="000000" w:themeColor="text1"/>
                <w:lang w:val="es-ES"/>
              </w:rPr>
              <w:t>“</w:t>
            </w:r>
            <w:r w:rsidRPr="00FD1291">
              <w:rPr>
                <w:rFonts w:ascii="Verdana" w:eastAsia="Calibri" w:hAnsi="Verdana" w:cs="Arial"/>
                <w:bCs/>
                <w:color w:val="000000" w:themeColor="text1"/>
                <w:lang w:val="es-ES"/>
              </w:rPr>
              <w:t xml:space="preserve">El </w:t>
            </w:r>
            <w:r w:rsidRPr="00FD1291">
              <w:rPr>
                <w:rFonts w:ascii="Verdana" w:eastAsia="Calibri" w:hAnsi="Verdana" w:cs="Arial"/>
                <w:bCs/>
                <w:color w:val="000000" w:themeColor="text1"/>
                <w:lang w:val="es-ES"/>
              </w:rPr>
              <w:lastRenderedPageBreak/>
              <w:t>acto de adjudicación es irrevocable y obliga a la entidad y al adjudicatario […]”. Se concluye entonces que, es una obligación reciproca, esto es, oponible tanto a la Administración como al adjudicatario.</w:t>
            </w:r>
          </w:p>
          <w:p w14:paraId="4AD92C05" w14:textId="77777777" w:rsidR="002F3469" w:rsidRPr="00FD1291" w:rsidRDefault="002F3469" w:rsidP="0020568A">
            <w:pPr>
              <w:spacing w:after="120" w:line="276" w:lineRule="auto"/>
              <w:ind w:firstLine="737"/>
              <w:jc w:val="both"/>
              <w:rPr>
                <w:rFonts w:ascii="Verdana" w:eastAsia="Calibri" w:hAnsi="Verdana" w:cs="Arial"/>
                <w:bCs/>
                <w:color w:val="000000" w:themeColor="text1"/>
                <w:lang w:val="es-ES"/>
              </w:rPr>
            </w:pPr>
            <w:r w:rsidRPr="00FD1291">
              <w:rPr>
                <w:rFonts w:ascii="Verdana" w:eastAsia="Calibri" w:hAnsi="Verdana" w:cs="Arial"/>
                <w:bCs/>
                <w:color w:val="000000" w:themeColor="text1"/>
                <w:lang w:val="es-ES"/>
              </w:rPr>
              <w:t xml:space="preserve">Esta obligatoriedad del acto de adjudicación se traslada </w:t>
            </w:r>
            <w:r w:rsidRPr="00FD1291">
              <w:rPr>
                <w:rFonts w:ascii="Verdana" w:eastAsia="Calibri" w:hAnsi="Verdana" w:cs="Arial"/>
                <w:bCs/>
                <w:i/>
                <w:iCs/>
                <w:color w:val="000000" w:themeColor="text1"/>
                <w:lang w:val="es-ES"/>
              </w:rPr>
              <w:t>mutatis mutandis</w:t>
            </w:r>
            <w:r w:rsidRPr="00FD1291">
              <w:rPr>
                <w:rFonts w:ascii="Verdana" w:eastAsia="Calibri" w:hAnsi="Verdana" w:cs="Arial"/>
                <w:bCs/>
                <w:color w:val="000000" w:themeColor="text1"/>
                <w:lang w:val="es-ES"/>
              </w:rPr>
              <w:t xml:space="preserve"> a los negocios jurídicos del Decreto 092 de 2017, pues –como se explicó </w:t>
            </w:r>
            <w:r w:rsidRPr="00FD1291">
              <w:rPr>
                <w:rFonts w:ascii="Verdana" w:eastAsia="Calibri" w:hAnsi="Verdana" w:cs="Arial"/>
                <w:bCs/>
                <w:i/>
                <w:iCs/>
                <w:color w:val="000000" w:themeColor="text1"/>
                <w:lang w:val="es-ES"/>
              </w:rPr>
              <w:t>ut supra</w:t>
            </w:r>
            <w:r w:rsidRPr="00FD1291">
              <w:rPr>
                <w:rFonts w:ascii="Verdana" w:eastAsia="Calibri" w:hAnsi="Verdana" w:cs="Arial"/>
                <w:bCs/>
                <w:color w:val="000000" w:themeColor="text1"/>
                <w:lang w:val="es-ES"/>
              </w:rPr>
              <w:t xml:space="preserve">, salvo lo expresamente regulado en el reglamento autónomo– existe una remisión integra las normas generales de contratación estatal. Por tanto, la adjudicación obliga al perfeccionamiento del contrato o convenio, salvo que se presente alguna causal de revocatoria directa, la cual se concreta cuando “[…] dentro del plazo comprendido entre la adjudicación del contrato y la suscripción </w:t>
            </w:r>
            <w:proofErr w:type="gramStart"/>
            <w:r w:rsidRPr="00FD1291">
              <w:rPr>
                <w:rFonts w:ascii="Verdana" w:eastAsia="Calibri" w:hAnsi="Verdana" w:cs="Arial"/>
                <w:bCs/>
                <w:color w:val="000000" w:themeColor="text1"/>
                <w:lang w:val="es-ES"/>
              </w:rPr>
              <w:t>del mismo</w:t>
            </w:r>
            <w:proofErr w:type="gramEnd"/>
            <w:r w:rsidRPr="00FD1291">
              <w:rPr>
                <w:rFonts w:ascii="Verdana" w:eastAsia="Calibri" w:hAnsi="Verdana" w:cs="Arial"/>
                <w:bCs/>
                <w:color w:val="000000" w:themeColor="text1"/>
                <w:lang w:val="es-ES"/>
              </w:rPr>
              <w:t>, sobreviene una inhabilidad o incompatibilidad o si se demuestra que el acto se obtuvo por medios ilegales […]”.</w:t>
            </w:r>
          </w:p>
          <w:p w14:paraId="087A86AC" w14:textId="77777777" w:rsidR="002F3469" w:rsidRPr="00FD1291" w:rsidRDefault="002F3469" w:rsidP="0020568A">
            <w:pPr>
              <w:spacing w:after="120" w:line="276" w:lineRule="auto"/>
              <w:ind w:firstLine="737"/>
              <w:jc w:val="both"/>
              <w:rPr>
                <w:rFonts w:ascii="Verdana" w:eastAsia="Calibri" w:hAnsi="Verdana" w:cs="Arial"/>
                <w:bCs/>
                <w:color w:val="000000" w:themeColor="text1"/>
                <w:lang w:val="es-ES"/>
              </w:rPr>
            </w:pPr>
            <w:r>
              <w:rPr>
                <w:rFonts w:ascii="Verdana" w:eastAsia="Calibri" w:hAnsi="Verdana" w:cs="Arial"/>
                <w:shd w:val="clear" w:color="auto" w:fill="FFFFFF"/>
                <w:lang w:val="es-ES"/>
              </w:rPr>
              <w:t xml:space="preserve">Como la adjudicación es obligatoria, ello presupone que antes de la expedición del acto administrativo hubo una verificación de los criterios habilitantes y una ponderación de los factores evaluables conforme a los requisitos establecidos previamente en los documentos del proceso. En este contexto, una vez adjudicado, el perfeccionamiento de los contratos del artículo 355 superior o los convenios del artículo 96 de la Ley 489 de 1998 –por remisión del Decreto 092 de 2017 en las condiciones explicadas </w:t>
            </w:r>
            <w:r w:rsidRPr="00C23B11">
              <w:rPr>
                <w:rFonts w:ascii="Verdana" w:eastAsia="Calibri" w:hAnsi="Verdana" w:cs="Arial"/>
                <w:i/>
                <w:iCs/>
                <w:shd w:val="clear" w:color="auto" w:fill="FFFFFF"/>
                <w:lang w:val="es-ES"/>
              </w:rPr>
              <w:t>ut supra</w:t>
            </w:r>
            <w:r>
              <w:rPr>
                <w:rFonts w:ascii="Verdana" w:eastAsia="Calibri" w:hAnsi="Verdana" w:cs="Arial"/>
                <w:shd w:val="clear" w:color="auto" w:fill="FFFFFF"/>
                <w:lang w:val="es-ES"/>
              </w:rPr>
              <w:t>– se rige por los incisos primero de los artículos 39 y 41 de la Ley 80 de 1993.</w:t>
            </w:r>
          </w:p>
          <w:p w14:paraId="5F8D3991" w14:textId="77777777" w:rsidR="002F3469" w:rsidRPr="00FD1291" w:rsidRDefault="002F3469" w:rsidP="0020568A">
            <w:pPr>
              <w:spacing w:after="120" w:line="276" w:lineRule="auto"/>
              <w:ind w:firstLine="709"/>
              <w:jc w:val="both"/>
              <w:rPr>
                <w:rFonts w:ascii="Verdana" w:eastAsia="Calibri" w:hAnsi="Verdana" w:cs="Arial"/>
                <w:shd w:val="clear" w:color="auto" w:fill="FFFFFF"/>
                <w:lang w:val="es-ES"/>
              </w:rPr>
            </w:pPr>
            <w:r>
              <w:rPr>
                <w:rFonts w:ascii="Verdana" w:eastAsia="Calibri" w:hAnsi="Verdana" w:cs="Arial"/>
                <w:shd w:val="clear" w:color="auto" w:fill="FFFFFF"/>
                <w:lang w:val="es-ES"/>
              </w:rPr>
              <w:t>Por tanto, entre la adjudicación y el perfeccionamiento del contrato, las normas generales de contratación pública no imponen la entrega de documentación adicional, la cual debió ser previamente verificada en la evaluación de la propuesta de acuerdo con los requisitos exigidos en el proceso de selección. Para estos efectos, conforme al artículo 25.2 del EGCAP, es necesario tener en cuenta que “</w:t>
            </w:r>
            <w:r w:rsidRPr="00C23B11">
              <w:rPr>
                <w:rFonts w:ascii="Verdana" w:eastAsia="Calibri" w:hAnsi="Verdana" w:cs="Arial"/>
                <w:shd w:val="clear" w:color="auto" w:fill="FFFFFF"/>
                <w:lang w:val="es-ES"/>
              </w:rPr>
              <w:t>Las normas de los procedimientos contractuales se interpretarán de tal manera que no den ocasión a seguir trámites distintos y adicionales a los expresamente previstos o que permitan valerse de los defectos de forma o de la inobservancia de requisitos para no decidir o proferir providencias inhibitorias</w:t>
            </w:r>
            <w:r>
              <w:rPr>
                <w:rFonts w:ascii="Verdana" w:eastAsia="Calibri" w:hAnsi="Verdana" w:cs="Arial"/>
                <w:shd w:val="clear" w:color="auto" w:fill="FFFFFF"/>
                <w:lang w:val="es-ES"/>
              </w:rPr>
              <w:t>”</w:t>
            </w:r>
            <w:r w:rsidRPr="00C23B11">
              <w:rPr>
                <w:rFonts w:ascii="Verdana" w:eastAsia="Calibri" w:hAnsi="Verdana" w:cs="Arial"/>
                <w:shd w:val="clear" w:color="auto" w:fill="FFFFFF"/>
                <w:lang w:val="es-ES"/>
              </w:rPr>
              <w:t>.</w:t>
            </w:r>
            <w:r>
              <w:rPr>
                <w:rFonts w:ascii="Verdana" w:eastAsia="Calibri" w:hAnsi="Verdana" w:cs="Arial"/>
                <w:shd w:val="clear" w:color="auto" w:fill="FFFFFF"/>
                <w:lang w:val="es-ES"/>
              </w:rPr>
              <w:t xml:space="preserve">  </w:t>
            </w:r>
          </w:p>
          <w:p w14:paraId="47E65BA6" w14:textId="77777777" w:rsidR="002F3469" w:rsidRPr="001A09C8" w:rsidRDefault="002F3469" w:rsidP="0020568A">
            <w:pPr>
              <w:spacing w:line="276" w:lineRule="auto"/>
              <w:ind w:firstLine="737"/>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Al margen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 xml:space="preserve">concepto de sus asesores, la solución de situaciones particulares </w:t>
            </w:r>
            <w:r w:rsidRPr="001941FD">
              <w:rPr>
                <w:rStyle w:val="s15"/>
                <w:rFonts w:ascii="Verdana" w:hAnsi="Verdana"/>
                <w:color w:val="000000"/>
              </w:rPr>
              <w:lastRenderedPageBreak/>
              <w:t>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79F6D30D" w14:textId="77777777" w:rsidR="002F3469" w:rsidRPr="00593A5F" w:rsidRDefault="002F3469" w:rsidP="002F3469">
      <w:pPr>
        <w:tabs>
          <w:tab w:val="left" w:pos="142"/>
          <w:tab w:val="left" w:pos="284"/>
        </w:tabs>
        <w:spacing w:after="0" w:line="276" w:lineRule="auto"/>
        <w:jc w:val="both"/>
        <w:rPr>
          <w:rFonts w:ascii="Verdana" w:eastAsia="Century Gothic" w:hAnsi="Verdana" w:cs="Century Gothic"/>
          <w:b/>
          <w:bCs/>
          <w:lang w:val="es-ES"/>
        </w:rPr>
      </w:pPr>
    </w:p>
    <w:bookmarkEnd w:id="1"/>
    <w:p w14:paraId="0D0B9C53" w14:textId="77777777" w:rsidR="002F3469" w:rsidRPr="00593A5F" w:rsidRDefault="002F3469" w:rsidP="002F346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178E6B6" w14:textId="77777777" w:rsidR="002F3469" w:rsidRPr="00593A5F" w:rsidRDefault="002F3469" w:rsidP="002F3469">
      <w:pPr>
        <w:spacing w:after="0" w:line="276" w:lineRule="auto"/>
        <w:jc w:val="both"/>
        <w:rPr>
          <w:rFonts w:ascii="Verdana" w:eastAsia="Calibri" w:hAnsi="Verdana" w:cs="Arial"/>
          <w:color w:val="7030A0"/>
          <w:lang w:val="es-ES"/>
        </w:rPr>
      </w:pPr>
    </w:p>
    <w:p w14:paraId="66377D53" w14:textId="77777777" w:rsidR="002F3469" w:rsidRDefault="002F3469" w:rsidP="002F3469">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79CFD59B" w14:textId="77777777" w:rsidR="002F3469" w:rsidRPr="00415608" w:rsidRDefault="002F3469" w:rsidP="002F3469">
      <w:pPr>
        <w:spacing w:after="0" w:line="276" w:lineRule="auto"/>
        <w:jc w:val="both"/>
        <w:rPr>
          <w:rFonts w:ascii="Verdana" w:eastAsia="Calibri" w:hAnsi="Verdana" w:cs="Arial"/>
          <w:lang w:val="es-ES"/>
        </w:rPr>
      </w:pPr>
    </w:p>
    <w:p w14:paraId="35429033" w14:textId="77777777" w:rsidR="002F3469" w:rsidRPr="0063743B" w:rsidRDefault="002F3469" w:rsidP="002F3469">
      <w:pPr>
        <w:spacing w:line="276" w:lineRule="auto"/>
        <w:jc w:val="both"/>
        <w:rPr>
          <w:rFonts w:ascii="Verdana" w:eastAsia="Calibri" w:hAnsi="Verdana" w:cs="Arial"/>
          <w:bCs/>
          <w:lang w:val="es-ES_tradnl"/>
        </w:rPr>
      </w:pPr>
      <w:r w:rsidRPr="0063743B">
        <w:rPr>
          <w:rFonts w:ascii="Verdana" w:eastAsia="Calibri" w:hAnsi="Verdana" w:cs="Arial"/>
          <w:lang w:val="es-ES"/>
        </w:rPr>
        <w:t xml:space="preserve">i. </w:t>
      </w:r>
      <w:r w:rsidRPr="0063743B">
        <w:rPr>
          <w:rFonts w:ascii="Verdana" w:eastAsia="Calibri" w:hAnsi="Verdana" w:cs="Arial"/>
          <w:bCs/>
          <w:lang w:val="es-ES_tradnl"/>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w:t>
      </w:r>
      <w:r w:rsidRPr="0063743B">
        <w:rPr>
          <w:rStyle w:val="Refdenotaalpie"/>
          <w:rFonts w:ascii="Verdana" w:hAnsi="Verdana" w:cs="Arial"/>
        </w:rPr>
        <w:footnoteReference w:id="2"/>
      </w:r>
      <w:r w:rsidRPr="0063743B">
        <w:rPr>
          <w:rFonts w:ascii="Verdana" w:eastAsia="Calibri" w:hAnsi="Verdana" w:cs="Arial"/>
          <w:bCs/>
          <w:lang w:val="es-ES_tradnl"/>
        </w:rPr>
        <w:t>. Por otra parte, el artículo 96 de la Ley 489 de 1998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r w:rsidRPr="0063743B">
        <w:rPr>
          <w:rStyle w:val="Refdenotaalpie"/>
          <w:rFonts w:ascii="Verdana" w:eastAsia="Calibri" w:hAnsi="Verdana" w:cs="Arial"/>
          <w:bCs/>
          <w:lang w:val="es-ES_tradnl"/>
        </w:rPr>
        <w:footnoteReference w:id="3"/>
      </w:r>
      <w:r w:rsidRPr="0063743B">
        <w:rPr>
          <w:rFonts w:ascii="Verdana" w:eastAsia="Calibri" w:hAnsi="Verdana" w:cs="Arial"/>
          <w:bCs/>
          <w:lang w:val="es-ES_tradnl"/>
        </w:rPr>
        <w:t>.</w:t>
      </w:r>
    </w:p>
    <w:p w14:paraId="55A2B5CA" w14:textId="77777777" w:rsidR="002F3469" w:rsidRPr="0063743B" w:rsidRDefault="002F3469" w:rsidP="002F3469">
      <w:pPr>
        <w:spacing w:before="120" w:after="120" w:line="276" w:lineRule="auto"/>
        <w:ind w:firstLine="709"/>
        <w:jc w:val="both"/>
        <w:rPr>
          <w:rFonts w:ascii="Verdana" w:eastAsia="Calibri" w:hAnsi="Verdana" w:cs="Arial"/>
          <w:lang w:val="es-ES"/>
        </w:rPr>
      </w:pPr>
      <w:bookmarkStart w:id="3" w:name="_Hlk38819155"/>
      <w:r w:rsidRPr="0063743B">
        <w:rPr>
          <w:rFonts w:ascii="Verdana" w:eastAsia="Calibri" w:hAnsi="Verdana" w:cs="Arial"/>
          <w:lang w:val="es-ES"/>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63743B">
        <w:rPr>
          <w:rFonts w:ascii="Verdana" w:eastAsia="Calibri" w:hAnsi="Verdana" w:cs="Arial"/>
          <w:lang w:val="es-ES"/>
        </w:rPr>
        <w:t>ii</w:t>
      </w:r>
      <w:proofErr w:type="spellEnd"/>
      <w:r w:rsidRPr="0063743B">
        <w:rPr>
          <w:rFonts w:ascii="Verdana" w:eastAsia="Calibri" w:hAnsi="Verdana" w:cs="Arial"/>
          <w:lang w:val="es-ES"/>
        </w:rPr>
        <w:t xml:space="preserve">) los convenios de asociación, para el desarrollo conjunto de actividades relacionadas con las funciones de las entidades estatales, en desarrollo del artículo 96 de la Ley 489 de 1998. </w:t>
      </w:r>
      <w:bookmarkEnd w:id="3"/>
    </w:p>
    <w:p w14:paraId="5E24E83D" w14:textId="77777777" w:rsidR="002F3469" w:rsidRPr="0063743B" w:rsidRDefault="002F3469" w:rsidP="002F3469">
      <w:pPr>
        <w:spacing w:before="120" w:after="120" w:line="276" w:lineRule="auto"/>
        <w:ind w:firstLine="709"/>
        <w:jc w:val="both"/>
        <w:rPr>
          <w:rFonts w:ascii="Verdana" w:eastAsia="Calibri" w:hAnsi="Verdana" w:cs="Arial"/>
          <w:lang w:val="es-ES"/>
        </w:rPr>
      </w:pPr>
      <w:bookmarkStart w:id="4" w:name="_Hlk95756032"/>
      <w:r w:rsidRPr="0063743B">
        <w:rPr>
          <w:rFonts w:ascii="Verdana" w:eastAsia="Calibri" w:hAnsi="Verdana" w:cs="Arial"/>
          <w:lang w:val="es-ES"/>
        </w:rPr>
        <w:lastRenderedPageBreak/>
        <w:t xml:space="preserve">Los </w:t>
      </w:r>
      <w:r w:rsidRPr="0063743B">
        <w:rPr>
          <w:rFonts w:ascii="Verdana" w:eastAsia="Calibri" w:hAnsi="Verdana" w:cs="Arial"/>
          <w:i/>
          <w:iCs/>
          <w:lang w:val="es-ES"/>
        </w:rPr>
        <w:t>contratos del artículo 355 de la Constitución Política</w:t>
      </w:r>
      <w:r w:rsidRPr="0063743B">
        <w:rPr>
          <w:rFonts w:ascii="Verdana" w:eastAsia="Calibri"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Para celebrar estos contratos, según lo establece el artículo 3 del Decreto 092 de 2017, por regla general, la entidad debe adelantar un proceso competitivo para seleccionar la entidad sin ánimo de lucro contratista. En particular, debe verificar el cumplimiento de los siguientes requisitos: i) que el objeto del contrato corresponda a programas y actividades de interés público acordes con el Plan Nacional o Seccional de Desarrollo; y </w:t>
      </w:r>
      <w:proofErr w:type="spellStart"/>
      <w:r w:rsidRPr="0063743B">
        <w:rPr>
          <w:rFonts w:ascii="Verdana" w:eastAsia="Calibri" w:hAnsi="Verdana" w:cs="Arial"/>
          <w:lang w:val="es-ES"/>
        </w:rPr>
        <w:t>ii</w:t>
      </w:r>
      <w:proofErr w:type="spellEnd"/>
      <w:r w:rsidRPr="0063743B">
        <w:rPr>
          <w:rFonts w:ascii="Verdana" w:eastAsia="Calibri" w:hAnsi="Verdana" w:cs="Arial"/>
          <w:lang w:val="es-ES"/>
        </w:rPr>
        <w:t>) que no haya una contraprestación directa a favor de la entidad estatal, es decir, que el programa o actividad a desarrollar este dirigida al beneficio de la población en general, ya que cuando se adquieren bienes o servicios o se ejecutan obras en una relación conmutativa, las normas aplicables son las del Estatuto General de Contratación. Solo cuando se reúnan estas condiciones es procedente celebrar contratos del artículo 355 de la Constitución Política; de lo contrario, se aplicarán las normas del Estatuto General de Contratación de la Administración Pública.</w:t>
      </w:r>
    </w:p>
    <w:bookmarkEnd w:id="4"/>
    <w:p w14:paraId="48EE4E8A" w14:textId="77777777" w:rsidR="002F3469" w:rsidRPr="0063743B" w:rsidRDefault="002F3469" w:rsidP="002F3469">
      <w:pPr>
        <w:spacing w:before="120" w:after="120" w:line="276" w:lineRule="auto"/>
        <w:ind w:firstLine="709"/>
        <w:jc w:val="both"/>
        <w:rPr>
          <w:rFonts w:ascii="Verdana" w:eastAsia="Calibri" w:hAnsi="Verdana" w:cs="Arial"/>
          <w:bCs/>
          <w:lang w:val="es-ES_tradnl"/>
        </w:rPr>
      </w:pPr>
      <w:r w:rsidRPr="0063743B">
        <w:rPr>
          <w:rFonts w:ascii="Verdana" w:eastAsia="Calibri" w:hAnsi="Verdana" w:cs="Arial"/>
          <w:bCs/>
          <w:lang w:val="es-ES_tradnl"/>
        </w:rPr>
        <w:t xml:space="preserve">De otro lado, los </w:t>
      </w:r>
      <w:r w:rsidRPr="0063743B">
        <w:rPr>
          <w:rFonts w:ascii="Verdana" w:eastAsia="Calibri" w:hAnsi="Verdana" w:cs="Arial"/>
          <w:bCs/>
          <w:i/>
          <w:lang w:val="es-ES_tradnl"/>
        </w:rPr>
        <w:t>convenios de asociación</w:t>
      </w:r>
      <w:r w:rsidRPr="0063743B">
        <w:rPr>
          <w:rFonts w:ascii="Verdana" w:eastAsia="Calibri" w:hAnsi="Verdana" w:cs="Arial"/>
          <w:bCs/>
          <w:lang w:val="es-ES_tradnl"/>
        </w:rPr>
        <w:t xml:space="preserve"> “[t]</w:t>
      </w:r>
      <w:proofErr w:type="spellStart"/>
      <w:r w:rsidRPr="0063743B">
        <w:rPr>
          <w:rFonts w:ascii="Verdana" w:eastAsia="Calibri" w:hAnsi="Verdana" w:cs="Arial"/>
          <w:bCs/>
          <w:lang w:val="es-ES_tradnl"/>
        </w:rPr>
        <w:t>ienen</w:t>
      </w:r>
      <w:proofErr w:type="spellEnd"/>
      <w:r w:rsidRPr="0063743B">
        <w:rPr>
          <w:rFonts w:ascii="Verdana" w:eastAsia="Calibri" w:hAnsi="Verdana" w:cs="Arial"/>
          <w:bCs/>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63743B">
        <w:rPr>
          <w:rStyle w:val="Refdenotaalpie"/>
          <w:rFonts w:ascii="Verdana" w:hAnsi="Verdana" w:cs="Arial"/>
        </w:rPr>
        <w:footnoteReference w:id="4"/>
      </w:r>
      <w:r w:rsidRPr="0063743B">
        <w:rPr>
          <w:rFonts w:ascii="Verdana" w:eastAsia="Calibri" w:hAnsi="Verdana" w:cs="Arial"/>
          <w:bCs/>
          <w:lang w:val="es-ES_tradnl"/>
        </w:rPr>
        <w:t xml:space="preserve">.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w:t>
      </w:r>
      <w:proofErr w:type="gramStart"/>
      <w:r w:rsidRPr="0063743B">
        <w:rPr>
          <w:rFonts w:ascii="Verdana" w:eastAsia="Calibri" w:hAnsi="Verdana" w:cs="Arial"/>
          <w:bCs/>
          <w:lang w:val="es-ES_tradnl"/>
        </w:rPr>
        <w:t>y</w:t>
      </w:r>
      <w:proofErr w:type="gramEnd"/>
      <w:r w:rsidRPr="0063743B">
        <w:rPr>
          <w:rFonts w:ascii="Verdana" w:eastAsia="Calibri" w:hAnsi="Verdana" w:cs="Arial"/>
          <w:bCs/>
          <w:lang w:val="es-ES_tradnl"/>
        </w:rPr>
        <w:t xml:space="preserve"> por tanto, la entidad no instruye al contratista para desarrollar los programas o actividades previstas, sino que se asocia con él para el cumplimiento de objetivos comunes</w:t>
      </w:r>
      <w:r w:rsidRPr="0063743B">
        <w:rPr>
          <w:rStyle w:val="Refdenotaalpie"/>
          <w:rFonts w:ascii="Verdana" w:hAnsi="Verdana" w:cs="Arial"/>
        </w:rPr>
        <w:footnoteReference w:id="5"/>
      </w:r>
      <w:r w:rsidRPr="0063743B">
        <w:rPr>
          <w:rFonts w:ascii="Verdana" w:eastAsia="Calibri" w:hAnsi="Verdana" w:cs="Arial"/>
          <w:bCs/>
          <w:lang w:val="es-ES_tradnl"/>
        </w:rPr>
        <w:t>.</w:t>
      </w:r>
    </w:p>
    <w:p w14:paraId="7947F0ED" w14:textId="77777777" w:rsidR="002F3469" w:rsidRPr="0063743B" w:rsidRDefault="002F3469" w:rsidP="002F3469">
      <w:pPr>
        <w:spacing w:before="120" w:after="120" w:line="276" w:lineRule="auto"/>
        <w:ind w:firstLine="709"/>
        <w:jc w:val="both"/>
        <w:rPr>
          <w:rFonts w:ascii="Verdana" w:eastAsia="Calibri" w:hAnsi="Verdana" w:cs="Arial"/>
          <w:bCs/>
        </w:rPr>
      </w:pPr>
      <w:r w:rsidRPr="0063743B">
        <w:rPr>
          <w:rFonts w:ascii="Verdana" w:eastAsia="Calibri" w:hAnsi="Verdana" w:cs="Arial"/>
          <w:bCs/>
          <w:lang w:val="es-ES_tradnl"/>
        </w:rPr>
        <w:t xml:space="preserve">La normativa vigente no impide que varias entidades suscriban conjuntamente el convenio de asociación y tampoco que dos o más ESAL pueden </w:t>
      </w:r>
      <w:r w:rsidRPr="0063743B">
        <w:rPr>
          <w:rFonts w:ascii="Verdana" w:eastAsia="Calibri" w:hAnsi="Verdana" w:cs="Arial"/>
          <w:bCs/>
          <w:lang w:val="es-ES_tradnl"/>
        </w:rPr>
        <w:lastRenderedPageBreak/>
        <w:t>hacerlo, a través de las figuras asociativas autorizadas por la ley, por ejemplo, como unión temporal o como consorcio</w:t>
      </w:r>
      <w:r w:rsidRPr="0063743B">
        <w:rPr>
          <w:rFonts w:ascii="Verdana" w:eastAsia="Calibri" w:hAnsi="Verdana" w:cs="Arial"/>
          <w:bCs/>
        </w:rPr>
        <w:t>. Sin embargo,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57F2AA69" w14:textId="77777777" w:rsidR="002F3469" w:rsidRPr="0063743B" w:rsidRDefault="002F3469" w:rsidP="002F3469">
      <w:pPr>
        <w:spacing w:before="120" w:after="120" w:line="276" w:lineRule="auto"/>
        <w:ind w:firstLine="709"/>
        <w:jc w:val="both"/>
        <w:rPr>
          <w:rFonts w:ascii="Verdana" w:hAnsi="Verdana"/>
        </w:rPr>
      </w:pPr>
      <w:r w:rsidRPr="0063743B">
        <w:rPr>
          <w:rFonts w:ascii="Verdana" w:hAnsi="Verdana" w:cs="Arial"/>
          <w:color w:val="000000" w:themeColor="text1"/>
        </w:rPr>
        <w:t xml:space="preserve">La noción “seleccionar de forma objetiva”, contenida en la disposición </w:t>
      </w:r>
      <w:r w:rsidRPr="0063743B">
        <w:rPr>
          <w:rFonts w:ascii="Verdana" w:hAnsi="Verdana" w:cs="Arial"/>
          <w:i/>
          <w:iCs/>
          <w:color w:val="000000" w:themeColor="text1"/>
        </w:rPr>
        <w:t xml:space="preserve">sub examine </w:t>
      </w:r>
      <w:r w:rsidRPr="0063743B">
        <w:rPr>
          <w:rFonts w:ascii="Verdana" w:hAnsi="Verdana" w:cs="Arial"/>
          <w:color w:val="000000" w:themeColor="text1"/>
        </w:rPr>
        <w:t>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ello, la entidad puede tomar la decisión de acudir a los procesos de selección de contratistas que establece el Estatuto General de Contratación de la Administración Pública o, incluso, al trámite que regula el inciso 2 del artículo 2 del Decreto 092 de 2017.</w:t>
      </w:r>
    </w:p>
    <w:p w14:paraId="138050CB" w14:textId="77777777" w:rsidR="002F3469" w:rsidRPr="0063743B" w:rsidRDefault="002F3469" w:rsidP="002F3469">
      <w:pPr>
        <w:pStyle w:val="Sinespaciado"/>
        <w:spacing w:line="276" w:lineRule="auto"/>
        <w:ind w:firstLine="708"/>
        <w:jc w:val="both"/>
        <w:rPr>
          <w:rFonts w:ascii="Verdana" w:hAnsi="Verdana" w:cs="Arial"/>
          <w:color w:val="000000" w:themeColor="text1"/>
          <w:sz w:val="22"/>
        </w:rPr>
      </w:pPr>
      <w:r w:rsidRPr="0063743B">
        <w:rPr>
          <w:rFonts w:ascii="Verdana" w:hAnsi="Verdana" w:cs="Arial"/>
          <w:color w:val="000000" w:themeColor="text1"/>
          <w:sz w:val="22"/>
        </w:rPr>
        <w:t xml:space="preserve">Es importante aclarar que los negocios jurídicos que regula el Decreto 092 de 2017 “[…] son esencialmente distintos a los contratos para la adquisición y aprovisionamiento de bienes, obras o servicios regulados por el estatuto de contratación y[, como tal,] no hacen parte del sistema de compra pública. […] De acuerdo con lo anterior, si la entidad estatal adquiere o se abastece de un bien, obra o servicio en un contrato conmutativo en el cual el proveedor es una [ESAL], debe aplicar el régimen contenido en las Leyes 80 de 1993 y 1150 de </w:t>
      </w:r>
      <w:r w:rsidRPr="0063743B">
        <w:rPr>
          <w:rFonts w:ascii="Verdana" w:hAnsi="Verdana" w:cs="Arial"/>
          <w:color w:val="000000" w:themeColor="text1"/>
          <w:sz w:val="22"/>
        </w:rPr>
        <w:lastRenderedPageBreak/>
        <w:t>2007, y no el Decreto 092 de 2017”</w:t>
      </w:r>
      <w:r w:rsidRPr="0063743B">
        <w:rPr>
          <w:rStyle w:val="Refdenotaalpie"/>
          <w:rFonts w:ascii="Verdana" w:hAnsi="Verdana" w:cs="Arial"/>
          <w:color w:val="000000" w:themeColor="text1"/>
          <w:sz w:val="22"/>
        </w:rPr>
        <w:footnoteReference w:id="6"/>
      </w:r>
      <w:r w:rsidRPr="0063743B">
        <w:rPr>
          <w:rFonts w:ascii="Verdana" w:hAnsi="Verdana" w:cs="Arial"/>
          <w:color w:val="000000" w:themeColor="text1"/>
          <w:sz w:val="22"/>
        </w:rPr>
        <w:t>. Así lo consideró la Sala de Consulta y Servicio Civil del Consejo de Estado:</w:t>
      </w:r>
    </w:p>
    <w:p w14:paraId="3CA83CA2" w14:textId="77777777" w:rsidR="002F3469" w:rsidRPr="0063743B" w:rsidRDefault="002F3469" w:rsidP="002F3469">
      <w:pPr>
        <w:pStyle w:val="Sinespaciado"/>
        <w:spacing w:line="276" w:lineRule="auto"/>
        <w:jc w:val="both"/>
        <w:rPr>
          <w:rFonts w:ascii="Verdana" w:hAnsi="Verdana" w:cs="Arial"/>
          <w:color w:val="000000" w:themeColor="text1"/>
          <w:sz w:val="22"/>
        </w:rPr>
      </w:pPr>
    </w:p>
    <w:p w14:paraId="1D2AF83B" w14:textId="77777777" w:rsidR="002F3469" w:rsidRPr="0063743B" w:rsidRDefault="002F3469" w:rsidP="002F3469">
      <w:pPr>
        <w:spacing w:line="240" w:lineRule="auto"/>
        <w:ind w:left="709" w:right="709"/>
        <w:jc w:val="both"/>
        <w:rPr>
          <w:rFonts w:ascii="Verdana" w:eastAsia="Calibri" w:hAnsi="Verdana" w:cs="Arial"/>
          <w:color w:val="000000" w:themeColor="text1"/>
          <w:sz w:val="21"/>
          <w:szCs w:val="21"/>
        </w:rPr>
      </w:pPr>
      <w:r w:rsidRPr="0063743B">
        <w:rPr>
          <w:rFonts w:ascii="Verdana" w:eastAsia="Calibri" w:hAnsi="Verdana" w:cs="Arial"/>
          <w:color w:val="000000" w:themeColor="text1"/>
          <w:sz w:val="21"/>
          <w:szCs w:val="21"/>
        </w:rPr>
        <w:t>“Como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una contraprestación directa a favor de la entidad contratante y los que tienen por objeto desarrollar proyectos específicos, corresponden al giro normal de las funciones propias de la entidad estatal, y por lo tanto, se tipifican dentro de cualquiera de las modalidades de contratación de la ley 80 de 1.993, debiendo sujetarse a los procedimientos allí previstos, en especial los de escogencia del contratista.</w:t>
      </w:r>
    </w:p>
    <w:p w14:paraId="1481C00F" w14:textId="77777777" w:rsidR="002F3469" w:rsidRPr="0063743B" w:rsidRDefault="002F3469" w:rsidP="002F3469">
      <w:pPr>
        <w:spacing w:after="0" w:line="240" w:lineRule="auto"/>
        <w:ind w:left="708" w:right="709"/>
        <w:jc w:val="both"/>
        <w:rPr>
          <w:rFonts w:ascii="Verdana" w:eastAsia="Calibri" w:hAnsi="Verdana" w:cs="Arial"/>
          <w:color w:val="000000" w:themeColor="text1"/>
          <w:sz w:val="21"/>
          <w:szCs w:val="21"/>
        </w:rPr>
      </w:pPr>
      <w:r w:rsidRPr="0063743B">
        <w:rPr>
          <w:rFonts w:ascii="Verdana" w:eastAsia="Calibri" w:hAnsi="Verdana" w:cs="Arial"/>
          <w:color w:val="000000" w:themeColor="text1"/>
          <w:sz w:val="21"/>
          <w:szCs w:val="21"/>
        </w:rPr>
        <w:t>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las disposiciones contractuales vigentes, como sería por ejemplo, contratos de prestación de servicios o de obra pública”</w:t>
      </w:r>
      <w:r w:rsidRPr="0063743B">
        <w:rPr>
          <w:rStyle w:val="Refdenotaalpie"/>
          <w:rFonts w:ascii="Verdana" w:hAnsi="Verdana" w:cs="Arial"/>
          <w:color w:val="000000" w:themeColor="text1"/>
        </w:rPr>
        <w:t xml:space="preserve"> </w:t>
      </w:r>
      <w:r w:rsidRPr="0063743B">
        <w:rPr>
          <w:rStyle w:val="Refdenotaalpie"/>
          <w:rFonts w:ascii="Verdana" w:hAnsi="Verdana" w:cs="Arial"/>
          <w:color w:val="000000" w:themeColor="text1"/>
        </w:rPr>
        <w:footnoteReference w:id="7"/>
      </w:r>
      <w:r w:rsidRPr="0063743B">
        <w:rPr>
          <w:rFonts w:ascii="Verdana" w:eastAsia="Calibri" w:hAnsi="Verdana" w:cs="Arial"/>
          <w:color w:val="000000" w:themeColor="text1"/>
          <w:sz w:val="21"/>
          <w:szCs w:val="21"/>
        </w:rPr>
        <w:t>.</w:t>
      </w:r>
    </w:p>
    <w:p w14:paraId="50B1C402" w14:textId="77777777" w:rsidR="002F3469" w:rsidRPr="0063743B" w:rsidRDefault="002F3469" w:rsidP="002F3469">
      <w:pPr>
        <w:spacing w:after="0" w:line="276" w:lineRule="auto"/>
        <w:ind w:firstLine="708"/>
        <w:jc w:val="both"/>
        <w:rPr>
          <w:rFonts w:ascii="Verdana" w:eastAsia="Calibri" w:hAnsi="Verdana" w:cs="Arial"/>
          <w:color w:val="000000" w:themeColor="text1"/>
        </w:rPr>
      </w:pPr>
      <w:bookmarkStart w:id="5" w:name="_Hlk95756200"/>
    </w:p>
    <w:p w14:paraId="4EB96248" w14:textId="77777777" w:rsidR="002F3469" w:rsidRPr="0063743B" w:rsidRDefault="002F3469" w:rsidP="002F3469">
      <w:pPr>
        <w:spacing w:after="0" w:line="276" w:lineRule="auto"/>
        <w:ind w:firstLine="708"/>
        <w:jc w:val="both"/>
        <w:rPr>
          <w:rFonts w:ascii="Verdana" w:eastAsia="Calibri" w:hAnsi="Verdana" w:cs="Arial"/>
          <w:color w:val="000000" w:themeColor="text1"/>
        </w:rPr>
      </w:pPr>
      <w:r w:rsidRPr="0063743B">
        <w:rPr>
          <w:rFonts w:ascii="Verdana" w:eastAsia="Calibri" w:hAnsi="Verdana" w:cs="Arial"/>
          <w:color w:val="000000" w:themeColor="text1"/>
        </w:rPr>
        <w:t xml:space="preserve">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 </w:t>
      </w:r>
      <w:bookmarkEnd w:id="5"/>
      <w:r w:rsidRPr="0063743B">
        <w:rPr>
          <w:rFonts w:ascii="Verdana" w:eastAsia="Calibri" w:hAnsi="Verdana" w:cs="Arial"/>
          <w:color w:val="000000" w:themeColor="text1"/>
        </w:rPr>
        <w:t>Así lo reconoció la Corte Constitucional en la sentencia C-287 del 18 de abril de 2012, en la que sostuvo lo siguiente:</w:t>
      </w:r>
    </w:p>
    <w:p w14:paraId="38FC5107" w14:textId="77777777" w:rsidR="002F3469" w:rsidRPr="0063743B" w:rsidRDefault="002F3469" w:rsidP="002F3469">
      <w:pPr>
        <w:spacing w:after="0" w:line="276" w:lineRule="auto"/>
        <w:ind w:firstLine="708"/>
        <w:jc w:val="both"/>
        <w:rPr>
          <w:rFonts w:ascii="Verdana" w:eastAsia="Calibri" w:hAnsi="Verdana" w:cs="Arial"/>
          <w:color w:val="000000" w:themeColor="text1"/>
        </w:rPr>
      </w:pPr>
    </w:p>
    <w:p w14:paraId="42BD5076" w14:textId="77777777" w:rsidR="002F3469" w:rsidRPr="0063743B" w:rsidRDefault="002F3469" w:rsidP="002F3469">
      <w:pPr>
        <w:spacing w:line="240" w:lineRule="auto"/>
        <w:ind w:left="709" w:right="709"/>
        <w:jc w:val="both"/>
        <w:rPr>
          <w:rFonts w:ascii="Verdana" w:eastAsia="Calibri" w:hAnsi="Verdana" w:cs="Arial"/>
          <w:color w:val="000000" w:themeColor="text1"/>
          <w:sz w:val="21"/>
          <w:szCs w:val="21"/>
        </w:rPr>
      </w:pPr>
      <w:r w:rsidRPr="0063743B">
        <w:rPr>
          <w:rFonts w:ascii="Verdana" w:eastAsia="Calibri" w:hAnsi="Verdana" w:cs="Arial"/>
          <w:color w:val="000000" w:themeColor="text1"/>
          <w:sz w:val="21"/>
          <w:szCs w:val="21"/>
        </w:rPr>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14:paraId="73C48D50" w14:textId="77777777" w:rsidR="002F3469" w:rsidRPr="0063743B" w:rsidRDefault="002F3469" w:rsidP="002F3469">
      <w:pPr>
        <w:spacing w:after="0" w:line="240" w:lineRule="auto"/>
        <w:ind w:left="709" w:right="709"/>
        <w:jc w:val="both"/>
        <w:rPr>
          <w:rFonts w:ascii="Verdana" w:eastAsia="Calibri" w:hAnsi="Verdana" w:cs="Arial"/>
          <w:color w:val="000000" w:themeColor="text1"/>
          <w:sz w:val="21"/>
          <w:szCs w:val="21"/>
        </w:rPr>
      </w:pPr>
      <w:r w:rsidRPr="0063743B">
        <w:rPr>
          <w:rFonts w:ascii="Verdana" w:eastAsia="Calibri" w:hAnsi="Verdana" w:cs="Arial"/>
          <w:i/>
          <w:iCs/>
          <w:color w:val="000000" w:themeColor="text1"/>
          <w:sz w:val="21"/>
          <w:szCs w:val="21"/>
        </w:rPr>
        <w:lastRenderedPageBreak/>
        <w:t>Sin embargo, el hecho que no persigan una finalidad lucrativa, no significa que no desarrollen actividades que generen utilidades, lo que pasa es que a diferencia de las sociedades, el lucro o ganancia obtenida no se reparte entre sus miembros sino que se integra al patrimonio de la asociación para la obtención del fin deseado</w:t>
      </w:r>
      <w:r w:rsidRPr="0063743B">
        <w:rPr>
          <w:rFonts w:ascii="Verdana" w:eastAsia="Calibri" w:hAnsi="Verdana" w:cs="Arial"/>
          <w:color w:val="000000" w:themeColor="text1"/>
          <w:sz w:val="21"/>
          <w:szCs w:val="21"/>
        </w:rPr>
        <w:t>.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del mismo en el momento de su disolución o liquidación”. (Cursivas propias)</w:t>
      </w:r>
    </w:p>
    <w:p w14:paraId="566E3D15" w14:textId="77777777" w:rsidR="002F3469" w:rsidRPr="0063743B" w:rsidRDefault="002F3469" w:rsidP="002F3469">
      <w:pPr>
        <w:spacing w:after="0" w:line="276" w:lineRule="auto"/>
        <w:ind w:firstLine="709"/>
        <w:jc w:val="both"/>
        <w:rPr>
          <w:rFonts w:ascii="Verdana" w:eastAsia="Calibri" w:hAnsi="Verdana" w:cs="Arial"/>
          <w:color w:val="000000" w:themeColor="text1"/>
        </w:rPr>
      </w:pPr>
    </w:p>
    <w:p w14:paraId="5E2A349B" w14:textId="77777777" w:rsidR="002F3469" w:rsidRPr="0063743B" w:rsidRDefault="002F3469" w:rsidP="002F3469">
      <w:pPr>
        <w:spacing w:after="120" w:line="276" w:lineRule="auto"/>
        <w:ind w:firstLine="709"/>
        <w:jc w:val="both"/>
        <w:rPr>
          <w:rFonts w:ascii="Verdana" w:eastAsia="Calibri" w:hAnsi="Verdana" w:cs="Arial"/>
          <w:color w:val="000000" w:themeColor="text1"/>
        </w:rPr>
      </w:pPr>
      <w:r w:rsidRPr="0063743B">
        <w:rPr>
          <w:rFonts w:ascii="Verdana" w:eastAsia="Calibri" w:hAnsi="Verdana" w:cs="Arial"/>
          <w:color w:val="000000" w:themeColor="text1"/>
        </w:rPr>
        <w:t>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Con todo, las ESAL pueden participar en igualdad de condiciones en procesos de contratación regidos por la Ley 80 de 1993, la Ley 1150 de 2007 y el Decreto 1082 de 2015, siempre y cuando cumplan con los requisitos exigidos en los documentos del proceso. De esta manera, ni los contratos del artículo 355 de la Constitución 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w:t>
      </w:r>
    </w:p>
    <w:p w14:paraId="14310051" w14:textId="77777777" w:rsidR="002F3469" w:rsidRPr="000A33B7" w:rsidRDefault="002F3469" w:rsidP="002F3469">
      <w:pPr>
        <w:spacing w:line="276" w:lineRule="auto"/>
        <w:ind w:firstLine="709"/>
        <w:jc w:val="both"/>
        <w:rPr>
          <w:rFonts w:ascii="Verdana" w:eastAsia="Calibri" w:hAnsi="Verdana" w:cs="Arial"/>
          <w:color w:val="000000" w:themeColor="text1"/>
        </w:rPr>
      </w:pPr>
      <w:r>
        <w:rPr>
          <w:rFonts w:ascii="Verdana" w:hAnsi="Verdana" w:cs="Arial"/>
          <w:color w:val="000000" w:themeColor="text1"/>
        </w:rPr>
        <w:t>Es importante tener en cuenta que la</w:t>
      </w:r>
      <w:r w:rsidRPr="000A33B7">
        <w:rPr>
          <w:rFonts w:ascii="Verdana" w:hAnsi="Verdana" w:cs="Arial"/>
          <w:color w:val="000000" w:themeColor="text1"/>
        </w:rPr>
        <w:t xml:space="preserve"> contratación con entidades sin ánimo de lucro se</w:t>
      </w:r>
      <w:r>
        <w:rPr>
          <w:rFonts w:ascii="Verdana" w:hAnsi="Verdana" w:cs="Arial"/>
          <w:color w:val="000000" w:themeColor="text1"/>
        </w:rPr>
        <w:t xml:space="preserve"> rige</w:t>
      </w:r>
      <w:r w:rsidRPr="000A33B7">
        <w:rPr>
          <w:rFonts w:ascii="Verdana" w:hAnsi="Verdana" w:cs="Arial"/>
          <w:color w:val="000000" w:themeColor="text1"/>
        </w:rPr>
        <w:t xml:space="preserve"> por el Decreto 092 de 2017, salvo lo que ha sido objeto de suspensión provisional por parte del Consejo de Estado. Por lo tanto, las entidades públicas que desean celebrar </w:t>
      </w:r>
      <w:r w:rsidRPr="002965A0">
        <w:rPr>
          <w:rFonts w:ascii="Verdana" w:hAnsi="Verdana" w:cs="Arial"/>
          <w:i/>
          <w:iCs/>
          <w:color w:val="000000" w:themeColor="text1"/>
        </w:rPr>
        <w:t>contratos del artículo 355 de la Constitución Política</w:t>
      </w:r>
      <w:r w:rsidRPr="000A33B7">
        <w:rPr>
          <w:rFonts w:ascii="Verdana" w:hAnsi="Verdana" w:cs="Arial"/>
          <w:color w:val="000000" w:themeColor="text1"/>
        </w:rPr>
        <w:t xml:space="preserve">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0A33B7">
        <w:rPr>
          <w:rFonts w:ascii="Verdana" w:hAnsi="Verdana" w:cs="Arial"/>
          <w:color w:val="000000" w:themeColor="text1"/>
        </w:rPr>
        <w:t>ii</w:t>
      </w:r>
      <w:proofErr w:type="spellEnd"/>
      <w:r w:rsidRPr="000A33B7">
        <w:rPr>
          <w:rFonts w:ascii="Verdana" w:hAnsi="Verdana" w:cs="Arial"/>
          <w:color w:val="000000" w:themeColor="text1"/>
        </w:rPr>
        <w:t xml:space="preserve">) tampoco debe condicionarse a que la contratación con las ESAL garantice la optimización de los recursos públicos en términos de eficiencia, eficacia, economía y manejo del riesgo; </w:t>
      </w:r>
      <w:proofErr w:type="spellStart"/>
      <w:r w:rsidRPr="000A33B7">
        <w:rPr>
          <w:rFonts w:ascii="Verdana" w:hAnsi="Verdana" w:cs="Arial"/>
          <w:color w:val="000000" w:themeColor="text1"/>
        </w:rPr>
        <w:t>iii</w:t>
      </w:r>
      <w:proofErr w:type="spellEnd"/>
      <w:r w:rsidRPr="000A33B7">
        <w:rPr>
          <w:rFonts w:ascii="Verdana" w:hAnsi="Verdana" w:cs="Arial"/>
          <w:color w:val="000000" w:themeColor="text1"/>
        </w:rPr>
        <w:t xml:space="preserve">) el objeto del contrato debe estar acorde con el plan nacional o seccional de desarrollo; </w:t>
      </w:r>
      <w:proofErr w:type="spellStart"/>
      <w:r w:rsidRPr="000A33B7">
        <w:rPr>
          <w:rFonts w:ascii="Verdana" w:hAnsi="Verdana" w:cs="Arial"/>
          <w:color w:val="000000" w:themeColor="text1"/>
        </w:rPr>
        <w:t>iv</w:t>
      </w:r>
      <w:proofErr w:type="spellEnd"/>
      <w:r w:rsidRPr="000A33B7">
        <w:rPr>
          <w:rFonts w:ascii="Verdana" w:hAnsi="Verdana" w:cs="Arial"/>
          <w:color w:val="000000" w:themeColor="text1"/>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w:t>
      </w:r>
      <w:r w:rsidRPr="000A33B7">
        <w:rPr>
          <w:rFonts w:ascii="Verdana" w:hAnsi="Verdana" w:cs="Arial"/>
          <w:color w:val="000000" w:themeColor="text1"/>
        </w:rPr>
        <w:lastRenderedPageBreak/>
        <w:t xml:space="preserve">deportivas y de promoción de la diversidad étnica colombiana, por lo que basta con cumplir el anterior numeral </w:t>
      </w:r>
      <w:proofErr w:type="spellStart"/>
      <w:r w:rsidRPr="000A33B7">
        <w:rPr>
          <w:rFonts w:ascii="Verdana" w:hAnsi="Verdana" w:cs="Arial"/>
          <w:color w:val="000000" w:themeColor="text1"/>
        </w:rPr>
        <w:t>iii</w:t>
      </w:r>
      <w:proofErr w:type="spellEnd"/>
      <w:r w:rsidRPr="000A33B7">
        <w:rPr>
          <w:rFonts w:ascii="Verdana" w:hAnsi="Verdana" w:cs="Arial"/>
          <w:color w:val="000000" w:themeColor="text1"/>
        </w:rPr>
        <w:t>); y v) el contrato no debe establecer una relación conmutativa en el cual haya una contraprestación directa a favor de la entidad, ni instrucciones precisas dadas por esta al contratista para cumplir con el objeto del contrato.</w:t>
      </w:r>
    </w:p>
    <w:p w14:paraId="36E5ED62" w14:textId="77777777" w:rsidR="002F3469" w:rsidRDefault="002F3469" w:rsidP="002F3469">
      <w:pPr>
        <w:spacing w:after="0" w:line="276" w:lineRule="auto"/>
        <w:ind w:firstLine="709"/>
        <w:jc w:val="both"/>
        <w:rPr>
          <w:rFonts w:ascii="Verdana" w:eastAsia="Calibri" w:hAnsi="Verdana" w:cs="Arial"/>
          <w:color w:val="000000" w:themeColor="text1"/>
        </w:rPr>
      </w:pPr>
      <w:r w:rsidRPr="000A33B7">
        <w:rPr>
          <w:rFonts w:ascii="Verdana" w:eastAsia="Calibri" w:hAnsi="Verdana" w:cs="Arial"/>
          <w:color w:val="000000" w:themeColor="text1"/>
        </w:rPr>
        <w:t xml:space="preserve">Ahora, si se pretende realizar un </w:t>
      </w:r>
      <w:r w:rsidRPr="000A33B7">
        <w:rPr>
          <w:rFonts w:ascii="Verdana" w:eastAsia="Calibri" w:hAnsi="Verdana" w:cs="Arial"/>
          <w:i/>
          <w:iCs/>
          <w:color w:val="000000" w:themeColor="text1"/>
        </w:rPr>
        <w:t>convenio de asociación</w:t>
      </w:r>
      <w:r w:rsidRPr="000A33B7">
        <w:rPr>
          <w:rFonts w:ascii="Verdana" w:eastAsia="Calibri" w:hAnsi="Verdana" w:cs="Arial"/>
          <w:color w:val="000000" w:themeColor="text1"/>
        </w:rPr>
        <w:t xml:space="preserve"> con ESAL de reconocida idoneidad para el cumplimiento de las funciones que la ley les asigna a las entidades públicas, deberá aplicarse lo dispuesto en el artículo 5 del Decreto 092 de 2017. De esta manera, deben estar sujetos a competencia, salvo en aquellos casos en que una entidad sin ánimo de lucro comprometa recursos en dinero por un valor igual o superior al 30% del valor total del convenio</w:t>
      </w:r>
      <w:r w:rsidRPr="000A33B7">
        <w:rPr>
          <w:rStyle w:val="Refdenotaalpie"/>
          <w:rFonts w:ascii="Verdana" w:hAnsi="Verdana" w:cs="Arial"/>
          <w:color w:val="000000" w:themeColor="text1"/>
        </w:rPr>
        <w:footnoteReference w:id="8"/>
      </w:r>
      <w:r w:rsidRPr="000A33B7">
        <w:rPr>
          <w:rFonts w:ascii="Verdana" w:eastAsia="Calibri" w:hAnsi="Verdana" w:cs="Arial"/>
          <w:color w:val="000000" w:themeColor="text1"/>
        </w:rPr>
        <w:t xml:space="preserve">, y siempre que la entidad estatal verifique previamente que no existe ninguna otra entidad sin ánimo de lucro que ofrezca aportes iguales o superiores al 30%. </w:t>
      </w:r>
      <w:r w:rsidRPr="000A33B7">
        <w:rPr>
          <w:rFonts w:ascii="Verdana" w:eastAsia="Calibri" w:hAnsi="Verdana" w:cs="Arial"/>
          <w:color w:val="000000"/>
        </w:rPr>
        <w:t>Lo anterior sin perjuicio de las restricciones previstas en el artículo 33 de la Ley de Garantías durante el periodo preelectoral de las elecciones presidenciales para los procesos no competitivos</w:t>
      </w:r>
      <w:r w:rsidRPr="000A33B7">
        <w:rPr>
          <w:rFonts w:ascii="Verdana" w:eastAsia="Calibri" w:hAnsi="Verdana" w:cs="Arial"/>
          <w:color w:val="000000" w:themeColor="text1"/>
        </w:rPr>
        <w:t>.</w:t>
      </w:r>
    </w:p>
    <w:p w14:paraId="2DD086CB" w14:textId="77777777" w:rsidR="002F3469" w:rsidRPr="000A33B7" w:rsidRDefault="002F3469" w:rsidP="002F3469">
      <w:pPr>
        <w:spacing w:after="0" w:line="276" w:lineRule="auto"/>
        <w:ind w:firstLine="709"/>
        <w:jc w:val="both"/>
        <w:rPr>
          <w:rFonts w:ascii="Verdana" w:eastAsia="Calibri" w:hAnsi="Verdana" w:cs="Arial"/>
          <w:color w:val="000000" w:themeColor="text1"/>
        </w:rPr>
      </w:pPr>
    </w:p>
    <w:p w14:paraId="33CFEA72" w14:textId="77777777" w:rsidR="002F3469" w:rsidRPr="000A33B7" w:rsidRDefault="002F3469" w:rsidP="002F3469">
      <w:pPr>
        <w:spacing w:after="0" w:line="276" w:lineRule="auto"/>
        <w:jc w:val="both"/>
        <w:rPr>
          <w:rFonts w:ascii="Verdana" w:eastAsia="Calibri" w:hAnsi="Verdana" w:cs="Arial"/>
          <w:lang w:val="es-ES_tradnl"/>
        </w:rPr>
      </w:pPr>
      <w:proofErr w:type="spellStart"/>
      <w:r w:rsidRPr="000A33B7">
        <w:rPr>
          <w:rFonts w:ascii="Verdana" w:eastAsia="Calibri" w:hAnsi="Verdana" w:cs="Arial"/>
          <w:color w:val="000000" w:themeColor="text1"/>
        </w:rPr>
        <w:t>ii</w:t>
      </w:r>
      <w:proofErr w:type="spellEnd"/>
      <w:r w:rsidRPr="000A33B7">
        <w:rPr>
          <w:rFonts w:ascii="Verdana" w:eastAsia="Calibri" w:hAnsi="Verdana" w:cs="Arial"/>
          <w:color w:val="000000" w:themeColor="text1"/>
        </w:rPr>
        <w:t xml:space="preserve">. </w:t>
      </w:r>
      <w:r w:rsidRPr="000A33B7">
        <w:rPr>
          <w:rFonts w:ascii="Verdana" w:eastAsia="Calibri" w:hAnsi="Verdana" w:cs="Arial"/>
          <w:lang w:val="es-ES_tradnl"/>
        </w:rPr>
        <w:t>L</w:t>
      </w:r>
      <w:r>
        <w:rPr>
          <w:rFonts w:ascii="Verdana" w:eastAsia="Calibri" w:hAnsi="Verdana" w:cs="Arial"/>
          <w:lang w:val="es-ES_tradnl"/>
        </w:rPr>
        <w:t>as normas aplicables a la gestión de las entidades sometidas y exceptuadas del EGCAP</w:t>
      </w:r>
      <w:r w:rsidRPr="000A33B7">
        <w:rPr>
          <w:rFonts w:ascii="Verdana" w:eastAsia="Calibri" w:hAnsi="Verdana" w:cs="Arial"/>
          <w:lang w:val="es-ES_tradnl"/>
        </w:rPr>
        <w:t xml:space="preserve"> se caracterizan por la exhaustiva regulación de la actividad contractual. Los contratos sometidos al Estatuto General, aunque se rigen por el derecho público, permiten la aplicación del derecho civil y comercial en los casos previstos en los artículos 13, 32 y 40 de la Ley 80 de 1993. As</w:t>
      </w:r>
      <w:r>
        <w:rPr>
          <w:rFonts w:ascii="Verdana" w:eastAsia="Calibri" w:hAnsi="Verdana" w:cs="Arial"/>
          <w:lang w:val="es-ES_tradnl"/>
        </w:rPr>
        <w:t>i</w:t>
      </w:r>
      <w:r w:rsidRPr="000A33B7">
        <w:rPr>
          <w:rFonts w:ascii="Verdana" w:eastAsia="Calibri" w:hAnsi="Verdana" w:cs="Arial"/>
          <w:lang w:val="es-ES_tradnl"/>
        </w:rPr>
        <w:t xml:space="preserve">mismo, pese a la aplicación de las normas comunes sobre obligaciones y contratos en las entidades del régimen exceptuado, deben respetar los principios de la función administrativa, de la gestión fiscal y el régimen de inhabilidades e incompatibilidades –Ley 1150 de 2007, art. 13–, los cuales se concretan en los respectivos manuales de contratación. Sin embargo, frente a la regulación sumaria de los </w:t>
      </w:r>
      <w:r w:rsidRPr="000A33B7">
        <w:rPr>
          <w:rFonts w:ascii="Verdana" w:eastAsia="Calibri" w:hAnsi="Verdana" w:cs="Arial"/>
          <w:i/>
          <w:iCs/>
          <w:lang w:val="es-ES_tradnl"/>
        </w:rPr>
        <w:t>contratos del art. 355 de la Constitución</w:t>
      </w:r>
      <w:r w:rsidRPr="000A33B7">
        <w:rPr>
          <w:rFonts w:ascii="Verdana" w:eastAsia="Calibri" w:hAnsi="Verdana" w:cs="Arial"/>
          <w:lang w:val="es-ES_tradnl"/>
        </w:rPr>
        <w:t xml:space="preserve"> y los </w:t>
      </w:r>
      <w:r w:rsidRPr="000A33B7">
        <w:rPr>
          <w:rFonts w:ascii="Verdana" w:eastAsia="Calibri" w:hAnsi="Verdana" w:cs="Arial"/>
          <w:i/>
          <w:iCs/>
          <w:lang w:val="es-ES_tradnl"/>
        </w:rPr>
        <w:t>convenios de asociación</w:t>
      </w:r>
      <w:r w:rsidRPr="000A33B7">
        <w:rPr>
          <w:rFonts w:ascii="Verdana" w:eastAsia="Calibri" w:hAnsi="Verdana" w:cs="Arial"/>
          <w:lang w:val="es-ES_tradnl"/>
        </w:rPr>
        <w:t xml:space="preserve">, los artículos 6, 7 y 8 del </w:t>
      </w:r>
      <w:bookmarkStart w:id="6" w:name="_Hlk38214426"/>
      <w:r w:rsidRPr="000A33B7">
        <w:rPr>
          <w:rFonts w:ascii="Verdana" w:eastAsia="Calibri" w:hAnsi="Verdana" w:cs="Arial"/>
          <w:lang w:val="es-ES_tradnl"/>
        </w:rPr>
        <w:t>Decreto 092 de 2017</w:t>
      </w:r>
      <w:bookmarkEnd w:id="6"/>
      <w:r w:rsidRPr="000A33B7">
        <w:rPr>
          <w:rFonts w:ascii="Verdana" w:eastAsia="Calibri" w:hAnsi="Verdana" w:cs="Arial"/>
          <w:lang w:val="es-ES_tradnl"/>
        </w:rPr>
        <w:t xml:space="preserve"> disponen lo siguiente:</w:t>
      </w:r>
    </w:p>
    <w:p w14:paraId="4A61E2F1" w14:textId="77777777" w:rsidR="002F3469" w:rsidRPr="000A33B7" w:rsidRDefault="002F3469" w:rsidP="002F3469">
      <w:pPr>
        <w:spacing w:after="0" w:line="276" w:lineRule="auto"/>
        <w:jc w:val="both"/>
        <w:rPr>
          <w:rFonts w:ascii="Verdana" w:eastAsia="Calibri" w:hAnsi="Verdana" w:cs="Arial"/>
          <w:lang w:val="es-ES_tradnl"/>
        </w:rPr>
      </w:pPr>
    </w:p>
    <w:p w14:paraId="284C14FD" w14:textId="77777777" w:rsidR="002F3469" w:rsidRPr="000A33B7" w:rsidRDefault="002F3469" w:rsidP="002F3469">
      <w:pPr>
        <w:spacing w:after="120"/>
        <w:ind w:left="709" w:right="709"/>
        <w:jc w:val="both"/>
        <w:rPr>
          <w:rFonts w:ascii="Verdana" w:eastAsia="Calibri" w:hAnsi="Verdana" w:cs="Arial"/>
          <w:sz w:val="21"/>
          <w:szCs w:val="21"/>
          <w:lang w:val="es-ES_tradnl"/>
        </w:rPr>
      </w:pPr>
      <w:r>
        <w:rPr>
          <w:rFonts w:ascii="Verdana" w:eastAsia="Calibri" w:hAnsi="Verdana" w:cs="Arial"/>
          <w:sz w:val="21"/>
          <w:szCs w:val="21"/>
          <w:lang w:val="es-ES_tradnl"/>
        </w:rPr>
        <w:t>“</w:t>
      </w:r>
      <w:r w:rsidRPr="000A33B7">
        <w:rPr>
          <w:rFonts w:ascii="Verdana" w:eastAsia="Calibri" w:hAnsi="Verdana" w:cs="Arial"/>
          <w:sz w:val="21"/>
          <w:szCs w:val="21"/>
          <w:lang w:val="es-ES_tradnl"/>
        </w:rPr>
        <w:t xml:space="preserve">Artículo 6°. Prohibiciones, inhabilidades e incompatibilidades. Las prohibiciones, inhabilidades e incompatibilidades establecidas en la Constitución y en las Leyes 80 de 1993, 1150 de 2007 y 1474 de 2011, y en las normas que las modifiquen, aclaren, adicionen o sustituyan, o </w:t>
      </w:r>
      <w:r w:rsidRPr="000A33B7">
        <w:rPr>
          <w:rFonts w:ascii="Verdana" w:eastAsia="Calibri" w:hAnsi="Verdana" w:cs="Arial"/>
          <w:sz w:val="21"/>
          <w:szCs w:val="21"/>
          <w:lang w:val="es-ES_tradnl"/>
        </w:rPr>
        <w:lastRenderedPageBreak/>
        <w:t>en cualquier otra norma especial, son aplicables a la contratación a la que hace referencia el presente decreto.</w:t>
      </w:r>
    </w:p>
    <w:p w14:paraId="09CDF4CC" w14:textId="77777777" w:rsidR="002F3469" w:rsidRPr="000A33B7" w:rsidRDefault="002F3469" w:rsidP="002F3469">
      <w:pPr>
        <w:spacing w:after="120"/>
        <w:ind w:left="709" w:right="709"/>
        <w:jc w:val="both"/>
        <w:rPr>
          <w:rFonts w:ascii="Verdana" w:eastAsia="Calibri" w:hAnsi="Verdana" w:cs="Arial"/>
          <w:sz w:val="21"/>
          <w:szCs w:val="21"/>
          <w:lang w:val="es-ES_tradnl"/>
        </w:rPr>
      </w:pPr>
      <w:r w:rsidRPr="000A33B7">
        <w:rPr>
          <w:rFonts w:ascii="Verdana" w:eastAsia="Calibri" w:hAnsi="Verdana" w:cs="Arial"/>
          <w:sz w:val="21"/>
          <w:szCs w:val="21"/>
          <w:lang w:val="es-ES_tradnl"/>
        </w:rPr>
        <w:t>Artículo 7°. Aplicación de los principios de la contratación estatal. La contratación a la que hace referencia el presente decreto está sujeta a los principios de la contratación estatal y a las normas presupuestales aplicables […]</w:t>
      </w:r>
    </w:p>
    <w:p w14:paraId="3D34E324" w14:textId="77777777" w:rsidR="002F3469" w:rsidRPr="000A33B7" w:rsidRDefault="002F3469" w:rsidP="002F3469">
      <w:pPr>
        <w:spacing w:after="0"/>
        <w:ind w:left="709" w:right="709"/>
        <w:jc w:val="both"/>
        <w:rPr>
          <w:rFonts w:ascii="Verdana" w:eastAsia="Calibri" w:hAnsi="Verdana" w:cs="Arial"/>
          <w:sz w:val="21"/>
          <w:szCs w:val="21"/>
          <w:lang w:val="es-ES_tradnl"/>
        </w:rPr>
      </w:pPr>
      <w:r w:rsidRPr="000A33B7">
        <w:rPr>
          <w:rFonts w:ascii="Verdana" w:eastAsia="Calibri" w:hAnsi="Verdana" w:cs="Arial"/>
          <w:sz w:val="21"/>
          <w:szCs w:val="21"/>
          <w:lang w:val="es-ES_tradnl"/>
        </w:rPr>
        <w:t xml:space="preserve">Artículo 8°. Aplicación de normas generales del sistema de contratación pública. La contratación a la que hace referencia el presente decreto está sujeta </w:t>
      </w:r>
      <w:bookmarkStart w:id="7" w:name="_Hlk38206940"/>
      <w:r w:rsidRPr="000A33B7">
        <w:rPr>
          <w:rFonts w:ascii="Verdana" w:eastAsia="Calibri" w:hAnsi="Verdana" w:cs="Arial"/>
          <w:sz w:val="21"/>
          <w:szCs w:val="21"/>
          <w:lang w:val="es-ES_tradnl"/>
        </w:rPr>
        <w:t xml:space="preserve">a las </w:t>
      </w:r>
      <w:bookmarkStart w:id="8" w:name="_Hlk38633960"/>
      <w:r w:rsidRPr="000A33B7">
        <w:rPr>
          <w:rFonts w:ascii="Verdana" w:eastAsia="Calibri" w:hAnsi="Verdana" w:cs="Arial"/>
          <w:sz w:val="21"/>
          <w:szCs w:val="21"/>
          <w:lang w:val="es-ES_tradnl"/>
        </w:rPr>
        <w:t xml:space="preserve">normas generales </w:t>
      </w:r>
      <w:bookmarkStart w:id="9" w:name="_Hlk38275055"/>
      <w:r w:rsidRPr="000A33B7">
        <w:rPr>
          <w:rFonts w:ascii="Verdana" w:eastAsia="Calibri" w:hAnsi="Verdana" w:cs="Arial"/>
          <w:sz w:val="21"/>
          <w:szCs w:val="21"/>
          <w:lang w:val="es-ES_tradnl"/>
        </w:rPr>
        <w:t>aplicables a la contratación pública</w:t>
      </w:r>
      <w:bookmarkEnd w:id="7"/>
      <w:bookmarkEnd w:id="8"/>
      <w:r w:rsidRPr="000A33B7">
        <w:rPr>
          <w:rFonts w:ascii="Verdana" w:eastAsia="Calibri" w:hAnsi="Verdana" w:cs="Arial"/>
          <w:sz w:val="21"/>
          <w:szCs w:val="21"/>
          <w:lang w:val="es-ES_tradnl"/>
        </w:rPr>
        <w:t xml:space="preserve"> </w:t>
      </w:r>
      <w:bookmarkEnd w:id="9"/>
      <w:r w:rsidRPr="000A33B7">
        <w:rPr>
          <w:rFonts w:ascii="Verdana" w:eastAsia="Calibri" w:hAnsi="Verdana" w:cs="Arial"/>
          <w:sz w:val="21"/>
          <w:szCs w:val="21"/>
          <w:lang w:val="es-ES_tradnl"/>
        </w:rPr>
        <w:t>excepto en lo reglamentado en el presente decreto</w:t>
      </w:r>
      <w:r>
        <w:rPr>
          <w:rFonts w:ascii="Verdana" w:eastAsia="Calibri" w:hAnsi="Verdana" w:cs="Arial"/>
          <w:sz w:val="21"/>
          <w:szCs w:val="21"/>
          <w:lang w:val="es-ES_tradnl"/>
        </w:rPr>
        <w:t>”</w:t>
      </w:r>
      <w:r w:rsidRPr="000A33B7">
        <w:rPr>
          <w:rFonts w:ascii="Verdana" w:eastAsia="Calibri" w:hAnsi="Verdana" w:cs="Arial"/>
          <w:sz w:val="21"/>
          <w:szCs w:val="21"/>
          <w:lang w:val="es-ES_tradnl"/>
        </w:rPr>
        <w:t xml:space="preserve">. </w:t>
      </w:r>
    </w:p>
    <w:p w14:paraId="30FABC4A" w14:textId="77777777" w:rsidR="002F3469" w:rsidRPr="000A33B7" w:rsidRDefault="002F3469" w:rsidP="002F3469">
      <w:pPr>
        <w:spacing w:after="0"/>
        <w:ind w:left="709" w:right="709"/>
        <w:jc w:val="both"/>
        <w:rPr>
          <w:rFonts w:ascii="Verdana" w:eastAsia="Calibri" w:hAnsi="Verdana" w:cs="Arial"/>
          <w:lang w:val="es-ES_tradnl"/>
        </w:rPr>
      </w:pPr>
    </w:p>
    <w:p w14:paraId="1E161F0D" w14:textId="77777777" w:rsidR="002F3469" w:rsidRPr="000A33B7" w:rsidRDefault="002F3469" w:rsidP="002F3469">
      <w:pPr>
        <w:spacing w:after="120" w:line="276" w:lineRule="auto"/>
        <w:jc w:val="both"/>
        <w:rPr>
          <w:rFonts w:ascii="Verdana" w:eastAsia="Calibri" w:hAnsi="Verdana" w:cs="Arial"/>
          <w:lang w:val="es-ES"/>
        </w:rPr>
      </w:pPr>
      <w:r w:rsidRPr="000A33B7">
        <w:rPr>
          <w:rFonts w:ascii="Verdana" w:eastAsia="Calibri" w:hAnsi="Verdana" w:cs="Arial"/>
          <w:lang w:val="es-ES_tradnl"/>
        </w:rPr>
        <w:tab/>
      </w:r>
      <w:r w:rsidRPr="5EC9823D">
        <w:rPr>
          <w:rFonts w:ascii="Verdana" w:eastAsia="Calibri" w:hAnsi="Verdana" w:cs="Arial"/>
          <w:lang w:val="es-ES"/>
        </w:rPr>
        <w:t xml:space="preserve">Estas normas integran las lagunas o vacíos normativos del reglamento autónomo, y se aplican a todo lo que no esté expresamente regulado en él. Por ello no es posible aplicar ninguna de las disposiciones anteriormente citadas en temas como la competencia para celebrar los </w:t>
      </w:r>
      <w:r w:rsidRPr="5EC9823D">
        <w:rPr>
          <w:rFonts w:ascii="Verdana" w:eastAsia="Calibri" w:hAnsi="Verdana" w:cs="Arial"/>
          <w:i/>
          <w:lang w:val="es-ES"/>
        </w:rPr>
        <w:t xml:space="preserve">contratos del artículo 355 de la Constitución </w:t>
      </w:r>
      <w:r w:rsidRPr="5EC9823D">
        <w:rPr>
          <w:rFonts w:ascii="Verdana" w:eastAsia="Calibri" w:hAnsi="Verdana" w:cs="Arial"/>
          <w:lang w:val="es-ES"/>
        </w:rPr>
        <w:t xml:space="preserve">y la </w:t>
      </w:r>
      <w:proofErr w:type="spellStart"/>
      <w:r w:rsidRPr="5EC9823D">
        <w:rPr>
          <w:rFonts w:ascii="Verdana" w:eastAsia="Calibri" w:hAnsi="Verdana" w:cs="Arial"/>
          <w:lang w:val="es-ES"/>
        </w:rPr>
        <w:t>indelegabilidad</w:t>
      </w:r>
      <w:proofErr w:type="spellEnd"/>
      <w:r w:rsidRPr="5EC9823D">
        <w:rPr>
          <w:rFonts w:ascii="Verdana" w:eastAsia="Calibri" w:hAnsi="Verdana" w:cs="Arial"/>
          <w:lang w:val="es-ES"/>
        </w:rPr>
        <w:t xml:space="preserve"> de la autorización –art. 2–, la idoneidad de las ESAL –art. 3–, su registro en el SECOP –art. 9– y la inaplicación del registro único de proponentes –art. 10–. </w:t>
      </w:r>
    </w:p>
    <w:p w14:paraId="51B20A17" w14:textId="77777777" w:rsidR="002F3469" w:rsidRPr="000A33B7" w:rsidRDefault="002F3469" w:rsidP="002F3469">
      <w:pPr>
        <w:spacing w:after="0" w:line="276" w:lineRule="auto"/>
        <w:ind w:firstLine="708"/>
        <w:jc w:val="both"/>
        <w:rPr>
          <w:rFonts w:ascii="Verdana" w:eastAsia="Calibri" w:hAnsi="Verdana" w:cs="Arial"/>
          <w:lang w:val="es-ES_tradnl"/>
        </w:rPr>
      </w:pPr>
      <w:r w:rsidRPr="000A33B7">
        <w:rPr>
          <w:rFonts w:ascii="Verdana" w:eastAsia="Calibri" w:hAnsi="Verdana" w:cs="Arial"/>
          <w:lang w:val="es-ES_tradnl"/>
        </w:rPr>
        <w:t>En contraste, en los vacíos es necesario resolver si las tres (3) normas expresan la misma idea o, por el contrario, son autónomas en su interpretación.</w:t>
      </w:r>
      <w:r>
        <w:rPr>
          <w:rFonts w:ascii="Verdana" w:eastAsia="Calibri" w:hAnsi="Verdana" w:cs="Arial"/>
          <w:lang w:val="es-ES_tradnl"/>
        </w:rPr>
        <w:t xml:space="preserve"> </w:t>
      </w:r>
      <w:r w:rsidRPr="000A33B7">
        <w:rPr>
          <w:rFonts w:ascii="Verdana" w:eastAsia="Calibri" w:hAnsi="Verdana" w:cs="Arial"/>
          <w:lang w:val="es-ES_tradnl"/>
        </w:rPr>
        <w:t xml:space="preserve">Para resolver este interrogante, </w:t>
      </w:r>
      <w:bookmarkStart w:id="10" w:name="_Hlk38282598"/>
      <w:r w:rsidRPr="000A33B7">
        <w:rPr>
          <w:rFonts w:ascii="Verdana" w:eastAsia="Calibri" w:hAnsi="Verdana" w:cs="Arial"/>
          <w:lang w:val="es-ES_tradnl"/>
        </w:rPr>
        <w:t xml:space="preserve">en principio, podría considerarse que dichas disposiciones son independientes, pues si los supuestos están regulados en normas separadas, cada una produciría consecuencias distintas. Esta posición no se comparte, ya que están relacionadas entre sí. En efecto, el artículo 6 del Decreto 092 de 2017 se refiere a las inhabilidades e incompatibilidades previstas en el ordenamiento jurídico, incluyendo las previstas en el artículo 8 de la Ley 80 de 1993; además, los artículos 23, 24, 25, 26 y otros del Estatuto General regulan los principios de la contratación estatal, relacionándose parcialmente con el artículo 7 </w:t>
      </w:r>
      <w:r w:rsidRPr="000A33B7">
        <w:rPr>
          <w:rFonts w:ascii="Verdana" w:eastAsia="Calibri" w:hAnsi="Verdana" w:cs="Arial"/>
          <w:i/>
          <w:iCs/>
          <w:lang w:val="es-ES_tradnl"/>
        </w:rPr>
        <w:t>ibidem</w:t>
      </w:r>
      <w:bookmarkEnd w:id="10"/>
      <w:r w:rsidRPr="000A33B7">
        <w:rPr>
          <w:rFonts w:ascii="Verdana" w:eastAsia="Calibri" w:hAnsi="Verdana" w:cs="Arial"/>
          <w:lang w:val="es-ES_tradnl"/>
        </w:rPr>
        <w:t xml:space="preserve"> al disponer lo siguiente: </w:t>
      </w:r>
    </w:p>
    <w:p w14:paraId="363A026D" w14:textId="77777777" w:rsidR="002F3469" w:rsidRPr="000A33B7" w:rsidRDefault="002F3469" w:rsidP="002F3469">
      <w:pPr>
        <w:spacing w:after="0" w:line="276" w:lineRule="auto"/>
        <w:ind w:firstLine="708"/>
        <w:jc w:val="both"/>
        <w:rPr>
          <w:rFonts w:ascii="Verdana" w:eastAsia="Calibri" w:hAnsi="Verdana" w:cs="Arial"/>
          <w:lang w:val="es-ES_tradnl"/>
        </w:rPr>
      </w:pPr>
    </w:p>
    <w:p w14:paraId="6A7BE2EA" w14:textId="77777777" w:rsidR="002F3469" w:rsidRDefault="002F3469" w:rsidP="002F3469">
      <w:pPr>
        <w:spacing w:after="0"/>
        <w:ind w:left="709" w:right="709"/>
        <w:jc w:val="both"/>
        <w:rPr>
          <w:rFonts w:ascii="Verdana" w:eastAsia="Calibri" w:hAnsi="Verdana" w:cs="Arial"/>
          <w:sz w:val="21"/>
          <w:szCs w:val="21"/>
          <w:lang w:val="es-ES_tradnl"/>
        </w:rPr>
      </w:pPr>
      <w:r>
        <w:rPr>
          <w:rFonts w:ascii="Verdana" w:eastAsia="Calibri" w:hAnsi="Verdana" w:cs="Arial"/>
          <w:sz w:val="21"/>
          <w:szCs w:val="21"/>
          <w:lang w:val="es-ES_tradnl"/>
        </w:rPr>
        <w:t>“</w:t>
      </w:r>
      <w:r w:rsidRPr="000A33B7">
        <w:rPr>
          <w:rFonts w:ascii="Verdana" w:eastAsia="Calibri" w:hAnsi="Verdana" w:cs="Arial"/>
          <w:sz w:val="21"/>
          <w:szCs w:val="21"/>
          <w:lang w:val="es-ES_tradnl"/>
        </w:rPr>
        <w:t xml:space="preserve">Artículo 23. De los principios en las actuaciones contractuales de las entidades estatales. Las actuaciones de quienes intervengan en la contratación estatal se desarrollarán con arreglo a los principios de transparencia, economía y responsabilidad y de conformidad con los postulados que rigen la función administrativa. Igualmente, se aplicarán en las mismas las normas que regulan la conducta de los servidores públicos, las reglas de interpretación de la contratación, los </w:t>
      </w:r>
      <w:r w:rsidRPr="000A33B7">
        <w:rPr>
          <w:rFonts w:ascii="Verdana" w:eastAsia="Calibri" w:hAnsi="Verdana" w:cs="Arial"/>
          <w:sz w:val="21"/>
          <w:szCs w:val="21"/>
          <w:lang w:val="es-ES_tradnl"/>
        </w:rPr>
        <w:lastRenderedPageBreak/>
        <w:t>principios generales del derecho y los particulares del derecho administrativo</w:t>
      </w:r>
      <w:r>
        <w:rPr>
          <w:rFonts w:ascii="Verdana" w:eastAsia="Calibri" w:hAnsi="Verdana" w:cs="Arial"/>
          <w:sz w:val="21"/>
          <w:szCs w:val="21"/>
          <w:lang w:val="es-ES_tradnl"/>
        </w:rPr>
        <w:t>”</w:t>
      </w:r>
      <w:r w:rsidRPr="000A33B7">
        <w:rPr>
          <w:rFonts w:ascii="Verdana" w:eastAsia="Calibri" w:hAnsi="Verdana" w:cs="Arial"/>
          <w:sz w:val="21"/>
          <w:szCs w:val="21"/>
          <w:lang w:val="es-ES_tradnl"/>
        </w:rPr>
        <w:t>.</w:t>
      </w:r>
    </w:p>
    <w:p w14:paraId="2DBD2A9D" w14:textId="77777777" w:rsidR="002F3469" w:rsidRPr="008251D0" w:rsidRDefault="002F3469" w:rsidP="002F3469">
      <w:pPr>
        <w:spacing w:after="0" w:line="276" w:lineRule="auto"/>
        <w:ind w:left="709" w:right="709"/>
        <w:jc w:val="both"/>
        <w:rPr>
          <w:rFonts w:ascii="Verdana" w:eastAsia="Calibri" w:hAnsi="Verdana" w:cs="Arial"/>
          <w:lang w:val="es-ES_tradnl"/>
        </w:rPr>
      </w:pPr>
    </w:p>
    <w:p w14:paraId="4D188953" w14:textId="77777777" w:rsidR="002F3469" w:rsidRPr="000A33B7" w:rsidRDefault="002F3469" w:rsidP="002F3469">
      <w:pPr>
        <w:spacing w:after="120" w:line="276" w:lineRule="auto"/>
        <w:ind w:firstLine="708"/>
        <w:jc w:val="both"/>
        <w:rPr>
          <w:rFonts w:ascii="Verdana" w:eastAsia="Calibri" w:hAnsi="Verdana" w:cs="Arial"/>
          <w:lang w:val="es-ES"/>
        </w:rPr>
      </w:pPr>
      <w:bookmarkStart w:id="11" w:name="_Hlk38282653"/>
      <w:r w:rsidRPr="3696AC19">
        <w:rPr>
          <w:rFonts w:ascii="Verdana" w:eastAsia="Calibri" w:hAnsi="Verdana" w:cs="Arial"/>
          <w:lang w:val="es-ES"/>
        </w:rPr>
        <w:t>A su vez, tanto el “régimen de inhabilidades e incompatibilidades” como los “principios” hacen parte de las normas generales aplicables a la contratación pública. Naturalmente, podría preguntarse si el artículo 8 del Decreto 092 de 2017 se relaciona con estos dos (2) aspectos por ser comunes a los procesos de selección o, incluso, si se extiende a la totalidad del Estatuto General. De concluirse lo primero, el ámbito de los artículos 6, 7 y 8 del reglamento es similar, refiriéndose –entre otros aspectos– a las “inhabilidades e incompatibilidades” y a los “principios”, pues están contenidos en la Ley 80 de 1993 y son aplicables en todos los regímenes de contratación que se analizaron al inicio de este aparte –</w:t>
      </w:r>
      <w:r w:rsidRPr="3696AC19">
        <w:rPr>
          <w:rFonts w:ascii="Verdana" w:eastAsia="Calibri" w:hAnsi="Verdana" w:cs="Arial"/>
          <w:i/>
          <w:lang w:val="es-ES"/>
        </w:rPr>
        <w:t>remisión parcial</w:t>
      </w:r>
      <w:r w:rsidRPr="3696AC19">
        <w:rPr>
          <w:rFonts w:ascii="Verdana" w:eastAsia="Calibri" w:hAnsi="Verdana" w:cs="Arial"/>
          <w:lang w:val="es-ES"/>
        </w:rPr>
        <w:t xml:space="preserve">–. Por el contrario, de concluirse lo segundo, la remisión del artículo 8 del Decreto 092 de 2017 es más amplia que la de los artículos 6 y 7 </w:t>
      </w:r>
      <w:proofErr w:type="spellStart"/>
      <w:r w:rsidRPr="3696AC19">
        <w:rPr>
          <w:rFonts w:ascii="Verdana" w:eastAsia="Calibri" w:hAnsi="Verdana" w:cs="Arial"/>
          <w:i/>
          <w:lang w:val="es-ES"/>
        </w:rPr>
        <w:t>ibídem</w:t>
      </w:r>
      <w:proofErr w:type="spellEnd"/>
      <w:r w:rsidRPr="3696AC19">
        <w:rPr>
          <w:rFonts w:ascii="Verdana" w:eastAsia="Calibri" w:hAnsi="Verdana" w:cs="Arial"/>
          <w:lang w:val="es-ES"/>
        </w:rPr>
        <w:t>. En otras palabras, no se restringiría a las “inhabilidades e incompatibilidades”, a los “principios” y a las demás normas generales de la Ley 80, sino a todo lo previsto en el Estatuto General. Desde esta perspectiva, las “[…] normas generales aplicables a la contratación pública […]” comprenderían los artículos 6 y 7 del decreto autónomo, ampliándose a las demás normas de la Ley 80 de 1993 –</w:t>
      </w:r>
      <w:r w:rsidRPr="3696AC19">
        <w:rPr>
          <w:rFonts w:ascii="Verdana" w:eastAsia="Calibri" w:hAnsi="Verdana" w:cs="Arial"/>
          <w:i/>
          <w:lang w:val="es-ES"/>
        </w:rPr>
        <w:t>remisión total</w:t>
      </w:r>
      <w:r w:rsidRPr="3696AC19">
        <w:rPr>
          <w:rFonts w:ascii="Verdana" w:eastAsia="Calibri" w:hAnsi="Verdana" w:cs="Arial"/>
          <w:lang w:val="es-ES"/>
        </w:rPr>
        <w:t xml:space="preserve">–. </w:t>
      </w:r>
    </w:p>
    <w:p w14:paraId="41590926" w14:textId="77777777" w:rsidR="002F3469" w:rsidRPr="000A33B7" w:rsidRDefault="002F3469" w:rsidP="002F3469">
      <w:pPr>
        <w:spacing w:after="120" w:line="276" w:lineRule="auto"/>
        <w:ind w:firstLine="708"/>
        <w:jc w:val="both"/>
        <w:rPr>
          <w:rFonts w:ascii="Verdana" w:eastAsia="Calibri" w:hAnsi="Verdana" w:cs="Arial"/>
          <w:lang w:val="es-ES"/>
        </w:rPr>
      </w:pPr>
      <w:r w:rsidRPr="5EC9823D">
        <w:rPr>
          <w:rFonts w:ascii="Verdana" w:eastAsia="Calibri" w:hAnsi="Verdana" w:cs="Arial"/>
          <w:lang w:val="es-ES"/>
        </w:rPr>
        <w:t xml:space="preserve">La postura sobre el tema es relevante, pues quien opte por la </w:t>
      </w:r>
      <w:r w:rsidRPr="5EC9823D">
        <w:rPr>
          <w:rFonts w:ascii="Verdana" w:eastAsia="Calibri" w:hAnsi="Verdana" w:cs="Arial"/>
          <w:i/>
          <w:lang w:val="es-ES"/>
        </w:rPr>
        <w:t xml:space="preserve">remisión parcial </w:t>
      </w:r>
      <w:r w:rsidRPr="5EC9823D">
        <w:rPr>
          <w:rFonts w:ascii="Verdana" w:eastAsia="Calibri" w:hAnsi="Verdana" w:cs="Arial"/>
          <w:lang w:val="es-ES"/>
        </w:rPr>
        <w:t>o bien debe entender que el artículo 8 del Decreto 092 se refiere únicamente a las “inhabilidades e incompatibilidades” y a los “principios” –</w:t>
      </w:r>
      <w:r w:rsidRPr="5EC9823D">
        <w:rPr>
          <w:rFonts w:ascii="Verdana" w:eastAsia="Calibri" w:hAnsi="Verdana" w:cs="Arial"/>
          <w:i/>
          <w:lang w:val="es-ES"/>
        </w:rPr>
        <w:t>remisión parcial stricto sensu</w:t>
      </w:r>
      <w:r w:rsidRPr="5EC9823D">
        <w:rPr>
          <w:rFonts w:ascii="Verdana" w:eastAsia="Calibri" w:hAnsi="Verdana" w:cs="Arial"/>
          <w:lang w:val="es-ES"/>
        </w:rPr>
        <w:t>– o debe explicar qué normas son transversales a la actividad contractual del Estado, justificando la razón por las que se excluyen aquellas privativas de determinados procesos de selección, tipologías contractuales, etc. –</w:t>
      </w:r>
      <w:r w:rsidRPr="5EC9823D">
        <w:rPr>
          <w:rFonts w:ascii="Verdana" w:eastAsia="Calibri" w:hAnsi="Verdana" w:cs="Arial"/>
          <w:i/>
          <w:lang w:val="es-ES"/>
        </w:rPr>
        <w:t xml:space="preserve">remisión parcial </w:t>
      </w:r>
      <w:proofErr w:type="spellStart"/>
      <w:r w:rsidRPr="5EC9823D">
        <w:rPr>
          <w:rFonts w:ascii="Verdana" w:eastAsia="Calibri" w:hAnsi="Verdana" w:cs="Arial"/>
          <w:i/>
          <w:lang w:val="es-ES"/>
        </w:rPr>
        <w:t>latu</w:t>
      </w:r>
      <w:proofErr w:type="spellEnd"/>
      <w:r w:rsidRPr="5EC9823D">
        <w:rPr>
          <w:rFonts w:ascii="Verdana" w:eastAsia="Calibri" w:hAnsi="Verdana" w:cs="Arial"/>
          <w:i/>
          <w:lang w:val="es-ES"/>
        </w:rPr>
        <w:t xml:space="preserve"> sensu</w:t>
      </w:r>
      <w:r w:rsidRPr="5EC9823D">
        <w:rPr>
          <w:rFonts w:ascii="Verdana" w:eastAsia="Calibri" w:hAnsi="Verdana" w:cs="Arial"/>
          <w:lang w:val="es-ES"/>
        </w:rPr>
        <w:t xml:space="preserve">–. </w:t>
      </w:r>
    </w:p>
    <w:p w14:paraId="0FC0C209" w14:textId="77777777" w:rsidR="002F3469" w:rsidRPr="000A33B7" w:rsidRDefault="002F3469" w:rsidP="002F3469">
      <w:pPr>
        <w:spacing w:after="120" w:line="276" w:lineRule="auto"/>
        <w:ind w:firstLine="708"/>
        <w:jc w:val="both"/>
        <w:rPr>
          <w:rFonts w:ascii="Verdana" w:eastAsia="Calibri" w:hAnsi="Verdana" w:cs="Arial"/>
          <w:lang w:val="es-ES_tradnl"/>
        </w:rPr>
      </w:pPr>
      <w:r w:rsidRPr="000A33B7">
        <w:rPr>
          <w:rFonts w:ascii="Verdana" w:eastAsia="Calibri" w:hAnsi="Verdana" w:cs="Arial"/>
          <w:lang w:val="es-ES_tradnl"/>
        </w:rPr>
        <w:t xml:space="preserve">Para quienes adopten la primera postura, el ámbito de los artículos 6, 7 y 8 del Decreto 092 de 2017 sería exactamente el mismo, pues el último –referido a las normas generales– contiene a los otros dos –es decir, tanto las </w:t>
      </w:r>
      <w:r>
        <w:rPr>
          <w:rFonts w:ascii="Verdana" w:eastAsia="Calibri" w:hAnsi="Verdana" w:cs="Arial"/>
          <w:lang w:val="es-ES_tradnl"/>
        </w:rPr>
        <w:t>“</w:t>
      </w:r>
      <w:r w:rsidRPr="000A33B7">
        <w:rPr>
          <w:rFonts w:ascii="Verdana" w:eastAsia="Calibri" w:hAnsi="Verdana" w:cs="Arial"/>
          <w:lang w:val="es-ES_tradnl"/>
        </w:rPr>
        <w:t>inhabilidades e incompatibilidades</w:t>
      </w:r>
      <w:r>
        <w:rPr>
          <w:rFonts w:ascii="Verdana" w:eastAsia="Calibri" w:hAnsi="Verdana" w:cs="Arial"/>
          <w:lang w:val="es-ES_tradnl"/>
        </w:rPr>
        <w:t>”</w:t>
      </w:r>
      <w:r w:rsidRPr="000A33B7">
        <w:rPr>
          <w:rFonts w:ascii="Verdana" w:eastAsia="Calibri" w:hAnsi="Verdana" w:cs="Arial"/>
          <w:lang w:val="es-ES_tradnl"/>
        </w:rPr>
        <w:t xml:space="preserve"> como a los </w:t>
      </w:r>
      <w:r>
        <w:rPr>
          <w:rFonts w:ascii="Verdana" w:eastAsia="Calibri" w:hAnsi="Verdana" w:cs="Arial"/>
          <w:lang w:val="es-ES_tradnl"/>
        </w:rPr>
        <w:t>“</w:t>
      </w:r>
      <w:r w:rsidRPr="000A33B7">
        <w:rPr>
          <w:rFonts w:ascii="Verdana" w:eastAsia="Calibri" w:hAnsi="Verdana" w:cs="Arial"/>
          <w:lang w:val="es-ES_tradnl"/>
        </w:rPr>
        <w:t>principios</w:t>
      </w:r>
      <w:r>
        <w:rPr>
          <w:rFonts w:ascii="Verdana" w:eastAsia="Calibri" w:hAnsi="Verdana" w:cs="Arial"/>
          <w:lang w:val="es-ES_tradnl"/>
        </w:rPr>
        <w:t>”</w:t>
      </w:r>
      <w:r w:rsidRPr="000A33B7">
        <w:rPr>
          <w:rFonts w:ascii="Verdana" w:eastAsia="Calibri" w:hAnsi="Verdana" w:cs="Arial"/>
          <w:lang w:val="es-ES_tradnl"/>
        </w:rPr>
        <w:t xml:space="preserve">–. En contraste, la segunda idea implica que –además de estos– las normas generales se refieren disposiciones comunes de los contratos estatales. Ambas interpretaciones se apoyarían en el artículo 8 del reglamento autónomo que regula la contratación del artículo 355 constitucional y del artículo 96 de la Ley 489 de 1998, ya que cuando prescribe que se regirán por las </w:t>
      </w:r>
      <w:r>
        <w:rPr>
          <w:rFonts w:ascii="Verdana" w:eastAsia="Calibri" w:hAnsi="Verdana" w:cs="Arial"/>
          <w:lang w:val="es-ES_tradnl"/>
        </w:rPr>
        <w:t>“</w:t>
      </w:r>
      <w:r w:rsidRPr="000A33B7">
        <w:rPr>
          <w:rFonts w:ascii="Verdana" w:eastAsia="Calibri" w:hAnsi="Verdana" w:cs="Arial"/>
          <w:lang w:val="es-ES_tradnl"/>
        </w:rPr>
        <w:t>[…] normas generales aplicables a la contratación pública […]</w:t>
      </w:r>
      <w:r>
        <w:rPr>
          <w:rFonts w:ascii="Verdana" w:eastAsia="Calibri" w:hAnsi="Verdana" w:cs="Arial"/>
          <w:lang w:val="es-ES_tradnl"/>
        </w:rPr>
        <w:t>”</w:t>
      </w:r>
      <w:r w:rsidRPr="000A33B7">
        <w:rPr>
          <w:rFonts w:ascii="Verdana" w:eastAsia="Calibri" w:hAnsi="Verdana" w:cs="Arial"/>
          <w:lang w:val="es-ES_tradnl"/>
        </w:rPr>
        <w:t xml:space="preserve">, significaría que no es posible una remisión integra al </w:t>
      </w:r>
      <w:r w:rsidRPr="000A33B7">
        <w:rPr>
          <w:rFonts w:ascii="Verdana" w:eastAsia="Calibri" w:hAnsi="Verdana" w:cs="Arial"/>
          <w:lang w:val="es-ES_tradnl"/>
        </w:rPr>
        <w:lastRenderedPageBreak/>
        <w:t>Estatuto General, ya que habría que descartar normas especiales de determinados contratos o procesos de selección y verificar la ausencia de regulación en el Decreto 092 de 2017 para aplicar aquellas transversales a la gestión contractual.</w:t>
      </w:r>
    </w:p>
    <w:p w14:paraId="70E094D4" w14:textId="77777777" w:rsidR="002F3469" w:rsidRPr="000A33B7" w:rsidRDefault="002F3469" w:rsidP="002F3469">
      <w:pPr>
        <w:spacing w:after="120" w:line="276" w:lineRule="auto"/>
        <w:ind w:firstLine="708"/>
        <w:jc w:val="both"/>
        <w:rPr>
          <w:rFonts w:ascii="Verdana" w:eastAsia="Calibri" w:hAnsi="Verdana" w:cs="Arial"/>
          <w:lang w:val="es-ES_tradnl"/>
        </w:rPr>
      </w:pPr>
      <w:r w:rsidRPr="000A33B7">
        <w:rPr>
          <w:rFonts w:ascii="Verdana" w:eastAsia="Calibri" w:hAnsi="Verdana" w:cs="Arial"/>
          <w:lang w:val="es-ES_tradnl"/>
        </w:rPr>
        <w:t>Por lo pronto, se descarta razonablemente de que los artículos 6, 7 y 8 del Decreto 092 de 2017 tengan en mismo ámbito de aplicación –</w:t>
      </w:r>
      <w:r w:rsidRPr="000A33B7">
        <w:rPr>
          <w:rFonts w:ascii="Verdana" w:eastAsia="Calibri" w:hAnsi="Verdana" w:cs="Arial"/>
          <w:i/>
          <w:iCs/>
          <w:lang w:val="es-ES_tradnl"/>
        </w:rPr>
        <w:t>remisión parcial stricto sensu</w:t>
      </w:r>
      <w:r w:rsidRPr="000A33B7">
        <w:rPr>
          <w:rFonts w:ascii="Verdana" w:eastAsia="Calibri" w:hAnsi="Verdana" w:cs="Arial"/>
          <w:lang w:val="es-ES_tradnl"/>
        </w:rPr>
        <w:t xml:space="preserve">–, ya que esta última disposición no produciría ningún efecto útil, es decir, habría bastado la remisión a las </w:t>
      </w:r>
      <w:r>
        <w:rPr>
          <w:rFonts w:ascii="Verdana" w:eastAsia="Calibri" w:hAnsi="Verdana" w:cs="Arial"/>
          <w:lang w:val="es-ES_tradnl"/>
        </w:rPr>
        <w:t>“</w:t>
      </w:r>
      <w:r w:rsidRPr="000A33B7">
        <w:rPr>
          <w:rFonts w:ascii="Verdana" w:eastAsia="Calibri" w:hAnsi="Verdana" w:cs="Arial"/>
          <w:lang w:val="es-ES_tradnl"/>
        </w:rPr>
        <w:t>inhabilidades e incompatibilidades</w:t>
      </w:r>
      <w:r>
        <w:rPr>
          <w:rFonts w:ascii="Verdana" w:eastAsia="Calibri" w:hAnsi="Verdana" w:cs="Arial"/>
          <w:lang w:val="es-ES_tradnl"/>
        </w:rPr>
        <w:t>”</w:t>
      </w:r>
      <w:r w:rsidRPr="000A33B7">
        <w:rPr>
          <w:rFonts w:ascii="Verdana" w:eastAsia="Calibri" w:hAnsi="Verdana" w:cs="Arial"/>
          <w:lang w:val="es-ES_tradnl"/>
        </w:rPr>
        <w:t xml:space="preserve"> y a los </w:t>
      </w:r>
      <w:r>
        <w:rPr>
          <w:rFonts w:ascii="Verdana" w:eastAsia="Calibri" w:hAnsi="Verdana" w:cs="Arial"/>
          <w:lang w:val="es-ES_tradnl"/>
        </w:rPr>
        <w:t>“</w:t>
      </w:r>
      <w:r w:rsidRPr="000A33B7">
        <w:rPr>
          <w:rFonts w:ascii="Verdana" w:eastAsia="Calibri" w:hAnsi="Verdana" w:cs="Arial"/>
          <w:lang w:val="es-ES_tradnl"/>
        </w:rPr>
        <w:t>principios</w:t>
      </w:r>
      <w:r>
        <w:rPr>
          <w:rFonts w:ascii="Verdana" w:eastAsia="Calibri" w:hAnsi="Verdana" w:cs="Arial"/>
          <w:lang w:val="es-ES_tradnl"/>
        </w:rPr>
        <w:t>”</w:t>
      </w:r>
      <w:r w:rsidRPr="000A33B7">
        <w:rPr>
          <w:rFonts w:ascii="Verdana" w:eastAsia="Calibri" w:hAnsi="Verdana" w:cs="Arial"/>
          <w:lang w:val="es-ES_tradnl"/>
        </w:rPr>
        <w:t xml:space="preserve"> sin necesidad de remisiones adicionales a otras normas de contratación. Lo anterior se fundamenta en la directriz hermenéutica según la cual</w:t>
      </w:r>
      <w:r w:rsidRPr="000A33B7">
        <w:rPr>
          <w:rFonts w:ascii="Verdana" w:hAnsi="Verdana"/>
        </w:rPr>
        <w:t xml:space="preserve"> </w:t>
      </w:r>
      <w:r w:rsidRPr="000A33B7">
        <w:rPr>
          <w:rFonts w:ascii="Verdana" w:eastAsia="Calibri" w:hAnsi="Verdana" w:cs="Arial"/>
          <w:lang w:val="es-ES_tradnl"/>
        </w:rPr>
        <w:t xml:space="preserve">el sentido en el que una disposición produce efectos se prefiere sobre aquel en que no produzca efecto.       </w:t>
      </w:r>
    </w:p>
    <w:p w14:paraId="72BA86BE" w14:textId="77777777" w:rsidR="002F3469" w:rsidRPr="000A33B7" w:rsidRDefault="002F3469" w:rsidP="002F3469">
      <w:pPr>
        <w:spacing w:after="120" w:line="276" w:lineRule="auto"/>
        <w:ind w:firstLine="708"/>
        <w:jc w:val="both"/>
        <w:rPr>
          <w:rFonts w:ascii="Verdana" w:eastAsia="Calibri" w:hAnsi="Verdana" w:cs="Arial"/>
          <w:lang w:val="es-ES"/>
        </w:rPr>
      </w:pPr>
      <w:r w:rsidRPr="5EC9823D">
        <w:rPr>
          <w:rFonts w:ascii="Verdana" w:eastAsia="Calibri" w:hAnsi="Verdana" w:cs="Arial"/>
          <w:lang w:val="es-ES"/>
        </w:rPr>
        <w:t>Ahora bien, cuando el artículo 8 del decreto menciona a las “[…] normas generales aplicables a la contratación pública […]”, bien podrían referirse a las disposiciones comunes del Estatuto General –</w:t>
      </w:r>
      <w:r w:rsidRPr="5EC9823D">
        <w:rPr>
          <w:rFonts w:ascii="Verdana" w:eastAsia="Calibri" w:hAnsi="Verdana" w:cs="Arial"/>
          <w:i/>
          <w:lang w:val="es-ES"/>
        </w:rPr>
        <w:t xml:space="preserve">remisión parcial </w:t>
      </w:r>
      <w:proofErr w:type="spellStart"/>
      <w:r w:rsidRPr="5EC9823D">
        <w:rPr>
          <w:rFonts w:ascii="Verdana" w:eastAsia="Calibri" w:hAnsi="Verdana" w:cs="Arial"/>
          <w:i/>
          <w:lang w:val="es-ES"/>
        </w:rPr>
        <w:t>latu</w:t>
      </w:r>
      <w:proofErr w:type="spellEnd"/>
      <w:r w:rsidRPr="5EC9823D">
        <w:rPr>
          <w:rFonts w:ascii="Verdana" w:eastAsia="Calibri" w:hAnsi="Verdana" w:cs="Arial"/>
          <w:i/>
          <w:lang w:val="es-ES"/>
        </w:rPr>
        <w:t xml:space="preserve"> sensu</w:t>
      </w:r>
      <w:r w:rsidRPr="5EC9823D">
        <w:rPr>
          <w:rFonts w:ascii="Verdana" w:eastAsia="Calibri" w:hAnsi="Verdana" w:cs="Arial"/>
          <w:lang w:val="es-ES"/>
        </w:rPr>
        <w:t>– o a la totalidad de la Ley 80 de 1993 –</w:t>
      </w:r>
      <w:r w:rsidRPr="5EC9823D">
        <w:rPr>
          <w:rFonts w:ascii="Verdana" w:eastAsia="Calibri" w:hAnsi="Verdana" w:cs="Arial"/>
          <w:i/>
          <w:lang w:val="es-ES"/>
        </w:rPr>
        <w:t>remisión integral</w:t>
      </w:r>
      <w:r w:rsidRPr="5EC9823D">
        <w:rPr>
          <w:rFonts w:ascii="Verdana" w:eastAsia="Calibri" w:hAnsi="Verdana" w:cs="Arial"/>
          <w:lang w:val="es-ES"/>
        </w:rPr>
        <w:t xml:space="preserve">–. En esta medida, determinar el alcance de la remisión del artículo 8 del Decreto 092 requiere considerar que no hay lugar a distinguir entre normas de carácter general o especial dentro del Estatuto de Contratación de la Administración Pública, ya que de la competencia dispuesta en el inciso final del artículo 150 de la Constitución Política se desprende que todas estas disposiciones regulan con el mismo grado de generalidad la actividad contractual del Estado.     </w:t>
      </w:r>
    </w:p>
    <w:p w14:paraId="78D01F48" w14:textId="77777777" w:rsidR="002F3469" w:rsidRPr="000A33B7" w:rsidRDefault="002F3469" w:rsidP="002F3469">
      <w:pPr>
        <w:spacing w:after="120" w:line="276" w:lineRule="auto"/>
        <w:ind w:firstLine="708"/>
        <w:jc w:val="both"/>
        <w:rPr>
          <w:rFonts w:ascii="Verdana" w:eastAsia="Calibri" w:hAnsi="Verdana" w:cs="Arial"/>
          <w:lang w:val="es-ES"/>
        </w:rPr>
      </w:pPr>
      <w:r w:rsidRPr="5EC9823D">
        <w:rPr>
          <w:rFonts w:ascii="Verdana" w:eastAsia="Calibri" w:hAnsi="Verdana" w:cs="Arial"/>
          <w:lang w:val="es-ES"/>
        </w:rPr>
        <w:t xml:space="preserve">Por ello, considerando que la Ley 80 de 1993 tiene el mismo grado de generalidad, esta Subdirección concluye que el artículo 8 del Decreto 092 de 2017 </w:t>
      </w:r>
      <w:r w:rsidRPr="5EC9823D">
        <w:rPr>
          <w:rFonts w:ascii="Verdana" w:eastAsia="Calibri" w:hAnsi="Verdana" w:cs="Arial"/>
          <w:i/>
          <w:lang w:val="es-ES"/>
        </w:rPr>
        <w:t>remite integralmente</w:t>
      </w:r>
      <w:r w:rsidRPr="5EC9823D">
        <w:rPr>
          <w:rFonts w:ascii="Verdana" w:eastAsia="Calibri" w:hAnsi="Verdana" w:cs="Arial"/>
          <w:lang w:val="es-ES"/>
        </w:rPr>
        <w:t xml:space="preserve"> al Estatuto de Contratación. Esta remisión alcanza tanto el régimen de inhabilidades e incompatibilidades como los principios aplicables a la contratación estatal. Por tanto, los artículos 6, 7 y 8 del reglamento autónomo deben interpretarse en bloque, es decir, aplicando la Ley 80 de 1993 a todo supuesto que no esté expresamente regulado en el Decreto 092 de 2017.  </w:t>
      </w:r>
    </w:p>
    <w:bookmarkEnd w:id="11"/>
    <w:p w14:paraId="634CFB86" w14:textId="77777777" w:rsidR="002F3469" w:rsidRPr="000A33B7" w:rsidRDefault="002F3469" w:rsidP="002F3469">
      <w:pPr>
        <w:spacing w:after="120" w:line="276" w:lineRule="auto"/>
        <w:ind w:firstLine="708"/>
        <w:jc w:val="both"/>
        <w:rPr>
          <w:rFonts w:ascii="Verdana" w:eastAsia="Calibri" w:hAnsi="Verdana" w:cs="Arial"/>
          <w:lang w:val="es-ES"/>
        </w:rPr>
      </w:pPr>
      <w:r w:rsidRPr="5EC9823D">
        <w:rPr>
          <w:rFonts w:ascii="Verdana" w:eastAsia="Calibri" w:hAnsi="Verdana" w:cs="Arial"/>
          <w:lang w:val="es-ES"/>
        </w:rPr>
        <w:t xml:space="preserve">En esta medida, los </w:t>
      </w:r>
      <w:bookmarkStart w:id="12" w:name="_Hlk38213744"/>
      <w:r w:rsidRPr="5EC9823D">
        <w:rPr>
          <w:rFonts w:ascii="Verdana" w:eastAsia="Calibri" w:hAnsi="Verdana" w:cs="Arial"/>
          <w:i/>
          <w:lang w:val="es-ES"/>
        </w:rPr>
        <w:t xml:space="preserve">contratos del artículo 355 de la Constitución </w:t>
      </w:r>
      <w:r w:rsidRPr="5EC9823D">
        <w:rPr>
          <w:rFonts w:ascii="Verdana" w:eastAsia="Calibri" w:hAnsi="Verdana" w:cs="Arial"/>
          <w:lang w:val="es-ES"/>
        </w:rPr>
        <w:t xml:space="preserve">y los </w:t>
      </w:r>
      <w:r w:rsidRPr="5EC9823D">
        <w:rPr>
          <w:rFonts w:ascii="Verdana" w:eastAsia="Calibri" w:hAnsi="Verdana" w:cs="Arial"/>
          <w:i/>
          <w:lang w:val="es-ES"/>
        </w:rPr>
        <w:t>convenios de asociación</w:t>
      </w:r>
      <w:bookmarkEnd w:id="12"/>
      <w:r w:rsidRPr="5EC9823D">
        <w:rPr>
          <w:rFonts w:ascii="Verdana" w:eastAsia="Calibri" w:hAnsi="Verdana" w:cs="Arial"/>
          <w:lang w:val="es-ES"/>
        </w:rPr>
        <w:t xml:space="preserve"> se rigen por el decreto y las normas del Estatuto General que sean compatibles con él, como, por ejemplo, los fines de la contratación –art. 3–, los derechos y deberes del contratante y del contratista –arts. 4 y 5–, los consorcios o uniones temporales –art. 7–, el régimen de inhabilidades e incompatibilidades –art. 8–, los principios de la contratación estatal –art. 23 y </w:t>
      </w:r>
      <w:r w:rsidRPr="5EC9823D">
        <w:rPr>
          <w:rFonts w:ascii="Verdana" w:eastAsia="Calibri" w:hAnsi="Verdana" w:cs="Arial"/>
          <w:lang w:val="es-ES"/>
        </w:rPr>
        <w:lastRenderedPageBreak/>
        <w:t xml:space="preserve">ss.–, las tipologías contractuales –art. 32–, el contenido del contrato y la prohibición de adicionarlo en más del cincuenta por ciento –art. 40–, el régimen de perfeccionamiento –art. 41–, las causales de nulidad –art. 44 y ss.–, el régimen de responsabilidad contractual –art. 50 y ss.– y de liquidación de los contratos –art. 60–. </w:t>
      </w:r>
    </w:p>
    <w:p w14:paraId="1B5A32F3" w14:textId="77777777" w:rsidR="002F3469" w:rsidRDefault="002F3469" w:rsidP="002F3469">
      <w:pPr>
        <w:spacing w:after="0" w:line="276" w:lineRule="auto"/>
        <w:ind w:firstLine="708"/>
        <w:jc w:val="both"/>
        <w:rPr>
          <w:rFonts w:ascii="Verdana" w:eastAsia="Calibri" w:hAnsi="Verdana" w:cs="Arial"/>
          <w:lang w:val="es-ES"/>
        </w:rPr>
      </w:pPr>
      <w:r w:rsidRPr="5EC9823D">
        <w:rPr>
          <w:rFonts w:ascii="Verdana" w:eastAsia="Calibri" w:hAnsi="Verdana" w:cs="Arial"/>
          <w:lang w:val="es-ES"/>
        </w:rPr>
        <w:t xml:space="preserve">Incluso, en ambos es posible el ejercicio de poderes exorbitantes, siempre que estén relacionados con alguna de las tipologías previstas en el artículo 14, numeral 2, de la Ley 80 de 1993. Esta precisión es importante, porque –en los términos del artículo 1495 del Código Civil– los </w:t>
      </w:r>
      <w:r w:rsidRPr="5EC9823D">
        <w:rPr>
          <w:rFonts w:ascii="Verdana" w:eastAsia="Calibri" w:hAnsi="Verdana" w:cs="Arial"/>
          <w:i/>
          <w:lang w:val="es-ES"/>
        </w:rPr>
        <w:t xml:space="preserve">contratos del artículo 355 de la Constitución </w:t>
      </w:r>
      <w:r w:rsidRPr="5EC9823D">
        <w:rPr>
          <w:rFonts w:ascii="Verdana" w:eastAsia="Calibri" w:hAnsi="Verdana" w:cs="Arial"/>
          <w:lang w:val="es-ES"/>
        </w:rPr>
        <w:t xml:space="preserve">o los </w:t>
      </w:r>
      <w:r w:rsidRPr="5EC9823D">
        <w:rPr>
          <w:rFonts w:ascii="Verdana" w:eastAsia="Calibri" w:hAnsi="Verdana" w:cs="Arial"/>
          <w:i/>
          <w:lang w:val="es-ES"/>
        </w:rPr>
        <w:t>convenios de asociación</w:t>
      </w:r>
      <w:r w:rsidRPr="5EC9823D">
        <w:rPr>
          <w:rFonts w:ascii="Verdana" w:eastAsia="Calibri" w:hAnsi="Verdana" w:cs="Arial"/>
          <w:lang w:val="es-ES"/>
        </w:rPr>
        <w:t xml:space="preserve"> no son tipologías contractuales, sino acuerdos de voluntades para producir obligaciones. Si bien el Decreto 092 de 2017 define los sujetos y la causa del contrato, la tipología contractual se establece en función del objeto como uno de los elementos de la esencia del negocio jurídico, pues sin él no existe o degenera en otro</w:t>
      </w:r>
      <w:r w:rsidRPr="5EC9823D">
        <w:rPr>
          <w:rStyle w:val="Refdenotaalpie"/>
          <w:rFonts w:ascii="Verdana" w:eastAsia="Calibri" w:hAnsi="Verdana" w:cs="Arial"/>
          <w:lang w:val="es-ES"/>
        </w:rPr>
        <w:footnoteReference w:id="9"/>
      </w:r>
      <w:r w:rsidRPr="5EC9823D">
        <w:rPr>
          <w:rFonts w:ascii="Verdana" w:eastAsia="Calibri" w:hAnsi="Verdana" w:cs="Arial"/>
          <w:lang w:val="es-ES"/>
        </w:rPr>
        <w:t>.</w:t>
      </w:r>
    </w:p>
    <w:p w14:paraId="6E616400" w14:textId="77777777" w:rsidR="002F3469" w:rsidRDefault="002F3469" w:rsidP="002F3469">
      <w:pPr>
        <w:spacing w:after="0" w:line="276" w:lineRule="auto"/>
        <w:ind w:firstLine="708"/>
        <w:jc w:val="both"/>
        <w:rPr>
          <w:rFonts w:ascii="Verdana" w:eastAsia="Calibri" w:hAnsi="Verdana" w:cs="Arial"/>
          <w:lang w:val="es-ES_tradnl"/>
        </w:rPr>
      </w:pPr>
    </w:p>
    <w:p w14:paraId="29463808" w14:textId="77777777" w:rsidR="002F3469" w:rsidRPr="00DA1FE4" w:rsidRDefault="002F3469" w:rsidP="002F3469">
      <w:pPr>
        <w:spacing w:after="120" w:line="276" w:lineRule="auto"/>
        <w:jc w:val="both"/>
        <w:rPr>
          <w:rFonts w:ascii="Verdana" w:eastAsia="Calibri" w:hAnsi="Verdana" w:cs="Arial"/>
          <w:shd w:val="clear" w:color="auto" w:fill="FFFFFF"/>
          <w:lang w:val="es-ES"/>
        </w:rPr>
      </w:pPr>
      <w:proofErr w:type="spellStart"/>
      <w:r>
        <w:rPr>
          <w:rFonts w:ascii="Verdana" w:eastAsia="Calibri" w:hAnsi="Verdana" w:cs="Arial"/>
          <w:lang w:val="es-ES_tradnl"/>
        </w:rPr>
        <w:t>iii</w:t>
      </w:r>
      <w:proofErr w:type="spellEnd"/>
      <w:r>
        <w:rPr>
          <w:rFonts w:ascii="Verdana" w:eastAsia="Calibri" w:hAnsi="Verdana" w:cs="Arial"/>
          <w:lang w:val="es-ES_tradnl"/>
        </w:rPr>
        <w:t xml:space="preserve">. </w:t>
      </w:r>
      <w:r w:rsidRPr="00DA1FE4">
        <w:rPr>
          <w:rFonts w:ascii="Verdana" w:eastAsia="Calibri" w:hAnsi="Verdana" w:cs="Arial"/>
          <w:shd w:val="clear" w:color="auto" w:fill="FFFFFF"/>
          <w:lang w:val="es-ES"/>
        </w:rPr>
        <w:t xml:space="preserve">El </w:t>
      </w:r>
      <w:r w:rsidRPr="00DA1FE4">
        <w:rPr>
          <w:rFonts w:ascii="Verdana" w:eastAsia="Calibri" w:hAnsi="Verdana" w:cs="Arial"/>
          <w:i/>
          <w:iCs/>
          <w:shd w:val="clear" w:color="auto" w:fill="FFFFFF"/>
          <w:lang w:val="es-ES"/>
        </w:rPr>
        <w:t>acto de adjudicación</w:t>
      </w:r>
      <w:r w:rsidRPr="00DA1FE4">
        <w:rPr>
          <w:rFonts w:ascii="Verdana" w:eastAsia="Calibri" w:hAnsi="Verdana" w:cs="Arial"/>
          <w:shd w:val="clear" w:color="auto" w:fill="FFFFFF"/>
          <w:lang w:val="es-ES"/>
        </w:rPr>
        <w:t xml:space="preserve"> es la actuación final de la fase del procedimiento de selección, en la cual se manifiesta la voluntad de la Administración de realizar la contratación con uno o varios oferentes determinados. El acto de adjudicación es una de las formalidades más importantes para la configuración del contrato estatal, en la medida que es a partir de ella que se origina la obligación para las partes de celebrar el contrato objeto del procedimiento de selección</w:t>
      </w:r>
      <w:r w:rsidRPr="00DA1FE4">
        <w:rPr>
          <w:rStyle w:val="Refdenotaalpie"/>
          <w:rFonts w:ascii="Verdana" w:eastAsia="Calibri" w:hAnsi="Verdana" w:cs="Arial"/>
          <w:shd w:val="clear" w:color="auto" w:fill="FFFFFF"/>
          <w:lang w:val="es-ES"/>
        </w:rPr>
        <w:footnoteReference w:id="10"/>
      </w:r>
      <w:r w:rsidRPr="00DA1FE4">
        <w:rPr>
          <w:rFonts w:ascii="Verdana" w:eastAsia="Calibri" w:hAnsi="Verdana" w:cs="Arial"/>
          <w:shd w:val="clear" w:color="auto" w:fill="FFFFFF"/>
          <w:lang w:val="es-ES"/>
        </w:rPr>
        <w:t xml:space="preserve">. Así lo ha anotado la doctrina al señalar que </w:t>
      </w:r>
      <w:r w:rsidRPr="00EB5EE4">
        <w:rPr>
          <w:rFonts w:ascii="Verdana" w:eastAsia="Calibri" w:hAnsi="Verdana" w:cs="Arial"/>
          <w:shd w:val="clear" w:color="auto" w:fill="FFFFFF"/>
          <w:lang w:val="es-ES"/>
        </w:rPr>
        <w:t>“con la adjudicación del contrato surge una relación jurídica de la cual se deriva el compromiso para las partes de observar las formalidades propias del perfeccionamiento del contrato”</w:t>
      </w:r>
      <w:r w:rsidRPr="00EB5EE4">
        <w:rPr>
          <w:rStyle w:val="Refdenotaalpie"/>
          <w:rFonts w:ascii="Verdana" w:eastAsia="Calibri" w:hAnsi="Verdana" w:cs="Arial"/>
          <w:shd w:val="clear" w:color="auto" w:fill="FFFFFF"/>
          <w:lang w:val="es-ES"/>
        </w:rPr>
        <w:footnoteReference w:id="11"/>
      </w:r>
      <w:r w:rsidRPr="00EB5EE4">
        <w:rPr>
          <w:rFonts w:ascii="Verdana" w:eastAsia="Calibri" w:hAnsi="Verdana" w:cs="Arial"/>
          <w:shd w:val="clear" w:color="auto" w:fill="FFFFFF"/>
          <w:lang w:val="es-ES"/>
        </w:rPr>
        <w:t>.</w:t>
      </w:r>
      <w:r w:rsidRPr="00DA1FE4">
        <w:rPr>
          <w:rFonts w:ascii="Verdana" w:eastAsia="Calibri" w:hAnsi="Verdana" w:cs="Arial"/>
          <w:shd w:val="clear" w:color="auto" w:fill="FFFFFF"/>
          <w:lang w:val="es-ES"/>
        </w:rPr>
        <w:t xml:space="preserve"> </w:t>
      </w:r>
    </w:p>
    <w:p w14:paraId="05E05145" w14:textId="77777777" w:rsidR="002F3469" w:rsidRPr="00DA1FE4" w:rsidRDefault="002F3469" w:rsidP="002F3469">
      <w:pPr>
        <w:spacing w:after="120" w:line="276" w:lineRule="auto"/>
        <w:ind w:firstLine="709"/>
        <w:jc w:val="both"/>
        <w:rPr>
          <w:rFonts w:ascii="Verdana" w:eastAsia="Arial MT" w:hAnsi="Verdana" w:cs="Arial"/>
          <w:lang w:eastAsia="es-ES" w:bidi="es-ES"/>
        </w:rPr>
      </w:pPr>
      <w:r w:rsidRPr="00DA1FE4">
        <w:rPr>
          <w:rFonts w:ascii="Verdana" w:eastAsia="Calibri" w:hAnsi="Verdana" w:cs="Arial"/>
          <w:shd w:val="clear" w:color="auto" w:fill="FFFFFF"/>
          <w:lang w:val="es-ES"/>
        </w:rPr>
        <w:t xml:space="preserve">Por su parte, la Sala de Consulta y Servicio Civil del Consejo de Estado ha señalado que </w:t>
      </w:r>
      <w:r w:rsidRPr="00E45581">
        <w:rPr>
          <w:rFonts w:ascii="Verdana" w:eastAsia="Calibri" w:hAnsi="Verdana" w:cs="Arial"/>
          <w:shd w:val="clear" w:color="auto" w:fill="FFFFFF"/>
          <w:lang w:val="es-ES"/>
        </w:rPr>
        <w:t xml:space="preserve">“la adjudicación del contrato estatal ha sido entendida jurisprudencial y doctrinalmente como el acto (administrativo) mediante el cual una entidad pública manifiesta su aceptación a la propuesta u oferta presentada por alguno de los participantes en un proceso de selección, y se obliga a suscribir </w:t>
      </w:r>
      <w:r w:rsidRPr="00E45581">
        <w:rPr>
          <w:rFonts w:ascii="Verdana" w:eastAsia="Calibri" w:hAnsi="Verdana" w:cs="Arial"/>
          <w:shd w:val="clear" w:color="auto" w:fill="FFFFFF"/>
          <w:lang w:val="es-ES"/>
        </w:rPr>
        <w:lastRenderedPageBreak/>
        <w:t>con este el contrato proyectado”</w:t>
      </w:r>
      <w:r w:rsidRPr="00E45581">
        <w:rPr>
          <w:rStyle w:val="Refdenotaalpie"/>
          <w:rFonts w:ascii="Verdana" w:eastAsia="Calibri" w:hAnsi="Verdana" w:cs="Arial"/>
          <w:shd w:val="clear" w:color="auto" w:fill="FFFFFF"/>
          <w:lang w:val="es-ES"/>
        </w:rPr>
        <w:footnoteReference w:id="12"/>
      </w:r>
      <w:r w:rsidRPr="00E45581">
        <w:rPr>
          <w:rFonts w:ascii="Verdana" w:eastAsia="Calibri" w:hAnsi="Verdana" w:cs="Arial"/>
          <w:shd w:val="clear" w:color="auto" w:fill="FFFFFF"/>
          <w:lang w:val="es-ES"/>
        </w:rPr>
        <w:t>.</w:t>
      </w:r>
      <w:r w:rsidRPr="00DA1FE4">
        <w:rPr>
          <w:rFonts w:ascii="Verdana" w:eastAsia="Calibri" w:hAnsi="Verdana" w:cs="Arial"/>
          <w:shd w:val="clear" w:color="auto" w:fill="FFFFFF"/>
          <w:lang w:val="es-ES"/>
        </w:rPr>
        <w:t xml:space="preserve"> </w:t>
      </w:r>
      <w:r w:rsidRPr="00DA1FE4">
        <w:rPr>
          <w:rFonts w:ascii="Verdana" w:eastAsia="Arial MT" w:hAnsi="Verdana" w:cs="Arial"/>
          <w:lang w:val="es-ES" w:eastAsia="es-ES" w:bidi="es-ES"/>
        </w:rPr>
        <w:t>La referida Corporación ha señalado que</w:t>
      </w:r>
      <w:r w:rsidRPr="00DA1FE4">
        <w:rPr>
          <w:rFonts w:ascii="Verdana" w:eastAsia="Arial MT" w:hAnsi="Verdana" w:cs="Arial"/>
          <w:lang w:eastAsia="es-ES" w:bidi="es-ES"/>
        </w:rPr>
        <w:t xml:space="preserve"> la adjudicación del contrato estatal se asemeja a la aceptación de la oferta de los contratos privados, con la diferencia de que aquellos, en virtud de los principios de la autonomía de la voluntad y de la consensualidad, la sola aceptación oportuna perfecciona el contrato suscrito, como regla general, salvo que el contrato privado haga parte de los denominados solemnes y reales, y es fuente de derechos y obligaciones que se hubiesen pactado derivado del mismo. </w:t>
      </w:r>
    </w:p>
    <w:p w14:paraId="099A66B0" w14:textId="77777777" w:rsidR="002F3469" w:rsidRPr="00DA1FE4" w:rsidRDefault="002F3469" w:rsidP="002F3469">
      <w:pPr>
        <w:spacing w:after="120" w:line="276" w:lineRule="auto"/>
        <w:ind w:firstLine="709"/>
        <w:jc w:val="both"/>
        <w:rPr>
          <w:rFonts w:ascii="Verdana" w:eastAsia="Arial MT" w:hAnsi="Verdana" w:cs="Arial"/>
          <w:lang w:eastAsia="es-ES" w:bidi="es-ES"/>
        </w:rPr>
      </w:pPr>
      <w:r w:rsidRPr="00DA1FE4">
        <w:rPr>
          <w:rFonts w:ascii="Verdana" w:eastAsia="Arial MT" w:hAnsi="Verdana" w:cs="Arial"/>
          <w:lang w:eastAsia="es-ES" w:bidi="es-ES"/>
        </w:rPr>
        <w:t>Lo anterior, a diferencia de los contratos estatales, dado que, en virtud del artículo 41 de la Ley 80 de 1993, su carácter es solemne, por cuanto no se perfeccionan con la notificación del acto de adjudicación, de manera que su perfeccionamiento solo se da en la medida en que las partes suscriban el documento que contiene las respectivas cláusulas o estipulaciones, con algunas pocas excepciones</w:t>
      </w:r>
      <w:r w:rsidRPr="00DA1FE4">
        <w:rPr>
          <w:rStyle w:val="Refdenotaalpie"/>
          <w:rFonts w:ascii="Verdana" w:eastAsia="Arial MT" w:hAnsi="Verdana" w:cs="Arial"/>
          <w:lang w:eastAsia="es-ES" w:bidi="es-ES"/>
        </w:rPr>
        <w:footnoteReference w:id="13"/>
      </w:r>
      <w:r w:rsidRPr="00DA1FE4">
        <w:rPr>
          <w:rFonts w:ascii="Verdana" w:eastAsia="Arial MT" w:hAnsi="Verdana" w:cs="Arial"/>
          <w:lang w:eastAsia="es-ES" w:bidi="es-ES"/>
        </w:rPr>
        <w:t>. Esto resulta importante porque el acto de adjudicación no produce en sí mismo las obligaciones y derechos que se desprenden del contrato, pero sí da origen a otras obligaciones y derechos que son recíprocos entre las partes, como por ejemplo, el derecho a suscribir el contrato proyectado, en el plazo acordado y con las previsiones estipuladas en tal documento, en sus modificaciones, adendas, anexos y en la misma propuesta que fue aceptada, siempre que aquella no contradiga el contenido de los documentos del proceso.</w:t>
      </w:r>
    </w:p>
    <w:p w14:paraId="03621E45" w14:textId="77777777" w:rsidR="002F3469" w:rsidRPr="00DA1FE4" w:rsidRDefault="002F3469" w:rsidP="002F3469">
      <w:pPr>
        <w:spacing w:after="120" w:line="276" w:lineRule="auto"/>
        <w:jc w:val="both"/>
        <w:rPr>
          <w:rFonts w:ascii="Verdana" w:eastAsia="Arial MT" w:hAnsi="Verdana" w:cs="Arial"/>
          <w:lang w:eastAsia="es-ES" w:bidi="es-ES"/>
        </w:rPr>
      </w:pPr>
      <w:r w:rsidRPr="00DA1FE4">
        <w:rPr>
          <w:rFonts w:ascii="Verdana" w:eastAsia="Arial MT" w:hAnsi="Verdana" w:cs="Arial"/>
          <w:lang w:eastAsia="es-ES" w:bidi="es-ES"/>
        </w:rPr>
        <w:tab/>
        <w:t xml:space="preserve">Adicionalmente, tanto la jurisprudencia del Consejo de Estado como la doctrina han distinguido tres (3) características del acto de adjudicación del contrato estatal, que pueden sintetizarse así: i) es un acto administrativo de carácter definitivo y de alcance particular; </w:t>
      </w:r>
      <w:proofErr w:type="spellStart"/>
      <w:r w:rsidRPr="00DA1FE4">
        <w:rPr>
          <w:rFonts w:ascii="Verdana" w:eastAsia="Arial MT" w:hAnsi="Verdana" w:cs="Arial"/>
          <w:lang w:eastAsia="es-ES" w:bidi="es-ES"/>
        </w:rPr>
        <w:t>ii</w:t>
      </w:r>
      <w:proofErr w:type="spellEnd"/>
      <w:r w:rsidRPr="00DA1FE4">
        <w:rPr>
          <w:rFonts w:ascii="Verdana" w:eastAsia="Arial MT" w:hAnsi="Verdana" w:cs="Arial"/>
          <w:lang w:eastAsia="es-ES" w:bidi="es-ES"/>
        </w:rPr>
        <w:t xml:space="preserve">) es irrevocable, por regla general, y </w:t>
      </w:r>
      <w:proofErr w:type="spellStart"/>
      <w:r w:rsidRPr="00DA1FE4">
        <w:rPr>
          <w:rFonts w:ascii="Verdana" w:eastAsia="Arial MT" w:hAnsi="Verdana" w:cs="Arial"/>
          <w:lang w:eastAsia="es-ES" w:bidi="es-ES"/>
        </w:rPr>
        <w:t>iii</w:t>
      </w:r>
      <w:proofErr w:type="spellEnd"/>
      <w:r w:rsidRPr="00DA1FE4">
        <w:rPr>
          <w:rFonts w:ascii="Verdana" w:eastAsia="Arial MT" w:hAnsi="Verdana" w:cs="Arial"/>
          <w:lang w:eastAsia="es-ES" w:bidi="es-ES"/>
        </w:rPr>
        <w:t>) es obligatorio, tanto para la entidad contratante como para el adjudicatario.</w:t>
      </w:r>
    </w:p>
    <w:p w14:paraId="662FF69C" w14:textId="77777777" w:rsidR="002F3469" w:rsidRPr="00DA1FE4" w:rsidRDefault="002F3469" w:rsidP="002F3469">
      <w:pPr>
        <w:spacing w:after="120" w:line="276" w:lineRule="auto"/>
        <w:jc w:val="both"/>
        <w:rPr>
          <w:rFonts w:ascii="Verdana" w:eastAsia="Arial MT" w:hAnsi="Verdana" w:cs="Arial"/>
          <w:lang w:eastAsia="es-ES" w:bidi="es-ES"/>
        </w:rPr>
      </w:pPr>
      <w:r w:rsidRPr="00DA1FE4">
        <w:rPr>
          <w:rFonts w:ascii="Verdana" w:eastAsia="Arial MT" w:hAnsi="Verdana" w:cs="Arial"/>
          <w:lang w:eastAsia="es-ES" w:bidi="es-ES"/>
        </w:rPr>
        <w:tab/>
        <w:t xml:space="preserve">De lo anterior se coligen varios elementos: i) al ser un acto administrativo, aquel debe ser motivado en forma razonada y suficiente y debe producirse con las formalidades propias de los actos jurídicos; </w:t>
      </w:r>
      <w:proofErr w:type="spellStart"/>
      <w:r w:rsidRPr="00DA1FE4">
        <w:rPr>
          <w:rFonts w:ascii="Verdana" w:eastAsia="Arial MT" w:hAnsi="Verdana" w:cs="Arial"/>
          <w:lang w:eastAsia="es-ES" w:bidi="es-ES"/>
        </w:rPr>
        <w:t>ii</w:t>
      </w:r>
      <w:proofErr w:type="spellEnd"/>
      <w:r w:rsidRPr="00DA1FE4">
        <w:rPr>
          <w:rFonts w:ascii="Verdana" w:eastAsia="Arial MT" w:hAnsi="Verdana" w:cs="Arial"/>
          <w:lang w:eastAsia="es-ES" w:bidi="es-ES"/>
        </w:rPr>
        <w:t xml:space="preserve">) al ser un acto administrativo de carácter definitivo, significa esto que termina el proceso de selección con su producción y se decide de manera definitiva sobre la futura celebración del </w:t>
      </w:r>
      <w:r w:rsidRPr="00DA1FE4">
        <w:rPr>
          <w:rFonts w:ascii="Verdana" w:eastAsia="Arial MT" w:hAnsi="Verdana" w:cs="Arial"/>
          <w:lang w:eastAsia="es-ES" w:bidi="es-ES"/>
        </w:rPr>
        <w:lastRenderedPageBreak/>
        <w:t xml:space="preserve">contrato estatal y, </w:t>
      </w:r>
      <w:proofErr w:type="spellStart"/>
      <w:r w:rsidRPr="00DA1FE4">
        <w:rPr>
          <w:rFonts w:ascii="Verdana" w:eastAsia="Arial MT" w:hAnsi="Verdana" w:cs="Arial"/>
          <w:lang w:eastAsia="es-ES" w:bidi="es-ES"/>
        </w:rPr>
        <w:t>iii</w:t>
      </w:r>
      <w:proofErr w:type="spellEnd"/>
      <w:r w:rsidRPr="00DA1FE4">
        <w:rPr>
          <w:rFonts w:ascii="Verdana" w:eastAsia="Arial MT" w:hAnsi="Verdana" w:cs="Arial"/>
          <w:lang w:eastAsia="es-ES" w:bidi="es-ES"/>
        </w:rPr>
        <w:t>) al ser un acto administrativo de alcance particular, la administración está obligada a notificarlo al adjudicatario y comunicarlo a los demás oferentes.</w:t>
      </w:r>
    </w:p>
    <w:p w14:paraId="5914ABB1" w14:textId="77777777" w:rsidR="002F3469" w:rsidRDefault="002F3469" w:rsidP="002F3469">
      <w:pPr>
        <w:spacing w:after="120" w:line="276" w:lineRule="auto"/>
        <w:ind w:firstLine="709"/>
        <w:jc w:val="both"/>
        <w:rPr>
          <w:rFonts w:ascii="Verdana" w:eastAsia="Calibri" w:hAnsi="Verdana" w:cs="Arial"/>
          <w:shd w:val="clear" w:color="auto" w:fill="FFFFFF"/>
          <w:lang w:val="es-ES"/>
        </w:rPr>
      </w:pPr>
      <w:r w:rsidRPr="00DA1FE4">
        <w:rPr>
          <w:rFonts w:ascii="Verdana" w:eastAsia="Calibri" w:hAnsi="Verdana" w:cs="Arial"/>
          <w:shd w:val="clear" w:color="auto" w:fill="FFFFFF"/>
          <w:lang w:val="es-ES"/>
        </w:rPr>
        <w:t>Conforme a lo expuesto, la adjudicación es una de las formalidades principales dentro del recorrido de formación del contrato del Estado, ya que su existencia genera de manera inmediata una relación jurídica que compromete a las partes a celebrar el respectivo contrato. Esto es, firmar un documento en el que conste el acuerdo sobre el objeto y la contraprestación, así como las respectivas previsiones para el correcto desarrollo del objeto contractual</w:t>
      </w:r>
      <w:r w:rsidRPr="00DA1FE4">
        <w:rPr>
          <w:rStyle w:val="Refdenotaalpie"/>
          <w:rFonts w:ascii="Verdana" w:eastAsia="Calibri" w:hAnsi="Verdana" w:cs="Arial"/>
          <w:shd w:val="clear" w:color="auto" w:fill="FFFFFF"/>
          <w:lang w:val="es-ES"/>
        </w:rPr>
        <w:footnoteReference w:id="14"/>
      </w:r>
      <w:r w:rsidRPr="00DA1FE4">
        <w:rPr>
          <w:rFonts w:ascii="Verdana" w:eastAsia="Calibri" w:hAnsi="Verdana" w:cs="Arial"/>
          <w:shd w:val="clear" w:color="auto" w:fill="FFFFFF"/>
          <w:lang w:val="es-ES"/>
        </w:rPr>
        <w:t xml:space="preserve">. Así se desprende del artículo 9° de la Ley 1150 de 2007 cuando expresa que </w:t>
      </w:r>
      <w:r w:rsidRPr="00DA1FE4">
        <w:rPr>
          <w:rFonts w:ascii="Verdana" w:eastAsia="Calibri" w:hAnsi="Verdana" w:cs="Arial"/>
          <w:i/>
          <w:iCs/>
          <w:shd w:val="clear" w:color="auto" w:fill="FFFFFF"/>
          <w:lang w:val="es-ES"/>
        </w:rPr>
        <w:t>“</w:t>
      </w:r>
      <w:r>
        <w:rPr>
          <w:rFonts w:ascii="Verdana" w:eastAsia="Calibri" w:hAnsi="Verdana" w:cs="Arial"/>
          <w:shd w:val="clear" w:color="auto" w:fill="FFFFFF"/>
          <w:lang w:val="es-ES"/>
        </w:rPr>
        <w:t>E</w:t>
      </w:r>
      <w:r w:rsidRPr="00E45581">
        <w:rPr>
          <w:rFonts w:ascii="Verdana" w:eastAsia="Calibri" w:hAnsi="Verdana" w:cs="Arial"/>
          <w:shd w:val="clear" w:color="auto" w:fill="FFFFFF"/>
          <w:lang w:val="es-ES"/>
        </w:rPr>
        <w:t>l acto de adjudicación es irrevocable y obliga a la entidad y al adjudicatario</w:t>
      </w:r>
      <w:r>
        <w:rPr>
          <w:rFonts w:ascii="Verdana" w:eastAsia="Calibri" w:hAnsi="Verdana" w:cs="Arial"/>
          <w:shd w:val="clear" w:color="auto" w:fill="FFFFFF"/>
          <w:lang w:val="es-ES"/>
        </w:rPr>
        <w:t xml:space="preserve"> […]</w:t>
      </w:r>
      <w:r w:rsidRPr="00E45581">
        <w:rPr>
          <w:rFonts w:ascii="Verdana" w:eastAsia="Calibri" w:hAnsi="Verdana" w:cs="Arial"/>
          <w:shd w:val="clear" w:color="auto" w:fill="FFFFFF"/>
          <w:lang w:val="es-ES"/>
        </w:rPr>
        <w:t>”.</w:t>
      </w:r>
      <w:r w:rsidRPr="00DA1FE4">
        <w:rPr>
          <w:rFonts w:ascii="Verdana" w:eastAsia="Calibri" w:hAnsi="Verdana" w:cs="Arial"/>
          <w:shd w:val="clear" w:color="auto" w:fill="FFFFFF"/>
          <w:lang w:val="es-ES"/>
        </w:rPr>
        <w:t xml:space="preserve"> Se concluye entonces que, es una obligación reciproca, esto es, oponible tanto a la Administración como al adjudicatario.</w:t>
      </w:r>
    </w:p>
    <w:p w14:paraId="090B8A28" w14:textId="77777777" w:rsidR="002F3469" w:rsidRDefault="002F3469" w:rsidP="002F3469">
      <w:pPr>
        <w:spacing w:after="120" w:line="276" w:lineRule="auto"/>
        <w:ind w:firstLine="709"/>
        <w:jc w:val="both"/>
        <w:rPr>
          <w:rFonts w:ascii="Verdana" w:eastAsia="Calibri" w:hAnsi="Verdana" w:cs="Arial"/>
          <w:shd w:val="clear" w:color="auto" w:fill="FFFFFF"/>
          <w:lang w:val="es-ES"/>
        </w:rPr>
      </w:pPr>
      <w:r>
        <w:rPr>
          <w:rFonts w:ascii="Verdana" w:eastAsia="Calibri" w:hAnsi="Verdana" w:cs="Arial"/>
          <w:shd w:val="clear" w:color="auto" w:fill="FFFFFF"/>
          <w:lang w:val="es-ES"/>
        </w:rPr>
        <w:t xml:space="preserve">Esta obligatoriedad del acto de adjudicación se traslada </w:t>
      </w:r>
      <w:r w:rsidRPr="008A7E63">
        <w:rPr>
          <w:rFonts w:ascii="Verdana" w:eastAsia="Calibri" w:hAnsi="Verdana" w:cs="Arial"/>
          <w:i/>
          <w:iCs/>
          <w:shd w:val="clear" w:color="auto" w:fill="FFFFFF"/>
          <w:lang w:val="es-ES"/>
        </w:rPr>
        <w:t>mutatis mutandis</w:t>
      </w:r>
      <w:r>
        <w:rPr>
          <w:rFonts w:ascii="Verdana" w:eastAsia="Calibri" w:hAnsi="Verdana" w:cs="Arial"/>
          <w:shd w:val="clear" w:color="auto" w:fill="FFFFFF"/>
          <w:lang w:val="es-ES"/>
        </w:rPr>
        <w:t xml:space="preserve"> a los negocios jurídicos del Decreto 092 de 2017, pues –como se explicó </w:t>
      </w:r>
      <w:r w:rsidRPr="008A7E63">
        <w:rPr>
          <w:rFonts w:ascii="Verdana" w:eastAsia="Calibri" w:hAnsi="Verdana" w:cs="Arial"/>
          <w:i/>
          <w:iCs/>
          <w:shd w:val="clear" w:color="auto" w:fill="FFFFFF"/>
          <w:lang w:val="es-ES"/>
        </w:rPr>
        <w:t>ut supra</w:t>
      </w:r>
      <w:r>
        <w:rPr>
          <w:rFonts w:ascii="Verdana" w:eastAsia="Calibri" w:hAnsi="Verdana" w:cs="Arial"/>
          <w:shd w:val="clear" w:color="auto" w:fill="FFFFFF"/>
          <w:lang w:val="es-ES"/>
        </w:rPr>
        <w:t xml:space="preserve">, salvo lo expresamente regulado en el reglamento autónomo– existe una remisión integra las normas generales de contratación estatal. Por tanto, la adjudicación obliga al perfeccionamiento del contrato o convenio, salvo que se presente alguna causal de revocatoria directa, la cual se concreta cuando “[…] </w:t>
      </w:r>
      <w:r w:rsidRPr="009C2B13">
        <w:rPr>
          <w:rFonts w:ascii="Verdana" w:eastAsia="Calibri" w:hAnsi="Verdana" w:cs="Arial"/>
          <w:shd w:val="clear" w:color="auto" w:fill="FFFFFF"/>
          <w:lang w:val="es-ES"/>
        </w:rPr>
        <w:t xml:space="preserve">dentro del plazo comprendido entre la adjudicación del contrato y la suscripción </w:t>
      </w:r>
      <w:proofErr w:type="gramStart"/>
      <w:r w:rsidRPr="009C2B13">
        <w:rPr>
          <w:rFonts w:ascii="Verdana" w:eastAsia="Calibri" w:hAnsi="Verdana" w:cs="Arial"/>
          <w:shd w:val="clear" w:color="auto" w:fill="FFFFFF"/>
          <w:lang w:val="es-ES"/>
        </w:rPr>
        <w:t>del mismo</w:t>
      </w:r>
      <w:proofErr w:type="gramEnd"/>
      <w:r w:rsidRPr="009C2B13">
        <w:rPr>
          <w:rFonts w:ascii="Verdana" w:eastAsia="Calibri" w:hAnsi="Verdana" w:cs="Arial"/>
          <w:shd w:val="clear" w:color="auto" w:fill="FFFFFF"/>
          <w:lang w:val="es-ES"/>
        </w:rPr>
        <w:t>, sobreviene una inhabilidad o incompatibilidad o si se demuestra que el acto se obtuvo por medios ilegales</w:t>
      </w:r>
      <w:r>
        <w:rPr>
          <w:rFonts w:ascii="Verdana" w:eastAsia="Calibri" w:hAnsi="Verdana" w:cs="Arial"/>
          <w:shd w:val="clear" w:color="auto" w:fill="FFFFFF"/>
          <w:lang w:val="es-ES"/>
        </w:rPr>
        <w:t xml:space="preserve"> […]”.</w:t>
      </w:r>
    </w:p>
    <w:p w14:paraId="1ABFE6BE" w14:textId="77777777" w:rsidR="002F3469" w:rsidRDefault="002F3469" w:rsidP="002F3469">
      <w:pPr>
        <w:spacing w:after="120" w:line="276" w:lineRule="auto"/>
        <w:ind w:firstLine="709"/>
        <w:jc w:val="both"/>
        <w:rPr>
          <w:rFonts w:ascii="Verdana" w:eastAsia="Calibri" w:hAnsi="Verdana" w:cs="Arial"/>
          <w:shd w:val="clear" w:color="auto" w:fill="FFFFFF"/>
          <w:lang w:val="es-ES"/>
        </w:rPr>
      </w:pPr>
      <w:r>
        <w:rPr>
          <w:rFonts w:ascii="Verdana" w:eastAsia="Calibri" w:hAnsi="Verdana" w:cs="Arial"/>
          <w:shd w:val="clear" w:color="auto" w:fill="FFFFFF"/>
          <w:lang w:val="es-ES"/>
        </w:rPr>
        <w:t xml:space="preserve">Como la adjudicación es obligatoria, ello presupone que antes de la expedición del acto administrativo hubo una verificación de los criterios habilitantes y una ponderación de los factores evaluables conforme a los requisitos establecidos previamente en los documentos del proceso. En este contexto, una vez adjudicado, el perfeccionamiento de los contratos del artículo 355 superior o los convenios del artículo 96 de la Ley 489 de 1998 –por remisión del Decreto 092 de 2017 en las condiciones explicadas </w:t>
      </w:r>
      <w:r w:rsidRPr="00C23B11">
        <w:rPr>
          <w:rFonts w:ascii="Verdana" w:eastAsia="Calibri" w:hAnsi="Verdana" w:cs="Arial"/>
          <w:i/>
          <w:iCs/>
          <w:shd w:val="clear" w:color="auto" w:fill="FFFFFF"/>
          <w:lang w:val="es-ES"/>
        </w:rPr>
        <w:t>ut supra</w:t>
      </w:r>
      <w:r>
        <w:rPr>
          <w:rFonts w:ascii="Verdana" w:eastAsia="Calibri" w:hAnsi="Verdana" w:cs="Arial"/>
          <w:shd w:val="clear" w:color="auto" w:fill="FFFFFF"/>
          <w:lang w:val="es-ES"/>
        </w:rPr>
        <w:t>– se rige por los incisos primero de los artículos 39 y 41 de la Ley 80 de 1993. De esta manera, “</w:t>
      </w:r>
      <w:r w:rsidRPr="00C23B11">
        <w:rPr>
          <w:rFonts w:ascii="Verdana" w:eastAsia="Calibri" w:hAnsi="Verdana" w:cs="Arial"/>
          <w:shd w:val="clear" w:color="auto" w:fill="FFFFFF"/>
          <w:lang w:val="es-ES"/>
        </w:rPr>
        <w:t xml:space="preserve">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w:t>
      </w:r>
      <w:r w:rsidRPr="00C23B11">
        <w:rPr>
          <w:rFonts w:ascii="Verdana" w:eastAsia="Calibri" w:hAnsi="Verdana" w:cs="Arial"/>
          <w:shd w:val="clear" w:color="auto" w:fill="FFFFFF"/>
          <w:lang w:val="es-ES"/>
        </w:rPr>
        <w:lastRenderedPageBreak/>
        <w:t>legales vigentes deban cumplir con dicha formalidad</w:t>
      </w:r>
      <w:r>
        <w:rPr>
          <w:rFonts w:ascii="Verdana" w:eastAsia="Calibri" w:hAnsi="Verdana" w:cs="Arial"/>
          <w:shd w:val="clear" w:color="auto" w:fill="FFFFFF"/>
          <w:lang w:val="es-ES"/>
        </w:rPr>
        <w:t>”, sumando a que “</w:t>
      </w:r>
      <w:r w:rsidRPr="00C23B11">
        <w:rPr>
          <w:rFonts w:ascii="Verdana" w:eastAsia="Calibri" w:hAnsi="Verdana" w:cs="Arial"/>
          <w:shd w:val="clear" w:color="auto" w:fill="FFFFFF"/>
          <w:lang w:val="es-ES"/>
        </w:rPr>
        <w:t>Los contratos del Estado se perfeccionan cuando se logre acuerdo sobre el objeto y la contraprestación y éste se eleve a escrito</w:t>
      </w:r>
      <w:r>
        <w:rPr>
          <w:rFonts w:ascii="Verdana" w:eastAsia="Calibri" w:hAnsi="Verdana" w:cs="Arial"/>
          <w:shd w:val="clear" w:color="auto" w:fill="FFFFFF"/>
          <w:lang w:val="es-ES"/>
        </w:rPr>
        <w:t>”</w:t>
      </w:r>
      <w:r w:rsidRPr="00C23B11">
        <w:rPr>
          <w:rFonts w:ascii="Verdana" w:eastAsia="Calibri" w:hAnsi="Verdana" w:cs="Arial"/>
          <w:shd w:val="clear" w:color="auto" w:fill="FFFFFF"/>
          <w:lang w:val="es-ES"/>
        </w:rPr>
        <w:t>.</w:t>
      </w:r>
      <w:r>
        <w:rPr>
          <w:rFonts w:ascii="Verdana" w:eastAsia="Calibri" w:hAnsi="Verdana" w:cs="Arial"/>
          <w:shd w:val="clear" w:color="auto" w:fill="FFFFFF"/>
          <w:lang w:val="es-ES"/>
        </w:rPr>
        <w:t xml:space="preserve"> </w:t>
      </w:r>
    </w:p>
    <w:p w14:paraId="4F03C211" w14:textId="77777777" w:rsidR="002F3469" w:rsidRDefault="002F3469" w:rsidP="002F3469">
      <w:pPr>
        <w:spacing w:after="0" w:line="276" w:lineRule="auto"/>
        <w:ind w:firstLine="709"/>
        <w:jc w:val="both"/>
        <w:rPr>
          <w:rFonts w:ascii="Verdana" w:eastAsia="Calibri" w:hAnsi="Verdana" w:cs="Arial"/>
          <w:shd w:val="clear" w:color="auto" w:fill="FFFFFF"/>
          <w:lang w:val="es-ES"/>
        </w:rPr>
      </w:pPr>
      <w:r>
        <w:rPr>
          <w:rFonts w:ascii="Verdana" w:eastAsia="Calibri" w:hAnsi="Verdana" w:cs="Arial"/>
          <w:shd w:val="clear" w:color="auto" w:fill="FFFFFF"/>
          <w:lang w:val="es-ES"/>
        </w:rPr>
        <w:t>Por tanto, entre la adjudicación y el perfeccionamiento del contrato, las normas generales de contratación pública no imponen la entrega de documentación adicional, la cual debió ser previamente verificada en la evaluación de la propuesta de acuerdo con los requisitos exigidos en el proceso de selección. Para estos efectos, conforme al artículo 25.2 del EGCAP, es necesario tener en cuenta que “</w:t>
      </w:r>
      <w:r w:rsidRPr="00C23B11">
        <w:rPr>
          <w:rFonts w:ascii="Verdana" w:eastAsia="Calibri" w:hAnsi="Verdana" w:cs="Arial"/>
          <w:shd w:val="clear" w:color="auto" w:fill="FFFFFF"/>
          <w:lang w:val="es-ES"/>
        </w:rPr>
        <w:t>Las normas de los procedimientos contractuales se interpretarán de tal manera que no den ocasión a seguir trámites distintos y adicionales a los expresamente previstos o que permitan valerse de los defectos de forma o de la inobservancia de requisitos para no decidir o proferir providencias inhibitorias</w:t>
      </w:r>
      <w:r>
        <w:rPr>
          <w:rFonts w:ascii="Verdana" w:eastAsia="Calibri" w:hAnsi="Verdana" w:cs="Arial"/>
          <w:shd w:val="clear" w:color="auto" w:fill="FFFFFF"/>
          <w:lang w:val="es-ES"/>
        </w:rPr>
        <w:t>”</w:t>
      </w:r>
      <w:r w:rsidRPr="00C23B11">
        <w:rPr>
          <w:rFonts w:ascii="Verdana" w:eastAsia="Calibri" w:hAnsi="Verdana" w:cs="Arial"/>
          <w:shd w:val="clear" w:color="auto" w:fill="FFFFFF"/>
          <w:lang w:val="es-ES"/>
        </w:rPr>
        <w:t>.</w:t>
      </w:r>
      <w:r>
        <w:rPr>
          <w:rFonts w:ascii="Verdana" w:eastAsia="Calibri" w:hAnsi="Verdana" w:cs="Arial"/>
          <w:shd w:val="clear" w:color="auto" w:fill="FFFFFF"/>
          <w:lang w:val="es-ES"/>
        </w:rPr>
        <w:t xml:space="preserve">  </w:t>
      </w:r>
    </w:p>
    <w:p w14:paraId="5E38E51C" w14:textId="77777777" w:rsidR="002F3469" w:rsidRPr="0007711A" w:rsidRDefault="002F3469" w:rsidP="002F3469">
      <w:pPr>
        <w:spacing w:after="0" w:line="276" w:lineRule="auto"/>
        <w:ind w:firstLine="709"/>
        <w:jc w:val="both"/>
        <w:rPr>
          <w:rFonts w:ascii="Verdana" w:eastAsia="Calibri" w:hAnsi="Verdana" w:cs="Arial"/>
          <w:shd w:val="clear" w:color="auto" w:fill="FFFFFF"/>
          <w:lang w:val="es-ES"/>
        </w:rPr>
      </w:pPr>
    </w:p>
    <w:p w14:paraId="47BA4255" w14:textId="77777777" w:rsidR="002F3469" w:rsidRDefault="002F3469" w:rsidP="002F3469">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iv</w:t>
      </w:r>
      <w:proofErr w:type="spellEnd"/>
      <w:r>
        <w:rPr>
          <w:rFonts w:ascii="Verdana" w:eastAsia="Calibri" w:hAnsi="Verdana" w:cs="Arial"/>
          <w:bCs/>
          <w:color w:val="000000" w:themeColor="text1"/>
        </w:rPr>
        <w:t xml:space="preserve">. </w:t>
      </w:r>
      <w:r w:rsidRPr="00E853DE">
        <w:rPr>
          <w:rFonts w:ascii="Verdana" w:eastAsia="Calibri" w:hAnsi="Verdana" w:cs="Arial"/>
          <w:bCs/>
          <w:color w:val="000000" w:themeColor="text1"/>
        </w:rPr>
        <w:t xml:space="preserve">Al margen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E853DE">
        <w:rPr>
          <w:rFonts w:ascii="Verdana" w:eastAsia="Calibri" w:hAnsi="Verdana" w:cs="Arial"/>
          <w:bCs/>
          <w:color w:val="000000" w:themeColor="text1"/>
        </w:rPr>
        <w:t>.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F8F8494" w14:textId="77777777" w:rsidR="002F3469" w:rsidRPr="00185EE9" w:rsidRDefault="002F3469" w:rsidP="002F3469">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4FDE0977" w14:textId="77777777" w:rsidR="002F3469" w:rsidRPr="00182C89" w:rsidRDefault="002F3469" w:rsidP="002F3469">
      <w:pPr>
        <w:tabs>
          <w:tab w:val="left" w:pos="709"/>
        </w:tabs>
        <w:spacing w:after="0" w:line="276" w:lineRule="auto"/>
        <w:jc w:val="both"/>
        <w:rPr>
          <w:rFonts w:ascii="Verdana" w:eastAsia="Calibri" w:hAnsi="Verdana" w:cs="Arial"/>
          <w:color w:val="000000" w:themeColor="text1"/>
        </w:rPr>
      </w:pPr>
    </w:p>
    <w:p w14:paraId="141E030F" w14:textId="77777777" w:rsidR="002F3469" w:rsidRPr="00593A5F" w:rsidRDefault="002F3469" w:rsidP="002F346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D411D">
        <w:rPr>
          <w:rFonts w:ascii="Verdana" w:eastAsia="Century Gothic" w:hAnsi="Verdana" w:cs="Century Gothic"/>
          <w:b/>
          <w:bCs/>
        </w:rPr>
        <w:t>Referencias normativas</w:t>
      </w:r>
      <w:r w:rsidRPr="00593A5F">
        <w:rPr>
          <w:rFonts w:ascii="Verdana" w:eastAsia="Century Gothic" w:hAnsi="Verdana" w:cs="Century Gothic"/>
          <w:b/>
          <w:bCs/>
        </w:rPr>
        <w:t>:</w:t>
      </w:r>
    </w:p>
    <w:p w14:paraId="5E680E58" w14:textId="77777777" w:rsidR="002F3469" w:rsidRPr="00593A5F" w:rsidRDefault="002F3469" w:rsidP="002F346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F3469" w:rsidRPr="002407CE" w14:paraId="6F184599" w14:textId="77777777" w:rsidTr="0020568A">
        <w:trPr>
          <w:trHeight w:val="870"/>
          <w:jc w:val="center"/>
        </w:trPr>
        <w:tc>
          <w:tcPr>
            <w:tcW w:w="8647" w:type="dxa"/>
          </w:tcPr>
          <w:p w14:paraId="58FB3323" w14:textId="77777777" w:rsidR="002F3469" w:rsidRPr="00B954AE" w:rsidRDefault="002F3469" w:rsidP="0020568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lastRenderedPageBreak/>
              <w:t>Constitución Política de 1991, artículos 150 y 355.</w:t>
            </w:r>
          </w:p>
          <w:p w14:paraId="37E5B881" w14:textId="77777777" w:rsidR="002F3469" w:rsidRPr="00B954AE" w:rsidRDefault="002F3469" w:rsidP="0020568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Ley 80 de 1993, artículos 3, 4, 5, 7, 8, 13, 14, </w:t>
            </w:r>
            <w:r w:rsidRPr="00B954AE">
              <w:rPr>
                <w:rFonts w:ascii="Verdana" w:hAnsi="Verdana" w:cs="Arial"/>
              </w:rPr>
              <w:t>23, 24, 25, 26</w:t>
            </w:r>
            <w:r>
              <w:rPr>
                <w:rFonts w:ascii="Verdana" w:hAnsi="Verdana" w:cs="Arial"/>
              </w:rPr>
              <w:t>, 32, 39, 40, 41, 44, 50 y 60.</w:t>
            </w:r>
          </w:p>
          <w:p w14:paraId="02E41132" w14:textId="77777777" w:rsidR="002F3469" w:rsidRPr="00B954AE" w:rsidRDefault="002F3469" w:rsidP="0020568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489 de 1998, artículo 96.</w:t>
            </w:r>
          </w:p>
          <w:p w14:paraId="027466F6" w14:textId="77777777" w:rsidR="002F3469" w:rsidRPr="005447E6" w:rsidRDefault="002F3469" w:rsidP="0020568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9 y 13.</w:t>
            </w:r>
          </w:p>
          <w:p w14:paraId="469E9CE6" w14:textId="77777777" w:rsidR="002F3469" w:rsidRPr="00B954AE" w:rsidRDefault="002F3469" w:rsidP="0020568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092 de 2017, artículos 2, 3, 5, 6, 7, 8, 9 y 10. </w:t>
            </w:r>
          </w:p>
          <w:p w14:paraId="4DF5F080" w14:textId="77777777" w:rsidR="002F3469" w:rsidRPr="00DA543F" w:rsidRDefault="002F3469" w:rsidP="0020568A">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rPr>
              <w:t>Código Civil, artículo 1495.</w:t>
            </w:r>
            <w:r w:rsidRPr="002407CE">
              <w:rPr>
                <w:rFonts w:ascii="Verdana" w:hAnsi="Verdana" w:cs="Arial"/>
              </w:rPr>
              <w:t xml:space="preserve">  </w:t>
            </w:r>
          </w:p>
        </w:tc>
      </w:tr>
    </w:tbl>
    <w:p w14:paraId="1132FC64" w14:textId="77777777" w:rsidR="002F3469" w:rsidRPr="002407CE" w:rsidRDefault="002F3469" w:rsidP="002F3469">
      <w:pPr>
        <w:widowControl w:val="0"/>
        <w:autoSpaceDE w:val="0"/>
        <w:autoSpaceDN w:val="0"/>
        <w:spacing w:after="0" w:line="276" w:lineRule="auto"/>
        <w:jc w:val="both"/>
        <w:rPr>
          <w:rFonts w:ascii="Verdana" w:hAnsi="Verdana" w:cs="Arial"/>
        </w:rPr>
      </w:pPr>
    </w:p>
    <w:p w14:paraId="6C093AE7" w14:textId="77777777" w:rsidR="002F3469" w:rsidRPr="00593A5F" w:rsidRDefault="002F3469" w:rsidP="002F346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925A10F" w14:textId="77777777" w:rsidR="002F3469" w:rsidRPr="00593A5F" w:rsidRDefault="002F3469" w:rsidP="002F3469">
      <w:pPr>
        <w:widowControl w:val="0"/>
        <w:autoSpaceDE w:val="0"/>
        <w:autoSpaceDN w:val="0"/>
        <w:spacing w:after="0" w:line="276" w:lineRule="auto"/>
        <w:jc w:val="both"/>
        <w:rPr>
          <w:rFonts w:ascii="Verdana" w:hAnsi="Verdana" w:cs="Arial"/>
        </w:rPr>
      </w:pPr>
    </w:p>
    <w:p w14:paraId="73A0A0ED" w14:textId="77777777" w:rsidR="002F3469" w:rsidRPr="00ED0098" w:rsidRDefault="002F3469" w:rsidP="002F3469">
      <w:pPr>
        <w:widowControl w:val="0"/>
        <w:autoSpaceDE w:val="0"/>
        <w:autoSpaceDN w:val="0"/>
        <w:spacing w:after="0" w:line="276" w:lineRule="auto"/>
        <w:jc w:val="both"/>
        <w:rPr>
          <w:rStyle w:val="normaltextrun"/>
          <w:rFonts w:ascii="Verdana" w:hAnsi="Verdana" w:cs="Arial"/>
          <w:shd w:val="clear" w:color="auto" w:fill="FFFFFF"/>
        </w:rPr>
      </w:pPr>
      <w:r w:rsidRPr="003775F4">
        <w:rPr>
          <w:rFonts w:ascii="Verdana" w:eastAsia="Calibri" w:hAnsi="Verdana" w:cs="Arial"/>
          <w:shd w:val="clear" w:color="auto" w:fill="FFFFFF"/>
        </w:rPr>
        <w:t>Esta Subdirección se ha pronunciado sobre el 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C-101 del 16 de marzo de 2020, C-228 del 17 de marzo de 2020, C-014 del 24 de marzo de 2020, C-215 de 31 de marzo de 2020, C-223 del 29 de abril de 2020, C-416 del 30 junio de 2020, C-447 del 27 de julio de 2020, C-513 del 30 de julio de 2020, C-483 del 06 de agosto de 2020, C-579 del 4 de septiembre de 2020, C-594 del 7 de septiembre de 2020, C-670 del 22 de noviembre de 2020, C-689 del 1 de diciembre de 2020, C-724 de 14 de diciembre de 2020, C-749 del 23 de diciembre de 2020, C-758 del 04 de enero de 2021, C-806 de 8 de febrero de 2021, C-364 de 26 de julio de 2021, C-379 de 20 de julio de 2021, C-537 del 27 de septiembre de 2021,  C-021 del 22 de febrero de 2022, C-236 del 27 de abril de 2022, C-273 del 6 de mayo de 2022, C-274 del 6 de mayo de 2022, C-291 del 18 de mayo de 2022, C-331 del 24 de mayo de 2022, C-477 del 26 de julio de 2022, C-550 del 31 de agosto de 2022, C-560 del 7 de septiembre de 2022, C-624 del 28 de septiembre de 2022, C-771 del 30 de diciembre de 2022, C-853 del 9 de diciembre de 2022, C-351 del 6 de octubre de 2023, C-054 del 24 de abril de 2024, C-064 del 24 de abril de 2024, C-080 del 7 de mayo de 2024, C-281 del 29 de octubre de 2024, C-937 del 9 de diciembre de 2024</w:t>
      </w:r>
      <w:r>
        <w:rPr>
          <w:rFonts w:ascii="Verdana" w:eastAsia="Calibri" w:hAnsi="Verdana" w:cs="Arial"/>
          <w:shd w:val="clear" w:color="auto" w:fill="FFFFFF"/>
        </w:rPr>
        <w:t>,</w:t>
      </w:r>
      <w:r w:rsidRPr="003775F4">
        <w:rPr>
          <w:rFonts w:ascii="Verdana" w:eastAsia="Calibri" w:hAnsi="Verdana" w:cs="Arial"/>
          <w:shd w:val="clear" w:color="auto" w:fill="FFFFFF"/>
        </w:rPr>
        <w:t xml:space="preserve"> C-957 del 17 de diciembre de 2024</w:t>
      </w:r>
      <w:r>
        <w:rPr>
          <w:rFonts w:ascii="Verdana" w:eastAsia="Calibri" w:hAnsi="Verdana" w:cs="Arial"/>
          <w:shd w:val="clear" w:color="auto" w:fill="FFFFFF"/>
        </w:rPr>
        <w:t xml:space="preserve"> y C-967 del 1˚ de agosto de 2025</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e</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744A9430" w14:textId="77777777" w:rsidR="002F3469" w:rsidRPr="00096788" w:rsidRDefault="002F3469" w:rsidP="002F3469">
      <w:pPr>
        <w:widowControl w:val="0"/>
        <w:autoSpaceDE w:val="0"/>
        <w:autoSpaceDN w:val="0"/>
        <w:spacing w:after="0" w:line="276" w:lineRule="auto"/>
        <w:jc w:val="both"/>
        <w:rPr>
          <w:rFonts w:ascii="Verdana" w:hAnsi="Verdana" w:cs="Arial"/>
          <w:color w:val="000000" w:themeColor="text1"/>
          <w:shd w:val="clear" w:color="auto" w:fill="FFFFFF"/>
        </w:rPr>
      </w:pPr>
    </w:p>
    <w:p w14:paraId="6C23EB72" w14:textId="77777777" w:rsidR="002F3469" w:rsidRPr="00E440FD" w:rsidRDefault="002F3469" w:rsidP="002F3469">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390C77EA" w14:textId="77777777" w:rsidR="002F3469" w:rsidRPr="009C4035" w:rsidRDefault="002F3469" w:rsidP="002F3469">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2E611D75" w14:textId="77777777" w:rsidR="002F3469" w:rsidRPr="00593A5F" w:rsidRDefault="002F3469" w:rsidP="002F346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5EB3D5FD" w14:textId="77777777" w:rsidR="002F3469" w:rsidRPr="00593A5F" w:rsidRDefault="002F3469" w:rsidP="002F3469">
      <w:pPr>
        <w:widowControl w:val="0"/>
        <w:autoSpaceDE w:val="0"/>
        <w:autoSpaceDN w:val="0"/>
        <w:spacing w:after="0" w:line="276" w:lineRule="auto"/>
        <w:jc w:val="both"/>
        <w:rPr>
          <w:rFonts w:ascii="Verdana" w:hAnsi="Verdana" w:cs="Arial"/>
        </w:rPr>
      </w:pPr>
    </w:p>
    <w:p w14:paraId="34252580" w14:textId="77777777" w:rsidR="002F3469" w:rsidRPr="00593A5F" w:rsidRDefault="002F3469" w:rsidP="002F346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01C6A22" w14:textId="5EFACDFB" w:rsidR="002F3469" w:rsidRPr="00593A5F" w:rsidRDefault="00582E51" w:rsidP="002F3469">
      <w:pPr>
        <w:spacing w:line="276" w:lineRule="auto"/>
        <w:jc w:val="center"/>
        <w:rPr>
          <w:rFonts w:ascii="Verdana" w:hAnsi="Verdana" w:cs="Arial"/>
          <w:color w:val="000000"/>
          <w:lang w:val="es-ES_tradnl" w:eastAsia="es-CO"/>
        </w:rPr>
      </w:pPr>
      <w:r>
        <w:rPr>
          <w:noProof/>
        </w:rPr>
        <w:drawing>
          <wp:inline distT="0" distB="0" distL="0" distR="0" wp14:anchorId="56BD023B" wp14:editId="2C0B686D">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F3469" w:rsidRPr="00593A5F" w14:paraId="793A97D1" w14:textId="77777777" w:rsidTr="0020568A">
        <w:trPr>
          <w:trHeight w:val="315"/>
        </w:trPr>
        <w:tc>
          <w:tcPr>
            <w:tcW w:w="893" w:type="dxa"/>
            <w:vAlign w:val="center"/>
            <w:hideMark/>
          </w:tcPr>
          <w:p w14:paraId="2D204A88" w14:textId="77777777" w:rsidR="002F3469" w:rsidRPr="003751C7" w:rsidRDefault="002F3469" w:rsidP="0020568A">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AD81561" w14:textId="77777777" w:rsidR="002F3469" w:rsidRPr="00254A7A" w:rsidRDefault="002F3469" w:rsidP="0020568A">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5EB8F923" w14:textId="77777777" w:rsidR="002F3469" w:rsidRPr="00254A7A" w:rsidRDefault="002F3469" w:rsidP="0020568A">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2F3469" w:rsidRPr="00593A5F" w14:paraId="6B2FAD11" w14:textId="77777777" w:rsidTr="0020568A">
        <w:trPr>
          <w:trHeight w:val="330"/>
        </w:trPr>
        <w:tc>
          <w:tcPr>
            <w:tcW w:w="893" w:type="dxa"/>
            <w:vAlign w:val="center"/>
            <w:hideMark/>
          </w:tcPr>
          <w:p w14:paraId="57DF208A" w14:textId="77777777" w:rsidR="002F3469" w:rsidRPr="003751C7" w:rsidRDefault="002F3469" w:rsidP="0020568A">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5F03277" w14:textId="77777777" w:rsidR="002F3469" w:rsidRPr="0033383A" w:rsidRDefault="002F3469" w:rsidP="0020568A">
            <w:pPr>
              <w:pStyle w:val="paragraph"/>
              <w:spacing w:after="0"/>
              <w:contextualSpacing/>
              <w:textAlignment w:val="baseline"/>
              <w:rPr>
                <w:rStyle w:val="normaltextrun"/>
                <w:rFonts w:ascii="Verdana" w:hAnsi="Verdana" w:cs="Arial"/>
                <w:sz w:val="16"/>
                <w:szCs w:val="16"/>
                <w:lang w:val="es-ES_tradnl"/>
              </w:rPr>
            </w:pPr>
            <w:r w:rsidRPr="0033383A">
              <w:rPr>
                <w:rStyle w:val="normaltextrun"/>
                <w:rFonts w:ascii="Verdana" w:hAnsi="Verdana" w:cs="Arial"/>
                <w:sz w:val="16"/>
                <w:szCs w:val="16"/>
                <w:lang w:val="es-ES_tradnl"/>
              </w:rPr>
              <w:t>Alejandro Sarmiento Cantillo</w:t>
            </w:r>
          </w:p>
          <w:p w14:paraId="0ACCBB07" w14:textId="77777777" w:rsidR="002F3469" w:rsidRPr="00254A7A" w:rsidRDefault="002F3469" w:rsidP="0020568A">
            <w:pPr>
              <w:pStyle w:val="paragraph"/>
              <w:spacing w:before="0" w:beforeAutospacing="0" w:after="0" w:afterAutospacing="0"/>
              <w:contextualSpacing/>
              <w:textAlignment w:val="baseline"/>
              <w:rPr>
                <w:rFonts w:ascii="Verdana" w:hAnsi="Verdana" w:cs="Segoe UI"/>
                <w:sz w:val="16"/>
                <w:szCs w:val="16"/>
              </w:rPr>
            </w:pPr>
            <w:r w:rsidRPr="0033383A">
              <w:rPr>
                <w:rStyle w:val="normaltextrun"/>
                <w:rFonts w:ascii="Verdana" w:hAnsi="Verdana" w:cs="Arial"/>
                <w:sz w:val="16"/>
                <w:szCs w:val="16"/>
                <w:lang w:val="es-ES_tradnl"/>
              </w:rPr>
              <w:t>Gestor T1 ‒ 15 de la Subdirección de Gestión Contractual</w:t>
            </w:r>
          </w:p>
        </w:tc>
      </w:tr>
      <w:tr w:rsidR="002F3469" w:rsidRPr="00593A5F" w14:paraId="00775531" w14:textId="77777777" w:rsidTr="0020568A">
        <w:trPr>
          <w:trHeight w:val="300"/>
        </w:trPr>
        <w:tc>
          <w:tcPr>
            <w:tcW w:w="893" w:type="dxa"/>
            <w:vAlign w:val="center"/>
          </w:tcPr>
          <w:p w14:paraId="1F0F67DA" w14:textId="77777777" w:rsidR="002F3469" w:rsidRPr="003751C7" w:rsidRDefault="002F3469" w:rsidP="0020568A">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D0FE7A5" w14:textId="77777777" w:rsidR="002F3469" w:rsidRPr="00731523" w:rsidRDefault="002F3469" w:rsidP="0020568A">
            <w:pPr>
              <w:contextualSpacing/>
              <w:rPr>
                <w:rFonts w:ascii="Verdana" w:eastAsia="Calibri" w:hAnsi="Verdana" w:cs="Arial"/>
                <w:sz w:val="16"/>
                <w:szCs w:val="16"/>
                <w:lang w:val="es-ES" w:eastAsia="es-ES"/>
              </w:rPr>
            </w:pPr>
            <w:r w:rsidRPr="3CFAEC8E">
              <w:rPr>
                <w:rFonts w:ascii="Verdana" w:eastAsia="Calibri" w:hAnsi="Verdana" w:cs="Arial"/>
                <w:sz w:val="16"/>
                <w:szCs w:val="16"/>
                <w:lang w:val="es-ES" w:eastAsia="es-ES"/>
              </w:rPr>
              <w:t xml:space="preserve">Carolina Quintero </w:t>
            </w:r>
            <w:proofErr w:type="spellStart"/>
            <w:r w:rsidRPr="3CFAEC8E">
              <w:rPr>
                <w:rFonts w:ascii="Verdana" w:eastAsia="Calibri" w:hAnsi="Verdana" w:cs="Arial"/>
                <w:sz w:val="16"/>
                <w:szCs w:val="16"/>
                <w:lang w:val="es-ES" w:eastAsia="es-ES"/>
              </w:rPr>
              <w:t>Gacharná</w:t>
            </w:r>
            <w:proofErr w:type="spellEnd"/>
          </w:p>
          <w:p w14:paraId="5636696D" w14:textId="77777777" w:rsidR="002F3469" w:rsidRPr="003751C7" w:rsidRDefault="002F3469" w:rsidP="0020568A">
            <w:pPr>
              <w:contextualSpacing/>
              <w:rPr>
                <w:rFonts w:ascii="Verdana" w:eastAsia="Calibri" w:hAnsi="Verdana" w:cs="Arial"/>
                <w:sz w:val="16"/>
                <w:szCs w:val="16"/>
                <w:lang w:val="pt-BR" w:eastAsia="es-ES"/>
              </w:rPr>
            </w:pPr>
            <w:r w:rsidRPr="00731523">
              <w:rPr>
                <w:rFonts w:ascii="Verdana" w:eastAsia="Calibri" w:hAnsi="Verdana" w:cs="Arial"/>
                <w:sz w:val="16"/>
                <w:szCs w:val="16"/>
                <w:lang w:val="es-ES_tradnl" w:eastAsia="es-ES"/>
              </w:rPr>
              <w:t>Subdirectora de Gestión Contractual ANCP – CCE</w:t>
            </w:r>
          </w:p>
        </w:tc>
      </w:tr>
    </w:tbl>
    <w:p w14:paraId="7D0BDD10" w14:textId="77777777" w:rsidR="002F3469" w:rsidRPr="00543BFE" w:rsidRDefault="002F3469" w:rsidP="002F3469"/>
    <w:p w14:paraId="0F293BF4" w14:textId="34E0956C" w:rsidR="00127233" w:rsidRPr="004B5FC5" w:rsidRDefault="00127233" w:rsidP="004B5FC5"/>
    <w:sectPr w:rsidR="00127233" w:rsidRPr="004B5FC5"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0199CF" w14:textId="77777777" w:rsidR="00D633CE" w:rsidRDefault="00D633CE" w:rsidP="004A1847">
      <w:pPr>
        <w:spacing w:after="0" w:line="240" w:lineRule="auto"/>
      </w:pPr>
      <w:r>
        <w:separator/>
      </w:r>
    </w:p>
  </w:endnote>
  <w:endnote w:type="continuationSeparator" w:id="0">
    <w:p w14:paraId="58EA0557" w14:textId="77777777" w:rsidR="00D633CE" w:rsidRDefault="00D633CE" w:rsidP="004A1847">
      <w:pPr>
        <w:spacing w:after="0" w:line="240" w:lineRule="auto"/>
      </w:pPr>
      <w:r>
        <w:continuationSeparator/>
      </w:r>
    </w:p>
  </w:endnote>
  <w:endnote w:type="continuationNotice" w:id="1">
    <w:p w14:paraId="1D6C76A8" w14:textId="77777777" w:rsidR="00D633CE" w:rsidRDefault="00D633C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4C9A18" w14:textId="77777777" w:rsidR="00D633CE" w:rsidRDefault="00D633CE" w:rsidP="004A1847">
      <w:pPr>
        <w:spacing w:after="0" w:line="240" w:lineRule="auto"/>
      </w:pPr>
      <w:r>
        <w:separator/>
      </w:r>
    </w:p>
  </w:footnote>
  <w:footnote w:type="continuationSeparator" w:id="0">
    <w:p w14:paraId="1BE22189" w14:textId="77777777" w:rsidR="00D633CE" w:rsidRDefault="00D633CE" w:rsidP="004A1847">
      <w:pPr>
        <w:spacing w:after="0" w:line="240" w:lineRule="auto"/>
      </w:pPr>
      <w:r>
        <w:continuationSeparator/>
      </w:r>
    </w:p>
  </w:footnote>
  <w:footnote w:type="continuationNotice" w:id="1">
    <w:p w14:paraId="5B8B9248" w14:textId="77777777" w:rsidR="00D633CE" w:rsidRDefault="00D633CE">
      <w:pPr>
        <w:spacing w:after="0" w:line="240" w:lineRule="auto"/>
      </w:pPr>
    </w:p>
  </w:footnote>
  <w:footnote w:id="2">
    <w:p w14:paraId="0EB9840B" w14:textId="77777777" w:rsidR="002F3469" w:rsidRPr="00881DAB" w:rsidRDefault="002F3469" w:rsidP="002F3469">
      <w:pPr>
        <w:pStyle w:val="Textonotapie"/>
        <w:ind w:firstLine="708"/>
        <w:jc w:val="both"/>
        <w:rPr>
          <w:rFonts w:ascii="Verdana" w:hAnsi="Verdana" w:cs="Arial"/>
          <w:sz w:val="16"/>
          <w:szCs w:val="16"/>
        </w:rPr>
      </w:pPr>
      <w:r w:rsidRPr="00881DAB">
        <w:rPr>
          <w:rStyle w:val="Refdenotaalpie"/>
          <w:rFonts w:ascii="Verdana" w:hAnsi="Verdana" w:cs="Arial"/>
          <w:sz w:val="16"/>
          <w:szCs w:val="16"/>
        </w:rPr>
        <w:footnoteRef/>
      </w:r>
      <w:r w:rsidRPr="00881DAB">
        <w:rPr>
          <w:rFonts w:ascii="Verdana" w:hAnsi="Verdana" w:cs="Arial"/>
          <w:sz w:val="16"/>
          <w:szCs w:val="16"/>
        </w:rPr>
        <w:t xml:space="preserve"> Sobre esta norma, consultar los conceptos del 8 de octubre de 2019, con radicado No. 2201913000007532, y del 20 de diciembre de 2019, con radicado No. 4201913000008240.</w:t>
      </w:r>
    </w:p>
  </w:footnote>
  <w:footnote w:id="3">
    <w:p w14:paraId="7E0B4706" w14:textId="77777777" w:rsidR="002F3469" w:rsidRPr="00881DAB" w:rsidRDefault="002F3469" w:rsidP="002F3469">
      <w:pPr>
        <w:pStyle w:val="Textonotapie"/>
        <w:ind w:firstLine="708"/>
        <w:jc w:val="both"/>
        <w:rPr>
          <w:rFonts w:ascii="Verdana" w:hAnsi="Verdana" w:cs="Arial"/>
          <w:sz w:val="16"/>
          <w:szCs w:val="16"/>
        </w:rPr>
      </w:pPr>
      <w:r w:rsidRPr="00881DAB">
        <w:rPr>
          <w:rStyle w:val="Refdenotaalpie"/>
          <w:rFonts w:ascii="Verdana" w:hAnsi="Verdana"/>
          <w:sz w:val="16"/>
          <w:szCs w:val="16"/>
        </w:rPr>
        <w:footnoteRef/>
      </w:r>
      <w:r w:rsidRPr="00881DAB">
        <w:rPr>
          <w:rFonts w:ascii="Verdana" w:hAnsi="Verdana"/>
          <w:sz w:val="16"/>
          <w:szCs w:val="16"/>
        </w:rPr>
        <w:t xml:space="preserve"> </w:t>
      </w:r>
      <w:r w:rsidRPr="00881DAB">
        <w:rPr>
          <w:rFonts w:ascii="Verdana" w:hAnsi="Verdana" w:cs="Arial"/>
          <w:sz w:val="16"/>
          <w:szCs w:val="16"/>
        </w:rPr>
        <w:t>Al respecto, la Ley 489 de 1998 dispone que “Art.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11B0B7C1" w14:textId="77777777" w:rsidR="002F3469" w:rsidRPr="00881DAB" w:rsidRDefault="002F3469" w:rsidP="002F3469">
      <w:pPr>
        <w:pStyle w:val="Textonotapie"/>
        <w:ind w:firstLine="708"/>
        <w:jc w:val="both"/>
        <w:rPr>
          <w:rFonts w:ascii="Verdana" w:hAnsi="Verdana" w:cs="Arial"/>
          <w:sz w:val="16"/>
          <w:szCs w:val="16"/>
        </w:rPr>
      </w:pPr>
      <w:r w:rsidRPr="00881DAB">
        <w:rPr>
          <w:rFonts w:ascii="Verdana" w:hAnsi="Verdana" w:cs="Arial"/>
          <w:sz w:val="16"/>
          <w:szCs w:val="16"/>
        </w:rPr>
        <w:t xml:space="preserve">Los convenios de asociación a que se refiere el presente artículo </w:t>
      </w:r>
      <w:bookmarkStart w:id="2" w:name="_Hlk36023315"/>
      <w:r w:rsidRPr="00881DAB">
        <w:rPr>
          <w:rFonts w:ascii="Verdana" w:hAnsi="Verdana" w:cs="Arial"/>
          <w:sz w:val="16"/>
          <w:szCs w:val="16"/>
        </w:rPr>
        <w:t>se celebrarán de conformidad con lo dispuesto en el artículo 355 de la Constitución Política</w:t>
      </w:r>
      <w:bookmarkEnd w:id="2"/>
      <w:r w:rsidRPr="00881DAB">
        <w:rPr>
          <w:rFonts w:ascii="Verdana" w:hAnsi="Verdana" w:cs="Arial"/>
          <w:sz w:val="16"/>
          <w:szCs w:val="16"/>
        </w:rPr>
        <w:t>, en ellos se determinará con precisión su objeto, término, obligaciones de las partes, aportes, coordinación y todos aquellos aspectos que se consideren pertinentes”.</w:t>
      </w:r>
    </w:p>
  </w:footnote>
  <w:footnote w:id="4">
    <w:p w14:paraId="43862348" w14:textId="77777777" w:rsidR="002F3469" w:rsidRPr="00881DAB" w:rsidRDefault="002F3469" w:rsidP="002F3469">
      <w:pPr>
        <w:pStyle w:val="Textonotapie"/>
        <w:ind w:firstLine="708"/>
        <w:jc w:val="both"/>
        <w:rPr>
          <w:rFonts w:ascii="Verdana" w:hAnsi="Verdana" w:cs="Arial"/>
          <w:sz w:val="16"/>
          <w:szCs w:val="16"/>
        </w:rPr>
      </w:pPr>
      <w:r w:rsidRPr="00881DAB">
        <w:rPr>
          <w:rStyle w:val="Refdenotaalpie"/>
          <w:rFonts w:ascii="Verdana" w:hAnsi="Verdana" w:cs="Arial"/>
          <w:sz w:val="16"/>
          <w:szCs w:val="16"/>
        </w:rPr>
        <w:footnoteRef/>
      </w:r>
      <w:r w:rsidRPr="00881DAB">
        <w:rPr>
          <w:rFonts w:ascii="Verdana" w:hAnsi="Verdana" w:cs="Arial"/>
          <w:sz w:val="16"/>
          <w:szCs w:val="16"/>
        </w:rPr>
        <w:t xml:space="preserve"> Concepto del 3 de septiembre de 2019, con radicado No. 2201913000006512.</w:t>
      </w:r>
    </w:p>
  </w:footnote>
  <w:footnote w:id="5">
    <w:p w14:paraId="0C045587" w14:textId="77777777" w:rsidR="002F3469" w:rsidRPr="00881DAB" w:rsidRDefault="002F3469" w:rsidP="002F3469">
      <w:pPr>
        <w:pStyle w:val="Textonotapie"/>
        <w:ind w:firstLine="708"/>
        <w:jc w:val="both"/>
        <w:rPr>
          <w:rFonts w:ascii="Verdana" w:hAnsi="Verdana" w:cs="Arial"/>
          <w:sz w:val="16"/>
          <w:szCs w:val="16"/>
        </w:rPr>
      </w:pPr>
      <w:r w:rsidRPr="00881DAB">
        <w:rPr>
          <w:rStyle w:val="Refdenotaalpie"/>
          <w:rFonts w:ascii="Verdana" w:hAnsi="Verdana" w:cs="Arial"/>
          <w:sz w:val="16"/>
          <w:szCs w:val="16"/>
        </w:rPr>
        <w:footnoteRef/>
      </w:r>
      <w:r w:rsidRPr="00881DAB">
        <w:rPr>
          <w:rFonts w:ascii="Verdana" w:hAnsi="Verdana" w:cs="Arial"/>
          <w:sz w:val="16"/>
          <w:szCs w:val="16"/>
        </w:rPr>
        <w:t xml:space="preserve"> Sobre la naturaleza de los convenios de asociación, se reitera lo expuesto en el concepto del 19 de noviembre de 2019, con radicado No. 2201913000008611.</w:t>
      </w:r>
    </w:p>
  </w:footnote>
  <w:footnote w:id="6">
    <w:p w14:paraId="1D51E3C0" w14:textId="77777777" w:rsidR="002F3469" w:rsidRPr="00881DAB" w:rsidRDefault="002F3469" w:rsidP="002F3469">
      <w:pPr>
        <w:pStyle w:val="Textonotapie"/>
        <w:ind w:firstLine="708"/>
        <w:jc w:val="both"/>
        <w:rPr>
          <w:rFonts w:ascii="Verdana" w:hAnsi="Verdana" w:cs="Arial"/>
          <w:color w:val="000000" w:themeColor="text1"/>
          <w:sz w:val="16"/>
          <w:szCs w:val="16"/>
        </w:rPr>
      </w:pPr>
      <w:r w:rsidRPr="00881DAB">
        <w:rPr>
          <w:rStyle w:val="Refdenotaalpie"/>
          <w:rFonts w:ascii="Verdana" w:hAnsi="Verdana" w:cs="Arial"/>
          <w:color w:val="000000" w:themeColor="text1"/>
          <w:sz w:val="16"/>
          <w:szCs w:val="16"/>
        </w:rPr>
        <w:footnoteRef/>
      </w:r>
      <w:r w:rsidRPr="00881DAB">
        <w:rPr>
          <w:rFonts w:ascii="Verdana" w:hAnsi="Verdana" w:cs="Arial"/>
          <w:color w:val="000000" w:themeColor="text1"/>
          <w:sz w:val="16"/>
          <w:szCs w:val="16"/>
        </w:rPr>
        <w:t xml:space="preserve"> Cfr. Concepto del 21 de agosto de 2019, dictado dentro del radicado No. 2201913000006047.</w:t>
      </w:r>
    </w:p>
  </w:footnote>
  <w:footnote w:id="7">
    <w:p w14:paraId="699B1011" w14:textId="77777777" w:rsidR="002F3469" w:rsidRPr="00881DAB" w:rsidRDefault="002F3469" w:rsidP="002F3469">
      <w:pPr>
        <w:pStyle w:val="Textonotapie"/>
        <w:ind w:firstLine="708"/>
        <w:jc w:val="both"/>
        <w:rPr>
          <w:rFonts w:ascii="Verdana" w:hAnsi="Verdana" w:cs="Arial"/>
          <w:color w:val="000000" w:themeColor="text1"/>
          <w:sz w:val="16"/>
          <w:szCs w:val="16"/>
          <w:lang w:val="es-ES"/>
        </w:rPr>
      </w:pPr>
      <w:r w:rsidRPr="00881DAB">
        <w:rPr>
          <w:rStyle w:val="Refdenotaalpie"/>
          <w:rFonts w:ascii="Verdana" w:hAnsi="Verdana" w:cs="Arial"/>
          <w:color w:val="000000" w:themeColor="text1"/>
          <w:sz w:val="16"/>
          <w:szCs w:val="16"/>
        </w:rPr>
        <w:footnoteRef/>
      </w:r>
      <w:r w:rsidRPr="00881DAB">
        <w:rPr>
          <w:rFonts w:ascii="Verdana" w:hAnsi="Verdana" w:cs="Arial"/>
          <w:color w:val="000000" w:themeColor="text1"/>
          <w:sz w:val="16"/>
          <w:szCs w:val="16"/>
        </w:rPr>
        <w:t xml:space="preserve"> Concepto del 24 de febrero de 2005, con radicado No. 1626, C.P. Dra. Gloria Duque Hernández</w:t>
      </w:r>
    </w:p>
  </w:footnote>
  <w:footnote w:id="8">
    <w:p w14:paraId="7CC45BC6" w14:textId="77777777" w:rsidR="002F3469" w:rsidRPr="00881DAB" w:rsidRDefault="002F3469" w:rsidP="002F3469">
      <w:pPr>
        <w:pStyle w:val="Textonotapie"/>
        <w:ind w:firstLine="708"/>
        <w:jc w:val="both"/>
        <w:rPr>
          <w:rFonts w:ascii="Verdana" w:hAnsi="Verdana" w:cs="Arial"/>
          <w:color w:val="000000" w:themeColor="text1"/>
          <w:sz w:val="16"/>
          <w:szCs w:val="16"/>
        </w:rPr>
      </w:pPr>
      <w:r w:rsidRPr="00881DAB">
        <w:rPr>
          <w:rStyle w:val="Refdenotaalpie"/>
          <w:rFonts w:ascii="Verdana" w:hAnsi="Verdana" w:cs="Arial"/>
          <w:color w:val="000000" w:themeColor="text1"/>
          <w:sz w:val="16"/>
          <w:szCs w:val="16"/>
        </w:rPr>
        <w:footnoteRef/>
      </w:r>
      <w:r w:rsidRPr="00881DAB">
        <w:rPr>
          <w:rFonts w:ascii="Verdana" w:hAnsi="Verdana" w:cs="Arial"/>
          <w:color w:val="000000" w:themeColor="text1"/>
          <w:sz w:val="16"/>
          <w:szCs w:val="16"/>
        </w:rPr>
        <w:t xml:space="preserve"> Decreto 1082,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 w:id="9">
    <w:p w14:paraId="1401C7F3" w14:textId="77777777" w:rsidR="002F3469" w:rsidRPr="00881DAB" w:rsidRDefault="002F3469" w:rsidP="002F3469">
      <w:pPr>
        <w:pStyle w:val="Textonotapie"/>
        <w:ind w:firstLine="708"/>
        <w:jc w:val="both"/>
        <w:rPr>
          <w:rFonts w:ascii="Verdana" w:hAnsi="Verdana" w:cs="Arial"/>
          <w:sz w:val="16"/>
          <w:szCs w:val="16"/>
        </w:rPr>
      </w:pPr>
      <w:r w:rsidRPr="00881DAB">
        <w:rPr>
          <w:rStyle w:val="Refdenotaalpie"/>
          <w:rFonts w:ascii="Verdana" w:hAnsi="Verdana"/>
          <w:sz w:val="16"/>
          <w:szCs w:val="16"/>
        </w:rPr>
        <w:footnoteRef/>
      </w:r>
      <w:r w:rsidRPr="00881DAB">
        <w:rPr>
          <w:rFonts w:ascii="Verdana" w:hAnsi="Verdana"/>
          <w:sz w:val="16"/>
          <w:szCs w:val="16"/>
        </w:rPr>
        <w:t xml:space="preserve"> </w:t>
      </w:r>
      <w:r w:rsidRPr="00881DAB">
        <w:rPr>
          <w:rFonts w:ascii="Verdana" w:hAnsi="Verdana" w:cs="Arial"/>
          <w:sz w:val="16"/>
          <w:szCs w:val="16"/>
        </w:rPr>
        <w:t>Al respecto, el artículo 1501 del Código Civil prescribe lo siguiente: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p>
  </w:footnote>
  <w:footnote w:id="10">
    <w:p w14:paraId="236062E9" w14:textId="77777777" w:rsidR="002F3469" w:rsidRPr="00561FD6" w:rsidRDefault="002F3469" w:rsidP="002F3469">
      <w:pPr>
        <w:pStyle w:val="Textonotapie"/>
        <w:ind w:firstLine="720"/>
        <w:contextualSpacing/>
        <w:jc w:val="both"/>
        <w:rPr>
          <w:rFonts w:ascii="Verdana" w:hAnsi="Verdana"/>
          <w:sz w:val="16"/>
          <w:szCs w:val="16"/>
        </w:rPr>
      </w:pPr>
      <w:r w:rsidRPr="00C918DB">
        <w:rPr>
          <w:rStyle w:val="Refdenotaalpie"/>
          <w:rFonts w:ascii="Verdana" w:hAnsi="Verdana"/>
          <w:sz w:val="16"/>
          <w:szCs w:val="16"/>
        </w:rPr>
        <w:footnoteRef/>
      </w:r>
      <w:r>
        <w:rPr>
          <w:rFonts w:ascii="Verdana" w:hAnsi="Verdana"/>
          <w:sz w:val="16"/>
          <w:szCs w:val="16"/>
          <w:lang w:val="es-CO"/>
        </w:rPr>
        <w:t xml:space="preserve"> </w:t>
      </w:r>
      <w:r w:rsidRPr="00561FD6">
        <w:rPr>
          <w:rFonts w:ascii="Verdana" w:hAnsi="Verdana"/>
          <w:sz w:val="16"/>
          <w:szCs w:val="16"/>
          <w:lang w:val="es-CO"/>
        </w:rPr>
        <w:t xml:space="preserve">EXPÓSITO VÉLEZ, Juan Carlos. </w:t>
      </w:r>
      <w:r w:rsidRPr="00561FD6">
        <w:rPr>
          <w:rFonts w:ascii="Verdana" w:hAnsi="Verdana"/>
          <w:sz w:val="16"/>
          <w:szCs w:val="16"/>
        </w:rPr>
        <w:t xml:space="preserve">Forma y contenido del contrato estatal. Serie de Derecho administrativo. Universidad Externado de Colombia. Página 70. </w:t>
      </w:r>
    </w:p>
  </w:footnote>
  <w:footnote w:id="11">
    <w:p w14:paraId="43BF4FDF" w14:textId="77777777" w:rsidR="002F3469" w:rsidRPr="00C918DB" w:rsidRDefault="002F3469" w:rsidP="002F3469">
      <w:pPr>
        <w:pStyle w:val="Textonotapie"/>
        <w:ind w:firstLine="708"/>
        <w:contextualSpacing/>
        <w:rPr>
          <w:rFonts w:ascii="Verdana" w:hAnsi="Verdana"/>
          <w:sz w:val="16"/>
          <w:szCs w:val="16"/>
        </w:rPr>
      </w:pPr>
      <w:r w:rsidRPr="00C918DB">
        <w:rPr>
          <w:rStyle w:val="Refdenotaalpie"/>
          <w:rFonts w:ascii="Verdana" w:hAnsi="Verdana"/>
          <w:sz w:val="16"/>
          <w:szCs w:val="16"/>
        </w:rPr>
        <w:footnoteRef/>
      </w:r>
      <w:r w:rsidRPr="00C918DB">
        <w:rPr>
          <w:rFonts w:ascii="Verdana" w:hAnsi="Verdana"/>
          <w:sz w:val="16"/>
          <w:szCs w:val="16"/>
        </w:rPr>
        <w:t xml:space="preserve"> ESCOBAR Gil. Teoría General de los contratos de la Administración Pública. Página 214. </w:t>
      </w:r>
    </w:p>
  </w:footnote>
  <w:footnote w:id="12">
    <w:p w14:paraId="1D6805F1" w14:textId="77777777" w:rsidR="002F3469" w:rsidRPr="00C918DB" w:rsidRDefault="002F3469" w:rsidP="002F3469">
      <w:pPr>
        <w:pStyle w:val="Textonotapie"/>
        <w:ind w:firstLine="708"/>
        <w:contextualSpacing/>
        <w:jc w:val="both"/>
        <w:rPr>
          <w:rFonts w:ascii="Verdana" w:hAnsi="Verdana"/>
          <w:sz w:val="16"/>
          <w:szCs w:val="16"/>
          <w:lang w:val="es-CO"/>
        </w:rPr>
      </w:pPr>
      <w:r w:rsidRPr="00C918DB">
        <w:rPr>
          <w:rStyle w:val="Refdenotaalpie"/>
          <w:rFonts w:ascii="Verdana" w:hAnsi="Verdana"/>
          <w:sz w:val="16"/>
          <w:szCs w:val="16"/>
        </w:rPr>
        <w:footnoteRef/>
      </w:r>
      <w:r w:rsidRPr="00C918DB">
        <w:rPr>
          <w:rFonts w:ascii="Verdana" w:hAnsi="Verdana"/>
          <w:sz w:val="16"/>
          <w:szCs w:val="16"/>
        </w:rPr>
        <w:t xml:space="preserve"> </w:t>
      </w:r>
      <w:r w:rsidRPr="00C918DB">
        <w:rPr>
          <w:rFonts w:ascii="Verdana" w:hAnsi="Verdana"/>
          <w:sz w:val="16"/>
          <w:szCs w:val="16"/>
          <w:lang w:val="es-CO"/>
        </w:rPr>
        <w:t>CONSEJO DE ESTADO. Sala de Consulta y Servicio Civil. Consejero ponente: Álvaro Namén Vargas Concepto del 15 de agosto de 2017. Rad. 2346.</w:t>
      </w:r>
    </w:p>
  </w:footnote>
  <w:footnote w:id="13">
    <w:p w14:paraId="3AB89F8E" w14:textId="77777777" w:rsidR="002F3469" w:rsidRPr="00C918DB" w:rsidRDefault="002F3469" w:rsidP="002F3469">
      <w:pPr>
        <w:pStyle w:val="Textonotapie"/>
        <w:ind w:firstLine="708"/>
        <w:contextualSpacing/>
        <w:jc w:val="both"/>
        <w:rPr>
          <w:rFonts w:ascii="Verdana" w:hAnsi="Verdana"/>
          <w:sz w:val="16"/>
          <w:szCs w:val="16"/>
          <w:lang w:val="es-CO"/>
        </w:rPr>
      </w:pPr>
      <w:r w:rsidRPr="00C918DB">
        <w:rPr>
          <w:rStyle w:val="Refdenotaalpie"/>
          <w:rFonts w:ascii="Verdana" w:hAnsi="Verdana"/>
          <w:sz w:val="16"/>
          <w:szCs w:val="16"/>
        </w:rPr>
        <w:footnoteRef/>
      </w:r>
      <w:r w:rsidRPr="00C918DB">
        <w:rPr>
          <w:rFonts w:ascii="Verdana" w:hAnsi="Verdana"/>
          <w:sz w:val="16"/>
          <w:szCs w:val="16"/>
        </w:rPr>
        <w:t xml:space="preserve"> </w:t>
      </w:r>
      <w:r w:rsidRPr="00C918DB">
        <w:rPr>
          <w:rFonts w:ascii="Verdana" w:hAnsi="Verdana"/>
          <w:sz w:val="16"/>
          <w:szCs w:val="16"/>
          <w:lang w:val="es-CO"/>
        </w:rPr>
        <w:t>Como cuando el contrato estatal se celebra en el exterior, caso en el cual se rige por las leyes del país en donde se perfecciona (“lex loci contractus”), en cuanto a su existencia y validez, y también en cuanto a su ejecución, si así se estipula, a menos que deba cumplirse en Colombia, de acuerdo con lo dispuesto por el artículo 13 de la Ley 80 de 1993. También podría prescindirse del documento escrito en la hipótesis prevista en el inciso cuarto del artículo 41 de la misma ley: “En caso de situaciones de urgencia manifiesta a que se refiere el artículo 42 de esta ley que no permitan la suscripción de contrato escrito, se prescindirá de éste y aún del acuerdo acerca de la remuneración, no obstante, deberá dejarse constancia escrita de la autorización impartida por la entidad estatal contratante.”</w:t>
      </w:r>
    </w:p>
  </w:footnote>
  <w:footnote w:id="14">
    <w:p w14:paraId="57CDDC7B" w14:textId="77777777" w:rsidR="002F3469" w:rsidRPr="00C918DB" w:rsidRDefault="002F3469" w:rsidP="002F3469">
      <w:pPr>
        <w:pStyle w:val="Textonotapie"/>
        <w:ind w:firstLine="708"/>
        <w:contextualSpacing/>
        <w:rPr>
          <w:rFonts w:ascii="Verdana" w:hAnsi="Verdana"/>
          <w:sz w:val="16"/>
          <w:szCs w:val="16"/>
        </w:rPr>
      </w:pPr>
      <w:r w:rsidRPr="00C918DB">
        <w:rPr>
          <w:rStyle w:val="Refdenotaalpie"/>
          <w:rFonts w:ascii="Verdana" w:hAnsi="Verdana"/>
          <w:sz w:val="16"/>
          <w:szCs w:val="16"/>
        </w:rPr>
        <w:footnoteRef/>
      </w:r>
      <w:r w:rsidRPr="00C918DB">
        <w:rPr>
          <w:rFonts w:ascii="Verdana" w:hAnsi="Verdana"/>
          <w:sz w:val="16"/>
          <w:szCs w:val="16"/>
        </w:rPr>
        <w:t xml:space="preserve"> EXPOSITO. Pagina 73.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0.85pt;height:10.8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E68"/>
    <w:rsid w:val="00046945"/>
    <w:rsid w:val="00061B2A"/>
    <w:rsid w:val="00066F86"/>
    <w:rsid w:val="00082362"/>
    <w:rsid w:val="000A683E"/>
    <w:rsid w:val="000A7A37"/>
    <w:rsid w:val="000B19B9"/>
    <w:rsid w:val="000D0334"/>
    <w:rsid w:val="000F6486"/>
    <w:rsid w:val="00124931"/>
    <w:rsid w:val="00125105"/>
    <w:rsid w:val="00127233"/>
    <w:rsid w:val="00167303"/>
    <w:rsid w:val="001838D0"/>
    <w:rsid w:val="001E4177"/>
    <w:rsid w:val="001F7DC6"/>
    <w:rsid w:val="002421BB"/>
    <w:rsid w:val="0025796E"/>
    <w:rsid w:val="002707A2"/>
    <w:rsid w:val="0029452D"/>
    <w:rsid w:val="002951A0"/>
    <w:rsid w:val="002962BC"/>
    <w:rsid w:val="002A093D"/>
    <w:rsid w:val="002A0DD0"/>
    <w:rsid w:val="002A49AC"/>
    <w:rsid w:val="002A64FD"/>
    <w:rsid w:val="002C7A84"/>
    <w:rsid w:val="002E4FD9"/>
    <w:rsid w:val="002E69A4"/>
    <w:rsid w:val="002F2C6A"/>
    <w:rsid w:val="002F3469"/>
    <w:rsid w:val="00322A85"/>
    <w:rsid w:val="00324168"/>
    <w:rsid w:val="003448F4"/>
    <w:rsid w:val="00374F5E"/>
    <w:rsid w:val="00377E3E"/>
    <w:rsid w:val="003A779E"/>
    <w:rsid w:val="003D0F4D"/>
    <w:rsid w:val="003D5B0D"/>
    <w:rsid w:val="003E0499"/>
    <w:rsid w:val="003F3941"/>
    <w:rsid w:val="00405EE4"/>
    <w:rsid w:val="00406575"/>
    <w:rsid w:val="00414C74"/>
    <w:rsid w:val="0042722E"/>
    <w:rsid w:val="0044528D"/>
    <w:rsid w:val="004733D7"/>
    <w:rsid w:val="004A1847"/>
    <w:rsid w:val="004A305D"/>
    <w:rsid w:val="004B5FC5"/>
    <w:rsid w:val="004F21C4"/>
    <w:rsid w:val="004F669B"/>
    <w:rsid w:val="004F685F"/>
    <w:rsid w:val="00520B65"/>
    <w:rsid w:val="005566E8"/>
    <w:rsid w:val="00574867"/>
    <w:rsid w:val="00582E51"/>
    <w:rsid w:val="00591460"/>
    <w:rsid w:val="005A7B8D"/>
    <w:rsid w:val="005C3777"/>
    <w:rsid w:val="005C5CDC"/>
    <w:rsid w:val="005D476C"/>
    <w:rsid w:val="006219F8"/>
    <w:rsid w:val="006302F7"/>
    <w:rsid w:val="00665D70"/>
    <w:rsid w:val="006753FC"/>
    <w:rsid w:val="006900D9"/>
    <w:rsid w:val="006A760C"/>
    <w:rsid w:val="00706C16"/>
    <w:rsid w:val="00756841"/>
    <w:rsid w:val="007649AB"/>
    <w:rsid w:val="00771D0C"/>
    <w:rsid w:val="007833AC"/>
    <w:rsid w:val="007B268C"/>
    <w:rsid w:val="007B7171"/>
    <w:rsid w:val="007C0C0F"/>
    <w:rsid w:val="007C3DC2"/>
    <w:rsid w:val="007E5497"/>
    <w:rsid w:val="00806F5F"/>
    <w:rsid w:val="00820278"/>
    <w:rsid w:val="00867F95"/>
    <w:rsid w:val="008812B4"/>
    <w:rsid w:val="008843B6"/>
    <w:rsid w:val="00891928"/>
    <w:rsid w:val="00895D9B"/>
    <w:rsid w:val="00897A3A"/>
    <w:rsid w:val="008A446D"/>
    <w:rsid w:val="008B194D"/>
    <w:rsid w:val="008D180B"/>
    <w:rsid w:val="008F0EA7"/>
    <w:rsid w:val="00923EEF"/>
    <w:rsid w:val="009419F9"/>
    <w:rsid w:val="00950227"/>
    <w:rsid w:val="0095685E"/>
    <w:rsid w:val="00961B09"/>
    <w:rsid w:val="00962B7F"/>
    <w:rsid w:val="00962DFA"/>
    <w:rsid w:val="00965334"/>
    <w:rsid w:val="0097093E"/>
    <w:rsid w:val="009A0DFA"/>
    <w:rsid w:val="009B25A8"/>
    <w:rsid w:val="009B2D26"/>
    <w:rsid w:val="009B463C"/>
    <w:rsid w:val="009B7D85"/>
    <w:rsid w:val="009C71FA"/>
    <w:rsid w:val="009C72E7"/>
    <w:rsid w:val="009D3058"/>
    <w:rsid w:val="009F3A13"/>
    <w:rsid w:val="00A122D3"/>
    <w:rsid w:val="00A17F13"/>
    <w:rsid w:val="00A20739"/>
    <w:rsid w:val="00A33C78"/>
    <w:rsid w:val="00A668EB"/>
    <w:rsid w:val="00A94628"/>
    <w:rsid w:val="00AB0ADB"/>
    <w:rsid w:val="00AF037E"/>
    <w:rsid w:val="00B00C0E"/>
    <w:rsid w:val="00B01B1A"/>
    <w:rsid w:val="00B44A47"/>
    <w:rsid w:val="00B72CD3"/>
    <w:rsid w:val="00B72FFF"/>
    <w:rsid w:val="00B80201"/>
    <w:rsid w:val="00BC3D36"/>
    <w:rsid w:val="00BD7F72"/>
    <w:rsid w:val="00C04FB3"/>
    <w:rsid w:val="00C330EB"/>
    <w:rsid w:val="00C754BE"/>
    <w:rsid w:val="00C76B1C"/>
    <w:rsid w:val="00CA60A5"/>
    <w:rsid w:val="00CB6357"/>
    <w:rsid w:val="00CC1B26"/>
    <w:rsid w:val="00D317F9"/>
    <w:rsid w:val="00D41965"/>
    <w:rsid w:val="00D423A2"/>
    <w:rsid w:val="00D520D8"/>
    <w:rsid w:val="00D633CE"/>
    <w:rsid w:val="00D63AC2"/>
    <w:rsid w:val="00D70773"/>
    <w:rsid w:val="00D7383B"/>
    <w:rsid w:val="00DA231B"/>
    <w:rsid w:val="00DC39FC"/>
    <w:rsid w:val="00DD4880"/>
    <w:rsid w:val="00DF5254"/>
    <w:rsid w:val="00E106FF"/>
    <w:rsid w:val="00E16408"/>
    <w:rsid w:val="00E20894"/>
    <w:rsid w:val="00E245AB"/>
    <w:rsid w:val="00E2764C"/>
    <w:rsid w:val="00E27F2E"/>
    <w:rsid w:val="00E3026D"/>
    <w:rsid w:val="00E50AFE"/>
    <w:rsid w:val="00E75C92"/>
    <w:rsid w:val="00E771DC"/>
    <w:rsid w:val="00E8772A"/>
    <w:rsid w:val="00E90F6B"/>
    <w:rsid w:val="00E92C27"/>
    <w:rsid w:val="00EA0E3D"/>
    <w:rsid w:val="00EC38A7"/>
    <w:rsid w:val="00EE1AA8"/>
    <w:rsid w:val="00EF3677"/>
    <w:rsid w:val="00F25A29"/>
    <w:rsid w:val="00F31EDC"/>
    <w:rsid w:val="00F462B3"/>
    <w:rsid w:val="00F5664F"/>
    <w:rsid w:val="00F666C4"/>
    <w:rsid w:val="00F76AFC"/>
    <w:rsid w:val="00F9605B"/>
    <w:rsid w:val="00FA47C0"/>
    <w:rsid w:val="00FB5DD1"/>
    <w:rsid w:val="00FC2B5D"/>
    <w:rsid w:val="00FF1449"/>
    <w:rsid w:val="3696AC19"/>
    <w:rsid w:val="3CFAEC8E"/>
    <w:rsid w:val="5EC9823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F346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F3469"/>
    <w:rPr>
      <w:rFonts w:ascii="Geomanist Light" w:hAnsi="Geomanist Light"/>
      <w:lang w:val="es-ES"/>
    </w:rPr>
  </w:style>
  <w:style w:type="paragraph" w:styleId="Textoindependiente">
    <w:name w:val="Body Text"/>
    <w:basedOn w:val="Normal"/>
    <w:link w:val="TextoindependienteCar"/>
    <w:uiPriority w:val="99"/>
    <w:unhideWhenUsed/>
    <w:rsid w:val="002F3469"/>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2F3469"/>
    <w:rPr>
      <w:rFonts w:eastAsiaTheme="minorEastAsia"/>
      <w:lang w:eastAsia="es-CO"/>
    </w:rPr>
  </w:style>
  <w:style w:type="character" w:customStyle="1" w:styleId="s15">
    <w:name w:val="s15"/>
    <w:basedOn w:val="Fuentedeprrafopredeter"/>
    <w:rsid w:val="002F3469"/>
  </w:style>
  <w:style w:type="character" w:customStyle="1" w:styleId="apple-converted-space">
    <w:name w:val="apple-converted-space"/>
    <w:basedOn w:val="Fuentedeprrafopredeter"/>
    <w:rsid w:val="002F3469"/>
  </w:style>
  <w:style w:type="paragraph" w:styleId="Sinespaciado">
    <w:name w:val="No Spacing"/>
    <w:aliases w:val="No Indent"/>
    <w:uiPriority w:val="3"/>
    <w:qFormat/>
    <w:rsid w:val="002F3469"/>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yvega@fuga.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2d8fa925-bec2-4809-ba96-82bda3c0030e"/>
    <ds:schemaRef ds:uri="8ae15d26-076e-464e-81a7-6f76a0fb3917"/>
  </ds:schemaRefs>
</ds:datastoreItem>
</file>

<file path=customXml/itemProps3.xml><?xml version="1.0" encoding="utf-8"?>
<ds:datastoreItem xmlns:ds="http://schemas.openxmlformats.org/officeDocument/2006/customXml" ds:itemID="{F67625CA-01E1-4FF8-94DB-4E87448D9382}"/>
</file>

<file path=docProps/app.xml><?xml version="1.0" encoding="utf-8"?>
<Properties xmlns="http://schemas.openxmlformats.org/officeDocument/2006/extended-properties" xmlns:vt="http://schemas.openxmlformats.org/officeDocument/2006/docPropsVTypes">
  <Template>Normal.dotm</Template>
  <TotalTime>4</TotalTime>
  <Pages>23</Pages>
  <Words>8287</Words>
  <Characters>45583</Characters>
  <Application>Microsoft Office Word</Application>
  <DocSecurity>0</DocSecurity>
  <Lines>379</Lines>
  <Paragraphs>107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2025-09-25T15:38:00Z</dcterms:created>
  <dcterms:modified xsi:type="dcterms:W3CDTF">2025-09-26T14:53:00Z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