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4871CD" w14:textId="77777777" w:rsidR="00C62706" w:rsidRPr="00A35EC7" w:rsidRDefault="00C62706" w:rsidP="00A35EC7">
      <w:pPr>
        <w:snapToGrid w:val="0"/>
        <w:contextualSpacing/>
        <w:jc w:val="both"/>
        <w:rPr>
          <w:rFonts w:ascii="Verdana" w:eastAsia="Calibri" w:hAnsi="Verdana" w:cs="Arial"/>
          <w:b/>
          <w:bCs/>
          <w:color w:val="000000" w:themeColor="text1"/>
          <w:sz w:val="22"/>
          <w:szCs w:val="22"/>
          <w:lang w:val="es-ES"/>
        </w:rPr>
      </w:pPr>
      <w:r w:rsidRPr="00A35EC7">
        <w:rPr>
          <w:rFonts w:ascii="Verdana" w:eastAsia="Calibri" w:hAnsi="Verdana" w:cs="Arial"/>
          <w:b/>
          <w:bCs/>
          <w:sz w:val="22"/>
          <w:szCs w:val="22"/>
          <w:lang w:val="es-ES" w:eastAsia="es-ES"/>
        </w:rPr>
        <w:t xml:space="preserve">MULTAS Y CLÁUSULA PENAL </w:t>
      </w:r>
      <w:r w:rsidRPr="00A35EC7">
        <w:rPr>
          <w:rFonts w:ascii="Verdana" w:eastAsia="Calibri" w:hAnsi="Verdana" w:cs="Arial"/>
          <w:b/>
          <w:bCs/>
          <w:color w:val="000000" w:themeColor="text1"/>
          <w:sz w:val="22"/>
          <w:szCs w:val="22"/>
          <w:lang w:val="es-ES"/>
        </w:rPr>
        <w:t xml:space="preserve">– Autonomía de la voluntad – Imposición unilateral </w:t>
      </w:r>
    </w:p>
    <w:p w14:paraId="1CA9DD6F" w14:textId="77777777" w:rsidR="00C62706" w:rsidRPr="00A35EC7" w:rsidRDefault="00C62706" w:rsidP="00A35EC7">
      <w:pPr>
        <w:snapToGrid w:val="0"/>
        <w:contextualSpacing/>
        <w:jc w:val="both"/>
        <w:rPr>
          <w:rFonts w:ascii="Verdana" w:eastAsia="Calibri" w:hAnsi="Verdana" w:cs="Arial"/>
          <w:b/>
          <w:bCs/>
          <w:color w:val="000000" w:themeColor="text1"/>
          <w:sz w:val="20"/>
          <w:szCs w:val="20"/>
          <w:lang w:val="es-ES"/>
        </w:rPr>
      </w:pPr>
    </w:p>
    <w:p w14:paraId="575FF941" w14:textId="77777777" w:rsidR="00BA40A7" w:rsidRPr="005D0684" w:rsidRDefault="00BA40A7" w:rsidP="00A35EC7">
      <w:pPr>
        <w:snapToGrid w:val="0"/>
        <w:contextualSpacing/>
        <w:jc w:val="both"/>
        <w:rPr>
          <w:rFonts w:ascii="Verdana" w:eastAsia="Calibri" w:hAnsi="Verdana" w:cs="Arial"/>
          <w:color w:val="000000" w:themeColor="text1"/>
          <w:sz w:val="20"/>
          <w:szCs w:val="20"/>
        </w:rPr>
      </w:pPr>
      <w:r w:rsidRPr="005D0684">
        <w:rPr>
          <w:rFonts w:ascii="Verdana" w:eastAsia="Calibri" w:hAnsi="Verdana" w:cs="Arial"/>
          <w:color w:val="000000" w:themeColor="text1"/>
          <w:sz w:val="20"/>
          <w:szCs w:val="20"/>
        </w:rPr>
        <w:t xml:space="preserve">Las potestades exorbitantes del segundo grupo –imposición unilateral de la multa o la cláusula penal– son el resultado de una particular combinación entre el principio de legalidad y la autonomía de la voluntad, de tal suerte que si bien el legislador autorizó a las entidades para declarar el incumplimiento con la intención de multar al contratista para conminarlo al cumplimiento o para hacer efectiva la cláusula penal, es indispensable que uno u otro caso se hayan pactado en el contrato. No obstante, cumplido el requisito del pacto en el contrato, las entidades estatales sometidas al Estatuto General de Contratación de la Administración Pública –Leyes 80 de 1993 y 1150 de 2007, y sus modificaciones–, por ministerio de la ley –artículo 17 de la Ley 1150 de 2007– se entienden investidas de la prerrogativa de imposición unilateral. Se reitera que la exorbitancia de las dos cláusulas transcritas –cláusula penal y multas– se refiere a su imposición unilateral, no a su pacto. Esto último en la medida en que dichas cláusulas son posibles y pueden pactarse en virtud de las normas civiles y comerciales. </w:t>
      </w:r>
    </w:p>
    <w:p w14:paraId="7099CD25" w14:textId="77777777" w:rsidR="00BA40A7" w:rsidRPr="00A35EC7" w:rsidRDefault="00BA40A7" w:rsidP="00A35EC7">
      <w:pPr>
        <w:snapToGrid w:val="0"/>
        <w:contextualSpacing/>
        <w:jc w:val="both"/>
        <w:rPr>
          <w:rFonts w:ascii="Verdana" w:eastAsia="Calibri" w:hAnsi="Verdana" w:cs="Arial"/>
          <w:b/>
          <w:bCs/>
          <w:color w:val="000000" w:themeColor="text1"/>
          <w:sz w:val="20"/>
          <w:szCs w:val="20"/>
          <w:lang w:val="es-ES"/>
        </w:rPr>
      </w:pPr>
    </w:p>
    <w:p w14:paraId="653A78CF" w14:textId="29234306" w:rsidR="00A35EC7" w:rsidRPr="00A35EC7" w:rsidRDefault="00C62706" w:rsidP="00A35EC7">
      <w:pPr>
        <w:snapToGrid w:val="0"/>
        <w:contextualSpacing/>
        <w:jc w:val="both"/>
        <w:rPr>
          <w:rFonts w:ascii="Verdana" w:eastAsia="Calibri" w:hAnsi="Verdana" w:cs="Arial"/>
          <w:b/>
          <w:bCs/>
          <w:sz w:val="22"/>
          <w:szCs w:val="22"/>
          <w:lang w:val="es-ES" w:eastAsia="es-ES"/>
        </w:rPr>
      </w:pPr>
      <w:r w:rsidRPr="00A35EC7">
        <w:rPr>
          <w:rFonts w:ascii="Verdana" w:eastAsia="Calibri" w:hAnsi="Verdana" w:cs="Arial"/>
          <w:b/>
          <w:bCs/>
          <w:color w:val="000000" w:themeColor="text1"/>
          <w:sz w:val="22"/>
          <w:szCs w:val="22"/>
          <w:lang w:val="es-ES"/>
        </w:rPr>
        <w:t xml:space="preserve">DECLARATORIA DE INCUMPLIMIENTO – Potestad unilateral – </w:t>
      </w:r>
      <w:r w:rsidR="00A35EC7" w:rsidRPr="00A35EC7">
        <w:rPr>
          <w:rFonts w:ascii="Verdana" w:eastAsia="Calibri" w:hAnsi="Verdana" w:cs="Arial"/>
          <w:b/>
          <w:bCs/>
          <w:color w:val="000000" w:themeColor="text1"/>
          <w:sz w:val="22"/>
          <w:szCs w:val="22"/>
          <w:lang w:val="es-ES"/>
        </w:rPr>
        <w:t>Artículo 86 – Ley 1</w:t>
      </w:r>
      <w:r w:rsidR="004A1EC7">
        <w:rPr>
          <w:rFonts w:ascii="Verdana" w:eastAsia="Calibri" w:hAnsi="Verdana" w:cs="Arial"/>
          <w:b/>
          <w:bCs/>
          <w:color w:val="000000" w:themeColor="text1"/>
          <w:sz w:val="22"/>
          <w:szCs w:val="22"/>
          <w:lang w:val="es-ES"/>
        </w:rPr>
        <w:t>4</w:t>
      </w:r>
      <w:r w:rsidR="00A35EC7" w:rsidRPr="00A35EC7">
        <w:rPr>
          <w:rFonts w:ascii="Verdana" w:eastAsia="Calibri" w:hAnsi="Verdana" w:cs="Arial"/>
          <w:b/>
          <w:bCs/>
          <w:color w:val="000000" w:themeColor="text1"/>
          <w:sz w:val="22"/>
          <w:szCs w:val="22"/>
          <w:lang w:val="es-ES"/>
        </w:rPr>
        <w:t>74 de 2011</w:t>
      </w:r>
    </w:p>
    <w:p w14:paraId="2FC97ADF" w14:textId="77777777" w:rsidR="00A35EC7" w:rsidRPr="00A35EC7" w:rsidRDefault="00A35EC7" w:rsidP="00A35EC7">
      <w:pPr>
        <w:snapToGrid w:val="0"/>
        <w:contextualSpacing/>
        <w:jc w:val="both"/>
        <w:rPr>
          <w:rFonts w:ascii="Verdana" w:eastAsia="Calibri" w:hAnsi="Verdana" w:cs="Arial"/>
          <w:b/>
          <w:bCs/>
          <w:color w:val="000000" w:themeColor="text1"/>
          <w:sz w:val="20"/>
          <w:szCs w:val="20"/>
          <w:lang w:val="es-ES"/>
        </w:rPr>
      </w:pPr>
    </w:p>
    <w:p w14:paraId="7EF1ADCA" w14:textId="77777777" w:rsidR="00A35EC7" w:rsidRPr="00A35EC7" w:rsidRDefault="00A35EC7" w:rsidP="00A35EC7">
      <w:pPr>
        <w:snapToGrid w:val="0"/>
        <w:contextualSpacing/>
        <w:jc w:val="both"/>
        <w:rPr>
          <w:rFonts w:ascii="Verdana" w:hAnsi="Verdana" w:cs="Arial"/>
          <w:sz w:val="20"/>
          <w:szCs w:val="20"/>
          <w:lang w:val="es-ES" w:eastAsia="es-ES"/>
          <w14:ligatures w14:val="standardContextual"/>
        </w:rPr>
      </w:pPr>
      <w:r w:rsidRPr="00A35EC7">
        <w:rPr>
          <w:rFonts w:ascii="Verdana" w:hAnsi="Verdana" w:cs="Arial"/>
          <w:sz w:val="20"/>
          <w:szCs w:val="20"/>
          <w:lang w:val="es-ES" w:eastAsia="es-ES"/>
          <w14:ligatures w14:val="standardContextual"/>
        </w:rPr>
        <w:t>E</w:t>
      </w:r>
      <w:r w:rsidRPr="00A35EC7">
        <w:rPr>
          <w:rFonts w:ascii="Verdana" w:eastAsia="Calibri" w:hAnsi="Verdana" w:cs="Arial"/>
          <w:color w:val="000000" w:themeColor="text1"/>
          <w:sz w:val="20"/>
          <w:szCs w:val="20"/>
          <w:lang w:val="es-ES"/>
        </w:rPr>
        <w:t xml:space="preserve">l artículo 86 estableció de manera expresa que las entidades sometidas al EGCAP pueden adelantar ese procedimiento en los siguientes supuestos: 1) para declarar el incumplimiento, cuantificando los perjuicios </w:t>
      </w:r>
      <w:proofErr w:type="gramStart"/>
      <w:r w:rsidRPr="00A35EC7">
        <w:rPr>
          <w:rFonts w:ascii="Verdana" w:eastAsia="Calibri" w:hAnsi="Verdana" w:cs="Arial"/>
          <w:color w:val="000000" w:themeColor="text1"/>
          <w:sz w:val="20"/>
          <w:szCs w:val="20"/>
          <w:lang w:val="es-ES"/>
        </w:rPr>
        <w:t>del mismo</w:t>
      </w:r>
      <w:proofErr w:type="gramEnd"/>
      <w:r w:rsidRPr="00A35EC7">
        <w:rPr>
          <w:rFonts w:ascii="Verdana" w:eastAsia="Calibri" w:hAnsi="Verdana" w:cs="Arial"/>
          <w:color w:val="000000" w:themeColor="text1"/>
          <w:sz w:val="20"/>
          <w:szCs w:val="20"/>
          <w:lang w:val="es-ES"/>
        </w:rPr>
        <w:t xml:space="preserve">; 2) imponer las multas y sanciones pactadas en el contrato, y 3) hacer efectiva la cláusula penal cuando haya sido pactada. En consecuencia, la Ley 1474 de 2011 atribuyó expresamente la competencia a las entidades para adelantar el procedimiento del artículo 86 en los tres supuestos antedichos, independientemente considerados. </w:t>
      </w:r>
    </w:p>
    <w:p w14:paraId="46A6361F" w14:textId="77777777" w:rsidR="00A35EC7" w:rsidRDefault="00A35EC7" w:rsidP="00A35EC7">
      <w:pPr>
        <w:snapToGrid w:val="0"/>
        <w:contextualSpacing/>
        <w:jc w:val="both"/>
        <w:rPr>
          <w:rFonts w:ascii="Verdana" w:eastAsia="Calibri" w:hAnsi="Verdana" w:cs="Arial"/>
          <w:b/>
          <w:bCs/>
          <w:color w:val="000000" w:themeColor="text1"/>
          <w:sz w:val="20"/>
          <w:szCs w:val="20"/>
          <w:lang w:val="es-ES"/>
        </w:rPr>
      </w:pPr>
    </w:p>
    <w:p w14:paraId="37FA142A" w14:textId="65F6C310" w:rsidR="00A35EC7" w:rsidRPr="00A35EC7" w:rsidRDefault="00A35EC7" w:rsidP="00A35EC7">
      <w:pPr>
        <w:snapToGrid w:val="0"/>
        <w:contextualSpacing/>
        <w:jc w:val="both"/>
        <w:rPr>
          <w:rFonts w:ascii="Verdana" w:eastAsia="Calibri" w:hAnsi="Verdana" w:cs="Arial"/>
          <w:color w:val="000000" w:themeColor="text1"/>
          <w:sz w:val="20"/>
          <w:szCs w:val="20"/>
          <w:lang w:val="es-ES"/>
        </w:rPr>
      </w:pPr>
      <w:r w:rsidRPr="00A35EC7">
        <w:rPr>
          <w:rFonts w:ascii="Verdana" w:eastAsia="Calibri" w:hAnsi="Verdana" w:cs="Arial"/>
          <w:color w:val="000000" w:themeColor="text1"/>
          <w:sz w:val="20"/>
          <w:szCs w:val="20"/>
          <w:lang w:val="es-ES"/>
        </w:rPr>
        <w:t>[…]</w:t>
      </w:r>
      <w:r w:rsidRPr="00A35EC7">
        <w:rPr>
          <w:rFonts w:ascii="Verdana" w:eastAsia="Calibri" w:hAnsi="Verdana" w:cs="Arial"/>
          <w:b/>
          <w:bCs/>
          <w:color w:val="000000" w:themeColor="text1"/>
          <w:sz w:val="20"/>
          <w:szCs w:val="20"/>
          <w:lang w:val="es-ES"/>
        </w:rPr>
        <w:t xml:space="preserve"> </w:t>
      </w:r>
      <w:r w:rsidRPr="00A35EC7">
        <w:rPr>
          <w:rFonts w:ascii="Verdana" w:eastAsia="Calibri" w:hAnsi="Verdana" w:cs="Arial"/>
          <w:color w:val="000000" w:themeColor="text1"/>
          <w:sz w:val="20"/>
          <w:szCs w:val="20"/>
          <w:lang w:val="es-ES"/>
        </w:rPr>
        <w:t xml:space="preserve">En concordancia con lo explicado previamente, las entidades adelantarán el procedimiento establecido en el referido artículo 86 con el fin ejercer unilateralmente la potestad de imponer las multas y hacer efectiva la cláusula penal, cuando hayan sido incluidas en el contrato en virtud de la autonomía de la voluntad. Sin embargo, la facultad de aplicar el procedimiento administrativo no se encuentra limitada a estos supuestos, pues el artículo 86 señala que las entidades sometidas al EGCAP podrán, además de lo anterior, emplearlo para declarar el incumplimiento del contrato, cuantificando los perjuicios. </w:t>
      </w:r>
    </w:p>
    <w:p w14:paraId="7BD04469" w14:textId="77777777" w:rsidR="00C62706" w:rsidRPr="00A35EC7" w:rsidRDefault="00C62706" w:rsidP="00A35EC7">
      <w:pPr>
        <w:snapToGrid w:val="0"/>
        <w:contextualSpacing/>
        <w:jc w:val="both"/>
        <w:rPr>
          <w:rFonts w:ascii="Verdana" w:eastAsia="Calibri" w:hAnsi="Verdana" w:cs="Arial"/>
          <w:b/>
          <w:bCs/>
          <w:color w:val="000000" w:themeColor="text1"/>
          <w:sz w:val="20"/>
          <w:szCs w:val="20"/>
          <w:lang w:val="es-ES"/>
        </w:rPr>
      </w:pPr>
    </w:p>
    <w:p w14:paraId="29D12936" w14:textId="11884736" w:rsidR="00C62706" w:rsidRPr="00A35EC7" w:rsidRDefault="00C62706" w:rsidP="00A35EC7">
      <w:pPr>
        <w:snapToGrid w:val="0"/>
        <w:contextualSpacing/>
        <w:jc w:val="both"/>
        <w:rPr>
          <w:rFonts w:ascii="Verdana" w:eastAsia="Calibri" w:hAnsi="Verdana" w:cs="Arial"/>
          <w:b/>
          <w:bCs/>
          <w:color w:val="000000" w:themeColor="text1"/>
          <w:sz w:val="22"/>
          <w:szCs w:val="22"/>
          <w:lang w:val="es-ES"/>
        </w:rPr>
      </w:pPr>
      <w:r w:rsidRPr="00A35EC7">
        <w:rPr>
          <w:rFonts w:ascii="Verdana" w:eastAsia="Calibri" w:hAnsi="Verdana" w:cs="Arial"/>
          <w:b/>
          <w:bCs/>
          <w:color w:val="000000" w:themeColor="text1"/>
          <w:sz w:val="22"/>
          <w:szCs w:val="22"/>
          <w:lang w:val="es-ES" w:eastAsia="es-ES"/>
        </w:rPr>
        <w:t xml:space="preserve">DECLARATORIA DE SINIESTRO </w:t>
      </w:r>
      <w:r w:rsidRPr="00A35EC7">
        <w:rPr>
          <w:rFonts w:ascii="Verdana" w:eastAsia="Calibri" w:hAnsi="Verdana" w:cs="Arial"/>
          <w:b/>
          <w:bCs/>
          <w:color w:val="000000" w:themeColor="text1"/>
          <w:sz w:val="22"/>
          <w:szCs w:val="22"/>
          <w:lang w:val="es-ES"/>
        </w:rPr>
        <w:t>–</w:t>
      </w:r>
      <w:r w:rsidR="00A35EC7" w:rsidRPr="00A35EC7">
        <w:rPr>
          <w:rFonts w:ascii="Verdana" w:eastAsia="Calibri" w:hAnsi="Verdana" w:cs="Arial"/>
          <w:b/>
          <w:bCs/>
          <w:color w:val="000000" w:themeColor="text1"/>
          <w:sz w:val="22"/>
          <w:szCs w:val="22"/>
          <w:lang w:val="es-ES"/>
        </w:rPr>
        <w:t>Ausencia de pacto de multas o cláusula penal – Cuantificación de perjuicios</w:t>
      </w:r>
    </w:p>
    <w:p w14:paraId="421082AC" w14:textId="77777777" w:rsidR="00A35EC7" w:rsidRPr="00A35EC7" w:rsidRDefault="00A35EC7" w:rsidP="00A35EC7">
      <w:pPr>
        <w:snapToGrid w:val="0"/>
        <w:contextualSpacing/>
        <w:jc w:val="both"/>
        <w:rPr>
          <w:rFonts w:ascii="Verdana" w:eastAsia="Calibri" w:hAnsi="Verdana" w:cs="Arial"/>
          <w:b/>
          <w:bCs/>
          <w:color w:val="000000" w:themeColor="text1"/>
          <w:sz w:val="20"/>
          <w:szCs w:val="20"/>
          <w:lang w:val="es-ES"/>
        </w:rPr>
      </w:pPr>
    </w:p>
    <w:p w14:paraId="44A57CC5" w14:textId="77777777" w:rsidR="00A35EC7" w:rsidRPr="00A35EC7" w:rsidRDefault="00A35EC7" w:rsidP="00A35EC7">
      <w:pPr>
        <w:snapToGrid w:val="0"/>
        <w:contextualSpacing/>
        <w:jc w:val="both"/>
        <w:rPr>
          <w:rFonts w:ascii="Verdana" w:eastAsia="Calibri" w:hAnsi="Verdana" w:cs="Arial"/>
          <w:color w:val="000000" w:themeColor="text1"/>
          <w:sz w:val="20"/>
          <w:szCs w:val="20"/>
          <w:lang w:val="es-ES"/>
        </w:rPr>
      </w:pPr>
      <w:r w:rsidRPr="00A35EC7">
        <w:rPr>
          <w:rFonts w:ascii="Verdana" w:eastAsia="Calibri" w:hAnsi="Verdana" w:cs="Arial"/>
          <w:color w:val="000000" w:themeColor="text1"/>
          <w:sz w:val="20"/>
          <w:szCs w:val="20"/>
          <w:lang w:val="es-ES"/>
        </w:rPr>
        <w:t xml:space="preserve">En efecto, el artículo 86 es procedente para que la entidad declare que el contratista ha incumplido el contrato y, en este evento, surgirá el derecho de hacer efectiva la póliza de cumplimiento, aun cuando la administración no haya pactado multas o la imposición de la cláusula penal. En otras palabras, la declaratoria del incumplimiento del contrato, que puede dar lugar a la efectividad de la garantía otorgada por el contratista, no se encuentra supeditada a que las partes incluyan cláusulas contractuales para la imposición de multas o la cláusula penal. Por el contrario, es el incumplimiento de las </w:t>
      </w:r>
      <w:r w:rsidRPr="00A35EC7">
        <w:rPr>
          <w:rFonts w:ascii="Verdana" w:eastAsia="Calibri" w:hAnsi="Verdana" w:cs="Arial"/>
          <w:color w:val="000000" w:themeColor="text1"/>
          <w:sz w:val="20"/>
          <w:szCs w:val="20"/>
          <w:lang w:val="es-ES"/>
        </w:rPr>
        <w:lastRenderedPageBreak/>
        <w:t xml:space="preserve">obligaciones por parte del contratista lo que puede ocasionar la imposición de las multas o la ejecución de la cláusula penal cuando hayan sido pactadas en el contrato. En </w:t>
      </w:r>
      <w:proofErr w:type="gramStart"/>
      <w:r w:rsidRPr="00A35EC7">
        <w:rPr>
          <w:rFonts w:ascii="Verdana" w:eastAsia="Calibri" w:hAnsi="Verdana" w:cs="Arial"/>
          <w:color w:val="000000" w:themeColor="text1"/>
          <w:sz w:val="20"/>
          <w:szCs w:val="20"/>
          <w:lang w:val="es-ES"/>
        </w:rPr>
        <w:t>consecuencia</w:t>
      </w:r>
      <w:proofErr w:type="gramEnd"/>
      <w:r w:rsidRPr="00A35EC7">
        <w:rPr>
          <w:rFonts w:ascii="Verdana" w:eastAsia="Calibri" w:hAnsi="Verdana" w:cs="Arial"/>
          <w:color w:val="000000" w:themeColor="text1"/>
          <w:sz w:val="20"/>
          <w:szCs w:val="20"/>
          <w:lang w:val="es-ES"/>
        </w:rPr>
        <w:t xml:space="preserve"> cuando, en ejercicio de la autonomía de la voluntad, las entidades no pacten las multas o la cláusula penal, no por esto la administración perderá la potestad exorbitante que le otorgó expresamente el artículo 86 de la Ley 1474 de 2011 de declarar el incumplimiento del contrato. De esta forma, la declaratoria unilateral del siniestro en este caso estará precedida por la declaratoria del incumplimiento del contrato, lo cual hace procedente el procedimiento administrativo del artículo 86.</w:t>
      </w:r>
    </w:p>
    <w:p w14:paraId="3E61AFE3" w14:textId="77777777" w:rsidR="00A35EC7" w:rsidRPr="00A35EC7" w:rsidRDefault="00A35EC7" w:rsidP="00A35EC7">
      <w:pPr>
        <w:snapToGrid w:val="0"/>
        <w:contextualSpacing/>
        <w:jc w:val="both"/>
        <w:rPr>
          <w:rFonts w:ascii="Verdana" w:eastAsia="Calibri" w:hAnsi="Verdana" w:cs="Arial"/>
          <w:b/>
          <w:bCs/>
          <w:color w:val="000000" w:themeColor="text1"/>
          <w:sz w:val="20"/>
          <w:szCs w:val="20"/>
          <w:lang w:val="es-ES"/>
        </w:rPr>
      </w:pPr>
    </w:p>
    <w:p w14:paraId="71309A1E" w14:textId="709569FB" w:rsidR="00A35EC7" w:rsidRPr="00A35EC7" w:rsidRDefault="00A35EC7" w:rsidP="00A35EC7">
      <w:pPr>
        <w:snapToGrid w:val="0"/>
        <w:contextualSpacing/>
        <w:jc w:val="both"/>
        <w:rPr>
          <w:rFonts w:ascii="Verdana" w:eastAsia="Calibri" w:hAnsi="Verdana" w:cs="Arial"/>
          <w:b/>
          <w:bCs/>
          <w:color w:val="000000" w:themeColor="text1"/>
          <w:sz w:val="20"/>
          <w:szCs w:val="20"/>
          <w:lang w:val="es-ES"/>
        </w:rPr>
      </w:pPr>
      <w:r w:rsidRPr="00A35EC7">
        <w:rPr>
          <w:rFonts w:ascii="Verdana" w:eastAsia="Calibri" w:hAnsi="Verdana" w:cs="Arial"/>
          <w:color w:val="000000" w:themeColor="text1"/>
          <w:sz w:val="20"/>
          <w:szCs w:val="20"/>
          <w:lang w:val="es-ES"/>
        </w:rPr>
        <w:t xml:space="preserve">Esta </w:t>
      </w:r>
      <w:r w:rsidRPr="00A35EC7">
        <w:rPr>
          <w:rFonts w:ascii="Verdana" w:hAnsi="Verdana"/>
          <w:sz w:val="20"/>
          <w:szCs w:val="20"/>
          <w:lang w:val="es-ES"/>
        </w:rPr>
        <w:t xml:space="preserve">facultad de adelantar el procedimiento del artículo 86 para que la entidad declare la ocurrencia del siniestro con ocasión al incumplimiento del contrato, junto con la cuantificación de los perjuicios derivados del mismo, se ajusta al debido proceso, según lo dispuesto por la Corte Constitucional en la sentencia C-499 de 2015. </w:t>
      </w:r>
      <w:r w:rsidRPr="00A35EC7">
        <w:rPr>
          <w:rFonts w:ascii="Verdana" w:hAnsi="Verdana" w:cs="Arial"/>
          <w:iCs/>
          <w:sz w:val="20"/>
          <w:szCs w:val="20"/>
          <w:lang w:val="es-ES"/>
        </w:rPr>
        <w:t xml:space="preserve">En línea con lo anterior, la jurisprudencia del Consejo de Estado ha sostenido que la tasación de los perjuicios en el marco de dicho procedimiento administrativo es discrecional por parte de la Administración, </w:t>
      </w:r>
      <w:r w:rsidRPr="00A35EC7">
        <w:rPr>
          <w:rFonts w:ascii="Verdana" w:hAnsi="Verdana" w:cs="Arial"/>
          <w:sz w:val="20"/>
          <w:szCs w:val="20"/>
          <w:lang w:val="es-ES"/>
        </w:rPr>
        <w:t xml:space="preserve">sin embargo, debe ser abordada desde la perspectiva de la proporcionalidad. </w:t>
      </w:r>
      <w:r w:rsidRPr="00A35EC7">
        <w:rPr>
          <w:rFonts w:ascii="Verdana" w:eastAsia="Calibri" w:hAnsi="Verdana" w:cs="Arial"/>
          <w:color w:val="000000" w:themeColor="text1"/>
          <w:sz w:val="20"/>
          <w:szCs w:val="20"/>
          <w:lang w:val="es-ES"/>
        </w:rPr>
        <w:t>Además, la Entidad deberá asegurar que el procedimiento que adelante para la declaratoria del incumplimiento cumpla con el debido proceso, permitiendo que tanto el contratista como la aseguradora ejerzan el derecho de audiencia y defensa antes de que la Entidad declare el siniestro o afecte la póliza.</w:t>
      </w:r>
    </w:p>
    <w:p w14:paraId="7FC58B75" w14:textId="77777777" w:rsidR="00A35EC7" w:rsidRDefault="00A35EC7" w:rsidP="00C62706">
      <w:pPr>
        <w:snapToGrid w:val="0"/>
        <w:contextualSpacing/>
        <w:jc w:val="both"/>
        <w:rPr>
          <w:rFonts w:ascii="Verdana" w:eastAsia="Calibri" w:hAnsi="Verdana" w:cs="Arial"/>
          <w:b/>
          <w:bCs/>
          <w:color w:val="000000" w:themeColor="text1"/>
          <w:sz w:val="22"/>
          <w:szCs w:val="22"/>
          <w:lang w:val="es-ES"/>
        </w:rPr>
      </w:pPr>
    </w:p>
    <w:p w14:paraId="5A53F181" w14:textId="77777777" w:rsidR="00A35EC7" w:rsidRPr="00C62706" w:rsidRDefault="00A35EC7" w:rsidP="00C62706">
      <w:pPr>
        <w:snapToGrid w:val="0"/>
        <w:contextualSpacing/>
        <w:jc w:val="both"/>
        <w:rPr>
          <w:rFonts w:ascii="Verdana" w:eastAsia="Calibri" w:hAnsi="Verdana" w:cs="Arial"/>
          <w:b/>
          <w:bCs/>
          <w:sz w:val="22"/>
          <w:szCs w:val="22"/>
          <w:lang w:val="es-ES" w:eastAsia="es-ES"/>
        </w:rPr>
      </w:pPr>
    </w:p>
    <w:p w14:paraId="520FCD84" w14:textId="79E83C08" w:rsidR="002D2F25" w:rsidRPr="00C62706" w:rsidRDefault="002D2F25" w:rsidP="00C62706">
      <w:pPr>
        <w:snapToGrid w:val="0"/>
        <w:contextualSpacing/>
        <w:jc w:val="both"/>
        <w:rPr>
          <w:rFonts w:ascii="Verdana" w:hAnsi="Verdana"/>
          <w:b/>
          <w:bCs/>
          <w:sz w:val="22"/>
          <w:szCs w:val="22"/>
          <w:lang w:val="es-ES"/>
        </w:rPr>
      </w:pPr>
      <w:r w:rsidRPr="00C62706">
        <w:rPr>
          <w:rFonts w:ascii="Verdana" w:eastAsia="Calibri" w:hAnsi="Verdana" w:cs="Arial"/>
          <w:b/>
          <w:bCs/>
          <w:sz w:val="22"/>
          <w:szCs w:val="22"/>
          <w:lang w:val="es-ES" w:eastAsia="es-ES"/>
        </w:rPr>
        <w:t xml:space="preserve">  </w:t>
      </w:r>
    </w:p>
    <w:p w14:paraId="35481818" w14:textId="77777777" w:rsidR="00C62706" w:rsidRDefault="00C62706" w:rsidP="00B3760F">
      <w:pPr>
        <w:rPr>
          <w:rFonts w:ascii="Verdana" w:hAnsi="Verdana"/>
          <w:sz w:val="22"/>
          <w:szCs w:val="22"/>
          <w:lang w:val="es-ES"/>
        </w:rPr>
      </w:pPr>
    </w:p>
    <w:p w14:paraId="3F05F925" w14:textId="77777777" w:rsidR="00A35EC7" w:rsidRDefault="00A35EC7" w:rsidP="00B3760F">
      <w:pPr>
        <w:rPr>
          <w:rFonts w:ascii="Verdana" w:hAnsi="Verdana"/>
          <w:sz w:val="22"/>
          <w:szCs w:val="22"/>
          <w:lang w:val="es-ES"/>
        </w:rPr>
      </w:pPr>
    </w:p>
    <w:p w14:paraId="542AB1C8" w14:textId="77777777" w:rsidR="00A35EC7" w:rsidRDefault="00A35EC7" w:rsidP="00B3760F">
      <w:pPr>
        <w:rPr>
          <w:rFonts w:ascii="Verdana" w:hAnsi="Verdana"/>
          <w:sz w:val="22"/>
          <w:szCs w:val="22"/>
          <w:lang w:val="es-ES"/>
        </w:rPr>
      </w:pPr>
    </w:p>
    <w:p w14:paraId="7D31A6A2" w14:textId="77777777" w:rsidR="00A35EC7" w:rsidRDefault="00A35EC7" w:rsidP="00B3760F">
      <w:pPr>
        <w:rPr>
          <w:rFonts w:ascii="Verdana" w:hAnsi="Verdana"/>
          <w:sz w:val="22"/>
          <w:szCs w:val="22"/>
          <w:lang w:val="es-ES"/>
        </w:rPr>
      </w:pPr>
    </w:p>
    <w:p w14:paraId="4E8D41BF" w14:textId="77777777" w:rsidR="00A35EC7" w:rsidRDefault="00A35EC7" w:rsidP="00B3760F">
      <w:pPr>
        <w:rPr>
          <w:rFonts w:ascii="Verdana" w:hAnsi="Verdana"/>
          <w:sz w:val="22"/>
          <w:szCs w:val="22"/>
          <w:lang w:val="es-ES"/>
        </w:rPr>
      </w:pPr>
    </w:p>
    <w:p w14:paraId="14D0CE74" w14:textId="77777777" w:rsidR="00A35EC7" w:rsidRDefault="00A35EC7" w:rsidP="00B3760F">
      <w:pPr>
        <w:rPr>
          <w:rFonts w:ascii="Verdana" w:hAnsi="Verdana"/>
          <w:sz w:val="22"/>
          <w:szCs w:val="22"/>
          <w:lang w:val="es-ES"/>
        </w:rPr>
      </w:pPr>
    </w:p>
    <w:p w14:paraId="205FC53E" w14:textId="77777777" w:rsidR="00A35EC7" w:rsidRDefault="00A35EC7" w:rsidP="00B3760F">
      <w:pPr>
        <w:rPr>
          <w:rFonts w:ascii="Verdana" w:hAnsi="Verdana"/>
          <w:sz w:val="22"/>
          <w:szCs w:val="22"/>
          <w:lang w:val="es-ES"/>
        </w:rPr>
      </w:pPr>
    </w:p>
    <w:p w14:paraId="52776C9E" w14:textId="77777777" w:rsidR="00A35EC7" w:rsidRDefault="00A35EC7" w:rsidP="00B3760F">
      <w:pPr>
        <w:rPr>
          <w:rFonts w:ascii="Verdana" w:hAnsi="Verdana"/>
          <w:sz w:val="22"/>
          <w:szCs w:val="22"/>
          <w:lang w:val="es-ES"/>
        </w:rPr>
      </w:pPr>
    </w:p>
    <w:p w14:paraId="61F04C50" w14:textId="77777777" w:rsidR="00A35EC7" w:rsidRDefault="00A35EC7" w:rsidP="00B3760F">
      <w:pPr>
        <w:rPr>
          <w:rFonts w:ascii="Verdana" w:hAnsi="Verdana"/>
          <w:sz w:val="22"/>
          <w:szCs w:val="22"/>
          <w:lang w:val="es-ES"/>
        </w:rPr>
      </w:pPr>
    </w:p>
    <w:p w14:paraId="27F6F49B" w14:textId="77777777" w:rsidR="00A35EC7" w:rsidRDefault="00A35EC7" w:rsidP="00B3760F">
      <w:pPr>
        <w:rPr>
          <w:rFonts w:ascii="Verdana" w:hAnsi="Verdana"/>
          <w:sz w:val="22"/>
          <w:szCs w:val="22"/>
          <w:lang w:val="es-ES"/>
        </w:rPr>
      </w:pPr>
    </w:p>
    <w:p w14:paraId="0CF68C1B" w14:textId="77777777" w:rsidR="00A35EC7" w:rsidRDefault="00A35EC7" w:rsidP="00B3760F">
      <w:pPr>
        <w:rPr>
          <w:rFonts w:ascii="Verdana" w:hAnsi="Verdana"/>
          <w:sz w:val="22"/>
          <w:szCs w:val="22"/>
          <w:lang w:val="es-ES"/>
        </w:rPr>
      </w:pPr>
    </w:p>
    <w:p w14:paraId="15A4B81B" w14:textId="77777777" w:rsidR="00A35EC7" w:rsidRDefault="00A35EC7" w:rsidP="00B3760F">
      <w:pPr>
        <w:rPr>
          <w:rFonts w:ascii="Verdana" w:hAnsi="Verdana"/>
          <w:sz w:val="22"/>
          <w:szCs w:val="22"/>
          <w:lang w:val="es-ES"/>
        </w:rPr>
      </w:pPr>
    </w:p>
    <w:p w14:paraId="4F8E135D" w14:textId="77777777" w:rsidR="00A35EC7" w:rsidRDefault="00A35EC7" w:rsidP="00B3760F">
      <w:pPr>
        <w:rPr>
          <w:rFonts w:ascii="Verdana" w:hAnsi="Verdana"/>
          <w:sz w:val="22"/>
          <w:szCs w:val="22"/>
          <w:lang w:val="es-ES"/>
        </w:rPr>
      </w:pPr>
    </w:p>
    <w:p w14:paraId="744CC72D" w14:textId="77777777" w:rsidR="00A35EC7" w:rsidRDefault="00A35EC7" w:rsidP="00B3760F">
      <w:pPr>
        <w:rPr>
          <w:rFonts w:ascii="Verdana" w:hAnsi="Verdana"/>
          <w:sz w:val="22"/>
          <w:szCs w:val="22"/>
          <w:lang w:val="es-ES"/>
        </w:rPr>
      </w:pPr>
    </w:p>
    <w:p w14:paraId="547F1CF5" w14:textId="77777777" w:rsidR="00A35EC7" w:rsidRDefault="00A35EC7" w:rsidP="00B3760F">
      <w:pPr>
        <w:rPr>
          <w:rFonts w:ascii="Verdana" w:hAnsi="Verdana"/>
          <w:sz w:val="22"/>
          <w:szCs w:val="22"/>
          <w:lang w:val="es-ES"/>
        </w:rPr>
      </w:pPr>
    </w:p>
    <w:p w14:paraId="6A696340" w14:textId="77777777" w:rsidR="00A35EC7" w:rsidRDefault="00A35EC7" w:rsidP="00B3760F">
      <w:pPr>
        <w:rPr>
          <w:rFonts w:ascii="Verdana" w:hAnsi="Verdana"/>
          <w:sz w:val="22"/>
          <w:szCs w:val="22"/>
          <w:lang w:val="es-ES"/>
        </w:rPr>
      </w:pPr>
    </w:p>
    <w:p w14:paraId="03FA70AC" w14:textId="77777777" w:rsidR="00A35EC7" w:rsidRDefault="00A35EC7" w:rsidP="00B3760F">
      <w:pPr>
        <w:rPr>
          <w:rFonts w:ascii="Verdana" w:hAnsi="Verdana"/>
          <w:sz w:val="22"/>
          <w:szCs w:val="22"/>
          <w:lang w:val="es-ES"/>
        </w:rPr>
      </w:pPr>
    </w:p>
    <w:p w14:paraId="409F091F" w14:textId="77777777" w:rsidR="00A35EC7" w:rsidRDefault="00A35EC7" w:rsidP="00B3760F">
      <w:pPr>
        <w:rPr>
          <w:rFonts w:ascii="Verdana" w:hAnsi="Verdana"/>
          <w:sz w:val="22"/>
          <w:szCs w:val="22"/>
          <w:lang w:val="es-ES"/>
        </w:rPr>
      </w:pPr>
    </w:p>
    <w:p w14:paraId="63E62C5A" w14:textId="77777777" w:rsidR="00A35EC7" w:rsidRDefault="00A35EC7" w:rsidP="00B3760F">
      <w:pPr>
        <w:rPr>
          <w:rFonts w:ascii="Verdana" w:hAnsi="Verdana"/>
          <w:sz w:val="22"/>
          <w:szCs w:val="22"/>
          <w:lang w:val="es-ES"/>
        </w:rPr>
      </w:pPr>
    </w:p>
    <w:p w14:paraId="1217DC00" w14:textId="77777777" w:rsidR="00A35EC7" w:rsidRDefault="00A35EC7" w:rsidP="00B3760F">
      <w:pPr>
        <w:rPr>
          <w:rFonts w:ascii="Verdana" w:hAnsi="Verdana"/>
          <w:sz w:val="22"/>
          <w:szCs w:val="22"/>
          <w:lang w:val="es-ES"/>
        </w:rPr>
      </w:pPr>
    </w:p>
    <w:p w14:paraId="48C06E1F" w14:textId="77777777" w:rsidR="00A35EC7" w:rsidRDefault="00A35EC7" w:rsidP="00B3760F">
      <w:pPr>
        <w:rPr>
          <w:rFonts w:ascii="Verdana" w:hAnsi="Verdana"/>
          <w:sz w:val="22"/>
          <w:szCs w:val="22"/>
          <w:lang w:val="es-ES"/>
        </w:rPr>
      </w:pPr>
    </w:p>
    <w:p w14:paraId="4978B04D" w14:textId="77777777" w:rsidR="00A35EC7" w:rsidRDefault="00A35EC7" w:rsidP="00B3760F">
      <w:pPr>
        <w:rPr>
          <w:rFonts w:ascii="Verdana" w:hAnsi="Verdana"/>
          <w:sz w:val="22"/>
          <w:szCs w:val="22"/>
          <w:lang w:val="es-ES"/>
        </w:rPr>
      </w:pPr>
    </w:p>
    <w:p w14:paraId="2BDC3F31" w14:textId="77777777" w:rsidR="00A35EC7" w:rsidRDefault="00A35EC7" w:rsidP="00B3760F">
      <w:pPr>
        <w:rPr>
          <w:rFonts w:ascii="Verdana" w:hAnsi="Verdana"/>
          <w:sz w:val="22"/>
          <w:szCs w:val="22"/>
          <w:lang w:val="es-ES"/>
        </w:rPr>
      </w:pPr>
    </w:p>
    <w:p w14:paraId="6C655326" w14:textId="361056BC" w:rsidR="00B3760F" w:rsidRPr="005D3471" w:rsidRDefault="00B3760F" w:rsidP="00B3760F">
      <w:pPr>
        <w:rPr>
          <w:rFonts w:ascii="Verdana" w:hAnsi="Verdana"/>
          <w:sz w:val="22"/>
          <w:szCs w:val="22"/>
          <w:lang w:val="es-ES"/>
        </w:rPr>
      </w:pPr>
      <w:r w:rsidRPr="005D3471">
        <w:rPr>
          <w:rFonts w:ascii="Verdana" w:hAnsi="Verdana"/>
          <w:sz w:val="22"/>
          <w:szCs w:val="22"/>
          <w:lang w:val="es-ES"/>
        </w:rPr>
        <w:t xml:space="preserve">Bogotá D.C., </w:t>
      </w:r>
      <w:r w:rsidR="005D0684">
        <w:rPr>
          <w:rFonts w:ascii="Verdana" w:hAnsi="Verdana"/>
          <w:sz w:val="22"/>
          <w:szCs w:val="22"/>
          <w:lang w:val="es-ES"/>
        </w:rPr>
        <w:t xml:space="preserve">26 </w:t>
      </w:r>
      <w:proofErr w:type="gramStart"/>
      <w:r w:rsidR="005D0684">
        <w:rPr>
          <w:rFonts w:ascii="Verdana" w:hAnsi="Verdana"/>
          <w:sz w:val="22"/>
          <w:szCs w:val="22"/>
          <w:lang w:val="es-ES"/>
        </w:rPr>
        <w:t>Septiembre</w:t>
      </w:r>
      <w:proofErr w:type="gramEnd"/>
      <w:r w:rsidR="005D0684">
        <w:rPr>
          <w:rFonts w:ascii="Verdana" w:hAnsi="Verdana"/>
          <w:sz w:val="22"/>
          <w:szCs w:val="22"/>
          <w:lang w:val="es-ES"/>
        </w:rPr>
        <w:t xml:space="preserve"> de 2025</w:t>
      </w:r>
    </w:p>
    <w:p w14:paraId="0633DA0F" w14:textId="77777777" w:rsidR="00B3760F" w:rsidRPr="005D3471" w:rsidRDefault="00B3760F" w:rsidP="00B3760F">
      <w:pPr>
        <w:jc w:val="both"/>
        <w:rPr>
          <w:rFonts w:ascii="Verdana" w:eastAsia="Calibri" w:hAnsi="Verdana" w:cs="Arial"/>
          <w:sz w:val="22"/>
          <w:szCs w:val="22"/>
          <w:lang w:val="es-ES" w:eastAsia="es-ES"/>
        </w:rPr>
      </w:pPr>
    </w:p>
    <w:p w14:paraId="60F16AFA" w14:textId="77777777" w:rsidR="00137E67" w:rsidRDefault="00137E67" w:rsidP="00B3760F">
      <w:pPr>
        <w:jc w:val="both"/>
        <w:rPr>
          <w:rFonts w:ascii="Verdana" w:eastAsia="Calibri" w:hAnsi="Verdana" w:cs="Arial"/>
          <w:sz w:val="22"/>
          <w:szCs w:val="22"/>
          <w:lang w:val="es-ES" w:eastAsia="es-ES"/>
        </w:rPr>
      </w:pPr>
    </w:p>
    <w:p w14:paraId="0E4131AB" w14:textId="34209498" w:rsidR="00B3760F" w:rsidRPr="005D3471" w:rsidRDefault="00381533" w:rsidP="00B3760F">
      <w:pPr>
        <w:jc w:val="both"/>
        <w:rPr>
          <w:rFonts w:ascii="Verdana" w:eastAsia="Calibri" w:hAnsi="Verdana" w:cs="Arial"/>
          <w:sz w:val="22"/>
          <w:szCs w:val="22"/>
          <w:lang w:val="es-ES" w:eastAsia="es-ES"/>
        </w:rPr>
      </w:pPr>
      <w:r w:rsidRPr="005D3471">
        <w:rPr>
          <w:rFonts w:ascii="Verdana" w:eastAsia="Calibri" w:hAnsi="Verdana" w:cs="Arial"/>
          <w:sz w:val="22"/>
          <w:szCs w:val="22"/>
          <w:lang w:val="es-ES" w:eastAsia="es-ES"/>
        </w:rPr>
        <w:t>Doctor</w:t>
      </w:r>
    </w:p>
    <w:p w14:paraId="2AA2A7CC" w14:textId="36820734" w:rsidR="00381533" w:rsidRPr="005D3471" w:rsidRDefault="005D0684" w:rsidP="00381533">
      <w:pPr>
        <w:rPr>
          <w:rFonts w:ascii="Verdana" w:eastAsia="Calibri" w:hAnsi="Verdana" w:cs="Arial"/>
          <w:b/>
          <w:bCs/>
          <w:sz w:val="22"/>
          <w:szCs w:val="22"/>
          <w:lang w:val="es-ES" w:eastAsia="es-ES_tradnl"/>
        </w:rPr>
      </w:pPr>
      <w:r>
        <w:rPr>
          <w:rFonts w:ascii="Verdana" w:eastAsia="Calibri" w:hAnsi="Verdana" w:cs="Arial"/>
          <w:noProof/>
          <w:sz w:val="22"/>
          <w:szCs w:val="22"/>
          <w:lang w:val="es-ES" w:eastAsia="es-ES_tradnl"/>
        </w:rPr>
        <w:drawing>
          <wp:anchor distT="0" distB="0" distL="114300" distR="114300" simplePos="0" relativeHeight="251658240" behindDoc="0" locked="0" layoutInCell="1" allowOverlap="1" wp14:anchorId="42E90BF2" wp14:editId="6F40D44C">
            <wp:simplePos x="0" y="0"/>
            <wp:positionH relativeFrom="column">
              <wp:posOffset>3176104</wp:posOffset>
            </wp:positionH>
            <wp:positionV relativeFrom="paragraph">
              <wp:posOffset>94126</wp:posOffset>
            </wp:positionV>
            <wp:extent cx="3140075" cy="845820"/>
            <wp:effectExtent l="0" t="0" r="0" b="5080"/>
            <wp:wrapSquare wrapText="bothSides"/>
            <wp:docPr id="3199359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9935994" name="Picture 319935994"/>
                    <pic:cNvPicPr/>
                  </pic:nvPicPr>
                  <pic:blipFill>
                    <a:blip r:embed="rId11">
                      <a:extLst>
                        <a:ext uri="{28A0092B-C50C-407E-A947-70E740481C1C}">
                          <a14:useLocalDpi xmlns:a14="http://schemas.microsoft.com/office/drawing/2010/main" val="0"/>
                        </a:ext>
                      </a:extLst>
                    </a:blip>
                    <a:stretch>
                      <a:fillRect/>
                    </a:stretch>
                  </pic:blipFill>
                  <pic:spPr>
                    <a:xfrm>
                      <a:off x="0" y="0"/>
                      <a:ext cx="3140075" cy="845820"/>
                    </a:xfrm>
                    <a:prstGeom prst="rect">
                      <a:avLst/>
                    </a:prstGeom>
                  </pic:spPr>
                </pic:pic>
              </a:graphicData>
            </a:graphic>
            <wp14:sizeRelH relativeFrom="page">
              <wp14:pctWidth>0</wp14:pctWidth>
            </wp14:sizeRelH>
            <wp14:sizeRelV relativeFrom="page">
              <wp14:pctHeight>0</wp14:pctHeight>
            </wp14:sizeRelV>
          </wp:anchor>
        </w:drawing>
      </w:r>
      <w:r w:rsidR="00381533" w:rsidRPr="005D3471">
        <w:rPr>
          <w:rFonts w:ascii="Verdana" w:eastAsia="Calibri" w:hAnsi="Verdana" w:cs="Arial"/>
          <w:b/>
          <w:bCs/>
          <w:sz w:val="22"/>
          <w:szCs w:val="22"/>
          <w:lang w:val="es-ES" w:eastAsia="es-ES_tradnl"/>
        </w:rPr>
        <w:t xml:space="preserve">Ronald Gordillo </w:t>
      </w:r>
      <w:proofErr w:type="spellStart"/>
      <w:r w:rsidR="00381533" w:rsidRPr="005D3471">
        <w:rPr>
          <w:rFonts w:ascii="Verdana" w:eastAsia="Calibri" w:hAnsi="Verdana" w:cs="Arial"/>
          <w:b/>
          <w:bCs/>
          <w:sz w:val="22"/>
          <w:szCs w:val="22"/>
          <w:lang w:val="es-ES" w:eastAsia="es-ES_tradnl"/>
        </w:rPr>
        <w:t>Álvarez</w:t>
      </w:r>
      <w:proofErr w:type="spellEnd"/>
    </w:p>
    <w:p w14:paraId="18CF4D36" w14:textId="27D8780B" w:rsidR="00381533" w:rsidRPr="005D0684" w:rsidRDefault="00381533" w:rsidP="00381533">
      <w:pPr>
        <w:rPr>
          <w:rFonts w:ascii="Verdana" w:eastAsia="Calibri" w:hAnsi="Verdana" w:cs="Arial"/>
          <w:b/>
          <w:bCs/>
          <w:sz w:val="22"/>
          <w:szCs w:val="22"/>
          <w:lang w:val="es-ES" w:eastAsia="es-ES_tradnl"/>
        </w:rPr>
      </w:pPr>
      <w:r w:rsidRPr="005D0684">
        <w:rPr>
          <w:rFonts w:ascii="Verdana" w:eastAsia="Calibri" w:hAnsi="Verdana" w:cs="Arial"/>
          <w:b/>
          <w:bCs/>
          <w:sz w:val="22"/>
          <w:szCs w:val="22"/>
          <w:lang w:val="es-ES" w:eastAsia="es-ES_tradnl"/>
        </w:rPr>
        <w:t xml:space="preserve">Subdirector de Contratación </w:t>
      </w:r>
    </w:p>
    <w:p w14:paraId="21F68034" w14:textId="168A8BC2" w:rsidR="00381533" w:rsidRPr="005D0684" w:rsidRDefault="00381533" w:rsidP="00381533">
      <w:pPr>
        <w:rPr>
          <w:rFonts w:ascii="Verdana" w:eastAsia="Calibri" w:hAnsi="Verdana" w:cs="Arial"/>
          <w:b/>
          <w:bCs/>
          <w:sz w:val="22"/>
          <w:szCs w:val="22"/>
          <w:lang w:val="es-ES" w:eastAsia="es-ES_tradnl"/>
        </w:rPr>
      </w:pPr>
      <w:r w:rsidRPr="005D0684">
        <w:rPr>
          <w:rFonts w:ascii="Verdana" w:eastAsia="Calibri" w:hAnsi="Verdana" w:cs="Arial"/>
          <w:b/>
          <w:bCs/>
          <w:sz w:val="22"/>
          <w:szCs w:val="22"/>
          <w:lang w:val="es-ES" w:eastAsia="es-ES_tradnl"/>
        </w:rPr>
        <w:t xml:space="preserve">Departamento Nacional de Planeación </w:t>
      </w:r>
    </w:p>
    <w:p w14:paraId="6C158CCE" w14:textId="1541E487" w:rsidR="00381533" w:rsidRPr="005D3471" w:rsidRDefault="00381533" w:rsidP="00381533">
      <w:pPr>
        <w:rPr>
          <w:rFonts w:ascii="Verdana" w:eastAsia="Calibri" w:hAnsi="Verdana" w:cs="Arial"/>
          <w:bCs/>
          <w:sz w:val="22"/>
          <w:szCs w:val="22"/>
          <w:lang w:val="es-ES" w:eastAsia="es-ES_tradnl"/>
        </w:rPr>
      </w:pPr>
      <w:hyperlink r:id="rId12" w:history="1">
        <w:r w:rsidRPr="005D3471">
          <w:rPr>
            <w:rStyle w:val="Hipervnculo"/>
            <w:rFonts w:ascii="Verdana" w:eastAsia="Calibri" w:hAnsi="Verdana" w:cs="Arial"/>
            <w:bCs/>
            <w:sz w:val="22"/>
            <w:szCs w:val="22"/>
            <w:lang w:val="es-ES" w:eastAsia="es-ES_tradnl"/>
          </w:rPr>
          <w:t>rgordillo@dnp.gov.co</w:t>
        </w:r>
      </w:hyperlink>
    </w:p>
    <w:p w14:paraId="7FB798F0" w14:textId="5D6145F9" w:rsidR="00381533" w:rsidRPr="005D3471" w:rsidRDefault="00381533" w:rsidP="00381533">
      <w:pPr>
        <w:rPr>
          <w:rFonts w:ascii="Verdana" w:eastAsia="Calibri" w:hAnsi="Verdana" w:cs="Arial"/>
          <w:bCs/>
          <w:sz w:val="22"/>
          <w:szCs w:val="22"/>
          <w:lang w:val="es-ES" w:eastAsia="es-ES_tradnl"/>
        </w:rPr>
      </w:pPr>
      <w:r w:rsidRPr="005D3471">
        <w:rPr>
          <w:rFonts w:ascii="Verdana" w:eastAsia="Calibri" w:hAnsi="Verdana" w:cs="Arial"/>
          <w:bCs/>
          <w:sz w:val="22"/>
          <w:szCs w:val="22"/>
          <w:lang w:val="es-ES" w:eastAsia="es-ES_tradnl"/>
        </w:rPr>
        <w:t>Bogotá D.C.</w:t>
      </w:r>
    </w:p>
    <w:p w14:paraId="2C50B3CA" w14:textId="77777777" w:rsidR="00B3760F" w:rsidRPr="005D3471" w:rsidRDefault="00B3760F" w:rsidP="00B3760F">
      <w:pPr>
        <w:rPr>
          <w:rFonts w:ascii="Verdana" w:eastAsia="Calibri" w:hAnsi="Verdana" w:cs="Arial"/>
          <w:b/>
          <w:bCs/>
          <w:color w:val="000000"/>
          <w:sz w:val="22"/>
          <w:szCs w:val="22"/>
          <w:lang w:val="es-ES" w:eastAsia="es-ES_tradnl"/>
        </w:rPr>
      </w:pPr>
    </w:p>
    <w:p w14:paraId="2F0E0867" w14:textId="77777777" w:rsidR="00B3760F" w:rsidRPr="005D3471" w:rsidRDefault="00B3760F" w:rsidP="00B3760F">
      <w:pPr>
        <w:rPr>
          <w:rFonts w:ascii="Verdana" w:eastAsia="Calibri" w:hAnsi="Verdana" w:cs="Arial"/>
          <w:b/>
          <w:bCs/>
          <w:color w:val="000000"/>
          <w:sz w:val="22"/>
          <w:szCs w:val="22"/>
          <w:lang w:val="es-ES"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735B7C" w:rsidRPr="005D3471" w14:paraId="5BA6D203" w14:textId="77777777">
        <w:trPr>
          <w:trHeight w:val="575"/>
        </w:trPr>
        <w:tc>
          <w:tcPr>
            <w:tcW w:w="2689" w:type="dxa"/>
          </w:tcPr>
          <w:p w14:paraId="48651DDA" w14:textId="77777777" w:rsidR="00735B7C" w:rsidRPr="005D3471" w:rsidRDefault="00735B7C">
            <w:pPr>
              <w:jc w:val="both"/>
              <w:rPr>
                <w:rFonts w:ascii="Verdana" w:eastAsia="Calibri" w:hAnsi="Verdana" w:cs="Arial"/>
                <w:b/>
                <w:bCs/>
                <w:color w:val="7030A0"/>
                <w:sz w:val="22"/>
                <w:szCs w:val="22"/>
                <w:lang w:val="es-ES" w:eastAsia="es-ES_tradnl"/>
              </w:rPr>
            </w:pPr>
          </w:p>
        </w:tc>
        <w:tc>
          <w:tcPr>
            <w:tcW w:w="6100" w:type="dxa"/>
          </w:tcPr>
          <w:p w14:paraId="6A370424" w14:textId="330804C4" w:rsidR="00735B7C" w:rsidRPr="005D3471" w:rsidRDefault="00735B7C">
            <w:pPr>
              <w:jc w:val="both"/>
              <w:rPr>
                <w:rFonts w:ascii="Verdana" w:eastAsia="Calibri" w:hAnsi="Verdana" w:cs="Arial"/>
                <w:b/>
                <w:bCs/>
                <w:color w:val="7030A0"/>
                <w:sz w:val="22"/>
                <w:szCs w:val="22"/>
                <w:lang w:val="es-ES" w:eastAsia="es-ES"/>
              </w:rPr>
            </w:pPr>
            <w:r w:rsidRPr="005D3471">
              <w:rPr>
                <w:rFonts w:ascii="Verdana" w:eastAsia="Calibri" w:hAnsi="Verdana" w:cs="Arial"/>
                <w:b/>
                <w:bCs/>
                <w:sz w:val="22"/>
                <w:szCs w:val="22"/>
                <w:lang w:val="es-ES" w:eastAsia="es-ES"/>
              </w:rPr>
              <w:t>Concepto C–</w:t>
            </w:r>
            <w:r w:rsidR="00381533" w:rsidRPr="005D3471">
              <w:rPr>
                <w:rFonts w:ascii="Verdana" w:eastAsia="Calibri" w:hAnsi="Verdana" w:cs="Arial"/>
                <w:b/>
                <w:bCs/>
                <w:sz w:val="22"/>
                <w:szCs w:val="22"/>
                <w:lang w:val="es-ES" w:eastAsia="es-ES"/>
              </w:rPr>
              <w:t>1282</w:t>
            </w:r>
            <w:r w:rsidRPr="005D3471">
              <w:rPr>
                <w:rFonts w:ascii="Verdana" w:eastAsia="Calibri" w:hAnsi="Verdana" w:cs="Arial"/>
                <w:b/>
                <w:bCs/>
                <w:sz w:val="22"/>
                <w:szCs w:val="22"/>
                <w:lang w:val="es-ES" w:eastAsia="es-ES"/>
              </w:rPr>
              <w:t xml:space="preserve"> de 2025</w:t>
            </w:r>
          </w:p>
        </w:tc>
      </w:tr>
      <w:tr w:rsidR="00735B7C" w:rsidRPr="005D3471" w14:paraId="1F060FB0" w14:textId="77777777">
        <w:trPr>
          <w:trHeight w:val="884"/>
        </w:trPr>
        <w:tc>
          <w:tcPr>
            <w:tcW w:w="2689" w:type="dxa"/>
          </w:tcPr>
          <w:p w14:paraId="29D39D60" w14:textId="77777777" w:rsidR="00735B7C" w:rsidRPr="005D3471" w:rsidRDefault="00735B7C">
            <w:pPr>
              <w:jc w:val="both"/>
              <w:rPr>
                <w:rFonts w:ascii="Verdana" w:eastAsia="Calibri" w:hAnsi="Verdana" w:cs="Arial"/>
                <w:color w:val="000000"/>
                <w:sz w:val="22"/>
                <w:szCs w:val="22"/>
                <w:lang w:val="es-ES" w:eastAsia="es-ES_tradnl"/>
              </w:rPr>
            </w:pPr>
            <w:r w:rsidRPr="005D3471">
              <w:rPr>
                <w:rFonts w:ascii="Verdana" w:eastAsia="Calibri" w:hAnsi="Verdana" w:cs="Arial"/>
                <w:b/>
                <w:color w:val="000000"/>
                <w:sz w:val="22"/>
                <w:szCs w:val="22"/>
                <w:lang w:val="es-ES" w:eastAsia="es-ES_tradnl"/>
              </w:rPr>
              <w:t>Temas:</w:t>
            </w:r>
            <w:r w:rsidRPr="005D3471">
              <w:rPr>
                <w:rFonts w:ascii="Verdana" w:eastAsia="Calibri" w:hAnsi="Verdana" w:cs="Arial"/>
                <w:color w:val="000000"/>
                <w:sz w:val="22"/>
                <w:szCs w:val="22"/>
                <w:lang w:val="es-ES" w:eastAsia="es-ES_tradnl"/>
              </w:rPr>
              <w:t xml:space="preserve">                   </w:t>
            </w:r>
          </w:p>
        </w:tc>
        <w:tc>
          <w:tcPr>
            <w:tcW w:w="6100" w:type="dxa"/>
          </w:tcPr>
          <w:p w14:paraId="36492F03" w14:textId="3C17EB76" w:rsidR="00735B7C" w:rsidRPr="004A1EC7" w:rsidRDefault="002D2F25" w:rsidP="004A1EC7">
            <w:pPr>
              <w:snapToGrid w:val="0"/>
              <w:contextualSpacing/>
              <w:jc w:val="both"/>
              <w:rPr>
                <w:rFonts w:ascii="Verdana" w:eastAsia="Calibri" w:hAnsi="Verdana" w:cs="Arial"/>
                <w:b/>
                <w:bCs/>
                <w:color w:val="000000" w:themeColor="text1"/>
                <w:sz w:val="22"/>
                <w:szCs w:val="22"/>
                <w:lang w:val="es-ES"/>
              </w:rPr>
            </w:pPr>
            <w:r>
              <w:rPr>
                <w:rFonts w:ascii="Verdana" w:eastAsia="Calibri" w:hAnsi="Verdana" w:cs="Arial"/>
                <w:sz w:val="22"/>
                <w:szCs w:val="22"/>
                <w:lang w:val="es-ES" w:eastAsia="es-ES"/>
              </w:rPr>
              <w:t xml:space="preserve">MULTAS Y CLÁUSULA PENAL </w:t>
            </w:r>
            <w:r w:rsidRPr="005D3471">
              <w:rPr>
                <w:rFonts w:ascii="Verdana" w:eastAsia="Calibri" w:hAnsi="Verdana" w:cs="Arial"/>
                <w:color w:val="000000" w:themeColor="text1"/>
                <w:sz w:val="22"/>
                <w:szCs w:val="22"/>
                <w:lang w:val="es-ES"/>
              </w:rPr>
              <w:t xml:space="preserve">– Autonomía de la voluntad </w:t>
            </w:r>
            <w:r>
              <w:rPr>
                <w:rFonts w:ascii="Verdana" w:eastAsia="Calibri" w:hAnsi="Verdana" w:cs="Arial"/>
                <w:color w:val="000000" w:themeColor="text1"/>
                <w:sz w:val="22"/>
                <w:szCs w:val="22"/>
                <w:lang w:val="es-ES"/>
              </w:rPr>
              <w:t xml:space="preserve">– Imposición unilateral </w:t>
            </w:r>
            <w:r w:rsidR="00735B7C" w:rsidRPr="005D3471">
              <w:rPr>
                <w:rFonts w:ascii="Verdana" w:eastAsia="Calibri" w:hAnsi="Verdana" w:cs="Arial"/>
                <w:color w:val="000000" w:themeColor="text1"/>
                <w:sz w:val="22"/>
                <w:szCs w:val="22"/>
                <w:lang w:val="es-ES"/>
              </w:rPr>
              <w:t xml:space="preserve">/ </w:t>
            </w:r>
            <w:r w:rsidR="004A1EC7" w:rsidRPr="004A1EC7">
              <w:rPr>
                <w:rFonts w:ascii="Verdana" w:eastAsia="Calibri" w:hAnsi="Verdana" w:cs="Arial"/>
                <w:color w:val="000000" w:themeColor="text1"/>
                <w:sz w:val="22"/>
                <w:szCs w:val="22"/>
                <w:lang w:val="es-ES"/>
              </w:rPr>
              <w:t>DECLARATORIA DE INCUMPLIMIENTO – Potestad unilateral – Artículo 86 – Ley 1</w:t>
            </w:r>
            <w:r w:rsidR="004A1EC7">
              <w:rPr>
                <w:rFonts w:ascii="Verdana" w:eastAsia="Calibri" w:hAnsi="Verdana" w:cs="Arial"/>
                <w:color w:val="000000" w:themeColor="text1"/>
                <w:sz w:val="22"/>
                <w:szCs w:val="22"/>
                <w:lang w:val="es-ES"/>
              </w:rPr>
              <w:t>4</w:t>
            </w:r>
            <w:r w:rsidR="004A1EC7" w:rsidRPr="004A1EC7">
              <w:rPr>
                <w:rFonts w:ascii="Verdana" w:eastAsia="Calibri" w:hAnsi="Verdana" w:cs="Arial"/>
                <w:color w:val="000000" w:themeColor="text1"/>
                <w:sz w:val="22"/>
                <w:szCs w:val="22"/>
                <w:lang w:val="es-ES"/>
              </w:rPr>
              <w:t>74 de 2011 /</w:t>
            </w:r>
            <w:r w:rsidR="004A1EC7" w:rsidRPr="004A1EC7">
              <w:rPr>
                <w:rFonts w:ascii="Verdana" w:eastAsia="Calibri" w:hAnsi="Verdana" w:cs="Arial"/>
                <w:color w:val="000000" w:themeColor="text1"/>
                <w:sz w:val="22"/>
                <w:szCs w:val="22"/>
                <w:lang w:val="es-ES" w:eastAsia="es-ES"/>
              </w:rPr>
              <w:t xml:space="preserve"> DECLARATORIA DE SINIESTRO </w:t>
            </w:r>
            <w:r w:rsidR="004A1EC7" w:rsidRPr="004A1EC7">
              <w:rPr>
                <w:rFonts w:ascii="Verdana" w:eastAsia="Calibri" w:hAnsi="Verdana" w:cs="Arial"/>
                <w:color w:val="000000" w:themeColor="text1"/>
                <w:sz w:val="22"/>
                <w:szCs w:val="22"/>
                <w:lang w:val="es-ES"/>
              </w:rPr>
              <w:t>– Artículo 86 – Ausencia de pacto de multas o cláusula penal – Cuantificación de perjuicios</w:t>
            </w:r>
          </w:p>
          <w:p w14:paraId="309D5657" w14:textId="77777777" w:rsidR="00735B7C" w:rsidRPr="005D3471" w:rsidRDefault="00735B7C">
            <w:pPr>
              <w:spacing w:line="276" w:lineRule="auto"/>
              <w:jc w:val="both"/>
              <w:rPr>
                <w:rFonts w:ascii="Verdana" w:eastAsia="Calibri" w:hAnsi="Verdana" w:cs="Arial"/>
                <w:sz w:val="22"/>
                <w:szCs w:val="22"/>
                <w:lang w:val="es-ES" w:eastAsia="es-ES"/>
              </w:rPr>
            </w:pPr>
            <w:r w:rsidRPr="005D3471">
              <w:rPr>
                <w:rFonts w:ascii="Verdana" w:eastAsia="Calibri" w:hAnsi="Verdana" w:cs="Arial"/>
                <w:sz w:val="22"/>
                <w:szCs w:val="22"/>
                <w:lang w:val="es-ES" w:eastAsia="es-ES"/>
              </w:rPr>
              <w:t xml:space="preserve">  </w:t>
            </w:r>
          </w:p>
        </w:tc>
      </w:tr>
      <w:tr w:rsidR="00735B7C" w:rsidRPr="005D3471" w14:paraId="16BCB2C6" w14:textId="77777777">
        <w:tc>
          <w:tcPr>
            <w:tcW w:w="2689" w:type="dxa"/>
          </w:tcPr>
          <w:p w14:paraId="4694A2BC" w14:textId="77777777" w:rsidR="00735B7C" w:rsidRPr="005D3471" w:rsidRDefault="00735B7C">
            <w:pPr>
              <w:jc w:val="both"/>
              <w:rPr>
                <w:rFonts w:ascii="Verdana" w:eastAsia="Calibri" w:hAnsi="Verdana" w:cs="Arial"/>
                <w:b/>
                <w:sz w:val="22"/>
                <w:szCs w:val="22"/>
                <w:lang w:val="es-ES" w:eastAsia="es-ES_tradnl"/>
              </w:rPr>
            </w:pPr>
            <w:r w:rsidRPr="005D3471">
              <w:rPr>
                <w:rFonts w:ascii="Verdana" w:eastAsia="Calibri" w:hAnsi="Verdana" w:cs="Arial"/>
                <w:b/>
                <w:sz w:val="22"/>
                <w:szCs w:val="22"/>
                <w:lang w:val="es-ES" w:eastAsia="es-ES_tradnl"/>
              </w:rPr>
              <w:t>Radicación:</w:t>
            </w:r>
            <w:r w:rsidRPr="005D3471">
              <w:rPr>
                <w:rFonts w:ascii="Verdana" w:eastAsia="Calibri" w:hAnsi="Verdana" w:cs="Arial"/>
                <w:sz w:val="22"/>
                <w:szCs w:val="22"/>
                <w:lang w:val="es-ES" w:eastAsia="es-ES_tradnl"/>
              </w:rPr>
              <w:t xml:space="preserve">               </w:t>
            </w:r>
          </w:p>
        </w:tc>
        <w:tc>
          <w:tcPr>
            <w:tcW w:w="6100" w:type="dxa"/>
          </w:tcPr>
          <w:p w14:paraId="4F33F14B" w14:textId="1936DE8E" w:rsidR="00735B7C" w:rsidRPr="005D3471" w:rsidRDefault="00735B7C">
            <w:pPr>
              <w:spacing w:line="276" w:lineRule="auto"/>
              <w:jc w:val="both"/>
              <w:rPr>
                <w:rFonts w:ascii="Verdana" w:eastAsia="Calibri" w:hAnsi="Verdana" w:cs="Arial"/>
                <w:sz w:val="22"/>
                <w:szCs w:val="22"/>
                <w:lang w:val="es-ES" w:eastAsia="es-ES_tradnl"/>
              </w:rPr>
            </w:pPr>
            <w:r w:rsidRPr="005D3471">
              <w:rPr>
                <w:rFonts w:ascii="Verdana" w:eastAsia="Calibri" w:hAnsi="Verdana" w:cs="Arial"/>
                <w:sz w:val="22"/>
                <w:szCs w:val="22"/>
                <w:lang w:val="es-ES" w:eastAsia="es-ES_tradnl"/>
              </w:rPr>
              <w:t xml:space="preserve">Respuesta a la consulta con radicado </w:t>
            </w:r>
            <w:proofErr w:type="gramStart"/>
            <w:r w:rsidRPr="005D3471">
              <w:rPr>
                <w:rFonts w:ascii="Verdana" w:eastAsia="Calibri" w:hAnsi="Verdana" w:cs="Arial"/>
                <w:sz w:val="22"/>
                <w:szCs w:val="22"/>
                <w:lang w:val="es-ES" w:eastAsia="es-ES_tradnl"/>
              </w:rPr>
              <w:t xml:space="preserve">No.  </w:t>
            </w:r>
            <w:r w:rsidR="00381533" w:rsidRPr="005D3471">
              <w:rPr>
                <w:rFonts w:ascii="Verdana" w:eastAsia="Calibri" w:hAnsi="Verdana" w:cs="Arial"/>
                <w:sz w:val="22"/>
                <w:szCs w:val="22"/>
                <w:lang w:val="es-ES" w:eastAsia="es-ES_tradnl"/>
              </w:rPr>
              <w:t>1</w:t>
            </w:r>
            <w:proofErr w:type="gramEnd"/>
            <w:r w:rsidR="00381533" w:rsidRPr="005D3471">
              <w:rPr>
                <w:rFonts w:ascii="Verdana" w:eastAsia="Calibri" w:hAnsi="Verdana" w:cs="Arial"/>
                <w:sz w:val="22"/>
                <w:szCs w:val="22"/>
                <w:lang w:val="es-ES" w:eastAsia="es-ES_tradnl"/>
              </w:rPr>
              <w:t>_2025_09_08_009709</w:t>
            </w:r>
          </w:p>
        </w:tc>
      </w:tr>
    </w:tbl>
    <w:p w14:paraId="60231851" w14:textId="77777777" w:rsidR="00B3760F" w:rsidRPr="005D3471" w:rsidRDefault="00B3760F" w:rsidP="00B3760F">
      <w:pPr>
        <w:jc w:val="both"/>
        <w:rPr>
          <w:rFonts w:ascii="Verdana" w:eastAsia="Calibri" w:hAnsi="Verdana" w:cs="Arial"/>
          <w:color w:val="000000"/>
          <w:sz w:val="22"/>
          <w:szCs w:val="22"/>
          <w:lang w:val="es-ES" w:eastAsia="es-ES_tradnl"/>
        </w:rPr>
      </w:pPr>
    </w:p>
    <w:p w14:paraId="3D68B2B8" w14:textId="77777777" w:rsidR="00B3760F" w:rsidRPr="005D3471" w:rsidRDefault="00B3760F" w:rsidP="00B3760F">
      <w:pPr>
        <w:jc w:val="both"/>
        <w:rPr>
          <w:rFonts w:ascii="Verdana" w:eastAsia="Calibri" w:hAnsi="Verdana" w:cs="Arial"/>
          <w:color w:val="000000"/>
          <w:sz w:val="22"/>
          <w:szCs w:val="22"/>
          <w:lang w:val="es-ES" w:eastAsia="es-ES_tradnl"/>
        </w:rPr>
      </w:pPr>
    </w:p>
    <w:p w14:paraId="749D07C5" w14:textId="265DF778" w:rsidR="00B3760F" w:rsidRPr="005D3471" w:rsidRDefault="00B3760F" w:rsidP="00B3760F">
      <w:pPr>
        <w:spacing w:line="276" w:lineRule="auto"/>
        <w:jc w:val="both"/>
        <w:rPr>
          <w:rFonts w:ascii="Verdana" w:eastAsia="Calibri" w:hAnsi="Verdana" w:cs="Arial"/>
          <w:sz w:val="22"/>
          <w:szCs w:val="22"/>
          <w:lang w:val="es-ES" w:eastAsia="es-ES"/>
        </w:rPr>
      </w:pPr>
      <w:r w:rsidRPr="005D3471">
        <w:rPr>
          <w:rFonts w:ascii="Verdana" w:eastAsia="Calibri" w:hAnsi="Verdana" w:cs="Arial"/>
          <w:sz w:val="22"/>
          <w:szCs w:val="22"/>
          <w:lang w:val="es-ES" w:eastAsia="es-ES"/>
        </w:rPr>
        <w:t xml:space="preserve">Estimado </w:t>
      </w:r>
      <w:r w:rsidR="00381533" w:rsidRPr="005D3471">
        <w:rPr>
          <w:rFonts w:ascii="Verdana" w:eastAsia="Calibri" w:hAnsi="Verdana" w:cs="Arial"/>
          <w:sz w:val="22"/>
          <w:szCs w:val="22"/>
          <w:lang w:val="es-ES" w:eastAsia="es-ES"/>
        </w:rPr>
        <w:t>doctor</w:t>
      </w:r>
      <w:r w:rsidRPr="005D3471">
        <w:rPr>
          <w:rFonts w:ascii="Verdana" w:eastAsia="Calibri" w:hAnsi="Verdana" w:cs="Arial"/>
          <w:sz w:val="22"/>
          <w:szCs w:val="22"/>
          <w:lang w:val="es-ES" w:eastAsia="es-ES"/>
        </w:rPr>
        <w:t xml:space="preserve"> </w:t>
      </w:r>
      <w:r w:rsidR="00381533" w:rsidRPr="005D3471">
        <w:rPr>
          <w:rFonts w:ascii="Verdana" w:eastAsia="Calibri" w:hAnsi="Verdana" w:cs="Arial"/>
          <w:sz w:val="22"/>
          <w:szCs w:val="22"/>
          <w:lang w:val="es-ES" w:eastAsia="es-ES"/>
        </w:rPr>
        <w:t>Gordillo</w:t>
      </w:r>
      <w:r w:rsidRPr="005D3471">
        <w:rPr>
          <w:rFonts w:ascii="Verdana" w:eastAsia="Calibri" w:hAnsi="Verdana" w:cs="Arial"/>
          <w:sz w:val="22"/>
          <w:szCs w:val="22"/>
          <w:lang w:val="es-ES" w:eastAsia="es-ES"/>
        </w:rPr>
        <w:t xml:space="preserve">: </w:t>
      </w:r>
    </w:p>
    <w:p w14:paraId="474002FB" w14:textId="77777777" w:rsidR="00B3760F" w:rsidRPr="005D3471" w:rsidRDefault="00B3760F" w:rsidP="00B3760F">
      <w:pPr>
        <w:tabs>
          <w:tab w:val="left" w:pos="3768"/>
        </w:tabs>
        <w:spacing w:line="276" w:lineRule="auto"/>
        <w:jc w:val="both"/>
        <w:rPr>
          <w:rFonts w:ascii="Verdana" w:eastAsia="Calibri" w:hAnsi="Verdana" w:cs="Arial"/>
          <w:color w:val="000000" w:themeColor="text1"/>
          <w:sz w:val="22"/>
          <w:szCs w:val="22"/>
          <w:lang w:val="es-ES" w:eastAsia="es-ES"/>
        </w:rPr>
      </w:pPr>
      <w:r w:rsidRPr="005D3471">
        <w:rPr>
          <w:rFonts w:ascii="Verdana" w:eastAsia="Calibri" w:hAnsi="Verdana" w:cs="Arial"/>
          <w:color w:val="000000" w:themeColor="text1"/>
          <w:sz w:val="22"/>
          <w:szCs w:val="22"/>
          <w:lang w:val="es-ES" w:eastAsia="es-ES"/>
        </w:rPr>
        <w:tab/>
      </w:r>
    </w:p>
    <w:p w14:paraId="2CE4EC8A" w14:textId="423CA9DB" w:rsidR="00B3760F" w:rsidRPr="005D3471" w:rsidRDefault="00B3760F" w:rsidP="00627ED8">
      <w:pPr>
        <w:spacing w:after="120" w:line="276" w:lineRule="auto"/>
        <w:jc w:val="both"/>
        <w:rPr>
          <w:rFonts w:ascii="Verdana" w:eastAsia="Calibri" w:hAnsi="Verdana" w:cs="Arial"/>
          <w:color w:val="7030A0"/>
          <w:sz w:val="22"/>
          <w:szCs w:val="22"/>
          <w:lang w:val="es-ES" w:eastAsia="es-ES"/>
        </w:rPr>
      </w:pPr>
      <w:r w:rsidRPr="005D3471">
        <w:rPr>
          <w:rFonts w:ascii="Verdana" w:eastAsia="Calibri" w:hAnsi="Verdana" w:cs="Arial"/>
          <w:color w:val="000000" w:themeColor="text1"/>
          <w:sz w:val="22"/>
          <w:szCs w:val="22"/>
          <w:lang w:val="es-ES" w:eastAsia="es-ES"/>
        </w:rPr>
        <w:t>En ejercicio de la competencia otorgada por los artículos 3, numeral 5º, y 11, numeral 8º, del Decreto Ley 4170 de 2011,</w:t>
      </w:r>
      <w:r w:rsidRPr="005D3471">
        <w:rPr>
          <w:rFonts w:ascii="Verdana" w:eastAsia="Arial MT" w:hAnsi="Verdana" w:cs="Arial MT"/>
          <w:sz w:val="22"/>
          <w:szCs w:val="22"/>
          <w:lang w:val="es-ES" w:eastAsia="es-ES"/>
        </w:rPr>
        <w:t xml:space="preserve"> </w:t>
      </w:r>
      <w:r w:rsidRPr="005D3471">
        <w:rPr>
          <w:rFonts w:ascii="Verdana" w:hAnsi="Verdana" w:cs="Arial"/>
          <w:sz w:val="22"/>
          <w:szCs w:val="22"/>
          <w:lang w:val="es-ES"/>
        </w:rPr>
        <w:t xml:space="preserve">así como lo establecido en el artículo 4 de la Resolución 1707 de 2018 expedida por esta Entidad, </w:t>
      </w:r>
      <w:r w:rsidRPr="005D3471">
        <w:rPr>
          <w:rFonts w:ascii="Verdana" w:eastAsia="Calibri" w:hAnsi="Verdana" w:cs="Arial"/>
          <w:color w:val="000000" w:themeColor="text1"/>
          <w:sz w:val="22"/>
          <w:szCs w:val="22"/>
          <w:lang w:val="es-ES" w:eastAsia="es-ES"/>
        </w:rPr>
        <w:t xml:space="preserve">la Agencia Nacional de Contratación Pública – Colombia Compra Eficiente responde su solicitud de consulta de </w:t>
      </w:r>
      <w:r w:rsidRPr="005D3471">
        <w:rPr>
          <w:rFonts w:ascii="Verdana" w:eastAsia="Calibri" w:hAnsi="Verdana" w:cs="Arial"/>
          <w:sz w:val="22"/>
          <w:szCs w:val="22"/>
          <w:lang w:val="es-ES" w:eastAsia="es-ES"/>
        </w:rPr>
        <w:t xml:space="preserve">fecha </w:t>
      </w:r>
      <w:r w:rsidR="00381533" w:rsidRPr="005D3471">
        <w:rPr>
          <w:rFonts w:ascii="Verdana" w:eastAsia="Calibri" w:hAnsi="Verdana" w:cs="Arial"/>
          <w:sz w:val="22"/>
          <w:szCs w:val="22"/>
          <w:lang w:val="es-ES" w:eastAsia="es-ES"/>
        </w:rPr>
        <w:t>08</w:t>
      </w:r>
      <w:r w:rsidRPr="005D3471">
        <w:rPr>
          <w:rFonts w:ascii="Verdana" w:eastAsia="Calibri" w:hAnsi="Verdana" w:cs="Arial"/>
          <w:sz w:val="22"/>
          <w:szCs w:val="22"/>
          <w:lang w:val="es-ES" w:eastAsia="es-ES"/>
        </w:rPr>
        <w:t xml:space="preserve"> de </w:t>
      </w:r>
      <w:r w:rsidR="00381533" w:rsidRPr="005D3471">
        <w:rPr>
          <w:rFonts w:ascii="Verdana" w:eastAsia="Calibri" w:hAnsi="Verdana" w:cs="Arial"/>
          <w:sz w:val="22"/>
          <w:szCs w:val="22"/>
          <w:lang w:val="es-ES" w:eastAsia="es-ES"/>
        </w:rPr>
        <w:t>septiembre</w:t>
      </w:r>
      <w:r w:rsidRPr="005D3471">
        <w:rPr>
          <w:rFonts w:ascii="Verdana" w:eastAsia="Calibri" w:hAnsi="Verdana" w:cs="Arial"/>
          <w:sz w:val="22"/>
          <w:szCs w:val="22"/>
          <w:lang w:val="es-ES" w:eastAsia="es-ES"/>
        </w:rPr>
        <w:t xml:space="preserve"> de 2025, en la que pregunta lo siguiente: </w:t>
      </w:r>
    </w:p>
    <w:p w14:paraId="1C2B33F9" w14:textId="27CBFD34" w:rsidR="00D645A5" w:rsidRPr="00EC2F74" w:rsidRDefault="00D645A5" w:rsidP="00D645A5">
      <w:pPr>
        <w:ind w:left="709" w:right="709"/>
        <w:jc w:val="both"/>
        <w:rPr>
          <w:rFonts w:ascii="Verdana" w:eastAsia="Century Gothic" w:hAnsi="Verdana" w:cs="Century Gothic"/>
          <w:sz w:val="20"/>
          <w:szCs w:val="20"/>
          <w:lang w:val="es-ES"/>
        </w:rPr>
      </w:pPr>
      <w:r w:rsidRPr="00EC2F74">
        <w:rPr>
          <w:rFonts w:ascii="Verdana" w:eastAsia="Century Gothic" w:hAnsi="Verdana" w:cs="Century Gothic"/>
          <w:sz w:val="20"/>
          <w:szCs w:val="20"/>
          <w:lang w:val="es-ES"/>
        </w:rPr>
        <w:t xml:space="preserve">[…] acudo a usted con el propósito de solicitar un concepto en el cual se aclare el tratamiento que debe darse sobre: </w:t>
      </w:r>
      <w:r w:rsidRPr="00EC2F74">
        <w:rPr>
          <w:rFonts w:ascii="Verdana" w:eastAsia="Century Gothic" w:hAnsi="Verdana" w:cs="Century Gothic"/>
          <w:b/>
          <w:bCs/>
          <w:sz w:val="20"/>
          <w:szCs w:val="20"/>
          <w:lang w:val="es-ES"/>
        </w:rPr>
        <w:t xml:space="preserve">i) </w:t>
      </w:r>
      <w:r w:rsidRPr="00EC2F74">
        <w:rPr>
          <w:rFonts w:ascii="Verdana" w:eastAsia="Century Gothic" w:hAnsi="Verdana" w:cs="Century Gothic"/>
          <w:sz w:val="20"/>
          <w:szCs w:val="20"/>
          <w:lang w:val="es-ES"/>
        </w:rPr>
        <w:t xml:space="preserve">la procedencia de adelantar procedimientos administrativos sancionatorios tendientes a la declaratoria de incumplimiento en los contratos interadministrativos, en los cuales no se pactaron clausulas relativas a la </w:t>
      </w:r>
      <w:proofErr w:type="spellStart"/>
      <w:r w:rsidRPr="00EC2F74">
        <w:rPr>
          <w:rFonts w:ascii="Verdana" w:eastAsia="Century Gothic" w:hAnsi="Verdana" w:cs="Century Gothic"/>
          <w:sz w:val="20"/>
          <w:szCs w:val="20"/>
          <w:lang w:val="es-ES"/>
        </w:rPr>
        <w:t>imposición</w:t>
      </w:r>
      <w:proofErr w:type="spellEnd"/>
      <w:r w:rsidRPr="00EC2F74">
        <w:rPr>
          <w:rFonts w:ascii="Verdana" w:eastAsia="Century Gothic" w:hAnsi="Verdana" w:cs="Century Gothic"/>
          <w:sz w:val="20"/>
          <w:szCs w:val="20"/>
          <w:lang w:val="es-ES"/>
        </w:rPr>
        <w:t xml:space="preserve"> de multas y/o apremios y clausula penal pecuniaria, así como el procedimiento para su eventual </w:t>
      </w:r>
      <w:proofErr w:type="spellStart"/>
      <w:r w:rsidRPr="00EC2F74">
        <w:rPr>
          <w:rFonts w:ascii="Verdana" w:eastAsia="Century Gothic" w:hAnsi="Verdana" w:cs="Century Gothic"/>
          <w:sz w:val="20"/>
          <w:szCs w:val="20"/>
          <w:lang w:val="es-ES"/>
        </w:rPr>
        <w:t>imposición</w:t>
      </w:r>
      <w:proofErr w:type="spellEnd"/>
      <w:r w:rsidRPr="00EC2F74">
        <w:rPr>
          <w:rFonts w:ascii="Verdana" w:eastAsia="Century Gothic" w:hAnsi="Verdana" w:cs="Century Gothic"/>
          <w:sz w:val="20"/>
          <w:szCs w:val="20"/>
          <w:lang w:val="es-ES"/>
        </w:rPr>
        <w:t xml:space="preserve">; </w:t>
      </w:r>
      <w:proofErr w:type="spellStart"/>
      <w:r w:rsidRPr="00EC2F74">
        <w:rPr>
          <w:rFonts w:ascii="Verdana" w:eastAsia="Century Gothic" w:hAnsi="Verdana" w:cs="Century Gothic"/>
          <w:b/>
          <w:bCs/>
          <w:sz w:val="20"/>
          <w:szCs w:val="20"/>
          <w:lang w:val="es-ES"/>
        </w:rPr>
        <w:t>ii</w:t>
      </w:r>
      <w:proofErr w:type="spellEnd"/>
      <w:r w:rsidRPr="00EC2F74">
        <w:rPr>
          <w:rFonts w:ascii="Verdana" w:eastAsia="Century Gothic" w:hAnsi="Verdana" w:cs="Century Gothic"/>
          <w:b/>
          <w:bCs/>
          <w:sz w:val="20"/>
          <w:szCs w:val="20"/>
          <w:lang w:val="es-ES"/>
        </w:rPr>
        <w:t xml:space="preserve">) </w:t>
      </w:r>
      <w:r w:rsidRPr="00EC2F74">
        <w:rPr>
          <w:rFonts w:ascii="Verdana" w:eastAsia="Century Gothic" w:hAnsi="Verdana" w:cs="Century Gothic"/>
          <w:sz w:val="20"/>
          <w:szCs w:val="20"/>
          <w:lang w:val="es-ES"/>
        </w:rPr>
        <w:t xml:space="preserve">instrumentos </w:t>
      </w:r>
      <w:proofErr w:type="spellStart"/>
      <w:r w:rsidRPr="00EC2F74">
        <w:rPr>
          <w:rFonts w:ascii="Verdana" w:eastAsia="Century Gothic" w:hAnsi="Verdana" w:cs="Century Gothic"/>
          <w:sz w:val="20"/>
          <w:szCs w:val="20"/>
          <w:lang w:val="es-ES"/>
        </w:rPr>
        <w:t>jurídicos</w:t>
      </w:r>
      <w:proofErr w:type="spellEnd"/>
      <w:r w:rsidRPr="00EC2F74">
        <w:rPr>
          <w:rFonts w:ascii="Verdana" w:eastAsia="Century Gothic" w:hAnsi="Verdana" w:cs="Century Gothic"/>
          <w:sz w:val="20"/>
          <w:szCs w:val="20"/>
          <w:lang w:val="es-ES"/>
        </w:rPr>
        <w:t xml:space="preserve"> para exigir el cumplimiento de las obligaciones asumidas en los contratos interadministrativos con las características referenciadas (sin pacto contractual sobre la </w:t>
      </w:r>
      <w:proofErr w:type="spellStart"/>
      <w:r w:rsidRPr="00EC2F74">
        <w:rPr>
          <w:rFonts w:ascii="Verdana" w:eastAsia="Century Gothic" w:hAnsi="Verdana" w:cs="Century Gothic"/>
          <w:sz w:val="20"/>
          <w:szCs w:val="20"/>
          <w:lang w:val="es-ES"/>
        </w:rPr>
        <w:t>imposición</w:t>
      </w:r>
      <w:proofErr w:type="spellEnd"/>
      <w:r w:rsidRPr="00EC2F74">
        <w:rPr>
          <w:rFonts w:ascii="Verdana" w:eastAsia="Century Gothic" w:hAnsi="Verdana" w:cs="Century Gothic"/>
          <w:sz w:val="20"/>
          <w:szCs w:val="20"/>
          <w:lang w:val="es-ES"/>
        </w:rPr>
        <w:t xml:space="preserve"> de multas, apremios o penal pecuniaria).</w:t>
      </w:r>
    </w:p>
    <w:p w14:paraId="1DA853F8" w14:textId="7D6A5848" w:rsidR="00D645A5" w:rsidRPr="00EC2F74" w:rsidRDefault="00D645A5" w:rsidP="00D645A5">
      <w:pPr>
        <w:ind w:left="709" w:right="709"/>
        <w:jc w:val="both"/>
        <w:rPr>
          <w:rFonts w:ascii="Verdana" w:eastAsia="Century Gothic" w:hAnsi="Verdana" w:cs="Century Gothic"/>
          <w:sz w:val="20"/>
          <w:szCs w:val="20"/>
          <w:lang w:val="es-ES"/>
        </w:rPr>
      </w:pPr>
      <w:r w:rsidRPr="00EC2F74">
        <w:rPr>
          <w:rFonts w:ascii="Verdana" w:eastAsia="Century Gothic" w:hAnsi="Verdana" w:cs="Century Gothic"/>
          <w:sz w:val="20"/>
          <w:szCs w:val="20"/>
          <w:lang w:val="es-ES"/>
        </w:rPr>
        <w:lastRenderedPageBreak/>
        <w:t>[…]</w:t>
      </w:r>
    </w:p>
    <w:p w14:paraId="531B3DC3" w14:textId="77777777" w:rsidR="00D645A5" w:rsidRPr="00EC2F74" w:rsidRDefault="00D645A5" w:rsidP="00D645A5">
      <w:pPr>
        <w:ind w:left="709" w:right="709"/>
        <w:jc w:val="both"/>
        <w:rPr>
          <w:rFonts w:ascii="Verdana" w:eastAsia="Century Gothic" w:hAnsi="Verdana" w:cs="Century Gothic"/>
          <w:sz w:val="20"/>
          <w:szCs w:val="20"/>
          <w:lang w:val="es-ES"/>
        </w:rPr>
      </w:pPr>
      <w:r w:rsidRPr="00EC2F74">
        <w:rPr>
          <w:rFonts w:ascii="Verdana" w:eastAsia="Century Gothic" w:hAnsi="Verdana" w:cs="Century Gothic"/>
          <w:sz w:val="20"/>
          <w:szCs w:val="20"/>
          <w:lang w:val="es-ES"/>
        </w:rPr>
        <w:t xml:space="preserve">En el marco de lo anterior, respetuosamente se formula la siguiente </w:t>
      </w:r>
      <w:r w:rsidRPr="00EC2F74">
        <w:rPr>
          <w:rFonts w:ascii="Verdana" w:eastAsia="Century Gothic" w:hAnsi="Verdana" w:cs="Century Gothic"/>
          <w:b/>
          <w:bCs/>
          <w:sz w:val="20"/>
          <w:szCs w:val="20"/>
          <w:lang w:val="es-ES"/>
        </w:rPr>
        <w:t xml:space="preserve">CONSULTA </w:t>
      </w:r>
    </w:p>
    <w:p w14:paraId="571D3E86" w14:textId="3AB4C422" w:rsidR="00D645A5" w:rsidRPr="00EC2F74" w:rsidRDefault="00D645A5" w:rsidP="00D645A5">
      <w:pPr>
        <w:ind w:left="720" w:right="709"/>
        <w:jc w:val="both"/>
        <w:rPr>
          <w:rFonts w:ascii="Verdana" w:eastAsia="Century Gothic" w:hAnsi="Verdana" w:cs="Century Gothic"/>
          <w:sz w:val="20"/>
          <w:szCs w:val="20"/>
          <w:lang w:val="es-ES"/>
        </w:rPr>
      </w:pPr>
      <w:r w:rsidRPr="00EC2F74">
        <w:rPr>
          <w:rFonts w:ascii="Verdana" w:eastAsia="Century Gothic" w:hAnsi="Verdana" w:cs="Century Gothic"/>
          <w:sz w:val="20"/>
          <w:szCs w:val="20"/>
          <w:lang w:val="es-ES"/>
        </w:rPr>
        <w:t xml:space="preserve">1. ¿La entidad contratante se encuentra facultada para adelantar la declaratoria de incumplimiento o </w:t>
      </w:r>
      <w:proofErr w:type="spellStart"/>
      <w:r w:rsidRPr="00EC2F74">
        <w:rPr>
          <w:rFonts w:ascii="Verdana" w:eastAsia="Century Gothic" w:hAnsi="Verdana" w:cs="Century Gothic"/>
          <w:sz w:val="20"/>
          <w:szCs w:val="20"/>
          <w:lang w:val="es-ES"/>
        </w:rPr>
        <w:t>imposición</w:t>
      </w:r>
      <w:proofErr w:type="spellEnd"/>
      <w:r w:rsidRPr="00EC2F74">
        <w:rPr>
          <w:rFonts w:ascii="Verdana" w:eastAsia="Century Gothic" w:hAnsi="Verdana" w:cs="Century Gothic"/>
          <w:sz w:val="20"/>
          <w:szCs w:val="20"/>
          <w:lang w:val="es-ES"/>
        </w:rPr>
        <w:t xml:space="preserve"> de multas, aun cuando en el contrato interadministrativo no fue pactadas la </w:t>
      </w:r>
      <w:proofErr w:type="spellStart"/>
      <w:r w:rsidRPr="00EC2F74">
        <w:rPr>
          <w:rFonts w:ascii="Verdana" w:eastAsia="Century Gothic" w:hAnsi="Verdana" w:cs="Century Gothic"/>
          <w:sz w:val="20"/>
          <w:szCs w:val="20"/>
          <w:lang w:val="es-ES"/>
        </w:rPr>
        <w:t>cláusula</w:t>
      </w:r>
      <w:proofErr w:type="spellEnd"/>
      <w:r w:rsidRPr="00EC2F74">
        <w:rPr>
          <w:rFonts w:ascii="Verdana" w:eastAsia="Century Gothic" w:hAnsi="Verdana" w:cs="Century Gothic"/>
          <w:sz w:val="20"/>
          <w:szCs w:val="20"/>
          <w:lang w:val="es-ES"/>
        </w:rPr>
        <w:t xml:space="preserve"> penal y de </w:t>
      </w:r>
      <w:proofErr w:type="spellStart"/>
      <w:r w:rsidRPr="00EC2F74">
        <w:rPr>
          <w:rFonts w:ascii="Verdana" w:eastAsia="Century Gothic" w:hAnsi="Verdana" w:cs="Century Gothic"/>
          <w:sz w:val="20"/>
          <w:szCs w:val="20"/>
          <w:lang w:val="es-ES"/>
        </w:rPr>
        <w:t>cláusulas</w:t>
      </w:r>
      <w:proofErr w:type="spellEnd"/>
      <w:r w:rsidRPr="00EC2F74">
        <w:rPr>
          <w:rFonts w:ascii="Verdana" w:eastAsia="Century Gothic" w:hAnsi="Verdana" w:cs="Century Gothic"/>
          <w:sz w:val="20"/>
          <w:szCs w:val="20"/>
          <w:lang w:val="es-ES"/>
        </w:rPr>
        <w:t xml:space="preserve"> de multas, sanciones o apremios?</w:t>
      </w:r>
    </w:p>
    <w:p w14:paraId="39228260" w14:textId="67979175" w:rsidR="00B3760F" w:rsidRPr="00EC2F74" w:rsidRDefault="00D645A5" w:rsidP="00D645A5">
      <w:pPr>
        <w:ind w:left="720" w:right="709"/>
        <w:jc w:val="both"/>
        <w:rPr>
          <w:rFonts w:ascii="Verdana" w:eastAsia="Century Gothic" w:hAnsi="Verdana" w:cs="Century Gothic"/>
          <w:sz w:val="20"/>
          <w:szCs w:val="20"/>
          <w:lang w:val="es-ES"/>
        </w:rPr>
      </w:pPr>
      <w:r w:rsidRPr="00EC2F74">
        <w:rPr>
          <w:rFonts w:ascii="Verdana" w:eastAsia="Century Gothic" w:hAnsi="Verdana" w:cs="Century Gothic"/>
          <w:sz w:val="20"/>
          <w:szCs w:val="20"/>
          <w:lang w:val="es-ES"/>
        </w:rPr>
        <w:t xml:space="preserve">2. ¿existe </w:t>
      </w:r>
      <w:proofErr w:type="spellStart"/>
      <w:r w:rsidRPr="00EC2F74">
        <w:rPr>
          <w:rFonts w:ascii="Verdana" w:eastAsia="Century Gothic" w:hAnsi="Verdana" w:cs="Century Gothic"/>
          <w:sz w:val="20"/>
          <w:szCs w:val="20"/>
          <w:lang w:val="es-ES"/>
        </w:rPr>
        <w:t>algún</w:t>
      </w:r>
      <w:proofErr w:type="spellEnd"/>
      <w:r w:rsidRPr="00EC2F74">
        <w:rPr>
          <w:rFonts w:ascii="Verdana" w:eastAsia="Century Gothic" w:hAnsi="Verdana" w:cs="Century Gothic"/>
          <w:sz w:val="20"/>
          <w:szCs w:val="20"/>
          <w:lang w:val="es-ES"/>
        </w:rPr>
        <w:t xml:space="preserve"> mecanismo en sede administrativa o judicial para hacer efectiva la </w:t>
      </w:r>
      <w:proofErr w:type="spellStart"/>
      <w:r w:rsidRPr="00EC2F74">
        <w:rPr>
          <w:rFonts w:ascii="Verdana" w:eastAsia="Century Gothic" w:hAnsi="Verdana" w:cs="Century Gothic"/>
          <w:sz w:val="20"/>
          <w:szCs w:val="20"/>
          <w:lang w:val="es-ES"/>
        </w:rPr>
        <w:t>garantía</w:t>
      </w:r>
      <w:proofErr w:type="spellEnd"/>
      <w:r w:rsidRPr="00EC2F74">
        <w:rPr>
          <w:rFonts w:ascii="Verdana" w:eastAsia="Century Gothic" w:hAnsi="Verdana" w:cs="Century Gothic"/>
          <w:sz w:val="20"/>
          <w:szCs w:val="20"/>
          <w:lang w:val="es-ES"/>
        </w:rPr>
        <w:t xml:space="preserve"> de cumplimiento vigente otorgada por el contratista, a pesar de no haberse pactado </w:t>
      </w:r>
      <w:proofErr w:type="spellStart"/>
      <w:r w:rsidRPr="00EC2F74">
        <w:rPr>
          <w:rFonts w:ascii="Verdana" w:eastAsia="Century Gothic" w:hAnsi="Verdana" w:cs="Century Gothic"/>
          <w:sz w:val="20"/>
          <w:szCs w:val="20"/>
          <w:lang w:val="es-ES"/>
        </w:rPr>
        <w:t>cláusula</w:t>
      </w:r>
      <w:proofErr w:type="spellEnd"/>
      <w:r w:rsidRPr="00EC2F74">
        <w:rPr>
          <w:rFonts w:ascii="Verdana" w:eastAsia="Century Gothic" w:hAnsi="Verdana" w:cs="Century Gothic"/>
          <w:sz w:val="20"/>
          <w:szCs w:val="20"/>
          <w:lang w:val="es-ES"/>
        </w:rPr>
        <w:t xml:space="preserve"> penal y </w:t>
      </w:r>
      <w:proofErr w:type="spellStart"/>
      <w:r w:rsidRPr="00EC2F74">
        <w:rPr>
          <w:rFonts w:ascii="Verdana" w:eastAsia="Century Gothic" w:hAnsi="Verdana" w:cs="Century Gothic"/>
          <w:sz w:val="20"/>
          <w:szCs w:val="20"/>
          <w:lang w:val="es-ES"/>
        </w:rPr>
        <w:t>cláusulas</w:t>
      </w:r>
      <w:proofErr w:type="spellEnd"/>
      <w:r w:rsidRPr="00EC2F74">
        <w:rPr>
          <w:rFonts w:ascii="Verdana" w:eastAsia="Century Gothic" w:hAnsi="Verdana" w:cs="Century Gothic"/>
          <w:sz w:val="20"/>
          <w:szCs w:val="20"/>
          <w:lang w:val="es-ES"/>
        </w:rPr>
        <w:t xml:space="preserve"> de multas, sanciones o apremios en el contrato interadministrativo?”.</w:t>
      </w:r>
    </w:p>
    <w:p w14:paraId="7BF07D9B" w14:textId="77777777" w:rsidR="00B3760F" w:rsidRPr="00EC2F74" w:rsidRDefault="00B3760F" w:rsidP="00735B7C">
      <w:pPr>
        <w:pStyle w:val="Prrafodelista"/>
        <w:tabs>
          <w:tab w:val="left" w:pos="142"/>
          <w:tab w:val="left" w:pos="284"/>
        </w:tabs>
        <w:spacing w:after="0" w:line="276" w:lineRule="auto"/>
        <w:ind w:left="0"/>
        <w:jc w:val="both"/>
        <w:rPr>
          <w:rFonts w:ascii="Verdana" w:eastAsia="Century Gothic" w:hAnsi="Verdana" w:cs="Century Gothic"/>
          <w:b/>
        </w:rPr>
      </w:pPr>
    </w:p>
    <w:p w14:paraId="540F9041" w14:textId="77777777" w:rsidR="00B3760F" w:rsidRPr="005D3471" w:rsidRDefault="00B3760F" w:rsidP="00B3760F">
      <w:pPr>
        <w:spacing w:after="120" w:line="276" w:lineRule="auto"/>
        <w:ind w:firstLine="709"/>
        <w:jc w:val="both"/>
        <w:rPr>
          <w:rFonts w:ascii="Verdana" w:eastAsia="Calibri" w:hAnsi="Verdana" w:cs="Arial"/>
          <w:color w:val="000000"/>
          <w:sz w:val="22"/>
          <w:szCs w:val="22"/>
          <w:lang w:val="es-ES" w:eastAsia="es-ES"/>
        </w:rPr>
      </w:pPr>
      <w:r w:rsidRPr="005D3471">
        <w:rPr>
          <w:rFonts w:ascii="Verdana" w:eastAsia="Calibri" w:hAnsi="Verdana" w:cs="Arial"/>
          <w:color w:val="000000"/>
          <w:sz w:val="22"/>
          <w:szCs w:val="22"/>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concretos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D3471">
        <w:rPr>
          <w:rFonts w:ascii="Verdana" w:eastAsia="Calibri" w:hAnsi="Verdana" w:cs="Arial"/>
          <w:color w:val="000000"/>
          <w:sz w:val="22"/>
          <w:szCs w:val="22"/>
          <w:lang w:val="es-ES" w:eastAsia="es-ES_tradnl"/>
        </w:rPr>
        <w:tab/>
      </w:r>
    </w:p>
    <w:p w14:paraId="741DEBA5" w14:textId="77777777" w:rsidR="00B3760F" w:rsidRPr="005D3471" w:rsidRDefault="00B3760F" w:rsidP="00B3760F">
      <w:pPr>
        <w:spacing w:line="276" w:lineRule="auto"/>
        <w:ind w:firstLine="709"/>
        <w:jc w:val="both"/>
        <w:rPr>
          <w:rFonts w:ascii="Verdana" w:eastAsia="Calibri" w:hAnsi="Verdana" w:cs="Arial"/>
          <w:color w:val="000000"/>
          <w:sz w:val="22"/>
          <w:szCs w:val="22"/>
          <w:lang w:val="es-ES" w:eastAsia="es-ES"/>
        </w:rPr>
      </w:pPr>
      <w:r w:rsidRPr="005D3471">
        <w:rPr>
          <w:rFonts w:ascii="Verdana" w:eastAsia="Calibri" w:hAnsi="Verdana" w:cs="Arial"/>
          <w:color w:val="000000"/>
          <w:sz w:val="22"/>
          <w:szCs w:val="22"/>
          <w:lang w:val="es-ES" w:eastAsia="es-ES"/>
        </w:rPr>
        <w:t>Conforme lo expuesto, en aras de satisfacer el derecho fundamental de petición se resolverá su consulta dentro de los límites de la referida competencia consultiva, esto es, haciendo abstracción de las circunstancias específicas que la hayan motivado, pero haciendo unas consideraciones sobre las normas generales relacionadas con el</w:t>
      </w:r>
      <w:r w:rsidRPr="005D3471">
        <w:rPr>
          <w:rFonts w:ascii="Verdana" w:eastAsia="Calibri" w:hAnsi="Verdana" w:cs="Arial"/>
          <w:color w:val="7030A0"/>
          <w:sz w:val="22"/>
          <w:szCs w:val="22"/>
          <w:lang w:val="es-ES" w:eastAsia="es-ES"/>
        </w:rPr>
        <w:t xml:space="preserve"> </w:t>
      </w:r>
      <w:r w:rsidRPr="005D3471">
        <w:rPr>
          <w:rFonts w:ascii="Verdana" w:eastAsia="Calibri" w:hAnsi="Verdana" w:cs="Arial"/>
          <w:color w:val="000000"/>
          <w:sz w:val="22"/>
          <w:szCs w:val="22"/>
          <w:lang w:val="es-ES" w:eastAsia="es-ES"/>
        </w:rPr>
        <w:t>problema</w:t>
      </w:r>
      <w:r w:rsidRPr="005D3471">
        <w:rPr>
          <w:rFonts w:ascii="Verdana" w:eastAsia="Calibri" w:hAnsi="Verdana" w:cs="Arial"/>
          <w:color w:val="7030A0"/>
          <w:sz w:val="22"/>
          <w:szCs w:val="22"/>
          <w:lang w:val="es-ES" w:eastAsia="es-ES"/>
        </w:rPr>
        <w:t xml:space="preserve"> </w:t>
      </w:r>
      <w:r w:rsidRPr="005D3471">
        <w:rPr>
          <w:rFonts w:ascii="Verdana" w:eastAsia="Calibri" w:hAnsi="Verdana" w:cs="Arial"/>
          <w:color w:val="000000"/>
          <w:sz w:val="22"/>
          <w:szCs w:val="22"/>
          <w:lang w:val="es-ES" w:eastAsia="es-ES"/>
        </w:rPr>
        <w:t>jurídico</w:t>
      </w:r>
      <w:r w:rsidRPr="005D3471">
        <w:rPr>
          <w:rFonts w:ascii="Verdana" w:eastAsia="Calibri" w:hAnsi="Verdana" w:cs="Arial"/>
          <w:color w:val="7030A0"/>
          <w:sz w:val="22"/>
          <w:szCs w:val="22"/>
          <w:lang w:val="es-ES" w:eastAsia="es-ES"/>
        </w:rPr>
        <w:t xml:space="preserve"> </w:t>
      </w:r>
      <w:r w:rsidRPr="005D3471">
        <w:rPr>
          <w:rFonts w:ascii="Verdana" w:eastAsia="Calibri" w:hAnsi="Verdana" w:cs="Arial"/>
          <w:color w:val="000000"/>
          <w:sz w:val="22"/>
          <w:szCs w:val="22"/>
          <w:lang w:val="es-ES" w:eastAsia="es-ES"/>
        </w:rPr>
        <w:t xml:space="preserve">de su consulta.  </w:t>
      </w:r>
    </w:p>
    <w:p w14:paraId="3AE61792" w14:textId="77777777" w:rsidR="00B3760F" w:rsidRPr="00EC2F74" w:rsidRDefault="00B3760F" w:rsidP="00B3760F">
      <w:pPr>
        <w:spacing w:line="276" w:lineRule="auto"/>
        <w:ind w:firstLine="709"/>
        <w:jc w:val="both"/>
        <w:rPr>
          <w:rFonts w:ascii="Verdana" w:eastAsia="Calibri" w:hAnsi="Verdana" w:cs="Arial"/>
          <w:color w:val="000000"/>
          <w:lang w:val="es-ES" w:eastAsia="es-ES"/>
        </w:rPr>
      </w:pPr>
    </w:p>
    <w:p w14:paraId="282314FB" w14:textId="77777777" w:rsidR="00B3760F" w:rsidRPr="00326F5C" w:rsidRDefault="00B3760F" w:rsidP="00B3760F">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326F5C">
        <w:rPr>
          <w:rFonts w:ascii="Verdana" w:eastAsia="Century Gothic" w:hAnsi="Verdana" w:cs="Century Gothic"/>
          <w:b/>
          <w:bCs/>
        </w:rPr>
        <w:t>Problema planteado:</w:t>
      </w:r>
    </w:p>
    <w:p w14:paraId="64E8ABF6" w14:textId="77777777" w:rsidR="00B3760F" w:rsidRPr="00326F5C" w:rsidRDefault="00B3760F" w:rsidP="00B3760F">
      <w:pPr>
        <w:tabs>
          <w:tab w:val="left" w:pos="426"/>
        </w:tabs>
        <w:spacing w:line="276" w:lineRule="auto"/>
        <w:jc w:val="both"/>
        <w:rPr>
          <w:rFonts w:ascii="Verdana" w:eastAsia="Century Gothic" w:hAnsi="Verdana" w:cs="Century Gothic"/>
          <w:sz w:val="22"/>
          <w:szCs w:val="22"/>
          <w:lang w:val="es-ES"/>
        </w:rPr>
      </w:pPr>
    </w:p>
    <w:p w14:paraId="4D19E0D8" w14:textId="1BE307A1" w:rsidR="00735B7C" w:rsidRPr="00326F5C" w:rsidRDefault="00735B7C" w:rsidP="00735B7C">
      <w:pPr>
        <w:spacing w:line="276" w:lineRule="auto"/>
        <w:jc w:val="both"/>
        <w:rPr>
          <w:rFonts w:ascii="Verdana" w:eastAsia="Century Gothic" w:hAnsi="Verdana" w:cs="Century Gothic"/>
          <w:sz w:val="22"/>
          <w:szCs w:val="22"/>
          <w:lang w:val="es-ES"/>
        </w:rPr>
      </w:pPr>
      <w:r w:rsidRPr="00326F5C">
        <w:rPr>
          <w:rFonts w:ascii="Verdana" w:eastAsia="Century Gothic" w:hAnsi="Verdana" w:cs="Century Gothic"/>
          <w:sz w:val="22"/>
          <w:szCs w:val="22"/>
          <w:lang w:val="es-ES"/>
        </w:rPr>
        <w:t>De acuerdo con el contenido de su solicitud, esta Agencia resolverá el siguiente problema jurídico: ¿</w:t>
      </w:r>
      <w:r w:rsidR="00326F5C">
        <w:rPr>
          <w:rFonts w:ascii="Verdana" w:eastAsia="Century Gothic" w:hAnsi="Verdana" w:cs="Century Gothic"/>
          <w:sz w:val="22"/>
          <w:szCs w:val="22"/>
          <w:lang w:val="es-ES"/>
        </w:rPr>
        <w:t>En cuáles supuestos pueden las Entidades Estatales sometidas al EGCAP adelantar el procedimiento establecida en el artículo 86 de la Ley 1474 de 2011 para la declaratoria del siniestro</w:t>
      </w:r>
      <w:r w:rsidRPr="00326F5C">
        <w:rPr>
          <w:rFonts w:ascii="Verdana" w:eastAsia="Century Gothic" w:hAnsi="Verdana" w:cs="Century Gothic"/>
          <w:sz w:val="22"/>
          <w:szCs w:val="22"/>
          <w:lang w:val="es-ES"/>
        </w:rPr>
        <w:t>?</w:t>
      </w:r>
    </w:p>
    <w:p w14:paraId="74D3AE8F" w14:textId="77777777" w:rsidR="00B3760F" w:rsidRPr="00EC2F74" w:rsidRDefault="00B3760F" w:rsidP="00B3760F">
      <w:pPr>
        <w:spacing w:line="276" w:lineRule="auto"/>
        <w:jc w:val="both"/>
        <w:rPr>
          <w:rFonts w:ascii="Verdana" w:eastAsia="Calibri" w:hAnsi="Verdana" w:cs="Arial"/>
          <w:color w:val="7030A0"/>
          <w:lang w:val="es-ES"/>
        </w:rPr>
      </w:pPr>
    </w:p>
    <w:p w14:paraId="77DC99F5" w14:textId="77777777" w:rsidR="00B3760F" w:rsidRPr="00326F5C" w:rsidRDefault="00B3760F" w:rsidP="00B3760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326F5C">
        <w:rPr>
          <w:rFonts w:ascii="Verdana" w:eastAsia="Century Gothic" w:hAnsi="Verdana" w:cs="Century Gothic"/>
          <w:b/>
          <w:bCs/>
        </w:rPr>
        <w:t>Respuesta:</w:t>
      </w:r>
    </w:p>
    <w:p w14:paraId="650B4F80" w14:textId="77777777" w:rsidR="00B3760F" w:rsidRPr="00326F5C" w:rsidRDefault="00B3760F" w:rsidP="00B3760F">
      <w:pPr>
        <w:tabs>
          <w:tab w:val="left" w:pos="142"/>
          <w:tab w:val="left" w:pos="284"/>
        </w:tabs>
        <w:spacing w:line="276" w:lineRule="auto"/>
        <w:jc w:val="both"/>
        <w:rPr>
          <w:rFonts w:ascii="Verdana" w:eastAsia="Century Gothic" w:hAnsi="Verdana" w:cs="Century Gothic"/>
          <w:b/>
          <w:bCs/>
          <w:sz w:val="22"/>
          <w:szCs w:val="22"/>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35B7C" w:rsidRPr="00326F5C" w14:paraId="75B41ADE" w14:textId="77777777">
        <w:trPr>
          <w:jc w:val="center"/>
        </w:trPr>
        <w:tc>
          <w:tcPr>
            <w:tcW w:w="8828" w:type="dxa"/>
          </w:tcPr>
          <w:p w14:paraId="3CC169AD" w14:textId="257FAD0A" w:rsidR="00326F5C" w:rsidRPr="005D0684" w:rsidRDefault="00735B7C" w:rsidP="005D0684">
            <w:pPr>
              <w:snapToGrid w:val="0"/>
              <w:spacing w:before="120" w:after="120" w:line="276" w:lineRule="auto"/>
              <w:ind w:firstLine="708"/>
              <w:jc w:val="both"/>
              <w:rPr>
                <w:rFonts w:ascii="Verdana" w:eastAsia="Calibri" w:hAnsi="Verdana" w:cs="Arial"/>
                <w:color w:val="000000" w:themeColor="text1"/>
                <w:sz w:val="22"/>
                <w:szCs w:val="22"/>
              </w:rPr>
            </w:pPr>
            <w:bookmarkStart w:id="0" w:name="_Hlk171694685"/>
            <w:r w:rsidRPr="00FF56F9">
              <w:rPr>
                <w:rFonts w:ascii="Verdana" w:eastAsia="Calibri" w:hAnsi="Verdana" w:cs="Arial"/>
                <w:color w:val="000000" w:themeColor="text1"/>
                <w:sz w:val="22"/>
                <w:szCs w:val="22"/>
                <w:lang w:val="es-ES"/>
              </w:rPr>
              <w:lastRenderedPageBreak/>
              <w:t xml:space="preserve"> </w:t>
            </w:r>
            <w:r w:rsidR="005D0684" w:rsidRPr="005D0684">
              <w:rPr>
                <w:rFonts w:ascii="Verdana" w:eastAsia="Calibri" w:hAnsi="Verdana" w:cs="Arial"/>
                <w:color w:val="000000" w:themeColor="text1"/>
                <w:sz w:val="22"/>
                <w:szCs w:val="22"/>
              </w:rPr>
              <w:t xml:space="preserve">Durante la ejecución de los contratos, las Entidades Estatales sometidas al Estatuto General de Contratación de la Administración Pública –en adelante EGCAP– usualmente cuentan con distintas potestades exorbitantes o excepcionales, con base en las cuales ejercen la dirección general del contrato y realizan las actividades propias de vigilancia y control. Entre dichas potestades se encuentran: a) Las cláusulas excepcionales del </w:t>
            </w:r>
            <w:r w:rsidR="005D0684" w:rsidRPr="005D0684">
              <w:rPr>
                <w:rFonts w:ascii="Verdana" w:eastAsia="Calibri" w:hAnsi="Verdana" w:cs="Arial"/>
                <w:i/>
                <w:iCs/>
                <w:color w:val="000000" w:themeColor="text1"/>
                <w:sz w:val="22"/>
                <w:szCs w:val="22"/>
              </w:rPr>
              <w:t xml:space="preserve">artículo 14 </w:t>
            </w:r>
            <w:r w:rsidR="005D0684" w:rsidRPr="005D0684">
              <w:rPr>
                <w:rFonts w:ascii="Verdana" w:eastAsia="Calibri" w:hAnsi="Verdana" w:cs="Arial"/>
                <w:color w:val="000000" w:themeColor="text1"/>
                <w:sz w:val="22"/>
                <w:szCs w:val="22"/>
              </w:rPr>
              <w:t xml:space="preserve">de la Ley 80 de 1993, concepto que incluye la terminación unilateral, la interpretación unilateral, la modificación unilateral, la caducidad y la reversión. Dichas prerrogativas se desarrollan en los artículos 15 a 19 </w:t>
            </w:r>
            <w:r w:rsidR="005D0684" w:rsidRPr="005D0684">
              <w:rPr>
                <w:rFonts w:ascii="Verdana" w:eastAsia="Calibri" w:hAnsi="Verdana" w:cs="Arial"/>
                <w:i/>
                <w:iCs/>
                <w:color w:val="000000" w:themeColor="text1"/>
                <w:sz w:val="22"/>
                <w:szCs w:val="22"/>
              </w:rPr>
              <w:t xml:space="preserve">ibidem; b) </w:t>
            </w:r>
            <w:r w:rsidR="005D0684" w:rsidRPr="005D0684">
              <w:rPr>
                <w:rFonts w:ascii="Verdana" w:eastAsia="Calibri" w:hAnsi="Verdana" w:cs="Arial"/>
                <w:color w:val="000000" w:themeColor="text1"/>
                <w:sz w:val="22"/>
                <w:szCs w:val="22"/>
              </w:rPr>
              <w:t xml:space="preserve">Las cláusulas excepcionales de </w:t>
            </w:r>
            <w:r w:rsidR="005D0684" w:rsidRPr="005D0684">
              <w:rPr>
                <w:rFonts w:ascii="Verdana" w:eastAsia="Calibri" w:hAnsi="Verdana" w:cs="Arial"/>
                <w:i/>
                <w:iCs/>
                <w:color w:val="000000" w:themeColor="text1"/>
                <w:sz w:val="22"/>
                <w:szCs w:val="22"/>
              </w:rPr>
              <w:t>imposición unilateral de las cláusulas penales y de multas</w:t>
            </w:r>
            <w:r w:rsidR="005D0684" w:rsidRPr="005D0684">
              <w:rPr>
                <w:rFonts w:ascii="Verdana" w:eastAsia="Calibri" w:hAnsi="Verdana" w:cs="Arial"/>
                <w:color w:val="000000" w:themeColor="text1"/>
                <w:sz w:val="22"/>
                <w:szCs w:val="22"/>
              </w:rPr>
              <w:t xml:space="preserve">, según lo establecido en el artículo 17 de la Ley 1150 de 2007. En este caso su exorbitancia se refiere a la facultad de imposición unilateral, no a su pacto, que es posible en virtud de las normas civiles y comerciales; y c) Las potestades establecidas en otras disposiciones como la liquidación unilateral y la </w:t>
            </w:r>
            <w:r w:rsidR="005D0684" w:rsidRPr="005D0684">
              <w:rPr>
                <w:rFonts w:ascii="Verdana" w:eastAsia="Calibri" w:hAnsi="Verdana" w:cs="Arial"/>
                <w:i/>
                <w:iCs/>
                <w:color w:val="000000" w:themeColor="text1"/>
                <w:sz w:val="22"/>
                <w:szCs w:val="22"/>
              </w:rPr>
              <w:t xml:space="preserve">declaratoria unilateral del siniestro </w:t>
            </w:r>
            <w:r w:rsidR="005D0684" w:rsidRPr="005D0684">
              <w:rPr>
                <w:rFonts w:ascii="Verdana" w:eastAsia="Calibri" w:hAnsi="Verdana" w:cs="Arial"/>
                <w:color w:val="000000" w:themeColor="text1"/>
                <w:sz w:val="22"/>
                <w:szCs w:val="22"/>
              </w:rPr>
              <w:t xml:space="preserve">–artículos 7 y 11 de la Ley 1150 de 2007– </w:t>
            </w:r>
          </w:p>
          <w:p w14:paraId="147D3A1D" w14:textId="0305B829" w:rsidR="005D0684" w:rsidRPr="005D0684" w:rsidRDefault="005D0684" w:rsidP="005D0684">
            <w:pPr>
              <w:snapToGrid w:val="0"/>
              <w:spacing w:before="120" w:after="120" w:line="276" w:lineRule="auto"/>
              <w:ind w:firstLine="708"/>
              <w:jc w:val="both"/>
              <w:rPr>
                <w:rFonts w:ascii="Verdana" w:eastAsia="Calibri" w:hAnsi="Verdana" w:cs="Arial"/>
                <w:color w:val="000000" w:themeColor="text1"/>
                <w:sz w:val="22"/>
                <w:szCs w:val="22"/>
              </w:rPr>
            </w:pPr>
            <w:r w:rsidRPr="005D0684">
              <w:rPr>
                <w:rFonts w:ascii="Verdana" w:eastAsia="Calibri" w:hAnsi="Verdana" w:cs="Arial"/>
                <w:color w:val="000000" w:themeColor="text1"/>
                <w:sz w:val="22"/>
                <w:szCs w:val="22"/>
              </w:rPr>
              <w:t xml:space="preserve">Las potestades exorbitantes del segundo grupo –imposición unilateral de la multa o la cláusula penal– son el resultado de una particular combinación entre el principio de legalidad y la autonomía de la voluntad, de tal suerte que si bien el legislador autorizó a las entidades para declarar el incumplimiento con la intención de multar al contratista para conminarlo al cumplimiento o para hacer efectiva la cláusula penal, es indispensable que uno u otro caso se hayan pactado en el contrato. No obstante, cumplido el requisito del pacto en el contrato, las entidades estatales sometidas al Estatuto General de Contratación de la Administración Pública –Leyes 80 de 1993 y 1150 de 2007, y sus modificaciones–, por ministerio de la ley –artículo 17 de la Ley 1150 de 2007– se entienden investidas de la prerrogativa de imposición unilateral. Se reitera que la exorbitancia de las dos cláusulas transcritas –cláusula penal y multas– se refiere a su imposición unilateral, no a su pacto. Esto último en la medida en que dichas cláusulas son posibles y pueden pactarse en virtud de las normas civiles y comerciales. </w:t>
            </w:r>
          </w:p>
          <w:p w14:paraId="43A51AF7" w14:textId="77777777" w:rsidR="00FF56F9" w:rsidRDefault="004A5513" w:rsidP="00FF56F9">
            <w:pPr>
              <w:snapToGrid w:val="0"/>
              <w:spacing w:before="120" w:after="120" w:line="276" w:lineRule="auto"/>
              <w:ind w:firstLine="708"/>
              <w:jc w:val="both"/>
              <w:rPr>
                <w:rFonts w:ascii="Verdana" w:hAnsi="Verdana" w:cs="Arial"/>
                <w:sz w:val="22"/>
                <w:szCs w:val="22"/>
                <w:lang w:val="es-ES" w:eastAsia="es-ES"/>
                <w14:ligatures w14:val="standardContextual"/>
              </w:rPr>
            </w:pPr>
            <w:r w:rsidRPr="0040232A">
              <w:rPr>
                <w:rFonts w:ascii="Verdana" w:eastAsia="Calibri" w:hAnsi="Verdana" w:cs="Arial"/>
                <w:color w:val="000000" w:themeColor="text1"/>
                <w:sz w:val="22"/>
                <w:szCs w:val="22"/>
                <w:lang w:val="es-ES"/>
              </w:rPr>
              <w:t xml:space="preserve">Adicionalmente, </w:t>
            </w:r>
            <w:proofErr w:type="gramStart"/>
            <w:r w:rsidR="00FF56F9">
              <w:rPr>
                <w:rFonts w:ascii="Verdana" w:hAnsi="Verdana" w:cs="Arial"/>
                <w:sz w:val="22"/>
                <w:szCs w:val="22"/>
                <w:lang w:val="es-ES" w:eastAsia="es-ES"/>
                <w14:ligatures w14:val="standardContextual"/>
              </w:rPr>
              <w:t>e</w:t>
            </w:r>
            <w:r w:rsidR="00FF56F9" w:rsidRPr="00FF56F9">
              <w:rPr>
                <w:rFonts w:ascii="Verdana" w:hAnsi="Verdana" w:cs="Arial"/>
                <w:sz w:val="22"/>
                <w:szCs w:val="22"/>
                <w:lang w:val="es-ES" w:eastAsia="es-ES"/>
                <w14:ligatures w14:val="standardContextual"/>
              </w:rPr>
              <w:t>l ejercicio de estas potestades se materializan</w:t>
            </w:r>
            <w:proofErr w:type="gramEnd"/>
            <w:r w:rsidR="00FF56F9" w:rsidRPr="00FF56F9">
              <w:rPr>
                <w:rFonts w:ascii="Verdana" w:hAnsi="Verdana" w:cs="Arial"/>
                <w:sz w:val="22"/>
                <w:szCs w:val="22"/>
                <w:lang w:val="es-ES" w:eastAsia="es-ES"/>
                <w14:ligatures w14:val="standardContextual"/>
              </w:rPr>
              <w:t xml:space="preserve"> mediante la expedición de un acto administrativo, producto del procedimiento establecido en el artículo 86 de la Ley 1474 de 2011, el cual </w:t>
            </w:r>
            <w:r w:rsidR="00FF56F9">
              <w:rPr>
                <w:rFonts w:ascii="Verdana" w:hAnsi="Verdana" w:cs="Arial"/>
                <w:sz w:val="22"/>
                <w:szCs w:val="22"/>
                <w:lang w:val="es-ES" w:eastAsia="es-ES"/>
                <w14:ligatures w14:val="standardContextual"/>
              </w:rPr>
              <w:t xml:space="preserve">determina sus </w:t>
            </w:r>
            <w:r w:rsidR="00FF56F9" w:rsidRPr="00FF56F9">
              <w:rPr>
                <w:rFonts w:ascii="Verdana" w:hAnsi="Verdana" w:cs="Arial"/>
                <w:sz w:val="22"/>
                <w:szCs w:val="22"/>
                <w:lang w:val="es-ES" w:eastAsia="es-ES"/>
                <w14:ligatures w14:val="standardContextual"/>
              </w:rPr>
              <w:t>reglas con el fin de asegurar el cumplimiento de los derechos y garantías derivadas del debido proceso en materia sancionatoria contractual.</w:t>
            </w:r>
            <w:r w:rsidR="00FF56F9">
              <w:rPr>
                <w:rFonts w:ascii="Verdana" w:hAnsi="Verdana" w:cs="Arial"/>
                <w:sz w:val="22"/>
                <w:szCs w:val="22"/>
                <w:lang w:val="es-ES" w:eastAsia="es-ES"/>
                <w14:ligatures w14:val="standardContextual"/>
              </w:rPr>
              <w:t xml:space="preserve"> </w:t>
            </w:r>
          </w:p>
          <w:p w14:paraId="649AF4F7" w14:textId="4939A614" w:rsidR="004A5513" w:rsidRPr="00FF56F9" w:rsidRDefault="00FF56F9" w:rsidP="00FF56F9">
            <w:pPr>
              <w:snapToGrid w:val="0"/>
              <w:spacing w:before="120" w:after="120" w:line="276" w:lineRule="auto"/>
              <w:ind w:firstLine="708"/>
              <w:jc w:val="both"/>
              <w:rPr>
                <w:rFonts w:ascii="Verdana" w:hAnsi="Verdana" w:cs="Arial"/>
                <w:sz w:val="22"/>
                <w:szCs w:val="22"/>
                <w:lang w:val="es-ES" w:eastAsia="es-ES"/>
                <w14:ligatures w14:val="standardContextual"/>
              </w:rPr>
            </w:pPr>
            <w:r>
              <w:rPr>
                <w:rFonts w:ascii="Verdana" w:hAnsi="Verdana" w:cs="Arial"/>
                <w:sz w:val="22"/>
                <w:szCs w:val="22"/>
                <w:lang w:val="es-ES" w:eastAsia="es-ES"/>
                <w14:ligatures w14:val="standardContextual"/>
              </w:rPr>
              <w:lastRenderedPageBreak/>
              <w:t>E</w:t>
            </w:r>
            <w:r w:rsidR="004A5513" w:rsidRPr="0040232A">
              <w:rPr>
                <w:rFonts w:ascii="Verdana" w:eastAsia="Calibri" w:hAnsi="Verdana" w:cs="Arial"/>
                <w:color w:val="000000" w:themeColor="text1"/>
                <w:sz w:val="22"/>
                <w:szCs w:val="22"/>
                <w:lang w:val="es-ES"/>
              </w:rPr>
              <w:t xml:space="preserve">l artículo 86 estableció de manera expresa </w:t>
            </w:r>
            <w:r w:rsidR="004A5513">
              <w:rPr>
                <w:rFonts w:ascii="Verdana" w:eastAsia="Calibri" w:hAnsi="Verdana" w:cs="Arial"/>
                <w:color w:val="000000" w:themeColor="text1"/>
                <w:sz w:val="22"/>
                <w:szCs w:val="22"/>
                <w:lang w:val="es-ES"/>
              </w:rPr>
              <w:t xml:space="preserve">que </w:t>
            </w:r>
            <w:r w:rsidR="004A5513" w:rsidRPr="0040232A">
              <w:rPr>
                <w:rFonts w:ascii="Verdana" w:eastAsia="Calibri" w:hAnsi="Verdana" w:cs="Arial"/>
                <w:color w:val="000000" w:themeColor="text1"/>
                <w:sz w:val="22"/>
                <w:szCs w:val="22"/>
                <w:lang w:val="es-ES"/>
              </w:rPr>
              <w:t>las entidades sometidas al EGCAP pueden adelantar ese procedimiento</w:t>
            </w:r>
            <w:r w:rsidR="004A5513">
              <w:rPr>
                <w:rFonts w:ascii="Verdana" w:eastAsia="Calibri" w:hAnsi="Verdana" w:cs="Arial"/>
                <w:color w:val="000000" w:themeColor="text1"/>
                <w:sz w:val="22"/>
                <w:szCs w:val="22"/>
                <w:lang w:val="es-ES"/>
              </w:rPr>
              <w:t xml:space="preserve"> en </w:t>
            </w:r>
            <w:r w:rsidR="004A5513" w:rsidRPr="0040232A">
              <w:rPr>
                <w:rFonts w:ascii="Verdana" w:eastAsia="Calibri" w:hAnsi="Verdana" w:cs="Arial"/>
                <w:color w:val="000000" w:themeColor="text1"/>
                <w:sz w:val="22"/>
                <w:szCs w:val="22"/>
                <w:lang w:val="es-ES"/>
              </w:rPr>
              <w:t xml:space="preserve">los </w:t>
            </w:r>
            <w:r w:rsidR="004A5513">
              <w:rPr>
                <w:rFonts w:ascii="Verdana" w:eastAsia="Calibri" w:hAnsi="Verdana" w:cs="Arial"/>
                <w:color w:val="000000" w:themeColor="text1"/>
                <w:sz w:val="22"/>
                <w:szCs w:val="22"/>
                <w:lang w:val="es-ES"/>
              </w:rPr>
              <w:t xml:space="preserve">siguientes </w:t>
            </w:r>
            <w:r w:rsidR="004A5513" w:rsidRPr="0040232A">
              <w:rPr>
                <w:rFonts w:ascii="Verdana" w:eastAsia="Calibri" w:hAnsi="Verdana" w:cs="Arial"/>
                <w:color w:val="000000" w:themeColor="text1"/>
                <w:sz w:val="22"/>
                <w:szCs w:val="22"/>
                <w:lang w:val="es-ES"/>
              </w:rPr>
              <w:t xml:space="preserve">supuestos: 1) para declarar el incumplimiento, cuantificando los perjuicios </w:t>
            </w:r>
            <w:proofErr w:type="gramStart"/>
            <w:r w:rsidR="004A5513" w:rsidRPr="0040232A">
              <w:rPr>
                <w:rFonts w:ascii="Verdana" w:eastAsia="Calibri" w:hAnsi="Verdana" w:cs="Arial"/>
                <w:color w:val="000000" w:themeColor="text1"/>
                <w:sz w:val="22"/>
                <w:szCs w:val="22"/>
                <w:lang w:val="es-ES"/>
              </w:rPr>
              <w:t>del mismo</w:t>
            </w:r>
            <w:proofErr w:type="gramEnd"/>
            <w:r w:rsidR="004A5513" w:rsidRPr="0040232A">
              <w:rPr>
                <w:rFonts w:ascii="Verdana" w:eastAsia="Calibri" w:hAnsi="Verdana" w:cs="Arial"/>
                <w:color w:val="000000" w:themeColor="text1"/>
                <w:sz w:val="22"/>
                <w:szCs w:val="22"/>
                <w:lang w:val="es-ES"/>
              </w:rPr>
              <w:t xml:space="preserve">; 2) imponer las multas y sanciones pactadas en el contrato, y 3) hacer efectiva la cláusula penal cuando haya sido pactada. En consecuencia, la Ley 1474 de 2011 atribuyó expresamente la competencia a las entidades para adelantar el procedimiento del artículo 86 en los tres supuestos antedichos, independientemente considerados. </w:t>
            </w:r>
          </w:p>
          <w:p w14:paraId="27B48A43" w14:textId="77777777" w:rsidR="004A5513" w:rsidRPr="0040232A" w:rsidRDefault="004A5513" w:rsidP="00FF56F9">
            <w:pPr>
              <w:snapToGrid w:val="0"/>
              <w:spacing w:before="120" w:after="120" w:line="276" w:lineRule="auto"/>
              <w:ind w:firstLine="709"/>
              <w:jc w:val="both"/>
              <w:rPr>
                <w:rFonts w:ascii="Verdana" w:eastAsia="Calibri" w:hAnsi="Verdana" w:cs="Arial"/>
                <w:color w:val="000000" w:themeColor="text1"/>
                <w:sz w:val="22"/>
                <w:szCs w:val="22"/>
                <w:lang w:val="es-ES"/>
              </w:rPr>
            </w:pPr>
            <w:r w:rsidRPr="0040232A">
              <w:rPr>
                <w:rFonts w:ascii="Verdana" w:eastAsia="Calibri" w:hAnsi="Verdana" w:cs="Arial"/>
                <w:color w:val="000000" w:themeColor="text1"/>
                <w:sz w:val="22"/>
                <w:szCs w:val="22"/>
                <w:lang w:val="es-ES"/>
              </w:rPr>
              <w:t xml:space="preserve">Esto es congruente con la redacción de otros apartes del artículo, como es el caso del literal c) del artículo 86, según el cual mediante resolución motivada la entidad decidirá sobre “la imposición o no de la multa, sanción </w:t>
            </w:r>
            <w:r w:rsidRPr="0040232A">
              <w:rPr>
                <w:rFonts w:ascii="Verdana" w:eastAsia="Calibri" w:hAnsi="Verdana" w:cs="Arial"/>
                <w:color w:val="000000" w:themeColor="text1"/>
                <w:sz w:val="22"/>
                <w:szCs w:val="22"/>
                <w:u w:val="single"/>
                <w:lang w:val="es-ES"/>
              </w:rPr>
              <w:t xml:space="preserve">o </w:t>
            </w:r>
            <w:r w:rsidRPr="005D0684">
              <w:rPr>
                <w:rFonts w:ascii="Verdana" w:eastAsia="Calibri" w:hAnsi="Verdana" w:cs="Arial"/>
                <w:i/>
                <w:iCs/>
                <w:color w:val="000000" w:themeColor="text1"/>
                <w:sz w:val="22"/>
                <w:szCs w:val="22"/>
                <w:lang w:val="es-ES"/>
              </w:rPr>
              <w:t>declaratoria de incumplimiento</w:t>
            </w:r>
            <w:r w:rsidRPr="0040232A">
              <w:rPr>
                <w:rFonts w:ascii="Verdana" w:eastAsia="Calibri" w:hAnsi="Verdana" w:cs="Arial"/>
                <w:color w:val="000000" w:themeColor="text1"/>
                <w:sz w:val="22"/>
                <w:szCs w:val="22"/>
                <w:lang w:val="es-ES"/>
              </w:rPr>
              <w:t xml:space="preserve">” [Énfasis propio]. Así como con lo dispuesto en el artículo 99 de la Ley 1437 de 2011 –Código de Procedimiento Administrativo y de lo Contencioso Administrativo–, el cual estableció́ como documentos que prestan mérito ejecutivo en favor del Estado “[l]os contratos o los documentos en que constan sus garantías, junto con el acto administrativo que declara el incumplimiento </w:t>
            </w:r>
            <w:r w:rsidRPr="0040232A">
              <w:rPr>
                <w:rFonts w:ascii="Verdana" w:eastAsia="Calibri" w:hAnsi="Verdana" w:cs="Arial"/>
                <w:color w:val="000000" w:themeColor="text1"/>
                <w:sz w:val="22"/>
                <w:szCs w:val="22"/>
                <w:u w:val="single"/>
                <w:lang w:val="es-ES"/>
              </w:rPr>
              <w:t>o</w:t>
            </w:r>
            <w:r w:rsidRPr="0040232A">
              <w:rPr>
                <w:rFonts w:ascii="Verdana" w:eastAsia="Calibri" w:hAnsi="Verdana" w:cs="Arial"/>
                <w:color w:val="000000" w:themeColor="text1"/>
                <w:sz w:val="22"/>
                <w:szCs w:val="22"/>
                <w:lang w:val="es-ES"/>
              </w:rPr>
              <w:t xml:space="preserve"> la caducidad”.</w:t>
            </w:r>
            <w:r w:rsidRPr="0040232A">
              <w:rPr>
                <w:rFonts w:ascii="EhrhardtMTStd" w:hAnsi="EhrhardtMTStd"/>
                <w:sz w:val="22"/>
                <w:szCs w:val="22"/>
                <w:highlight w:val="yellow"/>
                <w:lang w:val="es-ES"/>
              </w:rPr>
              <w:t xml:space="preserve"> </w:t>
            </w:r>
          </w:p>
          <w:p w14:paraId="325DD3D2" w14:textId="7964CA9D" w:rsidR="00DA4485" w:rsidRPr="0040232A" w:rsidRDefault="00DA4485" w:rsidP="00FF56F9">
            <w:pPr>
              <w:snapToGrid w:val="0"/>
              <w:spacing w:before="120" w:after="120" w:line="276" w:lineRule="auto"/>
              <w:ind w:firstLine="708"/>
              <w:jc w:val="both"/>
              <w:rPr>
                <w:rFonts w:ascii="Verdana" w:eastAsia="Calibri" w:hAnsi="Verdana" w:cs="Arial"/>
                <w:color w:val="000000" w:themeColor="text1"/>
                <w:sz w:val="22"/>
                <w:szCs w:val="22"/>
                <w:lang w:val="es-ES"/>
              </w:rPr>
            </w:pPr>
            <w:r w:rsidRPr="0040232A">
              <w:rPr>
                <w:rFonts w:ascii="Verdana" w:eastAsia="Calibri" w:hAnsi="Verdana" w:cs="Arial"/>
                <w:color w:val="000000" w:themeColor="text1"/>
                <w:sz w:val="22"/>
                <w:szCs w:val="22"/>
                <w:lang w:val="es-ES"/>
              </w:rPr>
              <w:t>En concordancia con lo explicado previamente, las entidades adelantarán el procedimiento establecido en el referido artículo 86 con el fin ejercer unilateralmente la potestad de imponer las multas y hacer efectiva la cláusula penal, cuando hayan sido incluidas en el contrato en virtud de la autonomía de la voluntad. Sin embargo, la facultad de aplicar el procedimiento</w:t>
            </w:r>
            <w:r w:rsidR="00D76B4D">
              <w:rPr>
                <w:rFonts w:ascii="Verdana" w:eastAsia="Calibri" w:hAnsi="Verdana" w:cs="Arial"/>
                <w:color w:val="000000" w:themeColor="text1"/>
                <w:sz w:val="22"/>
                <w:szCs w:val="22"/>
                <w:lang w:val="es-ES"/>
              </w:rPr>
              <w:t xml:space="preserve"> administrativo</w:t>
            </w:r>
            <w:r w:rsidRPr="0040232A">
              <w:rPr>
                <w:rFonts w:ascii="Verdana" w:eastAsia="Calibri" w:hAnsi="Verdana" w:cs="Arial"/>
                <w:color w:val="000000" w:themeColor="text1"/>
                <w:sz w:val="22"/>
                <w:szCs w:val="22"/>
                <w:lang w:val="es-ES"/>
              </w:rPr>
              <w:t xml:space="preserve"> no se encuentra limitada a estos supuestos, pues el artículo 86 señala que las entidades sometidas al EGCAP podrán, además de lo anterior, emplearlo para declarar el incumplimiento del contrato, cuantificando los perjuicios. </w:t>
            </w:r>
          </w:p>
          <w:p w14:paraId="316757AA" w14:textId="2ABDE545" w:rsidR="004A5513" w:rsidRDefault="00DA4485" w:rsidP="00FF56F9">
            <w:pPr>
              <w:snapToGrid w:val="0"/>
              <w:spacing w:before="120" w:after="120" w:line="276" w:lineRule="auto"/>
              <w:ind w:firstLine="708"/>
              <w:jc w:val="both"/>
              <w:rPr>
                <w:rFonts w:ascii="Verdana" w:eastAsia="Calibri" w:hAnsi="Verdana" w:cs="Arial"/>
                <w:color w:val="000000" w:themeColor="text1"/>
                <w:sz w:val="22"/>
                <w:szCs w:val="22"/>
                <w:lang w:val="es-ES"/>
              </w:rPr>
            </w:pPr>
            <w:r w:rsidRPr="0040232A">
              <w:rPr>
                <w:rFonts w:ascii="Verdana" w:eastAsia="Calibri" w:hAnsi="Verdana" w:cs="Arial"/>
                <w:color w:val="000000" w:themeColor="text1"/>
                <w:sz w:val="22"/>
                <w:szCs w:val="22"/>
                <w:lang w:val="es-ES"/>
              </w:rPr>
              <w:t xml:space="preserve">En efecto, el artículo 86 es procedente para que la entidad declare que el contratista ha incumplido el contrato y, en este evento, surgirá el derecho de hacer efectiva la póliza de cumplimiento, aun cuando la administración no haya pactado multas o la imposición de la cláusula penal. En otras palabras, la declaratoria del incumplimiento del contrato, que puede dar lugar a la efectividad de la garantía otorgada por el contratista, no se encuentra supeditada a que las partes incluyan cláusulas contractuales para la imposición de multas o la cláusula penal. Por el contrario, es el incumplimiento de las obligaciones por parte del contratista lo que puede ocasionar la imposición de las multas o la ejecución de la cláusula penal cuando hayan sido pactadas en </w:t>
            </w:r>
            <w:r w:rsidRPr="0040232A">
              <w:rPr>
                <w:rFonts w:ascii="Verdana" w:eastAsia="Calibri" w:hAnsi="Verdana" w:cs="Arial"/>
                <w:color w:val="000000" w:themeColor="text1"/>
                <w:sz w:val="22"/>
                <w:szCs w:val="22"/>
                <w:lang w:val="es-ES"/>
              </w:rPr>
              <w:lastRenderedPageBreak/>
              <w:t xml:space="preserve">el contrato. En </w:t>
            </w:r>
            <w:proofErr w:type="gramStart"/>
            <w:r w:rsidRPr="0040232A">
              <w:rPr>
                <w:rFonts w:ascii="Verdana" w:eastAsia="Calibri" w:hAnsi="Verdana" w:cs="Arial"/>
                <w:color w:val="000000" w:themeColor="text1"/>
                <w:sz w:val="22"/>
                <w:szCs w:val="22"/>
                <w:lang w:val="es-ES"/>
              </w:rPr>
              <w:t>consecuencia</w:t>
            </w:r>
            <w:proofErr w:type="gramEnd"/>
            <w:r w:rsidRPr="0040232A">
              <w:rPr>
                <w:rFonts w:ascii="Verdana" w:eastAsia="Calibri" w:hAnsi="Verdana" w:cs="Arial"/>
                <w:color w:val="000000" w:themeColor="text1"/>
                <w:sz w:val="22"/>
                <w:szCs w:val="22"/>
                <w:lang w:val="es-ES"/>
              </w:rPr>
              <w:t xml:space="preserve"> cuando, en ejercicio de la autonomía de la voluntad, las entidades no pacten las multas o la cláusula penal, no por esto la administración perderá la potestad exorbitante que le otorgó expresamente el artículo 86 de la </w:t>
            </w:r>
            <w:r>
              <w:rPr>
                <w:rFonts w:ascii="Verdana" w:eastAsia="Calibri" w:hAnsi="Verdana" w:cs="Arial"/>
                <w:color w:val="000000" w:themeColor="text1"/>
                <w:sz w:val="22"/>
                <w:szCs w:val="22"/>
                <w:lang w:val="es-ES"/>
              </w:rPr>
              <w:t>L</w:t>
            </w:r>
            <w:r w:rsidRPr="0040232A">
              <w:rPr>
                <w:rFonts w:ascii="Verdana" w:eastAsia="Calibri" w:hAnsi="Verdana" w:cs="Arial"/>
                <w:color w:val="000000" w:themeColor="text1"/>
                <w:sz w:val="22"/>
                <w:szCs w:val="22"/>
                <w:lang w:val="es-ES"/>
              </w:rPr>
              <w:t>ey 1474 de 2011 de declarar el incumplimiento del contrato. De esta forma, la declaratoria unilateral del siniestro en este caso estará precedida por la declaratoria del incumplimiento del contrato, lo cual hace procedente el procedimiento administrativo del artículo 86.</w:t>
            </w:r>
          </w:p>
          <w:p w14:paraId="6DEB449D" w14:textId="36472BCA" w:rsidR="00735B7C" w:rsidRPr="00FF56F9" w:rsidRDefault="00DA4485" w:rsidP="00FF56F9">
            <w:pPr>
              <w:snapToGrid w:val="0"/>
              <w:spacing w:before="120" w:after="120" w:line="276" w:lineRule="auto"/>
              <w:ind w:firstLine="708"/>
              <w:jc w:val="both"/>
              <w:rPr>
                <w:rFonts w:ascii="Verdana" w:hAnsi="Verdana" w:cs="Arial"/>
                <w:iCs/>
                <w:sz w:val="22"/>
                <w:szCs w:val="22"/>
                <w:lang w:val="es-ES"/>
              </w:rPr>
            </w:pPr>
            <w:r w:rsidRPr="00D76B4D">
              <w:rPr>
                <w:rFonts w:ascii="Verdana" w:eastAsia="Calibri" w:hAnsi="Verdana" w:cs="Arial"/>
                <w:color w:val="000000" w:themeColor="text1"/>
                <w:sz w:val="22"/>
                <w:szCs w:val="22"/>
                <w:lang w:val="es-ES"/>
              </w:rPr>
              <w:t xml:space="preserve">Esta </w:t>
            </w:r>
            <w:r w:rsidRPr="00D76B4D">
              <w:rPr>
                <w:rFonts w:ascii="Verdana" w:hAnsi="Verdana"/>
                <w:sz w:val="22"/>
                <w:szCs w:val="22"/>
                <w:lang w:val="es-ES"/>
              </w:rPr>
              <w:t xml:space="preserve">facultad de adelantar el procedimiento del artículo 86 para que la entidad declare la ocurrencia del siniestro con ocasión al incumplimiento del contrato, junto con la cuantificación de los perjuicios derivados del mismo, se ajusta al debido proceso, según lo dispuesto por la Corte Constitucional en la sentencia C-499 de 2015. </w:t>
            </w:r>
            <w:r w:rsidRPr="00D76B4D">
              <w:rPr>
                <w:rFonts w:ascii="Verdana" w:hAnsi="Verdana" w:cs="Arial"/>
                <w:iCs/>
                <w:sz w:val="22"/>
                <w:szCs w:val="22"/>
                <w:lang w:val="es-ES"/>
              </w:rPr>
              <w:t>En línea con lo anterior</w:t>
            </w:r>
            <w:r w:rsidR="00007403">
              <w:rPr>
                <w:rFonts w:ascii="Verdana" w:hAnsi="Verdana" w:cs="Arial"/>
                <w:iCs/>
                <w:sz w:val="22"/>
                <w:szCs w:val="22"/>
                <w:lang w:val="es-ES"/>
              </w:rPr>
              <w:t>,</w:t>
            </w:r>
            <w:r w:rsidRPr="00D76B4D">
              <w:rPr>
                <w:rFonts w:ascii="Verdana" w:hAnsi="Verdana" w:cs="Arial"/>
                <w:iCs/>
                <w:sz w:val="22"/>
                <w:szCs w:val="22"/>
                <w:lang w:val="es-ES"/>
              </w:rPr>
              <w:t xml:space="preserve"> la jurisprudencia del Consejo de Estado ha sostenido que </w:t>
            </w:r>
            <w:r w:rsidR="00007403">
              <w:rPr>
                <w:rFonts w:ascii="Verdana" w:hAnsi="Verdana" w:cs="Arial"/>
                <w:iCs/>
                <w:sz w:val="22"/>
                <w:szCs w:val="22"/>
                <w:lang w:val="es-ES"/>
              </w:rPr>
              <w:t xml:space="preserve">la tasación de los perjuicios en el marco de dicho procedimiento administrativo es </w:t>
            </w:r>
            <w:r w:rsidRPr="00D76B4D">
              <w:rPr>
                <w:rFonts w:ascii="Verdana" w:hAnsi="Verdana" w:cs="Arial"/>
                <w:iCs/>
                <w:sz w:val="22"/>
                <w:szCs w:val="22"/>
                <w:lang w:val="es-ES"/>
              </w:rPr>
              <w:t xml:space="preserve">discrecional por parte de la </w:t>
            </w:r>
            <w:r w:rsidR="00007403">
              <w:rPr>
                <w:rFonts w:ascii="Verdana" w:hAnsi="Verdana" w:cs="Arial"/>
                <w:iCs/>
                <w:sz w:val="22"/>
                <w:szCs w:val="22"/>
                <w:lang w:val="es-ES"/>
              </w:rPr>
              <w:t>A</w:t>
            </w:r>
            <w:r w:rsidRPr="00D76B4D">
              <w:rPr>
                <w:rFonts w:ascii="Verdana" w:hAnsi="Verdana" w:cs="Arial"/>
                <w:iCs/>
                <w:sz w:val="22"/>
                <w:szCs w:val="22"/>
                <w:lang w:val="es-ES"/>
              </w:rPr>
              <w:t xml:space="preserve">dministración, </w:t>
            </w:r>
            <w:r w:rsidRPr="00D76B4D">
              <w:rPr>
                <w:rFonts w:ascii="Verdana" w:hAnsi="Verdana" w:cs="Arial"/>
                <w:sz w:val="22"/>
                <w:szCs w:val="22"/>
                <w:lang w:val="es-ES"/>
              </w:rPr>
              <w:t>sin embargo, debe ser abordada desde la perspectiva de la proporcionalidad</w:t>
            </w:r>
            <w:r w:rsidR="00FF56F9" w:rsidRPr="00D76B4D">
              <w:rPr>
                <w:rFonts w:ascii="Verdana" w:hAnsi="Verdana" w:cs="Arial"/>
                <w:sz w:val="22"/>
                <w:szCs w:val="22"/>
                <w:lang w:val="es-ES"/>
              </w:rPr>
              <w:t xml:space="preserve">. </w:t>
            </w:r>
            <w:r w:rsidRPr="00D76B4D">
              <w:rPr>
                <w:rFonts w:ascii="Verdana" w:eastAsia="Calibri" w:hAnsi="Verdana" w:cs="Arial"/>
                <w:color w:val="000000" w:themeColor="text1"/>
                <w:sz w:val="22"/>
                <w:szCs w:val="22"/>
                <w:lang w:val="es-ES"/>
              </w:rPr>
              <w:t>Además, la Entidad deberá asegurar que el procedimiento que adelante para la declaratoria del incumplimiento cumpla con el debido proceso, permitiendo que tanto el contratista como la aseguradora ejerzan el derecho de audiencia y defensa antes de que la Entidad declare el siniestro o afecte la póliza.</w:t>
            </w:r>
          </w:p>
        </w:tc>
      </w:tr>
    </w:tbl>
    <w:p w14:paraId="19779CC7" w14:textId="77777777" w:rsidR="00B3760F" w:rsidRPr="00326F5C" w:rsidRDefault="00B3760F" w:rsidP="00B3760F">
      <w:pPr>
        <w:tabs>
          <w:tab w:val="left" w:pos="142"/>
          <w:tab w:val="left" w:pos="284"/>
        </w:tabs>
        <w:spacing w:line="276" w:lineRule="auto"/>
        <w:jc w:val="both"/>
        <w:rPr>
          <w:rFonts w:ascii="Verdana" w:eastAsia="Century Gothic" w:hAnsi="Verdana" w:cs="Century Gothic"/>
          <w:b/>
          <w:bCs/>
          <w:sz w:val="22"/>
          <w:szCs w:val="22"/>
          <w:lang w:val="es-ES"/>
        </w:rPr>
      </w:pPr>
    </w:p>
    <w:bookmarkEnd w:id="0"/>
    <w:p w14:paraId="1CC647F3" w14:textId="77777777" w:rsidR="00B3760F" w:rsidRPr="00326F5C" w:rsidRDefault="00B3760F" w:rsidP="00B3760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326F5C">
        <w:rPr>
          <w:rFonts w:ascii="Verdana" w:eastAsia="Century Gothic" w:hAnsi="Verdana" w:cs="Century Gothic"/>
          <w:b/>
          <w:bCs/>
        </w:rPr>
        <w:t>Razones de la respuesta:</w:t>
      </w:r>
    </w:p>
    <w:p w14:paraId="7DC2FDF4" w14:textId="77777777" w:rsidR="00B3760F" w:rsidRPr="00326F5C" w:rsidRDefault="00B3760F" w:rsidP="00B3760F">
      <w:pPr>
        <w:spacing w:line="276" w:lineRule="auto"/>
        <w:jc w:val="both"/>
        <w:rPr>
          <w:rFonts w:ascii="Verdana" w:eastAsia="Calibri" w:hAnsi="Verdana" w:cs="Arial"/>
          <w:color w:val="7030A0"/>
          <w:sz w:val="22"/>
          <w:szCs w:val="22"/>
          <w:lang w:val="es-ES"/>
        </w:rPr>
      </w:pPr>
    </w:p>
    <w:p w14:paraId="3C958130" w14:textId="77777777" w:rsidR="00B3760F" w:rsidRPr="006E2FBB" w:rsidRDefault="00B3760F" w:rsidP="00B3760F">
      <w:pPr>
        <w:spacing w:line="276" w:lineRule="auto"/>
        <w:jc w:val="both"/>
        <w:rPr>
          <w:rFonts w:ascii="Verdana" w:eastAsia="Calibri" w:hAnsi="Verdana" w:cs="Arial"/>
          <w:sz w:val="22"/>
          <w:szCs w:val="22"/>
          <w:lang w:val="es-ES"/>
        </w:rPr>
      </w:pPr>
      <w:r w:rsidRPr="00326F5C">
        <w:rPr>
          <w:rFonts w:ascii="Verdana" w:eastAsia="Calibri" w:hAnsi="Verdana" w:cs="Arial"/>
          <w:sz w:val="22"/>
          <w:szCs w:val="22"/>
          <w:lang w:val="es-ES"/>
        </w:rPr>
        <w:t>Lo anterior se sustenta</w:t>
      </w:r>
      <w:r w:rsidRPr="006E2FBB">
        <w:rPr>
          <w:rFonts w:ascii="Verdana" w:eastAsia="Calibri" w:hAnsi="Verdana" w:cs="Arial"/>
          <w:sz w:val="22"/>
          <w:szCs w:val="22"/>
          <w:lang w:val="es-ES"/>
        </w:rPr>
        <w:t xml:space="preserve"> en las siguientes consideraciones:</w:t>
      </w:r>
    </w:p>
    <w:p w14:paraId="4E89D88B" w14:textId="77777777" w:rsidR="00B3760F" w:rsidRPr="006E2FBB" w:rsidRDefault="00B3760F" w:rsidP="00B3760F">
      <w:pPr>
        <w:spacing w:line="276" w:lineRule="auto"/>
        <w:jc w:val="both"/>
        <w:rPr>
          <w:rFonts w:ascii="Verdana" w:eastAsia="Calibri" w:hAnsi="Verdana" w:cs="Arial"/>
          <w:sz w:val="22"/>
          <w:szCs w:val="22"/>
          <w:lang w:val="es-ES"/>
        </w:rPr>
      </w:pPr>
    </w:p>
    <w:p w14:paraId="7D8AEFEE" w14:textId="77777777" w:rsidR="00D645A5" w:rsidRPr="006E2FBB" w:rsidRDefault="00B3760F" w:rsidP="00D645A5">
      <w:pPr>
        <w:spacing w:after="120" w:line="276" w:lineRule="auto"/>
        <w:jc w:val="both"/>
        <w:rPr>
          <w:rFonts w:ascii="Verdana" w:hAnsi="Verdana" w:cs="Arial"/>
          <w:color w:val="000000" w:themeColor="text1"/>
          <w:sz w:val="22"/>
          <w:szCs w:val="22"/>
          <w:lang w:val="es-ES"/>
        </w:rPr>
      </w:pPr>
      <w:r w:rsidRPr="006E2FBB">
        <w:rPr>
          <w:rFonts w:ascii="Verdana" w:hAnsi="Verdana" w:cs="Arial"/>
          <w:sz w:val="22"/>
          <w:szCs w:val="22"/>
          <w:lang w:val="es-ES"/>
        </w:rPr>
        <w:t xml:space="preserve">i) </w:t>
      </w:r>
      <w:r w:rsidR="00D645A5" w:rsidRPr="006E2FBB">
        <w:rPr>
          <w:rFonts w:ascii="Verdana" w:eastAsia="Calibri" w:hAnsi="Verdana" w:cs="Arial"/>
          <w:color w:val="000000" w:themeColor="text1"/>
          <w:sz w:val="22"/>
          <w:szCs w:val="22"/>
          <w:lang w:val="es-ES" w:eastAsia="es-ES_tradnl"/>
        </w:rPr>
        <w:t>El Estatuto General de Contratación de la Administración Pública exige, por regla general, la constitución de garantías en los Procesos de Contratación pública con el fin de evitar o mitigar posibles riesgos</w:t>
      </w:r>
      <w:r w:rsidR="00D645A5" w:rsidRPr="006E2FBB">
        <w:rPr>
          <w:rFonts w:ascii="Verdana" w:hAnsi="Verdana" w:cs="Arial"/>
          <w:color w:val="000000" w:themeColor="text1"/>
          <w:sz w:val="22"/>
          <w:szCs w:val="22"/>
          <w:shd w:val="clear" w:color="auto" w:fill="FFFFFF"/>
          <w:lang w:val="es-ES"/>
        </w:rPr>
        <w:t xml:space="preserve">. </w:t>
      </w:r>
      <w:r w:rsidR="00D645A5" w:rsidRPr="006E2FBB">
        <w:rPr>
          <w:rFonts w:ascii="Verdana" w:hAnsi="Verdana" w:cs="Arial"/>
          <w:color w:val="000000" w:themeColor="text1"/>
          <w:sz w:val="22"/>
          <w:szCs w:val="22"/>
          <w:lang w:val="es-ES"/>
        </w:rPr>
        <w:t xml:space="preserve">Desde esta perspectiva, las garantías constituyen una obligación de seguridad, es decir, aquella donde el interés del acreedor no consiste en una utilidad específica y tangible, sino en la tranquilidad frente a ciertos riesgos por la cobertura de sus consecuencias nocivas. </w:t>
      </w:r>
    </w:p>
    <w:p w14:paraId="56236D54" w14:textId="77777777" w:rsidR="00D645A5" w:rsidRPr="006E2FBB" w:rsidRDefault="00D645A5" w:rsidP="00D645A5">
      <w:pPr>
        <w:spacing w:after="120" w:line="276" w:lineRule="auto"/>
        <w:ind w:firstLine="708"/>
        <w:jc w:val="both"/>
        <w:rPr>
          <w:rFonts w:ascii="Verdana" w:hAnsi="Verdana" w:cs="Arial"/>
          <w:color w:val="000000" w:themeColor="text1"/>
          <w:sz w:val="22"/>
          <w:szCs w:val="22"/>
          <w:lang w:val="es-ES"/>
        </w:rPr>
      </w:pPr>
      <w:r w:rsidRPr="006E2FBB">
        <w:rPr>
          <w:rFonts w:ascii="Verdana" w:eastAsia="Calibri" w:hAnsi="Verdana" w:cs="Arial"/>
          <w:color w:val="000000" w:themeColor="text1"/>
          <w:sz w:val="22"/>
          <w:szCs w:val="22"/>
          <w:lang w:val="es-ES" w:eastAsia="es-ES_tradnl"/>
        </w:rPr>
        <w:t>En este sentido, el artículo 7 de la Ley 1150 de 2007 dispone que los contratistas tienen la obligación de constituir garantías para el cumplimiento de las obligaciones surgidas del contrato, y los Proponentes por el ofrecimiento realizado</w:t>
      </w:r>
      <w:r w:rsidRPr="006E2FBB">
        <w:rPr>
          <w:rFonts w:ascii="Verdana" w:hAnsi="Verdana" w:cs="Arial"/>
          <w:color w:val="000000" w:themeColor="text1"/>
          <w:sz w:val="22"/>
          <w:szCs w:val="22"/>
          <w:lang w:val="es-ES"/>
        </w:rPr>
        <w:t xml:space="preserve">. De acuerdo con el inciso segundo de dicho artículo, las garantías </w:t>
      </w:r>
      <w:r w:rsidRPr="006E2FBB">
        <w:rPr>
          <w:rFonts w:ascii="Verdana" w:hAnsi="Verdana" w:cs="Arial"/>
          <w:color w:val="000000" w:themeColor="text1"/>
          <w:sz w:val="22"/>
          <w:szCs w:val="22"/>
          <w:lang w:val="es-ES"/>
        </w:rPr>
        <w:lastRenderedPageBreak/>
        <w:t xml:space="preserve">pueden otorgarse a través de: i) contratos de seguro, </w:t>
      </w:r>
      <w:proofErr w:type="spellStart"/>
      <w:r w:rsidRPr="006E2FBB">
        <w:rPr>
          <w:rFonts w:ascii="Verdana" w:hAnsi="Verdana" w:cs="Arial"/>
          <w:color w:val="000000" w:themeColor="text1"/>
          <w:sz w:val="22"/>
          <w:szCs w:val="22"/>
          <w:lang w:val="es-ES"/>
        </w:rPr>
        <w:t>ii</w:t>
      </w:r>
      <w:proofErr w:type="spellEnd"/>
      <w:r w:rsidRPr="006E2FBB">
        <w:rPr>
          <w:rFonts w:ascii="Verdana" w:hAnsi="Verdana" w:cs="Arial"/>
          <w:color w:val="000000" w:themeColor="text1"/>
          <w:sz w:val="22"/>
          <w:szCs w:val="22"/>
          <w:lang w:val="es-ES"/>
        </w:rPr>
        <w:t xml:space="preserve">) garantías bancarias, o </w:t>
      </w:r>
      <w:proofErr w:type="spellStart"/>
      <w:r w:rsidRPr="006E2FBB">
        <w:rPr>
          <w:rFonts w:ascii="Verdana" w:hAnsi="Verdana" w:cs="Arial"/>
          <w:color w:val="000000" w:themeColor="text1"/>
          <w:sz w:val="22"/>
          <w:szCs w:val="22"/>
          <w:lang w:val="es-ES"/>
        </w:rPr>
        <w:t>iii</w:t>
      </w:r>
      <w:proofErr w:type="spellEnd"/>
      <w:r w:rsidRPr="006E2FBB">
        <w:rPr>
          <w:rFonts w:ascii="Verdana" w:hAnsi="Verdana" w:cs="Arial"/>
          <w:color w:val="000000" w:themeColor="text1"/>
          <w:sz w:val="22"/>
          <w:szCs w:val="22"/>
          <w:lang w:val="es-ES"/>
        </w:rPr>
        <w:t>) los demás mecanismos de cobertura del riesgo que disponga el reglamento. Igualmente, la Ley 1150 de 2007 establece que “[…] tratándose de pólizas, las mismas no expirarán por falta de pago de la prima o por revocatoria unilateral […]”. Esta norma es una excepción a la terminación automática del contrato de seguro prevista en los artículos 1068 y 1071 del Código de Comercio</w:t>
      </w:r>
      <w:r w:rsidRPr="006E2FBB">
        <w:rPr>
          <w:rStyle w:val="Refdenotaalpie"/>
          <w:rFonts w:ascii="Verdana" w:hAnsi="Verdana" w:cs="Arial"/>
          <w:color w:val="000000" w:themeColor="text1"/>
          <w:sz w:val="22"/>
          <w:szCs w:val="22"/>
          <w:lang w:val="es-ES"/>
        </w:rPr>
        <w:footnoteReference w:id="2"/>
      </w:r>
      <w:r w:rsidRPr="006E2FBB">
        <w:rPr>
          <w:rFonts w:ascii="Verdana" w:hAnsi="Verdana" w:cs="Arial"/>
          <w:color w:val="000000" w:themeColor="text1"/>
          <w:sz w:val="22"/>
          <w:szCs w:val="22"/>
          <w:lang w:val="es-ES"/>
        </w:rPr>
        <w:t>. De esta manera, las garantías previstas en la ley tienen como objetivo asegurar la solvencia del garante</w:t>
      </w:r>
      <w:r w:rsidRPr="006E2FBB">
        <w:rPr>
          <w:rStyle w:val="Refdenotaalpie"/>
          <w:rFonts w:ascii="Verdana" w:hAnsi="Verdana" w:cs="Arial"/>
          <w:color w:val="000000" w:themeColor="text1"/>
          <w:sz w:val="22"/>
          <w:szCs w:val="22"/>
          <w:lang w:val="es-ES"/>
        </w:rPr>
        <w:footnoteReference w:id="3"/>
      </w:r>
      <w:r w:rsidRPr="006E2FBB">
        <w:rPr>
          <w:rFonts w:ascii="Verdana" w:hAnsi="Verdana" w:cs="Arial"/>
          <w:color w:val="000000" w:themeColor="text1"/>
          <w:sz w:val="22"/>
          <w:szCs w:val="22"/>
          <w:lang w:val="es-ES"/>
        </w:rPr>
        <w:t>.</w:t>
      </w:r>
    </w:p>
    <w:p w14:paraId="575B6D0E" w14:textId="26008195" w:rsidR="00D645A5" w:rsidRPr="006E2FBB" w:rsidRDefault="00D645A5" w:rsidP="006134A3">
      <w:pPr>
        <w:spacing w:after="120" w:line="276" w:lineRule="auto"/>
        <w:ind w:firstLine="708"/>
        <w:jc w:val="both"/>
        <w:rPr>
          <w:rFonts w:ascii="Verdana" w:hAnsi="Verdana" w:cs="Arial"/>
          <w:color w:val="000000" w:themeColor="text1"/>
          <w:sz w:val="22"/>
          <w:szCs w:val="22"/>
          <w:lang w:val="es-ES"/>
        </w:rPr>
      </w:pPr>
      <w:r w:rsidRPr="006E2FBB">
        <w:rPr>
          <w:rFonts w:ascii="Verdana" w:hAnsi="Verdana" w:cs="Arial"/>
          <w:color w:val="000000" w:themeColor="text1"/>
          <w:sz w:val="22"/>
          <w:szCs w:val="22"/>
          <w:lang w:val="es-ES" w:eastAsia="es-CO"/>
        </w:rPr>
        <w:t>Conforme a los artículos 2.2.1.1.1.6.1, 2.2.1.1.2.1.1 y 2.2.1.1.2.1.3 del Decreto 1082 de 2015, las entidades deben realizar el análisis de los riesgos y de la forma de mitigarlos en los estudios del sector, en los estudios previos y en el pliego de condiciones, documentos propios de la etapa precontractual. Allí deben precisar la cobertura de las garantías, sin perjuicio de las observaciones que formulen los interesados y de los ajustes realizados al pliego de condiciones definitivo cuando éstas se aceptan.</w:t>
      </w:r>
      <w:r w:rsidR="006134A3" w:rsidRPr="006E2FBB">
        <w:rPr>
          <w:rFonts w:ascii="Verdana" w:hAnsi="Verdana" w:cs="Arial"/>
          <w:color w:val="000000" w:themeColor="text1"/>
          <w:sz w:val="22"/>
          <w:szCs w:val="22"/>
          <w:lang w:val="es-ES"/>
        </w:rPr>
        <w:t xml:space="preserve"> </w:t>
      </w:r>
      <w:r w:rsidRPr="006E2FBB">
        <w:rPr>
          <w:rFonts w:ascii="Verdana" w:hAnsi="Verdana" w:cs="Arial"/>
          <w:color w:val="000000" w:themeColor="text1"/>
          <w:sz w:val="22"/>
          <w:szCs w:val="22"/>
          <w:lang w:val="es-ES"/>
        </w:rPr>
        <w:t xml:space="preserve">El Decreto 1082 de 2015 también reglamenta las condiciones en que debe cumplirse dicha obligación. Los artículos 2.2.1.2.3.1.1 a 2.2.1.2.3.1.19 del Decreto regulan asuntos como las clases de garantías permitidas, la indivisibilidad de </w:t>
      </w:r>
      <w:proofErr w:type="gramStart"/>
      <w:r w:rsidRPr="006E2FBB">
        <w:rPr>
          <w:rFonts w:ascii="Verdana" w:hAnsi="Verdana" w:cs="Arial"/>
          <w:color w:val="000000" w:themeColor="text1"/>
          <w:sz w:val="22"/>
          <w:szCs w:val="22"/>
          <w:lang w:val="es-ES"/>
        </w:rPr>
        <w:t>las mismas</w:t>
      </w:r>
      <w:proofErr w:type="gramEnd"/>
      <w:r w:rsidRPr="006E2FBB">
        <w:rPr>
          <w:rFonts w:ascii="Verdana" w:hAnsi="Verdana" w:cs="Arial"/>
          <w:color w:val="000000" w:themeColor="text1"/>
          <w:sz w:val="22"/>
          <w:szCs w:val="22"/>
          <w:lang w:val="es-ES"/>
        </w:rPr>
        <w:t xml:space="preserve">, los diferentes riesgos que deben ser objeto de garantía, la vigencia y valores mínimos que deben cubrir los amparos, entre otros aspectos. </w:t>
      </w:r>
    </w:p>
    <w:p w14:paraId="69739D9B" w14:textId="77777777" w:rsidR="00D645A5" w:rsidRPr="006E2FBB" w:rsidRDefault="00D645A5" w:rsidP="00D645A5">
      <w:pPr>
        <w:spacing w:after="120" w:line="276" w:lineRule="auto"/>
        <w:ind w:firstLine="708"/>
        <w:jc w:val="both"/>
        <w:rPr>
          <w:rFonts w:ascii="Verdana" w:hAnsi="Verdana" w:cs="Arial"/>
          <w:color w:val="000000" w:themeColor="text1"/>
          <w:sz w:val="22"/>
          <w:szCs w:val="22"/>
          <w:lang w:val="es-ES"/>
        </w:rPr>
      </w:pPr>
      <w:r w:rsidRPr="006E2FBB">
        <w:rPr>
          <w:rFonts w:ascii="Verdana" w:hAnsi="Verdana" w:cs="Arial"/>
          <w:color w:val="000000" w:themeColor="text1"/>
          <w:sz w:val="22"/>
          <w:szCs w:val="22"/>
          <w:lang w:val="es-ES"/>
        </w:rPr>
        <w:t xml:space="preserve">En particular, mediante </w:t>
      </w:r>
      <w:r w:rsidRPr="006E2FBB">
        <w:rPr>
          <w:rFonts w:ascii="Verdana" w:eastAsia="Calibri" w:hAnsi="Verdana" w:cs="Arial"/>
          <w:color w:val="000000" w:themeColor="text1"/>
          <w:sz w:val="22"/>
          <w:szCs w:val="22"/>
          <w:lang w:val="es-ES"/>
        </w:rPr>
        <w:t xml:space="preserve">la </w:t>
      </w:r>
      <w:r w:rsidRPr="006E2FBB">
        <w:rPr>
          <w:rFonts w:ascii="Verdana" w:eastAsia="Calibri" w:hAnsi="Verdana" w:cs="Arial"/>
          <w:i/>
          <w:iCs/>
          <w:color w:val="000000" w:themeColor="text1"/>
          <w:sz w:val="22"/>
          <w:szCs w:val="22"/>
          <w:lang w:val="es-ES"/>
        </w:rPr>
        <w:t>garantía única de cumplimiento</w:t>
      </w:r>
      <w:r w:rsidRPr="006E2FBB">
        <w:rPr>
          <w:rFonts w:ascii="Verdana" w:eastAsia="Calibri" w:hAnsi="Verdana" w:cs="Arial"/>
          <w:color w:val="000000" w:themeColor="text1"/>
          <w:sz w:val="22"/>
          <w:szCs w:val="22"/>
          <w:lang w:val="es-ES"/>
        </w:rPr>
        <w:t>, el contratista debe amparar los perjuicios que le pueda generar a la entidad el incumplimiento de las obligaciones derivadas del contrato por conductas que le sean atribuibles</w:t>
      </w:r>
      <w:r w:rsidRPr="006E2FBB">
        <w:rPr>
          <w:rStyle w:val="Refdenotaalpie"/>
          <w:rFonts w:ascii="Verdana" w:eastAsia="Calibri" w:hAnsi="Verdana" w:cs="Arial"/>
          <w:color w:val="000000" w:themeColor="text1"/>
          <w:sz w:val="22"/>
          <w:szCs w:val="22"/>
          <w:lang w:val="es-ES"/>
        </w:rPr>
        <w:footnoteReference w:id="4"/>
      </w:r>
      <w:r w:rsidRPr="006E2FBB">
        <w:rPr>
          <w:rFonts w:ascii="Verdana" w:eastAsia="Calibri" w:hAnsi="Verdana" w:cs="Arial"/>
          <w:color w:val="000000" w:themeColor="text1"/>
          <w:sz w:val="22"/>
          <w:szCs w:val="22"/>
          <w:lang w:val="es-ES"/>
        </w:rPr>
        <w:t xml:space="preserve">. </w:t>
      </w:r>
      <w:r w:rsidRPr="006E2FBB">
        <w:rPr>
          <w:rFonts w:ascii="Verdana" w:hAnsi="Verdana" w:cs="Arial"/>
          <w:color w:val="000000" w:themeColor="text1"/>
          <w:sz w:val="22"/>
          <w:szCs w:val="22"/>
          <w:lang w:val="es-ES"/>
        </w:rPr>
        <w:lastRenderedPageBreak/>
        <w:t>Para estos efectos es única, ya que “[…] La prioridad […] es que no haya garantías separadas para los diferentes riesgos, aunque existan varias garantías para diferentes proporciones del interés asegurado […]”</w:t>
      </w:r>
      <w:r w:rsidRPr="006E2FBB">
        <w:rPr>
          <w:rStyle w:val="Refdenotaalpie"/>
          <w:rFonts w:ascii="Verdana" w:hAnsi="Verdana" w:cs="Arial"/>
          <w:color w:val="000000" w:themeColor="text1"/>
          <w:sz w:val="22"/>
          <w:szCs w:val="22"/>
          <w:lang w:val="es-ES"/>
        </w:rPr>
        <w:footnoteReference w:id="5"/>
      </w:r>
      <w:r w:rsidRPr="006E2FBB">
        <w:rPr>
          <w:rFonts w:ascii="Verdana" w:hAnsi="Verdana" w:cs="Arial"/>
          <w:color w:val="000000" w:themeColor="text1"/>
          <w:sz w:val="22"/>
          <w:szCs w:val="22"/>
          <w:lang w:val="es-ES"/>
        </w:rPr>
        <w:t xml:space="preserve">.    </w:t>
      </w:r>
    </w:p>
    <w:p w14:paraId="13723640" w14:textId="2D79D632" w:rsidR="00D645A5" w:rsidRPr="006E2FBB" w:rsidRDefault="00D645A5" w:rsidP="00D645A5">
      <w:pPr>
        <w:spacing w:after="120" w:line="276" w:lineRule="auto"/>
        <w:ind w:firstLine="708"/>
        <w:jc w:val="both"/>
        <w:rPr>
          <w:rFonts w:ascii="Verdana" w:hAnsi="Verdana" w:cs="Arial"/>
          <w:color w:val="000000" w:themeColor="text1"/>
          <w:sz w:val="22"/>
          <w:szCs w:val="22"/>
          <w:lang w:val="es-ES"/>
        </w:rPr>
      </w:pPr>
      <w:r w:rsidRPr="006E2FBB">
        <w:rPr>
          <w:rFonts w:ascii="Verdana" w:hAnsi="Verdana" w:cs="Arial"/>
          <w:color w:val="000000" w:themeColor="text1"/>
          <w:sz w:val="22"/>
          <w:szCs w:val="22"/>
          <w:lang w:val="es-ES"/>
        </w:rPr>
        <w:t xml:space="preserve">El artículo 2.2.1.3.1.7 del Decreto 1082 de 2015 señala que </w:t>
      </w:r>
      <w:r w:rsidRPr="006E2FBB">
        <w:rPr>
          <w:rFonts w:ascii="Verdana" w:hAnsi="Verdana" w:cs="Arial"/>
          <w:i/>
          <w:iCs/>
          <w:color w:val="000000" w:themeColor="text1"/>
          <w:sz w:val="22"/>
          <w:szCs w:val="22"/>
          <w:lang w:val="es-ES"/>
        </w:rPr>
        <w:t>la garantía de cumplimiento</w:t>
      </w:r>
      <w:r w:rsidRPr="006E2FBB">
        <w:rPr>
          <w:rFonts w:ascii="Verdana" w:hAnsi="Verdana" w:cs="Arial"/>
          <w:color w:val="000000" w:themeColor="text1"/>
          <w:sz w:val="22"/>
          <w:szCs w:val="22"/>
          <w:lang w:val="es-ES"/>
        </w:rPr>
        <w:t xml:space="preserve"> </w:t>
      </w:r>
      <w:r w:rsidRPr="006E2FBB">
        <w:rPr>
          <w:rFonts w:ascii="Verdana" w:eastAsia="Calibri" w:hAnsi="Verdana" w:cs="Arial"/>
          <w:bCs/>
          <w:color w:val="000000" w:themeColor="text1"/>
          <w:sz w:val="22"/>
          <w:szCs w:val="22"/>
          <w:lang w:val="es-ES"/>
        </w:rPr>
        <w:t xml:space="preserve">cuenta con varios </w:t>
      </w:r>
      <w:r w:rsidRPr="006E2FBB">
        <w:rPr>
          <w:rFonts w:ascii="Verdana" w:eastAsia="Calibri" w:hAnsi="Verdana" w:cs="Arial"/>
          <w:bCs/>
          <w:i/>
          <w:iCs/>
          <w:color w:val="000000" w:themeColor="text1"/>
          <w:sz w:val="22"/>
          <w:szCs w:val="22"/>
          <w:lang w:val="es-ES"/>
        </w:rPr>
        <w:t>amparos</w:t>
      </w:r>
      <w:r w:rsidRPr="006E2FBB">
        <w:rPr>
          <w:rFonts w:ascii="Verdana" w:eastAsia="Calibri" w:hAnsi="Verdana" w:cs="Arial"/>
          <w:bCs/>
          <w:color w:val="000000" w:themeColor="text1"/>
          <w:sz w:val="22"/>
          <w:szCs w:val="22"/>
          <w:lang w:val="es-ES"/>
        </w:rPr>
        <w:t xml:space="preserve"> que cubren: el buen manejo y correcta inversión del anticipo; la devolución del pago anticipado; el amparo de cumplimiento del contrato; la garantía de pago de salarios, prestaciones sociales legales e indemnizaciones laborales; la estabilidad y calidad de la obra, y </w:t>
      </w:r>
      <w:r w:rsidRPr="006E2FBB">
        <w:rPr>
          <w:rFonts w:ascii="Verdana" w:hAnsi="Verdana" w:cs="Arial"/>
          <w:color w:val="000000" w:themeColor="text1"/>
          <w:sz w:val="22"/>
          <w:szCs w:val="22"/>
          <w:lang w:val="es-ES" w:eastAsia="es-CO"/>
        </w:rPr>
        <w:t xml:space="preserve">los demás incumplimientos de las obligaciones que la </w:t>
      </w:r>
      <w:r w:rsidR="006134A3" w:rsidRPr="006E2FBB">
        <w:rPr>
          <w:rFonts w:ascii="Verdana" w:hAnsi="Verdana" w:cs="Arial"/>
          <w:color w:val="000000" w:themeColor="text1"/>
          <w:sz w:val="22"/>
          <w:szCs w:val="22"/>
          <w:lang w:val="es-ES" w:eastAsia="es-CO"/>
        </w:rPr>
        <w:t>E</w:t>
      </w:r>
      <w:r w:rsidRPr="006E2FBB">
        <w:rPr>
          <w:rFonts w:ascii="Verdana" w:hAnsi="Verdana" w:cs="Arial"/>
          <w:color w:val="000000" w:themeColor="text1"/>
          <w:sz w:val="22"/>
          <w:szCs w:val="22"/>
          <w:lang w:val="es-ES" w:eastAsia="es-CO"/>
        </w:rPr>
        <w:t xml:space="preserve">ntidad </w:t>
      </w:r>
      <w:r w:rsidR="006134A3" w:rsidRPr="006E2FBB">
        <w:rPr>
          <w:rFonts w:ascii="Verdana" w:hAnsi="Verdana" w:cs="Arial"/>
          <w:color w:val="000000" w:themeColor="text1"/>
          <w:sz w:val="22"/>
          <w:szCs w:val="22"/>
          <w:lang w:val="es-ES" w:eastAsia="es-CO"/>
        </w:rPr>
        <w:t>E</w:t>
      </w:r>
      <w:r w:rsidRPr="006E2FBB">
        <w:rPr>
          <w:rFonts w:ascii="Verdana" w:hAnsi="Verdana" w:cs="Arial"/>
          <w:color w:val="000000" w:themeColor="text1"/>
          <w:sz w:val="22"/>
          <w:szCs w:val="22"/>
          <w:lang w:val="es-ES" w:eastAsia="es-CO"/>
        </w:rPr>
        <w:t>statal considere deben ser amparados</w:t>
      </w:r>
      <w:r w:rsidRPr="006E2FBB">
        <w:rPr>
          <w:rStyle w:val="Refdenotaalpie"/>
          <w:rFonts w:ascii="Verdana" w:hAnsi="Verdana" w:cs="Arial"/>
          <w:color w:val="000000" w:themeColor="text1"/>
          <w:sz w:val="22"/>
          <w:szCs w:val="22"/>
          <w:lang w:val="es-ES" w:eastAsia="es-CO"/>
        </w:rPr>
        <w:footnoteReference w:id="6"/>
      </w:r>
      <w:r w:rsidRPr="006E2FBB">
        <w:rPr>
          <w:rFonts w:ascii="Verdana" w:hAnsi="Verdana" w:cs="Arial"/>
          <w:color w:val="000000" w:themeColor="text1"/>
          <w:sz w:val="22"/>
          <w:szCs w:val="22"/>
          <w:lang w:val="es-ES" w:eastAsia="es-CO"/>
        </w:rPr>
        <w:t xml:space="preserve">. Esto, además de la póliza de responsabilidad civil extracontractual que es procedente en los contratos de obra, así como en aquellos en que por su objeto o naturaleza se considere necesario con ocasión </w:t>
      </w:r>
      <w:r w:rsidRPr="006E2FBB">
        <w:rPr>
          <w:rFonts w:ascii="Verdana" w:hAnsi="Verdana" w:cs="Arial"/>
          <w:color w:val="000000" w:themeColor="text1"/>
          <w:sz w:val="22"/>
          <w:szCs w:val="22"/>
          <w:lang w:val="es-ES" w:eastAsia="es-CO"/>
        </w:rPr>
        <w:lastRenderedPageBreak/>
        <w:t>de los riesgos previstos en el negocio, de acuerdo con el artículo 2.2.1.2.3.1.8</w:t>
      </w:r>
      <w:r w:rsidRPr="006E2FBB">
        <w:rPr>
          <w:rFonts w:ascii="Verdana" w:hAnsi="Verdana" w:cs="Arial"/>
          <w:i/>
          <w:iCs/>
          <w:color w:val="000000" w:themeColor="text1"/>
          <w:sz w:val="22"/>
          <w:szCs w:val="22"/>
          <w:lang w:val="es-ES" w:eastAsia="es-CO"/>
        </w:rPr>
        <w:t xml:space="preserve"> </w:t>
      </w:r>
      <w:r w:rsidRPr="006E2FBB">
        <w:rPr>
          <w:rFonts w:ascii="Verdana" w:hAnsi="Verdana" w:cs="Arial"/>
          <w:color w:val="000000" w:themeColor="text1"/>
          <w:sz w:val="22"/>
          <w:szCs w:val="22"/>
          <w:lang w:val="es-ES" w:eastAsia="es-CO"/>
        </w:rPr>
        <w:t>del Decreto 1082 de 2015.</w:t>
      </w:r>
    </w:p>
    <w:p w14:paraId="1F980128" w14:textId="009F73AE" w:rsidR="00D645A5" w:rsidRPr="006E2FBB" w:rsidRDefault="00D645A5" w:rsidP="00D645A5">
      <w:pPr>
        <w:spacing w:line="276" w:lineRule="auto"/>
        <w:ind w:firstLine="708"/>
        <w:jc w:val="both"/>
        <w:rPr>
          <w:rFonts w:ascii="Verdana" w:eastAsia="Calibri" w:hAnsi="Verdana" w:cs="Arial"/>
          <w:color w:val="000000" w:themeColor="text1"/>
          <w:sz w:val="22"/>
          <w:szCs w:val="22"/>
          <w:lang w:val="es-ES"/>
        </w:rPr>
      </w:pPr>
      <w:r w:rsidRPr="006E2FBB">
        <w:rPr>
          <w:rFonts w:ascii="Verdana" w:hAnsi="Verdana" w:cs="Arial"/>
          <w:color w:val="000000" w:themeColor="text1"/>
          <w:sz w:val="22"/>
          <w:szCs w:val="22"/>
          <w:lang w:val="es-ES" w:eastAsia="es-CO"/>
        </w:rPr>
        <w:t>Según lo establecido</w:t>
      </w:r>
      <w:r w:rsidRPr="006E2FBB">
        <w:rPr>
          <w:rFonts w:ascii="Verdana" w:eastAsia="Calibri" w:hAnsi="Verdana" w:cs="Arial"/>
          <w:color w:val="000000" w:themeColor="text1"/>
          <w:sz w:val="22"/>
          <w:szCs w:val="22"/>
          <w:lang w:val="es-ES"/>
        </w:rPr>
        <w:t xml:space="preserve"> en el artículo 2.2.1.2.3.1.7. </w:t>
      </w:r>
      <w:r w:rsidRPr="006E2FBB">
        <w:rPr>
          <w:rFonts w:ascii="Verdana" w:eastAsia="Calibri" w:hAnsi="Verdana" w:cs="Arial"/>
          <w:i/>
          <w:iCs/>
          <w:color w:val="000000" w:themeColor="text1"/>
          <w:sz w:val="22"/>
          <w:szCs w:val="22"/>
          <w:lang w:val="es-ES"/>
        </w:rPr>
        <w:t>ibidem,</w:t>
      </w:r>
      <w:r w:rsidRPr="006E2FBB">
        <w:rPr>
          <w:rFonts w:ascii="Verdana" w:eastAsia="Calibri" w:hAnsi="Verdana" w:cs="Arial"/>
          <w:color w:val="000000" w:themeColor="text1"/>
          <w:sz w:val="22"/>
          <w:szCs w:val="22"/>
          <w:lang w:val="es-ES"/>
        </w:rPr>
        <w:t xml:space="preserve"> la garantía de cumplimiento debe proteger a la entidad de los perjuicios que se puedan ocasionar con el incumplimiento total o parcial del contrato, el cumplimiento tardío o defectuoso, los daños por entregas parciales de la obra, cuando el contrato no prevé entregas parciales, y el valor de las multas y de la cláusula penal pecuniaria. De lo anterior se advierte que el </w:t>
      </w:r>
      <w:r w:rsidRPr="006E2FBB">
        <w:rPr>
          <w:rFonts w:ascii="Verdana" w:eastAsia="Calibri" w:hAnsi="Verdana" w:cs="Arial"/>
          <w:i/>
          <w:iCs/>
          <w:color w:val="000000" w:themeColor="text1"/>
          <w:sz w:val="22"/>
          <w:szCs w:val="22"/>
          <w:lang w:val="es-ES"/>
        </w:rPr>
        <w:t>amparo de cumplimiento</w:t>
      </w:r>
      <w:r w:rsidRPr="006E2FBB">
        <w:rPr>
          <w:rFonts w:ascii="Verdana" w:eastAsia="Calibri" w:hAnsi="Verdana" w:cs="Arial"/>
          <w:color w:val="000000" w:themeColor="text1"/>
          <w:sz w:val="22"/>
          <w:szCs w:val="22"/>
          <w:lang w:val="es-ES"/>
        </w:rPr>
        <w:t xml:space="preserve"> tiene como objeto proteger a la entidad de los riesgos que puedan concretarse durante la etapa de ejecución del contrato, específicamente de aquellos derivados de incumplimientos o conductas imputables al contratista. </w:t>
      </w:r>
    </w:p>
    <w:p w14:paraId="4D609CF5" w14:textId="3545605C" w:rsidR="009D14B9" w:rsidRPr="006E2FBB" w:rsidRDefault="006134A3" w:rsidP="00EA1C27">
      <w:pPr>
        <w:spacing w:before="120" w:after="120" w:line="276" w:lineRule="auto"/>
        <w:ind w:firstLine="708"/>
        <w:jc w:val="both"/>
        <w:rPr>
          <w:rFonts w:ascii="Verdana" w:hAnsi="Verdana" w:cs="Arial"/>
          <w:sz w:val="22"/>
          <w:szCs w:val="22"/>
          <w:lang w:val="es-ES" w:eastAsia="es-ES"/>
          <w14:ligatures w14:val="standardContextual"/>
        </w:rPr>
      </w:pPr>
      <w:r w:rsidRPr="006E2FBB">
        <w:rPr>
          <w:rFonts w:ascii="Verdana" w:hAnsi="Verdana" w:cs="Arial"/>
          <w:color w:val="000000" w:themeColor="text1"/>
          <w:sz w:val="22"/>
          <w:szCs w:val="22"/>
          <w:lang w:val="es-ES" w:eastAsia="es-CO"/>
        </w:rPr>
        <w:t xml:space="preserve">Dentro de este marco, es necesario analizar las vías con las que cuentan las entidades para </w:t>
      </w:r>
      <w:r w:rsidR="00E44FF6" w:rsidRPr="006E2FBB">
        <w:rPr>
          <w:rFonts w:ascii="Verdana" w:hAnsi="Verdana" w:cs="Arial"/>
          <w:color w:val="000000" w:themeColor="text1"/>
          <w:sz w:val="22"/>
          <w:szCs w:val="22"/>
          <w:lang w:val="es-ES" w:eastAsia="es-CO"/>
        </w:rPr>
        <w:t xml:space="preserve">hacer efectiva </w:t>
      </w:r>
      <w:r w:rsidRPr="006E2FBB">
        <w:rPr>
          <w:rFonts w:ascii="Verdana" w:hAnsi="Verdana" w:cs="Arial"/>
          <w:color w:val="000000" w:themeColor="text1"/>
          <w:sz w:val="22"/>
          <w:szCs w:val="22"/>
          <w:lang w:val="es-ES" w:eastAsia="es-CO"/>
        </w:rPr>
        <w:t xml:space="preserve">la </w:t>
      </w:r>
      <w:r w:rsidRPr="006E2FBB">
        <w:rPr>
          <w:rFonts w:ascii="Verdana" w:hAnsi="Verdana" w:cs="Arial"/>
          <w:i/>
          <w:iCs/>
          <w:color w:val="000000" w:themeColor="text1"/>
          <w:sz w:val="22"/>
          <w:szCs w:val="22"/>
          <w:lang w:val="es-ES" w:eastAsia="es-CO"/>
        </w:rPr>
        <w:t>garantía de cumplimiento</w:t>
      </w:r>
      <w:r w:rsidRPr="006E2FBB">
        <w:rPr>
          <w:rFonts w:ascii="Verdana" w:hAnsi="Verdana" w:cs="Arial"/>
          <w:color w:val="000000" w:themeColor="text1"/>
          <w:sz w:val="22"/>
          <w:szCs w:val="22"/>
          <w:lang w:val="es-ES" w:eastAsia="es-CO"/>
        </w:rPr>
        <w:t xml:space="preserve">. </w:t>
      </w:r>
      <w:r w:rsidRPr="006E2FBB">
        <w:rPr>
          <w:rFonts w:ascii="Verdana" w:eastAsia="Calibri" w:hAnsi="Verdana" w:cs="Arial"/>
          <w:color w:val="000000" w:themeColor="text1"/>
          <w:sz w:val="22"/>
          <w:szCs w:val="22"/>
          <w:lang w:val="es-ES"/>
        </w:rPr>
        <w:t xml:space="preserve">Para lo anterior, les ha sido atribuida la </w:t>
      </w:r>
      <w:r w:rsidR="00C41587" w:rsidRPr="006E2FBB">
        <w:rPr>
          <w:rFonts w:ascii="Verdana" w:eastAsia="Calibri" w:hAnsi="Verdana" w:cs="Arial"/>
          <w:color w:val="000000" w:themeColor="text1"/>
          <w:sz w:val="22"/>
          <w:szCs w:val="22"/>
          <w:lang w:val="es-ES"/>
        </w:rPr>
        <w:t>facultad exorbitante de declarar unilateralmente el siniestro.</w:t>
      </w:r>
      <w:r w:rsidR="00E44FF6" w:rsidRPr="006E2FBB">
        <w:rPr>
          <w:rFonts w:ascii="Verdana" w:eastAsia="Calibri" w:hAnsi="Verdana" w:cs="Arial"/>
          <w:color w:val="000000" w:themeColor="text1"/>
          <w:sz w:val="22"/>
          <w:szCs w:val="22"/>
          <w:lang w:val="es-ES"/>
        </w:rPr>
        <w:t xml:space="preserve"> </w:t>
      </w:r>
      <w:r w:rsidR="00EA1C27" w:rsidRPr="006E2FBB">
        <w:rPr>
          <w:rFonts w:ascii="Verdana" w:hAnsi="Verdana" w:cs="Arial"/>
          <w:sz w:val="22"/>
          <w:szCs w:val="22"/>
          <w:lang w:val="es-ES" w:eastAsia="es-ES"/>
          <w14:ligatures w14:val="standardContextual"/>
        </w:rPr>
        <w:t xml:space="preserve">Durante la ejecución de los contratos, las </w:t>
      </w:r>
      <w:r w:rsidR="009D14B9" w:rsidRPr="006E2FBB">
        <w:rPr>
          <w:rFonts w:ascii="Verdana" w:hAnsi="Verdana" w:cs="Arial"/>
          <w:sz w:val="22"/>
          <w:szCs w:val="22"/>
          <w:lang w:val="es-ES" w:eastAsia="es-ES"/>
          <w14:ligatures w14:val="standardContextual"/>
        </w:rPr>
        <w:t>E</w:t>
      </w:r>
      <w:r w:rsidR="00EA1C27" w:rsidRPr="006E2FBB">
        <w:rPr>
          <w:rFonts w:ascii="Verdana" w:hAnsi="Verdana" w:cs="Arial"/>
          <w:sz w:val="22"/>
          <w:szCs w:val="22"/>
          <w:lang w:val="es-ES" w:eastAsia="es-ES"/>
          <w14:ligatures w14:val="standardContextual"/>
        </w:rPr>
        <w:t xml:space="preserve">ntidades </w:t>
      </w:r>
      <w:r w:rsidR="009D14B9" w:rsidRPr="006E2FBB">
        <w:rPr>
          <w:rFonts w:ascii="Verdana" w:hAnsi="Verdana" w:cs="Arial"/>
          <w:sz w:val="22"/>
          <w:szCs w:val="22"/>
          <w:lang w:val="es-ES" w:eastAsia="es-ES"/>
          <w14:ligatures w14:val="standardContextual"/>
        </w:rPr>
        <w:t>E</w:t>
      </w:r>
      <w:r w:rsidR="00EA1C27" w:rsidRPr="006E2FBB">
        <w:rPr>
          <w:rFonts w:ascii="Verdana" w:hAnsi="Verdana" w:cs="Arial"/>
          <w:sz w:val="22"/>
          <w:szCs w:val="22"/>
          <w:lang w:val="es-ES" w:eastAsia="es-ES"/>
          <w14:ligatures w14:val="standardContextual"/>
        </w:rPr>
        <w:t xml:space="preserve">statales sometidas al Estatuto General de Contratación de la Administración Pública –en adelante EGCAP– usualmente cuentan con distintas potestades exorbitantes o excepcionales, con base en las cuales ejercen la dirección general del contrato y realizan las actividades propias de vigilancia y control. Entre dichas potestades se encuentran: </w:t>
      </w:r>
    </w:p>
    <w:p w14:paraId="4E9AE764" w14:textId="33A42B93" w:rsidR="009D14B9" w:rsidRPr="006E2FBB" w:rsidRDefault="00940F9C" w:rsidP="00E44FF6">
      <w:pPr>
        <w:pStyle w:val="Prrafodelista"/>
        <w:numPr>
          <w:ilvl w:val="0"/>
          <w:numId w:val="23"/>
        </w:numPr>
        <w:spacing w:before="120" w:after="120" w:line="276" w:lineRule="auto"/>
        <w:jc w:val="both"/>
        <w:rPr>
          <w:rFonts w:ascii="Verdana" w:eastAsia="Times New Roman" w:hAnsi="Verdana" w:cs="Arial"/>
          <w:lang w:eastAsia="es-ES"/>
          <w14:ligatures w14:val="standardContextual"/>
        </w:rPr>
      </w:pPr>
      <w:r w:rsidRPr="006E2FBB">
        <w:rPr>
          <w:rFonts w:ascii="Verdana" w:eastAsia="Times New Roman" w:hAnsi="Verdana" w:cs="Arial"/>
          <w:lang w:eastAsia="es-ES"/>
          <w14:ligatures w14:val="standardContextual"/>
        </w:rPr>
        <w:t>L</w:t>
      </w:r>
      <w:r w:rsidR="00EA1C27" w:rsidRPr="006E2FBB">
        <w:rPr>
          <w:rFonts w:ascii="Verdana" w:eastAsia="Times New Roman" w:hAnsi="Verdana" w:cs="Arial"/>
          <w:lang w:eastAsia="es-ES"/>
          <w14:ligatures w14:val="standardContextual"/>
        </w:rPr>
        <w:t xml:space="preserve">as cláusulas excepcionales del </w:t>
      </w:r>
      <w:r w:rsidR="00EA1C27" w:rsidRPr="006E2FBB">
        <w:rPr>
          <w:rFonts w:ascii="Verdana" w:eastAsia="Times New Roman" w:hAnsi="Verdana" w:cs="Arial"/>
          <w:i/>
          <w:iCs/>
          <w:lang w:eastAsia="es-ES"/>
          <w14:ligatures w14:val="standardContextual"/>
        </w:rPr>
        <w:t>artículo 14</w:t>
      </w:r>
      <w:r w:rsidR="00EA1C27" w:rsidRPr="006E2FBB">
        <w:rPr>
          <w:rFonts w:ascii="Verdana" w:eastAsia="Times New Roman" w:hAnsi="Verdana" w:cs="Arial"/>
          <w:lang w:eastAsia="es-ES"/>
          <w14:ligatures w14:val="standardContextual"/>
        </w:rPr>
        <w:t xml:space="preserve"> de la Ley 80 de 1993, concepto que incluye la terminación unilateral, la interpretación unilateral, la modificación unilateral, la caducidad y la reversión. Dichas prerrogativas se desarrollan en los artículos 15 a 19 </w:t>
      </w:r>
      <w:r w:rsidR="00EA1C27" w:rsidRPr="006E2FBB">
        <w:rPr>
          <w:rFonts w:ascii="Verdana" w:eastAsia="Times New Roman" w:hAnsi="Verdana" w:cs="Arial"/>
          <w:i/>
          <w:iCs/>
          <w:lang w:eastAsia="es-ES"/>
          <w14:ligatures w14:val="standardContextual"/>
        </w:rPr>
        <w:t>ibidem</w:t>
      </w:r>
      <w:r w:rsidR="00FC4E96" w:rsidRPr="006E2FBB">
        <w:rPr>
          <w:rFonts w:ascii="Verdana" w:eastAsia="Times New Roman" w:hAnsi="Verdana" w:cs="Arial"/>
          <w:lang w:eastAsia="es-ES"/>
          <w14:ligatures w14:val="standardContextual"/>
        </w:rPr>
        <w:t>.</w:t>
      </w:r>
    </w:p>
    <w:p w14:paraId="11A7E607" w14:textId="77777777" w:rsidR="00E44FF6" w:rsidRPr="006E2FBB" w:rsidRDefault="00E44FF6" w:rsidP="00E44FF6">
      <w:pPr>
        <w:pStyle w:val="Prrafodelista"/>
        <w:spacing w:before="120" w:after="120" w:line="276" w:lineRule="auto"/>
        <w:jc w:val="both"/>
        <w:rPr>
          <w:rFonts w:ascii="Verdana" w:eastAsia="Times New Roman" w:hAnsi="Verdana" w:cs="Arial"/>
          <w:lang w:eastAsia="es-ES"/>
          <w14:ligatures w14:val="standardContextual"/>
        </w:rPr>
      </w:pPr>
    </w:p>
    <w:p w14:paraId="58D58E81" w14:textId="2B1E8D4A" w:rsidR="00E44FF6" w:rsidRPr="006E2FBB" w:rsidRDefault="008543B3" w:rsidP="00E44FF6">
      <w:pPr>
        <w:pStyle w:val="Prrafodelista"/>
        <w:numPr>
          <w:ilvl w:val="0"/>
          <w:numId w:val="23"/>
        </w:numPr>
        <w:spacing w:before="120" w:after="120" w:line="276" w:lineRule="auto"/>
        <w:jc w:val="both"/>
        <w:rPr>
          <w:rFonts w:ascii="Verdana" w:eastAsia="Times New Roman" w:hAnsi="Verdana" w:cs="Arial"/>
          <w:lang w:eastAsia="es-ES"/>
          <w14:ligatures w14:val="standardContextual"/>
        </w:rPr>
      </w:pPr>
      <w:r w:rsidRPr="006E2FBB">
        <w:rPr>
          <w:rFonts w:ascii="Verdana" w:eastAsia="Times New Roman" w:hAnsi="Verdana" w:cs="Arial"/>
          <w:lang w:eastAsia="es-ES"/>
          <w14:ligatures w14:val="standardContextual"/>
        </w:rPr>
        <w:t>L</w:t>
      </w:r>
      <w:r w:rsidR="00EA1C27" w:rsidRPr="006E2FBB">
        <w:rPr>
          <w:rFonts w:ascii="Verdana" w:eastAsia="Times New Roman" w:hAnsi="Verdana" w:cs="Arial"/>
          <w:lang w:eastAsia="es-ES"/>
          <w14:ligatures w14:val="standardContextual"/>
        </w:rPr>
        <w:t xml:space="preserve">as cláusulas excepcionales de </w:t>
      </w:r>
      <w:r w:rsidR="00EA1C27" w:rsidRPr="006E2FBB">
        <w:rPr>
          <w:rFonts w:ascii="Verdana" w:eastAsia="Times New Roman" w:hAnsi="Verdana" w:cs="Arial"/>
          <w:i/>
          <w:iCs/>
          <w:lang w:eastAsia="es-ES"/>
          <w14:ligatures w14:val="standardContextual"/>
        </w:rPr>
        <w:t>imposición unilateral de las cláusulas penales y de multas</w:t>
      </w:r>
      <w:r w:rsidR="00FC4E96" w:rsidRPr="006E2FBB">
        <w:rPr>
          <w:rFonts w:ascii="Verdana" w:eastAsia="Times New Roman" w:hAnsi="Verdana" w:cs="Arial"/>
          <w:lang w:eastAsia="es-ES"/>
          <w14:ligatures w14:val="standardContextual"/>
        </w:rPr>
        <w:t xml:space="preserve">, según lo establecido en el </w:t>
      </w:r>
      <w:r w:rsidR="00EA1C27" w:rsidRPr="006E2FBB">
        <w:rPr>
          <w:rFonts w:ascii="Verdana" w:eastAsia="Times New Roman" w:hAnsi="Verdana" w:cs="Arial"/>
          <w:lang w:eastAsia="es-ES"/>
          <w14:ligatures w14:val="standardContextual"/>
        </w:rPr>
        <w:t>artículo 17 de la Ley 1150 de 2007</w:t>
      </w:r>
      <w:r w:rsidR="00FC4E96" w:rsidRPr="006E2FBB">
        <w:rPr>
          <w:rFonts w:ascii="Verdana" w:eastAsia="Times New Roman" w:hAnsi="Verdana" w:cs="Arial"/>
          <w:lang w:eastAsia="es-ES"/>
          <w14:ligatures w14:val="standardContextual"/>
        </w:rPr>
        <w:t>. En este caso su</w:t>
      </w:r>
      <w:r w:rsidR="00EA1C27" w:rsidRPr="006E2FBB">
        <w:rPr>
          <w:rFonts w:ascii="Verdana" w:eastAsia="Times New Roman" w:hAnsi="Verdana" w:cs="Arial"/>
          <w:lang w:eastAsia="es-ES"/>
          <w14:ligatures w14:val="standardContextual"/>
        </w:rPr>
        <w:t xml:space="preserve"> exorbitancia se refiere a </w:t>
      </w:r>
      <w:r w:rsidR="00FC4E96" w:rsidRPr="006E2FBB">
        <w:rPr>
          <w:rFonts w:ascii="Verdana" w:eastAsia="Times New Roman" w:hAnsi="Verdana" w:cs="Arial"/>
          <w:lang w:eastAsia="es-ES"/>
          <w14:ligatures w14:val="standardContextual"/>
        </w:rPr>
        <w:t>la facultad de</w:t>
      </w:r>
      <w:r w:rsidR="00EA1C27" w:rsidRPr="006E2FBB">
        <w:rPr>
          <w:rFonts w:ascii="Verdana" w:eastAsia="Times New Roman" w:hAnsi="Verdana" w:cs="Arial"/>
          <w:lang w:eastAsia="es-ES"/>
          <w14:ligatures w14:val="standardContextual"/>
        </w:rPr>
        <w:t xml:space="preserve"> imposición unilateral, no a su pacto, que es posible en virtud de las normas civiles y comerciales.</w:t>
      </w:r>
    </w:p>
    <w:p w14:paraId="51B2F108" w14:textId="77777777" w:rsidR="00E44FF6" w:rsidRPr="006E2FBB" w:rsidRDefault="00E44FF6" w:rsidP="00E44FF6">
      <w:pPr>
        <w:pStyle w:val="Prrafodelista"/>
        <w:spacing w:after="120" w:line="276" w:lineRule="auto"/>
        <w:jc w:val="both"/>
        <w:rPr>
          <w:rFonts w:ascii="Verdana" w:eastAsia="Times New Roman" w:hAnsi="Verdana" w:cs="Arial"/>
          <w:lang w:eastAsia="es-ES"/>
          <w14:ligatures w14:val="standardContextual"/>
        </w:rPr>
      </w:pPr>
    </w:p>
    <w:p w14:paraId="0060F0CC" w14:textId="7CF5F12E" w:rsidR="0066415D" w:rsidRPr="006E2FBB" w:rsidRDefault="00AA350E" w:rsidP="002955C7">
      <w:pPr>
        <w:pStyle w:val="Prrafodelista"/>
        <w:numPr>
          <w:ilvl w:val="0"/>
          <w:numId w:val="23"/>
        </w:numPr>
        <w:spacing w:before="120" w:after="120" w:line="276" w:lineRule="auto"/>
        <w:jc w:val="both"/>
        <w:rPr>
          <w:rFonts w:ascii="Verdana" w:eastAsia="Times New Roman" w:hAnsi="Verdana" w:cs="Arial"/>
          <w:lang w:eastAsia="es-ES"/>
          <w14:ligatures w14:val="standardContextual"/>
        </w:rPr>
      </w:pPr>
      <w:r w:rsidRPr="006E2FBB">
        <w:rPr>
          <w:rFonts w:ascii="Verdana" w:eastAsia="Times New Roman" w:hAnsi="Verdana" w:cs="Arial"/>
          <w:lang w:eastAsia="es-ES"/>
          <w14:ligatures w14:val="standardContextual"/>
        </w:rPr>
        <w:t xml:space="preserve">Las potestades establecidas en otras disposiciones como la liquidación unilateral y la </w:t>
      </w:r>
      <w:r w:rsidRPr="006E2FBB">
        <w:rPr>
          <w:rFonts w:ascii="Verdana" w:eastAsia="Times New Roman" w:hAnsi="Verdana" w:cs="Arial"/>
          <w:i/>
          <w:iCs/>
          <w:lang w:eastAsia="es-ES"/>
          <w14:ligatures w14:val="standardContextual"/>
        </w:rPr>
        <w:t>declaratoria unilateral del siniestro</w:t>
      </w:r>
      <w:r w:rsidRPr="006E2FBB">
        <w:rPr>
          <w:rFonts w:ascii="Verdana" w:eastAsia="Times New Roman" w:hAnsi="Verdana" w:cs="Arial"/>
          <w:lang w:eastAsia="es-ES"/>
          <w14:ligatures w14:val="standardContextual"/>
        </w:rPr>
        <w:t xml:space="preserve"> –artículos 7 y 11 de la Ley 1150 de 2007–</w:t>
      </w:r>
      <w:r w:rsidR="00FC4E96" w:rsidRPr="006E2FBB">
        <w:rPr>
          <w:rFonts w:ascii="Verdana" w:eastAsia="Times New Roman" w:hAnsi="Verdana" w:cs="Arial"/>
          <w:lang w:eastAsia="es-ES"/>
          <w14:ligatures w14:val="standardContextual"/>
        </w:rPr>
        <w:t>.</w:t>
      </w:r>
    </w:p>
    <w:p w14:paraId="75BC318E" w14:textId="77777777" w:rsidR="002955C7" w:rsidRPr="006E2FBB" w:rsidRDefault="0066415D" w:rsidP="002955C7">
      <w:pPr>
        <w:spacing w:before="120" w:after="120" w:line="276" w:lineRule="auto"/>
        <w:ind w:firstLine="709"/>
        <w:jc w:val="both"/>
        <w:rPr>
          <w:rFonts w:ascii="Verdana" w:hAnsi="Verdana" w:cs="Arial"/>
          <w:iCs/>
          <w:sz w:val="22"/>
          <w:szCs w:val="22"/>
          <w:lang w:val="es-ES"/>
        </w:rPr>
      </w:pPr>
      <w:r w:rsidRPr="006E2FBB">
        <w:rPr>
          <w:rFonts w:ascii="Verdana" w:hAnsi="Verdana" w:cs="Arial"/>
          <w:iCs/>
          <w:sz w:val="22"/>
          <w:szCs w:val="22"/>
          <w:lang w:val="es-ES"/>
        </w:rPr>
        <w:t xml:space="preserve">Las primeras, esto es, las cláusulas excepcionales del artículo 14 de la Ley 80 de 1993, son estipulaciones virtuales y obligatorias en los contratos de </w:t>
      </w:r>
      <w:r w:rsidRPr="006E2FBB">
        <w:rPr>
          <w:rFonts w:ascii="Verdana" w:hAnsi="Verdana" w:cs="Arial"/>
          <w:iCs/>
          <w:sz w:val="22"/>
          <w:szCs w:val="22"/>
          <w:lang w:val="es-ES"/>
        </w:rPr>
        <w:lastRenderedPageBreak/>
        <w:t xml:space="preserve">concesión, obra, prestación de servicios públicos, aquellos que tengan por objeto el ejercicio de una actividad que constituya monopolio estatal </w:t>
      </w:r>
      <w:r w:rsidRPr="006E2FBB">
        <w:rPr>
          <w:rFonts w:ascii="Verdana" w:hAnsi="Verdana" w:cs="Arial"/>
          <w:sz w:val="22"/>
          <w:szCs w:val="22"/>
          <w:lang w:val="es-ES"/>
        </w:rPr>
        <w:t>y los relacionados con el programa de alimentación escolar –según lo dispuso la modificación realizada por el artículo 52 de la Ley 2195 de 2022–</w:t>
      </w:r>
      <w:r w:rsidRPr="006E2FBB">
        <w:rPr>
          <w:rFonts w:ascii="Verdana" w:hAnsi="Verdana" w:cs="Arial"/>
          <w:iCs/>
          <w:sz w:val="22"/>
          <w:szCs w:val="22"/>
          <w:lang w:val="es-ES"/>
        </w:rPr>
        <w:t>. En tales contratos, sin importar si se incorporaron o no dentro de estos, las cláusulas excepcionales se entienden incluidas por el ministerio de la ley, como lo dispone el artículo 14 de la Ley 80 de 1993.</w:t>
      </w:r>
    </w:p>
    <w:p w14:paraId="5B2AF3FA" w14:textId="17F3DE81" w:rsidR="00773844" w:rsidRPr="006E2FBB" w:rsidRDefault="0066415D" w:rsidP="006E2FBB">
      <w:pPr>
        <w:spacing w:before="120" w:after="120" w:line="276" w:lineRule="auto"/>
        <w:ind w:firstLine="709"/>
        <w:jc w:val="both"/>
        <w:rPr>
          <w:rFonts w:ascii="Verdana" w:eastAsiaTheme="minorHAnsi" w:hAnsi="Verdana" w:cs="Arial"/>
          <w:iCs/>
          <w:sz w:val="22"/>
          <w:szCs w:val="22"/>
          <w:lang w:val="es-ES"/>
        </w:rPr>
      </w:pPr>
      <w:r w:rsidRPr="006E2FBB">
        <w:rPr>
          <w:rFonts w:ascii="Verdana" w:hAnsi="Verdana" w:cs="Arial"/>
          <w:sz w:val="22"/>
          <w:szCs w:val="22"/>
          <w:lang w:val="es-ES" w:eastAsia="es-ES"/>
          <w14:ligatures w14:val="standardContextual"/>
        </w:rPr>
        <w:t xml:space="preserve">Frente al segundo y tercer supuesto, la </w:t>
      </w:r>
      <w:r w:rsidR="00184AFE" w:rsidRPr="006E2FBB">
        <w:rPr>
          <w:rFonts w:ascii="Verdana" w:hAnsi="Verdana" w:cs="Arial"/>
          <w:sz w:val="22"/>
          <w:szCs w:val="22"/>
          <w:lang w:val="es-ES" w:eastAsia="es-ES"/>
          <w14:ligatures w14:val="standardContextual"/>
        </w:rPr>
        <w:t xml:space="preserve">Administración cuenta con la facultad exorbitante de declarar unilateralmente el siniestro, imponer multas y hacer exigible la cláusula penal. </w:t>
      </w:r>
      <w:proofErr w:type="gramStart"/>
      <w:r w:rsidR="00184AFE" w:rsidRPr="006E2FBB">
        <w:rPr>
          <w:rFonts w:ascii="Verdana" w:hAnsi="Verdana" w:cs="Arial"/>
          <w:sz w:val="22"/>
          <w:szCs w:val="22"/>
          <w:lang w:val="es-ES" w:eastAsia="es-ES"/>
          <w14:ligatures w14:val="standardContextual"/>
        </w:rPr>
        <w:t>El ejercicio de estas potestades se materializan</w:t>
      </w:r>
      <w:proofErr w:type="gramEnd"/>
      <w:r w:rsidR="00184AFE" w:rsidRPr="006E2FBB">
        <w:rPr>
          <w:rFonts w:ascii="Verdana" w:hAnsi="Verdana" w:cs="Arial"/>
          <w:sz w:val="22"/>
          <w:szCs w:val="22"/>
          <w:lang w:val="es-ES" w:eastAsia="es-ES"/>
          <w14:ligatures w14:val="standardContextual"/>
        </w:rPr>
        <w:t xml:space="preserve"> mediante la expedición de un acto administrativo</w:t>
      </w:r>
      <w:r w:rsidR="00B4286C" w:rsidRPr="006E2FBB">
        <w:rPr>
          <w:rFonts w:ascii="Verdana" w:hAnsi="Verdana" w:cs="Arial"/>
          <w:sz w:val="22"/>
          <w:szCs w:val="22"/>
          <w:lang w:val="es-ES" w:eastAsia="es-ES"/>
          <w14:ligatures w14:val="standardContextual"/>
        </w:rPr>
        <w:t>, producto del procedimiento establecido en</w:t>
      </w:r>
      <w:r w:rsidR="00184AFE" w:rsidRPr="006E2FBB">
        <w:rPr>
          <w:rFonts w:ascii="Verdana" w:hAnsi="Verdana" w:cs="Arial"/>
          <w:sz w:val="22"/>
          <w:szCs w:val="22"/>
          <w:lang w:val="es-ES" w:eastAsia="es-ES"/>
          <w14:ligatures w14:val="standardContextual"/>
        </w:rPr>
        <w:t xml:space="preserve"> </w:t>
      </w:r>
      <w:r w:rsidR="00B4286C" w:rsidRPr="006E2FBB">
        <w:rPr>
          <w:rFonts w:ascii="Verdana" w:hAnsi="Verdana" w:cs="Arial"/>
          <w:sz w:val="22"/>
          <w:szCs w:val="22"/>
          <w:lang w:val="es-ES" w:eastAsia="es-ES"/>
          <w14:ligatures w14:val="standardContextual"/>
        </w:rPr>
        <w:t>e</w:t>
      </w:r>
      <w:r w:rsidR="00773844" w:rsidRPr="006E2FBB">
        <w:rPr>
          <w:rFonts w:ascii="Verdana" w:hAnsi="Verdana" w:cs="Arial"/>
          <w:sz w:val="22"/>
          <w:szCs w:val="22"/>
          <w:lang w:val="es-ES" w:eastAsia="es-ES"/>
          <w14:ligatures w14:val="standardContextual"/>
        </w:rPr>
        <w:t>l artículo 86 de la Ley 1474 de 2011</w:t>
      </w:r>
      <w:r w:rsidR="00B4286C" w:rsidRPr="006E2FBB">
        <w:rPr>
          <w:rFonts w:ascii="Verdana" w:hAnsi="Verdana" w:cs="Arial"/>
          <w:sz w:val="22"/>
          <w:szCs w:val="22"/>
          <w:lang w:val="es-ES" w:eastAsia="es-ES"/>
          <w14:ligatures w14:val="standardContextual"/>
        </w:rPr>
        <w:t xml:space="preserve">, el cual </w:t>
      </w:r>
      <w:r w:rsidR="00773844" w:rsidRPr="006E2FBB">
        <w:rPr>
          <w:rFonts w:ascii="Verdana" w:hAnsi="Verdana" w:cs="Arial"/>
          <w:sz w:val="22"/>
          <w:szCs w:val="22"/>
          <w:lang w:val="es-ES" w:eastAsia="es-ES"/>
          <w14:ligatures w14:val="standardContextual"/>
        </w:rPr>
        <w:t xml:space="preserve">establece </w:t>
      </w:r>
      <w:r w:rsidR="00B4286C" w:rsidRPr="006E2FBB">
        <w:rPr>
          <w:rFonts w:ascii="Verdana" w:hAnsi="Verdana" w:cs="Arial"/>
          <w:sz w:val="22"/>
          <w:szCs w:val="22"/>
          <w:lang w:val="es-ES" w:eastAsia="es-ES"/>
          <w14:ligatures w14:val="standardContextual"/>
        </w:rPr>
        <w:t xml:space="preserve">sus </w:t>
      </w:r>
      <w:r w:rsidR="00773844" w:rsidRPr="006E2FBB">
        <w:rPr>
          <w:rFonts w:ascii="Verdana" w:hAnsi="Verdana" w:cs="Arial"/>
          <w:sz w:val="22"/>
          <w:szCs w:val="22"/>
          <w:lang w:val="es-ES" w:eastAsia="es-ES"/>
          <w14:ligatures w14:val="standardContextual"/>
        </w:rPr>
        <w:t xml:space="preserve">reglas </w:t>
      </w:r>
      <w:r w:rsidR="00534C59" w:rsidRPr="006E2FBB">
        <w:rPr>
          <w:rFonts w:ascii="Verdana" w:hAnsi="Verdana" w:cs="Arial"/>
          <w:sz w:val="22"/>
          <w:szCs w:val="22"/>
          <w:lang w:val="es-ES" w:eastAsia="es-ES"/>
          <w14:ligatures w14:val="standardContextual"/>
        </w:rPr>
        <w:t xml:space="preserve">con el fin de asegurar el cumplimiento de </w:t>
      </w:r>
      <w:r w:rsidR="00773844" w:rsidRPr="006E2FBB">
        <w:rPr>
          <w:rFonts w:ascii="Verdana" w:hAnsi="Verdana" w:cs="Arial"/>
          <w:sz w:val="22"/>
          <w:szCs w:val="22"/>
          <w:lang w:val="es-ES" w:eastAsia="es-ES"/>
          <w14:ligatures w14:val="standardContextual"/>
        </w:rPr>
        <w:t>los derechos y garantías derivadas del debido proceso</w:t>
      </w:r>
      <w:r w:rsidR="00B4286C" w:rsidRPr="006E2FBB">
        <w:rPr>
          <w:rFonts w:ascii="Verdana" w:hAnsi="Verdana" w:cs="Arial"/>
          <w:sz w:val="22"/>
          <w:szCs w:val="22"/>
          <w:lang w:val="es-ES" w:eastAsia="es-ES"/>
          <w14:ligatures w14:val="standardContextual"/>
        </w:rPr>
        <w:t xml:space="preserve"> </w:t>
      </w:r>
      <w:r w:rsidR="00773844" w:rsidRPr="006E2FBB">
        <w:rPr>
          <w:rFonts w:ascii="Verdana" w:hAnsi="Verdana" w:cs="Arial"/>
          <w:sz w:val="22"/>
          <w:szCs w:val="22"/>
          <w:lang w:val="es-ES" w:eastAsia="es-ES"/>
          <w14:ligatures w14:val="standardContextual"/>
        </w:rPr>
        <w:t xml:space="preserve">en materia sancionatoria contractual. De conformidad con esta disposición, las “entidades sometidas al Estatuto General de Contratación de la Administración Pública podrán declarar el incumplimiento, cuantificando los perjuicios </w:t>
      </w:r>
      <w:proofErr w:type="gramStart"/>
      <w:r w:rsidR="00773844" w:rsidRPr="006E2FBB">
        <w:rPr>
          <w:rFonts w:ascii="Verdana" w:hAnsi="Verdana" w:cs="Arial"/>
          <w:sz w:val="22"/>
          <w:szCs w:val="22"/>
          <w:lang w:val="es-ES" w:eastAsia="es-ES"/>
          <w14:ligatures w14:val="standardContextual"/>
        </w:rPr>
        <w:t>del mismo</w:t>
      </w:r>
      <w:proofErr w:type="gramEnd"/>
      <w:r w:rsidR="00773844" w:rsidRPr="006E2FBB">
        <w:rPr>
          <w:rFonts w:ascii="Verdana" w:hAnsi="Verdana" w:cs="Arial"/>
          <w:sz w:val="22"/>
          <w:szCs w:val="22"/>
          <w:lang w:val="es-ES" w:eastAsia="es-ES"/>
          <w14:ligatures w14:val="standardContextual"/>
        </w:rPr>
        <w:t>, imponer las multas y sanciones pactadas en el contrato, y hacer efectiva la cláusula penal</w:t>
      </w:r>
      <w:r w:rsidR="00773844" w:rsidRPr="006E2FBB">
        <w:rPr>
          <w:rFonts w:ascii="Verdana" w:hAnsi="Verdana" w:cs="Arial"/>
          <w:i/>
          <w:iCs/>
          <w:sz w:val="22"/>
          <w:szCs w:val="22"/>
          <w:lang w:val="es-ES" w:eastAsia="es-ES"/>
          <w14:ligatures w14:val="standardContextual"/>
        </w:rPr>
        <w:t xml:space="preserve"> </w:t>
      </w:r>
      <w:r w:rsidR="00773844" w:rsidRPr="006E2FBB">
        <w:rPr>
          <w:rFonts w:ascii="Verdana" w:hAnsi="Verdana" w:cs="Arial"/>
          <w:sz w:val="22"/>
          <w:szCs w:val="22"/>
          <w:lang w:val="es-ES" w:eastAsia="es-ES"/>
          <w14:ligatures w14:val="standardContextual"/>
        </w:rPr>
        <w:t xml:space="preserve">[…]”. </w:t>
      </w:r>
    </w:p>
    <w:p w14:paraId="23419309" w14:textId="6F421527" w:rsidR="00A1006E" w:rsidRPr="006E2FBB" w:rsidRDefault="00B4286C" w:rsidP="00326F5C">
      <w:pPr>
        <w:spacing w:after="120" w:line="276" w:lineRule="auto"/>
        <w:ind w:firstLine="709"/>
        <w:jc w:val="both"/>
        <w:rPr>
          <w:rFonts w:ascii="Verdana" w:hAnsi="Verdana" w:cs="Arial"/>
          <w:iCs/>
          <w:sz w:val="22"/>
          <w:szCs w:val="22"/>
          <w:lang w:val="es-ES"/>
        </w:rPr>
      </w:pPr>
      <w:r w:rsidRPr="006E2FBB">
        <w:rPr>
          <w:rFonts w:ascii="Verdana" w:hAnsi="Verdana" w:cs="Arial"/>
          <w:iCs/>
          <w:sz w:val="22"/>
          <w:szCs w:val="22"/>
          <w:lang w:val="es-ES"/>
        </w:rPr>
        <w:t>L</w:t>
      </w:r>
      <w:r w:rsidR="00A1006E" w:rsidRPr="006E2FBB">
        <w:rPr>
          <w:rFonts w:ascii="Verdana" w:hAnsi="Verdana" w:cs="Arial"/>
          <w:iCs/>
          <w:sz w:val="22"/>
          <w:szCs w:val="22"/>
          <w:lang w:val="es-ES"/>
        </w:rPr>
        <w:t xml:space="preserve">as potestades exorbitantes del </w:t>
      </w:r>
      <w:r w:rsidRPr="006E2FBB">
        <w:rPr>
          <w:rFonts w:ascii="Verdana" w:hAnsi="Verdana" w:cs="Arial"/>
          <w:iCs/>
          <w:sz w:val="22"/>
          <w:szCs w:val="22"/>
          <w:lang w:val="es-ES"/>
        </w:rPr>
        <w:t xml:space="preserve">segundo </w:t>
      </w:r>
      <w:r w:rsidR="00A1006E" w:rsidRPr="006E2FBB">
        <w:rPr>
          <w:rFonts w:ascii="Verdana" w:hAnsi="Verdana" w:cs="Arial"/>
          <w:iCs/>
          <w:sz w:val="22"/>
          <w:szCs w:val="22"/>
          <w:lang w:val="es-ES"/>
        </w:rPr>
        <w:t xml:space="preserve">grupo –imposición unilateral de la multa o la cláusula penal– son el resultado de una particular combinación entre el principio de legalidad y la autonomía de la voluntad, de tal suerte </w:t>
      </w:r>
      <w:proofErr w:type="gramStart"/>
      <w:r w:rsidR="00A1006E" w:rsidRPr="006E2FBB">
        <w:rPr>
          <w:rFonts w:ascii="Verdana" w:hAnsi="Verdana" w:cs="Arial"/>
          <w:iCs/>
          <w:sz w:val="22"/>
          <w:szCs w:val="22"/>
          <w:lang w:val="es-ES"/>
        </w:rPr>
        <w:t>que</w:t>
      </w:r>
      <w:proofErr w:type="gramEnd"/>
      <w:r w:rsidR="00A1006E" w:rsidRPr="006E2FBB">
        <w:rPr>
          <w:rFonts w:ascii="Verdana" w:hAnsi="Verdana" w:cs="Arial"/>
          <w:iCs/>
          <w:sz w:val="22"/>
          <w:szCs w:val="22"/>
          <w:lang w:val="es-ES"/>
        </w:rPr>
        <w:t xml:space="preserve"> si bien el legislador autorizó a las entidades para declarar el incumplimiento con la intención de multar al contratista para conminarlo al cumplimiento o para hacer efectiva la cláusula penal, es indispensable que uno u otro caso se hayan pactado en el contrato</w:t>
      </w:r>
      <w:r w:rsidR="00A1006E" w:rsidRPr="006E2FBB">
        <w:rPr>
          <w:rFonts w:ascii="Verdana" w:hAnsi="Verdana" w:cs="Arial"/>
          <w:sz w:val="22"/>
          <w:szCs w:val="22"/>
          <w:vertAlign w:val="superscript"/>
          <w:lang w:val="es-ES"/>
        </w:rPr>
        <w:footnoteReference w:id="7"/>
      </w:r>
      <w:r w:rsidR="00A1006E" w:rsidRPr="006E2FBB">
        <w:rPr>
          <w:rFonts w:ascii="Verdana" w:hAnsi="Verdana" w:cs="Arial"/>
          <w:iCs/>
          <w:sz w:val="22"/>
          <w:szCs w:val="22"/>
          <w:lang w:val="es-ES"/>
        </w:rPr>
        <w:t>. No obstante, cumplido el requisito del pacto en el contrato, las entidades estatales sometidas al Estatuto General de Contratación de la Administración Pública –Leyes 80 de 1993 y 1150 de 2007, y sus modificaciones–, por ministerio de la ley –artículo 17 de la Ley 1150 de 2007– se entienden investidas de la prerrogativa de imposición unilateral. Se reitera que la exorbitancia de las dos cláusulas transcritas –cláusula penal y multas– se refiere a su imposición unilateral, no a su pacto. Esto último en la medida en que dichas cláusulas son posibles y pueden pactarse en virtud de las normas civiles y comerciales.</w:t>
      </w:r>
    </w:p>
    <w:p w14:paraId="25B27432" w14:textId="77777777" w:rsidR="00A1006E" w:rsidRPr="006E2FBB" w:rsidRDefault="00A1006E" w:rsidP="006E2FBB">
      <w:pPr>
        <w:spacing w:after="240" w:line="276" w:lineRule="auto"/>
        <w:ind w:firstLine="709"/>
        <w:jc w:val="both"/>
        <w:rPr>
          <w:rFonts w:ascii="Verdana" w:hAnsi="Verdana" w:cs="Arial"/>
          <w:iCs/>
          <w:sz w:val="22"/>
          <w:szCs w:val="22"/>
          <w:lang w:val="es-ES"/>
        </w:rPr>
      </w:pPr>
      <w:r w:rsidRPr="006E2FBB">
        <w:rPr>
          <w:rFonts w:ascii="Verdana" w:hAnsi="Verdana" w:cs="Arial"/>
          <w:iCs/>
          <w:sz w:val="22"/>
          <w:szCs w:val="22"/>
          <w:lang w:val="es-ES"/>
        </w:rPr>
        <w:lastRenderedPageBreak/>
        <w:t>En efecto, tratándose de las multas y la cláusula penal, en cumplimiento del principio de tipicidad, las partes deben determinar en forma pormenorizada las acciones u omisiones objeto de sanción y el monto de la sanción a imponer, el cual, en todo caso, debe atender los criterios de proporcionalidad y razonabilidad. En esa línea se pronunció la Sección Tercera del Consejo de Estado, indicando que:</w:t>
      </w:r>
    </w:p>
    <w:p w14:paraId="4A207748" w14:textId="4B691F8B" w:rsidR="00A1006E" w:rsidRPr="006E2FBB" w:rsidRDefault="00B4286C" w:rsidP="006E2FBB">
      <w:pPr>
        <w:spacing w:after="240"/>
        <w:ind w:left="709" w:right="709"/>
        <w:contextualSpacing/>
        <w:jc w:val="both"/>
        <w:rPr>
          <w:rFonts w:ascii="Verdana" w:hAnsi="Verdana" w:cs="Arial"/>
          <w:iCs/>
          <w:sz w:val="20"/>
          <w:szCs w:val="20"/>
          <w:lang w:val="es-ES"/>
        </w:rPr>
      </w:pPr>
      <w:r w:rsidRPr="006E2FBB">
        <w:rPr>
          <w:rFonts w:ascii="Verdana" w:hAnsi="Verdana" w:cs="Arial"/>
          <w:i/>
          <w:iCs/>
          <w:sz w:val="20"/>
          <w:szCs w:val="20"/>
          <w:lang w:val="es-ES"/>
        </w:rPr>
        <w:t>“</w:t>
      </w:r>
      <w:r w:rsidRPr="006E2FBB">
        <w:rPr>
          <w:rFonts w:ascii="Verdana" w:hAnsi="Verdana" w:cs="Arial"/>
          <w:sz w:val="20"/>
          <w:szCs w:val="20"/>
          <w:lang w:val="es-ES"/>
        </w:rPr>
        <w:t>[…]</w:t>
      </w:r>
      <w:r w:rsidR="00A1006E" w:rsidRPr="006E2FBB">
        <w:rPr>
          <w:rFonts w:ascii="Verdana" w:hAnsi="Verdana" w:cs="Arial"/>
          <w:iCs/>
          <w:sz w:val="20"/>
          <w:szCs w:val="20"/>
          <w:lang w:val="es-ES"/>
        </w:rPr>
        <w:t>la multa y la cláusula penal mantienen la libertad de pacto, es decir, que la ley no determina las conductas que las originan, y las partes pueden hacerlo con gran libertad -pero tampoco arbitrariamente-. Pese a este relajamiento del principio de legalidad fuerte, en todo caso se conserva el principio de tipicidad, según el cual las partes del negocio deben describir la conducta prohibida en la cláusula contractual. Además, también se mantiene el principio que impone que la conducta reprochable se establezca de manera previa a su realización –lex previa–, para evitar la arbitrariedad y el abuso de poder</w:t>
      </w:r>
      <w:r w:rsidRPr="006E2FBB">
        <w:rPr>
          <w:rFonts w:ascii="Verdana" w:hAnsi="Verdana" w:cs="Arial"/>
          <w:iCs/>
          <w:sz w:val="20"/>
          <w:szCs w:val="20"/>
          <w:lang w:val="es-ES"/>
        </w:rPr>
        <w:t>”</w:t>
      </w:r>
      <w:r w:rsidR="00A1006E" w:rsidRPr="006E2FBB">
        <w:rPr>
          <w:rFonts w:ascii="Verdana" w:hAnsi="Verdana" w:cs="Arial"/>
          <w:sz w:val="20"/>
          <w:szCs w:val="20"/>
          <w:vertAlign w:val="superscript"/>
          <w:lang w:val="es-ES"/>
        </w:rPr>
        <w:footnoteReference w:id="8"/>
      </w:r>
      <w:r w:rsidR="00A1006E" w:rsidRPr="006E2FBB">
        <w:rPr>
          <w:rFonts w:ascii="Verdana" w:hAnsi="Verdana" w:cs="Arial"/>
          <w:iCs/>
          <w:sz w:val="20"/>
          <w:szCs w:val="20"/>
          <w:lang w:val="es-ES"/>
        </w:rPr>
        <w:t xml:space="preserve">. </w:t>
      </w:r>
    </w:p>
    <w:p w14:paraId="5A8CEC2E" w14:textId="77777777" w:rsidR="00A1006E" w:rsidRPr="00EC2F74" w:rsidRDefault="00A1006E" w:rsidP="00A1006E">
      <w:pPr>
        <w:spacing w:after="240"/>
        <w:ind w:left="709" w:right="709"/>
        <w:contextualSpacing/>
        <w:jc w:val="both"/>
        <w:rPr>
          <w:rFonts w:ascii="Verdana" w:hAnsi="Verdana" w:cs="Arial"/>
          <w:iCs/>
          <w:sz w:val="22"/>
          <w:szCs w:val="22"/>
          <w:lang w:val="es-ES"/>
        </w:rPr>
      </w:pPr>
    </w:p>
    <w:p w14:paraId="00F235E6" w14:textId="77777777" w:rsidR="00EC2F74" w:rsidRPr="006E2FBB" w:rsidRDefault="00A1006E" w:rsidP="006E2FBB">
      <w:pPr>
        <w:spacing w:after="240" w:line="276" w:lineRule="auto"/>
        <w:ind w:firstLine="709"/>
        <w:jc w:val="both"/>
        <w:rPr>
          <w:rFonts w:ascii="Arial" w:hAnsi="Arial" w:cs="Arial"/>
          <w:i/>
          <w:sz w:val="22"/>
          <w:szCs w:val="22"/>
          <w:lang w:val="es-ES"/>
        </w:rPr>
      </w:pPr>
      <w:r w:rsidRPr="006E2FBB">
        <w:rPr>
          <w:rFonts w:ascii="Verdana" w:hAnsi="Verdana" w:cs="Arial"/>
          <w:iCs/>
          <w:sz w:val="22"/>
          <w:szCs w:val="22"/>
          <w:lang w:val="es-ES"/>
        </w:rPr>
        <w:t xml:space="preserve">De igual forma, en otra oportunidad, el Consejo de Estado indicó que </w:t>
      </w:r>
      <w:r w:rsidR="00B4286C" w:rsidRPr="006E2FBB">
        <w:rPr>
          <w:rFonts w:ascii="Verdana" w:hAnsi="Verdana" w:cs="Arial"/>
          <w:i/>
          <w:sz w:val="22"/>
          <w:szCs w:val="22"/>
          <w:lang w:val="es-ES"/>
        </w:rPr>
        <w:t>“</w:t>
      </w:r>
      <w:r w:rsidRPr="006E2FBB">
        <w:rPr>
          <w:rFonts w:ascii="Verdana" w:hAnsi="Verdana" w:cs="Arial"/>
          <w:iCs/>
          <w:sz w:val="22"/>
          <w:szCs w:val="22"/>
          <w:lang w:val="es-ES"/>
        </w:rPr>
        <w:t>el núcleo mínimo de este derecho exige que una norma –legal o contractual– contemple la falta y la sanción. Si ni siquiera lo hace el contrato, la Administración no puede imponer sanciones, so pena de violar el debido proceso</w:t>
      </w:r>
      <w:r w:rsidR="00B4286C" w:rsidRPr="006E2FBB">
        <w:rPr>
          <w:rFonts w:ascii="Verdana" w:hAnsi="Verdana" w:cs="Arial"/>
          <w:i/>
          <w:sz w:val="22"/>
          <w:szCs w:val="22"/>
          <w:lang w:val="es-ES"/>
        </w:rPr>
        <w:t>”</w:t>
      </w:r>
      <w:r w:rsidRPr="006E2FBB">
        <w:rPr>
          <w:rFonts w:ascii="Verdana" w:hAnsi="Verdana" w:cs="Arial"/>
          <w:sz w:val="22"/>
          <w:szCs w:val="22"/>
          <w:vertAlign w:val="superscript"/>
          <w:lang w:val="es-ES"/>
        </w:rPr>
        <w:footnoteReference w:id="9"/>
      </w:r>
      <w:r w:rsidRPr="006E2FBB">
        <w:rPr>
          <w:rFonts w:ascii="Verdana" w:hAnsi="Verdana" w:cs="Arial"/>
          <w:iCs/>
          <w:sz w:val="22"/>
          <w:szCs w:val="22"/>
          <w:lang w:val="es-ES"/>
        </w:rPr>
        <w:t>. De otro lado, la Corte Constitucional</w:t>
      </w:r>
      <w:r w:rsidRPr="006E2FBB">
        <w:rPr>
          <w:rFonts w:ascii="Verdana" w:hAnsi="Verdana" w:cs="Arial"/>
          <w:sz w:val="22"/>
          <w:szCs w:val="22"/>
          <w:vertAlign w:val="superscript"/>
          <w:lang w:val="es-ES"/>
        </w:rPr>
        <w:footnoteReference w:id="10"/>
      </w:r>
      <w:r w:rsidRPr="006E2FBB">
        <w:rPr>
          <w:rFonts w:ascii="Verdana" w:hAnsi="Verdana" w:cs="Arial"/>
          <w:iCs/>
          <w:sz w:val="22"/>
          <w:szCs w:val="22"/>
          <w:lang w:val="es-ES"/>
        </w:rPr>
        <w:t xml:space="preserve"> precisó que la tipicidad hacía referencia a </w:t>
      </w:r>
      <w:r w:rsidR="00B4286C" w:rsidRPr="006E2FBB">
        <w:rPr>
          <w:rFonts w:ascii="Verdana" w:hAnsi="Verdana" w:cs="Arial"/>
          <w:iCs/>
          <w:sz w:val="22"/>
          <w:szCs w:val="22"/>
          <w:lang w:val="es-ES"/>
        </w:rPr>
        <w:t>“</w:t>
      </w:r>
      <w:r w:rsidRPr="006E2FBB">
        <w:rPr>
          <w:rFonts w:ascii="Verdana" w:hAnsi="Verdana" w:cs="Arial"/>
          <w:iCs/>
          <w:sz w:val="22"/>
          <w:szCs w:val="22"/>
          <w:lang w:val="es-ES"/>
        </w:rPr>
        <w:t>la exigencia de descripción específica y precisa por la norma creadora de las infracciones y de las sanciones, de las conductas que pueden ser sancionadas y del contenido material de las sanciones que puede imponerse por la comisión de cada conducta, así como la correlación entre unas y otras</w:t>
      </w:r>
      <w:r w:rsidR="00B4286C" w:rsidRPr="006E2FBB">
        <w:rPr>
          <w:rFonts w:ascii="Verdana" w:hAnsi="Verdana" w:cs="Arial"/>
          <w:iCs/>
          <w:sz w:val="22"/>
          <w:szCs w:val="22"/>
          <w:lang w:val="es-ES"/>
        </w:rPr>
        <w:t>”</w:t>
      </w:r>
      <w:r w:rsidRPr="006E2FBB">
        <w:rPr>
          <w:rFonts w:ascii="Verdana" w:hAnsi="Verdana" w:cs="Arial"/>
          <w:iCs/>
          <w:sz w:val="22"/>
          <w:szCs w:val="22"/>
          <w:lang w:val="es-ES"/>
        </w:rPr>
        <w:t>.</w:t>
      </w:r>
      <w:r w:rsidRPr="006E2FBB">
        <w:rPr>
          <w:rFonts w:ascii="Arial" w:hAnsi="Arial" w:cs="Arial"/>
          <w:i/>
          <w:sz w:val="22"/>
          <w:szCs w:val="22"/>
          <w:lang w:val="es-ES"/>
        </w:rPr>
        <w:t xml:space="preserve"> </w:t>
      </w:r>
    </w:p>
    <w:p w14:paraId="081AA26D" w14:textId="6E4CB96D" w:rsidR="008A6AF6" w:rsidRPr="006E2FBB" w:rsidRDefault="00A1006E" w:rsidP="006E2FBB">
      <w:pPr>
        <w:spacing w:after="240" w:line="276" w:lineRule="auto"/>
        <w:ind w:firstLine="709"/>
        <w:jc w:val="both"/>
        <w:rPr>
          <w:rFonts w:ascii="Arial" w:eastAsiaTheme="minorHAnsi" w:hAnsi="Arial" w:cs="Arial"/>
          <w:i/>
          <w:sz w:val="22"/>
          <w:szCs w:val="22"/>
          <w:lang w:val="es-ES"/>
        </w:rPr>
      </w:pPr>
      <w:r w:rsidRPr="006E2FBB">
        <w:rPr>
          <w:rFonts w:ascii="Verdana" w:eastAsia="Calibri" w:hAnsi="Verdana" w:cs="Arial"/>
          <w:sz w:val="22"/>
          <w:szCs w:val="22"/>
          <w:lang w:val="es-ES"/>
        </w:rPr>
        <w:t>En virtud de lo anterior</w:t>
      </w:r>
      <w:r w:rsidR="008A6AF6" w:rsidRPr="006E2FBB">
        <w:rPr>
          <w:rFonts w:ascii="Verdana" w:eastAsia="Calibri" w:hAnsi="Verdana" w:cs="Arial"/>
          <w:sz w:val="22"/>
          <w:szCs w:val="22"/>
          <w:lang w:val="es-ES"/>
        </w:rPr>
        <w:t>, si bien el legislador autorizó a las entidades para declarar el incumplimiento con la intención de multar al contratista para conminarlo al cumplimiento o para hacer efectiva la cláusula penal, es indispensable que en uno u otro caso se hayan pactado en el contrato</w:t>
      </w:r>
      <w:r w:rsidR="008A6AF6" w:rsidRPr="006E2FBB">
        <w:rPr>
          <w:rFonts w:ascii="Verdana" w:hAnsi="Verdana" w:cs="Arial"/>
          <w:sz w:val="22"/>
          <w:szCs w:val="22"/>
          <w:vertAlign w:val="superscript"/>
          <w:lang w:val="es-ES" w:eastAsia="es-ES_tradnl"/>
        </w:rPr>
        <w:footnoteReference w:id="11"/>
      </w:r>
      <w:r w:rsidR="008A6AF6" w:rsidRPr="006E2FBB">
        <w:rPr>
          <w:rFonts w:ascii="Verdana" w:eastAsia="Calibri" w:hAnsi="Verdana" w:cs="Arial"/>
          <w:sz w:val="22"/>
          <w:szCs w:val="22"/>
          <w:lang w:val="es-ES"/>
        </w:rPr>
        <w:t>. No obstante, cumplido el requisito del pacto en el contrato, las Entidades Estatales sometidas al EGCAP</w:t>
      </w:r>
      <w:r w:rsidR="00EC2F74" w:rsidRPr="006E2FBB">
        <w:rPr>
          <w:rFonts w:ascii="Verdana" w:eastAsia="Calibri" w:hAnsi="Verdana" w:cs="Arial"/>
          <w:sz w:val="22"/>
          <w:szCs w:val="22"/>
          <w:lang w:val="es-ES"/>
        </w:rPr>
        <w:t xml:space="preserve">, </w:t>
      </w:r>
      <w:r w:rsidR="008A6AF6" w:rsidRPr="006E2FBB">
        <w:rPr>
          <w:rFonts w:ascii="Verdana" w:eastAsia="Calibri" w:hAnsi="Verdana" w:cs="Arial"/>
          <w:sz w:val="22"/>
          <w:szCs w:val="22"/>
          <w:lang w:val="es-ES"/>
        </w:rPr>
        <w:t xml:space="preserve">por ministerio de la ley –artículo 17 de la Ley 1150 de </w:t>
      </w:r>
      <w:r w:rsidR="008A6AF6" w:rsidRPr="006E2FBB">
        <w:rPr>
          <w:rFonts w:ascii="Verdana" w:eastAsia="Calibri" w:hAnsi="Verdana" w:cs="Arial"/>
          <w:sz w:val="22"/>
          <w:szCs w:val="22"/>
          <w:lang w:val="es-ES"/>
        </w:rPr>
        <w:lastRenderedPageBreak/>
        <w:t>2007–, se entienden investidas de la prerrogativa de imposición unilateral. En efecto, tratándose de las multas, en cumplimiento del principio de tipicidad, las partes deben determinar en forma pormenorizada las acciones u omisiones objeto de sanción y el monto de la sanción a imponer, el cual, en todo caso, debe atender los criterios de proporcionalidad y razonabilidad.</w:t>
      </w:r>
    </w:p>
    <w:p w14:paraId="247223A3" w14:textId="618E6B0F" w:rsidR="00C35ED5" w:rsidRPr="006E2FBB" w:rsidRDefault="00CC1D85" w:rsidP="006E2FBB">
      <w:pPr>
        <w:spacing w:after="120" w:line="276" w:lineRule="auto"/>
        <w:ind w:firstLine="709"/>
        <w:jc w:val="both"/>
        <w:rPr>
          <w:rFonts w:ascii="Verdana" w:hAnsi="Verdana" w:cs="Arial"/>
          <w:iCs/>
          <w:sz w:val="22"/>
          <w:szCs w:val="22"/>
          <w:lang w:val="es-ES" w:eastAsia="es-ES_tradnl"/>
        </w:rPr>
      </w:pPr>
      <w:r w:rsidRPr="006E2FBB">
        <w:rPr>
          <w:rFonts w:ascii="Verdana" w:eastAsia="Calibri" w:hAnsi="Verdana"/>
          <w:sz w:val="22"/>
          <w:szCs w:val="22"/>
          <w:lang w:val="es-ES"/>
        </w:rPr>
        <w:t xml:space="preserve">En ese sentido, </w:t>
      </w:r>
      <w:r w:rsidRPr="006E2FBB">
        <w:rPr>
          <w:rFonts w:ascii="Verdana" w:hAnsi="Verdana" w:cs="Arial"/>
          <w:iCs/>
          <w:sz w:val="22"/>
          <w:szCs w:val="22"/>
          <w:lang w:val="es-ES" w:eastAsia="es-ES_tradnl"/>
        </w:rPr>
        <w:t>el artículo 17 de la Ley 1150 de 2007</w:t>
      </w:r>
      <w:r w:rsidR="00C35ED5" w:rsidRPr="006E2FBB">
        <w:rPr>
          <w:rFonts w:ascii="Verdana" w:hAnsi="Verdana" w:cs="Arial"/>
          <w:iCs/>
          <w:sz w:val="22"/>
          <w:szCs w:val="22"/>
          <w:lang w:val="es-ES" w:eastAsia="es-ES_tradnl"/>
        </w:rPr>
        <w:t xml:space="preserve"> señala lo siguiente con respecto a la imposición</w:t>
      </w:r>
      <w:r w:rsidRPr="006E2FBB">
        <w:rPr>
          <w:rFonts w:ascii="Verdana" w:hAnsi="Verdana" w:cs="Arial"/>
          <w:iCs/>
          <w:sz w:val="22"/>
          <w:szCs w:val="22"/>
          <w:lang w:val="es-ES" w:eastAsia="es-ES_tradnl"/>
        </w:rPr>
        <w:t xml:space="preserve"> unilateral de multas</w:t>
      </w:r>
      <w:r w:rsidR="00C35ED5" w:rsidRPr="006E2FBB">
        <w:rPr>
          <w:rFonts w:ascii="Verdana" w:hAnsi="Verdana" w:cs="Arial"/>
          <w:iCs/>
          <w:sz w:val="22"/>
          <w:szCs w:val="22"/>
          <w:lang w:val="es-ES" w:eastAsia="es-ES_tradnl"/>
        </w:rPr>
        <w:t xml:space="preserve"> y la potestad de hacer efectiva la cláusula penal:</w:t>
      </w:r>
    </w:p>
    <w:p w14:paraId="574BBC74" w14:textId="34483355" w:rsidR="00C35ED5" w:rsidRPr="00EC2F74" w:rsidRDefault="00C35ED5" w:rsidP="006134A3">
      <w:pPr>
        <w:spacing w:after="120"/>
        <w:ind w:left="709" w:right="709"/>
        <w:jc w:val="both"/>
        <w:rPr>
          <w:rFonts w:ascii="Verdana" w:hAnsi="Verdana" w:cs="Arial"/>
          <w:iCs/>
          <w:sz w:val="20"/>
          <w:szCs w:val="20"/>
          <w:lang w:val="es-ES" w:eastAsia="es-ES_tradnl"/>
        </w:rPr>
      </w:pPr>
      <w:r w:rsidRPr="00EC2F74">
        <w:rPr>
          <w:rFonts w:ascii="Verdana" w:hAnsi="Verdana" w:cs="Arial"/>
          <w:iCs/>
          <w:sz w:val="20"/>
          <w:szCs w:val="20"/>
          <w:lang w:val="es-ES" w:eastAsia="es-ES_tradnl"/>
        </w:rPr>
        <w:t>“El debido proceso será un principio rector en materia sancionatoria de las actuaciones contractuales.</w:t>
      </w:r>
    </w:p>
    <w:p w14:paraId="0F898D61" w14:textId="77777777" w:rsidR="00C35ED5" w:rsidRPr="00EC2F74" w:rsidRDefault="00C35ED5" w:rsidP="006134A3">
      <w:pPr>
        <w:spacing w:after="120"/>
        <w:ind w:left="709" w:right="709"/>
        <w:jc w:val="both"/>
        <w:rPr>
          <w:rFonts w:ascii="Verdana" w:hAnsi="Verdana" w:cs="Arial"/>
          <w:iCs/>
          <w:sz w:val="20"/>
          <w:szCs w:val="20"/>
          <w:lang w:val="es-ES" w:eastAsia="es-ES_tradnl"/>
        </w:rPr>
      </w:pPr>
      <w:r w:rsidRPr="00EC2F74">
        <w:rPr>
          <w:rFonts w:ascii="Verdana" w:hAnsi="Verdana" w:cs="Arial"/>
          <w:iCs/>
          <w:sz w:val="20"/>
          <w:szCs w:val="20"/>
          <w:lang w:val="es-ES" w:eastAsia="es-ES_tradnl"/>
        </w:rPr>
        <w:t xml:space="preserve">En desarrollo de lo anterior y del deber de control y vigilancia sobre los contratos que corresponde a las entidades sometidas al Estatuto General de Contratación de la Administración Pública, tendrán la facultad de imponer las multas </w:t>
      </w:r>
      <w:r w:rsidRPr="00EC2F74">
        <w:rPr>
          <w:rFonts w:ascii="Verdana" w:hAnsi="Verdana" w:cs="Arial"/>
          <w:i/>
          <w:sz w:val="20"/>
          <w:szCs w:val="20"/>
          <w:u w:val="single"/>
          <w:lang w:val="es-ES" w:eastAsia="es-ES_tradnl"/>
        </w:rPr>
        <w:t>que hayan sido pactadas</w:t>
      </w:r>
      <w:r w:rsidRPr="00EC2F74">
        <w:rPr>
          <w:rFonts w:ascii="Verdana" w:hAnsi="Verdana" w:cs="Arial"/>
          <w:iCs/>
          <w:sz w:val="20"/>
          <w:szCs w:val="20"/>
          <w:lang w:val="es-ES" w:eastAsia="es-ES_tradnl"/>
        </w:rPr>
        <w:t xml:space="preserve"> con el objeto de conminar al contratista a cumplir con sus obligaciones. Esta decisión deberá estar precedida de audiencia del afectado que deberá tener un procedimiento mínimo que garantice el derecho al debido proceso del contratista y procede sólo mientras se halle pendiente la ejecución de las obligaciones a cargo del contratista. Así mismo podrán declarar el incumplimiento con el propósito de hacer efectiva la cláusula penal pecuniaria </w:t>
      </w:r>
      <w:r w:rsidRPr="00EC2F74">
        <w:rPr>
          <w:rFonts w:ascii="Verdana" w:hAnsi="Verdana" w:cs="Arial"/>
          <w:i/>
          <w:sz w:val="20"/>
          <w:szCs w:val="20"/>
          <w:u w:val="single"/>
          <w:lang w:val="es-ES" w:eastAsia="es-ES_tradnl"/>
        </w:rPr>
        <w:t>incluida en el contrato</w:t>
      </w:r>
      <w:r w:rsidRPr="00EC2F74">
        <w:rPr>
          <w:rFonts w:ascii="Verdana" w:hAnsi="Verdana" w:cs="Arial"/>
          <w:iCs/>
          <w:sz w:val="20"/>
          <w:szCs w:val="20"/>
          <w:lang w:val="es-ES" w:eastAsia="es-ES_tradnl"/>
        </w:rPr>
        <w:t>.</w:t>
      </w:r>
    </w:p>
    <w:p w14:paraId="2B01708C" w14:textId="77777777" w:rsidR="00C35ED5" w:rsidRPr="00EC2F74" w:rsidRDefault="00C35ED5" w:rsidP="006134A3">
      <w:pPr>
        <w:spacing w:after="120"/>
        <w:ind w:left="709" w:right="709"/>
        <w:jc w:val="both"/>
        <w:rPr>
          <w:rFonts w:ascii="Verdana" w:hAnsi="Verdana" w:cs="Arial"/>
          <w:iCs/>
          <w:sz w:val="20"/>
          <w:szCs w:val="20"/>
          <w:lang w:val="es-ES" w:eastAsia="es-ES_tradnl"/>
        </w:rPr>
      </w:pPr>
      <w:r w:rsidRPr="00EC2F74">
        <w:rPr>
          <w:rFonts w:ascii="Verdana" w:hAnsi="Verdana" w:cs="Arial"/>
          <w:b/>
          <w:bCs/>
          <w:iCs/>
          <w:sz w:val="20"/>
          <w:szCs w:val="20"/>
          <w:lang w:val="es-ES" w:eastAsia="es-ES_tradnl"/>
        </w:rPr>
        <w:t>PARÁGRAFO.</w:t>
      </w:r>
      <w:r w:rsidRPr="00EC2F74">
        <w:rPr>
          <w:rFonts w:ascii="Verdana" w:hAnsi="Verdana" w:cs="Arial"/>
          <w:iCs/>
          <w:sz w:val="20"/>
          <w:szCs w:val="20"/>
          <w:lang w:val="es-ES" w:eastAsia="es-ES_tradnl"/>
        </w:rPr>
        <w:t xml:space="preserve"> La cláusula penal y las multas así </w:t>
      </w:r>
      <w:proofErr w:type="gramStart"/>
      <w:r w:rsidRPr="00EC2F74">
        <w:rPr>
          <w:rFonts w:ascii="Verdana" w:hAnsi="Verdana" w:cs="Arial"/>
          <w:iCs/>
          <w:sz w:val="20"/>
          <w:szCs w:val="20"/>
          <w:lang w:val="es-ES" w:eastAsia="es-ES_tradnl"/>
        </w:rPr>
        <w:t>impuestas,</w:t>
      </w:r>
      <w:proofErr w:type="gramEnd"/>
      <w:r w:rsidRPr="00EC2F74">
        <w:rPr>
          <w:rFonts w:ascii="Verdana" w:hAnsi="Verdana" w:cs="Arial"/>
          <w:iCs/>
          <w:sz w:val="20"/>
          <w:szCs w:val="20"/>
          <w:lang w:val="es-ES" w:eastAsia="es-ES_tradnl"/>
        </w:rPr>
        <w:t xml:space="preserve"> se harán efectivas directamente por las entidades estatales, pudiendo acudir para el efecto entre otros a los mecanismos de compensación de las sumas adeudadas al contratista, cobro de la garantía, o a cualquier otro medio para obtener el pago, incluyendo el de la jurisdicción coactiva.</w:t>
      </w:r>
    </w:p>
    <w:p w14:paraId="71476813" w14:textId="6D5A5215" w:rsidR="00C35ED5" w:rsidRDefault="00C35ED5" w:rsidP="006E2FBB">
      <w:pPr>
        <w:ind w:left="709" w:right="709"/>
        <w:jc w:val="both"/>
        <w:rPr>
          <w:rFonts w:ascii="Verdana" w:hAnsi="Verdana" w:cs="Arial"/>
          <w:iCs/>
          <w:sz w:val="20"/>
          <w:szCs w:val="20"/>
          <w:lang w:val="es-ES" w:eastAsia="es-ES_tradnl"/>
        </w:rPr>
      </w:pPr>
      <w:r w:rsidRPr="00EC2F74">
        <w:rPr>
          <w:rFonts w:ascii="Verdana" w:hAnsi="Verdana" w:cs="Arial"/>
          <w:b/>
          <w:bCs/>
          <w:iCs/>
          <w:sz w:val="20"/>
          <w:szCs w:val="20"/>
          <w:lang w:val="es-ES" w:eastAsia="es-ES_tradnl"/>
        </w:rPr>
        <w:t>PARÁGRAFO</w:t>
      </w:r>
      <w:r w:rsidRPr="00EC2F74">
        <w:rPr>
          <w:rFonts w:ascii="Verdana" w:hAnsi="Verdana" w:cs="Arial"/>
          <w:iCs/>
          <w:sz w:val="20"/>
          <w:szCs w:val="20"/>
          <w:lang w:val="es-ES" w:eastAsia="es-ES_tradnl"/>
        </w:rPr>
        <w:t> </w:t>
      </w:r>
      <w:r w:rsidRPr="00EC2F74">
        <w:rPr>
          <w:rFonts w:ascii="Verdana" w:hAnsi="Verdana" w:cs="Arial"/>
          <w:b/>
          <w:bCs/>
          <w:iCs/>
          <w:sz w:val="20"/>
          <w:szCs w:val="20"/>
          <w:lang w:val="es-ES" w:eastAsia="es-ES_tradnl"/>
        </w:rPr>
        <w:t>TRANSITORIO.</w:t>
      </w:r>
      <w:r w:rsidRPr="00EC2F74">
        <w:rPr>
          <w:rFonts w:ascii="Verdana" w:hAnsi="Verdana" w:cs="Arial"/>
          <w:iCs/>
          <w:sz w:val="20"/>
          <w:szCs w:val="20"/>
          <w:lang w:val="es-ES" w:eastAsia="es-ES_tradnl"/>
        </w:rPr>
        <w:t> Las facultades previstas en este artículo se entienden atribuidas respecto de las cláusulas de multas o cláusula penal pecuniaria pactadas en los contratos celebrados con anterioridad a la expedición de esta ley y en los que por autonomía de la voluntad de las partes se hubiese previsto la competencia de las entidades estatales para imponerlas y hacerlas efectivas” [Énfasis propio].</w:t>
      </w:r>
    </w:p>
    <w:p w14:paraId="6B4FF9CA" w14:textId="77777777" w:rsidR="006E2FBB" w:rsidRPr="00EC2F74" w:rsidRDefault="006E2FBB" w:rsidP="006E2FBB">
      <w:pPr>
        <w:ind w:left="709" w:right="709"/>
        <w:jc w:val="both"/>
        <w:rPr>
          <w:rFonts w:ascii="Verdana" w:hAnsi="Verdana" w:cs="Arial"/>
          <w:iCs/>
          <w:sz w:val="20"/>
          <w:szCs w:val="20"/>
          <w:lang w:val="es-ES" w:eastAsia="es-ES_tradnl"/>
        </w:rPr>
      </w:pPr>
    </w:p>
    <w:p w14:paraId="16534BD1" w14:textId="77777777" w:rsidR="00EC2F74" w:rsidRDefault="00F12A7E" w:rsidP="00EC2F74">
      <w:pPr>
        <w:spacing w:after="120" w:line="276" w:lineRule="auto"/>
        <w:ind w:firstLine="708"/>
        <w:jc w:val="both"/>
        <w:rPr>
          <w:rFonts w:ascii="Verdana" w:hAnsi="Verdana" w:cs="Arial"/>
          <w:iCs/>
          <w:lang w:val="es-ES" w:eastAsia="es-ES_tradnl"/>
        </w:rPr>
      </w:pPr>
      <w:r w:rsidRPr="00EC2F74">
        <w:rPr>
          <w:rFonts w:ascii="Verdana" w:hAnsi="Verdana" w:cs="Arial"/>
          <w:iCs/>
          <w:sz w:val="22"/>
          <w:szCs w:val="22"/>
          <w:lang w:val="es-ES" w:eastAsia="es-ES_tradnl"/>
        </w:rPr>
        <w:t>De esta manera,</w:t>
      </w:r>
      <w:r w:rsidR="00957150" w:rsidRPr="00EC2F74">
        <w:rPr>
          <w:rFonts w:ascii="Verdana" w:hAnsi="Verdana" w:cs="Arial"/>
          <w:iCs/>
          <w:sz w:val="22"/>
          <w:szCs w:val="22"/>
          <w:lang w:val="es-ES" w:eastAsia="es-ES_tradnl"/>
        </w:rPr>
        <w:t xml:space="preserve"> tal como lo ha señalado el Consejo de Estado</w:t>
      </w:r>
      <w:r w:rsidR="0088580F" w:rsidRPr="00EC2F74">
        <w:rPr>
          <w:rStyle w:val="Refdenotaalpie"/>
          <w:rFonts w:ascii="Verdana" w:hAnsi="Verdana" w:cs="Arial"/>
          <w:iCs/>
          <w:sz w:val="22"/>
          <w:szCs w:val="22"/>
          <w:lang w:val="es-ES" w:eastAsia="es-ES_tradnl"/>
        </w:rPr>
        <w:footnoteReference w:id="12"/>
      </w:r>
      <w:r w:rsidR="00957150" w:rsidRPr="00EC2F74">
        <w:rPr>
          <w:rFonts w:ascii="Verdana" w:hAnsi="Verdana" w:cs="Arial"/>
          <w:iCs/>
          <w:sz w:val="22"/>
          <w:szCs w:val="22"/>
          <w:lang w:val="es-ES" w:eastAsia="es-ES_tradnl"/>
        </w:rPr>
        <w:t>, una cosa es el pacto de las</w:t>
      </w:r>
      <w:r w:rsidR="00B113F9" w:rsidRPr="00EC2F74">
        <w:rPr>
          <w:rFonts w:ascii="Verdana" w:hAnsi="Verdana" w:cs="Arial"/>
          <w:iCs/>
          <w:sz w:val="22"/>
          <w:szCs w:val="22"/>
          <w:lang w:val="es-ES" w:eastAsia="es-ES_tradnl"/>
        </w:rPr>
        <w:t xml:space="preserve"> </w:t>
      </w:r>
      <w:r w:rsidR="00957150" w:rsidRPr="00EC2F74">
        <w:rPr>
          <w:rFonts w:ascii="Verdana" w:hAnsi="Verdana" w:cs="Arial"/>
          <w:iCs/>
          <w:sz w:val="22"/>
          <w:szCs w:val="22"/>
          <w:lang w:val="es-ES" w:eastAsia="es-ES_tradnl"/>
        </w:rPr>
        <w:t>multas y cláus</w:t>
      </w:r>
      <w:r w:rsidR="00B113F9" w:rsidRPr="00EC2F74">
        <w:rPr>
          <w:rFonts w:ascii="Verdana" w:hAnsi="Verdana" w:cs="Arial"/>
          <w:iCs/>
          <w:sz w:val="22"/>
          <w:szCs w:val="22"/>
          <w:lang w:val="es-ES" w:eastAsia="es-ES_tradnl"/>
        </w:rPr>
        <w:t>u</w:t>
      </w:r>
      <w:r w:rsidR="00957150" w:rsidRPr="00EC2F74">
        <w:rPr>
          <w:rFonts w:ascii="Verdana" w:hAnsi="Verdana" w:cs="Arial"/>
          <w:iCs/>
          <w:sz w:val="22"/>
          <w:szCs w:val="22"/>
          <w:lang w:val="es-ES" w:eastAsia="es-ES_tradnl"/>
        </w:rPr>
        <w:t>la penal como parte del contrato</w:t>
      </w:r>
      <w:r w:rsidR="00EC2F74" w:rsidRPr="00EC2F74">
        <w:rPr>
          <w:rFonts w:ascii="Verdana" w:hAnsi="Verdana" w:cs="Arial"/>
          <w:iCs/>
          <w:lang w:val="es-ES" w:eastAsia="es-ES_tradnl"/>
        </w:rPr>
        <w:t>,</w:t>
      </w:r>
      <w:r w:rsidR="00957150" w:rsidRPr="00EC2F74">
        <w:rPr>
          <w:rFonts w:ascii="Verdana" w:hAnsi="Verdana" w:cs="Arial"/>
          <w:iCs/>
          <w:sz w:val="22"/>
          <w:szCs w:val="22"/>
          <w:lang w:val="es-ES" w:eastAsia="es-ES_tradnl"/>
        </w:rPr>
        <w:t xml:space="preserve"> y otra la facultad que tiene la Administración de imponerlas o hacerlas exigibles mediante acto administrativo. Mientras que la inclusión de las cl</w:t>
      </w:r>
      <w:r w:rsidR="00B113F9" w:rsidRPr="00EC2F74">
        <w:rPr>
          <w:rFonts w:ascii="Verdana" w:hAnsi="Verdana" w:cs="Arial"/>
          <w:iCs/>
          <w:sz w:val="22"/>
          <w:szCs w:val="22"/>
          <w:lang w:val="es-ES" w:eastAsia="es-ES_tradnl"/>
        </w:rPr>
        <w:t xml:space="preserve">áusulas es resultado de la </w:t>
      </w:r>
      <w:r w:rsidR="00B113F9" w:rsidRPr="00EC2F74">
        <w:rPr>
          <w:rFonts w:ascii="Verdana" w:hAnsi="Verdana" w:cs="Arial"/>
          <w:iCs/>
          <w:sz w:val="22"/>
          <w:szCs w:val="22"/>
          <w:lang w:val="es-ES" w:eastAsia="es-ES_tradnl"/>
        </w:rPr>
        <w:lastRenderedPageBreak/>
        <w:t>autonomía de la voluntad, la</w:t>
      </w:r>
      <w:r w:rsidR="00EC2F74" w:rsidRPr="00EC2F74">
        <w:rPr>
          <w:rFonts w:ascii="Verdana" w:hAnsi="Verdana" w:cs="Arial"/>
          <w:iCs/>
          <w:lang w:val="es-ES" w:eastAsia="es-ES_tradnl"/>
        </w:rPr>
        <w:t xml:space="preserve"> </w:t>
      </w:r>
      <w:r w:rsidR="00B113F9" w:rsidRPr="00EC2F74">
        <w:rPr>
          <w:rFonts w:ascii="Verdana" w:hAnsi="Verdana" w:cs="Arial"/>
          <w:iCs/>
          <w:sz w:val="22"/>
          <w:szCs w:val="22"/>
          <w:lang w:val="es-ES" w:eastAsia="es-ES_tradnl"/>
        </w:rPr>
        <w:t xml:space="preserve">acción unilateral de la entidad </w:t>
      </w:r>
      <w:r w:rsidR="00EC2F74" w:rsidRPr="00EC2F74">
        <w:rPr>
          <w:rFonts w:ascii="Verdana" w:hAnsi="Verdana" w:cs="Arial"/>
          <w:iCs/>
          <w:lang w:val="es-ES" w:eastAsia="es-ES_tradnl"/>
        </w:rPr>
        <w:t xml:space="preserve">para su ejecución </w:t>
      </w:r>
      <w:r w:rsidR="00B113F9" w:rsidRPr="00EC2F74">
        <w:rPr>
          <w:rFonts w:ascii="Verdana" w:hAnsi="Verdana" w:cs="Arial"/>
          <w:iCs/>
          <w:sz w:val="22"/>
          <w:szCs w:val="22"/>
          <w:lang w:val="es-ES" w:eastAsia="es-ES_tradnl"/>
        </w:rPr>
        <w:t xml:space="preserve">es </w:t>
      </w:r>
      <w:r w:rsidR="00EC2F74" w:rsidRPr="00EC2F74">
        <w:rPr>
          <w:rFonts w:ascii="Verdana" w:hAnsi="Verdana" w:cs="Arial"/>
          <w:iCs/>
          <w:lang w:val="es-ES" w:eastAsia="es-ES_tradnl"/>
        </w:rPr>
        <w:t>producto</w:t>
      </w:r>
      <w:r w:rsidR="00B113F9" w:rsidRPr="00EC2F74">
        <w:rPr>
          <w:rFonts w:ascii="Verdana" w:hAnsi="Verdana" w:cs="Arial"/>
          <w:iCs/>
          <w:sz w:val="22"/>
          <w:szCs w:val="22"/>
          <w:lang w:val="es-ES" w:eastAsia="es-ES_tradnl"/>
        </w:rPr>
        <w:t xml:space="preserve"> del ejercicio de una prerrogativa exorbitante que le otorga la ley.</w:t>
      </w:r>
      <w:r w:rsidR="00957150" w:rsidRPr="00EC2F74">
        <w:rPr>
          <w:rFonts w:ascii="Verdana" w:hAnsi="Verdana" w:cs="Arial"/>
          <w:iCs/>
          <w:sz w:val="22"/>
          <w:szCs w:val="22"/>
          <w:lang w:val="es-ES" w:eastAsia="es-ES_tradnl"/>
        </w:rPr>
        <w:t xml:space="preserve"> </w:t>
      </w:r>
    </w:p>
    <w:p w14:paraId="69CE0FAA" w14:textId="674AC69A" w:rsidR="00A1006E" w:rsidRPr="00EC2F74" w:rsidRDefault="0088580F" w:rsidP="00503884">
      <w:pPr>
        <w:spacing w:after="120" w:line="276" w:lineRule="auto"/>
        <w:ind w:firstLine="708"/>
        <w:jc w:val="both"/>
        <w:rPr>
          <w:rFonts w:ascii="Verdana" w:hAnsi="Verdana" w:cs="Arial"/>
          <w:iCs/>
          <w:lang w:val="es-ES" w:eastAsia="es-ES_tradnl"/>
        </w:rPr>
      </w:pPr>
      <w:r w:rsidRPr="00EC2F74">
        <w:rPr>
          <w:rFonts w:ascii="Verdana" w:hAnsi="Verdana" w:cs="Arial"/>
          <w:iCs/>
          <w:sz w:val="22"/>
          <w:szCs w:val="22"/>
          <w:lang w:val="es-ES" w:eastAsia="es-ES_tradnl"/>
        </w:rPr>
        <w:t xml:space="preserve">Ambos supuestos se evidencian en el citado artículo de la </w:t>
      </w:r>
      <w:r w:rsidR="00EC2F74">
        <w:rPr>
          <w:rFonts w:ascii="Verdana" w:hAnsi="Verdana" w:cs="Arial"/>
          <w:iCs/>
          <w:lang w:val="es-ES" w:eastAsia="es-ES_tradnl"/>
        </w:rPr>
        <w:t>L</w:t>
      </w:r>
      <w:r w:rsidRPr="00EC2F74">
        <w:rPr>
          <w:rFonts w:ascii="Verdana" w:hAnsi="Verdana" w:cs="Arial"/>
          <w:iCs/>
          <w:sz w:val="22"/>
          <w:szCs w:val="22"/>
          <w:lang w:val="es-ES" w:eastAsia="es-ES_tradnl"/>
        </w:rPr>
        <w:t xml:space="preserve">ey 1150 de 2007, pues, por un lado, </w:t>
      </w:r>
      <w:r w:rsidRPr="004A5513">
        <w:rPr>
          <w:rFonts w:ascii="Verdana" w:hAnsi="Verdana" w:cs="Arial"/>
          <w:iCs/>
          <w:sz w:val="22"/>
          <w:szCs w:val="22"/>
          <w:lang w:val="es-ES" w:eastAsia="es-ES_tradnl"/>
        </w:rPr>
        <w:t xml:space="preserve">se refiere a la facultad en cabeza de las Entidades Estatales de imponer las multas con el objeto de conminar al contratista para que cumpla y de declarar </w:t>
      </w:r>
      <w:r w:rsidR="00EC2F74" w:rsidRPr="004A5513">
        <w:rPr>
          <w:rFonts w:ascii="Verdana" w:hAnsi="Verdana" w:cs="Arial"/>
          <w:iCs/>
          <w:sz w:val="22"/>
          <w:szCs w:val="22"/>
          <w:lang w:val="es-ES" w:eastAsia="es-ES_tradnl"/>
        </w:rPr>
        <w:t>el incumplimiento</w:t>
      </w:r>
      <w:r w:rsidRPr="004A5513">
        <w:rPr>
          <w:rFonts w:ascii="Verdana" w:hAnsi="Verdana" w:cs="Arial"/>
          <w:iCs/>
          <w:sz w:val="22"/>
          <w:szCs w:val="22"/>
          <w:lang w:val="es-ES" w:eastAsia="es-ES_tradnl"/>
        </w:rPr>
        <w:t xml:space="preserve"> para hacer efectiva la cláusula penal; por otro, aclara que en cada caso</w:t>
      </w:r>
      <w:r w:rsidRPr="00EC2F74">
        <w:rPr>
          <w:rFonts w:ascii="Verdana" w:hAnsi="Verdana" w:cs="Arial"/>
          <w:iCs/>
          <w:sz w:val="22"/>
          <w:szCs w:val="22"/>
          <w:lang w:val="es-ES" w:eastAsia="es-ES_tradnl"/>
        </w:rPr>
        <w:t xml:space="preserve"> esta faculta</w:t>
      </w:r>
      <w:r w:rsidR="00EC2F74">
        <w:rPr>
          <w:rFonts w:ascii="Verdana" w:hAnsi="Verdana" w:cs="Arial"/>
          <w:iCs/>
          <w:lang w:val="es-ES" w:eastAsia="es-ES_tradnl"/>
        </w:rPr>
        <w:t>d</w:t>
      </w:r>
      <w:r w:rsidRPr="00EC2F74">
        <w:rPr>
          <w:rFonts w:ascii="Verdana" w:hAnsi="Verdana" w:cs="Arial"/>
          <w:iCs/>
          <w:sz w:val="22"/>
          <w:szCs w:val="22"/>
          <w:lang w:val="es-ES" w:eastAsia="es-ES_tradnl"/>
        </w:rPr>
        <w:t xml:space="preserve"> la ejercerán </w:t>
      </w:r>
      <w:r w:rsidR="003402D5" w:rsidRPr="00EC2F74">
        <w:rPr>
          <w:rFonts w:ascii="Verdana" w:hAnsi="Verdana" w:cs="Arial"/>
          <w:iCs/>
          <w:sz w:val="22"/>
          <w:szCs w:val="22"/>
          <w:lang w:val="es-ES" w:eastAsia="es-ES_tradnl"/>
        </w:rPr>
        <w:t xml:space="preserve">con respecto a aquellas que hayan sido pactadas e incluidas en el contrato. </w:t>
      </w:r>
      <w:r w:rsidR="00C86F5A" w:rsidRPr="00EC2F74">
        <w:rPr>
          <w:rFonts w:ascii="Verdana" w:hAnsi="Verdana" w:cs="Arial"/>
          <w:iCs/>
          <w:sz w:val="22"/>
          <w:szCs w:val="22"/>
          <w:lang w:val="es-ES" w:eastAsia="es-ES_tradnl"/>
        </w:rPr>
        <w:t>En este sentido, la entidad no podrá proceder con respecto a este tipo de cláusulas si no han sido pactadas por las partes del contrato</w:t>
      </w:r>
      <w:r w:rsidR="006D1B50" w:rsidRPr="00EC2F74">
        <w:rPr>
          <w:rStyle w:val="Refdenotaalpie"/>
          <w:rFonts w:ascii="Verdana" w:hAnsi="Verdana" w:cs="Arial"/>
          <w:iCs/>
          <w:sz w:val="22"/>
          <w:szCs w:val="22"/>
          <w:lang w:val="es-ES" w:eastAsia="es-ES_tradnl"/>
        </w:rPr>
        <w:footnoteReference w:id="13"/>
      </w:r>
      <w:r w:rsidR="00C86F5A" w:rsidRPr="00EC2F74">
        <w:rPr>
          <w:rFonts w:ascii="Verdana" w:hAnsi="Verdana" w:cs="Arial"/>
          <w:iCs/>
          <w:sz w:val="22"/>
          <w:szCs w:val="22"/>
          <w:lang w:val="es-ES" w:eastAsia="es-ES_tradnl"/>
        </w:rPr>
        <w:t xml:space="preserve">. </w:t>
      </w:r>
    </w:p>
    <w:p w14:paraId="17968E0A" w14:textId="459E6D25" w:rsidR="00CC1D85" w:rsidRPr="0040232A" w:rsidRDefault="00CC1D85" w:rsidP="0040232A">
      <w:pPr>
        <w:spacing w:after="120" w:line="276" w:lineRule="auto"/>
        <w:ind w:firstLine="709"/>
        <w:jc w:val="both"/>
        <w:rPr>
          <w:rFonts w:ascii="Verdana" w:hAnsi="Verdana" w:cs="Arial"/>
          <w:iCs/>
          <w:sz w:val="22"/>
          <w:szCs w:val="22"/>
          <w:lang w:val="es-ES" w:eastAsia="es-ES_tradnl"/>
        </w:rPr>
      </w:pPr>
      <w:r w:rsidRPr="00EC2F74">
        <w:rPr>
          <w:rFonts w:ascii="Verdana" w:hAnsi="Verdana" w:cs="Arial"/>
          <w:iCs/>
          <w:lang w:val="es-ES" w:eastAsia="es-ES_tradnl"/>
        </w:rPr>
        <w:t xml:space="preserve"> </w:t>
      </w:r>
      <w:r w:rsidRPr="0040232A">
        <w:rPr>
          <w:rFonts w:ascii="Verdana" w:hAnsi="Verdana" w:cs="Arial"/>
          <w:iCs/>
          <w:sz w:val="22"/>
          <w:szCs w:val="22"/>
          <w:lang w:val="es-ES" w:eastAsia="es-ES_tradnl"/>
        </w:rPr>
        <w:t>En este punto, conviene resaltar lo dicho por la Sección Tercera del Consejo de Estado</w:t>
      </w:r>
      <w:r w:rsidRPr="0040232A">
        <w:rPr>
          <w:rFonts w:ascii="Verdana" w:hAnsi="Verdana"/>
          <w:sz w:val="22"/>
          <w:szCs w:val="22"/>
          <w:vertAlign w:val="superscript"/>
          <w:lang w:val="es-ES" w:eastAsia="es-ES_tradnl"/>
        </w:rPr>
        <w:footnoteReference w:id="14"/>
      </w:r>
      <w:r w:rsidRPr="0040232A">
        <w:rPr>
          <w:rFonts w:ascii="Verdana" w:hAnsi="Verdana" w:cs="Arial"/>
          <w:iCs/>
          <w:sz w:val="22"/>
          <w:szCs w:val="22"/>
          <w:lang w:val="es-ES" w:eastAsia="es-ES_tradnl"/>
        </w:rPr>
        <w:t>, en relación con las diferencias entre las multas y la cláusula penal, esto es: “[a]</w:t>
      </w:r>
      <w:proofErr w:type="spellStart"/>
      <w:r w:rsidRPr="0040232A">
        <w:rPr>
          <w:rFonts w:ascii="Verdana" w:hAnsi="Verdana" w:cs="Arial"/>
          <w:iCs/>
          <w:sz w:val="22"/>
          <w:szCs w:val="22"/>
          <w:lang w:val="es-ES" w:eastAsia="es-ES_tradnl"/>
        </w:rPr>
        <w:t>unque</w:t>
      </w:r>
      <w:proofErr w:type="spellEnd"/>
      <w:r w:rsidRPr="0040232A">
        <w:rPr>
          <w:rFonts w:ascii="Verdana" w:hAnsi="Verdana" w:cs="Arial"/>
          <w:iCs/>
          <w:sz w:val="22"/>
          <w:szCs w:val="22"/>
          <w:lang w:val="es-ES" w:eastAsia="es-ES_tradnl"/>
        </w:rPr>
        <w:t xml:space="preserve"> las multas y la cláusula penal pecuniaria tienen una finalidad común –en lo sustancial–, que se concreta en el logro de los objetivos propuestos en el contrato; se diferencian en que la multa por regla general es conminatoria del cumplimiento de las obligaciones en razón al acaecimiento de incumplimientos parciales; la cláusula penal constituye en principio, una tasación anticipada de perjuicios, a raíz de la declaratoria de caducidad o del incumplimiento definitivo del contrato”</w:t>
      </w:r>
      <w:r w:rsidRPr="0040232A">
        <w:rPr>
          <w:rFonts w:ascii="Verdana" w:hAnsi="Verdana"/>
          <w:sz w:val="22"/>
          <w:szCs w:val="22"/>
          <w:vertAlign w:val="superscript"/>
          <w:lang w:val="es-ES" w:eastAsia="es-ES_tradnl"/>
        </w:rPr>
        <w:footnoteReference w:id="15"/>
      </w:r>
      <w:r w:rsidRPr="0040232A">
        <w:rPr>
          <w:rFonts w:ascii="Verdana" w:hAnsi="Verdana" w:cs="Arial"/>
          <w:iCs/>
          <w:sz w:val="22"/>
          <w:szCs w:val="22"/>
          <w:lang w:val="es-ES" w:eastAsia="es-ES_tradnl"/>
        </w:rPr>
        <w:t xml:space="preserve">. </w:t>
      </w:r>
    </w:p>
    <w:p w14:paraId="3A59C0D0" w14:textId="77777777" w:rsidR="00F734AC" w:rsidRPr="0040232A" w:rsidRDefault="0069171F" w:rsidP="0040232A">
      <w:pPr>
        <w:spacing w:after="120" w:line="276" w:lineRule="auto"/>
        <w:ind w:firstLine="709"/>
        <w:jc w:val="both"/>
        <w:rPr>
          <w:rFonts w:ascii="Verdana" w:hAnsi="Verdana" w:cs="Arial"/>
          <w:iCs/>
          <w:sz w:val="22"/>
          <w:szCs w:val="22"/>
          <w:lang w:val="es-ES" w:eastAsia="es-ES_tradnl"/>
        </w:rPr>
      </w:pPr>
      <w:r w:rsidRPr="0040232A">
        <w:rPr>
          <w:rFonts w:ascii="Verdana" w:hAnsi="Verdana" w:cs="Arial"/>
          <w:iCs/>
          <w:sz w:val="22"/>
          <w:szCs w:val="22"/>
          <w:lang w:val="es-ES" w:eastAsia="es-ES_tradnl"/>
        </w:rPr>
        <w:t xml:space="preserve">En efecto, las </w:t>
      </w:r>
      <w:r w:rsidRPr="0040232A">
        <w:rPr>
          <w:rFonts w:ascii="Verdana" w:hAnsi="Verdana" w:cs="Arial"/>
          <w:i/>
          <w:sz w:val="22"/>
          <w:szCs w:val="22"/>
          <w:lang w:val="es-ES" w:eastAsia="es-ES_tradnl"/>
        </w:rPr>
        <w:t>multas</w:t>
      </w:r>
      <w:r w:rsidRPr="0040232A">
        <w:rPr>
          <w:rFonts w:ascii="Verdana" w:hAnsi="Verdana" w:cs="Arial"/>
          <w:iCs/>
          <w:sz w:val="22"/>
          <w:szCs w:val="22"/>
          <w:lang w:val="es-ES" w:eastAsia="es-ES_tradnl"/>
        </w:rPr>
        <w:t xml:space="preserve"> </w:t>
      </w:r>
      <w:r w:rsidR="00A02840" w:rsidRPr="0040232A">
        <w:rPr>
          <w:rFonts w:ascii="Verdana" w:hAnsi="Verdana" w:cs="Arial"/>
          <w:iCs/>
          <w:sz w:val="22"/>
          <w:szCs w:val="22"/>
          <w:lang w:val="es-ES" w:eastAsia="es-ES_tradnl"/>
        </w:rPr>
        <w:t>proceden en todo contrato estatal siempre que se hayan pactado</w:t>
      </w:r>
      <w:r w:rsidR="00866FFD" w:rsidRPr="0040232A">
        <w:rPr>
          <w:rFonts w:ascii="Verdana" w:hAnsi="Verdana" w:cs="Arial"/>
          <w:iCs/>
          <w:sz w:val="22"/>
          <w:szCs w:val="22"/>
          <w:lang w:val="es-ES" w:eastAsia="es-ES_tradnl"/>
        </w:rPr>
        <w:t>,</w:t>
      </w:r>
      <w:r w:rsidR="00A02840" w:rsidRPr="0040232A">
        <w:rPr>
          <w:rFonts w:ascii="Verdana" w:hAnsi="Verdana" w:cs="Arial"/>
          <w:iCs/>
          <w:sz w:val="22"/>
          <w:szCs w:val="22"/>
          <w:lang w:val="es-ES" w:eastAsia="es-ES_tradnl"/>
        </w:rPr>
        <w:t xml:space="preserve"> y </w:t>
      </w:r>
      <w:r w:rsidRPr="0040232A">
        <w:rPr>
          <w:rFonts w:ascii="Verdana" w:hAnsi="Verdana" w:cs="Arial"/>
          <w:iCs/>
          <w:sz w:val="22"/>
          <w:szCs w:val="22"/>
          <w:lang w:val="es-ES" w:eastAsia="es-ES_tradnl"/>
        </w:rPr>
        <w:t xml:space="preserve">cumplen una función sancionatoria </w:t>
      </w:r>
      <w:r w:rsidR="00866FFD" w:rsidRPr="0040232A">
        <w:rPr>
          <w:rFonts w:ascii="Verdana" w:hAnsi="Verdana" w:cs="Arial"/>
          <w:iCs/>
          <w:sz w:val="22"/>
          <w:szCs w:val="22"/>
          <w:lang w:val="es-ES" w:eastAsia="es-ES_tradnl"/>
        </w:rPr>
        <w:t xml:space="preserve">que no tienen carácter </w:t>
      </w:r>
      <w:r w:rsidRPr="0040232A">
        <w:rPr>
          <w:rFonts w:ascii="Verdana" w:hAnsi="Verdana" w:cs="Arial"/>
          <w:iCs/>
          <w:sz w:val="22"/>
          <w:szCs w:val="22"/>
          <w:lang w:val="es-ES" w:eastAsia="es-ES_tradnl"/>
        </w:rPr>
        <w:t>indemnizatori</w:t>
      </w:r>
      <w:r w:rsidR="00866FFD" w:rsidRPr="0040232A">
        <w:rPr>
          <w:rFonts w:ascii="Verdana" w:hAnsi="Verdana" w:cs="Arial"/>
          <w:iCs/>
          <w:sz w:val="22"/>
          <w:szCs w:val="22"/>
          <w:lang w:val="es-ES" w:eastAsia="es-ES_tradnl"/>
        </w:rPr>
        <w:t>o</w:t>
      </w:r>
      <w:r w:rsidR="00A02840" w:rsidRPr="0040232A">
        <w:rPr>
          <w:rStyle w:val="Refdenotaalpie"/>
          <w:rFonts w:ascii="Verdana" w:hAnsi="Verdana" w:cs="Arial"/>
          <w:iCs/>
          <w:sz w:val="22"/>
          <w:szCs w:val="22"/>
          <w:lang w:val="es-ES" w:eastAsia="es-ES_tradnl"/>
        </w:rPr>
        <w:footnoteReference w:id="16"/>
      </w:r>
      <w:r w:rsidR="00866FFD" w:rsidRPr="0040232A">
        <w:rPr>
          <w:rFonts w:ascii="Verdana" w:hAnsi="Verdana" w:cs="Arial"/>
          <w:iCs/>
          <w:sz w:val="22"/>
          <w:szCs w:val="22"/>
          <w:lang w:val="es-ES" w:eastAsia="es-ES_tradnl"/>
        </w:rPr>
        <w:t xml:space="preserve">. </w:t>
      </w:r>
      <w:r w:rsidR="006D1B50" w:rsidRPr="0040232A">
        <w:rPr>
          <w:rFonts w:ascii="Verdana" w:hAnsi="Verdana" w:cs="Arial"/>
          <w:iCs/>
          <w:sz w:val="22"/>
          <w:szCs w:val="22"/>
          <w:lang w:val="es-ES" w:eastAsia="es-ES_tradnl"/>
        </w:rPr>
        <w:t xml:space="preserve">Por otra parte, según lo dispuesto en el artículo 1592 del Código Civil, la </w:t>
      </w:r>
      <w:r w:rsidR="006D1B50" w:rsidRPr="0040232A">
        <w:rPr>
          <w:rFonts w:ascii="Verdana" w:hAnsi="Verdana" w:cs="Arial"/>
          <w:i/>
          <w:sz w:val="22"/>
          <w:szCs w:val="22"/>
          <w:lang w:val="es-ES" w:eastAsia="es-ES_tradnl"/>
        </w:rPr>
        <w:t>cláusula penal</w:t>
      </w:r>
      <w:r w:rsidR="006D1B50" w:rsidRPr="0040232A">
        <w:rPr>
          <w:rFonts w:ascii="Verdana" w:hAnsi="Verdana" w:cs="Arial"/>
          <w:iCs/>
          <w:sz w:val="22"/>
          <w:szCs w:val="22"/>
          <w:lang w:val="es-ES" w:eastAsia="es-ES_tradnl"/>
        </w:rPr>
        <w:t xml:space="preserve"> es aquella en que “</w:t>
      </w:r>
      <w:r w:rsidR="006D1B50" w:rsidRPr="0040232A">
        <w:rPr>
          <w:rFonts w:ascii="Verdana" w:hAnsi="Verdana" w:cs="Arial"/>
          <w:sz w:val="22"/>
          <w:szCs w:val="22"/>
          <w:lang w:val="es-ES" w:eastAsia="es-ES_tradnl"/>
        </w:rPr>
        <w:t>una persona, para asegurar el cumplimiento de una obligación, se sujeta a una pena que consiste en dar o hacer algo en caso de no ejecutar o retardar la obligación principal</w:t>
      </w:r>
      <w:r w:rsidR="006D1B50" w:rsidRPr="0040232A">
        <w:rPr>
          <w:rFonts w:ascii="Verdana" w:hAnsi="Verdana" w:cs="Arial"/>
          <w:i/>
          <w:iCs/>
          <w:sz w:val="22"/>
          <w:szCs w:val="22"/>
          <w:lang w:val="es-ES" w:eastAsia="es-ES_tradnl"/>
        </w:rPr>
        <w:t xml:space="preserve">”. </w:t>
      </w:r>
      <w:r w:rsidR="006D1B50" w:rsidRPr="0040232A">
        <w:rPr>
          <w:rFonts w:ascii="Verdana" w:hAnsi="Verdana" w:cs="Arial"/>
          <w:sz w:val="22"/>
          <w:szCs w:val="22"/>
          <w:lang w:val="es-ES" w:eastAsia="es-ES_tradnl"/>
        </w:rPr>
        <w:t xml:space="preserve">De esta forma, es una obligación accesoria en la que el contratista se compromete a pagar una suma de dinero estimada </w:t>
      </w:r>
      <w:r w:rsidR="00174633" w:rsidRPr="0040232A">
        <w:rPr>
          <w:rFonts w:ascii="Verdana" w:hAnsi="Verdana" w:cs="Arial"/>
          <w:sz w:val="22"/>
          <w:szCs w:val="22"/>
          <w:lang w:val="es-ES" w:eastAsia="es-ES_tradnl"/>
        </w:rPr>
        <w:t xml:space="preserve">de </w:t>
      </w:r>
      <w:r w:rsidR="006D1B50" w:rsidRPr="0040232A">
        <w:rPr>
          <w:rFonts w:ascii="Verdana" w:hAnsi="Verdana" w:cs="Arial"/>
          <w:sz w:val="22"/>
          <w:szCs w:val="22"/>
          <w:lang w:val="es-ES" w:eastAsia="es-ES_tradnl"/>
        </w:rPr>
        <w:t xml:space="preserve">manera previa en caso de </w:t>
      </w:r>
      <w:r w:rsidR="00174633" w:rsidRPr="0040232A">
        <w:rPr>
          <w:rFonts w:ascii="Verdana" w:hAnsi="Verdana" w:cs="Arial"/>
          <w:sz w:val="22"/>
          <w:szCs w:val="22"/>
          <w:lang w:val="es-ES" w:eastAsia="es-ES_tradnl"/>
        </w:rPr>
        <w:t xml:space="preserve">un incumplimiento de las </w:t>
      </w:r>
      <w:r w:rsidR="006D1B50" w:rsidRPr="0040232A">
        <w:rPr>
          <w:rFonts w:ascii="Verdana" w:hAnsi="Verdana" w:cs="Arial"/>
          <w:sz w:val="22"/>
          <w:szCs w:val="22"/>
          <w:lang w:val="es-ES" w:eastAsia="es-ES_tradnl"/>
        </w:rPr>
        <w:t>obligaciones</w:t>
      </w:r>
      <w:r w:rsidR="006D1B50" w:rsidRPr="0040232A">
        <w:rPr>
          <w:rFonts w:ascii="Verdana" w:hAnsi="Verdana" w:cs="Arial"/>
          <w:iCs/>
          <w:sz w:val="22"/>
          <w:szCs w:val="22"/>
          <w:lang w:val="es-ES" w:eastAsia="es-ES_tradnl"/>
        </w:rPr>
        <w:t xml:space="preserve">. </w:t>
      </w:r>
      <w:r w:rsidR="005B37A7" w:rsidRPr="0040232A">
        <w:rPr>
          <w:rFonts w:ascii="Verdana" w:eastAsia="Calibri" w:hAnsi="Verdana" w:cs="Arial"/>
          <w:color w:val="000000" w:themeColor="text1"/>
          <w:sz w:val="22"/>
          <w:szCs w:val="22"/>
          <w:lang w:val="es-ES"/>
        </w:rPr>
        <w:t xml:space="preserve">Así, se ha entendido que la cláusula penal </w:t>
      </w:r>
      <w:r w:rsidR="005B37A7" w:rsidRPr="0040232A">
        <w:rPr>
          <w:rFonts w:ascii="Verdana" w:eastAsia="Calibri" w:hAnsi="Verdana" w:cs="Arial"/>
          <w:color w:val="000000" w:themeColor="text1"/>
          <w:sz w:val="22"/>
          <w:szCs w:val="22"/>
          <w:lang w:val="es-ES"/>
        </w:rPr>
        <w:lastRenderedPageBreak/>
        <w:t xml:space="preserve">puede cumplir varias funciones, a saber: i) estimación anticipada de perjuicios; </w:t>
      </w:r>
      <w:proofErr w:type="spellStart"/>
      <w:r w:rsidR="005B37A7" w:rsidRPr="0040232A">
        <w:rPr>
          <w:rFonts w:ascii="Verdana" w:eastAsia="Calibri" w:hAnsi="Verdana" w:cs="Arial"/>
          <w:color w:val="000000" w:themeColor="text1"/>
          <w:sz w:val="22"/>
          <w:szCs w:val="22"/>
          <w:lang w:val="es-ES"/>
        </w:rPr>
        <w:t>ii</w:t>
      </w:r>
      <w:proofErr w:type="spellEnd"/>
      <w:r w:rsidR="005B37A7" w:rsidRPr="0040232A">
        <w:rPr>
          <w:rFonts w:ascii="Verdana" w:eastAsia="Calibri" w:hAnsi="Verdana" w:cs="Arial"/>
          <w:color w:val="000000" w:themeColor="text1"/>
          <w:sz w:val="22"/>
          <w:szCs w:val="22"/>
          <w:lang w:val="es-ES"/>
        </w:rPr>
        <w:t xml:space="preserve">) medio de apremio al deudor, y </w:t>
      </w:r>
      <w:proofErr w:type="spellStart"/>
      <w:r w:rsidR="005B37A7" w:rsidRPr="0040232A">
        <w:rPr>
          <w:rFonts w:ascii="Verdana" w:eastAsia="Calibri" w:hAnsi="Verdana" w:cs="Arial"/>
          <w:color w:val="000000" w:themeColor="text1"/>
          <w:sz w:val="22"/>
          <w:szCs w:val="22"/>
          <w:lang w:val="es-ES"/>
        </w:rPr>
        <w:t>iii</w:t>
      </w:r>
      <w:proofErr w:type="spellEnd"/>
      <w:r w:rsidR="005B37A7" w:rsidRPr="0040232A">
        <w:rPr>
          <w:rFonts w:ascii="Verdana" w:eastAsia="Calibri" w:hAnsi="Verdana" w:cs="Arial"/>
          <w:color w:val="000000" w:themeColor="text1"/>
          <w:sz w:val="22"/>
          <w:szCs w:val="22"/>
          <w:lang w:val="es-ES"/>
        </w:rPr>
        <w:t xml:space="preserve">) caución o garantía del cumplimiento de la obligación principal. La Sala de Casación Civil de la Corte Suprema de Justicia ratificó esta naturaleza de la cláusula penal, en los siguientes términos: </w:t>
      </w:r>
    </w:p>
    <w:p w14:paraId="17D9E989" w14:textId="7517FCCC" w:rsidR="005B37A7" w:rsidRPr="00F734AC" w:rsidRDefault="005B37A7" w:rsidP="00F734AC">
      <w:pPr>
        <w:spacing w:after="120"/>
        <w:ind w:left="709" w:right="709" w:firstLine="709"/>
        <w:jc w:val="both"/>
        <w:rPr>
          <w:rFonts w:ascii="Verdana" w:eastAsiaTheme="minorHAnsi" w:hAnsi="Verdana" w:cs="Arial"/>
          <w:iCs/>
          <w:sz w:val="20"/>
          <w:szCs w:val="20"/>
          <w:lang w:val="es-ES" w:eastAsia="es-ES_tradnl"/>
        </w:rPr>
      </w:pPr>
      <w:r w:rsidRPr="00EC2F74">
        <w:rPr>
          <w:rFonts w:ascii="Arial" w:eastAsia="Calibri" w:hAnsi="Arial" w:cs="Arial"/>
          <w:color w:val="000000" w:themeColor="text1"/>
          <w:sz w:val="21"/>
          <w:szCs w:val="21"/>
          <w:lang w:val="es-ES"/>
        </w:rPr>
        <w:br/>
      </w:r>
      <w:r w:rsidR="00F734AC">
        <w:rPr>
          <w:rFonts w:ascii="Verdana" w:eastAsia="Calibri" w:hAnsi="Verdana" w:cs="Arial"/>
          <w:color w:val="000000" w:themeColor="text1"/>
          <w:sz w:val="20"/>
          <w:szCs w:val="20"/>
          <w:lang w:val="es-ES"/>
        </w:rPr>
        <w:t>“</w:t>
      </w:r>
      <w:r w:rsidRPr="00F734AC">
        <w:rPr>
          <w:rFonts w:ascii="Verdana" w:eastAsia="Calibri" w:hAnsi="Verdana" w:cs="Arial"/>
          <w:color w:val="000000" w:themeColor="text1"/>
          <w:sz w:val="20"/>
          <w:szCs w:val="20"/>
          <w:lang w:val="es-ES"/>
        </w:rPr>
        <w:t>[E]n el ámbito de la dogmática jurídica civil, se denomina «cláusula penal» al acuerdo de las partes sobre la estimación de los perjuicios compensatorios o moratorios, para el evento del incumplimiento del convenio o la mora en la satisfacción de las obligaciones derivadas del mismo, recibiendo en el primer caso el nombre de «cláusula penal compensatoria» y en el segundo, «cláusula penal moratoria»; así mismo se reconoce, que cumple la función complementaria de apremiar al deudor para el adecuado cumplimiento de la prestación. En virtud de lo anterior, cabe señalar, que dicho pacto tiene el carácter de una «obligación accesoria», en cuanto tiene por objeto asegurar el cumplimiento de otra obligación; igualmente, constituye una «obligación condicional», porque la pena solo se debe ante el incumplimiento o retardo de la «obligación principal»; y también puede representar una liquidación convencional y anticipada de los perjuicios en caso de configurarse alguno de tales supuestos.</w:t>
      </w:r>
      <w:r w:rsidRPr="00F734AC">
        <w:rPr>
          <w:rFonts w:ascii="Verdana" w:eastAsia="Calibri" w:hAnsi="Verdana" w:cs="Arial"/>
          <w:color w:val="000000" w:themeColor="text1"/>
          <w:sz w:val="20"/>
          <w:szCs w:val="20"/>
          <w:vertAlign w:val="superscript"/>
          <w:lang w:val="es-ES"/>
        </w:rPr>
        <w:footnoteReference w:id="17"/>
      </w:r>
    </w:p>
    <w:p w14:paraId="023D7EC8" w14:textId="10229D96" w:rsidR="00A6449B" w:rsidRPr="0040232A" w:rsidRDefault="005B37A7" w:rsidP="0040232A">
      <w:pPr>
        <w:spacing w:after="120" w:line="276" w:lineRule="auto"/>
        <w:ind w:firstLine="709"/>
        <w:jc w:val="both"/>
        <w:rPr>
          <w:rFonts w:ascii="Verdana" w:eastAsia="Batang" w:hAnsi="Verdana" w:cs="Arial"/>
          <w:iCs/>
          <w:sz w:val="22"/>
          <w:szCs w:val="22"/>
          <w:lang w:val="es-ES" w:eastAsia="es-ES"/>
        </w:rPr>
      </w:pPr>
      <w:r w:rsidRPr="0040232A">
        <w:rPr>
          <w:rFonts w:ascii="Verdana" w:hAnsi="Verdana" w:cs="Arial"/>
          <w:iCs/>
          <w:sz w:val="22"/>
          <w:szCs w:val="22"/>
          <w:lang w:val="es-ES"/>
        </w:rPr>
        <w:t xml:space="preserve">En tal sentido, es importante destacar que la cláusula penal es un elemento accidental en los contratos estatales porque se pacta de común acuerdo por las partes, de conformidad con el principio de la autonomía de la voluntad, al que remiten los artículos 13, 32 y 40 de la Ley 80 de 1993. Al respecto, la doctrina expresa: </w:t>
      </w:r>
      <w:r w:rsidR="00A6449B" w:rsidRPr="0040232A">
        <w:rPr>
          <w:rFonts w:ascii="Verdana" w:hAnsi="Verdana" w:cs="Arial"/>
          <w:iCs/>
          <w:sz w:val="22"/>
          <w:szCs w:val="22"/>
          <w:lang w:val="es-ES"/>
        </w:rPr>
        <w:t>“</w:t>
      </w:r>
      <w:r w:rsidRPr="0040232A">
        <w:rPr>
          <w:rFonts w:ascii="Verdana" w:hAnsi="Verdana" w:cs="Arial"/>
          <w:iCs/>
          <w:sz w:val="22"/>
          <w:szCs w:val="22"/>
          <w:lang w:val="es-ES"/>
        </w:rPr>
        <w:t>La cláusula penal pecuniaria se constituye en una tasación anticipada de perjuicios ocasionados por el incumplimiento del deudor de la obligación principal del contrato […]</w:t>
      </w:r>
      <w:r w:rsidR="00A6449B" w:rsidRPr="0040232A">
        <w:rPr>
          <w:rFonts w:ascii="Verdana" w:hAnsi="Verdana" w:cs="Arial"/>
          <w:iCs/>
          <w:sz w:val="22"/>
          <w:szCs w:val="22"/>
          <w:lang w:val="es-ES"/>
        </w:rPr>
        <w:t>”</w:t>
      </w:r>
      <w:r w:rsidRPr="0040232A">
        <w:rPr>
          <w:rStyle w:val="Refdenotaalpie"/>
          <w:rFonts w:ascii="Verdana" w:hAnsi="Verdana" w:cs="Arial"/>
          <w:iCs/>
          <w:sz w:val="22"/>
          <w:szCs w:val="22"/>
          <w:lang w:val="es-ES"/>
        </w:rPr>
        <w:footnoteReference w:id="18"/>
      </w:r>
      <w:r w:rsidRPr="0040232A">
        <w:rPr>
          <w:rFonts w:ascii="Verdana" w:hAnsi="Verdana" w:cs="Arial"/>
          <w:iCs/>
          <w:sz w:val="22"/>
          <w:szCs w:val="22"/>
          <w:lang w:val="es-ES"/>
        </w:rPr>
        <w:t xml:space="preserve">. </w:t>
      </w:r>
      <w:r w:rsidRPr="0040232A">
        <w:rPr>
          <w:rFonts w:ascii="Verdana" w:hAnsi="Verdana" w:cs="Arial"/>
          <w:sz w:val="22"/>
          <w:szCs w:val="22"/>
          <w:lang w:val="es-ES" w:eastAsia="x-none"/>
        </w:rPr>
        <w:t xml:space="preserve">Asimismo, </w:t>
      </w:r>
      <w:r w:rsidR="00525B45">
        <w:rPr>
          <w:rFonts w:ascii="Verdana" w:hAnsi="Verdana" w:cs="Arial"/>
          <w:sz w:val="22"/>
          <w:szCs w:val="22"/>
          <w:lang w:val="es-ES" w:eastAsia="x-none"/>
        </w:rPr>
        <w:t>e</w:t>
      </w:r>
      <w:r w:rsidRPr="0040232A">
        <w:rPr>
          <w:rFonts w:ascii="Verdana" w:hAnsi="Verdana" w:cs="Arial"/>
          <w:sz w:val="22"/>
          <w:szCs w:val="22"/>
          <w:lang w:val="es-ES" w:eastAsia="x-none"/>
        </w:rPr>
        <w:t>l Consejo de Estado plantea que:</w:t>
      </w:r>
      <w:r w:rsidRPr="0040232A">
        <w:rPr>
          <w:rFonts w:ascii="Verdana" w:hAnsi="Verdana" w:cs="Arial"/>
          <w:iCs/>
          <w:sz w:val="22"/>
          <w:szCs w:val="22"/>
          <w:lang w:val="es-ES"/>
        </w:rPr>
        <w:t xml:space="preserve"> </w:t>
      </w:r>
      <w:r w:rsidR="00A6449B" w:rsidRPr="0040232A">
        <w:rPr>
          <w:rFonts w:ascii="Verdana" w:hAnsi="Verdana" w:cs="Arial"/>
          <w:iCs/>
          <w:sz w:val="22"/>
          <w:szCs w:val="22"/>
          <w:lang w:val="es-ES"/>
        </w:rPr>
        <w:t>“</w:t>
      </w:r>
      <w:r w:rsidRPr="0040232A">
        <w:rPr>
          <w:rFonts w:ascii="Verdana" w:eastAsia="Batang" w:hAnsi="Verdana" w:cs="Arial"/>
          <w:iCs/>
          <w:sz w:val="22"/>
          <w:szCs w:val="22"/>
          <w:lang w:val="es-ES" w:eastAsia="es-ES"/>
        </w:rPr>
        <w:t xml:space="preserve">Con la imposición y ejecución de la cláusula penal se penaliza al contratista, por el incumplimiento grave del contrato, constituyendo una verdadera indemnización, </w:t>
      </w:r>
      <w:proofErr w:type="gramStart"/>
      <w:r w:rsidRPr="0040232A">
        <w:rPr>
          <w:rFonts w:ascii="Verdana" w:eastAsia="Batang" w:hAnsi="Verdana" w:cs="Arial"/>
          <w:iCs/>
          <w:sz w:val="22"/>
          <w:szCs w:val="22"/>
          <w:lang w:val="es-ES" w:eastAsia="es-ES"/>
        </w:rPr>
        <w:t>que</w:t>
      </w:r>
      <w:proofErr w:type="gramEnd"/>
      <w:r w:rsidRPr="0040232A">
        <w:rPr>
          <w:rFonts w:ascii="Verdana" w:eastAsia="Batang" w:hAnsi="Verdana" w:cs="Arial"/>
          <w:iCs/>
          <w:sz w:val="22"/>
          <w:szCs w:val="22"/>
          <w:lang w:val="es-ES" w:eastAsia="es-ES"/>
        </w:rPr>
        <w:t xml:space="preserve"> aunque parcial es definitiva, pues con ella se resarcen los perjuicios, o parte de ellos, a favor de la parte que ha cumplido el negocio</w:t>
      </w:r>
      <w:r w:rsidR="00A6449B" w:rsidRPr="0040232A">
        <w:rPr>
          <w:rFonts w:ascii="Verdana" w:hAnsi="Verdana" w:cs="Arial"/>
          <w:iCs/>
          <w:sz w:val="22"/>
          <w:szCs w:val="22"/>
          <w:lang w:val="es-ES"/>
        </w:rPr>
        <w:t>”</w:t>
      </w:r>
      <w:r w:rsidRPr="0040232A">
        <w:rPr>
          <w:rFonts w:ascii="Verdana" w:eastAsia="Batang" w:hAnsi="Verdana" w:cs="Arial"/>
          <w:iCs/>
          <w:sz w:val="22"/>
          <w:szCs w:val="22"/>
          <w:vertAlign w:val="superscript"/>
          <w:lang w:val="es-ES" w:eastAsia="es-ES"/>
        </w:rPr>
        <w:footnoteReference w:id="19"/>
      </w:r>
      <w:r w:rsidRPr="0040232A">
        <w:rPr>
          <w:rFonts w:ascii="Verdana" w:eastAsia="Batang" w:hAnsi="Verdana" w:cs="Arial"/>
          <w:iCs/>
          <w:sz w:val="22"/>
          <w:szCs w:val="22"/>
          <w:lang w:val="es-ES" w:eastAsia="es-ES"/>
        </w:rPr>
        <w:t>.</w:t>
      </w:r>
    </w:p>
    <w:p w14:paraId="0B8347E7" w14:textId="77777777" w:rsidR="00A6449B" w:rsidRPr="0040232A" w:rsidRDefault="00A6449B" w:rsidP="0040232A">
      <w:pPr>
        <w:spacing w:before="120" w:after="120" w:line="276" w:lineRule="auto"/>
        <w:ind w:firstLine="708"/>
        <w:jc w:val="both"/>
        <w:rPr>
          <w:rFonts w:ascii="Arial" w:eastAsia="Calibri" w:hAnsi="Arial" w:cs="Arial"/>
          <w:color w:val="000000" w:themeColor="text1"/>
          <w:sz w:val="22"/>
          <w:szCs w:val="22"/>
          <w:lang w:val="es-ES"/>
        </w:rPr>
      </w:pPr>
      <w:r w:rsidRPr="0040232A">
        <w:rPr>
          <w:rFonts w:ascii="Verdana" w:eastAsia="Batang" w:hAnsi="Verdana" w:cs="Arial"/>
          <w:iCs/>
          <w:sz w:val="22"/>
          <w:szCs w:val="22"/>
          <w:lang w:val="es-ES" w:eastAsia="es-ES"/>
        </w:rPr>
        <w:lastRenderedPageBreak/>
        <w:t>Por lo tanto, en virtud de la autonomía de la voluntad –artículo 1602 Código Civil–, las partes de un contrato, para procurar el cumplimiento de las obligaciones a su favor, pueden pactar las cláusulas contractuales de apremio y la pena adjudicable a la parte incumplida. Su naturaleza es punitiva y se causan en los eventos en los que se configure un incumplimiento contractual del deudor.</w:t>
      </w:r>
      <w:r w:rsidRPr="0040232A">
        <w:rPr>
          <w:rFonts w:ascii="Arial" w:eastAsia="Calibri" w:hAnsi="Arial" w:cs="Arial"/>
          <w:color w:val="000000" w:themeColor="text1"/>
          <w:sz w:val="22"/>
          <w:szCs w:val="22"/>
          <w:lang w:val="es-ES"/>
        </w:rPr>
        <w:t xml:space="preserve"> </w:t>
      </w:r>
      <w:r w:rsidR="006D1B50" w:rsidRPr="0040232A">
        <w:rPr>
          <w:rFonts w:ascii="Verdana" w:hAnsi="Verdana" w:cs="Arial"/>
          <w:iCs/>
          <w:sz w:val="22"/>
          <w:szCs w:val="22"/>
          <w:lang w:val="es-ES" w:eastAsia="es-ES_tradnl"/>
        </w:rPr>
        <w:t>De esta manera, tanto la imposición unilateral de las</w:t>
      </w:r>
      <w:r w:rsidRPr="0040232A">
        <w:rPr>
          <w:rFonts w:ascii="Verdana" w:hAnsi="Verdana" w:cs="Arial"/>
          <w:iCs/>
          <w:sz w:val="22"/>
          <w:szCs w:val="22"/>
          <w:lang w:val="es-ES" w:eastAsia="es-ES_tradnl"/>
        </w:rPr>
        <w:t xml:space="preserve"> </w:t>
      </w:r>
      <w:r w:rsidR="006D1B50" w:rsidRPr="0040232A">
        <w:rPr>
          <w:rFonts w:ascii="Verdana" w:hAnsi="Verdana" w:cs="Arial"/>
          <w:iCs/>
          <w:sz w:val="22"/>
          <w:szCs w:val="22"/>
          <w:lang w:val="es-ES" w:eastAsia="es-ES_tradnl"/>
        </w:rPr>
        <w:t xml:space="preserve">multas pactadas, como la reclamación de la </w:t>
      </w:r>
      <w:r w:rsidRPr="0040232A">
        <w:rPr>
          <w:rFonts w:ascii="Verdana" w:hAnsi="Verdana" w:cs="Arial"/>
          <w:iCs/>
          <w:sz w:val="22"/>
          <w:szCs w:val="22"/>
          <w:lang w:val="es-ES" w:eastAsia="es-ES_tradnl"/>
        </w:rPr>
        <w:t>cláusula</w:t>
      </w:r>
      <w:r w:rsidR="006D1B50" w:rsidRPr="0040232A">
        <w:rPr>
          <w:rFonts w:ascii="Verdana" w:hAnsi="Verdana" w:cs="Arial"/>
          <w:iCs/>
          <w:sz w:val="22"/>
          <w:szCs w:val="22"/>
          <w:lang w:val="es-ES" w:eastAsia="es-ES_tradnl"/>
        </w:rPr>
        <w:t xml:space="preserve"> penal, ocurre como</w:t>
      </w:r>
      <w:r w:rsidR="00866FFD" w:rsidRPr="0040232A">
        <w:rPr>
          <w:rFonts w:ascii="Verdana" w:hAnsi="Verdana" w:cs="Arial"/>
          <w:iCs/>
          <w:sz w:val="22"/>
          <w:szCs w:val="22"/>
          <w:lang w:val="es-ES" w:eastAsia="es-ES_tradnl"/>
        </w:rPr>
        <w:t xml:space="preserve"> manifestación de las prerrogativas de control, dirección y coerción que ejerce el Estado ante un incumplimiento por parte de sus contratistas. </w:t>
      </w:r>
    </w:p>
    <w:p w14:paraId="01FA27B3" w14:textId="29B1E7C7" w:rsidR="0038041A" w:rsidRPr="0040232A" w:rsidRDefault="00A6449B" w:rsidP="0040232A">
      <w:pPr>
        <w:spacing w:before="120" w:after="120" w:line="276" w:lineRule="auto"/>
        <w:ind w:firstLine="708"/>
        <w:jc w:val="both"/>
        <w:rPr>
          <w:rFonts w:ascii="Arial" w:eastAsia="Calibri" w:hAnsi="Arial" w:cs="Arial"/>
          <w:color w:val="000000" w:themeColor="text1"/>
          <w:sz w:val="22"/>
          <w:szCs w:val="22"/>
          <w:lang w:val="es-ES"/>
        </w:rPr>
      </w:pPr>
      <w:r w:rsidRPr="0040232A">
        <w:rPr>
          <w:rFonts w:ascii="Verdana" w:hAnsi="Verdana" w:cs="Arial"/>
          <w:iCs/>
          <w:sz w:val="22"/>
          <w:szCs w:val="22"/>
          <w:lang w:val="es-ES" w:eastAsia="es-ES_tradnl"/>
        </w:rPr>
        <w:t>Por otra parte, s</w:t>
      </w:r>
      <w:r w:rsidR="0038041A" w:rsidRPr="0040232A">
        <w:rPr>
          <w:rFonts w:ascii="Verdana" w:hAnsi="Verdana" w:cs="Arial"/>
          <w:iCs/>
          <w:sz w:val="22"/>
          <w:szCs w:val="22"/>
          <w:lang w:val="es-ES" w:eastAsia="es-ES_tradnl"/>
        </w:rPr>
        <w:t xml:space="preserve">egún lo dispuesto en el parágrafo del citado artículo 17 de la </w:t>
      </w:r>
      <w:r w:rsidRPr="0040232A">
        <w:rPr>
          <w:rFonts w:ascii="Verdana" w:hAnsi="Verdana" w:cs="Arial"/>
          <w:iCs/>
          <w:sz w:val="22"/>
          <w:szCs w:val="22"/>
          <w:lang w:val="es-ES" w:eastAsia="es-ES_tradnl"/>
        </w:rPr>
        <w:t>L</w:t>
      </w:r>
      <w:r w:rsidR="0038041A" w:rsidRPr="0040232A">
        <w:rPr>
          <w:rFonts w:ascii="Verdana" w:hAnsi="Verdana" w:cs="Arial"/>
          <w:iCs/>
          <w:sz w:val="22"/>
          <w:szCs w:val="22"/>
          <w:lang w:val="es-ES" w:eastAsia="es-ES_tradnl"/>
        </w:rPr>
        <w:t xml:space="preserve">ey 1150 de 2007, las </w:t>
      </w:r>
      <w:r w:rsidRPr="0040232A">
        <w:rPr>
          <w:rFonts w:ascii="Verdana" w:hAnsi="Verdana" w:cs="Arial"/>
          <w:iCs/>
          <w:sz w:val="22"/>
          <w:szCs w:val="22"/>
          <w:lang w:val="es-ES" w:eastAsia="es-ES_tradnl"/>
        </w:rPr>
        <w:t>E</w:t>
      </w:r>
      <w:r w:rsidR="0038041A" w:rsidRPr="0040232A">
        <w:rPr>
          <w:rFonts w:ascii="Verdana" w:hAnsi="Verdana" w:cs="Arial"/>
          <w:iCs/>
          <w:sz w:val="22"/>
          <w:szCs w:val="22"/>
          <w:lang w:val="es-ES" w:eastAsia="es-ES_tradnl"/>
        </w:rPr>
        <w:t xml:space="preserve">ntidades </w:t>
      </w:r>
      <w:r w:rsidRPr="0040232A">
        <w:rPr>
          <w:rFonts w:ascii="Verdana" w:hAnsi="Verdana" w:cs="Arial"/>
          <w:iCs/>
          <w:sz w:val="22"/>
          <w:szCs w:val="22"/>
          <w:lang w:val="es-ES" w:eastAsia="es-ES_tradnl"/>
        </w:rPr>
        <w:t>E</w:t>
      </w:r>
      <w:r w:rsidR="0038041A" w:rsidRPr="0040232A">
        <w:rPr>
          <w:rFonts w:ascii="Verdana" w:hAnsi="Verdana" w:cs="Arial"/>
          <w:iCs/>
          <w:sz w:val="22"/>
          <w:szCs w:val="22"/>
          <w:lang w:val="es-ES" w:eastAsia="es-ES_tradnl"/>
        </w:rPr>
        <w:t xml:space="preserve">statales tienen la potestad de hacer efectiva la cláusula penal y las multas que hayan sido pactadas de forma directa:  i) descontando el valor de los saldos a favor del contratista siempre cuando exista una cuenta pendiente por pagar, es decir mediante la </w:t>
      </w:r>
      <w:r w:rsidRPr="0040232A">
        <w:rPr>
          <w:rFonts w:ascii="Verdana" w:hAnsi="Verdana" w:cs="Arial"/>
          <w:iCs/>
          <w:sz w:val="22"/>
          <w:szCs w:val="22"/>
          <w:lang w:val="es-ES" w:eastAsia="es-ES_tradnl"/>
        </w:rPr>
        <w:t>compensación</w:t>
      </w:r>
      <w:r w:rsidR="0038041A" w:rsidRPr="0040232A">
        <w:rPr>
          <w:rFonts w:ascii="Verdana" w:hAnsi="Verdana" w:cs="Arial"/>
          <w:iCs/>
          <w:sz w:val="22"/>
          <w:szCs w:val="22"/>
          <w:lang w:val="es-ES" w:eastAsia="es-ES_tradnl"/>
        </w:rPr>
        <w:t xml:space="preserve"> a la que se refiere el artículo 1714 de </w:t>
      </w:r>
      <w:r w:rsidRPr="0040232A">
        <w:rPr>
          <w:rFonts w:ascii="Verdana" w:hAnsi="Verdana" w:cs="Arial"/>
          <w:iCs/>
          <w:sz w:val="22"/>
          <w:szCs w:val="22"/>
          <w:lang w:val="es-ES" w:eastAsia="es-ES_tradnl"/>
        </w:rPr>
        <w:t>Código</w:t>
      </w:r>
      <w:r w:rsidR="0038041A" w:rsidRPr="0040232A">
        <w:rPr>
          <w:rFonts w:ascii="Verdana" w:hAnsi="Verdana" w:cs="Arial"/>
          <w:iCs/>
          <w:sz w:val="22"/>
          <w:szCs w:val="22"/>
          <w:lang w:val="es-ES" w:eastAsia="es-ES_tradnl"/>
        </w:rPr>
        <w:t xml:space="preserve"> Civil); </w:t>
      </w:r>
      <w:proofErr w:type="spellStart"/>
      <w:r w:rsidR="0038041A" w:rsidRPr="0040232A">
        <w:rPr>
          <w:rFonts w:ascii="Verdana" w:hAnsi="Verdana" w:cs="Arial"/>
          <w:iCs/>
          <w:sz w:val="22"/>
          <w:szCs w:val="22"/>
          <w:lang w:val="es-ES" w:eastAsia="es-ES_tradnl"/>
        </w:rPr>
        <w:t>ii</w:t>
      </w:r>
      <w:proofErr w:type="spellEnd"/>
      <w:r w:rsidR="0038041A" w:rsidRPr="0040232A">
        <w:rPr>
          <w:rFonts w:ascii="Verdana" w:hAnsi="Verdana" w:cs="Arial"/>
          <w:iCs/>
          <w:sz w:val="22"/>
          <w:szCs w:val="22"/>
          <w:lang w:val="es-ES" w:eastAsia="es-ES_tradnl"/>
        </w:rPr>
        <w:t xml:space="preserve">) haciendo efectivas las </w:t>
      </w:r>
      <w:r w:rsidRPr="0040232A">
        <w:rPr>
          <w:rFonts w:ascii="Verdana" w:hAnsi="Verdana" w:cs="Arial"/>
          <w:iCs/>
          <w:sz w:val="22"/>
          <w:szCs w:val="22"/>
          <w:lang w:val="es-ES" w:eastAsia="es-ES_tradnl"/>
        </w:rPr>
        <w:t>pólizas</w:t>
      </w:r>
      <w:r w:rsidR="0038041A" w:rsidRPr="0040232A">
        <w:rPr>
          <w:rFonts w:ascii="Verdana" w:hAnsi="Verdana" w:cs="Arial"/>
          <w:iCs/>
          <w:sz w:val="22"/>
          <w:szCs w:val="22"/>
          <w:lang w:val="es-ES" w:eastAsia="es-ES_tradnl"/>
        </w:rPr>
        <w:t xml:space="preserve"> otorgadas para asegurar el riesgo de incumplimiento; o </w:t>
      </w:r>
      <w:proofErr w:type="spellStart"/>
      <w:r w:rsidR="0038041A" w:rsidRPr="0040232A">
        <w:rPr>
          <w:rFonts w:ascii="Verdana" w:hAnsi="Verdana" w:cs="Arial"/>
          <w:iCs/>
          <w:sz w:val="22"/>
          <w:szCs w:val="22"/>
          <w:lang w:val="es-ES" w:eastAsia="es-ES_tradnl"/>
        </w:rPr>
        <w:t>iii</w:t>
      </w:r>
      <w:proofErr w:type="spellEnd"/>
      <w:r w:rsidR="0038041A" w:rsidRPr="0040232A">
        <w:rPr>
          <w:rFonts w:ascii="Verdana" w:hAnsi="Verdana" w:cs="Arial"/>
          <w:iCs/>
          <w:sz w:val="22"/>
          <w:szCs w:val="22"/>
          <w:lang w:val="es-ES" w:eastAsia="es-ES_tradnl"/>
        </w:rPr>
        <w:t>) mediante cobro coactivo</w:t>
      </w:r>
      <w:r w:rsidR="0038041A" w:rsidRPr="0040232A">
        <w:rPr>
          <w:rStyle w:val="Refdenotaalpie"/>
          <w:rFonts w:ascii="Verdana" w:hAnsi="Verdana" w:cs="Arial"/>
          <w:iCs/>
          <w:sz w:val="22"/>
          <w:szCs w:val="22"/>
          <w:lang w:val="es-ES" w:eastAsia="es-ES_tradnl"/>
        </w:rPr>
        <w:footnoteReference w:id="20"/>
      </w:r>
      <w:r w:rsidR="0038041A" w:rsidRPr="0040232A">
        <w:rPr>
          <w:rFonts w:ascii="Verdana" w:hAnsi="Verdana" w:cs="Arial"/>
          <w:iCs/>
          <w:sz w:val="22"/>
          <w:szCs w:val="22"/>
          <w:lang w:val="es-ES" w:eastAsia="es-ES_tradnl"/>
        </w:rPr>
        <w:t>.</w:t>
      </w:r>
    </w:p>
    <w:p w14:paraId="685CEE33" w14:textId="43D03029" w:rsidR="0038041A" w:rsidRPr="0040232A" w:rsidRDefault="0038041A" w:rsidP="0040232A">
      <w:pPr>
        <w:spacing w:line="276" w:lineRule="auto"/>
        <w:ind w:firstLine="709"/>
        <w:jc w:val="both"/>
        <w:rPr>
          <w:rFonts w:ascii="Verdana" w:eastAsia="Calibri" w:hAnsi="Verdana"/>
          <w:sz w:val="22"/>
          <w:szCs w:val="22"/>
          <w:lang w:val="es-ES"/>
        </w:rPr>
      </w:pPr>
      <w:r w:rsidRPr="0040232A">
        <w:rPr>
          <w:rFonts w:ascii="Verdana" w:hAnsi="Verdana" w:cs="Arial"/>
          <w:iCs/>
          <w:sz w:val="22"/>
          <w:szCs w:val="22"/>
          <w:lang w:val="es-ES" w:eastAsia="es-ES_tradnl"/>
        </w:rPr>
        <w:t xml:space="preserve">Adicionalmente, la norma </w:t>
      </w:r>
      <w:r w:rsidR="00A6449B" w:rsidRPr="0040232A">
        <w:rPr>
          <w:rFonts w:ascii="Verdana" w:hAnsi="Verdana" w:cs="Arial"/>
          <w:iCs/>
          <w:sz w:val="22"/>
          <w:szCs w:val="22"/>
          <w:lang w:val="es-ES" w:eastAsia="es-ES_tradnl"/>
        </w:rPr>
        <w:t>prevé</w:t>
      </w:r>
      <w:r w:rsidRPr="0040232A">
        <w:rPr>
          <w:rFonts w:ascii="Verdana" w:hAnsi="Verdana" w:cs="Arial"/>
          <w:iCs/>
          <w:sz w:val="22"/>
          <w:szCs w:val="22"/>
          <w:lang w:val="es-ES" w:eastAsia="es-ES_tradnl"/>
        </w:rPr>
        <w:t xml:space="preserve"> un límite temporal para el ejercicio de</w:t>
      </w:r>
      <w:r w:rsidR="00A6449B" w:rsidRPr="0040232A">
        <w:rPr>
          <w:rFonts w:ascii="Verdana" w:hAnsi="Verdana" w:cs="Arial"/>
          <w:iCs/>
          <w:sz w:val="22"/>
          <w:szCs w:val="22"/>
          <w:lang w:val="es-ES" w:eastAsia="es-ES_tradnl"/>
        </w:rPr>
        <w:t xml:space="preserve"> la potestad exorbitante</w:t>
      </w:r>
      <w:r w:rsidRPr="0040232A">
        <w:rPr>
          <w:rFonts w:ascii="Verdana" w:hAnsi="Verdana" w:cs="Arial"/>
          <w:iCs/>
          <w:sz w:val="22"/>
          <w:szCs w:val="22"/>
          <w:lang w:val="es-ES" w:eastAsia="es-ES_tradnl"/>
        </w:rPr>
        <w:t xml:space="preserve">: la entidad solo podrá imponer la multa cuando el contratista tenga pendiente el cumplimiento de sus obligaciones. </w:t>
      </w:r>
      <w:r w:rsidRPr="0040232A">
        <w:rPr>
          <w:rFonts w:ascii="Verdana" w:eastAsia="Calibri" w:hAnsi="Verdana"/>
          <w:sz w:val="22"/>
          <w:szCs w:val="22"/>
          <w:lang w:val="es-ES"/>
        </w:rPr>
        <w:t xml:space="preserve">Según se desprende </w:t>
      </w:r>
      <w:r w:rsidR="00A6449B" w:rsidRPr="0040232A">
        <w:rPr>
          <w:rFonts w:ascii="Verdana" w:eastAsia="Calibri" w:hAnsi="Verdana"/>
          <w:sz w:val="22"/>
          <w:szCs w:val="22"/>
          <w:lang w:val="es-ES"/>
        </w:rPr>
        <w:t xml:space="preserve">de </w:t>
      </w:r>
      <w:r w:rsidRPr="0040232A">
        <w:rPr>
          <w:rFonts w:ascii="Verdana" w:eastAsia="Calibri" w:hAnsi="Verdana"/>
          <w:sz w:val="22"/>
          <w:szCs w:val="22"/>
          <w:lang w:val="es-ES"/>
        </w:rPr>
        <w:t>la literalidad de la norma, puede imponer las multas y la cláusula penal pactadas en el contrato mientras esté pendiente la ejecución de las obligaciones del contratista, lo cual define el límite temporal para hacerlo. De hecho, no condicionó la aplicación de estas sanciones al plazo de ejecución del contrato, y esto tiene sentido si se armoniza con la finalidad de la multa o de la cláusula penal y los fines de la contratación estatal</w:t>
      </w:r>
      <w:r w:rsidR="00A6449B" w:rsidRPr="0040232A">
        <w:rPr>
          <w:rFonts w:ascii="Verdana" w:eastAsia="Calibri" w:hAnsi="Verdana"/>
          <w:sz w:val="22"/>
          <w:szCs w:val="22"/>
          <w:lang w:val="es-ES"/>
        </w:rPr>
        <w:t>.</w:t>
      </w:r>
    </w:p>
    <w:p w14:paraId="1F658064" w14:textId="77777777" w:rsidR="00750428" w:rsidRPr="0040232A" w:rsidRDefault="00750428" w:rsidP="0040232A">
      <w:pPr>
        <w:spacing w:line="276" w:lineRule="auto"/>
        <w:ind w:firstLine="709"/>
        <w:jc w:val="both"/>
        <w:rPr>
          <w:rFonts w:ascii="Verdana" w:eastAsiaTheme="minorHAnsi" w:hAnsi="Verdana" w:cs="Arial"/>
          <w:iCs/>
          <w:sz w:val="22"/>
          <w:szCs w:val="22"/>
          <w:lang w:val="es-ES" w:eastAsia="es-ES_tradnl"/>
        </w:rPr>
      </w:pPr>
    </w:p>
    <w:p w14:paraId="02926543" w14:textId="1BA81C10" w:rsidR="005B37A7" w:rsidRPr="0040232A" w:rsidRDefault="000C1F75" w:rsidP="0040232A">
      <w:pPr>
        <w:spacing w:after="120" w:line="276" w:lineRule="auto"/>
        <w:jc w:val="both"/>
        <w:rPr>
          <w:rFonts w:ascii="Verdana" w:hAnsi="Verdana" w:cs="Arial"/>
          <w:iCs/>
          <w:color w:val="000000" w:themeColor="text1"/>
          <w:sz w:val="22"/>
          <w:szCs w:val="22"/>
          <w:lang w:val="es-ES"/>
        </w:rPr>
      </w:pPr>
      <w:proofErr w:type="spellStart"/>
      <w:r w:rsidRPr="0040232A">
        <w:rPr>
          <w:rFonts w:ascii="Verdana" w:hAnsi="Verdana" w:cs="Arial"/>
          <w:iCs/>
          <w:sz w:val="22"/>
          <w:szCs w:val="22"/>
          <w:lang w:val="es-ES" w:eastAsia="es-ES_tradnl"/>
        </w:rPr>
        <w:t>ii</w:t>
      </w:r>
      <w:proofErr w:type="spellEnd"/>
      <w:r w:rsidRPr="0040232A">
        <w:rPr>
          <w:rFonts w:ascii="Verdana" w:hAnsi="Verdana" w:cs="Arial"/>
          <w:iCs/>
          <w:sz w:val="22"/>
          <w:szCs w:val="22"/>
          <w:lang w:val="es-ES" w:eastAsia="es-ES_tradnl"/>
        </w:rPr>
        <w:t xml:space="preserve">) </w:t>
      </w:r>
      <w:r w:rsidR="00A6449B" w:rsidRPr="0040232A">
        <w:rPr>
          <w:rFonts w:ascii="Verdana" w:hAnsi="Verdana" w:cs="Arial"/>
          <w:iCs/>
          <w:sz w:val="22"/>
          <w:szCs w:val="22"/>
          <w:lang w:val="es-ES" w:eastAsia="es-ES_tradnl"/>
        </w:rPr>
        <w:t xml:space="preserve">Por su parte, </w:t>
      </w:r>
      <w:r w:rsidR="00A6449B" w:rsidRPr="0040232A">
        <w:rPr>
          <w:rFonts w:ascii="Verdana" w:hAnsi="Verdana" w:cs="Arial"/>
          <w:iCs/>
          <w:color w:val="000000" w:themeColor="text1"/>
          <w:sz w:val="22"/>
          <w:szCs w:val="22"/>
          <w:lang w:val="es-ES"/>
        </w:rPr>
        <w:t>e</w:t>
      </w:r>
      <w:r w:rsidR="005B37A7" w:rsidRPr="0040232A">
        <w:rPr>
          <w:rFonts w:ascii="Verdana" w:hAnsi="Verdana" w:cs="Arial"/>
          <w:iCs/>
          <w:color w:val="000000" w:themeColor="text1"/>
          <w:sz w:val="22"/>
          <w:szCs w:val="22"/>
          <w:lang w:val="es-ES"/>
        </w:rPr>
        <w:t>l artículo 86 de la Ley 1474 de 2011 establece las reglas de</w:t>
      </w:r>
      <w:r w:rsidR="00A6449B" w:rsidRPr="0040232A">
        <w:rPr>
          <w:rFonts w:ascii="Verdana" w:hAnsi="Verdana" w:cs="Arial"/>
          <w:iCs/>
          <w:color w:val="000000" w:themeColor="text1"/>
          <w:sz w:val="22"/>
          <w:szCs w:val="22"/>
          <w:lang w:val="es-ES"/>
        </w:rPr>
        <w:t>l</w:t>
      </w:r>
      <w:r w:rsidR="005B37A7" w:rsidRPr="0040232A">
        <w:rPr>
          <w:rFonts w:ascii="Verdana" w:hAnsi="Verdana" w:cs="Arial"/>
          <w:iCs/>
          <w:color w:val="000000" w:themeColor="text1"/>
          <w:sz w:val="22"/>
          <w:szCs w:val="22"/>
          <w:lang w:val="es-ES"/>
        </w:rPr>
        <w:t xml:space="preserve"> procedimiento</w:t>
      </w:r>
      <w:r w:rsidR="00A6449B" w:rsidRPr="0040232A">
        <w:rPr>
          <w:rFonts w:ascii="Verdana" w:hAnsi="Verdana" w:cs="Arial"/>
          <w:iCs/>
          <w:color w:val="000000" w:themeColor="text1"/>
          <w:sz w:val="22"/>
          <w:szCs w:val="22"/>
          <w:lang w:val="es-ES"/>
        </w:rPr>
        <w:t xml:space="preserve"> </w:t>
      </w:r>
      <w:r w:rsidR="005B37A7" w:rsidRPr="0040232A">
        <w:rPr>
          <w:rFonts w:ascii="Verdana" w:hAnsi="Verdana" w:cs="Arial"/>
          <w:iCs/>
          <w:color w:val="000000" w:themeColor="text1"/>
          <w:sz w:val="22"/>
          <w:szCs w:val="22"/>
          <w:lang w:val="es-ES"/>
        </w:rPr>
        <w:t xml:space="preserve">mediante las cuales se materializan los derechos y garantías derivadas del debido proceso, para su aplicación concreta en materia sancionatoria contractual. De conformidad con esta disposición, las entidades sometidas al </w:t>
      </w:r>
      <w:r w:rsidR="00A6449B" w:rsidRPr="0040232A">
        <w:rPr>
          <w:rFonts w:ascii="Verdana" w:hAnsi="Verdana" w:cs="Arial"/>
          <w:iCs/>
          <w:color w:val="000000" w:themeColor="text1"/>
          <w:sz w:val="22"/>
          <w:szCs w:val="22"/>
          <w:lang w:val="es-ES"/>
        </w:rPr>
        <w:t>EGCAP observarán este procedimiento para la declaratoria</w:t>
      </w:r>
      <w:r w:rsidR="00E2536D" w:rsidRPr="0040232A">
        <w:rPr>
          <w:rFonts w:ascii="Verdana" w:hAnsi="Verdana" w:cs="Arial"/>
          <w:iCs/>
          <w:color w:val="000000" w:themeColor="text1"/>
          <w:sz w:val="22"/>
          <w:szCs w:val="22"/>
          <w:lang w:val="es-ES"/>
        </w:rPr>
        <w:t xml:space="preserve"> </w:t>
      </w:r>
      <w:r w:rsidR="00E2536D" w:rsidRPr="0040232A">
        <w:rPr>
          <w:rFonts w:ascii="Verdana" w:hAnsi="Verdana" w:cs="Arial"/>
          <w:iCs/>
          <w:color w:val="000000" w:themeColor="text1"/>
          <w:sz w:val="22"/>
          <w:szCs w:val="22"/>
          <w:lang w:val="es-ES"/>
        </w:rPr>
        <w:lastRenderedPageBreak/>
        <w:t>unilateral del siniestro,</w:t>
      </w:r>
      <w:r w:rsidR="00A6449B" w:rsidRPr="0040232A">
        <w:rPr>
          <w:rFonts w:ascii="Verdana" w:hAnsi="Verdana" w:cs="Arial"/>
          <w:iCs/>
          <w:color w:val="000000" w:themeColor="text1"/>
          <w:sz w:val="22"/>
          <w:szCs w:val="22"/>
          <w:lang w:val="es-ES"/>
        </w:rPr>
        <w:t xml:space="preserve"> del incumplimiento y para hacer efectiva la cláusula penal o las multas pactadas.</w:t>
      </w:r>
    </w:p>
    <w:p w14:paraId="56ECC32D" w14:textId="77777777" w:rsidR="00B87902" w:rsidRDefault="00B87902" w:rsidP="0040232A">
      <w:pPr>
        <w:spacing w:line="276" w:lineRule="auto"/>
        <w:ind w:firstLine="709"/>
        <w:jc w:val="both"/>
        <w:rPr>
          <w:rFonts w:ascii="Verdana" w:eastAsia="Calibri" w:hAnsi="Verdana" w:cs="Arial"/>
          <w:color w:val="000000" w:themeColor="text1"/>
          <w:sz w:val="22"/>
          <w:szCs w:val="22"/>
          <w:lang w:val="es-ES"/>
        </w:rPr>
      </w:pPr>
      <w:r w:rsidRPr="0040232A">
        <w:rPr>
          <w:rFonts w:ascii="Verdana" w:hAnsi="Verdana" w:cs="Arial"/>
          <w:iCs/>
          <w:color w:val="000000" w:themeColor="text1"/>
          <w:sz w:val="22"/>
          <w:szCs w:val="22"/>
          <w:lang w:val="es-ES"/>
        </w:rPr>
        <w:t>Como precisión previa, vale la pena aclarar que e</w:t>
      </w:r>
      <w:r w:rsidRPr="0040232A">
        <w:rPr>
          <w:rFonts w:ascii="Verdana" w:eastAsia="Calibri" w:hAnsi="Verdana" w:cs="Arial"/>
          <w:color w:val="000000" w:themeColor="text1"/>
          <w:sz w:val="22"/>
          <w:szCs w:val="22"/>
          <w:lang w:val="es-ES"/>
        </w:rPr>
        <w:t>l artículo 86 de la Ley 1474 de 2011 regula un procedimiento administrativo sancionatorio dirigido a sujetos específicos: las entidades sometidas al Estatuto General de Contratación de la Administración Pública</w:t>
      </w:r>
      <w:r w:rsidRPr="0040232A">
        <w:rPr>
          <w:rStyle w:val="Refdenotaalpie"/>
          <w:rFonts w:ascii="Verdana" w:eastAsia="Calibri" w:hAnsi="Verdana" w:cs="Arial"/>
          <w:color w:val="000000" w:themeColor="text1"/>
          <w:sz w:val="22"/>
          <w:szCs w:val="22"/>
          <w:lang w:val="es-ES"/>
        </w:rPr>
        <w:footnoteReference w:id="21"/>
      </w:r>
      <w:r w:rsidRPr="0040232A">
        <w:rPr>
          <w:rFonts w:ascii="Verdana" w:eastAsia="Calibri" w:hAnsi="Verdana" w:cs="Arial"/>
          <w:color w:val="000000" w:themeColor="text1"/>
          <w:sz w:val="22"/>
          <w:szCs w:val="22"/>
          <w:lang w:val="es-ES"/>
        </w:rPr>
        <w:t xml:space="preserve">. De ahí que las entidades de </w:t>
      </w:r>
      <w:r w:rsidRPr="0040232A">
        <w:rPr>
          <w:rFonts w:ascii="Verdana" w:eastAsia="Calibri" w:hAnsi="Verdana" w:cs="Arial"/>
          <w:i/>
          <w:iCs/>
          <w:color w:val="000000" w:themeColor="text1"/>
          <w:sz w:val="22"/>
          <w:szCs w:val="22"/>
          <w:lang w:val="es-ES"/>
        </w:rPr>
        <w:t>régimen especial</w:t>
      </w:r>
      <w:r w:rsidRPr="0040232A">
        <w:rPr>
          <w:rStyle w:val="Refdenotaalpie"/>
          <w:rFonts w:ascii="Verdana" w:eastAsia="Calibri" w:hAnsi="Verdana" w:cs="Arial"/>
          <w:i/>
          <w:iCs/>
          <w:color w:val="000000" w:themeColor="text1"/>
          <w:sz w:val="22"/>
          <w:szCs w:val="22"/>
          <w:lang w:val="es-ES"/>
        </w:rPr>
        <w:footnoteReference w:id="22"/>
      </w:r>
      <w:r w:rsidRPr="0040232A">
        <w:rPr>
          <w:rFonts w:ascii="Verdana" w:eastAsia="Calibri" w:hAnsi="Verdana" w:cs="Arial"/>
          <w:color w:val="000000" w:themeColor="text1"/>
          <w:sz w:val="22"/>
          <w:szCs w:val="22"/>
          <w:lang w:val="es-ES"/>
        </w:rPr>
        <w:t xml:space="preserve"> en materia contractual no pueden aplicar el procedimiento administrativo sancionatorio regulado en el artículo 86 de la Ley 1474 de 2011, al no ser entidades sometidas al Estatuto General de Contratación de la Administración Pública, sino, por el contrario, entidades exceptuadas de este</w:t>
      </w:r>
      <w:r w:rsidRPr="0040232A">
        <w:rPr>
          <w:rStyle w:val="Refdenotaalpie"/>
          <w:rFonts w:ascii="Verdana" w:eastAsia="Calibri" w:hAnsi="Verdana" w:cs="Arial"/>
          <w:color w:val="000000" w:themeColor="text1"/>
          <w:sz w:val="22"/>
          <w:szCs w:val="22"/>
          <w:lang w:val="es-ES"/>
        </w:rPr>
        <w:footnoteReference w:id="23"/>
      </w:r>
      <w:r w:rsidRPr="0040232A">
        <w:rPr>
          <w:rFonts w:ascii="Verdana" w:eastAsia="Calibri" w:hAnsi="Verdana" w:cs="Arial"/>
          <w:color w:val="000000" w:themeColor="text1"/>
          <w:sz w:val="22"/>
          <w:szCs w:val="22"/>
          <w:lang w:val="es-ES"/>
        </w:rPr>
        <w:t>. La norma indicada desarrolla el procedimiento de la siguiente manera:</w:t>
      </w:r>
    </w:p>
    <w:p w14:paraId="61B31B64" w14:textId="77777777" w:rsidR="0040232A" w:rsidRPr="0040232A" w:rsidRDefault="0040232A" w:rsidP="0040232A">
      <w:pPr>
        <w:spacing w:line="276" w:lineRule="auto"/>
        <w:ind w:firstLine="709"/>
        <w:jc w:val="both"/>
        <w:rPr>
          <w:rFonts w:ascii="Verdana" w:eastAsia="Calibri" w:hAnsi="Verdana" w:cs="Arial"/>
          <w:color w:val="000000" w:themeColor="text1"/>
          <w:sz w:val="22"/>
          <w:szCs w:val="22"/>
          <w:lang w:val="es-ES"/>
        </w:rPr>
      </w:pPr>
    </w:p>
    <w:p w14:paraId="540887EA" w14:textId="1A47C3F0" w:rsidR="00B87902" w:rsidRPr="00B87902" w:rsidRDefault="00B87902" w:rsidP="00B87902">
      <w:pPr>
        <w:pStyle w:val="Prrafodelista"/>
        <w:spacing w:line="240" w:lineRule="auto"/>
        <w:ind w:left="709" w:right="709"/>
        <w:jc w:val="both"/>
        <w:rPr>
          <w:rFonts w:ascii="Verdana" w:hAnsi="Verdana" w:cs="Arial"/>
          <w:iCs/>
          <w:color w:val="000000" w:themeColor="text1"/>
          <w:sz w:val="20"/>
          <w:szCs w:val="20"/>
        </w:rPr>
      </w:pPr>
      <w:bookmarkStart w:id="1" w:name="86"/>
      <w:r w:rsidRPr="00B87902">
        <w:rPr>
          <w:rFonts w:ascii="Verdana" w:hAnsi="Verdana" w:cs="Arial"/>
          <w:iCs/>
          <w:color w:val="000000" w:themeColor="text1"/>
          <w:sz w:val="20"/>
          <w:szCs w:val="20"/>
        </w:rPr>
        <w:t>“Artículo 86. Imposición de multas, sanciones y declaratorias de incumplimiento.</w:t>
      </w:r>
      <w:bookmarkEnd w:id="1"/>
      <w:r w:rsidRPr="00B87902">
        <w:rPr>
          <w:rFonts w:ascii="Verdana" w:hAnsi="Verdana" w:cs="Arial"/>
          <w:iCs/>
          <w:color w:val="000000" w:themeColor="text1"/>
          <w:sz w:val="20"/>
          <w:szCs w:val="20"/>
        </w:rPr>
        <w:t xml:space="preserve"> Las entidades sometidas al Estatuto General de Contratación de la Administración Pública podrán declarar el incumplimiento, cuantificando los perjuicios </w:t>
      </w:r>
      <w:proofErr w:type="gramStart"/>
      <w:r w:rsidRPr="00B87902">
        <w:rPr>
          <w:rFonts w:ascii="Verdana" w:hAnsi="Verdana" w:cs="Arial"/>
          <w:iCs/>
          <w:color w:val="000000" w:themeColor="text1"/>
          <w:sz w:val="20"/>
          <w:szCs w:val="20"/>
        </w:rPr>
        <w:t>del mismo</w:t>
      </w:r>
      <w:proofErr w:type="gramEnd"/>
      <w:r w:rsidRPr="00B87902">
        <w:rPr>
          <w:rFonts w:ascii="Verdana" w:hAnsi="Verdana" w:cs="Arial"/>
          <w:iCs/>
          <w:color w:val="000000" w:themeColor="text1"/>
          <w:sz w:val="20"/>
          <w:szCs w:val="20"/>
        </w:rPr>
        <w:t>, imponer las multas y sanciones pactadas en el contrato, y hacer efectiva la cláusula penal. Para tal efecto observarán el siguiente procedimiento:</w:t>
      </w:r>
    </w:p>
    <w:p w14:paraId="6652EB6E" w14:textId="77777777" w:rsidR="00B87902" w:rsidRPr="00B87902" w:rsidRDefault="00B87902" w:rsidP="00B87902">
      <w:pPr>
        <w:pStyle w:val="Prrafodelista"/>
        <w:spacing w:line="240" w:lineRule="auto"/>
        <w:ind w:left="709" w:right="709"/>
        <w:jc w:val="both"/>
        <w:rPr>
          <w:rFonts w:ascii="Verdana" w:hAnsi="Verdana" w:cs="Arial"/>
          <w:iCs/>
          <w:color w:val="000000" w:themeColor="text1"/>
          <w:sz w:val="20"/>
          <w:szCs w:val="20"/>
        </w:rPr>
      </w:pPr>
    </w:p>
    <w:p w14:paraId="161EC97C" w14:textId="77777777" w:rsidR="00B87902" w:rsidRPr="00B87902" w:rsidRDefault="00B87902" w:rsidP="00B87902">
      <w:pPr>
        <w:pStyle w:val="Prrafodelista"/>
        <w:spacing w:line="240" w:lineRule="auto"/>
        <w:ind w:left="709" w:right="709"/>
        <w:jc w:val="both"/>
        <w:rPr>
          <w:rFonts w:ascii="Verdana" w:hAnsi="Verdana" w:cs="Arial"/>
          <w:iCs/>
          <w:color w:val="000000" w:themeColor="text1"/>
          <w:sz w:val="20"/>
          <w:szCs w:val="20"/>
        </w:rPr>
      </w:pPr>
      <w:r w:rsidRPr="00B87902">
        <w:rPr>
          <w:rFonts w:ascii="Verdana" w:hAnsi="Verdana" w:cs="Arial"/>
          <w:iCs/>
          <w:color w:val="000000" w:themeColor="text1"/>
          <w:sz w:val="20"/>
          <w:szCs w:val="20"/>
        </w:rPr>
        <w:t>a) Evidenciado un posible incumplimiento de las obligaciones a cargo del contratista, la entidad pública lo citará a audiencia para debatir lo ocurrido. En la citación, hará mención expresa y detallada de los hechos que la soportan, acompañando el informe de interventoría o de supervisión en el que se sustente la actuación y enunciará las normas o cláusulas posiblemente violadas y las consecuencias que podrían derivarse para el contratista en desarrollo de la actuación. En la misma se establecerá el lugar, fecha y hora para la realización de la audiencia, la que podrá tener lugar a la mayor brevedad posible, atendida la naturaleza del contrato y la periodicidad establecida para el cumplimiento de las obligaciones contractuales. En el evento en que la garantía de cumplimiento consista en póliza de seguros, el garante será citado de la misma manera;</w:t>
      </w:r>
    </w:p>
    <w:p w14:paraId="36244A74" w14:textId="77777777" w:rsidR="00B87902" w:rsidRPr="00B87902" w:rsidRDefault="00B87902" w:rsidP="00B87902">
      <w:pPr>
        <w:pStyle w:val="Prrafodelista"/>
        <w:spacing w:line="240" w:lineRule="auto"/>
        <w:ind w:left="709" w:right="709"/>
        <w:jc w:val="both"/>
        <w:rPr>
          <w:rFonts w:ascii="Verdana" w:hAnsi="Verdana"/>
          <w:sz w:val="20"/>
          <w:szCs w:val="20"/>
        </w:rPr>
      </w:pPr>
    </w:p>
    <w:p w14:paraId="294904A8" w14:textId="77777777" w:rsidR="00B87902" w:rsidRPr="00B87902" w:rsidRDefault="00B87902" w:rsidP="00B87902">
      <w:pPr>
        <w:pStyle w:val="Prrafodelista"/>
        <w:spacing w:line="240" w:lineRule="auto"/>
        <w:ind w:left="709" w:right="709"/>
        <w:jc w:val="both"/>
        <w:rPr>
          <w:rFonts w:ascii="Verdana" w:hAnsi="Verdana" w:cs="Arial"/>
          <w:iCs/>
          <w:color w:val="000000" w:themeColor="text1"/>
          <w:sz w:val="20"/>
          <w:szCs w:val="20"/>
        </w:rPr>
      </w:pPr>
      <w:r w:rsidRPr="00B87902">
        <w:rPr>
          <w:rFonts w:ascii="Verdana" w:hAnsi="Verdana" w:cs="Arial"/>
          <w:iCs/>
          <w:color w:val="000000" w:themeColor="text1"/>
          <w:sz w:val="20"/>
          <w:szCs w:val="20"/>
        </w:rPr>
        <w:t xml:space="preserve">b) En desarrollo de la audiencia, el jefe de la entidad o su </w:t>
      </w:r>
      <w:proofErr w:type="gramStart"/>
      <w:r w:rsidRPr="00B87902">
        <w:rPr>
          <w:rFonts w:ascii="Verdana" w:hAnsi="Verdana" w:cs="Arial"/>
          <w:iCs/>
          <w:color w:val="000000" w:themeColor="text1"/>
          <w:sz w:val="20"/>
          <w:szCs w:val="20"/>
        </w:rPr>
        <w:t>delegado,</w:t>
      </w:r>
      <w:proofErr w:type="gramEnd"/>
      <w:r w:rsidRPr="00B87902">
        <w:rPr>
          <w:rFonts w:ascii="Verdana" w:hAnsi="Verdana" w:cs="Arial"/>
          <w:iCs/>
          <w:color w:val="000000" w:themeColor="text1"/>
          <w:sz w:val="20"/>
          <w:szCs w:val="20"/>
        </w:rPr>
        <w:t xml:space="preserve"> presentará las circunstancias de hecho que motivan la actuación, </w:t>
      </w:r>
      <w:r w:rsidRPr="00B87902">
        <w:rPr>
          <w:rFonts w:ascii="Verdana" w:hAnsi="Verdana" w:cs="Arial"/>
          <w:iCs/>
          <w:color w:val="000000" w:themeColor="text1"/>
          <w:sz w:val="20"/>
          <w:szCs w:val="20"/>
        </w:rPr>
        <w:lastRenderedPageBreak/>
        <w:t>enunciará las posibles normas o cláusulas posiblemente violadas y las consecuencias que podrían derivarse para el contratista en desarrollo de la actuación. Acto seguido se concederá el uso de la palabra al representante legal del contratista o a quien lo represente, y al garante, para que presenten sus descargos, en desarrollo de lo cual podrá rendir las explicaciones del caso, aportar pruebas y controvertir las presentadas por la entidad;</w:t>
      </w:r>
    </w:p>
    <w:p w14:paraId="71446391" w14:textId="77777777" w:rsidR="00B87902" w:rsidRPr="00B87902" w:rsidRDefault="00B87902" w:rsidP="00B87902">
      <w:pPr>
        <w:pStyle w:val="Prrafodelista"/>
        <w:spacing w:line="240" w:lineRule="auto"/>
        <w:ind w:left="709" w:right="709"/>
        <w:jc w:val="both"/>
        <w:rPr>
          <w:rFonts w:ascii="Verdana" w:hAnsi="Verdana" w:cs="Arial"/>
          <w:iCs/>
          <w:color w:val="000000" w:themeColor="text1"/>
          <w:sz w:val="20"/>
          <w:szCs w:val="20"/>
        </w:rPr>
      </w:pPr>
    </w:p>
    <w:p w14:paraId="67AC96E7" w14:textId="77777777" w:rsidR="00B87902" w:rsidRPr="00B87902" w:rsidRDefault="00B87902" w:rsidP="00B87902">
      <w:pPr>
        <w:pStyle w:val="Prrafodelista"/>
        <w:spacing w:line="240" w:lineRule="auto"/>
        <w:ind w:left="709" w:right="709"/>
        <w:jc w:val="both"/>
        <w:rPr>
          <w:rFonts w:ascii="Verdana" w:hAnsi="Verdana" w:cs="Arial"/>
          <w:iCs/>
          <w:color w:val="000000" w:themeColor="text1"/>
          <w:sz w:val="20"/>
          <w:szCs w:val="20"/>
        </w:rPr>
      </w:pPr>
      <w:r w:rsidRPr="00B87902">
        <w:rPr>
          <w:rFonts w:ascii="Verdana" w:hAnsi="Verdana" w:cs="Arial"/>
          <w:iCs/>
          <w:color w:val="000000" w:themeColor="text1"/>
          <w:sz w:val="20"/>
          <w:szCs w:val="20"/>
        </w:rPr>
        <w:t>c) Hecho lo precedente, mediante resolución motivada en la que se consigne lo ocurrido en desarrollo de la audiencia y la cual se entenderá notificada en dicho acto público, la entidad procederá a decidir sobre la imposición o no de la multa, sanción o declaratoria de incumplimiento. Contra la decisión así proferida sólo procede el recurso de reposición que se interpondrá, sustentará y decidirá en la misma audiencia. La decisión sobre el recurso se entenderá notificada en la misma audiencia;</w:t>
      </w:r>
    </w:p>
    <w:p w14:paraId="6326050A" w14:textId="77777777" w:rsidR="00B87902" w:rsidRPr="00B87902" w:rsidRDefault="00B87902" w:rsidP="00B87902">
      <w:pPr>
        <w:pStyle w:val="Prrafodelista"/>
        <w:spacing w:line="240" w:lineRule="auto"/>
        <w:ind w:left="709" w:right="709"/>
        <w:jc w:val="both"/>
        <w:rPr>
          <w:rFonts w:ascii="Verdana" w:hAnsi="Verdana" w:cs="Arial"/>
          <w:iCs/>
          <w:color w:val="000000" w:themeColor="text1"/>
          <w:sz w:val="20"/>
          <w:szCs w:val="20"/>
        </w:rPr>
      </w:pPr>
    </w:p>
    <w:p w14:paraId="5D3BB71D" w14:textId="3B0BB01E" w:rsidR="00B87902" w:rsidRDefault="00B87902" w:rsidP="006E2FBB">
      <w:pPr>
        <w:pStyle w:val="Prrafodelista"/>
        <w:spacing w:after="0" w:line="240" w:lineRule="auto"/>
        <w:ind w:left="709" w:right="709"/>
        <w:jc w:val="both"/>
        <w:rPr>
          <w:rFonts w:ascii="Verdana" w:hAnsi="Verdana" w:cs="Arial"/>
          <w:iCs/>
          <w:color w:val="000000" w:themeColor="text1"/>
          <w:sz w:val="20"/>
          <w:szCs w:val="20"/>
        </w:rPr>
      </w:pPr>
      <w:r w:rsidRPr="00B87902">
        <w:rPr>
          <w:rFonts w:ascii="Verdana" w:hAnsi="Verdana" w:cs="Arial"/>
          <w:iCs/>
          <w:color w:val="000000" w:themeColor="text1"/>
          <w:sz w:val="20"/>
          <w:szCs w:val="20"/>
        </w:rPr>
        <w:t>d) En cualquier momento del desarrollo de la audiencia, el jefe de la entidad o su delegado podrá suspender la audiencia cuando de oficio o a petición de parte, ello resulte en su criterio necesario para allegar o practicar pruebas que estime conducentes y pertinentes, o cuando por cualquier otra razón debidamente sustentada, ello resulte necesario para el correcto desarrollo de la actuación administrativa. En todo caso, al adoptar la decisión, se señalará fecha y hora para reanudar la audiencia. La entidad podrá dar por terminado el procedimiento en cualquier momento, si por algún medio tiene conocimiento de la cesación de situación de incumplimiento.”</w:t>
      </w:r>
    </w:p>
    <w:p w14:paraId="75B6AC7B" w14:textId="77777777" w:rsidR="006E2FBB" w:rsidRPr="00B87902" w:rsidRDefault="006E2FBB" w:rsidP="006E2FBB">
      <w:pPr>
        <w:pStyle w:val="Prrafodelista"/>
        <w:spacing w:after="0" w:line="240" w:lineRule="auto"/>
        <w:ind w:left="709" w:right="709"/>
        <w:jc w:val="both"/>
        <w:rPr>
          <w:rFonts w:ascii="Verdana" w:hAnsi="Verdana" w:cs="Arial"/>
          <w:iCs/>
          <w:color w:val="000000" w:themeColor="text1"/>
          <w:sz w:val="20"/>
          <w:szCs w:val="20"/>
        </w:rPr>
      </w:pPr>
    </w:p>
    <w:p w14:paraId="5D141F52" w14:textId="4D0D6A6C" w:rsidR="005B37A7" w:rsidRPr="0040232A" w:rsidRDefault="005B37A7" w:rsidP="00961FE3">
      <w:pPr>
        <w:spacing w:line="276" w:lineRule="auto"/>
        <w:ind w:firstLine="708"/>
        <w:jc w:val="both"/>
        <w:rPr>
          <w:rFonts w:ascii="Verdana" w:hAnsi="Verdana" w:cs="Arial"/>
          <w:sz w:val="22"/>
          <w:szCs w:val="22"/>
          <w:lang w:val="es-ES" w:eastAsia="es-ES"/>
          <w14:ligatures w14:val="standardContextual"/>
        </w:rPr>
      </w:pPr>
      <w:r w:rsidRPr="0040232A">
        <w:rPr>
          <w:rFonts w:ascii="Verdana" w:hAnsi="Verdana" w:cs="Arial"/>
          <w:sz w:val="22"/>
          <w:szCs w:val="22"/>
          <w:lang w:val="es-ES" w:eastAsia="es-ES"/>
          <w14:ligatures w14:val="standardContextual"/>
        </w:rPr>
        <w:t xml:space="preserve">De conformidad con lo anterior, el artículo 86 de la Ley 1474 de 2011 establece </w:t>
      </w:r>
      <w:r w:rsidR="00E2536D" w:rsidRPr="0040232A">
        <w:rPr>
          <w:rFonts w:ascii="Verdana" w:hAnsi="Verdana" w:cs="Arial"/>
          <w:sz w:val="22"/>
          <w:szCs w:val="22"/>
          <w:lang w:val="es-ES" w:eastAsia="es-ES"/>
          <w14:ligatures w14:val="standardContextual"/>
        </w:rPr>
        <w:t>como</w:t>
      </w:r>
      <w:r w:rsidRPr="0040232A">
        <w:rPr>
          <w:rFonts w:ascii="Verdana" w:hAnsi="Verdana" w:cs="Arial"/>
          <w:sz w:val="22"/>
          <w:szCs w:val="22"/>
          <w:lang w:val="es-ES" w:eastAsia="es-ES"/>
          <w14:ligatures w14:val="standardContextual"/>
        </w:rPr>
        <w:t xml:space="preserve"> etapas del procedimiento que deben seguir</w:t>
      </w:r>
      <w:r w:rsidR="00E2536D" w:rsidRPr="0040232A">
        <w:rPr>
          <w:rFonts w:ascii="Verdana" w:hAnsi="Verdana" w:cs="Arial"/>
          <w:sz w:val="22"/>
          <w:szCs w:val="22"/>
          <w:lang w:val="es-ES" w:eastAsia="es-ES"/>
          <w14:ligatures w14:val="standardContextual"/>
        </w:rPr>
        <w:t xml:space="preserve"> las Entidades Estatales</w:t>
      </w:r>
      <w:r w:rsidRPr="0040232A">
        <w:rPr>
          <w:rFonts w:ascii="Verdana" w:hAnsi="Verdana" w:cs="Arial"/>
          <w:sz w:val="22"/>
          <w:szCs w:val="22"/>
          <w:lang w:val="es-ES" w:eastAsia="es-ES"/>
          <w14:ligatures w14:val="standardContextual"/>
        </w:rPr>
        <w:t>:</w:t>
      </w:r>
    </w:p>
    <w:p w14:paraId="4CC5B4A2" w14:textId="77777777" w:rsidR="00961FE3" w:rsidRPr="00EC2F74" w:rsidRDefault="00961FE3" w:rsidP="00961FE3">
      <w:pPr>
        <w:spacing w:line="276" w:lineRule="auto"/>
        <w:ind w:firstLine="708"/>
        <w:jc w:val="both"/>
        <w:rPr>
          <w:rFonts w:ascii="Verdana" w:hAnsi="Verdana" w:cs="Arial"/>
          <w:lang w:val="es-ES" w:eastAsia="es-ES"/>
          <w14:ligatures w14:val="standardContextual"/>
        </w:rPr>
      </w:pPr>
    </w:p>
    <w:p w14:paraId="68027370" w14:textId="77777777" w:rsidR="005B37A7" w:rsidRDefault="005B37A7" w:rsidP="005B37A7">
      <w:pPr>
        <w:pStyle w:val="Prrafodelista"/>
        <w:numPr>
          <w:ilvl w:val="0"/>
          <w:numId w:val="20"/>
        </w:numPr>
        <w:spacing w:after="120" w:line="276" w:lineRule="auto"/>
        <w:ind w:left="709" w:hanging="285"/>
        <w:jc w:val="both"/>
        <w:rPr>
          <w:rFonts w:ascii="Verdana" w:hAnsi="Verdana" w:cs="Arial"/>
          <w:iCs/>
          <w:color w:val="000000" w:themeColor="text1"/>
        </w:rPr>
      </w:pPr>
      <w:r w:rsidRPr="00EC2F74">
        <w:rPr>
          <w:rFonts w:ascii="Verdana" w:hAnsi="Verdana" w:cs="Arial"/>
          <w:i/>
          <w:color w:val="000000" w:themeColor="text1"/>
        </w:rPr>
        <w:t>C</w:t>
      </w:r>
      <w:r w:rsidRPr="00EC2F74">
        <w:rPr>
          <w:rFonts w:ascii="Verdana" w:hAnsi="Verdana" w:cs="Arial"/>
          <w:i/>
          <w:iCs/>
          <w:color w:val="000000" w:themeColor="text1"/>
        </w:rPr>
        <w:t>itación a audiencia</w:t>
      </w:r>
      <w:r w:rsidRPr="00EC2F74">
        <w:rPr>
          <w:rFonts w:ascii="Verdana" w:hAnsi="Verdana" w:cs="Arial"/>
          <w:iCs/>
          <w:color w:val="000000" w:themeColor="text1"/>
        </w:rPr>
        <w:t xml:space="preserve">: deberá mencionar expresa y detalladamente los hechos que la soportan, así como adjuntar el informe de interventoría o de supervisión en el que se sustente la actuación, enunciar las normas o cláusulas posiblemente violadas y referir las consecuencias que podrían recaer sobre el contratista en el desarrollo de la actuación, citando a la aseguradora cuando la garantía de cumplimiento consista en una póliza. </w:t>
      </w:r>
    </w:p>
    <w:p w14:paraId="3F54D9BE" w14:textId="77777777" w:rsidR="00E2536D" w:rsidRPr="00EC2F74" w:rsidRDefault="00E2536D" w:rsidP="00E2536D">
      <w:pPr>
        <w:pStyle w:val="Prrafodelista"/>
        <w:spacing w:after="120" w:line="276" w:lineRule="auto"/>
        <w:ind w:left="709"/>
        <w:jc w:val="both"/>
        <w:rPr>
          <w:rFonts w:ascii="Verdana" w:hAnsi="Verdana" w:cs="Arial"/>
          <w:iCs/>
          <w:color w:val="000000" w:themeColor="text1"/>
        </w:rPr>
      </w:pPr>
    </w:p>
    <w:p w14:paraId="6F3B6C9C" w14:textId="46722D58" w:rsidR="00E2536D" w:rsidRPr="00E2536D" w:rsidRDefault="005B37A7" w:rsidP="00E2536D">
      <w:pPr>
        <w:pStyle w:val="Prrafodelista"/>
        <w:numPr>
          <w:ilvl w:val="0"/>
          <w:numId w:val="20"/>
        </w:numPr>
        <w:spacing w:after="120" w:line="276" w:lineRule="auto"/>
        <w:ind w:left="709" w:hanging="285"/>
        <w:jc w:val="both"/>
        <w:rPr>
          <w:rFonts w:ascii="Verdana" w:hAnsi="Verdana" w:cs="Arial"/>
          <w:iCs/>
          <w:color w:val="000000" w:themeColor="text1"/>
        </w:rPr>
      </w:pPr>
      <w:r w:rsidRPr="00EC2F74">
        <w:rPr>
          <w:rFonts w:ascii="Verdana" w:hAnsi="Verdana" w:cs="Arial"/>
          <w:i/>
          <w:iCs/>
          <w:color w:val="000000" w:themeColor="text1"/>
        </w:rPr>
        <w:t>Audiencia</w:t>
      </w:r>
      <w:r w:rsidRPr="00EC2F74">
        <w:rPr>
          <w:rFonts w:ascii="Verdana" w:hAnsi="Verdana" w:cs="Arial"/>
          <w:iCs/>
          <w:color w:val="000000" w:themeColor="text1"/>
        </w:rPr>
        <w:t xml:space="preserve">: en la diligencia intervendrá el jefe de la entidad o su delegado y le concederá el uso de la palabra al representante legal del contratista y al garante, en caso de ser necesario, para que estos presenten sus descargos, aporten y controviertan pruebas y rindan las explicaciones del caso. </w:t>
      </w:r>
    </w:p>
    <w:p w14:paraId="7C854B82" w14:textId="77777777" w:rsidR="00E2536D" w:rsidRPr="00E2536D" w:rsidRDefault="00E2536D" w:rsidP="00E2536D">
      <w:pPr>
        <w:pStyle w:val="Prrafodelista"/>
        <w:spacing w:after="120" w:line="276" w:lineRule="auto"/>
        <w:ind w:left="709"/>
        <w:jc w:val="both"/>
        <w:rPr>
          <w:rFonts w:ascii="Verdana" w:eastAsia="Times New Roman" w:hAnsi="Verdana" w:cs="Arial"/>
          <w:lang w:eastAsia="es-ES"/>
          <w14:ligatures w14:val="standardContextual"/>
        </w:rPr>
      </w:pPr>
    </w:p>
    <w:p w14:paraId="7976E8E0" w14:textId="6934A9B3" w:rsidR="005B37A7" w:rsidRPr="00B87902" w:rsidRDefault="005B37A7" w:rsidP="00B87902">
      <w:pPr>
        <w:pStyle w:val="Prrafodelista"/>
        <w:numPr>
          <w:ilvl w:val="0"/>
          <w:numId w:val="20"/>
        </w:numPr>
        <w:spacing w:after="0" w:line="276" w:lineRule="auto"/>
        <w:ind w:left="709" w:hanging="285"/>
        <w:jc w:val="both"/>
        <w:rPr>
          <w:rFonts w:ascii="Verdana" w:eastAsia="Times New Roman" w:hAnsi="Verdana" w:cs="Arial"/>
          <w:lang w:eastAsia="es-ES"/>
          <w14:ligatures w14:val="standardContextual"/>
        </w:rPr>
      </w:pPr>
      <w:r w:rsidRPr="00EC2F74">
        <w:rPr>
          <w:rFonts w:ascii="Verdana" w:hAnsi="Verdana" w:cs="Arial"/>
          <w:i/>
          <w:iCs/>
          <w:color w:val="000000" w:themeColor="text1"/>
        </w:rPr>
        <w:t>Decisión</w:t>
      </w:r>
      <w:r w:rsidRPr="00EC2F74">
        <w:rPr>
          <w:rFonts w:ascii="Verdana" w:hAnsi="Verdana" w:cs="Arial"/>
          <w:iCs/>
          <w:color w:val="000000" w:themeColor="text1"/>
        </w:rPr>
        <w:t>: debe estar contenida en resolución motivada donde se consigne, lo ocurrido en el desarrollo de la diligencia, y lo relativo a la imposición o no de multas y sanciones, o la declaratoria de incumplimiento del contrato estatal. Contra la decisión únicamente procede el recurso de reposición que se interpondrá, sustentará y decidirá en la misma diligencia. Ambas decisiones se entenderán notificadas en audiencia. Lo anterior, sin perjuicio del control judicial que podría llegar a efectuarse.</w:t>
      </w:r>
    </w:p>
    <w:p w14:paraId="0D3F512B" w14:textId="77777777" w:rsidR="00B87902" w:rsidRPr="00B87902" w:rsidRDefault="00B87902" w:rsidP="00B87902">
      <w:pPr>
        <w:spacing w:line="276" w:lineRule="auto"/>
        <w:jc w:val="both"/>
        <w:rPr>
          <w:rFonts w:ascii="Verdana" w:hAnsi="Verdana" w:cs="Arial"/>
          <w:lang w:eastAsia="es-ES"/>
          <w14:ligatures w14:val="standardContextual"/>
        </w:rPr>
      </w:pPr>
    </w:p>
    <w:p w14:paraId="494F5E78" w14:textId="5D02201D" w:rsidR="00C96779" w:rsidRPr="0040232A" w:rsidRDefault="00B87902" w:rsidP="00C96779">
      <w:pPr>
        <w:spacing w:after="120" w:line="276" w:lineRule="auto"/>
        <w:ind w:firstLine="709"/>
        <w:jc w:val="both"/>
        <w:rPr>
          <w:rFonts w:ascii="Verdana" w:eastAsia="Calibri" w:hAnsi="Verdana" w:cs="Arial"/>
          <w:color w:val="000000" w:themeColor="text1"/>
          <w:sz w:val="22"/>
          <w:szCs w:val="22"/>
          <w:lang w:val="es-ES"/>
        </w:rPr>
      </w:pPr>
      <w:r w:rsidRPr="0040232A">
        <w:rPr>
          <w:rFonts w:ascii="Verdana" w:eastAsia="Calibri" w:hAnsi="Verdana" w:cs="Arial"/>
          <w:color w:val="000000" w:themeColor="text1"/>
          <w:sz w:val="22"/>
          <w:szCs w:val="22"/>
          <w:lang w:val="es-ES"/>
        </w:rPr>
        <w:t>Adicionalmente</w:t>
      </w:r>
      <w:r w:rsidR="005B37A7" w:rsidRPr="0040232A">
        <w:rPr>
          <w:rFonts w:ascii="Verdana" w:eastAsia="Calibri" w:hAnsi="Verdana" w:cs="Arial"/>
          <w:color w:val="000000" w:themeColor="text1"/>
          <w:sz w:val="22"/>
          <w:szCs w:val="22"/>
          <w:lang w:val="es-ES"/>
        </w:rPr>
        <w:t xml:space="preserve">, </w:t>
      </w:r>
      <w:r w:rsidR="00FE6AD7" w:rsidRPr="0040232A">
        <w:rPr>
          <w:rFonts w:ascii="Verdana" w:eastAsia="Calibri" w:hAnsi="Verdana" w:cs="Arial"/>
          <w:color w:val="000000" w:themeColor="text1"/>
          <w:sz w:val="22"/>
          <w:szCs w:val="22"/>
          <w:lang w:val="es-ES"/>
        </w:rPr>
        <w:t xml:space="preserve">el artículo 86 de la Ley 1474 de 2011 estableció de manera expresa </w:t>
      </w:r>
      <w:r w:rsidR="004A5513">
        <w:rPr>
          <w:rFonts w:ascii="Verdana" w:eastAsia="Calibri" w:hAnsi="Verdana" w:cs="Arial"/>
          <w:color w:val="000000" w:themeColor="text1"/>
          <w:sz w:val="22"/>
          <w:szCs w:val="22"/>
          <w:lang w:val="es-ES"/>
        </w:rPr>
        <w:t xml:space="preserve">que </w:t>
      </w:r>
      <w:r w:rsidR="00FE6AD7" w:rsidRPr="0040232A">
        <w:rPr>
          <w:rFonts w:ascii="Verdana" w:eastAsia="Calibri" w:hAnsi="Verdana" w:cs="Arial"/>
          <w:color w:val="000000" w:themeColor="text1"/>
          <w:sz w:val="22"/>
          <w:szCs w:val="22"/>
          <w:lang w:val="es-ES"/>
        </w:rPr>
        <w:t>las entidades sometidas al EGCAP</w:t>
      </w:r>
      <w:r w:rsidR="00595BC6" w:rsidRPr="0040232A">
        <w:rPr>
          <w:rFonts w:ascii="Verdana" w:eastAsia="Calibri" w:hAnsi="Verdana" w:cs="Arial"/>
          <w:color w:val="000000" w:themeColor="text1"/>
          <w:sz w:val="22"/>
          <w:szCs w:val="22"/>
          <w:lang w:val="es-ES"/>
        </w:rPr>
        <w:t xml:space="preserve"> pueden adelantar ese procedimiento</w:t>
      </w:r>
      <w:r w:rsidR="004A5513">
        <w:rPr>
          <w:rFonts w:ascii="Verdana" w:eastAsia="Calibri" w:hAnsi="Verdana" w:cs="Arial"/>
          <w:color w:val="000000" w:themeColor="text1"/>
          <w:sz w:val="22"/>
          <w:szCs w:val="22"/>
          <w:lang w:val="es-ES"/>
        </w:rPr>
        <w:t xml:space="preserve"> en </w:t>
      </w:r>
      <w:r w:rsidR="004A5513" w:rsidRPr="0040232A">
        <w:rPr>
          <w:rFonts w:ascii="Verdana" w:eastAsia="Calibri" w:hAnsi="Verdana" w:cs="Arial"/>
          <w:color w:val="000000" w:themeColor="text1"/>
          <w:sz w:val="22"/>
          <w:szCs w:val="22"/>
          <w:lang w:val="es-ES"/>
        </w:rPr>
        <w:t xml:space="preserve">los </w:t>
      </w:r>
      <w:r w:rsidR="004A5513">
        <w:rPr>
          <w:rFonts w:ascii="Verdana" w:eastAsia="Calibri" w:hAnsi="Verdana" w:cs="Arial"/>
          <w:color w:val="000000" w:themeColor="text1"/>
          <w:sz w:val="22"/>
          <w:szCs w:val="22"/>
          <w:lang w:val="es-ES"/>
        </w:rPr>
        <w:t xml:space="preserve">siguientes </w:t>
      </w:r>
      <w:r w:rsidR="004A5513" w:rsidRPr="0040232A">
        <w:rPr>
          <w:rFonts w:ascii="Verdana" w:eastAsia="Calibri" w:hAnsi="Verdana" w:cs="Arial"/>
          <w:color w:val="000000" w:themeColor="text1"/>
          <w:sz w:val="22"/>
          <w:szCs w:val="22"/>
          <w:lang w:val="es-ES"/>
        </w:rPr>
        <w:t>supuestos</w:t>
      </w:r>
      <w:r w:rsidR="00FE6AD7" w:rsidRPr="0040232A">
        <w:rPr>
          <w:rFonts w:ascii="Verdana" w:eastAsia="Calibri" w:hAnsi="Verdana" w:cs="Arial"/>
          <w:color w:val="000000" w:themeColor="text1"/>
          <w:sz w:val="22"/>
          <w:szCs w:val="22"/>
          <w:lang w:val="es-ES"/>
        </w:rPr>
        <w:t xml:space="preserve">: </w:t>
      </w:r>
      <w:r w:rsidR="00005F27" w:rsidRPr="0040232A">
        <w:rPr>
          <w:rFonts w:ascii="Verdana" w:eastAsia="Calibri" w:hAnsi="Verdana" w:cs="Arial"/>
          <w:color w:val="000000" w:themeColor="text1"/>
          <w:sz w:val="22"/>
          <w:szCs w:val="22"/>
          <w:lang w:val="es-ES"/>
        </w:rPr>
        <w:t>1</w:t>
      </w:r>
      <w:r w:rsidR="00FE6AD7" w:rsidRPr="0040232A">
        <w:rPr>
          <w:rFonts w:ascii="Verdana" w:eastAsia="Calibri" w:hAnsi="Verdana" w:cs="Arial"/>
          <w:color w:val="000000" w:themeColor="text1"/>
          <w:sz w:val="22"/>
          <w:szCs w:val="22"/>
          <w:lang w:val="es-ES"/>
        </w:rPr>
        <w:t xml:space="preserve">) para declarar el incumplimiento, </w:t>
      </w:r>
      <w:r w:rsidR="000C1F75" w:rsidRPr="0040232A">
        <w:rPr>
          <w:rFonts w:ascii="Verdana" w:eastAsia="Calibri" w:hAnsi="Verdana" w:cs="Arial"/>
          <w:color w:val="000000" w:themeColor="text1"/>
          <w:sz w:val="22"/>
          <w:szCs w:val="22"/>
          <w:lang w:val="es-ES"/>
        </w:rPr>
        <w:t xml:space="preserve">cuantificando los perjuicios </w:t>
      </w:r>
      <w:proofErr w:type="gramStart"/>
      <w:r w:rsidR="000C1F75" w:rsidRPr="0040232A">
        <w:rPr>
          <w:rFonts w:ascii="Verdana" w:eastAsia="Calibri" w:hAnsi="Verdana" w:cs="Arial"/>
          <w:color w:val="000000" w:themeColor="text1"/>
          <w:sz w:val="22"/>
          <w:szCs w:val="22"/>
          <w:lang w:val="es-ES"/>
        </w:rPr>
        <w:t>del mismo</w:t>
      </w:r>
      <w:proofErr w:type="gramEnd"/>
      <w:r w:rsidR="00595BC6" w:rsidRPr="0040232A">
        <w:rPr>
          <w:rFonts w:ascii="Verdana" w:eastAsia="Calibri" w:hAnsi="Verdana" w:cs="Arial"/>
          <w:color w:val="000000" w:themeColor="text1"/>
          <w:sz w:val="22"/>
          <w:szCs w:val="22"/>
          <w:lang w:val="es-ES"/>
        </w:rPr>
        <w:t>;</w:t>
      </w:r>
      <w:r w:rsidR="000C1F75" w:rsidRPr="0040232A">
        <w:rPr>
          <w:rFonts w:ascii="Verdana" w:eastAsia="Calibri" w:hAnsi="Verdana" w:cs="Arial"/>
          <w:color w:val="000000" w:themeColor="text1"/>
          <w:sz w:val="22"/>
          <w:szCs w:val="22"/>
          <w:lang w:val="es-ES"/>
        </w:rPr>
        <w:t xml:space="preserve"> </w:t>
      </w:r>
      <w:r w:rsidR="00005F27" w:rsidRPr="0040232A">
        <w:rPr>
          <w:rFonts w:ascii="Verdana" w:eastAsia="Calibri" w:hAnsi="Verdana" w:cs="Arial"/>
          <w:color w:val="000000" w:themeColor="text1"/>
          <w:sz w:val="22"/>
          <w:szCs w:val="22"/>
          <w:lang w:val="es-ES"/>
        </w:rPr>
        <w:t>2</w:t>
      </w:r>
      <w:r w:rsidR="00FE6AD7" w:rsidRPr="0040232A">
        <w:rPr>
          <w:rFonts w:ascii="Verdana" w:eastAsia="Calibri" w:hAnsi="Verdana" w:cs="Arial"/>
          <w:color w:val="000000" w:themeColor="text1"/>
          <w:sz w:val="22"/>
          <w:szCs w:val="22"/>
          <w:lang w:val="es-ES"/>
        </w:rPr>
        <w:t xml:space="preserve">) </w:t>
      </w:r>
      <w:r w:rsidR="000C1F75" w:rsidRPr="0040232A">
        <w:rPr>
          <w:rFonts w:ascii="Verdana" w:eastAsia="Calibri" w:hAnsi="Verdana" w:cs="Arial"/>
          <w:color w:val="000000" w:themeColor="text1"/>
          <w:sz w:val="22"/>
          <w:szCs w:val="22"/>
          <w:lang w:val="es-ES"/>
        </w:rPr>
        <w:t xml:space="preserve">imponer las multas y sanciones pactadas en el contrato, y </w:t>
      </w:r>
      <w:r w:rsidR="00005F27" w:rsidRPr="0040232A">
        <w:rPr>
          <w:rFonts w:ascii="Verdana" w:eastAsia="Calibri" w:hAnsi="Verdana" w:cs="Arial"/>
          <w:color w:val="000000" w:themeColor="text1"/>
          <w:sz w:val="22"/>
          <w:szCs w:val="22"/>
          <w:lang w:val="es-ES"/>
        </w:rPr>
        <w:t>3</w:t>
      </w:r>
      <w:r w:rsidR="00FE6AD7" w:rsidRPr="0040232A">
        <w:rPr>
          <w:rFonts w:ascii="Verdana" w:eastAsia="Calibri" w:hAnsi="Verdana" w:cs="Arial"/>
          <w:color w:val="000000" w:themeColor="text1"/>
          <w:sz w:val="22"/>
          <w:szCs w:val="22"/>
          <w:lang w:val="es-ES"/>
        </w:rPr>
        <w:t xml:space="preserve">) </w:t>
      </w:r>
      <w:r w:rsidR="000C1F75" w:rsidRPr="0040232A">
        <w:rPr>
          <w:rFonts w:ascii="Verdana" w:eastAsia="Calibri" w:hAnsi="Verdana" w:cs="Arial"/>
          <w:color w:val="000000" w:themeColor="text1"/>
          <w:sz w:val="22"/>
          <w:szCs w:val="22"/>
          <w:lang w:val="es-ES"/>
        </w:rPr>
        <w:t>hacer efectiva la cláusula penal</w:t>
      </w:r>
      <w:r w:rsidR="00FE6AD7" w:rsidRPr="0040232A">
        <w:rPr>
          <w:rFonts w:ascii="Verdana" w:eastAsia="Calibri" w:hAnsi="Verdana" w:cs="Arial"/>
          <w:color w:val="000000" w:themeColor="text1"/>
          <w:sz w:val="22"/>
          <w:szCs w:val="22"/>
          <w:lang w:val="es-ES"/>
        </w:rPr>
        <w:t xml:space="preserve"> cuando haya sido pactada.</w:t>
      </w:r>
      <w:r w:rsidR="00595BC6" w:rsidRPr="0040232A">
        <w:rPr>
          <w:rFonts w:ascii="Verdana" w:eastAsia="Calibri" w:hAnsi="Verdana" w:cs="Arial"/>
          <w:color w:val="000000" w:themeColor="text1"/>
          <w:sz w:val="22"/>
          <w:szCs w:val="22"/>
          <w:lang w:val="es-ES"/>
        </w:rPr>
        <w:t xml:space="preserve"> En consecuencia, la Ley 1474 de 2011 atribuyó</w:t>
      </w:r>
      <w:r w:rsidR="00005F27" w:rsidRPr="0040232A">
        <w:rPr>
          <w:rFonts w:ascii="Verdana" w:eastAsia="Calibri" w:hAnsi="Verdana" w:cs="Arial"/>
          <w:color w:val="000000" w:themeColor="text1"/>
          <w:sz w:val="22"/>
          <w:szCs w:val="22"/>
          <w:lang w:val="es-ES"/>
        </w:rPr>
        <w:t xml:space="preserve"> expresamente</w:t>
      </w:r>
      <w:r w:rsidR="00595BC6" w:rsidRPr="0040232A">
        <w:rPr>
          <w:rFonts w:ascii="Verdana" w:eastAsia="Calibri" w:hAnsi="Verdana" w:cs="Arial"/>
          <w:color w:val="000000" w:themeColor="text1"/>
          <w:sz w:val="22"/>
          <w:szCs w:val="22"/>
          <w:lang w:val="es-ES"/>
        </w:rPr>
        <w:t xml:space="preserve"> la competencia a las entidades para adelantar el procedimiento del artículo 86 en los tres supuestos</w:t>
      </w:r>
      <w:r w:rsidR="0005777C" w:rsidRPr="0040232A">
        <w:rPr>
          <w:rFonts w:ascii="Verdana" w:eastAsia="Calibri" w:hAnsi="Verdana" w:cs="Arial"/>
          <w:color w:val="000000" w:themeColor="text1"/>
          <w:sz w:val="22"/>
          <w:szCs w:val="22"/>
          <w:lang w:val="es-ES"/>
        </w:rPr>
        <w:t xml:space="preserve"> antedichos</w:t>
      </w:r>
      <w:r w:rsidR="00736F68" w:rsidRPr="0040232A">
        <w:rPr>
          <w:rFonts w:ascii="Verdana" w:eastAsia="Calibri" w:hAnsi="Verdana" w:cs="Arial"/>
          <w:color w:val="000000" w:themeColor="text1"/>
          <w:sz w:val="22"/>
          <w:szCs w:val="22"/>
          <w:lang w:val="es-ES"/>
        </w:rPr>
        <w:t>, independientemente considerados</w:t>
      </w:r>
      <w:r w:rsidR="00595BC6" w:rsidRPr="0040232A">
        <w:rPr>
          <w:rFonts w:ascii="Verdana" w:eastAsia="Calibri" w:hAnsi="Verdana" w:cs="Arial"/>
          <w:color w:val="000000" w:themeColor="text1"/>
          <w:sz w:val="22"/>
          <w:szCs w:val="22"/>
          <w:lang w:val="es-ES"/>
        </w:rPr>
        <w:t>.</w:t>
      </w:r>
      <w:r w:rsidR="00736F68" w:rsidRPr="0040232A">
        <w:rPr>
          <w:rFonts w:ascii="Verdana" w:eastAsia="Calibri" w:hAnsi="Verdana" w:cs="Arial"/>
          <w:color w:val="000000" w:themeColor="text1"/>
          <w:sz w:val="22"/>
          <w:szCs w:val="22"/>
          <w:lang w:val="es-ES"/>
        </w:rPr>
        <w:t xml:space="preserve"> </w:t>
      </w:r>
    </w:p>
    <w:p w14:paraId="38ECDB43" w14:textId="4D5EA4BF" w:rsidR="00FE6AD7" w:rsidRPr="0040232A" w:rsidRDefault="00736F68" w:rsidP="00C96779">
      <w:pPr>
        <w:spacing w:after="120" w:line="276" w:lineRule="auto"/>
        <w:ind w:firstLine="709"/>
        <w:jc w:val="both"/>
        <w:rPr>
          <w:rFonts w:ascii="Verdana" w:eastAsia="Calibri" w:hAnsi="Verdana" w:cs="Arial"/>
          <w:color w:val="000000" w:themeColor="text1"/>
          <w:sz w:val="22"/>
          <w:szCs w:val="22"/>
          <w:lang w:val="es-ES"/>
        </w:rPr>
      </w:pPr>
      <w:r w:rsidRPr="0040232A">
        <w:rPr>
          <w:rFonts w:ascii="Verdana" w:eastAsia="Calibri" w:hAnsi="Verdana" w:cs="Arial"/>
          <w:color w:val="000000" w:themeColor="text1"/>
          <w:sz w:val="22"/>
          <w:szCs w:val="22"/>
          <w:lang w:val="es-ES"/>
        </w:rPr>
        <w:t xml:space="preserve">Esto es congruente con la redacción de otros apartes del artículo, como es el caso del literal c) del artículo 86, según el cual mediante resolución motivada la entidad decidirá sobre “la imposición o no de la multa, sanción </w:t>
      </w:r>
      <w:r w:rsidRPr="0040232A">
        <w:rPr>
          <w:rFonts w:ascii="Verdana" w:eastAsia="Calibri" w:hAnsi="Verdana" w:cs="Arial"/>
          <w:color w:val="000000" w:themeColor="text1"/>
          <w:sz w:val="22"/>
          <w:szCs w:val="22"/>
          <w:u w:val="single"/>
          <w:lang w:val="es-ES"/>
        </w:rPr>
        <w:t>o declaratoria de incumplimiento</w:t>
      </w:r>
      <w:r w:rsidRPr="0040232A">
        <w:rPr>
          <w:rFonts w:ascii="Verdana" w:eastAsia="Calibri" w:hAnsi="Verdana" w:cs="Arial"/>
          <w:color w:val="000000" w:themeColor="text1"/>
          <w:sz w:val="22"/>
          <w:szCs w:val="22"/>
          <w:lang w:val="es-ES"/>
        </w:rPr>
        <w:t>” [Énfasis propio].</w:t>
      </w:r>
      <w:r w:rsidR="00595BC6" w:rsidRPr="0040232A">
        <w:rPr>
          <w:rFonts w:ascii="Verdana" w:eastAsia="Calibri" w:hAnsi="Verdana" w:cs="Arial"/>
          <w:color w:val="000000" w:themeColor="text1"/>
          <w:sz w:val="22"/>
          <w:szCs w:val="22"/>
          <w:lang w:val="es-ES"/>
        </w:rPr>
        <w:t xml:space="preserve"> </w:t>
      </w:r>
      <w:r w:rsidR="000F7FB7" w:rsidRPr="0040232A">
        <w:rPr>
          <w:rFonts w:ascii="Verdana" w:eastAsia="Calibri" w:hAnsi="Verdana" w:cs="Arial"/>
          <w:color w:val="000000" w:themeColor="text1"/>
          <w:sz w:val="22"/>
          <w:szCs w:val="22"/>
          <w:lang w:val="es-ES"/>
        </w:rPr>
        <w:t>Así como con lo dispuesto en el artículo 99 de la Ley 1437 de 2011 –Código de Procedimiento Administrativo y de lo Contencioso Administrativo–</w:t>
      </w:r>
      <w:r w:rsidR="00C96779" w:rsidRPr="0040232A">
        <w:rPr>
          <w:rFonts w:ascii="Verdana" w:eastAsia="Calibri" w:hAnsi="Verdana" w:cs="Arial"/>
          <w:color w:val="000000" w:themeColor="text1"/>
          <w:sz w:val="22"/>
          <w:szCs w:val="22"/>
          <w:lang w:val="es-ES"/>
        </w:rPr>
        <w:t xml:space="preserve">, el cual </w:t>
      </w:r>
      <w:r w:rsidR="000F7FB7" w:rsidRPr="0040232A">
        <w:rPr>
          <w:rFonts w:ascii="Verdana" w:eastAsia="Calibri" w:hAnsi="Verdana" w:cs="Arial"/>
          <w:color w:val="000000" w:themeColor="text1"/>
          <w:sz w:val="22"/>
          <w:szCs w:val="22"/>
          <w:lang w:val="es-ES"/>
        </w:rPr>
        <w:t xml:space="preserve">estableció́ como documentos que prestan mérito ejecutivo en favor del Estado “[l]os contratos o los documentos en que constan sus garantías, junto con el acto administrativo que declara el incumplimiento </w:t>
      </w:r>
      <w:r w:rsidR="000F7FB7" w:rsidRPr="0040232A">
        <w:rPr>
          <w:rFonts w:ascii="Verdana" w:eastAsia="Calibri" w:hAnsi="Verdana" w:cs="Arial"/>
          <w:color w:val="000000" w:themeColor="text1"/>
          <w:sz w:val="22"/>
          <w:szCs w:val="22"/>
          <w:u w:val="single"/>
          <w:lang w:val="es-ES"/>
        </w:rPr>
        <w:t>o</w:t>
      </w:r>
      <w:r w:rsidR="000F7FB7" w:rsidRPr="0040232A">
        <w:rPr>
          <w:rFonts w:ascii="Verdana" w:eastAsia="Calibri" w:hAnsi="Verdana" w:cs="Arial"/>
          <w:color w:val="000000" w:themeColor="text1"/>
          <w:sz w:val="22"/>
          <w:szCs w:val="22"/>
          <w:lang w:val="es-ES"/>
        </w:rPr>
        <w:t xml:space="preserve"> la caducidad”.</w:t>
      </w:r>
      <w:r w:rsidR="000F7FB7" w:rsidRPr="0040232A">
        <w:rPr>
          <w:rFonts w:ascii="EhrhardtMTStd" w:hAnsi="EhrhardtMTStd"/>
          <w:sz w:val="22"/>
          <w:szCs w:val="22"/>
          <w:highlight w:val="yellow"/>
          <w:lang w:val="es-ES"/>
        </w:rPr>
        <w:t xml:space="preserve"> </w:t>
      </w:r>
    </w:p>
    <w:p w14:paraId="3CFA4559" w14:textId="0A9AD360" w:rsidR="000F17DD" w:rsidRPr="0040232A" w:rsidRDefault="004E10E9" w:rsidP="004E10E9">
      <w:pPr>
        <w:spacing w:before="120" w:after="120" w:line="276" w:lineRule="auto"/>
        <w:ind w:firstLine="708"/>
        <w:jc w:val="both"/>
        <w:rPr>
          <w:rFonts w:ascii="Verdana" w:eastAsia="Calibri" w:hAnsi="Verdana" w:cs="Arial"/>
          <w:color w:val="000000" w:themeColor="text1"/>
          <w:sz w:val="22"/>
          <w:szCs w:val="22"/>
          <w:lang w:val="es-ES"/>
        </w:rPr>
      </w:pPr>
      <w:r w:rsidRPr="0040232A">
        <w:rPr>
          <w:rFonts w:ascii="Verdana" w:eastAsia="Calibri" w:hAnsi="Verdana" w:cs="Arial"/>
          <w:color w:val="000000" w:themeColor="text1"/>
          <w:sz w:val="22"/>
          <w:szCs w:val="22"/>
          <w:lang w:val="es-ES"/>
        </w:rPr>
        <w:t xml:space="preserve">En concordancia con lo explicado previamente, las entidades adelantarán </w:t>
      </w:r>
      <w:r w:rsidR="00C96779" w:rsidRPr="0040232A">
        <w:rPr>
          <w:rFonts w:ascii="Verdana" w:eastAsia="Calibri" w:hAnsi="Verdana" w:cs="Arial"/>
          <w:color w:val="000000" w:themeColor="text1"/>
          <w:sz w:val="22"/>
          <w:szCs w:val="22"/>
          <w:lang w:val="es-ES"/>
        </w:rPr>
        <w:t xml:space="preserve">el procedimiento establecido en el referido artículo 86 </w:t>
      </w:r>
      <w:r w:rsidRPr="0040232A">
        <w:rPr>
          <w:rFonts w:ascii="Verdana" w:eastAsia="Calibri" w:hAnsi="Verdana" w:cs="Arial"/>
          <w:color w:val="000000" w:themeColor="text1"/>
          <w:sz w:val="22"/>
          <w:szCs w:val="22"/>
          <w:lang w:val="es-ES"/>
        </w:rPr>
        <w:t>con el fin ejercer unilateralmente la potestad de imponer las multas y hacer efectiva la cláusula penal, cuando hayan sido incluidas en el contrato en virtud de la autonomía de la voluntad</w:t>
      </w:r>
      <w:r w:rsidR="0005777C" w:rsidRPr="0040232A">
        <w:rPr>
          <w:rFonts w:ascii="Verdana" w:eastAsia="Calibri" w:hAnsi="Verdana" w:cs="Arial"/>
          <w:color w:val="000000" w:themeColor="text1"/>
          <w:sz w:val="22"/>
          <w:szCs w:val="22"/>
          <w:lang w:val="es-ES"/>
        </w:rPr>
        <w:t xml:space="preserve">. Sin embargo, la facultad de </w:t>
      </w:r>
      <w:r w:rsidR="00B75BCE" w:rsidRPr="0040232A">
        <w:rPr>
          <w:rFonts w:ascii="Verdana" w:eastAsia="Calibri" w:hAnsi="Verdana" w:cs="Arial"/>
          <w:color w:val="000000" w:themeColor="text1"/>
          <w:sz w:val="22"/>
          <w:szCs w:val="22"/>
          <w:lang w:val="es-ES"/>
        </w:rPr>
        <w:t xml:space="preserve">aplicar el </w:t>
      </w:r>
      <w:r w:rsidR="0005777C" w:rsidRPr="0040232A">
        <w:rPr>
          <w:rFonts w:ascii="Verdana" w:eastAsia="Calibri" w:hAnsi="Verdana" w:cs="Arial"/>
          <w:color w:val="000000" w:themeColor="text1"/>
          <w:sz w:val="22"/>
          <w:szCs w:val="22"/>
          <w:lang w:val="es-ES"/>
        </w:rPr>
        <w:t xml:space="preserve">procedimiento no se </w:t>
      </w:r>
      <w:r w:rsidR="00B75BCE" w:rsidRPr="0040232A">
        <w:rPr>
          <w:rFonts w:ascii="Verdana" w:eastAsia="Calibri" w:hAnsi="Verdana" w:cs="Arial"/>
          <w:color w:val="000000" w:themeColor="text1"/>
          <w:sz w:val="22"/>
          <w:szCs w:val="22"/>
          <w:lang w:val="es-ES"/>
        </w:rPr>
        <w:t>encuentra</w:t>
      </w:r>
      <w:r w:rsidR="0005777C" w:rsidRPr="0040232A">
        <w:rPr>
          <w:rFonts w:ascii="Verdana" w:eastAsia="Calibri" w:hAnsi="Verdana" w:cs="Arial"/>
          <w:color w:val="000000" w:themeColor="text1"/>
          <w:sz w:val="22"/>
          <w:szCs w:val="22"/>
          <w:lang w:val="es-ES"/>
        </w:rPr>
        <w:t xml:space="preserve"> limitada a estos </w:t>
      </w:r>
      <w:r w:rsidR="00B75BCE" w:rsidRPr="0040232A">
        <w:rPr>
          <w:rFonts w:ascii="Verdana" w:eastAsia="Calibri" w:hAnsi="Verdana" w:cs="Arial"/>
          <w:color w:val="000000" w:themeColor="text1"/>
          <w:sz w:val="22"/>
          <w:szCs w:val="22"/>
          <w:lang w:val="es-ES"/>
        </w:rPr>
        <w:t>supuestos</w:t>
      </w:r>
      <w:r w:rsidR="0005777C" w:rsidRPr="0040232A">
        <w:rPr>
          <w:rFonts w:ascii="Verdana" w:eastAsia="Calibri" w:hAnsi="Verdana" w:cs="Arial"/>
          <w:color w:val="000000" w:themeColor="text1"/>
          <w:sz w:val="22"/>
          <w:szCs w:val="22"/>
          <w:lang w:val="es-ES"/>
        </w:rPr>
        <w:t xml:space="preserve">, pues el artículo 86 señala que las entidades sometidas al EGCAP podrán, además de lo anterior, emplearlo para declarar el incumplimiento del contrato, cuantificando los perjuicios. </w:t>
      </w:r>
    </w:p>
    <w:p w14:paraId="7FB0054D" w14:textId="5079EE42" w:rsidR="00595BC6" w:rsidRPr="00EC2F74" w:rsidRDefault="004E519F" w:rsidP="004E10E9">
      <w:pPr>
        <w:spacing w:before="120" w:after="120" w:line="276" w:lineRule="auto"/>
        <w:ind w:firstLine="708"/>
        <w:jc w:val="both"/>
        <w:rPr>
          <w:rFonts w:ascii="Verdana" w:eastAsia="Calibri" w:hAnsi="Verdana" w:cs="Arial"/>
          <w:color w:val="000000" w:themeColor="text1"/>
          <w:lang w:val="es-ES"/>
        </w:rPr>
      </w:pPr>
      <w:r w:rsidRPr="0040232A">
        <w:rPr>
          <w:rFonts w:ascii="Verdana" w:eastAsia="Calibri" w:hAnsi="Verdana" w:cs="Arial"/>
          <w:color w:val="000000" w:themeColor="text1"/>
          <w:sz w:val="22"/>
          <w:szCs w:val="22"/>
          <w:lang w:val="es-ES"/>
        </w:rPr>
        <w:t xml:space="preserve">En efecto, el procedimiento del artículo 86 </w:t>
      </w:r>
      <w:r w:rsidR="00C96779" w:rsidRPr="0040232A">
        <w:rPr>
          <w:rFonts w:ascii="Verdana" w:eastAsia="Calibri" w:hAnsi="Verdana" w:cs="Arial"/>
          <w:color w:val="000000" w:themeColor="text1"/>
          <w:sz w:val="22"/>
          <w:szCs w:val="22"/>
          <w:lang w:val="es-ES"/>
        </w:rPr>
        <w:t xml:space="preserve">es </w:t>
      </w:r>
      <w:r w:rsidRPr="0040232A">
        <w:rPr>
          <w:rFonts w:ascii="Verdana" w:eastAsia="Calibri" w:hAnsi="Verdana" w:cs="Arial"/>
          <w:color w:val="000000" w:themeColor="text1"/>
          <w:sz w:val="22"/>
          <w:szCs w:val="22"/>
          <w:lang w:val="es-ES"/>
        </w:rPr>
        <w:t xml:space="preserve">procedente para que la entidad declare que el contratista ha incumplido el contrato y, en este evento, </w:t>
      </w:r>
      <w:r w:rsidRPr="0040232A">
        <w:rPr>
          <w:rFonts w:ascii="Verdana" w:eastAsia="Calibri" w:hAnsi="Verdana" w:cs="Arial"/>
          <w:color w:val="000000" w:themeColor="text1"/>
          <w:sz w:val="22"/>
          <w:szCs w:val="22"/>
          <w:lang w:val="es-ES"/>
        </w:rPr>
        <w:lastRenderedPageBreak/>
        <w:t xml:space="preserve">surgirá el derecho de hacer efectiva la póliza de cumplimiento, </w:t>
      </w:r>
      <w:r w:rsidR="00455900" w:rsidRPr="0040232A">
        <w:rPr>
          <w:rFonts w:ascii="Verdana" w:eastAsia="Calibri" w:hAnsi="Verdana" w:cs="Arial"/>
          <w:color w:val="000000" w:themeColor="text1"/>
          <w:sz w:val="22"/>
          <w:szCs w:val="22"/>
          <w:lang w:val="es-ES"/>
        </w:rPr>
        <w:t>aun</w:t>
      </w:r>
      <w:r w:rsidRPr="0040232A">
        <w:rPr>
          <w:rFonts w:ascii="Verdana" w:eastAsia="Calibri" w:hAnsi="Verdana" w:cs="Arial"/>
          <w:color w:val="000000" w:themeColor="text1"/>
          <w:sz w:val="22"/>
          <w:szCs w:val="22"/>
          <w:lang w:val="es-ES"/>
        </w:rPr>
        <w:t xml:space="preserve"> cuando </w:t>
      </w:r>
      <w:r w:rsidR="007529BD" w:rsidRPr="0040232A">
        <w:rPr>
          <w:rFonts w:ascii="Verdana" w:eastAsia="Calibri" w:hAnsi="Verdana" w:cs="Arial"/>
          <w:color w:val="000000" w:themeColor="text1"/>
          <w:sz w:val="22"/>
          <w:szCs w:val="22"/>
          <w:lang w:val="es-ES"/>
        </w:rPr>
        <w:t>la administración no haya pactado multas o la imposición de la cláusula penal.</w:t>
      </w:r>
      <w:r w:rsidR="000F17DD" w:rsidRPr="0040232A">
        <w:rPr>
          <w:rFonts w:ascii="Verdana" w:eastAsia="Calibri" w:hAnsi="Verdana" w:cs="Arial"/>
          <w:color w:val="000000" w:themeColor="text1"/>
          <w:sz w:val="22"/>
          <w:szCs w:val="22"/>
          <w:lang w:val="es-ES"/>
        </w:rPr>
        <w:t xml:space="preserve"> En otras palabras, la declaratoria del incumplimiento del contrato</w:t>
      </w:r>
      <w:r w:rsidR="00363E78" w:rsidRPr="0040232A">
        <w:rPr>
          <w:rFonts w:ascii="Verdana" w:eastAsia="Calibri" w:hAnsi="Verdana" w:cs="Arial"/>
          <w:color w:val="000000" w:themeColor="text1"/>
          <w:sz w:val="22"/>
          <w:szCs w:val="22"/>
          <w:lang w:val="es-ES"/>
        </w:rPr>
        <w:t>,</w:t>
      </w:r>
      <w:r w:rsidR="000F17DD" w:rsidRPr="0040232A">
        <w:rPr>
          <w:rFonts w:ascii="Verdana" w:eastAsia="Calibri" w:hAnsi="Verdana" w:cs="Arial"/>
          <w:color w:val="000000" w:themeColor="text1"/>
          <w:sz w:val="22"/>
          <w:szCs w:val="22"/>
          <w:lang w:val="es-ES"/>
        </w:rPr>
        <w:t xml:space="preserve"> que puede dar lugar a la efectividad de la garantía otorgada por el contratista, no se encuentra supeditada a que las partes </w:t>
      </w:r>
      <w:r w:rsidR="00C96779" w:rsidRPr="0040232A">
        <w:rPr>
          <w:rFonts w:ascii="Verdana" w:eastAsia="Calibri" w:hAnsi="Verdana" w:cs="Arial"/>
          <w:color w:val="000000" w:themeColor="text1"/>
          <w:sz w:val="22"/>
          <w:szCs w:val="22"/>
          <w:lang w:val="es-ES"/>
        </w:rPr>
        <w:t xml:space="preserve">incluyan cláusulas contractuales para </w:t>
      </w:r>
      <w:r w:rsidR="000F17DD" w:rsidRPr="0040232A">
        <w:rPr>
          <w:rFonts w:ascii="Verdana" w:eastAsia="Calibri" w:hAnsi="Verdana" w:cs="Arial"/>
          <w:color w:val="000000" w:themeColor="text1"/>
          <w:sz w:val="22"/>
          <w:szCs w:val="22"/>
          <w:lang w:val="es-ES"/>
        </w:rPr>
        <w:t>la imposición de multas o la cláusula penal. Por el contrario, es el incumplimiento de las obligaciones por parte del contratista lo que puede ocasionar la imposición de las multas o la ejecución de la cláusula penal</w:t>
      </w:r>
      <w:r w:rsidR="00195EC8">
        <w:rPr>
          <w:rFonts w:ascii="Verdana" w:eastAsia="Calibri" w:hAnsi="Verdana" w:cs="Arial"/>
          <w:color w:val="000000" w:themeColor="text1"/>
          <w:sz w:val="22"/>
          <w:szCs w:val="22"/>
          <w:lang w:val="es-ES"/>
        </w:rPr>
        <w:t>,</w:t>
      </w:r>
      <w:r w:rsidR="000F17DD" w:rsidRPr="0040232A">
        <w:rPr>
          <w:rFonts w:ascii="Verdana" w:eastAsia="Calibri" w:hAnsi="Verdana" w:cs="Arial"/>
          <w:color w:val="000000" w:themeColor="text1"/>
          <w:sz w:val="22"/>
          <w:szCs w:val="22"/>
          <w:lang w:val="es-ES"/>
        </w:rPr>
        <w:t xml:space="preserve"> cuando hayan sido pactadas en el contrato.</w:t>
      </w:r>
      <w:r w:rsidR="00363E78" w:rsidRPr="0040232A">
        <w:rPr>
          <w:rFonts w:ascii="Verdana" w:eastAsia="Calibri" w:hAnsi="Verdana" w:cs="Arial"/>
          <w:color w:val="000000" w:themeColor="text1"/>
          <w:sz w:val="22"/>
          <w:szCs w:val="22"/>
          <w:lang w:val="es-ES"/>
        </w:rPr>
        <w:t xml:space="preserve"> En </w:t>
      </w:r>
      <w:proofErr w:type="gramStart"/>
      <w:r w:rsidR="00363E78" w:rsidRPr="0040232A">
        <w:rPr>
          <w:rFonts w:ascii="Verdana" w:eastAsia="Calibri" w:hAnsi="Verdana" w:cs="Arial"/>
          <w:color w:val="000000" w:themeColor="text1"/>
          <w:sz w:val="22"/>
          <w:szCs w:val="22"/>
          <w:lang w:val="es-ES"/>
        </w:rPr>
        <w:t>consecuencia</w:t>
      </w:r>
      <w:proofErr w:type="gramEnd"/>
      <w:r w:rsidR="000F17DD" w:rsidRPr="0040232A">
        <w:rPr>
          <w:rFonts w:ascii="Verdana" w:eastAsia="Calibri" w:hAnsi="Verdana" w:cs="Arial"/>
          <w:color w:val="000000" w:themeColor="text1"/>
          <w:sz w:val="22"/>
          <w:szCs w:val="22"/>
          <w:lang w:val="es-ES"/>
        </w:rPr>
        <w:t xml:space="preserve"> cuando</w:t>
      </w:r>
      <w:r w:rsidR="00C96779" w:rsidRPr="0040232A">
        <w:rPr>
          <w:rFonts w:ascii="Verdana" w:eastAsia="Calibri" w:hAnsi="Verdana" w:cs="Arial"/>
          <w:color w:val="000000" w:themeColor="text1"/>
          <w:sz w:val="22"/>
          <w:szCs w:val="22"/>
          <w:lang w:val="es-ES"/>
        </w:rPr>
        <w:t>,</w:t>
      </w:r>
      <w:r w:rsidR="000F17DD" w:rsidRPr="0040232A">
        <w:rPr>
          <w:rFonts w:ascii="Verdana" w:eastAsia="Calibri" w:hAnsi="Verdana" w:cs="Arial"/>
          <w:color w:val="000000" w:themeColor="text1"/>
          <w:sz w:val="22"/>
          <w:szCs w:val="22"/>
          <w:lang w:val="es-ES"/>
        </w:rPr>
        <w:t xml:space="preserve"> en ejercicio de la autonomía de la voluntad</w:t>
      </w:r>
      <w:r w:rsidR="00C96779" w:rsidRPr="0040232A">
        <w:rPr>
          <w:rFonts w:ascii="Verdana" w:eastAsia="Calibri" w:hAnsi="Verdana" w:cs="Arial"/>
          <w:color w:val="000000" w:themeColor="text1"/>
          <w:sz w:val="22"/>
          <w:szCs w:val="22"/>
          <w:lang w:val="es-ES"/>
        </w:rPr>
        <w:t>,</w:t>
      </w:r>
      <w:r w:rsidR="000F17DD" w:rsidRPr="0040232A">
        <w:rPr>
          <w:rFonts w:ascii="Verdana" w:eastAsia="Calibri" w:hAnsi="Verdana" w:cs="Arial"/>
          <w:color w:val="000000" w:themeColor="text1"/>
          <w:sz w:val="22"/>
          <w:szCs w:val="22"/>
          <w:lang w:val="es-ES"/>
        </w:rPr>
        <w:t xml:space="preserve"> las entidades no </w:t>
      </w:r>
      <w:r w:rsidR="00C96779" w:rsidRPr="0040232A">
        <w:rPr>
          <w:rFonts w:ascii="Verdana" w:eastAsia="Calibri" w:hAnsi="Verdana" w:cs="Arial"/>
          <w:color w:val="000000" w:themeColor="text1"/>
          <w:sz w:val="22"/>
          <w:szCs w:val="22"/>
          <w:lang w:val="es-ES"/>
        </w:rPr>
        <w:t>pacten</w:t>
      </w:r>
      <w:r w:rsidR="000F17DD" w:rsidRPr="0040232A">
        <w:rPr>
          <w:rFonts w:ascii="Verdana" w:eastAsia="Calibri" w:hAnsi="Verdana" w:cs="Arial"/>
          <w:color w:val="000000" w:themeColor="text1"/>
          <w:sz w:val="22"/>
          <w:szCs w:val="22"/>
          <w:lang w:val="es-ES"/>
        </w:rPr>
        <w:t xml:space="preserve"> las multas o la cláusula penal, no por esto la administración perderá la potestad exorbitante que le otorgó </w:t>
      </w:r>
      <w:r w:rsidR="00A30DA5" w:rsidRPr="0040232A">
        <w:rPr>
          <w:rFonts w:ascii="Verdana" w:eastAsia="Calibri" w:hAnsi="Verdana" w:cs="Arial"/>
          <w:color w:val="000000" w:themeColor="text1"/>
          <w:sz w:val="22"/>
          <w:szCs w:val="22"/>
          <w:lang w:val="es-ES"/>
        </w:rPr>
        <w:t xml:space="preserve">expresamente </w:t>
      </w:r>
      <w:r w:rsidR="000F17DD" w:rsidRPr="0040232A">
        <w:rPr>
          <w:rFonts w:ascii="Verdana" w:eastAsia="Calibri" w:hAnsi="Verdana" w:cs="Arial"/>
          <w:color w:val="000000" w:themeColor="text1"/>
          <w:sz w:val="22"/>
          <w:szCs w:val="22"/>
          <w:lang w:val="es-ES"/>
        </w:rPr>
        <w:t xml:space="preserve">el artículo 86 </w:t>
      </w:r>
      <w:r w:rsidR="00A30DA5" w:rsidRPr="0040232A">
        <w:rPr>
          <w:rFonts w:ascii="Verdana" w:eastAsia="Calibri" w:hAnsi="Verdana" w:cs="Arial"/>
          <w:color w:val="000000" w:themeColor="text1"/>
          <w:sz w:val="22"/>
          <w:szCs w:val="22"/>
          <w:lang w:val="es-ES"/>
        </w:rPr>
        <w:t xml:space="preserve">de la </w:t>
      </w:r>
      <w:r w:rsidR="00195EC8">
        <w:rPr>
          <w:rFonts w:ascii="Verdana" w:eastAsia="Calibri" w:hAnsi="Verdana" w:cs="Arial"/>
          <w:color w:val="000000" w:themeColor="text1"/>
          <w:sz w:val="22"/>
          <w:szCs w:val="22"/>
          <w:lang w:val="es-ES"/>
        </w:rPr>
        <w:t>L</w:t>
      </w:r>
      <w:r w:rsidR="00A30DA5" w:rsidRPr="0040232A">
        <w:rPr>
          <w:rFonts w:ascii="Verdana" w:eastAsia="Calibri" w:hAnsi="Verdana" w:cs="Arial"/>
          <w:color w:val="000000" w:themeColor="text1"/>
          <w:sz w:val="22"/>
          <w:szCs w:val="22"/>
          <w:lang w:val="es-ES"/>
        </w:rPr>
        <w:t xml:space="preserve">ey 1474 de 2011 </w:t>
      </w:r>
      <w:r w:rsidR="000F17DD" w:rsidRPr="0040232A">
        <w:rPr>
          <w:rFonts w:ascii="Verdana" w:eastAsia="Calibri" w:hAnsi="Verdana" w:cs="Arial"/>
          <w:color w:val="000000" w:themeColor="text1"/>
          <w:sz w:val="22"/>
          <w:szCs w:val="22"/>
          <w:lang w:val="es-ES"/>
        </w:rPr>
        <w:t xml:space="preserve">de declarar el incumplimiento del contrato. </w:t>
      </w:r>
    </w:p>
    <w:p w14:paraId="31896E30" w14:textId="27479951" w:rsidR="001B23AB" w:rsidRPr="0040232A" w:rsidRDefault="000F17DD" w:rsidP="0038041A">
      <w:pPr>
        <w:spacing w:before="120" w:line="276" w:lineRule="auto"/>
        <w:ind w:firstLine="709"/>
        <w:jc w:val="both"/>
        <w:rPr>
          <w:rFonts w:ascii="Verdana" w:eastAsia="Calibri" w:hAnsi="Verdana" w:cs="Arial"/>
          <w:color w:val="000000" w:themeColor="text1"/>
          <w:sz w:val="22"/>
          <w:szCs w:val="22"/>
          <w:lang w:val="es-ES"/>
        </w:rPr>
      </w:pPr>
      <w:r w:rsidRPr="0040232A">
        <w:rPr>
          <w:rFonts w:ascii="Verdana" w:eastAsia="Calibri" w:hAnsi="Verdana" w:cs="Arial"/>
          <w:color w:val="000000" w:themeColor="text1"/>
          <w:sz w:val="22"/>
          <w:szCs w:val="22"/>
          <w:lang w:val="es-ES"/>
        </w:rPr>
        <w:t>De esta forma, l</w:t>
      </w:r>
      <w:r w:rsidR="007529BD" w:rsidRPr="0040232A">
        <w:rPr>
          <w:rFonts w:ascii="Verdana" w:eastAsia="Calibri" w:hAnsi="Verdana" w:cs="Arial"/>
          <w:color w:val="000000" w:themeColor="text1"/>
          <w:sz w:val="22"/>
          <w:szCs w:val="22"/>
          <w:lang w:val="es-ES"/>
        </w:rPr>
        <w:t>a declaratoria unilateral del siniestro en este caso est</w:t>
      </w:r>
      <w:r w:rsidR="00B75BCE" w:rsidRPr="0040232A">
        <w:rPr>
          <w:rFonts w:ascii="Verdana" w:eastAsia="Calibri" w:hAnsi="Verdana" w:cs="Arial"/>
          <w:color w:val="000000" w:themeColor="text1"/>
          <w:sz w:val="22"/>
          <w:szCs w:val="22"/>
          <w:lang w:val="es-ES"/>
        </w:rPr>
        <w:t>ará</w:t>
      </w:r>
      <w:r w:rsidR="007529BD" w:rsidRPr="0040232A">
        <w:rPr>
          <w:rFonts w:ascii="Verdana" w:eastAsia="Calibri" w:hAnsi="Verdana" w:cs="Arial"/>
          <w:color w:val="000000" w:themeColor="text1"/>
          <w:sz w:val="22"/>
          <w:szCs w:val="22"/>
          <w:lang w:val="es-ES"/>
        </w:rPr>
        <w:t xml:space="preserve"> precedida por la declaratoria del incumplimiento del contrato</w:t>
      </w:r>
      <w:r w:rsidR="00363E78" w:rsidRPr="0040232A">
        <w:rPr>
          <w:rFonts w:ascii="Verdana" w:eastAsia="Calibri" w:hAnsi="Verdana" w:cs="Arial"/>
          <w:color w:val="000000" w:themeColor="text1"/>
          <w:sz w:val="22"/>
          <w:szCs w:val="22"/>
          <w:lang w:val="es-ES"/>
        </w:rPr>
        <w:t>,</w:t>
      </w:r>
      <w:r w:rsidR="007529BD" w:rsidRPr="0040232A">
        <w:rPr>
          <w:rFonts w:ascii="Verdana" w:eastAsia="Calibri" w:hAnsi="Verdana" w:cs="Arial"/>
          <w:color w:val="000000" w:themeColor="text1"/>
          <w:sz w:val="22"/>
          <w:szCs w:val="22"/>
          <w:lang w:val="es-ES"/>
        </w:rPr>
        <w:t xml:space="preserve"> lo cual hace procedente el procedimiento </w:t>
      </w:r>
      <w:r w:rsidR="00455900" w:rsidRPr="0040232A">
        <w:rPr>
          <w:rFonts w:ascii="Verdana" w:eastAsia="Calibri" w:hAnsi="Verdana" w:cs="Arial"/>
          <w:color w:val="000000" w:themeColor="text1"/>
          <w:sz w:val="22"/>
          <w:szCs w:val="22"/>
          <w:lang w:val="es-ES"/>
        </w:rPr>
        <w:t>administrativo</w:t>
      </w:r>
      <w:r w:rsidR="007529BD" w:rsidRPr="0040232A">
        <w:rPr>
          <w:rFonts w:ascii="Verdana" w:eastAsia="Calibri" w:hAnsi="Verdana" w:cs="Arial"/>
          <w:color w:val="000000" w:themeColor="text1"/>
          <w:sz w:val="22"/>
          <w:szCs w:val="22"/>
          <w:lang w:val="es-ES"/>
        </w:rPr>
        <w:t xml:space="preserve"> del artículo 86. </w:t>
      </w:r>
      <w:r w:rsidR="001B23AB" w:rsidRPr="0040232A">
        <w:rPr>
          <w:rFonts w:ascii="Verdana" w:eastAsia="Calibri" w:hAnsi="Verdana" w:cs="Arial"/>
          <w:color w:val="000000" w:themeColor="text1"/>
          <w:sz w:val="22"/>
          <w:szCs w:val="22"/>
          <w:lang w:val="es-ES"/>
        </w:rPr>
        <w:t>La jurisprudencia explica que, al declarar el siniestro, la Administración no ejerce una potestad sancionadora</w:t>
      </w:r>
      <w:r w:rsidR="001B23AB" w:rsidRPr="0040232A">
        <w:rPr>
          <w:rStyle w:val="Refdenotaalpie"/>
          <w:rFonts w:ascii="Verdana" w:eastAsia="Calibri" w:hAnsi="Verdana" w:cs="Arial"/>
          <w:color w:val="000000" w:themeColor="text1"/>
          <w:sz w:val="22"/>
          <w:szCs w:val="22"/>
          <w:lang w:val="es-ES"/>
        </w:rPr>
        <w:footnoteReference w:id="24"/>
      </w:r>
      <w:r w:rsidR="001B23AB" w:rsidRPr="0040232A">
        <w:rPr>
          <w:rFonts w:ascii="Verdana" w:eastAsia="Calibri" w:hAnsi="Verdana" w:cs="Arial"/>
          <w:color w:val="000000" w:themeColor="text1"/>
          <w:sz w:val="22"/>
          <w:szCs w:val="22"/>
          <w:lang w:val="es-ES"/>
        </w:rPr>
        <w:t xml:space="preserve">. En esta medida, no se trata de una pena de carácter legal o convencional, porque no pretende terminar anormalmente el contrato –caducidad–, ni estima anticipadamente los perjuicios derivados del incumplimiento –cláusula penal–, como tampoco son medios coercitivos de apremio –multas–. Todo lo contrario, su función es salvaguardar el interés público y proteger patrimonialmente a la Administración frente a los eventuales incumplimientos imputables al contratista. </w:t>
      </w:r>
    </w:p>
    <w:p w14:paraId="6D643A0C" w14:textId="77777777" w:rsidR="00A30DA5" w:rsidRDefault="00363E78" w:rsidP="00363E78">
      <w:pPr>
        <w:pStyle w:val="Textonotapie"/>
        <w:spacing w:before="120" w:line="276" w:lineRule="auto"/>
        <w:ind w:firstLine="708"/>
        <w:jc w:val="both"/>
        <w:rPr>
          <w:rFonts w:ascii="Verdana" w:eastAsia="Calibri" w:hAnsi="Verdana" w:cs="Arial"/>
          <w:color w:val="000000" w:themeColor="text1"/>
          <w:sz w:val="22"/>
          <w:szCs w:val="22"/>
          <w:lang w:val="es-ES"/>
        </w:rPr>
      </w:pPr>
      <w:r w:rsidRPr="00EC2F74">
        <w:rPr>
          <w:rFonts w:ascii="Verdana" w:eastAsia="Calibri" w:hAnsi="Verdana" w:cs="Arial"/>
          <w:color w:val="000000" w:themeColor="text1"/>
          <w:sz w:val="22"/>
          <w:szCs w:val="22"/>
          <w:lang w:val="es-ES"/>
        </w:rPr>
        <w:t xml:space="preserve">En los términos del artículo 86, la facultad que </w:t>
      </w:r>
      <w:r w:rsidR="00A30DA5" w:rsidRPr="00EC2F74">
        <w:rPr>
          <w:rFonts w:ascii="Verdana" w:eastAsia="Calibri" w:hAnsi="Verdana" w:cs="Arial"/>
          <w:color w:val="000000" w:themeColor="text1"/>
          <w:sz w:val="22"/>
          <w:szCs w:val="22"/>
          <w:lang w:val="es-ES"/>
        </w:rPr>
        <w:t>tiene</w:t>
      </w:r>
      <w:r w:rsidRPr="00EC2F74">
        <w:rPr>
          <w:rFonts w:ascii="Verdana" w:eastAsia="Calibri" w:hAnsi="Verdana" w:cs="Arial"/>
          <w:color w:val="000000" w:themeColor="text1"/>
          <w:sz w:val="22"/>
          <w:szCs w:val="22"/>
          <w:lang w:val="es-ES"/>
        </w:rPr>
        <w:t xml:space="preserve"> la entidad de declarar el incumplimiento y cuantificar los perjuicios, es distinta a la imposición unilateral de la </w:t>
      </w:r>
      <w:r w:rsidR="00A30DA5" w:rsidRPr="00EC2F74">
        <w:rPr>
          <w:rFonts w:ascii="Verdana" w:eastAsia="Calibri" w:hAnsi="Verdana" w:cs="Arial"/>
          <w:color w:val="000000" w:themeColor="text1"/>
          <w:sz w:val="22"/>
          <w:szCs w:val="22"/>
          <w:lang w:val="es-ES"/>
        </w:rPr>
        <w:t>cláusula</w:t>
      </w:r>
      <w:r w:rsidRPr="00EC2F74">
        <w:rPr>
          <w:rFonts w:ascii="Verdana" w:eastAsia="Calibri" w:hAnsi="Verdana" w:cs="Arial"/>
          <w:color w:val="000000" w:themeColor="text1"/>
          <w:sz w:val="22"/>
          <w:szCs w:val="22"/>
          <w:lang w:val="es-ES"/>
        </w:rPr>
        <w:t xml:space="preserve"> penal cuando esta ha sido pactada. Esto es concordante con la naturaleza misma de la </w:t>
      </w:r>
      <w:r w:rsidR="00A30DA5" w:rsidRPr="00EC2F74">
        <w:rPr>
          <w:rFonts w:ascii="Verdana" w:eastAsia="Calibri" w:hAnsi="Verdana" w:cs="Arial"/>
          <w:color w:val="000000" w:themeColor="text1"/>
          <w:sz w:val="22"/>
          <w:szCs w:val="22"/>
          <w:lang w:val="es-ES"/>
        </w:rPr>
        <w:t>cláusula</w:t>
      </w:r>
      <w:r w:rsidRPr="00EC2F74">
        <w:rPr>
          <w:rFonts w:ascii="Verdana" w:eastAsia="Calibri" w:hAnsi="Verdana" w:cs="Arial"/>
          <w:color w:val="000000" w:themeColor="text1"/>
          <w:sz w:val="22"/>
          <w:szCs w:val="22"/>
          <w:lang w:val="es-ES"/>
        </w:rPr>
        <w:t xml:space="preserve"> penal, pues al </w:t>
      </w:r>
      <w:r w:rsidR="00A30DA5" w:rsidRPr="00EC2F74">
        <w:rPr>
          <w:rFonts w:ascii="Verdana" w:eastAsia="Calibri" w:hAnsi="Verdana" w:cs="Arial"/>
          <w:color w:val="000000" w:themeColor="text1"/>
          <w:sz w:val="22"/>
          <w:szCs w:val="22"/>
          <w:lang w:val="es-ES"/>
        </w:rPr>
        <w:t>tratarse</w:t>
      </w:r>
      <w:r w:rsidRPr="00EC2F74">
        <w:rPr>
          <w:rFonts w:ascii="Verdana" w:eastAsia="Calibri" w:hAnsi="Verdana" w:cs="Arial"/>
          <w:color w:val="000000" w:themeColor="text1"/>
          <w:sz w:val="22"/>
          <w:szCs w:val="22"/>
          <w:lang w:val="es-ES"/>
        </w:rPr>
        <w:t xml:space="preserve"> de una tasación anticipada de perjuicios, </w:t>
      </w:r>
      <w:r w:rsidR="00A30DA5">
        <w:rPr>
          <w:rFonts w:ascii="Verdana" w:eastAsia="Calibri" w:hAnsi="Verdana" w:cs="Arial"/>
          <w:color w:val="000000" w:themeColor="text1"/>
          <w:sz w:val="22"/>
          <w:szCs w:val="22"/>
          <w:lang w:val="es-ES"/>
        </w:rPr>
        <w:t xml:space="preserve">es lógico que </w:t>
      </w:r>
      <w:r w:rsidRPr="00EC2F74">
        <w:rPr>
          <w:rFonts w:ascii="Verdana" w:eastAsia="Calibri" w:hAnsi="Verdana" w:cs="Arial"/>
          <w:color w:val="000000" w:themeColor="text1"/>
          <w:sz w:val="22"/>
          <w:szCs w:val="22"/>
          <w:lang w:val="es-ES"/>
        </w:rPr>
        <w:t xml:space="preserve">la entidad pueda estimar los </w:t>
      </w:r>
      <w:r w:rsidR="00A30DA5" w:rsidRPr="00EC2F74">
        <w:rPr>
          <w:rFonts w:ascii="Verdana" w:eastAsia="Calibri" w:hAnsi="Verdana" w:cs="Arial"/>
          <w:color w:val="000000" w:themeColor="text1"/>
          <w:sz w:val="22"/>
          <w:szCs w:val="22"/>
          <w:lang w:val="es-ES"/>
        </w:rPr>
        <w:t>perjuicios</w:t>
      </w:r>
      <w:r w:rsidRPr="00EC2F74">
        <w:rPr>
          <w:rFonts w:ascii="Verdana" w:eastAsia="Calibri" w:hAnsi="Verdana" w:cs="Arial"/>
          <w:color w:val="000000" w:themeColor="text1"/>
          <w:sz w:val="22"/>
          <w:szCs w:val="22"/>
          <w:lang w:val="es-ES"/>
        </w:rPr>
        <w:t xml:space="preserve"> en el marco del incumplimiento contractual cuando no</w:t>
      </w:r>
      <w:r w:rsidR="00A30DA5">
        <w:rPr>
          <w:rFonts w:ascii="Verdana" w:eastAsia="Calibri" w:hAnsi="Verdana" w:cs="Arial"/>
          <w:color w:val="000000" w:themeColor="text1"/>
          <w:sz w:val="22"/>
          <w:szCs w:val="22"/>
          <w:lang w:val="es-ES"/>
        </w:rPr>
        <w:t xml:space="preserve"> ha incluido esta cláusula en el contrato</w:t>
      </w:r>
      <w:r w:rsidRPr="00EC2F74">
        <w:rPr>
          <w:rFonts w:ascii="Verdana" w:eastAsia="Calibri" w:hAnsi="Verdana" w:cs="Arial"/>
          <w:color w:val="000000" w:themeColor="text1"/>
          <w:sz w:val="22"/>
          <w:szCs w:val="22"/>
          <w:lang w:val="es-ES"/>
        </w:rPr>
        <w:t xml:space="preserve">. En este sentido, el artículo 86 contempla </w:t>
      </w:r>
      <w:r w:rsidR="00A30DA5">
        <w:rPr>
          <w:rFonts w:ascii="Verdana" w:eastAsia="Calibri" w:hAnsi="Verdana" w:cs="Arial"/>
          <w:color w:val="000000" w:themeColor="text1"/>
          <w:sz w:val="22"/>
          <w:szCs w:val="22"/>
          <w:lang w:val="es-ES"/>
        </w:rPr>
        <w:t xml:space="preserve">también aquellos supuestos en que </w:t>
      </w:r>
      <w:r w:rsidRPr="00EC2F74">
        <w:rPr>
          <w:rFonts w:ascii="Verdana" w:eastAsia="Calibri" w:hAnsi="Verdana" w:cs="Arial"/>
          <w:color w:val="000000" w:themeColor="text1"/>
          <w:sz w:val="22"/>
          <w:szCs w:val="22"/>
          <w:lang w:val="es-ES"/>
        </w:rPr>
        <w:t xml:space="preserve">la entidad </w:t>
      </w:r>
      <w:r w:rsidR="00A30DA5">
        <w:rPr>
          <w:rFonts w:ascii="Verdana" w:eastAsia="Calibri" w:hAnsi="Verdana" w:cs="Arial"/>
          <w:color w:val="000000" w:themeColor="text1"/>
          <w:sz w:val="22"/>
          <w:szCs w:val="22"/>
          <w:lang w:val="es-ES"/>
        </w:rPr>
        <w:t xml:space="preserve">deba </w:t>
      </w:r>
      <w:r w:rsidRPr="00EC2F74">
        <w:rPr>
          <w:rFonts w:ascii="Verdana" w:eastAsia="Calibri" w:hAnsi="Verdana" w:cs="Arial"/>
          <w:color w:val="000000" w:themeColor="text1"/>
          <w:sz w:val="22"/>
          <w:szCs w:val="22"/>
          <w:lang w:val="es-ES"/>
        </w:rPr>
        <w:t xml:space="preserve">cuantificar </w:t>
      </w:r>
      <w:r w:rsidR="00A30DA5">
        <w:rPr>
          <w:rFonts w:ascii="Verdana" w:eastAsia="Calibri" w:hAnsi="Verdana" w:cs="Arial"/>
          <w:color w:val="000000" w:themeColor="text1"/>
          <w:sz w:val="22"/>
          <w:szCs w:val="22"/>
          <w:lang w:val="es-ES"/>
        </w:rPr>
        <w:t>l</w:t>
      </w:r>
      <w:r w:rsidRPr="00EC2F74">
        <w:rPr>
          <w:rFonts w:ascii="Verdana" w:eastAsia="Calibri" w:hAnsi="Verdana" w:cs="Arial"/>
          <w:color w:val="000000" w:themeColor="text1"/>
          <w:sz w:val="22"/>
          <w:szCs w:val="22"/>
          <w:lang w:val="es-ES"/>
        </w:rPr>
        <w:t xml:space="preserve">os perjuicios que se deriven del </w:t>
      </w:r>
      <w:r w:rsidRPr="00EC2F74">
        <w:rPr>
          <w:rFonts w:ascii="Verdana" w:eastAsia="Calibri" w:hAnsi="Verdana" w:cs="Arial"/>
          <w:color w:val="000000" w:themeColor="text1"/>
          <w:sz w:val="22"/>
          <w:szCs w:val="22"/>
          <w:lang w:val="es-ES"/>
        </w:rPr>
        <w:lastRenderedPageBreak/>
        <w:t>incumplimiento</w:t>
      </w:r>
      <w:r w:rsidR="00A30DA5">
        <w:rPr>
          <w:rFonts w:ascii="Verdana" w:eastAsia="Calibri" w:hAnsi="Verdana" w:cs="Arial"/>
          <w:color w:val="000000" w:themeColor="text1"/>
          <w:sz w:val="22"/>
          <w:szCs w:val="22"/>
          <w:lang w:val="es-ES"/>
        </w:rPr>
        <w:t xml:space="preserve"> porque no fue pactada la cláusula penal</w:t>
      </w:r>
      <w:r w:rsidRPr="00EC2F74">
        <w:rPr>
          <w:rFonts w:ascii="Verdana" w:eastAsia="Calibri" w:hAnsi="Verdana" w:cs="Arial"/>
          <w:color w:val="000000" w:themeColor="text1"/>
          <w:sz w:val="22"/>
          <w:szCs w:val="22"/>
          <w:lang w:val="es-ES"/>
        </w:rPr>
        <w:t xml:space="preserve">. En este </w:t>
      </w:r>
      <w:proofErr w:type="gramStart"/>
      <w:r w:rsidRPr="00EC2F74">
        <w:rPr>
          <w:rFonts w:ascii="Verdana" w:eastAsia="Calibri" w:hAnsi="Verdana" w:cs="Arial"/>
          <w:color w:val="000000" w:themeColor="text1"/>
          <w:sz w:val="22"/>
          <w:szCs w:val="22"/>
          <w:lang w:val="es-ES"/>
        </w:rPr>
        <w:t>sentido,  la</w:t>
      </w:r>
      <w:proofErr w:type="gramEnd"/>
      <w:r w:rsidRPr="00EC2F74">
        <w:rPr>
          <w:rFonts w:ascii="Verdana" w:eastAsia="Calibri" w:hAnsi="Verdana" w:cs="Arial"/>
          <w:color w:val="000000" w:themeColor="text1"/>
          <w:sz w:val="22"/>
          <w:szCs w:val="22"/>
          <w:lang w:val="es-ES"/>
        </w:rPr>
        <w:t xml:space="preserve"> </w:t>
      </w:r>
      <w:r w:rsidR="00A30DA5" w:rsidRPr="00EC2F74">
        <w:rPr>
          <w:rFonts w:ascii="Verdana" w:eastAsia="Calibri" w:hAnsi="Verdana" w:cs="Arial"/>
          <w:color w:val="000000" w:themeColor="text1"/>
          <w:sz w:val="22"/>
          <w:szCs w:val="22"/>
          <w:lang w:val="es-ES"/>
        </w:rPr>
        <w:t>doctrina</w:t>
      </w:r>
      <w:r w:rsidRPr="00EC2F74">
        <w:rPr>
          <w:rFonts w:ascii="Verdana" w:eastAsia="Calibri" w:hAnsi="Verdana" w:cs="Arial"/>
          <w:color w:val="000000" w:themeColor="text1"/>
          <w:sz w:val="22"/>
          <w:szCs w:val="22"/>
          <w:lang w:val="es-ES"/>
        </w:rPr>
        <w:t xml:space="preserve"> ha afirmado que</w:t>
      </w:r>
      <w:r w:rsidR="00A30DA5">
        <w:rPr>
          <w:rFonts w:ascii="Verdana" w:eastAsia="Calibri" w:hAnsi="Verdana" w:cs="Arial"/>
          <w:color w:val="000000" w:themeColor="text1"/>
          <w:sz w:val="22"/>
          <w:szCs w:val="22"/>
          <w:lang w:val="es-ES"/>
        </w:rPr>
        <w:t>:</w:t>
      </w:r>
    </w:p>
    <w:p w14:paraId="1C325B41" w14:textId="77777777" w:rsidR="00A30DA5" w:rsidRDefault="00A30DA5" w:rsidP="00A30DA5">
      <w:pPr>
        <w:pStyle w:val="Textonotapie"/>
        <w:spacing w:line="276" w:lineRule="auto"/>
        <w:ind w:firstLine="708"/>
        <w:jc w:val="both"/>
        <w:rPr>
          <w:rFonts w:ascii="Verdana" w:eastAsia="Calibri" w:hAnsi="Verdana" w:cs="Arial"/>
          <w:color w:val="000000" w:themeColor="text1"/>
          <w:sz w:val="22"/>
          <w:szCs w:val="22"/>
          <w:lang w:val="es-ES"/>
        </w:rPr>
      </w:pPr>
    </w:p>
    <w:p w14:paraId="73D84EAF" w14:textId="7CB7E90D" w:rsidR="005B37A7" w:rsidRDefault="00363E78" w:rsidP="00EF69E7">
      <w:pPr>
        <w:pStyle w:val="Textonotapie"/>
        <w:ind w:left="709" w:right="709"/>
        <w:jc w:val="both"/>
        <w:rPr>
          <w:rFonts w:ascii="Verdana" w:hAnsi="Verdana"/>
          <w:lang w:val="es-ES"/>
        </w:rPr>
      </w:pPr>
      <w:r w:rsidRPr="00B3276A">
        <w:rPr>
          <w:rFonts w:ascii="Verdana" w:eastAsia="Calibri" w:hAnsi="Verdana" w:cs="Arial"/>
          <w:color w:val="000000" w:themeColor="text1"/>
          <w:lang w:val="es-ES"/>
        </w:rPr>
        <w:t>“</w:t>
      </w:r>
      <w:r w:rsidRPr="00B3276A">
        <w:rPr>
          <w:rFonts w:ascii="Verdana" w:hAnsi="Verdana"/>
          <w:lang w:val="es-ES"/>
        </w:rPr>
        <w:t xml:space="preserve">no es acertado afirmar que las entidades </w:t>
      </w:r>
      <w:r w:rsidR="00A30DA5" w:rsidRPr="00B3276A">
        <w:rPr>
          <w:rFonts w:ascii="Verdana" w:hAnsi="Verdana"/>
          <w:lang w:val="es-ES"/>
        </w:rPr>
        <w:t>están</w:t>
      </w:r>
      <w:r w:rsidRPr="00B3276A">
        <w:rPr>
          <w:rFonts w:ascii="Verdana" w:hAnsi="Verdana"/>
          <w:lang w:val="es-ES"/>
        </w:rPr>
        <w:t xml:space="preserve">, en los </w:t>
      </w:r>
      <w:r w:rsidR="00A30DA5" w:rsidRPr="00B3276A">
        <w:rPr>
          <w:rFonts w:ascii="Verdana" w:hAnsi="Verdana"/>
          <w:lang w:val="es-ES"/>
        </w:rPr>
        <w:t>términos</w:t>
      </w:r>
      <w:r w:rsidRPr="00B3276A">
        <w:rPr>
          <w:rFonts w:ascii="Verdana" w:hAnsi="Verdana"/>
          <w:lang w:val="es-ES"/>
        </w:rPr>
        <w:t xml:space="preserve"> del artículo 86, legalmente habilitadas </w:t>
      </w:r>
      <w:r w:rsidR="00A30DA5" w:rsidRPr="00B3276A">
        <w:rPr>
          <w:rFonts w:ascii="Verdana" w:hAnsi="Verdana"/>
          <w:lang w:val="es-ES"/>
        </w:rPr>
        <w:t>únicamente</w:t>
      </w:r>
      <w:r w:rsidRPr="00B3276A">
        <w:rPr>
          <w:rFonts w:ascii="Verdana" w:hAnsi="Verdana"/>
          <w:lang w:val="es-ES"/>
        </w:rPr>
        <w:t xml:space="preserve"> para acudir a la </w:t>
      </w:r>
      <w:r w:rsidR="00A30DA5" w:rsidRPr="00B3276A">
        <w:rPr>
          <w:rFonts w:ascii="Verdana" w:hAnsi="Verdana"/>
          <w:lang w:val="es-ES"/>
        </w:rPr>
        <w:t>cláusula</w:t>
      </w:r>
      <w:r w:rsidRPr="00B3276A">
        <w:rPr>
          <w:rFonts w:ascii="Verdana" w:hAnsi="Verdana"/>
          <w:lang w:val="es-ES"/>
        </w:rPr>
        <w:t xml:space="preserve"> penal; por el contrario, </w:t>
      </w:r>
      <w:r w:rsidR="00A30DA5" w:rsidRPr="00B3276A">
        <w:rPr>
          <w:rFonts w:ascii="Verdana" w:hAnsi="Verdana"/>
          <w:lang w:val="es-ES"/>
        </w:rPr>
        <w:t>están</w:t>
      </w:r>
      <w:r w:rsidRPr="00B3276A">
        <w:rPr>
          <w:rFonts w:ascii="Verdana" w:hAnsi="Verdana"/>
          <w:lang w:val="es-ES"/>
        </w:rPr>
        <w:t xml:space="preserve"> legalmente habilitadas para cuantificar los perjuicios derivados del cumplimiento, en el marco del procedimiento sancionatorio contractual, en los casos en que, por cualquier razón, no se hace efectiva una </w:t>
      </w:r>
      <w:r w:rsidR="00A30DA5" w:rsidRPr="00B3276A">
        <w:rPr>
          <w:rFonts w:ascii="Verdana" w:hAnsi="Verdana"/>
          <w:lang w:val="es-ES"/>
        </w:rPr>
        <w:t>cláusula</w:t>
      </w:r>
      <w:r w:rsidRPr="00B3276A">
        <w:rPr>
          <w:rFonts w:ascii="Verdana" w:hAnsi="Verdana"/>
          <w:lang w:val="es-ES"/>
        </w:rPr>
        <w:t xml:space="preserve"> penal para resarcir los perjuicios”</w:t>
      </w:r>
      <w:r w:rsidRPr="00B3276A">
        <w:rPr>
          <w:rStyle w:val="Refdenotaalpie"/>
          <w:rFonts w:ascii="Verdana" w:eastAsia="Calibri" w:hAnsi="Verdana" w:cs="Arial"/>
          <w:color w:val="000000" w:themeColor="text1"/>
          <w:lang w:val="es-ES"/>
        </w:rPr>
        <w:t xml:space="preserve"> </w:t>
      </w:r>
      <w:r w:rsidRPr="00B3276A">
        <w:rPr>
          <w:rStyle w:val="Refdenotaalpie"/>
          <w:rFonts w:ascii="Verdana" w:eastAsia="Calibri" w:hAnsi="Verdana" w:cs="Arial"/>
          <w:color w:val="000000" w:themeColor="text1"/>
          <w:lang w:val="es-ES"/>
        </w:rPr>
        <w:footnoteReference w:id="25"/>
      </w:r>
      <w:r w:rsidRPr="00B3276A">
        <w:rPr>
          <w:rFonts w:ascii="Verdana" w:hAnsi="Verdana"/>
          <w:lang w:val="es-ES"/>
        </w:rPr>
        <w:t>.</w:t>
      </w:r>
      <w:r w:rsidRPr="00EF69E7">
        <w:rPr>
          <w:rFonts w:ascii="Verdana" w:hAnsi="Verdana"/>
          <w:lang w:val="es-ES"/>
        </w:rPr>
        <w:t xml:space="preserve"> </w:t>
      </w:r>
    </w:p>
    <w:p w14:paraId="2F4DBBCE" w14:textId="77777777" w:rsidR="00EF69E7" w:rsidRPr="00EF69E7" w:rsidRDefault="00EF69E7" w:rsidP="00EF69E7">
      <w:pPr>
        <w:pStyle w:val="Textonotapie"/>
        <w:ind w:left="709" w:right="709"/>
        <w:jc w:val="both"/>
        <w:rPr>
          <w:rFonts w:ascii="Verdana" w:hAnsi="Verdana"/>
          <w:lang w:val="es-ES"/>
        </w:rPr>
      </w:pPr>
    </w:p>
    <w:p w14:paraId="1FAA620A" w14:textId="772C6484" w:rsidR="00195EC8" w:rsidRPr="00195EC8" w:rsidRDefault="00195EC8" w:rsidP="00195EC8">
      <w:pPr>
        <w:pStyle w:val="Textonotapie"/>
        <w:spacing w:line="276" w:lineRule="auto"/>
        <w:ind w:firstLine="708"/>
        <w:jc w:val="both"/>
        <w:rPr>
          <w:rFonts w:ascii="Verdana" w:hAnsi="Verdana"/>
          <w:sz w:val="22"/>
          <w:szCs w:val="22"/>
          <w:lang/>
        </w:rPr>
      </w:pPr>
      <w:r>
        <w:rPr>
          <w:rFonts w:ascii="Verdana" w:hAnsi="Verdana"/>
          <w:sz w:val="22"/>
          <w:szCs w:val="22"/>
          <w:lang/>
        </w:rPr>
        <w:t>E</w:t>
      </w:r>
      <w:r w:rsidRPr="00195EC8">
        <w:rPr>
          <w:rFonts w:ascii="Verdana" w:hAnsi="Verdana"/>
          <w:sz w:val="22"/>
          <w:szCs w:val="22"/>
          <w:lang/>
        </w:rPr>
        <w:t>sta distinción entre la declaratoria del siniestro con ocasión al incumplimiento, y aquella ligada a la imposición de multas o la cláusula penal es concordante con la redacción misma del artículo 2.2.1.2.3.1.7. del Decreto 1082 de 2015. La norma diferenció</w:t>
      </w:r>
      <w:r>
        <w:rPr>
          <w:rFonts w:ascii="Verdana" w:hAnsi="Verdana"/>
          <w:sz w:val="22"/>
          <w:szCs w:val="22"/>
          <w:lang/>
        </w:rPr>
        <w:t>,</w:t>
      </w:r>
      <w:r w:rsidRPr="00195EC8">
        <w:rPr>
          <w:rFonts w:ascii="Verdana" w:hAnsi="Verdana"/>
          <w:sz w:val="22"/>
          <w:szCs w:val="22"/>
          <w:lang/>
        </w:rPr>
        <w:t xml:space="preserve"> frente al amparo de cumplimiento</w:t>
      </w:r>
      <w:r>
        <w:rPr>
          <w:rFonts w:ascii="Verdana" w:hAnsi="Verdana"/>
          <w:sz w:val="22"/>
          <w:szCs w:val="22"/>
          <w:lang/>
        </w:rPr>
        <w:t>,</w:t>
      </w:r>
      <w:r w:rsidRPr="00195EC8">
        <w:rPr>
          <w:rFonts w:ascii="Verdana" w:hAnsi="Verdana"/>
          <w:sz w:val="22"/>
          <w:szCs w:val="22"/>
          <w:lang/>
        </w:rPr>
        <w:t xml:space="preserve"> el supuesto de los perjuicios derivados del incumplimiento contractual y el del pago de las multas o la cláusula penal. En este sentido, la norma señala: </w:t>
      </w:r>
    </w:p>
    <w:p w14:paraId="667FE4B5" w14:textId="30FE1C03" w:rsidR="00195EC8" w:rsidRPr="00195EC8" w:rsidRDefault="00195EC8" w:rsidP="00195EC8">
      <w:pPr>
        <w:pStyle w:val="Textonotapie"/>
        <w:spacing w:before="120"/>
        <w:ind w:left="709" w:right="709"/>
        <w:jc w:val="both"/>
        <w:rPr>
          <w:rFonts w:ascii="Verdana" w:hAnsi="Verdana"/>
          <w:lang/>
        </w:rPr>
      </w:pPr>
      <w:r>
        <w:rPr>
          <w:rFonts w:ascii="Verdana" w:hAnsi="Verdana"/>
          <w:lang/>
        </w:rPr>
        <w:t>“</w:t>
      </w:r>
      <w:r w:rsidRPr="00195EC8">
        <w:rPr>
          <w:rFonts w:ascii="Verdana" w:hAnsi="Verdana"/>
          <w:lang/>
        </w:rPr>
        <w:t>Artículo 2.2.1.2.3.1.7. Garantía de cumplimiento. La garantía de cumplimiento del contrato debe cubrir:</w:t>
      </w:r>
      <w:r w:rsidRPr="00195EC8">
        <w:rPr>
          <w:rFonts w:ascii="Verdana" w:hAnsi="Verdana"/>
          <w:lang/>
        </w:rPr>
        <w:br/>
        <w:t>[...]</w:t>
      </w:r>
      <w:r w:rsidRPr="00195EC8">
        <w:rPr>
          <w:rFonts w:ascii="Verdana" w:hAnsi="Verdana"/>
          <w:lang/>
        </w:rPr>
        <w:br/>
        <w:t xml:space="preserve">3. Cumplimiento del contrato. Este amparo cubre a la Entidad Estatal de los perjuicios derivados de: </w:t>
      </w:r>
    </w:p>
    <w:p w14:paraId="5375F41B" w14:textId="77777777" w:rsidR="00195EC8" w:rsidRPr="00195EC8" w:rsidRDefault="00195EC8" w:rsidP="00195EC8">
      <w:pPr>
        <w:pStyle w:val="Textonotapie"/>
        <w:spacing w:before="120"/>
        <w:ind w:left="709" w:right="709"/>
        <w:jc w:val="both"/>
        <w:rPr>
          <w:rFonts w:ascii="Verdana" w:hAnsi="Verdana"/>
          <w:lang/>
        </w:rPr>
      </w:pPr>
      <w:r w:rsidRPr="00195EC8">
        <w:rPr>
          <w:rFonts w:ascii="Verdana" w:hAnsi="Verdana"/>
          <w:lang/>
        </w:rPr>
        <w:t>3.1. El incumplimiento total o parcial del contrato, cuando el incumplimiento es imputable al contratista;</w:t>
      </w:r>
      <w:r w:rsidRPr="00195EC8">
        <w:rPr>
          <w:rFonts w:ascii="Verdana" w:hAnsi="Verdana"/>
          <w:lang/>
        </w:rPr>
        <w:br/>
        <w:t xml:space="preserve">3.2. El cumplimiento tardío o defectuoso del contrato, cuando el incumplimiento es imputable al contratista; </w:t>
      </w:r>
    </w:p>
    <w:p w14:paraId="6F228F6A" w14:textId="77777777" w:rsidR="00195EC8" w:rsidRPr="00195EC8" w:rsidRDefault="00195EC8" w:rsidP="00195EC8">
      <w:pPr>
        <w:pStyle w:val="Textonotapie"/>
        <w:spacing w:before="120"/>
        <w:ind w:left="709" w:right="709"/>
        <w:jc w:val="both"/>
        <w:rPr>
          <w:rFonts w:ascii="Verdana" w:hAnsi="Verdana"/>
          <w:lang/>
        </w:rPr>
      </w:pPr>
      <w:r w:rsidRPr="00195EC8">
        <w:rPr>
          <w:rFonts w:ascii="Verdana" w:hAnsi="Verdana"/>
          <w:lang/>
        </w:rPr>
        <w:t>3.3. Los daños imputables al contratista por entregas parciales de la obra, cuando el contrato no prevé entregas parciales; y</w:t>
      </w:r>
      <w:r w:rsidRPr="00195EC8">
        <w:rPr>
          <w:rFonts w:ascii="Verdana" w:hAnsi="Verdana"/>
          <w:lang/>
        </w:rPr>
        <w:br/>
        <w:t xml:space="preserve">3.4. El pago del valor de las multas y de la cláusula penal pecuniaria. [...]” </w:t>
      </w:r>
    </w:p>
    <w:p w14:paraId="17E63680" w14:textId="77777777" w:rsidR="00195EC8" w:rsidRDefault="00195EC8" w:rsidP="003D661B">
      <w:pPr>
        <w:pStyle w:val="Textonotapie"/>
        <w:spacing w:line="276" w:lineRule="auto"/>
        <w:ind w:firstLine="708"/>
        <w:jc w:val="both"/>
        <w:rPr>
          <w:rFonts w:ascii="Verdana" w:hAnsi="Verdana"/>
          <w:sz w:val="22"/>
          <w:szCs w:val="22"/>
          <w:lang w:val="es-ES"/>
        </w:rPr>
      </w:pPr>
    </w:p>
    <w:p w14:paraId="225444E6" w14:textId="77777777" w:rsidR="00195EC8" w:rsidRDefault="00195EC8" w:rsidP="00195EC8">
      <w:pPr>
        <w:pStyle w:val="Textonotapie"/>
        <w:spacing w:line="276" w:lineRule="auto"/>
        <w:ind w:firstLine="708"/>
        <w:jc w:val="both"/>
        <w:rPr>
          <w:rFonts w:ascii="Verdana" w:hAnsi="Verdana"/>
          <w:sz w:val="22"/>
          <w:szCs w:val="22"/>
          <w:lang/>
        </w:rPr>
      </w:pPr>
      <w:r w:rsidRPr="00195EC8">
        <w:rPr>
          <w:rFonts w:ascii="Verdana" w:hAnsi="Verdana"/>
          <w:sz w:val="22"/>
          <w:szCs w:val="22"/>
          <w:lang/>
        </w:rPr>
        <w:t xml:space="preserve">Esta redacción indica que el amparo de cumplimiento cubre a la entidad no solo en relación con el pago del valor de las multas y de la cláusula penal pecuniaria, sino que, además, debe cubrir los perjuicios que se deriven del incumplimiento total o parcial, tardío o defectuoso, y los daños derivados de entregas parciales cuando no fueron pactadas. De esta manera, el cubrimiento de la garantía con respecto a los perjuicios derivados del incumplimiento del contrato o las entregas parciales no se encuentra condicionado al pago de las multas o la cláusula penal. </w:t>
      </w:r>
    </w:p>
    <w:p w14:paraId="182BE137" w14:textId="020275D1" w:rsidR="003D661B" w:rsidRPr="00195EC8" w:rsidRDefault="00195EC8" w:rsidP="00195EC8">
      <w:pPr>
        <w:pStyle w:val="Textonotapie"/>
        <w:spacing w:line="276" w:lineRule="auto"/>
        <w:ind w:firstLine="708"/>
        <w:jc w:val="both"/>
        <w:rPr>
          <w:rFonts w:ascii="Verdana" w:hAnsi="Verdana"/>
          <w:sz w:val="22"/>
          <w:szCs w:val="22"/>
          <w:lang/>
        </w:rPr>
      </w:pPr>
      <w:r>
        <w:rPr>
          <w:rFonts w:ascii="Verdana" w:hAnsi="Verdana"/>
          <w:sz w:val="22"/>
          <w:szCs w:val="22"/>
          <w:lang/>
        </w:rPr>
        <w:lastRenderedPageBreak/>
        <w:t xml:space="preserve">Por otra parte, </w:t>
      </w:r>
      <w:r>
        <w:rPr>
          <w:rFonts w:ascii="Verdana" w:hAnsi="Verdana"/>
          <w:sz w:val="22"/>
          <w:szCs w:val="22"/>
          <w:lang w:val="es-ES"/>
        </w:rPr>
        <w:t>s</w:t>
      </w:r>
      <w:r w:rsidR="00A5333F" w:rsidRPr="00EC2F74">
        <w:rPr>
          <w:rFonts w:ascii="Verdana" w:hAnsi="Verdana"/>
          <w:sz w:val="22"/>
          <w:szCs w:val="22"/>
          <w:lang w:val="es-ES"/>
        </w:rPr>
        <w:t xml:space="preserve">obre la cuantificación de perjuicios que realicen las </w:t>
      </w:r>
      <w:r w:rsidR="00D27AB2" w:rsidRPr="00EC2F74">
        <w:rPr>
          <w:rFonts w:ascii="Verdana" w:hAnsi="Verdana"/>
          <w:sz w:val="22"/>
          <w:szCs w:val="22"/>
          <w:lang w:val="es-ES"/>
        </w:rPr>
        <w:t>entidades</w:t>
      </w:r>
      <w:r w:rsidR="00A5333F" w:rsidRPr="00EC2F74">
        <w:rPr>
          <w:rFonts w:ascii="Verdana" w:hAnsi="Verdana"/>
          <w:sz w:val="22"/>
          <w:szCs w:val="22"/>
          <w:lang w:val="es-ES"/>
        </w:rPr>
        <w:t xml:space="preserve"> en el marco del procedimiento para declarar el </w:t>
      </w:r>
      <w:r w:rsidR="00D27AB2" w:rsidRPr="00EC2F74">
        <w:rPr>
          <w:rFonts w:ascii="Verdana" w:hAnsi="Verdana"/>
          <w:sz w:val="22"/>
          <w:szCs w:val="22"/>
          <w:lang w:val="es-ES"/>
        </w:rPr>
        <w:t>incumplimiento</w:t>
      </w:r>
      <w:r w:rsidR="0094530C">
        <w:rPr>
          <w:rFonts w:ascii="Verdana" w:hAnsi="Verdana"/>
          <w:sz w:val="22"/>
          <w:szCs w:val="22"/>
          <w:lang w:val="es-ES"/>
        </w:rPr>
        <w:t>,</w:t>
      </w:r>
      <w:r w:rsidR="00A5333F" w:rsidRPr="00EC2F74">
        <w:rPr>
          <w:rFonts w:ascii="Verdana" w:hAnsi="Verdana"/>
          <w:sz w:val="22"/>
          <w:szCs w:val="22"/>
          <w:lang w:val="es-ES"/>
        </w:rPr>
        <w:t xml:space="preserve"> </w:t>
      </w:r>
      <w:r w:rsidR="0094530C" w:rsidRPr="00EC2F74">
        <w:rPr>
          <w:rFonts w:ascii="Verdana" w:hAnsi="Verdana"/>
          <w:sz w:val="22"/>
          <w:szCs w:val="22"/>
          <w:lang w:val="es-ES"/>
        </w:rPr>
        <w:t>la Corte Constitucional</w:t>
      </w:r>
      <w:r w:rsidR="0094530C">
        <w:rPr>
          <w:rFonts w:ascii="Verdana" w:hAnsi="Verdana"/>
          <w:sz w:val="22"/>
          <w:szCs w:val="22"/>
          <w:lang w:val="es-ES"/>
        </w:rPr>
        <w:t xml:space="preserve"> determinó la exequibilidad de </w:t>
      </w:r>
      <w:r w:rsidR="0094530C" w:rsidRPr="00EC2F74">
        <w:rPr>
          <w:rFonts w:ascii="Verdana" w:hAnsi="Verdana"/>
          <w:sz w:val="22"/>
          <w:szCs w:val="22"/>
          <w:lang w:val="es-ES"/>
        </w:rPr>
        <w:t xml:space="preserve">la expresión "cuantificando los perjuicios del mismo" </w:t>
      </w:r>
      <w:r w:rsidR="0094530C">
        <w:rPr>
          <w:rFonts w:ascii="Verdana" w:hAnsi="Verdana"/>
          <w:sz w:val="22"/>
          <w:szCs w:val="22"/>
          <w:lang w:val="es-ES"/>
        </w:rPr>
        <w:t>del</w:t>
      </w:r>
      <w:r w:rsidR="0094530C" w:rsidRPr="00EC2F74">
        <w:rPr>
          <w:rFonts w:ascii="Verdana" w:hAnsi="Verdana"/>
          <w:sz w:val="22"/>
          <w:szCs w:val="22"/>
          <w:lang w:val="es-ES"/>
        </w:rPr>
        <w:t xml:space="preserve"> artículo 86 de la Ley 1474 de 2011</w:t>
      </w:r>
      <w:r w:rsidR="0094530C">
        <w:rPr>
          <w:rFonts w:ascii="Verdana" w:hAnsi="Verdana"/>
          <w:sz w:val="22"/>
          <w:szCs w:val="22"/>
          <w:lang w:val="es-ES"/>
        </w:rPr>
        <w:t>, mediante la</w:t>
      </w:r>
      <w:r w:rsidR="00776F1D" w:rsidRPr="00EC2F74">
        <w:rPr>
          <w:rFonts w:ascii="Verdana" w:hAnsi="Verdana"/>
          <w:sz w:val="22"/>
          <w:szCs w:val="22"/>
          <w:lang w:val="es-ES"/>
        </w:rPr>
        <w:t xml:space="preserve"> sentencia C-499 de 2015</w:t>
      </w:r>
      <w:r w:rsidR="0094530C">
        <w:rPr>
          <w:rFonts w:ascii="Verdana" w:hAnsi="Verdana"/>
          <w:sz w:val="22"/>
          <w:szCs w:val="22"/>
          <w:lang w:val="es-ES"/>
        </w:rPr>
        <w:t xml:space="preserve">. En esta providencia resaltó que las entidades que ejercen la potestad sancionatoria tienen el deber de </w:t>
      </w:r>
      <w:r w:rsidR="00776F1D" w:rsidRPr="00EC2F74">
        <w:rPr>
          <w:rFonts w:ascii="Verdana" w:hAnsi="Verdana"/>
          <w:sz w:val="22"/>
          <w:szCs w:val="22"/>
          <w:lang w:val="es-ES"/>
        </w:rPr>
        <w:t xml:space="preserve">sustentar sus decisiones </w:t>
      </w:r>
      <w:r w:rsidR="0094530C">
        <w:rPr>
          <w:rFonts w:ascii="Verdana" w:hAnsi="Verdana"/>
          <w:sz w:val="22"/>
          <w:szCs w:val="22"/>
          <w:lang w:val="es-ES"/>
        </w:rPr>
        <w:t xml:space="preserve">al valorar </w:t>
      </w:r>
      <w:r w:rsidR="00776F1D" w:rsidRPr="00EC2F74">
        <w:rPr>
          <w:rFonts w:ascii="Verdana" w:hAnsi="Verdana"/>
          <w:sz w:val="22"/>
          <w:szCs w:val="22"/>
          <w:lang w:val="es-ES"/>
        </w:rPr>
        <w:t xml:space="preserve">las pruebas practicadas en el proceso. </w:t>
      </w:r>
      <w:r w:rsidR="0094530C">
        <w:rPr>
          <w:rFonts w:ascii="Verdana" w:hAnsi="Verdana"/>
          <w:sz w:val="22"/>
          <w:szCs w:val="22"/>
          <w:lang w:val="es-ES"/>
        </w:rPr>
        <w:t xml:space="preserve">La Corte analizó si otorgar la competencia a las Entidades Estatales para cuantificar los perjuicios en el marco de dicho procedimiento administrativo constituía una violación de la presunción de buena fe, del derecho al debido procedo y el </w:t>
      </w:r>
      <w:r w:rsidR="00776F1D" w:rsidRPr="00EC2F74">
        <w:rPr>
          <w:rFonts w:ascii="Verdana" w:hAnsi="Verdana"/>
          <w:sz w:val="22"/>
          <w:szCs w:val="22"/>
          <w:lang w:val="es-ES"/>
        </w:rPr>
        <w:t>principio de prevalencia del derecho sustancial sobre las formalidades.</w:t>
      </w:r>
      <w:r w:rsidR="0094530C">
        <w:rPr>
          <w:rFonts w:ascii="Verdana" w:hAnsi="Verdana"/>
          <w:sz w:val="22"/>
          <w:szCs w:val="22"/>
          <w:lang w:val="es-ES"/>
        </w:rPr>
        <w:t xml:space="preserve"> Sin embargo, determinó que la presunción de buena fe que se presume en las relaciones de entre los particulares y la Administración admite prueba en contrario</w:t>
      </w:r>
      <w:r w:rsidR="003D661B">
        <w:rPr>
          <w:rFonts w:ascii="Verdana" w:hAnsi="Verdana"/>
          <w:sz w:val="22"/>
          <w:szCs w:val="22"/>
          <w:lang w:val="es-ES"/>
        </w:rPr>
        <w:t>. Adicionalmente, resaltó que el procedimiento del artículo 86 garantiza el debido proceso y que a decisión sancionatoria debe ser resultado de una valoración de las pruebas debidamente aportadas. Sobre lo anterior dispuso que:</w:t>
      </w:r>
    </w:p>
    <w:p w14:paraId="29FD2ED7" w14:textId="77777777" w:rsidR="00A403FD" w:rsidRDefault="00A403FD" w:rsidP="003D661B">
      <w:pPr>
        <w:pStyle w:val="Textonotapie"/>
        <w:spacing w:line="276" w:lineRule="auto"/>
        <w:ind w:firstLine="708"/>
        <w:jc w:val="both"/>
        <w:rPr>
          <w:rFonts w:ascii="Verdana" w:hAnsi="Verdana"/>
          <w:sz w:val="22"/>
          <w:szCs w:val="22"/>
          <w:lang w:val="es-ES"/>
        </w:rPr>
      </w:pPr>
    </w:p>
    <w:p w14:paraId="346A7872" w14:textId="74AC9008" w:rsidR="00A403FD" w:rsidRPr="00A403FD" w:rsidRDefault="00A403FD" w:rsidP="00A403FD">
      <w:pPr>
        <w:shd w:val="clear" w:color="auto" w:fill="FFFFFF"/>
        <w:ind w:left="709" w:right="709"/>
        <w:jc w:val="both"/>
        <w:textAlignment w:val="baseline"/>
        <w:rPr>
          <w:rFonts w:ascii="Verdana" w:hAnsi="Verdana"/>
          <w:color w:val="2D2D2D"/>
          <w:sz w:val="20"/>
          <w:szCs w:val="20"/>
        </w:rPr>
      </w:pPr>
      <w:r>
        <w:rPr>
          <w:rFonts w:ascii="Verdana" w:hAnsi="Verdana"/>
          <w:color w:val="000000"/>
          <w:sz w:val="20"/>
          <w:szCs w:val="20"/>
          <w:lang w:val="es-ES_tradnl"/>
        </w:rPr>
        <w:t>“</w:t>
      </w:r>
      <w:r w:rsidRPr="00A403FD">
        <w:rPr>
          <w:rFonts w:ascii="Verdana" w:hAnsi="Verdana"/>
          <w:color w:val="000000"/>
          <w:sz w:val="20"/>
          <w:szCs w:val="20"/>
          <w:lang w:val="es-ES_tradnl"/>
        </w:rPr>
        <w:t xml:space="preserve">5.5.6. Como se advirtió atrás, la presunción de buena fe en las gestiones del contratista ante la entidad </w:t>
      </w:r>
      <w:proofErr w:type="gramStart"/>
      <w:r w:rsidRPr="00A403FD">
        <w:rPr>
          <w:rFonts w:ascii="Verdana" w:hAnsi="Verdana"/>
          <w:color w:val="000000"/>
          <w:sz w:val="20"/>
          <w:szCs w:val="20"/>
          <w:lang w:val="es-ES_tradnl"/>
        </w:rPr>
        <w:t>estatal,</w:t>
      </w:r>
      <w:proofErr w:type="gramEnd"/>
      <w:r w:rsidRPr="00A403FD">
        <w:rPr>
          <w:rFonts w:ascii="Verdana" w:hAnsi="Verdana"/>
          <w:color w:val="000000"/>
          <w:sz w:val="20"/>
          <w:szCs w:val="20"/>
          <w:lang w:val="es-ES_tradnl"/>
        </w:rPr>
        <w:t xml:space="preserve"> es una presunción de hecho y, por lo tanto, admite prueba en contrario. En el ejercicio probatorio que se hace en la audiencia, que incluye las pruebas recaudadas y practicadas por la entidad estatal y las solicitadas por el contratista y practicadas en ella, y que permite la contradicción de la prueba, no se parte de una presunción de mala fe del contratista, sino </w:t>
      </w:r>
      <w:proofErr w:type="gramStart"/>
      <w:r w:rsidRPr="00A403FD">
        <w:rPr>
          <w:rFonts w:ascii="Verdana" w:hAnsi="Verdana"/>
          <w:color w:val="000000"/>
          <w:sz w:val="20"/>
          <w:szCs w:val="20"/>
          <w:lang w:val="es-ES_tradnl"/>
        </w:rPr>
        <w:t>que</w:t>
      </w:r>
      <w:proofErr w:type="gramEnd"/>
      <w:r w:rsidRPr="00A403FD">
        <w:rPr>
          <w:rFonts w:ascii="Verdana" w:hAnsi="Verdana"/>
          <w:color w:val="000000"/>
          <w:sz w:val="20"/>
          <w:szCs w:val="20"/>
          <w:lang w:val="es-ES_tradnl"/>
        </w:rPr>
        <w:t xml:space="preserve"> con fundamento en medios de prueba aportados de manera regular, conforme a lo previsto en el procedimiento administrativo, se desvirtúa la presunción de buena fe que ampara a su gestión.</w:t>
      </w:r>
    </w:p>
    <w:p w14:paraId="739B8813" w14:textId="77777777" w:rsidR="00A403FD" w:rsidRPr="00A403FD" w:rsidRDefault="00A403FD" w:rsidP="00A403FD">
      <w:pPr>
        <w:shd w:val="clear" w:color="auto" w:fill="FFFFFF"/>
        <w:ind w:left="709" w:right="709"/>
        <w:jc w:val="both"/>
        <w:textAlignment w:val="baseline"/>
        <w:rPr>
          <w:rFonts w:ascii="Verdana" w:hAnsi="Verdana"/>
          <w:color w:val="2D2D2D"/>
          <w:sz w:val="20"/>
          <w:szCs w:val="20"/>
        </w:rPr>
      </w:pPr>
      <w:r w:rsidRPr="00A403FD">
        <w:rPr>
          <w:rFonts w:ascii="Verdana" w:hAnsi="Verdana"/>
          <w:color w:val="000000"/>
          <w:sz w:val="20"/>
          <w:szCs w:val="20"/>
          <w:lang w:val="es-ES_tradnl"/>
        </w:rPr>
        <w:t> </w:t>
      </w:r>
    </w:p>
    <w:p w14:paraId="30C038DD" w14:textId="77777777" w:rsidR="00A403FD" w:rsidRPr="00A403FD" w:rsidRDefault="00A403FD" w:rsidP="00A403FD">
      <w:pPr>
        <w:shd w:val="clear" w:color="auto" w:fill="FFFFFF"/>
        <w:ind w:left="709" w:right="709"/>
        <w:jc w:val="both"/>
        <w:textAlignment w:val="baseline"/>
        <w:rPr>
          <w:rFonts w:ascii="Verdana" w:hAnsi="Verdana"/>
          <w:color w:val="2D2D2D"/>
          <w:sz w:val="20"/>
          <w:szCs w:val="20"/>
        </w:rPr>
      </w:pPr>
      <w:r w:rsidRPr="00A403FD">
        <w:rPr>
          <w:rFonts w:ascii="Verdana" w:hAnsi="Verdana"/>
          <w:color w:val="000000"/>
          <w:sz w:val="20"/>
          <w:szCs w:val="20"/>
          <w:lang w:val="es-ES_tradnl"/>
        </w:rPr>
        <w:t>5.5.7. Al fundarse en lo que revelan los medios de prueba, en modo alguno la resolución motivada de la entidad estatal resulta de dar prevalencia a las formas sobre el derecho sustancial. Lo que ocurre es lo contrario, pues las formas que rigen el procedimiento brindan amplias oportunidades a las partes, para presentar y para controvertir pruebas y, sobre esta base, que no es formal, sino que es empírica, la entidad estatal da aplicación al derecho sustancial.</w:t>
      </w:r>
    </w:p>
    <w:p w14:paraId="595248C8" w14:textId="77777777" w:rsidR="00A403FD" w:rsidRPr="00A403FD" w:rsidRDefault="00A403FD" w:rsidP="00A403FD">
      <w:pPr>
        <w:shd w:val="clear" w:color="auto" w:fill="FFFFFF"/>
        <w:ind w:left="709" w:right="709"/>
        <w:jc w:val="both"/>
        <w:textAlignment w:val="baseline"/>
        <w:rPr>
          <w:rFonts w:ascii="Verdana" w:hAnsi="Verdana"/>
          <w:color w:val="2D2D2D"/>
          <w:sz w:val="20"/>
          <w:szCs w:val="20"/>
        </w:rPr>
      </w:pPr>
      <w:r w:rsidRPr="00A403FD">
        <w:rPr>
          <w:rFonts w:ascii="Verdana" w:hAnsi="Verdana"/>
          <w:color w:val="000000"/>
          <w:sz w:val="20"/>
          <w:szCs w:val="20"/>
          <w:lang w:val="es-ES_tradnl"/>
        </w:rPr>
        <w:t> </w:t>
      </w:r>
    </w:p>
    <w:p w14:paraId="2905E233" w14:textId="2C8C4E59" w:rsidR="00A403FD" w:rsidRDefault="00A403FD" w:rsidP="00A403FD">
      <w:pPr>
        <w:shd w:val="clear" w:color="auto" w:fill="FFFFFF"/>
        <w:ind w:left="709" w:right="709"/>
        <w:jc w:val="both"/>
        <w:textAlignment w:val="baseline"/>
        <w:rPr>
          <w:rFonts w:ascii="Verdana" w:hAnsi="Verdana"/>
          <w:color w:val="000000"/>
          <w:sz w:val="20"/>
          <w:szCs w:val="20"/>
          <w:lang w:val="es-ES_tradnl"/>
        </w:rPr>
      </w:pPr>
      <w:r w:rsidRPr="00A403FD">
        <w:rPr>
          <w:rFonts w:ascii="Verdana" w:hAnsi="Verdana"/>
          <w:color w:val="000000"/>
          <w:sz w:val="20"/>
          <w:szCs w:val="20"/>
          <w:lang w:val="es-ES_tradnl"/>
        </w:rPr>
        <w:t xml:space="preserve">5.5.8. Por último, dado que la resolución motivada en comento debe fundarse en hechos verificados por medio de pruebas, no en suposiciones y prejuicios de la entidad estatal, lo que significa </w:t>
      </w:r>
      <w:r w:rsidRPr="00A403FD">
        <w:rPr>
          <w:rFonts w:ascii="Verdana" w:hAnsi="Verdana"/>
          <w:i/>
          <w:iCs/>
          <w:color w:val="000000"/>
          <w:sz w:val="20"/>
          <w:szCs w:val="20"/>
          <w:lang w:val="es-ES_tradnl"/>
        </w:rPr>
        <w:t xml:space="preserve">que tanto la existencia de perjuicios derivados del incumplimiento del contrato como la responsabilidad del contratista en ellos debe estar probada, en el escenario de la audiencia, la actuación administrativa en la que se soporta la cuantificación de perjuicios </w:t>
      </w:r>
      <w:proofErr w:type="gramStart"/>
      <w:r w:rsidRPr="00A403FD">
        <w:rPr>
          <w:rFonts w:ascii="Verdana" w:hAnsi="Verdana"/>
          <w:i/>
          <w:iCs/>
          <w:color w:val="000000"/>
          <w:sz w:val="20"/>
          <w:szCs w:val="20"/>
          <w:lang w:val="es-ES_tradnl"/>
        </w:rPr>
        <w:t>respetan</w:t>
      </w:r>
      <w:proofErr w:type="gramEnd"/>
      <w:r w:rsidRPr="00A403FD">
        <w:rPr>
          <w:rFonts w:ascii="Verdana" w:hAnsi="Verdana"/>
          <w:i/>
          <w:iCs/>
          <w:color w:val="000000"/>
          <w:sz w:val="20"/>
          <w:szCs w:val="20"/>
          <w:lang w:val="es-ES_tradnl"/>
        </w:rPr>
        <w:t xml:space="preserve"> el debido proceso</w:t>
      </w:r>
      <w:r>
        <w:rPr>
          <w:rFonts w:ascii="Verdana" w:hAnsi="Verdana"/>
          <w:color w:val="000000"/>
          <w:sz w:val="20"/>
          <w:szCs w:val="20"/>
          <w:lang w:val="es-ES_tradnl"/>
        </w:rPr>
        <w:t>”</w:t>
      </w:r>
      <w:r w:rsidRPr="00A403FD">
        <w:rPr>
          <w:rFonts w:ascii="Verdana" w:hAnsi="Verdana"/>
          <w:color w:val="000000"/>
          <w:sz w:val="20"/>
          <w:szCs w:val="20"/>
          <w:lang w:val="es-ES_tradnl"/>
        </w:rPr>
        <w:t>.</w:t>
      </w:r>
      <w:r>
        <w:rPr>
          <w:rFonts w:ascii="Verdana" w:hAnsi="Verdana"/>
          <w:color w:val="000000"/>
          <w:sz w:val="20"/>
          <w:szCs w:val="20"/>
          <w:lang w:val="es-ES_tradnl"/>
        </w:rPr>
        <w:t xml:space="preserve"> [Énfasis Propio]</w:t>
      </w:r>
    </w:p>
    <w:p w14:paraId="704CD75F" w14:textId="77777777" w:rsidR="00A403FD" w:rsidRPr="00A403FD" w:rsidRDefault="00A403FD" w:rsidP="00A403FD">
      <w:pPr>
        <w:shd w:val="clear" w:color="auto" w:fill="FFFFFF"/>
        <w:ind w:left="709" w:right="709"/>
        <w:jc w:val="both"/>
        <w:textAlignment w:val="baseline"/>
        <w:rPr>
          <w:rFonts w:ascii="Verdana" w:hAnsi="Verdana"/>
          <w:color w:val="2D2D2D"/>
          <w:sz w:val="20"/>
          <w:szCs w:val="20"/>
        </w:rPr>
      </w:pPr>
    </w:p>
    <w:p w14:paraId="79836F11" w14:textId="336E77B7" w:rsidR="00562CED" w:rsidRPr="007D7B1C" w:rsidRDefault="00562CED" w:rsidP="00A403FD">
      <w:pPr>
        <w:pStyle w:val="Textonotapie"/>
        <w:spacing w:line="276" w:lineRule="auto"/>
        <w:ind w:firstLine="708"/>
        <w:jc w:val="both"/>
        <w:rPr>
          <w:rFonts w:ascii="Verdana" w:hAnsi="Verdana"/>
          <w:sz w:val="21"/>
          <w:szCs w:val="21"/>
          <w:lang w:val="es-ES"/>
        </w:rPr>
      </w:pPr>
      <w:r w:rsidRPr="007D7B1C">
        <w:rPr>
          <w:rFonts w:ascii="Verdana" w:hAnsi="Verdana"/>
          <w:sz w:val="21"/>
          <w:szCs w:val="21"/>
          <w:lang w:val="es-ES"/>
        </w:rPr>
        <w:t>Como se observa</w:t>
      </w:r>
      <w:r w:rsidR="00195EC8">
        <w:rPr>
          <w:rFonts w:ascii="Verdana" w:hAnsi="Verdana"/>
          <w:sz w:val="21"/>
          <w:szCs w:val="21"/>
          <w:lang w:val="es-ES"/>
        </w:rPr>
        <w:t>,</w:t>
      </w:r>
      <w:r w:rsidRPr="007D7B1C">
        <w:rPr>
          <w:rFonts w:ascii="Verdana" w:hAnsi="Verdana"/>
          <w:sz w:val="21"/>
          <w:szCs w:val="21"/>
          <w:lang w:val="es-ES"/>
        </w:rPr>
        <w:t xml:space="preserve"> la facultad de adelantar el </w:t>
      </w:r>
      <w:r w:rsidR="00A403FD" w:rsidRPr="007D7B1C">
        <w:rPr>
          <w:rFonts w:ascii="Verdana" w:hAnsi="Verdana"/>
          <w:sz w:val="21"/>
          <w:szCs w:val="21"/>
          <w:lang w:val="es-ES"/>
        </w:rPr>
        <w:t>procedimiento</w:t>
      </w:r>
      <w:r w:rsidRPr="007D7B1C">
        <w:rPr>
          <w:rFonts w:ascii="Verdana" w:hAnsi="Verdana"/>
          <w:sz w:val="21"/>
          <w:szCs w:val="21"/>
          <w:lang w:val="es-ES"/>
        </w:rPr>
        <w:t xml:space="preserve"> del artículo 86 para que la entidad declare la ocurrencia del siniestro con </w:t>
      </w:r>
      <w:r w:rsidR="00A403FD" w:rsidRPr="007D7B1C">
        <w:rPr>
          <w:rFonts w:ascii="Verdana" w:hAnsi="Verdana"/>
          <w:sz w:val="21"/>
          <w:szCs w:val="21"/>
          <w:lang w:val="es-ES"/>
        </w:rPr>
        <w:t>ocasión</w:t>
      </w:r>
      <w:r w:rsidRPr="007D7B1C">
        <w:rPr>
          <w:rFonts w:ascii="Verdana" w:hAnsi="Verdana"/>
          <w:sz w:val="21"/>
          <w:szCs w:val="21"/>
          <w:lang w:val="es-ES"/>
        </w:rPr>
        <w:t xml:space="preserve"> al incumplimiento del contrato</w:t>
      </w:r>
      <w:r w:rsidR="00A403FD" w:rsidRPr="007D7B1C">
        <w:rPr>
          <w:rFonts w:ascii="Verdana" w:hAnsi="Verdana"/>
          <w:sz w:val="21"/>
          <w:szCs w:val="21"/>
          <w:lang w:val="es-ES"/>
        </w:rPr>
        <w:t>,</w:t>
      </w:r>
      <w:r w:rsidRPr="007D7B1C">
        <w:rPr>
          <w:rFonts w:ascii="Verdana" w:hAnsi="Verdana"/>
          <w:sz w:val="21"/>
          <w:szCs w:val="21"/>
          <w:lang w:val="es-ES"/>
        </w:rPr>
        <w:t xml:space="preserve"> junto con la </w:t>
      </w:r>
      <w:r w:rsidR="00A403FD" w:rsidRPr="007D7B1C">
        <w:rPr>
          <w:rFonts w:ascii="Verdana" w:hAnsi="Verdana"/>
          <w:sz w:val="21"/>
          <w:szCs w:val="21"/>
          <w:lang w:val="es-ES"/>
        </w:rPr>
        <w:t>cuantificación</w:t>
      </w:r>
      <w:r w:rsidRPr="007D7B1C">
        <w:rPr>
          <w:rFonts w:ascii="Verdana" w:hAnsi="Verdana"/>
          <w:sz w:val="21"/>
          <w:szCs w:val="21"/>
          <w:lang w:val="es-ES"/>
        </w:rPr>
        <w:t xml:space="preserve"> de los perjuicios</w:t>
      </w:r>
      <w:r w:rsidR="00A403FD" w:rsidRPr="007D7B1C">
        <w:rPr>
          <w:rFonts w:ascii="Verdana" w:hAnsi="Verdana"/>
          <w:sz w:val="21"/>
          <w:szCs w:val="21"/>
          <w:lang w:val="es-ES"/>
        </w:rPr>
        <w:t xml:space="preserve"> derivados del mismo</w:t>
      </w:r>
      <w:r w:rsidRPr="007D7B1C">
        <w:rPr>
          <w:rFonts w:ascii="Verdana" w:hAnsi="Verdana"/>
          <w:sz w:val="21"/>
          <w:szCs w:val="21"/>
          <w:lang w:val="es-ES"/>
        </w:rPr>
        <w:t xml:space="preserve">, se ajusta al debido proceso. </w:t>
      </w:r>
      <w:r w:rsidR="002C19EA" w:rsidRPr="007D7B1C">
        <w:rPr>
          <w:rFonts w:ascii="Verdana" w:hAnsi="Verdana"/>
          <w:sz w:val="21"/>
          <w:szCs w:val="21"/>
          <w:lang w:val="es-ES"/>
        </w:rPr>
        <w:t>Sobre este</w:t>
      </w:r>
      <w:r w:rsidR="00A403FD" w:rsidRPr="007D7B1C">
        <w:rPr>
          <w:rFonts w:ascii="Verdana" w:hAnsi="Verdana"/>
          <w:sz w:val="21"/>
          <w:szCs w:val="21"/>
          <w:lang w:val="es-ES"/>
        </w:rPr>
        <w:t xml:space="preserve"> </w:t>
      </w:r>
      <w:r w:rsidR="002C19EA" w:rsidRPr="007D7B1C">
        <w:rPr>
          <w:rFonts w:ascii="Verdana" w:hAnsi="Verdana"/>
          <w:sz w:val="21"/>
          <w:szCs w:val="21"/>
          <w:lang w:val="es-ES"/>
        </w:rPr>
        <w:t xml:space="preserve">punto la doctrina </w:t>
      </w:r>
      <w:r w:rsidR="00A403FD" w:rsidRPr="007D7B1C">
        <w:rPr>
          <w:rFonts w:ascii="Verdana" w:hAnsi="Verdana"/>
          <w:sz w:val="21"/>
          <w:szCs w:val="21"/>
          <w:lang w:val="es-ES"/>
        </w:rPr>
        <w:t>h</w:t>
      </w:r>
      <w:r w:rsidR="002C19EA" w:rsidRPr="007D7B1C">
        <w:rPr>
          <w:rFonts w:ascii="Verdana" w:hAnsi="Verdana"/>
          <w:sz w:val="21"/>
          <w:szCs w:val="21"/>
          <w:lang w:val="es-ES"/>
        </w:rPr>
        <w:t>a resaltado que:</w:t>
      </w:r>
    </w:p>
    <w:p w14:paraId="4C92356B" w14:textId="67BFB61F" w:rsidR="00A403FD" w:rsidRPr="00EC2F74" w:rsidRDefault="00A403FD" w:rsidP="00B3276A">
      <w:pPr>
        <w:pStyle w:val="Textonotapie"/>
        <w:ind w:firstLine="708"/>
        <w:jc w:val="both"/>
        <w:rPr>
          <w:rFonts w:ascii="Verdana" w:hAnsi="Verdana"/>
          <w:lang w:val="es-ES"/>
        </w:rPr>
      </w:pPr>
    </w:p>
    <w:p w14:paraId="20A5623B" w14:textId="38C57C22" w:rsidR="00562CED" w:rsidRPr="00EC2F74" w:rsidRDefault="00562CED" w:rsidP="00B3276A">
      <w:pPr>
        <w:pStyle w:val="Textonotapie"/>
        <w:ind w:left="709" w:right="709"/>
        <w:jc w:val="both"/>
        <w:rPr>
          <w:rFonts w:ascii="Verdana" w:hAnsi="Verdana"/>
          <w:lang w:val="es-ES"/>
        </w:rPr>
      </w:pPr>
      <w:bookmarkStart w:id="2" w:name="nu49"/>
      <w:bookmarkStart w:id="3" w:name="nu50"/>
      <w:bookmarkStart w:id="4" w:name="nu51"/>
      <w:bookmarkEnd w:id="2"/>
      <w:bookmarkEnd w:id="3"/>
      <w:bookmarkEnd w:id="4"/>
      <w:r w:rsidRPr="00EC2F74">
        <w:rPr>
          <w:rFonts w:ascii="Verdana" w:hAnsi="Verdana"/>
          <w:lang w:val="es-ES"/>
        </w:rPr>
        <w:t>“La garantía del contratista es la existencia de una presunción de responsabilidad. Implica, además, que el Estado, en cabeza de la entidad pública que ejerce la potestad sancionatoria, debe probar</w:t>
      </w:r>
      <w:bookmarkStart w:id="5" w:name="nu52"/>
      <w:bookmarkEnd w:id="5"/>
      <w:r w:rsidRPr="00EC2F74">
        <w:rPr>
          <w:rFonts w:ascii="Verdana" w:hAnsi="Verdana"/>
          <w:lang w:val="es-ES"/>
        </w:rPr>
        <w:t> los hechos que constituyen el fundamento de la infracción y la imputabilidad de aquel frente a dicha actuación</w:t>
      </w:r>
      <w:bookmarkStart w:id="6" w:name="nu53"/>
      <w:bookmarkEnd w:id="6"/>
      <w:r w:rsidRPr="00EC2F74">
        <w:rPr>
          <w:rFonts w:ascii="Verdana" w:hAnsi="Verdana"/>
          <w:lang w:val="es-ES"/>
        </w:rPr>
        <w:t>. Si de lo que se trata es de la declaratoria de incumplimiento del contrato, la Administración deberá probar que el contratista era titular de la obligación que se dice incumplida y la inejecución de esta imputable al contratista. Si además de la declaratoria de incumplimiento se pretende la tasación de perjuicios, la Administración pública deberá probarlos</w:t>
      </w:r>
      <w:bookmarkStart w:id="7" w:name="nu54"/>
      <w:bookmarkEnd w:id="7"/>
      <w:r w:rsidRPr="00EC2F74">
        <w:rPr>
          <w:rFonts w:ascii="Verdana" w:hAnsi="Verdana"/>
          <w:lang w:val="es-ES"/>
        </w:rPr>
        <w:t>, salvo que se trate de hacer efectiva la cláusula penal, caso en el cual la misma deberá tasarse con criterios de razonabilidad y proporcionalidad, teniendo en cuenta el porcentaje de cumplimiento del contrato</w:t>
      </w:r>
      <w:bookmarkStart w:id="8" w:name="nu55"/>
      <w:bookmarkEnd w:id="8"/>
      <w:r w:rsidR="00C07063">
        <w:rPr>
          <w:rFonts w:ascii="Verdana" w:hAnsi="Verdana"/>
          <w:lang w:val="es-ES"/>
        </w:rPr>
        <w:t>”</w:t>
      </w:r>
      <w:r w:rsidR="002C19EA" w:rsidRPr="00EC2F74">
        <w:rPr>
          <w:rStyle w:val="Refdenotaalpie"/>
          <w:rFonts w:ascii="Verdana" w:hAnsi="Verdana"/>
          <w:lang w:val="es-ES"/>
        </w:rPr>
        <w:footnoteReference w:id="26"/>
      </w:r>
      <w:r w:rsidRPr="00EC2F74">
        <w:rPr>
          <w:rFonts w:ascii="Verdana" w:hAnsi="Verdana"/>
          <w:lang w:val="es-ES"/>
        </w:rPr>
        <w:t>.</w:t>
      </w:r>
    </w:p>
    <w:p w14:paraId="5D8F070B" w14:textId="77777777" w:rsidR="004C120B" w:rsidRDefault="004C120B" w:rsidP="009E0279">
      <w:pPr>
        <w:spacing w:line="276" w:lineRule="auto"/>
        <w:contextualSpacing/>
        <w:jc w:val="both"/>
        <w:rPr>
          <w:rFonts w:ascii="Arial" w:hAnsi="Arial" w:cs="Arial"/>
          <w:iCs/>
          <w:lang w:val="es-ES"/>
        </w:rPr>
      </w:pPr>
    </w:p>
    <w:p w14:paraId="22931F86" w14:textId="1D08FCA2" w:rsidR="00DD2255" w:rsidRDefault="00F94AEE" w:rsidP="00DD2255">
      <w:pPr>
        <w:spacing w:before="120" w:after="120" w:line="276" w:lineRule="auto"/>
        <w:ind w:firstLine="708"/>
        <w:contextualSpacing/>
        <w:jc w:val="both"/>
        <w:rPr>
          <w:rFonts w:ascii="Verdana" w:hAnsi="Verdana" w:cs="Arial"/>
          <w:sz w:val="22"/>
          <w:szCs w:val="22"/>
          <w:lang w:val="es-ES"/>
        </w:rPr>
      </w:pPr>
      <w:r w:rsidRPr="00F94AEE">
        <w:rPr>
          <w:rFonts w:ascii="Verdana" w:hAnsi="Verdana" w:cs="Arial"/>
          <w:iCs/>
          <w:sz w:val="22"/>
          <w:szCs w:val="22"/>
          <w:lang w:val="es-ES"/>
        </w:rPr>
        <w:t>En línea con lo anterior</w:t>
      </w:r>
      <w:r w:rsidR="00C07063">
        <w:rPr>
          <w:rFonts w:ascii="Verdana" w:hAnsi="Verdana" w:cs="Arial"/>
          <w:iCs/>
          <w:sz w:val="22"/>
          <w:szCs w:val="22"/>
          <w:lang w:val="es-ES"/>
        </w:rPr>
        <w:t>,</w:t>
      </w:r>
      <w:r w:rsidRPr="00F94AEE">
        <w:rPr>
          <w:rFonts w:ascii="Verdana" w:hAnsi="Verdana" w:cs="Arial"/>
          <w:iCs/>
          <w:sz w:val="22"/>
          <w:szCs w:val="22"/>
          <w:lang w:val="es-ES"/>
        </w:rPr>
        <w:t xml:space="preserve"> </w:t>
      </w:r>
      <w:r w:rsidR="00D27AB2" w:rsidRPr="00F94AEE">
        <w:rPr>
          <w:rFonts w:ascii="Verdana" w:hAnsi="Verdana" w:cs="Arial"/>
          <w:iCs/>
          <w:sz w:val="22"/>
          <w:szCs w:val="22"/>
          <w:lang w:val="es-ES"/>
        </w:rPr>
        <w:t xml:space="preserve">la jurisprudencia del Consejo de Estado ha sostenido que esta es discrecional por parte de la administración, </w:t>
      </w:r>
      <w:r w:rsidR="00D27AB2" w:rsidRPr="00F94AEE">
        <w:rPr>
          <w:rFonts w:ascii="Verdana" w:hAnsi="Verdana" w:cs="Arial"/>
          <w:sz w:val="22"/>
          <w:szCs w:val="22"/>
          <w:lang w:val="es-ES"/>
        </w:rPr>
        <w:t>sin embargo, debe ser abordada desde la perspectiva de la proporcionalidad</w:t>
      </w:r>
      <w:r w:rsidR="00D27AB2" w:rsidRPr="00F94AEE">
        <w:rPr>
          <w:rFonts w:ascii="Verdana" w:hAnsi="Verdana" w:cs="Arial"/>
          <w:iCs/>
          <w:sz w:val="22"/>
          <w:szCs w:val="22"/>
          <w:lang w:val="es-ES"/>
        </w:rPr>
        <w:t xml:space="preserve">. </w:t>
      </w:r>
      <w:r w:rsidR="00C07063">
        <w:rPr>
          <w:rFonts w:ascii="Verdana" w:hAnsi="Verdana" w:cs="Arial"/>
          <w:iCs/>
          <w:sz w:val="22"/>
          <w:szCs w:val="22"/>
          <w:lang w:val="es-ES"/>
        </w:rPr>
        <w:t xml:space="preserve">Este es </w:t>
      </w:r>
      <w:r w:rsidR="00D27AB2" w:rsidRPr="00F94AEE">
        <w:rPr>
          <w:rFonts w:ascii="Verdana" w:hAnsi="Verdana" w:cs="Arial"/>
          <w:iCs/>
          <w:sz w:val="22"/>
          <w:szCs w:val="22"/>
          <w:lang w:val="es-ES"/>
        </w:rPr>
        <w:t>un principio general del derecho, y se ha resaltado su importancia en el ejercicio de cada una de las actuaciones administrativas</w:t>
      </w:r>
      <w:r w:rsidR="00C07063">
        <w:rPr>
          <w:rFonts w:ascii="Verdana" w:hAnsi="Verdana" w:cs="Arial"/>
          <w:iCs/>
          <w:sz w:val="22"/>
          <w:szCs w:val="22"/>
          <w:lang w:val="es-ES"/>
        </w:rPr>
        <w:t>.</w:t>
      </w:r>
      <w:r w:rsidR="00D27AB2" w:rsidRPr="00F94AEE">
        <w:rPr>
          <w:rFonts w:ascii="Verdana" w:hAnsi="Verdana" w:cs="Arial"/>
          <w:iCs/>
          <w:sz w:val="22"/>
          <w:szCs w:val="22"/>
          <w:lang w:val="es-ES"/>
        </w:rPr>
        <w:t xml:space="preserve"> </w:t>
      </w:r>
      <w:r w:rsidR="00C07063">
        <w:rPr>
          <w:rFonts w:ascii="Verdana" w:hAnsi="Verdana" w:cs="Arial"/>
          <w:iCs/>
          <w:sz w:val="22"/>
          <w:szCs w:val="22"/>
          <w:lang w:val="es-ES"/>
        </w:rPr>
        <w:t xml:space="preserve">En este sentido, </w:t>
      </w:r>
      <w:r w:rsidR="00D27AB2" w:rsidRPr="00F94AEE">
        <w:rPr>
          <w:rFonts w:ascii="Verdana" w:hAnsi="Verdana" w:cs="Arial"/>
          <w:iCs/>
          <w:sz w:val="22"/>
          <w:szCs w:val="22"/>
          <w:lang w:val="es-ES"/>
        </w:rPr>
        <w:t xml:space="preserve">cumple dos funciones: </w:t>
      </w:r>
      <w:r w:rsidR="00D27AB2" w:rsidRPr="00F94AEE">
        <w:rPr>
          <w:rFonts w:ascii="Verdana" w:hAnsi="Verdana" w:cs="Arial"/>
          <w:sz w:val="22"/>
          <w:szCs w:val="22"/>
          <w:lang w:val="es-ES"/>
        </w:rPr>
        <w:t>“</w:t>
      </w:r>
      <w:r w:rsidR="00D27AB2" w:rsidRPr="00F94AEE">
        <w:rPr>
          <w:rFonts w:ascii="Verdana" w:hAnsi="Verdana" w:cs="Arial"/>
          <w:iCs/>
          <w:sz w:val="22"/>
          <w:szCs w:val="22"/>
          <w:lang w:val="es-ES"/>
        </w:rPr>
        <w:t>i) en primer lugar, sirve de criterio de acción, esto es, como sustento de las actuaciones de los distintos órganos del Estado, el cual se realiza con su observancia y aplicación a cada caso concreto</w:t>
      </w:r>
      <w:r w:rsidR="00C07063">
        <w:rPr>
          <w:rFonts w:ascii="Verdana" w:hAnsi="Verdana" w:cs="Arial"/>
          <w:iCs/>
          <w:sz w:val="22"/>
          <w:szCs w:val="22"/>
          <w:lang w:val="es-ES"/>
        </w:rPr>
        <w:t xml:space="preserve">; </w:t>
      </w:r>
      <w:proofErr w:type="spellStart"/>
      <w:r w:rsidR="00D27AB2" w:rsidRPr="00F94AEE">
        <w:rPr>
          <w:rFonts w:ascii="Verdana" w:hAnsi="Verdana" w:cs="Arial"/>
          <w:iCs/>
          <w:sz w:val="22"/>
          <w:szCs w:val="22"/>
          <w:lang w:val="es-ES"/>
        </w:rPr>
        <w:t>ii</w:t>
      </w:r>
      <w:proofErr w:type="spellEnd"/>
      <w:r w:rsidR="00D27AB2" w:rsidRPr="00F94AEE">
        <w:rPr>
          <w:rFonts w:ascii="Verdana" w:hAnsi="Verdana" w:cs="Arial"/>
          <w:iCs/>
          <w:sz w:val="22"/>
          <w:szCs w:val="22"/>
          <w:lang w:val="es-ES"/>
        </w:rPr>
        <w:t>) En segundo lugar, es un criterio de control, pues debe adoptarlo el juez para efectos de evaluar la proporcionalidad de la respectiva actuación administrativa.</w:t>
      </w:r>
      <w:r w:rsidR="00D27AB2" w:rsidRPr="00F94AEE">
        <w:rPr>
          <w:rFonts w:ascii="Verdana" w:hAnsi="Verdana" w:cs="Arial"/>
          <w:sz w:val="22"/>
          <w:szCs w:val="22"/>
          <w:lang w:val="es-ES"/>
        </w:rPr>
        <w:t>”</w:t>
      </w:r>
      <w:r w:rsidR="00D27AB2" w:rsidRPr="00F94AEE">
        <w:rPr>
          <w:rStyle w:val="Refdenotaalpie"/>
          <w:rFonts w:ascii="Verdana" w:hAnsi="Verdana" w:cs="Arial"/>
          <w:sz w:val="22"/>
          <w:szCs w:val="22"/>
          <w:lang w:val="es-ES"/>
        </w:rPr>
        <w:footnoteReference w:id="27"/>
      </w:r>
    </w:p>
    <w:p w14:paraId="5A177576" w14:textId="4397688F" w:rsidR="00363E78" w:rsidRPr="009E0279" w:rsidRDefault="00F94AEE" w:rsidP="00DD2255">
      <w:pPr>
        <w:spacing w:before="120" w:after="120" w:line="276" w:lineRule="auto"/>
        <w:ind w:firstLine="708"/>
        <w:contextualSpacing/>
        <w:jc w:val="both"/>
        <w:rPr>
          <w:rFonts w:ascii="Verdana" w:hAnsi="Verdana" w:cs="Arial"/>
          <w:sz w:val="22"/>
          <w:szCs w:val="22"/>
          <w:lang w:val="es-ES"/>
        </w:rPr>
      </w:pPr>
      <w:r w:rsidRPr="00F94AEE">
        <w:rPr>
          <w:rFonts w:ascii="Verdana" w:hAnsi="Verdana" w:cs="Arial"/>
          <w:iCs/>
          <w:sz w:val="22"/>
          <w:szCs w:val="22"/>
          <w:lang w:val="es-ES"/>
        </w:rPr>
        <w:t>A</w:t>
      </w:r>
      <w:r w:rsidRPr="00F94AEE">
        <w:rPr>
          <w:rFonts w:ascii="Verdana" w:eastAsia="Calibri" w:hAnsi="Verdana" w:cs="Arial"/>
          <w:color w:val="000000" w:themeColor="text1"/>
          <w:sz w:val="22"/>
          <w:szCs w:val="22"/>
          <w:lang w:val="es-ES"/>
        </w:rPr>
        <w:t>dicionalmente</w:t>
      </w:r>
      <w:r w:rsidR="00363E78" w:rsidRPr="00F94AEE">
        <w:rPr>
          <w:rFonts w:ascii="Verdana" w:eastAsia="Calibri" w:hAnsi="Verdana" w:cs="Arial"/>
          <w:color w:val="000000" w:themeColor="text1"/>
          <w:sz w:val="22"/>
          <w:szCs w:val="22"/>
          <w:lang w:val="es-ES"/>
        </w:rPr>
        <w:t xml:space="preserve">, el artículo 29 de la Constitución Política de 1991 dispone que el debido proceso rige en todas las actuaciones judiciales y administrativas. En concordancia, el numeral 1 del artículo 3 de la Ley 1437 establece que “En virtud del principio del debido proceso, las actuaciones administrativas se adelantarán de conformidad con las normas de procedimiento y competencia establecidas en la Constitución y la ley, con plena garantía de los derechos de representación, defensa y contradicción […]”. Así, la Entidad deberá asegurar </w:t>
      </w:r>
      <w:r w:rsidR="00363E78" w:rsidRPr="00F94AEE">
        <w:rPr>
          <w:rFonts w:ascii="Verdana" w:eastAsia="Calibri" w:hAnsi="Verdana" w:cs="Arial"/>
          <w:color w:val="000000" w:themeColor="text1"/>
          <w:sz w:val="22"/>
          <w:szCs w:val="22"/>
          <w:lang w:val="es-ES"/>
        </w:rPr>
        <w:lastRenderedPageBreak/>
        <w:t xml:space="preserve">que el procedimiento que adelante para la declaratoria del incumplimiento cumpla con este principio, permitiendo que tanto el contratista como la aseguradora ejerzan el derecho de audiencia y defensa antes de que la Entidad declare el siniestro o afecte la póliza. La jurisprudencia mayoritaria del Consejo de Estado acoge esta idea al explicar que, si bien las entidades tienen competencia para declarar el siniestro, esta prerrogativa no limita el debido proceso, razón por la cual: </w:t>
      </w:r>
    </w:p>
    <w:p w14:paraId="07BC47F5" w14:textId="77777777" w:rsidR="004C120B" w:rsidRPr="00F94AEE" w:rsidRDefault="004C120B" w:rsidP="00D24FC7">
      <w:pPr>
        <w:spacing w:before="120" w:after="120" w:line="276" w:lineRule="auto"/>
        <w:ind w:firstLine="708"/>
        <w:contextualSpacing/>
        <w:jc w:val="both"/>
        <w:rPr>
          <w:rFonts w:ascii="Verdana" w:hAnsi="Verdana" w:cs="Arial"/>
          <w:iCs/>
          <w:sz w:val="22"/>
          <w:szCs w:val="22"/>
          <w:lang w:val="es-ES"/>
        </w:rPr>
      </w:pPr>
    </w:p>
    <w:p w14:paraId="510205CF" w14:textId="77777777" w:rsidR="00363E78" w:rsidRPr="003D6EF5" w:rsidRDefault="00363E78" w:rsidP="003D6EF5">
      <w:pPr>
        <w:snapToGrid w:val="0"/>
        <w:spacing w:before="120" w:after="120"/>
        <w:ind w:left="709" w:right="760"/>
        <w:jc w:val="both"/>
        <w:rPr>
          <w:rFonts w:ascii="Verdana" w:eastAsia="Calibri" w:hAnsi="Verdana" w:cs="Arial"/>
          <w:color w:val="000000" w:themeColor="text1"/>
          <w:sz w:val="20"/>
          <w:szCs w:val="20"/>
          <w:lang w:val="es-ES"/>
        </w:rPr>
      </w:pPr>
      <w:r w:rsidRPr="003D6EF5">
        <w:rPr>
          <w:rFonts w:ascii="Verdana" w:eastAsia="Calibri" w:hAnsi="Verdana" w:cs="Arial"/>
          <w:color w:val="000000" w:themeColor="text1"/>
          <w:sz w:val="20"/>
          <w:szCs w:val="20"/>
          <w:lang w:val="es-ES"/>
        </w:rPr>
        <w:t xml:space="preserve">“[…] tampoco es exclusiva de los procedimientos sancionatorios contractuales, sino de los demás trámites administrativos que se surten al interior de la actividad contractual, que también deben garantizar un procedimiento previo que racionalice las decisiones que se adoptan a través suyo. Los más representativos son los procesos de selección de contratistas, cuyas etapas y requisitos son de estricta observancia, tanto para la administración como para los participantes, en señal de respeto al principio de legalidad como a este derecho que integra el debido proceso. </w:t>
      </w:r>
    </w:p>
    <w:p w14:paraId="55A5BD26" w14:textId="77777777" w:rsidR="00363E78" w:rsidRPr="003D6EF5" w:rsidRDefault="00363E78" w:rsidP="003D6EF5">
      <w:pPr>
        <w:snapToGrid w:val="0"/>
        <w:spacing w:before="120" w:after="120"/>
        <w:ind w:left="709" w:right="709"/>
        <w:jc w:val="both"/>
        <w:rPr>
          <w:rFonts w:ascii="Verdana" w:eastAsia="Calibri" w:hAnsi="Verdana" w:cs="Arial"/>
          <w:color w:val="000000" w:themeColor="text1"/>
          <w:sz w:val="20"/>
          <w:szCs w:val="20"/>
          <w:lang w:val="es-ES"/>
        </w:rPr>
      </w:pPr>
      <w:r w:rsidRPr="003D6EF5">
        <w:rPr>
          <w:rFonts w:ascii="Verdana" w:eastAsia="Calibri" w:hAnsi="Verdana" w:cs="Arial"/>
          <w:color w:val="000000" w:themeColor="text1"/>
          <w:sz w:val="20"/>
          <w:szCs w:val="20"/>
          <w:lang w:val="es-ES"/>
        </w:rPr>
        <w:t xml:space="preserve">El artículo 17 de la ley 1150 exaltó aún más esta garantía, al disponer sobre la imposición de las sanciones que ‘Esta decisión deberá estar precedida de audiencia del afectado que deberá tener un procedimiento mínimo que garantice el derecho al debido proceso del contratista’. Sobra insistir en que este derecho no sólo es predicable de las sanciones de multa o cláusula penal, sino de cualquiera otra, por aplicación analógica de esta disposición –analogía in </w:t>
      </w:r>
      <w:proofErr w:type="spellStart"/>
      <w:r w:rsidRPr="003D6EF5">
        <w:rPr>
          <w:rFonts w:ascii="Verdana" w:eastAsia="Calibri" w:hAnsi="Verdana" w:cs="Arial"/>
          <w:i/>
          <w:iCs/>
          <w:color w:val="000000" w:themeColor="text1"/>
          <w:sz w:val="20"/>
          <w:szCs w:val="20"/>
          <w:lang w:val="es-ES"/>
        </w:rPr>
        <w:t>bonam</w:t>
      </w:r>
      <w:proofErr w:type="spellEnd"/>
      <w:r w:rsidRPr="003D6EF5">
        <w:rPr>
          <w:rFonts w:ascii="Verdana" w:eastAsia="Calibri" w:hAnsi="Verdana" w:cs="Arial"/>
          <w:i/>
          <w:iCs/>
          <w:color w:val="000000" w:themeColor="text1"/>
          <w:sz w:val="20"/>
          <w:szCs w:val="20"/>
          <w:lang w:val="es-ES"/>
        </w:rPr>
        <w:t xml:space="preserve"> </w:t>
      </w:r>
      <w:proofErr w:type="spellStart"/>
      <w:r w:rsidRPr="003D6EF5">
        <w:rPr>
          <w:rFonts w:ascii="Verdana" w:eastAsia="Calibri" w:hAnsi="Verdana" w:cs="Arial"/>
          <w:i/>
          <w:iCs/>
          <w:color w:val="000000" w:themeColor="text1"/>
          <w:sz w:val="20"/>
          <w:szCs w:val="20"/>
          <w:lang w:val="es-ES"/>
        </w:rPr>
        <w:t>partem</w:t>
      </w:r>
      <w:proofErr w:type="spellEnd"/>
      <w:r w:rsidRPr="003D6EF5">
        <w:rPr>
          <w:rFonts w:ascii="Verdana" w:eastAsia="Calibri" w:hAnsi="Verdana" w:cs="Arial"/>
          <w:color w:val="000000" w:themeColor="text1"/>
          <w:sz w:val="20"/>
          <w:szCs w:val="20"/>
          <w:lang w:val="es-ES"/>
        </w:rPr>
        <w:t xml:space="preserve">- y por aplicación directa del art. 29 CP. En otras palabras, para la Sala no cabe duda </w:t>
      </w:r>
      <w:proofErr w:type="gramStart"/>
      <w:r w:rsidRPr="003D6EF5">
        <w:rPr>
          <w:rFonts w:ascii="Verdana" w:eastAsia="Calibri" w:hAnsi="Verdana" w:cs="Arial"/>
          <w:color w:val="000000" w:themeColor="text1"/>
          <w:sz w:val="20"/>
          <w:szCs w:val="20"/>
          <w:lang w:val="es-ES"/>
        </w:rPr>
        <w:t>que</w:t>
      </w:r>
      <w:proofErr w:type="gramEnd"/>
      <w:r w:rsidRPr="003D6EF5">
        <w:rPr>
          <w:rFonts w:ascii="Verdana" w:eastAsia="Calibri" w:hAnsi="Verdana" w:cs="Arial"/>
          <w:color w:val="000000" w:themeColor="text1"/>
          <w:sz w:val="20"/>
          <w:szCs w:val="20"/>
          <w:lang w:val="es-ES"/>
        </w:rPr>
        <w:t xml:space="preserve"> también cuando se ejercen los poderes exorbitantes, como la terminación, modificación o interpretación unilateral, caducidad, reversión, así como cuando se declara un siniestro, y en general cuando se adopta cualquier otra decisión unilateral de naturaleza contractual, es necesario que la administración observe el debido proceso a lo largo del procedimiento correspondiente”</w:t>
      </w:r>
      <w:r w:rsidRPr="003D6EF5">
        <w:rPr>
          <w:rStyle w:val="Refdenotaalpie"/>
          <w:rFonts w:ascii="Verdana" w:eastAsia="Calibri" w:hAnsi="Verdana" w:cs="Arial"/>
          <w:color w:val="000000" w:themeColor="text1"/>
          <w:sz w:val="20"/>
          <w:szCs w:val="20"/>
          <w:lang w:val="es-ES"/>
        </w:rPr>
        <w:footnoteReference w:id="28"/>
      </w:r>
      <w:r w:rsidRPr="003D6EF5">
        <w:rPr>
          <w:rFonts w:ascii="Verdana" w:eastAsia="Calibri" w:hAnsi="Verdana" w:cs="Arial"/>
          <w:color w:val="000000" w:themeColor="text1"/>
          <w:sz w:val="20"/>
          <w:szCs w:val="20"/>
          <w:lang w:val="es-ES"/>
        </w:rPr>
        <w:t>.</w:t>
      </w:r>
    </w:p>
    <w:p w14:paraId="61EDE56A" w14:textId="7F77FF00" w:rsidR="00776F1D" w:rsidRPr="00724B0B" w:rsidRDefault="00724B0B" w:rsidP="00724B0B">
      <w:pPr>
        <w:pStyle w:val="NormalWeb"/>
        <w:spacing w:line="276" w:lineRule="auto"/>
        <w:ind w:firstLine="708"/>
        <w:jc w:val="both"/>
        <w:rPr>
          <w:rFonts w:ascii="Verdana" w:hAnsi="Verdana"/>
          <w:sz w:val="22"/>
          <w:szCs w:val="22"/>
          <w:lang w:val="es-ES"/>
        </w:rPr>
      </w:pPr>
      <w:r w:rsidRPr="00724B0B">
        <w:rPr>
          <w:rFonts w:ascii="Verdana" w:hAnsi="Verdana"/>
          <w:sz w:val="22"/>
          <w:szCs w:val="22"/>
          <w:lang w:val="es-ES"/>
        </w:rPr>
        <w:t xml:space="preserve">En virtud de lo expuesto, las </w:t>
      </w:r>
      <w:r>
        <w:rPr>
          <w:rFonts w:ascii="Verdana" w:hAnsi="Verdana"/>
          <w:sz w:val="22"/>
          <w:szCs w:val="22"/>
          <w:lang w:val="es-ES"/>
        </w:rPr>
        <w:t>E</w:t>
      </w:r>
      <w:r w:rsidRPr="00724B0B">
        <w:rPr>
          <w:rFonts w:ascii="Verdana" w:hAnsi="Verdana"/>
          <w:sz w:val="22"/>
          <w:szCs w:val="22"/>
          <w:lang w:val="es-ES"/>
        </w:rPr>
        <w:t xml:space="preserve">ntidades Estatales cuentan con la potestad otorgada expresamente </w:t>
      </w:r>
      <w:r>
        <w:rPr>
          <w:rFonts w:ascii="Verdana" w:hAnsi="Verdana"/>
          <w:sz w:val="22"/>
          <w:szCs w:val="22"/>
          <w:lang w:val="es-ES"/>
        </w:rPr>
        <w:t>por</w:t>
      </w:r>
      <w:r w:rsidRPr="00724B0B">
        <w:rPr>
          <w:rFonts w:ascii="Verdana" w:hAnsi="Verdana"/>
          <w:sz w:val="22"/>
          <w:szCs w:val="22"/>
          <w:lang w:val="es-ES"/>
        </w:rPr>
        <w:t xml:space="preserve"> el artículo 86 </w:t>
      </w:r>
      <w:r>
        <w:rPr>
          <w:rFonts w:ascii="Verdana" w:hAnsi="Verdana"/>
          <w:sz w:val="22"/>
          <w:szCs w:val="22"/>
          <w:lang w:val="es-ES"/>
        </w:rPr>
        <w:t xml:space="preserve">para declarar unilateralmente el incumplimiento, cuantificando los perjuicios, y </w:t>
      </w:r>
      <w:r w:rsidR="00C07063">
        <w:rPr>
          <w:rFonts w:ascii="Verdana" w:hAnsi="Verdana"/>
          <w:sz w:val="22"/>
          <w:szCs w:val="22"/>
          <w:lang w:val="es-ES"/>
        </w:rPr>
        <w:t xml:space="preserve">para </w:t>
      </w:r>
      <w:r>
        <w:rPr>
          <w:rFonts w:ascii="Verdana" w:hAnsi="Verdana"/>
          <w:sz w:val="22"/>
          <w:szCs w:val="22"/>
          <w:lang w:val="es-ES"/>
        </w:rPr>
        <w:t xml:space="preserve">proceder a la declaratoria del siniestro en cumplimiento estricto del debido proceso. Bajo esta perspectiva debe ser interpretado </w:t>
      </w:r>
      <w:r w:rsidR="00776F1D" w:rsidRPr="00724B0B">
        <w:rPr>
          <w:rFonts w:ascii="Verdana" w:hAnsi="Verdana"/>
          <w:sz w:val="22"/>
          <w:szCs w:val="22"/>
          <w:lang w:val="es-ES"/>
        </w:rPr>
        <w:t xml:space="preserve">lo dispuesto en el artículo 2.2.1.2.3.1.19. del </w:t>
      </w:r>
      <w:r>
        <w:rPr>
          <w:rFonts w:ascii="Verdana" w:hAnsi="Verdana"/>
          <w:sz w:val="22"/>
          <w:szCs w:val="22"/>
          <w:lang w:val="es-ES"/>
        </w:rPr>
        <w:t>D</w:t>
      </w:r>
      <w:r w:rsidR="00776F1D" w:rsidRPr="00724B0B">
        <w:rPr>
          <w:rFonts w:ascii="Verdana" w:hAnsi="Verdana"/>
          <w:sz w:val="22"/>
          <w:szCs w:val="22"/>
          <w:lang w:val="es-ES"/>
        </w:rPr>
        <w:t>ecreto 1082 de 2015</w:t>
      </w:r>
      <w:r>
        <w:rPr>
          <w:rFonts w:ascii="Verdana" w:hAnsi="Verdana"/>
          <w:sz w:val="22"/>
          <w:szCs w:val="22"/>
          <w:lang w:val="es-ES"/>
        </w:rPr>
        <w:t xml:space="preserve">, el cual dispone: </w:t>
      </w:r>
    </w:p>
    <w:p w14:paraId="243E16B2" w14:textId="0EB32D4F" w:rsidR="00776F1D" w:rsidRPr="00724B0B" w:rsidRDefault="00732B38" w:rsidP="00732B38">
      <w:pPr>
        <w:pStyle w:val="NormalWeb"/>
        <w:snapToGrid w:val="0"/>
        <w:spacing w:before="0" w:beforeAutospacing="0" w:after="0" w:afterAutospacing="0"/>
        <w:ind w:left="709" w:right="709"/>
        <w:contextualSpacing/>
        <w:jc w:val="both"/>
        <w:rPr>
          <w:rFonts w:ascii="Verdana" w:hAnsi="Verdana"/>
          <w:sz w:val="20"/>
          <w:szCs w:val="20"/>
          <w:lang w:val="es-ES"/>
        </w:rPr>
      </w:pPr>
      <w:r>
        <w:rPr>
          <w:rFonts w:ascii="Verdana" w:hAnsi="Verdana"/>
          <w:b/>
          <w:bCs/>
          <w:sz w:val="20"/>
          <w:szCs w:val="20"/>
          <w:lang w:val="es-ES"/>
        </w:rPr>
        <w:lastRenderedPageBreak/>
        <w:t>“</w:t>
      </w:r>
      <w:r w:rsidR="00776F1D" w:rsidRPr="00724B0B">
        <w:rPr>
          <w:rFonts w:ascii="Verdana" w:hAnsi="Verdana"/>
          <w:sz w:val="20"/>
          <w:szCs w:val="20"/>
          <w:lang w:val="es-ES"/>
        </w:rPr>
        <w:t>La Entidad Estatal debe hacer efectivas las garantías previstas en este capítulo así:</w:t>
      </w:r>
    </w:p>
    <w:p w14:paraId="7CF98373" w14:textId="77777777" w:rsidR="00776F1D" w:rsidRPr="00724B0B" w:rsidRDefault="00776F1D" w:rsidP="00732B38">
      <w:pPr>
        <w:pStyle w:val="NormalWeb"/>
        <w:snapToGrid w:val="0"/>
        <w:spacing w:before="0" w:beforeAutospacing="0" w:after="0" w:afterAutospacing="0"/>
        <w:ind w:left="709" w:right="709"/>
        <w:contextualSpacing/>
        <w:jc w:val="both"/>
        <w:rPr>
          <w:rFonts w:ascii="Verdana" w:hAnsi="Verdana"/>
          <w:sz w:val="20"/>
          <w:szCs w:val="20"/>
          <w:lang w:val="es-ES"/>
        </w:rPr>
      </w:pPr>
      <w:r w:rsidRPr="00724B0B">
        <w:rPr>
          <w:rFonts w:ascii="Verdana" w:hAnsi="Verdana"/>
          <w:sz w:val="20"/>
          <w:szCs w:val="20"/>
          <w:lang w:val="es-ES"/>
        </w:rPr>
        <w:t>1. Por medio del acto administrativo en el cual la Entidad Estatal declare la caducidad del contrato y ordene el pago al contratista y al garante, bien sea de la cláusula penal o de los perjuicios que ha cuantificado. El acto administrativo de caducidad constituye el siniestro.</w:t>
      </w:r>
    </w:p>
    <w:p w14:paraId="0B34DC59" w14:textId="77777777" w:rsidR="00776F1D" w:rsidRPr="00724B0B" w:rsidRDefault="00776F1D" w:rsidP="00732B38">
      <w:pPr>
        <w:pStyle w:val="NormalWeb"/>
        <w:snapToGrid w:val="0"/>
        <w:spacing w:before="0" w:beforeAutospacing="0" w:after="0" w:afterAutospacing="0"/>
        <w:ind w:left="709" w:right="709"/>
        <w:contextualSpacing/>
        <w:jc w:val="both"/>
        <w:rPr>
          <w:rFonts w:ascii="Verdana" w:hAnsi="Verdana"/>
          <w:sz w:val="20"/>
          <w:szCs w:val="20"/>
          <w:lang w:val="es-ES"/>
        </w:rPr>
      </w:pPr>
      <w:r w:rsidRPr="00724B0B">
        <w:rPr>
          <w:rFonts w:ascii="Verdana" w:hAnsi="Verdana"/>
          <w:sz w:val="20"/>
          <w:szCs w:val="20"/>
          <w:lang w:val="es-ES"/>
        </w:rPr>
        <w:t>2. Por medio del acto administrativo en el cual la Entidad Estatal impone multas, debe ordenar el pago al contratista y al garante. El acto administrativo correspondiente constituye el siniestro.</w:t>
      </w:r>
    </w:p>
    <w:p w14:paraId="05F608B2" w14:textId="553ACFD3" w:rsidR="00776F1D" w:rsidRPr="00724B0B" w:rsidRDefault="00776F1D" w:rsidP="00732B38">
      <w:pPr>
        <w:pStyle w:val="NormalWeb"/>
        <w:snapToGrid w:val="0"/>
        <w:spacing w:before="0" w:beforeAutospacing="0" w:after="0" w:afterAutospacing="0"/>
        <w:ind w:left="709" w:right="709"/>
        <w:contextualSpacing/>
        <w:jc w:val="both"/>
        <w:rPr>
          <w:rFonts w:ascii="Verdana" w:hAnsi="Verdana"/>
          <w:sz w:val="20"/>
          <w:szCs w:val="20"/>
          <w:lang w:val="es-ES"/>
        </w:rPr>
      </w:pPr>
      <w:r w:rsidRPr="00724B0B">
        <w:rPr>
          <w:rFonts w:ascii="Verdana" w:hAnsi="Verdana"/>
          <w:sz w:val="20"/>
          <w:szCs w:val="20"/>
          <w:lang w:val="es-ES"/>
        </w:rPr>
        <w:t xml:space="preserve">3. Por medio del acto administrativo en el cual la Entidad Estatal </w:t>
      </w:r>
      <w:r w:rsidRPr="00732B38">
        <w:rPr>
          <w:rFonts w:ascii="Verdana" w:hAnsi="Verdana"/>
          <w:i/>
          <w:iCs/>
          <w:sz w:val="20"/>
          <w:szCs w:val="20"/>
          <w:lang w:val="es-ES"/>
        </w:rPr>
        <w:t>declare el incumplimiento</w:t>
      </w:r>
      <w:r w:rsidRPr="00724B0B">
        <w:rPr>
          <w:rFonts w:ascii="Verdana" w:hAnsi="Verdana"/>
          <w:sz w:val="20"/>
          <w:szCs w:val="20"/>
          <w:lang w:val="es-ES"/>
        </w:rPr>
        <w:t xml:space="preserve">, puede hacer efectiva la cláusula penal, </w:t>
      </w:r>
      <w:r w:rsidRPr="00732B38">
        <w:rPr>
          <w:rFonts w:ascii="Verdana" w:hAnsi="Verdana"/>
          <w:i/>
          <w:iCs/>
          <w:sz w:val="20"/>
          <w:szCs w:val="20"/>
          <w:lang w:val="es-ES"/>
        </w:rPr>
        <w:t>si está pactada en el contrato</w:t>
      </w:r>
      <w:r w:rsidRPr="00724B0B">
        <w:rPr>
          <w:rFonts w:ascii="Verdana" w:hAnsi="Verdana"/>
          <w:sz w:val="20"/>
          <w:szCs w:val="20"/>
          <w:lang w:val="es-ES"/>
        </w:rPr>
        <w:t>, y ordenar su pago al contratista y al garante. El acto administrativo correspondiente es la reclamación para la compañía de seguros</w:t>
      </w:r>
      <w:r w:rsidR="00732B38">
        <w:rPr>
          <w:rFonts w:ascii="Verdana" w:hAnsi="Verdana"/>
          <w:sz w:val="20"/>
          <w:szCs w:val="20"/>
          <w:lang w:val="es-ES"/>
        </w:rPr>
        <w:t>”. [Énfasis propio]</w:t>
      </w:r>
    </w:p>
    <w:p w14:paraId="321EB167" w14:textId="77777777" w:rsidR="00C41587" w:rsidRPr="00EC2F74" w:rsidRDefault="00C41587" w:rsidP="006134A3">
      <w:pPr>
        <w:spacing w:line="276" w:lineRule="auto"/>
        <w:jc w:val="both"/>
        <w:rPr>
          <w:rFonts w:ascii="Verdana" w:eastAsia="Calibri" w:hAnsi="Verdana" w:cs="Arial"/>
          <w:color w:val="000000" w:themeColor="text1"/>
          <w:lang w:val="es-ES"/>
        </w:rPr>
      </w:pPr>
    </w:p>
    <w:p w14:paraId="525B00A8" w14:textId="1165E948" w:rsidR="009E0279" w:rsidRPr="009E0279" w:rsidRDefault="009E0279" w:rsidP="009E0279">
      <w:pPr>
        <w:spacing w:line="276" w:lineRule="auto"/>
        <w:ind w:firstLine="708"/>
        <w:jc w:val="both"/>
        <w:rPr>
          <w:rFonts w:ascii="Verdana" w:hAnsi="Verdana"/>
          <w:sz w:val="22"/>
          <w:szCs w:val="22"/>
          <w:lang w:val="es-ES"/>
        </w:rPr>
      </w:pPr>
      <w:r w:rsidRPr="009E0279">
        <w:rPr>
          <w:rFonts w:ascii="Verdana" w:eastAsia="Calibri" w:hAnsi="Verdana" w:cs="Arial"/>
          <w:color w:val="000000" w:themeColor="text1"/>
          <w:sz w:val="22"/>
          <w:szCs w:val="22"/>
          <w:lang w:val="es-ES"/>
        </w:rPr>
        <w:t>En efecto, los supuestos establecidos en el Decreto</w:t>
      </w:r>
      <w:r>
        <w:rPr>
          <w:rFonts w:ascii="Verdana" w:eastAsia="Calibri" w:hAnsi="Verdana" w:cs="Arial"/>
          <w:color w:val="000000" w:themeColor="text1"/>
          <w:sz w:val="22"/>
          <w:szCs w:val="22"/>
          <w:lang w:val="es-ES"/>
        </w:rPr>
        <w:t xml:space="preserve"> 1082 de 2015</w:t>
      </w:r>
      <w:r w:rsidRPr="009E0279">
        <w:rPr>
          <w:rFonts w:ascii="Verdana" w:eastAsia="Calibri" w:hAnsi="Verdana" w:cs="Arial"/>
          <w:color w:val="000000" w:themeColor="text1"/>
          <w:sz w:val="22"/>
          <w:szCs w:val="22"/>
          <w:lang w:val="es-ES"/>
        </w:rPr>
        <w:t xml:space="preserve"> con </w:t>
      </w:r>
      <w:r w:rsidR="00764ED5">
        <w:rPr>
          <w:rFonts w:ascii="Verdana" w:eastAsia="Calibri" w:hAnsi="Verdana" w:cs="Arial"/>
          <w:color w:val="000000" w:themeColor="text1"/>
          <w:sz w:val="22"/>
          <w:szCs w:val="22"/>
          <w:lang w:val="es-ES"/>
        </w:rPr>
        <w:t>r</w:t>
      </w:r>
      <w:r w:rsidRPr="009E0279">
        <w:rPr>
          <w:rFonts w:ascii="Verdana" w:eastAsia="Calibri" w:hAnsi="Verdana" w:cs="Arial"/>
          <w:color w:val="000000" w:themeColor="text1"/>
          <w:sz w:val="22"/>
          <w:szCs w:val="22"/>
          <w:lang w:val="es-ES"/>
        </w:rPr>
        <w:t xml:space="preserve">especto a la efectividad de las garantías deben ser interpretados conforme al marco jurídico y las potestades que concedió el legislador en el artículo 86 de la </w:t>
      </w:r>
      <w:r>
        <w:rPr>
          <w:rFonts w:ascii="Verdana" w:eastAsia="Calibri" w:hAnsi="Verdana" w:cs="Arial"/>
          <w:color w:val="000000" w:themeColor="text1"/>
          <w:sz w:val="22"/>
          <w:szCs w:val="22"/>
          <w:lang w:val="es-ES"/>
        </w:rPr>
        <w:t>L</w:t>
      </w:r>
      <w:r w:rsidRPr="009E0279">
        <w:rPr>
          <w:rFonts w:ascii="Verdana" w:eastAsia="Calibri" w:hAnsi="Verdana" w:cs="Arial"/>
          <w:color w:val="000000" w:themeColor="text1"/>
          <w:sz w:val="22"/>
          <w:szCs w:val="22"/>
          <w:lang w:val="es-ES"/>
        </w:rPr>
        <w:t xml:space="preserve">ey 1474 de 2011. De esta forma, en virtud del numeral tercero del artículo </w:t>
      </w:r>
      <w:r w:rsidRPr="009E0279">
        <w:rPr>
          <w:rFonts w:ascii="Verdana" w:hAnsi="Verdana"/>
          <w:sz w:val="22"/>
          <w:szCs w:val="22"/>
          <w:lang w:val="es-ES"/>
        </w:rPr>
        <w:t>2.2.1.2.3.1.19. del Decreto 1082 de 2015</w:t>
      </w:r>
      <w:r>
        <w:rPr>
          <w:rFonts w:ascii="Verdana" w:hAnsi="Verdana"/>
          <w:sz w:val="22"/>
          <w:szCs w:val="22"/>
          <w:lang w:val="es-ES"/>
        </w:rPr>
        <w:t>, las entidades pueden hacer efectiva la garantía mediante acto administrativo mediante el cual declare</w:t>
      </w:r>
      <w:r w:rsidR="00764ED5">
        <w:rPr>
          <w:rFonts w:ascii="Verdana" w:hAnsi="Verdana"/>
          <w:sz w:val="22"/>
          <w:szCs w:val="22"/>
          <w:lang w:val="es-ES"/>
        </w:rPr>
        <w:t>n</w:t>
      </w:r>
      <w:r>
        <w:rPr>
          <w:rFonts w:ascii="Verdana" w:hAnsi="Verdana"/>
          <w:sz w:val="22"/>
          <w:szCs w:val="22"/>
          <w:lang w:val="es-ES"/>
        </w:rPr>
        <w:t xml:space="preserve"> el incumplimiento contractual, </w:t>
      </w:r>
      <w:r w:rsidR="00764ED5">
        <w:rPr>
          <w:rFonts w:ascii="Verdana" w:hAnsi="Verdana"/>
          <w:sz w:val="22"/>
          <w:szCs w:val="22"/>
          <w:lang w:val="es-ES"/>
        </w:rPr>
        <w:t>cuantificando</w:t>
      </w:r>
      <w:r>
        <w:rPr>
          <w:rFonts w:ascii="Verdana" w:hAnsi="Verdana"/>
          <w:sz w:val="22"/>
          <w:szCs w:val="22"/>
          <w:lang w:val="es-ES"/>
        </w:rPr>
        <w:t xml:space="preserve"> los perjuicios. </w:t>
      </w:r>
    </w:p>
    <w:p w14:paraId="520E90C3" w14:textId="77777777" w:rsidR="009E0279" w:rsidRDefault="009E0279" w:rsidP="00363E78">
      <w:pPr>
        <w:spacing w:line="276" w:lineRule="auto"/>
        <w:jc w:val="both"/>
        <w:rPr>
          <w:rFonts w:ascii="Verdana" w:eastAsia="Calibri" w:hAnsi="Verdana" w:cs="Arial"/>
          <w:color w:val="000000" w:themeColor="text1"/>
          <w:lang w:val="es-ES"/>
        </w:rPr>
      </w:pPr>
    </w:p>
    <w:p w14:paraId="1914A6AF" w14:textId="77777777" w:rsidR="00D8787B" w:rsidRDefault="00363E78" w:rsidP="00D8787B">
      <w:pPr>
        <w:spacing w:line="276" w:lineRule="auto"/>
        <w:jc w:val="both"/>
        <w:rPr>
          <w:rFonts w:ascii="Verdana" w:eastAsia="Calibri" w:hAnsi="Verdana" w:cs="Arial"/>
          <w:color w:val="000000" w:themeColor="text1"/>
          <w:sz w:val="22"/>
          <w:szCs w:val="22"/>
          <w:lang w:val="es-ES"/>
        </w:rPr>
      </w:pPr>
      <w:proofErr w:type="spellStart"/>
      <w:r w:rsidRPr="00D8787B">
        <w:rPr>
          <w:rFonts w:ascii="Verdana" w:eastAsia="Calibri" w:hAnsi="Verdana" w:cs="Arial"/>
          <w:color w:val="000000" w:themeColor="text1"/>
          <w:sz w:val="22"/>
          <w:szCs w:val="22"/>
          <w:lang w:val="es-ES"/>
        </w:rPr>
        <w:t>iii</w:t>
      </w:r>
      <w:proofErr w:type="spellEnd"/>
      <w:r w:rsidRPr="00D8787B">
        <w:rPr>
          <w:rFonts w:ascii="Verdana" w:eastAsia="Calibri" w:hAnsi="Verdana" w:cs="Arial"/>
          <w:color w:val="000000" w:themeColor="text1"/>
          <w:sz w:val="22"/>
          <w:szCs w:val="22"/>
          <w:lang w:val="es-ES"/>
        </w:rPr>
        <w:t>)</w:t>
      </w:r>
      <w:r w:rsidR="00D8787B" w:rsidRPr="00D8787B">
        <w:rPr>
          <w:rFonts w:ascii="Verdana" w:eastAsia="Calibri" w:hAnsi="Verdana" w:cs="Arial"/>
          <w:color w:val="000000" w:themeColor="text1"/>
          <w:sz w:val="22"/>
          <w:szCs w:val="22"/>
          <w:lang w:val="es-ES"/>
        </w:rPr>
        <w:t xml:space="preserve"> </w:t>
      </w:r>
      <w:r w:rsidR="00D8787B">
        <w:rPr>
          <w:rFonts w:ascii="Verdana" w:eastAsia="Calibri" w:hAnsi="Verdana" w:cs="Arial"/>
          <w:color w:val="000000" w:themeColor="text1"/>
          <w:sz w:val="22"/>
          <w:szCs w:val="22"/>
          <w:lang w:val="es-ES"/>
        </w:rPr>
        <w:t>Finalmente, t</w:t>
      </w:r>
      <w:r w:rsidR="00D8787B" w:rsidRPr="00D8787B">
        <w:rPr>
          <w:rFonts w:ascii="Verdana" w:eastAsia="Calibri" w:hAnsi="Verdana" w:cs="Arial"/>
          <w:color w:val="000000" w:themeColor="text1"/>
          <w:sz w:val="22"/>
          <w:szCs w:val="22"/>
          <w:lang w:val="es-ES"/>
        </w:rPr>
        <w:t>eniendo en cuenta</w:t>
      </w:r>
      <w:r w:rsidR="00D8787B">
        <w:rPr>
          <w:rFonts w:ascii="Verdana" w:eastAsia="Calibri" w:hAnsi="Verdana" w:cs="Arial"/>
          <w:color w:val="000000" w:themeColor="text1"/>
          <w:sz w:val="22"/>
          <w:szCs w:val="22"/>
          <w:lang w:val="es-ES"/>
        </w:rPr>
        <w:t xml:space="preserve"> el tema de su consulta</w:t>
      </w:r>
      <w:r w:rsidR="00611E92" w:rsidRPr="00D8787B">
        <w:rPr>
          <w:rFonts w:ascii="Verdana" w:eastAsia="Calibri" w:hAnsi="Verdana" w:cs="Arial"/>
          <w:color w:val="000000" w:themeColor="text1"/>
          <w:sz w:val="22"/>
          <w:szCs w:val="22"/>
          <w:lang w:val="es-ES"/>
        </w:rPr>
        <w:t xml:space="preserve">, es necesario aclarar que lo expuesto también es procedente en el caso de los contratos interadministrativos que suscriban las Entidades Estatales. </w:t>
      </w:r>
      <w:r w:rsidR="00D8787B">
        <w:rPr>
          <w:rFonts w:ascii="Verdana" w:eastAsia="Calibri" w:hAnsi="Verdana" w:cs="Arial"/>
          <w:color w:val="000000" w:themeColor="text1"/>
          <w:sz w:val="22"/>
          <w:szCs w:val="22"/>
          <w:lang w:val="es-ES"/>
        </w:rPr>
        <w:t>Como fue señalado antes, el</w:t>
      </w:r>
      <w:r w:rsidR="00B6160C" w:rsidRPr="00D8787B">
        <w:rPr>
          <w:rFonts w:ascii="Verdana" w:eastAsia="Calibri" w:hAnsi="Verdana" w:cs="Arial"/>
          <w:color w:val="000000" w:themeColor="text1"/>
          <w:sz w:val="22"/>
          <w:szCs w:val="22"/>
          <w:lang w:val="es-ES"/>
        </w:rPr>
        <w:t xml:space="preserve"> sujeto activo de la potestad sancionatoria </w:t>
      </w:r>
      <w:r w:rsidR="00D8787B">
        <w:rPr>
          <w:rFonts w:ascii="Verdana" w:eastAsia="Calibri" w:hAnsi="Verdana" w:cs="Arial"/>
          <w:color w:val="000000" w:themeColor="text1"/>
          <w:sz w:val="22"/>
          <w:szCs w:val="22"/>
          <w:lang w:val="es-ES"/>
        </w:rPr>
        <w:t xml:space="preserve">establecida en el artículo 86 de la Ley 1474 de 2011 </w:t>
      </w:r>
      <w:r w:rsidR="00B6160C" w:rsidRPr="00D8787B">
        <w:rPr>
          <w:rFonts w:ascii="Verdana" w:eastAsia="Calibri" w:hAnsi="Verdana" w:cs="Arial"/>
          <w:color w:val="000000" w:themeColor="text1"/>
          <w:sz w:val="22"/>
          <w:szCs w:val="22"/>
          <w:lang w:val="es-ES"/>
        </w:rPr>
        <w:t xml:space="preserve">solo puede ser una </w:t>
      </w:r>
      <w:r w:rsidR="00D8787B">
        <w:rPr>
          <w:rFonts w:ascii="Verdana" w:eastAsia="Calibri" w:hAnsi="Verdana" w:cs="Arial"/>
          <w:color w:val="000000" w:themeColor="text1"/>
          <w:sz w:val="22"/>
          <w:szCs w:val="22"/>
          <w:lang w:val="es-ES"/>
        </w:rPr>
        <w:t>E</w:t>
      </w:r>
      <w:r w:rsidR="00B6160C" w:rsidRPr="00D8787B">
        <w:rPr>
          <w:rFonts w:ascii="Verdana" w:eastAsia="Calibri" w:hAnsi="Verdana" w:cs="Arial"/>
          <w:color w:val="000000" w:themeColor="text1"/>
          <w:sz w:val="22"/>
          <w:szCs w:val="22"/>
          <w:lang w:val="es-ES"/>
        </w:rPr>
        <w:t xml:space="preserve">ntidad </w:t>
      </w:r>
      <w:r w:rsidR="00D8787B">
        <w:rPr>
          <w:rFonts w:ascii="Verdana" w:eastAsia="Calibri" w:hAnsi="Verdana" w:cs="Arial"/>
          <w:color w:val="000000" w:themeColor="text1"/>
          <w:sz w:val="22"/>
          <w:szCs w:val="22"/>
          <w:lang w:val="es-ES"/>
        </w:rPr>
        <w:t>E</w:t>
      </w:r>
      <w:r w:rsidR="00B6160C" w:rsidRPr="00D8787B">
        <w:rPr>
          <w:rFonts w:ascii="Verdana" w:eastAsia="Calibri" w:hAnsi="Verdana" w:cs="Arial"/>
          <w:color w:val="000000" w:themeColor="text1"/>
          <w:sz w:val="22"/>
          <w:szCs w:val="22"/>
          <w:lang w:val="es-ES"/>
        </w:rPr>
        <w:t xml:space="preserve">statal sometida al Estatuto General de Contratación de la </w:t>
      </w:r>
      <w:r w:rsidR="00D8787B" w:rsidRPr="00D8787B">
        <w:rPr>
          <w:rFonts w:ascii="Verdana" w:eastAsia="Calibri" w:hAnsi="Verdana" w:cs="Arial"/>
          <w:color w:val="000000" w:themeColor="text1"/>
          <w:sz w:val="22"/>
          <w:szCs w:val="22"/>
          <w:lang w:val="es-ES"/>
        </w:rPr>
        <w:t>Administración</w:t>
      </w:r>
      <w:r w:rsidR="00B6160C" w:rsidRPr="00D8787B">
        <w:rPr>
          <w:rFonts w:ascii="Verdana" w:eastAsia="Calibri" w:hAnsi="Verdana" w:cs="Arial"/>
          <w:color w:val="000000" w:themeColor="text1"/>
          <w:sz w:val="22"/>
          <w:szCs w:val="22"/>
          <w:lang w:val="es-ES"/>
        </w:rPr>
        <w:t xml:space="preserve"> Pública</w:t>
      </w:r>
      <w:r w:rsidR="00D8787B">
        <w:rPr>
          <w:rFonts w:ascii="Verdana" w:eastAsia="Calibri" w:hAnsi="Verdana" w:cs="Arial"/>
          <w:color w:val="000000" w:themeColor="text1"/>
          <w:sz w:val="22"/>
          <w:szCs w:val="22"/>
          <w:lang w:val="es-ES"/>
        </w:rPr>
        <w:t xml:space="preserve">. Sobre el sujeto pasivo, la norma no hace distinción y se refiere </w:t>
      </w:r>
      <w:r w:rsidR="00B6160C" w:rsidRPr="00D8787B">
        <w:rPr>
          <w:rFonts w:ascii="Verdana" w:eastAsia="Calibri" w:hAnsi="Verdana" w:cs="Arial"/>
          <w:color w:val="000000" w:themeColor="text1"/>
          <w:sz w:val="22"/>
          <w:szCs w:val="22"/>
          <w:lang w:val="es-ES"/>
        </w:rPr>
        <w:t xml:space="preserve">a cualquier contratista colaborador de la </w:t>
      </w:r>
      <w:r w:rsidR="00D8787B" w:rsidRPr="00D8787B">
        <w:rPr>
          <w:rFonts w:ascii="Verdana" w:eastAsia="Calibri" w:hAnsi="Verdana" w:cs="Arial"/>
          <w:color w:val="000000" w:themeColor="text1"/>
          <w:sz w:val="22"/>
          <w:szCs w:val="22"/>
          <w:lang w:val="es-ES"/>
        </w:rPr>
        <w:t>Administración</w:t>
      </w:r>
      <w:r w:rsidR="00B6160C" w:rsidRPr="00D8787B">
        <w:rPr>
          <w:rFonts w:ascii="Verdana" w:eastAsia="Calibri" w:hAnsi="Verdana" w:cs="Arial"/>
          <w:color w:val="000000" w:themeColor="text1"/>
          <w:sz w:val="22"/>
          <w:szCs w:val="22"/>
          <w:lang w:val="es-ES"/>
        </w:rPr>
        <w:t>, sin que</w:t>
      </w:r>
      <w:r w:rsidR="00D8787B">
        <w:rPr>
          <w:rFonts w:ascii="Verdana" w:eastAsia="Calibri" w:hAnsi="Verdana" w:cs="Arial"/>
          <w:color w:val="000000" w:themeColor="text1"/>
          <w:sz w:val="22"/>
          <w:szCs w:val="22"/>
          <w:lang w:val="es-ES"/>
        </w:rPr>
        <w:t xml:space="preserve"> </w:t>
      </w:r>
      <w:r w:rsidR="00B6160C" w:rsidRPr="00D8787B">
        <w:rPr>
          <w:rFonts w:ascii="Verdana" w:eastAsia="Calibri" w:hAnsi="Verdana" w:cs="Arial"/>
          <w:color w:val="000000" w:themeColor="text1"/>
          <w:sz w:val="22"/>
          <w:szCs w:val="22"/>
          <w:lang w:val="es-ES"/>
        </w:rPr>
        <w:t xml:space="preserve">puedan entenderse excluidas las </w:t>
      </w:r>
      <w:r w:rsidR="00D8787B">
        <w:rPr>
          <w:rFonts w:ascii="Verdana" w:eastAsia="Calibri" w:hAnsi="Verdana" w:cs="Arial"/>
          <w:color w:val="000000" w:themeColor="text1"/>
          <w:sz w:val="22"/>
          <w:szCs w:val="22"/>
          <w:lang w:val="es-ES"/>
        </w:rPr>
        <w:t>E</w:t>
      </w:r>
      <w:r w:rsidR="00B6160C" w:rsidRPr="00D8787B">
        <w:rPr>
          <w:rFonts w:ascii="Verdana" w:eastAsia="Calibri" w:hAnsi="Verdana" w:cs="Arial"/>
          <w:color w:val="000000" w:themeColor="text1"/>
          <w:sz w:val="22"/>
          <w:szCs w:val="22"/>
          <w:lang w:val="es-ES"/>
        </w:rPr>
        <w:t xml:space="preserve">ntidades </w:t>
      </w:r>
      <w:r w:rsidR="00D8787B">
        <w:rPr>
          <w:rFonts w:ascii="Verdana" w:eastAsia="Calibri" w:hAnsi="Verdana" w:cs="Arial"/>
          <w:color w:val="000000" w:themeColor="text1"/>
          <w:sz w:val="22"/>
          <w:szCs w:val="22"/>
          <w:lang w:val="es-ES"/>
        </w:rPr>
        <w:t>E</w:t>
      </w:r>
      <w:r w:rsidR="00B6160C" w:rsidRPr="00D8787B">
        <w:rPr>
          <w:rFonts w:ascii="Verdana" w:eastAsia="Calibri" w:hAnsi="Verdana" w:cs="Arial"/>
          <w:color w:val="000000" w:themeColor="text1"/>
          <w:sz w:val="22"/>
          <w:szCs w:val="22"/>
          <w:lang w:val="es-ES"/>
        </w:rPr>
        <w:t>statales contratistas</w:t>
      </w:r>
      <w:r w:rsidR="00D8787B">
        <w:rPr>
          <w:rFonts w:ascii="Verdana" w:eastAsia="Calibri" w:hAnsi="Verdana" w:cs="Arial"/>
          <w:color w:val="000000" w:themeColor="text1"/>
          <w:sz w:val="22"/>
          <w:szCs w:val="22"/>
          <w:lang w:val="es-ES"/>
        </w:rPr>
        <w:t xml:space="preserve">. </w:t>
      </w:r>
    </w:p>
    <w:p w14:paraId="29519702" w14:textId="77777777" w:rsidR="00D8787B" w:rsidRDefault="00D8787B" w:rsidP="00D8787B">
      <w:pPr>
        <w:spacing w:before="120" w:line="276" w:lineRule="auto"/>
        <w:ind w:firstLine="708"/>
        <w:jc w:val="both"/>
        <w:rPr>
          <w:rFonts w:ascii="Verdana" w:eastAsia="Calibri" w:hAnsi="Verdana" w:cs="Arial"/>
          <w:color w:val="000000" w:themeColor="text1"/>
          <w:sz w:val="22"/>
          <w:szCs w:val="22"/>
          <w:lang w:val="es-ES"/>
        </w:rPr>
      </w:pPr>
      <w:r>
        <w:rPr>
          <w:rFonts w:ascii="Verdana" w:eastAsia="Calibri" w:hAnsi="Verdana" w:cs="Arial"/>
          <w:color w:val="000000" w:themeColor="text1"/>
          <w:sz w:val="22"/>
          <w:szCs w:val="22"/>
          <w:lang w:val="es-ES"/>
        </w:rPr>
        <w:t xml:space="preserve">Lo anterior es concordante con la posición según la cual las entidades </w:t>
      </w:r>
      <w:r w:rsidR="00B6160C" w:rsidRPr="00D8787B">
        <w:rPr>
          <w:rFonts w:ascii="Verdana" w:eastAsia="Calibri" w:hAnsi="Verdana" w:cs="Arial"/>
          <w:color w:val="000000" w:themeColor="text1"/>
          <w:sz w:val="22"/>
          <w:szCs w:val="22"/>
          <w:lang w:val="es-ES"/>
        </w:rPr>
        <w:t xml:space="preserve">asumen en los contratos interadministrativos la misma </w:t>
      </w:r>
      <w:r w:rsidRPr="00D8787B">
        <w:rPr>
          <w:rFonts w:ascii="Verdana" w:eastAsia="Calibri" w:hAnsi="Verdana" w:cs="Arial"/>
          <w:color w:val="000000" w:themeColor="text1"/>
          <w:sz w:val="22"/>
          <w:szCs w:val="22"/>
          <w:lang w:val="es-ES"/>
        </w:rPr>
        <w:t>posición</w:t>
      </w:r>
      <w:r w:rsidR="00B6160C" w:rsidRPr="00D8787B">
        <w:rPr>
          <w:rFonts w:ascii="Verdana" w:eastAsia="Calibri" w:hAnsi="Verdana" w:cs="Arial"/>
          <w:color w:val="000000" w:themeColor="text1"/>
          <w:sz w:val="22"/>
          <w:szCs w:val="22"/>
          <w:lang w:val="es-ES"/>
        </w:rPr>
        <w:t xml:space="preserve"> </w:t>
      </w:r>
      <w:r w:rsidRPr="00D8787B">
        <w:rPr>
          <w:rFonts w:ascii="Verdana" w:eastAsia="Calibri" w:hAnsi="Verdana" w:cs="Arial"/>
          <w:color w:val="000000" w:themeColor="text1"/>
          <w:sz w:val="22"/>
          <w:szCs w:val="22"/>
          <w:lang w:val="es-ES"/>
        </w:rPr>
        <w:t>jurídica</w:t>
      </w:r>
      <w:r w:rsidR="00B6160C" w:rsidRPr="00D8787B">
        <w:rPr>
          <w:rFonts w:ascii="Verdana" w:eastAsia="Calibri" w:hAnsi="Verdana" w:cs="Arial"/>
          <w:color w:val="000000" w:themeColor="text1"/>
          <w:sz w:val="22"/>
          <w:szCs w:val="22"/>
          <w:lang w:val="es-ES"/>
        </w:rPr>
        <w:t xml:space="preserve"> que </w:t>
      </w:r>
      <w:r w:rsidRPr="00D8787B">
        <w:rPr>
          <w:rFonts w:ascii="Verdana" w:eastAsia="Calibri" w:hAnsi="Verdana" w:cs="Arial"/>
          <w:color w:val="000000" w:themeColor="text1"/>
          <w:sz w:val="22"/>
          <w:szCs w:val="22"/>
          <w:lang w:val="es-ES"/>
        </w:rPr>
        <w:t>tendría</w:t>
      </w:r>
      <w:r w:rsidR="00B6160C" w:rsidRPr="00D8787B">
        <w:rPr>
          <w:rFonts w:ascii="Verdana" w:eastAsia="Calibri" w:hAnsi="Verdana" w:cs="Arial"/>
          <w:color w:val="000000" w:themeColor="text1"/>
          <w:sz w:val="22"/>
          <w:szCs w:val="22"/>
          <w:lang w:val="es-ES"/>
        </w:rPr>
        <w:t xml:space="preserve"> un particular contratista</w:t>
      </w:r>
      <w:r>
        <w:rPr>
          <w:rFonts w:ascii="Verdana" w:eastAsia="Calibri" w:hAnsi="Verdana" w:cs="Arial"/>
          <w:color w:val="000000" w:themeColor="text1"/>
          <w:sz w:val="22"/>
          <w:szCs w:val="22"/>
          <w:lang w:val="es-ES"/>
        </w:rPr>
        <w:t xml:space="preserve">, de modo que la entidad contratante se encuentra en </w:t>
      </w:r>
      <w:r w:rsidR="00B6160C" w:rsidRPr="00D8787B">
        <w:rPr>
          <w:rFonts w:ascii="Verdana" w:eastAsia="Calibri" w:hAnsi="Verdana" w:cs="Arial"/>
          <w:color w:val="000000" w:themeColor="text1"/>
          <w:sz w:val="22"/>
          <w:szCs w:val="22"/>
          <w:lang w:val="es-ES"/>
        </w:rPr>
        <w:t xml:space="preserve">un plano de superioridad en la </w:t>
      </w:r>
      <w:r w:rsidRPr="00D8787B">
        <w:rPr>
          <w:rFonts w:ascii="Verdana" w:eastAsia="Calibri" w:hAnsi="Verdana" w:cs="Arial"/>
          <w:color w:val="000000" w:themeColor="text1"/>
          <w:sz w:val="22"/>
          <w:szCs w:val="22"/>
          <w:lang w:val="es-ES"/>
        </w:rPr>
        <w:t>relación</w:t>
      </w:r>
      <w:r w:rsidR="00B6160C" w:rsidRPr="00D8787B">
        <w:rPr>
          <w:rFonts w:ascii="Verdana" w:eastAsia="Calibri" w:hAnsi="Verdana" w:cs="Arial"/>
          <w:color w:val="000000" w:themeColor="text1"/>
          <w:sz w:val="22"/>
          <w:szCs w:val="22"/>
          <w:lang w:val="es-ES"/>
        </w:rPr>
        <w:t xml:space="preserve"> contractual.</w:t>
      </w:r>
      <w:r>
        <w:rPr>
          <w:rFonts w:ascii="Verdana" w:eastAsia="Calibri" w:hAnsi="Verdana" w:cs="Arial"/>
          <w:color w:val="000000" w:themeColor="text1"/>
          <w:sz w:val="22"/>
          <w:szCs w:val="22"/>
          <w:lang w:val="es-ES"/>
        </w:rPr>
        <w:t xml:space="preserve"> En esta línea, la </w:t>
      </w:r>
      <w:r w:rsidRPr="00D8787B">
        <w:rPr>
          <w:rFonts w:ascii="Verdana" w:eastAsia="Calibri" w:hAnsi="Verdana" w:cs="Arial"/>
          <w:color w:val="000000" w:themeColor="text1"/>
          <w:sz w:val="22"/>
          <w:szCs w:val="22"/>
          <w:lang w:val="es-ES"/>
        </w:rPr>
        <w:t>Sección</w:t>
      </w:r>
      <w:r w:rsidR="006D1B50" w:rsidRPr="00D8787B">
        <w:rPr>
          <w:rFonts w:ascii="Verdana" w:eastAsia="Calibri" w:hAnsi="Verdana" w:cs="Arial"/>
          <w:color w:val="000000" w:themeColor="text1"/>
          <w:sz w:val="22"/>
          <w:szCs w:val="22"/>
          <w:lang w:val="es-ES"/>
        </w:rPr>
        <w:t xml:space="preserve"> Tercera del Consejo de Estado </w:t>
      </w:r>
      <w:r>
        <w:rPr>
          <w:rFonts w:ascii="Verdana" w:eastAsia="Calibri" w:hAnsi="Verdana" w:cs="Arial"/>
          <w:color w:val="000000" w:themeColor="text1"/>
          <w:sz w:val="22"/>
          <w:szCs w:val="22"/>
          <w:lang w:val="es-ES"/>
        </w:rPr>
        <w:t xml:space="preserve">ha afirmado </w:t>
      </w:r>
      <w:r w:rsidR="006D1B50" w:rsidRPr="00D8787B">
        <w:rPr>
          <w:rFonts w:ascii="Verdana" w:eastAsia="Calibri" w:hAnsi="Verdana" w:cs="Arial"/>
          <w:color w:val="000000" w:themeColor="text1"/>
          <w:sz w:val="22"/>
          <w:szCs w:val="22"/>
          <w:lang w:val="es-ES"/>
        </w:rPr>
        <w:t xml:space="preserve">que en los contratos interadministrativos es posible pactar a favor de la entidad contratante, la </w:t>
      </w:r>
      <w:r w:rsidR="006D1B50" w:rsidRPr="00D8787B">
        <w:rPr>
          <w:rFonts w:ascii="Verdana" w:eastAsia="Calibri" w:hAnsi="Verdana" w:cs="Arial"/>
          <w:color w:val="000000" w:themeColor="text1"/>
          <w:sz w:val="22"/>
          <w:szCs w:val="22"/>
          <w:lang w:val="es-ES"/>
        </w:rPr>
        <w:lastRenderedPageBreak/>
        <w:t>facultad de declarar el incumplimiento del contrato mediante acto administrativo</w:t>
      </w:r>
      <w:r>
        <w:rPr>
          <w:rStyle w:val="Refdenotaalpie"/>
          <w:rFonts w:ascii="Verdana" w:eastAsia="Calibri" w:hAnsi="Verdana" w:cs="Arial"/>
          <w:color w:val="000000" w:themeColor="text1"/>
          <w:sz w:val="22"/>
          <w:szCs w:val="22"/>
          <w:lang w:val="es-ES"/>
        </w:rPr>
        <w:footnoteReference w:id="29"/>
      </w:r>
      <w:r w:rsidR="006D1B50" w:rsidRPr="00D8787B">
        <w:rPr>
          <w:rFonts w:ascii="Verdana" w:eastAsia="Calibri" w:hAnsi="Verdana" w:cs="Arial"/>
          <w:color w:val="000000" w:themeColor="text1"/>
          <w:sz w:val="22"/>
          <w:szCs w:val="22"/>
          <w:lang w:val="es-ES"/>
        </w:rPr>
        <w:t>.</w:t>
      </w:r>
    </w:p>
    <w:p w14:paraId="444CBEA1" w14:textId="3A8C36F8" w:rsidR="00846708" w:rsidRDefault="00846708" w:rsidP="00D8787B">
      <w:pPr>
        <w:spacing w:before="120" w:line="276" w:lineRule="auto"/>
        <w:ind w:firstLine="708"/>
        <w:jc w:val="both"/>
        <w:rPr>
          <w:rFonts w:ascii="Verdana" w:hAnsi="Verdana"/>
          <w:sz w:val="22"/>
          <w:szCs w:val="22"/>
          <w:lang w:val="es-ES"/>
        </w:rPr>
      </w:pPr>
      <w:r w:rsidRPr="00D8787B">
        <w:rPr>
          <w:rFonts w:ascii="Verdana" w:hAnsi="Verdana"/>
          <w:sz w:val="22"/>
          <w:szCs w:val="22"/>
          <w:lang w:val="es-ES"/>
        </w:rPr>
        <w:t xml:space="preserve">En conclusión, </w:t>
      </w:r>
      <w:r w:rsidR="00857E1F">
        <w:rPr>
          <w:rFonts w:ascii="Verdana" w:hAnsi="Verdana"/>
          <w:sz w:val="22"/>
          <w:szCs w:val="22"/>
          <w:lang w:val="es-ES"/>
        </w:rPr>
        <w:t xml:space="preserve">la administración cuenta con </w:t>
      </w:r>
      <w:r w:rsidRPr="00D8787B">
        <w:rPr>
          <w:rFonts w:ascii="Verdana" w:hAnsi="Verdana"/>
          <w:sz w:val="22"/>
          <w:szCs w:val="22"/>
          <w:lang w:val="es-ES"/>
        </w:rPr>
        <w:t>potestades excepcionales</w:t>
      </w:r>
      <w:r w:rsidR="00857E1F">
        <w:rPr>
          <w:rFonts w:ascii="Verdana" w:hAnsi="Verdana"/>
          <w:sz w:val="22"/>
          <w:szCs w:val="22"/>
          <w:lang w:val="es-ES"/>
        </w:rPr>
        <w:t xml:space="preserve"> para la </w:t>
      </w:r>
      <w:r w:rsidRPr="00D8787B">
        <w:rPr>
          <w:rFonts w:ascii="Verdana" w:hAnsi="Verdana"/>
          <w:sz w:val="22"/>
          <w:szCs w:val="22"/>
          <w:lang w:val="es-ES"/>
        </w:rPr>
        <w:t>imposición unilateral de la multa o la cláusula penal</w:t>
      </w:r>
      <w:r w:rsidR="000753BF">
        <w:rPr>
          <w:rFonts w:ascii="Verdana" w:hAnsi="Verdana"/>
          <w:sz w:val="22"/>
          <w:szCs w:val="22"/>
          <w:lang w:val="es-ES"/>
        </w:rPr>
        <w:t>,</w:t>
      </w:r>
      <w:r w:rsidR="00857E1F">
        <w:rPr>
          <w:rFonts w:ascii="Verdana" w:hAnsi="Verdana"/>
          <w:sz w:val="22"/>
          <w:szCs w:val="22"/>
          <w:lang w:val="es-ES"/>
        </w:rPr>
        <w:t xml:space="preserve"> que cuentan</w:t>
      </w:r>
      <w:r w:rsidRPr="00D8787B">
        <w:rPr>
          <w:rFonts w:ascii="Verdana" w:hAnsi="Verdana"/>
          <w:sz w:val="22"/>
          <w:szCs w:val="22"/>
          <w:lang w:val="es-ES"/>
        </w:rPr>
        <w:t xml:space="preserve"> con una particular combinación entre el principio de legalidad y la autonomía de la voluntad</w:t>
      </w:r>
      <w:r w:rsidR="000753BF">
        <w:rPr>
          <w:rFonts w:ascii="Verdana" w:hAnsi="Verdana"/>
          <w:sz w:val="22"/>
          <w:szCs w:val="22"/>
          <w:lang w:val="es-ES"/>
        </w:rPr>
        <w:t>. S</w:t>
      </w:r>
      <w:r w:rsidRPr="00D8787B">
        <w:rPr>
          <w:rFonts w:ascii="Verdana" w:hAnsi="Verdana"/>
          <w:sz w:val="22"/>
          <w:szCs w:val="22"/>
          <w:lang w:val="es-ES"/>
        </w:rPr>
        <w:t xml:space="preserve">i bien el legislador autorizó a las entidades para declarar el incumplimiento con la intención de multar al contratista para conminarlo al cumplimiento o para hacer efectiva la cláusula penal, es indispensable que uno u otro caso se hayan pactado en el contrato. </w:t>
      </w:r>
      <w:r w:rsidR="00857E1F">
        <w:rPr>
          <w:rFonts w:ascii="Verdana" w:hAnsi="Verdana"/>
          <w:sz w:val="22"/>
          <w:szCs w:val="22"/>
          <w:lang w:val="es-ES"/>
        </w:rPr>
        <w:t>C</w:t>
      </w:r>
      <w:r w:rsidRPr="00D8787B">
        <w:rPr>
          <w:rFonts w:ascii="Verdana" w:hAnsi="Verdana"/>
          <w:sz w:val="22"/>
          <w:szCs w:val="22"/>
          <w:lang w:val="es-ES"/>
        </w:rPr>
        <w:t xml:space="preserve">umplido el requisito del pacto en el contrato, las </w:t>
      </w:r>
      <w:r w:rsidR="00857E1F">
        <w:rPr>
          <w:rFonts w:ascii="Verdana" w:hAnsi="Verdana"/>
          <w:sz w:val="22"/>
          <w:szCs w:val="22"/>
          <w:lang w:val="es-ES"/>
        </w:rPr>
        <w:t>E</w:t>
      </w:r>
      <w:r w:rsidRPr="00D8787B">
        <w:rPr>
          <w:rFonts w:ascii="Verdana" w:hAnsi="Verdana"/>
          <w:sz w:val="22"/>
          <w:szCs w:val="22"/>
          <w:lang w:val="es-ES"/>
        </w:rPr>
        <w:t xml:space="preserve">ntidades </w:t>
      </w:r>
      <w:r w:rsidR="00857E1F">
        <w:rPr>
          <w:rFonts w:ascii="Verdana" w:hAnsi="Verdana"/>
          <w:sz w:val="22"/>
          <w:szCs w:val="22"/>
          <w:lang w:val="es-ES"/>
        </w:rPr>
        <w:t>E</w:t>
      </w:r>
      <w:r w:rsidRPr="00D8787B">
        <w:rPr>
          <w:rFonts w:ascii="Verdana" w:hAnsi="Verdana"/>
          <w:sz w:val="22"/>
          <w:szCs w:val="22"/>
          <w:lang w:val="es-ES"/>
        </w:rPr>
        <w:t>statales</w:t>
      </w:r>
      <w:r w:rsidR="00857E1F">
        <w:rPr>
          <w:rFonts w:ascii="Verdana" w:hAnsi="Verdana"/>
          <w:sz w:val="22"/>
          <w:szCs w:val="22"/>
          <w:lang w:val="es-ES"/>
        </w:rPr>
        <w:t xml:space="preserve">, </w:t>
      </w:r>
      <w:r w:rsidRPr="00857E1F">
        <w:rPr>
          <w:rFonts w:ascii="Verdana" w:hAnsi="Verdana"/>
          <w:sz w:val="22"/>
          <w:szCs w:val="22"/>
          <w:lang w:val="es-ES"/>
        </w:rPr>
        <w:t xml:space="preserve">por ministerio </w:t>
      </w:r>
      <w:r w:rsidR="00857E1F" w:rsidRPr="00857E1F">
        <w:rPr>
          <w:rFonts w:ascii="Verdana" w:hAnsi="Verdana"/>
          <w:sz w:val="22"/>
          <w:szCs w:val="22"/>
          <w:lang w:val="es-ES"/>
        </w:rPr>
        <w:t xml:space="preserve">del </w:t>
      </w:r>
      <w:r w:rsidRPr="00857E1F">
        <w:rPr>
          <w:rFonts w:ascii="Verdana" w:hAnsi="Verdana"/>
          <w:sz w:val="22"/>
          <w:szCs w:val="22"/>
          <w:lang w:val="es-ES"/>
        </w:rPr>
        <w:t xml:space="preserve">artículo 17 de la Ley 1150 de 2007, se entienden investidas de la prerrogativa de imposición unilateral. </w:t>
      </w:r>
      <w:r w:rsidR="00857E1F" w:rsidRPr="00857E1F">
        <w:rPr>
          <w:rFonts w:ascii="Verdana" w:hAnsi="Verdana"/>
          <w:sz w:val="22"/>
          <w:szCs w:val="22"/>
          <w:lang w:val="es-ES"/>
        </w:rPr>
        <w:t xml:space="preserve">En efecto, </w:t>
      </w:r>
      <w:r w:rsidRPr="00857E1F">
        <w:rPr>
          <w:rFonts w:ascii="Verdana" w:hAnsi="Verdana"/>
          <w:sz w:val="22"/>
          <w:szCs w:val="22"/>
          <w:lang w:val="es-ES"/>
        </w:rPr>
        <w:t>la exorbitancia de las dos cláusulas –cláusula penal y multas– se refiere a su imposición unilateral</w:t>
      </w:r>
      <w:r w:rsidR="002118E6">
        <w:rPr>
          <w:rFonts w:ascii="Verdana" w:hAnsi="Verdana"/>
          <w:sz w:val="22"/>
          <w:szCs w:val="22"/>
          <w:lang w:val="es-ES"/>
        </w:rPr>
        <w:t xml:space="preserve"> y</w:t>
      </w:r>
      <w:r w:rsidRPr="00857E1F">
        <w:rPr>
          <w:rFonts w:ascii="Verdana" w:hAnsi="Verdana"/>
          <w:sz w:val="22"/>
          <w:szCs w:val="22"/>
          <w:lang w:val="es-ES"/>
        </w:rPr>
        <w:t xml:space="preserve"> no a su pacto. Esto último en la medida que dichas cláusulas son posibles y pueden pactarse en virtud de las normas civiles y comerciales. </w:t>
      </w:r>
    </w:p>
    <w:p w14:paraId="28437A02" w14:textId="613BE56B" w:rsidR="00611E92" w:rsidRDefault="00857E1F" w:rsidP="00857E1F">
      <w:pPr>
        <w:spacing w:before="120" w:line="276" w:lineRule="auto"/>
        <w:ind w:firstLine="708"/>
        <w:jc w:val="both"/>
        <w:rPr>
          <w:rFonts w:ascii="Verdana" w:hAnsi="Verdana"/>
          <w:sz w:val="22"/>
          <w:szCs w:val="22"/>
          <w:lang w:val="es-ES"/>
        </w:rPr>
      </w:pPr>
      <w:r>
        <w:rPr>
          <w:rFonts w:ascii="Verdana" w:hAnsi="Verdana"/>
          <w:sz w:val="22"/>
          <w:szCs w:val="22"/>
          <w:lang w:val="es-ES"/>
        </w:rPr>
        <w:t xml:space="preserve">Por otra parte, cuando la Entidad Estatal omita pactar la imposición de multas o de la cláusula penal, podrá aplicar el procedimiento administrativo establecido en el artículo 86 de la Ley 1474 de 2011 para ejercer la potestad exorbitante que le permite declarar el incumplimiento, cuantificando los perjuicios, y hacer efectiva la garantía, pues la redacción literal del referido artículo le atribuye esta competencia. Como fue explicado, el artículo 86 </w:t>
      </w:r>
      <w:r w:rsidR="00611E92" w:rsidRPr="00857E1F">
        <w:rPr>
          <w:rFonts w:ascii="Verdana" w:hAnsi="Verdana"/>
          <w:sz w:val="22"/>
          <w:szCs w:val="22"/>
          <w:lang w:val="es-ES"/>
        </w:rPr>
        <w:t>otorg</w:t>
      </w:r>
      <w:r w:rsidRPr="00857E1F">
        <w:rPr>
          <w:rFonts w:ascii="Verdana" w:hAnsi="Verdana"/>
          <w:sz w:val="22"/>
          <w:szCs w:val="22"/>
          <w:lang w:val="es-ES"/>
        </w:rPr>
        <w:t>a</w:t>
      </w:r>
      <w:r w:rsidR="00611E92" w:rsidRPr="00857E1F">
        <w:rPr>
          <w:rFonts w:ascii="Verdana" w:hAnsi="Verdana"/>
          <w:sz w:val="22"/>
          <w:szCs w:val="22"/>
          <w:lang w:val="es-ES"/>
        </w:rPr>
        <w:t xml:space="preserve"> a las entidades</w:t>
      </w:r>
      <w:r w:rsidRPr="00857E1F">
        <w:rPr>
          <w:rFonts w:ascii="Verdana" w:hAnsi="Verdana"/>
          <w:sz w:val="22"/>
          <w:szCs w:val="22"/>
          <w:lang w:val="es-ES"/>
        </w:rPr>
        <w:t xml:space="preserve"> sujetas al EGCAP la potestad</w:t>
      </w:r>
      <w:r w:rsidR="00611E92" w:rsidRPr="00857E1F">
        <w:rPr>
          <w:rFonts w:ascii="Verdana" w:hAnsi="Verdana"/>
          <w:sz w:val="22"/>
          <w:szCs w:val="22"/>
          <w:lang w:val="es-ES"/>
        </w:rPr>
        <w:t xml:space="preserve"> </w:t>
      </w:r>
      <w:r w:rsidRPr="00857E1F">
        <w:rPr>
          <w:rFonts w:ascii="Verdana" w:hAnsi="Verdana"/>
          <w:sz w:val="22"/>
          <w:szCs w:val="22"/>
          <w:lang w:val="es-ES"/>
        </w:rPr>
        <w:t xml:space="preserve">para </w:t>
      </w:r>
      <w:r w:rsidR="00611E92" w:rsidRPr="00857E1F">
        <w:rPr>
          <w:rFonts w:ascii="Verdana" w:hAnsi="Verdana"/>
          <w:sz w:val="22"/>
          <w:szCs w:val="22"/>
          <w:lang w:val="es-ES"/>
        </w:rPr>
        <w:t xml:space="preserve">adelantar este procedimiento </w:t>
      </w:r>
      <w:r w:rsidRPr="00857E1F">
        <w:rPr>
          <w:rFonts w:ascii="Verdana" w:hAnsi="Verdana"/>
          <w:sz w:val="22"/>
          <w:szCs w:val="22"/>
          <w:lang w:val="es-ES"/>
        </w:rPr>
        <w:t xml:space="preserve">y declarar el siniestro, sin que esta se encuentre sujeta a la inclusión de las </w:t>
      </w:r>
      <w:r w:rsidR="00611E92" w:rsidRPr="00857E1F">
        <w:rPr>
          <w:rFonts w:ascii="Verdana" w:hAnsi="Verdana"/>
          <w:sz w:val="22"/>
          <w:szCs w:val="22"/>
          <w:lang w:val="es-ES"/>
        </w:rPr>
        <w:t xml:space="preserve">multas o la </w:t>
      </w:r>
      <w:r w:rsidRPr="00857E1F">
        <w:rPr>
          <w:rFonts w:ascii="Verdana" w:hAnsi="Verdana"/>
          <w:sz w:val="22"/>
          <w:szCs w:val="22"/>
          <w:lang w:val="es-ES"/>
        </w:rPr>
        <w:t>cláusula</w:t>
      </w:r>
      <w:r w:rsidR="00611E92" w:rsidRPr="00857E1F">
        <w:rPr>
          <w:rFonts w:ascii="Verdana" w:hAnsi="Verdana"/>
          <w:sz w:val="22"/>
          <w:szCs w:val="22"/>
          <w:lang w:val="es-ES"/>
        </w:rPr>
        <w:t xml:space="preserve"> penal</w:t>
      </w:r>
      <w:r w:rsidRPr="00857E1F">
        <w:rPr>
          <w:rFonts w:ascii="Verdana" w:hAnsi="Verdana"/>
          <w:sz w:val="22"/>
          <w:szCs w:val="22"/>
          <w:lang w:val="es-ES"/>
        </w:rPr>
        <w:t xml:space="preserve"> en el contrato</w:t>
      </w:r>
      <w:r w:rsidR="00611E92" w:rsidRPr="00857E1F">
        <w:rPr>
          <w:rFonts w:ascii="Verdana" w:hAnsi="Verdana"/>
          <w:sz w:val="22"/>
          <w:szCs w:val="22"/>
          <w:lang w:val="es-ES"/>
        </w:rPr>
        <w:t xml:space="preserve">, sino </w:t>
      </w:r>
      <w:r w:rsidRPr="00857E1F">
        <w:rPr>
          <w:rFonts w:ascii="Verdana" w:hAnsi="Verdana"/>
          <w:sz w:val="22"/>
          <w:szCs w:val="22"/>
          <w:lang w:val="es-ES"/>
        </w:rPr>
        <w:t xml:space="preserve">también </w:t>
      </w:r>
      <w:r w:rsidR="00611E92" w:rsidRPr="00857E1F">
        <w:rPr>
          <w:rFonts w:ascii="Verdana" w:hAnsi="Verdana"/>
          <w:sz w:val="22"/>
          <w:szCs w:val="22"/>
          <w:lang w:val="es-ES"/>
        </w:rPr>
        <w:t xml:space="preserve">con el fin de declarar el incumplimiento del contrato, junto con la cuantificación de los perjuicios. En virtud de lo anterior, las entidades que no hayan pactado multas o la </w:t>
      </w:r>
      <w:r w:rsidRPr="00857E1F">
        <w:rPr>
          <w:rFonts w:ascii="Verdana" w:hAnsi="Verdana"/>
          <w:sz w:val="22"/>
          <w:szCs w:val="22"/>
          <w:lang w:val="es-ES"/>
        </w:rPr>
        <w:t>cláusula</w:t>
      </w:r>
      <w:r w:rsidR="00611E92" w:rsidRPr="00857E1F">
        <w:rPr>
          <w:rFonts w:ascii="Verdana" w:hAnsi="Verdana"/>
          <w:sz w:val="22"/>
          <w:szCs w:val="22"/>
          <w:lang w:val="es-ES"/>
        </w:rPr>
        <w:t xml:space="preserve"> penal no pierden la potestad </w:t>
      </w:r>
      <w:r w:rsidRPr="00857E1F">
        <w:rPr>
          <w:rFonts w:ascii="Verdana" w:hAnsi="Verdana"/>
          <w:sz w:val="22"/>
          <w:szCs w:val="22"/>
          <w:lang w:val="es-ES"/>
        </w:rPr>
        <w:t>exorbitante</w:t>
      </w:r>
      <w:r w:rsidR="00611E92" w:rsidRPr="00857E1F">
        <w:rPr>
          <w:rFonts w:ascii="Verdana" w:hAnsi="Verdana"/>
          <w:sz w:val="22"/>
          <w:szCs w:val="22"/>
          <w:lang w:val="es-ES"/>
        </w:rPr>
        <w:t xml:space="preserve"> de </w:t>
      </w:r>
      <w:r w:rsidRPr="00857E1F">
        <w:rPr>
          <w:rFonts w:ascii="Verdana" w:hAnsi="Verdana"/>
          <w:sz w:val="22"/>
          <w:szCs w:val="22"/>
          <w:lang w:val="es-ES"/>
        </w:rPr>
        <w:t xml:space="preserve">declarar </w:t>
      </w:r>
      <w:r w:rsidR="00611E92" w:rsidRPr="00857E1F">
        <w:rPr>
          <w:rFonts w:ascii="Verdana" w:hAnsi="Verdana"/>
          <w:sz w:val="22"/>
          <w:szCs w:val="22"/>
          <w:lang w:val="es-ES"/>
        </w:rPr>
        <w:t>el incumplimiento y</w:t>
      </w:r>
      <w:r w:rsidR="0029453A">
        <w:rPr>
          <w:rFonts w:ascii="Verdana" w:hAnsi="Verdana"/>
          <w:sz w:val="22"/>
          <w:szCs w:val="22"/>
          <w:lang w:val="es-ES"/>
        </w:rPr>
        <w:t>,</w:t>
      </w:r>
      <w:r w:rsidR="00611E92" w:rsidRPr="00857E1F">
        <w:rPr>
          <w:rFonts w:ascii="Verdana" w:hAnsi="Verdana"/>
          <w:sz w:val="22"/>
          <w:szCs w:val="22"/>
          <w:lang w:val="es-ES"/>
        </w:rPr>
        <w:t xml:space="preserve"> con este</w:t>
      </w:r>
      <w:r w:rsidR="0029453A">
        <w:rPr>
          <w:rFonts w:ascii="Verdana" w:hAnsi="Verdana"/>
          <w:sz w:val="22"/>
          <w:szCs w:val="22"/>
          <w:lang w:val="es-ES"/>
        </w:rPr>
        <w:t>,</w:t>
      </w:r>
      <w:r w:rsidR="00611E92" w:rsidRPr="00857E1F">
        <w:rPr>
          <w:rFonts w:ascii="Verdana" w:hAnsi="Verdana"/>
          <w:sz w:val="22"/>
          <w:szCs w:val="22"/>
          <w:lang w:val="es-ES"/>
        </w:rPr>
        <w:t xml:space="preserve"> </w:t>
      </w:r>
      <w:r w:rsidR="00776F1D" w:rsidRPr="00857E1F">
        <w:rPr>
          <w:rFonts w:ascii="Verdana" w:hAnsi="Verdana"/>
          <w:sz w:val="22"/>
          <w:szCs w:val="22"/>
          <w:lang w:val="es-ES"/>
        </w:rPr>
        <w:t xml:space="preserve">la ocurrencia del </w:t>
      </w:r>
      <w:r w:rsidRPr="00857E1F">
        <w:rPr>
          <w:rFonts w:ascii="Verdana" w:hAnsi="Verdana"/>
          <w:sz w:val="22"/>
          <w:szCs w:val="22"/>
          <w:lang w:val="es-ES"/>
        </w:rPr>
        <w:t>siniestro</w:t>
      </w:r>
      <w:r w:rsidR="00611E92" w:rsidRPr="00857E1F">
        <w:rPr>
          <w:rFonts w:ascii="Verdana" w:hAnsi="Verdana"/>
          <w:sz w:val="22"/>
          <w:szCs w:val="22"/>
          <w:lang w:val="es-ES"/>
        </w:rPr>
        <w:t>, cuantificando los perjuicios</w:t>
      </w:r>
      <w:r w:rsidR="00776F1D" w:rsidRPr="00857E1F">
        <w:rPr>
          <w:rFonts w:ascii="Verdana" w:hAnsi="Verdana"/>
          <w:sz w:val="22"/>
          <w:szCs w:val="22"/>
          <w:lang w:val="es-ES"/>
        </w:rPr>
        <w:t xml:space="preserve"> mediante acto </w:t>
      </w:r>
      <w:r w:rsidRPr="00857E1F">
        <w:rPr>
          <w:rFonts w:ascii="Verdana" w:hAnsi="Verdana"/>
          <w:sz w:val="22"/>
          <w:szCs w:val="22"/>
          <w:lang w:val="es-ES"/>
        </w:rPr>
        <w:t>administrativo, con sujeción al proceso y el principio de proporcionalidad</w:t>
      </w:r>
      <w:r w:rsidR="00611E92" w:rsidRPr="00857E1F">
        <w:rPr>
          <w:rFonts w:ascii="Verdana" w:hAnsi="Verdana"/>
          <w:sz w:val="22"/>
          <w:szCs w:val="22"/>
          <w:lang w:val="es-ES"/>
        </w:rPr>
        <w:t xml:space="preserve">. </w:t>
      </w:r>
      <w:r w:rsidR="00776F1D" w:rsidRPr="00857E1F">
        <w:rPr>
          <w:rFonts w:ascii="Verdana" w:hAnsi="Verdana"/>
          <w:sz w:val="22"/>
          <w:szCs w:val="22"/>
          <w:lang w:val="es-ES"/>
        </w:rPr>
        <w:t xml:space="preserve">Lo anterior debe </w:t>
      </w:r>
      <w:r w:rsidRPr="00857E1F">
        <w:rPr>
          <w:rFonts w:ascii="Verdana" w:hAnsi="Verdana"/>
          <w:sz w:val="22"/>
          <w:szCs w:val="22"/>
          <w:lang w:val="es-ES"/>
        </w:rPr>
        <w:t>constar</w:t>
      </w:r>
      <w:r w:rsidR="00776F1D" w:rsidRPr="00857E1F">
        <w:rPr>
          <w:rFonts w:ascii="Verdana" w:hAnsi="Verdana"/>
          <w:sz w:val="22"/>
          <w:szCs w:val="22"/>
          <w:lang w:val="es-ES"/>
        </w:rPr>
        <w:t xml:space="preserve"> en la motivación del acto. </w:t>
      </w:r>
    </w:p>
    <w:p w14:paraId="6395CBD7" w14:textId="51DD1881" w:rsidR="008B1E1E" w:rsidRPr="009D5C97" w:rsidRDefault="00857E1F" w:rsidP="009D5C97">
      <w:pPr>
        <w:spacing w:before="120" w:line="276" w:lineRule="auto"/>
        <w:ind w:firstLine="708"/>
        <w:jc w:val="both"/>
        <w:rPr>
          <w:rFonts w:ascii="Verdana" w:hAnsi="Verdana"/>
          <w:sz w:val="22"/>
          <w:szCs w:val="22"/>
          <w:lang w:val="es-ES"/>
        </w:rPr>
      </w:pPr>
      <w:r>
        <w:rPr>
          <w:rFonts w:ascii="Verdana" w:hAnsi="Verdana"/>
          <w:sz w:val="22"/>
          <w:szCs w:val="22"/>
          <w:lang w:val="es-ES"/>
        </w:rPr>
        <w:t>En cualquier caso, se aclar</w:t>
      </w:r>
      <w:r w:rsidR="0029453A">
        <w:rPr>
          <w:rFonts w:ascii="Verdana" w:hAnsi="Verdana"/>
          <w:sz w:val="22"/>
          <w:szCs w:val="22"/>
          <w:lang w:val="es-ES"/>
        </w:rPr>
        <w:t>a</w:t>
      </w:r>
      <w:r>
        <w:rPr>
          <w:rFonts w:ascii="Verdana" w:hAnsi="Verdana"/>
          <w:sz w:val="22"/>
          <w:szCs w:val="22"/>
          <w:lang w:val="es-ES"/>
        </w:rPr>
        <w:t xml:space="preserve"> que cuando no se ejerzan </w:t>
      </w:r>
      <w:proofErr w:type="gramStart"/>
      <w:r>
        <w:rPr>
          <w:rFonts w:ascii="Verdana" w:hAnsi="Verdana"/>
          <w:sz w:val="22"/>
          <w:szCs w:val="22"/>
          <w:lang w:val="es-ES"/>
        </w:rPr>
        <w:t>facultades exorbitante</w:t>
      </w:r>
      <w:proofErr w:type="gramEnd"/>
      <w:r>
        <w:rPr>
          <w:rFonts w:ascii="Verdana" w:hAnsi="Verdana"/>
          <w:sz w:val="22"/>
          <w:szCs w:val="22"/>
          <w:lang w:val="es-ES"/>
        </w:rPr>
        <w:t xml:space="preserve">, la efectividad de las garantías se deriva del contrato de seguro y será necesario formar la correspondiente reclamación judicial o extrajudicial en los términos del </w:t>
      </w:r>
      <w:r w:rsidR="00522D84" w:rsidRPr="00857E1F">
        <w:rPr>
          <w:rFonts w:ascii="Verdana" w:hAnsi="Verdana"/>
          <w:sz w:val="22"/>
          <w:szCs w:val="22"/>
          <w:lang w:val="es-ES"/>
        </w:rPr>
        <w:t xml:space="preserve">artículo 1077 del </w:t>
      </w:r>
      <w:r w:rsidRPr="00857E1F">
        <w:rPr>
          <w:rFonts w:ascii="Verdana" w:hAnsi="Verdana"/>
          <w:sz w:val="22"/>
          <w:szCs w:val="22"/>
          <w:lang w:val="es-ES"/>
        </w:rPr>
        <w:t>Código</w:t>
      </w:r>
      <w:r w:rsidR="00522D84" w:rsidRPr="00857E1F">
        <w:rPr>
          <w:rFonts w:ascii="Verdana" w:hAnsi="Verdana"/>
          <w:sz w:val="22"/>
          <w:szCs w:val="22"/>
          <w:lang w:val="es-ES"/>
        </w:rPr>
        <w:t xml:space="preserve"> de Comercio, </w:t>
      </w:r>
      <w:r w:rsidRPr="00857E1F">
        <w:rPr>
          <w:rFonts w:ascii="Verdana" w:hAnsi="Verdana"/>
          <w:sz w:val="22"/>
          <w:szCs w:val="22"/>
          <w:lang w:val="es-ES"/>
        </w:rPr>
        <w:t xml:space="preserve">así como acudir </w:t>
      </w:r>
      <w:r w:rsidR="00522D84" w:rsidRPr="00857E1F">
        <w:rPr>
          <w:rFonts w:ascii="Verdana" w:hAnsi="Verdana"/>
          <w:sz w:val="22"/>
          <w:szCs w:val="22"/>
          <w:lang w:val="es-ES"/>
        </w:rPr>
        <w:t xml:space="preserve">al </w:t>
      </w:r>
      <w:r w:rsidR="00522D84" w:rsidRPr="00857E1F">
        <w:rPr>
          <w:rFonts w:ascii="Verdana" w:hAnsi="Verdana"/>
          <w:sz w:val="22"/>
          <w:szCs w:val="22"/>
          <w:lang w:val="es-ES"/>
        </w:rPr>
        <w:lastRenderedPageBreak/>
        <w:t>proceso ordinario o ejecutivo ante el juez del contrato</w:t>
      </w:r>
      <w:r w:rsidRPr="00857E1F">
        <w:rPr>
          <w:rFonts w:ascii="Verdana" w:hAnsi="Verdana"/>
          <w:sz w:val="22"/>
          <w:szCs w:val="22"/>
          <w:lang w:val="es-ES"/>
        </w:rPr>
        <w:t xml:space="preserve">, que en materia de contratación estatal será el </w:t>
      </w:r>
      <w:r w:rsidR="00522D84" w:rsidRPr="00857E1F">
        <w:rPr>
          <w:rFonts w:ascii="Verdana" w:hAnsi="Verdana"/>
          <w:sz w:val="22"/>
          <w:szCs w:val="22"/>
          <w:lang w:val="es-ES"/>
        </w:rPr>
        <w:t>juez de lo contencioso administrativo</w:t>
      </w:r>
      <w:r w:rsidRPr="00857E1F">
        <w:rPr>
          <w:rFonts w:ascii="Verdana" w:hAnsi="Verdana"/>
          <w:sz w:val="22"/>
          <w:szCs w:val="22"/>
          <w:lang w:val="es-ES"/>
        </w:rPr>
        <w:t>.</w:t>
      </w:r>
      <w:r w:rsidR="00522D84" w:rsidRPr="00857E1F">
        <w:rPr>
          <w:rFonts w:ascii="Verdana" w:hAnsi="Verdana"/>
          <w:sz w:val="22"/>
          <w:szCs w:val="22"/>
          <w:lang w:val="es-ES"/>
        </w:rPr>
        <w:t xml:space="preserve"> </w:t>
      </w:r>
      <w:bookmarkStart w:id="9" w:name="2.2.1.2.3.1.19.1"/>
      <w:bookmarkStart w:id="10" w:name="2.2.1.2.3.1.19.2"/>
      <w:bookmarkStart w:id="11" w:name="2.2.1.2.3.1.19.3"/>
      <w:bookmarkEnd w:id="9"/>
      <w:bookmarkEnd w:id="10"/>
      <w:bookmarkEnd w:id="11"/>
    </w:p>
    <w:p w14:paraId="785D2142" w14:textId="77777777" w:rsidR="00735B7C" w:rsidRPr="00EC2F74" w:rsidRDefault="00735B7C" w:rsidP="00735B7C">
      <w:pPr>
        <w:tabs>
          <w:tab w:val="left" w:pos="709"/>
        </w:tabs>
        <w:spacing w:line="276" w:lineRule="auto"/>
        <w:jc w:val="both"/>
        <w:rPr>
          <w:rFonts w:ascii="Verdana" w:eastAsia="Calibri" w:hAnsi="Verdana" w:cs="Arial"/>
          <w:color w:val="000000" w:themeColor="text1"/>
          <w:lang w:val="es-ES"/>
        </w:rPr>
      </w:pPr>
    </w:p>
    <w:p w14:paraId="27D1EC0C" w14:textId="77777777" w:rsidR="00735B7C" w:rsidRPr="00EC2F74" w:rsidRDefault="00735B7C" w:rsidP="00735B7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EC2F74">
        <w:rPr>
          <w:rFonts w:ascii="Verdana" w:eastAsia="Century Gothic" w:hAnsi="Verdana" w:cs="Century Gothic"/>
          <w:b/>
          <w:bCs/>
        </w:rPr>
        <w:t>Referencias normativas:</w:t>
      </w:r>
    </w:p>
    <w:p w14:paraId="3B5940A2" w14:textId="77777777" w:rsidR="00735B7C" w:rsidRPr="00EC2F74" w:rsidRDefault="00735B7C" w:rsidP="00735B7C">
      <w:pPr>
        <w:widowControl w:val="0"/>
        <w:autoSpaceDE w:val="0"/>
        <w:autoSpaceDN w:val="0"/>
        <w:spacing w:line="276" w:lineRule="auto"/>
        <w:jc w:val="both"/>
        <w:rPr>
          <w:rFonts w:ascii="Verdana" w:hAnsi="Verdana" w:cs="Arial"/>
          <w:lang w:val="es-E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35B7C" w:rsidRPr="00EC2F74" w14:paraId="3CDABB45" w14:textId="77777777">
        <w:trPr>
          <w:trHeight w:val="870"/>
          <w:jc w:val="center"/>
        </w:trPr>
        <w:tc>
          <w:tcPr>
            <w:tcW w:w="8647" w:type="dxa"/>
          </w:tcPr>
          <w:p w14:paraId="6A114A23" w14:textId="3D667F27" w:rsidR="00735B7C" w:rsidRPr="00B41776" w:rsidRDefault="00735B7C" w:rsidP="00B41776">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sidRPr="00B41776">
              <w:rPr>
                <w:rFonts w:ascii="Verdana" w:hAnsi="Verdana" w:cs="Arial"/>
              </w:rPr>
              <w:t>Constitución Política de Colombia, artículos 29</w:t>
            </w:r>
            <w:r w:rsidR="00B41776" w:rsidRPr="00B41776">
              <w:rPr>
                <w:rFonts w:ascii="Verdana" w:hAnsi="Verdana" w:cs="Arial"/>
              </w:rPr>
              <w:t xml:space="preserve"> y</w:t>
            </w:r>
            <w:r w:rsidRPr="00B41776">
              <w:rPr>
                <w:rFonts w:ascii="Verdana" w:hAnsi="Verdana" w:cs="Arial"/>
              </w:rPr>
              <w:t xml:space="preserve"> 209.</w:t>
            </w:r>
          </w:p>
          <w:p w14:paraId="3455FEE7" w14:textId="77777777" w:rsidR="00735B7C" w:rsidRPr="00EC2F74" w:rsidRDefault="00735B7C" w:rsidP="00627ED8">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sidRPr="00EC2F74">
              <w:rPr>
                <w:rFonts w:ascii="Verdana" w:hAnsi="Verdana" w:cs="Arial"/>
              </w:rPr>
              <w:t xml:space="preserve">Ley 80 de 1993, artículo 2, 14 y 32. </w:t>
            </w:r>
          </w:p>
          <w:p w14:paraId="6220A3C1" w14:textId="77777777" w:rsidR="00735B7C" w:rsidRPr="00EC2F74" w:rsidRDefault="00735B7C" w:rsidP="00627ED8">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sidRPr="00EC2F74">
              <w:rPr>
                <w:rFonts w:ascii="Verdana" w:hAnsi="Verdana" w:cs="Arial"/>
              </w:rPr>
              <w:t>Ley 1150 de 2007, artículo 7.</w:t>
            </w:r>
          </w:p>
          <w:p w14:paraId="5B85CA07" w14:textId="7291941F" w:rsidR="00735B7C" w:rsidRPr="00B41776" w:rsidRDefault="00735B7C" w:rsidP="00B41776">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sidRPr="00EC2F74">
              <w:rPr>
                <w:rFonts w:ascii="Verdana" w:hAnsi="Verdana" w:cs="Arial"/>
              </w:rPr>
              <w:t>Ley 1474 de 2011, artículo 86.</w:t>
            </w:r>
          </w:p>
          <w:p w14:paraId="36A45B1D" w14:textId="77777777" w:rsidR="00735B7C" w:rsidRPr="00EC2F74" w:rsidRDefault="00735B7C" w:rsidP="00627ED8">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sidRPr="00EC2F74">
              <w:rPr>
                <w:rFonts w:ascii="Verdana" w:hAnsi="Verdana" w:cs="Arial"/>
              </w:rPr>
              <w:t>Decreto 1082 de 2015, artículo 2.2.1.2.3.1.19.</w:t>
            </w:r>
          </w:p>
          <w:p w14:paraId="5A4848F1" w14:textId="77777777" w:rsidR="00735B7C" w:rsidRPr="00EC2F74" w:rsidRDefault="00735B7C" w:rsidP="00627ED8">
            <w:pPr>
              <w:pStyle w:val="Prrafodelista"/>
              <w:widowControl w:val="0"/>
              <w:numPr>
                <w:ilvl w:val="0"/>
                <w:numId w:val="17"/>
              </w:numPr>
              <w:autoSpaceDE w:val="0"/>
              <w:autoSpaceDN w:val="0"/>
              <w:spacing w:line="276" w:lineRule="auto"/>
              <w:ind w:left="714" w:hanging="357"/>
              <w:contextualSpacing w:val="0"/>
              <w:jc w:val="both"/>
              <w:rPr>
                <w:rFonts w:ascii="Verdana" w:hAnsi="Verdana" w:cs="Arial"/>
                <w:color w:val="000000" w:themeColor="text1"/>
              </w:rPr>
            </w:pPr>
            <w:r w:rsidRPr="00EC2F74">
              <w:rPr>
                <w:rFonts w:ascii="Verdana" w:hAnsi="Verdana" w:cs="Arial"/>
              </w:rPr>
              <w:t xml:space="preserve">Código de Comercio, artículos 1075 y ss. </w:t>
            </w:r>
          </w:p>
          <w:p w14:paraId="2223247D" w14:textId="77777777" w:rsidR="00735B7C" w:rsidRPr="00EC2F74" w:rsidRDefault="00735B7C" w:rsidP="00627ED8">
            <w:pPr>
              <w:widowControl w:val="0"/>
              <w:numPr>
                <w:ilvl w:val="0"/>
                <w:numId w:val="17"/>
              </w:numPr>
              <w:autoSpaceDE w:val="0"/>
              <w:autoSpaceDN w:val="0"/>
              <w:spacing w:line="276" w:lineRule="auto"/>
              <w:ind w:left="714" w:hanging="357"/>
              <w:contextualSpacing/>
              <w:jc w:val="both"/>
              <w:rPr>
                <w:rFonts w:ascii="Verdana" w:hAnsi="Verdana" w:cs="Arial"/>
                <w:color w:val="000000" w:themeColor="text1"/>
                <w:lang w:val="es-ES"/>
              </w:rPr>
            </w:pPr>
            <w:r w:rsidRPr="00EC2F74">
              <w:rPr>
                <w:rFonts w:ascii="Verdana" w:hAnsi="Verdana" w:cs="Arial"/>
                <w:lang w:val="es-ES"/>
              </w:rPr>
              <w:t xml:space="preserve">Consejo de Estado. Sección Tercera, Sentencia del 19 de agosto de 2004 </w:t>
            </w:r>
            <w:proofErr w:type="spellStart"/>
            <w:r w:rsidRPr="00EC2F74">
              <w:rPr>
                <w:rFonts w:ascii="Verdana" w:hAnsi="Verdana" w:cs="Arial"/>
                <w:lang w:val="es-ES"/>
              </w:rPr>
              <w:t>Exp</w:t>
            </w:r>
            <w:proofErr w:type="spellEnd"/>
            <w:r w:rsidRPr="00EC2F74">
              <w:rPr>
                <w:rFonts w:ascii="Verdana" w:hAnsi="Verdana" w:cs="Arial"/>
                <w:lang w:val="es-ES"/>
              </w:rPr>
              <w:t xml:space="preserve">. 12.342, reiterada en sentencia de 6 de febrero de 2006, </w:t>
            </w:r>
            <w:proofErr w:type="spellStart"/>
            <w:r w:rsidRPr="00EC2F74">
              <w:rPr>
                <w:rFonts w:ascii="Verdana" w:hAnsi="Verdana" w:cs="Arial"/>
                <w:lang w:val="es-ES"/>
              </w:rPr>
              <w:t>Exp</w:t>
            </w:r>
            <w:proofErr w:type="spellEnd"/>
            <w:r w:rsidRPr="00EC2F74">
              <w:rPr>
                <w:rFonts w:ascii="Verdana" w:hAnsi="Verdana" w:cs="Arial"/>
                <w:lang w:val="es-ES"/>
              </w:rPr>
              <w:t>. 13.414.</w:t>
            </w:r>
          </w:p>
          <w:p w14:paraId="3BE526F5" w14:textId="53AD163B" w:rsidR="00735B7C" w:rsidRPr="00EC2F74" w:rsidRDefault="00735B7C" w:rsidP="00627ED8">
            <w:pPr>
              <w:widowControl w:val="0"/>
              <w:numPr>
                <w:ilvl w:val="0"/>
                <w:numId w:val="17"/>
              </w:numPr>
              <w:autoSpaceDE w:val="0"/>
              <w:autoSpaceDN w:val="0"/>
              <w:spacing w:line="276" w:lineRule="auto"/>
              <w:ind w:left="714" w:hanging="357"/>
              <w:contextualSpacing/>
              <w:jc w:val="both"/>
              <w:rPr>
                <w:rFonts w:ascii="Verdana" w:hAnsi="Verdana"/>
                <w:lang w:val="es-ES"/>
              </w:rPr>
            </w:pPr>
            <w:r w:rsidRPr="00EC2F74">
              <w:rPr>
                <w:rFonts w:ascii="Verdana" w:hAnsi="Verdana"/>
                <w:lang w:val="es-ES"/>
              </w:rPr>
              <w:t xml:space="preserve">Consejo de Estado. Sala Plena. Sección Tercera. Sentencia de Unificación del 9 de mayo de 2024, C.P. José Roberto Sáchica Méndez, </w:t>
            </w:r>
            <w:proofErr w:type="spellStart"/>
            <w:r w:rsidRPr="00EC2F74">
              <w:rPr>
                <w:rFonts w:ascii="Verdana" w:hAnsi="Verdana"/>
                <w:lang w:val="es-ES"/>
              </w:rPr>
              <w:t>Exp</w:t>
            </w:r>
            <w:proofErr w:type="spellEnd"/>
            <w:r w:rsidRPr="00EC2F74">
              <w:rPr>
                <w:rFonts w:ascii="Verdana" w:hAnsi="Verdana"/>
                <w:lang w:val="es-ES"/>
              </w:rPr>
              <w:t>. No. 53.962.</w:t>
            </w:r>
          </w:p>
          <w:p w14:paraId="61144657" w14:textId="323AA649" w:rsidR="00735B7C" w:rsidRPr="00EC2F74" w:rsidRDefault="00735B7C" w:rsidP="00627ED8">
            <w:pPr>
              <w:widowControl w:val="0"/>
              <w:numPr>
                <w:ilvl w:val="0"/>
                <w:numId w:val="17"/>
              </w:numPr>
              <w:autoSpaceDE w:val="0"/>
              <w:autoSpaceDN w:val="0"/>
              <w:spacing w:line="276" w:lineRule="auto"/>
              <w:ind w:left="714" w:hanging="357"/>
              <w:contextualSpacing/>
              <w:jc w:val="both"/>
              <w:rPr>
                <w:rFonts w:ascii="Verdana" w:hAnsi="Verdana"/>
                <w:lang w:val="es-ES"/>
              </w:rPr>
            </w:pPr>
            <w:r w:rsidRPr="00EC2F74">
              <w:rPr>
                <w:rFonts w:ascii="Verdana" w:hAnsi="Verdana"/>
                <w:lang w:val="es-ES"/>
              </w:rPr>
              <w:t>Consejo de Estado. Sala de lo Contencioso Administrativo. Sección Tercera. 19 de junio de 2019. Radicado: 85001-23-31-001-2008-00076-01(39800). C.P. Alberto Montaña Plata.</w:t>
            </w:r>
          </w:p>
          <w:p w14:paraId="61DB606E" w14:textId="77777777" w:rsidR="00735B7C" w:rsidRPr="00EC2F74" w:rsidRDefault="00735B7C" w:rsidP="00627ED8">
            <w:pPr>
              <w:widowControl w:val="0"/>
              <w:numPr>
                <w:ilvl w:val="0"/>
                <w:numId w:val="17"/>
              </w:numPr>
              <w:autoSpaceDE w:val="0"/>
              <w:autoSpaceDN w:val="0"/>
              <w:spacing w:line="276" w:lineRule="auto"/>
              <w:ind w:left="714" w:hanging="357"/>
              <w:contextualSpacing/>
              <w:jc w:val="both"/>
              <w:rPr>
                <w:rFonts w:ascii="Verdana" w:hAnsi="Verdana" w:cs="Arial"/>
                <w:color w:val="000000" w:themeColor="text1"/>
                <w:lang w:val="es-ES"/>
              </w:rPr>
            </w:pPr>
            <w:r w:rsidRPr="00EC2F74">
              <w:rPr>
                <w:rFonts w:ascii="Verdana" w:hAnsi="Verdana"/>
                <w:lang w:val="es-ES"/>
              </w:rPr>
              <w:t xml:space="preserve">Consejo de Estado. Sala de lo Contenciosos Administrativo. Sección Tercera. Subsección B, sentencia del 23 de noviembre de 2022, </w:t>
            </w:r>
            <w:proofErr w:type="spellStart"/>
            <w:r w:rsidRPr="00EC2F74">
              <w:rPr>
                <w:rFonts w:ascii="Verdana" w:hAnsi="Verdana"/>
                <w:lang w:val="es-ES"/>
              </w:rPr>
              <w:t>Exp</w:t>
            </w:r>
            <w:proofErr w:type="spellEnd"/>
            <w:r w:rsidRPr="00EC2F74">
              <w:rPr>
                <w:rFonts w:ascii="Verdana" w:hAnsi="Verdana"/>
                <w:lang w:val="es-ES"/>
              </w:rPr>
              <w:t xml:space="preserve">. No. 66.700.  </w:t>
            </w:r>
          </w:p>
          <w:p w14:paraId="380F3A39" w14:textId="77777777" w:rsidR="00735B7C" w:rsidRPr="00EC2F74" w:rsidRDefault="00735B7C" w:rsidP="00627ED8">
            <w:pPr>
              <w:widowControl w:val="0"/>
              <w:numPr>
                <w:ilvl w:val="0"/>
                <w:numId w:val="17"/>
              </w:numPr>
              <w:autoSpaceDE w:val="0"/>
              <w:autoSpaceDN w:val="0"/>
              <w:spacing w:line="276" w:lineRule="auto"/>
              <w:ind w:left="714" w:hanging="357"/>
              <w:contextualSpacing/>
              <w:jc w:val="both"/>
              <w:rPr>
                <w:rFonts w:ascii="Verdana" w:hAnsi="Verdana" w:cs="Arial"/>
                <w:color w:val="000000" w:themeColor="text1"/>
                <w:lang w:val="es-ES"/>
              </w:rPr>
            </w:pPr>
            <w:r w:rsidRPr="00EC2F74">
              <w:rPr>
                <w:rFonts w:ascii="Verdana" w:hAnsi="Verdana"/>
                <w:lang w:val="es-ES"/>
              </w:rPr>
              <w:t xml:space="preserve">Consejo de Estado. Sala de lo Contenciosos Administrativo. Sección Tercera, Subsección C, sentencia del 21 de octubre de 2021, </w:t>
            </w:r>
            <w:proofErr w:type="spellStart"/>
            <w:r w:rsidRPr="00EC2F74">
              <w:rPr>
                <w:rFonts w:ascii="Verdana" w:hAnsi="Verdana"/>
                <w:lang w:val="es-ES"/>
              </w:rPr>
              <w:t>Exp</w:t>
            </w:r>
            <w:proofErr w:type="spellEnd"/>
            <w:r w:rsidRPr="00EC2F74">
              <w:rPr>
                <w:rFonts w:ascii="Verdana" w:hAnsi="Verdana"/>
                <w:lang w:val="es-ES"/>
              </w:rPr>
              <w:t>. No. 36697.</w:t>
            </w:r>
          </w:p>
          <w:p w14:paraId="3B396384" w14:textId="77777777" w:rsidR="00735B7C" w:rsidRPr="00EC2F74" w:rsidRDefault="00735B7C" w:rsidP="00627ED8">
            <w:pPr>
              <w:widowControl w:val="0"/>
              <w:numPr>
                <w:ilvl w:val="0"/>
                <w:numId w:val="17"/>
              </w:numPr>
              <w:autoSpaceDE w:val="0"/>
              <w:autoSpaceDN w:val="0"/>
              <w:spacing w:line="276" w:lineRule="auto"/>
              <w:ind w:left="714" w:hanging="357"/>
              <w:contextualSpacing/>
              <w:jc w:val="both"/>
              <w:rPr>
                <w:rFonts w:ascii="Verdana" w:hAnsi="Verdana" w:cs="Arial"/>
                <w:color w:val="000000" w:themeColor="text1"/>
                <w:lang w:val="es-ES"/>
              </w:rPr>
            </w:pPr>
            <w:r w:rsidRPr="00EC2F74">
              <w:rPr>
                <w:rFonts w:ascii="Verdana" w:hAnsi="Verdana"/>
                <w:lang w:val="es-ES"/>
              </w:rPr>
              <w:t xml:space="preserve">Consejo de Estado. Sala de lo Contenciosos Administrativo. Sección Tercera, Subsección A, Sentencia del 24 de septiembre de 2020, </w:t>
            </w:r>
            <w:proofErr w:type="spellStart"/>
            <w:r w:rsidRPr="00EC2F74">
              <w:rPr>
                <w:rFonts w:ascii="Verdana" w:hAnsi="Verdana"/>
                <w:lang w:val="es-ES"/>
              </w:rPr>
              <w:t>Exp</w:t>
            </w:r>
            <w:proofErr w:type="spellEnd"/>
            <w:r w:rsidRPr="00EC2F74">
              <w:rPr>
                <w:rFonts w:ascii="Verdana" w:hAnsi="Verdana"/>
                <w:lang w:val="es-ES"/>
              </w:rPr>
              <w:t xml:space="preserve">. No. 44707.  </w:t>
            </w:r>
          </w:p>
          <w:p w14:paraId="23AB8B62" w14:textId="77777777" w:rsidR="00735B7C" w:rsidRPr="00EC2F74" w:rsidRDefault="00735B7C" w:rsidP="00627ED8">
            <w:pPr>
              <w:widowControl w:val="0"/>
              <w:numPr>
                <w:ilvl w:val="0"/>
                <w:numId w:val="17"/>
              </w:numPr>
              <w:autoSpaceDE w:val="0"/>
              <w:autoSpaceDN w:val="0"/>
              <w:spacing w:line="276" w:lineRule="auto"/>
              <w:ind w:left="714" w:hanging="357"/>
              <w:contextualSpacing/>
              <w:jc w:val="both"/>
              <w:rPr>
                <w:rFonts w:ascii="Verdana" w:hAnsi="Verdana" w:cs="Arial"/>
                <w:color w:val="000000" w:themeColor="text1"/>
                <w:lang w:val="es-ES"/>
              </w:rPr>
            </w:pPr>
            <w:r w:rsidRPr="00EC2F74">
              <w:rPr>
                <w:rFonts w:ascii="Verdana" w:hAnsi="Verdana"/>
                <w:lang w:val="es-ES"/>
              </w:rPr>
              <w:t xml:space="preserve">Consejo de Estado. Sala de lo Contenciosos Administrativo. Tercera, Subsección A, Sentencia del 21 de mayo de 2021, </w:t>
            </w:r>
            <w:proofErr w:type="spellStart"/>
            <w:r w:rsidRPr="00EC2F74">
              <w:rPr>
                <w:rFonts w:ascii="Verdana" w:hAnsi="Verdana"/>
                <w:lang w:val="es-ES"/>
              </w:rPr>
              <w:t>Exp</w:t>
            </w:r>
            <w:proofErr w:type="spellEnd"/>
            <w:r w:rsidRPr="00EC2F74">
              <w:rPr>
                <w:rFonts w:ascii="Verdana" w:hAnsi="Verdana"/>
                <w:lang w:val="es-ES"/>
              </w:rPr>
              <w:t xml:space="preserve">. No. 57822.  </w:t>
            </w:r>
          </w:p>
          <w:p w14:paraId="070EEC92" w14:textId="77777777" w:rsidR="00735B7C" w:rsidRPr="00EC2F74" w:rsidRDefault="00735B7C" w:rsidP="00627ED8">
            <w:pPr>
              <w:widowControl w:val="0"/>
              <w:numPr>
                <w:ilvl w:val="0"/>
                <w:numId w:val="17"/>
              </w:numPr>
              <w:autoSpaceDE w:val="0"/>
              <w:autoSpaceDN w:val="0"/>
              <w:spacing w:line="276" w:lineRule="auto"/>
              <w:ind w:left="714" w:hanging="357"/>
              <w:contextualSpacing/>
              <w:jc w:val="both"/>
              <w:rPr>
                <w:rFonts w:ascii="Verdana" w:hAnsi="Verdana" w:cs="Arial"/>
                <w:color w:val="000000" w:themeColor="text1"/>
                <w:lang w:val="es-ES"/>
              </w:rPr>
            </w:pPr>
            <w:r w:rsidRPr="00EC2F74">
              <w:rPr>
                <w:rFonts w:ascii="Verdana" w:hAnsi="Verdana" w:cs="Arial"/>
                <w:color w:val="000000" w:themeColor="text1"/>
                <w:lang w:val="es-ES"/>
              </w:rPr>
              <w:lastRenderedPageBreak/>
              <w:t xml:space="preserve">Consejo de Estado. Sala de lo Contencioso Administrativo. Sección Tercera. Auto del 12 de diciembre de 2017. </w:t>
            </w:r>
            <w:proofErr w:type="spellStart"/>
            <w:r w:rsidRPr="00EC2F74">
              <w:rPr>
                <w:rFonts w:ascii="Verdana" w:hAnsi="Verdana" w:cs="Arial"/>
                <w:color w:val="000000" w:themeColor="text1"/>
                <w:lang w:val="es-ES"/>
              </w:rPr>
              <w:t>Exp</w:t>
            </w:r>
            <w:proofErr w:type="spellEnd"/>
            <w:r w:rsidRPr="00EC2F74">
              <w:rPr>
                <w:rFonts w:ascii="Verdana" w:hAnsi="Verdana" w:cs="Arial"/>
                <w:color w:val="000000" w:themeColor="text1"/>
                <w:lang w:val="es-ES"/>
              </w:rPr>
              <w:t>. 60.477. C.P. Jaime Orlando Santofimio Gamboa.</w:t>
            </w:r>
          </w:p>
          <w:p w14:paraId="629658D4" w14:textId="77777777" w:rsidR="00735B7C" w:rsidRPr="00EC2F74" w:rsidRDefault="00735B7C" w:rsidP="00627ED8">
            <w:pPr>
              <w:pStyle w:val="Prrafodelista"/>
              <w:widowControl w:val="0"/>
              <w:numPr>
                <w:ilvl w:val="0"/>
                <w:numId w:val="17"/>
              </w:numPr>
              <w:autoSpaceDE w:val="0"/>
              <w:autoSpaceDN w:val="0"/>
              <w:spacing w:line="276" w:lineRule="auto"/>
              <w:ind w:left="714" w:hanging="357"/>
              <w:contextualSpacing w:val="0"/>
              <w:jc w:val="both"/>
              <w:rPr>
                <w:rFonts w:ascii="Verdana" w:hAnsi="Verdana" w:cs="Arial"/>
                <w:color w:val="000000" w:themeColor="text1"/>
              </w:rPr>
            </w:pPr>
            <w:r w:rsidRPr="00EC2F74">
              <w:rPr>
                <w:rFonts w:ascii="Verdana" w:hAnsi="Verdana" w:cs="Arial"/>
              </w:rPr>
              <w:t>Corte Suprema de Justicia. Sala de Casación Civil, sentencia de 30 de agosto de 2011, expediente 11001-3103-012-1999-01957-01</w:t>
            </w:r>
          </w:p>
        </w:tc>
      </w:tr>
    </w:tbl>
    <w:p w14:paraId="2E4F2261" w14:textId="77777777" w:rsidR="00B3760F" w:rsidRPr="00EC2F74" w:rsidRDefault="00B3760F" w:rsidP="00B3760F">
      <w:pPr>
        <w:widowControl w:val="0"/>
        <w:autoSpaceDE w:val="0"/>
        <w:autoSpaceDN w:val="0"/>
        <w:spacing w:line="276" w:lineRule="auto"/>
        <w:jc w:val="both"/>
        <w:rPr>
          <w:rFonts w:ascii="Verdana" w:hAnsi="Verdana" w:cs="Arial"/>
          <w:lang w:val="es-ES"/>
        </w:rPr>
      </w:pPr>
    </w:p>
    <w:p w14:paraId="2CE6B4B0" w14:textId="77777777" w:rsidR="00B3760F" w:rsidRPr="00EC2F74" w:rsidRDefault="00B3760F" w:rsidP="00B3760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EC2F74">
        <w:rPr>
          <w:rFonts w:ascii="Verdana" w:eastAsia="Century Gothic" w:hAnsi="Verdana" w:cs="Century Gothic"/>
          <w:b/>
          <w:bCs/>
        </w:rPr>
        <w:t>Doctrina de la Agencia Nacional de Contratación Pública:</w:t>
      </w:r>
    </w:p>
    <w:p w14:paraId="29AE886C" w14:textId="77777777" w:rsidR="00B3760F" w:rsidRPr="00EC2F74" w:rsidRDefault="00B3760F" w:rsidP="00B3760F">
      <w:pPr>
        <w:widowControl w:val="0"/>
        <w:autoSpaceDE w:val="0"/>
        <w:autoSpaceDN w:val="0"/>
        <w:spacing w:line="276" w:lineRule="auto"/>
        <w:jc w:val="both"/>
        <w:rPr>
          <w:rFonts w:ascii="Verdana" w:hAnsi="Verdana" w:cs="Arial"/>
          <w:lang w:val="es-ES"/>
        </w:rPr>
      </w:pPr>
    </w:p>
    <w:p w14:paraId="27B471D3" w14:textId="131B9062" w:rsidR="00B3760F" w:rsidRPr="00C27517" w:rsidRDefault="00B3760F" w:rsidP="00B3760F">
      <w:pPr>
        <w:widowControl w:val="0"/>
        <w:autoSpaceDE w:val="0"/>
        <w:autoSpaceDN w:val="0"/>
        <w:spacing w:line="276" w:lineRule="auto"/>
        <w:jc w:val="both"/>
        <w:rPr>
          <w:rStyle w:val="normaltextrun"/>
          <w:rFonts w:ascii="Verdana" w:hAnsi="Verdana" w:cs="Arial"/>
          <w:shd w:val="clear" w:color="auto" w:fill="FFFFFF"/>
        </w:rPr>
      </w:pPr>
      <w:r w:rsidRPr="00EC2F74">
        <w:rPr>
          <w:rFonts w:ascii="Verdana" w:eastAsia="Calibri" w:hAnsi="Verdana" w:cs="Arial"/>
          <w:lang w:val="es-ES"/>
        </w:rPr>
        <w:t xml:space="preserve">La Agencia Nacional de Contratación Pública – Colombia Compra Eficiente se ha </w:t>
      </w:r>
      <w:r w:rsidR="00D645A5" w:rsidRPr="00EC2F74">
        <w:rPr>
          <w:rStyle w:val="normaltextrun"/>
          <w:rFonts w:ascii="Verdana" w:hAnsi="Verdana" w:cs="Arial"/>
          <w:color w:val="000000" w:themeColor="text1"/>
          <w:shd w:val="clear" w:color="auto" w:fill="FFFFFF"/>
          <w:lang w:val="es-ES"/>
        </w:rPr>
        <w:t>pronunciado sobre el régimen de garantías en los Conceptos</w:t>
      </w:r>
      <w:r w:rsidR="00D645A5" w:rsidRPr="00EC2F74">
        <w:rPr>
          <w:rStyle w:val="normaltextrun"/>
          <w:rFonts w:ascii="Verdana" w:hAnsi="Verdana" w:cs="Calibri"/>
          <w:color w:val="000000" w:themeColor="text1"/>
          <w:shd w:val="clear" w:color="auto" w:fill="FFFFFF"/>
          <w:lang w:val="es-ES"/>
        </w:rPr>
        <w:t xml:space="preserve"> </w:t>
      </w:r>
      <w:r w:rsidR="00D645A5" w:rsidRPr="00EC2F74">
        <w:rPr>
          <w:rStyle w:val="normaltextrun"/>
          <w:rFonts w:ascii="Verdana" w:hAnsi="Verdana" w:cs="Arial"/>
          <w:color w:val="000000" w:themeColor="text1"/>
          <w:shd w:val="clear" w:color="auto" w:fill="FFFFFF"/>
          <w:lang w:val="es-ES"/>
        </w:rPr>
        <w:t>2201913000009075 del 9 de diciembre de 2019, C-080 del 8 de abril de 2021, C-525 del 27 de septiembre de 2021, C-567 del 08 de octubre del 2021, C-036 del 28 de febrero del 2022, C-126 de 25 de marzo de 2022, C-583 del 19 de octubre de 2022, C-584 del 26 de septiembre de 2022, C-712 del 13 de octubre de 2022 y C-845 del 7 de diciembre de 2022, C-036 del 31 de marzo de 2023, C-386 del 31 de enero de 2024, C-133 del 11 de julio de 2024 y C-919 del 10 de diciembre de 2024, C-099 de 2025, entre otros</w:t>
      </w:r>
      <w:r w:rsidR="00D645A5" w:rsidRPr="00EC2F74">
        <w:rPr>
          <w:rFonts w:ascii="Verdana" w:hAnsi="Verdana"/>
          <w:color w:val="000000" w:themeColor="text1"/>
          <w:lang w:val="es-ES"/>
        </w:rPr>
        <w:t>.</w:t>
      </w:r>
      <w:r w:rsidR="00B41776">
        <w:rPr>
          <w:rStyle w:val="normaltextrun"/>
          <w:rFonts w:ascii="Verdana" w:hAnsi="Verdana" w:cs="Arial"/>
          <w:shd w:val="clear" w:color="auto" w:fill="FFFFFF"/>
          <w:lang w:val="es-ES"/>
        </w:rPr>
        <w:t xml:space="preserve"> Sobre el procedimiento sancionatorio establecido en el artículo 86 de la Ley 1474 de 2011</w:t>
      </w:r>
      <w:r w:rsidR="00C27517">
        <w:rPr>
          <w:rStyle w:val="normaltextrun"/>
          <w:rFonts w:ascii="Verdana" w:hAnsi="Verdana" w:cs="Arial"/>
          <w:shd w:val="clear" w:color="auto" w:fill="FFFFFF"/>
          <w:lang w:val="es-ES"/>
        </w:rPr>
        <w:t xml:space="preserve"> se ha pronunciado en los conceptos </w:t>
      </w:r>
      <w:r w:rsidR="00C27517" w:rsidRPr="00C27517">
        <w:rPr>
          <w:rFonts w:ascii="Verdana" w:hAnsi="Verdana" w:cs="Arial"/>
          <w:shd w:val="clear" w:color="auto" w:fill="FFFFFF"/>
        </w:rPr>
        <w:t>C</w:t>
      </w:r>
      <w:r w:rsidR="00C27517">
        <w:rPr>
          <w:rFonts w:ascii="Verdana" w:hAnsi="Verdana" w:cs="Arial"/>
          <w:shd w:val="clear" w:color="auto" w:fill="FFFFFF"/>
        </w:rPr>
        <w:t>-</w:t>
      </w:r>
      <w:r w:rsidR="00C27517" w:rsidRPr="00C27517">
        <w:rPr>
          <w:rFonts w:ascii="Verdana" w:hAnsi="Verdana" w:cs="Arial"/>
          <w:shd w:val="clear" w:color="auto" w:fill="FFFFFF"/>
        </w:rPr>
        <w:t>085 de 2022</w:t>
      </w:r>
      <w:r w:rsidR="00C27517">
        <w:rPr>
          <w:rFonts w:ascii="Verdana" w:hAnsi="Verdana" w:cs="Arial"/>
          <w:shd w:val="clear" w:color="auto" w:fill="FFFFFF"/>
        </w:rPr>
        <w:t>,</w:t>
      </w:r>
      <w:r w:rsidR="00C27517" w:rsidRPr="00C27517">
        <w:rPr>
          <w:rFonts w:ascii="Verdana" w:hAnsi="Verdana" w:cs="Arial"/>
          <w:shd w:val="clear" w:color="auto" w:fill="FFFFFF"/>
        </w:rPr>
        <w:t xml:space="preserve"> C-001 de</w:t>
      </w:r>
      <w:r w:rsidR="00C27517">
        <w:rPr>
          <w:rFonts w:ascii="Verdana" w:hAnsi="Verdana" w:cs="Arial"/>
          <w:shd w:val="clear" w:color="auto" w:fill="FFFFFF"/>
        </w:rPr>
        <w:t>l 14 de febrero de</w:t>
      </w:r>
      <w:r w:rsidR="00C27517" w:rsidRPr="00C27517">
        <w:rPr>
          <w:rFonts w:ascii="Verdana" w:hAnsi="Verdana" w:cs="Arial"/>
          <w:shd w:val="clear" w:color="auto" w:fill="FFFFFF"/>
        </w:rPr>
        <w:t xml:space="preserve"> 2025</w:t>
      </w:r>
      <w:r w:rsidR="008116C4">
        <w:rPr>
          <w:rFonts w:ascii="Verdana" w:hAnsi="Verdana" w:cs="Arial"/>
          <w:shd w:val="clear" w:color="auto" w:fill="FFFFFF"/>
        </w:rPr>
        <w:t xml:space="preserve">, </w:t>
      </w:r>
      <w:r w:rsidR="008116C4" w:rsidRPr="008116C4">
        <w:rPr>
          <w:rFonts w:ascii="Verdana" w:hAnsi="Verdana" w:cs="Arial"/>
          <w:shd w:val="clear" w:color="auto" w:fill="FFFFFF"/>
        </w:rPr>
        <w:t>C-454 de</w:t>
      </w:r>
      <w:r w:rsidR="008116C4">
        <w:rPr>
          <w:rFonts w:ascii="Verdana" w:hAnsi="Verdana" w:cs="Arial"/>
          <w:shd w:val="clear" w:color="auto" w:fill="FFFFFF"/>
        </w:rPr>
        <w:t>l 16 de mayo de</w:t>
      </w:r>
      <w:r w:rsidR="008116C4" w:rsidRPr="008116C4">
        <w:rPr>
          <w:rFonts w:ascii="Verdana" w:hAnsi="Verdana" w:cs="Arial"/>
          <w:shd w:val="clear" w:color="auto" w:fill="FFFFFF"/>
        </w:rPr>
        <w:t xml:space="preserve"> 2025</w:t>
      </w:r>
      <w:r w:rsidR="008116C4">
        <w:rPr>
          <w:rFonts w:ascii="Verdana" w:hAnsi="Verdana" w:cs="Arial"/>
          <w:shd w:val="clear" w:color="auto" w:fill="FFFFFF"/>
        </w:rPr>
        <w:t xml:space="preserve">, </w:t>
      </w:r>
      <w:r w:rsidR="008116C4" w:rsidRPr="008116C4">
        <w:rPr>
          <w:rFonts w:ascii="Verdana" w:eastAsia="Calibri" w:hAnsi="Verdana" w:cs="Arial"/>
          <w:lang w:val="es-ES" w:eastAsia="es-ES"/>
        </w:rPr>
        <w:t>C-963 del 28 de julio de 2025</w:t>
      </w:r>
      <w:r w:rsidR="008116C4">
        <w:rPr>
          <w:rFonts w:ascii="Verdana" w:hAnsi="Verdana" w:cs="Arial"/>
          <w:shd w:val="clear" w:color="auto" w:fill="FFFFFF"/>
        </w:rPr>
        <w:t>, entre otros</w:t>
      </w:r>
      <w:r w:rsidR="00C27517">
        <w:rPr>
          <w:rFonts w:ascii="Verdana" w:hAnsi="Verdana" w:cs="Arial"/>
          <w:shd w:val="clear" w:color="auto" w:fill="FFFFFF"/>
        </w:rPr>
        <w:t xml:space="preserve">. </w:t>
      </w:r>
      <w:r w:rsidRPr="00EC2F74">
        <w:rPr>
          <w:rFonts w:ascii="Verdana" w:hAnsi="Verdana" w:cs="Arial"/>
          <w:shd w:val="clear" w:color="auto" w:fill="FFFFFF"/>
          <w:lang w:val="es-ES"/>
        </w:rPr>
        <w:t>Estos y otros </w:t>
      </w:r>
      <w:r w:rsidRPr="00EC2F74">
        <w:rPr>
          <w:rStyle w:val="normaltextrun"/>
          <w:rFonts w:ascii="Verdana" w:hAnsi="Verdana" w:cs="Arial"/>
          <w:shd w:val="clear" w:color="auto" w:fill="FFFFFF"/>
          <w:lang w:val="es-ES"/>
        </w:rPr>
        <w:t xml:space="preserve">se encuentran disponibles para consulta en el Sistema de relatoría de la Agencia, al cual puede accederse a través del siguiente enlace: </w:t>
      </w:r>
      <w:hyperlink r:id="rId13" w:history="1">
        <w:r w:rsidRPr="00EC2F74">
          <w:rPr>
            <w:rStyle w:val="Hipervnculo"/>
            <w:rFonts w:ascii="Verdana" w:hAnsi="Verdana" w:cs="Arial"/>
            <w:shd w:val="clear" w:color="auto" w:fill="FFFFFF"/>
            <w:lang w:val="es-ES"/>
          </w:rPr>
          <w:t>https://relatoria.colombiacompra.gov.co/busqueda/conceptos</w:t>
        </w:r>
      </w:hyperlink>
      <w:r w:rsidRPr="00EC2F74">
        <w:rPr>
          <w:rStyle w:val="normaltextrun"/>
          <w:rFonts w:ascii="Verdana" w:hAnsi="Verdana" w:cs="Arial"/>
          <w:shd w:val="clear" w:color="auto" w:fill="FFFFFF"/>
          <w:lang w:val="es-ES"/>
        </w:rPr>
        <w:t xml:space="preserve">. </w:t>
      </w:r>
      <w:r w:rsidRPr="00EC2F74">
        <w:rPr>
          <w:rStyle w:val="normaltextrun"/>
          <w:rFonts w:ascii="Verdana" w:hAnsi="Verdana" w:cs="Arial"/>
          <w:color w:val="FF0000"/>
          <w:shd w:val="clear" w:color="auto" w:fill="FFFFFF"/>
          <w:lang w:val="es-ES"/>
        </w:rPr>
        <w:t xml:space="preserve"> </w:t>
      </w:r>
    </w:p>
    <w:p w14:paraId="507F7648" w14:textId="77777777" w:rsidR="00B3760F" w:rsidRPr="00EC2F74" w:rsidRDefault="00B3760F" w:rsidP="00B3760F">
      <w:pPr>
        <w:widowControl w:val="0"/>
        <w:autoSpaceDE w:val="0"/>
        <w:autoSpaceDN w:val="0"/>
        <w:spacing w:line="276" w:lineRule="auto"/>
        <w:jc w:val="both"/>
        <w:rPr>
          <w:rFonts w:ascii="Verdana" w:hAnsi="Verdana" w:cs="Arial"/>
          <w:color w:val="000000" w:themeColor="text1"/>
          <w:shd w:val="clear" w:color="auto" w:fill="FFFFFF"/>
          <w:lang w:val="es-ES"/>
        </w:rPr>
      </w:pPr>
    </w:p>
    <w:p w14:paraId="44E97EB3" w14:textId="77777777" w:rsidR="00B3760F" w:rsidRPr="00EC2F74" w:rsidRDefault="00B3760F" w:rsidP="00B3760F">
      <w:pPr>
        <w:shd w:val="clear" w:color="auto" w:fill="FFFFFF"/>
        <w:spacing w:line="276" w:lineRule="auto"/>
        <w:jc w:val="both"/>
        <w:rPr>
          <w:rFonts w:ascii="Verdana" w:hAnsi="Verdana"/>
          <w:color w:val="467886"/>
          <w:u w:val="single"/>
          <w:lang w:val="es-ES"/>
        </w:rPr>
      </w:pPr>
      <w:r w:rsidRPr="00EC2F74">
        <w:rPr>
          <w:rFonts w:ascii="Verdana" w:hAnsi="Verdana"/>
          <w:color w:val="000000"/>
          <w:lang w:val="es-ES"/>
        </w:rPr>
        <w:t>Además, informamos que ya se encuentra disponible la </w:t>
      </w:r>
      <w:r w:rsidRPr="00EC2F74">
        <w:rPr>
          <w:rFonts w:ascii="Verdana" w:hAnsi="Verdana"/>
          <w:b/>
          <w:bCs/>
          <w:color w:val="000000"/>
          <w:lang w:val="es-ES"/>
        </w:rPr>
        <w:t>Guía de lineamientos de transparencia y selección objetiva para el departamento de La Guajira – Objetivo sexto constitucional de la Sentencia T-302 del 2017. </w:t>
      </w:r>
      <w:r w:rsidRPr="00EC2F74">
        <w:rPr>
          <w:rFonts w:ascii="Verdana" w:hAnsi="Verdana"/>
          <w:color w:val="000000"/>
          <w:lang w:val="es-ES"/>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EC2F74">
        <w:rPr>
          <w:rFonts w:ascii="Verdana" w:hAnsi="Verdana"/>
          <w:color w:val="000000"/>
          <w:lang w:val="es-ES"/>
        </w:rPr>
        <w:t>Wayúu</w:t>
      </w:r>
      <w:proofErr w:type="spellEnd"/>
      <w:r w:rsidRPr="00EC2F74">
        <w:rPr>
          <w:rFonts w:ascii="Verdana" w:hAnsi="Verdana"/>
          <w:color w:val="000000"/>
          <w:lang w:val="es-ES"/>
        </w:rPr>
        <w:t xml:space="preserve">. Puede </w:t>
      </w:r>
      <w:r w:rsidRPr="00EC2F74">
        <w:rPr>
          <w:rFonts w:ascii="Verdana" w:hAnsi="Verdana"/>
          <w:color w:val="000000"/>
          <w:lang w:val="es-ES"/>
        </w:rPr>
        <w:lastRenderedPageBreak/>
        <w:t>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EC2F74">
          <w:rPr>
            <w:rStyle w:val="Hipervnculo"/>
            <w:rFonts w:ascii="Verdana" w:hAnsi="Verdana"/>
            <w:lang w:val="es-ES"/>
          </w:rPr>
          <w:t>Guía de lineamientos de transparencia y selección objetiva para el departamento de La Guajira – Objetivo sexto constitucional de la Sentencia T-302 del 2017</w:t>
        </w:r>
      </w:hyperlink>
      <w:r w:rsidRPr="00EC2F74">
        <w:rPr>
          <w:rFonts w:ascii="Verdana" w:hAnsi="Verdana"/>
          <w:color w:val="000000"/>
          <w:u w:val="single"/>
          <w:lang w:val="es-ES"/>
        </w:rPr>
        <w:t>.</w:t>
      </w:r>
    </w:p>
    <w:p w14:paraId="4CAE6B00" w14:textId="77777777" w:rsidR="00B3760F" w:rsidRPr="00EC2F74" w:rsidRDefault="00B3760F" w:rsidP="00B3760F">
      <w:pPr>
        <w:widowControl w:val="0"/>
        <w:autoSpaceDE w:val="0"/>
        <w:autoSpaceDN w:val="0"/>
        <w:spacing w:line="276" w:lineRule="auto"/>
        <w:jc w:val="both"/>
        <w:rPr>
          <w:rFonts w:ascii="Verdana" w:hAnsi="Verdana" w:cs="Arial"/>
          <w:color w:val="FF0000"/>
          <w:shd w:val="clear" w:color="auto" w:fill="FFFFFF"/>
          <w:lang w:val="es-ES"/>
        </w:rPr>
      </w:pPr>
      <w:r w:rsidRPr="00EC2F74">
        <w:rPr>
          <w:rFonts w:ascii="Verdana" w:hAnsi="Verdana" w:cs="Arial"/>
          <w:color w:val="000000" w:themeColor="text1"/>
          <w:shd w:val="clear" w:color="auto" w:fill="FFFFFF"/>
          <w:lang w:val="es-ES"/>
        </w:rPr>
        <w:t xml:space="preserve"> </w:t>
      </w:r>
      <w:r w:rsidRPr="00EC2F74">
        <w:rPr>
          <w:rStyle w:val="normaltextrun"/>
          <w:rFonts w:ascii="Verdana" w:hAnsi="Verdana" w:cs="Arial"/>
          <w:color w:val="FF0000"/>
          <w:shd w:val="clear" w:color="auto" w:fill="FFFFFF"/>
          <w:lang w:val="es-ES"/>
        </w:rPr>
        <w:t xml:space="preserve">        </w:t>
      </w:r>
    </w:p>
    <w:p w14:paraId="5A4BADE6" w14:textId="77777777" w:rsidR="00B3760F" w:rsidRPr="00EC2F74" w:rsidRDefault="00B3760F" w:rsidP="00B3760F">
      <w:pPr>
        <w:jc w:val="both"/>
        <w:rPr>
          <w:rFonts w:ascii="Verdana" w:hAnsi="Verdana"/>
          <w:lang w:val="es-ES"/>
        </w:rPr>
      </w:pPr>
      <w:r w:rsidRPr="00EC2F74">
        <w:rPr>
          <w:rFonts w:ascii="Verdana" w:hAnsi="Verdana"/>
          <w:lang w:val="es-ES"/>
        </w:rPr>
        <w:t xml:space="preserve">Por último, lo invitamos a seguirnos en las redes sociales en las cuales se difunde información institucional: </w:t>
      </w:r>
    </w:p>
    <w:p w14:paraId="245B34A9" w14:textId="77777777" w:rsidR="00B3760F" w:rsidRPr="00EC2F74" w:rsidRDefault="00B3760F" w:rsidP="00B3760F">
      <w:pPr>
        <w:jc w:val="both"/>
        <w:rPr>
          <w:rFonts w:ascii="Verdana" w:hAnsi="Verdana"/>
          <w:lang w:val="es-ES"/>
        </w:rPr>
      </w:pPr>
    </w:p>
    <w:p w14:paraId="5A0004A5" w14:textId="77777777" w:rsidR="00B3760F" w:rsidRPr="00EC2F74" w:rsidRDefault="00B3760F" w:rsidP="00B3760F">
      <w:pPr>
        <w:jc w:val="both"/>
        <w:rPr>
          <w:rFonts w:ascii="Verdana" w:hAnsi="Verdana"/>
          <w:lang w:val="es-ES"/>
        </w:rPr>
      </w:pPr>
      <w:r w:rsidRPr="00EC2F74">
        <w:rPr>
          <w:rFonts w:ascii="Verdana" w:hAnsi="Verdana"/>
          <w:lang w:val="es-ES"/>
        </w:rPr>
        <w:t xml:space="preserve">Twitter: </w:t>
      </w:r>
      <w:r w:rsidRPr="00EC2F74">
        <w:rPr>
          <w:rStyle w:val="Hipervnculo"/>
          <w:rFonts w:ascii="Verdana" w:hAnsi="Verdana" w:cs="Arial"/>
          <w:shd w:val="clear" w:color="auto" w:fill="FFFFFF"/>
          <w:lang w:val="es-ES"/>
        </w:rPr>
        <w:t>@colombiacompra</w:t>
      </w:r>
      <w:r w:rsidRPr="00EC2F74">
        <w:rPr>
          <w:rFonts w:ascii="Verdana" w:hAnsi="Verdana"/>
          <w:color w:val="4472C4" w:themeColor="accent1"/>
          <w:lang w:val="es-ES"/>
        </w:rPr>
        <w:t xml:space="preserve"> </w:t>
      </w:r>
    </w:p>
    <w:p w14:paraId="4DBF1232" w14:textId="77777777" w:rsidR="00B3760F" w:rsidRPr="00EC2F74" w:rsidRDefault="00B3760F" w:rsidP="00B3760F">
      <w:pPr>
        <w:jc w:val="both"/>
        <w:rPr>
          <w:rFonts w:ascii="Verdana" w:hAnsi="Verdana"/>
          <w:lang w:val="es-ES"/>
        </w:rPr>
      </w:pPr>
      <w:r w:rsidRPr="00EC2F74">
        <w:rPr>
          <w:rFonts w:ascii="Verdana" w:hAnsi="Verdana"/>
          <w:lang w:val="es-ES"/>
        </w:rPr>
        <w:t xml:space="preserve">Facebook: </w:t>
      </w:r>
      <w:proofErr w:type="spellStart"/>
      <w:r w:rsidRPr="00EC2F74">
        <w:rPr>
          <w:rStyle w:val="Hipervnculo"/>
          <w:rFonts w:ascii="Verdana" w:hAnsi="Verdana" w:cs="Arial"/>
          <w:shd w:val="clear" w:color="auto" w:fill="FFFFFF"/>
          <w:lang w:val="es-ES"/>
        </w:rPr>
        <w:t>ColombiaCompraEficiente</w:t>
      </w:r>
      <w:proofErr w:type="spellEnd"/>
    </w:p>
    <w:p w14:paraId="3629E35A" w14:textId="77777777" w:rsidR="00B3760F" w:rsidRPr="00EC2F74" w:rsidRDefault="00B3760F" w:rsidP="00B3760F">
      <w:pPr>
        <w:jc w:val="both"/>
        <w:rPr>
          <w:rFonts w:ascii="Verdana" w:hAnsi="Verdana"/>
          <w:lang w:val="es-ES"/>
        </w:rPr>
      </w:pPr>
      <w:r w:rsidRPr="00EC2F74">
        <w:rPr>
          <w:rFonts w:ascii="Verdana" w:hAnsi="Verdana"/>
          <w:lang w:val="es-ES"/>
        </w:rPr>
        <w:t xml:space="preserve">LinkedIn: </w:t>
      </w:r>
      <w:r w:rsidRPr="00EC2F74">
        <w:rPr>
          <w:rStyle w:val="Hipervnculo"/>
          <w:rFonts w:ascii="Verdana" w:hAnsi="Verdana" w:cs="Arial"/>
          <w:shd w:val="clear" w:color="auto" w:fill="FFFFFF"/>
          <w:lang w:val="es-ES"/>
        </w:rPr>
        <w:t>Agencia Nacional de Contratación Pública - Colombia Compra Eficiente</w:t>
      </w:r>
      <w:r w:rsidRPr="00EC2F74">
        <w:rPr>
          <w:rStyle w:val="Hipervnculo"/>
          <w:rFonts w:cs="Arial"/>
          <w:shd w:val="clear" w:color="auto" w:fill="FFFFFF"/>
          <w:lang w:val="es-ES"/>
        </w:rPr>
        <w:t xml:space="preserve"> </w:t>
      </w:r>
      <w:r w:rsidRPr="00EC2F74">
        <w:rPr>
          <w:rFonts w:ascii="Verdana" w:hAnsi="Verdana"/>
          <w:lang w:val="es-ES"/>
        </w:rPr>
        <w:t xml:space="preserve">Instagram: </w:t>
      </w:r>
      <w:r w:rsidRPr="00EC2F74">
        <w:rPr>
          <w:rStyle w:val="Hipervnculo"/>
          <w:rFonts w:ascii="Verdana" w:hAnsi="Verdana" w:cs="Arial"/>
          <w:shd w:val="clear" w:color="auto" w:fill="FFFFFF"/>
          <w:lang w:val="es-ES"/>
        </w:rPr>
        <w:t>@colombiacompraeficiente_cce</w:t>
      </w:r>
    </w:p>
    <w:p w14:paraId="0003CFB6" w14:textId="77777777" w:rsidR="00B3760F" w:rsidRPr="00EC2F74" w:rsidRDefault="00B3760F" w:rsidP="00B3760F">
      <w:pPr>
        <w:widowControl w:val="0"/>
        <w:autoSpaceDE w:val="0"/>
        <w:autoSpaceDN w:val="0"/>
        <w:spacing w:line="276" w:lineRule="auto"/>
        <w:jc w:val="both"/>
        <w:rPr>
          <w:rFonts w:ascii="Verdana" w:hAnsi="Verdana" w:cs="Arial"/>
          <w:lang w:val="es-ES"/>
        </w:rPr>
      </w:pPr>
    </w:p>
    <w:p w14:paraId="2D442EB1" w14:textId="77777777" w:rsidR="00B3760F" w:rsidRPr="00EC2F74" w:rsidRDefault="00B3760F" w:rsidP="00B3760F">
      <w:pPr>
        <w:widowControl w:val="0"/>
        <w:autoSpaceDE w:val="0"/>
        <w:autoSpaceDN w:val="0"/>
        <w:spacing w:line="276" w:lineRule="auto"/>
        <w:jc w:val="both"/>
        <w:rPr>
          <w:rFonts w:ascii="Verdana" w:hAnsi="Verdana" w:cs="Arial"/>
          <w:lang w:val="es-ES"/>
        </w:rPr>
      </w:pPr>
      <w:r w:rsidRPr="00EC2F74">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2BC01146" w14:textId="77777777" w:rsidR="00B3760F" w:rsidRPr="00EC2F74" w:rsidRDefault="00B3760F" w:rsidP="00B3760F">
      <w:pPr>
        <w:widowControl w:val="0"/>
        <w:autoSpaceDE w:val="0"/>
        <w:autoSpaceDN w:val="0"/>
        <w:spacing w:line="276" w:lineRule="auto"/>
        <w:jc w:val="both"/>
        <w:rPr>
          <w:rFonts w:ascii="Verdana" w:hAnsi="Verdana" w:cs="Arial"/>
          <w:lang w:val="es-ES"/>
        </w:rPr>
      </w:pPr>
    </w:p>
    <w:p w14:paraId="02636AFC" w14:textId="77777777" w:rsidR="00B3760F" w:rsidRPr="00EC2F74" w:rsidRDefault="00B3760F" w:rsidP="00B3760F">
      <w:pPr>
        <w:rPr>
          <w:rFonts w:ascii="Verdana" w:hAnsi="Verdana" w:cs="Arial"/>
          <w:lang w:val="es-ES" w:eastAsia="es-CO"/>
        </w:rPr>
      </w:pPr>
      <w:r w:rsidRPr="00EC2F74">
        <w:rPr>
          <w:rFonts w:ascii="Verdana" w:hAnsi="Verdana" w:cs="Arial"/>
          <w:lang w:val="es-ES" w:eastAsia="es-CO"/>
        </w:rPr>
        <w:t xml:space="preserve">Atentamente, </w:t>
      </w:r>
    </w:p>
    <w:p w14:paraId="3B0BF863" w14:textId="12E9B9AE" w:rsidR="00735B7C" w:rsidRPr="00EC2F74" w:rsidRDefault="00627ED8" w:rsidP="00627ED8">
      <w:pPr>
        <w:jc w:val="center"/>
        <w:rPr>
          <w:rFonts w:ascii="Verdana" w:hAnsi="Verdana" w:cs="Arial"/>
          <w:lang w:val="es-ES" w:eastAsia="es-CO"/>
        </w:rPr>
      </w:pPr>
      <w:r w:rsidRPr="00EC2F74">
        <w:rPr>
          <w:rFonts w:ascii="Century Gothic" w:hAnsi="Century Gothic"/>
          <w:noProof/>
          <w:lang w:val="es-ES"/>
        </w:rPr>
        <w:drawing>
          <wp:inline distT="0" distB="0" distL="0" distR="0" wp14:anchorId="2B850F18" wp14:editId="52843DAD">
            <wp:extent cx="3439299" cy="1276710"/>
            <wp:effectExtent l="0" t="0" r="2540" b="635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stretch>
                      <a:fillRect/>
                    </a:stretch>
                  </pic:blipFill>
                  <pic:spPr>
                    <a:xfrm>
                      <a:off x="0" y="0"/>
                      <a:ext cx="3466383" cy="1286764"/>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27ED8" w:rsidRPr="00EC2F74" w14:paraId="0E1A7F41" w14:textId="77777777" w:rsidTr="00B13B6F">
        <w:trPr>
          <w:trHeight w:val="315"/>
        </w:trPr>
        <w:tc>
          <w:tcPr>
            <w:tcW w:w="893" w:type="dxa"/>
            <w:vAlign w:val="center"/>
            <w:hideMark/>
          </w:tcPr>
          <w:p w14:paraId="79C8B5EC" w14:textId="77777777" w:rsidR="00627ED8" w:rsidRPr="00EC2F74" w:rsidRDefault="00627ED8" w:rsidP="00B13B6F">
            <w:pPr>
              <w:contextualSpacing/>
              <w:rPr>
                <w:rFonts w:ascii="Verdana" w:hAnsi="Verdana" w:cs="Arial"/>
                <w:sz w:val="14"/>
                <w:szCs w:val="14"/>
                <w:lang w:val="es-ES" w:eastAsia="es-ES"/>
              </w:rPr>
            </w:pPr>
            <w:r w:rsidRPr="00EC2F74">
              <w:rPr>
                <w:rFonts w:ascii="Verdana" w:hAnsi="Verdana" w:cs="Arial"/>
                <w:sz w:val="14"/>
                <w:szCs w:val="14"/>
                <w:lang w:val="es-ES" w:eastAsia="es-ES"/>
              </w:rPr>
              <w:t>Elaboró:</w:t>
            </w:r>
          </w:p>
        </w:tc>
        <w:tc>
          <w:tcPr>
            <w:tcW w:w="5628" w:type="dxa"/>
            <w:tcBorders>
              <w:top w:val="nil"/>
              <w:left w:val="nil"/>
              <w:bottom w:val="dotted" w:sz="4" w:space="0" w:color="7F7F7F" w:themeColor="text1" w:themeTint="80"/>
              <w:right w:val="nil"/>
            </w:tcBorders>
            <w:vAlign w:val="center"/>
            <w:hideMark/>
          </w:tcPr>
          <w:p w14:paraId="23F804F0" w14:textId="77777777" w:rsidR="00627ED8" w:rsidRPr="00EC2F74" w:rsidRDefault="00627ED8" w:rsidP="00B13B6F">
            <w:pPr>
              <w:contextualSpacing/>
              <w:rPr>
                <w:rFonts w:ascii="Verdana" w:eastAsia="Arial" w:hAnsi="Verdana" w:cs="Arial"/>
                <w:color w:val="000000" w:themeColor="text1"/>
                <w:sz w:val="14"/>
                <w:szCs w:val="14"/>
                <w:lang w:val="es-ES"/>
              </w:rPr>
            </w:pPr>
            <w:r w:rsidRPr="00EC2F74">
              <w:rPr>
                <w:rFonts w:ascii="Verdana" w:eastAsia="Arial" w:hAnsi="Verdana" w:cs="Arial"/>
                <w:color w:val="000000" w:themeColor="text1"/>
                <w:sz w:val="14"/>
                <w:szCs w:val="14"/>
                <w:lang w:val="es-ES"/>
              </w:rPr>
              <w:t>Anamaría Bonilla Prieto</w:t>
            </w:r>
          </w:p>
          <w:p w14:paraId="7CE23BBB" w14:textId="77777777" w:rsidR="00627ED8" w:rsidRPr="00EC2F74" w:rsidRDefault="00627ED8" w:rsidP="00B13B6F">
            <w:pPr>
              <w:contextualSpacing/>
              <w:rPr>
                <w:rFonts w:ascii="Verdana" w:eastAsia="Arial" w:hAnsi="Verdana" w:cs="Arial"/>
                <w:sz w:val="14"/>
                <w:szCs w:val="14"/>
                <w:lang w:val="es-ES"/>
              </w:rPr>
            </w:pPr>
            <w:r w:rsidRPr="00EC2F74">
              <w:rPr>
                <w:rStyle w:val="normaltextrun"/>
                <w:rFonts w:ascii="Verdana" w:eastAsia="Arial" w:hAnsi="Verdana" w:cs="Arial"/>
                <w:color w:val="000000" w:themeColor="text1"/>
                <w:sz w:val="14"/>
                <w:szCs w:val="14"/>
                <w:lang w:val="es-ES"/>
              </w:rPr>
              <w:t xml:space="preserve">Contratista de la Subdirección </w:t>
            </w:r>
            <w:r w:rsidRPr="00EC2F74">
              <w:rPr>
                <w:rStyle w:val="normaltextrun"/>
                <w:rFonts w:ascii="Verdana" w:eastAsia="Arial" w:hAnsi="Verdana" w:cs="Arial"/>
                <w:sz w:val="14"/>
                <w:szCs w:val="14"/>
                <w:lang w:val="es-ES"/>
              </w:rPr>
              <w:t>de Gestión Contractual</w:t>
            </w:r>
          </w:p>
        </w:tc>
      </w:tr>
      <w:tr w:rsidR="00627ED8" w:rsidRPr="00EC2F74" w14:paraId="4C59387E" w14:textId="77777777" w:rsidTr="00B13B6F">
        <w:trPr>
          <w:trHeight w:val="330"/>
        </w:trPr>
        <w:tc>
          <w:tcPr>
            <w:tcW w:w="893" w:type="dxa"/>
            <w:vAlign w:val="center"/>
            <w:hideMark/>
          </w:tcPr>
          <w:p w14:paraId="2990A014" w14:textId="77777777" w:rsidR="00627ED8" w:rsidRPr="00EC2F74" w:rsidRDefault="00627ED8" w:rsidP="00B13B6F">
            <w:pPr>
              <w:contextualSpacing/>
              <w:rPr>
                <w:rFonts w:ascii="Verdana" w:hAnsi="Verdana" w:cs="Arial"/>
                <w:sz w:val="14"/>
                <w:szCs w:val="14"/>
                <w:lang w:val="es-ES" w:eastAsia="es-ES"/>
              </w:rPr>
            </w:pPr>
            <w:r w:rsidRPr="00EC2F74">
              <w:rPr>
                <w:rFonts w:ascii="Verdana" w:hAnsi="Verdana" w:cs="Arial"/>
                <w:sz w:val="14"/>
                <w:szCs w:val="14"/>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C59F356" w14:textId="77777777" w:rsidR="00627ED8" w:rsidRPr="00EC2F74" w:rsidRDefault="00627ED8" w:rsidP="00B13B6F">
            <w:pPr>
              <w:spacing w:line="276" w:lineRule="auto"/>
              <w:contextualSpacing/>
              <w:textAlignment w:val="baseline"/>
              <w:rPr>
                <w:rFonts w:ascii="Verdana" w:hAnsi="Verdana" w:cs="Arial"/>
                <w:sz w:val="14"/>
                <w:szCs w:val="14"/>
                <w:lang w:val="es-ES" w:eastAsia="es-ES_tradnl"/>
              </w:rPr>
            </w:pPr>
            <w:r w:rsidRPr="00EC2F74">
              <w:rPr>
                <w:rFonts w:ascii="Verdana" w:hAnsi="Verdana" w:cs="Arial"/>
                <w:sz w:val="14"/>
                <w:szCs w:val="14"/>
                <w:lang w:val="es-ES" w:eastAsia="es-ES_tradnl"/>
              </w:rPr>
              <w:t>Alejandro Sarmiento Cantillo</w:t>
            </w:r>
          </w:p>
          <w:p w14:paraId="11D8FC71" w14:textId="77777777" w:rsidR="00627ED8" w:rsidRPr="00EC2F74" w:rsidRDefault="00627ED8" w:rsidP="00B13B6F">
            <w:pPr>
              <w:pStyle w:val="paragraph"/>
              <w:spacing w:before="0" w:beforeAutospacing="0" w:after="0" w:afterAutospacing="0"/>
              <w:contextualSpacing/>
              <w:textAlignment w:val="baseline"/>
              <w:rPr>
                <w:rFonts w:ascii="Verdana" w:hAnsi="Verdana" w:cs="Segoe UI"/>
                <w:sz w:val="14"/>
                <w:szCs w:val="14"/>
                <w:lang w:val="es-ES"/>
              </w:rPr>
            </w:pPr>
            <w:r w:rsidRPr="00EC2F74">
              <w:rPr>
                <w:rFonts w:ascii="Verdana" w:hAnsi="Verdana" w:cs="Arial"/>
                <w:sz w:val="14"/>
                <w:szCs w:val="14"/>
                <w:lang w:val="es-ES"/>
              </w:rPr>
              <w:t xml:space="preserve">Gestor T1 – 15 </w:t>
            </w:r>
            <w:r w:rsidRPr="00EC2F74">
              <w:rPr>
                <w:rStyle w:val="normaltextrun"/>
                <w:rFonts w:ascii="Verdana" w:hAnsi="Verdana" w:cs="Arial"/>
                <w:sz w:val="14"/>
                <w:szCs w:val="14"/>
                <w:lang w:val="es-ES"/>
              </w:rPr>
              <w:t>de la Subdirección de Gestión Contractual</w:t>
            </w:r>
            <w:r w:rsidRPr="00EC2F74">
              <w:rPr>
                <w:rStyle w:val="eop"/>
                <w:rFonts w:ascii="Verdana" w:hAnsi="Verdana" w:cs="Arial"/>
                <w:sz w:val="14"/>
                <w:szCs w:val="14"/>
                <w:lang w:val="es-ES"/>
              </w:rPr>
              <w:t> </w:t>
            </w:r>
          </w:p>
        </w:tc>
      </w:tr>
      <w:tr w:rsidR="00627ED8" w:rsidRPr="00EC2F74" w14:paraId="04CB7FFE" w14:textId="77777777" w:rsidTr="00B13B6F">
        <w:trPr>
          <w:trHeight w:val="300"/>
        </w:trPr>
        <w:tc>
          <w:tcPr>
            <w:tcW w:w="893" w:type="dxa"/>
            <w:vAlign w:val="center"/>
          </w:tcPr>
          <w:p w14:paraId="15D91184" w14:textId="77777777" w:rsidR="00627ED8" w:rsidRPr="00EC2F74" w:rsidRDefault="00627ED8" w:rsidP="00B13B6F">
            <w:pPr>
              <w:contextualSpacing/>
              <w:rPr>
                <w:rFonts w:ascii="Verdana" w:hAnsi="Verdana" w:cs="Arial"/>
                <w:sz w:val="14"/>
                <w:szCs w:val="14"/>
                <w:lang w:val="es-ES" w:eastAsia="es-ES"/>
              </w:rPr>
            </w:pPr>
            <w:r w:rsidRPr="00EC2F74">
              <w:rPr>
                <w:rFonts w:ascii="Verdana" w:hAnsi="Verdana" w:cs="Arial"/>
                <w:sz w:val="14"/>
                <w:szCs w:val="14"/>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381C354" w14:textId="77777777" w:rsidR="00627ED8" w:rsidRPr="00EC2F74" w:rsidRDefault="00627ED8" w:rsidP="00B13B6F">
            <w:pPr>
              <w:contextualSpacing/>
              <w:rPr>
                <w:rFonts w:ascii="Verdana" w:eastAsia="Calibri" w:hAnsi="Verdana" w:cs="Arial"/>
                <w:sz w:val="14"/>
                <w:szCs w:val="14"/>
                <w:lang w:val="es-ES" w:eastAsia="es-ES"/>
              </w:rPr>
            </w:pPr>
            <w:r w:rsidRPr="00EC2F74">
              <w:rPr>
                <w:rFonts w:ascii="Verdana" w:eastAsia="Calibri" w:hAnsi="Verdana" w:cs="Arial"/>
                <w:sz w:val="14"/>
                <w:szCs w:val="14"/>
                <w:lang w:val="es-ES" w:eastAsia="es-ES"/>
              </w:rPr>
              <w:t>Carolina Quintero Gacharná</w:t>
            </w:r>
          </w:p>
          <w:p w14:paraId="642F4734" w14:textId="77777777" w:rsidR="00627ED8" w:rsidRPr="00EC2F74" w:rsidRDefault="00627ED8" w:rsidP="00B13B6F">
            <w:pPr>
              <w:contextualSpacing/>
              <w:rPr>
                <w:rFonts w:ascii="Verdana" w:eastAsia="Calibri" w:hAnsi="Verdana" w:cs="Arial"/>
                <w:sz w:val="14"/>
                <w:szCs w:val="14"/>
                <w:lang w:val="es-ES" w:eastAsia="es-ES"/>
              </w:rPr>
            </w:pPr>
            <w:r w:rsidRPr="00EC2F74">
              <w:rPr>
                <w:rFonts w:ascii="Verdana" w:eastAsia="Calibri" w:hAnsi="Verdana" w:cs="Arial"/>
                <w:sz w:val="14"/>
                <w:szCs w:val="14"/>
                <w:lang w:val="es-ES" w:eastAsia="es-ES"/>
              </w:rPr>
              <w:t>Subdirectora de Gestión Contractual ANCP – CCE</w:t>
            </w:r>
          </w:p>
        </w:tc>
      </w:tr>
    </w:tbl>
    <w:p w14:paraId="3900974D" w14:textId="77777777" w:rsidR="003D5B0D" w:rsidRPr="00EC2F74" w:rsidRDefault="003D5B0D" w:rsidP="00805DC9">
      <w:pPr>
        <w:rPr>
          <w:lang w:val="es-ES"/>
        </w:rPr>
      </w:pPr>
    </w:p>
    <w:sectPr w:rsidR="003D5B0D" w:rsidRPr="00EC2F74"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0F0697" w14:textId="77777777" w:rsidR="00B266D4" w:rsidRDefault="00B266D4" w:rsidP="004A1847">
      <w:r>
        <w:separator/>
      </w:r>
    </w:p>
  </w:endnote>
  <w:endnote w:type="continuationSeparator" w:id="0">
    <w:p w14:paraId="63FB93D7" w14:textId="77777777" w:rsidR="00B266D4" w:rsidRDefault="00B266D4" w:rsidP="004A1847">
      <w:r>
        <w:continuationSeparator/>
      </w:r>
    </w:p>
  </w:endnote>
  <w:endnote w:type="continuationNotice" w:id="1">
    <w:p w14:paraId="17C143F2" w14:textId="77777777" w:rsidR="00B266D4" w:rsidRDefault="00B266D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EhrhardtMTStd">
    <w:altName w:val="Cambria"/>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charset w:val="80"/>
    <w:family w:val="roman"/>
    <w:pitch w:val="variable"/>
    <w:sig w:usb0="800002E7" w:usb1="2AC7FCFF" w:usb2="00000012" w:usb3="00000000" w:csb0="0002009F"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cstheme="minorBidi"/>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cstheme="minorBidi"/>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72E2AE" w14:textId="77777777" w:rsidR="00B266D4" w:rsidRDefault="00B266D4" w:rsidP="004A1847">
      <w:r>
        <w:separator/>
      </w:r>
    </w:p>
  </w:footnote>
  <w:footnote w:type="continuationSeparator" w:id="0">
    <w:p w14:paraId="113E76A8" w14:textId="77777777" w:rsidR="00B266D4" w:rsidRDefault="00B266D4" w:rsidP="004A1847">
      <w:r>
        <w:continuationSeparator/>
      </w:r>
    </w:p>
  </w:footnote>
  <w:footnote w:type="continuationNotice" w:id="1">
    <w:p w14:paraId="4950E721" w14:textId="77777777" w:rsidR="00B266D4" w:rsidRDefault="00B266D4"/>
  </w:footnote>
  <w:footnote w:id="2">
    <w:p w14:paraId="7D5C7144" w14:textId="77777777" w:rsidR="00D645A5" w:rsidRPr="00D8787B" w:rsidRDefault="00D645A5" w:rsidP="00503884">
      <w:pPr>
        <w:pStyle w:val="Textonotapie"/>
        <w:snapToGrid w:val="0"/>
        <w:ind w:firstLine="708"/>
        <w:contextualSpacing/>
        <w:jc w:val="both"/>
        <w:rPr>
          <w:rFonts w:ascii="Verdana" w:hAnsi="Verdana" w:cs="Arial"/>
          <w:color w:val="000000" w:themeColor="text1"/>
          <w:sz w:val="16"/>
          <w:szCs w:val="16"/>
        </w:rPr>
      </w:pPr>
      <w:r w:rsidRPr="00D8787B">
        <w:rPr>
          <w:rStyle w:val="Refdenotaalpie"/>
          <w:rFonts w:ascii="Verdana" w:hAnsi="Verdana" w:cs="Arial"/>
          <w:color w:val="000000" w:themeColor="text1"/>
          <w:sz w:val="16"/>
          <w:szCs w:val="16"/>
        </w:rPr>
        <w:footnoteRef/>
      </w:r>
      <w:r w:rsidRPr="00D8787B">
        <w:rPr>
          <w:rFonts w:ascii="Verdana" w:hAnsi="Verdana" w:cs="Arial"/>
          <w:color w:val="000000" w:themeColor="text1"/>
          <w:sz w:val="16"/>
          <w:szCs w:val="16"/>
        </w:rPr>
        <w:t xml:space="preserve"> Al respecto, el inciso primero del artículo 1068 del Código de Comercio dispone lo siguiente: “La mora en el pago de la prima de la póliza o de los certificados o anexos que se expidan con fundamento en ella, producirá la terminación automática del contrato y dará derecho al asegurador para exigir el pago de la prima devengada y de los gastos causados con ocasión de la expedición del contrato. </w:t>
      </w:r>
      <w:r w:rsidRPr="00D8787B">
        <w:rPr>
          <w:rFonts w:ascii="Verdana" w:hAnsi="Verdana" w:cs="Arial"/>
          <w:color w:val="000000" w:themeColor="text1"/>
          <w:sz w:val="16"/>
          <w:szCs w:val="16"/>
          <w:lang w:val="es-ES"/>
        </w:rPr>
        <w:t xml:space="preserve">Igualmente, el inciso primero del artículo 1071 </w:t>
      </w:r>
      <w:r w:rsidRPr="00D8787B">
        <w:rPr>
          <w:rFonts w:ascii="Verdana" w:hAnsi="Verdana" w:cs="Arial"/>
          <w:i/>
          <w:iCs/>
          <w:color w:val="000000" w:themeColor="text1"/>
          <w:sz w:val="16"/>
          <w:szCs w:val="16"/>
          <w:lang w:val="es-ES"/>
        </w:rPr>
        <w:t>ibidem</w:t>
      </w:r>
      <w:r w:rsidRPr="00D8787B">
        <w:rPr>
          <w:rFonts w:ascii="Verdana" w:hAnsi="Verdana" w:cs="Arial"/>
          <w:color w:val="000000" w:themeColor="text1"/>
          <w:sz w:val="16"/>
          <w:szCs w:val="16"/>
          <w:lang w:val="es-ES"/>
        </w:rPr>
        <w:t xml:space="preserve"> prescribe: “El contrato de seguro podrá ser revocado unilateralmente por los contratantes. Por el asegurador, mediante noticia escrita al asegurado, enviada a su última dirección conocida, con no menos de diez días de antelación, contados a partir de la fecha del envío; por el asegurado, en cualquier momento, mediante aviso escrito al asegurador”.  </w:t>
      </w:r>
    </w:p>
  </w:footnote>
  <w:footnote w:id="3">
    <w:p w14:paraId="5E723955" w14:textId="77777777" w:rsidR="00D645A5" w:rsidRPr="00D8787B" w:rsidRDefault="00D645A5" w:rsidP="00503884">
      <w:pPr>
        <w:pStyle w:val="Textonotapie"/>
        <w:snapToGrid w:val="0"/>
        <w:ind w:firstLine="709"/>
        <w:contextualSpacing/>
        <w:jc w:val="both"/>
        <w:rPr>
          <w:rFonts w:ascii="Verdana" w:hAnsi="Verdana" w:cs="Arial"/>
          <w:color w:val="000000" w:themeColor="text1"/>
          <w:sz w:val="16"/>
          <w:szCs w:val="16"/>
        </w:rPr>
      </w:pPr>
      <w:r w:rsidRPr="00D8787B">
        <w:rPr>
          <w:rStyle w:val="Refdenotaalpie"/>
          <w:rFonts w:ascii="Verdana" w:hAnsi="Verdana" w:cs="Arial"/>
          <w:color w:val="000000" w:themeColor="text1"/>
          <w:sz w:val="16"/>
          <w:szCs w:val="16"/>
        </w:rPr>
        <w:footnoteRef/>
      </w:r>
      <w:r w:rsidRPr="00D8787B">
        <w:rPr>
          <w:rFonts w:ascii="Verdana" w:hAnsi="Verdana" w:cs="Arial"/>
          <w:color w:val="000000" w:themeColor="text1"/>
          <w:sz w:val="16"/>
          <w:szCs w:val="16"/>
        </w:rPr>
        <w:t xml:space="preserve"> ESCOBAR GIL, Rodrigo. Teoría general de los contratos de la Administración pública. Bogotá: Legis, 2000. p. 247. Respecto a las pólizas, la doctrina explica que “En rigor, el seguro no elimina el daño sino que tolera que sus consecuencias resulten transferidas (trasladadas) por el sujeto amenazado por un evento económicamente desfavorable, a otro (asegurador) que, a esos fines, ha constituido una mutualidad especialmente ‘preparada para absorber el riesgo de indemnización’“ (Cfr. STIGLITZ, Rubén S. Derecho de seguros. Tomo I. Tercera Edición. Buenos Aires: Abeledo – Perrot, 2001. p. 21).</w:t>
      </w:r>
    </w:p>
  </w:footnote>
  <w:footnote w:id="4">
    <w:p w14:paraId="5F0E66FE" w14:textId="77777777" w:rsidR="00D645A5" w:rsidRPr="00D8787B" w:rsidRDefault="00D645A5" w:rsidP="00503884">
      <w:pPr>
        <w:pStyle w:val="Textonotapie"/>
        <w:snapToGrid w:val="0"/>
        <w:ind w:firstLine="708"/>
        <w:contextualSpacing/>
        <w:jc w:val="both"/>
        <w:rPr>
          <w:rFonts w:ascii="Verdana" w:hAnsi="Verdana" w:cs="Arial"/>
          <w:sz w:val="16"/>
          <w:szCs w:val="16"/>
        </w:rPr>
      </w:pPr>
      <w:r w:rsidRPr="00D8787B">
        <w:rPr>
          <w:rStyle w:val="Refdenotaalpie"/>
          <w:rFonts w:ascii="Verdana" w:hAnsi="Verdana" w:cs="Arial"/>
          <w:sz w:val="16"/>
          <w:szCs w:val="16"/>
        </w:rPr>
        <w:footnoteRef/>
      </w:r>
      <w:r w:rsidRPr="00D8787B">
        <w:rPr>
          <w:rFonts w:ascii="Verdana" w:hAnsi="Verdana" w:cs="Arial"/>
          <w:sz w:val="16"/>
          <w:szCs w:val="16"/>
        </w:rPr>
        <w:t xml:space="preserve"> Para la jurisprudencia, “[…] los seguros de cumplimiento, específicamente, el de contratos estatales, son aquellos que garantizan al acreedor (entidad estatal) que serán resarcidos los daños que pueda provocar el incumplimiento de las obligaciones del deudor (contratista) dentro del marco de una relación contractual. Así, pues, el riesgo asegurado en esta categoría de seguros, visto de manera general, lo constituye el incumplimiento de las obligaciones contractuales a cargo del deudor (contratista), quien a su vez es el tomador de la póliza, de modo que el objeto de las obligaciones garantizadas es lo que determina o particulariza el riesgo asegurado” (CONSEJO DE ESTADO. Sección Tercera. Subsección A. Sentencia del 12 de febrero de 2015. Exp.  28278. C.P. Carlos Alberto Zambrano Barrera).</w:t>
      </w:r>
    </w:p>
  </w:footnote>
  <w:footnote w:id="5">
    <w:p w14:paraId="4691F471" w14:textId="77777777" w:rsidR="00D645A5" w:rsidRPr="00D8787B" w:rsidRDefault="00D645A5" w:rsidP="00503884">
      <w:pPr>
        <w:pStyle w:val="Textonotapie"/>
        <w:snapToGrid w:val="0"/>
        <w:ind w:firstLine="709"/>
        <w:contextualSpacing/>
        <w:jc w:val="both"/>
        <w:rPr>
          <w:rFonts w:ascii="Verdana" w:hAnsi="Verdana" w:cs="Arial"/>
          <w:color w:val="000000" w:themeColor="text1"/>
          <w:sz w:val="16"/>
          <w:szCs w:val="16"/>
        </w:rPr>
      </w:pPr>
      <w:r w:rsidRPr="00D8787B">
        <w:rPr>
          <w:rStyle w:val="Refdenotaalpie"/>
          <w:rFonts w:ascii="Verdana" w:hAnsi="Verdana" w:cs="Arial"/>
          <w:color w:val="000000" w:themeColor="text1"/>
          <w:sz w:val="16"/>
          <w:szCs w:val="16"/>
        </w:rPr>
        <w:footnoteRef/>
      </w:r>
      <w:r w:rsidRPr="00D8787B">
        <w:rPr>
          <w:rFonts w:ascii="Verdana" w:hAnsi="Verdana" w:cs="Arial"/>
          <w:color w:val="000000" w:themeColor="text1"/>
          <w:sz w:val="16"/>
          <w:szCs w:val="16"/>
        </w:rPr>
        <w:t xml:space="preserve"> ORDÓÑEZ ORDÓÑEZ, Andrés E. Seguro de cumplimiento de los contratos estatales en Colombia. Bogotá: Universidad Externado de Colombia, 2011. p. 44.</w:t>
      </w:r>
    </w:p>
  </w:footnote>
  <w:footnote w:id="6">
    <w:p w14:paraId="685B688B" w14:textId="77777777" w:rsidR="00D645A5" w:rsidRPr="00D8787B" w:rsidRDefault="00D645A5" w:rsidP="00503884">
      <w:pPr>
        <w:pStyle w:val="Textonotapie"/>
        <w:snapToGrid w:val="0"/>
        <w:ind w:firstLine="708"/>
        <w:contextualSpacing/>
        <w:jc w:val="both"/>
        <w:rPr>
          <w:rFonts w:ascii="Verdana" w:hAnsi="Verdana" w:cs="Arial"/>
          <w:color w:val="000000" w:themeColor="text1"/>
          <w:sz w:val="16"/>
          <w:szCs w:val="16"/>
          <w:lang w:val="es-CO"/>
        </w:rPr>
      </w:pPr>
      <w:r w:rsidRPr="00D8787B">
        <w:rPr>
          <w:rStyle w:val="Refdenotaalpie"/>
          <w:rFonts w:ascii="Verdana" w:hAnsi="Verdana" w:cs="Arial"/>
          <w:color w:val="000000" w:themeColor="text1"/>
          <w:sz w:val="16"/>
          <w:szCs w:val="16"/>
        </w:rPr>
        <w:footnoteRef/>
      </w:r>
      <w:r w:rsidRPr="00D8787B">
        <w:rPr>
          <w:rFonts w:ascii="Verdana" w:hAnsi="Verdana" w:cs="Arial"/>
          <w:color w:val="000000" w:themeColor="text1"/>
          <w:sz w:val="16"/>
          <w:szCs w:val="16"/>
        </w:rPr>
        <w:t xml:space="preserve"> </w:t>
      </w:r>
      <w:r w:rsidRPr="00D8787B">
        <w:rPr>
          <w:rFonts w:ascii="Verdana" w:hAnsi="Verdana" w:cs="Arial"/>
          <w:color w:val="000000" w:themeColor="text1"/>
          <w:sz w:val="16"/>
          <w:szCs w:val="16"/>
          <w:lang w:val="es-CO"/>
        </w:rPr>
        <w:t xml:space="preserve">“Artículo 2.2.1.2.3.1.7. Garantía de cumplimiento. La garantía de cumplimiento del contrato debe cubrir: </w:t>
      </w:r>
    </w:p>
    <w:p w14:paraId="15C68001" w14:textId="77777777" w:rsidR="00D645A5" w:rsidRPr="00D8787B" w:rsidRDefault="00D645A5" w:rsidP="00503884">
      <w:pPr>
        <w:pStyle w:val="Textonotapie"/>
        <w:snapToGrid w:val="0"/>
        <w:contextualSpacing/>
        <w:jc w:val="both"/>
        <w:rPr>
          <w:rFonts w:ascii="Verdana" w:hAnsi="Verdana" w:cs="Arial"/>
          <w:color w:val="000000" w:themeColor="text1"/>
          <w:sz w:val="16"/>
          <w:szCs w:val="16"/>
          <w:lang w:val="es-CO"/>
        </w:rPr>
      </w:pPr>
      <w:r w:rsidRPr="00D8787B">
        <w:rPr>
          <w:rFonts w:ascii="Verdana" w:hAnsi="Verdana" w:cs="Arial"/>
          <w:color w:val="000000" w:themeColor="text1"/>
          <w:sz w:val="16"/>
          <w:szCs w:val="16"/>
          <w:lang w:val="es-CO"/>
        </w:rPr>
        <w:t xml:space="preserve">  </w:t>
      </w:r>
      <w:r w:rsidRPr="00D8787B">
        <w:rPr>
          <w:rFonts w:ascii="Verdana" w:hAnsi="Verdana" w:cs="Arial"/>
          <w:color w:val="000000" w:themeColor="text1"/>
          <w:sz w:val="16"/>
          <w:szCs w:val="16"/>
          <w:lang w:val="es-CO"/>
        </w:rPr>
        <w:tab/>
        <w:t>1. Buen manejo y correcta inversión del anticipo. Este amparo cubre los perjuicios sufridos por la Entidad Estatal con ocasión de: (i) la no inversión del anticipo; (</w:t>
      </w:r>
      <w:r w:rsidRPr="00D8787B">
        <w:rPr>
          <w:rFonts w:ascii="Verdana" w:hAnsi="Verdana" w:cs="Arial"/>
          <w:color w:val="000000" w:themeColor="text1"/>
          <w:sz w:val="16"/>
          <w:szCs w:val="16"/>
          <w:lang w:val="es-CO"/>
        </w:rPr>
        <w:t>ii) el uso indebido del anticipo; y (iii) la apropiación indebida de los recursos recibidos en calidad de anticipo.</w:t>
      </w:r>
    </w:p>
    <w:p w14:paraId="7B29623A" w14:textId="77777777" w:rsidR="00D645A5" w:rsidRPr="00D8787B" w:rsidRDefault="00D645A5" w:rsidP="00503884">
      <w:pPr>
        <w:pStyle w:val="Textonotapie"/>
        <w:snapToGrid w:val="0"/>
        <w:ind w:firstLine="708"/>
        <w:contextualSpacing/>
        <w:jc w:val="both"/>
        <w:rPr>
          <w:rFonts w:ascii="Verdana" w:hAnsi="Verdana" w:cs="Arial"/>
          <w:color w:val="000000" w:themeColor="text1"/>
          <w:sz w:val="16"/>
          <w:szCs w:val="16"/>
          <w:lang w:val="es-CO"/>
        </w:rPr>
      </w:pPr>
      <w:r w:rsidRPr="00D8787B">
        <w:rPr>
          <w:rFonts w:ascii="Verdana" w:hAnsi="Verdana" w:cs="Arial"/>
          <w:color w:val="000000" w:themeColor="text1"/>
          <w:sz w:val="16"/>
          <w:szCs w:val="16"/>
          <w:lang w:val="es-CO"/>
        </w:rPr>
        <w:t xml:space="preserve">2. Devolución del pago anticipado. Este amparo cubre los perjuicios sufridos por la Entidad Estatal por la no devolución total o parcial del dinero entregado al contratista a título de pago anticipado, cuando a ello hubiere lugar. </w:t>
      </w:r>
    </w:p>
    <w:p w14:paraId="7DAA504A" w14:textId="77777777" w:rsidR="00D645A5" w:rsidRPr="00D8787B" w:rsidRDefault="00D645A5" w:rsidP="00503884">
      <w:pPr>
        <w:pStyle w:val="Textonotapie"/>
        <w:snapToGrid w:val="0"/>
        <w:ind w:firstLine="708"/>
        <w:contextualSpacing/>
        <w:jc w:val="both"/>
        <w:rPr>
          <w:rFonts w:ascii="Verdana" w:hAnsi="Verdana" w:cs="Arial"/>
          <w:color w:val="000000" w:themeColor="text1"/>
          <w:sz w:val="16"/>
          <w:szCs w:val="16"/>
          <w:lang w:val="es-CO"/>
        </w:rPr>
      </w:pPr>
      <w:r w:rsidRPr="00D8787B">
        <w:rPr>
          <w:rFonts w:ascii="Verdana" w:hAnsi="Verdana" w:cs="Arial"/>
          <w:color w:val="000000" w:themeColor="text1"/>
          <w:sz w:val="16"/>
          <w:szCs w:val="16"/>
          <w:lang w:val="es-CO"/>
        </w:rPr>
        <w:t xml:space="preserve">3. Cumplimiento del contrato. Este amparo cubre a la Entidad Estatal de los perjuicios derivados de: </w:t>
      </w:r>
    </w:p>
    <w:p w14:paraId="09D72597" w14:textId="77777777" w:rsidR="00D645A5" w:rsidRPr="00D8787B" w:rsidRDefault="00D645A5" w:rsidP="00503884">
      <w:pPr>
        <w:pStyle w:val="Textonotapie"/>
        <w:snapToGrid w:val="0"/>
        <w:contextualSpacing/>
        <w:jc w:val="both"/>
        <w:rPr>
          <w:rFonts w:ascii="Verdana" w:hAnsi="Verdana" w:cs="Arial"/>
          <w:color w:val="000000" w:themeColor="text1"/>
          <w:sz w:val="16"/>
          <w:szCs w:val="16"/>
          <w:lang w:val="es-CO"/>
        </w:rPr>
      </w:pPr>
      <w:r w:rsidRPr="00D8787B">
        <w:rPr>
          <w:rFonts w:ascii="Verdana" w:hAnsi="Verdana" w:cs="Arial"/>
          <w:color w:val="000000" w:themeColor="text1"/>
          <w:sz w:val="16"/>
          <w:szCs w:val="16"/>
          <w:lang w:val="es-CO"/>
        </w:rPr>
        <w:t xml:space="preserve">  </w:t>
      </w:r>
      <w:r w:rsidRPr="00D8787B">
        <w:rPr>
          <w:rFonts w:ascii="Verdana" w:hAnsi="Verdana" w:cs="Arial"/>
          <w:color w:val="000000" w:themeColor="text1"/>
          <w:sz w:val="16"/>
          <w:szCs w:val="16"/>
          <w:lang w:val="es-CO"/>
        </w:rPr>
        <w:tab/>
        <w:t xml:space="preserve">3.1. El incumplimiento total o parcial del contrato, cuando el incumplimiento es imputable al contratista; </w:t>
      </w:r>
    </w:p>
    <w:p w14:paraId="1DC9CB54" w14:textId="77777777" w:rsidR="00D645A5" w:rsidRPr="00D8787B" w:rsidRDefault="00D645A5" w:rsidP="00503884">
      <w:pPr>
        <w:pStyle w:val="Textonotapie"/>
        <w:snapToGrid w:val="0"/>
        <w:contextualSpacing/>
        <w:jc w:val="both"/>
        <w:rPr>
          <w:rFonts w:ascii="Verdana" w:hAnsi="Verdana" w:cs="Arial"/>
          <w:color w:val="000000" w:themeColor="text1"/>
          <w:sz w:val="16"/>
          <w:szCs w:val="16"/>
          <w:lang w:val="es-CO"/>
        </w:rPr>
      </w:pPr>
      <w:r w:rsidRPr="00D8787B">
        <w:rPr>
          <w:rFonts w:ascii="Verdana" w:hAnsi="Verdana" w:cs="Arial"/>
          <w:color w:val="000000" w:themeColor="text1"/>
          <w:sz w:val="16"/>
          <w:szCs w:val="16"/>
          <w:lang w:val="es-CO"/>
        </w:rPr>
        <w:t xml:space="preserve">  </w:t>
      </w:r>
      <w:r w:rsidRPr="00D8787B">
        <w:rPr>
          <w:rFonts w:ascii="Verdana" w:hAnsi="Verdana" w:cs="Arial"/>
          <w:color w:val="000000" w:themeColor="text1"/>
          <w:sz w:val="16"/>
          <w:szCs w:val="16"/>
          <w:lang w:val="es-CO"/>
        </w:rPr>
        <w:tab/>
        <w:t xml:space="preserve">3.2. El cumplimiento tardío o defectuoso del contrato, cuando el incumplimiento es imputable al contratista; </w:t>
      </w:r>
    </w:p>
    <w:p w14:paraId="618A1534" w14:textId="77777777" w:rsidR="00D645A5" w:rsidRPr="00D8787B" w:rsidRDefault="00D645A5" w:rsidP="00503884">
      <w:pPr>
        <w:pStyle w:val="Textonotapie"/>
        <w:snapToGrid w:val="0"/>
        <w:ind w:firstLine="708"/>
        <w:contextualSpacing/>
        <w:jc w:val="both"/>
        <w:rPr>
          <w:rFonts w:ascii="Verdana" w:hAnsi="Verdana" w:cs="Arial"/>
          <w:color w:val="000000" w:themeColor="text1"/>
          <w:sz w:val="16"/>
          <w:szCs w:val="16"/>
          <w:lang w:val="es-CO"/>
        </w:rPr>
      </w:pPr>
      <w:r w:rsidRPr="00D8787B">
        <w:rPr>
          <w:rFonts w:ascii="Verdana" w:hAnsi="Verdana" w:cs="Arial"/>
          <w:color w:val="000000" w:themeColor="text1"/>
          <w:sz w:val="16"/>
          <w:szCs w:val="16"/>
          <w:lang w:val="es-CO"/>
        </w:rPr>
        <w:t xml:space="preserve">3.3. Los daños imputables al contratista por entregas parciales de la obra, cuando el contrato no prevé entregas parciales; y </w:t>
      </w:r>
    </w:p>
    <w:p w14:paraId="095C54DE" w14:textId="77777777" w:rsidR="00D645A5" w:rsidRPr="00D8787B" w:rsidRDefault="00D645A5" w:rsidP="00503884">
      <w:pPr>
        <w:pStyle w:val="Textonotapie"/>
        <w:snapToGrid w:val="0"/>
        <w:ind w:firstLine="708"/>
        <w:contextualSpacing/>
        <w:jc w:val="both"/>
        <w:rPr>
          <w:rFonts w:ascii="Verdana" w:hAnsi="Verdana" w:cs="Arial"/>
          <w:color w:val="000000" w:themeColor="text1"/>
          <w:sz w:val="16"/>
          <w:szCs w:val="16"/>
          <w:lang w:val="es-CO"/>
        </w:rPr>
      </w:pPr>
      <w:r w:rsidRPr="00D8787B">
        <w:rPr>
          <w:rFonts w:ascii="Verdana" w:hAnsi="Verdana" w:cs="Arial"/>
          <w:color w:val="000000" w:themeColor="text1"/>
          <w:sz w:val="16"/>
          <w:szCs w:val="16"/>
          <w:lang w:val="es-CO"/>
        </w:rPr>
        <w:t xml:space="preserve">3.4. El pago del valor de las multas y de la cláusula penal pecuniaria. </w:t>
      </w:r>
    </w:p>
    <w:p w14:paraId="36308E7C" w14:textId="77777777" w:rsidR="00D645A5" w:rsidRPr="00D8787B" w:rsidRDefault="00D645A5" w:rsidP="00503884">
      <w:pPr>
        <w:pStyle w:val="Textonotapie"/>
        <w:snapToGrid w:val="0"/>
        <w:ind w:firstLine="708"/>
        <w:contextualSpacing/>
        <w:jc w:val="both"/>
        <w:rPr>
          <w:rFonts w:ascii="Verdana" w:hAnsi="Verdana" w:cs="Arial"/>
          <w:color w:val="000000" w:themeColor="text1"/>
          <w:sz w:val="16"/>
          <w:szCs w:val="16"/>
          <w:lang w:val="es-CO"/>
        </w:rPr>
      </w:pPr>
      <w:r w:rsidRPr="00D8787B">
        <w:rPr>
          <w:rFonts w:ascii="Verdana" w:hAnsi="Verdana" w:cs="Arial"/>
          <w:color w:val="000000" w:themeColor="text1"/>
          <w:sz w:val="16"/>
          <w:szCs w:val="16"/>
          <w:lang w:val="es-CO"/>
        </w:rPr>
        <w:t xml:space="preserve">4. Pago de salarios, prestaciones sociales legales e indemnizaciones laborales. Este amparo debe cubrir a la Entidad Estatal de los perjuicios ocasionados por el incumplimiento de las obligaciones laborales del contratista derivadas de la contratación del personal utilizado en el territorio nacional para la ejecución del contrato amparado. </w:t>
      </w:r>
    </w:p>
    <w:p w14:paraId="7FD6E99C" w14:textId="77777777" w:rsidR="00D645A5" w:rsidRPr="00D8787B" w:rsidRDefault="00D645A5" w:rsidP="00503884">
      <w:pPr>
        <w:pStyle w:val="Textonotapie"/>
        <w:snapToGrid w:val="0"/>
        <w:ind w:firstLine="708"/>
        <w:contextualSpacing/>
        <w:jc w:val="both"/>
        <w:rPr>
          <w:rFonts w:ascii="Verdana" w:hAnsi="Verdana" w:cs="Arial"/>
          <w:color w:val="000000" w:themeColor="text1"/>
          <w:sz w:val="16"/>
          <w:szCs w:val="16"/>
          <w:lang w:val="es-CO"/>
        </w:rPr>
      </w:pPr>
      <w:r w:rsidRPr="00D8787B">
        <w:rPr>
          <w:rFonts w:ascii="Verdana" w:hAnsi="Verdana" w:cs="Arial"/>
          <w:color w:val="000000" w:themeColor="text1"/>
          <w:sz w:val="16"/>
          <w:szCs w:val="16"/>
          <w:lang w:val="es-CO"/>
        </w:rPr>
        <w:t xml:space="preserve">La Entidad Estatal no debe exigir una garantía para cubrir este Riesgo en los contratos que se ejecuten fuera del territorio nacional con personal contratado bajo un régimen jurídico distinto al colombiano. </w:t>
      </w:r>
    </w:p>
    <w:p w14:paraId="72CCF935" w14:textId="77777777" w:rsidR="00D645A5" w:rsidRPr="00D8787B" w:rsidRDefault="00D645A5" w:rsidP="00503884">
      <w:pPr>
        <w:pStyle w:val="Textonotapie"/>
        <w:snapToGrid w:val="0"/>
        <w:ind w:firstLine="708"/>
        <w:contextualSpacing/>
        <w:jc w:val="both"/>
        <w:rPr>
          <w:rFonts w:ascii="Verdana" w:hAnsi="Verdana" w:cs="Arial"/>
          <w:color w:val="000000" w:themeColor="text1"/>
          <w:sz w:val="16"/>
          <w:szCs w:val="16"/>
          <w:lang w:val="es-CO"/>
        </w:rPr>
      </w:pPr>
      <w:r w:rsidRPr="00D8787B">
        <w:rPr>
          <w:rFonts w:ascii="Verdana" w:hAnsi="Verdana" w:cs="Arial"/>
          <w:color w:val="000000" w:themeColor="text1"/>
          <w:sz w:val="16"/>
          <w:szCs w:val="16"/>
          <w:lang w:val="es-CO"/>
        </w:rPr>
        <w:t xml:space="preserve">5. Estabilidad y calidad de la obra. Este amparo cubre a la Entidad Estatal de los perjuicios ocasionados por cualquier tipo de daño o deterioro, imputable al contratista, sufrido por la obra entregada a satisfacción. </w:t>
      </w:r>
    </w:p>
    <w:p w14:paraId="3C816A0E" w14:textId="77777777" w:rsidR="00D645A5" w:rsidRPr="00D8787B" w:rsidRDefault="00D645A5" w:rsidP="00503884">
      <w:pPr>
        <w:pStyle w:val="Textonotapie"/>
        <w:snapToGrid w:val="0"/>
        <w:ind w:firstLine="708"/>
        <w:contextualSpacing/>
        <w:jc w:val="both"/>
        <w:rPr>
          <w:rFonts w:ascii="Verdana" w:hAnsi="Verdana" w:cs="Arial"/>
          <w:color w:val="000000" w:themeColor="text1"/>
          <w:sz w:val="16"/>
          <w:szCs w:val="16"/>
          <w:lang w:val="es-CO"/>
        </w:rPr>
      </w:pPr>
      <w:r w:rsidRPr="00D8787B">
        <w:rPr>
          <w:rFonts w:ascii="Verdana" w:hAnsi="Verdana" w:cs="Arial"/>
          <w:color w:val="000000" w:themeColor="text1"/>
          <w:sz w:val="16"/>
          <w:szCs w:val="16"/>
          <w:lang w:val="es-CO"/>
        </w:rPr>
        <w:t xml:space="preserve">6. Calidad del servicio. Este amparo cubre a la Entidad Estatal por los perjuicios derivados de la deficiente calidad del servicio prestado. </w:t>
      </w:r>
    </w:p>
    <w:p w14:paraId="4BCE620B" w14:textId="77777777" w:rsidR="00D645A5" w:rsidRPr="00D8787B" w:rsidRDefault="00D645A5" w:rsidP="00503884">
      <w:pPr>
        <w:pStyle w:val="Textonotapie"/>
        <w:snapToGrid w:val="0"/>
        <w:ind w:firstLine="708"/>
        <w:contextualSpacing/>
        <w:jc w:val="both"/>
        <w:rPr>
          <w:rFonts w:ascii="Verdana" w:hAnsi="Verdana" w:cs="Arial"/>
          <w:color w:val="000000" w:themeColor="text1"/>
          <w:sz w:val="16"/>
          <w:szCs w:val="16"/>
          <w:lang w:val="es-CO"/>
        </w:rPr>
      </w:pPr>
      <w:r w:rsidRPr="00D8787B">
        <w:rPr>
          <w:rFonts w:ascii="Verdana" w:hAnsi="Verdana" w:cs="Arial"/>
          <w:color w:val="000000" w:themeColor="text1"/>
          <w:sz w:val="16"/>
          <w:szCs w:val="16"/>
          <w:lang w:val="es-CO"/>
        </w:rPr>
        <w:t xml:space="preserve">7. Calidad y correcto funcionamiento de los bienes. Este amparo debe cubrir la calidad y el correcto funcionamiento de los bienes que recibe la Entidad Estatal en cumplimiento de un contrato. </w:t>
      </w:r>
    </w:p>
    <w:p w14:paraId="47941A5C" w14:textId="77777777" w:rsidR="00D645A5" w:rsidRPr="00D8787B" w:rsidRDefault="00D645A5" w:rsidP="00503884">
      <w:pPr>
        <w:pStyle w:val="Textonotapie"/>
        <w:snapToGrid w:val="0"/>
        <w:ind w:firstLine="708"/>
        <w:contextualSpacing/>
        <w:jc w:val="both"/>
        <w:rPr>
          <w:rFonts w:ascii="Verdana" w:hAnsi="Verdana" w:cs="Arial"/>
          <w:color w:val="000000" w:themeColor="text1"/>
          <w:sz w:val="16"/>
          <w:szCs w:val="16"/>
          <w:lang w:val="es-CO"/>
        </w:rPr>
      </w:pPr>
      <w:r w:rsidRPr="00D8787B">
        <w:rPr>
          <w:rFonts w:ascii="Verdana" w:hAnsi="Verdana" w:cs="Arial"/>
          <w:color w:val="000000" w:themeColor="text1"/>
          <w:sz w:val="16"/>
          <w:szCs w:val="16"/>
          <w:lang w:val="es-CO"/>
        </w:rPr>
        <w:t>8. Los demás incumplimientos de obligaciones que la Entidad Estatal considere deben ser amparados de manera proporcional y acorde a la naturaleza del contrato”.</w:t>
      </w:r>
    </w:p>
    <w:p w14:paraId="17C41783" w14:textId="77777777" w:rsidR="00D645A5" w:rsidRPr="00D8787B" w:rsidRDefault="00D645A5" w:rsidP="00503884">
      <w:pPr>
        <w:pStyle w:val="Textonotapie"/>
        <w:snapToGrid w:val="0"/>
        <w:ind w:firstLine="708"/>
        <w:contextualSpacing/>
        <w:jc w:val="both"/>
        <w:rPr>
          <w:rFonts w:ascii="Verdana" w:hAnsi="Verdana" w:cs="Arial"/>
          <w:color w:val="000000" w:themeColor="text1"/>
          <w:sz w:val="16"/>
          <w:szCs w:val="16"/>
          <w:lang w:val="es-CO"/>
        </w:rPr>
      </w:pPr>
    </w:p>
  </w:footnote>
  <w:footnote w:id="7">
    <w:p w14:paraId="1ABBB2D9" w14:textId="77777777" w:rsidR="00A1006E" w:rsidRPr="00D8787B" w:rsidRDefault="00A1006E" w:rsidP="00503884">
      <w:pPr>
        <w:pStyle w:val="Textonotapie"/>
        <w:snapToGrid w:val="0"/>
        <w:ind w:firstLine="709"/>
        <w:contextualSpacing/>
        <w:jc w:val="both"/>
        <w:rPr>
          <w:rFonts w:ascii="Verdana" w:hAnsi="Verdana" w:cs="Arial"/>
          <w:iCs/>
          <w:sz w:val="16"/>
          <w:szCs w:val="16"/>
        </w:rPr>
      </w:pPr>
      <w:r w:rsidRPr="00D8787B">
        <w:rPr>
          <w:rStyle w:val="Refdenotaalpie"/>
          <w:rFonts w:ascii="Verdana" w:hAnsi="Verdana" w:cs="Arial"/>
          <w:sz w:val="16"/>
          <w:szCs w:val="16"/>
        </w:rPr>
        <w:footnoteRef/>
      </w:r>
      <w:r w:rsidRPr="00D8787B">
        <w:rPr>
          <w:rFonts w:ascii="Verdana" w:hAnsi="Verdana" w:cs="Arial"/>
          <w:iCs/>
          <w:sz w:val="16"/>
          <w:szCs w:val="16"/>
        </w:rPr>
        <w:t xml:space="preserve"> Motivo por el cual son típicas cláusulas accidentales dentro de los contratos estatales, en los términos del artículo 1501 del Código Civil.</w:t>
      </w:r>
    </w:p>
  </w:footnote>
  <w:footnote w:id="8">
    <w:p w14:paraId="2DC8F258" w14:textId="77777777" w:rsidR="00A1006E" w:rsidRPr="00D8787B" w:rsidRDefault="00A1006E" w:rsidP="00503884">
      <w:pPr>
        <w:pStyle w:val="Textonotapie"/>
        <w:snapToGrid w:val="0"/>
        <w:ind w:firstLine="709"/>
        <w:contextualSpacing/>
        <w:jc w:val="both"/>
        <w:rPr>
          <w:rFonts w:ascii="Verdana" w:hAnsi="Verdana" w:cs="Arial"/>
          <w:sz w:val="16"/>
          <w:szCs w:val="16"/>
          <w:lang w:val="es-ES"/>
        </w:rPr>
      </w:pPr>
      <w:r w:rsidRPr="00D8787B">
        <w:rPr>
          <w:rStyle w:val="Refdenotaalpie"/>
          <w:rFonts w:ascii="Verdana" w:hAnsi="Verdana" w:cs="Arial"/>
          <w:sz w:val="16"/>
          <w:szCs w:val="16"/>
        </w:rPr>
        <w:footnoteRef/>
      </w:r>
      <w:r w:rsidRPr="00D8787B">
        <w:rPr>
          <w:rFonts w:ascii="Verdana" w:hAnsi="Verdana" w:cs="Arial"/>
          <w:sz w:val="16"/>
          <w:szCs w:val="16"/>
        </w:rPr>
        <w:t xml:space="preserve"> Consejo de Estado. Sección Tercera. Sentencia del 15 de noviembre de 2011. Rad. 20.916. Consejera Ponente: Olga Mélida Valle de la Hoz. </w:t>
      </w:r>
    </w:p>
  </w:footnote>
  <w:footnote w:id="9">
    <w:p w14:paraId="1105E6B3" w14:textId="77777777" w:rsidR="00A1006E" w:rsidRPr="00D8787B" w:rsidRDefault="00A1006E" w:rsidP="00503884">
      <w:pPr>
        <w:pStyle w:val="Textonotapie"/>
        <w:snapToGrid w:val="0"/>
        <w:ind w:firstLine="709"/>
        <w:contextualSpacing/>
        <w:jc w:val="both"/>
        <w:rPr>
          <w:rFonts w:ascii="Verdana" w:hAnsi="Verdana" w:cs="Arial"/>
          <w:iCs/>
          <w:sz w:val="16"/>
          <w:szCs w:val="16"/>
          <w:lang w:val="es-ES_tradnl"/>
        </w:rPr>
      </w:pPr>
      <w:r w:rsidRPr="00D8787B">
        <w:rPr>
          <w:rStyle w:val="Refdenotaalpie"/>
          <w:rFonts w:ascii="Verdana" w:hAnsi="Verdana" w:cs="Arial"/>
          <w:sz w:val="16"/>
          <w:szCs w:val="16"/>
        </w:rPr>
        <w:footnoteRef/>
      </w:r>
      <w:r w:rsidRPr="00D8787B">
        <w:rPr>
          <w:rFonts w:ascii="Verdana" w:hAnsi="Verdana" w:cs="Arial"/>
          <w:sz w:val="16"/>
          <w:szCs w:val="16"/>
        </w:rPr>
        <w:t xml:space="preserve"> Consejo de Estado</w:t>
      </w:r>
      <w:r w:rsidRPr="00D8787B">
        <w:rPr>
          <w:rFonts w:ascii="Verdana" w:hAnsi="Verdana" w:cs="Arial"/>
          <w:iCs/>
          <w:sz w:val="16"/>
          <w:szCs w:val="16"/>
          <w:lang w:val="es-ES_tradnl"/>
        </w:rPr>
        <w:t xml:space="preserve">. Sección Tercera. Sentencia del 23 de junio de 2010. Rad. 16.367. Consejero Ponente: Enrique Gil Botero. Véase también: </w:t>
      </w:r>
      <w:r w:rsidRPr="00D8787B">
        <w:rPr>
          <w:rFonts w:ascii="Verdana" w:hAnsi="Verdana" w:cs="Arial"/>
          <w:sz w:val="16"/>
          <w:szCs w:val="16"/>
        </w:rPr>
        <w:t>Consejo de Estado. Sección Tercera. Sentencia del 13 de noviembre de 2008. Rad. 17.009. Consejero Ponente: Enrique Gil Botero.</w:t>
      </w:r>
    </w:p>
  </w:footnote>
  <w:footnote w:id="10">
    <w:p w14:paraId="2A701481" w14:textId="77777777" w:rsidR="00A1006E" w:rsidRPr="00D8787B" w:rsidRDefault="00A1006E" w:rsidP="00503884">
      <w:pPr>
        <w:pStyle w:val="Textonotapie"/>
        <w:snapToGrid w:val="0"/>
        <w:ind w:firstLine="709"/>
        <w:contextualSpacing/>
        <w:jc w:val="both"/>
        <w:rPr>
          <w:rFonts w:ascii="Verdana" w:hAnsi="Verdana" w:cs="Arial"/>
          <w:sz w:val="16"/>
          <w:szCs w:val="16"/>
        </w:rPr>
      </w:pPr>
      <w:r w:rsidRPr="00D8787B">
        <w:rPr>
          <w:rStyle w:val="Refdenotaalpie"/>
          <w:rFonts w:ascii="Verdana" w:hAnsi="Verdana" w:cs="Arial"/>
          <w:sz w:val="16"/>
          <w:szCs w:val="16"/>
        </w:rPr>
        <w:footnoteRef/>
      </w:r>
      <w:r w:rsidRPr="00D8787B">
        <w:rPr>
          <w:rFonts w:ascii="Verdana" w:hAnsi="Verdana" w:cs="Arial"/>
          <w:sz w:val="16"/>
          <w:szCs w:val="16"/>
        </w:rPr>
        <w:t xml:space="preserve"> Corte Constitucional. Sentencia C-827 de 2001. Magistrado Ponente; Álvaro Tafur Galvis.</w:t>
      </w:r>
    </w:p>
  </w:footnote>
  <w:footnote w:id="11">
    <w:p w14:paraId="00D5DB96" w14:textId="77777777" w:rsidR="008A6AF6" w:rsidRPr="00D8787B" w:rsidRDefault="008A6AF6" w:rsidP="00503884">
      <w:pPr>
        <w:pStyle w:val="Textonotapie"/>
        <w:snapToGrid w:val="0"/>
        <w:ind w:firstLine="709"/>
        <w:contextualSpacing/>
        <w:jc w:val="both"/>
        <w:rPr>
          <w:rFonts w:ascii="Verdana" w:hAnsi="Verdana" w:cs="Arial"/>
          <w:iCs/>
          <w:sz w:val="16"/>
          <w:szCs w:val="16"/>
        </w:rPr>
      </w:pPr>
      <w:r w:rsidRPr="00D8787B">
        <w:rPr>
          <w:rStyle w:val="Refdenotaalpie"/>
          <w:rFonts w:ascii="Verdana" w:hAnsi="Verdana" w:cs="Arial"/>
          <w:sz w:val="16"/>
          <w:szCs w:val="16"/>
        </w:rPr>
        <w:footnoteRef/>
      </w:r>
      <w:r w:rsidRPr="00D8787B">
        <w:rPr>
          <w:rFonts w:ascii="Verdana" w:hAnsi="Verdana" w:cs="Arial"/>
          <w:iCs/>
          <w:sz w:val="16"/>
          <w:szCs w:val="16"/>
        </w:rPr>
        <w:t xml:space="preserve"> Motivo por el cual son típicas cláusulas accidentales dentro de los contratos estatales, en los términos del artículo 1501 del Código Civil.</w:t>
      </w:r>
    </w:p>
    <w:p w14:paraId="2755AE82" w14:textId="77777777" w:rsidR="008A6AF6" w:rsidRPr="00D8787B" w:rsidRDefault="008A6AF6" w:rsidP="00503884">
      <w:pPr>
        <w:pStyle w:val="Textonotapie"/>
        <w:snapToGrid w:val="0"/>
        <w:ind w:firstLine="709"/>
        <w:contextualSpacing/>
        <w:jc w:val="both"/>
        <w:rPr>
          <w:rFonts w:ascii="Verdana" w:hAnsi="Verdana" w:cs="Arial"/>
          <w:sz w:val="16"/>
          <w:szCs w:val="16"/>
        </w:rPr>
      </w:pPr>
    </w:p>
  </w:footnote>
  <w:footnote w:id="12">
    <w:p w14:paraId="70A13911" w14:textId="71714529" w:rsidR="0088580F" w:rsidRPr="00D8787B" w:rsidRDefault="0088580F" w:rsidP="00B17E86">
      <w:pPr>
        <w:pStyle w:val="Textonotapie"/>
        <w:snapToGrid w:val="0"/>
        <w:ind w:firstLine="708"/>
        <w:contextualSpacing/>
        <w:jc w:val="both"/>
        <w:rPr>
          <w:rFonts w:ascii="Verdana" w:hAnsi="Verdana"/>
          <w:b/>
          <w:bCs/>
          <w:sz w:val="16"/>
          <w:szCs w:val="16"/>
          <w:lang/>
        </w:rPr>
      </w:pPr>
      <w:r w:rsidRPr="00D8787B">
        <w:rPr>
          <w:rStyle w:val="Refdenotaalpie"/>
          <w:rFonts w:ascii="Verdana" w:hAnsi="Verdana"/>
          <w:sz w:val="16"/>
          <w:szCs w:val="16"/>
        </w:rPr>
        <w:footnoteRef/>
      </w:r>
      <w:r w:rsidRPr="00D8787B">
        <w:rPr>
          <w:rFonts w:ascii="Verdana" w:hAnsi="Verdana"/>
          <w:sz w:val="16"/>
          <w:szCs w:val="16"/>
        </w:rPr>
        <w:t xml:space="preserve"> </w:t>
      </w:r>
      <w:r w:rsidR="00B17E86" w:rsidRPr="00D8787B">
        <w:rPr>
          <w:rFonts w:ascii="Verdana" w:hAnsi="Verdana"/>
          <w:sz w:val="16"/>
          <w:szCs w:val="16"/>
          <w:lang/>
        </w:rPr>
        <w:t>CONSEJO DE ESTADO. Sala de Consulta y Servicio Civil.</w:t>
      </w:r>
      <w:r w:rsidR="00B17E86" w:rsidRPr="00D8787B">
        <w:rPr>
          <w:rFonts w:ascii="Verdana" w:hAnsi="Verdana"/>
          <w:b/>
          <w:bCs/>
          <w:sz w:val="16"/>
          <w:szCs w:val="16"/>
          <w:lang/>
        </w:rPr>
        <w:t xml:space="preserve"> </w:t>
      </w:r>
      <w:r w:rsidR="00B17E86" w:rsidRPr="00D8787B">
        <w:rPr>
          <w:rFonts w:ascii="Verdana" w:hAnsi="Verdana"/>
          <w:sz w:val="16"/>
          <w:szCs w:val="16"/>
          <w:lang/>
        </w:rPr>
        <w:t>Concepto del trece (13) de diciembre de dos mil veintidós (2022). Radicación interna: 2489. Número Único: 11001-03-06-000-2022-00250-00. C.P. María del Pilar Bahamón Falla</w:t>
      </w:r>
      <w:r w:rsidR="00F734AC" w:rsidRPr="00D8787B">
        <w:rPr>
          <w:rFonts w:ascii="Verdana" w:hAnsi="Verdana"/>
          <w:sz w:val="16"/>
          <w:szCs w:val="16"/>
          <w:lang/>
        </w:rPr>
        <w:t>.</w:t>
      </w:r>
      <w:r w:rsidR="00B17E86" w:rsidRPr="00D8787B">
        <w:rPr>
          <w:rFonts w:ascii="Verdana" w:hAnsi="Verdana"/>
          <w:sz w:val="16"/>
          <w:szCs w:val="16"/>
          <w:lang/>
        </w:rPr>
        <w:t xml:space="preserve"> </w:t>
      </w:r>
    </w:p>
  </w:footnote>
  <w:footnote w:id="13">
    <w:p w14:paraId="399E3C38" w14:textId="1086F30A" w:rsidR="006D1B50" w:rsidRPr="00D8787B" w:rsidRDefault="006D1B50" w:rsidP="00503884">
      <w:pPr>
        <w:pStyle w:val="Textonotapie"/>
        <w:snapToGrid w:val="0"/>
        <w:ind w:firstLine="708"/>
        <w:contextualSpacing/>
        <w:jc w:val="both"/>
        <w:rPr>
          <w:rFonts w:ascii="Verdana" w:hAnsi="Verdana"/>
          <w:sz w:val="16"/>
          <w:szCs w:val="16"/>
          <w:lang/>
        </w:rPr>
      </w:pPr>
      <w:r w:rsidRPr="00D8787B">
        <w:rPr>
          <w:rStyle w:val="Refdenotaalpie"/>
          <w:rFonts w:ascii="Verdana" w:hAnsi="Verdana"/>
          <w:sz w:val="16"/>
          <w:szCs w:val="16"/>
        </w:rPr>
        <w:footnoteRef/>
      </w:r>
      <w:r w:rsidRPr="00D8787B">
        <w:rPr>
          <w:rFonts w:ascii="Verdana" w:hAnsi="Verdana"/>
          <w:sz w:val="16"/>
          <w:szCs w:val="16"/>
        </w:rPr>
        <w:t xml:space="preserve"> </w:t>
      </w:r>
      <w:r w:rsidRPr="00D8787B">
        <w:rPr>
          <w:rFonts w:ascii="Verdana" w:hAnsi="Verdana"/>
          <w:sz w:val="16"/>
          <w:szCs w:val="16"/>
          <w:lang/>
        </w:rPr>
        <w:t xml:space="preserve">Con todo, dado que una de las funciones que se atribuyen a la cláusula penal -quizás la más importante- es la de constituir una liquidación anticipada del daño producido por el incumplimiento contractual hecha por las propias partes del negocio jurídico, su fuente deviene de la autonomía de la voluntad y, en consecuencia, no podría la entidad declarar el incumplimiento para hacerla efectiva si no fue estipulada previamente, so pena de contravenir la ley del contrato. </w:t>
      </w:r>
    </w:p>
  </w:footnote>
  <w:footnote w:id="14">
    <w:p w14:paraId="2A6696DE" w14:textId="754811AC" w:rsidR="00CC1D85" w:rsidRPr="00D8787B" w:rsidRDefault="00CC1D85" w:rsidP="00503884">
      <w:pPr>
        <w:pStyle w:val="Textonotapie"/>
        <w:snapToGrid w:val="0"/>
        <w:ind w:firstLine="709"/>
        <w:contextualSpacing/>
        <w:jc w:val="both"/>
        <w:rPr>
          <w:rFonts w:ascii="Verdana" w:hAnsi="Verdana" w:cs="Arial"/>
          <w:sz w:val="16"/>
          <w:szCs w:val="16"/>
        </w:rPr>
      </w:pPr>
      <w:r w:rsidRPr="00D8787B">
        <w:rPr>
          <w:rStyle w:val="Refdenotaalpie"/>
          <w:rFonts w:ascii="Verdana" w:hAnsi="Verdana" w:cs="Arial"/>
          <w:sz w:val="16"/>
          <w:szCs w:val="16"/>
        </w:rPr>
        <w:footnoteRef/>
      </w:r>
      <w:r w:rsidRPr="00D8787B">
        <w:rPr>
          <w:rFonts w:ascii="Verdana" w:hAnsi="Verdana" w:cs="Arial"/>
          <w:sz w:val="16"/>
          <w:szCs w:val="16"/>
          <w:vertAlign w:val="superscript"/>
        </w:rPr>
        <w:t xml:space="preserve"> </w:t>
      </w:r>
      <w:r w:rsidRPr="00D8787B">
        <w:rPr>
          <w:rFonts w:ascii="Verdana" w:hAnsi="Verdana" w:cs="Arial"/>
          <w:sz w:val="16"/>
          <w:szCs w:val="16"/>
        </w:rPr>
        <w:t>CONSEJO DE ESTADO. Sección Tercera. Sentencia del 13 de noviembre de 2008. Rad. 17.009. C.P. Enrique Gil Botero.</w:t>
      </w:r>
    </w:p>
  </w:footnote>
  <w:footnote w:id="15">
    <w:p w14:paraId="02FAB2DA" w14:textId="1AECAFA4" w:rsidR="00CC1D85" w:rsidRPr="00D8787B" w:rsidRDefault="00CC1D85" w:rsidP="00F734AC">
      <w:pPr>
        <w:pStyle w:val="Textonotapie"/>
        <w:snapToGrid w:val="0"/>
        <w:ind w:firstLine="709"/>
        <w:contextualSpacing/>
        <w:jc w:val="both"/>
        <w:rPr>
          <w:rFonts w:ascii="Verdana" w:hAnsi="Verdana" w:cs="Arial"/>
          <w:sz w:val="16"/>
          <w:szCs w:val="16"/>
        </w:rPr>
      </w:pPr>
      <w:r w:rsidRPr="00D8787B">
        <w:rPr>
          <w:rStyle w:val="Refdenotaalpie"/>
          <w:rFonts w:ascii="Verdana" w:hAnsi="Verdana" w:cs="Arial"/>
          <w:sz w:val="16"/>
          <w:szCs w:val="16"/>
        </w:rPr>
        <w:footnoteRef/>
      </w:r>
      <w:r w:rsidRPr="00D8787B">
        <w:rPr>
          <w:rFonts w:ascii="Verdana" w:hAnsi="Verdana" w:cs="Arial"/>
          <w:sz w:val="16"/>
          <w:szCs w:val="16"/>
        </w:rPr>
        <w:t xml:space="preserve"> Ibídem.</w:t>
      </w:r>
    </w:p>
  </w:footnote>
  <w:footnote w:id="16">
    <w:p w14:paraId="18597A88" w14:textId="217734FA" w:rsidR="00A02840" w:rsidRPr="00D8787B" w:rsidRDefault="00A02840" w:rsidP="00F734AC">
      <w:pPr>
        <w:pStyle w:val="Textonotapie"/>
        <w:snapToGrid w:val="0"/>
        <w:ind w:firstLine="708"/>
        <w:contextualSpacing/>
        <w:jc w:val="both"/>
        <w:rPr>
          <w:rFonts w:ascii="Verdana" w:hAnsi="Verdana"/>
          <w:sz w:val="16"/>
          <w:szCs w:val="16"/>
          <w:lang w:val="es-ES"/>
        </w:rPr>
      </w:pPr>
      <w:r w:rsidRPr="00D8787B">
        <w:rPr>
          <w:rStyle w:val="Refdenotaalpie"/>
          <w:rFonts w:ascii="Verdana" w:hAnsi="Verdana"/>
          <w:sz w:val="16"/>
          <w:szCs w:val="16"/>
        </w:rPr>
        <w:footnoteRef/>
      </w:r>
      <w:r w:rsidRPr="00D8787B">
        <w:rPr>
          <w:rFonts w:ascii="Verdana" w:hAnsi="Verdana"/>
          <w:sz w:val="16"/>
          <w:szCs w:val="16"/>
        </w:rPr>
        <w:t xml:space="preserve"> </w:t>
      </w:r>
      <w:r w:rsidR="00F734AC" w:rsidRPr="00D8787B">
        <w:rPr>
          <w:rFonts w:ascii="Verdana" w:hAnsi="Verdana"/>
          <w:sz w:val="16"/>
          <w:szCs w:val="16"/>
          <w:lang/>
        </w:rPr>
        <w:t>CONSEJO DE ESTADO. Sala de Consulta y Servicio Civil.</w:t>
      </w:r>
      <w:r w:rsidR="00F734AC" w:rsidRPr="00D8787B">
        <w:rPr>
          <w:rFonts w:ascii="Verdana" w:hAnsi="Verdana"/>
          <w:b/>
          <w:bCs/>
          <w:sz w:val="16"/>
          <w:szCs w:val="16"/>
          <w:lang/>
        </w:rPr>
        <w:t xml:space="preserve"> </w:t>
      </w:r>
      <w:r w:rsidR="00F734AC" w:rsidRPr="00D8787B">
        <w:rPr>
          <w:rFonts w:ascii="Verdana" w:hAnsi="Verdana"/>
          <w:sz w:val="16"/>
          <w:szCs w:val="16"/>
          <w:lang/>
        </w:rPr>
        <w:t>Concepto del trece (13) de diciembre de dos mil veintidós (2022). Radicación interna: 2489. Número Único: 11001-03-06-000-2022-00250-00. C.P. María del Pilar Bahamón Falla</w:t>
      </w:r>
    </w:p>
  </w:footnote>
  <w:footnote w:id="17">
    <w:p w14:paraId="55FF2E75" w14:textId="77777777" w:rsidR="005B37A7" w:rsidRPr="00D8787B" w:rsidRDefault="005B37A7" w:rsidP="00503884">
      <w:pPr>
        <w:snapToGrid w:val="0"/>
        <w:ind w:firstLine="708"/>
        <w:contextualSpacing/>
        <w:jc w:val="both"/>
        <w:rPr>
          <w:rFonts w:ascii="Verdana" w:hAnsi="Verdana" w:cs="Arial"/>
          <w:sz w:val="16"/>
          <w:szCs w:val="16"/>
        </w:rPr>
      </w:pPr>
      <w:r w:rsidRPr="00D8787B">
        <w:rPr>
          <w:rStyle w:val="Refdenotaalpie"/>
          <w:rFonts w:ascii="Verdana" w:hAnsi="Verdana" w:cs="Arial"/>
          <w:sz w:val="16"/>
          <w:szCs w:val="16"/>
        </w:rPr>
        <w:footnoteRef/>
      </w:r>
      <w:r w:rsidRPr="00D8787B">
        <w:rPr>
          <w:rFonts w:ascii="Verdana" w:hAnsi="Verdana" w:cs="Arial"/>
          <w:sz w:val="16"/>
          <w:szCs w:val="16"/>
        </w:rPr>
        <w:t xml:space="preserve"> CORTE SUPREMA DE JUSTICIA, Sala de Casación Civil, sentencia del 31 de julio de 2018, Radicación n.º 25899-31-03-002-2013-00162-01, M.P. Luis Alonso Rico Puerta.</w:t>
      </w:r>
    </w:p>
  </w:footnote>
  <w:footnote w:id="18">
    <w:p w14:paraId="40760006" w14:textId="77777777" w:rsidR="005B37A7" w:rsidRPr="00D8787B" w:rsidRDefault="005B37A7" w:rsidP="00503884">
      <w:pPr>
        <w:pStyle w:val="Textonotapie"/>
        <w:snapToGrid w:val="0"/>
        <w:ind w:firstLine="708"/>
        <w:contextualSpacing/>
        <w:jc w:val="both"/>
        <w:rPr>
          <w:rFonts w:ascii="Verdana" w:hAnsi="Verdana" w:cs="Arial"/>
          <w:sz w:val="16"/>
          <w:szCs w:val="16"/>
        </w:rPr>
      </w:pPr>
      <w:r w:rsidRPr="00D8787B">
        <w:rPr>
          <w:rStyle w:val="Refdenotaalpie"/>
          <w:rFonts w:ascii="Verdana" w:hAnsi="Verdana" w:cs="Arial"/>
          <w:sz w:val="16"/>
          <w:szCs w:val="16"/>
        </w:rPr>
        <w:footnoteRef/>
      </w:r>
      <w:r w:rsidRPr="00D8787B">
        <w:rPr>
          <w:rFonts w:ascii="Verdana" w:hAnsi="Verdana" w:cs="Arial"/>
          <w:sz w:val="16"/>
          <w:szCs w:val="16"/>
        </w:rPr>
        <w:t xml:space="preserve"> EXPÓSITO VÉLEZ, Juan Carlos. Forma y contenido del contrato estatal. Bogotá: Universidad Externado de Colombia, 2013. p. 181. Frente a este tema, David Suárez Tamayo expresa: </w:t>
      </w:r>
      <w:r w:rsidRPr="00D8787B">
        <w:rPr>
          <w:rFonts w:ascii="Verdana" w:eastAsia="Times New Roman" w:hAnsi="Verdana" w:cs="Arial"/>
          <w:iCs/>
          <w:sz w:val="16"/>
          <w:szCs w:val="16"/>
          <w:lang w:val="es-ES_tradnl"/>
        </w:rPr>
        <w:t>«</w:t>
      </w:r>
      <w:r w:rsidRPr="00D8787B">
        <w:rPr>
          <w:rFonts w:ascii="Verdana" w:hAnsi="Verdana" w:cs="Arial"/>
          <w:sz w:val="16"/>
          <w:szCs w:val="16"/>
        </w:rPr>
        <w:t xml:space="preserve"> […] las multas se han considerado como un apremio, acoso, conminación para que el contratista se ponga al día en sus compromisos, pero igualmente tienen una connotación sancionatoria; de otra parte, la penal pecuniaria es una estimación anticipada, pero no de perjuicios, es decir, tiene un carácter resarcitorio, indemnizatorio, de garantía, pero al igual que las multas, también puede llegar a considerarse como una sanción</w:t>
      </w:r>
      <w:r w:rsidRPr="00D8787B">
        <w:rPr>
          <w:rFonts w:ascii="Verdana" w:eastAsia="Times New Roman" w:hAnsi="Verdana" w:cs="Arial"/>
          <w:iCs/>
          <w:sz w:val="16"/>
          <w:szCs w:val="16"/>
          <w:lang w:val="es-ES_tradnl"/>
        </w:rPr>
        <w:t>»</w:t>
      </w:r>
      <w:r w:rsidRPr="00D8787B">
        <w:rPr>
          <w:rFonts w:ascii="Verdana" w:hAnsi="Verdana" w:cs="Arial"/>
          <w:sz w:val="16"/>
          <w:szCs w:val="16"/>
        </w:rPr>
        <w:t xml:space="preserve"> (</w:t>
      </w:r>
      <w:r w:rsidRPr="00D8787B">
        <w:rPr>
          <w:rFonts w:ascii="Verdana" w:hAnsi="Verdana" w:cs="Arial"/>
          <w:sz w:val="16"/>
          <w:szCs w:val="16"/>
          <w:lang w:val="es-CO"/>
        </w:rPr>
        <w:t xml:space="preserve">SUÁREZ TAMAYO, David. Cláusula de multas y penal pecuniaria. Medellín: Librería Jurídica Sánchez R </w:t>
      </w:r>
      <w:r w:rsidRPr="00D8787B">
        <w:rPr>
          <w:rFonts w:ascii="Verdana" w:hAnsi="Verdana" w:cs="Arial"/>
          <w:sz w:val="16"/>
          <w:szCs w:val="16"/>
          <w:lang w:val="es-CO"/>
        </w:rPr>
        <w:t>Ltda y CEDA, 2014.</w:t>
      </w:r>
      <w:r w:rsidRPr="00D8787B">
        <w:rPr>
          <w:rFonts w:ascii="Verdana" w:hAnsi="Verdana" w:cs="Arial"/>
          <w:sz w:val="16"/>
          <w:szCs w:val="16"/>
        </w:rPr>
        <w:t xml:space="preserve"> p. 10).</w:t>
      </w:r>
    </w:p>
  </w:footnote>
  <w:footnote w:id="19">
    <w:p w14:paraId="09EBCCFC" w14:textId="77777777" w:rsidR="005B37A7" w:rsidRPr="00D8787B" w:rsidRDefault="005B37A7" w:rsidP="00503884">
      <w:pPr>
        <w:pStyle w:val="Textonotapie"/>
        <w:snapToGrid w:val="0"/>
        <w:ind w:firstLine="708"/>
        <w:contextualSpacing/>
        <w:jc w:val="both"/>
        <w:rPr>
          <w:rFonts w:ascii="Verdana" w:hAnsi="Verdana" w:cs="Arial"/>
          <w:sz w:val="16"/>
          <w:szCs w:val="16"/>
          <w:lang w:val="es-CO"/>
        </w:rPr>
      </w:pPr>
      <w:r w:rsidRPr="00D8787B">
        <w:rPr>
          <w:rStyle w:val="Refdenotaalpie"/>
          <w:rFonts w:ascii="Verdana" w:hAnsi="Verdana" w:cs="Arial"/>
          <w:sz w:val="16"/>
          <w:szCs w:val="16"/>
        </w:rPr>
        <w:footnoteRef/>
      </w:r>
      <w:r w:rsidRPr="00D8787B">
        <w:rPr>
          <w:rFonts w:ascii="Verdana" w:hAnsi="Verdana" w:cs="Arial"/>
          <w:sz w:val="16"/>
          <w:szCs w:val="16"/>
        </w:rPr>
        <w:t xml:space="preserve"> Consejo de Estado. Sección Tercera. Op. cit., Exp. 17.009. </w:t>
      </w:r>
      <w:r w:rsidRPr="00D8787B">
        <w:rPr>
          <w:rFonts w:ascii="Verdana" w:hAnsi="Verdana" w:cs="Arial"/>
          <w:i/>
          <w:sz w:val="16"/>
          <w:szCs w:val="16"/>
          <w:lang w:val="es-CO"/>
        </w:rPr>
        <w:t>Ibídem.</w:t>
      </w:r>
      <w:r w:rsidRPr="00D8787B">
        <w:rPr>
          <w:rFonts w:ascii="Verdana" w:hAnsi="Verdana" w:cs="Arial"/>
          <w:sz w:val="16"/>
          <w:szCs w:val="16"/>
          <w:lang w:val="es-CO"/>
        </w:rPr>
        <w:t xml:space="preserve"> </w:t>
      </w:r>
    </w:p>
  </w:footnote>
  <w:footnote w:id="20">
    <w:p w14:paraId="29490DEC" w14:textId="3C98C1EC" w:rsidR="0038041A" w:rsidRPr="00D8787B" w:rsidRDefault="0038041A" w:rsidP="00A6449B">
      <w:pPr>
        <w:pStyle w:val="Textonotapie"/>
        <w:snapToGrid w:val="0"/>
        <w:ind w:firstLine="708"/>
        <w:contextualSpacing/>
        <w:jc w:val="both"/>
        <w:rPr>
          <w:rFonts w:ascii="Verdana" w:hAnsi="Verdana"/>
          <w:sz w:val="16"/>
          <w:szCs w:val="16"/>
          <w:lang w:val="es-ES"/>
        </w:rPr>
      </w:pPr>
      <w:r w:rsidRPr="00D8787B">
        <w:rPr>
          <w:rStyle w:val="Refdenotaalpie"/>
          <w:rFonts w:ascii="Verdana" w:hAnsi="Verdana"/>
          <w:sz w:val="16"/>
          <w:szCs w:val="16"/>
        </w:rPr>
        <w:footnoteRef/>
      </w:r>
      <w:r w:rsidRPr="00D8787B">
        <w:rPr>
          <w:rFonts w:ascii="Verdana" w:hAnsi="Verdana"/>
          <w:sz w:val="16"/>
          <w:szCs w:val="16"/>
        </w:rPr>
        <w:t xml:space="preserve"> </w:t>
      </w:r>
      <w:r w:rsidR="00A6449B" w:rsidRPr="00D8787B">
        <w:rPr>
          <w:rFonts w:ascii="Verdana" w:hAnsi="Verdana"/>
          <w:sz w:val="16"/>
          <w:szCs w:val="16"/>
          <w:lang/>
        </w:rPr>
        <w:t>CONSEJO DE ESTADO. Sala de Consulta y Servicio Civil.</w:t>
      </w:r>
      <w:r w:rsidR="00A6449B" w:rsidRPr="00D8787B">
        <w:rPr>
          <w:rFonts w:ascii="Verdana" w:hAnsi="Verdana"/>
          <w:b/>
          <w:bCs/>
          <w:sz w:val="16"/>
          <w:szCs w:val="16"/>
          <w:lang/>
        </w:rPr>
        <w:t xml:space="preserve"> </w:t>
      </w:r>
      <w:r w:rsidR="00A6449B" w:rsidRPr="00D8787B">
        <w:rPr>
          <w:rFonts w:ascii="Verdana" w:hAnsi="Verdana"/>
          <w:sz w:val="16"/>
          <w:szCs w:val="16"/>
          <w:lang/>
        </w:rPr>
        <w:t>Concepto del trece (13) de diciembre de dos mil veintidós (2022). Radicación interna: 2489. Número Único: 11001-03-06-000-2022-00250-00. C.P. María del Pilar Bahamón Falla</w:t>
      </w:r>
    </w:p>
  </w:footnote>
  <w:footnote w:id="21">
    <w:p w14:paraId="3AED1DE4" w14:textId="77777777" w:rsidR="00B87902" w:rsidRPr="00D8787B" w:rsidRDefault="00B87902" w:rsidP="00B87902">
      <w:pPr>
        <w:pStyle w:val="Textonotapie"/>
        <w:snapToGrid w:val="0"/>
        <w:ind w:firstLine="709"/>
        <w:contextualSpacing/>
        <w:jc w:val="both"/>
        <w:rPr>
          <w:rFonts w:ascii="Verdana" w:hAnsi="Verdana" w:cs="Arial"/>
          <w:color w:val="000000" w:themeColor="text1"/>
          <w:sz w:val="16"/>
          <w:szCs w:val="16"/>
        </w:rPr>
      </w:pPr>
      <w:r w:rsidRPr="00D8787B">
        <w:rPr>
          <w:rStyle w:val="Refdenotaalpie"/>
          <w:rFonts w:ascii="Verdana" w:hAnsi="Verdana" w:cs="Arial"/>
          <w:color w:val="000000" w:themeColor="text1"/>
          <w:sz w:val="16"/>
          <w:szCs w:val="16"/>
        </w:rPr>
        <w:footnoteRef/>
      </w:r>
      <w:r w:rsidRPr="00D8787B">
        <w:rPr>
          <w:rFonts w:ascii="Verdana" w:hAnsi="Verdana" w:cs="Arial"/>
          <w:color w:val="000000" w:themeColor="text1"/>
          <w:sz w:val="16"/>
          <w:szCs w:val="16"/>
        </w:rPr>
        <w:t xml:space="preserve"> Así se desprende del primer inciso de aquel artículo, que dice: «Las entidades sometidas al Estatuto General de Contratación de la Administración Pública podrán declarar el incumplimiento, cuantificando los perjuicios del mismo, imponer las multas y sanciones pactadas en el contrato, y hacer efectiva la cláusula penal. Para tal efecto observarán el siguiente procedimiento […]».</w:t>
      </w:r>
    </w:p>
    <w:p w14:paraId="35A081C1" w14:textId="77777777" w:rsidR="00B87902" w:rsidRPr="00D8787B" w:rsidRDefault="00B87902" w:rsidP="00B87902">
      <w:pPr>
        <w:pStyle w:val="Textonotapie"/>
        <w:snapToGrid w:val="0"/>
        <w:ind w:firstLine="709"/>
        <w:contextualSpacing/>
        <w:jc w:val="both"/>
        <w:rPr>
          <w:rFonts w:ascii="Verdana" w:hAnsi="Verdana" w:cs="Arial"/>
          <w:color w:val="000000" w:themeColor="text1"/>
          <w:sz w:val="16"/>
          <w:szCs w:val="16"/>
        </w:rPr>
      </w:pPr>
    </w:p>
  </w:footnote>
  <w:footnote w:id="22">
    <w:p w14:paraId="699E9F5B" w14:textId="77777777" w:rsidR="00B87902" w:rsidRPr="00D8787B" w:rsidRDefault="00B87902" w:rsidP="00B87902">
      <w:pPr>
        <w:pStyle w:val="Textonotapie"/>
        <w:snapToGrid w:val="0"/>
        <w:ind w:firstLine="709"/>
        <w:contextualSpacing/>
        <w:jc w:val="both"/>
        <w:rPr>
          <w:rFonts w:ascii="Verdana" w:hAnsi="Verdana" w:cs="Arial"/>
          <w:color w:val="000000" w:themeColor="text1"/>
          <w:sz w:val="16"/>
          <w:szCs w:val="16"/>
        </w:rPr>
      </w:pPr>
      <w:r w:rsidRPr="00D8787B">
        <w:rPr>
          <w:rStyle w:val="Refdenotaalpie"/>
          <w:rFonts w:ascii="Verdana" w:hAnsi="Verdana" w:cs="Arial"/>
          <w:sz w:val="16"/>
          <w:szCs w:val="16"/>
        </w:rPr>
        <w:footnoteRef/>
      </w:r>
      <w:r w:rsidRPr="00D8787B">
        <w:rPr>
          <w:rFonts w:ascii="Verdana" w:hAnsi="Verdana" w:cs="Arial"/>
          <w:sz w:val="16"/>
          <w:szCs w:val="16"/>
        </w:rPr>
        <w:t xml:space="preserve"> </w:t>
      </w:r>
      <w:r w:rsidRPr="00D8787B">
        <w:rPr>
          <w:rFonts w:ascii="Verdana" w:hAnsi="Verdana" w:cs="Arial"/>
          <w:color w:val="000000" w:themeColor="text1"/>
          <w:sz w:val="16"/>
          <w:szCs w:val="16"/>
        </w:rPr>
        <w:t xml:space="preserve">Se entiende por entidades de </w:t>
      </w:r>
      <w:r w:rsidRPr="00D8787B">
        <w:rPr>
          <w:rFonts w:ascii="Verdana" w:hAnsi="Verdana" w:cs="Arial"/>
          <w:i/>
          <w:iCs/>
          <w:color w:val="000000" w:themeColor="text1"/>
          <w:sz w:val="16"/>
          <w:szCs w:val="16"/>
        </w:rPr>
        <w:t xml:space="preserve">régimen especial </w:t>
      </w:r>
      <w:r w:rsidRPr="00D8787B">
        <w:rPr>
          <w:rFonts w:ascii="Verdana" w:hAnsi="Verdana" w:cs="Arial"/>
          <w:color w:val="000000" w:themeColor="text1"/>
          <w:sz w:val="16"/>
          <w:szCs w:val="16"/>
        </w:rPr>
        <w:t>aquellas que tienen un régimen contractual distinto al Estatuto General de Contratación de la Administración Pública, y que por regla general se rigen por el derecho privado.</w:t>
      </w:r>
    </w:p>
    <w:p w14:paraId="05544286" w14:textId="77777777" w:rsidR="00B87902" w:rsidRPr="00D8787B" w:rsidRDefault="00B87902" w:rsidP="00B87902">
      <w:pPr>
        <w:pStyle w:val="Textonotapie"/>
        <w:snapToGrid w:val="0"/>
        <w:ind w:firstLine="709"/>
        <w:contextualSpacing/>
        <w:jc w:val="both"/>
        <w:rPr>
          <w:rFonts w:ascii="Verdana" w:hAnsi="Verdana" w:cs="Arial"/>
          <w:sz w:val="16"/>
          <w:szCs w:val="16"/>
          <w:lang w:val="es-CO"/>
        </w:rPr>
      </w:pPr>
    </w:p>
  </w:footnote>
  <w:footnote w:id="23">
    <w:p w14:paraId="0C88C7B4" w14:textId="77777777" w:rsidR="00B87902" w:rsidRPr="00D8787B" w:rsidRDefault="00B87902" w:rsidP="00B87902">
      <w:pPr>
        <w:pStyle w:val="Textonotapie"/>
        <w:snapToGrid w:val="0"/>
        <w:ind w:firstLine="709"/>
        <w:contextualSpacing/>
        <w:jc w:val="both"/>
        <w:rPr>
          <w:rFonts w:ascii="Verdana" w:hAnsi="Verdana" w:cs="Arial"/>
          <w:sz w:val="16"/>
          <w:szCs w:val="16"/>
          <w:lang w:val="es-CO"/>
        </w:rPr>
      </w:pPr>
      <w:r w:rsidRPr="00D8787B">
        <w:rPr>
          <w:rStyle w:val="Refdenotaalpie"/>
          <w:rFonts w:ascii="Verdana" w:hAnsi="Verdana" w:cs="Arial"/>
          <w:sz w:val="16"/>
          <w:szCs w:val="16"/>
        </w:rPr>
        <w:footnoteRef/>
      </w:r>
      <w:r w:rsidRPr="00D8787B">
        <w:rPr>
          <w:rFonts w:ascii="Verdana" w:hAnsi="Verdana" w:cs="Arial"/>
          <w:sz w:val="16"/>
          <w:szCs w:val="16"/>
        </w:rPr>
        <w:t xml:space="preserve"> </w:t>
      </w:r>
      <w:r w:rsidRPr="00D8787B">
        <w:rPr>
          <w:rFonts w:ascii="Verdana" w:hAnsi="Verdana" w:cs="Arial"/>
          <w:color w:val="000000" w:themeColor="text1"/>
          <w:sz w:val="16"/>
          <w:szCs w:val="16"/>
        </w:rPr>
        <w:t>Esto se ha señalado en distintos conceptos de esta Subdirección, como el C-219 del 29 de abril de 2020, el C-280 del 6 de julio de 2020 y el C–434 del 29 de julio de 2020.</w:t>
      </w:r>
    </w:p>
  </w:footnote>
  <w:footnote w:id="24">
    <w:p w14:paraId="7743B1BB" w14:textId="77777777" w:rsidR="001B23AB" w:rsidRPr="00D8787B" w:rsidRDefault="001B23AB" w:rsidP="00503884">
      <w:pPr>
        <w:pStyle w:val="Textonotapie"/>
        <w:snapToGrid w:val="0"/>
        <w:ind w:firstLine="709"/>
        <w:contextualSpacing/>
        <w:jc w:val="both"/>
        <w:rPr>
          <w:rFonts w:ascii="Verdana" w:eastAsia="Calibri" w:hAnsi="Verdana" w:cs="Arial"/>
          <w:color w:val="000000" w:themeColor="text1"/>
          <w:sz w:val="16"/>
          <w:szCs w:val="16"/>
          <w:lang w:val="es-ES_tradnl"/>
        </w:rPr>
      </w:pPr>
      <w:r w:rsidRPr="00D8787B">
        <w:rPr>
          <w:rStyle w:val="Refdenotaalpie"/>
          <w:rFonts w:ascii="Verdana" w:hAnsi="Verdana" w:cs="Arial"/>
          <w:color w:val="000000" w:themeColor="text1"/>
          <w:sz w:val="16"/>
          <w:szCs w:val="16"/>
        </w:rPr>
        <w:footnoteRef/>
      </w:r>
      <w:r w:rsidRPr="00D8787B">
        <w:rPr>
          <w:rFonts w:ascii="Verdana" w:hAnsi="Verdana" w:cs="Arial"/>
          <w:color w:val="000000" w:themeColor="text1"/>
          <w:sz w:val="16"/>
          <w:szCs w:val="16"/>
        </w:rPr>
        <w:t xml:space="preserve"> </w:t>
      </w:r>
      <w:r w:rsidRPr="00D8787B">
        <w:rPr>
          <w:rFonts w:ascii="Verdana" w:eastAsia="Calibri" w:hAnsi="Verdana" w:cs="Arial"/>
          <w:color w:val="000000" w:themeColor="text1"/>
          <w:sz w:val="16"/>
          <w:szCs w:val="16"/>
          <w:lang w:val="es-ES_tradnl"/>
        </w:rPr>
        <w:t>Cfr.</w:t>
      </w:r>
      <w:r w:rsidRPr="00D8787B">
        <w:rPr>
          <w:rFonts w:ascii="Verdana" w:hAnsi="Verdana" w:cs="Arial"/>
          <w:color w:val="000000" w:themeColor="text1"/>
          <w:sz w:val="16"/>
          <w:szCs w:val="16"/>
        </w:rPr>
        <w:t xml:space="preserve"> </w:t>
      </w:r>
      <w:r w:rsidRPr="00D8787B">
        <w:rPr>
          <w:rFonts w:ascii="Verdana" w:eastAsia="Calibri" w:hAnsi="Verdana" w:cs="Arial"/>
          <w:color w:val="000000" w:themeColor="text1"/>
          <w:sz w:val="16"/>
          <w:szCs w:val="16"/>
          <w:lang w:val="es-ES_tradnl"/>
        </w:rPr>
        <w:t xml:space="preserve">CONSEJO DE ESTADO. Sección Tercera. Subsección B. Sentencia del 30 de noviembre de 2016. Rad. 29.368. C.P. Ramiro Pazos Guerrero; Subsección B. Sentencia del 5 de diciembre de 2016. Rad. 35.057. C.P. Ramiro Pazos Guerrero; Subsección A. Sentencia del 27 de noviembre de 2013. Rad. 25.742. C.P. Mauricio Fajardo Gómez; Subsección C. Sentencia del 7 de junio de 2012. Rad. 22.899. C.P. Olga </w:t>
      </w:r>
      <w:r w:rsidRPr="00D8787B">
        <w:rPr>
          <w:rFonts w:ascii="Verdana" w:eastAsia="Calibri" w:hAnsi="Verdana" w:cs="Arial"/>
          <w:color w:val="000000" w:themeColor="text1"/>
          <w:sz w:val="16"/>
          <w:szCs w:val="16"/>
          <w:lang w:val="es-ES_tradnl"/>
        </w:rPr>
        <w:t>Melida Valle de De La Hoz, entre otras.</w:t>
      </w:r>
    </w:p>
  </w:footnote>
  <w:footnote w:id="25">
    <w:p w14:paraId="119A3B6F" w14:textId="1F4F2709" w:rsidR="00363E78" w:rsidRPr="00E824F9" w:rsidRDefault="00363E78" w:rsidP="00E824F9">
      <w:pPr>
        <w:pStyle w:val="Textonotapie"/>
        <w:snapToGrid w:val="0"/>
        <w:ind w:firstLine="708"/>
        <w:contextualSpacing/>
        <w:jc w:val="both"/>
        <w:rPr>
          <w:rFonts w:ascii="Verdana" w:hAnsi="Verdana"/>
          <w:sz w:val="16"/>
          <w:szCs w:val="16"/>
          <w:lang/>
        </w:rPr>
      </w:pPr>
      <w:r w:rsidRPr="00D8787B">
        <w:rPr>
          <w:rStyle w:val="Refdenotaalpie"/>
          <w:rFonts w:ascii="Verdana" w:hAnsi="Verdana"/>
          <w:sz w:val="16"/>
          <w:szCs w:val="16"/>
        </w:rPr>
        <w:footnoteRef/>
      </w:r>
      <w:r w:rsidRPr="00D8787B">
        <w:rPr>
          <w:rFonts w:ascii="Verdana" w:hAnsi="Verdana"/>
          <w:sz w:val="16"/>
          <w:szCs w:val="16"/>
        </w:rPr>
        <w:t xml:space="preserve"> </w:t>
      </w:r>
      <w:r w:rsidR="00B3276A">
        <w:rPr>
          <w:rFonts w:ascii="Verdana" w:hAnsi="Verdana"/>
          <w:sz w:val="16"/>
          <w:szCs w:val="16"/>
          <w:lang/>
        </w:rPr>
        <w:t>V</w:t>
      </w:r>
      <w:r w:rsidR="00B3276A" w:rsidRPr="00B3276A">
        <w:rPr>
          <w:rFonts w:ascii="Verdana" w:hAnsi="Verdana"/>
          <w:sz w:val="16"/>
          <w:szCs w:val="16"/>
          <w:lang/>
        </w:rPr>
        <w:t xml:space="preserve">erano </w:t>
      </w:r>
      <w:r w:rsidR="00B3276A">
        <w:rPr>
          <w:rFonts w:ascii="Verdana" w:hAnsi="Verdana"/>
          <w:sz w:val="16"/>
          <w:szCs w:val="16"/>
          <w:lang/>
        </w:rPr>
        <w:t>H</w:t>
      </w:r>
      <w:r w:rsidR="00B3276A" w:rsidRPr="00B3276A">
        <w:rPr>
          <w:rFonts w:ascii="Verdana" w:hAnsi="Verdana"/>
          <w:sz w:val="16"/>
          <w:szCs w:val="16"/>
          <w:lang/>
        </w:rPr>
        <w:t>enao</w:t>
      </w:r>
      <w:r w:rsidR="00B3276A">
        <w:rPr>
          <w:rFonts w:ascii="Verdana" w:hAnsi="Verdana"/>
          <w:sz w:val="16"/>
          <w:szCs w:val="16"/>
          <w:lang/>
        </w:rPr>
        <w:t>, S</w:t>
      </w:r>
      <w:r w:rsidR="00B3276A" w:rsidRPr="00B3276A">
        <w:rPr>
          <w:rFonts w:ascii="Verdana" w:hAnsi="Verdana"/>
          <w:sz w:val="16"/>
          <w:szCs w:val="16"/>
          <w:lang/>
        </w:rPr>
        <w:t xml:space="preserve">andra </w:t>
      </w:r>
      <w:r w:rsidR="00B3276A">
        <w:rPr>
          <w:rFonts w:ascii="Verdana" w:hAnsi="Verdana"/>
          <w:sz w:val="16"/>
          <w:szCs w:val="16"/>
          <w:lang/>
        </w:rPr>
        <w:t>y N</w:t>
      </w:r>
      <w:r w:rsidR="00B3276A" w:rsidRPr="00B3276A">
        <w:rPr>
          <w:rFonts w:ascii="Verdana" w:hAnsi="Verdana"/>
          <w:sz w:val="16"/>
          <w:szCs w:val="16"/>
          <w:lang/>
        </w:rPr>
        <w:t xml:space="preserve">eira </w:t>
      </w:r>
      <w:r w:rsidR="00B3276A">
        <w:rPr>
          <w:rFonts w:ascii="Verdana" w:hAnsi="Verdana"/>
          <w:sz w:val="16"/>
          <w:szCs w:val="16"/>
          <w:lang/>
        </w:rPr>
        <w:t>P</w:t>
      </w:r>
      <w:r w:rsidR="00B3276A" w:rsidRPr="00B3276A">
        <w:rPr>
          <w:rFonts w:ascii="Verdana" w:hAnsi="Verdana"/>
          <w:sz w:val="16"/>
          <w:szCs w:val="16"/>
          <w:lang/>
        </w:rPr>
        <w:t>ineda</w:t>
      </w:r>
      <w:r w:rsidR="00B3276A">
        <w:rPr>
          <w:rFonts w:ascii="Verdana" w:hAnsi="Verdana"/>
          <w:sz w:val="16"/>
          <w:szCs w:val="16"/>
          <w:lang/>
        </w:rPr>
        <w:t>,</w:t>
      </w:r>
      <w:r w:rsidR="00B3276A" w:rsidRPr="00B3276A">
        <w:rPr>
          <w:rFonts w:ascii="Verdana" w:hAnsi="Verdana"/>
          <w:sz w:val="16"/>
          <w:szCs w:val="16"/>
          <w:lang/>
        </w:rPr>
        <w:t xml:space="preserve"> </w:t>
      </w:r>
      <w:r w:rsidR="00B3276A">
        <w:rPr>
          <w:rFonts w:ascii="Verdana" w:hAnsi="Verdana"/>
          <w:sz w:val="16"/>
          <w:szCs w:val="16"/>
          <w:lang/>
        </w:rPr>
        <w:t>J</w:t>
      </w:r>
      <w:r w:rsidR="00B3276A" w:rsidRPr="00B3276A">
        <w:rPr>
          <w:rFonts w:ascii="Verdana" w:hAnsi="Verdana"/>
          <w:sz w:val="16"/>
          <w:szCs w:val="16"/>
          <w:lang/>
        </w:rPr>
        <w:t xml:space="preserve">uan </w:t>
      </w:r>
      <w:r w:rsidR="00B3276A">
        <w:rPr>
          <w:rFonts w:ascii="Verdana" w:hAnsi="Verdana"/>
          <w:sz w:val="16"/>
          <w:szCs w:val="16"/>
          <w:lang/>
        </w:rPr>
        <w:t>C</w:t>
      </w:r>
      <w:r w:rsidR="00B3276A" w:rsidRPr="00B3276A">
        <w:rPr>
          <w:rFonts w:ascii="Verdana" w:hAnsi="Verdana"/>
          <w:sz w:val="16"/>
          <w:szCs w:val="16"/>
          <w:lang/>
        </w:rPr>
        <w:t>amilo</w:t>
      </w:r>
      <w:r w:rsidR="00E824F9">
        <w:rPr>
          <w:rFonts w:ascii="Verdana" w:hAnsi="Verdana"/>
          <w:sz w:val="16"/>
          <w:szCs w:val="16"/>
          <w:lang/>
        </w:rPr>
        <w:t xml:space="preserve"> (2025)</w:t>
      </w:r>
      <w:r w:rsidR="00B3276A">
        <w:rPr>
          <w:rFonts w:ascii="Verdana" w:hAnsi="Verdana"/>
          <w:sz w:val="16"/>
          <w:szCs w:val="16"/>
          <w:lang/>
        </w:rPr>
        <w:t xml:space="preserve">. </w:t>
      </w:r>
      <w:r w:rsidR="00B3276A" w:rsidRPr="00B3276A">
        <w:rPr>
          <w:rFonts w:ascii="Verdana" w:hAnsi="Verdana"/>
          <w:i/>
          <w:iCs/>
          <w:sz w:val="16"/>
          <w:szCs w:val="16"/>
          <w:lang/>
        </w:rPr>
        <w:t>Vías para hacer efectivas las garantías de cumplimiento de los contratos estatales en Colombia</w:t>
      </w:r>
      <w:r w:rsidR="00B3276A">
        <w:rPr>
          <w:rFonts w:ascii="Verdana" w:hAnsi="Verdana"/>
          <w:i/>
          <w:iCs/>
          <w:sz w:val="16"/>
          <w:szCs w:val="16"/>
          <w:lang/>
        </w:rPr>
        <w:t xml:space="preserve">. </w:t>
      </w:r>
      <w:r w:rsidR="00E824F9" w:rsidRPr="00E824F9">
        <w:rPr>
          <w:rFonts w:ascii="Verdana" w:hAnsi="Verdana"/>
          <w:sz w:val="16"/>
          <w:szCs w:val="16"/>
          <w:lang/>
        </w:rPr>
        <w:t>Las dimensiones de la responsabilidad en la contratación del estado</w:t>
      </w:r>
      <w:r w:rsidR="00E824F9">
        <w:rPr>
          <w:rFonts w:ascii="Verdana" w:hAnsi="Verdana"/>
          <w:sz w:val="16"/>
          <w:szCs w:val="16"/>
          <w:lang/>
        </w:rPr>
        <w:t xml:space="preserve">. </w:t>
      </w:r>
      <w:r w:rsidR="00E824F9" w:rsidRPr="00E824F9">
        <w:rPr>
          <w:rFonts w:ascii="Verdana" w:hAnsi="Verdana"/>
          <w:sz w:val="16"/>
          <w:szCs w:val="16"/>
          <w:lang/>
        </w:rPr>
        <w:t xml:space="preserve">Universidad Externado </w:t>
      </w:r>
      <w:r w:rsidR="00E824F9">
        <w:rPr>
          <w:rFonts w:ascii="Verdana" w:hAnsi="Verdana"/>
          <w:sz w:val="16"/>
          <w:szCs w:val="16"/>
          <w:lang/>
        </w:rPr>
        <w:t>d</w:t>
      </w:r>
      <w:r w:rsidR="00E824F9" w:rsidRPr="00E824F9">
        <w:rPr>
          <w:rFonts w:ascii="Verdana" w:hAnsi="Verdana"/>
          <w:sz w:val="16"/>
          <w:szCs w:val="16"/>
          <w:lang/>
        </w:rPr>
        <w:t>e Colombia</w:t>
      </w:r>
      <w:r w:rsidR="00E824F9">
        <w:rPr>
          <w:rFonts w:ascii="Verdana" w:hAnsi="Verdana"/>
          <w:sz w:val="16"/>
          <w:szCs w:val="16"/>
          <w:lang/>
        </w:rPr>
        <w:t xml:space="preserve">. </w:t>
      </w:r>
      <w:r w:rsidR="00E824F9" w:rsidRPr="00E824F9">
        <w:rPr>
          <w:rFonts w:ascii="Verdana" w:hAnsi="Verdana"/>
          <w:sz w:val="16"/>
          <w:szCs w:val="16"/>
          <w:lang/>
        </w:rPr>
        <w:t>Primera edición</w:t>
      </w:r>
      <w:r w:rsidR="00E824F9">
        <w:rPr>
          <w:rFonts w:ascii="Verdana" w:hAnsi="Verdana"/>
          <w:sz w:val="16"/>
          <w:szCs w:val="16"/>
          <w:lang/>
        </w:rPr>
        <w:t>.</w:t>
      </w:r>
      <w:r w:rsidR="00E824F9" w:rsidRPr="00E824F9">
        <w:rPr>
          <w:rFonts w:ascii="Verdana" w:hAnsi="Verdana"/>
          <w:sz w:val="16"/>
          <w:szCs w:val="16"/>
          <w:lang/>
        </w:rPr>
        <w:t xml:space="preserve"> </w:t>
      </w:r>
    </w:p>
  </w:footnote>
  <w:footnote w:id="26">
    <w:p w14:paraId="5928072C" w14:textId="5BEE69FD" w:rsidR="002C19EA" w:rsidRPr="00D8787B" w:rsidRDefault="002C19EA" w:rsidP="000D383E">
      <w:pPr>
        <w:pStyle w:val="Textonotapie"/>
        <w:snapToGrid w:val="0"/>
        <w:ind w:firstLine="708"/>
        <w:contextualSpacing/>
        <w:jc w:val="both"/>
        <w:rPr>
          <w:rFonts w:ascii="Verdana" w:hAnsi="Verdana"/>
          <w:sz w:val="16"/>
          <w:szCs w:val="16"/>
          <w:lang w:val="es-ES"/>
        </w:rPr>
      </w:pPr>
      <w:r w:rsidRPr="00D8787B">
        <w:rPr>
          <w:rStyle w:val="Refdenotaalpie"/>
          <w:rFonts w:ascii="Verdana" w:hAnsi="Verdana"/>
          <w:sz w:val="16"/>
          <w:szCs w:val="16"/>
        </w:rPr>
        <w:footnoteRef/>
      </w:r>
      <w:r w:rsidRPr="00D8787B">
        <w:rPr>
          <w:rFonts w:ascii="Verdana" w:hAnsi="Verdana"/>
          <w:sz w:val="16"/>
          <w:szCs w:val="16"/>
        </w:rPr>
        <w:t xml:space="preserve"> </w:t>
      </w:r>
      <w:r w:rsidRPr="00D8787B">
        <w:rPr>
          <w:rFonts w:ascii="Verdana" w:hAnsi="Verdana"/>
          <w:sz w:val="16"/>
          <w:szCs w:val="16"/>
          <w:lang w:val="es-CO"/>
        </w:rPr>
        <w:t>Mateus Londoño, Diana Lorena. "Debido proceso probatorio en el procedimiento sancionatorio contractual en Colombia", </w:t>
      </w:r>
      <w:r w:rsidRPr="00D8787B">
        <w:rPr>
          <w:rFonts w:ascii="Verdana" w:hAnsi="Verdana"/>
          <w:i/>
          <w:iCs/>
          <w:sz w:val="16"/>
          <w:szCs w:val="16"/>
          <w:lang w:val="es-CO"/>
        </w:rPr>
        <w:t>Revista digital de Derecho Administrativo, </w:t>
      </w:r>
      <w:r w:rsidRPr="00D8787B">
        <w:rPr>
          <w:rFonts w:ascii="Verdana" w:hAnsi="Verdana"/>
          <w:sz w:val="16"/>
          <w:szCs w:val="16"/>
          <w:lang w:val="es-CO"/>
        </w:rPr>
        <w:t xml:space="preserve">Universidad Externado de Colombia, </w:t>
      </w:r>
      <w:r w:rsidRPr="00D8787B">
        <w:rPr>
          <w:rFonts w:ascii="Verdana" w:hAnsi="Verdana"/>
          <w:sz w:val="16"/>
          <w:szCs w:val="16"/>
          <w:lang w:val="es-CO"/>
        </w:rPr>
        <w:t>n.° 24, 2020, pp. 183-211. DOI: https://doi.org/10.18601/21452946.n24.08.</w:t>
      </w:r>
    </w:p>
  </w:footnote>
  <w:footnote w:id="27">
    <w:p w14:paraId="3BEFAA08" w14:textId="77777777" w:rsidR="00D27AB2" w:rsidRPr="00D8787B" w:rsidRDefault="00D27AB2" w:rsidP="00B3276A">
      <w:pPr>
        <w:snapToGrid w:val="0"/>
        <w:ind w:firstLine="708"/>
        <w:contextualSpacing/>
        <w:jc w:val="both"/>
        <w:rPr>
          <w:rFonts w:ascii="Verdana" w:hAnsi="Verdana" w:cs="Arial"/>
          <w:sz w:val="16"/>
          <w:szCs w:val="16"/>
        </w:rPr>
      </w:pPr>
      <w:r w:rsidRPr="00D8787B">
        <w:rPr>
          <w:rStyle w:val="Refdenotaalpie"/>
          <w:rFonts w:ascii="Verdana" w:hAnsi="Verdana" w:cs="Arial"/>
          <w:sz w:val="16"/>
          <w:szCs w:val="16"/>
        </w:rPr>
        <w:footnoteRef/>
      </w:r>
      <w:r w:rsidRPr="00D8787B">
        <w:rPr>
          <w:rFonts w:ascii="Verdana" w:hAnsi="Verdana" w:cs="Arial"/>
          <w:sz w:val="16"/>
          <w:szCs w:val="16"/>
        </w:rPr>
        <w:t xml:space="preserve"> Consejo de Estado, Sala de lo Contencioso Administrativo, Sección Tercera. Sentencia del 13 de noviembre de 2008, exp. 17009.  </w:t>
      </w:r>
    </w:p>
  </w:footnote>
  <w:footnote w:id="28">
    <w:p w14:paraId="537B8997" w14:textId="77777777" w:rsidR="00363E78" w:rsidRPr="00D8787B" w:rsidRDefault="00363E78" w:rsidP="00503884">
      <w:pPr>
        <w:pStyle w:val="Textonotapie"/>
        <w:snapToGrid w:val="0"/>
        <w:ind w:firstLine="709"/>
        <w:contextualSpacing/>
        <w:jc w:val="both"/>
        <w:rPr>
          <w:rFonts w:ascii="Verdana" w:eastAsia="Calibri" w:hAnsi="Verdana" w:cs="Arial"/>
          <w:color w:val="000000" w:themeColor="text1"/>
          <w:sz w:val="16"/>
          <w:szCs w:val="16"/>
          <w:lang w:val="es-ES_tradnl"/>
        </w:rPr>
      </w:pPr>
      <w:r w:rsidRPr="00D8787B">
        <w:rPr>
          <w:rStyle w:val="Refdenotaalpie"/>
          <w:rFonts w:ascii="Verdana" w:hAnsi="Verdana" w:cs="Arial"/>
          <w:color w:val="000000" w:themeColor="text1"/>
          <w:sz w:val="16"/>
          <w:szCs w:val="16"/>
        </w:rPr>
        <w:footnoteRef/>
      </w:r>
      <w:r w:rsidRPr="00D8787B">
        <w:rPr>
          <w:rFonts w:ascii="Verdana" w:hAnsi="Verdana" w:cs="Arial"/>
          <w:color w:val="000000" w:themeColor="text1"/>
          <w:sz w:val="16"/>
          <w:szCs w:val="16"/>
        </w:rPr>
        <w:t xml:space="preserve"> </w:t>
      </w:r>
      <w:r w:rsidRPr="00D8787B">
        <w:rPr>
          <w:rFonts w:ascii="Verdana" w:eastAsia="Calibri" w:hAnsi="Verdana" w:cs="Arial"/>
          <w:color w:val="000000" w:themeColor="text1"/>
          <w:sz w:val="16"/>
          <w:szCs w:val="16"/>
          <w:lang w:val="es-ES_tradnl"/>
        </w:rPr>
        <w:t>CONSEJO DE ESTADO. Sección Tercera. Sentencia del 23 de junio de 2010. Rad. 16.367. C.P. Enrique Gil Botero. En el mismo sentido, Subsección C. Sentencia del 30 de marzo de 2011. Rad. 20.917. C.P. Enrique Gil Botero, Subsección A. Sentencia del 29 de mayo de 2014. Rad. 27.721. C.P. Hernán Andrade Rincón, Subsección B. Sentencia del 7 de septiembre de 2015. Rad. 45.907. C.P. Jaime Orlando Santofimio Gamboa. Posición contraria, Subsección B. Sentencia del 26 de agosto de 2019. Rad. 44.170. C.P. Alberto Montaña Plata.</w:t>
      </w:r>
    </w:p>
  </w:footnote>
  <w:footnote w:id="29">
    <w:p w14:paraId="05BDEE02" w14:textId="5B0C4368" w:rsidR="00D8787B" w:rsidRPr="00D8787B" w:rsidRDefault="00D8787B" w:rsidP="00D8787B">
      <w:pPr>
        <w:pStyle w:val="Textonotapie"/>
        <w:ind w:firstLine="708"/>
        <w:rPr>
          <w:rFonts w:ascii="Verdana" w:hAnsi="Verdana"/>
          <w:sz w:val="16"/>
          <w:szCs w:val="16"/>
          <w:lang/>
        </w:rPr>
      </w:pPr>
      <w:r w:rsidRPr="00D8787B">
        <w:rPr>
          <w:rStyle w:val="Refdenotaalpie"/>
          <w:rFonts w:ascii="Verdana" w:hAnsi="Verdana"/>
          <w:sz w:val="16"/>
          <w:szCs w:val="16"/>
        </w:rPr>
        <w:footnoteRef/>
      </w:r>
      <w:r w:rsidRPr="00D8787B">
        <w:rPr>
          <w:rFonts w:ascii="Verdana" w:hAnsi="Verdana"/>
          <w:sz w:val="16"/>
          <w:szCs w:val="16"/>
        </w:rPr>
        <w:t xml:space="preserve"> </w:t>
      </w:r>
      <w:r w:rsidRPr="00D8787B">
        <w:rPr>
          <w:rFonts w:ascii="Verdana" w:hAnsi="Verdana"/>
          <w:sz w:val="16"/>
          <w:szCs w:val="16"/>
          <w:lang/>
        </w:rPr>
        <w:t>Consejo de Estado. Sección Tercera. Subsección B. Sentencia del 4 de mayo de 2022. Expediente 2012-00059.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rPr>
        <w:rFonts w:ascii="Verdana" w:hAnsi="Verdana"/>
        <w:b/>
        <w:bCs/>
      </w:rPr>
    </w:pPr>
  </w:p>
  <w:p w14:paraId="7FE1230C" w14:textId="77E53D9F" w:rsidR="004A305D" w:rsidRPr="00DC39FC" w:rsidRDefault="004A305D" w:rsidP="004A305D">
    <w:pPr>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52A74"/>
    <w:multiLevelType w:val="hybridMultilevel"/>
    <w:tmpl w:val="678244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C06310"/>
    <w:multiLevelType w:val="multilevel"/>
    <w:tmpl w:val="B3DA6A4A"/>
    <w:lvl w:ilvl="0">
      <w:start w:val="1"/>
      <w:numFmt w:val="decimal"/>
      <w:lvlText w:val="%1."/>
      <w:lvlJc w:val="lef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2"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5A36B19"/>
    <w:multiLevelType w:val="hybridMultilevel"/>
    <w:tmpl w:val="261425C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4"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5" w15:restartNumberingAfterBreak="0">
    <w:nsid w:val="149549AB"/>
    <w:multiLevelType w:val="hybridMultilevel"/>
    <w:tmpl w:val="DEF623A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4AC4D2C"/>
    <w:multiLevelType w:val="multilevel"/>
    <w:tmpl w:val="8F669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EA26C10"/>
    <w:multiLevelType w:val="hybridMultilevel"/>
    <w:tmpl w:val="215E6E8C"/>
    <w:lvl w:ilvl="0" w:tplc="ECAE6CFA">
      <w:start w:val="2"/>
      <w:numFmt w:val="bullet"/>
      <w:lvlText w:val="-"/>
      <w:lvlJc w:val="left"/>
      <w:pPr>
        <w:ind w:left="720" w:hanging="360"/>
      </w:pPr>
      <w:rPr>
        <w:rFonts w:ascii="Verdana" w:eastAsia="Calibri" w:hAnsi="Verdana"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3627434E"/>
    <w:multiLevelType w:val="hybridMultilevel"/>
    <w:tmpl w:val="A2922DD0"/>
    <w:lvl w:ilvl="0" w:tplc="0C0A000F">
      <w:start w:val="1"/>
      <w:numFmt w:val="decimal"/>
      <w:lvlText w:val="%1."/>
      <w:lvlJc w:val="left"/>
      <w:pPr>
        <w:ind w:left="7307" w:hanging="360"/>
      </w:pPr>
    </w:lvl>
    <w:lvl w:ilvl="1" w:tplc="0C0A0019">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3"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6" w15:restartNumberingAfterBreak="0">
    <w:nsid w:val="636C03B0"/>
    <w:multiLevelType w:val="hybridMultilevel"/>
    <w:tmpl w:val="87183FAA"/>
    <w:lvl w:ilvl="0" w:tplc="240A0007">
      <w:start w:val="1"/>
      <w:numFmt w:val="bullet"/>
      <w:lvlText w:val=""/>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7"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11"/>
  </w:num>
  <w:num w:numId="2" w16cid:durableId="19822139">
    <w:abstractNumId w:val="4"/>
  </w:num>
  <w:num w:numId="3" w16cid:durableId="876742304">
    <w:abstractNumId w:val="9"/>
  </w:num>
  <w:num w:numId="4" w16cid:durableId="24518640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4"/>
  </w:num>
  <w:num w:numId="6" w16cid:durableId="316692925">
    <w:abstractNumId w:val="19"/>
  </w:num>
  <w:num w:numId="7" w16cid:durableId="1946422806">
    <w:abstractNumId w:val="10"/>
  </w:num>
  <w:num w:numId="8" w16cid:durableId="152644682">
    <w:abstractNumId w:val="18"/>
  </w:num>
  <w:num w:numId="9" w16cid:durableId="1317221377">
    <w:abstractNumId w:val="13"/>
  </w:num>
  <w:num w:numId="10" w16cid:durableId="1471245386">
    <w:abstractNumId w:val="17"/>
  </w:num>
  <w:num w:numId="11" w16cid:durableId="289172385">
    <w:abstractNumId w:val="14"/>
  </w:num>
  <w:num w:numId="12" w16cid:durableId="1470781324">
    <w:abstractNumId w:val="2"/>
  </w:num>
  <w:num w:numId="13" w16cid:durableId="1512908409">
    <w:abstractNumId w:val="8"/>
  </w:num>
  <w:num w:numId="14" w16cid:durableId="895897244">
    <w:abstractNumId w:val="20"/>
  </w:num>
  <w:num w:numId="15" w16cid:durableId="390349800">
    <w:abstractNumId w:val="16"/>
  </w:num>
  <w:num w:numId="16" w16cid:durableId="1330140246">
    <w:abstractNumId w:val="1"/>
  </w:num>
  <w:num w:numId="17" w16cid:durableId="679089576">
    <w:abstractNumId w:val="15"/>
  </w:num>
  <w:num w:numId="18" w16cid:durableId="1381053130">
    <w:abstractNumId w:val="12"/>
  </w:num>
  <w:num w:numId="19" w16cid:durableId="1196581550">
    <w:abstractNumId w:val="6"/>
  </w:num>
  <w:num w:numId="20" w16cid:durableId="210121676">
    <w:abstractNumId w:val="3"/>
  </w:num>
  <w:num w:numId="21" w16cid:durableId="1895509721">
    <w:abstractNumId w:val="7"/>
  </w:num>
  <w:num w:numId="22" w16cid:durableId="918909864">
    <w:abstractNumId w:val="0"/>
  </w:num>
  <w:num w:numId="23" w16cid:durableId="197239969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5F27"/>
    <w:rsid w:val="00007403"/>
    <w:rsid w:val="00016F78"/>
    <w:rsid w:val="000272C1"/>
    <w:rsid w:val="00046945"/>
    <w:rsid w:val="0005777C"/>
    <w:rsid w:val="00061B2A"/>
    <w:rsid w:val="000753BF"/>
    <w:rsid w:val="00082362"/>
    <w:rsid w:val="00094216"/>
    <w:rsid w:val="000975D8"/>
    <w:rsid w:val="000A2910"/>
    <w:rsid w:val="000A683E"/>
    <w:rsid w:val="000B19B9"/>
    <w:rsid w:val="000C1F75"/>
    <w:rsid w:val="000D0334"/>
    <w:rsid w:val="000D383E"/>
    <w:rsid w:val="000D44B6"/>
    <w:rsid w:val="000D706E"/>
    <w:rsid w:val="000F04D7"/>
    <w:rsid w:val="000F17DD"/>
    <w:rsid w:val="000F6486"/>
    <w:rsid w:val="000F7FB7"/>
    <w:rsid w:val="00105E76"/>
    <w:rsid w:val="00116827"/>
    <w:rsid w:val="00125105"/>
    <w:rsid w:val="00127233"/>
    <w:rsid w:val="00137E67"/>
    <w:rsid w:val="001511A0"/>
    <w:rsid w:val="001667E6"/>
    <w:rsid w:val="00174633"/>
    <w:rsid w:val="0018486E"/>
    <w:rsid w:val="00184AFE"/>
    <w:rsid w:val="00194E7B"/>
    <w:rsid w:val="00195EC8"/>
    <w:rsid w:val="001A6615"/>
    <w:rsid w:val="001B23AB"/>
    <w:rsid w:val="001E4177"/>
    <w:rsid w:val="001F7DC6"/>
    <w:rsid w:val="002118E6"/>
    <w:rsid w:val="00214066"/>
    <w:rsid w:val="00220701"/>
    <w:rsid w:val="002421BB"/>
    <w:rsid w:val="0025796E"/>
    <w:rsid w:val="002707A2"/>
    <w:rsid w:val="00273271"/>
    <w:rsid w:val="002804B7"/>
    <w:rsid w:val="002816A2"/>
    <w:rsid w:val="002835F1"/>
    <w:rsid w:val="0029453A"/>
    <w:rsid w:val="002951A0"/>
    <w:rsid w:val="002955C7"/>
    <w:rsid w:val="002962BC"/>
    <w:rsid w:val="002A093D"/>
    <w:rsid w:val="002A0DD0"/>
    <w:rsid w:val="002A49AC"/>
    <w:rsid w:val="002A64FD"/>
    <w:rsid w:val="002B7F47"/>
    <w:rsid w:val="002C19EA"/>
    <w:rsid w:val="002C7A84"/>
    <w:rsid w:val="002D2F25"/>
    <w:rsid w:val="002E4FD9"/>
    <w:rsid w:val="00300BAC"/>
    <w:rsid w:val="00322A85"/>
    <w:rsid w:val="00324168"/>
    <w:rsid w:val="00326F5C"/>
    <w:rsid w:val="003336F7"/>
    <w:rsid w:val="00334496"/>
    <w:rsid w:val="003402D5"/>
    <w:rsid w:val="003448F4"/>
    <w:rsid w:val="00363E78"/>
    <w:rsid w:val="00374F5E"/>
    <w:rsid w:val="00377E3E"/>
    <w:rsid w:val="0038041A"/>
    <w:rsid w:val="00381533"/>
    <w:rsid w:val="003A1691"/>
    <w:rsid w:val="003A779E"/>
    <w:rsid w:val="003D0BB3"/>
    <w:rsid w:val="003D0F4D"/>
    <w:rsid w:val="003D198C"/>
    <w:rsid w:val="003D5B0D"/>
    <w:rsid w:val="003D661B"/>
    <w:rsid w:val="003D6EF5"/>
    <w:rsid w:val="003E0499"/>
    <w:rsid w:val="003F06A2"/>
    <w:rsid w:val="003F3941"/>
    <w:rsid w:val="0040232A"/>
    <w:rsid w:val="0040446D"/>
    <w:rsid w:val="00406575"/>
    <w:rsid w:val="00414C74"/>
    <w:rsid w:val="00421C60"/>
    <w:rsid w:val="004269AA"/>
    <w:rsid w:val="0042722E"/>
    <w:rsid w:val="004421EF"/>
    <w:rsid w:val="004448B2"/>
    <w:rsid w:val="0044528D"/>
    <w:rsid w:val="004507D2"/>
    <w:rsid w:val="00455900"/>
    <w:rsid w:val="0046314A"/>
    <w:rsid w:val="00465E1A"/>
    <w:rsid w:val="0047075A"/>
    <w:rsid w:val="004912FB"/>
    <w:rsid w:val="00495796"/>
    <w:rsid w:val="004A1847"/>
    <w:rsid w:val="004A1EC7"/>
    <w:rsid w:val="004A305D"/>
    <w:rsid w:val="004A5513"/>
    <w:rsid w:val="004B1EB7"/>
    <w:rsid w:val="004C0882"/>
    <w:rsid w:val="004C120B"/>
    <w:rsid w:val="004D4FE7"/>
    <w:rsid w:val="004D5788"/>
    <w:rsid w:val="004E10E9"/>
    <w:rsid w:val="004E519F"/>
    <w:rsid w:val="004F21C4"/>
    <w:rsid w:val="004F581D"/>
    <w:rsid w:val="004F685F"/>
    <w:rsid w:val="00503884"/>
    <w:rsid w:val="00515351"/>
    <w:rsid w:val="00522D84"/>
    <w:rsid w:val="00525B45"/>
    <w:rsid w:val="00527EA0"/>
    <w:rsid w:val="00534C59"/>
    <w:rsid w:val="00535FFE"/>
    <w:rsid w:val="005566E8"/>
    <w:rsid w:val="005576CD"/>
    <w:rsid w:val="00562CED"/>
    <w:rsid w:val="0056747C"/>
    <w:rsid w:val="00574867"/>
    <w:rsid w:val="00580081"/>
    <w:rsid w:val="0058584A"/>
    <w:rsid w:val="00591460"/>
    <w:rsid w:val="00595BC6"/>
    <w:rsid w:val="005B37A7"/>
    <w:rsid w:val="005B3816"/>
    <w:rsid w:val="005C3777"/>
    <w:rsid w:val="005C5CDC"/>
    <w:rsid w:val="005D0684"/>
    <w:rsid w:val="005D1027"/>
    <w:rsid w:val="005D3471"/>
    <w:rsid w:val="005D476C"/>
    <w:rsid w:val="00606066"/>
    <w:rsid w:val="00611E92"/>
    <w:rsid w:val="006134A3"/>
    <w:rsid w:val="006219F8"/>
    <w:rsid w:val="006240DB"/>
    <w:rsid w:val="00627ED8"/>
    <w:rsid w:val="00632F9A"/>
    <w:rsid w:val="0066415D"/>
    <w:rsid w:val="00665D70"/>
    <w:rsid w:val="00670B18"/>
    <w:rsid w:val="006900D9"/>
    <w:rsid w:val="0069171F"/>
    <w:rsid w:val="006B5AB5"/>
    <w:rsid w:val="006C715A"/>
    <w:rsid w:val="006D1B50"/>
    <w:rsid w:val="006D3C3D"/>
    <w:rsid w:val="006E2FBB"/>
    <w:rsid w:val="00706C16"/>
    <w:rsid w:val="00710748"/>
    <w:rsid w:val="007240E0"/>
    <w:rsid w:val="00724B0B"/>
    <w:rsid w:val="00732B38"/>
    <w:rsid w:val="00735B7C"/>
    <w:rsid w:val="00736F68"/>
    <w:rsid w:val="00746654"/>
    <w:rsid w:val="00750428"/>
    <w:rsid w:val="007529BD"/>
    <w:rsid w:val="007549E2"/>
    <w:rsid w:val="00756841"/>
    <w:rsid w:val="007649AB"/>
    <w:rsid w:val="00764ED5"/>
    <w:rsid w:val="00771D0C"/>
    <w:rsid w:val="00773844"/>
    <w:rsid w:val="00776F1D"/>
    <w:rsid w:val="007833AC"/>
    <w:rsid w:val="00786EE8"/>
    <w:rsid w:val="007B268C"/>
    <w:rsid w:val="007B7171"/>
    <w:rsid w:val="007C0C0F"/>
    <w:rsid w:val="007C3DC2"/>
    <w:rsid w:val="007D3CFF"/>
    <w:rsid w:val="007D7B1C"/>
    <w:rsid w:val="007E5497"/>
    <w:rsid w:val="007E5BA7"/>
    <w:rsid w:val="00805DC9"/>
    <w:rsid w:val="00806F5F"/>
    <w:rsid w:val="008116C4"/>
    <w:rsid w:val="00820278"/>
    <w:rsid w:val="00825943"/>
    <w:rsid w:val="00846708"/>
    <w:rsid w:val="008520BE"/>
    <w:rsid w:val="008543B3"/>
    <w:rsid w:val="00857E1F"/>
    <w:rsid w:val="00866FFD"/>
    <w:rsid w:val="00867F95"/>
    <w:rsid w:val="00874C17"/>
    <w:rsid w:val="008843B6"/>
    <w:rsid w:val="008854AC"/>
    <w:rsid w:val="0088580F"/>
    <w:rsid w:val="00891928"/>
    <w:rsid w:val="008A446D"/>
    <w:rsid w:val="008A6AF6"/>
    <w:rsid w:val="008B1E1E"/>
    <w:rsid w:val="008D1473"/>
    <w:rsid w:val="008D180B"/>
    <w:rsid w:val="008D2F1C"/>
    <w:rsid w:val="008E010F"/>
    <w:rsid w:val="008F0EA7"/>
    <w:rsid w:val="00902515"/>
    <w:rsid w:val="00903086"/>
    <w:rsid w:val="00912B77"/>
    <w:rsid w:val="00923EEF"/>
    <w:rsid w:val="00934EBE"/>
    <w:rsid w:val="00940F9C"/>
    <w:rsid w:val="009419F9"/>
    <w:rsid w:val="00942014"/>
    <w:rsid w:val="0094530C"/>
    <w:rsid w:val="009538F4"/>
    <w:rsid w:val="0095685E"/>
    <w:rsid w:val="00957150"/>
    <w:rsid w:val="00961B09"/>
    <w:rsid w:val="00961FE3"/>
    <w:rsid w:val="00965334"/>
    <w:rsid w:val="0097093E"/>
    <w:rsid w:val="009735AF"/>
    <w:rsid w:val="00977D86"/>
    <w:rsid w:val="00986851"/>
    <w:rsid w:val="00986AC5"/>
    <w:rsid w:val="009A0DFA"/>
    <w:rsid w:val="009B0700"/>
    <w:rsid w:val="009B22A5"/>
    <w:rsid w:val="009B2D26"/>
    <w:rsid w:val="009B3898"/>
    <w:rsid w:val="009C1E3D"/>
    <w:rsid w:val="009C71FA"/>
    <w:rsid w:val="009C72E7"/>
    <w:rsid w:val="009D14B9"/>
    <w:rsid w:val="009D3058"/>
    <w:rsid w:val="009D5C97"/>
    <w:rsid w:val="009E0279"/>
    <w:rsid w:val="009F3A13"/>
    <w:rsid w:val="00A02840"/>
    <w:rsid w:val="00A065BC"/>
    <w:rsid w:val="00A1006E"/>
    <w:rsid w:val="00A122D3"/>
    <w:rsid w:val="00A17F13"/>
    <w:rsid w:val="00A20739"/>
    <w:rsid w:val="00A30823"/>
    <w:rsid w:val="00A30DA5"/>
    <w:rsid w:val="00A33C78"/>
    <w:rsid w:val="00A3414F"/>
    <w:rsid w:val="00A35EC7"/>
    <w:rsid w:val="00A403FD"/>
    <w:rsid w:val="00A45F37"/>
    <w:rsid w:val="00A46E38"/>
    <w:rsid w:val="00A5333F"/>
    <w:rsid w:val="00A6329A"/>
    <w:rsid w:val="00A6449B"/>
    <w:rsid w:val="00A6501A"/>
    <w:rsid w:val="00AA26DB"/>
    <w:rsid w:val="00AA350E"/>
    <w:rsid w:val="00AB093A"/>
    <w:rsid w:val="00AB0ADB"/>
    <w:rsid w:val="00AB21D1"/>
    <w:rsid w:val="00AB3743"/>
    <w:rsid w:val="00AF3CEC"/>
    <w:rsid w:val="00AF5F1B"/>
    <w:rsid w:val="00B01B1A"/>
    <w:rsid w:val="00B104FF"/>
    <w:rsid w:val="00B113F9"/>
    <w:rsid w:val="00B17E86"/>
    <w:rsid w:val="00B266D4"/>
    <w:rsid w:val="00B3276A"/>
    <w:rsid w:val="00B33172"/>
    <w:rsid w:val="00B35AF2"/>
    <w:rsid w:val="00B3760F"/>
    <w:rsid w:val="00B41776"/>
    <w:rsid w:val="00B4286C"/>
    <w:rsid w:val="00B6160C"/>
    <w:rsid w:val="00B66319"/>
    <w:rsid w:val="00B72CD3"/>
    <w:rsid w:val="00B72FFF"/>
    <w:rsid w:val="00B73C57"/>
    <w:rsid w:val="00B75BCE"/>
    <w:rsid w:val="00B87902"/>
    <w:rsid w:val="00BA21D8"/>
    <w:rsid w:val="00BA40A7"/>
    <w:rsid w:val="00BA7140"/>
    <w:rsid w:val="00BA79F9"/>
    <w:rsid w:val="00BC019F"/>
    <w:rsid w:val="00BC3D36"/>
    <w:rsid w:val="00BC7E86"/>
    <w:rsid w:val="00BD45DC"/>
    <w:rsid w:val="00BD7F72"/>
    <w:rsid w:val="00C04FB3"/>
    <w:rsid w:val="00C07063"/>
    <w:rsid w:val="00C1248C"/>
    <w:rsid w:val="00C17D19"/>
    <w:rsid w:val="00C27517"/>
    <w:rsid w:val="00C330EB"/>
    <w:rsid w:val="00C35ED5"/>
    <w:rsid w:val="00C40181"/>
    <w:rsid w:val="00C41061"/>
    <w:rsid w:val="00C41587"/>
    <w:rsid w:val="00C61FCE"/>
    <w:rsid w:val="00C62706"/>
    <w:rsid w:val="00C65D5F"/>
    <w:rsid w:val="00C754BE"/>
    <w:rsid w:val="00C76B1C"/>
    <w:rsid w:val="00C86F5A"/>
    <w:rsid w:val="00C905CB"/>
    <w:rsid w:val="00C942B6"/>
    <w:rsid w:val="00C96779"/>
    <w:rsid w:val="00CB5E9C"/>
    <w:rsid w:val="00CB6357"/>
    <w:rsid w:val="00CC1B26"/>
    <w:rsid w:val="00CC1D85"/>
    <w:rsid w:val="00CF6132"/>
    <w:rsid w:val="00D1344E"/>
    <w:rsid w:val="00D15656"/>
    <w:rsid w:val="00D24FC7"/>
    <w:rsid w:val="00D27AB2"/>
    <w:rsid w:val="00D27D69"/>
    <w:rsid w:val="00D35EB3"/>
    <w:rsid w:val="00D423A2"/>
    <w:rsid w:val="00D46FDA"/>
    <w:rsid w:val="00D520D8"/>
    <w:rsid w:val="00D6043A"/>
    <w:rsid w:val="00D60F53"/>
    <w:rsid w:val="00D63AC2"/>
    <w:rsid w:val="00D645A5"/>
    <w:rsid w:val="00D70E90"/>
    <w:rsid w:val="00D7383B"/>
    <w:rsid w:val="00D76B4D"/>
    <w:rsid w:val="00D8787B"/>
    <w:rsid w:val="00DA231B"/>
    <w:rsid w:val="00DA4485"/>
    <w:rsid w:val="00DC39FC"/>
    <w:rsid w:val="00DD2255"/>
    <w:rsid w:val="00DD4380"/>
    <w:rsid w:val="00DE2B38"/>
    <w:rsid w:val="00DF5254"/>
    <w:rsid w:val="00DF7FF9"/>
    <w:rsid w:val="00E10260"/>
    <w:rsid w:val="00E1260F"/>
    <w:rsid w:val="00E16408"/>
    <w:rsid w:val="00E204E7"/>
    <w:rsid w:val="00E20894"/>
    <w:rsid w:val="00E245AB"/>
    <w:rsid w:val="00E2536D"/>
    <w:rsid w:val="00E2764C"/>
    <w:rsid w:val="00E27F2E"/>
    <w:rsid w:val="00E3524A"/>
    <w:rsid w:val="00E44FF6"/>
    <w:rsid w:val="00E451FC"/>
    <w:rsid w:val="00E50AFE"/>
    <w:rsid w:val="00E50D1B"/>
    <w:rsid w:val="00E75C92"/>
    <w:rsid w:val="00E771DC"/>
    <w:rsid w:val="00E824F9"/>
    <w:rsid w:val="00E8772A"/>
    <w:rsid w:val="00E902D4"/>
    <w:rsid w:val="00E90F6B"/>
    <w:rsid w:val="00E92C27"/>
    <w:rsid w:val="00EA0E3D"/>
    <w:rsid w:val="00EA1C27"/>
    <w:rsid w:val="00EA63CD"/>
    <w:rsid w:val="00EC2F74"/>
    <w:rsid w:val="00EC38A7"/>
    <w:rsid w:val="00EC40EB"/>
    <w:rsid w:val="00ED305C"/>
    <w:rsid w:val="00ED7384"/>
    <w:rsid w:val="00EE1AA8"/>
    <w:rsid w:val="00EF69E7"/>
    <w:rsid w:val="00EF7B26"/>
    <w:rsid w:val="00F12A7E"/>
    <w:rsid w:val="00F1722F"/>
    <w:rsid w:val="00F31EDC"/>
    <w:rsid w:val="00F3503D"/>
    <w:rsid w:val="00F462B3"/>
    <w:rsid w:val="00F46AD3"/>
    <w:rsid w:val="00F46D56"/>
    <w:rsid w:val="00F51595"/>
    <w:rsid w:val="00F5664F"/>
    <w:rsid w:val="00F6008B"/>
    <w:rsid w:val="00F666C4"/>
    <w:rsid w:val="00F734AC"/>
    <w:rsid w:val="00F76AFC"/>
    <w:rsid w:val="00F94AEE"/>
    <w:rsid w:val="00FA47C0"/>
    <w:rsid w:val="00FB26E0"/>
    <w:rsid w:val="00FB5DD1"/>
    <w:rsid w:val="00FC2B5D"/>
    <w:rsid w:val="00FC4E96"/>
    <w:rsid w:val="00FD3ECA"/>
    <w:rsid w:val="00FE6AD7"/>
    <w:rsid w:val="00FF1449"/>
    <w:rsid w:val="00FF2FFF"/>
    <w:rsid w:val="00FF56F9"/>
    <w:rsid w:val="15F54529"/>
    <w:rsid w:val="165E9519"/>
    <w:rsid w:val="28F489B6"/>
    <w:rsid w:val="382536D9"/>
    <w:rsid w:val="3F4931A3"/>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2EB747DB-FA94-D341-8124-8F91A42565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0684"/>
    <w:pPr>
      <w:spacing w:after="0" w:line="240" w:lineRule="auto"/>
    </w:pPr>
    <w:rPr>
      <w:rFonts w:ascii="Times New Roman" w:eastAsia="Times New Roman" w:hAnsi="Times New Roman" w:cs="Times New Roman"/>
      <w:sz w:val="24"/>
      <w:szCs w:val="24"/>
      <w:lang/>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pPr>
    <w:rPr>
      <w:rFonts w:asciiTheme="minorHAnsi" w:eastAsiaTheme="minorHAnsi" w:hAnsiTheme="minorHAnsi" w:cstheme="minorBidi"/>
      <w:sz w:val="22"/>
      <w:szCs w:val="22"/>
      <w:lang w:val="es-CO"/>
    </w:r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pPr>
    <w:rPr>
      <w:rFonts w:asciiTheme="minorHAnsi" w:eastAsiaTheme="minorHAnsi" w:hAnsiTheme="minorHAnsi" w:cstheme="minorBidi"/>
      <w:sz w:val="22"/>
      <w:szCs w:val="22"/>
      <w:lang w:val="es-CO"/>
    </w:r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rPr>
      <w:rFonts w:asciiTheme="minorHAnsi" w:eastAsiaTheme="minorHAnsi" w:hAnsiTheme="minorHAnsi" w:cstheme="minorBidi"/>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spacing w:after="160" w:line="259" w:lineRule="auto"/>
      <w:ind w:left="720"/>
      <w:contextualSpacing/>
    </w:pPr>
    <w:rPr>
      <w:rFonts w:ascii="Geomanist Light" w:eastAsiaTheme="minorHAnsi" w:hAnsi="Geomanist Light" w:cstheme="minorBidi"/>
      <w:sz w:val="22"/>
      <w:szCs w:val="22"/>
      <w:lang w:val="es-ES"/>
    </w:rPr>
  </w:style>
  <w:style w:type="paragraph" w:styleId="Ttulo">
    <w:name w:val="Title"/>
    <w:basedOn w:val="Normal"/>
    <w:next w:val="Normal"/>
    <w:link w:val="TtuloCar"/>
    <w:uiPriority w:val="10"/>
    <w:qFormat/>
    <w:rsid w:val="005566E8"/>
    <w:pPr>
      <w:contextualSpacing/>
    </w:pPr>
    <w:rPr>
      <w:rFonts w:ascii="Geomanist" w:eastAsiaTheme="majorEastAsia" w:hAnsi="Geomanist" w:cstheme="majorBidi"/>
      <w:spacing w:val="-10"/>
      <w:kern w:val="28"/>
      <w:sz w:val="22"/>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pPr>
    <w:rPr>
      <w:lang w:val="es-CO"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pPr>
    <w:rPr>
      <w:lang w:val="es-CO" w:eastAsia="es-CO"/>
    </w:rPr>
  </w:style>
  <w:style w:type="paragraph" w:customStyle="1" w:styleId="blanco">
    <w:name w:val="blanco"/>
    <w:basedOn w:val="Normal"/>
    <w:rsid w:val="00C76B1C"/>
    <w:pPr>
      <w:spacing w:before="100" w:beforeAutospacing="1" w:after="100" w:afterAutospacing="1"/>
    </w:pPr>
    <w:rPr>
      <w:lang w:val="es-CO"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606066"/>
    <w:pPr>
      <w:spacing w:after="160" w:line="240" w:lineRule="exact"/>
    </w:pPr>
    <w:rPr>
      <w:rFonts w:asciiTheme="minorHAnsi" w:eastAsiaTheme="minorHAnsi" w:hAnsiTheme="minorHAnsi" w:cstheme="minorBidi"/>
      <w:sz w:val="22"/>
      <w:szCs w:val="22"/>
      <w:vertAlign w:val="superscript"/>
      <w:lang w:val="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606066"/>
    <w:rPr>
      <w:rFonts w:ascii="Geomanist Light" w:hAnsi="Geomanist Light"/>
      <w:lang w:val="es-ES"/>
    </w:rPr>
  </w:style>
  <w:style w:type="character" w:customStyle="1" w:styleId="s15">
    <w:name w:val="s15"/>
    <w:basedOn w:val="Fuentedeprrafopredeter"/>
    <w:rsid w:val="00606066"/>
  </w:style>
  <w:style w:type="character" w:customStyle="1" w:styleId="apple-converted-space">
    <w:name w:val="apple-converted-space"/>
    <w:basedOn w:val="Fuentedeprrafopredeter"/>
    <w:rsid w:val="00606066"/>
  </w:style>
  <w:style w:type="character" w:styleId="Refdecomentario">
    <w:name w:val="annotation reference"/>
    <w:basedOn w:val="Fuentedeprrafopredeter"/>
    <w:uiPriority w:val="99"/>
    <w:semiHidden/>
    <w:unhideWhenUsed/>
    <w:rsid w:val="00825943"/>
    <w:rPr>
      <w:sz w:val="16"/>
      <w:szCs w:val="16"/>
    </w:rPr>
  </w:style>
  <w:style w:type="paragraph" w:styleId="Textocomentario">
    <w:name w:val="annotation text"/>
    <w:basedOn w:val="Normal"/>
    <w:link w:val="TextocomentarioCar"/>
    <w:uiPriority w:val="99"/>
    <w:unhideWhenUsed/>
    <w:rsid w:val="00825943"/>
    <w:pPr>
      <w:spacing w:after="160"/>
    </w:pPr>
    <w:rPr>
      <w:rFonts w:asciiTheme="minorHAnsi" w:eastAsiaTheme="minorHAnsi" w:hAnsiTheme="minorHAnsi" w:cstheme="minorBidi"/>
      <w:sz w:val="20"/>
      <w:szCs w:val="20"/>
      <w:lang w:val="es-CO"/>
    </w:rPr>
  </w:style>
  <w:style w:type="character" w:customStyle="1" w:styleId="TextocomentarioCar">
    <w:name w:val="Texto comentario Car"/>
    <w:basedOn w:val="Fuentedeprrafopredeter"/>
    <w:link w:val="Textocomentario"/>
    <w:uiPriority w:val="99"/>
    <w:rsid w:val="00825943"/>
    <w:rPr>
      <w:sz w:val="20"/>
      <w:szCs w:val="20"/>
    </w:rPr>
  </w:style>
  <w:style w:type="paragraph" w:styleId="Asuntodelcomentario">
    <w:name w:val="annotation subject"/>
    <w:basedOn w:val="Textocomentario"/>
    <w:next w:val="Textocomentario"/>
    <w:link w:val="AsuntodelcomentarioCar"/>
    <w:uiPriority w:val="99"/>
    <w:semiHidden/>
    <w:unhideWhenUsed/>
    <w:rsid w:val="00825943"/>
    <w:rPr>
      <w:b/>
      <w:bCs/>
    </w:rPr>
  </w:style>
  <w:style w:type="character" w:customStyle="1" w:styleId="AsuntodelcomentarioCar">
    <w:name w:val="Asunto del comentario Car"/>
    <w:basedOn w:val="TextocomentarioCar"/>
    <w:link w:val="Asuntodelcomentario"/>
    <w:uiPriority w:val="99"/>
    <w:semiHidden/>
    <w:rsid w:val="00825943"/>
    <w:rPr>
      <w:b/>
      <w:bCs/>
      <w:sz w:val="20"/>
      <w:szCs w:val="20"/>
    </w:rPr>
  </w:style>
  <w:style w:type="paragraph" w:customStyle="1" w:styleId="estilo1">
    <w:name w:val="estilo1"/>
    <w:basedOn w:val="Normal"/>
    <w:rsid w:val="00B3760F"/>
    <w:pPr>
      <w:spacing w:before="100" w:beforeAutospacing="1" w:after="100" w:afterAutospacing="1"/>
    </w:pPr>
    <w:rPr>
      <w:lang w:val="es-ES" w:eastAsia="es-ES"/>
    </w:rPr>
  </w:style>
  <w:style w:type="character" w:styleId="Textoennegrita">
    <w:name w:val="Strong"/>
    <w:basedOn w:val="Fuentedeprrafopredeter"/>
    <w:uiPriority w:val="22"/>
    <w:qFormat/>
    <w:rsid w:val="00874C17"/>
    <w:rPr>
      <w:b/>
      <w:bCs/>
    </w:rPr>
  </w:style>
  <w:style w:type="character" w:styleId="nfasis">
    <w:name w:val="Emphasis"/>
    <w:basedOn w:val="Fuentedeprrafopredeter"/>
    <w:uiPriority w:val="20"/>
    <w:qFormat/>
    <w:rsid w:val="00874C1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002580">
      <w:bodyDiv w:val="1"/>
      <w:marLeft w:val="0"/>
      <w:marRight w:val="0"/>
      <w:marTop w:val="0"/>
      <w:marBottom w:val="0"/>
      <w:divBdr>
        <w:top w:val="none" w:sz="0" w:space="0" w:color="auto"/>
        <w:left w:val="none" w:sz="0" w:space="0" w:color="auto"/>
        <w:bottom w:val="none" w:sz="0" w:space="0" w:color="auto"/>
        <w:right w:val="none" w:sz="0" w:space="0" w:color="auto"/>
      </w:divBdr>
      <w:divsChild>
        <w:div w:id="1058170961">
          <w:marLeft w:val="0"/>
          <w:marRight w:val="0"/>
          <w:marTop w:val="0"/>
          <w:marBottom w:val="0"/>
          <w:divBdr>
            <w:top w:val="none" w:sz="0" w:space="0" w:color="auto"/>
            <w:left w:val="none" w:sz="0" w:space="0" w:color="auto"/>
            <w:bottom w:val="none" w:sz="0" w:space="0" w:color="auto"/>
            <w:right w:val="none" w:sz="0" w:space="0" w:color="auto"/>
          </w:divBdr>
          <w:divsChild>
            <w:div w:id="1108694704">
              <w:marLeft w:val="0"/>
              <w:marRight w:val="0"/>
              <w:marTop w:val="0"/>
              <w:marBottom w:val="0"/>
              <w:divBdr>
                <w:top w:val="none" w:sz="0" w:space="0" w:color="auto"/>
                <w:left w:val="none" w:sz="0" w:space="0" w:color="auto"/>
                <w:bottom w:val="none" w:sz="0" w:space="0" w:color="auto"/>
                <w:right w:val="none" w:sz="0" w:space="0" w:color="auto"/>
              </w:divBdr>
              <w:divsChild>
                <w:div w:id="1259172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261134">
      <w:bodyDiv w:val="1"/>
      <w:marLeft w:val="0"/>
      <w:marRight w:val="0"/>
      <w:marTop w:val="0"/>
      <w:marBottom w:val="0"/>
      <w:divBdr>
        <w:top w:val="none" w:sz="0" w:space="0" w:color="auto"/>
        <w:left w:val="none" w:sz="0" w:space="0" w:color="auto"/>
        <w:bottom w:val="none" w:sz="0" w:space="0" w:color="auto"/>
        <w:right w:val="none" w:sz="0" w:space="0" w:color="auto"/>
      </w:divBdr>
      <w:divsChild>
        <w:div w:id="465128093">
          <w:marLeft w:val="0"/>
          <w:marRight w:val="0"/>
          <w:marTop w:val="0"/>
          <w:marBottom w:val="0"/>
          <w:divBdr>
            <w:top w:val="none" w:sz="0" w:space="0" w:color="auto"/>
            <w:left w:val="none" w:sz="0" w:space="0" w:color="auto"/>
            <w:bottom w:val="none" w:sz="0" w:space="0" w:color="auto"/>
            <w:right w:val="none" w:sz="0" w:space="0" w:color="auto"/>
          </w:divBdr>
          <w:divsChild>
            <w:div w:id="1993362471">
              <w:marLeft w:val="0"/>
              <w:marRight w:val="0"/>
              <w:marTop w:val="0"/>
              <w:marBottom w:val="0"/>
              <w:divBdr>
                <w:top w:val="none" w:sz="0" w:space="0" w:color="auto"/>
                <w:left w:val="none" w:sz="0" w:space="0" w:color="auto"/>
                <w:bottom w:val="none" w:sz="0" w:space="0" w:color="auto"/>
                <w:right w:val="none" w:sz="0" w:space="0" w:color="auto"/>
              </w:divBdr>
              <w:divsChild>
                <w:div w:id="777793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668582">
      <w:bodyDiv w:val="1"/>
      <w:marLeft w:val="0"/>
      <w:marRight w:val="0"/>
      <w:marTop w:val="0"/>
      <w:marBottom w:val="0"/>
      <w:divBdr>
        <w:top w:val="none" w:sz="0" w:space="0" w:color="auto"/>
        <w:left w:val="none" w:sz="0" w:space="0" w:color="auto"/>
        <w:bottom w:val="none" w:sz="0" w:space="0" w:color="auto"/>
        <w:right w:val="none" w:sz="0" w:space="0" w:color="auto"/>
      </w:divBdr>
    </w:div>
    <w:div w:id="69817032">
      <w:bodyDiv w:val="1"/>
      <w:marLeft w:val="0"/>
      <w:marRight w:val="0"/>
      <w:marTop w:val="0"/>
      <w:marBottom w:val="0"/>
      <w:divBdr>
        <w:top w:val="none" w:sz="0" w:space="0" w:color="auto"/>
        <w:left w:val="none" w:sz="0" w:space="0" w:color="auto"/>
        <w:bottom w:val="none" w:sz="0" w:space="0" w:color="auto"/>
        <w:right w:val="none" w:sz="0" w:space="0" w:color="auto"/>
      </w:divBdr>
      <w:divsChild>
        <w:div w:id="1850873741">
          <w:marLeft w:val="0"/>
          <w:marRight w:val="0"/>
          <w:marTop w:val="0"/>
          <w:marBottom w:val="0"/>
          <w:divBdr>
            <w:top w:val="none" w:sz="0" w:space="0" w:color="auto"/>
            <w:left w:val="none" w:sz="0" w:space="0" w:color="auto"/>
            <w:bottom w:val="none" w:sz="0" w:space="0" w:color="auto"/>
            <w:right w:val="none" w:sz="0" w:space="0" w:color="auto"/>
          </w:divBdr>
          <w:divsChild>
            <w:div w:id="255211103">
              <w:marLeft w:val="0"/>
              <w:marRight w:val="0"/>
              <w:marTop w:val="0"/>
              <w:marBottom w:val="0"/>
              <w:divBdr>
                <w:top w:val="none" w:sz="0" w:space="0" w:color="auto"/>
                <w:left w:val="none" w:sz="0" w:space="0" w:color="auto"/>
                <w:bottom w:val="none" w:sz="0" w:space="0" w:color="auto"/>
                <w:right w:val="none" w:sz="0" w:space="0" w:color="auto"/>
              </w:divBdr>
              <w:divsChild>
                <w:div w:id="1728871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632624">
      <w:bodyDiv w:val="1"/>
      <w:marLeft w:val="0"/>
      <w:marRight w:val="0"/>
      <w:marTop w:val="0"/>
      <w:marBottom w:val="0"/>
      <w:divBdr>
        <w:top w:val="none" w:sz="0" w:space="0" w:color="auto"/>
        <w:left w:val="none" w:sz="0" w:space="0" w:color="auto"/>
        <w:bottom w:val="none" w:sz="0" w:space="0" w:color="auto"/>
        <w:right w:val="none" w:sz="0" w:space="0" w:color="auto"/>
      </w:divBdr>
      <w:divsChild>
        <w:div w:id="1477800508">
          <w:marLeft w:val="0"/>
          <w:marRight w:val="0"/>
          <w:marTop w:val="0"/>
          <w:marBottom w:val="0"/>
          <w:divBdr>
            <w:top w:val="none" w:sz="0" w:space="0" w:color="auto"/>
            <w:left w:val="none" w:sz="0" w:space="0" w:color="auto"/>
            <w:bottom w:val="none" w:sz="0" w:space="0" w:color="auto"/>
            <w:right w:val="none" w:sz="0" w:space="0" w:color="auto"/>
          </w:divBdr>
          <w:divsChild>
            <w:div w:id="235752572">
              <w:marLeft w:val="0"/>
              <w:marRight w:val="0"/>
              <w:marTop w:val="0"/>
              <w:marBottom w:val="0"/>
              <w:divBdr>
                <w:top w:val="none" w:sz="0" w:space="0" w:color="auto"/>
                <w:left w:val="none" w:sz="0" w:space="0" w:color="auto"/>
                <w:bottom w:val="none" w:sz="0" w:space="0" w:color="auto"/>
                <w:right w:val="none" w:sz="0" w:space="0" w:color="auto"/>
              </w:divBdr>
              <w:divsChild>
                <w:div w:id="1673410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058869">
      <w:bodyDiv w:val="1"/>
      <w:marLeft w:val="0"/>
      <w:marRight w:val="0"/>
      <w:marTop w:val="0"/>
      <w:marBottom w:val="0"/>
      <w:divBdr>
        <w:top w:val="none" w:sz="0" w:space="0" w:color="auto"/>
        <w:left w:val="none" w:sz="0" w:space="0" w:color="auto"/>
        <w:bottom w:val="none" w:sz="0" w:space="0" w:color="auto"/>
        <w:right w:val="none" w:sz="0" w:space="0" w:color="auto"/>
      </w:divBdr>
      <w:divsChild>
        <w:div w:id="770932508">
          <w:marLeft w:val="0"/>
          <w:marRight w:val="0"/>
          <w:marTop w:val="0"/>
          <w:marBottom w:val="0"/>
          <w:divBdr>
            <w:top w:val="none" w:sz="0" w:space="0" w:color="auto"/>
            <w:left w:val="none" w:sz="0" w:space="0" w:color="auto"/>
            <w:bottom w:val="none" w:sz="0" w:space="0" w:color="auto"/>
            <w:right w:val="none" w:sz="0" w:space="0" w:color="auto"/>
          </w:divBdr>
          <w:divsChild>
            <w:div w:id="1583027299">
              <w:marLeft w:val="0"/>
              <w:marRight w:val="0"/>
              <w:marTop w:val="0"/>
              <w:marBottom w:val="0"/>
              <w:divBdr>
                <w:top w:val="none" w:sz="0" w:space="0" w:color="auto"/>
                <w:left w:val="none" w:sz="0" w:space="0" w:color="auto"/>
                <w:bottom w:val="none" w:sz="0" w:space="0" w:color="auto"/>
                <w:right w:val="none" w:sz="0" w:space="0" w:color="auto"/>
              </w:divBdr>
              <w:divsChild>
                <w:div w:id="1628513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314911">
      <w:bodyDiv w:val="1"/>
      <w:marLeft w:val="0"/>
      <w:marRight w:val="0"/>
      <w:marTop w:val="0"/>
      <w:marBottom w:val="0"/>
      <w:divBdr>
        <w:top w:val="none" w:sz="0" w:space="0" w:color="auto"/>
        <w:left w:val="none" w:sz="0" w:space="0" w:color="auto"/>
        <w:bottom w:val="none" w:sz="0" w:space="0" w:color="auto"/>
        <w:right w:val="none" w:sz="0" w:space="0" w:color="auto"/>
      </w:divBdr>
    </w:div>
    <w:div w:id="168646231">
      <w:bodyDiv w:val="1"/>
      <w:marLeft w:val="0"/>
      <w:marRight w:val="0"/>
      <w:marTop w:val="0"/>
      <w:marBottom w:val="0"/>
      <w:divBdr>
        <w:top w:val="none" w:sz="0" w:space="0" w:color="auto"/>
        <w:left w:val="none" w:sz="0" w:space="0" w:color="auto"/>
        <w:bottom w:val="none" w:sz="0" w:space="0" w:color="auto"/>
        <w:right w:val="none" w:sz="0" w:space="0" w:color="auto"/>
      </w:divBdr>
      <w:divsChild>
        <w:div w:id="1971352558">
          <w:marLeft w:val="0"/>
          <w:marRight w:val="0"/>
          <w:marTop w:val="0"/>
          <w:marBottom w:val="0"/>
          <w:divBdr>
            <w:top w:val="none" w:sz="0" w:space="0" w:color="auto"/>
            <w:left w:val="none" w:sz="0" w:space="0" w:color="auto"/>
            <w:bottom w:val="none" w:sz="0" w:space="0" w:color="auto"/>
            <w:right w:val="none" w:sz="0" w:space="0" w:color="auto"/>
          </w:divBdr>
          <w:divsChild>
            <w:div w:id="367266049">
              <w:marLeft w:val="0"/>
              <w:marRight w:val="0"/>
              <w:marTop w:val="0"/>
              <w:marBottom w:val="0"/>
              <w:divBdr>
                <w:top w:val="none" w:sz="0" w:space="0" w:color="auto"/>
                <w:left w:val="none" w:sz="0" w:space="0" w:color="auto"/>
                <w:bottom w:val="none" w:sz="0" w:space="0" w:color="auto"/>
                <w:right w:val="none" w:sz="0" w:space="0" w:color="auto"/>
              </w:divBdr>
              <w:divsChild>
                <w:div w:id="781219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876725">
      <w:bodyDiv w:val="1"/>
      <w:marLeft w:val="0"/>
      <w:marRight w:val="0"/>
      <w:marTop w:val="0"/>
      <w:marBottom w:val="0"/>
      <w:divBdr>
        <w:top w:val="none" w:sz="0" w:space="0" w:color="auto"/>
        <w:left w:val="none" w:sz="0" w:space="0" w:color="auto"/>
        <w:bottom w:val="none" w:sz="0" w:space="0" w:color="auto"/>
        <w:right w:val="none" w:sz="0" w:space="0" w:color="auto"/>
      </w:divBdr>
      <w:divsChild>
        <w:div w:id="1624113382">
          <w:marLeft w:val="0"/>
          <w:marRight w:val="0"/>
          <w:marTop w:val="0"/>
          <w:marBottom w:val="0"/>
          <w:divBdr>
            <w:top w:val="none" w:sz="0" w:space="0" w:color="auto"/>
            <w:left w:val="none" w:sz="0" w:space="0" w:color="auto"/>
            <w:bottom w:val="none" w:sz="0" w:space="0" w:color="auto"/>
            <w:right w:val="none" w:sz="0" w:space="0" w:color="auto"/>
          </w:divBdr>
          <w:divsChild>
            <w:div w:id="23482022">
              <w:marLeft w:val="0"/>
              <w:marRight w:val="0"/>
              <w:marTop w:val="0"/>
              <w:marBottom w:val="0"/>
              <w:divBdr>
                <w:top w:val="none" w:sz="0" w:space="0" w:color="auto"/>
                <w:left w:val="none" w:sz="0" w:space="0" w:color="auto"/>
                <w:bottom w:val="none" w:sz="0" w:space="0" w:color="auto"/>
                <w:right w:val="none" w:sz="0" w:space="0" w:color="auto"/>
              </w:divBdr>
              <w:divsChild>
                <w:div w:id="1032802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002928">
      <w:bodyDiv w:val="1"/>
      <w:marLeft w:val="0"/>
      <w:marRight w:val="0"/>
      <w:marTop w:val="0"/>
      <w:marBottom w:val="0"/>
      <w:divBdr>
        <w:top w:val="none" w:sz="0" w:space="0" w:color="auto"/>
        <w:left w:val="none" w:sz="0" w:space="0" w:color="auto"/>
        <w:bottom w:val="none" w:sz="0" w:space="0" w:color="auto"/>
        <w:right w:val="none" w:sz="0" w:space="0" w:color="auto"/>
      </w:divBdr>
      <w:divsChild>
        <w:div w:id="1924601020">
          <w:marLeft w:val="0"/>
          <w:marRight w:val="0"/>
          <w:marTop w:val="0"/>
          <w:marBottom w:val="0"/>
          <w:divBdr>
            <w:top w:val="none" w:sz="0" w:space="0" w:color="auto"/>
            <w:left w:val="none" w:sz="0" w:space="0" w:color="auto"/>
            <w:bottom w:val="none" w:sz="0" w:space="0" w:color="auto"/>
            <w:right w:val="none" w:sz="0" w:space="0" w:color="auto"/>
          </w:divBdr>
          <w:divsChild>
            <w:div w:id="630984047">
              <w:marLeft w:val="0"/>
              <w:marRight w:val="0"/>
              <w:marTop w:val="0"/>
              <w:marBottom w:val="0"/>
              <w:divBdr>
                <w:top w:val="none" w:sz="0" w:space="0" w:color="auto"/>
                <w:left w:val="none" w:sz="0" w:space="0" w:color="auto"/>
                <w:bottom w:val="none" w:sz="0" w:space="0" w:color="auto"/>
                <w:right w:val="none" w:sz="0" w:space="0" w:color="auto"/>
              </w:divBdr>
              <w:divsChild>
                <w:div w:id="960574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9748855">
      <w:bodyDiv w:val="1"/>
      <w:marLeft w:val="0"/>
      <w:marRight w:val="0"/>
      <w:marTop w:val="0"/>
      <w:marBottom w:val="0"/>
      <w:divBdr>
        <w:top w:val="none" w:sz="0" w:space="0" w:color="auto"/>
        <w:left w:val="none" w:sz="0" w:space="0" w:color="auto"/>
        <w:bottom w:val="none" w:sz="0" w:space="0" w:color="auto"/>
        <w:right w:val="none" w:sz="0" w:space="0" w:color="auto"/>
      </w:divBdr>
      <w:divsChild>
        <w:div w:id="205994102">
          <w:marLeft w:val="0"/>
          <w:marRight w:val="0"/>
          <w:marTop w:val="0"/>
          <w:marBottom w:val="0"/>
          <w:divBdr>
            <w:top w:val="none" w:sz="0" w:space="0" w:color="auto"/>
            <w:left w:val="none" w:sz="0" w:space="0" w:color="auto"/>
            <w:bottom w:val="none" w:sz="0" w:space="0" w:color="auto"/>
            <w:right w:val="none" w:sz="0" w:space="0" w:color="auto"/>
          </w:divBdr>
          <w:divsChild>
            <w:div w:id="942154414">
              <w:marLeft w:val="0"/>
              <w:marRight w:val="0"/>
              <w:marTop w:val="0"/>
              <w:marBottom w:val="0"/>
              <w:divBdr>
                <w:top w:val="none" w:sz="0" w:space="0" w:color="auto"/>
                <w:left w:val="none" w:sz="0" w:space="0" w:color="auto"/>
                <w:bottom w:val="none" w:sz="0" w:space="0" w:color="auto"/>
                <w:right w:val="none" w:sz="0" w:space="0" w:color="auto"/>
              </w:divBdr>
              <w:divsChild>
                <w:div w:id="21470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6110669">
      <w:bodyDiv w:val="1"/>
      <w:marLeft w:val="0"/>
      <w:marRight w:val="0"/>
      <w:marTop w:val="0"/>
      <w:marBottom w:val="0"/>
      <w:divBdr>
        <w:top w:val="none" w:sz="0" w:space="0" w:color="auto"/>
        <w:left w:val="none" w:sz="0" w:space="0" w:color="auto"/>
        <w:bottom w:val="none" w:sz="0" w:space="0" w:color="auto"/>
        <w:right w:val="none" w:sz="0" w:space="0" w:color="auto"/>
      </w:divBdr>
    </w:div>
    <w:div w:id="282004863">
      <w:bodyDiv w:val="1"/>
      <w:marLeft w:val="0"/>
      <w:marRight w:val="0"/>
      <w:marTop w:val="0"/>
      <w:marBottom w:val="0"/>
      <w:divBdr>
        <w:top w:val="none" w:sz="0" w:space="0" w:color="auto"/>
        <w:left w:val="none" w:sz="0" w:space="0" w:color="auto"/>
        <w:bottom w:val="none" w:sz="0" w:space="0" w:color="auto"/>
        <w:right w:val="none" w:sz="0" w:space="0" w:color="auto"/>
      </w:divBdr>
      <w:divsChild>
        <w:div w:id="1224172171">
          <w:marLeft w:val="0"/>
          <w:marRight w:val="0"/>
          <w:marTop w:val="0"/>
          <w:marBottom w:val="0"/>
          <w:divBdr>
            <w:top w:val="none" w:sz="0" w:space="0" w:color="auto"/>
            <w:left w:val="none" w:sz="0" w:space="0" w:color="auto"/>
            <w:bottom w:val="none" w:sz="0" w:space="0" w:color="auto"/>
            <w:right w:val="none" w:sz="0" w:space="0" w:color="auto"/>
          </w:divBdr>
          <w:divsChild>
            <w:div w:id="886064995">
              <w:marLeft w:val="0"/>
              <w:marRight w:val="0"/>
              <w:marTop w:val="0"/>
              <w:marBottom w:val="0"/>
              <w:divBdr>
                <w:top w:val="none" w:sz="0" w:space="0" w:color="auto"/>
                <w:left w:val="none" w:sz="0" w:space="0" w:color="auto"/>
                <w:bottom w:val="none" w:sz="0" w:space="0" w:color="auto"/>
                <w:right w:val="none" w:sz="0" w:space="0" w:color="auto"/>
              </w:divBdr>
              <w:divsChild>
                <w:div w:id="78253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6562752">
      <w:bodyDiv w:val="1"/>
      <w:marLeft w:val="0"/>
      <w:marRight w:val="0"/>
      <w:marTop w:val="0"/>
      <w:marBottom w:val="0"/>
      <w:divBdr>
        <w:top w:val="none" w:sz="0" w:space="0" w:color="auto"/>
        <w:left w:val="none" w:sz="0" w:space="0" w:color="auto"/>
        <w:bottom w:val="none" w:sz="0" w:space="0" w:color="auto"/>
        <w:right w:val="none" w:sz="0" w:space="0" w:color="auto"/>
      </w:divBdr>
      <w:divsChild>
        <w:div w:id="557664815">
          <w:marLeft w:val="0"/>
          <w:marRight w:val="0"/>
          <w:marTop w:val="0"/>
          <w:marBottom w:val="0"/>
          <w:divBdr>
            <w:top w:val="none" w:sz="0" w:space="0" w:color="auto"/>
            <w:left w:val="none" w:sz="0" w:space="0" w:color="auto"/>
            <w:bottom w:val="none" w:sz="0" w:space="0" w:color="auto"/>
            <w:right w:val="none" w:sz="0" w:space="0" w:color="auto"/>
          </w:divBdr>
          <w:divsChild>
            <w:div w:id="1329866722">
              <w:marLeft w:val="0"/>
              <w:marRight w:val="0"/>
              <w:marTop w:val="0"/>
              <w:marBottom w:val="0"/>
              <w:divBdr>
                <w:top w:val="none" w:sz="0" w:space="0" w:color="auto"/>
                <w:left w:val="none" w:sz="0" w:space="0" w:color="auto"/>
                <w:bottom w:val="none" w:sz="0" w:space="0" w:color="auto"/>
                <w:right w:val="none" w:sz="0" w:space="0" w:color="auto"/>
              </w:divBdr>
              <w:divsChild>
                <w:div w:id="1874616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6926060">
      <w:bodyDiv w:val="1"/>
      <w:marLeft w:val="0"/>
      <w:marRight w:val="0"/>
      <w:marTop w:val="0"/>
      <w:marBottom w:val="0"/>
      <w:divBdr>
        <w:top w:val="none" w:sz="0" w:space="0" w:color="auto"/>
        <w:left w:val="none" w:sz="0" w:space="0" w:color="auto"/>
        <w:bottom w:val="none" w:sz="0" w:space="0" w:color="auto"/>
        <w:right w:val="none" w:sz="0" w:space="0" w:color="auto"/>
      </w:divBdr>
      <w:divsChild>
        <w:div w:id="1809711665">
          <w:marLeft w:val="0"/>
          <w:marRight w:val="0"/>
          <w:marTop w:val="0"/>
          <w:marBottom w:val="0"/>
          <w:divBdr>
            <w:top w:val="none" w:sz="0" w:space="0" w:color="auto"/>
            <w:left w:val="none" w:sz="0" w:space="0" w:color="auto"/>
            <w:bottom w:val="none" w:sz="0" w:space="0" w:color="auto"/>
            <w:right w:val="none" w:sz="0" w:space="0" w:color="auto"/>
          </w:divBdr>
          <w:divsChild>
            <w:div w:id="1305087296">
              <w:marLeft w:val="0"/>
              <w:marRight w:val="0"/>
              <w:marTop w:val="0"/>
              <w:marBottom w:val="0"/>
              <w:divBdr>
                <w:top w:val="none" w:sz="0" w:space="0" w:color="auto"/>
                <w:left w:val="none" w:sz="0" w:space="0" w:color="auto"/>
                <w:bottom w:val="none" w:sz="0" w:space="0" w:color="auto"/>
                <w:right w:val="none" w:sz="0" w:space="0" w:color="auto"/>
              </w:divBdr>
              <w:divsChild>
                <w:div w:id="1262956916">
                  <w:marLeft w:val="0"/>
                  <w:marRight w:val="0"/>
                  <w:marTop w:val="0"/>
                  <w:marBottom w:val="0"/>
                  <w:divBdr>
                    <w:top w:val="none" w:sz="0" w:space="0" w:color="auto"/>
                    <w:left w:val="none" w:sz="0" w:space="0" w:color="auto"/>
                    <w:bottom w:val="none" w:sz="0" w:space="0" w:color="auto"/>
                    <w:right w:val="none" w:sz="0" w:space="0" w:color="auto"/>
                  </w:divBdr>
                  <w:divsChild>
                    <w:div w:id="1047879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2066542">
      <w:bodyDiv w:val="1"/>
      <w:marLeft w:val="0"/>
      <w:marRight w:val="0"/>
      <w:marTop w:val="0"/>
      <w:marBottom w:val="0"/>
      <w:divBdr>
        <w:top w:val="none" w:sz="0" w:space="0" w:color="auto"/>
        <w:left w:val="none" w:sz="0" w:space="0" w:color="auto"/>
        <w:bottom w:val="none" w:sz="0" w:space="0" w:color="auto"/>
        <w:right w:val="none" w:sz="0" w:space="0" w:color="auto"/>
      </w:divBdr>
    </w:div>
    <w:div w:id="432745527">
      <w:bodyDiv w:val="1"/>
      <w:marLeft w:val="0"/>
      <w:marRight w:val="0"/>
      <w:marTop w:val="0"/>
      <w:marBottom w:val="0"/>
      <w:divBdr>
        <w:top w:val="none" w:sz="0" w:space="0" w:color="auto"/>
        <w:left w:val="none" w:sz="0" w:space="0" w:color="auto"/>
        <w:bottom w:val="none" w:sz="0" w:space="0" w:color="auto"/>
        <w:right w:val="none" w:sz="0" w:space="0" w:color="auto"/>
      </w:divBdr>
      <w:divsChild>
        <w:div w:id="847721740">
          <w:marLeft w:val="0"/>
          <w:marRight w:val="0"/>
          <w:marTop w:val="0"/>
          <w:marBottom w:val="0"/>
          <w:divBdr>
            <w:top w:val="none" w:sz="0" w:space="0" w:color="auto"/>
            <w:left w:val="none" w:sz="0" w:space="0" w:color="auto"/>
            <w:bottom w:val="none" w:sz="0" w:space="0" w:color="auto"/>
            <w:right w:val="none" w:sz="0" w:space="0" w:color="auto"/>
          </w:divBdr>
          <w:divsChild>
            <w:div w:id="810563359">
              <w:marLeft w:val="0"/>
              <w:marRight w:val="0"/>
              <w:marTop w:val="0"/>
              <w:marBottom w:val="0"/>
              <w:divBdr>
                <w:top w:val="none" w:sz="0" w:space="0" w:color="auto"/>
                <w:left w:val="none" w:sz="0" w:space="0" w:color="auto"/>
                <w:bottom w:val="none" w:sz="0" w:space="0" w:color="auto"/>
                <w:right w:val="none" w:sz="0" w:space="0" w:color="auto"/>
              </w:divBdr>
              <w:divsChild>
                <w:div w:id="519708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469077">
      <w:bodyDiv w:val="1"/>
      <w:marLeft w:val="0"/>
      <w:marRight w:val="0"/>
      <w:marTop w:val="0"/>
      <w:marBottom w:val="0"/>
      <w:divBdr>
        <w:top w:val="none" w:sz="0" w:space="0" w:color="auto"/>
        <w:left w:val="none" w:sz="0" w:space="0" w:color="auto"/>
        <w:bottom w:val="none" w:sz="0" w:space="0" w:color="auto"/>
        <w:right w:val="none" w:sz="0" w:space="0" w:color="auto"/>
      </w:divBdr>
      <w:divsChild>
        <w:div w:id="1961456318">
          <w:marLeft w:val="0"/>
          <w:marRight w:val="0"/>
          <w:marTop w:val="0"/>
          <w:marBottom w:val="0"/>
          <w:divBdr>
            <w:top w:val="none" w:sz="0" w:space="0" w:color="auto"/>
            <w:left w:val="none" w:sz="0" w:space="0" w:color="auto"/>
            <w:bottom w:val="none" w:sz="0" w:space="0" w:color="auto"/>
            <w:right w:val="none" w:sz="0" w:space="0" w:color="auto"/>
          </w:divBdr>
          <w:divsChild>
            <w:div w:id="1718043796">
              <w:marLeft w:val="0"/>
              <w:marRight w:val="0"/>
              <w:marTop w:val="0"/>
              <w:marBottom w:val="0"/>
              <w:divBdr>
                <w:top w:val="none" w:sz="0" w:space="0" w:color="auto"/>
                <w:left w:val="none" w:sz="0" w:space="0" w:color="auto"/>
                <w:bottom w:val="none" w:sz="0" w:space="0" w:color="auto"/>
                <w:right w:val="none" w:sz="0" w:space="0" w:color="auto"/>
              </w:divBdr>
              <w:divsChild>
                <w:div w:id="549652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1393491">
      <w:bodyDiv w:val="1"/>
      <w:marLeft w:val="0"/>
      <w:marRight w:val="0"/>
      <w:marTop w:val="0"/>
      <w:marBottom w:val="0"/>
      <w:divBdr>
        <w:top w:val="none" w:sz="0" w:space="0" w:color="auto"/>
        <w:left w:val="none" w:sz="0" w:space="0" w:color="auto"/>
        <w:bottom w:val="none" w:sz="0" w:space="0" w:color="auto"/>
        <w:right w:val="none" w:sz="0" w:space="0" w:color="auto"/>
      </w:divBdr>
    </w:div>
    <w:div w:id="482279824">
      <w:bodyDiv w:val="1"/>
      <w:marLeft w:val="0"/>
      <w:marRight w:val="0"/>
      <w:marTop w:val="0"/>
      <w:marBottom w:val="0"/>
      <w:divBdr>
        <w:top w:val="none" w:sz="0" w:space="0" w:color="auto"/>
        <w:left w:val="none" w:sz="0" w:space="0" w:color="auto"/>
        <w:bottom w:val="none" w:sz="0" w:space="0" w:color="auto"/>
        <w:right w:val="none" w:sz="0" w:space="0" w:color="auto"/>
      </w:divBdr>
      <w:divsChild>
        <w:div w:id="462961308">
          <w:marLeft w:val="0"/>
          <w:marRight w:val="0"/>
          <w:marTop w:val="0"/>
          <w:marBottom w:val="0"/>
          <w:divBdr>
            <w:top w:val="none" w:sz="0" w:space="0" w:color="auto"/>
            <w:left w:val="none" w:sz="0" w:space="0" w:color="auto"/>
            <w:bottom w:val="none" w:sz="0" w:space="0" w:color="auto"/>
            <w:right w:val="none" w:sz="0" w:space="0" w:color="auto"/>
          </w:divBdr>
          <w:divsChild>
            <w:div w:id="1987391031">
              <w:marLeft w:val="0"/>
              <w:marRight w:val="0"/>
              <w:marTop w:val="0"/>
              <w:marBottom w:val="0"/>
              <w:divBdr>
                <w:top w:val="none" w:sz="0" w:space="0" w:color="auto"/>
                <w:left w:val="none" w:sz="0" w:space="0" w:color="auto"/>
                <w:bottom w:val="none" w:sz="0" w:space="0" w:color="auto"/>
                <w:right w:val="none" w:sz="0" w:space="0" w:color="auto"/>
              </w:divBdr>
              <w:divsChild>
                <w:div w:id="497578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954388">
      <w:bodyDiv w:val="1"/>
      <w:marLeft w:val="0"/>
      <w:marRight w:val="0"/>
      <w:marTop w:val="0"/>
      <w:marBottom w:val="0"/>
      <w:divBdr>
        <w:top w:val="none" w:sz="0" w:space="0" w:color="auto"/>
        <w:left w:val="none" w:sz="0" w:space="0" w:color="auto"/>
        <w:bottom w:val="none" w:sz="0" w:space="0" w:color="auto"/>
        <w:right w:val="none" w:sz="0" w:space="0" w:color="auto"/>
      </w:divBdr>
      <w:divsChild>
        <w:div w:id="1242831237">
          <w:marLeft w:val="0"/>
          <w:marRight w:val="0"/>
          <w:marTop w:val="0"/>
          <w:marBottom w:val="0"/>
          <w:divBdr>
            <w:top w:val="none" w:sz="0" w:space="0" w:color="auto"/>
            <w:left w:val="none" w:sz="0" w:space="0" w:color="auto"/>
            <w:bottom w:val="none" w:sz="0" w:space="0" w:color="auto"/>
            <w:right w:val="none" w:sz="0" w:space="0" w:color="auto"/>
          </w:divBdr>
          <w:divsChild>
            <w:div w:id="66461893">
              <w:marLeft w:val="0"/>
              <w:marRight w:val="0"/>
              <w:marTop w:val="0"/>
              <w:marBottom w:val="0"/>
              <w:divBdr>
                <w:top w:val="none" w:sz="0" w:space="0" w:color="auto"/>
                <w:left w:val="none" w:sz="0" w:space="0" w:color="auto"/>
                <w:bottom w:val="none" w:sz="0" w:space="0" w:color="auto"/>
                <w:right w:val="none" w:sz="0" w:space="0" w:color="auto"/>
              </w:divBdr>
              <w:divsChild>
                <w:div w:id="52822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9300741">
      <w:bodyDiv w:val="1"/>
      <w:marLeft w:val="0"/>
      <w:marRight w:val="0"/>
      <w:marTop w:val="0"/>
      <w:marBottom w:val="0"/>
      <w:divBdr>
        <w:top w:val="none" w:sz="0" w:space="0" w:color="auto"/>
        <w:left w:val="none" w:sz="0" w:space="0" w:color="auto"/>
        <w:bottom w:val="none" w:sz="0" w:space="0" w:color="auto"/>
        <w:right w:val="none" w:sz="0" w:space="0" w:color="auto"/>
      </w:divBdr>
      <w:divsChild>
        <w:div w:id="2075545997">
          <w:marLeft w:val="0"/>
          <w:marRight w:val="0"/>
          <w:marTop w:val="0"/>
          <w:marBottom w:val="0"/>
          <w:divBdr>
            <w:top w:val="none" w:sz="0" w:space="0" w:color="auto"/>
            <w:left w:val="none" w:sz="0" w:space="0" w:color="auto"/>
            <w:bottom w:val="none" w:sz="0" w:space="0" w:color="auto"/>
            <w:right w:val="none" w:sz="0" w:space="0" w:color="auto"/>
          </w:divBdr>
          <w:divsChild>
            <w:div w:id="716783694">
              <w:marLeft w:val="0"/>
              <w:marRight w:val="0"/>
              <w:marTop w:val="0"/>
              <w:marBottom w:val="0"/>
              <w:divBdr>
                <w:top w:val="none" w:sz="0" w:space="0" w:color="auto"/>
                <w:left w:val="none" w:sz="0" w:space="0" w:color="auto"/>
                <w:bottom w:val="none" w:sz="0" w:space="0" w:color="auto"/>
                <w:right w:val="none" w:sz="0" w:space="0" w:color="auto"/>
              </w:divBdr>
              <w:divsChild>
                <w:div w:id="224875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8031506">
      <w:bodyDiv w:val="1"/>
      <w:marLeft w:val="0"/>
      <w:marRight w:val="0"/>
      <w:marTop w:val="0"/>
      <w:marBottom w:val="0"/>
      <w:divBdr>
        <w:top w:val="none" w:sz="0" w:space="0" w:color="auto"/>
        <w:left w:val="none" w:sz="0" w:space="0" w:color="auto"/>
        <w:bottom w:val="none" w:sz="0" w:space="0" w:color="auto"/>
        <w:right w:val="none" w:sz="0" w:space="0" w:color="auto"/>
      </w:divBdr>
      <w:divsChild>
        <w:div w:id="1416854921">
          <w:marLeft w:val="0"/>
          <w:marRight w:val="0"/>
          <w:marTop w:val="0"/>
          <w:marBottom w:val="0"/>
          <w:divBdr>
            <w:top w:val="none" w:sz="0" w:space="0" w:color="auto"/>
            <w:left w:val="none" w:sz="0" w:space="0" w:color="auto"/>
            <w:bottom w:val="none" w:sz="0" w:space="0" w:color="auto"/>
            <w:right w:val="none" w:sz="0" w:space="0" w:color="auto"/>
          </w:divBdr>
          <w:divsChild>
            <w:div w:id="685713930">
              <w:marLeft w:val="0"/>
              <w:marRight w:val="0"/>
              <w:marTop w:val="0"/>
              <w:marBottom w:val="0"/>
              <w:divBdr>
                <w:top w:val="none" w:sz="0" w:space="0" w:color="auto"/>
                <w:left w:val="none" w:sz="0" w:space="0" w:color="auto"/>
                <w:bottom w:val="none" w:sz="0" w:space="0" w:color="auto"/>
                <w:right w:val="none" w:sz="0" w:space="0" w:color="auto"/>
              </w:divBdr>
              <w:divsChild>
                <w:div w:id="1005209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2305169">
      <w:bodyDiv w:val="1"/>
      <w:marLeft w:val="0"/>
      <w:marRight w:val="0"/>
      <w:marTop w:val="0"/>
      <w:marBottom w:val="0"/>
      <w:divBdr>
        <w:top w:val="none" w:sz="0" w:space="0" w:color="auto"/>
        <w:left w:val="none" w:sz="0" w:space="0" w:color="auto"/>
        <w:bottom w:val="none" w:sz="0" w:space="0" w:color="auto"/>
        <w:right w:val="none" w:sz="0" w:space="0" w:color="auto"/>
      </w:divBdr>
      <w:divsChild>
        <w:div w:id="1514219287">
          <w:marLeft w:val="0"/>
          <w:marRight w:val="0"/>
          <w:marTop w:val="0"/>
          <w:marBottom w:val="0"/>
          <w:divBdr>
            <w:top w:val="none" w:sz="0" w:space="0" w:color="auto"/>
            <w:left w:val="none" w:sz="0" w:space="0" w:color="auto"/>
            <w:bottom w:val="none" w:sz="0" w:space="0" w:color="auto"/>
            <w:right w:val="none" w:sz="0" w:space="0" w:color="auto"/>
          </w:divBdr>
          <w:divsChild>
            <w:div w:id="49889784">
              <w:marLeft w:val="0"/>
              <w:marRight w:val="0"/>
              <w:marTop w:val="0"/>
              <w:marBottom w:val="0"/>
              <w:divBdr>
                <w:top w:val="none" w:sz="0" w:space="0" w:color="auto"/>
                <w:left w:val="none" w:sz="0" w:space="0" w:color="auto"/>
                <w:bottom w:val="none" w:sz="0" w:space="0" w:color="auto"/>
                <w:right w:val="none" w:sz="0" w:space="0" w:color="auto"/>
              </w:divBdr>
              <w:divsChild>
                <w:div w:id="189014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6814983">
      <w:bodyDiv w:val="1"/>
      <w:marLeft w:val="0"/>
      <w:marRight w:val="0"/>
      <w:marTop w:val="0"/>
      <w:marBottom w:val="0"/>
      <w:divBdr>
        <w:top w:val="none" w:sz="0" w:space="0" w:color="auto"/>
        <w:left w:val="none" w:sz="0" w:space="0" w:color="auto"/>
        <w:bottom w:val="none" w:sz="0" w:space="0" w:color="auto"/>
        <w:right w:val="none" w:sz="0" w:space="0" w:color="auto"/>
      </w:divBdr>
    </w:div>
    <w:div w:id="601573420">
      <w:bodyDiv w:val="1"/>
      <w:marLeft w:val="0"/>
      <w:marRight w:val="0"/>
      <w:marTop w:val="0"/>
      <w:marBottom w:val="0"/>
      <w:divBdr>
        <w:top w:val="none" w:sz="0" w:space="0" w:color="auto"/>
        <w:left w:val="none" w:sz="0" w:space="0" w:color="auto"/>
        <w:bottom w:val="none" w:sz="0" w:space="0" w:color="auto"/>
        <w:right w:val="none" w:sz="0" w:space="0" w:color="auto"/>
      </w:divBdr>
      <w:divsChild>
        <w:div w:id="857500984">
          <w:marLeft w:val="0"/>
          <w:marRight w:val="0"/>
          <w:marTop w:val="0"/>
          <w:marBottom w:val="0"/>
          <w:divBdr>
            <w:top w:val="none" w:sz="0" w:space="0" w:color="auto"/>
            <w:left w:val="none" w:sz="0" w:space="0" w:color="auto"/>
            <w:bottom w:val="none" w:sz="0" w:space="0" w:color="auto"/>
            <w:right w:val="none" w:sz="0" w:space="0" w:color="auto"/>
          </w:divBdr>
          <w:divsChild>
            <w:div w:id="1104962228">
              <w:marLeft w:val="0"/>
              <w:marRight w:val="0"/>
              <w:marTop w:val="0"/>
              <w:marBottom w:val="0"/>
              <w:divBdr>
                <w:top w:val="none" w:sz="0" w:space="0" w:color="auto"/>
                <w:left w:val="none" w:sz="0" w:space="0" w:color="auto"/>
                <w:bottom w:val="none" w:sz="0" w:space="0" w:color="auto"/>
                <w:right w:val="none" w:sz="0" w:space="0" w:color="auto"/>
              </w:divBdr>
              <w:divsChild>
                <w:div w:id="205525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1839308">
      <w:bodyDiv w:val="1"/>
      <w:marLeft w:val="0"/>
      <w:marRight w:val="0"/>
      <w:marTop w:val="0"/>
      <w:marBottom w:val="0"/>
      <w:divBdr>
        <w:top w:val="none" w:sz="0" w:space="0" w:color="auto"/>
        <w:left w:val="none" w:sz="0" w:space="0" w:color="auto"/>
        <w:bottom w:val="none" w:sz="0" w:space="0" w:color="auto"/>
        <w:right w:val="none" w:sz="0" w:space="0" w:color="auto"/>
      </w:divBdr>
      <w:divsChild>
        <w:div w:id="768701232">
          <w:marLeft w:val="0"/>
          <w:marRight w:val="0"/>
          <w:marTop w:val="0"/>
          <w:marBottom w:val="0"/>
          <w:divBdr>
            <w:top w:val="none" w:sz="0" w:space="0" w:color="auto"/>
            <w:left w:val="none" w:sz="0" w:space="0" w:color="auto"/>
            <w:bottom w:val="none" w:sz="0" w:space="0" w:color="auto"/>
            <w:right w:val="none" w:sz="0" w:space="0" w:color="auto"/>
          </w:divBdr>
          <w:divsChild>
            <w:div w:id="383910583">
              <w:marLeft w:val="0"/>
              <w:marRight w:val="0"/>
              <w:marTop w:val="0"/>
              <w:marBottom w:val="0"/>
              <w:divBdr>
                <w:top w:val="none" w:sz="0" w:space="0" w:color="auto"/>
                <w:left w:val="none" w:sz="0" w:space="0" w:color="auto"/>
                <w:bottom w:val="none" w:sz="0" w:space="0" w:color="auto"/>
                <w:right w:val="none" w:sz="0" w:space="0" w:color="auto"/>
              </w:divBdr>
              <w:divsChild>
                <w:div w:id="2037005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9628127">
      <w:bodyDiv w:val="1"/>
      <w:marLeft w:val="0"/>
      <w:marRight w:val="0"/>
      <w:marTop w:val="0"/>
      <w:marBottom w:val="0"/>
      <w:divBdr>
        <w:top w:val="none" w:sz="0" w:space="0" w:color="auto"/>
        <w:left w:val="none" w:sz="0" w:space="0" w:color="auto"/>
        <w:bottom w:val="none" w:sz="0" w:space="0" w:color="auto"/>
        <w:right w:val="none" w:sz="0" w:space="0" w:color="auto"/>
      </w:divBdr>
      <w:divsChild>
        <w:div w:id="1226723638">
          <w:marLeft w:val="0"/>
          <w:marRight w:val="0"/>
          <w:marTop w:val="0"/>
          <w:marBottom w:val="0"/>
          <w:divBdr>
            <w:top w:val="none" w:sz="0" w:space="0" w:color="auto"/>
            <w:left w:val="none" w:sz="0" w:space="0" w:color="auto"/>
            <w:bottom w:val="none" w:sz="0" w:space="0" w:color="auto"/>
            <w:right w:val="none" w:sz="0" w:space="0" w:color="auto"/>
          </w:divBdr>
          <w:divsChild>
            <w:div w:id="1172178412">
              <w:marLeft w:val="0"/>
              <w:marRight w:val="0"/>
              <w:marTop w:val="0"/>
              <w:marBottom w:val="0"/>
              <w:divBdr>
                <w:top w:val="none" w:sz="0" w:space="0" w:color="auto"/>
                <w:left w:val="none" w:sz="0" w:space="0" w:color="auto"/>
                <w:bottom w:val="none" w:sz="0" w:space="0" w:color="auto"/>
                <w:right w:val="none" w:sz="0" w:space="0" w:color="auto"/>
              </w:divBdr>
              <w:divsChild>
                <w:div w:id="720981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36885244">
      <w:bodyDiv w:val="1"/>
      <w:marLeft w:val="0"/>
      <w:marRight w:val="0"/>
      <w:marTop w:val="0"/>
      <w:marBottom w:val="0"/>
      <w:divBdr>
        <w:top w:val="none" w:sz="0" w:space="0" w:color="auto"/>
        <w:left w:val="none" w:sz="0" w:space="0" w:color="auto"/>
        <w:bottom w:val="none" w:sz="0" w:space="0" w:color="auto"/>
        <w:right w:val="none" w:sz="0" w:space="0" w:color="auto"/>
      </w:divBdr>
      <w:divsChild>
        <w:div w:id="479225864">
          <w:marLeft w:val="0"/>
          <w:marRight w:val="0"/>
          <w:marTop w:val="0"/>
          <w:marBottom w:val="0"/>
          <w:divBdr>
            <w:top w:val="none" w:sz="0" w:space="0" w:color="auto"/>
            <w:left w:val="none" w:sz="0" w:space="0" w:color="auto"/>
            <w:bottom w:val="none" w:sz="0" w:space="0" w:color="auto"/>
            <w:right w:val="none" w:sz="0" w:space="0" w:color="auto"/>
          </w:divBdr>
          <w:divsChild>
            <w:div w:id="1487745625">
              <w:marLeft w:val="0"/>
              <w:marRight w:val="0"/>
              <w:marTop w:val="0"/>
              <w:marBottom w:val="0"/>
              <w:divBdr>
                <w:top w:val="none" w:sz="0" w:space="0" w:color="auto"/>
                <w:left w:val="none" w:sz="0" w:space="0" w:color="auto"/>
                <w:bottom w:val="none" w:sz="0" w:space="0" w:color="auto"/>
                <w:right w:val="none" w:sz="0" w:space="0" w:color="auto"/>
              </w:divBdr>
              <w:divsChild>
                <w:div w:id="1856728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452010">
      <w:bodyDiv w:val="1"/>
      <w:marLeft w:val="0"/>
      <w:marRight w:val="0"/>
      <w:marTop w:val="0"/>
      <w:marBottom w:val="0"/>
      <w:divBdr>
        <w:top w:val="none" w:sz="0" w:space="0" w:color="auto"/>
        <w:left w:val="none" w:sz="0" w:space="0" w:color="auto"/>
        <w:bottom w:val="none" w:sz="0" w:space="0" w:color="auto"/>
        <w:right w:val="none" w:sz="0" w:space="0" w:color="auto"/>
      </w:divBdr>
      <w:divsChild>
        <w:div w:id="139319379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73806230">
      <w:bodyDiv w:val="1"/>
      <w:marLeft w:val="0"/>
      <w:marRight w:val="0"/>
      <w:marTop w:val="0"/>
      <w:marBottom w:val="0"/>
      <w:divBdr>
        <w:top w:val="none" w:sz="0" w:space="0" w:color="auto"/>
        <w:left w:val="none" w:sz="0" w:space="0" w:color="auto"/>
        <w:bottom w:val="none" w:sz="0" w:space="0" w:color="auto"/>
        <w:right w:val="none" w:sz="0" w:space="0" w:color="auto"/>
      </w:divBdr>
      <w:divsChild>
        <w:div w:id="1933707829">
          <w:marLeft w:val="0"/>
          <w:marRight w:val="0"/>
          <w:marTop w:val="0"/>
          <w:marBottom w:val="0"/>
          <w:divBdr>
            <w:top w:val="none" w:sz="0" w:space="0" w:color="auto"/>
            <w:left w:val="none" w:sz="0" w:space="0" w:color="auto"/>
            <w:bottom w:val="none" w:sz="0" w:space="0" w:color="auto"/>
            <w:right w:val="none" w:sz="0" w:space="0" w:color="auto"/>
          </w:divBdr>
          <w:divsChild>
            <w:div w:id="305864018">
              <w:marLeft w:val="0"/>
              <w:marRight w:val="0"/>
              <w:marTop w:val="0"/>
              <w:marBottom w:val="0"/>
              <w:divBdr>
                <w:top w:val="none" w:sz="0" w:space="0" w:color="auto"/>
                <w:left w:val="none" w:sz="0" w:space="0" w:color="auto"/>
                <w:bottom w:val="none" w:sz="0" w:space="0" w:color="auto"/>
                <w:right w:val="none" w:sz="0" w:space="0" w:color="auto"/>
              </w:divBdr>
              <w:divsChild>
                <w:div w:id="1882135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8409000">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766119835">
      <w:bodyDiv w:val="1"/>
      <w:marLeft w:val="0"/>
      <w:marRight w:val="0"/>
      <w:marTop w:val="0"/>
      <w:marBottom w:val="0"/>
      <w:divBdr>
        <w:top w:val="none" w:sz="0" w:space="0" w:color="auto"/>
        <w:left w:val="none" w:sz="0" w:space="0" w:color="auto"/>
        <w:bottom w:val="none" w:sz="0" w:space="0" w:color="auto"/>
        <w:right w:val="none" w:sz="0" w:space="0" w:color="auto"/>
      </w:divBdr>
    </w:div>
    <w:div w:id="766970456">
      <w:bodyDiv w:val="1"/>
      <w:marLeft w:val="0"/>
      <w:marRight w:val="0"/>
      <w:marTop w:val="0"/>
      <w:marBottom w:val="0"/>
      <w:divBdr>
        <w:top w:val="none" w:sz="0" w:space="0" w:color="auto"/>
        <w:left w:val="none" w:sz="0" w:space="0" w:color="auto"/>
        <w:bottom w:val="none" w:sz="0" w:space="0" w:color="auto"/>
        <w:right w:val="none" w:sz="0" w:space="0" w:color="auto"/>
      </w:divBdr>
    </w:div>
    <w:div w:id="805662069">
      <w:bodyDiv w:val="1"/>
      <w:marLeft w:val="0"/>
      <w:marRight w:val="0"/>
      <w:marTop w:val="0"/>
      <w:marBottom w:val="0"/>
      <w:divBdr>
        <w:top w:val="none" w:sz="0" w:space="0" w:color="auto"/>
        <w:left w:val="none" w:sz="0" w:space="0" w:color="auto"/>
        <w:bottom w:val="none" w:sz="0" w:space="0" w:color="auto"/>
        <w:right w:val="none" w:sz="0" w:space="0" w:color="auto"/>
      </w:divBdr>
      <w:divsChild>
        <w:div w:id="365063670">
          <w:marLeft w:val="0"/>
          <w:marRight w:val="0"/>
          <w:marTop w:val="0"/>
          <w:marBottom w:val="0"/>
          <w:divBdr>
            <w:top w:val="none" w:sz="0" w:space="0" w:color="auto"/>
            <w:left w:val="none" w:sz="0" w:space="0" w:color="auto"/>
            <w:bottom w:val="none" w:sz="0" w:space="0" w:color="auto"/>
            <w:right w:val="none" w:sz="0" w:space="0" w:color="auto"/>
          </w:divBdr>
          <w:divsChild>
            <w:div w:id="756443064">
              <w:marLeft w:val="0"/>
              <w:marRight w:val="0"/>
              <w:marTop w:val="0"/>
              <w:marBottom w:val="0"/>
              <w:divBdr>
                <w:top w:val="none" w:sz="0" w:space="0" w:color="auto"/>
                <w:left w:val="none" w:sz="0" w:space="0" w:color="auto"/>
                <w:bottom w:val="none" w:sz="0" w:space="0" w:color="auto"/>
                <w:right w:val="none" w:sz="0" w:space="0" w:color="auto"/>
              </w:divBdr>
              <w:divsChild>
                <w:div w:id="101922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2603396">
      <w:bodyDiv w:val="1"/>
      <w:marLeft w:val="0"/>
      <w:marRight w:val="0"/>
      <w:marTop w:val="0"/>
      <w:marBottom w:val="0"/>
      <w:divBdr>
        <w:top w:val="none" w:sz="0" w:space="0" w:color="auto"/>
        <w:left w:val="none" w:sz="0" w:space="0" w:color="auto"/>
        <w:bottom w:val="none" w:sz="0" w:space="0" w:color="auto"/>
        <w:right w:val="none" w:sz="0" w:space="0" w:color="auto"/>
      </w:divBdr>
      <w:divsChild>
        <w:div w:id="2037461914">
          <w:marLeft w:val="0"/>
          <w:marRight w:val="0"/>
          <w:marTop w:val="0"/>
          <w:marBottom w:val="0"/>
          <w:divBdr>
            <w:top w:val="none" w:sz="0" w:space="0" w:color="auto"/>
            <w:left w:val="none" w:sz="0" w:space="0" w:color="auto"/>
            <w:bottom w:val="none" w:sz="0" w:space="0" w:color="auto"/>
            <w:right w:val="none" w:sz="0" w:space="0" w:color="auto"/>
          </w:divBdr>
          <w:divsChild>
            <w:div w:id="1849367337">
              <w:marLeft w:val="0"/>
              <w:marRight w:val="0"/>
              <w:marTop w:val="0"/>
              <w:marBottom w:val="0"/>
              <w:divBdr>
                <w:top w:val="none" w:sz="0" w:space="0" w:color="auto"/>
                <w:left w:val="none" w:sz="0" w:space="0" w:color="auto"/>
                <w:bottom w:val="none" w:sz="0" w:space="0" w:color="auto"/>
                <w:right w:val="none" w:sz="0" w:space="0" w:color="auto"/>
              </w:divBdr>
              <w:divsChild>
                <w:div w:id="2059090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6476547">
      <w:bodyDiv w:val="1"/>
      <w:marLeft w:val="0"/>
      <w:marRight w:val="0"/>
      <w:marTop w:val="0"/>
      <w:marBottom w:val="0"/>
      <w:divBdr>
        <w:top w:val="none" w:sz="0" w:space="0" w:color="auto"/>
        <w:left w:val="none" w:sz="0" w:space="0" w:color="auto"/>
        <w:bottom w:val="none" w:sz="0" w:space="0" w:color="auto"/>
        <w:right w:val="none" w:sz="0" w:space="0" w:color="auto"/>
      </w:divBdr>
      <w:divsChild>
        <w:div w:id="1058094726">
          <w:marLeft w:val="0"/>
          <w:marRight w:val="0"/>
          <w:marTop w:val="0"/>
          <w:marBottom w:val="0"/>
          <w:divBdr>
            <w:top w:val="none" w:sz="0" w:space="0" w:color="auto"/>
            <w:left w:val="none" w:sz="0" w:space="0" w:color="auto"/>
            <w:bottom w:val="none" w:sz="0" w:space="0" w:color="auto"/>
            <w:right w:val="none" w:sz="0" w:space="0" w:color="auto"/>
          </w:divBdr>
          <w:divsChild>
            <w:div w:id="298655791">
              <w:marLeft w:val="0"/>
              <w:marRight w:val="0"/>
              <w:marTop w:val="0"/>
              <w:marBottom w:val="0"/>
              <w:divBdr>
                <w:top w:val="none" w:sz="0" w:space="0" w:color="auto"/>
                <w:left w:val="none" w:sz="0" w:space="0" w:color="auto"/>
                <w:bottom w:val="none" w:sz="0" w:space="0" w:color="auto"/>
                <w:right w:val="none" w:sz="0" w:space="0" w:color="auto"/>
              </w:divBdr>
              <w:divsChild>
                <w:div w:id="924144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9676743">
      <w:bodyDiv w:val="1"/>
      <w:marLeft w:val="0"/>
      <w:marRight w:val="0"/>
      <w:marTop w:val="0"/>
      <w:marBottom w:val="0"/>
      <w:divBdr>
        <w:top w:val="none" w:sz="0" w:space="0" w:color="auto"/>
        <w:left w:val="none" w:sz="0" w:space="0" w:color="auto"/>
        <w:bottom w:val="none" w:sz="0" w:space="0" w:color="auto"/>
        <w:right w:val="none" w:sz="0" w:space="0" w:color="auto"/>
      </w:divBdr>
      <w:divsChild>
        <w:div w:id="2106337845">
          <w:marLeft w:val="0"/>
          <w:marRight w:val="0"/>
          <w:marTop w:val="0"/>
          <w:marBottom w:val="0"/>
          <w:divBdr>
            <w:top w:val="none" w:sz="0" w:space="0" w:color="auto"/>
            <w:left w:val="none" w:sz="0" w:space="0" w:color="auto"/>
            <w:bottom w:val="none" w:sz="0" w:space="0" w:color="auto"/>
            <w:right w:val="none" w:sz="0" w:space="0" w:color="auto"/>
          </w:divBdr>
          <w:divsChild>
            <w:div w:id="2032103939">
              <w:marLeft w:val="0"/>
              <w:marRight w:val="0"/>
              <w:marTop w:val="0"/>
              <w:marBottom w:val="0"/>
              <w:divBdr>
                <w:top w:val="none" w:sz="0" w:space="0" w:color="auto"/>
                <w:left w:val="none" w:sz="0" w:space="0" w:color="auto"/>
                <w:bottom w:val="none" w:sz="0" w:space="0" w:color="auto"/>
                <w:right w:val="none" w:sz="0" w:space="0" w:color="auto"/>
              </w:divBdr>
              <w:divsChild>
                <w:div w:id="2044556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0506880">
      <w:bodyDiv w:val="1"/>
      <w:marLeft w:val="0"/>
      <w:marRight w:val="0"/>
      <w:marTop w:val="0"/>
      <w:marBottom w:val="0"/>
      <w:divBdr>
        <w:top w:val="none" w:sz="0" w:space="0" w:color="auto"/>
        <w:left w:val="none" w:sz="0" w:space="0" w:color="auto"/>
        <w:bottom w:val="none" w:sz="0" w:space="0" w:color="auto"/>
        <w:right w:val="none" w:sz="0" w:space="0" w:color="auto"/>
      </w:divBdr>
      <w:divsChild>
        <w:div w:id="306783289">
          <w:marLeft w:val="0"/>
          <w:marRight w:val="0"/>
          <w:marTop w:val="0"/>
          <w:marBottom w:val="0"/>
          <w:divBdr>
            <w:top w:val="none" w:sz="0" w:space="0" w:color="auto"/>
            <w:left w:val="none" w:sz="0" w:space="0" w:color="auto"/>
            <w:bottom w:val="none" w:sz="0" w:space="0" w:color="auto"/>
            <w:right w:val="none" w:sz="0" w:space="0" w:color="auto"/>
          </w:divBdr>
          <w:divsChild>
            <w:div w:id="1535115424">
              <w:marLeft w:val="0"/>
              <w:marRight w:val="0"/>
              <w:marTop w:val="0"/>
              <w:marBottom w:val="0"/>
              <w:divBdr>
                <w:top w:val="none" w:sz="0" w:space="0" w:color="auto"/>
                <w:left w:val="none" w:sz="0" w:space="0" w:color="auto"/>
                <w:bottom w:val="none" w:sz="0" w:space="0" w:color="auto"/>
                <w:right w:val="none" w:sz="0" w:space="0" w:color="auto"/>
              </w:divBdr>
              <w:divsChild>
                <w:div w:id="1606301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7443720">
      <w:bodyDiv w:val="1"/>
      <w:marLeft w:val="0"/>
      <w:marRight w:val="0"/>
      <w:marTop w:val="0"/>
      <w:marBottom w:val="0"/>
      <w:divBdr>
        <w:top w:val="none" w:sz="0" w:space="0" w:color="auto"/>
        <w:left w:val="none" w:sz="0" w:space="0" w:color="auto"/>
        <w:bottom w:val="none" w:sz="0" w:space="0" w:color="auto"/>
        <w:right w:val="none" w:sz="0" w:space="0" w:color="auto"/>
      </w:divBdr>
      <w:divsChild>
        <w:div w:id="834808209">
          <w:marLeft w:val="0"/>
          <w:marRight w:val="0"/>
          <w:marTop w:val="0"/>
          <w:marBottom w:val="0"/>
          <w:divBdr>
            <w:top w:val="none" w:sz="0" w:space="0" w:color="auto"/>
            <w:left w:val="none" w:sz="0" w:space="0" w:color="auto"/>
            <w:bottom w:val="none" w:sz="0" w:space="0" w:color="auto"/>
            <w:right w:val="none" w:sz="0" w:space="0" w:color="auto"/>
          </w:divBdr>
          <w:divsChild>
            <w:div w:id="811556855">
              <w:marLeft w:val="0"/>
              <w:marRight w:val="0"/>
              <w:marTop w:val="0"/>
              <w:marBottom w:val="0"/>
              <w:divBdr>
                <w:top w:val="none" w:sz="0" w:space="0" w:color="auto"/>
                <w:left w:val="none" w:sz="0" w:space="0" w:color="auto"/>
                <w:bottom w:val="none" w:sz="0" w:space="0" w:color="auto"/>
                <w:right w:val="none" w:sz="0" w:space="0" w:color="auto"/>
              </w:divBdr>
              <w:divsChild>
                <w:div w:id="2059814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183665">
      <w:bodyDiv w:val="1"/>
      <w:marLeft w:val="0"/>
      <w:marRight w:val="0"/>
      <w:marTop w:val="0"/>
      <w:marBottom w:val="0"/>
      <w:divBdr>
        <w:top w:val="none" w:sz="0" w:space="0" w:color="auto"/>
        <w:left w:val="none" w:sz="0" w:space="0" w:color="auto"/>
        <w:bottom w:val="none" w:sz="0" w:space="0" w:color="auto"/>
        <w:right w:val="none" w:sz="0" w:space="0" w:color="auto"/>
      </w:divBdr>
      <w:divsChild>
        <w:div w:id="1712067697">
          <w:marLeft w:val="0"/>
          <w:marRight w:val="0"/>
          <w:marTop w:val="0"/>
          <w:marBottom w:val="0"/>
          <w:divBdr>
            <w:top w:val="none" w:sz="0" w:space="0" w:color="auto"/>
            <w:left w:val="none" w:sz="0" w:space="0" w:color="auto"/>
            <w:bottom w:val="none" w:sz="0" w:space="0" w:color="auto"/>
            <w:right w:val="none" w:sz="0" w:space="0" w:color="auto"/>
          </w:divBdr>
          <w:divsChild>
            <w:div w:id="1971863072">
              <w:marLeft w:val="0"/>
              <w:marRight w:val="0"/>
              <w:marTop w:val="0"/>
              <w:marBottom w:val="0"/>
              <w:divBdr>
                <w:top w:val="none" w:sz="0" w:space="0" w:color="auto"/>
                <w:left w:val="none" w:sz="0" w:space="0" w:color="auto"/>
                <w:bottom w:val="none" w:sz="0" w:space="0" w:color="auto"/>
                <w:right w:val="none" w:sz="0" w:space="0" w:color="auto"/>
              </w:divBdr>
              <w:divsChild>
                <w:div w:id="1722561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6905232">
      <w:bodyDiv w:val="1"/>
      <w:marLeft w:val="0"/>
      <w:marRight w:val="0"/>
      <w:marTop w:val="0"/>
      <w:marBottom w:val="0"/>
      <w:divBdr>
        <w:top w:val="none" w:sz="0" w:space="0" w:color="auto"/>
        <w:left w:val="none" w:sz="0" w:space="0" w:color="auto"/>
        <w:bottom w:val="none" w:sz="0" w:space="0" w:color="auto"/>
        <w:right w:val="none" w:sz="0" w:space="0" w:color="auto"/>
      </w:divBdr>
      <w:divsChild>
        <w:div w:id="224798407">
          <w:marLeft w:val="0"/>
          <w:marRight w:val="0"/>
          <w:marTop w:val="0"/>
          <w:marBottom w:val="0"/>
          <w:divBdr>
            <w:top w:val="none" w:sz="0" w:space="0" w:color="auto"/>
            <w:left w:val="none" w:sz="0" w:space="0" w:color="auto"/>
            <w:bottom w:val="none" w:sz="0" w:space="0" w:color="auto"/>
            <w:right w:val="none" w:sz="0" w:space="0" w:color="auto"/>
          </w:divBdr>
          <w:divsChild>
            <w:div w:id="960454343">
              <w:marLeft w:val="0"/>
              <w:marRight w:val="0"/>
              <w:marTop w:val="0"/>
              <w:marBottom w:val="0"/>
              <w:divBdr>
                <w:top w:val="none" w:sz="0" w:space="0" w:color="auto"/>
                <w:left w:val="none" w:sz="0" w:space="0" w:color="auto"/>
                <w:bottom w:val="none" w:sz="0" w:space="0" w:color="auto"/>
                <w:right w:val="none" w:sz="0" w:space="0" w:color="auto"/>
              </w:divBdr>
              <w:divsChild>
                <w:div w:id="418403288">
                  <w:marLeft w:val="0"/>
                  <w:marRight w:val="0"/>
                  <w:marTop w:val="0"/>
                  <w:marBottom w:val="0"/>
                  <w:divBdr>
                    <w:top w:val="none" w:sz="0" w:space="0" w:color="auto"/>
                    <w:left w:val="none" w:sz="0" w:space="0" w:color="auto"/>
                    <w:bottom w:val="none" w:sz="0" w:space="0" w:color="auto"/>
                    <w:right w:val="none" w:sz="0" w:space="0" w:color="auto"/>
                  </w:divBdr>
                  <w:divsChild>
                    <w:div w:id="1525050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6616841">
      <w:bodyDiv w:val="1"/>
      <w:marLeft w:val="0"/>
      <w:marRight w:val="0"/>
      <w:marTop w:val="0"/>
      <w:marBottom w:val="0"/>
      <w:divBdr>
        <w:top w:val="none" w:sz="0" w:space="0" w:color="auto"/>
        <w:left w:val="none" w:sz="0" w:space="0" w:color="auto"/>
        <w:bottom w:val="none" w:sz="0" w:space="0" w:color="auto"/>
        <w:right w:val="none" w:sz="0" w:space="0" w:color="auto"/>
      </w:divBdr>
      <w:divsChild>
        <w:div w:id="2109041146">
          <w:marLeft w:val="0"/>
          <w:marRight w:val="0"/>
          <w:marTop w:val="0"/>
          <w:marBottom w:val="0"/>
          <w:divBdr>
            <w:top w:val="none" w:sz="0" w:space="0" w:color="auto"/>
            <w:left w:val="none" w:sz="0" w:space="0" w:color="auto"/>
            <w:bottom w:val="none" w:sz="0" w:space="0" w:color="auto"/>
            <w:right w:val="none" w:sz="0" w:space="0" w:color="auto"/>
          </w:divBdr>
          <w:divsChild>
            <w:div w:id="1326742346">
              <w:marLeft w:val="0"/>
              <w:marRight w:val="0"/>
              <w:marTop w:val="0"/>
              <w:marBottom w:val="0"/>
              <w:divBdr>
                <w:top w:val="none" w:sz="0" w:space="0" w:color="auto"/>
                <w:left w:val="none" w:sz="0" w:space="0" w:color="auto"/>
                <w:bottom w:val="none" w:sz="0" w:space="0" w:color="auto"/>
                <w:right w:val="none" w:sz="0" w:space="0" w:color="auto"/>
              </w:divBdr>
              <w:divsChild>
                <w:div w:id="89082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306326">
      <w:bodyDiv w:val="1"/>
      <w:marLeft w:val="0"/>
      <w:marRight w:val="0"/>
      <w:marTop w:val="0"/>
      <w:marBottom w:val="0"/>
      <w:divBdr>
        <w:top w:val="none" w:sz="0" w:space="0" w:color="auto"/>
        <w:left w:val="none" w:sz="0" w:space="0" w:color="auto"/>
        <w:bottom w:val="none" w:sz="0" w:space="0" w:color="auto"/>
        <w:right w:val="none" w:sz="0" w:space="0" w:color="auto"/>
      </w:divBdr>
      <w:divsChild>
        <w:div w:id="655452025">
          <w:marLeft w:val="0"/>
          <w:marRight w:val="0"/>
          <w:marTop w:val="0"/>
          <w:marBottom w:val="0"/>
          <w:divBdr>
            <w:top w:val="none" w:sz="0" w:space="0" w:color="auto"/>
            <w:left w:val="none" w:sz="0" w:space="0" w:color="auto"/>
            <w:bottom w:val="none" w:sz="0" w:space="0" w:color="auto"/>
            <w:right w:val="none" w:sz="0" w:space="0" w:color="auto"/>
          </w:divBdr>
          <w:divsChild>
            <w:div w:id="2007391923">
              <w:marLeft w:val="0"/>
              <w:marRight w:val="0"/>
              <w:marTop w:val="0"/>
              <w:marBottom w:val="0"/>
              <w:divBdr>
                <w:top w:val="none" w:sz="0" w:space="0" w:color="auto"/>
                <w:left w:val="none" w:sz="0" w:space="0" w:color="auto"/>
                <w:bottom w:val="none" w:sz="0" w:space="0" w:color="auto"/>
                <w:right w:val="none" w:sz="0" w:space="0" w:color="auto"/>
              </w:divBdr>
              <w:divsChild>
                <w:div w:id="1951812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0400683">
      <w:bodyDiv w:val="1"/>
      <w:marLeft w:val="0"/>
      <w:marRight w:val="0"/>
      <w:marTop w:val="0"/>
      <w:marBottom w:val="0"/>
      <w:divBdr>
        <w:top w:val="none" w:sz="0" w:space="0" w:color="auto"/>
        <w:left w:val="none" w:sz="0" w:space="0" w:color="auto"/>
        <w:bottom w:val="none" w:sz="0" w:space="0" w:color="auto"/>
        <w:right w:val="none" w:sz="0" w:space="0" w:color="auto"/>
      </w:divBdr>
      <w:divsChild>
        <w:div w:id="1185285485">
          <w:marLeft w:val="0"/>
          <w:marRight w:val="0"/>
          <w:marTop w:val="0"/>
          <w:marBottom w:val="0"/>
          <w:divBdr>
            <w:top w:val="none" w:sz="0" w:space="0" w:color="auto"/>
            <w:left w:val="none" w:sz="0" w:space="0" w:color="auto"/>
            <w:bottom w:val="none" w:sz="0" w:space="0" w:color="auto"/>
            <w:right w:val="none" w:sz="0" w:space="0" w:color="auto"/>
          </w:divBdr>
          <w:divsChild>
            <w:div w:id="1254823562">
              <w:marLeft w:val="0"/>
              <w:marRight w:val="0"/>
              <w:marTop w:val="0"/>
              <w:marBottom w:val="0"/>
              <w:divBdr>
                <w:top w:val="none" w:sz="0" w:space="0" w:color="auto"/>
                <w:left w:val="none" w:sz="0" w:space="0" w:color="auto"/>
                <w:bottom w:val="none" w:sz="0" w:space="0" w:color="auto"/>
                <w:right w:val="none" w:sz="0" w:space="0" w:color="auto"/>
              </w:divBdr>
              <w:divsChild>
                <w:div w:id="905143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7824178">
      <w:bodyDiv w:val="1"/>
      <w:marLeft w:val="0"/>
      <w:marRight w:val="0"/>
      <w:marTop w:val="0"/>
      <w:marBottom w:val="0"/>
      <w:divBdr>
        <w:top w:val="none" w:sz="0" w:space="0" w:color="auto"/>
        <w:left w:val="none" w:sz="0" w:space="0" w:color="auto"/>
        <w:bottom w:val="none" w:sz="0" w:space="0" w:color="auto"/>
        <w:right w:val="none" w:sz="0" w:space="0" w:color="auto"/>
      </w:divBdr>
      <w:divsChild>
        <w:div w:id="969241146">
          <w:marLeft w:val="0"/>
          <w:marRight w:val="0"/>
          <w:marTop w:val="0"/>
          <w:marBottom w:val="0"/>
          <w:divBdr>
            <w:top w:val="none" w:sz="0" w:space="0" w:color="auto"/>
            <w:left w:val="none" w:sz="0" w:space="0" w:color="auto"/>
            <w:bottom w:val="none" w:sz="0" w:space="0" w:color="auto"/>
            <w:right w:val="none" w:sz="0" w:space="0" w:color="auto"/>
          </w:divBdr>
          <w:divsChild>
            <w:div w:id="1264221688">
              <w:marLeft w:val="0"/>
              <w:marRight w:val="0"/>
              <w:marTop w:val="0"/>
              <w:marBottom w:val="0"/>
              <w:divBdr>
                <w:top w:val="none" w:sz="0" w:space="0" w:color="auto"/>
                <w:left w:val="none" w:sz="0" w:space="0" w:color="auto"/>
                <w:bottom w:val="none" w:sz="0" w:space="0" w:color="auto"/>
                <w:right w:val="none" w:sz="0" w:space="0" w:color="auto"/>
              </w:divBdr>
              <w:divsChild>
                <w:div w:id="828910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9592967">
      <w:bodyDiv w:val="1"/>
      <w:marLeft w:val="0"/>
      <w:marRight w:val="0"/>
      <w:marTop w:val="0"/>
      <w:marBottom w:val="0"/>
      <w:divBdr>
        <w:top w:val="none" w:sz="0" w:space="0" w:color="auto"/>
        <w:left w:val="none" w:sz="0" w:space="0" w:color="auto"/>
        <w:bottom w:val="none" w:sz="0" w:space="0" w:color="auto"/>
        <w:right w:val="none" w:sz="0" w:space="0" w:color="auto"/>
      </w:divBdr>
      <w:divsChild>
        <w:div w:id="1800223980">
          <w:marLeft w:val="0"/>
          <w:marRight w:val="0"/>
          <w:marTop w:val="0"/>
          <w:marBottom w:val="0"/>
          <w:divBdr>
            <w:top w:val="none" w:sz="0" w:space="0" w:color="auto"/>
            <w:left w:val="none" w:sz="0" w:space="0" w:color="auto"/>
            <w:bottom w:val="none" w:sz="0" w:space="0" w:color="auto"/>
            <w:right w:val="none" w:sz="0" w:space="0" w:color="auto"/>
          </w:divBdr>
          <w:divsChild>
            <w:div w:id="723607088">
              <w:marLeft w:val="0"/>
              <w:marRight w:val="0"/>
              <w:marTop w:val="0"/>
              <w:marBottom w:val="0"/>
              <w:divBdr>
                <w:top w:val="none" w:sz="0" w:space="0" w:color="auto"/>
                <w:left w:val="none" w:sz="0" w:space="0" w:color="auto"/>
                <w:bottom w:val="none" w:sz="0" w:space="0" w:color="auto"/>
                <w:right w:val="none" w:sz="0" w:space="0" w:color="auto"/>
              </w:divBdr>
              <w:divsChild>
                <w:div w:id="1749498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3868475">
      <w:bodyDiv w:val="1"/>
      <w:marLeft w:val="0"/>
      <w:marRight w:val="0"/>
      <w:marTop w:val="0"/>
      <w:marBottom w:val="0"/>
      <w:divBdr>
        <w:top w:val="none" w:sz="0" w:space="0" w:color="auto"/>
        <w:left w:val="none" w:sz="0" w:space="0" w:color="auto"/>
        <w:bottom w:val="none" w:sz="0" w:space="0" w:color="auto"/>
        <w:right w:val="none" w:sz="0" w:space="0" w:color="auto"/>
      </w:divBdr>
      <w:divsChild>
        <w:div w:id="378014566">
          <w:marLeft w:val="0"/>
          <w:marRight w:val="0"/>
          <w:marTop w:val="0"/>
          <w:marBottom w:val="0"/>
          <w:divBdr>
            <w:top w:val="none" w:sz="0" w:space="0" w:color="auto"/>
            <w:left w:val="none" w:sz="0" w:space="0" w:color="auto"/>
            <w:bottom w:val="none" w:sz="0" w:space="0" w:color="auto"/>
            <w:right w:val="none" w:sz="0" w:space="0" w:color="auto"/>
          </w:divBdr>
          <w:divsChild>
            <w:div w:id="1985770438">
              <w:marLeft w:val="0"/>
              <w:marRight w:val="0"/>
              <w:marTop w:val="0"/>
              <w:marBottom w:val="0"/>
              <w:divBdr>
                <w:top w:val="none" w:sz="0" w:space="0" w:color="auto"/>
                <w:left w:val="none" w:sz="0" w:space="0" w:color="auto"/>
                <w:bottom w:val="none" w:sz="0" w:space="0" w:color="auto"/>
                <w:right w:val="none" w:sz="0" w:space="0" w:color="auto"/>
              </w:divBdr>
              <w:divsChild>
                <w:div w:id="697700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5584265">
      <w:bodyDiv w:val="1"/>
      <w:marLeft w:val="0"/>
      <w:marRight w:val="0"/>
      <w:marTop w:val="0"/>
      <w:marBottom w:val="0"/>
      <w:divBdr>
        <w:top w:val="none" w:sz="0" w:space="0" w:color="auto"/>
        <w:left w:val="none" w:sz="0" w:space="0" w:color="auto"/>
        <w:bottom w:val="none" w:sz="0" w:space="0" w:color="auto"/>
        <w:right w:val="none" w:sz="0" w:space="0" w:color="auto"/>
      </w:divBdr>
      <w:divsChild>
        <w:div w:id="1270888837">
          <w:marLeft w:val="0"/>
          <w:marRight w:val="0"/>
          <w:marTop w:val="0"/>
          <w:marBottom w:val="0"/>
          <w:divBdr>
            <w:top w:val="none" w:sz="0" w:space="0" w:color="auto"/>
            <w:left w:val="none" w:sz="0" w:space="0" w:color="auto"/>
            <w:bottom w:val="none" w:sz="0" w:space="0" w:color="auto"/>
            <w:right w:val="none" w:sz="0" w:space="0" w:color="auto"/>
          </w:divBdr>
          <w:divsChild>
            <w:div w:id="1008408626">
              <w:marLeft w:val="0"/>
              <w:marRight w:val="0"/>
              <w:marTop w:val="0"/>
              <w:marBottom w:val="0"/>
              <w:divBdr>
                <w:top w:val="none" w:sz="0" w:space="0" w:color="auto"/>
                <w:left w:val="none" w:sz="0" w:space="0" w:color="auto"/>
                <w:bottom w:val="none" w:sz="0" w:space="0" w:color="auto"/>
                <w:right w:val="none" w:sz="0" w:space="0" w:color="auto"/>
              </w:divBdr>
              <w:divsChild>
                <w:div w:id="880168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51561285">
      <w:bodyDiv w:val="1"/>
      <w:marLeft w:val="0"/>
      <w:marRight w:val="0"/>
      <w:marTop w:val="0"/>
      <w:marBottom w:val="0"/>
      <w:divBdr>
        <w:top w:val="none" w:sz="0" w:space="0" w:color="auto"/>
        <w:left w:val="none" w:sz="0" w:space="0" w:color="auto"/>
        <w:bottom w:val="none" w:sz="0" w:space="0" w:color="auto"/>
        <w:right w:val="none" w:sz="0" w:space="0" w:color="auto"/>
      </w:divBdr>
      <w:divsChild>
        <w:div w:id="59519528">
          <w:marLeft w:val="0"/>
          <w:marRight w:val="0"/>
          <w:marTop w:val="0"/>
          <w:marBottom w:val="0"/>
          <w:divBdr>
            <w:top w:val="none" w:sz="0" w:space="0" w:color="auto"/>
            <w:left w:val="none" w:sz="0" w:space="0" w:color="auto"/>
            <w:bottom w:val="none" w:sz="0" w:space="0" w:color="auto"/>
            <w:right w:val="none" w:sz="0" w:space="0" w:color="auto"/>
          </w:divBdr>
          <w:divsChild>
            <w:div w:id="324482405">
              <w:marLeft w:val="0"/>
              <w:marRight w:val="0"/>
              <w:marTop w:val="0"/>
              <w:marBottom w:val="0"/>
              <w:divBdr>
                <w:top w:val="none" w:sz="0" w:space="0" w:color="auto"/>
                <w:left w:val="none" w:sz="0" w:space="0" w:color="auto"/>
                <w:bottom w:val="none" w:sz="0" w:space="0" w:color="auto"/>
                <w:right w:val="none" w:sz="0" w:space="0" w:color="auto"/>
              </w:divBdr>
              <w:divsChild>
                <w:div w:id="717168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3837330">
      <w:bodyDiv w:val="1"/>
      <w:marLeft w:val="0"/>
      <w:marRight w:val="0"/>
      <w:marTop w:val="0"/>
      <w:marBottom w:val="0"/>
      <w:divBdr>
        <w:top w:val="none" w:sz="0" w:space="0" w:color="auto"/>
        <w:left w:val="none" w:sz="0" w:space="0" w:color="auto"/>
        <w:bottom w:val="none" w:sz="0" w:space="0" w:color="auto"/>
        <w:right w:val="none" w:sz="0" w:space="0" w:color="auto"/>
      </w:divBdr>
      <w:divsChild>
        <w:div w:id="1924795037">
          <w:marLeft w:val="0"/>
          <w:marRight w:val="0"/>
          <w:marTop w:val="0"/>
          <w:marBottom w:val="0"/>
          <w:divBdr>
            <w:top w:val="none" w:sz="0" w:space="0" w:color="auto"/>
            <w:left w:val="none" w:sz="0" w:space="0" w:color="auto"/>
            <w:bottom w:val="none" w:sz="0" w:space="0" w:color="auto"/>
            <w:right w:val="none" w:sz="0" w:space="0" w:color="auto"/>
          </w:divBdr>
          <w:divsChild>
            <w:div w:id="1262031136">
              <w:marLeft w:val="0"/>
              <w:marRight w:val="0"/>
              <w:marTop w:val="0"/>
              <w:marBottom w:val="0"/>
              <w:divBdr>
                <w:top w:val="none" w:sz="0" w:space="0" w:color="auto"/>
                <w:left w:val="none" w:sz="0" w:space="0" w:color="auto"/>
                <w:bottom w:val="none" w:sz="0" w:space="0" w:color="auto"/>
                <w:right w:val="none" w:sz="0" w:space="0" w:color="auto"/>
              </w:divBdr>
              <w:divsChild>
                <w:div w:id="515191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5730165">
      <w:bodyDiv w:val="1"/>
      <w:marLeft w:val="0"/>
      <w:marRight w:val="0"/>
      <w:marTop w:val="0"/>
      <w:marBottom w:val="0"/>
      <w:divBdr>
        <w:top w:val="none" w:sz="0" w:space="0" w:color="auto"/>
        <w:left w:val="none" w:sz="0" w:space="0" w:color="auto"/>
        <w:bottom w:val="none" w:sz="0" w:space="0" w:color="auto"/>
        <w:right w:val="none" w:sz="0" w:space="0" w:color="auto"/>
      </w:divBdr>
      <w:divsChild>
        <w:div w:id="554387843">
          <w:marLeft w:val="0"/>
          <w:marRight w:val="0"/>
          <w:marTop w:val="0"/>
          <w:marBottom w:val="0"/>
          <w:divBdr>
            <w:top w:val="none" w:sz="0" w:space="0" w:color="auto"/>
            <w:left w:val="none" w:sz="0" w:space="0" w:color="auto"/>
            <w:bottom w:val="none" w:sz="0" w:space="0" w:color="auto"/>
            <w:right w:val="none" w:sz="0" w:space="0" w:color="auto"/>
          </w:divBdr>
          <w:divsChild>
            <w:div w:id="1571115555">
              <w:marLeft w:val="0"/>
              <w:marRight w:val="0"/>
              <w:marTop w:val="0"/>
              <w:marBottom w:val="0"/>
              <w:divBdr>
                <w:top w:val="none" w:sz="0" w:space="0" w:color="auto"/>
                <w:left w:val="none" w:sz="0" w:space="0" w:color="auto"/>
                <w:bottom w:val="none" w:sz="0" w:space="0" w:color="auto"/>
                <w:right w:val="none" w:sz="0" w:space="0" w:color="auto"/>
              </w:divBdr>
              <w:divsChild>
                <w:div w:id="176660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8589219">
      <w:bodyDiv w:val="1"/>
      <w:marLeft w:val="0"/>
      <w:marRight w:val="0"/>
      <w:marTop w:val="0"/>
      <w:marBottom w:val="0"/>
      <w:divBdr>
        <w:top w:val="none" w:sz="0" w:space="0" w:color="auto"/>
        <w:left w:val="none" w:sz="0" w:space="0" w:color="auto"/>
        <w:bottom w:val="none" w:sz="0" w:space="0" w:color="auto"/>
        <w:right w:val="none" w:sz="0" w:space="0" w:color="auto"/>
      </w:divBdr>
    </w:div>
    <w:div w:id="1226063388">
      <w:bodyDiv w:val="1"/>
      <w:marLeft w:val="0"/>
      <w:marRight w:val="0"/>
      <w:marTop w:val="0"/>
      <w:marBottom w:val="0"/>
      <w:divBdr>
        <w:top w:val="none" w:sz="0" w:space="0" w:color="auto"/>
        <w:left w:val="none" w:sz="0" w:space="0" w:color="auto"/>
        <w:bottom w:val="none" w:sz="0" w:space="0" w:color="auto"/>
        <w:right w:val="none" w:sz="0" w:space="0" w:color="auto"/>
      </w:divBdr>
      <w:divsChild>
        <w:div w:id="109204117">
          <w:marLeft w:val="0"/>
          <w:marRight w:val="0"/>
          <w:marTop w:val="0"/>
          <w:marBottom w:val="0"/>
          <w:divBdr>
            <w:top w:val="none" w:sz="0" w:space="0" w:color="auto"/>
            <w:left w:val="none" w:sz="0" w:space="0" w:color="auto"/>
            <w:bottom w:val="none" w:sz="0" w:space="0" w:color="auto"/>
            <w:right w:val="none" w:sz="0" w:space="0" w:color="auto"/>
          </w:divBdr>
          <w:divsChild>
            <w:div w:id="197743835">
              <w:marLeft w:val="0"/>
              <w:marRight w:val="0"/>
              <w:marTop w:val="0"/>
              <w:marBottom w:val="0"/>
              <w:divBdr>
                <w:top w:val="none" w:sz="0" w:space="0" w:color="auto"/>
                <w:left w:val="none" w:sz="0" w:space="0" w:color="auto"/>
                <w:bottom w:val="none" w:sz="0" w:space="0" w:color="auto"/>
                <w:right w:val="none" w:sz="0" w:space="0" w:color="auto"/>
              </w:divBdr>
              <w:divsChild>
                <w:div w:id="14702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342466">
      <w:bodyDiv w:val="1"/>
      <w:marLeft w:val="0"/>
      <w:marRight w:val="0"/>
      <w:marTop w:val="0"/>
      <w:marBottom w:val="0"/>
      <w:divBdr>
        <w:top w:val="none" w:sz="0" w:space="0" w:color="auto"/>
        <w:left w:val="none" w:sz="0" w:space="0" w:color="auto"/>
        <w:bottom w:val="none" w:sz="0" w:space="0" w:color="auto"/>
        <w:right w:val="none" w:sz="0" w:space="0" w:color="auto"/>
      </w:divBdr>
      <w:divsChild>
        <w:div w:id="217523191">
          <w:marLeft w:val="0"/>
          <w:marRight w:val="0"/>
          <w:marTop w:val="0"/>
          <w:marBottom w:val="0"/>
          <w:divBdr>
            <w:top w:val="none" w:sz="0" w:space="0" w:color="auto"/>
            <w:left w:val="none" w:sz="0" w:space="0" w:color="auto"/>
            <w:bottom w:val="none" w:sz="0" w:space="0" w:color="auto"/>
            <w:right w:val="none" w:sz="0" w:space="0" w:color="auto"/>
          </w:divBdr>
          <w:divsChild>
            <w:div w:id="1396513771">
              <w:marLeft w:val="0"/>
              <w:marRight w:val="0"/>
              <w:marTop w:val="0"/>
              <w:marBottom w:val="0"/>
              <w:divBdr>
                <w:top w:val="none" w:sz="0" w:space="0" w:color="auto"/>
                <w:left w:val="none" w:sz="0" w:space="0" w:color="auto"/>
                <w:bottom w:val="none" w:sz="0" w:space="0" w:color="auto"/>
                <w:right w:val="none" w:sz="0" w:space="0" w:color="auto"/>
              </w:divBdr>
              <w:divsChild>
                <w:div w:id="1942910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2297031">
      <w:bodyDiv w:val="1"/>
      <w:marLeft w:val="0"/>
      <w:marRight w:val="0"/>
      <w:marTop w:val="0"/>
      <w:marBottom w:val="0"/>
      <w:divBdr>
        <w:top w:val="none" w:sz="0" w:space="0" w:color="auto"/>
        <w:left w:val="none" w:sz="0" w:space="0" w:color="auto"/>
        <w:bottom w:val="none" w:sz="0" w:space="0" w:color="auto"/>
        <w:right w:val="none" w:sz="0" w:space="0" w:color="auto"/>
      </w:divBdr>
      <w:divsChild>
        <w:div w:id="13578719">
          <w:marLeft w:val="0"/>
          <w:marRight w:val="0"/>
          <w:marTop w:val="0"/>
          <w:marBottom w:val="0"/>
          <w:divBdr>
            <w:top w:val="none" w:sz="0" w:space="0" w:color="auto"/>
            <w:left w:val="none" w:sz="0" w:space="0" w:color="auto"/>
            <w:bottom w:val="none" w:sz="0" w:space="0" w:color="auto"/>
            <w:right w:val="none" w:sz="0" w:space="0" w:color="auto"/>
          </w:divBdr>
          <w:divsChild>
            <w:div w:id="1719548575">
              <w:marLeft w:val="0"/>
              <w:marRight w:val="0"/>
              <w:marTop w:val="0"/>
              <w:marBottom w:val="0"/>
              <w:divBdr>
                <w:top w:val="none" w:sz="0" w:space="0" w:color="auto"/>
                <w:left w:val="none" w:sz="0" w:space="0" w:color="auto"/>
                <w:bottom w:val="none" w:sz="0" w:space="0" w:color="auto"/>
                <w:right w:val="none" w:sz="0" w:space="0" w:color="auto"/>
              </w:divBdr>
              <w:divsChild>
                <w:div w:id="1537549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264596">
      <w:bodyDiv w:val="1"/>
      <w:marLeft w:val="0"/>
      <w:marRight w:val="0"/>
      <w:marTop w:val="0"/>
      <w:marBottom w:val="0"/>
      <w:divBdr>
        <w:top w:val="none" w:sz="0" w:space="0" w:color="auto"/>
        <w:left w:val="none" w:sz="0" w:space="0" w:color="auto"/>
        <w:bottom w:val="none" w:sz="0" w:space="0" w:color="auto"/>
        <w:right w:val="none" w:sz="0" w:space="0" w:color="auto"/>
      </w:divBdr>
      <w:divsChild>
        <w:div w:id="2037611804">
          <w:marLeft w:val="0"/>
          <w:marRight w:val="0"/>
          <w:marTop w:val="0"/>
          <w:marBottom w:val="0"/>
          <w:divBdr>
            <w:top w:val="none" w:sz="0" w:space="0" w:color="auto"/>
            <w:left w:val="none" w:sz="0" w:space="0" w:color="auto"/>
            <w:bottom w:val="none" w:sz="0" w:space="0" w:color="auto"/>
            <w:right w:val="none" w:sz="0" w:space="0" w:color="auto"/>
          </w:divBdr>
          <w:divsChild>
            <w:div w:id="505678592">
              <w:marLeft w:val="0"/>
              <w:marRight w:val="0"/>
              <w:marTop w:val="0"/>
              <w:marBottom w:val="0"/>
              <w:divBdr>
                <w:top w:val="none" w:sz="0" w:space="0" w:color="auto"/>
                <w:left w:val="none" w:sz="0" w:space="0" w:color="auto"/>
                <w:bottom w:val="none" w:sz="0" w:space="0" w:color="auto"/>
                <w:right w:val="none" w:sz="0" w:space="0" w:color="auto"/>
              </w:divBdr>
              <w:divsChild>
                <w:div w:id="1809467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304387017">
      <w:bodyDiv w:val="1"/>
      <w:marLeft w:val="0"/>
      <w:marRight w:val="0"/>
      <w:marTop w:val="0"/>
      <w:marBottom w:val="0"/>
      <w:divBdr>
        <w:top w:val="none" w:sz="0" w:space="0" w:color="auto"/>
        <w:left w:val="none" w:sz="0" w:space="0" w:color="auto"/>
        <w:bottom w:val="none" w:sz="0" w:space="0" w:color="auto"/>
        <w:right w:val="none" w:sz="0" w:space="0" w:color="auto"/>
      </w:divBdr>
      <w:divsChild>
        <w:div w:id="233127242">
          <w:marLeft w:val="0"/>
          <w:marRight w:val="0"/>
          <w:marTop w:val="0"/>
          <w:marBottom w:val="0"/>
          <w:divBdr>
            <w:top w:val="none" w:sz="0" w:space="0" w:color="auto"/>
            <w:left w:val="none" w:sz="0" w:space="0" w:color="auto"/>
            <w:bottom w:val="none" w:sz="0" w:space="0" w:color="auto"/>
            <w:right w:val="none" w:sz="0" w:space="0" w:color="auto"/>
          </w:divBdr>
          <w:divsChild>
            <w:div w:id="1042442254">
              <w:marLeft w:val="0"/>
              <w:marRight w:val="0"/>
              <w:marTop w:val="0"/>
              <w:marBottom w:val="0"/>
              <w:divBdr>
                <w:top w:val="none" w:sz="0" w:space="0" w:color="auto"/>
                <w:left w:val="none" w:sz="0" w:space="0" w:color="auto"/>
                <w:bottom w:val="none" w:sz="0" w:space="0" w:color="auto"/>
                <w:right w:val="none" w:sz="0" w:space="0" w:color="auto"/>
              </w:divBdr>
              <w:divsChild>
                <w:div w:id="1146094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9207252">
      <w:bodyDiv w:val="1"/>
      <w:marLeft w:val="0"/>
      <w:marRight w:val="0"/>
      <w:marTop w:val="0"/>
      <w:marBottom w:val="0"/>
      <w:divBdr>
        <w:top w:val="none" w:sz="0" w:space="0" w:color="auto"/>
        <w:left w:val="none" w:sz="0" w:space="0" w:color="auto"/>
        <w:bottom w:val="none" w:sz="0" w:space="0" w:color="auto"/>
        <w:right w:val="none" w:sz="0" w:space="0" w:color="auto"/>
      </w:divBdr>
      <w:divsChild>
        <w:div w:id="1675918357">
          <w:marLeft w:val="0"/>
          <w:marRight w:val="0"/>
          <w:marTop w:val="0"/>
          <w:marBottom w:val="0"/>
          <w:divBdr>
            <w:top w:val="none" w:sz="0" w:space="0" w:color="auto"/>
            <w:left w:val="none" w:sz="0" w:space="0" w:color="auto"/>
            <w:bottom w:val="none" w:sz="0" w:space="0" w:color="auto"/>
            <w:right w:val="none" w:sz="0" w:space="0" w:color="auto"/>
          </w:divBdr>
          <w:divsChild>
            <w:div w:id="512887287">
              <w:marLeft w:val="0"/>
              <w:marRight w:val="0"/>
              <w:marTop w:val="0"/>
              <w:marBottom w:val="0"/>
              <w:divBdr>
                <w:top w:val="none" w:sz="0" w:space="0" w:color="auto"/>
                <w:left w:val="none" w:sz="0" w:space="0" w:color="auto"/>
                <w:bottom w:val="none" w:sz="0" w:space="0" w:color="auto"/>
                <w:right w:val="none" w:sz="0" w:space="0" w:color="auto"/>
              </w:divBdr>
              <w:divsChild>
                <w:div w:id="1522821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3900576">
      <w:bodyDiv w:val="1"/>
      <w:marLeft w:val="0"/>
      <w:marRight w:val="0"/>
      <w:marTop w:val="0"/>
      <w:marBottom w:val="0"/>
      <w:divBdr>
        <w:top w:val="none" w:sz="0" w:space="0" w:color="auto"/>
        <w:left w:val="none" w:sz="0" w:space="0" w:color="auto"/>
        <w:bottom w:val="none" w:sz="0" w:space="0" w:color="auto"/>
        <w:right w:val="none" w:sz="0" w:space="0" w:color="auto"/>
      </w:divBdr>
      <w:divsChild>
        <w:div w:id="667947061">
          <w:marLeft w:val="0"/>
          <w:marRight w:val="0"/>
          <w:marTop w:val="0"/>
          <w:marBottom w:val="0"/>
          <w:divBdr>
            <w:top w:val="none" w:sz="0" w:space="0" w:color="auto"/>
            <w:left w:val="none" w:sz="0" w:space="0" w:color="auto"/>
            <w:bottom w:val="none" w:sz="0" w:space="0" w:color="auto"/>
            <w:right w:val="none" w:sz="0" w:space="0" w:color="auto"/>
          </w:divBdr>
          <w:divsChild>
            <w:div w:id="1109013308">
              <w:marLeft w:val="0"/>
              <w:marRight w:val="0"/>
              <w:marTop w:val="0"/>
              <w:marBottom w:val="0"/>
              <w:divBdr>
                <w:top w:val="none" w:sz="0" w:space="0" w:color="auto"/>
                <w:left w:val="none" w:sz="0" w:space="0" w:color="auto"/>
                <w:bottom w:val="none" w:sz="0" w:space="0" w:color="auto"/>
                <w:right w:val="none" w:sz="0" w:space="0" w:color="auto"/>
              </w:divBdr>
              <w:divsChild>
                <w:div w:id="29224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4205274">
      <w:bodyDiv w:val="1"/>
      <w:marLeft w:val="0"/>
      <w:marRight w:val="0"/>
      <w:marTop w:val="0"/>
      <w:marBottom w:val="0"/>
      <w:divBdr>
        <w:top w:val="none" w:sz="0" w:space="0" w:color="auto"/>
        <w:left w:val="none" w:sz="0" w:space="0" w:color="auto"/>
        <w:bottom w:val="none" w:sz="0" w:space="0" w:color="auto"/>
        <w:right w:val="none" w:sz="0" w:space="0" w:color="auto"/>
      </w:divBdr>
    </w:div>
    <w:div w:id="1411459866">
      <w:bodyDiv w:val="1"/>
      <w:marLeft w:val="0"/>
      <w:marRight w:val="0"/>
      <w:marTop w:val="0"/>
      <w:marBottom w:val="0"/>
      <w:divBdr>
        <w:top w:val="none" w:sz="0" w:space="0" w:color="auto"/>
        <w:left w:val="none" w:sz="0" w:space="0" w:color="auto"/>
        <w:bottom w:val="none" w:sz="0" w:space="0" w:color="auto"/>
        <w:right w:val="none" w:sz="0" w:space="0" w:color="auto"/>
      </w:divBdr>
      <w:divsChild>
        <w:div w:id="1639989118">
          <w:marLeft w:val="0"/>
          <w:marRight w:val="0"/>
          <w:marTop w:val="0"/>
          <w:marBottom w:val="0"/>
          <w:divBdr>
            <w:top w:val="none" w:sz="0" w:space="0" w:color="auto"/>
            <w:left w:val="none" w:sz="0" w:space="0" w:color="auto"/>
            <w:bottom w:val="none" w:sz="0" w:space="0" w:color="auto"/>
            <w:right w:val="none" w:sz="0" w:space="0" w:color="auto"/>
          </w:divBdr>
          <w:divsChild>
            <w:div w:id="942230132">
              <w:marLeft w:val="0"/>
              <w:marRight w:val="0"/>
              <w:marTop w:val="0"/>
              <w:marBottom w:val="0"/>
              <w:divBdr>
                <w:top w:val="none" w:sz="0" w:space="0" w:color="auto"/>
                <w:left w:val="none" w:sz="0" w:space="0" w:color="auto"/>
                <w:bottom w:val="none" w:sz="0" w:space="0" w:color="auto"/>
                <w:right w:val="none" w:sz="0" w:space="0" w:color="auto"/>
              </w:divBdr>
              <w:divsChild>
                <w:div w:id="1161585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2945359">
      <w:bodyDiv w:val="1"/>
      <w:marLeft w:val="0"/>
      <w:marRight w:val="0"/>
      <w:marTop w:val="0"/>
      <w:marBottom w:val="0"/>
      <w:divBdr>
        <w:top w:val="none" w:sz="0" w:space="0" w:color="auto"/>
        <w:left w:val="none" w:sz="0" w:space="0" w:color="auto"/>
        <w:bottom w:val="none" w:sz="0" w:space="0" w:color="auto"/>
        <w:right w:val="none" w:sz="0" w:space="0" w:color="auto"/>
      </w:divBdr>
      <w:divsChild>
        <w:div w:id="615647485">
          <w:marLeft w:val="0"/>
          <w:marRight w:val="0"/>
          <w:marTop w:val="0"/>
          <w:marBottom w:val="0"/>
          <w:divBdr>
            <w:top w:val="none" w:sz="0" w:space="0" w:color="auto"/>
            <w:left w:val="none" w:sz="0" w:space="0" w:color="auto"/>
            <w:bottom w:val="none" w:sz="0" w:space="0" w:color="auto"/>
            <w:right w:val="none" w:sz="0" w:space="0" w:color="auto"/>
          </w:divBdr>
          <w:divsChild>
            <w:div w:id="1103036847">
              <w:marLeft w:val="0"/>
              <w:marRight w:val="0"/>
              <w:marTop w:val="0"/>
              <w:marBottom w:val="0"/>
              <w:divBdr>
                <w:top w:val="none" w:sz="0" w:space="0" w:color="auto"/>
                <w:left w:val="none" w:sz="0" w:space="0" w:color="auto"/>
                <w:bottom w:val="none" w:sz="0" w:space="0" w:color="auto"/>
                <w:right w:val="none" w:sz="0" w:space="0" w:color="auto"/>
              </w:divBdr>
              <w:divsChild>
                <w:div w:id="248735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5637494">
      <w:bodyDiv w:val="1"/>
      <w:marLeft w:val="0"/>
      <w:marRight w:val="0"/>
      <w:marTop w:val="0"/>
      <w:marBottom w:val="0"/>
      <w:divBdr>
        <w:top w:val="none" w:sz="0" w:space="0" w:color="auto"/>
        <w:left w:val="none" w:sz="0" w:space="0" w:color="auto"/>
        <w:bottom w:val="none" w:sz="0" w:space="0" w:color="auto"/>
        <w:right w:val="none" w:sz="0" w:space="0" w:color="auto"/>
      </w:divBdr>
      <w:divsChild>
        <w:div w:id="544830287">
          <w:marLeft w:val="0"/>
          <w:marRight w:val="0"/>
          <w:marTop w:val="0"/>
          <w:marBottom w:val="0"/>
          <w:divBdr>
            <w:top w:val="none" w:sz="0" w:space="0" w:color="auto"/>
            <w:left w:val="none" w:sz="0" w:space="0" w:color="auto"/>
            <w:bottom w:val="none" w:sz="0" w:space="0" w:color="auto"/>
            <w:right w:val="none" w:sz="0" w:space="0" w:color="auto"/>
          </w:divBdr>
          <w:divsChild>
            <w:div w:id="686711432">
              <w:marLeft w:val="0"/>
              <w:marRight w:val="0"/>
              <w:marTop w:val="0"/>
              <w:marBottom w:val="0"/>
              <w:divBdr>
                <w:top w:val="none" w:sz="0" w:space="0" w:color="auto"/>
                <w:left w:val="none" w:sz="0" w:space="0" w:color="auto"/>
                <w:bottom w:val="none" w:sz="0" w:space="0" w:color="auto"/>
                <w:right w:val="none" w:sz="0" w:space="0" w:color="auto"/>
              </w:divBdr>
              <w:divsChild>
                <w:div w:id="239172487">
                  <w:marLeft w:val="0"/>
                  <w:marRight w:val="0"/>
                  <w:marTop w:val="0"/>
                  <w:marBottom w:val="0"/>
                  <w:divBdr>
                    <w:top w:val="none" w:sz="0" w:space="0" w:color="auto"/>
                    <w:left w:val="none" w:sz="0" w:space="0" w:color="auto"/>
                    <w:bottom w:val="none" w:sz="0" w:space="0" w:color="auto"/>
                    <w:right w:val="none" w:sz="0" w:space="0" w:color="auto"/>
                  </w:divBdr>
                  <w:divsChild>
                    <w:div w:id="1342201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1019626">
      <w:bodyDiv w:val="1"/>
      <w:marLeft w:val="0"/>
      <w:marRight w:val="0"/>
      <w:marTop w:val="0"/>
      <w:marBottom w:val="0"/>
      <w:divBdr>
        <w:top w:val="none" w:sz="0" w:space="0" w:color="auto"/>
        <w:left w:val="none" w:sz="0" w:space="0" w:color="auto"/>
        <w:bottom w:val="none" w:sz="0" w:space="0" w:color="auto"/>
        <w:right w:val="none" w:sz="0" w:space="0" w:color="auto"/>
      </w:divBdr>
      <w:divsChild>
        <w:div w:id="1213156850">
          <w:marLeft w:val="0"/>
          <w:marRight w:val="0"/>
          <w:marTop w:val="0"/>
          <w:marBottom w:val="0"/>
          <w:divBdr>
            <w:top w:val="none" w:sz="0" w:space="0" w:color="auto"/>
            <w:left w:val="none" w:sz="0" w:space="0" w:color="auto"/>
            <w:bottom w:val="none" w:sz="0" w:space="0" w:color="auto"/>
            <w:right w:val="none" w:sz="0" w:space="0" w:color="auto"/>
          </w:divBdr>
          <w:divsChild>
            <w:div w:id="991982992">
              <w:marLeft w:val="0"/>
              <w:marRight w:val="0"/>
              <w:marTop w:val="0"/>
              <w:marBottom w:val="0"/>
              <w:divBdr>
                <w:top w:val="none" w:sz="0" w:space="0" w:color="auto"/>
                <w:left w:val="none" w:sz="0" w:space="0" w:color="auto"/>
                <w:bottom w:val="none" w:sz="0" w:space="0" w:color="auto"/>
                <w:right w:val="none" w:sz="0" w:space="0" w:color="auto"/>
              </w:divBdr>
              <w:divsChild>
                <w:div w:id="1995256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1407126">
      <w:bodyDiv w:val="1"/>
      <w:marLeft w:val="0"/>
      <w:marRight w:val="0"/>
      <w:marTop w:val="0"/>
      <w:marBottom w:val="0"/>
      <w:divBdr>
        <w:top w:val="none" w:sz="0" w:space="0" w:color="auto"/>
        <w:left w:val="none" w:sz="0" w:space="0" w:color="auto"/>
        <w:bottom w:val="none" w:sz="0" w:space="0" w:color="auto"/>
        <w:right w:val="none" w:sz="0" w:space="0" w:color="auto"/>
      </w:divBdr>
      <w:divsChild>
        <w:div w:id="27072149">
          <w:marLeft w:val="0"/>
          <w:marRight w:val="0"/>
          <w:marTop w:val="0"/>
          <w:marBottom w:val="0"/>
          <w:divBdr>
            <w:top w:val="none" w:sz="0" w:space="0" w:color="auto"/>
            <w:left w:val="none" w:sz="0" w:space="0" w:color="auto"/>
            <w:bottom w:val="none" w:sz="0" w:space="0" w:color="auto"/>
            <w:right w:val="none" w:sz="0" w:space="0" w:color="auto"/>
          </w:divBdr>
          <w:divsChild>
            <w:div w:id="1645544458">
              <w:marLeft w:val="0"/>
              <w:marRight w:val="0"/>
              <w:marTop w:val="0"/>
              <w:marBottom w:val="0"/>
              <w:divBdr>
                <w:top w:val="none" w:sz="0" w:space="0" w:color="auto"/>
                <w:left w:val="none" w:sz="0" w:space="0" w:color="auto"/>
                <w:bottom w:val="none" w:sz="0" w:space="0" w:color="auto"/>
                <w:right w:val="none" w:sz="0" w:space="0" w:color="auto"/>
              </w:divBdr>
              <w:divsChild>
                <w:div w:id="1101219591">
                  <w:marLeft w:val="0"/>
                  <w:marRight w:val="0"/>
                  <w:marTop w:val="0"/>
                  <w:marBottom w:val="0"/>
                  <w:divBdr>
                    <w:top w:val="none" w:sz="0" w:space="0" w:color="auto"/>
                    <w:left w:val="none" w:sz="0" w:space="0" w:color="auto"/>
                    <w:bottom w:val="none" w:sz="0" w:space="0" w:color="auto"/>
                    <w:right w:val="none" w:sz="0" w:space="0" w:color="auto"/>
                  </w:divBdr>
                  <w:divsChild>
                    <w:div w:id="1664091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2836446">
      <w:bodyDiv w:val="1"/>
      <w:marLeft w:val="0"/>
      <w:marRight w:val="0"/>
      <w:marTop w:val="0"/>
      <w:marBottom w:val="0"/>
      <w:divBdr>
        <w:top w:val="none" w:sz="0" w:space="0" w:color="auto"/>
        <w:left w:val="none" w:sz="0" w:space="0" w:color="auto"/>
        <w:bottom w:val="none" w:sz="0" w:space="0" w:color="auto"/>
        <w:right w:val="none" w:sz="0" w:space="0" w:color="auto"/>
      </w:divBdr>
      <w:divsChild>
        <w:div w:id="850335671">
          <w:marLeft w:val="0"/>
          <w:marRight w:val="0"/>
          <w:marTop w:val="0"/>
          <w:marBottom w:val="0"/>
          <w:divBdr>
            <w:top w:val="none" w:sz="0" w:space="0" w:color="auto"/>
            <w:left w:val="none" w:sz="0" w:space="0" w:color="auto"/>
            <w:bottom w:val="none" w:sz="0" w:space="0" w:color="auto"/>
            <w:right w:val="none" w:sz="0" w:space="0" w:color="auto"/>
          </w:divBdr>
          <w:divsChild>
            <w:div w:id="1426341243">
              <w:marLeft w:val="0"/>
              <w:marRight w:val="0"/>
              <w:marTop w:val="0"/>
              <w:marBottom w:val="0"/>
              <w:divBdr>
                <w:top w:val="none" w:sz="0" w:space="0" w:color="auto"/>
                <w:left w:val="none" w:sz="0" w:space="0" w:color="auto"/>
                <w:bottom w:val="none" w:sz="0" w:space="0" w:color="auto"/>
                <w:right w:val="none" w:sz="0" w:space="0" w:color="auto"/>
              </w:divBdr>
              <w:divsChild>
                <w:div w:id="831600649">
                  <w:marLeft w:val="0"/>
                  <w:marRight w:val="0"/>
                  <w:marTop w:val="0"/>
                  <w:marBottom w:val="0"/>
                  <w:divBdr>
                    <w:top w:val="none" w:sz="0" w:space="0" w:color="auto"/>
                    <w:left w:val="none" w:sz="0" w:space="0" w:color="auto"/>
                    <w:bottom w:val="none" w:sz="0" w:space="0" w:color="auto"/>
                    <w:right w:val="none" w:sz="0" w:space="0" w:color="auto"/>
                  </w:divBdr>
                  <w:divsChild>
                    <w:div w:id="1893467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566765">
      <w:bodyDiv w:val="1"/>
      <w:marLeft w:val="0"/>
      <w:marRight w:val="0"/>
      <w:marTop w:val="0"/>
      <w:marBottom w:val="0"/>
      <w:divBdr>
        <w:top w:val="none" w:sz="0" w:space="0" w:color="auto"/>
        <w:left w:val="none" w:sz="0" w:space="0" w:color="auto"/>
        <w:bottom w:val="none" w:sz="0" w:space="0" w:color="auto"/>
        <w:right w:val="none" w:sz="0" w:space="0" w:color="auto"/>
      </w:divBdr>
      <w:divsChild>
        <w:div w:id="987513673">
          <w:marLeft w:val="0"/>
          <w:marRight w:val="0"/>
          <w:marTop w:val="0"/>
          <w:marBottom w:val="0"/>
          <w:divBdr>
            <w:top w:val="none" w:sz="0" w:space="0" w:color="auto"/>
            <w:left w:val="none" w:sz="0" w:space="0" w:color="auto"/>
            <w:bottom w:val="none" w:sz="0" w:space="0" w:color="auto"/>
            <w:right w:val="none" w:sz="0" w:space="0" w:color="auto"/>
          </w:divBdr>
          <w:divsChild>
            <w:div w:id="1003052303">
              <w:marLeft w:val="0"/>
              <w:marRight w:val="0"/>
              <w:marTop w:val="0"/>
              <w:marBottom w:val="0"/>
              <w:divBdr>
                <w:top w:val="none" w:sz="0" w:space="0" w:color="auto"/>
                <w:left w:val="none" w:sz="0" w:space="0" w:color="auto"/>
                <w:bottom w:val="none" w:sz="0" w:space="0" w:color="auto"/>
                <w:right w:val="none" w:sz="0" w:space="0" w:color="auto"/>
              </w:divBdr>
              <w:divsChild>
                <w:div w:id="237441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5387430">
      <w:bodyDiv w:val="1"/>
      <w:marLeft w:val="0"/>
      <w:marRight w:val="0"/>
      <w:marTop w:val="0"/>
      <w:marBottom w:val="0"/>
      <w:divBdr>
        <w:top w:val="none" w:sz="0" w:space="0" w:color="auto"/>
        <w:left w:val="none" w:sz="0" w:space="0" w:color="auto"/>
        <w:bottom w:val="none" w:sz="0" w:space="0" w:color="auto"/>
        <w:right w:val="none" w:sz="0" w:space="0" w:color="auto"/>
      </w:divBdr>
    </w:div>
    <w:div w:id="1645085218">
      <w:bodyDiv w:val="1"/>
      <w:marLeft w:val="0"/>
      <w:marRight w:val="0"/>
      <w:marTop w:val="0"/>
      <w:marBottom w:val="0"/>
      <w:divBdr>
        <w:top w:val="none" w:sz="0" w:space="0" w:color="auto"/>
        <w:left w:val="none" w:sz="0" w:space="0" w:color="auto"/>
        <w:bottom w:val="none" w:sz="0" w:space="0" w:color="auto"/>
        <w:right w:val="none" w:sz="0" w:space="0" w:color="auto"/>
      </w:divBdr>
      <w:divsChild>
        <w:div w:id="558134533">
          <w:marLeft w:val="0"/>
          <w:marRight w:val="0"/>
          <w:marTop w:val="0"/>
          <w:marBottom w:val="0"/>
          <w:divBdr>
            <w:top w:val="none" w:sz="0" w:space="0" w:color="auto"/>
            <w:left w:val="none" w:sz="0" w:space="0" w:color="auto"/>
            <w:bottom w:val="none" w:sz="0" w:space="0" w:color="auto"/>
            <w:right w:val="none" w:sz="0" w:space="0" w:color="auto"/>
          </w:divBdr>
          <w:divsChild>
            <w:div w:id="415827822">
              <w:marLeft w:val="0"/>
              <w:marRight w:val="0"/>
              <w:marTop w:val="0"/>
              <w:marBottom w:val="0"/>
              <w:divBdr>
                <w:top w:val="none" w:sz="0" w:space="0" w:color="auto"/>
                <w:left w:val="none" w:sz="0" w:space="0" w:color="auto"/>
                <w:bottom w:val="none" w:sz="0" w:space="0" w:color="auto"/>
                <w:right w:val="none" w:sz="0" w:space="0" w:color="auto"/>
              </w:divBdr>
              <w:divsChild>
                <w:div w:id="866717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2780307">
      <w:bodyDiv w:val="1"/>
      <w:marLeft w:val="0"/>
      <w:marRight w:val="0"/>
      <w:marTop w:val="0"/>
      <w:marBottom w:val="0"/>
      <w:divBdr>
        <w:top w:val="none" w:sz="0" w:space="0" w:color="auto"/>
        <w:left w:val="none" w:sz="0" w:space="0" w:color="auto"/>
        <w:bottom w:val="none" w:sz="0" w:space="0" w:color="auto"/>
        <w:right w:val="none" w:sz="0" w:space="0" w:color="auto"/>
      </w:divBdr>
      <w:divsChild>
        <w:div w:id="21843957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77613684">
      <w:bodyDiv w:val="1"/>
      <w:marLeft w:val="0"/>
      <w:marRight w:val="0"/>
      <w:marTop w:val="0"/>
      <w:marBottom w:val="0"/>
      <w:divBdr>
        <w:top w:val="none" w:sz="0" w:space="0" w:color="auto"/>
        <w:left w:val="none" w:sz="0" w:space="0" w:color="auto"/>
        <w:bottom w:val="none" w:sz="0" w:space="0" w:color="auto"/>
        <w:right w:val="none" w:sz="0" w:space="0" w:color="auto"/>
      </w:divBdr>
      <w:divsChild>
        <w:div w:id="496195352">
          <w:marLeft w:val="0"/>
          <w:marRight w:val="0"/>
          <w:marTop w:val="0"/>
          <w:marBottom w:val="0"/>
          <w:divBdr>
            <w:top w:val="none" w:sz="0" w:space="0" w:color="auto"/>
            <w:left w:val="none" w:sz="0" w:space="0" w:color="auto"/>
            <w:bottom w:val="none" w:sz="0" w:space="0" w:color="auto"/>
            <w:right w:val="none" w:sz="0" w:space="0" w:color="auto"/>
          </w:divBdr>
          <w:divsChild>
            <w:div w:id="1420371541">
              <w:marLeft w:val="0"/>
              <w:marRight w:val="0"/>
              <w:marTop w:val="0"/>
              <w:marBottom w:val="0"/>
              <w:divBdr>
                <w:top w:val="none" w:sz="0" w:space="0" w:color="auto"/>
                <w:left w:val="none" w:sz="0" w:space="0" w:color="auto"/>
                <w:bottom w:val="none" w:sz="0" w:space="0" w:color="auto"/>
                <w:right w:val="none" w:sz="0" w:space="0" w:color="auto"/>
              </w:divBdr>
              <w:divsChild>
                <w:div w:id="1427505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0831151">
      <w:bodyDiv w:val="1"/>
      <w:marLeft w:val="0"/>
      <w:marRight w:val="0"/>
      <w:marTop w:val="0"/>
      <w:marBottom w:val="0"/>
      <w:divBdr>
        <w:top w:val="none" w:sz="0" w:space="0" w:color="auto"/>
        <w:left w:val="none" w:sz="0" w:space="0" w:color="auto"/>
        <w:bottom w:val="none" w:sz="0" w:space="0" w:color="auto"/>
        <w:right w:val="none" w:sz="0" w:space="0" w:color="auto"/>
      </w:divBdr>
      <w:divsChild>
        <w:div w:id="1640455424">
          <w:marLeft w:val="0"/>
          <w:marRight w:val="0"/>
          <w:marTop w:val="0"/>
          <w:marBottom w:val="0"/>
          <w:divBdr>
            <w:top w:val="none" w:sz="0" w:space="0" w:color="auto"/>
            <w:left w:val="none" w:sz="0" w:space="0" w:color="auto"/>
            <w:bottom w:val="none" w:sz="0" w:space="0" w:color="auto"/>
            <w:right w:val="none" w:sz="0" w:space="0" w:color="auto"/>
          </w:divBdr>
          <w:divsChild>
            <w:div w:id="1183785989">
              <w:marLeft w:val="0"/>
              <w:marRight w:val="0"/>
              <w:marTop w:val="0"/>
              <w:marBottom w:val="0"/>
              <w:divBdr>
                <w:top w:val="none" w:sz="0" w:space="0" w:color="auto"/>
                <w:left w:val="none" w:sz="0" w:space="0" w:color="auto"/>
                <w:bottom w:val="none" w:sz="0" w:space="0" w:color="auto"/>
                <w:right w:val="none" w:sz="0" w:space="0" w:color="auto"/>
              </w:divBdr>
              <w:divsChild>
                <w:div w:id="348455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6272332">
      <w:bodyDiv w:val="1"/>
      <w:marLeft w:val="0"/>
      <w:marRight w:val="0"/>
      <w:marTop w:val="0"/>
      <w:marBottom w:val="0"/>
      <w:divBdr>
        <w:top w:val="none" w:sz="0" w:space="0" w:color="auto"/>
        <w:left w:val="none" w:sz="0" w:space="0" w:color="auto"/>
        <w:bottom w:val="none" w:sz="0" w:space="0" w:color="auto"/>
        <w:right w:val="none" w:sz="0" w:space="0" w:color="auto"/>
      </w:divBdr>
      <w:divsChild>
        <w:div w:id="1266620287">
          <w:marLeft w:val="0"/>
          <w:marRight w:val="0"/>
          <w:marTop w:val="0"/>
          <w:marBottom w:val="0"/>
          <w:divBdr>
            <w:top w:val="none" w:sz="0" w:space="0" w:color="auto"/>
            <w:left w:val="none" w:sz="0" w:space="0" w:color="auto"/>
            <w:bottom w:val="none" w:sz="0" w:space="0" w:color="auto"/>
            <w:right w:val="none" w:sz="0" w:space="0" w:color="auto"/>
          </w:divBdr>
          <w:divsChild>
            <w:div w:id="1510409762">
              <w:marLeft w:val="0"/>
              <w:marRight w:val="0"/>
              <w:marTop w:val="0"/>
              <w:marBottom w:val="0"/>
              <w:divBdr>
                <w:top w:val="none" w:sz="0" w:space="0" w:color="auto"/>
                <w:left w:val="none" w:sz="0" w:space="0" w:color="auto"/>
                <w:bottom w:val="none" w:sz="0" w:space="0" w:color="auto"/>
                <w:right w:val="none" w:sz="0" w:space="0" w:color="auto"/>
              </w:divBdr>
              <w:divsChild>
                <w:div w:id="279380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9449694">
      <w:bodyDiv w:val="1"/>
      <w:marLeft w:val="0"/>
      <w:marRight w:val="0"/>
      <w:marTop w:val="0"/>
      <w:marBottom w:val="0"/>
      <w:divBdr>
        <w:top w:val="none" w:sz="0" w:space="0" w:color="auto"/>
        <w:left w:val="none" w:sz="0" w:space="0" w:color="auto"/>
        <w:bottom w:val="none" w:sz="0" w:space="0" w:color="auto"/>
        <w:right w:val="none" w:sz="0" w:space="0" w:color="auto"/>
      </w:divBdr>
      <w:divsChild>
        <w:div w:id="1298530707">
          <w:marLeft w:val="0"/>
          <w:marRight w:val="0"/>
          <w:marTop w:val="0"/>
          <w:marBottom w:val="0"/>
          <w:divBdr>
            <w:top w:val="none" w:sz="0" w:space="0" w:color="auto"/>
            <w:left w:val="none" w:sz="0" w:space="0" w:color="auto"/>
            <w:bottom w:val="none" w:sz="0" w:space="0" w:color="auto"/>
            <w:right w:val="none" w:sz="0" w:space="0" w:color="auto"/>
          </w:divBdr>
          <w:divsChild>
            <w:div w:id="1463497380">
              <w:marLeft w:val="0"/>
              <w:marRight w:val="0"/>
              <w:marTop w:val="0"/>
              <w:marBottom w:val="0"/>
              <w:divBdr>
                <w:top w:val="none" w:sz="0" w:space="0" w:color="auto"/>
                <w:left w:val="none" w:sz="0" w:space="0" w:color="auto"/>
                <w:bottom w:val="none" w:sz="0" w:space="0" w:color="auto"/>
                <w:right w:val="none" w:sz="0" w:space="0" w:color="auto"/>
              </w:divBdr>
              <w:divsChild>
                <w:div w:id="1792897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8895500">
      <w:bodyDiv w:val="1"/>
      <w:marLeft w:val="0"/>
      <w:marRight w:val="0"/>
      <w:marTop w:val="0"/>
      <w:marBottom w:val="0"/>
      <w:divBdr>
        <w:top w:val="none" w:sz="0" w:space="0" w:color="auto"/>
        <w:left w:val="none" w:sz="0" w:space="0" w:color="auto"/>
        <w:bottom w:val="none" w:sz="0" w:space="0" w:color="auto"/>
        <w:right w:val="none" w:sz="0" w:space="0" w:color="auto"/>
      </w:divBdr>
      <w:divsChild>
        <w:div w:id="1302348130">
          <w:marLeft w:val="0"/>
          <w:marRight w:val="0"/>
          <w:marTop w:val="0"/>
          <w:marBottom w:val="0"/>
          <w:divBdr>
            <w:top w:val="none" w:sz="0" w:space="0" w:color="auto"/>
            <w:left w:val="none" w:sz="0" w:space="0" w:color="auto"/>
            <w:bottom w:val="none" w:sz="0" w:space="0" w:color="auto"/>
            <w:right w:val="none" w:sz="0" w:space="0" w:color="auto"/>
          </w:divBdr>
          <w:divsChild>
            <w:div w:id="380330853">
              <w:marLeft w:val="0"/>
              <w:marRight w:val="0"/>
              <w:marTop w:val="0"/>
              <w:marBottom w:val="0"/>
              <w:divBdr>
                <w:top w:val="none" w:sz="0" w:space="0" w:color="auto"/>
                <w:left w:val="none" w:sz="0" w:space="0" w:color="auto"/>
                <w:bottom w:val="none" w:sz="0" w:space="0" w:color="auto"/>
                <w:right w:val="none" w:sz="0" w:space="0" w:color="auto"/>
              </w:divBdr>
              <w:divsChild>
                <w:div w:id="471871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902409">
      <w:bodyDiv w:val="1"/>
      <w:marLeft w:val="0"/>
      <w:marRight w:val="0"/>
      <w:marTop w:val="0"/>
      <w:marBottom w:val="0"/>
      <w:divBdr>
        <w:top w:val="none" w:sz="0" w:space="0" w:color="auto"/>
        <w:left w:val="none" w:sz="0" w:space="0" w:color="auto"/>
        <w:bottom w:val="none" w:sz="0" w:space="0" w:color="auto"/>
        <w:right w:val="none" w:sz="0" w:space="0" w:color="auto"/>
      </w:divBdr>
      <w:divsChild>
        <w:div w:id="506020611">
          <w:marLeft w:val="0"/>
          <w:marRight w:val="0"/>
          <w:marTop w:val="0"/>
          <w:marBottom w:val="0"/>
          <w:divBdr>
            <w:top w:val="none" w:sz="0" w:space="0" w:color="auto"/>
            <w:left w:val="none" w:sz="0" w:space="0" w:color="auto"/>
            <w:bottom w:val="none" w:sz="0" w:space="0" w:color="auto"/>
            <w:right w:val="none" w:sz="0" w:space="0" w:color="auto"/>
          </w:divBdr>
          <w:divsChild>
            <w:div w:id="422990868">
              <w:marLeft w:val="0"/>
              <w:marRight w:val="0"/>
              <w:marTop w:val="0"/>
              <w:marBottom w:val="0"/>
              <w:divBdr>
                <w:top w:val="none" w:sz="0" w:space="0" w:color="auto"/>
                <w:left w:val="none" w:sz="0" w:space="0" w:color="auto"/>
                <w:bottom w:val="none" w:sz="0" w:space="0" w:color="auto"/>
                <w:right w:val="none" w:sz="0" w:space="0" w:color="auto"/>
              </w:divBdr>
              <w:divsChild>
                <w:div w:id="1766148829">
                  <w:marLeft w:val="0"/>
                  <w:marRight w:val="0"/>
                  <w:marTop w:val="0"/>
                  <w:marBottom w:val="0"/>
                  <w:divBdr>
                    <w:top w:val="none" w:sz="0" w:space="0" w:color="auto"/>
                    <w:left w:val="none" w:sz="0" w:space="0" w:color="auto"/>
                    <w:bottom w:val="none" w:sz="0" w:space="0" w:color="auto"/>
                    <w:right w:val="none" w:sz="0" w:space="0" w:color="auto"/>
                  </w:divBdr>
                  <w:divsChild>
                    <w:div w:id="1535461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295027">
      <w:bodyDiv w:val="1"/>
      <w:marLeft w:val="0"/>
      <w:marRight w:val="0"/>
      <w:marTop w:val="0"/>
      <w:marBottom w:val="0"/>
      <w:divBdr>
        <w:top w:val="none" w:sz="0" w:space="0" w:color="auto"/>
        <w:left w:val="none" w:sz="0" w:space="0" w:color="auto"/>
        <w:bottom w:val="none" w:sz="0" w:space="0" w:color="auto"/>
        <w:right w:val="none" w:sz="0" w:space="0" w:color="auto"/>
      </w:divBdr>
      <w:divsChild>
        <w:div w:id="1170413259">
          <w:marLeft w:val="0"/>
          <w:marRight w:val="0"/>
          <w:marTop w:val="0"/>
          <w:marBottom w:val="0"/>
          <w:divBdr>
            <w:top w:val="none" w:sz="0" w:space="0" w:color="auto"/>
            <w:left w:val="none" w:sz="0" w:space="0" w:color="auto"/>
            <w:bottom w:val="none" w:sz="0" w:space="0" w:color="auto"/>
            <w:right w:val="none" w:sz="0" w:space="0" w:color="auto"/>
          </w:divBdr>
          <w:divsChild>
            <w:div w:id="204755418">
              <w:marLeft w:val="0"/>
              <w:marRight w:val="0"/>
              <w:marTop w:val="0"/>
              <w:marBottom w:val="0"/>
              <w:divBdr>
                <w:top w:val="none" w:sz="0" w:space="0" w:color="auto"/>
                <w:left w:val="none" w:sz="0" w:space="0" w:color="auto"/>
                <w:bottom w:val="none" w:sz="0" w:space="0" w:color="auto"/>
                <w:right w:val="none" w:sz="0" w:space="0" w:color="auto"/>
              </w:divBdr>
              <w:divsChild>
                <w:div w:id="99957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2844291">
      <w:bodyDiv w:val="1"/>
      <w:marLeft w:val="0"/>
      <w:marRight w:val="0"/>
      <w:marTop w:val="0"/>
      <w:marBottom w:val="0"/>
      <w:divBdr>
        <w:top w:val="none" w:sz="0" w:space="0" w:color="auto"/>
        <w:left w:val="none" w:sz="0" w:space="0" w:color="auto"/>
        <w:bottom w:val="none" w:sz="0" w:space="0" w:color="auto"/>
        <w:right w:val="none" w:sz="0" w:space="0" w:color="auto"/>
      </w:divBdr>
      <w:divsChild>
        <w:div w:id="476336080">
          <w:marLeft w:val="0"/>
          <w:marRight w:val="0"/>
          <w:marTop w:val="0"/>
          <w:marBottom w:val="0"/>
          <w:divBdr>
            <w:top w:val="none" w:sz="0" w:space="0" w:color="auto"/>
            <w:left w:val="none" w:sz="0" w:space="0" w:color="auto"/>
            <w:bottom w:val="none" w:sz="0" w:space="0" w:color="auto"/>
            <w:right w:val="none" w:sz="0" w:space="0" w:color="auto"/>
          </w:divBdr>
          <w:divsChild>
            <w:div w:id="1890417149">
              <w:marLeft w:val="0"/>
              <w:marRight w:val="0"/>
              <w:marTop w:val="0"/>
              <w:marBottom w:val="0"/>
              <w:divBdr>
                <w:top w:val="none" w:sz="0" w:space="0" w:color="auto"/>
                <w:left w:val="none" w:sz="0" w:space="0" w:color="auto"/>
                <w:bottom w:val="none" w:sz="0" w:space="0" w:color="auto"/>
                <w:right w:val="none" w:sz="0" w:space="0" w:color="auto"/>
              </w:divBdr>
              <w:divsChild>
                <w:div w:id="896165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3718255">
      <w:bodyDiv w:val="1"/>
      <w:marLeft w:val="0"/>
      <w:marRight w:val="0"/>
      <w:marTop w:val="0"/>
      <w:marBottom w:val="0"/>
      <w:divBdr>
        <w:top w:val="none" w:sz="0" w:space="0" w:color="auto"/>
        <w:left w:val="none" w:sz="0" w:space="0" w:color="auto"/>
        <w:bottom w:val="none" w:sz="0" w:space="0" w:color="auto"/>
        <w:right w:val="none" w:sz="0" w:space="0" w:color="auto"/>
      </w:divBdr>
      <w:divsChild>
        <w:div w:id="1677995367">
          <w:marLeft w:val="0"/>
          <w:marRight w:val="0"/>
          <w:marTop w:val="0"/>
          <w:marBottom w:val="0"/>
          <w:divBdr>
            <w:top w:val="none" w:sz="0" w:space="0" w:color="auto"/>
            <w:left w:val="none" w:sz="0" w:space="0" w:color="auto"/>
            <w:bottom w:val="none" w:sz="0" w:space="0" w:color="auto"/>
            <w:right w:val="none" w:sz="0" w:space="0" w:color="auto"/>
          </w:divBdr>
          <w:divsChild>
            <w:div w:id="1581021765">
              <w:marLeft w:val="0"/>
              <w:marRight w:val="0"/>
              <w:marTop w:val="0"/>
              <w:marBottom w:val="0"/>
              <w:divBdr>
                <w:top w:val="none" w:sz="0" w:space="0" w:color="auto"/>
                <w:left w:val="none" w:sz="0" w:space="0" w:color="auto"/>
                <w:bottom w:val="none" w:sz="0" w:space="0" w:color="auto"/>
                <w:right w:val="none" w:sz="0" w:space="0" w:color="auto"/>
              </w:divBdr>
              <w:divsChild>
                <w:div w:id="1922132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9035069">
      <w:bodyDiv w:val="1"/>
      <w:marLeft w:val="0"/>
      <w:marRight w:val="0"/>
      <w:marTop w:val="0"/>
      <w:marBottom w:val="0"/>
      <w:divBdr>
        <w:top w:val="none" w:sz="0" w:space="0" w:color="auto"/>
        <w:left w:val="none" w:sz="0" w:space="0" w:color="auto"/>
        <w:bottom w:val="none" w:sz="0" w:space="0" w:color="auto"/>
        <w:right w:val="none" w:sz="0" w:space="0" w:color="auto"/>
      </w:divBdr>
    </w:div>
    <w:div w:id="1846941107">
      <w:bodyDiv w:val="1"/>
      <w:marLeft w:val="0"/>
      <w:marRight w:val="0"/>
      <w:marTop w:val="0"/>
      <w:marBottom w:val="0"/>
      <w:divBdr>
        <w:top w:val="none" w:sz="0" w:space="0" w:color="auto"/>
        <w:left w:val="none" w:sz="0" w:space="0" w:color="auto"/>
        <w:bottom w:val="none" w:sz="0" w:space="0" w:color="auto"/>
        <w:right w:val="none" w:sz="0" w:space="0" w:color="auto"/>
      </w:divBdr>
      <w:divsChild>
        <w:div w:id="1820925153">
          <w:marLeft w:val="0"/>
          <w:marRight w:val="0"/>
          <w:marTop w:val="0"/>
          <w:marBottom w:val="0"/>
          <w:divBdr>
            <w:top w:val="none" w:sz="0" w:space="0" w:color="auto"/>
            <w:left w:val="none" w:sz="0" w:space="0" w:color="auto"/>
            <w:bottom w:val="none" w:sz="0" w:space="0" w:color="auto"/>
            <w:right w:val="none" w:sz="0" w:space="0" w:color="auto"/>
          </w:divBdr>
          <w:divsChild>
            <w:div w:id="452555557">
              <w:marLeft w:val="0"/>
              <w:marRight w:val="0"/>
              <w:marTop w:val="0"/>
              <w:marBottom w:val="0"/>
              <w:divBdr>
                <w:top w:val="none" w:sz="0" w:space="0" w:color="auto"/>
                <w:left w:val="none" w:sz="0" w:space="0" w:color="auto"/>
                <w:bottom w:val="none" w:sz="0" w:space="0" w:color="auto"/>
                <w:right w:val="none" w:sz="0" w:space="0" w:color="auto"/>
              </w:divBdr>
              <w:divsChild>
                <w:div w:id="1624723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2693191">
      <w:bodyDiv w:val="1"/>
      <w:marLeft w:val="0"/>
      <w:marRight w:val="0"/>
      <w:marTop w:val="0"/>
      <w:marBottom w:val="0"/>
      <w:divBdr>
        <w:top w:val="none" w:sz="0" w:space="0" w:color="auto"/>
        <w:left w:val="none" w:sz="0" w:space="0" w:color="auto"/>
        <w:bottom w:val="none" w:sz="0" w:space="0" w:color="auto"/>
        <w:right w:val="none" w:sz="0" w:space="0" w:color="auto"/>
      </w:divBdr>
      <w:divsChild>
        <w:div w:id="1472552556">
          <w:marLeft w:val="0"/>
          <w:marRight w:val="0"/>
          <w:marTop w:val="0"/>
          <w:marBottom w:val="0"/>
          <w:divBdr>
            <w:top w:val="none" w:sz="0" w:space="0" w:color="auto"/>
            <w:left w:val="none" w:sz="0" w:space="0" w:color="auto"/>
            <w:bottom w:val="none" w:sz="0" w:space="0" w:color="auto"/>
            <w:right w:val="none" w:sz="0" w:space="0" w:color="auto"/>
          </w:divBdr>
          <w:divsChild>
            <w:div w:id="1662657767">
              <w:marLeft w:val="0"/>
              <w:marRight w:val="0"/>
              <w:marTop w:val="0"/>
              <w:marBottom w:val="0"/>
              <w:divBdr>
                <w:top w:val="none" w:sz="0" w:space="0" w:color="auto"/>
                <w:left w:val="none" w:sz="0" w:space="0" w:color="auto"/>
                <w:bottom w:val="none" w:sz="0" w:space="0" w:color="auto"/>
                <w:right w:val="none" w:sz="0" w:space="0" w:color="auto"/>
              </w:divBdr>
              <w:divsChild>
                <w:div w:id="151338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8172495">
      <w:bodyDiv w:val="1"/>
      <w:marLeft w:val="0"/>
      <w:marRight w:val="0"/>
      <w:marTop w:val="0"/>
      <w:marBottom w:val="0"/>
      <w:divBdr>
        <w:top w:val="none" w:sz="0" w:space="0" w:color="auto"/>
        <w:left w:val="none" w:sz="0" w:space="0" w:color="auto"/>
        <w:bottom w:val="none" w:sz="0" w:space="0" w:color="auto"/>
        <w:right w:val="none" w:sz="0" w:space="0" w:color="auto"/>
      </w:divBdr>
      <w:divsChild>
        <w:div w:id="1400900348">
          <w:marLeft w:val="0"/>
          <w:marRight w:val="0"/>
          <w:marTop w:val="0"/>
          <w:marBottom w:val="0"/>
          <w:divBdr>
            <w:top w:val="none" w:sz="0" w:space="0" w:color="auto"/>
            <w:left w:val="none" w:sz="0" w:space="0" w:color="auto"/>
            <w:bottom w:val="none" w:sz="0" w:space="0" w:color="auto"/>
            <w:right w:val="none" w:sz="0" w:space="0" w:color="auto"/>
          </w:divBdr>
          <w:divsChild>
            <w:div w:id="1401946114">
              <w:marLeft w:val="0"/>
              <w:marRight w:val="0"/>
              <w:marTop w:val="0"/>
              <w:marBottom w:val="0"/>
              <w:divBdr>
                <w:top w:val="none" w:sz="0" w:space="0" w:color="auto"/>
                <w:left w:val="none" w:sz="0" w:space="0" w:color="auto"/>
                <w:bottom w:val="none" w:sz="0" w:space="0" w:color="auto"/>
                <w:right w:val="none" w:sz="0" w:space="0" w:color="auto"/>
              </w:divBdr>
              <w:divsChild>
                <w:div w:id="1573276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9043800">
      <w:bodyDiv w:val="1"/>
      <w:marLeft w:val="0"/>
      <w:marRight w:val="0"/>
      <w:marTop w:val="0"/>
      <w:marBottom w:val="0"/>
      <w:divBdr>
        <w:top w:val="none" w:sz="0" w:space="0" w:color="auto"/>
        <w:left w:val="none" w:sz="0" w:space="0" w:color="auto"/>
        <w:bottom w:val="none" w:sz="0" w:space="0" w:color="auto"/>
        <w:right w:val="none" w:sz="0" w:space="0" w:color="auto"/>
      </w:divBdr>
      <w:divsChild>
        <w:div w:id="1517888584">
          <w:marLeft w:val="0"/>
          <w:marRight w:val="0"/>
          <w:marTop w:val="0"/>
          <w:marBottom w:val="0"/>
          <w:divBdr>
            <w:top w:val="none" w:sz="0" w:space="0" w:color="auto"/>
            <w:left w:val="none" w:sz="0" w:space="0" w:color="auto"/>
            <w:bottom w:val="none" w:sz="0" w:space="0" w:color="auto"/>
            <w:right w:val="none" w:sz="0" w:space="0" w:color="auto"/>
          </w:divBdr>
          <w:divsChild>
            <w:div w:id="1685935839">
              <w:marLeft w:val="0"/>
              <w:marRight w:val="0"/>
              <w:marTop w:val="0"/>
              <w:marBottom w:val="0"/>
              <w:divBdr>
                <w:top w:val="none" w:sz="0" w:space="0" w:color="auto"/>
                <w:left w:val="none" w:sz="0" w:space="0" w:color="auto"/>
                <w:bottom w:val="none" w:sz="0" w:space="0" w:color="auto"/>
                <w:right w:val="none" w:sz="0" w:space="0" w:color="auto"/>
              </w:divBdr>
              <w:divsChild>
                <w:div w:id="1815027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489155">
      <w:bodyDiv w:val="1"/>
      <w:marLeft w:val="0"/>
      <w:marRight w:val="0"/>
      <w:marTop w:val="0"/>
      <w:marBottom w:val="0"/>
      <w:divBdr>
        <w:top w:val="none" w:sz="0" w:space="0" w:color="auto"/>
        <w:left w:val="none" w:sz="0" w:space="0" w:color="auto"/>
        <w:bottom w:val="none" w:sz="0" w:space="0" w:color="auto"/>
        <w:right w:val="none" w:sz="0" w:space="0" w:color="auto"/>
      </w:divBdr>
      <w:divsChild>
        <w:div w:id="1860654142">
          <w:marLeft w:val="0"/>
          <w:marRight w:val="0"/>
          <w:marTop w:val="0"/>
          <w:marBottom w:val="0"/>
          <w:divBdr>
            <w:top w:val="none" w:sz="0" w:space="0" w:color="auto"/>
            <w:left w:val="none" w:sz="0" w:space="0" w:color="auto"/>
            <w:bottom w:val="none" w:sz="0" w:space="0" w:color="auto"/>
            <w:right w:val="none" w:sz="0" w:space="0" w:color="auto"/>
          </w:divBdr>
          <w:divsChild>
            <w:div w:id="1975060100">
              <w:marLeft w:val="0"/>
              <w:marRight w:val="0"/>
              <w:marTop w:val="0"/>
              <w:marBottom w:val="0"/>
              <w:divBdr>
                <w:top w:val="none" w:sz="0" w:space="0" w:color="auto"/>
                <w:left w:val="none" w:sz="0" w:space="0" w:color="auto"/>
                <w:bottom w:val="none" w:sz="0" w:space="0" w:color="auto"/>
                <w:right w:val="none" w:sz="0" w:space="0" w:color="auto"/>
              </w:divBdr>
              <w:divsChild>
                <w:div w:id="2115318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0982540">
      <w:bodyDiv w:val="1"/>
      <w:marLeft w:val="0"/>
      <w:marRight w:val="0"/>
      <w:marTop w:val="0"/>
      <w:marBottom w:val="0"/>
      <w:divBdr>
        <w:top w:val="none" w:sz="0" w:space="0" w:color="auto"/>
        <w:left w:val="none" w:sz="0" w:space="0" w:color="auto"/>
        <w:bottom w:val="none" w:sz="0" w:space="0" w:color="auto"/>
        <w:right w:val="none" w:sz="0" w:space="0" w:color="auto"/>
      </w:divBdr>
      <w:divsChild>
        <w:div w:id="573587924">
          <w:marLeft w:val="0"/>
          <w:marRight w:val="0"/>
          <w:marTop w:val="0"/>
          <w:marBottom w:val="0"/>
          <w:divBdr>
            <w:top w:val="none" w:sz="0" w:space="0" w:color="auto"/>
            <w:left w:val="none" w:sz="0" w:space="0" w:color="auto"/>
            <w:bottom w:val="none" w:sz="0" w:space="0" w:color="auto"/>
            <w:right w:val="none" w:sz="0" w:space="0" w:color="auto"/>
          </w:divBdr>
          <w:divsChild>
            <w:div w:id="436021328">
              <w:marLeft w:val="0"/>
              <w:marRight w:val="0"/>
              <w:marTop w:val="0"/>
              <w:marBottom w:val="0"/>
              <w:divBdr>
                <w:top w:val="none" w:sz="0" w:space="0" w:color="auto"/>
                <w:left w:val="none" w:sz="0" w:space="0" w:color="auto"/>
                <w:bottom w:val="none" w:sz="0" w:space="0" w:color="auto"/>
                <w:right w:val="none" w:sz="0" w:space="0" w:color="auto"/>
              </w:divBdr>
              <w:divsChild>
                <w:div w:id="1305158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3278748">
      <w:bodyDiv w:val="1"/>
      <w:marLeft w:val="0"/>
      <w:marRight w:val="0"/>
      <w:marTop w:val="0"/>
      <w:marBottom w:val="0"/>
      <w:divBdr>
        <w:top w:val="none" w:sz="0" w:space="0" w:color="auto"/>
        <w:left w:val="none" w:sz="0" w:space="0" w:color="auto"/>
        <w:bottom w:val="none" w:sz="0" w:space="0" w:color="auto"/>
        <w:right w:val="none" w:sz="0" w:space="0" w:color="auto"/>
      </w:divBdr>
      <w:divsChild>
        <w:div w:id="138038791">
          <w:marLeft w:val="0"/>
          <w:marRight w:val="0"/>
          <w:marTop w:val="0"/>
          <w:marBottom w:val="0"/>
          <w:divBdr>
            <w:top w:val="none" w:sz="0" w:space="0" w:color="auto"/>
            <w:left w:val="none" w:sz="0" w:space="0" w:color="auto"/>
            <w:bottom w:val="none" w:sz="0" w:space="0" w:color="auto"/>
            <w:right w:val="none" w:sz="0" w:space="0" w:color="auto"/>
          </w:divBdr>
          <w:divsChild>
            <w:div w:id="697854577">
              <w:marLeft w:val="0"/>
              <w:marRight w:val="0"/>
              <w:marTop w:val="0"/>
              <w:marBottom w:val="0"/>
              <w:divBdr>
                <w:top w:val="none" w:sz="0" w:space="0" w:color="auto"/>
                <w:left w:val="none" w:sz="0" w:space="0" w:color="auto"/>
                <w:bottom w:val="none" w:sz="0" w:space="0" w:color="auto"/>
                <w:right w:val="none" w:sz="0" w:space="0" w:color="auto"/>
              </w:divBdr>
              <w:divsChild>
                <w:div w:id="1040208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rgordillo@dnp.gov.co"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2.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f2aded54591a7fd7c71e00322775124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8225e9d864fb3b86d94084293229f75"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8519ADD-16BA-3847-84FF-8732DCFE87AA}">
  <ds:schemaRefs>
    <ds:schemaRef ds:uri="http://schemas.openxmlformats.org/officeDocument/2006/bibliography"/>
  </ds:schemaRefs>
</ds:datastoreItem>
</file>

<file path=customXml/itemProps2.xml><?xml version="1.0" encoding="utf-8"?>
<ds:datastoreItem xmlns:ds="http://schemas.openxmlformats.org/officeDocument/2006/customXml" ds:itemID="{163618BE-28CB-4D69-955E-CDA788483BED}">
  <ds:schemaRefs>
    <ds:schemaRef ds:uri="http://purl.org/dc/dcmitype/"/>
    <ds:schemaRef ds:uri="http://schemas.microsoft.com/office/2006/documentManagement/types"/>
    <ds:schemaRef ds:uri="http://purl.org/dc/elements/1.1/"/>
    <ds:schemaRef ds:uri="http://www.w3.org/XML/1998/namespace"/>
    <ds:schemaRef ds:uri="http://purl.org/dc/terms/"/>
    <ds:schemaRef ds:uri="http://schemas.microsoft.com/office/2006/metadata/properties"/>
    <ds:schemaRef ds:uri="9d85dbaf-23eb-4e57-a637-93dcacc8b1a1"/>
    <ds:schemaRef ds:uri="a6cb9e4b-f1d1-4245-83ec-6cad768d538a"/>
    <ds:schemaRef ds:uri="http://schemas.microsoft.com/office/infopath/2007/PartnerControls"/>
    <ds:schemaRef ds:uri="http://schemas.openxmlformats.org/package/2006/metadata/core-properties"/>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63BAD75B-1E01-48C9-961A-F22A6E4522A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29</Pages>
  <Words>9966</Words>
  <Characters>54817</Characters>
  <Application>Microsoft Office Word</Application>
  <DocSecurity>0</DocSecurity>
  <Lines>456</Lines>
  <Paragraphs>129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64654</CharactersWithSpaces>
  <SharedDoc>false</SharedDoc>
  <HLinks>
    <vt:vector size="24" baseType="variant">
      <vt:variant>
        <vt:i4>7995518</vt:i4>
      </vt:variant>
      <vt:variant>
        <vt:i4>6</vt:i4>
      </vt:variant>
      <vt:variant>
        <vt:i4>0</vt:i4>
      </vt:variant>
      <vt:variant>
        <vt:i4>5</vt:i4>
      </vt:variant>
      <vt:variant>
        <vt:lpwstr>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6946882</vt:i4>
      </vt:variant>
      <vt:variant>
        <vt:i4>0</vt:i4>
      </vt:variant>
      <vt:variant>
        <vt:i4>0</vt:i4>
      </vt:variant>
      <vt:variant>
        <vt:i4>5</vt:i4>
      </vt:variant>
      <vt:variant>
        <vt:lpwstr>mailto:contactojuridicoldfda@gmail.com</vt:lpwstr>
      </vt:variant>
      <vt:variant>
        <vt:lpwstr/>
      </vt:variant>
      <vt:variant>
        <vt:i4>5111895</vt:i4>
      </vt:variant>
      <vt:variant>
        <vt:i4>0</vt:i4>
      </vt:variant>
      <vt:variant>
        <vt:i4>0</vt:i4>
      </vt:variant>
      <vt:variant>
        <vt:i4>5</vt:i4>
      </vt:variant>
      <vt:variant>
        <vt:lpwstr>https://www.colombiacompra.gov.co/manuales-guias-y-pliegos-tipo/manuales-y-guias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2025-09-30T20:53:00Z</dcterms:created>
  <dcterms:modified xsi:type="dcterms:W3CDTF">2025-09-30T20:53:00Z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