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9B5DD" w14:textId="77777777" w:rsidR="00FF1CEC" w:rsidRPr="008B5069" w:rsidRDefault="00FF1CEC" w:rsidP="00FF1CEC">
      <w:pPr>
        <w:spacing w:line="276" w:lineRule="auto"/>
        <w:jc w:val="both"/>
        <w:rPr>
          <w:rFonts w:ascii="Verdana" w:eastAsia="Calibri" w:hAnsi="Verdana" w:cs="Arial"/>
          <w:b/>
        </w:rPr>
      </w:pPr>
      <w:bookmarkStart w:id="0" w:name="_Hlk143780582"/>
      <w:r w:rsidRPr="008B5069">
        <w:rPr>
          <w:rFonts w:ascii="Verdana" w:eastAsia="Calibri" w:hAnsi="Verdana" w:cs="Arial"/>
          <w:b/>
        </w:rPr>
        <w:t xml:space="preserve">PRECIO – Concepto – Estructuración </w:t>
      </w:r>
    </w:p>
    <w:p w14:paraId="4AF2B886" w14:textId="77777777" w:rsidR="00FF1CEC" w:rsidRDefault="00FF1CEC" w:rsidP="00FF1CEC">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Como es sabido, uno de los elementos de los contratos estatales es el precio,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 en los términos de los artículos 1864 y 1865 del Código Civil y, de manera general está compuesto por dos elementos esenciales: los costos y la utilidad, cuya estructuración interna depende de las condiciones técnicas, financieras, regulatorias, etc. de cada contrato.</w:t>
      </w:r>
    </w:p>
    <w:p w14:paraId="5C9DD354" w14:textId="77777777" w:rsidR="00FF1CEC" w:rsidRPr="008B5069" w:rsidRDefault="00FF1CEC" w:rsidP="00FF1CEC">
      <w:pPr>
        <w:spacing w:after="0" w:line="240" w:lineRule="auto"/>
        <w:jc w:val="both"/>
        <w:rPr>
          <w:rFonts w:ascii="Verdana" w:eastAsia="Calibri" w:hAnsi="Verdana" w:cs="Arial"/>
          <w:bCs/>
          <w:sz w:val="20"/>
          <w:szCs w:val="20"/>
        </w:rPr>
      </w:pPr>
    </w:p>
    <w:p w14:paraId="2DC137E0" w14:textId="77777777" w:rsidR="00FF1CEC" w:rsidRDefault="00FF1CEC" w:rsidP="00FF1CEC">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w:t>
      </w:r>
    </w:p>
    <w:p w14:paraId="6889579A" w14:textId="77777777" w:rsidR="00FF1CEC" w:rsidRDefault="00FF1CEC" w:rsidP="00FF1CEC">
      <w:pPr>
        <w:spacing w:after="0" w:line="240" w:lineRule="auto"/>
        <w:jc w:val="both"/>
        <w:rPr>
          <w:rFonts w:ascii="Verdana" w:eastAsia="Calibri" w:hAnsi="Verdana" w:cs="Arial"/>
          <w:bCs/>
          <w:sz w:val="20"/>
          <w:szCs w:val="20"/>
        </w:rPr>
      </w:pPr>
    </w:p>
    <w:p w14:paraId="77F296DE" w14:textId="77777777" w:rsidR="00FF1CEC" w:rsidRPr="004548C3" w:rsidRDefault="00FF1CEC" w:rsidP="00FF1CEC">
      <w:pPr>
        <w:spacing w:after="0" w:line="240" w:lineRule="auto"/>
        <w:jc w:val="both"/>
        <w:rPr>
          <w:rFonts w:ascii="Verdana" w:eastAsia="Calibri" w:hAnsi="Verdana" w:cs="Arial"/>
          <w:b/>
          <w:bCs/>
          <w:color w:val="000000" w:themeColor="text1"/>
          <w:lang w:val="es-ES_tradnl"/>
        </w:rPr>
      </w:pPr>
      <w:r w:rsidRPr="004548C3">
        <w:rPr>
          <w:rFonts w:ascii="Verdana" w:eastAsia="Calibri" w:hAnsi="Verdana" w:cs="Arial"/>
          <w:b/>
          <w:bCs/>
          <w:color w:val="000000" w:themeColor="text1"/>
          <w:lang w:val="es-ES_tradnl"/>
        </w:rPr>
        <w:t xml:space="preserve">TIPOLOGÍA CONTRACTUAL – Escogencia del tipo de contrato </w:t>
      </w:r>
    </w:p>
    <w:p w14:paraId="3092C061" w14:textId="77777777" w:rsidR="00FF1CEC" w:rsidRPr="009D3DD6" w:rsidRDefault="00FF1CEC" w:rsidP="00FF1CEC">
      <w:pPr>
        <w:spacing w:after="0" w:line="240" w:lineRule="auto"/>
        <w:jc w:val="both"/>
        <w:rPr>
          <w:rFonts w:ascii="Verdana" w:eastAsia="Calibri" w:hAnsi="Verdana" w:cs="Arial"/>
          <w:b/>
          <w:bCs/>
          <w:color w:val="000000" w:themeColor="text1"/>
          <w:sz w:val="20"/>
          <w:szCs w:val="20"/>
          <w:lang w:val="es-MX"/>
        </w:rPr>
      </w:pPr>
    </w:p>
    <w:p w14:paraId="08EB1B4A" w14:textId="77777777" w:rsidR="00FF1CEC" w:rsidRDefault="00FF1CEC" w:rsidP="00FF1CEC">
      <w:pPr>
        <w:spacing w:after="0" w:line="240" w:lineRule="auto"/>
        <w:jc w:val="both"/>
        <w:rPr>
          <w:rFonts w:ascii="Verdana" w:eastAsia="Calibri" w:hAnsi="Verdana" w:cs="Arial"/>
          <w:bCs/>
          <w:color w:val="000000" w:themeColor="text1"/>
          <w:sz w:val="20"/>
          <w:szCs w:val="20"/>
          <w:lang w:val="es-ES"/>
        </w:rPr>
      </w:pPr>
      <w:r w:rsidRPr="009D3DD6">
        <w:rPr>
          <w:rFonts w:ascii="Verdana" w:eastAsia="Calibri" w:hAnsi="Verdana" w:cs="Arial"/>
          <w:bCs/>
          <w:color w:val="000000" w:themeColor="text1"/>
          <w:sz w:val="20"/>
          <w:szCs w:val="20"/>
          <w:lang w:val="es-ES"/>
        </w:rPr>
        <w:t xml:space="preserve">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 </w:t>
      </w:r>
    </w:p>
    <w:p w14:paraId="3E829563" w14:textId="77777777" w:rsidR="00FF1CEC" w:rsidRDefault="00FF1CEC" w:rsidP="00FF1CEC">
      <w:pPr>
        <w:spacing w:after="0" w:line="240" w:lineRule="auto"/>
        <w:jc w:val="both"/>
        <w:rPr>
          <w:rFonts w:ascii="Verdana" w:eastAsia="Calibri" w:hAnsi="Verdana" w:cs="Arial"/>
          <w:bCs/>
          <w:color w:val="000000" w:themeColor="text1"/>
          <w:sz w:val="20"/>
          <w:szCs w:val="20"/>
          <w:lang w:val="es-ES"/>
        </w:rPr>
      </w:pPr>
    </w:p>
    <w:p w14:paraId="32A9D6F3" w14:textId="77777777" w:rsidR="00FF1CEC" w:rsidRDefault="00FF1CEC" w:rsidP="00FF1CEC">
      <w:pPr>
        <w:spacing w:after="0" w:line="240" w:lineRule="auto"/>
        <w:jc w:val="both"/>
        <w:rPr>
          <w:rFonts w:ascii="Verdana" w:eastAsia="Calibri" w:hAnsi="Verdana" w:cs="Arial"/>
          <w:bCs/>
          <w:color w:val="000000" w:themeColor="text1"/>
          <w:sz w:val="20"/>
          <w:szCs w:val="20"/>
          <w:lang w:val="es-ES"/>
        </w:rPr>
      </w:pPr>
      <w:r>
        <w:rPr>
          <w:rFonts w:ascii="Verdana" w:eastAsia="Calibri" w:hAnsi="Verdana" w:cs="Arial"/>
          <w:bCs/>
          <w:color w:val="000000" w:themeColor="text1"/>
          <w:sz w:val="20"/>
          <w:szCs w:val="20"/>
          <w:lang w:val="es-ES"/>
        </w:rPr>
        <w:t>[…]</w:t>
      </w:r>
    </w:p>
    <w:p w14:paraId="38A7F5E7" w14:textId="5083DEF9" w:rsidR="00FF1CEC" w:rsidRPr="009D3DD6" w:rsidRDefault="00FF1CEC" w:rsidP="00FF1CEC">
      <w:pPr>
        <w:spacing w:after="0" w:line="240" w:lineRule="auto"/>
        <w:jc w:val="both"/>
        <w:rPr>
          <w:rFonts w:ascii="Verdana" w:eastAsia="Calibri" w:hAnsi="Verdana" w:cs="Arial"/>
          <w:bCs/>
          <w:color w:val="000000" w:themeColor="text1"/>
          <w:sz w:val="20"/>
          <w:szCs w:val="20"/>
          <w:lang w:val="es-ES"/>
        </w:rPr>
      </w:pPr>
      <w:r w:rsidRPr="009D3DD6">
        <w:rPr>
          <w:rFonts w:ascii="Verdana" w:eastAsia="Calibri" w:hAnsi="Verdana" w:cs="Arial"/>
          <w:bCs/>
          <w:color w:val="000000" w:themeColor="text1"/>
          <w:sz w:val="20"/>
          <w:szCs w:val="20"/>
          <w:lang w:val="es-ES"/>
        </w:rPr>
        <w:t xml:space="preserve">Los contratos estatales admiten todas las modalidades, condiciones y estipulaciones que las partes consideren necesarias y convenientes, siempre que no sean contrarias a Constitución, la ley, el orden público, los principios y finalidades del Estatuto General de Contratación y los de la buena administración. Lo anterior, en consonancia con lo dispuesto en los artículos 13 y 32 de la Ley 80 de 1993, permite concluir que las entidades estatales </w:t>
      </w:r>
      <w:proofErr w:type="spellStart"/>
      <w:r w:rsidRPr="009D3DD6">
        <w:rPr>
          <w:rFonts w:ascii="Verdana" w:eastAsia="Calibri" w:hAnsi="Verdana" w:cs="Arial"/>
          <w:bCs/>
          <w:color w:val="000000" w:themeColor="text1"/>
          <w:sz w:val="20"/>
          <w:szCs w:val="20"/>
          <w:lang w:val="es-ES"/>
        </w:rPr>
        <w:t>pu</w:t>
      </w:r>
      <w:r w:rsidR="00C957F6" w:rsidRPr="009D3DD6">
        <w:rPr>
          <w:rFonts w:ascii="Verdana" w:eastAsia="Calibri" w:hAnsi="Verdana" w:cs="Arial"/>
          <w:bCs/>
          <w:color w:val="000000" w:themeColor="text1"/>
          <w:sz w:val="20"/>
          <w:szCs w:val="20"/>
          <w:lang w:val="es-ES"/>
        </w:rPr>
        <w:t>Pública</w:t>
      </w:r>
      <w:proofErr w:type="spellEnd"/>
      <w:r w:rsidR="00C957F6" w:rsidRPr="009D3DD6">
        <w:rPr>
          <w:rFonts w:ascii="Verdana" w:eastAsia="Calibri" w:hAnsi="Verdana" w:cs="Arial"/>
          <w:bCs/>
          <w:color w:val="000000" w:themeColor="text1"/>
          <w:sz w:val="20"/>
          <w:szCs w:val="20"/>
          <w:lang w:val="es-ES"/>
        </w:rPr>
        <w:t xml:space="preserve"> o</w:t>
      </w:r>
      <w:r w:rsidRPr="009D3DD6">
        <w:rPr>
          <w:rFonts w:ascii="Verdana" w:eastAsia="Calibri" w:hAnsi="Verdana" w:cs="Arial"/>
          <w:bCs/>
          <w:color w:val="000000" w:themeColor="text1"/>
          <w:sz w:val="20"/>
          <w:szCs w:val="20"/>
          <w:lang w:val="es-ES"/>
        </w:rPr>
        <w:t xml:space="preserve">rar los contratos necesarios para la consecución de sus </w:t>
      </w:r>
      <w:r w:rsidRPr="009D3DD6">
        <w:rPr>
          <w:rFonts w:ascii="Verdana" w:eastAsia="Calibri" w:hAnsi="Verdana" w:cs="Arial"/>
          <w:bCs/>
          <w:color w:val="000000" w:themeColor="text1"/>
          <w:sz w:val="20"/>
          <w:szCs w:val="20"/>
          <w:lang w:val="es-ES"/>
        </w:rPr>
        <w:lastRenderedPageBreak/>
        <w:t>fines, ya sean estos nominados y típicos en la legislación civil y comercial de derecho privado  o en el Estatuto General de Contratación Pública  o bien pueden acudir a los contratos atípicos, donde sus estipulaciones pueden ser puramente de creación de la voluntad de las partes  –siempre y cuando no contraríen normas de orden público– o pueden ser mixtas, haciendo uso de estipulaciones que responden a diferentes combinaciones de objetos contractuales.</w:t>
      </w:r>
    </w:p>
    <w:p w14:paraId="4EDAF040" w14:textId="77777777" w:rsidR="00FF1CEC" w:rsidRPr="004548C3" w:rsidRDefault="00FF1CEC" w:rsidP="00FF1CEC">
      <w:pPr>
        <w:spacing w:after="0" w:line="240" w:lineRule="auto"/>
        <w:jc w:val="both"/>
        <w:rPr>
          <w:rFonts w:ascii="Verdana" w:eastAsia="Calibri" w:hAnsi="Verdana" w:cs="Arial"/>
          <w:color w:val="000000" w:themeColor="text1"/>
        </w:rPr>
      </w:pPr>
      <w:r w:rsidRPr="004548C3">
        <w:rPr>
          <w:rFonts w:ascii="Verdana" w:eastAsia="Calibri" w:hAnsi="Verdana" w:cs="Arial"/>
          <w:color w:val="000000" w:themeColor="text1"/>
        </w:rPr>
        <w:t xml:space="preserve"> </w:t>
      </w:r>
    </w:p>
    <w:p w14:paraId="403FA523" w14:textId="77777777" w:rsidR="00FF1CEC" w:rsidRPr="004548C3" w:rsidRDefault="00FF1CEC" w:rsidP="00FF1CEC">
      <w:pPr>
        <w:spacing w:after="0" w:line="240" w:lineRule="auto"/>
        <w:jc w:val="both"/>
        <w:rPr>
          <w:rFonts w:ascii="Verdana" w:eastAsia="Calibri" w:hAnsi="Verdana" w:cs="Arial"/>
          <w:b/>
          <w:bCs/>
          <w:color w:val="000000" w:themeColor="text1"/>
          <w:lang w:val="es-ES"/>
        </w:rPr>
      </w:pPr>
      <w:r w:rsidRPr="004548C3">
        <w:rPr>
          <w:rFonts w:ascii="Verdana" w:eastAsia="Calibri" w:hAnsi="Verdana" w:cs="Arial"/>
          <w:b/>
          <w:bCs/>
          <w:color w:val="000000" w:themeColor="text1"/>
          <w:lang w:val="es-ES"/>
        </w:rPr>
        <w:t xml:space="preserve">CONTRATO POR MONTO AGOTABLE </w:t>
      </w:r>
      <w:r w:rsidRPr="004548C3">
        <w:rPr>
          <w:rFonts w:ascii="Verdana" w:eastAsia="Calibri" w:hAnsi="Verdana" w:cs="Arial"/>
          <w:b/>
          <w:bCs/>
          <w:color w:val="000000" w:themeColor="text1"/>
        </w:rPr>
        <w:t xml:space="preserve">– </w:t>
      </w:r>
      <w:r w:rsidRPr="004548C3">
        <w:rPr>
          <w:rFonts w:ascii="Verdana" w:eastAsia="Calibri" w:hAnsi="Verdana" w:cs="Arial"/>
          <w:b/>
          <w:bCs/>
          <w:color w:val="000000" w:themeColor="text1"/>
          <w:lang w:val="es-ES"/>
        </w:rPr>
        <w:t xml:space="preserve">Forma de Pago – Legalidad – Contrato típico o atípico – Inexistencia </w:t>
      </w:r>
    </w:p>
    <w:p w14:paraId="64AEFA0B" w14:textId="77777777" w:rsidR="00FF1CEC" w:rsidRPr="004548C3" w:rsidRDefault="00FF1CEC" w:rsidP="00FF1CEC">
      <w:pPr>
        <w:spacing w:after="0" w:line="240" w:lineRule="auto"/>
        <w:jc w:val="both"/>
        <w:rPr>
          <w:rFonts w:ascii="Verdana" w:eastAsia="Calibri" w:hAnsi="Verdana" w:cs="Arial"/>
          <w:b/>
          <w:bCs/>
          <w:color w:val="000000" w:themeColor="text1"/>
          <w:lang w:val="es-ES"/>
        </w:rPr>
      </w:pPr>
    </w:p>
    <w:p w14:paraId="27BB5908" w14:textId="77777777" w:rsidR="00FF1CEC" w:rsidRPr="00CE2CA8" w:rsidRDefault="00FF1CEC" w:rsidP="00FF1CEC">
      <w:pPr>
        <w:spacing w:after="0" w:line="240" w:lineRule="auto"/>
        <w:jc w:val="both"/>
        <w:rPr>
          <w:rFonts w:ascii="Verdana" w:eastAsia="Calibri" w:hAnsi="Verdana" w:cs="Arial"/>
          <w:color w:val="000000" w:themeColor="text1"/>
          <w:sz w:val="20"/>
          <w:szCs w:val="20"/>
          <w:lang w:val="es-ES"/>
        </w:rPr>
      </w:pPr>
      <w:r w:rsidRPr="00CE2CA8">
        <w:rPr>
          <w:rFonts w:ascii="Verdana" w:eastAsia="Calibri" w:hAnsi="Verdana" w:cs="Arial"/>
          <w:color w:val="000000" w:themeColor="text1"/>
          <w:sz w:val="20"/>
          <w:szCs w:val="20"/>
          <w:lang w:val="es-ES"/>
        </w:rPr>
        <w:t xml:space="preserve">La figura del “contrato por monto agotable” no existe en las leyes civiles y comerciales ni en el EGCAP como una figura contractual típica ni atípica, pues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En este contexto, se encuentra más relacionada con el establecimiento de la forma de pago. </w:t>
      </w:r>
      <w:r w:rsidRPr="00CE2CA8">
        <w:rPr>
          <w:rFonts w:ascii="Verdana" w:eastAsia="Calibri" w:hAnsi="Verdana" w:cs="Arial"/>
          <w:bCs/>
          <w:color w:val="000000" w:themeColor="text1"/>
          <w:sz w:val="20"/>
          <w:szCs w:val="20"/>
          <w:lang w:val="es-ES_tradnl"/>
        </w:rPr>
        <w:t xml:space="preserve">Sin perjuicio de lo anterior, 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w:t>
      </w:r>
    </w:p>
    <w:p w14:paraId="595343FF" w14:textId="77777777" w:rsidR="00FF1CEC" w:rsidRPr="004548C3" w:rsidRDefault="00FF1CEC" w:rsidP="00FF1CEC">
      <w:pPr>
        <w:spacing w:after="0" w:line="240" w:lineRule="auto"/>
        <w:jc w:val="both"/>
        <w:rPr>
          <w:rFonts w:ascii="Verdana" w:eastAsia="Calibri" w:hAnsi="Verdana" w:cs="Arial"/>
          <w:b/>
          <w:bCs/>
          <w:color w:val="000000" w:themeColor="text1"/>
          <w:lang w:val="es-ES"/>
        </w:rPr>
      </w:pPr>
    </w:p>
    <w:p w14:paraId="6A648166" w14:textId="77777777" w:rsidR="00FF1CEC" w:rsidRDefault="00FF1CEC" w:rsidP="00FF1CEC">
      <w:pPr>
        <w:spacing w:after="0"/>
        <w:rPr>
          <w:rFonts w:ascii="Verdana" w:hAnsi="Verdana"/>
        </w:rPr>
      </w:pPr>
    </w:p>
    <w:p w14:paraId="2CC5183F" w14:textId="77777777" w:rsidR="00FF1CEC" w:rsidRDefault="00FF1CEC" w:rsidP="00FF1CEC">
      <w:pPr>
        <w:spacing w:after="0"/>
        <w:rPr>
          <w:rFonts w:ascii="Verdana" w:hAnsi="Verdana"/>
        </w:rPr>
      </w:pPr>
    </w:p>
    <w:p w14:paraId="203FFBD6" w14:textId="77777777" w:rsidR="00FF1CEC" w:rsidRDefault="00FF1CEC" w:rsidP="00FF1CEC">
      <w:pPr>
        <w:spacing w:after="0"/>
        <w:rPr>
          <w:rFonts w:ascii="Verdana" w:hAnsi="Verdana"/>
        </w:rPr>
      </w:pPr>
    </w:p>
    <w:p w14:paraId="51ACF724" w14:textId="77777777" w:rsidR="00FF1CEC" w:rsidRDefault="00FF1CEC" w:rsidP="00FF1CEC">
      <w:pPr>
        <w:spacing w:after="0"/>
        <w:rPr>
          <w:rFonts w:ascii="Verdana" w:hAnsi="Verdana"/>
        </w:rPr>
      </w:pPr>
    </w:p>
    <w:p w14:paraId="10FC1740" w14:textId="77777777" w:rsidR="00FF1CEC" w:rsidRDefault="00FF1CEC" w:rsidP="00E245AB">
      <w:pPr>
        <w:spacing w:after="0"/>
        <w:rPr>
          <w:rFonts w:ascii="Verdana" w:hAnsi="Verdana"/>
        </w:rPr>
      </w:pPr>
    </w:p>
    <w:p w14:paraId="60C43899" w14:textId="77777777" w:rsidR="00FF1CEC" w:rsidRDefault="00FF1CEC" w:rsidP="00E245AB">
      <w:pPr>
        <w:spacing w:after="0"/>
        <w:rPr>
          <w:rFonts w:ascii="Verdana" w:hAnsi="Verdana"/>
        </w:rPr>
      </w:pPr>
    </w:p>
    <w:p w14:paraId="6858A986" w14:textId="77777777" w:rsidR="00FF1CEC" w:rsidRDefault="00FF1CEC" w:rsidP="00E245AB">
      <w:pPr>
        <w:spacing w:after="0"/>
        <w:rPr>
          <w:rFonts w:ascii="Verdana" w:hAnsi="Verdana"/>
        </w:rPr>
      </w:pPr>
    </w:p>
    <w:p w14:paraId="533A2213" w14:textId="77777777" w:rsidR="00FF1CEC" w:rsidRDefault="00FF1CEC" w:rsidP="00E245AB">
      <w:pPr>
        <w:spacing w:after="0"/>
        <w:rPr>
          <w:rFonts w:ascii="Verdana" w:hAnsi="Verdana"/>
        </w:rPr>
      </w:pPr>
    </w:p>
    <w:p w14:paraId="657DACE7" w14:textId="77777777" w:rsidR="00FF1CEC" w:rsidRDefault="00FF1CEC" w:rsidP="00E245AB">
      <w:pPr>
        <w:spacing w:after="0"/>
        <w:rPr>
          <w:rFonts w:ascii="Verdana" w:hAnsi="Verdana"/>
        </w:rPr>
      </w:pPr>
    </w:p>
    <w:p w14:paraId="5394A152" w14:textId="77777777" w:rsidR="00FF1CEC" w:rsidRDefault="00FF1CEC" w:rsidP="00E245AB">
      <w:pPr>
        <w:spacing w:after="0"/>
        <w:rPr>
          <w:rFonts w:ascii="Verdana" w:hAnsi="Verdana"/>
        </w:rPr>
      </w:pPr>
    </w:p>
    <w:p w14:paraId="27055DCD" w14:textId="77777777" w:rsidR="00FF1CEC" w:rsidRDefault="00FF1CEC" w:rsidP="00E245AB">
      <w:pPr>
        <w:spacing w:after="0"/>
        <w:rPr>
          <w:rFonts w:ascii="Verdana" w:hAnsi="Verdana"/>
        </w:rPr>
      </w:pPr>
    </w:p>
    <w:p w14:paraId="6B7DF47E" w14:textId="77777777" w:rsidR="00FF1CEC" w:rsidRDefault="00FF1CEC" w:rsidP="00E245AB">
      <w:pPr>
        <w:spacing w:after="0"/>
        <w:rPr>
          <w:rFonts w:ascii="Verdana" w:hAnsi="Verdana"/>
        </w:rPr>
      </w:pPr>
    </w:p>
    <w:p w14:paraId="1F9A608E" w14:textId="77777777" w:rsidR="00FF1CEC" w:rsidRDefault="00FF1CEC" w:rsidP="00E245AB">
      <w:pPr>
        <w:spacing w:after="0"/>
        <w:rPr>
          <w:rFonts w:ascii="Verdana" w:hAnsi="Verdana"/>
        </w:rPr>
      </w:pPr>
    </w:p>
    <w:p w14:paraId="6A93A86C" w14:textId="77777777" w:rsidR="00FF1CEC" w:rsidRDefault="00FF1CEC" w:rsidP="00E245AB">
      <w:pPr>
        <w:spacing w:after="0"/>
        <w:rPr>
          <w:rFonts w:ascii="Verdana" w:hAnsi="Verdana"/>
        </w:rPr>
      </w:pPr>
    </w:p>
    <w:p w14:paraId="505B5B56" w14:textId="77777777" w:rsidR="00FF1CEC" w:rsidRDefault="00FF1CEC" w:rsidP="00E245AB">
      <w:pPr>
        <w:spacing w:after="0"/>
        <w:rPr>
          <w:rFonts w:ascii="Verdana" w:hAnsi="Verdana"/>
        </w:rPr>
      </w:pPr>
    </w:p>
    <w:p w14:paraId="333BE07E" w14:textId="77777777" w:rsidR="00FF1CEC" w:rsidRDefault="00FF1CEC" w:rsidP="00E245AB">
      <w:pPr>
        <w:spacing w:after="0"/>
        <w:rPr>
          <w:rFonts w:ascii="Verdana" w:hAnsi="Verdana"/>
        </w:rPr>
      </w:pPr>
    </w:p>
    <w:p w14:paraId="397FAB54" w14:textId="77777777" w:rsidR="00FF1CEC" w:rsidRDefault="00FF1CEC" w:rsidP="00E245AB">
      <w:pPr>
        <w:spacing w:after="0"/>
        <w:rPr>
          <w:rFonts w:ascii="Verdana" w:hAnsi="Verdana"/>
        </w:rPr>
      </w:pPr>
    </w:p>
    <w:p w14:paraId="356EA7FD" w14:textId="77777777" w:rsidR="00FF1CEC" w:rsidRDefault="00FF1CEC" w:rsidP="00E245AB">
      <w:pPr>
        <w:spacing w:after="0"/>
        <w:rPr>
          <w:rFonts w:ascii="Verdana" w:hAnsi="Verdana"/>
        </w:rPr>
      </w:pPr>
    </w:p>
    <w:p w14:paraId="3FE2184B" w14:textId="5BB2049A" w:rsidR="00E245AB" w:rsidRPr="0044528D" w:rsidRDefault="00897A3A" w:rsidP="00E245AB">
      <w:pPr>
        <w:spacing w:after="0"/>
        <w:rPr>
          <w:rFonts w:ascii="Verdana" w:hAnsi="Verdana"/>
        </w:rPr>
      </w:pPr>
      <w:r w:rsidRPr="0044528D">
        <w:rPr>
          <w:rFonts w:ascii="Verdana" w:hAnsi="Verdana"/>
        </w:rPr>
        <w:lastRenderedPageBreak/>
        <w:t xml:space="preserve">Bogotá D.C., </w:t>
      </w:r>
      <w:r w:rsidR="00A06865">
        <w:rPr>
          <w:rFonts w:ascii="Verdana" w:hAnsi="Verdana"/>
        </w:rPr>
        <w:t>29 septiembre 2025</w:t>
      </w:r>
      <w:r w:rsidR="00891928" w:rsidRPr="0044528D">
        <w:rPr>
          <w:rFonts w:ascii="Verdana" w:hAnsi="Verdana"/>
        </w:rPr>
        <w:tab/>
      </w:r>
    </w:p>
    <w:p w14:paraId="5FCADBF9" w14:textId="039E5AE2" w:rsidR="00E245AB" w:rsidRDefault="00E245AB" w:rsidP="00E245AB">
      <w:pPr>
        <w:spacing w:after="0"/>
        <w:rPr>
          <w:rFonts w:ascii="Verdana" w:hAnsi="Verdana"/>
        </w:rPr>
      </w:pPr>
    </w:p>
    <w:p w14:paraId="3BEE1CDB" w14:textId="6D114227" w:rsidR="0035417C" w:rsidRPr="004548C3" w:rsidRDefault="00C17E21" w:rsidP="0035417C">
      <w:pPr>
        <w:spacing w:after="0"/>
        <w:rPr>
          <w:rFonts w:ascii="Verdana" w:hAnsi="Verdana"/>
        </w:rPr>
      </w:pPr>
      <w:bookmarkStart w:id="1" w:name="_Hlk186494164"/>
      <w:r w:rsidRPr="000C77AB">
        <w:rPr>
          <w:rFonts w:ascii="Verdana" w:eastAsia="Calibri" w:hAnsi="Verdana" w:cs="Arial"/>
          <w:noProof/>
          <w:lang w:eastAsia="es-ES"/>
        </w:rPr>
        <w:drawing>
          <wp:anchor distT="0" distB="0" distL="114300" distR="114300" simplePos="0" relativeHeight="251658240" behindDoc="0" locked="0" layoutInCell="1" allowOverlap="1" wp14:anchorId="0BDA27F9" wp14:editId="315B27C3">
            <wp:simplePos x="0" y="0"/>
            <wp:positionH relativeFrom="margin">
              <wp:align>right</wp:align>
            </wp:positionH>
            <wp:positionV relativeFrom="paragraph">
              <wp:posOffset>5715</wp:posOffset>
            </wp:positionV>
            <wp:extent cx="2959100" cy="882015"/>
            <wp:effectExtent l="0" t="0" r="0" b="0"/>
            <wp:wrapSquare wrapText="bothSides"/>
            <wp:docPr id="440312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3125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959100" cy="882015"/>
                    </a:xfrm>
                    <a:prstGeom prst="rect">
                      <a:avLst/>
                    </a:prstGeom>
                  </pic:spPr>
                </pic:pic>
              </a:graphicData>
            </a:graphic>
            <wp14:sizeRelH relativeFrom="margin">
              <wp14:pctWidth>0</wp14:pctWidth>
            </wp14:sizeRelH>
            <wp14:sizeRelV relativeFrom="margin">
              <wp14:pctHeight>0</wp14:pctHeight>
            </wp14:sizeRelV>
          </wp:anchor>
        </w:drawing>
      </w:r>
    </w:p>
    <w:p w14:paraId="38D5D813" w14:textId="6F2EE0E9" w:rsidR="0035417C" w:rsidRPr="00414CA0" w:rsidRDefault="0035417C" w:rsidP="0035417C">
      <w:pPr>
        <w:spacing w:after="0" w:line="240" w:lineRule="auto"/>
        <w:jc w:val="both"/>
        <w:rPr>
          <w:rFonts w:ascii="Verdana" w:eastAsia="Calibri" w:hAnsi="Verdana" w:cs="Arial"/>
          <w:lang w:eastAsia="es-ES"/>
        </w:rPr>
      </w:pPr>
      <w:r w:rsidRPr="00414CA0">
        <w:rPr>
          <w:rFonts w:ascii="Verdana" w:eastAsia="Calibri" w:hAnsi="Verdana" w:cs="Arial"/>
          <w:lang w:eastAsia="es-ES"/>
        </w:rPr>
        <w:t>Señora</w:t>
      </w:r>
      <w:r w:rsidRPr="00414CA0">
        <w:rPr>
          <w:rFonts w:ascii="Verdana" w:eastAsia="Calibri" w:hAnsi="Verdana" w:cs="Arial"/>
          <w:lang w:eastAsia="es-ES"/>
        </w:rPr>
        <w:tab/>
      </w:r>
    </w:p>
    <w:p w14:paraId="7ECF148F" w14:textId="77777777" w:rsidR="0035417C" w:rsidRPr="00414CA0" w:rsidRDefault="0035417C" w:rsidP="0035417C">
      <w:pPr>
        <w:spacing w:after="0" w:line="240" w:lineRule="auto"/>
        <w:rPr>
          <w:rFonts w:ascii="Verdana" w:eastAsia="Calibri" w:hAnsi="Verdana" w:cs="Arial"/>
          <w:b/>
          <w:bCs/>
          <w:color w:val="000000"/>
          <w:lang w:eastAsia="es-ES_tradnl"/>
        </w:rPr>
      </w:pPr>
      <w:r w:rsidRPr="00414CA0">
        <w:rPr>
          <w:rFonts w:ascii="Verdana" w:eastAsia="Calibri" w:hAnsi="Verdana" w:cs="Arial"/>
          <w:b/>
          <w:bCs/>
          <w:color w:val="000000"/>
          <w:lang w:eastAsia="es-ES_tradnl"/>
        </w:rPr>
        <w:t>Amparo Burbano Reyes</w:t>
      </w:r>
    </w:p>
    <w:p w14:paraId="6954B2F9" w14:textId="77777777" w:rsidR="0035417C" w:rsidRPr="00414CA0" w:rsidRDefault="0035417C" w:rsidP="0035417C">
      <w:pPr>
        <w:spacing w:after="0" w:line="240" w:lineRule="auto"/>
        <w:rPr>
          <w:rFonts w:ascii="Verdana" w:hAnsi="Verdana"/>
        </w:rPr>
      </w:pPr>
      <w:hyperlink r:id="rId11" w:history="1">
        <w:r w:rsidRPr="00414CA0">
          <w:rPr>
            <w:rStyle w:val="Hipervnculo"/>
            <w:rFonts w:ascii="Verdana" w:hAnsi="Verdana"/>
          </w:rPr>
          <w:t>aburbanor@sena.edu.co</w:t>
        </w:r>
      </w:hyperlink>
    </w:p>
    <w:p w14:paraId="7162F290" w14:textId="77777777" w:rsidR="0035417C" w:rsidRPr="00414CA0" w:rsidRDefault="0035417C" w:rsidP="0035417C">
      <w:pPr>
        <w:spacing w:after="0" w:line="240" w:lineRule="auto"/>
        <w:rPr>
          <w:rFonts w:ascii="Verdana" w:hAnsi="Verdana"/>
        </w:rPr>
      </w:pPr>
      <w:r w:rsidRPr="00414CA0">
        <w:rPr>
          <w:rFonts w:ascii="Verdana" w:hAnsi="Verdana"/>
        </w:rPr>
        <w:t>Bogotá D.C.</w:t>
      </w:r>
    </w:p>
    <w:p w14:paraId="7C008508" w14:textId="77777777" w:rsidR="0035417C" w:rsidRPr="00505CD6" w:rsidRDefault="0035417C" w:rsidP="0035417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5"/>
        <w:gridCol w:w="6224"/>
      </w:tblGrid>
      <w:tr w:rsidR="0035417C" w:rsidRPr="00505CD6" w14:paraId="1751C979" w14:textId="77777777" w:rsidTr="4CB833AE">
        <w:trPr>
          <w:trHeight w:val="630"/>
        </w:trPr>
        <w:tc>
          <w:tcPr>
            <w:tcW w:w="2565" w:type="dxa"/>
          </w:tcPr>
          <w:p w14:paraId="3AFC7486" w14:textId="77777777" w:rsidR="0035417C" w:rsidRPr="00505CD6" w:rsidRDefault="0035417C" w:rsidP="00884570">
            <w:pPr>
              <w:jc w:val="both"/>
              <w:rPr>
                <w:rFonts w:ascii="Verdana" w:eastAsia="Calibri" w:hAnsi="Verdana" w:cs="Arial"/>
                <w:b/>
                <w:bCs/>
                <w:color w:val="7030A0"/>
                <w:lang w:val="es-ES_tradnl" w:eastAsia="es-ES_tradnl"/>
              </w:rPr>
            </w:pPr>
          </w:p>
        </w:tc>
        <w:tc>
          <w:tcPr>
            <w:tcW w:w="6224" w:type="dxa"/>
          </w:tcPr>
          <w:p w14:paraId="020F12D3" w14:textId="77777777" w:rsidR="0035417C" w:rsidRPr="00505CD6" w:rsidRDefault="0035417C" w:rsidP="00884570">
            <w:pPr>
              <w:jc w:val="both"/>
              <w:rPr>
                <w:rFonts w:ascii="Verdana" w:eastAsia="Calibri" w:hAnsi="Verdana" w:cs="Arial"/>
                <w:b/>
                <w:bCs/>
                <w:lang w:val="es-ES" w:eastAsia="es-ES"/>
              </w:rPr>
            </w:pPr>
            <w:r w:rsidRPr="00505CD6">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1300 </w:t>
            </w:r>
            <w:r w:rsidRPr="00505CD6">
              <w:rPr>
                <w:rFonts w:ascii="Verdana" w:eastAsia="Calibri" w:hAnsi="Verdana" w:cs="Arial"/>
                <w:b/>
                <w:bCs/>
                <w:lang w:val="es-ES" w:eastAsia="es-ES"/>
              </w:rPr>
              <w:t>de 2025</w:t>
            </w:r>
          </w:p>
        </w:tc>
      </w:tr>
      <w:tr w:rsidR="0035417C" w:rsidRPr="005525D6" w14:paraId="1259CE32" w14:textId="77777777" w:rsidTr="4CB833AE">
        <w:trPr>
          <w:trHeight w:val="884"/>
        </w:trPr>
        <w:tc>
          <w:tcPr>
            <w:tcW w:w="2565" w:type="dxa"/>
          </w:tcPr>
          <w:p w14:paraId="37AAEFDE" w14:textId="77777777" w:rsidR="0035417C" w:rsidRPr="00505CD6" w:rsidRDefault="0035417C" w:rsidP="00884570">
            <w:pPr>
              <w:jc w:val="both"/>
              <w:rPr>
                <w:rFonts w:ascii="Verdana" w:eastAsia="Calibri" w:hAnsi="Verdana" w:cs="Arial"/>
                <w:color w:val="000000"/>
                <w:lang w:val="es-ES_tradnl" w:eastAsia="es-ES_tradnl"/>
              </w:rPr>
            </w:pPr>
            <w:r w:rsidRPr="00505CD6">
              <w:rPr>
                <w:rFonts w:ascii="Verdana" w:eastAsia="Calibri" w:hAnsi="Verdana" w:cs="Arial"/>
                <w:b/>
                <w:color w:val="000000"/>
                <w:lang w:val="es-ES_tradnl" w:eastAsia="es-ES_tradnl"/>
              </w:rPr>
              <w:t>Temas:</w:t>
            </w:r>
            <w:r w:rsidRPr="00505CD6">
              <w:rPr>
                <w:rFonts w:ascii="Verdana" w:eastAsia="Calibri" w:hAnsi="Verdana" w:cs="Arial"/>
                <w:color w:val="000000"/>
                <w:lang w:val="es-ES_tradnl" w:eastAsia="es-ES_tradnl"/>
              </w:rPr>
              <w:t xml:space="preserve">                   </w:t>
            </w:r>
          </w:p>
        </w:tc>
        <w:tc>
          <w:tcPr>
            <w:tcW w:w="6224" w:type="dxa"/>
          </w:tcPr>
          <w:p w14:paraId="33C0D803" w14:textId="050D7F9B" w:rsidR="0035417C" w:rsidRPr="00C17E21" w:rsidRDefault="0035417C" w:rsidP="00884570">
            <w:pPr>
              <w:jc w:val="both"/>
              <w:rPr>
                <w:rFonts w:ascii="Verdana" w:hAnsi="Verdana" w:cs="Arial"/>
                <w:bCs/>
                <w:szCs w:val="24"/>
                <w:lang w:eastAsia="es-ES_tradnl"/>
              </w:rPr>
            </w:pPr>
            <w:bookmarkStart w:id="2" w:name="_Hlk196301413"/>
            <w:r w:rsidRPr="00C17E21">
              <w:rPr>
                <w:rFonts w:ascii="Verdana" w:eastAsia="Calibri" w:hAnsi="Verdana" w:cs="Arial"/>
                <w:bCs/>
                <w:lang w:val="es-MX" w:eastAsia="es-ES_tradnl"/>
              </w:rPr>
              <w:t xml:space="preserve">PRECIO – Concepto – Estructuración </w:t>
            </w:r>
            <w:r w:rsidRPr="00C17E21">
              <w:rPr>
                <w:rFonts w:ascii="Verdana" w:eastAsia="Calibri" w:hAnsi="Verdana" w:cs="Arial"/>
                <w:bCs/>
                <w:lang w:val="es-ES_tradnl" w:eastAsia="es-ES_tradnl"/>
              </w:rPr>
              <w:t xml:space="preserve">/ </w:t>
            </w:r>
            <w:r w:rsidRPr="00C17E21">
              <w:rPr>
                <w:rFonts w:ascii="Verdana" w:eastAsia="Calibri" w:hAnsi="Verdana" w:cs="Arial"/>
                <w:bCs/>
                <w:lang w:val="es-ES" w:eastAsia="es-ES_tradnl"/>
              </w:rPr>
              <w:t>TIPOLOGÍA CONTRACTUAL – Escogencia del tipo de contrato / CONTRATO POR MONTO AGOTABLE – Forma de Pago – Legalidad – Contrato típico o atípico – Inexistencia</w:t>
            </w:r>
          </w:p>
          <w:bookmarkEnd w:id="2"/>
          <w:p w14:paraId="082BC60E" w14:textId="77777777" w:rsidR="0035417C" w:rsidRPr="009E4AA6" w:rsidRDefault="0035417C" w:rsidP="00884570">
            <w:pPr>
              <w:jc w:val="both"/>
              <w:rPr>
                <w:rFonts w:ascii="Verdana" w:eastAsia="Calibri" w:hAnsi="Verdana" w:cs="Arial"/>
                <w:highlight w:val="yellow"/>
                <w:lang w:val="es-ES" w:eastAsia="es-ES"/>
              </w:rPr>
            </w:pPr>
          </w:p>
        </w:tc>
      </w:tr>
      <w:tr w:rsidR="0035417C" w:rsidRPr="00505CD6" w14:paraId="1841F8F1" w14:textId="77777777" w:rsidTr="4CB833AE">
        <w:tc>
          <w:tcPr>
            <w:tcW w:w="2565" w:type="dxa"/>
          </w:tcPr>
          <w:p w14:paraId="1A48161B" w14:textId="77777777" w:rsidR="0035417C" w:rsidRPr="00505CD6" w:rsidRDefault="0035417C" w:rsidP="00884570">
            <w:pPr>
              <w:jc w:val="both"/>
              <w:rPr>
                <w:rFonts w:ascii="Verdana" w:eastAsia="Calibri" w:hAnsi="Verdana" w:cs="Arial"/>
                <w:b/>
                <w:lang w:val="es-ES_tradnl" w:eastAsia="es-ES_tradnl"/>
              </w:rPr>
            </w:pPr>
            <w:r w:rsidRPr="00505CD6">
              <w:rPr>
                <w:rFonts w:ascii="Verdana" w:eastAsia="Calibri" w:hAnsi="Verdana" w:cs="Arial"/>
                <w:b/>
                <w:lang w:val="es-ES_tradnl" w:eastAsia="es-ES_tradnl"/>
              </w:rPr>
              <w:t>Radicación:</w:t>
            </w:r>
            <w:r w:rsidRPr="00505CD6">
              <w:rPr>
                <w:rFonts w:ascii="Verdana" w:eastAsia="Calibri" w:hAnsi="Verdana" w:cs="Arial"/>
                <w:lang w:val="es-ES_tradnl" w:eastAsia="es-ES_tradnl"/>
              </w:rPr>
              <w:t xml:space="preserve">               </w:t>
            </w:r>
          </w:p>
        </w:tc>
        <w:tc>
          <w:tcPr>
            <w:tcW w:w="6224" w:type="dxa"/>
          </w:tcPr>
          <w:p w14:paraId="5A84B74A" w14:textId="71249F30" w:rsidR="0035417C" w:rsidRDefault="0035417C" w:rsidP="00884570">
            <w:pPr>
              <w:jc w:val="both"/>
              <w:rPr>
                <w:rFonts w:ascii="Verdana" w:hAnsi="Verdana"/>
                <w:color w:val="000000"/>
              </w:rPr>
            </w:pPr>
            <w:r w:rsidRPr="00505CD6">
              <w:rPr>
                <w:rFonts w:ascii="Verdana" w:eastAsia="Calibri" w:hAnsi="Verdana" w:cs="Arial"/>
                <w:lang w:val="es-ES_tradnl" w:eastAsia="es-ES_tradnl"/>
              </w:rPr>
              <w:t xml:space="preserve">Respuesta a la consulta con radicado </w:t>
            </w:r>
            <w:proofErr w:type="gramStart"/>
            <w:r w:rsidR="00C17E21" w:rsidRPr="00505CD6">
              <w:rPr>
                <w:rFonts w:ascii="Verdana" w:eastAsia="Calibri" w:hAnsi="Verdana" w:cs="Arial"/>
                <w:lang w:val="es-ES_tradnl" w:eastAsia="es-ES_tradnl"/>
              </w:rPr>
              <w:t xml:space="preserve">No.  </w:t>
            </w:r>
            <w:r w:rsidRPr="00414CA0">
              <w:rPr>
                <w:rFonts w:ascii="Verdana" w:eastAsia="Calibri" w:hAnsi="Verdana" w:cs="Arial"/>
                <w:lang w:val="es-ES_tradnl" w:eastAsia="es-ES_tradnl"/>
              </w:rPr>
              <w:t>1</w:t>
            </w:r>
            <w:proofErr w:type="gramEnd"/>
            <w:r w:rsidRPr="00414CA0">
              <w:rPr>
                <w:rFonts w:ascii="Verdana" w:eastAsia="Calibri" w:hAnsi="Verdana" w:cs="Arial"/>
                <w:lang w:val="es-ES_tradnl" w:eastAsia="es-ES_tradnl"/>
              </w:rPr>
              <w:t>_2025_09_10_009887</w:t>
            </w:r>
          </w:p>
          <w:p w14:paraId="3078758A" w14:textId="77777777" w:rsidR="0035417C" w:rsidRPr="00505CD6" w:rsidRDefault="0035417C" w:rsidP="00884570">
            <w:pPr>
              <w:jc w:val="both"/>
              <w:rPr>
                <w:rFonts w:ascii="Verdana" w:eastAsia="Calibri" w:hAnsi="Verdana" w:cs="Arial"/>
                <w:lang w:val="es-ES_tradnl" w:eastAsia="es-ES_tradnl"/>
              </w:rPr>
            </w:pPr>
            <w:r w:rsidRPr="00505CD6">
              <w:rPr>
                <w:rFonts w:ascii="Verdana" w:eastAsia="Calibri" w:hAnsi="Verdana" w:cs="Arial"/>
                <w:lang w:val="es-ES_tradnl" w:eastAsia="es-ES_tradnl"/>
              </w:rPr>
              <w:t xml:space="preserve">                                 </w:t>
            </w:r>
          </w:p>
        </w:tc>
      </w:tr>
    </w:tbl>
    <w:p w14:paraId="35F7E5CE" w14:textId="77777777" w:rsidR="0035417C" w:rsidRPr="00505CD6" w:rsidRDefault="0035417C" w:rsidP="0035417C">
      <w:pPr>
        <w:spacing w:after="0" w:line="276" w:lineRule="auto"/>
        <w:jc w:val="both"/>
        <w:rPr>
          <w:rFonts w:ascii="Verdana" w:eastAsia="Calibri" w:hAnsi="Verdana" w:cs="Arial"/>
          <w:lang w:val="es-ES" w:eastAsia="es-ES"/>
        </w:rPr>
      </w:pPr>
      <w:r w:rsidRPr="00505CD6">
        <w:rPr>
          <w:rFonts w:ascii="Verdana" w:eastAsia="Calibri" w:hAnsi="Verdana" w:cs="Arial"/>
          <w:lang w:val="es-ES" w:eastAsia="es-ES"/>
        </w:rPr>
        <w:t>Estimad</w:t>
      </w:r>
      <w:r>
        <w:rPr>
          <w:rFonts w:ascii="Verdana" w:eastAsia="Calibri" w:hAnsi="Verdana" w:cs="Arial"/>
          <w:lang w:val="es-ES" w:eastAsia="es-ES"/>
        </w:rPr>
        <w:t>a</w:t>
      </w:r>
      <w:r w:rsidRPr="00505CD6">
        <w:rPr>
          <w:rFonts w:ascii="Verdana" w:eastAsia="Calibri" w:hAnsi="Verdana" w:cs="Arial"/>
          <w:lang w:val="es-ES" w:eastAsia="es-ES"/>
        </w:rPr>
        <w:t xml:space="preserve"> señor</w:t>
      </w:r>
      <w:r>
        <w:rPr>
          <w:rFonts w:ascii="Verdana" w:eastAsia="Calibri" w:hAnsi="Verdana" w:cs="Arial"/>
          <w:lang w:val="es-ES" w:eastAsia="es-ES"/>
        </w:rPr>
        <w:t>a Amparo;</w:t>
      </w:r>
      <w:r w:rsidRPr="00505CD6">
        <w:rPr>
          <w:rFonts w:ascii="Verdana" w:eastAsia="Calibri" w:hAnsi="Verdana" w:cs="Arial"/>
          <w:lang w:val="es-ES" w:eastAsia="es-ES"/>
        </w:rPr>
        <w:t xml:space="preserve"> </w:t>
      </w:r>
    </w:p>
    <w:p w14:paraId="0237E8C8" w14:textId="77777777" w:rsidR="0035417C" w:rsidRPr="00505CD6" w:rsidRDefault="0035417C" w:rsidP="0035417C">
      <w:pPr>
        <w:tabs>
          <w:tab w:val="left" w:pos="3768"/>
        </w:tabs>
        <w:spacing w:after="0" w:line="276" w:lineRule="auto"/>
        <w:jc w:val="both"/>
        <w:rPr>
          <w:rFonts w:ascii="Verdana" w:eastAsia="Calibri" w:hAnsi="Verdana" w:cs="Arial"/>
          <w:color w:val="000000" w:themeColor="text1"/>
          <w:lang w:val="es-ES" w:eastAsia="es-ES"/>
        </w:rPr>
      </w:pPr>
      <w:r w:rsidRPr="00505CD6">
        <w:rPr>
          <w:rFonts w:ascii="Verdana" w:eastAsia="Calibri" w:hAnsi="Verdana" w:cs="Arial"/>
          <w:color w:val="000000" w:themeColor="text1"/>
          <w:lang w:val="es-ES" w:eastAsia="es-ES"/>
        </w:rPr>
        <w:tab/>
      </w:r>
    </w:p>
    <w:p w14:paraId="35E9E513" w14:textId="77777777" w:rsidR="0035417C" w:rsidRDefault="0035417C" w:rsidP="00907D16">
      <w:pPr>
        <w:spacing w:after="0" w:line="276" w:lineRule="auto"/>
        <w:jc w:val="both"/>
        <w:rPr>
          <w:rFonts w:ascii="Verdana" w:eastAsia="Calibri" w:hAnsi="Verdana" w:cs="Arial"/>
          <w:lang w:val="es-ES" w:eastAsia="es-ES"/>
        </w:rPr>
      </w:pPr>
      <w:r w:rsidRPr="00505CD6">
        <w:rPr>
          <w:rFonts w:ascii="Verdana" w:eastAsia="Calibri" w:hAnsi="Verdana" w:cs="Arial"/>
          <w:color w:val="000000" w:themeColor="text1"/>
          <w:lang w:val="es-ES" w:eastAsia="es-ES"/>
        </w:rPr>
        <w:t>En ejercicio de la competencia otorgada por los artículos 3, numeral 5º, y 11, numeral 8º, del Decreto Ley 4170 de 2011,</w:t>
      </w:r>
      <w:r w:rsidRPr="00505CD6">
        <w:rPr>
          <w:rFonts w:ascii="Verdana" w:eastAsia="Arial MT" w:hAnsi="Verdana" w:cs="Arial MT"/>
          <w:lang w:val="es-ES" w:eastAsia="es-ES"/>
        </w:rPr>
        <w:t xml:space="preserve"> </w:t>
      </w:r>
      <w:r w:rsidRPr="00505CD6">
        <w:rPr>
          <w:rFonts w:ascii="Verdana" w:hAnsi="Verdana" w:cs="Arial"/>
        </w:rPr>
        <w:t xml:space="preserve">así como lo establecido en el artículo 4 de la Resolución 1707 de 2018 expedida por esta Entidad, </w:t>
      </w:r>
      <w:r w:rsidRPr="00505CD6">
        <w:rPr>
          <w:rFonts w:ascii="Verdana" w:eastAsia="Calibri" w:hAnsi="Verdana" w:cs="Arial"/>
          <w:color w:val="000000" w:themeColor="text1"/>
          <w:lang w:val="es-ES" w:eastAsia="es-ES"/>
        </w:rPr>
        <w:t xml:space="preserve">la Agencia Nacional de Contratación Pública – Colombia Compra Eficiente responde su solicitud del </w:t>
      </w:r>
      <w:r>
        <w:rPr>
          <w:rFonts w:ascii="Verdana" w:eastAsia="Calibri" w:hAnsi="Verdana" w:cs="Arial"/>
          <w:color w:val="000000" w:themeColor="text1"/>
          <w:lang w:val="es-ES" w:eastAsia="es-ES"/>
        </w:rPr>
        <w:t>radicada en esta entidad el 10 de septiembre de 2025</w:t>
      </w:r>
      <w:r w:rsidRPr="00505CD6">
        <w:rPr>
          <w:rFonts w:ascii="Verdana" w:eastAsia="Calibri" w:hAnsi="Verdana" w:cs="Arial"/>
          <w:lang w:val="es-ES" w:eastAsia="es-ES"/>
        </w:rPr>
        <w:t xml:space="preserve">, en la cual </w:t>
      </w:r>
      <w:r>
        <w:rPr>
          <w:rFonts w:ascii="Verdana" w:eastAsia="Calibri" w:hAnsi="Verdana" w:cs="Arial"/>
          <w:lang w:val="es-ES" w:eastAsia="es-ES"/>
        </w:rPr>
        <w:t xml:space="preserve">manifiesta </w:t>
      </w:r>
      <w:r w:rsidRPr="00505CD6">
        <w:rPr>
          <w:rFonts w:ascii="Verdana" w:eastAsia="Calibri" w:hAnsi="Verdana" w:cs="Arial"/>
          <w:lang w:val="es-ES" w:eastAsia="es-ES"/>
        </w:rPr>
        <w:t>lo siguiente:</w:t>
      </w:r>
    </w:p>
    <w:p w14:paraId="6905C805" w14:textId="77777777" w:rsidR="0035417C" w:rsidRDefault="0035417C" w:rsidP="00907D16">
      <w:pPr>
        <w:spacing w:after="0" w:line="276" w:lineRule="auto"/>
        <w:jc w:val="both"/>
        <w:rPr>
          <w:rFonts w:ascii="Verdana" w:eastAsia="Calibri" w:hAnsi="Verdana" w:cs="Arial"/>
          <w:lang w:val="es-ES" w:eastAsia="es-ES"/>
        </w:rPr>
      </w:pPr>
    </w:p>
    <w:p w14:paraId="1DD7488D" w14:textId="77777777" w:rsidR="0035417C" w:rsidRDefault="0035417C" w:rsidP="00907D16">
      <w:pPr>
        <w:spacing w:after="0" w:line="276" w:lineRule="auto"/>
        <w:ind w:left="426" w:right="1183"/>
        <w:jc w:val="both"/>
        <w:rPr>
          <w:rFonts w:ascii="Verdana" w:eastAsia="Century Gothic" w:hAnsi="Verdana" w:cs="Century Gothic"/>
          <w:i/>
          <w:iCs/>
          <w:lang w:val="es-ES"/>
        </w:rPr>
      </w:pPr>
      <w:r>
        <w:rPr>
          <w:rFonts w:ascii="Verdana" w:eastAsia="Century Gothic" w:hAnsi="Verdana" w:cs="Century Gothic"/>
          <w:i/>
          <w:iCs/>
          <w:lang w:val="es-ES"/>
        </w:rPr>
        <w:t>“Cordial saludo,</w:t>
      </w:r>
    </w:p>
    <w:p w14:paraId="74E91B4E" w14:textId="77777777" w:rsidR="00633D65" w:rsidRDefault="00633D65" w:rsidP="00633D65">
      <w:pPr>
        <w:spacing w:after="0" w:line="276" w:lineRule="auto"/>
        <w:ind w:left="426" w:right="1183"/>
        <w:jc w:val="both"/>
        <w:rPr>
          <w:rFonts w:ascii="Verdana" w:eastAsia="Century Gothic" w:hAnsi="Verdana" w:cs="Century Gothic"/>
          <w:i/>
          <w:iCs/>
          <w:lang w:val="es-ES"/>
        </w:rPr>
      </w:pPr>
    </w:p>
    <w:p w14:paraId="67070FCE" w14:textId="21BFD491" w:rsidR="0035417C" w:rsidRDefault="0035417C" w:rsidP="00633D65">
      <w:pPr>
        <w:spacing w:after="0" w:line="276" w:lineRule="auto"/>
        <w:ind w:left="426" w:right="1183"/>
        <w:jc w:val="both"/>
        <w:rPr>
          <w:rFonts w:ascii="Verdana" w:eastAsia="Calibri" w:hAnsi="Verdana" w:cs="Arial"/>
          <w:i/>
          <w:iCs/>
          <w:lang w:val="es-ES" w:eastAsia="es-ES"/>
        </w:rPr>
      </w:pPr>
      <w:r w:rsidRPr="009C2A87">
        <w:rPr>
          <w:rFonts w:ascii="Verdana" w:eastAsia="Century Gothic" w:hAnsi="Verdana" w:cs="Century Gothic"/>
          <w:i/>
          <w:iCs/>
          <w:lang w:val="es-ES"/>
        </w:rPr>
        <w:t>SE REQUIERE DEFINICION DEL USO DEL CONCEPTO "ADQUIRIR A PRECIO</w:t>
      </w:r>
      <w:r>
        <w:rPr>
          <w:rFonts w:ascii="Verdana" w:eastAsia="Century Gothic" w:hAnsi="Verdana" w:cs="Century Gothic"/>
          <w:i/>
          <w:iCs/>
          <w:lang w:val="es-ES"/>
        </w:rPr>
        <w:t xml:space="preserve"> </w:t>
      </w:r>
      <w:r w:rsidRPr="009C2A87">
        <w:rPr>
          <w:rFonts w:ascii="Verdana" w:eastAsia="Century Gothic" w:hAnsi="Verdana" w:cs="Century Gothic"/>
          <w:i/>
          <w:iCs/>
          <w:lang w:val="es-ES"/>
        </w:rPr>
        <w:t>UNITARIO Y MONTO AGOTABLE" EN LOS ESTUDIOS PREVIOS DE MINIMA</w:t>
      </w:r>
      <w:r>
        <w:rPr>
          <w:rFonts w:ascii="Verdana" w:eastAsia="Century Gothic" w:hAnsi="Verdana" w:cs="Century Gothic"/>
          <w:i/>
          <w:iCs/>
          <w:lang w:val="es-ES"/>
        </w:rPr>
        <w:t xml:space="preserve"> </w:t>
      </w:r>
      <w:r w:rsidRPr="009C2A87">
        <w:rPr>
          <w:rFonts w:ascii="Verdana" w:eastAsia="Century Gothic" w:hAnsi="Verdana" w:cs="Century Gothic"/>
          <w:i/>
          <w:iCs/>
          <w:lang w:val="es-ES"/>
        </w:rPr>
        <w:t>CUANTIA. AGRADEZCO DEFINIR SI PUEDE SER UTILIZADO EN LOS</w:t>
      </w:r>
      <w:r>
        <w:rPr>
          <w:rFonts w:ascii="Verdana" w:eastAsia="Century Gothic" w:hAnsi="Verdana" w:cs="Century Gothic"/>
          <w:i/>
          <w:iCs/>
          <w:lang w:val="es-ES"/>
        </w:rPr>
        <w:t xml:space="preserve"> </w:t>
      </w:r>
      <w:r w:rsidRPr="009C2A87">
        <w:rPr>
          <w:rFonts w:ascii="Verdana" w:eastAsia="Century Gothic" w:hAnsi="Verdana" w:cs="Century Gothic"/>
          <w:i/>
          <w:iCs/>
          <w:lang w:val="es-ES"/>
        </w:rPr>
        <w:t>ESTUDIOS PREVIOS PARA ADQUIIRIR ELEMENTOS DE ACUERDO CON LA</w:t>
      </w:r>
      <w:r>
        <w:rPr>
          <w:rFonts w:ascii="Verdana" w:eastAsia="Century Gothic" w:hAnsi="Verdana" w:cs="Century Gothic"/>
          <w:i/>
          <w:iCs/>
          <w:lang w:val="es-ES"/>
        </w:rPr>
        <w:t xml:space="preserve"> </w:t>
      </w:r>
      <w:r w:rsidRPr="009C2A87">
        <w:rPr>
          <w:rFonts w:ascii="Verdana" w:eastAsia="Century Gothic" w:hAnsi="Verdana" w:cs="Century Gothic"/>
          <w:i/>
          <w:iCs/>
          <w:lang w:val="es-ES"/>
        </w:rPr>
        <w:t>NECESIDAD Y EL PRESUPUESTO ASIGNADO</w:t>
      </w:r>
      <w:r w:rsidR="00A37D16">
        <w:rPr>
          <w:rFonts w:ascii="Verdana" w:eastAsia="Century Gothic" w:hAnsi="Verdana" w:cs="Century Gothic"/>
          <w:i/>
          <w:iCs/>
          <w:lang w:val="es-ES"/>
        </w:rPr>
        <w:t>”</w:t>
      </w:r>
      <w:r>
        <w:rPr>
          <w:rFonts w:ascii="Verdana" w:eastAsia="Calibri" w:hAnsi="Verdana" w:cs="Arial"/>
          <w:i/>
          <w:iCs/>
          <w:lang w:val="es-ES" w:eastAsia="es-ES"/>
        </w:rPr>
        <w:t xml:space="preserve"> </w:t>
      </w:r>
      <w:r w:rsidR="00A37D16">
        <w:rPr>
          <w:rFonts w:ascii="Verdana" w:eastAsia="Calibri" w:hAnsi="Verdana" w:cs="Arial"/>
          <w:i/>
          <w:iCs/>
          <w:lang w:val="es-ES" w:eastAsia="es-ES"/>
        </w:rPr>
        <w:t>[</w:t>
      </w:r>
      <w:r>
        <w:rPr>
          <w:rFonts w:ascii="Verdana" w:eastAsia="Calibri" w:hAnsi="Verdana" w:cs="Arial"/>
          <w:i/>
          <w:iCs/>
          <w:lang w:val="es-ES" w:eastAsia="es-ES"/>
        </w:rPr>
        <w:t>SIC</w:t>
      </w:r>
      <w:r w:rsidR="00A37D16">
        <w:rPr>
          <w:rFonts w:ascii="Verdana" w:eastAsia="Calibri" w:hAnsi="Verdana" w:cs="Arial"/>
          <w:i/>
          <w:iCs/>
          <w:lang w:val="es-ES" w:eastAsia="es-ES"/>
        </w:rPr>
        <w:t>]</w:t>
      </w:r>
    </w:p>
    <w:p w14:paraId="3741C6CC" w14:textId="77777777" w:rsidR="00907D16" w:rsidRDefault="00907D16" w:rsidP="00907D16">
      <w:pPr>
        <w:spacing w:after="0" w:line="276" w:lineRule="auto"/>
        <w:ind w:firstLine="709"/>
        <w:jc w:val="both"/>
        <w:rPr>
          <w:rFonts w:ascii="Verdana" w:eastAsia="Calibri" w:hAnsi="Verdana" w:cs="Arial"/>
          <w:color w:val="000000"/>
          <w:lang w:val="es-ES" w:eastAsia="es-ES"/>
        </w:rPr>
      </w:pPr>
    </w:p>
    <w:p w14:paraId="43919689" w14:textId="0D05EC2A" w:rsidR="0035417C" w:rsidRPr="00505CD6" w:rsidRDefault="0035417C" w:rsidP="00907D16">
      <w:pPr>
        <w:spacing w:after="0" w:line="276" w:lineRule="auto"/>
        <w:ind w:firstLine="709"/>
        <w:jc w:val="both"/>
        <w:rPr>
          <w:rFonts w:ascii="Verdana" w:eastAsia="Calibri" w:hAnsi="Verdana" w:cs="Arial"/>
          <w:color w:val="000000"/>
          <w:lang w:val="es-ES" w:eastAsia="es-ES"/>
        </w:rPr>
      </w:pPr>
      <w:r w:rsidRPr="00505CD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05CD6">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05CD6">
        <w:rPr>
          <w:rFonts w:ascii="Verdana" w:eastAsia="Calibri" w:hAnsi="Verdana" w:cs="Arial"/>
          <w:color w:val="000000"/>
          <w:szCs w:val="24"/>
          <w:lang w:val="es-ES_tradnl" w:eastAsia="es-ES_tradnl"/>
        </w:rPr>
        <w:tab/>
      </w:r>
    </w:p>
    <w:p w14:paraId="4348E6CD" w14:textId="77777777" w:rsidR="0035417C" w:rsidRPr="00505CD6" w:rsidRDefault="0035417C" w:rsidP="0035417C">
      <w:pPr>
        <w:spacing w:after="0" w:line="276" w:lineRule="auto"/>
        <w:ind w:firstLine="709"/>
        <w:jc w:val="both"/>
        <w:rPr>
          <w:rFonts w:ascii="Verdana" w:eastAsia="Calibri" w:hAnsi="Verdana" w:cs="Arial"/>
          <w:color w:val="000000"/>
          <w:lang w:val="es-ES" w:eastAsia="es-ES"/>
        </w:rPr>
      </w:pPr>
      <w:r w:rsidRPr="00505CD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505CD6">
        <w:rPr>
          <w:rFonts w:ascii="Verdana" w:eastAsia="Calibri" w:hAnsi="Verdana" w:cs="Arial"/>
          <w:color w:val="7030A0"/>
          <w:lang w:val="es-ES" w:eastAsia="es-ES"/>
        </w:rPr>
        <w:t xml:space="preserve"> </w:t>
      </w:r>
      <w:r w:rsidRPr="00505CD6">
        <w:rPr>
          <w:rFonts w:ascii="Verdana" w:eastAsia="Calibri" w:hAnsi="Verdana" w:cs="Arial"/>
          <w:color w:val="000000"/>
          <w:lang w:val="es-ES" w:eastAsia="es-ES"/>
        </w:rPr>
        <w:t>problema</w:t>
      </w:r>
      <w:r w:rsidRPr="00505CD6">
        <w:rPr>
          <w:rFonts w:ascii="Verdana" w:eastAsia="Calibri" w:hAnsi="Verdana" w:cs="Arial"/>
          <w:color w:val="7030A0"/>
          <w:lang w:val="es-ES" w:eastAsia="es-ES"/>
        </w:rPr>
        <w:t xml:space="preserve"> </w:t>
      </w:r>
      <w:r w:rsidRPr="00505CD6">
        <w:rPr>
          <w:rFonts w:ascii="Verdana" w:eastAsia="Calibri" w:hAnsi="Verdana" w:cs="Arial"/>
          <w:color w:val="000000"/>
          <w:lang w:val="es-ES" w:eastAsia="es-ES"/>
        </w:rPr>
        <w:t>jurídico</w:t>
      </w:r>
      <w:r w:rsidRPr="00505CD6">
        <w:rPr>
          <w:rFonts w:ascii="Verdana" w:eastAsia="Calibri" w:hAnsi="Verdana" w:cs="Arial"/>
          <w:color w:val="7030A0"/>
          <w:lang w:val="es-ES" w:eastAsia="es-ES"/>
        </w:rPr>
        <w:t xml:space="preserve"> </w:t>
      </w:r>
      <w:r w:rsidRPr="00505CD6">
        <w:rPr>
          <w:rFonts w:ascii="Verdana" w:eastAsia="Calibri" w:hAnsi="Verdana" w:cs="Arial"/>
          <w:color w:val="000000"/>
          <w:lang w:val="es-ES" w:eastAsia="es-ES"/>
        </w:rPr>
        <w:t xml:space="preserve">de su consulta. </w:t>
      </w:r>
    </w:p>
    <w:p w14:paraId="5ECB28ED" w14:textId="77777777" w:rsidR="0035417C" w:rsidRPr="00505CD6" w:rsidRDefault="0035417C" w:rsidP="0035417C">
      <w:pPr>
        <w:spacing w:after="0" w:line="276" w:lineRule="auto"/>
        <w:ind w:firstLine="709"/>
        <w:jc w:val="both"/>
        <w:rPr>
          <w:rFonts w:ascii="Verdana" w:eastAsia="Calibri" w:hAnsi="Verdana" w:cs="Arial"/>
          <w:color w:val="000000"/>
          <w:lang w:val="es-ES" w:eastAsia="es-ES"/>
        </w:rPr>
      </w:pPr>
    </w:p>
    <w:p w14:paraId="32EDFFDD" w14:textId="77777777" w:rsidR="0035417C" w:rsidRPr="00505CD6" w:rsidRDefault="0035417C" w:rsidP="0035417C">
      <w:pPr>
        <w:numPr>
          <w:ilvl w:val="0"/>
          <w:numId w:val="16"/>
        </w:numPr>
        <w:tabs>
          <w:tab w:val="left" w:pos="142"/>
          <w:tab w:val="left" w:pos="284"/>
        </w:tabs>
        <w:spacing w:after="0" w:line="276" w:lineRule="auto"/>
        <w:ind w:left="567"/>
        <w:contextualSpacing/>
        <w:jc w:val="both"/>
        <w:rPr>
          <w:rFonts w:ascii="Verdana" w:eastAsia="Century Gothic" w:hAnsi="Verdana" w:cs="Century Gothic"/>
          <w:b/>
          <w:bCs/>
          <w:lang w:val="es-ES"/>
        </w:rPr>
      </w:pPr>
      <w:r w:rsidRPr="00505CD6">
        <w:rPr>
          <w:rFonts w:ascii="Verdana" w:eastAsia="Century Gothic" w:hAnsi="Verdana" w:cs="Century Gothic"/>
          <w:b/>
          <w:bCs/>
          <w:lang w:val="es-ES"/>
        </w:rPr>
        <w:t>Problema planteado:</w:t>
      </w:r>
    </w:p>
    <w:p w14:paraId="6F7D8D1C" w14:textId="77777777" w:rsidR="0035417C" w:rsidRPr="00505CD6" w:rsidRDefault="0035417C" w:rsidP="0035417C">
      <w:pPr>
        <w:tabs>
          <w:tab w:val="left" w:pos="426"/>
        </w:tabs>
        <w:spacing w:after="0" w:line="276" w:lineRule="auto"/>
        <w:jc w:val="both"/>
        <w:rPr>
          <w:rFonts w:ascii="Verdana" w:eastAsia="Century Gothic" w:hAnsi="Verdana" w:cs="Century Gothic"/>
          <w:lang w:val="es-ES"/>
        </w:rPr>
      </w:pPr>
    </w:p>
    <w:p w14:paraId="3E9B647B" w14:textId="77777777" w:rsidR="0035417C" w:rsidRPr="009D24E5" w:rsidRDefault="0035417C" w:rsidP="0035417C">
      <w:pPr>
        <w:spacing w:after="0" w:line="276" w:lineRule="auto"/>
        <w:jc w:val="both"/>
        <w:rPr>
          <w:rFonts w:ascii="Verdana" w:eastAsia="Century Gothic" w:hAnsi="Verdana" w:cs="Century Gothic"/>
        </w:rPr>
      </w:pPr>
      <w:r w:rsidRPr="00CD2FA0">
        <w:rPr>
          <w:rFonts w:ascii="Verdana" w:eastAsia="Century Gothic" w:hAnsi="Verdana" w:cs="Century Gothic"/>
        </w:rPr>
        <w:t xml:space="preserve">De acuerdo con el contenido de su solicitud, </w:t>
      </w:r>
      <w:r w:rsidRPr="00167C84">
        <w:rPr>
          <w:rFonts w:ascii="Verdana" w:eastAsia="Century Gothic" w:hAnsi="Verdana" w:cs="Century Gothic"/>
        </w:rPr>
        <w:t>esta Subdirección se resolverá la siguiente</w:t>
      </w:r>
      <w:r>
        <w:rPr>
          <w:rFonts w:ascii="Verdana" w:eastAsia="Century Gothic" w:hAnsi="Verdana" w:cs="Century Gothic"/>
        </w:rPr>
        <w:t xml:space="preserve"> </w:t>
      </w:r>
      <w:r w:rsidRPr="00167C84">
        <w:rPr>
          <w:rFonts w:ascii="Verdana" w:eastAsia="Century Gothic" w:hAnsi="Verdana" w:cs="Century Gothic"/>
        </w:rPr>
        <w:t>pregunta</w:t>
      </w:r>
      <w:r>
        <w:rPr>
          <w:rFonts w:ascii="Verdana" w:eastAsia="Century Gothic" w:hAnsi="Verdana" w:cs="Century Gothic"/>
        </w:rPr>
        <w:t xml:space="preserve"> jurídica</w:t>
      </w:r>
      <w:r w:rsidRPr="00167C84">
        <w:rPr>
          <w:rFonts w:ascii="Verdana" w:eastAsia="Century Gothic" w:hAnsi="Verdana" w:cs="Century Gothic"/>
        </w:rPr>
        <w:t>:</w:t>
      </w:r>
      <w:r>
        <w:rPr>
          <w:rFonts w:ascii="Verdana" w:eastAsia="Century Gothic" w:hAnsi="Verdana" w:cs="Century Gothic"/>
        </w:rPr>
        <w:t xml:space="preserve"> </w:t>
      </w:r>
      <w:r w:rsidRPr="00CF10BB">
        <w:rPr>
          <w:rFonts w:ascii="Verdana" w:eastAsia="Century Gothic" w:hAnsi="Verdana" w:cs="Century Gothic"/>
        </w:rPr>
        <w:t xml:space="preserve">i. ¿Cómo se define la figura del “contrato </w:t>
      </w:r>
      <w:r w:rsidRPr="007134E6">
        <w:rPr>
          <w:rFonts w:ascii="Verdana" w:eastAsia="Century Gothic" w:hAnsi="Verdana" w:cs="Century Gothic"/>
        </w:rPr>
        <w:t xml:space="preserve">a precio unitario </w:t>
      </w:r>
      <w:r>
        <w:rPr>
          <w:rFonts w:ascii="Verdana" w:eastAsia="Century Gothic" w:hAnsi="Verdana" w:cs="Century Gothic"/>
        </w:rPr>
        <w:t xml:space="preserve">y </w:t>
      </w:r>
      <w:r w:rsidRPr="00CF10BB">
        <w:rPr>
          <w:rFonts w:ascii="Verdana" w:eastAsia="Century Gothic" w:hAnsi="Verdana" w:cs="Century Gothic"/>
        </w:rPr>
        <w:t>por monto agotable”?</w:t>
      </w:r>
      <w:r>
        <w:rPr>
          <w:rFonts w:ascii="Verdana" w:eastAsia="Century Gothic" w:hAnsi="Verdana" w:cs="Century Gothic"/>
        </w:rPr>
        <w:t xml:space="preserve"> </w:t>
      </w:r>
      <w:proofErr w:type="spellStart"/>
      <w:r w:rsidRPr="00CF10BB">
        <w:rPr>
          <w:rFonts w:ascii="Verdana" w:eastAsia="Century Gothic" w:hAnsi="Verdana" w:cs="Century Gothic"/>
        </w:rPr>
        <w:t>ii</w:t>
      </w:r>
      <w:proofErr w:type="spellEnd"/>
      <w:r w:rsidRPr="00CF10BB">
        <w:rPr>
          <w:rFonts w:ascii="Verdana" w:eastAsia="Century Gothic" w:hAnsi="Verdana" w:cs="Century Gothic"/>
        </w:rPr>
        <w:t>. ¿Resulta jurídicamente procedente su aplicación en contratos de suministro dentro del régimen de contratación estatal?</w:t>
      </w:r>
    </w:p>
    <w:p w14:paraId="6A6A9F84" w14:textId="77777777" w:rsidR="0035417C" w:rsidRDefault="0035417C" w:rsidP="0035417C">
      <w:pPr>
        <w:spacing w:after="0" w:line="276" w:lineRule="auto"/>
        <w:jc w:val="both"/>
        <w:rPr>
          <w:rFonts w:ascii="Verdana" w:eastAsia="Century Gothic" w:hAnsi="Verdana" w:cs="Century Gothic"/>
        </w:rPr>
      </w:pPr>
    </w:p>
    <w:p w14:paraId="17768D2E" w14:textId="77777777" w:rsidR="0035417C" w:rsidRPr="00505CD6" w:rsidRDefault="0035417C" w:rsidP="0035417C">
      <w:pPr>
        <w:numPr>
          <w:ilvl w:val="0"/>
          <w:numId w:val="16"/>
        </w:numPr>
        <w:tabs>
          <w:tab w:val="left" w:pos="142"/>
          <w:tab w:val="left" w:pos="284"/>
        </w:tabs>
        <w:spacing w:after="0" w:line="276" w:lineRule="auto"/>
        <w:ind w:left="709"/>
        <w:jc w:val="both"/>
        <w:rPr>
          <w:rFonts w:ascii="Verdana" w:eastAsia="Century Gothic" w:hAnsi="Verdana" w:cs="Century Gothic"/>
          <w:b/>
          <w:bCs/>
          <w:lang w:val="es-ES"/>
        </w:rPr>
      </w:pPr>
      <w:r w:rsidRPr="00505CD6">
        <w:rPr>
          <w:rFonts w:ascii="Verdana" w:eastAsia="Century Gothic" w:hAnsi="Verdana" w:cs="Century Gothic"/>
          <w:b/>
          <w:bCs/>
          <w:lang w:val="es-ES"/>
        </w:rPr>
        <w:t>Respuesta:</w:t>
      </w:r>
    </w:p>
    <w:p w14:paraId="3A12EBB6" w14:textId="77777777" w:rsidR="0035417C" w:rsidRPr="00505CD6" w:rsidRDefault="0035417C" w:rsidP="0035417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5417C" w:rsidRPr="00505CD6" w14:paraId="0FC2848F" w14:textId="77777777" w:rsidTr="00884570">
        <w:trPr>
          <w:jc w:val="center"/>
        </w:trPr>
        <w:tc>
          <w:tcPr>
            <w:tcW w:w="8828" w:type="dxa"/>
          </w:tcPr>
          <w:p w14:paraId="02E98255" w14:textId="77777777" w:rsidR="0035417C" w:rsidRDefault="0035417C" w:rsidP="00884570">
            <w:pPr>
              <w:spacing w:line="276" w:lineRule="auto"/>
              <w:jc w:val="both"/>
              <w:rPr>
                <w:rFonts w:ascii="Verdana" w:hAnsi="Verdana" w:cs="Arial"/>
                <w:bCs/>
                <w:lang w:val="es-ES_tradnl"/>
              </w:rPr>
            </w:pPr>
            <w:bookmarkStart w:id="3" w:name="_Hlk171694685"/>
          </w:p>
          <w:p w14:paraId="5339A8DB" w14:textId="77777777" w:rsidR="0035417C" w:rsidRPr="00B82C59" w:rsidRDefault="0035417C" w:rsidP="00884570">
            <w:pPr>
              <w:spacing w:after="120" w:line="276" w:lineRule="auto"/>
              <w:ind w:firstLine="709"/>
              <w:jc w:val="both"/>
              <w:rPr>
                <w:rFonts w:ascii="Verdana" w:hAnsi="Verdana" w:cs="Arial"/>
                <w:bCs/>
                <w:lang w:val="es-ES_tradnl"/>
              </w:rPr>
            </w:pPr>
            <w:r>
              <w:rPr>
                <w:rFonts w:ascii="Verdana" w:hAnsi="Verdana" w:cs="Arial"/>
                <w:bCs/>
                <w:lang w:val="es-ES_tradnl"/>
              </w:rPr>
              <w:t>i. L</w:t>
            </w:r>
            <w:r w:rsidRPr="00371F29">
              <w:rPr>
                <w:rFonts w:ascii="Verdana" w:hAnsi="Verdana" w:cs="Arial"/>
                <w:bCs/>
                <w:lang w:val="es-ES_tradnl"/>
              </w:rPr>
              <w:t xml:space="preserve">o que el peticionario denomina como </w:t>
            </w:r>
            <w:r w:rsidRPr="004053C8">
              <w:rPr>
                <w:rFonts w:ascii="Verdana" w:hAnsi="Verdana" w:cs="Arial"/>
                <w:b/>
                <w:i/>
                <w:iCs/>
                <w:lang w:val="es-ES_tradnl"/>
              </w:rPr>
              <w:t>“</w:t>
            </w:r>
            <w:r>
              <w:rPr>
                <w:rFonts w:ascii="Verdana" w:hAnsi="Verdana" w:cs="Arial"/>
                <w:b/>
                <w:i/>
                <w:iCs/>
                <w:lang w:val="es-ES_tradnl"/>
              </w:rPr>
              <w:t>Adquirir</w:t>
            </w:r>
            <w:r w:rsidRPr="004053C8">
              <w:rPr>
                <w:rFonts w:ascii="Verdana" w:hAnsi="Verdana" w:cs="Arial"/>
                <w:b/>
                <w:i/>
                <w:iCs/>
                <w:lang w:val="es-ES_tradnl"/>
              </w:rPr>
              <w:t xml:space="preserve"> a precio unitario y monto agotable</w:t>
            </w:r>
            <w:r w:rsidRPr="008D11FB">
              <w:rPr>
                <w:rFonts w:ascii="Verdana" w:hAnsi="Verdana" w:cs="Arial"/>
                <w:b/>
                <w:i/>
                <w:iCs/>
                <w:lang w:val="es-ES_tradnl"/>
              </w:rPr>
              <w:t>”</w:t>
            </w:r>
            <w:r>
              <w:rPr>
                <w:rFonts w:ascii="Verdana" w:hAnsi="Verdana" w:cs="Arial"/>
                <w:b/>
                <w:i/>
                <w:iCs/>
                <w:lang w:val="es-ES_tradnl"/>
              </w:rPr>
              <w:t xml:space="preserve"> y “</w:t>
            </w:r>
            <w:r w:rsidRPr="001D0CFA">
              <w:rPr>
                <w:rFonts w:ascii="Verdana" w:hAnsi="Verdana" w:cs="Arial"/>
                <w:b/>
                <w:i/>
                <w:iCs/>
                <w:lang w:val="es-ES_tradnl"/>
              </w:rPr>
              <w:t>adquirir elementos de acuerdo con la necesidad y el presupuesto asignado</w:t>
            </w:r>
            <w:r>
              <w:rPr>
                <w:rFonts w:ascii="Verdana" w:hAnsi="Verdana" w:cs="Arial"/>
                <w:b/>
                <w:i/>
                <w:iCs/>
                <w:lang w:val="es-ES_tradnl"/>
              </w:rPr>
              <w:t>”</w:t>
            </w:r>
            <w:r w:rsidRPr="00371F29">
              <w:rPr>
                <w:rFonts w:ascii="Verdana" w:hAnsi="Verdana" w:cs="Arial"/>
                <w:bCs/>
                <w:i/>
                <w:iCs/>
                <w:lang w:val="es-ES_tradnl"/>
              </w:rPr>
              <w:t xml:space="preserve"> </w:t>
            </w:r>
            <w:r w:rsidRPr="00371F29">
              <w:rPr>
                <w:rFonts w:ascii="Verdana" w:hAnsi="Verdana" w:cs="Arial"/>
                <w:bCs/>
                <w:lang w:val="es-ES_tradnl"/>
              </w:rPr>
              <w:t>en realidad puede corresponder a un contrato de suministro</w:t>
            </w:r>
            <w:r>
              <w:rPr>
                <w:rFonts w:ascii="Verdana" w:hAnsi="Verdana" w:cs="Arial"/>
                <w:bCs/>
                <w:lang w:val="es-ES_tradnl"/>
              </w:rPr>
              <w:t xml:space="preserve">, el cual es un </w:t>
            </w:r>
            <w:r w:rsidRPr="00371F29">
              <w:rPr>
                <w:rFonts w:ascii="Verdana" w:hAnsi="Verdana" w:cs="Arial"/>
                <w:color w:val="000000" w:themeColor="text1"/>
              </w:rPr>
              <w:t>contrato típico que pueden utilizar las entidades estatales para satisfacer necesidades</w:t>
            </w:r>
            <w:r>
              <w:rPr>
                <w:rFonts w:ascii="Verdana" w:hAnsi="Verdana" w:cs="Arial"/>
                <w:color w:val="000000" w:themeColor="text1"/>
              </w:rPr>
              <w:t xml:space="preserve">, </w:t>
            </w:r>
            <w:r w:rsidRPr="00371F29">
              <w:rPr>
                <w:rFonts w:ascii="Verdana" w:hAnsi="Verdana" w:cs="Arial"/>
                <w:bCs/>
                <w:lang w:val="es-ES_tradnl"/>
              </w:rPr>
              <w:t xml:space="preserve">donde se pacta el pago de la contraprestación a precios unitarios, conforme a unos valores asignados, que son objeto del negocio y que se entregan a la entidad, durante el plazo de </w:t>
            </w:r>
            <w:r w:rsidRPr="00371F29">
              <w:rPr>
                <w:rFonts w:ascii="Verdana" w:hAnsi="Verdana" w:cs="Arial"/>
                <w:bCs/>
                <w:lang w:val="es-ES_tradnl"/>
              </w:rPr>
              <w:lastRenderedPageBreak/>
              <w:t xml:space="preserve">ejecución del contrato, sin exceder el valor o presupuesto oficial asignado por la entidad contratante para el efecto. </w:t>
            </w:r>
          </w:p>
          <w:p w14:paraId="660FB951" w14:textId="77777777" w:rsidR="0035417C" w:rsidRPr="00371F29" w:rsidRDefault="0035417C" w:rsidP="00884570">
            <w:pPr>
              <w:spacing w:after="120" w:line="276" w:lineRule="auto"/>
              <w:ind w:firstLine="709"/>
              <w:jc w:val="both"/>
              <w:rPr>
                <w:rFonts w:ascii="Verdana" w:hAnsi="Verdana" w:cs="Arial"/>
                <w:bCs/>
                <w:lang w:val="es-ES_tradnl"/>
              </w:rPr>
            </w:pPr>
            <w:r>
              <w:rPr>
                <w:rFonts w:ascii="Verdana" w:hAnsi="Verdana" w:cs="Arial"/>
                <w:bCs/>
                <w:lang w:val="es-ES_tradnl"/>
              </w:rPr>
              <w:t>E</w:t>
            </w:r>
            <w:r w:rsidRPr="00371F29">
              <w:rPr>
                <w:rFonts w:ascii="Verdana" w:hAnsi="Verdana" w:cs="Arial"/>
                <w:bCs/>
                <w:lang w:val="es-ES_tradnl"/>
              </w:rPr>
              <w:t>n vista de que la figura del “</w:t>
            </w:r>
            <w:r w:rsidRPr="007132D8">
              <w:rPr>
                <w:rFonts w:ascii="Verdana" w:hAnsi="Verdana" w:cs="Arial"/>
                <w:bCs/>
                <w:lang w:val="es-ES_tradnl"/>
              </w:rPr>
              <w:t>contrato a precio unitario y por monto agotable</w:t>
            </w:r>
            <w:r w:rsidRPr="00371F29">
              <w:rPr>
                <w:rFonts w:ascii="Verdana" w:hAnsi="Verdana" w:cs="Arial"/>
                <w:bCs/>
                <w:lang w:val="es-ES_tradnl"/>
              </w:rPr>
              <w:t xml:space="preserve">” no existe en las leyes civiles y comerciales ni en el EGCAP como una figura contractual típica ni atípica. En este contexto, se encuentra más relacionada con el establecimiento de la forma de pago. Como explica la doctrina, existen </w:t>
            </w:r>
            <w:r w:rsidRPr="00371F29">
              <w:rPr>
                <w:rFonts w:ascii="Verdana" w:hAnsi="Verdana" w:cs="Arial"/>
                <w:bCs/>
                <w:i/>
                <w:iCs/>
                <w:lang w:val="es-ES_tradnl"/>
              </w:rPr>
              <w:t>contratos de suministro</w:t>
            </w:r>
            <w:r w:rsidRPr="00371F29">
              <w:rPr>
                <w:rFonts w:ascii="Verdana" w:hAnsi="Verdana" w:cs="Arial"/>
                <w:bCs/>
                <w:lang w:val="es-ES_tradnl"/>
              </w:rPr>
              <w:t xml:space="preserve"> donde el contratista se obliga a entregar los bienes por un precio unitario, sin que la cuantía se defina exactamente al tiempo de celebrar el contrato, ya que las entregas estas subordinadas a las necesidades de la entidad:</w:t>
            </w:r>
          </w:p>
          <w:p w14:paraId="04454E84" w14:textId="77777777" w:rsidR="0035417C" w:rsidRPr="00371F29" w:rsidRDefault="0035417C" w:rsidP="00884570">
            <w:pPr>
              <w:spacing w:line="276" w:lineRule="auto"/>
              <w:ind w:firstLine="708"/>
              <w:jc w:val="both"/>
              <w:rPr>
                <w:rFonts w:ascii="Verdana" w:hAnsi="Verdana" w:cs="Arial"/>
                <w:bCs/>
                <w:lang w:val="es-ES_tradnl"/>
              </w:rPr>
            </w:pPr>
          </w:p>
          <w:p w14:paraId="71E1DB9E" w14:textId="77777777" w:rsidR="0035417C" w:rsidRPr="00371F29" w:rsidRDefault="0035417C" w:rsidP="00884570">
            <w:pPr>
              <w:ind w:left="709" w:right="709"/>
              <w:jc w:val="both"/>
              <w:rPr>
                <w:rFonts w:ascii="Verdana" w:hAnsi="Verdana" w:cs="Arial"/>
                <w:bCs/>
                <w:sz w:val="20"/>
                <w:szCs w:val="20"/>
                <w:lang w:val="es-ES_tradnl"/>
              </w:rPr>
            </w:pPr>
            <w:r w:rsidRPr="00371F29">
              <w:rPr>
                <w:rFonts w:ascii="Verdana" w:hAnsi="Verdana" w:cs="Arial"/>
                <w:bCs/>
                <w:sz w:val="20"/>
                <w:szCs w:val="20"/>
                <w:lang w:val="es-ES_tradnl"/>
              </w:rPr>
              <w:t>“Esta modalidad de suministro, conocida como contrato de suministro de tracto sucesivo por precio unitario, se caracteriza por la indeterminación relativa del objeto del contrato y, por lo tanto, del precio, ya que están identificados el producto a suministrar y el precio unitario del mismo, pero no el número de unidades que deberán entregarse a la entidad contratante al amparo del contrato, lo que implica que no se conozca con exactitud, tampoco, el precio global que deberá abonarse al contratista.</w:t>
            </w:r>
          </w:p>
          <w:p w14:paraId="00B3290C" w14:textId="77777777" w:rsidR="0035417C" w:rsidRPr="00371F29" w:rsidRDefault="0035417C" w:rsidP="00884570">
            <w:pPr>
              <w:spacing w:after="120"/>
              <w:ind w:left="709" w:right="709"/>
              <w:jc w:val="both"/>
              <w:rPr>
                <w:rFonts w:ascii="Verdana" w:hAnsi="Verdana" w:cs="Arial"/>
                <w:bCs/>
                <w:sz w:val="20"/>
                <w:szCs w:val="20"/>
                <w:lang w:val="es-ES_tradnl"/>
              </w:rPr>
            </w:pPr>
            <w:r w:rsidRPr="00371F29">
              <w:rPr>
                <w:rFonts w:ascii="Verdana" w:hAnsi="Verdana" w:cs="Arial"/>
                <w:bCs/>
                <w:sz w:val="20"/>
                <w:szCs w:val="20"/>
                <w:lang w:val="es-ES_tradnl"/>
              </w:rPr>
              <w:t>[…]</w:t>
            </w:r>
          </w:p>
          <w:p w14:paraId="743A7385" w14:textId="77777777" w:rsidR="0035417C" w:rsidRDefault="0035417C" w:rsidP="00884570">
            <w:pPr>
              <w:ind w:left="709" w:right="709"/>
              <w:jc w:val="both"/>
              <w:rPr>
                <w:rFonts w:ascii="Verdana" w:hAnsi="Verdana" w:cs="Arial"/>
                <w:bCs/>
                <w:sz w:val="20"/>
                <w:szCs w:val="20"/>
                <w:lang w:val="es-ES_tradnl"/>
              </w:rPr>
            </w:pPr>
            <w:r w:rsidRPr="00371F29">
              <w:rPr>
                <w:rFonts w:ascii="Verdana" w:hAnsi="Verdana" w:cs="Arial"/>
                <w:bCs/>
                <w:i/>
                <w:iCs/>
                <w:sz w:val="20"/>
                <w:szCs w:val="20"/>
                <w:lang w:val="es-ES_tradnl"/>
              </w:rPr>
              <w:t>En este tipo de contratos debe existir un presupuesto limitativo, establecido con el carácter del máximo, y debe preverse la posibilidad de que el objeto del contrato, y por ende el presupuesto máximo, se modifiquen en caso de que la entidad contratante necesite de un mayor número de unidades de producto de las inicialmente estimadas</w:t>
            </w:r>
            <w:r w:rsidRPr="00371F29">
              <w:rPr>
                <w:rFonts w:ascii="Verdana" w:hAnsi="Verdana" w:cs="Arial"/>
                <w:bCs/>
                <w:sz w:val="20"/>
                <w:szCs w:val="20"/>
                <w:lang w:val="es-ES_tradnl"/>
              </w:rPr>
              <w:t xml:space="preserve"> […] Es muy importante destacar que por vía de modificación del contrato no pueden establecerse nuevos precios unitarios no previstos inicialmente, por lo que […] se trata de prever la ampliación del número de unidades a suministrar, manteniéndose el precio unitario pactado originalmente”</w:t>
            </w:r>
            <w:r w:rsidRPr="00371F29">
              <w:rPr>
                <w:rStyle w:val="Refdenotaalpie"/>
                <w:rFonts w:ascii="Verdana" w:hAnsi="Verdana" w:cs="Arial"/>
                <w:bCs/>
                <w:sz w:val="20"/>
                <w:szCs w:val="20"/>
                <w:lang w:val="es-ES_tradnl"/>
              </w:rPr>
              <w:footnoteReference w:id="1"/>
            </w:r>
            <w:r w:rsidRPr="00371F29">
              <w:rPr>
                <w:rFonts w:ascii="Verdana" w:hAnsi="Verdana" w:cs="Arial"/>
                <w:bCs/>
                <w:sz w:val="20"/>
                <w:szCs w:val="20"/>
                <w:lang w:val="es-ES_tradnl"/>
              </w:rPr>
              <w:t>. (Énfasis fuera de texto)</w:t>
            </w:r>
            <w:r>
              <w:rPr>
                <w:rFonts w:ascii="Verdana" w:hAnsi="Verdana" w:cs="Arial"/>
                <w:bCs/>
                <w:sz w:val="20"/>
                <w:szCs w:val="20"/>
                <w:lang w:val="es-ES_tradnl"/>
              </w:rPr>
              <w:t>.</w:t>
            </w:r>
          </w:p>
          <w:p w14:paraId="016E9E12" w14:textId="77777777" w:rsidR="0035417C" w:rsidRDefault="0035417C" w:rsidP="00884570">
            <w:pPr>
              <w:ind w:left="709" w:right="709"/>
              <w:jc w:val="both"/>
              <w:rPr>
                <w:rFonts w:ascii="Verdana" w:hAnsi="Verdana" w:cs="Arial"/>
                <w:bCs/>
                <w:sz w:val="20"/>
                <w:szCs w:val="20"/>
                <w:lang w:val="es-ES_tradnl"/>
              </w:rPr>
            </w:pPr>
          </w:p>
          <w:p w14:paraId="0BB2D502" w14:textId="77777777" w:rsidR="0035417C" w:rsidRPr="007F79F7" w:rsidRDefault="0035417C" w:rsidP="00884570">
            <w:pPr>
              <w:spacing w:after="120" w:line="276" w:lineRule="auto"/>
              <w:ind w:firstLine="709"/>
              <w:jc w:val="both"/>
              <w:rPr>
                <w:rFonts w:ascii="Verdana" w:hAnsi="Verdana" w:cs="Arial"/>
                <w:bCs/>
              </w:rPr>
            </w:pPr>
            <w:r w:rsidRPr="00371F29">
              <w:rPr>
                <w:rFonts w:ascii="Verdana" w:hAnsi="Verdana" w:cs="Arial"/>
                <w:bCs/>
                <w:lang w:val="es-ES_tradnl"/>
              </w:rPr>
              <w:t xml:space="preserve">De acuerdo con la explicación precedente, el denominado “contrato por monto agotable” no es una forma de contratación típica ni atípica en el ordenamiento colombiano, pues –aunque no esté expresamente regulado– </w:t>
            </w:r>
            <w:r w:rsidRPr="00371F29">
              <w:rPr>
                <w:rFonts w:ascii="Verdana" w:hAnsi="Verdana" w:cs="Arial"/>
                <w:bCs/>
                <w:lang w:val="es-ES_tradnl"/>
              </w:rPr>
              <w:lastRenderedPageBreak/>
              <w:t>corresponde una las formas en que puede pactarse el pago en los contratos a precios unitarios. Si bien es usual en algunos contratos de obra y suministro, nada obsta para que –de acuerdo con los estudios previos– se incluya en otras tipologías contractuales cuando la Administración lo estime conveniente y necesario, pues “</w:t>
            </w:r>
            <w:r w:rsidRPr="00371F29">
              <w:rPr>
                <w:rFonts w:ascii="Verdana" w:hAnsi="Verdana" w:cs="Arial"/>
                <w:bCs/>
              </w:rPr>
              <w:t>Las entidades podrán celebrar los contratos y acuerdos que permitan la autonomía de la voluntad y requieran el cumplimiento de los fines estatales” y, por tanto, “En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r w:rsidRPr="00371F29">
              <w:rPr>
                <w:rFonts w:ascii="Verdana" w:hAnsi="Verdana" w:cs="Arial"/>
                <w:bCs/>
                <w:lang w:val="es-ES_tradnl"/>
              </w:rPr>
              <w:t>artículo 40 de la Ley 80 de 1993)</w:t>
            </w:r>
            <w:r w:rsidRPr="00371F29">
              <w:rPr>
                <w:rFonts w:ascii="Verdana" w:hAnsi="Verdana" w:cs="Arial"/>
                <w:bCs/>
              </w:rPr>
              <w:t xml:space="preserve">. </w:t>
            </w:r>
          </w:p>
          <w:p w14:paraId="66A2779B" w14:textId="77777777" w:rsidR="0035417C" w:rsidRPr="00371F29" w:rsidRDefault="0035417C" w:rsidP="00884570">
            <w:pPr>
              <w:ind w:left="709" w:right="709"/>
              <w:jc w:val="both"/>
              <w:rPr>
                <w:rFonts w:ascii="Verdana" w:hAnsi="Verdana" w:cs="Arial"/>
                <w:bCs/>
                <w:lang w:val="es-ES_tradnl"/>
              </w:rPr>
            </w:pPr>
            <w:r w:rsidRPr="00371F29">
              <w:rPr>
                <w:rFonts w:ascii="Verdana" w:hAnsi="Verdana" w:cs="Arial"/>
                <w:bCs/>
                <w:sz w:val="20"/>
                <w:szCs w:val="20"/>
                <w:lang w:val="es-ES_tradnl"/>
              </w:rPr>
              <w:t xml:space="preserve">       </w:t>
            </w:r>
          </w:p>
          <w:p w14:paraId="01D35E66" w14:textId="77777777" w:rsidR="0035417C" w:rsidRPr="00371F29" w:rsidRDefault="0035417C" w:rsidP="00884570">
            <w:pPr>
              <w:spacing w:after="120" w:line="276" w:lineRule="auto"/>
              <w:ind w:firstLine="709"/>
              <w:jc w:val="both"/>
              <w:rPr>
                <w:rFonts w:ascii="Verdana" w:hAnsi="Verdana" w:cs="Arial"/>
                <w:lang w:val="es-ES"/>
              </w:rPr>
            </w:pPr>
            <w:proofErr w:type="spellStart"/>
            <w:r w:rsidRPr="4CB833AE">
              <w:rPr>
                <w:rFonts w:ascii="Verdana" w:hAnsi="Verdana" w:cs="Arial"/>
                <w:lang w:val="es-ES"/>
              </w:rPr>
              <w:t>ii</w:t>
            </w:r>
            <w:proofErr w:type="spellEnd"/>
            <w:r w:rsidRPr="4CB833AE">
              <w:rPr>
                <w:rFonts w:ascii="Verdana" w:hAnsi="Verdana" w:cs="Arial"/>
                <w:lang w:val="es-ES"/>
              </w:rPr>
              <w:t xml:space="preserve">. 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   </w:t>
            </w:r>
          </w:p>
          <w:p w14:paraId="24D92C33" w14:textId="77777777" w:rsidR="0035417C" w:rsidRPr="00CE2CA8" w:rsidRDefault="0035417C" w:rsidP="00884570">
            <w:pPr>
              <w:spacing w:after="120" w:line="276" w:lineRule="auto"/>
              <w:ind w:firstLine="709"/>
              <w:jc w:val="both"/>
              <w:rPr>
                <w:rFonts w:ascii="Verdana" w:eastAsia="Calibri" w:hAnsi="Verdana" w:cs="Times New Roman"/>
              </w:rPr>
            </w:pPr>
            <w:r>
              <w:rPr>
                <w:rFonts w:ascii="Verdana" w:eastAsia="Calibri" w:hAnsi="Verdana" w:cs="Times New Roman"/>
                <w:lang w:val="es-ES"/>
              </w:rPr>
              <w:t xml:space="preserve">    Finalmente, es de precisar que el análisis</w:t>
            </w:r>
            <w:r w:rsidRPr="00DB4737">
              <w:rPr>
                <w:rFonts w:ascii="Verdana" w:eastAsia="Calibri" w:hAnsi="Verdana" w:cs="Times New Roman"/>
                <w:lang w:val="es-ES"/>
              </w:rPr>
              <w:t xml:space="preserve"> para resolver problemas específicos en </w:t>
            </w:r>
            <w:r w:rsidRPr="00EB77EF">
              <w:rPr>
                <w:rFonts w:ascii="Verdana" w:eastAsia="Calibri" w:hAnsi="Verdana" w:cs="Times New Roman"/>
                <w:lang w:val="es-ES"/>
              </w:rPr>
              <w:t xml:space="preserve">torno a </w:t>
            </w:r>
            <w:r w:rsidRPr="00EB77EF">
              <w:rPr>
                <w:rFonts w:ascii="Verdana" w:eastAsia="Century Gothic" w:hAnsi="Verdana" w:cs="Century Gothic"/>
              </w:rPr>
              <w:t>los</w:t>
            </w:r>
            <w:r w:rsidRPr="00C17F27">
              <w:rPr>
                <w:rFonts w:ascii="Verdana" w:eastAsia="Century Gothic" w:hAnsi="Verdana" w:cs="Century Gothic"/>
              </w:rPr>
              <w:t xml:space="preserve"> procesos de contratación</w:t>
            </w:r>
            <w:r>
              <w:rPr>
                <w:rFonts w:ascii="Verdana" w:eastAsia="Century Gothic" w:hAnsi="Verdana" w:cs="Century Gothic"/>
              </w:rPr>
              <w:t>, así como la estructuración de la forma de pago</w:t>
            </w:r>
            <w:r w:rsidRPr="00C17F27">
              <w:rPr>
                <w:rFonts w:ascii="Verdana" w:eastAsia="Century Gothic" w:hAnsi="Verdana" w:cs="Century Gothic"/>
              </w:rPr>
              <w:t xml:space="preserve"> bajo la modalidad de monto agotable</w:t>
            </w:r>
            <w:r>
              <w:rPr>
                <w:rFonts w:ascii="Verdana" w:eastAsia="Century Gothic" w:hAnsi="Verdana" w:cs="Century Gothic"/>
              </w:rPr>
              <w:t>,</w:t>
            </w:r>
            <w:r w:rsidRPr="00C17F27">
              <w:rPr>
                <w:rFonts w:ascii="Verdana" w:eastAsia="Century Gothic" w:hAnsi="Verdana" w:cs="Century Gothic"/>
              </w:rPr>
              <w:t xml:space="preserve"> </w:t>
            </w:r>
            <w:r w:rsidRPr="00DB4737">
              <w:rPr>
                <w:rFonts w:ascii="Verdana" w:eastAsia="Calibri" w:hAnsi="Verdana" w:cs="Times New Roman"/>
                <w:lang w:val="es-ES"/>
              </w:rPr>
              <w:t xml:space="preserve">debe ser realizado por quienes tengan interés en ello. De esta forma, las afirmaciones aquí </w:t>
            </w:r>
            <w:r w:rsidRPr="00DB4737">
              <w:rPr>
                <w:rFonts w:ascii="Verdana" w:eastAsia="Calibri" w:hAnsi="Verdana" w:cs="Times New Roman"/>
                <w:lang w:val="es-ES"/>
              </w:rPr>
              <w:lastRenderedPageBreak/>
              <w:t>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A815C66" w14:textId="77777777" w:rsidR="0035417C" w:rsidRPr="00505CD6" w:rsidRDefault="0035417C" w:rsidP="00884570">
            <w:pPr>
              <w:spacing w:line="276" w:lineRule="auto"/>
              <w:contextualSpacing/>
              <w:jc w:val="both"/>
              <w:rPr>
                <w:rFonts w:ascii="Verdana" w:eastAsia="Calibri" w:hAnsi="Verdana" w:cs="Arial"/>
                <w:color w:val="000000"/>
                <w:lang w:val="es-MX"/>
              </w:rPr>
            </w:pPr>
            <w:r>
              <w:rPr>
                <w:rFonts w:ascii="Verdana" w:eastAsia="Calibri" w:hAnsi="Verdana" w:cs="Times New Roman"/>
                <w:lang w:val="es-ES"/>
              </w:rPr>
              <w:t xml:space="preserve">        </w:t>
            </w:r>
          </w:p>
        </w:tc>
      </w:tr>
    </w:tbl>
    <w:p w14:paraId="34640AB6" w14:textId="77777777" w:rsidR="0035417C" w:rsidRDefault="0035417C" w:rsidP="0035417C">
      <w:pPr>
        <w:tabs>
          <w:tab w:val="left" w:pos="142"/>
          <w:tab w:val="left" w:pos="284"/>
        </w:tabs>
        <w:spacing w:after="0" w:line="276" w:lineRule="auto"/>
        <w:jc w:val="both"/>
        <w:rPr>
          <w:rFonts w:ascii="Verdana" w:eastAsia="Century Gothic" w:hAnsi="Verdana" w:cs="Century Gothic"/>
          <w:b/>
          <w:bCs/>
          <w:lang w:val="es-ES"/>
        </w:rPr>
      </w:pPr>
    </w:p>
    <w:bookmarkEnd w:id="3"/>
    <w:p w14:paraId="7CFBBAC2" w14:textId="77777777" w:rsidR="0035417C" w:rsidRPr="00505CD6" w:rsidRDefault="0035417C" w:rsidP="0035417C">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505CD6">
        <w:rPr>
          <w:rFonts w:ascii="Verdana" w:eastAsia="Century Gothic" w:hAnsi="Verdana" w:cs="Century Gothic"/>
          <w:b/>
          <w:bCs/>
          <w:lang w:val="es-ES"/>
        </w:rPr>
        <w:t>Razones de la respuesta:</w:t>
      </w:r>
    </w:p>
    <w:p w14:paraId="6038B217" w14:textId="77777777" w:rsidR="0035417C" w:rsidRPr="001B1E8B" w:rsidRDefault="0035417C" w:rsidP="0035417C">
      <w:pPr>
        <w:spacing w:after="0" w:line="276" w:lineRule="auto"/>
        <w:jc w:val="both"/>
        <w:rPr>
          <w:rFonts w:ascii="Verdana" w:eastAsia="Calibri" w:hAnsi="Verdana" w:cs="Arial"/>
          <w:color w:val="7030A0"/>
          <w:lang w:val="es-ES"/>
        </w:rPr>
      </w:pPr>
    </w:p>
    <w:p w14:paraId="7A1501E1" w14:textId="77777777" w:rsidR="0035417C" w:rsidRDefault="0035417C" w:rsidP="0035417C">
      <w:pPr>
        <w:spacing w:after="120" w:line="276" w:lineRule="auto"/>
        <w:ind w:firstLine="568"/>
        <w:jc w:val="both"/>
        <w:rPr>
          <w:rFonts w:ascii="Verdana" w:hAnsi="Verdana" w:cs="Arial"/>
          <w:bCs/>
        </w:rPr>
      </w:pPr>
      <w:r>
        <w:rPr>
          <w:rFonts w:ascii="Verdana" w:hAnsi="Verdana" w:cs="Arial"/>
          <w:bCs/>
          <w:lang w:eastAsia="es-ES_tradnl"/>
        </w:rPr>
        <w:t>i. E</w:t>
      </w:r>
      <w:r w:rsidRPr="00371F29">
        <w:rPr>
          <w:rFonts w:ascii="Verdana" w:eastAsia="Calibri" w:hAnsi="Verdana" w:cs="Arial"/>
          <w:lang w:val="es-MX"/>
        </w:rPr>
        <w:t xml:space="preserve">n la etapa precontractual de la contratación estatal, cuando la Administración está elaborando los estudios previos, para lograr con éxito el proceso de contratación que requiere para satisfacer una necesidad de bienes, obras o servicios con la finalidad de cumplir los cometidos estatales, debe analizarse, según el objeto a contratar, cuál es el tipo de contrato, las obligaciones y prestaciones a pactar que mejor satisfagan los intereses de la Administración como entidad contratante. </w:t>
      </w:r>
      <w:r w:rsidRPr="00371F29">
        <w:rPr>
          <w:rFonts w:ascii="Verdana" w:hAnsi="Verdana" w:cs="Arial"/>
          <w:bCs/>
        </w:rPr>
        <w:t>Es así como, por ejemplo, 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w:t>
      </w:r>
    </w:p>
    <w:p w14:paraId="12F619AA" w14:textId="77777777" w:rsidR="0035417C" w:rsidRPr="00794C2C" w:rsidRDefault="0035417C" w:rsidP="0035417C">
      <w:pPr>
        <w:pStyle w:val="Textoindependiente"/>
        <w:spacing w:line="276" w:lineRule="auto"/>
        <w:ind w:right="204" w:firstLine="708"/>
        <w:jc w:val="both"/>
        <w:rPr>
          <w:rFonts w:ascii="Verdana" w:hAnsi="Verdana"/>
          <w:sz w:val="20"/>
        </w:rPr>
      </w:pPr>
      <w:r w:rsidRPr="00794C2C">
        <w:rPr>
          <w:rFonts w:ascii="Verdana" w:eastAsia="Calibri" w:hAnsi="Verdana"/>
          <w:lang w:val="es-MX"/>
        </w:rPr>
        <w:t>Ahora bien, El precio es el “valor pecuniario en que se estima algo”</w:t>
      </w:r>
      <w:r w:rsidRPr="00794C2C">
        <w:rPr>
          <w:rStyle w:val="Refdenotaalpie"/>
          <w:rFonts w:ascii="Verdana" w:eastAsia="Calibri" w:hAnsi="Verdana"/>
          <w:lang w:val="es-MX"/>
        </w:rPr>
        <w:footnoteReference w:id="2"/>
      </w:r>
      <w:r w:rsidRPr="00794C2C">
        <w:rPr>
          <w:rFonts w:ascii="Verdana" w:eastAsia="Calibri" w:hAnsi="Verdana"/>
          <w:lang w:val="es-MX"/>
        </w:rPr>
        <w:t>. En nuestro ordenamiento jurídico, tenemos una definición de precio en el Código Civil y en el Código de Comercio. Ambas codificaciones, al regular el contrato de compraventa, definen el precio como el dinero que el comprador entrega a cambio de la cosa vendida:</w:t>
      </w:r>
    </w:p>
    <w:p w14:paraId="06434B3B" w14:textId="77777777" w:rsidR="0035417C" w:rsidRPr="00794C2C" w:rsidRDefault="0035417C" w:rsidP="0035417C">
      <w:pPr>
        <w:spacing w:after="0"/>
        <w:jc w:val="both"/>
        <w:rPr>
          <w:rFonts w:ascii="Verdana" w:eastAsia="Calibri" w:hAnsi="Verdana" w:cs="Arial"/>
          <w:lang w:val="es-MX"/>
        </w:rPr>
      </w:pPr>
      <w:r w:rsidRPr="00794C2C">
        <w:rPr>
          <w:rFonts w:ascii="Verdana" w:eastAsia="Calibri" w:hAnsi="Verdana" w:cs="Arial"/>
          <w:lang w:val="es-MX"/>
        </w:rPr>
        <w:t xml:space="preserve"> </w:t>
      </w:r>
    </w:p>
    <w:p w14:paraId="5EA9B9F3" w14:textId="77777777" w:rsidR="0035417C" w:rsidRPr="00794C2C" w:rsidRDefault="0035417C" w:rsidP="0035417C">
      <w:pPr>
        <w:spacing w:after="12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4" w:name="_Hlk204013098"/>
      <w:r w:rsidRPr="00794C2C">
        <w:rPr>
          <w:rFonts w:ascii="Verdana" w:eastAsia="Calibri" w:hAnsi="Verdana" w:cs="Arial"/>
          <w:sz w:val="21"/>
          <w:szCs w:val="21"/>
          <w:lang w:val="es-MX"/>
        </w:rPr>
        <w:t>Artículo 1849 del Código Civil</w:t>
      </w:r>
      <w:bookmarkEnd w:id="4"/>
      <w:r w:rsidRPr="00794C2C">
        <w:rPr>
          <w:rFonts w:ascii="Verdana" w:eastAsia="Calibri" w:hAnsi="Verdana" w:cs="Arial"/>
          <w:sz w:val="21"/>
          <w:szCs w:val="21"/>
          <w:lang w:val="es-MX"/>
        </w:rPr>
        <w:t>]: La compraventa es un contrato en que una de las partes se obliga a dar una cosa y la otra a pagarla en dinero. Aquella se dice vender y esta comprar. El dinero que el comprador da por la cosa vendida se llama precio.</w:t>
      </w:r>
    </w:p>
    <w:p w14:paraId="304F7CDD" w14:textId="77777777" w:rsidR="0035417C" w:rsidRPr="00794C2C" w:rsidRDefault="0035417C" w:rsidP="0035417C">
      <w:pPr>
        <w:spacing w:after="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5" w:name="_Hlk204013106"/>
      <w:r w:rsidRPr="00794C2C">
        <w:rPr>
          <w:rFonts w:ascii="Verdana" w:eastAsia="Calibri" w:hAnsi="Verdana" w:cs="Arial"/>
          <w:sz w:val="21"/>
          <w:szCs w:val="21"/>
          <w:lang w:val="es-MX"/>
        </w:rPr>
        <w:t>Artículo 905 del Código de Comercio</w:t>
      </w:r>
      <w:bookmarkEnd w:id="5"/>
      <w:r w:rsidRPr="00794C2C">
        <w:rPr>
          <w:rFonts w:ascii="Verdana" w:eastAsia="Calibri" w:hAnsi="Verdana" w:cs="Arial"/>
          <w:sz w:val="21"/>
          <w:szCs w:val="21"/>
          <w:lang w:val="es-MX"/>
        </w:rPr>
        <w:t xml:space="preserve">]: La compraventa es un contrato en que una de las partes se obliga a trasmitir la propiedad de una cosa </w:t>
      </w:r>
      <w:r w:rsidRPr="00794C2C">
        <w:rPr>
          <w:rFonts w:ascii="Verdana" w:eastAsia="Calibri" w:hAnsi="Verdana" w:cs="Arial"/>
          <w:sz w:val="21"/>
          <w:szCs w:val="21"/>
          <w:lang w:val="es-MX"/>
        </w:rPr>
        <w:lastRenderedPageBreak/>
        <w:t>y la otra a pagarla en dinero. El dinero que el comprador da por la cosa vendida se llama precio”.</w:t>
      </w:r>
    </w:p>
    <w:p w14:paraId="7475FF1A" w14:textId="77777777" w:rsidR="0035417C" w:rsidRPr="00794C2C" w:rsidRDefault="0035417C" w:rsidP="0035417C">
      <w:pPr>
        <w:spacing w:after="120" w:line="276" w:lineRule="auto"/>
        <w:jc w:val="both"/>
        <w:rPr>
          <w:rFonts w:ascii="Verdana" w:hAnsi="Verdana" w:cs="Arial"/>
          <w:bCs/>
          <w:lang w:val="es-ES_tradnl"/>
        </w:rPr>
      </w:pPr>
      <w:bookmarkStart w:id="6" w:name="_Hlk131175734"/>
    </w:p>
    <w:p w14:paraId="6DC879F6" w14:textId="77777777" w:rsidR="0035417C" w:rsidRPr="00794C2C" w:rsidRDefault="0035417C" w:rsidP="0035417C">
      <w:pPr>
        <w:spacing w:after="120" w:line="276" w:lineRule="auto"/>
        <w:ind w:firstLine="708"/>
        <w:jc w:val="both"/>
        <w:rPr>
          <w:rFonts w:ascii="Verdana" w:hAnsi="Verdana" w:cs="Arial"/>
          <w:bCs/>
          <w:lang w:val="es-ES_tradnl"/>
        </w:rPr>
      </w:pPr>
      <w:r w:rsidRPr="00794C2C">
        <w:rPr>
          <w:rFonts w:ascii="Verdana" w:hAnsi="Verdana" w:cs="Arial"/>
          <w:bCs/>
          <w:lang w:val="es-ES_tradnl"/>
        </w:rPr>
        <w:t>Como es sabido, uno de los elementos de los contratos estatales es el precio,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w:t>
      </w:r>
      <w:r w:rsidRPr="00794C2C">
        <w:rPr>
          <w:rStyle w:val="Refdenotaalpie"/>
          <w:rFonts w:ascii="Verdana" w:hAnsi="Verdana" w:cs="Arial"/>
          <w:bCs/>
          <w:lang w:val="es-ES_tradnl"/>
        </w:rPr>
        <w:footnoteReference w:id="3"/>
      </w:r>
      <w:r w:rsidRPr="00794C2C">
        <w:rPr>
          <w:rFonts w:ascii="Verdana" w:hAnsi="Verdana" w:cs="Arial"/>
          <w:bCs/>
          <w:lang w:val="es-ES_tradnl"/>
        </w:rPr>
        <w:t>.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Pr="00794C2C">
        <w:rPr>
          <w:rStyle w:val="Refdenotaalpie"/>
          <w:rFonts w:ascii="Verdana" w:hAnsi="Verdana" w:cs="Arial"/>
          <w:bCs/>
          <w:lang w:val="es-ES_tradnl"/>
        </w:rPr>
        <w:footnoteReference w:id="4"/>
      </w:r>
      <w:r w:rsidRPr="00794C2C">
        <w:rPr>
          <w:rFonts w:ascii="Verdana" w:hAnsi="Verdana" w:cs="Arial"/>
          <w:bCs/>
          <w:lang w:val="es-ES_tradnl"/>
        </w:rPr>
        <w:t>, en los términos de los artículos 1864 y 1865 del Código Civil y, de manera general está compuesto por dos elementos esenciales: los costos y la utilidad, cuya estructuración interna depende de las condiciones técnicas, financieras, regulatorias, etc. de cada contrato</w:t>
      </w:r>
      <w:r w:rsidRPr="00794C2C">
        <w:rPr>
          <w:rStyle w:val="Refdenotaalpie"/>
          <w:rFonts w:ascii="Verdana" w:hAnsi="Verdana" w:cs="Arial"/>
          <w:bCs/>
          <w:lang w:val="es-ES_tradnl"/>
        </w:rPr>
        <w:footnoteReference w:id="5"/>
      </w:r>
      <w:r w:rsidRPr="00794C2C">
        <w:rPr>
          <w:rFonts w:ascii="Verdana" w:hAnsi="Verdana" w:cs="Arial"/>
          <w:bCs/>
          <w:lang w:val="es-ES_tradnl"/>
        </w:rPr>
        <w:t>.</w:t>
      </w:r>
      <w:bookmarkStart w:id="8" w:name="_Hlk131175799"/>
      <w:bookmarkEnd w:id="6"/>
    </w:p>
    <w:p w14:paraId="3EFBB366" w14:textId="77777777" w:rsidR="0035417C" w:rsidRPr="00794C2C" w:rsidRDefault="0035417C" w:rsidP="0035417C">
      <w:pPr>
        <w:spacing w:after="120" w:line="276" w:lineRule="auto"/>
        <w:ind w:firstLine="709"/>
        <w:jc w:val="both"/>
        <w:rPr>
          <w:rFonts w:ascii="Verdana" w:hAnsi="Verdana" w:cs="Arial"/>
          <w:bCs/>
          <w:lang w:val="es-ES"/>
        </w:rPr>
      </w:pPr>
      <w:r w:rsidRPr="00794C2C">
        <w:rPr>
          <w:rFonts w:ascii="Verdana" w:hAnsi="Verdana" w:cs="Arial"/>
          <w:lang w:val="es-ES"/>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w:t>
      </w:r>
      <w:r w:rsidRPr="00794C2C">
        <w:rPr>
          <w:rFonts w:ascii="Verdana" w:hAnsi="Verdana" w:cs="Arial"/>
          <w:lang w:val="es-ES"/>
        </w:rPr>
        <w:lastRenderedPageBreak/>
        <w:t>metodología generalmente depende del tipo de contrato, pues hay algunas modalidades más comunes en los de obra pública; otras más utilizadas en los de prestación de servicios y otras más indicadas para los de concesión, por mencionar algunos ejemplos</w:t>
      </w:r>
      <w:r w:rsidRPr="00794C2C">
        <w:rPr>
          <w:rStyle w:val="Refdenotaalpie"/>
          <w:rFonts w:ascii="Verdana" w:hAnsi="Verdana" w:cs="Arial"/>
          <w:lang w:val="es-ES"/>
        </w:rPr>
        <w:footnoteReference w:id="6"/>
      </w:r>
      <w:r w:rsidRPr="00794C2C">
        <w:rPr>
          <w:rFonts w:ascii="Verdana" w:hAnsi="Verdana" w:cs="Arial"/>
          <w:lang w:val="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794C2C">
        <w:rPr>
          <w:rFonts w:ascii="Verdana" w:hAnsi="Verdana" w:cs="Arial"/>
          <w:lang w:val="es-ES"/>
        </w:rPr>
        <w:t>ii</w:t>
      </w:r>
      <w:proofErr w:type="spellEnd"/>
      <w:r w:rsidRPr="00794C2C">
        <w:rPr>
          <w:rFonts w:ascii="Verdana" w:hAnsi="Verdana" w:cs="Arial"/>
          <w:lang w:val="es-ES"/>
        </w:rPr>
        <w:t xml:space="preserve">) el precio global –que equivale al monto total, sin discriminar unidades–, y </w:t>
      </w:r>
      <w:proofErr w:type="spellStart"/>
      <w:r w:rsidRPr="00794C2C">
        <w:rPr>
          <w:rFonts w:ascii="Verdana" w:hAnsi="Verdana" w:cs="Arial"/>
          <w:lang w:val="es-ES"/>
        </w:rPr>
        <w:t>iii</w:t>
      </w:r>
      <w:proofErr w:type="spellEnd"/>
      <w:r w:rsidRPr="00794C2C">
        <w:rPr>
          <w:rFonts w:ascii="Verdana" w:hAnsi="Verdana" w:cs="Arial"/>
          <w:lang w:val="es-ES"/>
        </w:rPr>
        <w:t>) la administración delegada de recursos –en la que se distinguen los costos de inversión de los honorarios del administrador–.</w:t>
      </w:r>
      <w:bookmarkEnd w:id="8"/>
    </w:p>
    <w:p w14:paraId="591E3296" w14:textId="77777777" w:rsidR="0035417C" w:rsidRPr="00371F29" w:rsidRDefault="0035417C" w:rsidP="0035417C">
      <w:pPr>
        <w:spacing w:after="120" w:line="276" w:lineRule="auto"/>
        <w:ind w:firstLine="709"/>
        <w:jc w:val="both"/>
        <w:rPr>
          <w:rFonts w:ascii="Verdana" w:hAnsi="Verdana" w:cs="Arial"/>
          <w:bCs/>
        </w:rPr>
      </w:pPr>
      <w:r w:rsidRPr="00371F29">
        <w:rPr>
          <w:rFonts w:ascii="Verdana" w:hAnsi="Verdana" w:cs="Arial"/>
          <w:bCs/>
        </w:rPr>
        <w:t>Los contratos estatales admiten todas las modalidades, condiciones y estipulaciones que las partes consideren necesarias y convenientes, siempre que no sean contrarias a Constitución, la ley, el orden público, los principios y finalidades del Estatuto General de Contratación y los de la buena administración. Lo anterior, en consonancia con lo dispuesto en los artículos 13 y 32 de la Ley 80 de 1993, permite concluir que las entidades estatales pueden celebrar los contratos necesarios para la consecución de sus fines, ya sean estos nominados y típicos</w:t>
      </w:r>
      <w:r w:rsidRPr="00371F29">
        <w:rPr>
          <w:rStyle w:val="Refdenotaalpie"/>
          <w:rFonts w:ascii="Verdana" w:hAnsi="Verdana" w:cs="Arial"/>
          <w:bCs/>
        </w:rPr>
        <w:footnoteReference w:id="7"/>
      </w:r>
      <w:r w:rsidRPr="00371F29">
        <w:rPr>
          <w:rFonts w:ascii="Verdana" w:hAnsi="Verdana" w:cs="Arial"/>
          <w:bCs/>
        </w:rPr>
        <w:t xml:space="preserve"> en la legislación civil y comercial de derecho privado</w:t>
      </w:r>
      <w:r w:rsidRPr="00371F29">
        <w:rPr>
          <w:rStyle w:val="Refdenotaalpie"/>
          <w:rFonts w:ascii="Verdana" w:hAnsi="Verdana" w:cs="Arial"/>
          <w:bCs/>
        </w:rPr>
        <w:footnoteReference w:id="8"/>
      </w:r>
      <w:r w:rsidRPr="00371F29">
        <w:rPr>
          <w:rFonts w:ascii="Verdana" w:hAnsi="Verdana" w:cs="Arial"/>
          <w:bCs/>
        </w:rPr>
        <w:t xml:space="preserve"> o en </w:t>
      </w:r>
      <w:r w:rsidRPr="00371F29">
        <w:rPr>
          <w:rFonts w:ascii="Verdana" w:hAnsi="Verdana" w:cs="Arial"/>
          <w:bCs/>
        </w:rPr>
        <w:lastRenderedPageBreak/>
        <w:t>el Estatuto General de Contratación Pública</w:t>
      </w:r>
      <w:r w:rsidRPr="00371F29">
        <w:rPr>
          <w:rStyle w:val="Refdenotaalpie"/>
          <w:rFonts w:ascii="Verdana" w:hAnsi="Verdana" w:cs="Arial"/>
          <w:bCs/>
        </w:rPr>
        <w:footnoteReference w:id="9"/>
      </w:r>
      <w:r w:rsidRPr="00371F29">
        <w:rPr>
          <w:rFonts w:ascii="Verdana" w:hAnsi="Verdana" w:cs="Arial"/>
          <w:bCs/>
        </w:rPr>
        <w:t xml:space="preserve"> o bien pueden acudir a los contratos atípicos, donde sus estipulaciones pueden ser puramente de creación de la voluntad de las partes  –siempre y cuando no contraríen normas de orden público– o pueden ser mixtas, haciendo uso de estipulaciones que responden a diferentes combinaciones de objetos contractuales</w:t>
      </w:r>
      <w:r w:rsidRPr="00371F29">
        <w:rPr>
          <w:rStyle w:val="Refdenotaalpie"/>
          <w:rFonts w:ascii="Verdana" w:hAnsi="Verdana" w:cs="Arial"/>
          <w:bCs/>
        </w:rPr>
        <w:footnoteReference w:id="10"/>
      </w:r>
      <w:r w:rsidRPr="00371F29">
        <w:rPr>
          <w:rFonts w:ascii="Verdana" w:hAnsi="Verdana" w:cs="Arial"/>
          <w:bCs/>
        </w:rPr>
        <w:t>.</w:t>
      </w:r>
    </w:p>
    <w:p w14:paraId="768778DC" w14:textId="77777777" w:rsidR="0035417C" w:rsidRPr="00371F29" w:rsidRDefault="0035417C" w:rsidP="0035417C">
      <w:pPr>
        <w:pStyle w:val="Sinespaciado"/>
        <w:spacing w:before="120" w:after="120" w:line="276" w:lineRule="auto"/>
        <w:ind w:firstLine="709"/>
        <w:jc w:val="both"/>
        <w:rPr>
          <w:rFonts w:ascii="Verdana" w:hAnsi="Verdana" w:cs="Arial"/>
          <w:color w:val="000000" w:themeColor="text1"/>
          <w:sz w:val="22"/>
        </w:rPr>
      </w:pPr>
      <w:r w:rsidRPr="00371F29">
        <w:rPr>
          <w:rFonts w:ascii="Verdana" w:hAnsi="Verdana" w:cs="Arial"/>
          <w:bCs/>
          <w:sz w:val="22"/>
        </w:rPr>
        <w:t xml:space="preserve">La doctrina reconoce este fenómeno entendiendo que </w:t>
      </w:r>
      <w:r w:rsidRPr="00371F29">
        <w:rPr>
          <w:rFonts w:ascii="Verdana" w:hAnsi="Verdana" w:cs="Arial"/>
          <w:bCs/>
          <w:sz w:val="22"/>
          <w:lang w:val="es-ES_tradnl"/>
        </w:rPr>
        <w:t>“</w:t>
      </w:r>
      <w:r w:rsidRPr="00371F29">
        <w:rPr>
          <w:rFonts w:ascii="Verdana" w:hAnsi="Verdana" w:cs="Arial"/>
          <w:bCs/>
          <w:sz w:val="22"/>
        </w:rPr>
        <w:t>la ley no crea el contrato, sino que reconoce su existencia, afirmación que implica reconocer que, en un principio, todos los contratos que hoy se reputan como típicos eran innominados – atípicos, deviniendo en típicos con la intervención del legislador</w:t>
      </w:r>
      <w:r w:rsidRPr="00371F29">
        <w:rPr>
          <w:rFonts w:ascii="Verdana" w:hAnsi="Verdana" w:cs="Arial"/>
          <w:bCs/>
          <w:sz w:val="22"/>
          <w:lang w:val="es-ES_tradnl"/>
        </w:rPr>
        <w:t>”</w:t>
      </w:r>
      <w:r w:rsidRPr="00371F29">
        <w:rPr>
          <w:rStyle w:val="Refdenotaalpie"/>
          <w:rFonts w:ascii="Verdana" w:hAnsi="Verdana" w:cs="Arial"/>
          <w:bCs/>
          <w:sz w:val="22"/>
          <w:lang w:val="es-ES_tradnl"/>
        </w:rPr>
        <w:footnoteReference w:id="11"/>
      </w:r>
      <w:r w:rsidRPr="00371F29">
        <w:rPr>
          <w:rFonts w:ascii="Verdana" w:hAnsi="Verdana" w:cs="Arial"/>
          <w:bCs/>
          <w:sz w:val="22"/>
          <w:lang w:val="es-ES_tradnl"/>
        </w:rPr>
        <w:t xml:space="preserve">. Asimismo, cuando se está ante </w:t>
      </w:r>
      <w:r w:rsidRPr="00371F29">
        <w:rPr>
          <w:rFonts w:ascii="Verdana" w:hAnsi="Verdana" w:cs="Arial"/>
          <w:color w:val="000000" w:themeColor="text1"/>
          <w:sz w:val="22"/>
        </w:rPr>
        <w:t>la existencia de un contrato complejo</w:t>
      </w:r>
      <w:r w:rsidRPr="00371F29">
        <w:rPr>
          <w:rStyle w:val="Refdenotaalpie"/>
          <w:rFonts w:ascii="Verdana" w:hAnsi="Verdana" w:cs="Arial"/>
          <w:color w:val="000000" w:themeColor="text1"/>
          <w:sz w:val="22"/>
        </w:rPr>
        <w:footnoteReference w:id="12"/>
      </w:r>
      <w:r w:rsidRPr="00371F29">
        <w:rPr>
          <w:rFonts w:ascii="Verdana" w:hAnsi="Verdana" w:cs="Arial"/>
          <w:color w:val="000000" w:themeColor="text1"/>
          <w:sz w:val="22"/>
        </w:rPr>
        <w:t>, porque la voluntad de las partes involucra diversas estipulaciones que por lo general son propios de varios tipos contractuales, se dificulta definir el criterio interpretativo para disciplinar el contrato. No obstante, surge la necesidad de desentrañar dicha voluntad de los contratantes y, para el efecto, puede acudirse a la siguiente solución planteada por la Corte Suprema de Justicia, en sentencia de casación del 31 de mayo de 1938:</w:t>
      </w:r>
    </w:p>
    <w:p w14:paraId="46347DFE" w14:textId="77777777" w:rsidR="0035417C" w:rsidRPr="00371F29" w:rsidRDefault="0035417C" w:rsidP="0035417C">
      <w:pPr>
        <w:pStyle w:val="Sinespaciado"/>
        <w:spacing w:line="276" w:lineRule="auto"/>
        <w:jc w:val="both"/>
        <w:rPr>
          <w:rFonts w:ascii="Verdana" w:hAnsi="Verdana" w:cs="Arial"/>
          <w:color w:val="000000" w:themeColor="text1"/>
          <w:sz w:val="22"/>
        </w:rPr>
      </w:pPr>
    </w:p>
    <w:p w14:paraId="66D24CAB" w14:textId="77777777" w:rsidR="0035417C" w:rsidRPr="00371F29" w:rsidRDefault="0035417C" w:rsidP="0035417C">
      <w:pPr>
        <w:pStyle w:val="Sinespaciado"/>
        <w:ind w:left="709" w:right="709"/>
        <w:jc w:val="both"/>
        <w:rPr>
          <w:rFonts w:ascii="Verdana" w:hAnsi="Verdana" w:cs="Arial"/>
          <w:color w:val="000000" w:themeColor="text1"/>
          <w:sz w:val="20"/>
          <w:szCs w:val="20"/>
        </w:rPr>
      </w:pPr>
      <w:r w:rsidRPr="00371F29">
        <w:rPr>
          <w:rFonts w:ascii="Verdana" w:hAnsi="Verdana" w:cs="Arial"/>
          <w:color w:val="000000" w:themeColor="text1"/>
          <w:sz w:val="20"/>
          <w:szCs w:val="20"/>
        </w:rPr>
        <w:t>“Las relaciones convencionales que no encajan dentro de ninguno de los tipos reglamentados de contrato se aplican por analogía del tipo contractual afín al punto de vista jurídico pertinente, o por los principios generales del derecho de las obligaciones o de los contratos y, a título complementario, por el arbitrio judicial. Bien entendido que esos criterios no han de violentar la voluntad libremente configurada de las partes dentro de los amplios límites a ella trazados por el legislador”</w:t>
      </w:r>
      <w:r w:rsidRPr="00371F29">
        <w:rPr>
          <w:rStyle w:val="Refdenotaalpie"/>
          <w:rFonts w:ascii="Verdana" w:hAnsi="Verdana" w:cs="Arial"/>
          <w:color w:val="000000" w:themeColor="text1"/>
          <w:sz w:val="20"/>
          <w:szCs w:val="20"/>
        </w:rPr>
        <w:footnoteReference w:id="13"/>
      </w:r>
      <w:r w:rsidRPr="00371F29">
        <w:rPr>
          <w:rFonts w:ascii="Verdana" w:hAnsi="Verdana" w:cs="Arial"/>
          <w:color w:val="000000" w:themeColor="text1"/>
          <w:sz w:val="20"/>
          <w:szCs w:val="20"/>
        </w:rPr>
        <w:t>.</w:t>
      </w:r>
    </w:p>
    <w:p w14:paraId="2CD41C55" w14:textId="77777777" w:rsidR="0035417C" w:rsidRPr="00371F29" w:rsidRDefault="0035417C" w:rsidP="0035417C">
      <w:pPr>
        <w:pStyle w:val="Sinespaciado"/>
        <w:spacing w:line="276" w:lineRule="auto"/>
        <w:ind w:left="709" w:right="709"/>
        <w:jc w:val="both"/>
        <w:rPr>
          <w:rFonts w:ascii="Verdana" w:hAnsi="Verdana" w:cs="Arial"/>
          <w:color w:val="000000" w:themeColor="text1"/>
          <w:sz w:val="22"/>
        </w:rPr>
      </w:pPr>
    </w:p>
    <w:p w14:paraId="604FA50B" w14:textId="77777777" w:rsidR="0035417C" w:rsidRPr="00371F29" w:rsidRDefault="0035417C" w:rsidP="0035417C">
      <w:pPr>
        <w:pStyle w:val="Sinespaciado"/>
        <w:spacing w:after="120" w:line="276" w:lineRule="auto"/>
        <w:ind w:firstLine="709"/>
        <w:jc w:val="both"/>
        <w:rPr>
          <w:rFonts w:ascii="Verdana" w:hAnsi="Verdana" w:cs="Arial"/>
          <w:color w:val="000000" w:themeColor="text1"/>
          <w:sz w:val="22"/>
        </w:rPr>
      </w:pPr>
      <w:r w:rsidRPr="00371F29">
        <w:rPr>
          <w:rFonts w:ascii="Verdana" w:hAnsi="Verdana" w:cs="Arial"/>
          <w:color w:val="000000" w:themeColor="text1"/>
          <w:sz w:val="22"/>
        </w:rPr>
        <w:t xml:space="preserve">Por su parte, el Consejo de Estado también ha entendido que los contratos estatales pueden calificarse como contratos mixtos cuando involucran prestaciones de igual connotación y, en reciente pronunciamiento, proferido con ocasión de una consulta relacionada con la </w:t>
      </w:r>
      <w:proofErr w:type="spellStart"/>
      <w:r w:rsidRPr="00371F29">
        <w:rPr>
          <w:rFonts w:ascii="Verdana" w:hAnsi="Verdana" w:cs="Arial"/>
          <w:color w:val="000000" w:themeColor="text1"/>
          <w:sz w:val="22"/>
        </w:rPr>
        <w:t>causación</w:t>
      </w:r>
      <w:proofErr w:type="spellEnd"/>
      <w:r w:rsidRPr="00371F29">
        <w:rPr>
          <w:rFonts w:ascii="Verdana" w:hAnsi="Verdana" w:cs="Arial"/>
          <w:color w:val="000000" w:themeColor="text1"/>
          <w:sz w:val="22"/>
        </w:rPr>
        <w:t xml:space="preserve"> de la estampilla </w:t>
      </w:r>
      <w:proofErr w:type="spellStart"/>
      <w:r w:rsidRPr="00371F29">
        <w:rPr>
          <w:rFonts w:ascii="Verdana" w:hAnsi="Verdana" w:cs="Arial"/>
          <w:color w:val="000000" w:themeColor="text1"/>
          <w:sz w:val="22"/>
        </w:rPr>
        <w:lastRenderedPageBreak/>
        <w:t>prouniversidades</w:t>
      </w:r>
      <w:proofErr w:type="spellEnd"/>
      <w:r w:rsidRPr="00371F29">
        <w:rPr>
          <w:rFonts w:ascii="Verdana" w:hAnsi="Verdana" w:cs="Arial"/>
          <w:color w:val="000000" w:themeColor="text1"/>
          <w:sz w:val="22"/>
        </w:rPr>
        <w:t xml:space="preserve"> por la suscripción de contratos de suministro de materiales, personal y mantenimientos para las sedes de una entidad, consideró lo siguiente frente a la interpretación de estos contratos:</w:t>
      </w:r>
    </w:p>
    <w:p w14:paraId="21927AA4" w14:textId="77777777" w:rsidR="0035417C" w:rsidRPr="00371F29" w:rsidRDefault="0035417C" w:rsidP="0035417C">
      <w:pPr>
        <w:pStyle w:val="Sinespaciado"/>
        <w:widowControl w:val="0"/>
        <w:autoSpaceDE w:val="0"/>
        <w:autoSpaceDN w:val="0"/>
        <w:ind w:left="709" w:right="709"/>
        <w:jc w:val="both"/>
        <w:rPr>
          <w:rFonts w:ascii="Verdana" w:hAnsi="Verdana" w:cs="Arial"/>
          <w:color w:val="000000" w:themeColor="text1"/>
          <w:sz w:val="20"/>
          <w:szCs w:val="20"/>
        </w:rPr>
      </w:pPr>
      <w:r w:rsidRPr="00371F29">
        <w:rPr>
          <w:rFonts w:ascii="Verdana" w:hAnsi="Verdana" w:cs="Arial"/>
          <w:color w:val="000000" w:themeColor="text1"/>
          <w:sz w:val="20"/>
          <w:szCs w:val="20"/>
        </w:rPr>
        <w:t>“Es posible que existan contratos mixtos que contengan prestaciones correspondientes a varios tipos o clases de contratos, que no se encuentran relacionados con otros contratos típicos o atípicos, nominados o innominados a que se refieren los artículos 32 y 40 de la Ley 80 de 1993.</w:t>
      </w:r>
    </w:p>
    <w:p w14:paraId="0B77B8E7" w14:textId="77777777" w:rsidR="0035417C" w:rsidRPr="00371F29" w:rsidRDefault="0035417C" w:rsidP="0035417C">
      <w:pPr>
        <w:pStyle w:val="Sinespaciado"/>
        <w:ind w:left="709" w:right="709"/>
        <w:jc w:val="both"/>
        <w:rPr>
          <w:rFonts w:ascii="Verdana" w:hAnsi="Verdana" w:cs="Arial"/>
          <w:color w:val="000000" w:themeColor="text1"/>
          <w:sz w:val="20"/>
          <w:szCs w:val="20"/>
        </w:rPr>
      </w:pPr>
      <w:r w:rsidRPr="00371F29">
        <w:rPr>
          <w:rFonts w:ascii="Verdana" w:hAnsi="Verdana" w:cs="Arial"/>
          <w:color w:val="000000" w:themeColor="text1"/>
          <w:sz w:val="20"/>
          <w:szCs w:val="20"/>
        </w:rPr>
        <w:t>[…]</w:t>
      </w:r>
    </w:p>
    <w:p w14:paraId="0AFD28CC" w14:textId="77777777" w:rsidR="0035417C" w:rsidRPr="00371F29" w:rsidRDefault="0035417C" w:rsidP="0035417C">
      <w:pPr>
        <w:pStyle w:val="Sinespaciado"/>
        <w:widowControl w:val="0"/>
        <w:autoSpaceDE w:val="0"/>
        <w:autoSpaceDN w:val="0"/>
        <w:spacing w:before="120"/>
        <w:ind w:left="709" w:right="709"/>
        <w:jc w:val="both"/>
        <w:rPr>
          <w:rFonts w:ascii="Verdana" w:hAnsi="Verdana" w:cs="Arial"/>
          <w:color w:val="000000" w:themeColor="text1"/>
          <w:sz w:val="20"/>
          <w:szCs w:val="20"/>
        </w:rPr>
      </w:pPr>
      <w:r w:rsidRPr="00371F29">
        <w:rPr>
          <w:rFonts w:ascii="Verdana" w:hAnsi="Verdana" w:cs="Arial"/>
          <w:color w:val="000000" w:themeColor="text1"/>
          <w:sz w:val="20"/>
          <w:szCs w:val="20"/>
        </w:rPr>
        <w:t>El contrato es mixto cuando las prestaciones mixtas están esencialmente vinculadas entre sí, por tener relaciones de complemento u obedecer a una unidad funcional dirigida a la satisfacción de la necesidad de la entidad -unidad de causa-. En caso contrario, si las prestaciones son autónomas y no guardan vinculación entre sí, la figura será una unión de contratos -causas distintas-.</w:t>
      </w:r>
    </w:p>
    <w:p w14:paraId="2D12DA66" w14:textId="77777777" w:rsidR="0035417C" w:rsidRPr="00371F29" w:rsidRDefault="0035417C" w:rsidP="0035417C">
      <w:pPr>
        <w:pStyle w:val="Sinespaciado"/>
        <w:widowControl w:val="0"/>
        <w:autoSpaceDE w:val="0"/>
        <w:autoSpaceDN w:val="0"/>
        <w:spacing w:before="120"/>
        <w:ind w:left="709" w:right="709"/>
        <w:jc w:val="both"/>
        <w:rPr>
          <w:rFonts w:ascii="Verdana" w:hAnsi="Verdana" w:cs="Arial"/>
          <w:color w:val="000000" w:themeColor="text1"/>
          <w:sz w:val="20"/>
          <w:szCs w:val="20"/>
        </w:rPr>
      </w:pPr>
      <w:r w:rsidRPr="00371F29">
        <w:rPr>
          <w:rFonts w:ascii="Verdana" w:hAnsi="Verdana" w:cs="Arial"/>
          <w:color w:val="000000" w:themeColor="text1"/>
          <w:sz w:val="20"/>
          <w:szCs w:val="20"/>
        </w:rPr>
        <w:t xml:space="preserve">El ejemplo de contratos mixtos más común se refiere, como se señaló, al suministro de equipos necesarios para la prestación del servicio público de la entidad, con prestaciones accesorias y necesarias, relacionadas con su instalación y su puesta en funcionamiento, así como servicios de capacitación de asesoría de la entidad en el uso de </w:t>
      </w:r>
      <w:proofErr w:type="gramStart"/>
      <w:r w:rsidRPr="00371F29">
        <w:rPr>
          <w:rFonts w:ascii="Verdana" w:hAnsi="Verdana" w:cs="Arial"/>
          <w:color w:val="000000" w:themeColor="text1"/>
          <w:sz w:val="20"/>
          <w:szCs w:val="20"/>
        </w:rPr>
        <w:t>los mismos</w:t>
      </w:r>
      <w:proofErr w:type="gramEnd"/>
      <w:r w:rsidRPr="00371F29">
        <w:rPr>
          <w:rFonts w:ascii="Verdana" w:hAnsi="Verdana" w:cs="Arial"/>
          <w:color w:val="000000" w:themeColor="text1"/>
          <w:sz w:val="20"/>
          <w:szCs w:val="20"/>
        </w:rPr>
        <w:t>”</w:t>
      </w:r>
      <w:r w:rsidRPr="00371F29">
        <w:rPr>
          <w:rStyle w:val="Refdenotaalpie"/>
          <w:rFonts w:ascii="Verdana" w:hAnsi="Verdana" w:cs="Arial"/>
          <w:color w:val="000000" w:themeColor="text1"/>
          <w:sz w:val="20"/>
          <w:szCs w:val="20"/>
        </w:rPr>
        <w:footnoteReference w:id="14"/>
      </w:r>
      <w:r w:rsidRPr="00371F29">
        <w:rPr>
          <w:rFonts w:ascii="Verdana" w:hAnsi="Verdana" w:cs="Arial"/>
          <w:color w:val="000000" w:themeColor="text1"/>
          <w:sz w:val="20"/>
          <w:szCs w:val="20"/>
        </w:rPr>
        <w:t>.</w:t>
      </w:r>
    </w:p>
    <w:p w14:paraId="47514F0D" w14:textId="77777777" w:rsidR="0035417C" w:rsidRPr="00371F29" w:rsidRDefault="0035417C" w:rsidP="0035417C">
      <w:pPr>
        <w:pStyle w:val="Sinespaciado"/>
        <w:widowControl w:val="0"/>
        <w:autoSpaceDE w:val="0"/>
        <w:autoSpaceDN w:val="0"/>
        <w:spacing w:after="120"/>
        <w:ind w:right="709" w:firstLine="709"/>
        <w:jc w:val="both"/>
        <w:rPr>
          <w:rFonts w:ascii="Verdana" w:hAnsi="Verdana" w:cs="Arial"/>
          <w:color w:val="000000" w:themeColor="text1"/>
          <w:sz w:val="22"/>
        </w:rPr>
      </w:pPr>
    </w:p>
    <w:p w14:paraId="155270F4" w14:textId="77777777" w:rsidR="0035417C" w:rsidRDefault="0035417C" w:rsidP="0035417C">
      <w:pPr>
        <w:spacing w:after="120" w:line="276" w:lineRule="auto"/>
        <w:ind w:firstLine="709"/>
        <w:jc w:val="both"/>
        <w:rPr>
          <w:rFonts w:ascii="Verdana" w:hAnsi="Verdana" w:cs="Arial"/>
          <w:color w:val="000000" w:themeColor="text1"/>
        </w:rPr>
      </w:pPr>
      <w:r w:rsidRPr="00371F29">
        <w:rPr>
          <w:rFonts w:ascii="Verdana" w:hAnsi="Verdana" w:cs="Arial"/>
          <w:color w:val="000000" w:themeColor="text1"/>
        </w:rPr>
        <w:t xml:space="preserve">Resulta del caso precisar que la tipología contractual incide en aspectos como el proceso de selección que debe realizarse, los requisitos habilitantes o ponderables a incorporar en el pliego de condiciones para seleccionar de manera objetiva la mejor oferta; y si debe o no exigirse el Registro Único de Proponentes –RUP–, entre otras cuestiones importantes para el proceso de contratación. </w:t>
      </w:r>
    </w:p>
    <w:p w14:paraId="16C40235" w14:textId="77777777" w:rsidR="0035417C" w:rsidRPr="00B82C59" w:rsidRDefault="0035417C" w:rsidP="0035417C">
      <w:pPr>
        <w:spacing w:after="120" w:line="276" w:lineRule="auto"/>
        <w:ind w:firstLine="709"/>
        <w:jc w:val="both"/>
        <w:rPr>
          <w:rFonts w:ascii="Verdana" w:hAnsi="Verdana" w:cs="Arial"/>
          <w:bCs/>
          <w:lang w:val="es-ES_tradnl"/>
        </w:rPr>
      </w:pPr>
      <w:r>
        <w:rPr>
          <w:rFonts w:ascii="Verdana" w:hAnsi="Verdana" w:cs="Arial"/>
          <w:bCs/>
          <w:lang w:val="es-ES_tradnl"/>
        </w:rPr>
        <w:t>Ahora bien,</w:t>
      </w:r>
      <w:r w:rsidRPr="00371F29">
        <w:rPr>
          <w:rFonts w:ascii="Verdana" w:hAnsi="Verdana" w:cs="Arial"/>
          <w:bCs/>
          <w:lang w:val="es-ES_tradnl"/>
        </w:rPr>
        <w:t xml:space="preserve"> lo que el peticionario denomina como </w:t>
      </w:r>
      <w:bookmarkStart w:id="9" w:name="_Hlk131153031"/>
      <w:r w:rsidRPr="004053C8">
        <w:rPr>
          <w:rFonts w:ascii="Verdana" w:hAnsi="Verdana" w:cs="Arial"/>
          <w:b/>
          <w:i/>
          <w:iCs/>
          <w:lang w:val="es-ES_tradnl"/>
        </w:rPr>
        <w:t>“</w:t>
      </w:r>
      <w:r>
        <w:rPr>
          <w:rFonts w:ascii="Verdana" w:hAnsi="Verdana" w:cs="Arial"/>
          <w:b/>
          <w:i/>
          <w:iCs/>
          <w:lang w:val="es-ES_tradnl"/>
        </w:rPr>
        <w:t>Adquirir</w:t>
      </w:r>
      <w:r w:rsidRPr="004053C8">
        <w:rPr>
          <w:rFonts w:ascii="Verdana" w:hAnsi="Verdana" w:cs="Arial"/>
          <w:b/>
          <w:i/>
          <w:iCs/>
          <w:lang w:val="es-ES_tradnl"/>
        </w:rPr>
        <w:t xml:space="preserve"> a precio unitario y monto agotable</w:t>
      </w:r>
      <w:r w:rsidRPr="008D11FB">
        <w:rPr>
          <w:rFonts w:ascii="Verdana" w:hAnsi="Verdana" w:cs="Arial"/>
          <w:b/>
          <w:i/>
          <w:iCs/>
          <w:lang w:val="es-ES_tradnl"/>
        </w:rPr>
        <w:t>”</w:t>
      </w:r>
      <w:bookmarkEnd w:id="9"/>
      <w:r>
        <w:rPr>
          <w:rFonts w:ascii="Verdana" w:hAnsi="Verdana" w:cs="Arial"/>
          <w:b/>
          <w:i/>
          <w:iCs/>
          <w:lang w:val="es-ES_tradnl"/>
        </w:rPr>
        <w:t xml:space="preserve"> y “</w:t>
      </w:r>
      <w:r w:rsidRPr="001D0CFA">
        <w:rPr>
          <w:rFonts w:ascii="Verdana" w:hAnsi="Verdana" w:cs="Arial"/>
          <w:b/>
          <w:i/>
          <w:iCs/>
          <w:lang w:val="es-ES_tradnl"/>
        </w:rPr>
        <w:t>adquirir elementos de acuerdo con la necesidad y el presupuesto asignado.</w:t>
      </w:r>
      <w:r>
        <w:rPr>
          <w:rFonts w:ascii="Verdana" w:hAnsi="Verdana" w:cs="Arial"/>
          <w:b/>
          <w:i/>
          <w:iCs/>
          <w:lang w:val="es-ES_tradnl"/>
        </w:rPr>
        <w:t>”</w:t>
      </w:r>
      <w:r w:rsidRPr="00371F29">
        <w:rPr>
          <w:rFonts w:ascii="Verdana" w:hAnsi="Verdana" w:cs="Arial"/>
          <w:bCs/>
          <w:i/>
          <w:iCs/>
          <w:lang w:val="es-ES_tradnl"/>
        </w:rPr>
        <w:t xml:space="preserve"> </w:t>
      </w:r>
      <w:r w:rsidRPr="00371F29">
        <w:rPr>
          <w:rFonts w:ascii="Verdana" w:hAnsi="Verdana" w:cs="Arial"/>
          <w:bCs/>
          <w:lang w:val="es-ES_tradnl"/>
        </w:rPr>
        <w:t>en realidad puede corresponder a un contrato de suministro</w:t>
      </w:r>
      <w:r>
        <w:rPr>
          <w:rFonts w:ascii="Verdana" w:hAnsi="Verdana" w:cs="Arial"/>
          <w:bCs/>
          <w:lang w:val="es-ES_tradnl"/>
        </w:rPr>
        <w:t xml:space="preserve">, el cual es un </w:t>
      </w:r>
      <w:r w:rsidRPr="00371F29">
        <w:rPr>
          <w:rFonts w:ascii="Verdana" w:hAnsi="Verdana" w:cs="Arial"/>
          <w:color w:val="000000" w:themeColor="text1"/>
        </w:rPr>
        <w:t>contrato típico que pueden utilizar las entidades estatales para satisfacer necesidades</w:t>
      </w:r>
      <w:r>
        <w:rPr>
          <w:rFonts w:ascii="Verdana" w:hAnsi="Verdana" w:cs="Arial"/>
          <w:color w:val="000000" w:themeColor="text1"/>
        </w:rPr>
        <w:t xml:space="preserve">, </w:t>
      </w:r>
      <w:r w:rsidRPr="00371F29">
        <w:rPr>
          <w:rFonts w:ascii="Verdana" w:hAnsi="Verdana" w:cs="Arial"/>
          <w:bCs/>
          <w:lang w:val="es-ES_tradnl"/>
        </w:rPr>
        <w:t xml:space="preserve">donde se pacta el pago de la contraprestación a precios unitarios, conforme a unos valores asignados, que son objeto del negocio y que se entregan a la entidad, durante el plazo de </w:t>
      </w:r>
      <w:r w:rsidRPr="00371F29">
        <w:rPr>
          <w:rFonts w:ascii="Verdana" w:hAnsi="Verdana" w:cs="Arial"/>
          <w:bCs/>
          <w:lang w:val="es-ES_tradnl"/>
        </w:rPr>
        <w:lastRenderedPageBreak/>
        <w:t xml:space="preserve">ejecución del contrato, sin exceder el valor o presupuesto oficial asignado por la entidad contratante para el efecto. </w:t>
      </w:r>
    </w:p>
    <w:p w14:paraId="78955C41" w14:textId="77777777" w:rsidR="0035417C" w:rsidRPr="00371F29" w:rsidRDefault="0035417C" w:rsidP="0035417C">
      <w:pPr>
        <w:spacing w:after="120" w:line="276" w:lineRule="auto"/>
        <w:ind w:firstLine="709"/>
        <w:jc w:val="both"/>
        <w:rPr>
          <w:rFonts w:ascii="Verdana" w:hAnsi="Verdana" w:cs="Arial"/>
          <w:color w:val="000000" w:themeColor="text1"/>
        </w:rPr>
      </w:pPr>
      <w:r w:rsidRPr="00371F29">
        <w:rPr>
          <w:rFonts w:ascii="Verdana" w:hAnsi="Verdana" w:cs="Arial"/>
          <w:color w:val="000000" w:themeColor="text1"/>
        </w:rPr>
        <w:t xml:space="preserve">Por un lado, el término suministro proviene del latín </w:t>
      </w:r>
      <w:r w:rsidRPr="00371F29">
        <w:rPr>
          <w:rFonts w:ascii="Verdana" w:hAnsi="Verdana" w:cs="Arial"/>
          <w:i/>
          <w:iCs/>
          <w:color w:val="000000" w:themeColor="text1"/>
        </w:rPr>
        <w:t>subministrare</w:t>
      </w:r>
      <w:r w:rsidRPr="00371F29">
        <w:rPr>
          <w:rFonts w:ascii="Verdana" w:hAnsi="Verdana" w:cs="Arial"/>
          <w:color w:val="000000" w:themeColor="text1"/>
        </w:rPr>
        <w:t xml:space="preserve"> que significa proveer a uno algo que necesita. En la actualidad el contrato de suministro tiene una función económica</w:t>
      </w:r>
      <w:r w:rsidRPr="00371F29">
        <w:rPr>
          <w:rStyle w:val="Refdenotaalpie"/>
          <w:rFonts w:ascii="Verdana" w:hAnsi="Verdana" w:cs="Arial"/>
          <w:color w:val="000000" w:themeColor="text1"/>
        </w:rPr>
        <w:footnoteReference w:id="15"/>
      </w:r>
      <w:r w:rsidRPr="00371F29">
        <w:rPr>
          <w:rFonts w:ascii="Verdana" w:hAnsi="Verdana" w:cs="Arial"/>
          <w:color w:val="000000" w:themeColor="text1"/>
        </w:rPr>
        <w:t xml:space="preserve"> importante pues sirve de instrumento para que un empresario pueda proyectar su actividad comercial y un proveedor pueda planificar su producción y las ventas, brindando certeza sobre el abastecimiento periódico de materias primas, bienes o servicios que el primero necesita del segundo, a cambio de una correlativa remuneración. En el ordenamiento jurídico colombiano el contrato de suministro está definido en el artículo 968 del Código de Comercio como el negocio jurídico </w:t>
      </w:r>
      <w:r w:rsidRPr="00371F29">
        <w:rPr>
          <w:rFonts w:ascii="Verdana" w:hAnsi="Verdana" w:cs="Arial"/>
          <w:bCs/>
          <w:lang w:val="es-ES_tradnl"/>
        </w:rPr>
        <w:t>“</w:t>
      </w:r>
      <w:r w:rsidRPr="00371F29">
        <w:rPr>
          <w:rFonts w:ascii="Verdana" w:hAnsi="Verdana" w:cs="Arial"/>
          <w:color w:val="000000" w:themeColor="text1"/>
        </w:rPr>
        <w:t>por el cual una parte se obliga, a cambio de una contraprestación, a cumplir en favor de otra, en forma independiente, prestaciones periódicas o continuadas de cosas o servicios</w:t>
      </w:r>
      <w:r w:rsidRPr="00371F29">
        <w:rPr>
          <w:rFonts w:ascii="Verdana" w:hAnsi="Verdana" w:cs="Arial"/>
          <w:bCs/>
          <w:lang w:val="es-ES_tradnl"/>
        </w:rPr>
        <w:t>”.</w:t>
      </w:r>
      <w:r w:rsidRPr="00371F29">
        <w:rPr>
          <w:rFonts w:ascii="Verdana" w:hAnsi="Verdana" w:cs="Arial"/>
          <w:color w:val="000000" w:themeColor="text1"/>
        </w:rPr>
        <w:t xml:space="preserve"> </w:t>
      </w:r>
    </w:p>
    <w:p w14:paraId="150121E0" w14:textId="77777777" w:rsidR="0035417C" w:rsidRPr="00371F29" w:rsidRDefault="0035417C" w:rsidP="0035417C">
      <w:pPr>
        <w:spacing w:after="120" w:line="276" w:lineRule="auto"/>
        <w:ind w:firstLine="709"/>
        <w:jc w:val="both"/>
        <w:rPr>
          <w:rFonts w:ascii="Verdana" w:hAnsi="Verdana" w:cs="Arial"/>
          <w:color w:val="000000" w:themeColor="text1"/>
        </w:rPr>
      </w:pPr>
      <w:r w:rsidRPr="00371F29">
        <w:rPr>
          <w:rFonts w:ascii="Verdana" w:hAnsi="Verdana" w:cs="Arial"/>
          <w:color w:val="000000" w:themeColor="text1"/>
        </w:rPr>
        <w:t xml:space="preserve">El contrato de suministro reúne las siguientes características: i) es bilateral y conmutativo, ya que crea obligaciones recíprocas para las dos partes del contrato llamadas a reportar beneficios equivalentes para ambos; </w:t>
      </w:r>
      <w:proofErr w:type="spellStart"/>
      <w:r w:rsidRPr="00371F29">
        <w:rPr>
          <w:rFonts w:ascii="Verdana" w:hAnsi="Verdana" w:cs="Arial"/>
          <w:color w:val="000000" w:themeColor="text1"/>
        </w:rPr>
        <w:t>ii</w:t>
      </w:r>
      <w:proofErr w:type="spellEnd"/>
      <w:r w:rsidRPr="00371F29">
        <w:rPr>
          <w:rFonts w:ascii="Verdana" w:hAnsi="Verdana" w:cs="Arial"/>
          <w:color w:val="000000" w:themeColor="text1"/>
        </w:rPr>
        <w:t xml:space="preserve">) es oneroso, pues genera un lucro, utilidad o beneficio para ambas partes; </w:t>
      </w:r>
      <w:proofErr w:type="spellStart"/>
      <w:r w:rsidRPr="00371F29">
        <w:rPr>
          <w:rFonts w:ascii="Verdana" w:hAnsi="Verdana" w:cs="Arial"/>
          <w:color w:val="000000" w:themeColor="text1"/>
        </w:rPr>
        <w:t>iii</w:t>
      </w:r>
      <w:proofErr w:type="spellEnd"/>
      <w:r w:rsidRPr="00371F29">
        <w:rPr>
          <w:rFonts w:ascii="Verdana" w:hAnsi="Verdana" w:cs="Arial"/>
          <w:color w:val="000000" w:themeColor="text1"/>
        </w:rPr>
        <w:t xml:space="preserve">) es por regla general consensual, dado que en derecho privado nace con el solo acuerdo de voluntades sobre el objeto –no lo es en contratación estatal, donde es solemne–; </w:t>
      </w:r>
      <w:proofErr w:type="spellStart"/>
      <w:r w:rsidRPr="00371F29">
        <w:rPr>
          <w:rFonts w:ascii="Verdana" w:hAnsi="Verdana" w:cs="Arial"/>
          <w:color w:val="000000" w:themeColor="text1"/>
        </w:rPr>
        <w:t>iv</w:t>
      </w:r>
      <w:proofErr w:type="spellEnd"/>
      <w:r w:rsidRPr="00371F29">
        <w:rPr>
          <w:rFonts w:ascii="Verdana" w:hAnsi="Verdana" w:cs="Arial"/>
          <w:color w:val="000000" w:themeColor="text1"/>
        </w:rPr>
        <w:t xml:space="preserve">) es de tracto sucesivo, porque la ejecución de las prestaciones se realiza de manera periódica o continua a través del tiempo; v) es principal, porque existe por </w:t>
      </w:r>
      <w:proofErr w:type="spellStart"/>
      <w:r w:rsidRPr="00371F29">
        <w:rPr>
          <w:rFonts w:ascii="Verdana" w:hAnsi="Verdana" w:cs="Arial"/>
          <w:color w:val="000000" w:themeColor="text1"/>
        </w:rPr>
        <w:t>si</w:t>
      </w:r>
      <w:proofErr w:type="spellEnd"/>
      <w:r w:rsidRPr="00371F29">
        <w:rPr>
          <w:rFonts w:ascii="Verdana" w:hAnsi="Verdana" w:cs="Arial"/>
          <w:color w:val="000000" w:themeColor="text1"/>
        </w:rPr>
        <w:t xml:space="preserve"> solo independientemente de otros contratos; vi) es nominado y típico, dado que cuenta con definición  y regulación legal en los artículos 968 y siguientes del Código de Comercio; y </w:t>
      </w:r>
      <w:proofErr w:type="spellStart"/>
      <w:r w:rsidRPr="00371F29">
        <w:rPr>
          <w:rFonts w:ascii="Verdana" w:hAnsi="Verdana" w:cs="Arial"/>
          <w:color w:val="000000" w:themeColor="text1"/>
        </w:rPr>
        <w:t>vii</w:t>
      </w:r>
      <w:proofErr w:type="spellEnd"/>
      <w:r w:rsidRPr="00371F29">
        <w:rPr>
          <w:rFonts w:ascii="Verdana" w:hAnsi="Verdana" w:cs="Arial"/>
          <w:color w:val="000000" w:themeColor="text1"/>
        </w:rPr>
        <w:t>) en estos contratos estatales es potestativa la inclusión de cláusulas excepcionales, de conformidad con el artículo 14 de la Ley 80 de 1993.</w:t>
      </w:r>
    </w:p>
    <w:p w14:paraId="677D5661" w14:textId="77777777" w:rsidR="0035417C" w:rsidRPr="00371F29" w:rsidRDefault="0035417C" w:rsidP="0035417C">
      <w:pPr>
        <w:spacing w:after="120" w:line="276" w:lineRule="auto"/>
        <w:ind w:firstLine="709"/>
        <w:jc w:val="both"/>
        <w:rPr>
          <w:rFonts w:ascii="Verdana" w:hAnsi="Verdana" w:cs="Arial"/>
          <w:bCs/>
          <w:lang w:val="es-ES_tradnl"/>
        </w:rPr>
      </w:pPr>
      <w:r w:rsidRPr="00371F29">
        <w:rPr>
          <w:rFonts w:ascii="Verdana" w:hAnsi="Verdana" w:cs="Arial"/>
          <w:bCs/>
          <w:lang w:val="es-ES_tradnl"/>
        </w:rPr>
        <w:t xml:space="preserve"> </w:t>
      </w:r>
      <w:r>
        <w:rPr>
          <w:rFonts w:ascii="Verdana" w:hAnsi="Verdana" w:cs="Arial"/>
          <w:bCs/>
          <w:lang w:val="es-ES_tradnl"/>
        </w:rPr>
        <w:t>E</w:t>
      </w:r>
      <w:r w:rsidRPr="00371F29">
        <w:rPr>
          <w:rFonts w:ascii="Verdana" w:hAnsi="Verdana" w:cs="Arial"/>
          <w:bCs/>
          <w:lang w:val="es-ES_tradnl"/>
        </w:rPr>
        <w:t>n vista de que la figura del “</w:t>
      </w:r>
      <w:r w:rsidRPr="007132D8">
        <w:rPr>
          <w:rFonts w:ascii="Verdana" w:hAnsi="Verdana" w:cs="Arial"/>
          <w:bCs/>
          <w:lang w:val="es-ES_tradnl"/>
        </w:rPr>
        <w:t>contrato a precio unitario y por monto agotable</w:t>
      </w:r>
      <w:r w:rsidRPr="00371F29">
        <w:rPr>
          <w:rFonts w:ascii="Verdana" w:hAnsi="Verdana" w:cs="Arial"/>
          <w:bCs/>
          <w:lang w:val="es-ES_tradnl"/>
        </w:rPr>
        <w:t xml:space="preserve">” no existe en las leyes civiles y comerciales ni en el EGCAP como una figura contractual típica ni atípica. En este contexto, se encuentra más relacionada con el establecimiento de la forma de pago. Como explica la doctrina, existen </w:t>
      </w:r>
      <w:r w:rsidRPr="00371F29">
        <w:rPr>
          <w:rFonts w:ascii="Verdana" w:hAnsi="Verdana" w:cs="Arial"/>
          <w:bCs/>
          <w:i/>
          <w:iCs/>
          <w:lang w:val="es-ES_tradnl"/>
        </w:rPr>
        <w:t>contratos de suministro</w:t>
      </w:r>
      <w:r w:rsidRPr="00371F29">
        <w:rPr>
          <w:rFonts w:ascii="Verdana" w:hAnsi="Verdana" w:cs="Arial"/>
          <w:bCs/>
          <w:lang w:val="es-ES_tradnl"/>
        </w:rPr>
        <w:t xml:space="preserve"> donde el contratista se obliga a </w:t>
      </w:r>
      <w:r w:rsidRPr="00371F29">
        <w:rPr>
          <w:rFonts w:ascii="Verdana" w:hAnsi="Verdana" w:cs="Arial"/>
          <w:bCs/>
          <w:lang w:val="es-ES_tradnl"/>
        </w:rPr>
        <w:lastRenderedPageBreak/>
        <w:t>entregar los bienes por un precio unitario, sin que la cuantía se defina exactamente al tiempo de celebrar el contrato, ya que las entregas estas subordinadas a las necesidades de la entidad:</w:t>
      </w:r>
    </w:p>
    <w:p w14:paraId="4E67B66E" w14:textId="77777777" w:rsidR="0035417C" w:rsidRPr="00371F29" w:rsidRDefault="0035417C" w:rsidP="0035417C">
      <w:pPr>
        <w:spacing w:after="0" w:line="276" w:lineRule="auto"/>
        <w:ind w:firstLine="708"/>
        <w:jc w:val="both"/>
        <w:rPr>
          <w:rFonts w:ascii="Verdana" w:hAnsi="Verdana" w:cs="Arial"/>
          <w:bCs/>
          <w:lang w:val="es-ES_tradnl"/>
        </w:rPr>
      </w:pPr>
    </w:p>
    <w:p w14:paraId="7BCE8914" w14:textId="77777777" w:rsidR="0035417C" w:rsidRPr="00371F29" w:rsidRDefault="0035417C" w:rsidP="0035417C">
      <w:pPr>
        <w:spacing w:after="0" w:line="240" w:lineRule="auto"/>
        <w:ind w:left="709" w:right="709"/>
        <w:jc w:val="both"/>
        <w:rPr>
          <w:rFonts w:ascii="Verdana" w:hAnsi="Verdana" w:cs="Arial"/>
          <w:bCs/>
          <w:sz w:val="20"/>
          <w:szCs w:val="20"/>
          <w:lang w:val="es-ES_tradnl"/>
        </w:rPr>
      </w:pPr>
      <w:r w:rsidRPr="00371F29">
        <w:rPr>
          <w:rFonts w:ascii="Verdana" w:hAnsi="Verdana" w:cs="Arial"/>
          <w:bCs/>
          <w:sz w:val="20"/>
          <w:szCs w:val="20"/>
          <w:lang w:val="es-ES_tradnl"/>
        </w:rPr>
        <w:t>“Esta modalidad de suministro, conocida como contrato de suministro de tracto sucesivo por precio unitario, se caracteriza por la indeterminación relativa del objeto del contrato y, por lo tanto, del precio, ya que están identificados el producto a suministrar y el precio unitario del mismo, pero no el número de unidades que deberán entregarse a la entidad contratante al amparo del contrato, lo que implica que no se conozca con exactitud, tampoco, el precio global que deberá abonarse al contratista.</w:t>
      </w:r>
    </w:p>
    <w:p w14:paraId="3D6DAC6B" w14:textId="77777777" w:rsidR="0035417C" w:rsidRPr="00371F29" w:rsidRDefault="0035417C" w:rsidP="0035417C">
      <w:pPr>
        <w:spacing w:after="120" w:line="240" w:lineRule="auto"/>
        <w:ind w:left="709" w:right="709"/>
        <w:jc w:val="both"/>
        <w:rPr>
          <w:rFonts w:ascii="Verdana" w:hAnsi="Verdana" w:cs="Arial"/>
          <w:bCs/>
          <w:sz w:val="20"/>
          <w:szCs w:val="20"/>
          <w:lang w:val="es-ES_tradnl"/>
        </w:rPr>
      </w:pPr>
      <w:r w:rsidRPr="00371F29">
        <w:rPr>
          <w:rFonts w:ascii="Verdana" w:hAnsi="Verdana" w:cs="Arial"/>
          <w:bCs/>
          <w:sz w:val="20"/>
          <w:szCs w:val="20"/>
          <w:lang w:val="es-ES_tradnl"/>
        </w:rPr>
        <w:t>[…]</w:t>
      </w:r>
    </w:p>
    <w:p w14:paraId="337C4AEE" w14:textId="77777777" w:rsidR="0035417C" w:rsidRPr="00371F29" w:rsidRDefault="0035417C" w:rsidP="0035417C">
      <w:pPr>
        <w:spacing w:after="0" w:line="240" w:lineRule="auto"/>
        <w:ind w:left="709" w:right="709"/>
        <w:jc w:val="both"/>
        <w:rPr>
          <w:rFonts w:ascii="Verdana" w:hAnsi="Verdana" w:cs="Arial"/>
          <w:bCs/>
          <w:sz w:val="20"/>
          <w:szCs w:val="20"/>
          <w:lang w:val="es-ES_tradnl"/>
        </w:rPr>
      </w:pPr>
      <w:r w:rsidRPr="00371F29">
        <w:rPr>
          <w:rFonts w:ascii="Verdana" w:hAnsi="Verdana" w:cs="Arial"/>
          <w:bCs/>
          <w:i/>
          <w:iCs/>
          <w:sz w:val="20"/>
          <w:szCs w:val="20"/>
          <w:lang w:val="es-ES_tradnl"/>
        </w:rPr>
        <w:t>En este tipo de contratos debe existir un presupuesto limitativo, establecido con el carácter del máximo, y debe preverse la posibilidad de que el objeto del contrato, y por ende el presupuesto máximo, se modifiquen en caso de que la entidad contratante necesite de un mayor número de unidades de producto de las inicialmente estimadas</w:t>
      </w:r>
      <w:r w:rsidRPr="00371F29">
        <w:rPr>
          <w:rFonts w:ascii="Verdana" w:hAnsi="Verdana" w:cs="Arial"/>
          <w:bCs/>
          <w:sz w:val="20"/>
          <w:szCs w:val="20"/>
          <w:lang w:val="es-ES_tradnl"/>
        </w:rPr>
        <w:t xml:space="preserve"> […] Es muy importante destacar que por vía de modificación del contrato no pueden establecerse nuevos precios unitarios no previstos inicialmente, por lo que […] se trata de prever la ampliación del número de unidades a suministrar, manteniéndose el precio unitario pactado originalmente”</w:t>
      </w:r>
      <w:r w:rsidRPr="00371F29">
        <w:rPr>
          <w:rStyle w:val="Refdenotaalpie"/>
          <w:rFonts w:ascii="Verdana" w:hAnsi="Verdana" w:cs="Arial"/>
          <w:bCs/>
          <w:sz w:val="20"/>
          <w:szCs w:val="20"/>
          <w:lang w:val="es-ES_tradnl"/>
        </w:rPr>
        <w:footnoteReference w:id="16"/>
      </w:r>
      <w:r w:rsidRPr="00371F29">
        <w:rPr>
          <w:rFonts w:ascii="Verdana" w:hAnsi="Verdana" w:cs="Arial"/>
          <w:bCs/>
          <w:sz w:val="20"/>
          <w:szCs w:val="20"/>
          <w:lang w:val="es-ES_tradnl"/>
        </w:rPr>
        <w:t xml:space="preserve">. (Énfasis fuera de texto)           </w:t>
      </w:r>
    </w:p>
    <w:p w14:paraId="42535FEE" w14:textId="77777777" w:rsidR="0035417C" w:rsidRPr="00371F29" w:rsidRDefault="0035417C" w:rsidP="0035417C">
      <w:pPr>
        <w:spacing w:after="0" w:line="276" w:lineRule="auto"/>
        <w:ind w:left="709" w:right="709"/>
        <w:jc w:val="both"/>
        <w:rPr>
          <w:rFonts w:ascii="Verdana" w:hAnsi="Verdana" w:cs="Arial"/>
          <w:bCs/>
          <w:lang w:val="es-ES_tradnl"/>
        </w:rPr>
      </w:pPr>
    </w:p>
    <w:p w14:paraId="139414A4" w14:textId="77777777" w:rsidR="0035417C" w:rsidRDefault="0035417C" w:rsidP="0035417C">
      <w:pPr>
        <w:spacing w:after="120" w:line="276" w:lineRule="auto"/>
        <w:ind w:firstLine="709"/>
        <w:jc w:val="both"/>
        <w:rPr>
          <w:rFonts w:ascii="Verdana" w:hAnsi="Verdana" w:cs="Arial"/>
          <w:bCs/>
          <w:lang w:val="es-ES_tradnl"/>
        </w:rPr>
      </w:pPr>
      <w:r w:rsidRPr="00371F29">
        <w:rPr>
          <w:rFonts w:ascii="Verdana" w:hAnsi="Verdana" w:cs="Arial"/>
          <w:bCs/>
          <w:lang w:val="es-ES_tradnl"/>
        </w:rPr>
        <w:t xml:space="preserve">Una situación similar se presenta en algunos </w:t>
      </w:r>
      <w:r w:rsidRPr="00371F29">
        <w:rPr>
          <w:rFonts w:ascii="Verdana" w:hAnsi="Verdana" w:cs="Arial"/>
          <w:bCs/>
          <w:i/>
          <w:iCs/>
          <w:lang w:val="es-ES_tradnl"/>
        </w:rPr>
        <w:t>contratos de obra</w:t>
      </w:r>
      <w:r w:rsidRPr="00371F29">
        <w:rPr>
          <w:rFonts w:ascii="Verdana" w:hAnsi="Verdana" w:cs="Arial"/>
          <w:bCs/>
          <w:lang w:val="es-ES_tradnl"/>
        </w:rPr>
        <w:t xml:space="preserve"> a precios unitarios donde, pese a que se encuentra establecido los ítems y el valor de cada uno de ellos, las cantidades definitivas dependen de lo efectivamente ejecutado al finalizar el plazo</w:t>
      </w:r>
      <w:r w:rsidRPr="00371F29">
        <w:rPr>
          <w:rStyle w:val="Refdenotaalpie"/>
          <w:rFonts w:ascii="Verdana" w:hAnsi="Verdana" w:cs="Arial"/>
          <w:bCs/>
          <w:lang w:val="es-ES_tradnl"/>
        </w:rPr>
        <w:footnoteReference w:id="17"/>
      </w:r>
      <w:r w:rsidRPr="00371F29">
        <w:rPr>
          <w:rFonts w:ascii="Verdana" w:hAnsi="Verdana" w:cs="Arial"/>
          <w:bCs/>
          <w:lang w:val="es-ES_tradnl"/>
        </w:rPr>
        <w:t xml:space="preserve">. En este sistema las partes establecen una suma fija por cada unidad de los trabajos que debe ejecutar el contratista, por lo que el precio –a diferencia del ajuste alzado o la suma cerrada– no se determina por la totalidad de la obra, sino por cada parte, unidad o medida. </w:t>
      </w:r>
    </w:p>
    <w:p w14:paraId="32E88FA0" w14:textId="77777777" w:rsidR="0035417C" w:rsidRDefault="0035417C" w:rsidP="0035417C">
      <w:pPr>
        <w:spacing w:after="120" w:line="276" w:lineRule="auto"/>
        <w:ind w:firstLine="709"/>
        <w:jc w:val="both"/>
        <w:rPr>
          <w:rFonts w:ascii="Verdana" w:hAnsi="Verdana" w:cs="Arial"/>
          <w:bCs/>
        </w:rPr>
      </w:pPr>
      <w:r w:rsidRPr="00371F29">
        <w:rPr>
          <w:rFonts w:ascii="Verdana" w:hAnsi="Verdana" w:cs="Arial"/>
          <w:bCs/>
          <w:lang w:val="es-ES_tradnl"/>
        </w:rPr>
        <w:t xml:space="preserve">De acuerdo con la explicación precedente, el denominado “contrato por monto agotable” no es una forma de contratación típica ni atípica en el </w:t>
      </w:r>
      <w:r w:rsidRPr="00371F29">
        <w:rPr>
          <w:rFonts w:ascii="Verdana" w:hAnsi="Verdana" w:cs="Arial"/>
          <w:bCs/>
          <w:lang w:val="es-ES_tradnl"/>
        </w:rPr>
        <w:lastRenderedPageBreak/>
        <w:t>ordenamiento colombiano, pues –aunque no esté expresamente regulado– corresponde una las formas en que puede pactarse el pago en los contratos a precios unitarios. Si bien es usual en algunos contratos de obra y suministro, nada obsta para que –de acuerdo con los estudios previos– se incluya en otras tipologías contractuales cuando la Administración lo estime conveniente y necesario, pues “</w:t>
      </w:r>
      <w:r w:rsidRPr="00371F29">
        <w:rPr>
          <w:rFonts w:ascii="Verdana" w:hAnsi="Verdana" w:cs="Arial"/>
          <w:bCs/>
        </w:rPr>
        <w:t>Las entidades podrán celebrar los contratos y acuerdos que permitan la autonomía de la voluntad y requieran el cumplimiento de los fines estatales” y, por tanto, “En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r w:rsidRPr="00371F29">
        <w:rPr>
          <w:rFonts w:ascii="Verdana" w:hAnsi="Verdana" w:cs="Arial"/>
          <w:bCs/>
          <w:lang w:val="es-ES_tradnl"/>
        </w:rPr>
        <w:t>artículo 40 de la Ley 80 de 1993)</w:t>
      </w:r>
      <w:r w:rsidRPr="00371F29">
        <w:rPr>
          <w:rFonts w:ascii="Verdana" w:hAnsi="Verdana" w:cs="Arial"/>
          <w:bCs/>
        </w:rPr>
        <w:t xml:space="preserve">. </w:t>
      </w:r>
    </w:p>
    <w:p w14:paraId="1EDAC1DF" w14:textId="77777777" w:rsidR="0035417C" w:rsidRPr="00371F29" w:rsidRDefault="0035417C" w:rsidP="0035417C">
      <w:pPr>
        <w:spacing w:after="120" w:line="276" w:lineRule="auto"/>
        <w:ind w:firstLine="709"/>
        <w:jc w:val="both"/>
        <w:rPr>
          <w:rFonts w:ascii="Verdana" w:hAnsi="Verdana" w:cs="Arial"/>
          <w:lang w:val="es-ES"/>
        </w:rPr>
      </w:pPr>
      <w:proofErr w:type="spellStart"/>
      <w:r w:rsidRPr="4CB833AE">
        <w:rPr>
          <w:rFonts w:ascii="Verdana" w:hAnsi="Verdana" w:cs="Arial"/>
          <w:lang w:val="es-ES"/>
        </w:rPr>
        <w:t>ii</w:t>
      </w:r>
      <w:proofErr w:type="spellEnd"/>
      <w:r w:rsidRPr="4CB833AE">
        <w:rPr>
          <w:rFonts w:ascii="Verdana" w:hAnsi="Verdana" w:cs="Arial"/>
          <w:lang w:val="es-ES"/>
        </w:rPr>
        <w:t xml:space="preserve">. 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   </w:t>
      </w:r>
    </w:p>
    <w:p w14:paraId="494C4C32" w14:textId="77777777" w:rsidR="0035417C" w:rsidRDefault="0035417C" w:rsidP="0035417C">
      <w:pPr>
        <w:spacing w:after="120" w:line="276" w:lineRule="auto"/>
        <w:ind w:firstLine="709"/>
        <w:jc w:val="both"/>
        <w:rPr>
          <w:rFonts w:ascii="Verdana" w:hAnsi="Verdana" w:cs="Arial"/>
          <w:bCs/>
        </w:rPr>
      </w:pPr>
      <w:r>
        <w:rPr>
          <w:rFonts w:ascii="Verdana" w:hAnsi="Verdana" w:cs="Arial"/>
          <w:bCs/>
          <w:lang w:val="es-ES_tradnl"/>
        </w:rPr>
        <w:t>En este orden de ideas</w:t>
      </w:r>
      <w:r w:rsidRPr="00EB77EF">
        <w:rPr>
          <w:rFonts w:ascii="Verdana" w:hAnsi="Verdana" w:cs="Arial"/>
          <w:bCs/>
          <w:lang w:val="es-ES_tradnl"/>
        </w:rPr>
        <w:t xml:space="preserve">, la </w:t>
      </w:r>
      <w:r>
        <w:rPr>
          <w:rFonts w:ascii="Verdana" w:hAnsi="Verdana" w:cs="Arial"/>
          <w:bCs/>
          <w:lang w:val="es-ES_tradnl"/>
        </w:rPr>
        <w:t>determinación</w:t>
      </w:r>
      <w:r w:rsidRPr="00EB77EF">
        <w:rPr>
          <w:rFonts w:ascii="Verdana" w:hAnsi="Verdana" w:cs="Arial"/>
          <w:bCs/>
          <w:lang w:val="es-ES_tradnl"/>
        </w:rPr>
        <w:t xml:space="preserve"> del precio del contrato y la forma de pago a precios unitarios, según la demanda de obras, bienes o servicios requeridos por la entidad contratante durante el plazo del contrato, sin exceder el presupuesto oficial, es una modalidad de pacto contractual que puede </w:t>
      </w:r>
      <w:r w:rsidRPr="00EB77EF">
        <w:rPr>
          <w:rFonts w:ascii="Verdana" w:hAnsi="Verdana" w:cs="Arial"/>
          <w:bCs/>
          <w:lang w:val="es-ES_tradnl"/>
        </w:rPr>
        <w:lastRenderedPageBreak/>
        <w:t>utilizarse por las entidades públicas.</w:t>
      </w:r>
      <w:r>
        <w:rPr>
          <w:rFonts w:ascii="Verdana" w:hAnsi="Verdana"/>
        </w:rPr>
        <w:t xml:space="preserve"> </w:t>
      </w:r>
      <w:r w:rsidRPr="00EB77EF">
        <w:rPr>
          <w:rFonts w:ascii="Verdana" w:hAnsi="Verdana"/>
        </w:rPr>
        <w:t>De esta manera</w:t>
      </w:r>
      <w:r>
        <w:rPr>
          <w:rFonts w:ascii="Verdana" w:hAnsi="Verdana"/>
        </w:rPr>
        <w:t>,</w:t>
      </w:r>
      <w:r w:rsidRPr="00EB77EF">
        <w:rPr>
          <w:rFonts w:ascii="Verdana" w:hAnsi="Verdana"/>
        </w:rPr>
        <w:t xml:space="preserve"> en este tipo de contratos lo relevante es que los precios unitarios ofertados sean razonables, competitivos y se ajusten al presupuesto máximo disponible, sin que exista norma en el ordenamiento jurídico que obligue a que sea necesario que la propuesta total iguale el presupuesto oficial, ya que este último opera como un límite máximo de ejecución y no como un precio fijo del contrato.</w:t>
      </w:r>
    </w:p>
    <w:p w14:paraId="0F13FF3F" w14:textId="77777777" w:rsidR="0035417C" w:rsidRDefault="0035417C" w:rsidP="0035417C">
      <w:pPr>
        <w:spacing w:after="120" w:line="276" w:lineRule="auto"/>
        <w:ind w:firstLine="709"/>
        <w:jc w:val="both"/>
        <w:rPr>
          <w:rFonts w:ascii="Verdana" w:eastAsia="Calibri" w:hAnsi="Verdana" w:cs="Arial"/>
          <w:bCs/>
          <w:lang w:val="es-ES_tradnl" w:eastAsia="es-MX"/>
        </w:rPr>
      </w:pPr>
      <w:r w:rsidRPr="00794C2C">
        <w:rPr>
          <w:rFonts w:ascii="Verdana" w:hAnsi="Verdana" w:cs="Arial"/>
          <w:bCs/>
          <w:lang w:val="es-ES_tradnl"/>
        </w:rPr>
        <w:t>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w:t>
      </w:r>
      <w:r>
        <w:rPr>
          <w:rFonts w:ascii="Verdana" w:hAnsi="Verdana" w:cs="Arial"/>
          <w:bCs/>
          <w:lang w:val="es-ES_tradnl"/>
        </w:rPr>
        <w:t xml:space="preserve"> </w:t>
      </w:r>
      <w:r w:rsidRPr="00794C2C">
        <w:rPr>
          <w:rFonts w:ascii="Verdana" w:hAnsi="Verdana" w:cs="Arial"/>
          <w:bCs/>
          <w:lang w:val="es-ES_tradnl"/>
        </w:rPr>
        <w:t xml:space="preserve">Sin perjuicio de lo anterior, hay que tener en cuenta que, el pliego de condiciones </w:t>
      </w:r>
      <w:r>
        <w:rPr>
          <w:rFonts w:ascii="Verdana" w:hAnsi="Verdana" w:cs="Arial"/>
          <w:bCs/>
          <w:lang w:val="es-ES_tradnl"/>
        </w:rPr>
        <w:t xml:space="preserve">o la invitación a ofertar debe estructurar </w:t>
      </w:r>
      <w:r w:rsidRPr="00794C2C">
        <w:rPr>
          <w:rFonts w:ascii="Verdana" w:hAnsi="Verdana" w:cs="Arial"/>
          <w:bCs/>
          <w:lang w:val="es-ES_tradnl"/>
        </w:rPr>
        <w:t xml:space="preserve">lineamientos </w:t>
      </w:r>
      <w:r>
        <w:rPr>
          <w:rFonts w:ascii="Verdana" w:hAnsi="Verdana" w:cs="Arial"/>
          <w:bCs/>
          <w:lang w:val="es-ES_tradnl"/>
        </w:rPr>
        <w:t>claros</w:t>
      </w:r>
      <w:r w:rsidRPr="00794C2C">
        <w:rPr>
          <w:rFonts w:ascii="Verdana" w:hAnsi="Verdana" w:cs="Arial"/>
          <w:bCs/>
          <w:lang w:val="es-ES_tradnl"/>
        </w:rPr>
        <w:t xml:space="preserve"> respecto de la presentación de la oferta</w:t>
      </w:r>
      <w:r>
        <w:rPr>
          <w:rFonts w:ascii="Verdana" w:hAnsi="Verdana" w:cs="Arial"/>
          <w:bCs/>
          <w:lang w:val="es-ES_tradnl"/>
        </w:rPr>
        <w:t>, la forma como se realizará la evaluación económica, dado que en su consulta señala la modalidad de mínima cuantía donde el único factor de evaluación es el precio</w:t>
      </w:r>
      <w:r w:rsidRPr="00794C2C">
        <w:rPr>
          <w:rFonts w:ascii="Verdana" w:hAnsi="Verdana" w:cs="Arial"/>
          <w:bCs/>
          <w:lang w:val="es-ES_tradnl"/>
        </w:rPr>
        <w:t xml:space="preserve"> y la adjudicación del contrato</w:t>
      </w:r>
      <w:r>
        <w:rPr>
          <w:rFonts w:ascii="Verdana" w:hAnsi="Verdana" w:cs="Arial"/>
          <w:bCs/>
          <w:lang w:val="es-ES_tradnl"/>
        </w:rPr>
        <w:t>,</w:t>
      </w:r>
      <w:r w:rsidRPr="00794C2C">
        <w:rPr>
          <w:rFonts w:ascii="Verdana" w:hAnsi="Verdana" w:cs="Arial"/>
          <w:bCs/>
          <w:lang w:val="es-ES_tradnl"/>
        </w:rPr>
        <w:t xml:space="preserve"> ya sea por la totalidad del presupuesto oficial asignado o en su defecto por el menor valor ofertado</w:t>
      </w:r>
      <w:r>
        <w:rPr>
          <w:rFonts w:ascii="Verdana" w:eastAsia="Calibri" w:hAnsi="Verdana" w:cs="Arial"/>
          <w:bCs/>
          <w:lang w:val="es-ES_tradnl" w:eastAsia="es-MX"/>
        </w:rPr>
        <w:t>.</w:t>
      </w:r>
    </w:p>
    <w:p w14:paraId="0D33C8A4" w14:textId="77777777" w:rsidR="0035417C" w:rsidRPr="004548C3" w:rsidRDefault="0035417C" w:rsidP="0035417C">
      <w:pPr>
        <w:spacing w:after="120" w:line="276" w:lineRule="auto"/>
        <w:ind w:firstLine="709"/>
        <w:jc w:val="both"/>
        <w:rPr>
          <w:rFonts w:ascii="Verdana" w:hAnsi="Verdana" w:cs="Arial"/>
          <w:bCs/>
        </w:rPr>
      </w:pPr>
      <w:r>
        <w:rPr>
          <w:rFonts w:ascii="Verdana" w:eastAsia="Calibri" w:hAnsi="Verdana" w:cs="Times New Roman"/>
          <w:lang w:val="es-ES"/>
        </w:rPr>
        <w:t>Finalmente, es de precisar que el análisis</w:t>
      </w:r>
      <w:r w:rsidRPr="00DB4737">
        <w:rPr>
          <w:rFonts w:ascii="Verdana" w:eastAsia="Calibri" w:hAnsi="Verdana" w:cs="Times New Roman"/>
          <w:lang w:val="es-ES"/>
        </w:rPr>
        <w:t xml:space="preserve"> para resolver problemas específicos en </w:t>
      </w:r>
      <w:r w:rsidRPr="00EB77EF">
        <w:rPr>
          <w:rFonts w:ascii="Verdana" w:eastAsia="Calibri" w:hAnsi="Verdana" w:cs="Times New Roman"/>
          <w:lang w:val="es-ES"/>
        </w:rPr>
        <w:t xml:space="preserve">torno a </w:t>
      </w:r>
      <w:r w:rsidRPr="00EB77EF">
        <w:rPr>
          <w:rFonts w:ascii="Verdana" w:eastAsia="Century Gothic" w:hAnsi="Verdana" w:cs="Century Gothic"/>
        </w:rPr>
        <w:t>los</w:t>
      </w:r>
      <w:r w:rsidRPr="00C17F27">
        <w:rPr>
          <w:rFonts w:ascii="Verdana" w:eastAsia="Century Gothic" w:hAnsi="Verdana" w:cs="Century Gothic"/>
        </w:rPr>
        <w:t xml:space="preserve"> procesos de contratación</w:t>
      </w:r>
      <w:r>
        <w:rPr>
          <w:rFonts w:ascii="Verdana" w:eastAsia="Century Gothic" w:hAnsi="Verdana" w:cs="Century Gothic"/>
        </w:rPr>
        <w:t>, así como la estructuración de la forma de pago</w:t>
      </w:r>
      <w:r w:rsidRPr="00C17F27">
        <w:rPr>
          <w:rFonts w:ascii="Verdana" w:eastAsia="Century Gothic" w:hAnsi="Verdana" w:cs="Century Gothic"/>
        </w:rPr>
        <w:t xml:space="preserve"> bajo la modalidad de monto agotable</w:t>
      </w:r>
      <w:r>
        <w:rPr>
          <w:rFonts w:ascii="Verdana" w:eastAsia="Century Gothic" w:hAnsi="Verdana" w:cs="Century Gothic"/>
        </w:rPr>
        <w:t>,</w:t>
      </w:r>
      <w:r w:rsidRPr="00C17F27">
        <w:rPr>
          <w:rFonts w:ascii="Verdana" w:eastAsia="Century Gothic" w:hAnsi="Verdana" w:cs="Century Gothic"/>
        </w:rPr>
        <w:t xml:space="preserve"> </w:t>
      </w:r>
      <w:r w:rsidRPr="00DB4737">
        <w:rPr>
          <w:rFonts w:ascii="Verdana" w:eastAsia="Calibri" w:hAnsi="Verdana" w:cs="Times New Roman"/>
          <w:lang w:val="es-ES"/>
        </w:rPr>
        <w:t>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6A4EA43" w14:textId="77777777" w:rsidR="0035417C" w:rsidRDefault="0035417C" w:rsidP="0035417C">
      <w:pPr>
        <w:spacing w:before="120" w:after="120" w:line="276" w:lineRule="auto"/>
        <w:ind w:firstLine="709"/>
        <w:jc w:val="both"/>
        <w:rPr>
          <w:rFonts w:ascii="Verdana" w:eastAsia="Calibri" w:hAnsi="Verdana" w:cs="Arial"/>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FBBC609" w14:textId="77777777" w:rsidR="0035417C" w:rsidRPr="00505CD6" w:rsidRDefault="0035417C" w:rsidP="0035417C">
      <w:pPr>
        <w:tabs>
          <w:tab w:val="left" w:pos="426"/>
        </w:tabs>
        <w:spacing w:after="120" w:line="276" w:lineRule="auto"/>
        <w:jc w:val="both"/>
        <w:rPr>
          <w:rFonts w:ascii="Verdana" w:eastAsia="Century Gothic" w:hAnsi="Verdana" w:cs="Century Gothic"/>
          <w:b/>
          <w:bCs/>
          <w:lang w:val="es-ES"/>
        </w:rPr>
      </w:pPr>
      <w:r>
        <w:rPr>
          <w:rFonts w:ascii="Verdana" w:eastAsia="Century Gothic" w:hAnsi="Verdana" w:cs="Century Gothic"/>
          <w:b/>
          <w:bCs/>
          <w:lang w:val="es-ES"/>
        </w:rPr>
        <w:lastRenderedPageBreak/>
        <w:t xml:space="preserve">4. </w:t>
      </w:r>
      <w:r w:rsidRPr="00505CD6">
        <w:rPr>
          <w:rFonts w:ascii="Verdana" w:eastAsia="Century Gothic" w:hAnsi="Verdana" w:cs="Century Gothic"/>
          <w:b/>
          <w:bCs/>
          <w:lang w:val="es-ES"/>
        </w:rPr>
        <w:t>Referencias normativas y jurisprudenciales: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417C" w:rsidRPr="00505CD6" w14:paraId="6861F753" w14:textId="77777777" w:rsidTr="00884570">
        <w:trPr>
          <w:trHeight w:val="870"/>
          <w:jc w:val="center"/>
        </w:trPr>
        <w:tc>
          <w:tcPr>
            <w:tcW w:w="8647" w:type="dxa"/>
          </w:tcPr>
          <w:p w14:paraId="7F9EC9E5" w14:textId="77777777" w:rsidR="0035417C" w:rsidRPr="00776B1D" w:rsidRDefault="0035417C" w:rsidP="00884570">
            <w:pPr>
              <w:pStyle w:val="Prrafodelista"/>
              <w:numPr>
                <w:ilvl w:val="0"/>
                <w:numId w:val="17"/>
              </w:numPr>
              <w:jc w:val="both"/>
              <w:rPr>
                <w:rFonts w:ascii="Verdana" w:hAnsi="Verdana" w:cs="Arial"/>
                <w:lang w:val="es-CO"/>
              </w:rPr>
            </w:pPr>
            <w:r w:rsidRPr="00641B31">
              <w:rPr>
                <w:rFonts w:ascii="Verdana" w:hAnsi="Verdana" w:cs="Arial"/>
                <w:lang w:val="es-CO"/>
              </w:rPr>
              <w:t xml:space="preserve">Ley </w:t>
            </w:r>
            <w:r w:rsidRPr="00641B31">
              <w:rPr>
                <w:rFonts w:ascii="Verdana" w:hAnsi="Verdana" w:cs="Arial"/>
                <w:bCs/>
                <w:lang w:val="es-ES_tradnl"/>
              </w:rPr>
              <w:t>80 de 1993, artículo 14, 40</w:t>
            </w:r>
          </w:p>
          <w:p w14:paraId="09B44384" w14:textId="55BBA43A" w:rsidR="0035417C" w:rsidRPr="00776B1D" w:rsidRDefault="008523C7" w:rsidP="00884570">
            <w:pPr>
              <w:pStyle w:val="Prrafodelista"/>
              <w:widowControl w:val="0"/>
              <w:numPr>
                <w:ilvl w:val="0"/>
                <w:numId w:val="17"/>
              </w:numPr>
              <w:tabs>
                <w:tab w:val="left" w:pos="8419"/>
              </w:tabs>
              <w:autoSpaceDE w:val="0"/>
              <w:autoSpaceDN w:val="0"/>
              <w:spacing w:after="120" w:line="276" w:lineRule="auto"/>
              <w:jc w:val="both"/>
              <w:rPr>
                <w:rFonts w:ascii="Verdana" w:hAnsi="Verdana" w:cs="Arial"/>
                <w:lang w:val="es-CO"/>
              </w:rPr>
            </w:pPr>
            <w:r w:rsidRPr="00641B31">
              <w:rPr>
                <w:rFonts w:ascii="Verdana" w:hAnsi="Verdana" w:cs="Arial"/>
                <w:bCs/>
                <w:lang w:val="es-ES_tradnl"/>
              </w:rPr>
              <w:t>Código</w:t>
            </w:r>
            <w:r w:rsidR="0035417C" w:rsidRPr="00641B31">
              <w:rPr>
                <w:rFonts w:ascii="Verdana" w:hAnsi="Verdana" w:cs="Arial"/>
                <w:bCs/>
                <w:lang w:val="es-ES_tradnl"/>
              </w:rPr>
              <w:t xml:space="preserve"> Civil, articulo 1849</w:t>
            </w:r>
          </w:p>
          <w:p w14:paraId="638ED307" w14:textId="77777777" w:rsidR="0035417C" w:rsidRPr="00641B31" w:rsidRDefault="0035417C" w:rsidP="00884570">
            <w:pPr>
              <w:pStyle w:val="Prrafodelista"/>
              <w:widowControl w:val="0"/>
              <w:numPr>
                <w:ilvl w:val="0"/>
                <w:numId w:val="17"/>
              </w:numPr>
              <w:tabs>
                <w:tab w:val="left" w:pos="8419"/>
              </w:tabs>
              <w:autoSpaceDE w:val="0"/>
              <w:autoSpaceDN w:val="0"/>
              <w:spacing w:after="120" w:line="276" w:lineRule="auto"/>
              <w:jc w:val="both"/>
              <w:rPr>
                <w:rFonts w:ascii="Verdana" w:hAnsi="Verdana" w:cs="Arial"/>
                <w:lang w:val="es-CO"/>
              </w:rPr>
            </w:pPr>
            <w:r w:rsidRPr="00776B1D">
              <w:rPr>
                <w:rFonts w:ascii="Verdana" w:hAnsi="Verdana" w:cs="Arial"/>
              </w:rPr>
              <w:t xml:space="preserve">Consejo de Estado, Sección Tercera, Subsección A sentencia de 19 de julio de 2018, M.P. Marta Nubia Velázquez Rico, Rad. 2013-01826(57.576) </w:t>
            </w:r>
          </w:p>
          <w:p w14:paraId="79429698" w14:textId="77777777" w:rsidR="0035417C" w:rsidRPr="00641B31" w:rsidRDefault="0035417C" w:rsidP="00884570">
            <w:pPr>
              <w:pStyle w:val="Prrafodelista"/>
              <w:numPr>
                <w:ilvl w:val="0"/>
                <w:numId w:val="17"/>
              </w:numPr>
              <w:jc w:val="both"/>
              <w:rPr>
                <w:rFonts w:ascii="Verdana" w:hAnsi="Verdana" w:cs="Arial"/>
                <w:iCs/>
                <w:color w:val="000000" w:themeColor="text1"/>
              </w:rPr>
            </w:pPr>
            <w:r w:rsidRPr="00641B31">
              <w:rPr>
                <w:rFonts w:ascii="Verdana" w:hAnsi="Verdana" w:cs="Arial"/>
                <w:iCs/>
                <w:color w:val="000000" w:themeColor="text1"/>
              </w:rPr>
              <w:t>Gaceta Judicial T.XLVIII, p.50. Citada por: SUAREZ BELTRÁN, Gonzalo. Estudios de derecho contractual público. Bogotá: Legis, 2014. p. 239.</w:t>
            </w:r>
          </w:p>
          <w:p w14:paraId="0A984A5F" w14:textId="77777777" w:rsidR="0035417C" w:rsidRPr="00641B31" w:rsidRDefault="0035417C" w:rsidP="00884570">
            <w:pPr>
              <w:pStyle w:val="Textonotapie"/>
              <w:numPr>
                <w:ilvl w:val="0"/>
                <w:numId w:val="17"/>
              </w:numPr>
              <w:jc w:val="both"/>
              <w:rPr>
                <w:rFonts w:ascii="Verdana" w:hAnsi="Verdana" w:cs="Arial"/>
                <w:color w:val="000000"/>
                <w:sz w:val="22"/>
                <w:szCs w:val="22"/>
              </w:rPr>
            </w:pPr>
            <w:r w:rsidRPr="00641B31">
              <w:rPr>
                <w:rFonts w:ascii="Verdana" w:hAnsi="Verdana" w:cs="Arial"/>
                <w:iCs/>
                <w:color w:val="000000" w:themeColor="text1"/>
                <w:sz w:val="22"/>
                <w:szCs w:val="22"/>
              </w:rPr>
              <w:t>CONSEJO DE ESTADO. Sala de Consulta y Servicio Civil. Concepto</w:t>
            </w:r>
            <w:r w:rsidRPr="00641B31">
              <w:rPr>
                <w:rFonts w:ascii="Verdana" w:hAnsi="Verdana" w:cs="Arial"/>
                <w:bCs/>
                <w:color w:val="000000" w:themeColor="text1"/>
                <w:sz w:val="22"/>
                <w:szCs w:val="22"/>
              </w:rPr>
              <w:t xml:space="preserve"> </w:t>
            </w:r>
            <w:r w:rsidRPr="00641B31">
              <w:rPr>
                <w:rFonts w:ascii="Verdana" w:hAnsi="Verdana" w:cs="Arial"/>
                <w:iCs/>
                <w:color w:val="000000" w:themeColor="text1"/>
                <w:sz w:val="22"/>
                <w:szCs w:val="22"/>
              </w:rPr>
              <w:t xml:space="preserve">del 5 de septiembre de 2018. </w:t>
            </w:r>
            <w:proofErr w:type="spellStart"/>
            <w:r w:rsidRPr="00641B31">
              <w:rPr>
                <w:rFonts w:ascii="Verdana" w:hAnsi="Verdana" w:cs="Arial"/>
                <w:iCs/>
                <w:color w:val="000000" w:themeColor="text1"/>
                <w:sz w:val="22"/>
                <w:szCs w:val="22"/>
              </w:rPr>
              <w:t>Exp</w:t>
            </w:r>
            <w:proofErr w:type="spellEnd"/>
            <w:r w:rsidRPr="00641B31">
              <w:rPr>
                <w:rFonts w:ascii="Verdana" w:hAnsi="Verdana" w:cs="Arial"/>
                <w:iCs/>
                <w:color w:val="000000" w:themeColor="text1"/>
                <w:sz w:val="22"/>
                <w:szCs w:val="22"/>
              </w:rPr>
              <w:t>. 2.386. C.P. Edgar González López.</w:t>
            </w:r>
          </w:p>
          <w:p w14:paraId="0F69C973" w14:textId="77777777" w:rsidR="0035417C" w:rsidRPr="00650030" w:rsidRDefault="0035417C" w:rsidP="00884570">
            <w:pPr>
              <w:pStyle w:val="Prrafodelista"/>
              <w:jc w:val="both"/>
              <w:rPr>
                <w:rFonts w:ascii="Verdana" w:hAnsi="Verdana" w:cs="Arial"/>
                <w:lang w:val="es-ES_tradnl"/>
              </w:rPr>
            </w:pPr>
          </w:p>
        </w:tc>
      </w:tr>
    </w:tbl>
    <w:p w14:paraId="115A0DFC" w14:textId="77777777" w:rsidR="0035417C" w:rsidRPr="00505CD6" w:rsidRDefault="0035417C" w:rsidP="0035417C">
      <w:pPr>
        <w:widowControl w:val="0"/>
        <w:autoSpaceDE w:val="0"/>
        <w:autoSpaceDN w:val="0"/>
        <w:spacing w:after="0" w:line="276" w:lineRule="auto"/>
        <w:jc w:val="both"/>
        <w:rPr>
          <w:rFonts w:ascii="Verdana" w:hAnsi="Verdana" w:cs="Arial"/>
        </w:rPr>
      </w:pPr>
    </w:p>
    <w:p w14:paraId="46D7466D" w14:textId="77777777" w:rsidR="0035417C" w:rsidRPr="00505CD6" w:rsidRDefault="0035417C" w:rsidP="0035417C">
      <w:pPr>
        <w:tabs>
          <w:tab w:val="left" w:pos="142"/>
          <w:tab w:val="left" w:pos="284"/>
        </w:tabs>
        <w:spacing w:after="0" w:line="276" w:lineRule="auto"/>
        <w:ind w:left="568"/>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Pr="00505CD6">
        <w:rPr>
          <w:rFonts w:ascii="Verdana" w:eastAsia="Century Gothic" w:hAnsi="Verdana" w:cs="Century Gothic"/>
          <w:b/>
          <w:bCs/>
          <w:lang w:val="es-ES"/>
        </w:rPr>
        <w:t>Doctrina de la Agencia Nacional de Contratación Pública:</w:t>
      </w:r>
    </w:p>
    <w:p w14:paraId="4BB5A12F" w14:textId="77777777" w:rsidR="0035417C" w:rsidRPr="00505CD6" w:rsidRDefault="0035417C" w:rsidP="0035417C">
      <w:pPr>
        <w:widowControl w:val="0"/>
        <w:autoSpaceDE w:val="0"/>
        <w:autoSpaceDN w:val="0"/>
        <w:spacing w:after="0" w:line="276" w:lineRule="auto"/>
        <w:jc w:val="both"/>
        <w:rPr>
          <w:rFonts w:ascii="Verdana" w:hAnsi="Verdana" w:cs="Arial"/>
        </w:rPr>
      </w:pPr>
    </w:p>
    <w:p w14:paraId="11F55CE5" w14:textId="77777777" w:rsidR="0035417C" w:rsidRDefault="0035417C" w:rsidP="0035417C">
      <w:pPr>
        <w:widowControl w:val="0"/>
        <w:autoSpaceDE w:val="0"/>
        <w:autoSpaceDN w:val="0"/>
        <w:spacing w:after="0" w:line="276" w:lineRule="auto"/>
        <w:jc w:val="both"/>
        <w:rPr>
          <w:rFonts w:ascii="Verdana" w:hAnsi="Verdana" w:cs="Arial"/>
          <w:shd w:val="clear" w:color="auto" w:fill="FFFFFF"/>
          <w:lang w:val="es-ES"/>
        </w:rPr>
      </w:pPr>
      <w:r w:rsidRPr="003A7CDE">
        <w:rPr>
          <w:rStyle w:val="normaltextrun"/>
          <w:rFonts w:ascii="Verdana" w:hAnsi="Verdana" w:cs="Arial"/>
          <w:shd w:val="clear" w:color="auto" w:fill="FFFFFF"/>
          <w:lang w:val="es-ES"/>
        </w:rPr>
        <w:t xml:space="preserve">Sobre </w:t>
      </w:r>
      <w:r w:rsidRPr="00DB06FE">
        <w:rPr>
          <w:rFonts w:ascii="Verdana" w:eastAsia="Calibri" w:hAnsi="Verdana" w:cs="Arial"/>
          <w:color w:val="000000" w:themeColor="text1"/>
          <w:lang w:val="es-ES"/>
        </w:rPr>
        <w:t>el régimen del precio en la contratación estatal</w:t>
      </w:r>
      <w:r w:rsidRPr="00DB06FE">
        <w:rPr>
          <w:rFonts w:ascii="Verdana" w:eastAsia="Calibri" w:hAnsi="Verdana" w:cs="Arial"/>
          <w:color w:val="000000"/>
          <w:lang w:val="es-ES_tradnl"/>
        </w:rPr>
        <w:t xml:space="preserve">, </w:t>
      </w:r>
      <w:r w:rsidRPr="00DB06FE">
        <w:rPr>
          <w:rStyle w:val="normaltextrun"/>
          <w:rFonts w:ascii="Verdana" w:hAnsi="Verdana" w:cs="Arial"/>
          <w:shd w:val="clear" w:color="auto" w:fill="FFFFFF"/>
          <w:lang w:val="es-ES"/>
        </w:rPr>
        <w:t xml:space="preserve">se pronunció esta Subdirección </w:t>
      </w:r>
      <w:r w:rsidRPr="00DB06FE">
        <w:rPr>
          <w:rFonts w:ascii="Verdana" w:eastAsia="Calibri" w:hAnsi="Verdana" w:cs="Arial"/>
          <w:lang w:val="es-ES"/>
        </w:rPr>
        <w:t xml:space="preserve">en los conceptos </w:t>
      </w:r>
      <w:r w:rsidRPr="00DB06FE">
        <w:rPr>
          <w:rFonts w:ascii="Verdana" w:eastAsia="Calibri" w:hAnsi="Verdana" w:cs="Arial"/>
          <w:color w:val="000000" w:themeColor="text1"/>
        </w:rPr>
        <w:t xml:space="preserve"> C-037 del 28 de enero de 2020, C-191 del 16 de marzo de 2020 y C-211 del 8 de abril de 2020, C-469 del 27 de septiembre de 2020, C-480 del 16 de septiembre de 2020, C-059 del 10 de marzo de 2021, </w:t>
      </w:r>
      <w:r w:rsidRPr="00DB06FE">
        <w:rPr>
          <w:rFonts w:ascii="Verdana" w:eastAsia="Calibri" w:hAnsi="Verdana" w:cs="Arial"/>
          <w:color w:val="000000" w:themeColor="text1"/>
          <w:lang w:val="es-ES"/>
        </w:rPr>
        <w:t>C-017 del 22 de febrero de 2022</w:t>
      </w:r>
      <w:r>
        <w:rPr>
          <w:rFonts w:ascii="Verdana" w:eastAsia="Calibri" w:hAnsi="Verdana" w:cs="Arial"/>
          <w:color w:val="000000" w:themeColor="text1"/>
          <w:lang w:val="es-ES"/>
        </w:rPr>
        <w:t xml:space="preserve">, </w:t>
      </w:r>
      <w:r w:rsidRPr="00DB06FE">
        <w:rPr>
          <w:rFonts w:ascii="Verdana" w:eastAsia="Calibri" w:hAnsi="Verdana" w:cs="Arial"/>
          <w:color w:val="000000" w:themeColor="text1"/>
        </w:rPr>
        <w:t>C-613 del 6 de octubre de 2022, C-716 del 15 de noviembre de 2022</w:t>
      </w:r>
      <w:r w:rsidRPr="00DB06FE">
        <w:rPr>
          <w:rFonts w:ascii="Verdana" w:eastAsia="Calibri" w:hAnsi="Verdana" w:cs="Arial"/>
          <w:color w:val="000000" w:themeColor="text1"/>
          <w:lang w:val="es-ES"/>
        </w:rPr>
        <w:t>, C-104 del 27 de abril de 2023</w:t>
      </w:r>
      <w:r>
        <w:rPr>
          <w:rFonts w:ascii="Verdana" w:eastAsia="Calibri" w:hAnsi="Verdana" w:cs="Arial"/>
          <w:color w:val="000000" w:themeColor="text1"/>
          <w:lang w:val="es-ES"/>
        </w:rPr>
        <w:t xml:space="preserve"> y C-609 del 25 de octubre de 2024, C-764 del 25 de julio de 2025</w:t>
      </w:r>
      <w:r w:rsidRPr="005467AB">
        <w:rPr>
          <w:rFonts w:ascii="Verdana" w:eastAsia="Calibri" w:hAnsi="Verdana" w:cs="Arial"/>
          <w:color w:val="000000" w:themeColor="text1"/>
          <w:lang w:eastAsia="es-ES_tradnl"/>
        </w:rPr>
        <w:t xml:space="preserve"> entre</w:t>
      </w:r>
      <w:r>
        <w:rPr>
          <w:rFonts w:ascii="Verdana" w:eastAsia="Calibri" w:hAnsi="Verdana" w:cs="Arial"/>
          <w:color w:val="000000" w:themeColor="text1"/>
          <w:lang w:eastAsia="es-ES_tradnl"/>
        </w:rPr>
        <w:t xml:space="preserve"> otros</w:t>
      </w:r>
      <w:r>
        <w:rPr>
          <w:rFonts w:ascii="Verdana" w:eastAsia="Calibri" w:hAnsi="Verdana" w:cs="Arial"/>
          <w:shd w:val="clear" w:color="auto" w:fill="FFFFFF"/>
        </w:rPr>
        <w:t>.</w:t>
      </w:r>
      <w:r w:rsidRPr="00185EE9">
        <w:rPr>
          <w:rFonts w:ascii="Verdana" w:eastAsia="Calibri" w:hAnsi="Verdana" w:cs="Times New Roman"/>
        </w:rPr>
        <w:t xml:space="preserve"> </w:t>
      </w:r>
      <w:r w:rsidRPr="00417263">
        <w:rPr>
          <w:rFonts w:ascii="Verdana" w:eastAsia="Calibri" w:hAnsi="Verdana" w:cs="Arial"/>
          <w:color w:val="000000" w:themeColor="text1"/>
        </w:rPr>
        <w:t>Por otra parte, en el Concepto C-017 del 22 de febrero de 2022</w:t>
      </w:r>
      <w:r>
        <w:rPr>
          <w:rFonts w:ascii="Verdana" w:eastAsia="Calibri" w:hAnsi="Verdana" w:cs="Arial"/>
          <w:color w:val="000000" w:themeColor="text1"/>
        </w:rPr>
        <w:t xml:space="preserve">, </w:t>
      </w:r>
      <w:r w:rsidRPr="00DB06FE">
        <w:rPr>
          <w:rFonts w:ascii="Verdana" w:eastAsia="Calibri" w:hAnsi="Verdana" w:cs="Arial"/>
          <w:color w:val="000000" w:themeColor="text1"/>
          <w:lang w:val="es-ES"/>
        </w:rPr>
        <w:t>C-104 del 27 de abril de 2023</w:t>
      </w:r>
      <w:r w:rsidRPr="00417263">
        <w:rPr>
          <w:rFonts w:ascii="Verdana" w:eastAsia="Calibri" w:hAnsi="Verdana" w:cs="Arial"/>
          <w:color w:val="000000" w:themeColor="text1"/>
        </w:rPr>
        <w:t>,</w:t>
      </w:r>
      <w:r>
        <w:rPr>
          <w:rFonts w:ascii="Verdana" w:eastAsia="Calibri" w:hAnsi="Verdana" w:cs="Arial"/>
          <w:color w:val="000000" w:themeColor="text1"/>
        </w:rPr>
        <w:t xml:space="preserve"> y C-346 del 29 de abril de 2025, </w:t>
      </w:r>
      <w:r w:rsidRPr="00417263">
        <w:rPr>
          <w:rFonts w:ascii="Verdana" w:eastAsia="Calibri" w:hAnsi="Verdana" w:cs="Arial"/>
          <w:color w:val="000000" w:themeColor="text1"/>
        </w:rPr>
        <w:t>la Agencia se pronunció expresamente sobre los contratos por bolsa o a monto agotable. Es</w:t>
      </w:r>
      <w:r>
        <w:rPr>
          <w:rFonts w:ascii="Verdana" w:eastAsia="Calibri" w:hAnsi="Verdana" w:cs="Times New Roman"/>
        </w:rPr>
        <w:t xml:space="preserve">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9F1519">
        <w:rPr>
          <w:rFonts w:ascii="Verdana" w:hAnsi="Verdana" w:cs="Arial"/>
          <w:shd w:val="clear" w:color="auto" w:fill="FFFFFF"/>
          <w:lang w:val="es-ES"/>
        </w:rPr>
        <w:t xml:space="preserve"> </w:t>
      </w:r>
      <w:hyperlink r:id="rId12" w:history="1">
        <w:r w:rsidRPr="00191357">
          <w:rPr>
            <w:rStyle w:val="Hipervnculo"/>
            <w:rFonts w:ascii="Verdana" w:hAnsi="Verdana" w:cs="Arial"/>
            <w:shd w:val="clear" w:color="auto" w:fill="FFFFFF"/>
            <w:lang w:val="es-ES"/>
          </w:rPr>
          <w:t>https://relatoria.colombiacompra.gov.co/busqueda/conceptos</w:t>
        </w:r>
      </w:hyperlink>
    </w:p>
    <w:p w14:paraId="0CF98859" w14:textId="77777777" w:rsidR="0035417C" w:rsidRPr="00505CD6" w:rsidRDefault="0035417C" w:rsidP="0035417C">
      <w:pPr>
        <w:widowControl w:val="0"/>
        <w:autoSpaceDE w:val="0"/>
        <w:autoSpaceDN w:val="0"/>
        <w:spacing w:after="0" w:line="276" w:lineRule="auto"/>
        <w:jc w:val="both"/>
        <w:rPr>
          <w:rFonts w:ascii="Verdana" w:hAnsi="Verdana" w:cs="Arial"/>
          <w:color w:val="000000" w:themeColor="text1"/>
          <w:shd w:val="clear" w:color="auto" w:fill="FFFFFF"/>
        </w:rPr>
      </w:pPr>
    </w:p>
    <w:p w14:paraId="5BF078ED" w14:textId="77777777" w:rsidR="0035417C" w:rsidRDefault="0035417C" w:rsidP="0035417C">
      <w:pPr>
        <w:widowControl w:val="0"/>
        <w:autoSpaceDE w:val="0"/>
        <w:autoSpaceDN w:val="0"/>
        <w:spacing w:after="0" w:line="276" w:lineRule="auto"/>
        <w:jc w:val="both"/>
        <w:rPr>
          <w:rFonts w:ascii="Verdana" w:hAnsi="Verdana" w:cs="Arial"/>
          <w:color w:val="000000" w:themeColor="text1"/>
          <w:u w:val="single"/>
          <w:shd w:val="clear" w:color="auto" w:fill="FFFFFF"/>
        </w:rPr>
      </w:pPr>
      <w:r w:rsidRPr="00505CD6">
        <w:rPr>
          <w:rFonts w:ascii="Verdana" w:hAnsi="Verdana" w:cs="Arial"/>
          <w:color w:val="000000" w:themeColor="text1"/>
          <w:shd w:val="clear" w:color="auto" w:fill="FFFFFF"/>
        </w:rPr>
        <w:t xml:space="preserve">Nos complace informarte que </w:t>
      </w:r>
      <w:r>
        <w:rPr>
          <w:rStyle w:val="normaltextrun"/>
          <w:rFonts w:ascii="Verdana" w:hAnsi="Verdana" w:cs="Arial"/>
          <w:color w:val="000000" w:themeColor="text1"/>
          <w:shd w:val="clear" w:color="auto" w:fill="FFFFFF"/>
          <w:lang w:val="es-ES"/>
        </w:rPr>
        <w:t>L</w:t>
      </w:r>
      <w:proofErr w:type="spellStart"/>
      <w:r w:rsidRPr="009C237B">
        <w:rPr>
          <w:rFonts w:ascii="Verdana" w:hAnsi="Verdana" w:cs="Arial"/>
          <w:color w:val="000000" w:themeColor="text1"/>
          <w:shd w:val="clear" w:color="auto" w:fill="FFFFFF"/>
        </w:rPr>
        <w:t>e</w:t>
      </w:r>
      <w:proofErr w:type="spellEnd"/>
      <w:r w:rsidRPr="009C237B">
        <w:rPr>
          <w:rFonts w:ascii="Verdana" w:hAnsi="Verdana" w:cs="Arial"/>
          <w:color w:val="000000" w:themeColor="text1"/>
          <w:shd w:val="clear" w:color="auto" w:fill="FFFFFF"/>
        </w:rPr>
        <w:t xml:space="preserve"> contamos que ya se encuentra disponible la </w:t>
      </w:r>
      <w:r w:rsidRPr="009C237B">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9C237B">
        <w:rPr>
          <w:rFonts w:ascii="Verdana" w:hAnsi="Verdana" w:cs="Arial"/>
          <w:color w:val="000000" w:themeColor="text1"/>
          <w:shd w:val="clear" w:color="auto" w:fill="FFFFFF"/>
        </w:rPr>
        <w:t xml:space="preserve">Esta Guía se expedide en el marco del cumplimiento de la orden proferida por la Honorable Corte Constitucional en la </w:t>
      </w:r>
      <w:r w:rsidRPr="009C237B">
        <w:rPr>
          <w:rFonts w:ascii="Verdana" w:hAnsi="Verdana" w:cs="Arial"/>
          <w:color w:val="000000" w:themeColor="text1"/>
          <w:shd w:val="clear" w:color="auto" w:fill="FFFFFF"/>
        </w:rPr>
        <w:lastRenderedPageBreak/>
        <w:t xml:space="preserve">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C237B">
        <w:rPr>
          <w:rFonts w:ascii="Verdana" w:hAnsi="Verdana" w:cs="Arial"/>
          <w:color w:val="000000" w:themeColor="text1"/>
          <w:shd w:val="clear" w:color="auto" w:fill="FFFFFF"/>
        </w:rPr>
        <w:t>Wayúu</w:t>
      </w:r>
      <w:proofErr w:type="spellEnd"/>
      <w:r w:rsidRPr="009C237B">
        <w:rPr>
          <w:rFonts w:ascii="Verdana"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9C237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9C237B">
        <w:rPr>
          <w:rFonts w:ascii="Verdana" w:hAnsi="Verdana" w:cs="Arial"/>
          <w:color w:val="000000" w:themeColor="text1"/>
          <w:u w:val="single"/>
          <w:shd w:val="clear" w:color="auto" w:fill="FFFFFF"/>
        </w:rPr>
        <w:t>"</w:t>
      </w:r>
    </w:p>
    <w:p w14:paraId="335BF796" w14:textId="77777777" w:rsidR="0035417C" w:rsidRPr="00505CD6" w:rsidRDefault="0035417C" w:rsidP="0035417C">
      <w:pPr>
        <w:widowControl w:val="0"/>
        <w:autoSpaceDE w:val="0"/>
        <w:autoSpaceDN w:val="0"/>
        <w:spacing w:after="0" w:line="276" w:lineRule="auto"/>
        <w:jc w:val="both"/>
        <w:rPr>
          <w:rFonts w:ascii="Verdana" w:eastAsia="Calibri" w:hAnsi="Verdana" w:cs="Arial"/>
          <w:color w:val="000000" w:themeColor="text1"/>
        </w:rPr>
      </w:pPr>
    </w:p>
    <w:p w14:paraId="6A360703" w14:textId="77777777" w:rsidR="0035417C" w:rsidRPr="00505CD6" w:rsidRDefault="0035417C" w:rsidP="0035417C">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5B7EFE8" w14:textId="77777777" w:rsidR="0035417C" w:rsidRPr="00505CD6" w:rsidRDefault="0035417C" w:rsidP="0035417C">
      <w:pPr>
        <w:widowControl w:val="0"/>
        <w:autoSpaceDE w:val="0"/>
        <w:autoSpaceDN w:val="0"/>
        <w:spacing w:after="0" w:line="276" w:lineRule="auto"/>
        <w:jc w:val="both"/>
        <w:rPr>
          <w:rFonts w:ascii="Verdana" w:hAnsi="Verdana" w:cs="Arial"/>
        </w:rPr>
      </w:pPr>
    </w:p>
    <w:bookmarkEnd w:id="1"/>
    <w:p w14:paraId="562E29C1" w14:textId="23ED9D15" w:rsidR="0035417C" w:rsidRDefault="0035417C" w:rsidP="006803A9">
      <w:pPr>
        <w:spacing w:after="0" w:line="276" w:lineRule="auto"/>
        <w:jc w:val="both"/>
        <w:rPr>
          <w:rFonts w:ascii="Verdana" w:eastAsia="Times New Roman"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bookmarkStart w:id="10" w:name="_Hlk117695077"/>
    </w:p>
    <w:p w14:paraId="4404A435" w14:textId="7721CA43" w:rsidR="0035417C" w:rsidRPr="005B7C42" w:rsidRDefault="009939A5" w:rsidP="0035417C">
      <w:pPr>
        <w:spacing w:after="0"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6659625A" wp14:editId="0E1EF3D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bookmarkEnd w:id="10"/>
    <w:p w14:paraId="011C6FF5" w14:textId="77777777" w:rsidR="0035417C" w:rsidRDefault="0035417C" w:rsidP="0035417C">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5417C" w:rsidRPr="007A0E81" w14:paraId="76D5AFAD" w14:textId="77777777" w:rsidTr="4CB833AE">
        <w:trPr>
          <w:trHeight w:val="315"/>
        </w:trPr>
        <w:tc>
          <w:tcPr>
            <w:tcW w:w="893" w:type="dxa"/>
            <w:vAlign w:val="center"/>
            <w:hideMark/>
          </w:tcPr>
          <w:p w14:paraId="3AFFB04B" w14:textId="77777777" w:rsidR="0035417C" w:rsidRPr="007A0E81" w:rsidRDefault="0035417C" w:rsidP="0088457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B001D" w14:textId="77777777" w:rsidR="0035417C" w:rsidRPr="007A0E81" w:rsidRDefault="0035417C" w:rsidP="00884570">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6CE06027" w14:textId="77777777" w:rsidR="0035417C" w:rsidRPr="007A0E81" w:rsidRDefault="0035417C" w:rsidP="00884570">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35417C" w:rsidRPr="007A0E81" w14:paraId="3612106B" w14:textId="77777777" w:rsidTr="4CB833AE">
        <w:trPr>
          <w:trHeight w:val="330"/>
        </w:trPr>
        <w:tc>
          <w:tcPr>
            <w:tcW w:w="893" w:type="dxa"/>
            <w:vAlign w:val="center"/>
            <w:hideMark/>
          </w:tcPr>
          <w:p w14:paraId="7EC17542" w14:textId="77777777" w:rsidR="0035417C" w:rsidRPr="007A0E81" w:rsidRDefault="0035417C" w:rsidP="0088457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BC5717" w14:textId="4566187E" w:rsidR="0035417C" w:rsidRPr="007A0E81" w:rsidRDefault="0035417C" w:rsidP="00884570">
            <w:pPr>
              <w:spacing w:line="276" w:lineRule="auto"/>
              <w:rPr>
                <w:rFonts w:ascii="Verdana" w:eastAsia="Times New Roman" w:hAnsi="Verdana" w:cs="Arial"/>
                <w:color w:val="000000"/>
                <w:sz w:val="16"/>
                <w:szCs w:val="16"/>
              </w:rPr>
            </w:pPr>
            <w:r w:rsidRPr="4CB833AE">
              <w:rPr>
                <w:rFonts w:ascii="Verdana" w:eastAsia="Times New Roman" w:hAnsi="Verdana" w:cs="Arial"/>
                <w:color w:val="000000" w:themeColor="text1"/>
                <w:sz w:val="16"/>
                <w:szCs w:val="16"/>
              </w:rPr>
              <w:t>Juan Carlos González Vá</w:t>
            </w:r>
            <w:r w:rsidR="28A25CEB" w:rsidRPr="4CB833AE">
              <w:rPr>
                <w:rFonts w:ascii="Verdana" w:eastAsia="Times New Roman" w:hAnsi="Verdana" w:cs="Arial"/>
                <w:color w:val="000000" w:themeColor="text1"/>
                <w:sz w:val="16"/>
                <w:szCs w:val="16"/>
              </w:rPr>
              <w:t>s</w:t>
            </w:r>
            <w:r w:rsidRPr="4CB833AE">
              <w:rPr>
                <w:rFonts w:ascii="Verdana" w:eastAsia="Times New Roman" w:hAnsi="Verdana" w:cs="Arial"/>
                <w:color w:val="000000" w:themeColor="text1"/>
                <w:sz w:val="16"/>
                <w:szCs w:val="16"/>
              </w:rPr>
              <w:t>quez</w:t>
            </w:r>
          </w:p>
          <w:p w14:paraId="7A65FFC5" w14:textId="77777777" w:rsidR="0035417C" w:rsidRPr="007A0E81" w:rsidRDefault="0035417C" w:rsidP="00884570">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35417C" w:rsidRPr="007A0E81" w14:paraId="231BCFD5" w14:textId="77777777" w:rsidTr="4CB833AE">
        <w:trPr>
          <w:trHeight w:val="300"/>
        </w:trPr>
        <w:tc>
          <w:tcPr>
            <w:tcW w:w="893" w:type="dxa"/>
            <w:vAlign w:val="center"/>
          </w:tcPr>
          <w:p w14:paraId="6E0CA96B" w14:textId="77777777" w:rsidR="0035417C" w:rsidRPr="007A0E81" w:rsidRDefault="0035417C" w:rsidP="00884570">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CC51D3" w14:textId="77777777" w:rsidR="0035417C" w:rsidRPr="007A0E81" w:rsidRDefault="0035417C" w:rsidP="00884570">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176BF17C" w14:textId="77777777" w:rsidR="0035417C" w:rsidRPr="007A0E81" w:rsidRDefault="0035417C" w:rsidP="00884570">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bookmarkEnd w:id="0"/>
    </w:tbl>
    <w:p w14:paraId="1BDA4087" w14:textId="77777777" w:rsidR="0035417C" w:rsidRPr="0035417C" w:rsidRDefault="0035417C" w:rsidP="00E245AB">
      <w:pPr>
        <w:spacing w:after="0"/>
        <w:rPr>
          <w:rFonts w:ascii="Verdana" w:hAnsi="Verdana"/>
          <w:lang w:val="es-ES"/>
        </w:rPr>
      </w:pPr>
    </w:p>
    <w:sectPr w:rsidR="0035417C" w:rsidRPr="0035417C" w:rsidSect="00A37D16">
      <w:headerReference w:type="default" r:id="rId15"/>
      <w:footerReference w:type="default" r:id="rId16"/>
      <w:pgSz w:w="12240" w:h="15840" w:code="1"/>
      <w:pgMar w:top="1417" w:right="1701" w:bottom="1417" w:left="1701" w:header="709" w:footer="11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F179B" w14:textId="77777777" w:rsidR="00E97BB5" w:rsidRDefault="00E97BB5" w:rsidP="004A1847">
      <w:pPr>
        <w:spacing w:after="0" w:line="240" w:lineRule="auto"/>
      </w:pPr>
      <w:r>
        <w:separator/>
      </w:r>
    </w:p>
  </w:endnote>
  <w:endnote w:type="continuationSeparator" w:id="0">
    <w:p w14:paraId="4F802326" w14:textId="77777777" w:rsidR="00E97BB5" w:rsidRDefault="00E97BB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55ECB4" w14:textId="77777777" w:rsidR="00E97BB5" w:rsidRDefault="00E97BB5" w:rsidP="004A1847">
      <w:pPr>
        <w:spacing w:after="0" w:line="240" w:lineRule="auto"/>
      </w:pPr>
      <w:r>
        <w:separator/>
      </w:r>
    </w:p>
  </w:footnote>
  <w:footnote w:type="continuationSeparator" w:id="0">
    <w:p w14:paraId="235875B7" w14:textId="77777777" w:rsidR="00E97BB5" w:rsidRDefault="00E97BB5" w:rsidP="004A1847">
      <w:pPr>
        <w:spacing w:after="0" w:line="240" w:lineRule="auto"/>
      </w:pPr>
      <w:r>
        <w:continuationSeparator/>
      </w:r>
    </w:p>
  </w:footnote>
  <w:footnote w:id="1">
    <w:p w14:paraId="65ED970F"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w:t>
      </w:r>
      <w:r w:rsidRPr="00371F29">
        <w:rPr>
          <w:rFonts w:ascii="Verdana" w:hAnsi="Verdana" w:cs="Arial"/>
          <w:sz w:val="16"/>
          <w:szCs w:val="16"/>
          <w:lang w:val="es-CO"/>
        </w:rPr>
        <w:t>MELÓN PARDO, Carlos. El contrato de suministro. En: Tratado de los contratos del sector público. Tomo III. Valencia: Tirant lo Blanch, 2018. pp. 2620-2621. Esto también concuerda con la regla del numeral 2 del artículo 969 del Código de Comercio, pues “Para establecer la cuantía del suministro si las partes no lo hubieren fijado en cantidad determinada o señalado las bases para determinarla, se aplicarán las siguientes reglas: […] Si las partes han fijado solamente un límite máximo corresponderá al consumidor determinar la cuantía, sin exceder dicho máximo […]”.</w:t>
      </w:r>
    </w:p>
  </w:footnote>
  <w:footnote w:id="2">
    <w:p w14:paraId="66C906CB" w14:textId="77777777" w:rsidR="0035417C" w:rsidRPr="00F11D40" w:rsidRDefault="0035417C" w:rsidP="0035417C">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Diccionario de la Lengua Española.</w:t>
      </w:r>
    </w:p>
    <w:p w14:paraId="49168C9C" w14:textId="77777777" w:rsidR="0035417C" w:rsidRPr="00F11D40" w:rsidRDefault="0035417C" w:rsidP="0035417C">
      <w:pPr>
        <w:pStyle w:val="Textonotapie"/>
        <w:jc w:val="both"/>
        <w:rPr>
          <w:rFonts w:ascii="Verdana" w:hAnsi="Verdana" w:cs="Arial"/>
          <w:sz w:val="16"/>
          <w:szCs w:val="16"/>
          <w:lang w:val="es-ES"/>
        </w:rPr>
      </w:pPr>
    </w:p>
  </w:footnote>
  <w:footnote w:id="3">
    <w:p w14:paraId="011D27F9" w14:textId="77777777" w:rsidR="0035417C" w:rsidRPr="00F11D40" w:rsidRDefault="0035417C" w:rsidP="0035417C">
      <w:pPr>
        <w:pStyle w:val="Textonotapie"/>
        <w:jc w:val="both"/>
        <w:rPr>
          <w:rFonts w:ascii="Verdana" w:hAnsi="Verdana" w:cs="Arial"/>
          <w:sz w:val="16"/>
          <w:szCs w:val="16"/>
        </w:rPr>
      </w:pPr>
      <w:r w:rsidRPr="00F11D40">
        <w:rPr>
          <w:rStyle w:val="Refdenotaalpie"/>
          <w:rFonts w:ascii="Verdana" w:hAnsi="Verdana" w:cs="Arial"/>
          <w:sz w:val="16"/>
          <w:szCs w:val="16"/>
        </w:rPr>
        <w:footnoteRef/>
      </w:r>
      <w:r w:rsidRPr="00F11D40">
        <w:rPr>
          <w:rFonts w:ascii="Verdana" w:hAnsi="Verdana" w:cs="Arial"/>
          <w:sz w:val="16"/>
          <w:szCs w:val="16"/>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t>
      </w:r>
      <w:proofErr w:type="spellStart"/>
      <w:r w:rsidRPr="00F11D40">
        <w:rPr>
          <w:rFonts w:ascii="Verdana" w:hAnsi="Verdana" w:cs="Arial"/>
          <w:sz w:val="16"/>
          <w:szCs w:val="16"/>
        </w:rPr>
        <w:t>Wolker</w:t>
      </w:r>
      <w:proofErr w:type="spellEnd"/>
      <w:r w:rsidRPr="00F11D40">
        <w:rPr>
          <w:rFonts w:ascii="Verdana" w:hAnsi="Verdana" w:cs="Arial"/>
          <w:sz w:val="16"/>
          <w:szCs w:val="16"/>
        </w:rPr>
        <w:t xml:space="preserve"> </w:t>
      </w:r>
      <w:proofErr w:type="spellStart"/>
      <w:r w:rsidRPr="00F11D40">
        <w:rPr>
          <w:rFonts w:ascii="Verdana" w:hAnsi="Verdana" w:cs="Arial"/>
          <w:sz w:val="16"/>
          <w:szCs w:val="16"/>
        </w:rPr>
        <w:t>Kluwer</w:t>
      </w:r>
      <w:proofErr w:type="spellEnd"/>
      <w:r w:rsidRPr="00F11D40">
        <w:rPr>
          <w:rFonts w:ascii="Verdana" w:hAnsi="Verdana" w:cs="Arial"/>
          <w:sz w:val="16"/>
          <w:szCs w:val="16"/>
        </w:rPr>
        <w:t xml:space="preserve">, 2018. P. 268).     </w:t>
      </w:r>
    </w:p>
    <w:p w14:paraId="56933321" w14:textId="77777777" w:rsidR="0035417C" w:rsidRPr="00F11D40" w:rsidRDefault="0035417C" w:rsidP="0035417C">
      <w:pPr>
        <w:pStyle w:val="Textonotapie"/>
        <w:jc w:val="both"/>
        <w:rPr>
          <w:rFonts w:ascii="Verdana" w:hAnsi="Verdana" w:cs="Arial"/>
          <w:sz w:val="16"/>
          <w:szCs w:val="16"/>
        </w:rPr>
      </w:pPr>
    </w:p>
  </w:footnote>
  <w:footnote w:id="4">
    <w:p w14:paraId="681D5141" w14:textId="77777777" w:rsidR="0035417C" w:rsidRPr="00F11D40" w:rsidRDefault="0035417C" w:rsidP="0035417C">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 xml:space="preserve">MARÍN CORTÉS, Fabián G. El precio. Ed. Librería Jurídica Sánchez R. Ltda. y Centro de Estudios de Derecho Administrativo, Medellín, 2012, p. 60. </w:t>
      </w:r>
    </w:p>
  </w:footnote>
  <w:footnote w:id="5">
    <w:p w14:paraId="47C30EDE" w14:textId="77777777" w:rsidR="0035417C" w:rsidRPr="00F11D40" w:rsidRDefault="0035417C" w:rsidP="0035417C">
      <w:pPr>
        <w:pStyle w:val="Textonotapie"/>
        <w:jc w:val="both"/>
        <w:rPr>
          <w:rFonts w:ascii="Verdana" w:hAnsi="Verdana" w:cs="Arial"/>
          <w:sz w:val="16"/>
          <w:szCs w:val="16"/>
        </w:rPr>
      </w:pPr>
    </w:p>
    <w:p w14:paraId="211E35D7" w14:textId="77777777" w:rsidR="0035417C" w:rsidRPr="00F11D40" w:rsidRDefault="0035417C" w:rsidP="0035417C">
      <w:pPr>
        <w:pStyle w:val="Textonotapie"/>
        <w:jc w:val="both"/>
        <w:rPr>
          <w:rFonts w:ascii="Verdana" w:hAnsi="Verdana" w:cs="Arial"/>
          <w:sz w:val="16"/>
          <w:szCs w:val="16"/>
        </w:rPr>
      </w:pPr>
      <w:r w:rsidRPr="00F11D40">
        <w:rPr>
          <w:rStyle w:val="Refdenotaalpie"/>
          <w:rFonts w:ascii="Verdana" w:hAnsi="Verdana" w:cs="Arial"/>
          <w:sz w:val="16"/>
          <w:szCs w:val="16"/>
        </w:rPr>
        <w:footnoteRef/>
      </w:r>
      <w:r w:rsidRPr="00F11D40">
        <w:rPr>
          <w:rFonts w:ascii="Verdana" w:hAnsi="Verdana" w:cs="Arial"/>
          <w:sz w:val="16"/>
          <w:szCs w:val="16"/>
        </w:rPr>
        <w:t xml:space="preserve"> </w:t>
      </w:r>
      <w:bookmarkStart w:id="7" w:name="_Hlk204013139"/>
      <w:r w:rsidRPr="00F11D40">
        <w:rPr>
          <w:rFonts w:ascii="Verdana" w:hAnsi="Verdana" w:cs="Arial"/>
          <w:sz w:val="16"/>
          <w:szCs w:val="16"/>
          <w:lang w:val="es-ES"/>
        </w:rPr>
        <w:t>Consejo de Estado, Sección Tercera, Subsección A sentencia de 19 de julio de 2018, M.P. Marta Nubia Velázquez Rico, Rad. 2013-01826(57.576)</w:t>
      </w:r>
      <w:r w:rsidRPr="00F11D40">
        <w:rPr>
          <w:rFonts w:ascii="Verdana" w:hAnsi="Verdana" w:cs="Arial"/>
          <w:sz w:val="16"/>
          <w:szCs w:val="16"/>
        </w:rPr>
        <w:t xml:space="preserve"> </w:t>
      </w:r>
      <w:bookmarkEnd w:id="7"/>
    </w:p>
  </w:footnote>
  <w:footnote w:id="6">
    <w:p w14:paraId="1F042EC2" w14:textId="77777777" w:rsidR="0035417C" w:rsidRPr="00F11D40" w:rsidRDefault="0035417C" w:rsidP="0035417C">
      <w:pPr>
        <w:pStyle w:val="Textonotapie"/>
        <w:jc w:val="both"/>
        <w:rPr>
          <w:rFonts w:ascii="Verdana" w:hAnsi="Verdana" w:cs="Arial"/>
          <w:sz w:val="16"/>
          <w:szCs w:val="16"/>
        </w:rPr>
      </w:pPr>
    </w:p>
    <w:p w14:paraId="7E827E0C" w14:textId="77777777" w:rsidR="0035417C" w:rsidRPr="00F11D40" w:rsidRDefault="0035417C" w:rsidP="0035417C">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F2A8DB0" w14:textId="77777777" w:rsidR="0035417C" w:rsidRPr="00F11D40" w:rsidRDefault="0035417C" w:rsidP="0035417C">
      <w:pPr>
        <w:pStyle w:val="Textonotapie"/>
        <w:jc w:val="both"/>
        <w:rPr>
          <w:rFonts w:ascii="Verdana" w:hAnsi="Verdana" w:cs="Arial"/>
          <w:sz w:val="16"/>
          <w:szCs w:val="16"/>
          <w:lang w:val="es-ES"/>
        </w:rPr>
      </w:pPr>
      <w:r w:rsidRPr="00F11D40">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F11D40">
        <w:rPr>
          <w:rFonts w:ascii="Verdana" w:hAnsi="Verdana" w:cs="Arial"/>
          <w:i/>
          <w:iCs/>
          <w:sz w:val="16"/>
          <w:szCs w:val="16"/>
          <w:lang w:val="es-ES"/>
        </w:rPr>
        <w:t>costos directos</w:t>
      </w:r>
      <w:r w:rsidRPr="00F11D40">
        <w:rPr>
          <w:rFonts w:ascii="Verdana" w:hAnsi="Verdana" w:cs="Arial"/>
          <w:sz w:val="16"/>
          <w:szCs w:val="16"/>
          <w:lang w:val="es-ES"/>
        </w:rPr>
        <w:t xml:space="preserve"> y los</w:t>
      </w:r>
      <w:r w:rsidRPr="00F11D40">
        <w:rPr>
          <w:rFonts w:ascii="Verdana" w:hAnsi="Verdana" w:cs="Arial"/>
          <w:i/>
          <w:iCs/>
          <w:sz w:val="16"/>
          <w:szCs w:val="16"/>
          <w:lang w:val="es-ES"/>
        </w:rPr>
        <w:t xml:space="preserve"> costos indirectos</w:t>
      </w:r>
      <w:r w:rsidRPr="00F11D40">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F11D40">
        <w:rPr>
          <w:rFonts w:ascii="Verdana" w:hAnsi="Verdana" w:cs="Arial"/>
          <w:i/>
          <w:iCs/>
          <w:sz w:val="16"/>
          <w:szCs w:val="16"/>
          <w:lang w:val="es-ES"/>
        </w:rPr>
        <w:t>ítems</w:t>
      </w:r>
      <w:r w:rsidRPr="00F11D40">
        <w:rPr>
          <w:rFonts w:ascii="Verdana" w:hAnsi="Verdana" w:cs="Arial"/>
          <w:sz w:val="16"/>
          <w:szCs w:val="16"/>
          <w:lang w:val="es-ES"/>
        </w:rPr>
        <w:t xml:space="preserve"> que componen el contrato–. Los costos </w:t>
      </w:r>
      <w:r w:rsidRPr="00F11D40">
        <w:rPr>
          <w:rFonts w:ascii="Verdana" w:hAnsi="Verdana" w:cs="Arial"/>
          <w:i/>
          <w:iCs/>
          <w:sz w:val="16"/>
          <w:szCs w:val="16"/>
          <w:lang w:val="es-ES"/>
        </w:rPr>
        <w:t>indirectos</w:t>
      </w:r>
      <w:r w:rsidRPr="00F11D40">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7">
    <w:p w14:paraId="4E8A988A"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Que tienen una definición y regulación establecida en la ley. </w:t>
      </w:r>
    </w:p>
  </w:footnote>
  <w:footnote w:id="8">
    <w:p w14:paraId="360ACCDC"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Por ejemplo: contratos de compraventa, suministro, depósito, seguro, arrendamiento, mutuo, mandato etc. </w:t>
      </w:r>
    </w:p>
  </w:footnote>
  <w:footnote w:id="9">
    <w:p w14:paraId="5761EEE2"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Por ejemplo: contratos de obra pública, prestación de servicios, consultoría, concesión, fiducia pública y encargo fiduciario. </w:t>
      </w:r>
    </w:p>
  </w:footnote>
  <w:footnote w:id="10">
    <w:p w14:paraId="63164192"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OSPINA MENA, Jesús Marino. Régimen de la Contratación Estatal. Un salto a la contratación liquida, Ed 1ª </w:t>
      </w:r>
      <w:proofErr w:type="spellStart"/>
      <w:r w:rsidRPr="00371F29">
        <w:rPr>
          <w:rFonts w:ascii="Verdana" w:hAnsi="Verdana" w:cs="Arial"/>
          <w:sz w:val="16"/>
          <w:szCs w:val="16"/>
        </w:rPr>
        <w:t>Dike</w:t>
      </w:r>
      <w:proofErr w:type="spellEnd"/>
      <w:r w:rsidRPr="00371F29">
        <w:rPr>
          <w:rFonts w:ascii="Verdana" w:hAnsi="Verdana" w:cs="Arial"/>
          <w:sz w:val="16"/>
          <w:szCs w:val="16"/>
        </w:rPr>
        <w:t>, 2020, Bogotá, p. 164.</w:t>
      </w:r>
    </w:p>
  </w:footnote>
  <w:footnote w:id="11">
    <w:p w14:paraId="67DE6656"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Style w:val="Refdenotaalpie"/>
          <w:rFonts w:ascii="Verdana" w:hAnsi="Verdana" w:cs="Arial"/>
          <w:sz w:val="16"/>
          <w:szCs w:val="16"/>
        </w:rPr>
        <w:t xml:space="preserve"> </w:t>
      </w:r>
      <w:r w:rsidRPr="00371F29">
        <w:rPr>
          <w:rFonts w:ascii="Verdana" w:hAnsi="Verdana" w:cs="Arial"/>
          <w:sz w:val="16"/>
          <w:szCs w:val="16"/>
        </w:rPr>
        <w:t>ARRUBLA PAUCAR, Jaime. Contratos Mercantiles, Tomo III, Contratos Atípicos, 8 Ed, Legis, 2015, p. 23.</w:t>
      </w:r>
    </w:p>
  </w:footnote>
  <w:footnote w:id="12">
    <w:p w14:paraId="5A08EB73" w14:textId="77777777" w:rsidR="0035417C" w:rsidRPr="00371F29" w:rsidRDefault="0035417C" w:rsidP="0035417C">
      <w:pPr>
        <w:pStyle w:val="Textonotapie"/>
        <w:ind w:firstLine="708"/>
        <w:contextualSpacing/>
        <w:jc w:val="both"/>
        <w:rPr>
          <w:rFonts w:ascii="Verdana" w:hAnsi="Verdana" w:cs="Arial"/>
          <w:iCs/>
          <w:color w:val="000000" w:themeColor="text1"/>
          <w:sz w:val="16"/>
          <w:szCs w:val="16"/>
        </w:rPr>
      </w:pPr>
      <w:r w:rsidRPr="00371F29">
        <w:rPr>
          <w:rStyle w:val="Refdenotaalpie"/>
          <w:rFonts w:ascii="Verdana" w:hAnsi="Verdana" w:cs="Arial"/>
          <w:color w:val="000000" w:themeColor="text1"/>
          <w:sz w:val="16"/>
          <w:szCs w:val="16"/>
        </w:rPr>
        <w:footnoteRef/>
      </w:r>
      <w:r w:rsidRPr="00371F29">
        <w:rPr>
          <w:rFonts w:ascii="Verdana" w:hAnsi="Verdana" w:cs="Arial"/>
          <w:color w:val="000000" w:themeColor="text1"/>
          <w:sz w:val="16"/>
          <w:szCs w:val="16"/>
        </w:rPr>
        <w:t xml:space="preserve"> </w:t>
      </w:r>
      <w:r w:rsidRPr="00371F29">
        <w:rPr>
          <w:rFonts w:ascii="Verdana" w:hAnsi="Verdana" w:cs="Arial"/>
          <w:iCs/>
          <w:color w:val="000000" w:themeColor="text1"/>
          <w:sz w:val="16"/>
          <w:szCs w:val="16"/>
        </w:rPr>
        <w:t xml:space="preserve">NARVAEZ GARCÍA, José Ignacio, Derecho mercantil colombiano. Obligaciones y contratos mercantiles. 2 </w:t>
      </w:r>
      <w:proofErr w:type="gramStart"/>
      <w:r w:rsidRPr="00371F29">
        <w:rPr>
          <w:rFonts w:ascii="Verdana" w:hAnsi="Verdana" w:cs="Arial"/>
          <w:iCs/>
          <w:color w:val="000000" w:themeColor="text1"/>
          <w:sz w:val="16"/>
          <w:szCs w:val="16"/>
        </w:rPr>
        <w:t>Ed.</w:t>
      </w:r>
      <w:proofErr w:type="gramEnd"/>
      <w:r w:rsidRPr="00371F29">
        <w:rPr>
          <w:rFonts w:ascii="Verdana" w:hAnsi="Verdana" w:cs="Arial"/>
          <w:iCs/>
          <w:color w:val="000000" w:themeColor="text1"/>
          <w:sz w:val="16"/>
          <w:szCs w:val="16"/>
        </w:rPr>
        <w:t xml:space="preserve"> Bogotá: Legis, 2002. p.67.</w:t>
      </w:r>
    </w:p>
  </w:footnote>
  <w:footnote w:id="13">
    <w:p w14:paraId="233D7E6F" w14:textId="77777777" w:rsidR="0035417C" w:rsidRPr="00371F29" w:rsidRDefault="0035417C" w:rsidP="0035417C">
      <w:pPr>
        <w:pStyle w:val="Textonotapie"/>
        <w:ind w:firstLine="708"/>
        <w:contextualSpacing/>
        <w:jc w:val="both"/>
        <w:rPr>
          <w:rFonts w:ascii="Verdana" w:hAnsi="Verdana" w:cs="Arial"/>
          <w:iCs/>
          <w:color w:val="000000" w:themeColor="text1"/>
          <w:sz w:val="16"/>
          <w:szCs w:val="16"/>
        </w:rPr>
      </w:pPr>
      <w:r w:rsidRPr="00371F29">
        <w:rPr>
          <w:rStyle w:val="Refdenotaalpie"/>
          <w:rFonts w:ascii="Verdana" w:hAnsi="Verdana" w:cs="Arial"/>
          <w:color w:val="000000" w:themeColor="text1"/>
          <w:sz w:val="16"/>
          <w:szCs w:val="16"/>
        </w:rPr>
        <w:footnoteRef/>
      </w:r>
      <w:r w:rsidRPr="00371F29">
        <w:rPr>
          <w:rFonts w:ascii="Verdana" w:hAnsi="Verdana" w:cs="Arial"/>
          <w:color w:val="000000" w:themeColor="text1"/>
          <w:sz w:val="16"/>
          <w:szCs w:val="16"/>
        </w:rPr>
        <w:t xml:space="preserve"> </w:t>
      </w:r>
      <w:r w:rsidRPr="00371F29">
        <w:rPr>
          <w:rFonts w:ascii="Verdana" w:hAnsi="Verdana" w:cs="Arial"/>
          <w:iCs/>
          <w:color w:val="000000" w:themeColor="text1"/>
          <w:sz w:val="16"/>
          <w:szCs w:val="16"/>
        </w:rPr>
        <w:t>Gaceta Judicial T.XLVIII, p.50. Citada por: SUAREZ BELTRÁN, Gonzalo. Estudios de derecho contractual público. Bogotá: Legis, 2014. p. 239.</w:t>
      </w:r>
    </w:p>
  </w:footnote>
  <w:footnote w:id="14">
    <w:p w14:paraId="09283222" w14:textId="77777777" w:rsidR="0035417C" w:rsidRPr="00371F29" w:rsidRDefault="0035417C" w:rsidP="0035417C">
      <w:pPr>
        <w:pStyle w:val="Textonotapie"/>
        <w:ind w:firstLine="708"/>
        <w:contextualSpacing/>
        <w:jc w:val="both"/>
        <w:rPr>
          <w:rFonts w:ascii="Verdana" w:hAnsi="Verdana" w:cs="Arial"/>
          <w:color w:val="000000" w:themeColor="text1"/>
          <w:sz w:val="16"/>
          <w:szCs w:val="16"/>
          <w:lang w:val="es-CO"/>
        </w:rPr>
      </w:pPr>
      <w:r w:rsidRPr="00371F29">
        <w:rPr>
          <w:rStyle w:val="Refdenotaalpie"/>
          <w:rFonts w:ascii="Verdana" w:hAnsi="Verdana" w:cs="Arial"/>
          <w:color w:val="000000" w:themeColor="text1"/>
          <w:sz w:val="16"/>
          <w:szCs w:val="16"/>
        </w:rPr>
        <w:footnoteRef/>
      </w:r>
      <w:r w:rsidRPr="00371F29">
        <w:rPr>
          <w:rFonts w:ascii="Verdana" w:hAnsi="Verdana" w:cs="Arial"/>
          <w:color w:val="000000" w:themeColor="text1"/>
          <w:sz w:val="16"/>
          <w:szCs w:val="16"/>
        </w:rPr>
        <w:t xml:space="preserve"> </w:t>
      </w:r>
      <w:r w:rsidRPr="00371F29">
        <w:rPr>
          <w:rFonts w:ascii="Verdana" w:hAnsi="Verdana" w:cs="Arial"/>
          <w:iCs/>
          <w:color w:val="000000" w:themeColor="text1"/>
          <w:sz w:val="16"/>
          <w:szCs w:val="16"/>
        </w:rPr>
        <w:t>CONSEJO DE ESTADO. Sala de Consulta y Servicio Civil. Concepto</w:t>
      </w:r>
      <w:r w:rsidRPr="00371F29">
        <w:rPr>
          <w:rFonts w:ascii="Verdana" w:hAnsi="Verdana" w:cs="Arial"/>
          <w:bCs/>
          <w:color w:val="000000" w:themeColor="text1"/>
          <w:sz w:val="16"/>
          <w:szCs w:val="16"/>
        </w:rPr>
        <w:t xml:space="preserve"> </w:t>
      </w:r>
      <w:r w:rsidRPr="00371F29">
        <w:rPr>
          <w:rFonts w:ascii="Verdana" w:hAnsi="Verdana" w:cs="Arial"/>
          <w:iCs/>
          <w:color w:val="000000" w:themeColor="text1"/>
          <w:sz w:val="16"/>
          <w:szCs w:val="16"/>
        </w:rPr>
        <w:t xml:space="preserve">del 5 de septiembre de 2018. </w:t>
      </w:r>
      <w:proofErr w:type="spellStart"/>
      <w:r w:rsidRPr="00371F29">
        <w:rPr>
          <w:rFonts w:ascii="Verdana" w:hAnsi="Verdana" w:cs="Arial"/>
          <w:iCs/>
          <w:color w:val="000000" w:themeColor="text1"/>
          <w:sz w:val="16"/>
          <w:szCs w:val="16"/>
        </w:rPr>
        <w:t>Exp</w:t>
      </w:r>
      <w:proofErr w:type="spellEnd"/>
      <w:r w:rsidRPr="00371F29">
        <w:rPr>
          <w:rFonts w:ascii="Verdana" w:hAnsi="Verdana" w:cs="Arial"/>
          <w:iCs/>
          <w:color w:val="000000" w:themeColor="text1"/>
          <w:sz w:val="16"/>
          <w:szCs w:val="16"/>
        </w:rPr>
        <w:t xml:space="preserve">. 2.386. C.P. Edgar González López. Este concepto reitera pronunciamientos anteriores relacionados con la estampilla </w:t>
      </w:r>
      <w:proofErr w:type="spellStart"/>
      <w:r w:rsidRPr="00371F29">
        <w:rPr>
          <w:rFonts w:ascii="Verdana" w:hAnsi="Verdana" w:cs="Arial"/>
          <w:iCs/>
          <w:color w:val="000000" w:themeColor="text1"/>
          <w:sz w:val="16"/>
          <w:szCs w:val="16"/>
        </w:rPr>
        <w:t>pro-universidades</w:t>
      </w:r>
      <w:proofErr w:type="spellEnd"/>
      <w:r w:rsidRPr="00371F29">
        <w:rPr>
          <w:rFonts w:ascii="Verdana" w:hAnsi="Verdana" w:cs="Arial"/>
          <w:iCs/>
          <w:color w:val="000000" w:themeColor="text1"/>
          <w:sz w:val="16"/>
          <w:szCs w:val="16"/>
        </w:rPr>
        <w:t>, tales como: Conceptos 2.229 de 2015, 2.271 de 2016, 2.229 de 2017, 2.324 de 2017.</w:t>
      </w:r>
    </w:p>
  </w:footnote>
  <w:footnote w:id="15">
    <w:p w14:paraId="6617F29A" w14:textId="77777777" w:rsidR="0035417C" w:rsidRPr="00371F29" w:rsidRDefault="0035417C" w:rsidP="0035417C">
      <w:pPr>
        <w:pStyle w:val="Textonotapie"/>
        <w:ind w:firstLine="708"/>
        <w:contextualSpacing/>
        <w:jc w:val="both"/>
        <w:rPr>
          <w:rFonts w:ascii="Verdana" w:hAnsi="Verdana" w:cs="Arial"/>
          <w:iCs/>
          <w:color w:val="000000" w:themeColor="text1"/>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w:t>
      </w:r>
      <w:r w:rsidRPr="00371F29">
        <w:rPr>
          <w:rFonts w:ascii="Verdana" w:hAnsi="Verdana" w:cs="Arial"/>
          <w:iCs/>
          <w:color w:val="000000" w:themeColor="text1"/>
          <w:sz w:val="16"/>
          <w:szCs w:val="16"/>
        </w:rPr>
        <w:t>NOSSA PEÑA, Lisandro. De los contratos mercantiles, Universidad Católica de Colombia, 2 Ed, 2006, p. 279.</w:t>
      </w:r>
    </w:p>
  </w:footnote>
  <w:footnote w:id="16">
    <w:p w14:paraId="3FC2FD40" w14:textId="77777777" w:rsidR="0035417C" w:rsidRPr="00371F29" w:rsidRDefault="0035417C" w:rsidP="0035417C">
      <w:pPr>
        <w:pStyle w:val="Textonotapie"/>
        <w:ind w:firstLine="708"/>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w:t>
      </w:r>
      <w:r w:rsidRPr="00371F29">
        <w:rPr>
          <w:rFonts w:ascii="Verdana" w:hAnsi="Verdana" w:cs="Arial"/>
          <w:sz w:val="16"/>
          <w:szCs w:val="16"/>
          <w:lang w:val="es-CO"/>
        </w:rPr>
        <w:t>MELÓN PARDO, Carlos. El contrato de suministro. En: Tratado de los contratos del sector público. Tomo III. Valencia: Tirant lo Blanch, 2018. pp. 2620-2621. Esto también concuerda con la regla del numeral 2 del artículo 969 del Código de Comercio, pues “Para establecer la cuantía del suministro si las partes no lo hubieren fijado en cantidad determinada o señalado las bases para determinarla, se aplicarán las siguientes reglas: […] Si las partes han fijado solamente un límite máximo corresponderá al consumidor determinar la cuantía, sin exceder dicho máximo […]”.</w:t>
      </w:r>
    </w:p>
  </w:footnote>
  <w:footnote w:id="17">
    <w:p w14:paraId="367A4B08" w14:textId="77777777" w:rsidR="0035417C" w:rsidRPr="00371F29" w:rsidRDefault="0035417C" w:rsidP="0035417C">
      <w:pPr>
        <w:pStyle w:val="Textonotapie"/>
        <w:ind w:firstLine="709"/>
        <w:contextualSpacing/>
        <w:jc w:val="both"/>
        <w:rPr>
          <w:rFonts w:ascii="Verdana" w:hAnsi="Verdana" w:cs="Arial"/>
          <w:sz w:val="16"/>
          <w:szCs w:val="16"/>
        </w:rPr>
      </w:pPr>
      <w:r w:rsidRPr="00371F29">
        <w:rPr>
          <w:rStyle w:val="Refdenotaalpie"/>
          <w:rFonts w:ascii="Verdana" w:hAnsi="Verdana" w:cs="Arial"/>
          <w:sz w:val="16"/>
          <w:szCs w:val="16"/>
        </w:rPr>
        <w:footnoteRef/>
      </w:r>
      <w:r w:rsidRPr="00371F29">
        <w:rPr>
          <w:rFonts w:ascii="Verdana" w:hAnsi="Verdana" w:cs="Arial"/>
          <w:sz w:val="16"/>
          <w:szCs w:val="16"/>
        </w:rPr>
        <w:t xml:space="preserve"> Cfr. MARTÍNEZ MAS, Francisco. La terminación, entrega, recepción, y liquidación en el contrato de obra. Madrid: Dykinson, 2001. pp. 176-177.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20591864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45772715" name="Imagen 1445772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51BE5596"/>
    <w:lvl w:ilvl="0">
      <w:start w:val="1"/>
      <w:numFmt w:val="decimal"/>
      <w:lvlText w:val="%1."/>
      <w:lvlJc w:val="left"/>
      <w:pPr>
        <w:ind w:left="92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29DAE9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0B9"/>
    <w:rsid w:val="000A683E"/>
    <w:rsid w:val="000B19B9"/>
    <w:rsid w:val="000C77AB"/>
    <w:rsid w:val="000D0334"/>
    <w:rsid w:val="000F6486"/>
    <w:rsid w:val="00123575"/>
    <w:rsid w:val="00125105"/>
    <w:rsid w:val="00127233"/>
    <w:rsid w:val="00134000"/>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417C"/>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A4635"/>
    <w:rsid w:val="005C3777"/>
    <w:rsid w:val="005C5CDC"/>
    <w:rsid w:val="005D476C"/>
    <w:rsid w:val="006219F8"/>
    <w:rsid w:val="006302F7"/>
    <w:rsid w:val="00633D65"/>
    <w:rsid w:val="00665D70"/>
    <w:rsid w:val="006673E6"/>
    <w:rsid w:val="006803A9"/>
    <w:rsid w:val="006900D9"/>
    <w:rsid w:val="00693B48"/>
    <w:rsid w:val="006A760C"/>
    <w:rsid w:val="00706C16"/>
    <w:rsid w:val="00756841"/>
    <w:rsid w:val="007649AB"/>
    <w:rsid w:val="00771D0C"/>
    <w:rsid w:val="007833AC"/>
    <w:rsid w:val="007B268C"/>
    <w:rsid w:val="007B7171"/>
    <w:rsid w:val="007C0C0F"/>
    <w:rsid w:val="007C3DC2"/>
    <w:rsid w:val="007E5497"/>
    <w:rsid w:val="00806F5F"/>
    <w:rsid w:val="00820278"/>
    <w:rsid w:val="00826431"/>
    <w:rsid w:val="008523C7"/>
    <w:rsid w:val="00867F95"/>
    <w:rsid w:val="008843B6"/>
    <w:rsid w:val="00891928"/>
    <w:rsid w:val="00897A3A"/>
    <w:rsid w:val="008A446D"/>
    <w:rsid w:val="008B1CA8"/>
    <w:rsid w:val="008D180B"/>
    <w:rsid w:val="008F0EA7"/>
    <w:rsid w:val="00907D16"/>
    <w:rsid w:val="00923EEF"/>
    <w:rsid w:val="009419F9"/>
    <w:rsid w:val="0095685E"/>
    <w:rsid w:val="00961B09"/>
    <w:rsid w:val="00965334"/>
    <w:rsid w:val="0097093E"/>
    <w:rsid w:val="009939A5"/>
    <w:rsid w:val="009A0DFA"/>
    <w:rsid w:val="009B25A8"/>
    <w:rsid w:val="009B2D26"/>
    <w:rsid w:val="009C71FA"/>
    <w:rsid w:val="009C72E7"/>
    <w:rsid w:val="009D3058"/>
    <w:rsid w:val="009F3A13"/>
    <w:rsid w:val="00A06865"/>
    <w:rsid w:val="00A122D3"/>
    <w:rsid w:val="00A17F13"/>
    <w:rsid w:val="00A20739"/>
    <w:rsid w:val="00A33C78"/>
    <w:rsid w:val="00A37D16"/>
    <w:rsid w:val="00AB0ADB"/>
    <w:rsid w:val="00B00C0E"/>
    <w:rsid w:val="00B01B1A"/>
    <w:rsid w:val="00B44A47"/>
    <w:rsid w:val="00B72CD3"/>
    <w:rsid w:val="00B72FFF"/>
    <w:rsid w:val="00BC3D36"/>
    <w:rsid w:val="00BD7F72"/>
    <w:rsid w:val="00BE0E93"/>
    <w:rsid w:val="00C04FB3"/>
    <w:rsid w:val="00C17E21"/>
    <w:rsid w:val="00C330EB"/>
    <w:rsid w:val="00C754BE"/>
    <w:rsid w:val="00C76B1C"/>
    <w:rsid w:val="00C957F6"/>
    <w:rsid w:val="00CB6357"/>
    <w:rsid w:val="00CC1B26"/>
    <w:rsid w:val="00CE63D5"/>
    <w:rsid w:val="00CF0464"/>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7BB5"/>
    <w:rsid w:val="00EA0E3D"/>
    <w:rsid w:val="00EC38A7"/>
    <w:rsid w:val="00EE1AA8"/>
    <w:rsid w:val="00F31EDC"/>
    <w:rsid w:val="00F462B3"/>
    <w:rsid w:val="00F5664F"/>
    <w:rsid w:val="00F666C4"/>
    <w:rsid w:val="00F76AFC"/>
    <w:rsid w:val="00FA47C0"/>
    <w:rsid w:val="00FB5DD1"/>
    <w:rsid w:val="00FC2B5D"/>
    <w:rsid w:val="00FE7369"/>
    <w:rsid w:val="00FF1449"/>
    <w:rsid w:val="00FF1CEC"/>
    <w:rsid w:val="28A25CEB"/>
    <w:rsid w:val="37F0A8E0"/>
    <w:rsid w:val="4CB833A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5417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417C"/>
    <w:rPr>
      <w:rFonts w:ascii="Geomanist Light" w:hAnsi="Geomanist Light"/>
      <w:lang w:val="es-ES"/>
    </w:rPr>
  </w:style>
  <w:style w:type="paragraph" w:styleId="Sinespaciado">
    <w:name w:val="No Spacing"/>
    <w:aliases w:val="No Indent"/>
    <w:uiPriority w:val="3"/>
    <w:qFormat/>
    <w:rsid w:val="0035417C"/>
    <w:pPr>
      <w:spacing w:after="0" w:line="240" w:lineRule="auto"/>
    </w:pPr>
    <w:rPr>
      <w:sz w:val="24"/>
      <w:lang w:val="es-MX"/>
    </w:rPr>
  </w:style>
  <w:style w:type="paragraph" w:styleId="Textoindependiente">
    <w:name w:val="Body Text"/>
    <w:basedOn w:val="Normal"/>
    <w:link w:val="TextoindependienteCar"/>
    <w:uiPriority w:val="1"/>
    <w:unhideWhenUsed/>
    <w:qFormat/>
    <w:rsid w:val="0035417C"/>
    <w:pPr>
      <w:spacing w:after="120"/>
    </w:pPr>
  </w:style>
  <w:style w:type="character" w:customStyle="1" w:styleId="TextoindependienteCar">
    <w:name w:val="Texto independiente Car"/>
    <w:basedOn w:val="Fuentedeprrafopredeter"/>
    <w:link w:val="Textoindependiente"/>
    <w:uiPriority w:val="1"/>
    <w:rsid w:val="003541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urbanor@sena.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082FE44-6BF6-45EF-A9CC-D0850DF752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17</Pages>
  <Words>5684</Words>
  <Characters>30017</Characters>
  <Application>Microsoft Office Word</Application>
  <DocSecurity>0</DocSecurity>
  <Lines>588</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2025-09-29T22:09:00Z</dcterms:created>
  <dcterms:modified xsi:type="dcterms:W3CDTF">2025-09-29T22:09:00Z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