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FB5A6E" w14:textId="77777777" w:rsidR="008A5C21" w:rsidRPr="00DE2AC7" w:rsidRDefault="008A5C21" w:rsidP="008A5C21">
      <w:pPr>
        <w:spacing w:after="0" w:line="240" w:lineRule="auto"/>
        <w:rPr>
          <w:rFonts w:ascii="Verdana" w:eastAsia="Calibri" w:hAnsi="Verdana" w:cs="Arial"/>
          <w:b/>
          <w:sz w:val="20"/>
          <w:szCs w:val="20"/>
          <w:lang w:val="es-ES_tradnl" w:eastAsia="es-ES_tradnl"/>
        </w:rPr>
      </w:pPr>
    </w:p>
    <w:p w14:paraId="6BC904BA" w14:textId="77777777" w:rsidR="008A5C21" w:rsidRPr="007D0816" w:rsidRDefault="008A5C21" w:rsidP="008A5C21">
      <w:pPr>
        <w:spacing w:after="0" w:line="240" w:lineRule="auto"/>
        <w:rPr>
          <w:rFonts w:ascii="Verdana" w:eastAsia="Calibri" w:hAnsi="Verdana" w:cs="Arial"/>
          <w:b/>
          <w:lang w:val="es-ES_tradnl" w:eastAsia="es-ES_tradnl"/>
        </w:rPr>
      </w:pPr>
      <w:r w:rsidRPr="007D0816">
        <w:rPr>
          <w:rFonts w:ascii="Verdana" w:eastAsia="Calibri" w:hAnsi="Verdana" w:cs="Arial"/>
          <w:b/>
          <w:lang w:val="es-ES_tradnl" w:eastAsia="es-ES_tradnl"/>
        </w:rPr>
        <w:t xml:space="preserve">CESIÓN DEL CONTRATO ESTATAL – Noción </w:t>
      </w:r>
    </w:p>
    <w:p w14:paraId="19C73A73" w14:textId="77777777" w:rsidR="008A5C21" w:rsidRPr="00DE2AC7" w:rsidRDefault="008A5C21" w:rsidP="008A5C21">
      <w:pPr>
        <w:spacing w:after="0" w:line="240" w:lineRule="auto"/>
        <w:rPr>
          <w:rFonts w:ascii="Verdana" w:eastAsia="Calibri" w:hAnsi="Verdana" w:cs="Arial"/>
          <w:bCs/>
          <w:sz w:val="20"/>
          <w:szCs w:val="20"/>
          <w:lang w:val="es-ES_tradnl" w:eastAsia="es-ES_tradnl"/>
        </w:rPr>
      </w:pPr>
    </w:p>
    <w:p w14:paraId="0B1A1064" w14:textId="77777777" w:rsidR="008A5C21" w:rsidRPr="00DE2AC7" w:rsidRDefault="008A5C21" w:rsidP="008A5C21">
      <w:pPr>
        <w:spacing w:after="0" w:line="240" w:lineRule="auto"/>
        <w:jc w:val="both"/>
        <w:rPr>
          <w:rFonts w:ascii="Verdana" w:eastAsia="Calibri" w:hAnsi="Verdana" w:cs="Arial"/>
          <w:color w:val="000000" w:themeColor="text1"/>
          <w:sz w:val="20"/>
          <w:szCs w:val="20"/>
        </w:rPr>
      </w:pPr>
      <w:r w:rsidRPr="00DE2AC7">
        <w:rPr>
          <w:rFonts w:ascii="Verdana" w:eastAsia="Calibri" w:hAnsi="Verdana" w:cs="Arial"/>
          <w:color w:val="000000" w:themeColor="text1"/>
          <w:sz w:val="20"/>
          <w:szCs w:val="20"/>
        </w:rPr>
        <w:t xml:space="preserve">La cesión de la posición contractual puede entenderse como un acto y como un efecto. Por un lado, “[…] es el contrato con el cual el cedente, parte de otro contrato ya en curso con otro sujeto (cedido), transfiere la relativa posición contractual (en sus componentes activos y pasivos) al cesionario, el cual le </w:t>
      </w:r>
      <w:proofErr w:type="spellStart"/>
      <w:r w:rsidRPr="00DE2AC7">
        <w:rPr>
          <w:rFonts w:ascii="Verdana" w:eastAsia="Calibri" w:hAnsi="Verdana" w:cs="Arial"/>
          <w:color w:val="000000" w:themeColor="text1"/>
          <w:sz w:val="20"/>
          <w:szCs w:val="20"/>
        </w:rPr>
        <w:t>subentra</w:t>
      </w:r>
      <w:proofErr w:type="spellEnd"/>
      <w:r w:rsidRPr="00DE2AC7">
        <w:rPr>
          <w:rFonts w:ascii="Verdana" w:eastAsia="Calibri" w:hAnsi="Verdana" w:cs="Arial"/>
          <w:color w:val="000000" w:themeColor="text1"/>
          <w:sz w:val="20"/>
          <w:szCs w:val="20"/>
        </w:rPr>
        <w:t xml:space="preserve"> en la relación con el cedido […]”. Por otro, “[…] es la transferencia de la posición contractual de un contratante a otro sujeto, que le </w:t>
      </w:r>
      <w:proofErr w:type="spellStart"/>
      <w:r w:rsidRPr="00DE2AC7">
        <w:rPr>
          <w:rFonts w:ascii="Verdana" w:eastAsia="Calibri" w:hAnsi="Verdana" w:cs="Arial"/>
          <w:color w:val="000000" w:themeColor="text1"/>
          <w:sz w:val="20"/>
          <w:szCs w:val="20"/>
        </w:rPr>
        <w:t>subentra</w:t>
      </w:r>
      <w:proofErr w:type="spellEnd"/>
      <w:r w:rsidRPr="00DE2AC7">
        <w:rPr>
          <w:rFonts w:ascii="Verdana" w:eastAsia="Calibri" w:hAnsi="Verdana" w:cs="Arial"/>
          <w:color w:val="000000" w:themeColor="text1"/>
          <w:sz w:val="20"/>
          <w:szCs w:val="20"/>
        </w:rPr>
        <w:t xml:space="preserve"> en la relación con la contraparte […]”. De esta manera, </w:t>
      </w:r>
      <w:r w:rsidRPr="00DE2AC7">
        <w:rPr>
          <w:rFonts w:ascii="Verdana" w:hAnsi="Verdana" w:cs="Arial"/>
          <w:color w:val="000000" w:themeColor="text1"/>
          <w:sz w:val="20"/>
          <w:szCs w:val="20"/>
        </w:rPr>
        <w:t xml:space="preserve">concurren tres (3) sujetos: i) el cedente, esto es, el contratista inicial; </w:t>
      </w:r>
      <w:proofErr w:type="spellStart"/>
      <w:r w:rsidRPr="00DE2AC7">
        <w:rPr>
          <w:rFonts w:ascii="Verdana" w:hAnsi="Verdana" w:cs="Arial"/>
          <w:color w:val="000000" w:themeColor="text1"/>
          <w:sz w:val="20"/>
          <w:szCs w:val="20"/>
        </w:rPr>
        <w:t>ii</w:t>
      </w:r>
      <w:proofErr w:type="spellEnd"/>
      <w:r w:rsidRPr="00DE2AC7">
        <w:rPr>
          <w:rFonts w:ascii="Verdana" w:hAnsi="Verdana" w:cs="Arial"/>
          <w:color w:val="000000" w:themeColor="text1"/>
          <w:sz w:val="20"/>
          <w:szCs w:val="20"/>
        </w:rPr>
        <w:t xml:space="preserve">) el cesionario, es decir, quien asume total o parcialmente los derechos y obligaciones de este último; y </w:t>
      </w:r>
      <w:proofErr w:type="spellStart"/>
      <w:r w:rsidRPr="00DE2AC7">
        <w:rPr>
          <w:rFonts w:ascii="Verdana" w:hAnsi="Verdana" w:cs="Arial"/>
          <w:color w:val="000000" w:themeColor="text1"/>
          <w:sz w:val="20"/>
          <w:szCs w:val="20"/>
        </w:rPr>
        <w:t>iii</w:t>
      </w:r>
      <w:proofErr w:type="spellEnd"/>
      <w:r w:rsidRPr="00DE2AC7">
        <w:rPr>
          <w:rFonts w:ascii="Verdana" w:hAnsi="Verdana" w:cs="Arial"/>
          <w:color w:val="000000" w:themeColor="text1"/>
          <w:sz w:val="20"/>
          <w:szCs w:val="20"/>
        </w:rPr>
        <w:t xml:space="preserve">) el cedido que, en el caso de los contratos estatales, sería la entidad que suscribió el contrato. </w:t>
      </w:r>
      <w:r w:rsidRPr="00DE2AC7">
        <w:rPr>
          <w:rFonts w:ascii="Verdana" w:eastAsia="Calibri" w:hAnsi="Verdana" w:cs="Arial"/>
          <w:color w:val="000000" w:themeColor="text1"/>
          <w:sz w:val="20"/>
          <w:szCs w:val="20"/>
        </w:rPr>
        <w:t>Por tanto, la cesión de contrato es una figura jurídica por la que terceros ajenos a los contratantes iniciales participan en negocios que están ejecutando cuando no se hayan cumplido la totalidad de las obligaciones, permitiendo que sean éstos quienes realicen las prestaciones faltantes.</w:t>
      </w:r>
    </w:p>
    <w:p w14:paraId="01F3922A" w14:textId="77777777" w:rsidR="008A5C21" w:rsidRPr="00DE2AC7" w:rsidRDefault="008A5C21" w:rsidP="008A5C21">
      <w:pPr>
        <w:spacing w:after="0" w:line="240" w:lineRule="auto"/>
        <w:jc w:val="both"/>
        <w:rPr>
          <w:rFonts w:ascii="Verdana" w:eastAsia="Calibri" w:hAnsi="Verdana" w:cs="Arial"/>
          <w:color w:val="000000" w:themeColor="text1"/>
          <w:sz w:val="20"/>
          <w:szCs w:val="20"/>
        </w:rPr>
      </w:pPr>
    </w:p>
    <w:p w14:paraId="783B13D2" w14:textId="77777777" w:rsidR="008A5C21" w:rsidRPr="007D0816" w:rsidRDefault="008A5C21" w:rsidP="008A5C21">
      <w:pPr>
        <w:spacing w:after="0" w:line="240" w:lineRule="auto"/>
        <w:jc w:val="both"/>
        <w:rPr>
          <w:rFonts w:ascii="Verdana" w:eastAsia="Calibri" w:hAnsi="Verdana" w:cs="Arial"/>
          <w:b/>
          <w:lang w:val="es-ES_tradnl" w:eastAsia="es-ES_tradnl"/>
        </w:rPr>
      </w:pPr>
      <w:r w:rsidRPr="007D0816">
        <w:rPr>
          <w:rFonts w:ascii="Verdana" w:eastAsia="Calibri" w:hAnsi="Verdana" w:cs="Arial"/>
          <w:b/>
          <w:lang w:val="es-ES_tradnl" w:eastAsia="es-ES_tradnl"/>
        </w:rPr>
        <w:t xml:space="preserve">CESIÓN DEL CONTRATO ESTATAL – Régimen jurídico aplicable – EGCAP – Código de </w:t>
      </w:r>
      <w:r>
        <w:rPr>
          <w:rFonts w:ascii="Verdana" w:eastAsia="Calibri" w:hAnsi="Verdana" w:cs="Arial"/>
          <w:b/>
          <w:lang w:val="es-ES_tradnl" w:eastAsia="es-ES_tradnl"/>
        </w:rPr>
        <w:t>C</w:t>
      </w:r>
      <w:r w:rsidRPr="007D0816">
        <w:rPr>
          <w:rFonts w:ascii="Verdana" w:eastAsia="Calibri" w:hAnsi="Verdana" w:cs="Arial"/>
          <w:b/>
          <w:lang w:val="es-ES_tradnl" w:eastAsia="es-ES_tradnl"/>
        </w:rPr>
        <w:t>omercio</w:t>
      </w:r>
    </w:p>
    <w:p w14:paraId="0D7452D6" w14:textId="77777777" w:rsidR="008A5C21" w:rsidRPr="00DE2AC7" w:rsidRDefault="008A5C21" w:rsidP="008A5C21">
      <w:pPr>
        <w:spacing w:after="0" w:line="240" w:lineRule="auto"/>
        <w:jc w:val="both"/>
        <w:rPr>
          <w:rFonts w:ascii="Verdana" w:eastAsia="Calibri" w:hAnsi="Verdana" w:cs="Arial"/>
          <w:bCs/>
          <w:sz w:val="20"/>
          <w:szCs w:val="20"/>
          <w:lang w:val="es-ES_tradnl" w:eastAsia="es-ES_tradnl"/>
        </w:rPr>
      </w:pPr>
    </w:p>
    <w:p w14:paraId="429A833B" w14:textId="77777777" w:rsidR="008A5C21" w:rsidRPr="00DE2AC7" w:rsidRDefault="008A5C21" w:rsidP="008A5C21">
      <w:pPr>
        <w:spacing w:after="0" w:line="240" w:lineRule="auto"/>
        <w:jc w:val="both"/>
        <w:rPr>
          <w:rFonts w:ascii="Verdana" w:eastAsia="Calibri" w:hAnsi="Verdana" w:cs="Arial"/>
          <w:color w:val="000000" w:themeColor="text1"/>
          <w:sz w:val="20"/>
          <w:szCs w:val="20"/>
        </w:rPr>
      </w:pPr>
      <w:r w:rsidRPr="00DE2AC7">
        <w:rPr>
          <w:rFonts w:ascii="Verdana" w:eastAsia="Calibri" w:hAnsi="Verdana" w:cs="Arial"/>
          <w:color w:val="000000" w:themeColor="text1"/>
          <w:sz w:val="20"/>
          <w:szCs w:val="20"/>
        </w:rPr>
        <w:t xml:space="preserve">Tratándose de la cesión de contratos estatales, conforme a la regulación del EGCAP, confluyen una mixtura entre el derecho público y privado en su regulación. En efecto, i) los contratos estatales se regirán por las normas comerciales y civiles pertinentes, salvo en lo concerniente a las materias particularmente reguladas en dicha ley, de acuerdo con lo prescrito en el inciso primero del artículo 13 de la Ley 80 de 1993, por lo que deben observarse en primer término las disposiciones establecidas en el EGCAP; </w:t>
      </w:r>
      <w:proofErr w:type="spellStart"/>
      <w:r w:rsidRPr="00DE2AC7">
        <w:rPr>
          <w:rFonts w:ascii="Verdana" w:eastAsia="Calibri" w:hAnsi="Verdana" w:cs="Arial"/>
          <w:color w:val="000000" w:themeColor="text1"/>
          <w:sz w:val="20"/>
          <w:szCs w:val="20"/>
        </w:rPr>
        <w:t>ii</w:t>
      </w:r>
      <w:proofErr w:type="spellEnd"/>
      <w:r w:rsidRPr="00DE2AC7">
        <w:rPr>
          <w:rFonts w:ascii="Verdana" w:eastAsia="Calibri" w:hAnsi="Verdana" w:cs="Arial"/>
          <w:color w:val="000000" w:themeColor="text1"/>
          <w:sz w:val="20"/>
          <w:szCs w:val="20"/>
        </w:rPr>
        <w:t xml:space="preserve">) corresponderán como actos jurídicos bilaterales generadores de obligaciones, entre otros, a los previstos en el derecho privado, en los términos del artículo 32 </w:t>
      </w:r>
      <w:r w:rsidRPr="00DE2AC7">
        <w:rPr>
          <w:rFonts w:ascii="Verdana" w:eastAsia="Calibri" w:hAnsi="Verdana" w:cs="Arial"/>
          <w:i/>
          <w:iCs/>
          <w:color w:val="000000" w:themeColor="text1"/>
          <w:sz w:val="20"/>
          <w:szCs w:val="20"/>
        </w:rPr>
        <w:t>ibidem</w:t>
      </w:r>
      <w:r w:rsidRPr="00DE2AC7">
        <w:rPr>
          <w:rFonts w:ascii="Verdana" w:eastAsia="Calibri" w:hAnsi="Verdana" w:cs="Arial"/>
          <w:color w:val="000000" w:themeColor="text1"/>
          <w:sz w:val="20"/>
          <w:szCs w:val="20"/>
        </w:rPr>
        <w:t xml:space="preserve">; y </w:t>
      </w:r>
      <w:proofErr w:type="spellStart"/>
      <w:r w:rsidRPr="00DE2AC7">
        <w:rPr>
          <w:rFonts w:ascii="Verdana" w:eastAsia="Calibri" w:hAnsi="Verdana" w:cs="Arial"/>
          <w:color w:val="000000" w:themeColor="text1"/>
          <w:sz w:val="20"/>
          <w:szCs w:val="20"/>
        </w:rPr>
        <w:t>iii</w:t>
      </w:r>
      <w:proofErr w:type="spellEnd"/>
      <w:r w:rsidRPr="00DE2AC7">
        <w:rPr>
          <w:rFonts w:ascii="Verdana" w:eastAsia="Calibri" w:hAnsi="Verdana" w:cs="Arial"/>
          <w:color w:val="000000" w:themeColor="text1"/>
          <w:sz w:val="20"/>
          <w:szCs w:val="20"/>
        </w:rPr>
        <w:t xml:space="preserve">) contendrán las estipulaciones que, de acuerdo con las normas civiles, comerciales y las previstas en esta ley, correspondan a su esencia y naturaleza, conforme a lo dispuesto por el artículo 40 </w:t>
      </w:r>
      <w:r w:rsidRPr="00DE2AC7">
        <w:rPr>
          <w:rFonts w:ascii="Verdana" w:eastAsia="Calibri" w:hAnsi="Verdana" w:cs="Arial"/>
          <w:i/>
          <w:iCs/>
          <w:color w:val="000000" w:themeColor="text1"/>
          <w:sz w:val="20"/>
          <w:szCs w:val="20"/>
        </w:rPr>
        <w:t>ibidem</w:t>
      </w:r>
      <w:r w:rsidRPr="00DE2AC7">
        <w:rPr>
          <w:rFonts w:ascii="Verdana" w:eastAsia="Calibri" w:hAnsi="Verdana" w:cs="Arial"/>
          <w:color w:val="000000" w:themeColor="text1"/>
          <w:sz w:val="20"/>
          <w:szCs w:val="20"/>
        </w:rPr>
        <w:t xml:space="preserve">. </w:t>
      </w:r>
    </w:p>
    <w:p w14:paraId="3CA93DB5" w14:textId="77777777" w:rsidR="008A5C21" w:rsidRPr="00DE2AC7" w:rsidRDefault="008A5C21" w:rsidP="008A5C21">
      <w:pPr>
        <w:spacing w:after="0" w:line="240" w:lineRule="auto"/>
        <w:jc w:val="both"/>
        <w:rPr>
          <w:rFonts w:ascii="Verdana" w:eastAsia="Calibri" w:hAnsi="Verdana" w:cs="Arial"/>
          <w:color w:val="000000" w:themeColor="text1"/>
          <w:sz w:val="20"/>
          <w:szCs w:val="20"/>
        </w:rPr>
      </w:pPr>
    </w:p>
    <w:p w14:paraId="43B12956" w14:textId="77777777" w:rsidR="008A5C21" w:rsidRPr="007D0816" w:rsidRDefault="008A5C21" w:rsidP="008A5C21">
      <w:pPr>
        <w:spacing w:after="0" w:line="240" w:lineRule="auto"/>
        <w:jc w:val="both"/>
        <w:rPr>
          <w:rFonts w:ascii="Verdana" w:eastAsia="Calibri" w:hAnsi="Verdana" w:cs="Arial"/>
          <w:b/>
          <w:lang w:val="es-ES_tradnl" w:eastAsia="es-ES_tradnl"/>
        </w:rPr>
      </w:pPr>
      <w:r w:rsidRPr="007D0816">
        <w:rPr>
          <w:rFonts w:ascii="Verdana" w:eastAsia="Calibri" w:hAnsi="Verdana" w:cs="Arial"/>
          <w:b/>
          <w:lang w:val="es-ES_tradnl" w:eastAsia="es-ES_tradnl"/>
        </w:rPr>
        <w:t>CESIÓN DEL CONTRATO ESTATAL – Requisitos – Restricciones</w:t>
      </w:r>
    </w:p>
    <w:p w14:paraId="7E8BA73F" w14:textId="77777777" w:rsidR="008A5C21" w:rsidRPr="00DE2AC7" w:rsidRDefault="008A5C21" w:rsidP="008A5C21">
      <w:pPr>
        <w:spacing w:after="0" w:line="240" w:lineRule="auto"/>
        <w:jc w:val="both"/>
        <w:rPr>
          <w:rFonts w:ascii="Verdana" w:eastAsia="Calibri" w:hAnsi="Verdana" w:cs="Arial"/>
          <w:color w:val="000000" w:themeColor="text1"/>
          <w:sz w:val="20"/>
          <w:szCs w:val="20"/>
        </w:rPr>
      </w:pPr>
    </w:p>
    <w:p w14:paraId="4E9C2860" w14:textId="77777777" w:rsidR="008A5C21" w:rsidRPr="00DE2AC7" w:rsidRDefault="008A5C21" w:rsidP="008A5C21">
      <w:pPr>
        <w:tabs>
          <w:tab w:val="left" w:pos="709"/>
        </w:tabs>
        <w:spacing w:after="0" w:line="240" w:lineRule="auto"/>
        <w:jc w:val="both"/>
        <w:rPr>
          <w:rFonts w:ascii="Verdana" w:eastAsia="Calibri" w:hAnsi="Verdana" w:cs="Arial"/>
          <w:color w:val="000000" w:themeColor="text1"/>
          <w:sz w:val="20"/>
          <w:szCs w:val="20"/>
        </w:rPr>
      </w:pPr>
      <w:r w:rsidRPr="00DE2AC7">
        <w:rPr>
          <w:rFonts w:ascii="Verdana" w:eastAsia="Calibri" w:hAnsi="Verdana" w:cs="Arial"/>
          <w:color w:val="000000" w:themeColor="text1"/>
          <w:sz w:val="20"/>
          <w:szCs w:val="20"/>
        </w:rPr>
        <w:t xml:space="preserve">[…] el Consejo de Estado ha precisado como requisitos de la cesión del contrato estatal los siguientes: i) debe recaer en un tercero; </w:t>
      </w:r>
      <w:proofErr w:type="spellStart"/>
      <w:r w:rsidRPr="00DE2AC7">
        <w:rPr>
          <w:rFonts w:ascii="Verdana" w:eastAsia="Calibri" w:hAnsi="Verdana" w:cs="Arial"/>
          <w:color w:val="000000" w:themeColor="text1"/>
          <w:sz w:val="20"/>
          <w:szCs w:val="20"/>
        </w:rPr>
        <w:t>ii</w:t>
      </w:r>
      <w:proofErr w:type="spellEnd"/>
      <w:r w:rsidRPr="00DE2AC7">
        <w:rPr>
          <w:rFonts w:ascii="Verdana" w:eastAsia="Calibri" w:hAnsi="Verdana" w:cs="Arial"/>
          <w:color w:val="000000" w:themeColor="text1"/>
          <w:sz w:val="20"/>
          <w:szCs w:val="20"/>
        </w:rPr>
        <w:t xml:space="preserve">) el cesionario debe tener capacidad jurídica para continuar con la ejecución del objeto contractual y no estar incurso en causales de inhabilidad e incompatibilidad para contratar; y </w:t>
      </w:r>
      <w:proofErr w:type="spellStart"/>
      <w:r w:rsidRPr="00DE2AC7">
        <w:rPr>
          <w:rFonts w:ascii="Verdana" w:eastAsia="Calibri" w:hAnsi="Verdana" w:cs="Arial"/>
          <w:color w:val="000000" w:themeColor="text1"/>
          <w:sz w:val="20"/>
          <w:szCs w:val="20"/>
        </w:rPr>
        <w:t>iii</w:t>
      </w:r>
      <w:proofErr w:type="spellEnd"/>
      <w:r w:rsidRPr="00DE2AC7">
        <w:rPr>
          <w:rFonts w:ascii="Verdana" w:eastAsia="Calibri" w:hAnsi="Verdana" w:cs="Arial"/>
          <w:color w:val="000000" w:themeColor="text1"/>
          <w:sz w:val="20"/>
          <w:szCs w:val="20"/>
        </w:rPr>
        <w:t xml:space="preserve">) el cesionario debe contar con capacidad técnica, económica y financiera suficientes para el cumplimiento de las obligaciones emanadas del contrato cedido. Al respecto, la Sección Tercera del Consejo de Estado ha explicado que, en la medida que el tercero cesionario asume la posición contractual del contratista cedente, las disposiciones, los pliegos de condiciones y el contrato mismo serán aplicables a quien asuma la nueva posición contractual. De esta manera, la capacidad jurídica, económica y técnica del contratista cedente se exigirá también al cesionario, ya que “[…] el proceso cesión del contrato y las exigencias que se le impongan al tercero, no pueden alterar ni burlar los procedimientos de selección del contratista, en otras palabras, la figura de la cesión de contrato no puede servir como </w:t>
      </w:r>
      <w:r w:rsidRPr="00DE2AC7">
        <w:rPr>
          <w:rFonts w:ascii="Verdana" w:eastAsia="Calibri" w:hAnsi="Verdana" w:cs="Arial"/>
          <w:color w:val="000000" w:themeColor="text1"/>
          <w:sz w:val="20"/>
          <w:szCs w:val="20"/>
        </w:rPr>
        <w:lastRenderedPageBreak/>
        <w:t>instrumento para desviar las obligaciones que tiene la entidad contratante de cumplimiento de los parámetros de la selección objetiva”.</w:t>
      </w:r>
    </w:p>
    <w:p w14:paraId="57C5DAE4" w14:textId="77777777" w:rsidR="008A5C21" w:rsidRPr="00DE2AC7" w:rsidRDefault="008A5C21" w:rsidP="008A5C21">
      <w:pPr>
        <w:tabs>
          <w:tab w:val="left" w:pos="709"/>
        </w:tabs>
        <w:spacing w:after="0" w:line="240" w:lineRule="auto"/>
        <w:jc w:val="both"/>
        <w:rPr>
          <w:rFonts w:ascii="Verdana" w:eastAsia="Calibri" w:hAnsi="Verdana" w:cs="Arial"/>
          <w:color w:val="000000" w:themeColor="text1"/>
          <w:sz w:val="20"/>
          <w:szCs w:val="20"/>
        </w:rPr>
      </w:pPr>
      <w:r w:rsidRPr="00DE2AC7">
        <w:rPr>
          <w:rFonts w:ascii="Verdana" w:eastAsia="Calibri" w:hAnsi="Verdana" w:cs="Arial"/>
          <w:color w:val="000000" w:themeColor="text1"/>
          <w:sz w:val="20"/>
          <w:szCs w:val="20"/>
        </w:rPr>
        <w:t>[…]</w:t>
      </w:r>
    </w:p>
    <w:p w14:paraId="5C6B4BDF" w14:textId="77777777" w:rsidR="008A5C21" w:rsidRPr="00DE2AC7" w:rsidRDefault="008A5C21" w:rsidP="008A5C21">
      <w:pPr>
        <w:tabs>
          <w:tab w:val="left" w:pos="709"/>
        </w:tabs>
        <w:spacing w:after="0" w:line="240" w:lineRule="auto"/>
        <w:jc w:val="both"/>
        <w:rPr>
          <w:rFonts w:ascii="Verdana" w:eastAsia="Calibri" w:hAnsi="Verdana" w:cs="Arial"/>
          <w:color w:val="000000" w:themeColor="text1"/>
          <w:sz w:val="20"/>
          <w:szCs w:val="20"/>
        </w:rPr>
      </w:pPr>
    </w:p>
    <w:p w14:paraId="1B4A8B32" w14:textId="77777777" w:rsidR="008A5C21" w:rsidRPr="00DE2AC7" w:rsidRDefault="008A5C21" w:rsidP="008A5C21">
      <w:pPr>
        <w:tabs>
          <w:tab w:val="left" w:pos="709"/>
        </w:tabs>
        <w:spacing w:after="0" w:line="240" w:lineRule="auto"/>
        <w:jc w:val="both"/>
        <w:rPr>
          <w:rFonts w:ascii="Verdana" w:eastAsia="Calibri" w:hAnsi="Verdana" w:cs="Arial"/>
          <w:color w:val="000000" w:themeColor="text1"/>
          <w:sz w:val="20"/>
          <w:szCs w:val="20"/>
        </w:rPr>
      </w:pPr>
      <w:r w:rsidRPr="00DE2AC7">
        <w:rPr>
          <w:rFonts w:ascii="Verdana" w:eastAsia="Calibri" w:hAnsi="Verdana" w:cs="Arial"/>
          <w:color w:val="000000" w:themeColor="text1"/>
          <w:sz w:val="20"/>
          <w:szCs w:val="20"/>
        </w:rPr>
        <w:t xml:space="preserve">Además, el inciso primero del artículo 9 de la Ley 80 de 1993 establece una importante previsión en materia de cesión del contrato estatal, conforme a la cual “Si llegare a sobrevenir inhabilidad o incompatibilidad en el contratista, este cederá el contrato previa autorización escrita de la entidad contratante o, si ello no fuere posible, renunciará a su ejecución”. Además, en el inciso tercero del artículo citado impone una limitación a la cesión dentro del contrato estatal, que consiste en que, si la inhabilidad o incompatibilidad sobreviene a uno de los miembros del consorcio o unión temporal, “[…] este cederá su participación a un tercero previa autorización escrita de la entidad contratante […]”, y establece que “[…] En ningún caso, podrá haber cesión del contrato entre quienes integran el consorcio o unión temporal”. </w:t>
      </w:r>
    </w:p>
    <w:p w14:paraId="15CAC732" w14:textId="77777777" w:rsidR="008A5C21" w:rsidRPr="00DE2AC7" w:rsidRDefault="008A5C21" w:rsidP="008A5C21">
      <w:pPr>
        <w:spacing w:after="0" w:line="240" w:lineRule="auto"/>
        <w:rPr>
          <w:rFonts w:ascii="Verdana" w:eastAsia="Geomanist Light" w:hAnsi="Verdana" w:cs="Arial"/>
          <w:color w:val="000000" w:themeColor="text1"/>
        </w:rPr>
      </w:pPr>
    </w:p>
    <w:p w14:paraId="1F488E53" w14:textId="77777777" w:rsidR="008A5C21" w:rsidRDefault="008A5C21" w:rsidP="008A5C21">
      <w:pPr>
        <w:spacing w:after="0" w:line="240" w:lineRule="auto"/>
        <w:rPr>
          <w:rFonts w:ascii="Verdana" w:eastAsia="Geomanist Light" w:hAnsi="Verdana" w:cs="Arial"/>
          <w:color w:val="000000" w:themeColor="text1"/>
          <w:lang w:val="es-MX"/>
        </w:rPr>
      </w:pPr>
    </w:p>
    <w:p w14:paraId="3D88D2BB" w14:textId="77777777" w:rsidR="008A5C21" w:rsidRDefault="008A5C21" w:rsidP="008A5C21">
      <w:pPr>
        <w:spacing w:after="0" w:line="240" w:lineRule="auto"/>
        <w:rPr>
          <w:rFonts w:ascii="Verdana" w:eastAsia="Geomanist Light" w:hAnsi="Verdana" w:cs="Arial"/>
          <w:color w:val="000000" w:themeColor="text1"/>
          <w:lang w:val="es-MX"/>
        </w:rPr>
      </w:pPr>
    </w:p>
    <w:p w14:paraId="45091BD6" w14:textId="77777777" w:rsidR="008A5C21" w:rsidRDefault="008A5C21" w:rsidP="008A5C21">
      <w:pPr>
        <w:spacing w:after="0" w:line="240" w:lineRule="auto"/>
        <w:rPr>
          <w:rFonts w:ascii="Verdana" w:eastAsia="Geomanist Light" w:hAnsi="Verdana" w:cs="Arial"/>
          <w:color w:val="000000" w:themeColor="text1"/>
          <w:lang w:val="es-MX"/>
        </w:rPr>
      </w:pPr>
    </w:p>
    <w:p w14:paraId="097DBAA9" w14:textId="77777777" w:rsidR="008A5C21" w:rsidRDefault="008A5C21" w:rsidP="008A5C21">
      <w:pPr>
        <w:spacing w:after="0" w:line="240" w:lineRule="auto"/>
        <w:rPr>
          <w:rFonts w:ascii="Verdana" w:eastAsia="Geomanist Light" w:hAnsi="Verdana" w:cs="Arial"/>
          <w:color w:val="000000" w:themeColor="text1"/>
          <w:lang w:val="es-MX"/>
        </w:rPr>
      </w:pPr>
    </w:p>
    <w:p w14:paraId="376E97AC" w14:textId="77777777" w:rsidR="008A5C21" w:rsidRDefault="008A5C21" w:rsidP="008A5C21">
      <w:pPr>
        <w:spacing w:after="0" w:line="240" w:lineRule="auto"/>
        <w:rPr>
          <w:rFonts w:ascii="Verdana" w:eastAsia="Geomanist Light" w:hAnsi="Verdana" w:cs="Arial"/>
          <w:color w:val="000000" w:themeColor="text1"/>
          <w:lang w:val="es-MX"/>
        </w:rPr>
      </w:pPr>
    </w:p>
    <w:p w14:paraId="28BD76C1" w14:textId="77777777" w:rsidR="008A5C21" w:rsidRDefault="008A5C21" w:rsidP="008A5C21">
      <w:pPr>
        <w:spacing w:after="0" w:line="240" w:lineRule="auto"/>
        <w:rPr>
          <w:rFonts w:ascii="Verdana" w:eastAsia="Geomanist Light" w:hAnsi="Verdana" w:cs="Arial"/>
          <w:color w:val="000000" w:themeColor="text1"/>
          <w:lang w:val="es-MX"/>
        </w:rPr>
      </w:pPr>
    </w:p>
    <w:p w14:paraId="078198B8" w14:textId="77777777" w:rsidR="008A5C21" w:rsidRDefault="008A5C21" w:rsidP="008A5C21">
      <w:pPr>
        <w:spacing w:after="0" w:line="240" w:lineRule="auto"/>
        <w:rPr>
          <w:rFonts w:ascii="Verdana" w:eastAsia="Geomanist Light" w:hAnsi="Verdana" w:cs="Arial"/>
          <w:color w:val="000000" w:themeColor="text1"/>
          <w:lang w:val="es-MX"/>
        </w:rPr>
      </w:pPr>
    </w:p>
    <w:p w14:paraId="11CC6CB7" w14:textId="77777777" w:rsidR="008A5C21" w:rsidRDefault="008A5C21" w:rsidP="008A5C21">
      <w:pPr>
        <w:spacing w:after="0" w:line="240" w:lineRule="auto"/>
        <w:rPr>
          <w:rFonts w:ascii="Verdana" w:eastAsia="Geomanist Light" w:hAnsi="Verdana" w:cs="Arial"/>
          <w:color w:val="000000" w:themeColor="text1"/>
          <w:lang w:val="es-MX"/>
        </w:rPr>
      </w:pPr>
    </w:p>
    <w:p w14:paraId="6A735FDA" w14:textId="77777777" w:rsidR="008A5C21" w:rsidRDefault="008A5C21" w:rsidP="008A5C21">
      <w:pPr>
        <w:spacing w:after="0" w:line="240" w:lineRule="auto"/>
        <w:rPr>
          <w:rFonts w:ascii="Verdana" w:eastAsia="Geomanist Light" w:hAnsi="Verdana" w:cs="Arial"/>
          <w:color w:val="000000" w:themeColor="text1"/>
          <w:lang w:val="es-MX"/>
        </w:rPr>
      </w:pPr>
    </w:p>
    <w:p w14:paraId="673110F3" w14:textId="77777777" w:rsidR="008A5C21" w:rsidRDefault="008A5C21" w:rsidP="008A5C21">
      <w:pPr>
        <w:spacing w:after="0" w:line="240" w:lineRule="auto"/>
        <w:rPr>
          <w:rFonts w:ascii="Verdana" w:eastAsia="Geomanist Light" w:hAnsi="Verdana" w:cs="Arial"/>
          <w:color w:val="000000" w:themeColor="text1"/>
          <w:lang w:val="es-MX"/>
        </w:rPr>
      </w:pPr>
    </w:p>
    <w:p w14:paraId="6064238D" w14:textId="77777777" w:rsidR="008A5C21" w:rsidRDefault="008A5C21" w:rsidP="008A5C21">
      <w:pPr>
        <w:spacing w:after="0" w:line="240" w:lineRule="auto"/>
        <w:rPr>
          <w:rFonts w:ascii="Verdana" w:eastAsia="Geomanist Light" w:hAnsi="Verdana" w:cs="Arial"/>
          <w:color w:val="000000" w:themeColor="text1"/>
          <w:lang w:val="es-MX"/>
        </w:rPr>
      </w:pPr>
    </w:p>
    <w:p w14:paraId="7CB4B9ED" w14:textId="77777777" w:rsidR="008A5C21" w:rsidRDefault="008A5C21" w:rsidP="008A5C21">
      <w:pPr>
        <w:spacing w:after="0" w:line="240" w:lineRule="auto"/>
        <w:rPr>
          <w:rFonts w:ascii="Verdana" w:eastAsia="Geomanist Light" w:hAnsi="Verdana" w:cs="Arial"/>
          <w:color w:val="000000" w:themeColor="text1"/>
          <w:lang w:val="es-MX"/>
        </w:rPr>
      </w:pPr>
    </w:p>
    <w:p w14:paraId="3C4DB3E8" w14:textId="77777777" w:rsidR="008A5C21" w:rsidRDefault="008A5C21" w:rsidP="008A5C21">
      <w:pPr>
        <w:spacing w:after="0" w:line="240" w:lineRule="auto"/>
        <w:rPr>
          <w:rFonts w:ascii="Verdana" w:eastAsia="Geomanist Light" w:hAnsi="Verdana" w:cs="Arial"/>
          <w:color w:val="000000" w:themeColor="text1"/>
          <w:lang w:val="es-MX"/>
        </w:rPr>
      </w:pPr>
    </w:p>
    <w:p w14:paraId="0BFB9A09" w14:textId="77777777" w:rsidR="008A5C21" w:rsidRDefault="008A5C21" w:rsidP="008A5C21">
      <w:pPr>
        <w:spacing w:after="0" w:line="240" w:lineRule="auto"/>
        <w:rPr>
          <w:rFonts w:ascii="Verdana" w:eastAsia="Geomanist Light" w:hAnsi="Verdana" w:cs="Arial"/>
          <w:color w:val="000000" w:themeColor="text1"/>
          <w:lang w:val="es-MX"/>
        </w:rPr>
      </w:pPr>
    </w:p>
    <w:p w14:paraId="4E50FB13" w14:textId="77777777" w:rsidR="008A5C21" w:rsidRDefault="008A5C21" w:rsidP="008A5C21">
      <w:pPr>
        <w:spacing w:after="0" w:line="240" w:lineRule="auto"/>
        <w:rPr>
          <w:rFonts w:ascii="Verdana" w:eastAsia="Geomanist Light" w:hAnsi="Verdana" w:cs="Arial"/>
          <w:color w:val="000000" w:themeColor="text1"/>
          <w:lang w:val="es-MX"/>
        </w:rPr>
      </w:pPr>
    </w:p>
    <w:p w14:paraId="13BCDD66" w14:textId="77777777" w:rsidR="008A5C21" w:rsidRDefault="008A5C21" w:rsidP="008A5C21">
      <w:pPr>
        <w:spacing w:after="0" w:line="240" w:lineRule="auto"/>
        <w:rPr>
          <w:rFonts w:ascii="Verdana" w:eastAsia="Geomanist Light" w:hAnsi="Verdana" w:cs="Arial"/>
          <w:color w:val="000000" w:themeColor="text1"/>
          <w:lang w:val="es-MX"/>
        </w:rPr>
      </w:pPr>
    </w:p>
    <w:p w14:paraId="4F864F32" w14:textId="77777777" w:rsidR="008A5C21" w:rsidRDefault="008A5C21" w:rsidP="008A5C21">
      <w:pPr>
        <w:spacing w:after="0" w:line="240" w:lineRule="auto"/>
        <w:rPr>
          <w:rFonts w:ascii="Verdana" w:eastAsia="Geomanist Light" w:hAnsi="Verdana" w:cs="Arial"/>
          <w:color w:val="000000" w:themeColor="text1"/>
          <w:lang w:val="es-MX"/>
        </w:rPr>
      </w:pPr>
    </w:p>
    <w:p w14:paraId="6E991364" w14:textId="77777777" w:rsidR="008A5C21" w:rsidRDefault="008A5C21" w:rsidP="008A5C21">
      <w:pPr>
        <w:spacing w:after="0" w:line="240" w:lineRule="auto"/>
        <w:rPr>
          <w:rFonts w:ascii="Verdana" w:eastAsia="Geomanist Light" w:hAnsi="Verdana" w:cs="Arial"/>
          <w:color w:val="000000" w:themeColor="text1"/>
          <w:lang w:val="es-MX"/>
        </w:rPr>
      </w:pPr>
    </w:p>
    <w:p w14:paraId="0189E88E" w14:textId="77777777" w:rsidR="008A5C21" w:rsidRDefault="008A5C21" w:rsidP="008A5C21">
      <w:pPr>
        <w:spacing w:after="0" w:line="240" w:lineRule="auto"/>
        <w:rPr>
          <w:rFonts w:ascii="Verdana" w:eastAsia="Geomanist Light" w:hAnsi="Verdana" w:cs="Arial"/>
          <w:color w:val="000000" w:themeColor="text1"/>
          <w:lang w:val="es-MX"/>
        </w:rPr>
      </w:pPr>
    </w:p>
    <w:p w14:paraId="22AB416A" w14:textId="77777777" w:rsidR="008A5C21" w:rsidRDefault="008A5C21" w:rsidP="008A5C21">
      <w:pPr>
        <w:spacing w:after="0" w:line="240" w:lineRule="auto"/>
        <w:rPr>
          <w:rFonts w:ascii="Verdana" w:eastAsia="Geomanist Light" w:hAnsi="Verdana" w:cs="Arial"/>
          <w:color w:val="000000" w:themeColor="text1"/>
          <w:lang w:val="es-MX"/>
        </w:rPr>
      </w:pPr>
    </w:p>
    <w:p w14:paraId="1EF95155" w14:textId="77777777" w:rsidR="008A5C21" w:rsidRDefault="008A5C21" w:rsidP="008A5C21">
      <w:pPr>
        <w:spacing w:after="0" w:line="240" w:lineRule="auto"/>
        <w:rPr>
          <w:rFonts w:ascii="Verdana" w:eastAsia="Geomanist Light" w:hAnsi="Verdana" w:cs="Arial"/>
          <w:color w:val="000000" w:themeColor="text1"/>
          <w:lang w:val="es-MX"/>
        </w:rPr>
      </w:pPr>
    </w:p>
    <w:p w14:paraId="5DB1F657" w14:textId="77777777" w:rsidR="008A5C21" w:rsidRDefault="008A5C21" w:rsidP="008A5C21">
      <w:pPr>
        <w:spacing w:after="0" w:line="240" w:lineRule="auto"/>
        <w:rPr>
          <w:rFonts w:ascii="Verdana" w:eastAsia="Geomanist Light" w:hAnsi="Verdana" w:cs="Arial"/>
          <w:color w:val="000000" w:themeColor="text1"/>
          <w:lang w:val="es-MX"/>
        </w:rPr>
      </w:pPr>
    </w:p>
    <w:p w14:paraId="0F44629B" w14:textId="77777777" w:rsidR="008A5C21" w:rsidRDefault="008A5C21" w:rsidP="008A5C21">
      <w:pPr>
        <w:spacing w:after="0" w:line="240" w:lineRule="auto"/>
        <w:rPr>
          <w:rFonts w:ascii="Verdana" w:eastAsia="Geomanist Light" w:hAnsi="Verdana" w:cs="Arial"/>
          <w:color w:val="000000" w:themeColor="text1"/>
          <w:lang w:val="es-MX"/>
        </w:rPr>
      </w:pPr>
    </w:p>
    <w:p w14:paraId="4D877AE5" w14:textId="77777777" w:rsidR="008A5C21" w:rsidRDefault="008A5C21" w:rsidP="008A5C21">
      <w:pPr>
        <w:spacing w:after="0" w:line="240" w:lineRule="auto"/>
        <w:rPr>
          <w:rFonts w:ascii="Verdana" w:eastAsia="Geomanist Light" w:hAnsi="Verdana" w:cs="Arial"/>
          <w:color w:val="000000" w:themeColor="text1"/>
          <w:lang w:val="es-MX"/>
        </w:rPr>
      </w:pPr>
    </w:p>
    <w:p w14:paraId="618291EF" w14:textId="77777777" w:rsidR="008A5C21" w:rsidRDefault="008A5C21" w:rsidP="008A5C21">
      <w:pPr>
        <w:spacing w:after="0" w:line="240" w:lineRule="auto"/>
        <w:rPr>
          <w:rFonts w:ascii="Verdana" w:eastAsia="Geomanist Light" w:hAnsi="Verdana" w:cs="Arial"/>
          <w:color w:val="000000" w:themeColor="text1"/>
          <w:lang w:val="es-MX"/>
        </w:rPr>
      </w:pPr>
    </w:p>
    <w:p w14:paraId="6925697E" w14:textId="77777777" w:rsidR="008A5C21" w:rsidRDefault="008A5C21" w:rsidP="008A5C21">
      <w:pPr>
        <w:spacing w:after="0" w:line="240" w:lineRule="auto"/>
        <w:rPr>
          <w:rFonts w:ascii="Verdana" w:eastAsia="Geomanist Light" w:hAnsi="Verdana" w:cs="Arial"/>
          <w:color w:val="000000" w:themeColor="text1"/>
          <w:lang w:val="es-MX"/>
        </w:rPr>
      </w:pPr>
    </w:p>
    <w:p w14:paraId="5B4D07A6" w14:textId="77777777" w:rsidR="008A5C21" w:rsidRDefault="008A5C21" w:rsidP="008A5C21">
      <w:pPr>
        <w:spacing w:after="0" w:line="240" w:lineRule="auto"/>
        <w:rPr>
          <w:rFonts w:ascii="Verdana" w:eastAsia="Geomanist Light" w:hAnsi="Verdana" w:cs="Arial"/>
          <w:color w:val="000000" w:themeColor="text1"/>
          <w:lang w:val="es-MX"/>
        </w:rPr>
      </w:pPr>
    </w:p>
    <w:p w14:paraId="352B5554" w14:textId="77777777" w:rsidR="008A5C21" w:rsidRDefault="008A5C21" w:rsidP="008A5C21">
      <w:pPr>
        <w:spacing w:after="0" w:line="240" w:lineRule="auto"/>
        <w:rPr>
          <w:rFonts w:ascii="Verdana" w:eastAsia="Geomanist Light" w:hAnsi="Verdana" w:cs="Arial"/>
          <w:color w:val="000000" w:themeColor="text1"/>
          <w:lang w:val="es-MX"/>
        </w:rPr>
      </w:pPr>
    </w:p>
    <w:p w14:paraId="467321BA" w14:textId="77777777" w:rsidR="008A5C21" w:rsidRDefault="008A5C21" w:rsidP="00E74570">
      <w:pPr>
        <w:spacing w:after="0" w:line="240" w:lineRule="auto"/>
        <w:rPr>
          <w:rFonts w:ascii="Verdana" w:eastAsia="Geomanist Light" w:hAnsi="Verdana" w:cs="Arial"/>
          <w:color w:val="000000" w:themeColor="text1"/>
          <w:lang w:val="es-MX"/>
        </w:rPr>
      </w:pPr>
    </w:p>
    <w:p w14:paraId="6388C298" w14:textId="08D74B5F" w:rsidR="00E74570" w:rsidRPr="00593A5F" w:rsidRDefault="00E74570" w:rsidP="00E74570">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B9542F">
        <w:rPr>
          <w:rFonts w:ascii="Verdana" w:hAnsi="Verdana" w:cs="Verdana"/>
          <w:color w:val="000000"/>
          <w:lang w:val="es-MX"/>
        </w:rPr>
        <w:t>2</w:t>
      </w:r>
      <w:r w:rsidR="00AE45EC">
        <w:rPr>
          <w:rFonts w:ascii="Verdana" w:hAnsi="Verdana" w:cs="Verdana"/>
          <w:color w:val="000000"/>
          <w:lang w:val="es-MX"/>
        </w:rPr>
        <w:t>6</w:t>
      </w:r>
      <w:r w:rsidR="00B9542F">
        <w:rPr>
          <w:rFonts w:ascii="Verdana" w:hAnsi="Verdana" w:cs="Verdana"/>
          <w:color w:val="000000"/>
          <w:lang w:val="es-MX"/>
        </w:rPr>
        <w:t xml:space="preserve"> de Septiembre de 2025</w:t>
      </w:r>
    </w:p>
    <w:p w14:paraId="109E3AD5" w14:textId="77777777" w:rsidR="00E74570" w:rsidRDefault="00E74570" w:rsidP="00E74570">
      <w:pPr>
        <w:spacing w:after="0" w:line="240" w:lineRule="auto"/>
        <w:jc w:val="both"/>
        <w:rPr>
          <w:rFonts w:ascii="Verdana" w:eastAsia="Calibri" w:hAnsi="Verdana" w:cs="Arial"/>
          <w:color w:val="000000"/>
          <w:lang w:val="es-ES"/>
        </w:rPr>
      </w:pPr>
    </w:p>
    <w:p w14:paraId="03289D9D" w14:textId="01FF2718" w:rsidR="008E5014" w:rsidRDefault="008E5014" w:rsidP="008E5014">
      <w:pPr>
        <w:spacing w:after="0" w:line="240" w:lineRule="auto"/>
        <w:jc w:val="right"/>
        <w:rPr>
          <w:rFonts w:ascii="Verdana" w:eastAsia="Calibri" w:hAnsi="Verdana" w:cs="Arial"/>
          <w:color w:val="000000"/>
          <w:lang w:val="es-ES"/>
        </w:rPr>
      </w:pPr>
      <w:r w:rsidRPr="008E5014">
        <w:rPr>
          <w:rFonts w:ascii="Verdana" w:eastAsia="Calibri" w:hAnsi="Verdana" w:cs="Arial"/>
          <w:color w:val="000000"/>
          <w:lang w:val="es-ES"/>
        </w:rPr>
        <w:drawing>
          <wp:inline distT="0" distB="0" distL="0" distR="0" wp14:anchorId="348B6F54" wp14:editId="643AB86A">
            <wp:extent cx="2400300" cy="622300"/>
            <wp:effectExtent l="0" t="0" r="0" b="0"/>
            <wp:docPr id="15786084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608410" name=""/>
                    <pic:cNvPicPr/>
                  </pic:nvPicPr>
                  <pic:blipFill>
                    <a:blip r:embed="rId10"/>
                    <a:stretch>
                      <a:fillRect/>
                    </a:stretch>
                  </pic:blipFill>
                  <pic:spPr>
                    <a:xfrm>
                      <a:off x="0" y="0"/>
                      <a:ext cx="2400300" cy="622300"/>
                    </a:xfrm>
                    <a:prstGeom prst="rect">
                      <a:avLst/>
                    </a:prstGeom>
                  </pic:spPr>
                </pic:pic>
              </a:graphicData>
            </a:graphic>
          </wp:inline>
        </w:drawing>
      </w:r>
    </w:p>
    <w:p w14:paraId="2143A94A" w14:textId="77777777" w:rsidR="00E74570" w:rsidRPr="00593A5F" w:rsidRDefault="00E74570" w:rsidP="00E74570">
      <w:pPr>
        <w:spacing w:after="0" w:line="240" w:lineRule="auto"/>
        <w:jc w:val="both"/>
        <w:rPr>
          <w:rFonts w:ascii="Verdana" w:eastAsia="Calibri" w:hAnsi="Verdana" w:cs="Arial"/>
          <w:color w:val="000000"/>
          <w:lang w:val="es-ES"/>
        </w:rPr>
      </w:pPr>
    </w:p>
    <w:p w14:paraId="3BC2404B" w14:textId="77777777" w:rsidR="00E74570" w:rsidRPr="00B96799" w:rsidRDefault="00E74570" w:rsidP="00E74570">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262950DE" w14:textId="77777777" w:rsidR="00E74570" w:rsidRPr="0085423D" w:rsidRDefault="00E74570" w:rsidP="00E74570">
      <w:pPr>
        <w:spacing w:after="0" w:line="240" w:lineRule="auto"/>
        <w:rPr>
          <w:rFonts w:ascii="Verdana" w:eastAsia="Calibri" w:hAnsi="Verdana" w:cs="Arial"/>
          <w:b/>
          <w:lang w:val="es-ES_tradnl" w:eastAsia="es-ES_tradnl"/>
        </w:rPr>
      </w:pPr>
      <w:r w:rsidRPr="006F52C7">
        <w:rPr>
          <w:rFonts w:ascii="Verdana" w:eastAsia="Calibri" w:hAnsi="Verdana" w:cs="Arial"/>
          <w:b/>
          <w:lang w:val="es-ES_tradnl" w:eastAsia="es-ES_tradnl"/>
        </w:rPr>
        <w:t>Andrés Felipe Hernández González</w:t>
      </w:r>
      <w:r>
        <w:rPr>
          <w:rFonts w:ascii="Verdana" w:eastAsia="Calibri" w:hAnsi="Verdana" w:cs="Arial"/>
          <w:b/>
          <w:lang w:val="es-ES_tradnl" w:eastAsia="es-ES_tradnl"/>
        </w:rPr>
        <w:t xml:space="preserve"> </w:t>
      </w:r>
    </w:p>
    <w:p w14:paraId="1A102367" w14:textId="77777777" w:rsidR="00E74570" w:rsidRPr="006F52C7" w:rsidRDefault="00E74570" w:rsidP="00E74570">
      <w:pPr>
        <w:spacing w:after="0" w:line="240" w:lineRule="auto"/>
        <w:rPr>
          <w:rFonts w:ascii="Verdana" w:eastAsia="Calibri" w:hAnsi="Verdana" w:cs="Arial"/>
          <w:lang w:val="es-ES" w:eastAsia="es-ES"/>
        </w:rPr>
      </w:pPr>
      <w:hyperlink r:id="rId11" w:history="1">
        <w:r w:rsidRPr="00C95D94">
          <w:rPr>
            <w:rStyle w:val="Hipervnculo"/>
            <w:rFonts w:ascii="Verdana" w:hAnsi="Verdana"/>
          </w:rPr>
          <w:t>andreshg93@hotmail.com</w:t>
        </w:r>
      </w:hyperlink>
      <w:r>
        <w:rPr>
          <w:rFonts w:ascii="Verdana" w:hAnsi="Verdana"/>
        </w:rPr>
        <w:t xml:space="preserve"> </w:t>
      </w:r>
      <w:r w:rsidRPr="006F52C7">
        <w:rPr>
          <w:rFonts w:ascii="Verdana" w:hAnsi="Verdana"/>
        </w:rPr>
        <w:t xml:space="preserve">         </w:t>
      </w:r>
      <w:r w:rsidRPr="006F52C7">
        <w:rPr>
          <w:rFonts w:ascii="Verdana" w:eastAsia="Calibri" w:hAnsi="Verdana" w:cs="Arial"/>
          <w:lang w:val="es-ES" w:eastAsia="es-ES"/>
        </w:rPr>
        <w:t xml:space="preserve">    </w:t>
      </w:r>
    </w:p>
    <w:p w14:paraId="782AD638" w14:textId="77777777" w:rsidR="00E74570" w:rsidRDefault="00E74570" w:rsidP="00E74570">
      <w:pPr>
        <w:spacing w:after="0" w:line="240" w:lineRule="auto"/>
        <w:rPr>
          <w:rFonts w:ascii="Verdana" w:eastAsia="Calibri" w:hAnsi="Verdana" w:cs="Arial"/>
          <w:lang w:val="es-ES" w:eastAsia="es-ES"/>
        </w:rPr>
      </w:pPr>
      <w:r w:rsidRPr="001F5E1C">
        <w:rPr>
          <w:rFonts w:ascii="Verdana" w:eastAsia="Calibri" w:hAnsi="Verdana" w:cs="Arial"/>
          <w:lang w:val="es-ES" w:eastAsia="es-ES"/>
        </w:rPr>
        <w:t>Bogotá D.C.</w:t>
      </w:r>
      <w:r>
        <w:rPr>
          <w:rFonts w:ascii="Verdana" w:eastAsia="Calibri" w:hAnsi="Verdana" w:cs="Arial"/>
          <w:lang w:val="es-ES" w:eastAsia="es-ES"/>
        </w:rPr>
        <w:t xml:space="preserve"> </w:t>
      </w:r>
    </w:p>
    <w:p w14:paraId="1E691E34" w14:textId="77777777" w:rsidR="00E74570" w:rsidRPr="00593A5F" w:rsidRDefault="00E74570" w:rsidP="00E74570">
      <w:pPr>
        <w:spacing w:after="0" w:line="240" w:lineRule="auto"/>
        <w:rPr>
          <w:rFonts w:ascii="Verdana" w:eastAsia="Calibri" w:hAnsi="Verdana" w:cs="Arial"/>
          <w:b/>
          <w:bCs/>
          <w:color w:val="000000"/>
          <w:lang w:val="es-ES_tradnl" w:eastAsia="es-ES_tradnl"/>
        </w:rPr>
      </w:pPr>
    </w:p>
    <w:p w14:paraId="41B86E1B" w14:textId="77777777" w:rsidR="00E74570" w:rsidRPr="00593A5F" w:rsidRDefault="00E74570" w:rsidP="00E74570">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74570" w:rsidRPr="00593A5F" w14:paraId="7B6B5BCB" w14:textId="77777777" w:rsidTr="0065243C">
        <w:trPr>
          <w:trHeight w:val="884"/>
        </w:trPr>
        <w:tc>
          <w:tcPr>
            <w:tcW w:w="2689" w:type="dxa"/>
          </w:tcPr>
          <w:p w14:paraId="5B64EB02" w14:textId="77777777" w:rsidR="00E74570" w:rsidRPr="00C00976" w:rsidRDefault="00E74570" w:rsidP="0065243C">
            <w:pPr>
              <w:jc w:val="both"/>
              <w:rPr>
                <w:rFonts w:ascii="Verdana" w:eastAsia="Calibri" w:hAnsi="Verdana" w:cs="Arial"/>
                <w:b/>
                <w:bCs/>
                <w:color w:val="7030A0"/>
                <w:lang w:val="es-ES_tradnl" w:eastAsia="es-ES_tradnl"/>
              </w:rPr>
            </w:pPr>
          </w:p>
        </w:tc>
        <w:tc>
          <w:tcPr>
            <w:tcW w:w="6100" w:type="dxa"/>
          </w:tcPr>
          <w:p w14:paraId="49988677" w14:textId="1CD855F2" w:rsidR="00E74570" w:rsidRPr="00C00976" w:rsidRDefault="00E74570" w:rsidP="0065243C">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636823">
              <w:rPr>
                <w:rFonts w:ascii="Verdana" w:eastAsia="Calibri" w:hAnsi="Verdana" w:cs="Arial"/>
                <w:b/>
                <w:bCs/>
                <w:lang w:val="es-ES" w:eastAsia="es-ES"/>
              </w:rPr>
              <w:t>1310</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E74570" w:rsidRPr="00593A5F" w14:paraId="6E45A502" w14:textId="77777777" w:rsidTr="0065243C">
        <w:trPr>
          <w:trHeight w:val="884"/>
        </w:trPr>
        <w:tc>
          <w:tcPr>
            <w:tcW w:w="2689" w:type="dxa"/>
          </w:tcPr>
          <w:p w14:paraId="60AD6F68" w14:textId="77777777" w:rsidR="00E74570" w:rsidRPr="00593A5F" w:rsidRDefault="00E74570" w:rsidP="0065243C">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897E1F0" w14:textId="77777777" w:rsidR="00E74570" w:rsidRPr="00A11406" w:rsidRDefault="00E74570" w:rsidP="0065243C">
            <w:pPr>
              <w:spacing w:line="276" w:lineRule="auto"/>
              <w:jc w:val="both"/>
              <w:rPr>
                <w:rFonts w:ascii="Verdana" w:eastAsia="Calibri" w:hAnsi="Verdana" w:cs="Arial"/>
                <w:lang w:val="es-ES" w:eastAsia="es-ES"/>
              </w:rPr>
            </w:pPr>
            <w:r w:rsidRPr="00DD7928">
              <w:rPr>
                <w:rFonts w:ascii="Verdana" w:eastAsia="Calibri" w:hAnsi="Verdana" w:cs="Arial"/>
                <w:lang w:val="es-ES" w:eastAsia="es-ES"/>
              </w:rPr>
              <w:t>CESIÓN DEL CONTRATO ESTATAL – Noción / CESIÓN DEL CONTRATO ESTATAL – Régimen jurídico aplicable – EGCAP – Código de comercio / CESIÓN DEL CONTRATO ESTATAL – Requisitos – Restricciones</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75C3A95F" w14:textId="77777777" w:rsidR="00E74570" w:rsidRPr="00593A5F" w:rsidRDefault="00E74570" w:rsidP="0065243C">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E74570" w:rsidRPr="008E6AD9" w14:paraId="411C6EDC" w14:textId="77777777" w:rsidTr="0065243C">
        <w:tc>
          <w:tcPr>
            <w:tcW w:w="2689" w:type="dxa"/>
          </w:tcPr>
          <w:p w14:paraId="00D8358B" w14:textId="77777777" w:rsidR="00E74570" w:rsidRPr="008E6AD9" w:rsidRDefault="00E74570" w:rsidP="0065243C">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18AB3B2" w14:textId="77777777" w:rsidR="00E74570" w:rsidRPr="00B92340" w:rsidRDefault="00E74570" w:rsidP="0065243C">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A77279">
              <w:rPr>
                <w:rFonts w:ascii="Verdana" w:eastAsia="Calibri" w:hAnsi="Verdana" w:cs="Arial"/>
                <w:lang w:val="es-ES_tradnl" w:eastAsia="es-ES_tradnl"/>
              </w:rPr>
              <w:t>1_2025_09_12_010014</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7AD5BFED" w14:textId="77777777" w:rsidR="00E74570" w:rsidRPr="00593A5F" w:rsidRDefault="00E74570" w:rsidP="00E74570">
      <w:pPr>
        <w:spacing w:after="0" w:line="240" w:lineRule="auto"/>
        <w:jc w:val="both"/>
        <w:rPr>
          <w:rFonts w:ascii="Verdana" w:eastAsia="Calibri" w:hAnsi="Verdana" w:cs="Arial"/>
          <w:color w:val="000000"/>
          <w:lang w:val="es-ES_tradnl" w:eastAsia="es-ES_tradnl"/>
        </w:rPr>
      </w:pPr>
    </w:p>
    <w:p w14:paraId="7530DC0F" w14:textId="77777777" w:rsidR="00E74570" w:rsidRPr="00593A5F" w:rsidRDefault="00E74570" w:rsidP="00E74570">
      <w:pPr>
        <w:spacing w:after="0" w:line="240" w:lineRule="auto"/>
        <w:jc w:val="both"/>
        <w:rPr>
          <w:rFonts w:ascii="Verdana" w:eastAsia="Calibri" w:hAnsi="Verdana" w:cs="Arial"/>
          <w:color w:val="000000"/>
          <w:lang w:val="es-ES_tradnl" w:eastAsia="es-ES_tradnl"/>
        </w:rPr>
      </w:pPr>
    </w:p>
    <w:p w14:paraId="6E771A1E" w14:textId="77777777" w:rsidR="00E74570" w:rsidRPr="008E6AD9" w:rsidRDefault="00E74570" w:rsidP="00E74570">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5F751A">
        <w:rPr>
          <w:rFonts w:ascii="Verdana" w:eastAsia="Calibri" w:hAnsi="Verdana" w:cs="Arial"/>
          <w:lang w:val="es-ES" w:eastAsia="es-ES"/>
        </w:rPr>
        <w:t>Hernández González</w:t>
      </w:r>
      <w:r w:rsidRPr="008E6AD9">
        <w:rPr>
          <w:rFonts w:ascii="Verdana" w:eastAsia="Calibri" w:hAnsi="Verdana" w:cs="Arial"/>
          <w:lang w:val="es-ES" w:eastAsia="es-ES"/>
        </w:rPr>
        <w:t xml:space="preserve">: </w:t>
      </w:r>
    </w:p>
    <w:p w14:paraId="6A31D5AD" w14:textId="77777777" w:rsidR="00E74570" w:rsidRDefault="00E74570" w:rsidP="00E74570">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4DF3387" w14:textId="77777777" w:rsidR="00E74570" w:rsidRPr="00593A5F" w:rsidRDefault="00E74570" w:rsidP="00E74570">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12 de septiembre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 xml:space="preserve">en </w:t>
      </w:r>
      <w:r>
        <w:rPr>
          <w:rFonts w:ascii="Verdana" w:eastAsia="Calibri" w:hAnsi="Verdana" w:cs="Arial"/>
          <w:lang w:val="es-ES" w:eastAsia="es-ES"/>
        </w:rPr>
        <w:t>la cual manifiesta lo siguiente</w:t>
      </w:r>
      <w:r w:rsidRPr="008E6AD9">
        <w:rPr>
          <w:rFonts w:ascii="Verdana" w:eastAsia="Calibri" w:hAnsi="Verdana" w:cs="Arial"/>
          <w:lang w:val="es-ES" w:eastAsia="es-ES"/>
        </w:rPr>
        <w:t xml:space="preserve">: </w:t>
      </w:r>
    </w:p>
    <w:p w14:paraId="51C8882D" w14:textId="77777777" w:rsidR="00E74570" w:rsidRPr="00272A7B" w:rsidRDefault="00E74570" w:rsidP="00E74570">
      <w:pPr>
        <w:pStyle w:val="Prrafodelista"/>
        <w:tabs>
          <w:tab w:val="left" w:pos="142"/>
          <w:tab w:val="left" w:pos="284"/>
        </w:tabs>
        <w:spacing w:after="0" w:line="276" w:lineRule="auto"/>
        <w:ind w:left="0"/>
        <w:jc w:val="both"/>
        <w:rPr>
          <w:rFonts w:ascii="Verdana" w:eastAsia="Century Gothic" w:hAnsi="Verdana" w:cs="Century Gothic"/>
          <w:b/>
          <w:bCs/>
        </w:rPr>
      </w:pPr>
    </w:p>
    <w:p w14:paraId="151D00CA" w14:textId="77777777" w:rsidR="00E74570" w:rsidRPr="005F751A" w:rsidRDefault="00E74570" w:rsidP="00E74570">
      <w:pPr>
        <w:spacing w:after="120" w:line="240" w:lineRule="auto"/>
        <w:ind w:left="709" w:right="709"/>
        <w:jc w:val="both"/>
        <w:rPr>
          <w:rFonts w:ascii="Verdana" w:eastAsia="Century Gothic" w:hAnsi="Verdana" w:cs="Century Gothic"/>
          <w:sz w:val="21"/>
          <w:szCs w:val="21"/>
          <w:lang w:val="es-ES"/>
        </w:rPr>
      </w:pPr>
      <w:bookmarkStart w:id="0" w:name="_Hlk95313578"/>
      <w:r w:rsidRPr="006E7258">
        <w:rPr>
          <w:rFonts w:ascii="Verdana" w:eastAsia="Century Gothic" w:hAnsi="Verdana" w:cs="Century Gothic"/>
          <w:sz w:val="21"/>
          <w:szCs w:val="21"/>
          <w:lang w:val="es-ES"/>
        </w:rPr>
        <w:t>“</w:t>
      </w:r>
      <w:bookmarkEnd w:id="0"/>
      <w:r w:rsidRPr="005F751A">
        <w:rPr>
          <w:rFonts w:ascii="Verdana" w:eastAsia="Century Gothic" w:hAnsi="Verdana" w:cs="Century Gothic"/>
          <w:sz w:val="21"/>
          <w:szCs w:val="21"/>
          <w:lang w:val="es-ES"/>
        </w:rPr>
        <w:t xml:space="preserve">El concepto C-228 de 2024 informa que </w:t>
      </w:r>
      <w:r>
        <w:rPr>
          <w:rFonts w:ascii="Verdana" w:eastAsia="Century Gothic" w:hAnsi="Verdana" w:cs="Century Gothic"/>
          <w:sz w:val="21"/>
          <w:szCs w:val="21"/>
          <w:lang w:val="es-ES"/>
        </w:rPr>
        <w:t>‘</w:t>
      </w:r>
      <w:r w:rsidRPr="000808CC">
        <w:rPr>
          <w:rFonts w:ascii="Verdana" w:eastAsia="Century Gothic" w:hAnsi="Verdana" w:cs="Century Gothic"/>
          <w:i/>
          <w:iCs/>
          <w:sz w:val="21"/>
          <w:szCs w:val="21"/>
          <w:lang w:val="es-ES"/>
        </w:rPr>
        <w:t>Al respecto, la Sección Tercera del Consejo de Estado ha explicado que, en la medida que el tercero cesionario asume la posición contractual del contratista cedente, las disposiciones, los pliegos de condiciones y el contrato mismo serán aplicables a quien asuma la nueva posición contractual. De esta manera, la capacidad jurídica, económica y técnica del contratista cedente se exigirá también al cesionario</w:t>
      </w:r>
      <w:r>
        <w:rPr>
          <w:rFonts w:ascii="Verdana" w:eastAsia="Century Gothic" w:hAnsi="Verdana" w:cs="Century Gothic"/>
          <w:sz w:val="21"/>
          <w:szCs w:val="21"/>
          <w:lang w:val="es-ES"/>
        </w:rPr>
        <w:t>’</w:t>
      </w:r>
      <w:r w:rsidRPr="005F751A">
        <w:rPr>
          <w:rFonts w:ascii="Verdana" w:eastAsia="Century Gothic" w:hAnsi="Verdana" w:cs="Century Gothic"/>
          <w:sz w:val="21"/>
          <w:szCs w:val="21"/>
          <w:lang w:val="es-ES"/>
        </w:rPr>
        <w:t>.</w:t>
      </w:r>
    </w:p>
    <w:p w14:paraId="14B40214" w14:textId="77777777" w:rsidR="00E74570" w:rsidRPr="005F751A" w:rsidRDefault="00E74570" w:rsidP="00E74570">
      <w:pPr>
        <w:spacing w:after="120" w:line="240" w:lineRule="auto"/>
        <w:ind w:left="709" w:right="709"/>
        <w:jc w:val="both"/>
        <w:rPr>
          <w:rFonts w:ascii="Verdana" w:eastAsia="Century Gothic" w:hAnsi="Verdana" w:cs="Century Gothic"/>
          <w:sz w:val="21"/>
          <w:szCs w:val="21"/>
          <w:lang w:val="es-ES"/>
        </w:rPr>
      </w:pPr>
      <w:r w:rsidRPr="005F751A">
        <w:rPr>
          <w:rFonts w:ascii="Verdana" w:eastAsia="Century Gothic" w:hAnsi="Verdana" w:cs="Century Gothic"/>
          <w:sz w:val="21"/>
          <w:szCs w:val="21"/>
          <w:lang w:val="es-ES"/>
        </w:rPr>
        <w:lastRenderedPageBreak/>
        <w:t xml:space="preserve">Es claro que la cesión debe ser autorizada por la entidad contratante, para ello, el mismo concepto indica que </w:t>
      </w:r>
      <w:r>
        <w:rPr>
          <w:rFonts w:ascii="Verdana" w:eastAsia="Century Gothic" w:hAnsi="Verdana" w:cs="Century Gothic"/>
          <w:sz w:val="21"/>
          <w:szCs w:val="21"/>
          <w:lang w:val="es-ES"/>
        </w:rPr>
        <w:t>‘</w:t>
      </w:r>
      <w:r w:rsidRPr="000808CC">
        <w:rPr>
          <w:rFonts w:ascii="Verdana" w:eastAsia="Century Gothic" w:hAnsi="Verdana" w:cs="Century Gothic"/>
          <w:i/>
          <w:iCs/>
          <w:sz w:val="21"/>
          <w:szCs w:val="21"/>
          <w:lang w:val="es-ES"/>
        </w:rPr>
        <w:t>Para expedir dicha autorización la Entidad Estatal deberá evaluar que el cesionario de la participación tenga la experiencia, capacidad jurídica, financiera, organizacional y en general que satisfaga todas las condiciones del negocio jurídico aportadas por el cesionario a la estructura plural, en virtud de las cuales se le adjudicó el contrato objeto de cesión</w:t>
      </w:r>
      <w:r>
        <w:rPr>
          <w:rFonts w:ascii="Verdana" w:eastAsia="Century Gothic" w:hAnsi="Verdana" w:cs="Century Gothic"/>
          <w:sz w:val="21"/>
          <w:szCs w:val="21"/>
          <w:lang w:val="es-ES"/>
        </w:rPr>
        <w:t>’</w:t>
      </w:r>
      <w:r w:rsidRPr="005F751A">
        <w:rPr>
          <w:rFonts w:ascii="Verdana" w:eastAsia="Century Gothic" w:hAnsi="Verdana" w:cs="Century Gothic"/>
          <w:sz w:val="21"/>
          <w:szCs w:val="21"/>
          <w:lang w:val="es-ES"/>
        </w:rPr>
        <w:t>.</w:t>
      </w:r>
    </w:p>
    <w:p w14:paraId="58C071AF" w14:textId="77777777" w:rsidR="00E74570" w:rsidRPr="005B7798" w:rsidRDefault="00E74570" w:rsidP="00E74570">
      <w:pPr>
        <w:spacing w:after="0" w:line="240" w:lineRule="auto"/>
        <w:ind w:left="709" w:right="709"/>
        <w:jc w:val="both"/>
        <w:rPr>
          <w:rFonts w:ascii="Verdana" w:eastAsia="Century Gothic" w:hAnsi="Verdana" w:cs="Century Gothic"/>
          <w:sz w:val="21"/>
          <w:szCs w:val="21"/>
          <w:lang w:val="es-ES"/>
        </w:rPr>
      </w:pPr>
      <w:r w:rsidRPr="005F751A">
        <w:rPr>
          <w:rFonts w:ascii="Verdana" w:eastAsia="Century Gothic" w:hAnsi="Verdana" w:cs="Century Gothic"/>
          <w:sz w:val="21"/>
          <w:szCs w:val="21"/>
          <w:lang w:val="es-ES"/>
        </w:rPr>
        <w:t>Surge la duda, sobre si la obligación del cesionario es cumplir con las condiciones mínimas del pliego de condiciones o debe superar las condiciones aportadas por el cedente en su momento, pues el concepto va en el orden de la última, pero resultaría algo tal vez desproporcionado, si lo que se busca es idoneidad y se demuestra a través del cumplimiento de los requisitos del pliego de condiciones</w:t>
      </w:r>
      <w:r w:rsidRPr="006040CE">
        <w:rPr>
          <w:rFonts w:ascii="Verdana" w:eastAsia="Century Gothic" w:hAnsi="Verdana" w:cs="Century Gothic"/>
          <w:sz w:val="21"/>
          <w:szCs w:val="21"/>
          <w:lang w:val="es-ES"/>
        </w:rPr>
        <w:t>”.</w:t>
      </w:r>
    </w:p>
    <w:p w14:paraId="69D63E28" w14:textId="77777777" w:rsidR="00E74570" w:rsidRPr="008E6AD9" w:rsidRDefault="00E74570" w:rsidP="00E74570">
      <w:pPr>
        <w:pStyle w:val="Prrafodelista"/>
        <w:tabs>
          <w:tab w:val="left" w:pos="142"/>
          <w:tab w:val="left" w:pos="284"/>
        </w:tabs>
        <w:spacing w:after="0" w:line="276" w:lineRule="auto"/>
        <w:ind w:left="0"/>
        <w:jc w:val="both"/>
        <w:rPr>
          <w:rFonts w:ascii="Verdana" w:eastAsia="Century Gothic" w:hAnsi="Verdana" w:cs="Century Gothic"/>
          <w:b/>
          <w:bCs/>
        </w:rPr>
      </w:pPr>
    </w:p>
    <w:p w14:paraId="5B1B80D6" w14:textId="77777777" w:rsidR="00E74570" w:rsidRPr="00A652FF" w:rsidRDefault="00E74570" w:rsidP="00E74570">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92A78B2" w14:textId="77777777" w:rsidR="00E74570" w:rsidRDefault="00E74570" w:rsidP="00E74570">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D650E2A" w14:textId="77777777" w:rsidR="00E74570" w:rsidRPr="00593A5F" w:rsidRDefault="00E74570" w:rsidP="00E74570">
      <w:pPr>
        <w:spacing w:after="0" w:line="276" w:lineRule="auto"/>
        <w:ind w:firstLine="709"/>
        <w:jc w:val="both"/>
        <w:rPr>
          <w:rFonts w:ascii="Verdana" w:eastAsia="Calibri" w:hAnsi="Verdana" w:cs="Arial"/>
          <w:color w:val="000000"/>
          <w:lang w:val="es-ES" w:eastAsia="es-ES"/>
        </w:rPr>
      </w:pPr>
    </w:p>
    <w:p w14:paraId="28DD68BB" w14:textId="77777777" w:rsidR="00E74570" w:rsidRPr="00593A5F" w:rsidRDefault="00E74570" w:rsidP="00E7457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10790FE" w14:textId="77777777" w:rsidR="00E74570" w:rsidRPr="00593A5F" w:rsidRDefault="00E74570" w:rsidP="00E74570">
      <w:pPr>
        <w:tabs>
          <w:tab w:val="left" w:pos="426"/>
        </w:tabs>
        <w:spacing w:after="0" w:line="276" w:lineRule="auto"/>
        <w:jc w:val="both"/>
        <w:rPr>
          <w:rFonts w:ascii="Verdana" w:eastAsia="Century Gothic" w:hAnsi="Verdana" w:cs="Century Gothic"/>
          <w:lang w:val="es-ES"/>
        </w:rPr>
      </w:pPr>
    </w:p>
    <w:p w14:paraId="2A524FEB" w14:textId="77777777" w:rsidR="00E74570" w:rsidRPr="00593A5F" w:rsidRDefault="00E74570" w:rsidP="00E74570">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 xml:space="preserve">problema jurídico: ¿cuál </w:t>
      </w:r>
      <w:r>
        <w:rPr>
          <w:rFonts w:ascii="Verdana" w:eastAsia="Century Gothic" w:hAnsi="Verdana" w:cs="Century Gothic"/>
        </w:rPr>
        <w:t xml:space="preserve">es marco normativo para la cesión de la posición contractual en el sistema de compras públicas?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32D0B693" w14:textId="77777777" w:rsidR="00E74570" w:rsidRPr="004B140F" w:rsidRDefault="00E74570" w:rsidP="00E74570">
      <w:pPr>
        <w:spacing w:after="0" w:line="276" w:lineRule="auto"/>
        <w:jc w:val="both"/>
        <w:rPr>
          <w:rFonts w:ascii="Verdana" w:eastAsia="Calibri" w:hAnsi="Verdana" w:cs="Arial"/>
          <w:color w:val="7030A0"/>
        </w:rPr>
      </w:pPr>
    </w:p>
    <w:p w14:paraId="0BF8F4D4" w14:textId="77777777" w:rsidR="00E74570" w:rsidRPr="00593A5F" w:rsidRDefault="00E74570" w:rsidP="00E745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8D5312B" w14:textId="77777777" w:rsidR="00E74570" w:rsidRPr="00593A5F" w:rsidRDefault="00E74570" w:rsidP="00E74570">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74570" w:rsidRPr="00593A5F" w14:paraId="38EF7569" w14:textId="77777777" w:rsidTr="0065243C">
        <w:trPr>
          <w:jc w:val="center"/>
        </w:trPr>
        <w:tc>
          <w:tcPr>
            <w:tcW w:w="8828" w:type="dxa"/>
          </w:tcPr>
          <w:p w14:paraId="55CC3BC0" w14:textId="768B0E8B" w:rsidR="00E74570" w:rsidRDefault="00E74570" w:rsidP="0065243C">
            <w:pPr>
              <w:spacing w:after="120" w:line="276" w:lineRule="auto"/>
              <w:ind w:right="51"/>
              <w:jc w:val="both"/>
              <w:rPr>
                <w:rFonts w:ascii="Verdana" w:eastAsia="Calibri" w:hAnsi="Verdana" w:cs="Arial"/>
                <w:color w:val="000000" w:themeColor="text1"/>
              </w:rPr>
            </w:pPr>
            <w:bookmarkStart w:id="1" w:name="_Hlk171694685"/>
            <w:r>
              <w:rPr>
                <w:rFonts w:ascii="Verdana" w:eastAsia="Calibri" w:hAnsi="Verdana" w:cs="Arial"/>
                <w:bCs/>
                <w:color w:val="000000" w:themeColor="text1"/>
              </w:rPr>
              <w:t>Conforme a la interpretación general de las normas del sistema de compras públicas,</w:t>
            </w:r>
            <w:r>
              <w:rPr>
                <w:rFonts w:ascii="Verdana" w:eastAsia="Calibri" w:hAnsi="Verdana" w:cs="Arial"/>
                <w:color w:val="000000" w:themeColor="text1"/>
              </w:rPr>
              <w:t xml:space="preserve"> </w:t>
            </w:r>
            <w:r w:rsidRPr="004C544B">
              <w:rPr>
                <w:rFonts w:ascii="Verdana" w:eastAsia="Calibri" w:hAnsi="Verdana" w:cs="Arial"/>
                <w:color w:val="000000" w:themeColor="text1"/>
              </w:rPr>
              <w:t>la cesión de contrato es una figura jurídica por la que terceros ajenos a los contratantes iniciales particip</w:t>
            </w:r>
            <w:r w:rsidR="0045187E">
              <w:rPr>
                <w:rFonts w:ascii="Verdana" w:eastAsia="Calibri" w:hAnsi="Verdana" w:cs="Arial"/>
                <w:color w:val="000000" w:themeColor="text1"/>
              </w:rPr>
              <w:t>e</w:t>
            </w:r>
            <w:r w:rsidRPr="004C544B">
              <w:rPr>
                <w:rFonts w:ascii="Verdana" w:eastAsia="Calibri" w:hAnsi="Verdana" w:cs="Arial"/>
                <w:color w:val="000000" w:themeColor="text1"/>
              </w:rPr>
              <w:t>n en negocios que están ejecutando cuando no se hayan cumplido la totalidad de las obligaciones, permitiendo que sean éstos quienes realicen las prestaciones faltantes</w:t>
            </w:r>
            <w:r>
              <w:rPr>
                <w:rFonts w:ascii="Verdana" w:eastAsia="Calibri" w:hAnsi="Verdana" w:cs="Arial"/>
                <w:color w:val="000000" w:themeColor="text1"/>
              </w:rPr>
              <w:t xml:space="preserve">. </w:t>
            </w:r>
            <w:r w:rsidRPr="000808CC">
              <w:rPr>
                <w:rFonts w:ascii="Verdana" w:eastAsia="Calibri" w:hAnsi="Verdana" w:cs="Arial"/>
                <w:color w:val="000000" w:themeColor="text1"/>
              </w:rPr>
              <w:t>Por tanto, si dicho tercero cumple los requisitos de capacidad jurídica, no está incurso en causales de inhabilidad o incompatibilidad y, de acuerdo con los criterios previstos en el pliego de condiciones, es idóneo desde el punto de vista técnico, económico y financiero para cumplir con las obligaciones, la entidad podrá analizar la posibilidad de autorizar la cesión</w:t>
            </w:r>
            <w:r>
              <w:rPr>
                <w:rFonts w:ascii="Verdana" w:eastAsia="Calibri" w:hAnsi="Verdana" w:cs="Arial"/>
                <w:color w:val="000000" w:themeColor="text1"/>
              </w:rPr>
              <w:t xml:space="preserve"> conforme al artículo 41 de la Ley 80 de 1993</w:t>
            </w:r>
            <w:r w:rsidRPr="000808CC">
              <w:rPr>
                <w:rFonts w:ascii="Verdana" w:eastAsia="Calibri" w:hAnsi="Verdana" w:cs="Arial"/>
                <w:color w:val="000000" w:themeColor="text1"/>
              </w:rPr>
              <w:t>.</w:t>
            </w:r>
          </w:p>
          <w:p w14:paraId="171D1BA1" w14:textId="77777777" w:rsidR="00E74570" w:rsidRPr="009B1432" w:rsidRDefault="00E74570" w:rsidP="0065243C">
            <w:pPr>
              <w:spacing w:after="120" w:line="276" w:lineRule="auto"/>
              <w:ind w:right="51" w:firstLine="737"/>
              <w:jc w:val="both"/>
              <w:rPr>
                <w:rFonts w:ascii="Verdana" w:eastAsia="Calibri" w:hAnsi="Verdana" w:cs="Arial"/>
                <w:color w:val="000000" w:themeColor="text1"/>
              </w:rPr>
            </w:pPr>
            <w:r>
              <w:rPr>
                <w:rFonts w:ascii="Verdana" w:eastAsia="Calibri" w:hAnsi="Verdana" w:cs="Arial"/>
                <w:color w:val="000000" w:themeColor="text1"/>
              </w:rPr>
              <w:t xml:space="preserve">En este contexto, </w:t>
            </w:r>
            <w:r w:rsidRPr="000808CC">
              <w:rPr>
                <w:rFonts w:ascii="Verdana" w:eastAsia="Calibri" w:hAnsi="Verdana" w:cs="Arial"/>
                <w:color w:val="000000" w:themeColor="text1"/>
              </w:rPr>
              <w:t>en la medida que el tercero cesionario asume la posición contractual del contratista cedente, las disposiciones, los pliegos de condiciones y el contrato mismo serán aplicables a quien asuma la nueva posición contractu</w:t>
            </w:r>
            <w:r>
              <w:rPr>
                <w:rFonts w:ascii="Verdana" w:eastAsia="Calibri" w:hAnsi="Verdana" w:cs="Arial"/>
                <w:color w:val="000000" w:themeColor="text1"/>
              </w:rPr>
              <w:t>al. Siempre que se cumpla este criterio mínimo, la entidad podrá valorar si el tercero cesionario debe tener las mismas o mayores aptitudes que el contratista cedente, pues la autorización para ceder es una potestad de naturaleza discrecional.</w:t>
            </w:r>
            <w:r w:rsidRPr="000808CC">
              <w:rPr>
                <w:rFonts w:ascii="Verdana" w:eastAsia="Calibri" w:hAnsi="Verdana" w:cs="Arial"/>
                <w:color w:val="000000" w:themeColor="text1"/>
              </w:rPr>
              <w:t xml:space="preserve">  </w:t>
            </w:r>
            <w:r>
              <w:rPr>
                <w:rFonts w:ascii="Verdana" w:eastAsia="Calibri" w:hAnsi="Verdana" w:cs="Arial"/>
                <w:color w:val="000000" w:themeColor="text1"/>
              </w:rPr>
              <w:t xml:space="preserve">    </w:t>
            </w:r>
          </w:p>
          <w:p w14:paraId="52B9B206" w14:textId="77777777" w:rsidR="00E74570" w:rsidRPr="001941FD" w:rsidRDefault="00E74570" w:rsidP="0065243C">
            <w:pPr>
              <w:spacing w:line="276" w:lineRule="auto"/>
              <w:ind w:firstLine="709"/>
              <w:jc w:val="both"/>
              <w:rPr>
                <w:rFonts w:ascii="Verdana" w:eastAsia="Calibri" w:hAnsi="Verdana" w:cs="Arial"/>
                <w:bCs/>
                <w:color w:val="000000" w:themeColor="text1"/>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5577FFD4" w14:textId="77777777" w:rsidR="00E74570" w:rsidRPr="00593A5F" w:rsidRDefault="00E74570" w:rsidP="00E74570">
      <w:pPr>
        <w:tabs>
          <w:tab w:val="left" w:pos="142"/>
          <w:tab w:val="left" w:pos="284"/>
        </w:tabs>
        <w:spacing w:after="0" w:line="276" w:lineRule="auto"/>
        <w:jc w:val="both"/>
        <w:rPr>
          <w:rFonts w:ascii="Verdana" w:eastAsia="Century Gothic" w:hAnsi="Verdana" w:cs="Century Gothic"/>
          <w:b/>
          <w:bCs/>
          <w:lang w:val="es-ES"/>
        </w:rPr>
      </w:pPr>
    </w:p>
    <w:bookmarkEnd w:id="1"/>
    <w:p w14:paraId="779E5B2D" w14:textId="77777777" w:rsidR="00E74570" w:rsidRPr="00593A5F" w:rsidRDefault="00E74570" w:rsidP="00E745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11CD485" w14:textId="77777777" w:rsidR="00E74570" w:rsidRPr="00593A5F" w:rsidRDefault="00E74570" w:rsidP="00E74570">
      <w:pPr>
        <w:spacing w:after="0" w:line="276" w:lineRule="auto"/>
        <w:jc w:val="both"/>
        <w:rPr>
          <w:rFonts w:ascii="Verdana" w:eastAsia="Calibri" w:hAnsi="Verdana" w:cs="Arial"/>
          <w:color w:val="7030A0"/>
          <w:lang w:val="es-ES"/>
        </w:rPr>
      </w:pPr>
    </w:p>
    <w:p w14:paraId="1A11BFDF" w14:textId="77777777" w:rsidR="00E74570" w:rsidRDefault="00E74570" w:rsidP="00E74570">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5FA816A" w14:textId="77777777" w:rsidR="00E74570" w:rsidRPr="00415608" w:rsidRDefault="00E74570" w:rsidP="00E74570">
      <w:pPr>
        <w:spacing w:after="0" w:line="276" w:lineRule="auto"/>
        <w:jc w:val="both"/>
        <w:rPr>
          <w:rFonts w:ascii="Verdana" w:eastAsia="Calibri" w:hAnsi="Verdana" w:cs="Arial"/>
          <w:lang w:val="es-ES"/>
        </w:rPr>
      </w:pPr>
    </w:p>
    <w:p w14:paraId="66438A36" w14:textId="77777777" w:rsidR="00E74570" w:rsidRPr="004C544B" w:rsidRDefault="00E74570" w:rsidP="00E74570">
      <w:pPr>
        <w:spacing w:after="0" w:line="276" w:lineRule="auto"/>
        <w:jc w:val="both"/>
        <w:rPr>
          <w:rFonts w:ascii="Verdana" w:hAnsi="Verdana" w:cs="Arial"/>
        </w:rPr>
      </w:pPr>
      <w:r w:rsidRPr="004C544B">
        <w:rPr>
          <w:rFonts w:ascii="Verdana" w:eastAsia="Calibri" w:hAnsi="Verdana" w:cs="Arial"/>
          <w:bCs/>
          <w:color w:val="000000" w:themeColor="text1"/>
        </w:rPr>
        <w:t xml:space="preserve">Conforme a los artículos 887 y siguientes del Código de Comercio, la cesión de los contratos juega un papel importante en la gestión de los intereses </w:t>
      </w:r>
      <w:r w:rsidRPr="004C544B">
        <w:rPr>
          <w:rFonts w:ascii="Verdana" w:eastAsia="Calibri" w:hAnsi="Verdana" w:cs="Arial"/>
          <w:bCs/>
          <w:color w:val="000000" w:themeColor="text1"/>
        </w:rPr>
        <w:lastRenderedPageBreak/>
        <w:t>patrimoniales de los sujetos de derecho privado, ya que –a diferencia de la regulada en los artículos 1959 y siguientes del Código Civil– facilita el tráfico jurídico tanto de los derechos como de las obligaciones surgidos con ocasión del acuerdo de voluntades, lo que permite su transferencia total o parcial a terceros como negocio generador de riqueza</w:t>
      </w:r>
      <w:r w:rsidRPr="004C544B">
        <w:rPr>
          <w:rStyle w:val="Refdenotaalpie"/>
          <w:rFonts w:ascii="Verdana" w:eastAsia="Calibri" w:hAnsi="Verdana" w:cs="Arial"/>
          <w:bCs/>
          <w:color w:val="000000" w:themeColor="text1"/>
        </w:rPr>
        <w:footnoteReference w:id="2"/>
      </w:r>
      <w:r w:rsidRPr="004C544B">
        <w:rPr>
          <w:rFonts w:ascii="Verdana" w:eastAsia="Calibri" w:hAnsi="Verdana" w:cs="Arial"/>
          <w:bCs/>
          <w:color w:val="000000" w:themeColor="text1"/>
        </w:rPr>
        <w:t>.</w:t>
      </w:r>
      <w:r w:rsidRPr="004C544B">
        <w:rPr>
          <w:rFonts w:ascii="Verdana" w:eastAsia="Calibri" w:hAnsi="Verdana" w:cs="Arial"/>
          <w:color w:val="000000" w:themeColor="text1"/>
        </w:rPr>
        <w:t xml:space="preserve"> </w:t>
      </w:r>
      <w:r w:rsidRPr="004C544B">
        <w:rPr>
          <w:rFonts w:ascii="Verdana" w:hAnsi="Verdana" w:cs="Arial"/>
        </w:rPr>
        <w:t>Para la doctrina:</w:t>
      </w:r>
    </w:p>
    <w:p w14:paraId="481A1721" w14:textId="77777777" w:rsidR="00E74570" w:rsidRPr="004C544B" w:rsidRDefault="00E74570" w:rsidP="00E74570">
      <w:pPr>
        <w:spacing w:after="0" w:line="276" w:lineRule="auto"/>
        <w:ind w:firstLine="708"/>
        <w:jc w:val="both"/>
        <w:rPr>
          <w:rFonts w:ascii="Verdana" w:hAnsi="Verdana" w:cs="Arial"/>
        </w:rPr>
      </w:pPr>
    </w:p>
    <w:p w14:paraId="2BF61AD7" w14:textId="77777777" w:rsidR="00E74570" w:rsidRPr="004C544B" w:rsidRDefault="00E74570" w:rsidP="00E74570">
      <w:pPr>
        <w:spacing w:after="120" w:line="240" w:lineRule="auto"/>
        <w:ind w:left="709" w:right="709"/>
        <w:jc w:val="both"/>
        <w:rPr>
          <w:rFonts w:ascii="Verdana" w:eastAsia="Calibri" w:hAnsi="Verdana" w:cs="Arial"/>
          <w:color w:val="000000" w:themeColor="text1"/>
          <w:sz w:val="21"/>
          <w:szCs w:val="21"/>
        </w:rPr>
      </w:pPr>
      <w:r w:rsidRPr="004C544B">
        <w:rPr>
          <w:rFonts w:ascii="Verdana" w:hAnsi="Verdana" w:cs="Arial"/>
          <w:sz w:val="21"/>
          <w:szCs w:val="21"/>
        </w:rPr>
        <w:t xml:space="preserve">“La cesión de contrato (presupuesto éste último como </w:t>
      </w:r>
      <w:r w:rsidRPr="004C544B">
        <w:rPr>
          <w:rFonts w:ascii="Verdana" w:hAnsi="Verdana" w:cs="Arial"/>
          <w:i/>
          <w:iCs/>
          <w:sz w:val="21"/>
          <w:szCs w:val="21"/>
        </w:rPr>
        <w:t>bilateral</w:t>
      </w:r>
      <w:r w:rsidRPr="004C544B">
        <w:rPr>
          <w:rFonts w:ascii="Verdana" w:hAnsi="Verdana" w:cs="Arial"/>
          <w:sz w:val="21"/>
          <w:szCs w:val="21"/>
        </w:rPr>
        <w:t xml:space="preserve">, al menos en la configuración típica de la institución) es el instrumento que permite realizar la llamada </w:t>
      </w:r>
      <w:r w:rsidRPr="004C544B">
        <w:rPr>
          <w:rFonts w:ascii="Verdana" w:hAnsi="Verdana" w:cs="Arial"/>
          <w:i/>
          <w:iCs/>
          <w:sz w:val="21"/>
          <w:szCs w:val="21"/>
        </w:rPr>
        <w:t>circulación del contrato</w:t>
      </w:r>
      <w:r w:rsidRPr="004C544B">
        <w:rPr>
          <w:rFonts w:ascii="Verdana" w:hAnsi="Verdana" w:cs="Arial"/>
          <w:sz w:val="21"/>
          <w:szCs w:val="21"/>
        </w:rPr>
        <w:t xml:space="preserve">, es decir, la transferencia negocial a un tercero (llamado </w:t>
      </w:r>
      <w:r w:rsidRPr="004C544B">
        <w:rPr>
          <w:rFonts w:ascii="Verdana" w:hAnsi="Verdana" w:cs="Arial"/>
          <w:i/>
          <w:iCs/>
          <w:sz w:val="21"/>
          <w:szCs w:val="21"/>
        </w:rPr>
        <w:t>cesionario</w:t>
      </w:r>
      <w:r w:rsidRPr="004C544B">
        <w:rPr>
          <w:rFonts w:ascii="Verdana" w:hAnsi="Verdana" w:cs="Arial"/>
          <w:sz w:val="21"/>
          <w:szCs w:val="21"/>
        </w:rPr>
        <w:t xml:space="preserve">) del conjunto de posiciones contractuales (entendido como resultante unitario de derechos y obligaciones orgánicamente interdependientes), constituida en la persona de uno de los originarios contratantes (llamado </w:t>
      </w:r>
      <w:r w:rsidRPr="004C544B">
        <w:rPr>
          <w:rFonts w:ascii="Verdana" w:hAnsi="Verdana" w:cs="Arial"/>
          <w:i/>
          <w:iCs/>
          <w:sz w:val="21"/>
          <w:szCs w:val="21"/>
        </w:rPr>
        <w:t>cedente</w:t>
      </w:r>
      <w:r w:rsidRPr="004C544B">
        <w:rPr>
          <w:rFonts w:ascii="Verdana" w:hAnsi="Verdana" w:cs="Arial"/>
          <w:sz w:val="21"/>
          <w:szCs w:val="21"/>
        </w:rPr>
        <w:t xml:space="preserve">); de tal forma que, a través de esa sustitución </w:t>
      </w:r>
      <w:r w:rsidRPr="004C544B">
        <w:rPr>
          <w:rFonts w:ascii="Verdana" w:hAnsi="Verdana" w:cs="Arial"/>
          <w:i/>
          <w:iCs/>
          <w:sz w:val="21"/>
          <w:szCs w:val="21"/>
        </w:rPr>
        <w:t>negocial</w:t>
      </w:r>
      <w:r w:rsidRPr="004C544B">
        <w:rPr>
          <w:rFonts w:ascii="Verdana" w:hAnsi="Verdana" w:cs="Arial"/>
          <w:sz w:val="21"/>
          <w:szCs w:val="21"/>
        </w:rPr>
        <w:t xml:space="preserve"> del tercero en la posición de ‘parte’ del contrato, en lugar del cedente, dicho tercero </w:t>
      </w:r>
      <w:proofErr w:type="spellStart"/>
      <w:r w:rsidRPr="004C544B">
        <w:rPr>
          <w:rFonts w:ascii="Verdana" w:hAnsi="Verdana" w:cs="Arial"/>
          <w:sz w:val="21"/>
          <w:szCs w:val="21"/>
        </w:rPr>
        <w:t>subentra</w:t>
      </w:r>
      <w:proofErr w:type="spellEnd"/>
      <w:r w:rsidRPr="004C544B">
        <w:rPr>
          <w:rFonts w:ascii="Verdana" w:hAnsi="Verdana" w:cs="Arial"/>
          <w:sz w:val="21"/>
          <w:szCs w:val="21"/>
        </w:rPr>
        <w:t xml:space="preserve"> en la totalidad de los derechos y obligaciones que en su orgánica interdependencia se derivan del contrato estipulado por el cedente.</w:t>
      </w:r>
    </w:p>
    <w:p w14:paraId="1B707962" w14:textId="77777777" w:rsidR="00E74570" w:rsidRPr="004C544B" w:rsidRDefault="00E74570" w:rsidP="00E74570">
      <w:pPr>
        <w:spacing w:after="0" w:line="240" w:lineRule="auto"/>
        <w:ind w:left="709" w:right="709"/>
        <w:jc w:val="both"/>
        <w:rPr>
          <w:rFonts w:ascii="Verdana" w:hAnsi="Verdana" w:cs="Arial"/>
          <w:sz w:val="21"/>
          <w:szCs w:val="21"/>
        </w:rPr>
      </w:pPr>
      <w:r w:rsidRPr="004C544B">
        <w:rPr>
          <w:rFonts w:ascii="Verdana" w:hAnsi="Verdana" w:cs="Arial"/>
          <w:sz w:val="21"/>
          <w:szCs w:val="21"/>
        </w:rPr>
        <w:t xml:space="preserve">A este respecto justamente se ha notado que el tráfico considera aquí los contratos sobre todo como </w:t>
      </w:r>
      <w:r w:rsidRPr="004C544B">
        <w:rPr>
          <w:rFonts w:ascii="Verdana" w:hAnsi="Verdana" w:cs="Arial"/>
          <w:i/>
          <w:iCs/>
          <w:sz w:val="21"/>
          <w:szCs w:val="21"/>
        </w:rPr>
        <w:t>valores económicos</w:t>
      </w:r>
      <w:r w:rsidRPr="004C544B">
        <w:rPr>
          <w:rFonts w:ascii="Verdana" w:hAnsi="Verdana" w:cs="Arial"/>
          <w:sz w:val="21"/>
          <w:szCs w:val="21"/>
        </w:rPr>
        <w:t xml:space="preserve">, idóneos como tales para una determinada forma de circulación: en consideración a la utilidad futura a que el contrato está encaminado a procurar, la práctica atribuye al mismo contrato un valor económico actual, considerándolo, por tanto, como un bien capaz de circular. Ahora bien; el Derecho apresta, precisamente, el instrumento para tal circulación en cuanto admite que uno de los originarios contratantes pueda transferir a un tercero, con el consentimiento imprescindible del otro contratante original (llamado </w:t>
      </w:r>
      <w:r w:rsidRPr="004C544B">
        <w:rPr>
          <w:rFonts w:ascii="Verdana" w:hAnsi="Verdana" w:cs="Arial"/>
          <w:i/>
          <w:iCs/>
          <w:sz w:val="21"/>
          <w:szCs w:val="21"/>
        </w:rPr>
        <w:t>contratante cedido</w:t>
      </w:r>
      <w:r w:rsidRPr="004C544B">
        <w:rPr>
          <w:rFonts w:ascii="Verdana" w:hAnsi="Verdana" w:cs="Arial"/>
          <w:sz w:val="21"/>
          <w:szCs w:val="21"/>
        </w:rPr>
        <w:t xml:space="preserve">), la relación </w:t>
      </w:r>
      <w:r w:rsidRPr="004C544B">
        <w:rPr>
          <w:rFonts w:ascii="Verdana" w:hAnsi="Verdana" w:cs="Arial"/>
          <w:sz w:val="21"/>
          <w:szCs w:val="21"/>
        </w:rPr>
        <w:lastRenderedPageBreak/>
        <w:t>contractual entera, como conjunto de derecho y obligaciones, como única resultante de elementos activos y pasivos […]”</w:t>
      </w:r>
      <w:r w:rsidRPr="004C544B">
        <w:rPr>
          <w:rStyle w:val="Refdenotaalpie"/>
          <w:rFonts w:ascii="Verdana" w:hAnsi="Verdana" w:cs="Arial"/>
          <w:color w:val="000000" w:themeColor="text1"/>
          <w:sz w:val="21"/>
          <w:szCs w:val="21"/>
        </w:rPr>
        <w:footnoteReference w:id="3"/>
      </w:r>
      <w:r w:rsidRPr="004C544B">
        <w:rPr>
          <w:rFonts w:ascii="Verdana" w:hAnsi="Verdana" w:cs="Arial"/>
          <w:sz w:val="21"/>
          <w:szCs w:val="21"/>
        </w:rPr>
        <w:t>.</w:t>
      </w:r>
    </w:p>
    <w:p w14:paraId="44ED5ED2" w14:textId="77777777" w:rsidR="00E74570" w:rsidRPr="004C544B" w:rsidRDefault="00E74570" w:rsidP="00E74570">
      <w:pPr>
        <w:spacing w:after="0" w:line="276" w:lineRule="auto"/>
        <w:ind w:left="709" w:right="709"/>
        <w:jc w:val="both"/>
        <w:rPr>
          <w:rFonts w:ascii="Verdana" w:eastAsia="Calibri" w:hAnsi="Verdana" w:cs="Arial"/>
          <w:color w:val="000000" w:themeColor="text1"/>
        </w:rPr>
      </w:pPr>
    </w:p>
    <w:p w14:paraId="615B7D4C" w14:textId="77777777" w:rsidR="00E74570" w:rsidRPr="004C544B" w:rsidRDefault="00E74570" w:rsidP="00E74570">
      <w:pPr>
        <w:spacing w:after="0" w:line="276" w:lineRule="auto"/>
        <w:ind w:firstLine="708"/>
        <w:jc w:val="both"/>
        <w:rPr>
          <w:rFonts w:ascii="Verdana" w:eastAsia="Calibri" w:hAnsi="Verdana" w:cs="Arial"/>
          <w:color w:val="000000" w:themeColor="text1"/>
        </w:rPr>
      </w:pPr>
      <w:r w:rsidRPr="004C544B">
        <w:rPr>
          <w:rFonts w:ascii="Verdana" w:eastAsia="Calibri" w:hAnsi="Verdana" w:cs="Arial"/>
          <w:color w:val="000000" w:themeColor="text1"/>
        </w:rPr>
        <w:t xml:space="preserve">La cesión de la posición contractual puede entenderse como un acto y como un efecto. Por un lado, “[…] es el contrato con el cual el cedente, parte de otro contrato ya en curso con otro sujeto (cedido), transfiere la relativa posición contractual (en sus componentes activos y pasivos) al cesionario, el cual le </w:t>
      </w:r>
      <w:proofErr w:type="spellStart"/>
      <w:r w:rsidRPr="004C544B">
        <w:rPr>
          <w:rFonts w:ascii="Verdana" w:eastAsia="Calibri" w:hAnsi="Verdana" w:cs="Arial"/>
          <w:color w:val="000000" w:themeColor="text1"/>
        </w:rPr>
        <w:t>subentra</w:t>
      </w:r>
      <w:proofErr w:type="spellEnd"/>
      <w:r w:rsidRPr="004C544B">
        <w:rPr>
          <w:rFonts w:ascii="Verdana" w:eastAsia="Calibri" w:hAnsi="Verdana" w:cs="Arial"/>
          <w:color w:val="000000" w:themeColor="text1"/>
        </w:rPr>
        <w:t xml:space="preserve"> en la relación con el cedido […]”</w:t>
      </w:r>
      <w:r w:rsidRPr="004C544B">
        <w:rPr>
          <w:rStyle w:val="Refdenotaalpie"/>
          <w:rFonts w:ascii="Verdana" w:eastAsia="Calibri" w:hAnsi="Verdana" w:cs="Arial"/>
          <w:color w:val="000000" w:themeColor="text1"/>
        </w:rPr>
        <w:footnoteReference w:id="4"/>
      </w:r>
      <w:r w:rsidRPr="004C544B">
        <w:rPr>
          <w:rFonts w:ascii="Verdana" w:eastAsia="Calibri" w:hAnsi="Verdana" w:cs="Arial"/>
          <w:color w:val="000000" w:themeColor="text1"/>
        </w:rPr>
        <w:t xml:space="preserve">. Por otro, “[…] es la transferencia de la posición contractual de un contratante a otro sujeto, que le </w:t>
      </w:r>
      <w:proofErr w:type="spellStart"/>
      <w:r w:rsidRPr="004C544B">
        <w:rPr>
          <w:rFonts w:ascii="Verdana" w:eastAsia="Calibri" w:hAnsi="Verdana" w:cs="Arial"/>
          <w:color w:val="000000" w:themeColor="text1"/>
        </w:rPr>
        <w:t>subentra</w:t>
      </w:r>
      <w:proofErr w:type="spellEnd"/>
      <w:r w:rsidRPr="004C544B">
        <w:rPr>
          <w:rFonts w:ascii="Verdana" w:eastAsia="Calibri" w:hAnsi="Verdana" w:cs="Arial"/>
          <w:color w:val="000000" w:themeColor="text1"/>
        </w:rPr>
        <w:t xml:space="preserve"> en la relación con la contraparte […]”</w:t>
      </w:r>
      <w:r w:rsidRPr="004C544B">
        <w:rPr>
          <w:rStyle w:val="Refdenotaalpie"/>
          <w:rFonts w:ascii="Verdana" w:eastAsia="Calibri" w:hAnsi="Verdana" w:cs="Arial"/>
          <w:color w:val="000000" w:themeColor="text1"/>
        </w:rPr>
        <w:footnoteReference w:id="5"/>
      </w:r>
      <w:r w:rsidRPr="004C544B">
        <w:rPr>
          <w:rFonts w:ascii="Verdana" w:eastAsia="Calibri" w:hAnsi="Verdana" w:cs="Arial"/>
          <w:color w:val="000000" w:themeColor="text1"/>
        </w:rPr>
        <w:t xml:space="preserve">. De esta manera, </w:t>
      </w:r>
      <w:r w:rsidRPr="004C544B">
        <w:rPr>
          <w:rFonts w:ascii="Verdana" w:hAnsi="Verdana" w:cs="Arial"/>
          <w:color w:val="000000" w:themeColor="text1"/>
        </w:rPr>
        <w:t xml:space="preserve">concurren tres (3) sujetos: i) el cedente, esto es, el contratista inicial; </w:t>
      </w:r>
      <w:proofErr w:type="spellStart"/>
      <w:r w:rsidRPr="004C544B">
        <w:rPr>
          <w:rFonts w:ascii="Verdana" w:hAnsi="Verdana" w:cs="Arial"/>
          <w:color w:val="000000" w:themeColor="text1"/>
        </w:rPr>
        <w:t>ii</w:t>
      </w:r>
      <w:proofErr w:type="spellEnd"/>
      <w:r w:rsidRPr="004C544B">
        <w:rPr>
          <w:rFonts w:ascii="Verdana" w:hAnsi="Verdana" w:cs="Arial"/>
          <w:color w:val="000000" w:themeColor="text1"/>
        </w:rPr>
        <w:t xml:space="preserve">) el cesionario, es decir, quien asume total o parcialmente los derechos y obligaciones de este último; y </w:t>
      </w:r>
      <w:proofErr w:type="spellStart"/>
      <w:r w:rsidRPr="004C544B">
        <w:rPr>
          <w:rFonts w:ascii="Verdana" w:hAnsi="Verdana" w:cs="Arial"/>
          <w:color w:val="000000" w:themeColor="text1"/>
        </w:rPr>
        <w:t>iii</w:t>
      </w:r>
      <w:proofErr w:type="spellEnd"/>
      <w:r w:rsidRPr="004C544B">
        <w:rPr>
          <w:rFonts w:ascii="Verdana" w:hAnsi="Verdana" w:cs="Arial"/>
          <w:color w:val="000000" w:themeColor="text1"/>
        </w:rPr>
        <w:t xml:space="preserve">) el cedido que, en el caso de los contratos estatales, sería la entidad que suscribió el contrato. </w:t>
      </w:r>
      <w:r w:rsidRPr="004C544B">
        <w:rPr>
          <w:rFonts w:ascii="Verdana" w:eastAsia="Calibri" w:hAnsi="Verdana" w:cs="Arial"/>
          <w:color w:val="000000" w:themeColor="text1"/>
        </w:rPr>
        <w:t>Por tanto, la cesión de contrato es una figura jurídica por la que terceros ajenos a los contratantes iniciales participan en negocios que están ejecutando cuando no se hayan cumplido la totalidad de las obligaciones, permitiendo que sean éstos quienes realicen las prestaciones faltantes. En efecto:</w:t>
      </w:r>
    </w:p>
    <w:p w14:paraId="0DE2B2BD" w14:textId="77777777" w:rsidR="00E74570" w:rsidRPr="004C544B" w:rsidRDefault="00E74570" w:rsidP="00E74570">
      <w:pPr>
        <w:spacing w:after="0" w:line="276" w:lineRule="auto"/>
        <w:ind w:firstLine="708"/>
        <w:jc w:val="both"/>
        <w:rPr>
          <w:rFonts w:ascii="Verdana" w:hAnsi="Verdana" w:cs="Arial"/>
          <w:color w:val="000000" w:themeColor="text1"/>
        </w:rPr>
      </w:pPr>
    </w:p>
    <w:p w14:paraId="4CEFC63D" w14:textId="77777777" w:rsidR="00E74570" w:rsidRPr="004C544B" w:rsidRDefault="00E74570" w:rsidP="00E74570">
      <w:pPr>
        <w:tabs>
          <w:tab w:val="left" w:pos="709"/>
        </w:tabs>
        <w:spacing w:after="0" w:line="240" w:lineRule="auto"/>
        <w:ind w:left="709" w:right="709"/>
        <w:jc w:val="both"/>
        <w:rPr>
          <w:rFonts w:ascii="Verdana" w:eastAsia="Calibri" w:hAnsi="Verdana" w:cs="Arial"/>
          <w:color w:val="000000" w:themeColor="text1"/>
          <w:sz w:val="21"/>
          <w:szCs w:val="21"/>
        </w:rPr>
      </w:pPr>
      <w:r w:rsidRPr="004C544B">
        <w:rPr>
          <w:rFonts w:ascii="Verdana" w:eastAsia="Calibri" w:hAnsi="Verdana" w:cs="Arial"/>
          <w:color w:val="000000" w:themeColor="text1"/>
          <w:sz w:val="21"/>
          <w:szCs w:val="21"/>
        </w:rPr>
        <w:t>“[…] cuando lo que se cede (o asume) es un contrato, el punto de partida es la presencia de uno o varios créditos y otras tantas obligaciones, entrelazadas en términos de correlatividad y consideradas, tratadas y dispuestas como una unidad, o sea: el objeto de la operación es el traspaso simultáneo de unos créditos y de las obligaciones recíprocas, surgidos a una de un mismo contrato, por parte de uno de los contratantes a un tercero, esto es, en últimas, la transferencia de una posición o relación contractual, cuyo resultado es la sustitución de una de las partes (acreedora-deudora) […]”</w:t>
      </w:r>
      <w:r w:rsidRPr="004C544B">
        <w:rPr>
          <w:rStyle w:val="Refdenotaalpie"/>
          <w:rFonts w:ascii="Verdana" w:eastAsia="Calibri" w:hAnsi="Verdana" w:cs="Arial"/>
          <w:color w:val="000000" w:themeColor="text1"/>
          <w:sz w:val="21"/>
          <w:szCs w:val="21"/>
        </w:rPr>
        <w:footnoteReference w:id="6"/>
      </w:r>
      <w:r w:rsidRPr="004C544B">
        <w:rPr>
          <w:rFonts w:ascii="Verdana" w:eastAsia="Calibri" w:hAnsi="Verdana" w:cs="Arial"/>
          <w:color w:val="000000" w:themeColor="text1"/>
          <w:sz w:val="21"/>
          <w:szCs w:val="21"/>
        </w:rPr>
        <w:t>.</w:t>
      </w:r>
    </w:p>
    <w:p w14:paraId="2594FA3D" w14:textId="77777777" w:rsidR="00E74570" w:rsidRPr="004C544B" w:rsidRDefault="00E74570" w:rsidP="00E74570">
      <w:pPr>
        <w:tabs>
          <w:tab w:val="left" w:pos="709"/>
        </w:tabs>
        <w:spacing w:after="0" w:line="276" w:lineRule="auto"/>
        <w:ind w:left="709" w:right="709"/>
        <w:jc w:val="both"/>
        <w:rPr>
          <w:rFonts w:ascii="Verdana" w:eastAsia="Calibri" w:hAnsi="Verdana" w:cs="Arial"/>
          <w:color w:val="000000" w:themeColor="text1"/>
        </w:rPr>
      </w:pPr>
    </w:p>
    <w:p w14:paraId="5F50B519" w14:textId="77777777" w:rsidR="00E74570" w:rsidRPr="004C544B" w:rsidRDefault="00E74570" w:rsidP="00E74570">
      <w:pPr>
        <w:spacing w:after="120" w:line="276" w:lineRule="auto"/>
        <w:ind w:firstLine="708"/>
        <w:jc w:val="both"/>
        <w:rPr>
          <w:rFonts w:ascii="Verdana" w:eastAsia="Calibri" w:hAnsi="Verdana" w:cs="Arial"/>
          <w:color w:val="000000" w:themeColor="text1"/>
        </w:rPr>
      </w:pPr>
      <w:r w:rsidRPr="004C544B">
        <w:rPr>
          <w:rFonts w:ascii="Verdana" w:eastAsia="Calibri" w:hAnsi="Verdana" w:cs="Arial"/>
          <w:color w:val="000000" w:themeColor="text1"/>
        </w:rPr>
        <w:t xml:space="preserve">Tratándose de la cesión de contratos estatales, conforme a la regulación del EGCAP, confluyen una mixtura entre el derecho público y privado en su regulación. En efecto, i) los contratos estatales se regirán por las normas comerciales y civiles pertinentes, salvo en lo concerniente a las materias particularmente reguladas en dicha ley, de acuerdo con lo prescrito en el inciso primero del artículo 13 de la Ley 80 de 1993, por lo que deben observarse en primer término las disposiciones establecidas en el EGCAP; </w:t>
      </w:r>
      <w:proofErr w:type="spellStart"/>
      <w:r w:rsidRPr="004C544B">
        <w:rPr>
          <w:rFonts w:ascii="Verdana" w:eastAsia="Calibri" w:hAnsi="Verdana" w:cs="Arial"/>
          <w:color w:val="000000" w:themeColor="text1"/>
        </w:rPr>
        <w:t>ii</w:t>
      </w:r>
      <w:proofErr w:type="spellEnd"/>
      <w:r w:rsidRPr="004C544B">
        <w:rPr>
          <w:rFonts w:ascii="Verdana" w:eastAsia="Calibri" w:hAnsi="Verdana" w:cs="Arial"/>
          <w:color w:val="000000" w:themeColor="text1"/>
        </w:rPr>
        <w:t xml:space="preserve">) corresponderán como actos jurídicos bilaterales generadores de obligaciones, entre otros, a los previstos en el derecho privado, en los términos del artículo 32 </w:t>
      </w:r>
      <w:r w:rsidRPr="004C544B">
        <w:rPr>
          <w:rFonts w:ascii="Verdana" w:eastAsia="Calibri" w:hAnsi="Verdana" w:cs="Arial"/>
          <w:i/>
          <w:iCs/>
          <w:color w:val="000000" w:themeColor="text1"/>
        </w:rPr>
        <w:t>ibidem</w:t>
      </w:r>
      <w:r w:rsidRPr="004C544B">
        <w:rPr>
          <w:rFonts w:ascii="Verdana" w:eastAsia="Calibri" w:hAnsi="Verdana" w:cs="Arial"/>
          <w:color w:val="000000" w:themeColor="text1"/>
        </w:rPr>
        <w:t xml:space="preserve">; y </w:t>
      </w:r>
      <w:proofErr w:type="spellStart"/>
      <w:r w:rsidRPr="004C544B">
        <w:rPr>
          <w:rFonts w:ascii="Verdana" w:eastAsia="Calibri" w:hAnsi="Verdana" w:cs="Arial"/>
          <w:color w:val="000000" w:themeColor="text1"/>
        </w:rPr>
        <w:t>iii</w:t>
      </w:r>
      <w:proofErr w:type="spellEnd"/>
      <w:r w:rsidRPr="004C544B">
        <w:rPr>
          <w:rFonts w:ascii="Verdana" w:eastAsia="Calibri" w:hAnsi="Verdana" w:cs="Arial"/>
          <w:color w:val="000000" w:themeColor="text1"/>
        </w:rPr>
        <w:t xml:space="preserve">) contendrán las estipulaciones que, de acuerdo con las normas civiles, comerciales y las previstas en esta ley, correspondan a su esencia y naturaleza, conforme a lo dispuesto por el artículo 40 </w:t>
      </w:r>
      <w:r w:rsidRPr="004C544B">
        <w:rPr>
          <w:rFonts w:ascii="Verdana" w:eastAsia="Calibri" w:hAnsi="Verdana" w:cs="Arial"/>
          <w:i/>
          <w:iCs/>
          <w:color w:val="000000" w:themeColor="text1"/>
        </w:rPr>
        <w:t>ibidem</w:t>
      </w:r>
      <w:r w:rsidRPr="004C544B">
        <w:rPr>
          <w:rFonts w:ascii="Verdana" w:eastAsia="Calibri" w:hAnsi="Verdana" w:cs="Arial"/>
          <w:color w:val="000000" w:themeColor="text1"/>
        </w:rPr>
        <w:t xml:space="preserve">. </w:t>
      </w:r>
    </w:p>
    <w:p w14:paraId="3640701A" w14:textId="77777777" w:rsidR="00E74570" w:rsidRPr="004C544B" w:rsidRDefault="00E74570" w:rsidP="00E74570">
      <w:pPr>
        <w:spacing w:after="120" w:line="276" w:lineRule="auto"/>
        <w:ind w:firstLine="708"/>
        <w:jc w:val="both"/>
        <w:rPr>
          <w:rFonts w:ascii="Verdana" w:eastAsia="Calibri" w:hAnsi="Verdana" w:cs="Arial"/>
          <w:color w:val="000000" w:themeColor="text1"/>
        </w:rPr>
      </w:pPr>
      <w:r w:rsidRPr="004C544B">
        <w:rPr>
          <w:rFonts w:ascii="Verdana" w:eastAsia="Calibri" w:hAnsi="Verdana" w:cs="Arial"/>
          <w:color w:val="000000" w:themeColor="text1"/>
        </w:rPr>
        <w:t>En este sentido, el Estatuto General de Contratación de la Administración Pública establece disposiciones específicas relativas a la figura de la cesión contractual. En principio, si bien rigen las normas relativas a la cesión del contrato contenidas en sus artículos 887 y siguientes del Código de Comercio, su aplicación procede ante la ausencia de norma que de manera particular regule el asunto frente a la categoría especial del contrato estatal.</w:t>
      </w:r>
    </w:p>
    <w:p w14:paraId="61195E20" w14:textId="77777777" w:rsidR="00E74570" w:rsidRPr="004C544B" w:rsidRDefault="00E74570" w:rsidP="00E74570">
      <w:pPr>
        <w:tabs>
          <w:tab w:val="left" w:pos="709"/>
        </w:tabs>
        <w:spacing w:after="120" w:line="276" w:lineRule="auto"/>
        <w:jc w:val="both"/>
        <w:rPr>
          <w:rFonts w:ascii="Verdana" w:eastAsia="Calibri" w:hAnsi="Verdana" w:cs="Arial"/>
          <w:color w:val="000000" w:themeColor="text1"/>
        </w:rPr>
      </w:pPr>
      <w:r w:rsidRPr="004C544B">
        <w:rPr>
          <w:rFonts w:ascii="Verdana" w:eastAsia="Calibri" w:hAnsi="Verdana" w:cs="Arial"/>
          <w:color w:val="000000" w:themeColor="text1"/>
        </w:rPr>
        <w:tab/>
        <w:t>Por ello, es pertinente indicar que el Decreto Ley 410 de 1971 contempla ciertas disposiciones que no se encuentran en la Ley 80 de 1993, lo que conlleva su aplicación en materia de contratos estatales. Por ejemplo, el artículo 890 establece lo relativo a la responsabilidad del cedente frente al cesionario y en torno a la existencia, validez y garantías del contrato cedido</w:t>
      </w:r>
      <w:r w:rsidRPr="004C544B">
        <w:rPr>
          <w:rStyle w:val="Refdenotaalpie"/>
          <w:rFonts w:ascii="Verdana" w:eastAsia="Calibri" w:hAnsi="Verdana" w:cs="Arial"/>
          <w:color w:val="000000" w:themeColor="text1"/>
        </w:rPr>
        <w:footnoteReference w:id="7"/>
      </w:r>
      <w:r w:rsidRPr="004C544B">
        <w:rPr>
          <w:rFonts w:ascii="Verdana" w:eastAsia="Calibri" w:hAnsi="Verdana" w:cs="Arial"/>
          <w:color w:val="000000" w:themeColor="text1"/>
        </w:rPr>
        <w:t>. Por otra parte, el artículo 891 obliga al cesionario a avisar al cedente de la mora o el incumplimiento dentro de los 10 días siguientes, siempre y cuando este se haya obligado a garantizar el cumplimiento por parte del contratante cedido</w:t>
      </w:r>
      <w:r w:rsidRPr="004C544B">
        <w:rPr>
          <w:rStyle w:val="Refdenotaalpie"/>
          <w:rFonts w:ascii="Verdana" w:eastAsia="Calibri" w:hAnsi="Verdana" w:cs="Arial"/>
          <w:color w:val="000000" w:themeColor="text1"/>
        </w:rPr>
        <w:footnoteReference w:id="8"/>
      </w:r>
      <w:r w:rsidRPr="004C544B">
        <w:rPr>
          <w:rFonts w:ascii="Verdana" w:eastAsia="Calibri" w:hAnsi="Verdana" w:cs="Arial"/>
          <w:color w:val="000000" w:themeColor="text1"/>
        </w:rPr>
        <w:t xml:space="preserve">. Asimismo, los artículos 895 y 896 disponen que la cesión de un contrato implica la transferencia de las acciones, privilegios y beneficios legales inherentes a la naturaleza y condiciones del contrato, excluyendo a aquellas que sean extrañas </w:t>
      </w:r>
      <w:r w:rsidRPr="004C544B">
        <w:rPr>
          <w:rFonts w:ascii="Verdana" w:eastAsia="Calibri" w:hAnsi="Verdana" w:cs="Arial"/>
          <w:color w:val="000000" w:themeColor="text1"/>
        </w:rPr>
        <w:lastRenderedPageBreak/>
        <w:t>al mismo o que se funden en el estado o calidad particular de las partes, pudiendo, el contratante cedido, oponer contra el cesionario todas las excepciones que se deriven del contrato</w:t>
      </w:r>
      <w:r w:rsidRPr="004C544B">
        <w:rPr>
          <w:rStyle w:val="Refdenotaalpie"/>
          <w:rFonts w:ascii="Verdana" w:eastAsia="Calibri" w:hAnsi="Verdana" w:cs="Arial"/>
          <w:color w:val="000000" w:themeColor="text1"/>
        </w:rPr>
        <w:footnoteReference w:id="9"/>
      </w:r>
      <w:r w:rsidRPr="004C544B">
        <w:rPr>
          <w:rFonts w:ascii="Verdana" w:eastAsia="Calibri" w:hAnsi="Verdana" w:cs="Arial"/>
          <w:color w:val="000000" w:themeColor="text1"/>
        </w:rPr>
        <w:t xml:space="preserve">. </w:t>
      </w:r>
    </w:p>
    <w:p w14:paraId="253CD2CF" w14:textId="77777777" w:rsidR="00E74570" w:rsidRPr="004C544B" w:rsidRDefault="00E74570" w:rsidP="00E74570">
      <w:pPr>
        <w:tabs>
          <w:tab w:val="left" w:pos="709"/>
        </w:tabs>
        <w:spacing w:after="120" w:line="276" w:lineRule="auto"/>
        <w:jc w:val="both"/>
        <w:rPr>
          <w:rFonts w:ascii="Verdana" w:eastAsia="Calibri" w:hAnsi="Verdana" w:cs="Arial"/>
          <w:color w:val="000000" w:themeColor="text1"/>
        </w:rPr>
      </w:pPr>
      <w:r w:rsidRPr="004C544B">
        <w:rPr>
          <w:rFonts w:ascii="Verdana" w:eastAsia="Calibri" w:hAnsi="Verdana" w:cs="Arial"/>
          <w:color w:val="000000" w:themeColor="text1"/>
        </w:rPr>
        <w:tab/>
        <w:t xml:space="preserve">Al margen de estas y otras disposiciones que de manera particular consagra el Código de Comercio sobre la cesión del contrato, esta figura cuenta con algunas normas especiales en la Ley 80 de 1993. Por ejemplo, </w:t>
      </w:r>
      <w:bookmarkStart w:id="2" w:name="_Hlk79822251"/>
      <w:r w:rsidRPr="004C544B">
        <w:rPr>
          <w:rFonts w:ascii="Verdana" w:eastAsia="Calibri" w:hAnsi="Verdana" w:cs="Arial"/>
          <w:color w:val="000000" w:themeColor="text1"/>
        </w:rPr>
        <w:t>el artículo 41, inciso tercero</w:t>
      </w:r>
      <w:bookmarkEnd w:id="2"/>
      <w:r w:rsidRPr="004C544B">
        <w:rPr>
          <w:rFonts w:ascii="Verdana" w:eastAsia="Calibri" w:hAnsi="Verdana" w:cs="Arial"/>
          <w:color w:val="000000" w:themeColor="text1"/>
        </w:rPr>
        <w:t xml:space="preserve">, del EGCAP prescribe que “Los contratos estatales son </w:t>
      </w:r>
      <w:r w:rsidRPr="004C544B">
        <w:rPr>
          <w:rFonts w:ascii="Verdana" w:eastAsia="Calibri" w:hAnsi="Verdana" w:cs="Arial"/>
          <w:i/>
          <w:iCs/>
          <w:color w:val="000000" w:themeColor="text1"/>
        </w:rPr>
        <w:t xml:space="preserve">intuito </w:t>
      </w:r>
      <w:proofErr w:type="spellStart"/>
      <w:r w:rsidRPr="004C544B">
        <w:rPr>
          <w:rFonts w:ascii="Verdana" w:eastAsia="Calibri" w:hAnsi="Verdana" w:cs="Arial"/>
          <w:i/>
          <w:iCs/>
          <w:color w:val="000000" w:themeColor="text1"/>
        </w:rPr>
        <w:t>personae</w:t>
      </w:r>
      <w:proofErr w:type="spellEnd"/>
      <w:r w:rsidRPr="004C544B">
        <w:rPr>
          <w:rFonts w:ascii="Verdana" w:eastAsia="Calibri" w:hAnsi="Verdana" w:cs="Arial"/>
          <w:color w:val="000000" w:themeColor="text1"/>
        </w:rPr>
        <w:t xml:space="preserve"> y, en consecuencia, una vez celebrados no podrán cederse sin previa autorización escrita de la entidad contratante”. Esta norma contiene una prohibición general –</w:t>
      </w:r>
      <w:r w:rsidRPr="004C544B">
        <w:rPr>
          <w:rFonts w:ascii="Verdana" w:eastAsia="Calibri" w:hAnsi="Verdana" w:cs="Arial"/>
          <w:i/>
          <w:iCs/>
          <w:color w:val="000000" w:themeColor="text1"/>
        </w:rPr>
        <w:t>faceta negativa</w:t>
      </w:r>
      <w:r w:rsidRPr="004C544B">
        <w:rPr>
          <w:rFonts w:ascii="Verdana" w:eastAsia="Calibri" w:hAnsi="Verdana" w:cs="Arial"/>
          <w:color w:val="000000" w:themeColor="text1"/>
        </w:rPr>
        <w:t>– y una autorización excepcional –</w:t>
      </w:r>
      <w:r w:rsidRPr="004C544B">
        <w:rPr>
          <w:rFonts w:ascii="Verdana" w:eastAsia="Calibri" w:hAnsi="Verdana" w:cs="Arial"/>
          <w:i/>
          <w:iCs/>
          <w:color w:val="000000" w:themeColor="text1"/>
        </w:rPr>
        <w:t>faceta positiva</w:t>
      </w:r>
      <w:r w:rsidRPr="004C544B">
        <w:rPr>
          <w:rFonts w:ascii="Verdana" w:eastAsia="Calibri" w:hAnsi="Verdana" w:cs="Arial"/>
          <w:color w:val="000000" w:themeColor="text1"/>
        </w:rPr>
        <w:t>–.</w:t>
      </w:r>
    </w:p>
    <w:p w14:paraId="2970193B" w14:textId="77777777" w:rsidR="00E74570" w:rsidRPr="004C544B" w:rsidRDefault="00E74570" w:rsidP="00E74570">
      <w:pPr>
        <w:tabs>
          <w:tab w:val="left" w:pos="709"/>
        </w:tabs>
        <w:spacing w:after="120" w:line="276" w:lineRule="auto"/>
        <w:jc w:val="both"/>
        <w:rPr>
          <w:rFonts w:ascii="Verdana" w:eastAsia="Calibri" w:hAnsi="Verdana" w:cs="Arial"/>
          <w:bCs/>
          <w:color w:val="000000" w:themeColor="text1"/>
        </w:rPr>
      </w:pPr>
      <w:r w:rsidRPr="004C544B">
        <w:rPr>
          <w:rFonts w:ascii="Verdana" w:eastAsia="Calibri" w:hAnsi="Verdana" w:cs="Arial"/>
          <w:bCs/>
          <w:color w:val="000000" w:themeColor="text1"/>
        </w:rPr>
        <w:tab/>
        <w:t xml:space="preserve">En lo que respecta a la </w:t>
      </w:r>
      <w:r w:rsidRPr="004C544B">
        <w:rPr>
          <w:rFonts w:ascii="Verdana" w:eastAsia="Calibri" w:hAnsi="Verdana" w:cs="Arial"/>
          <w:bCs/>
          <w:i/>
          <w:iCs/>
          <w:color w:val="000000" w:themeColor="text1"/>
        </w:rPr>
        <w:t>faceta negativa</w:t>
      </w:r>
      <w:r w:rsidRPr="004C544B">
        <w:rPr>
          <w:rFonts w:ascii="Verdana" w:eastAsia="Calibri" w:hAnsi="Verdana" w:cs="Arial"/>
          <w:bCs/>
          <w:color w:val="000000" w:themeColor="text1"/>
        </w:rPr>
        <w:t>, el artículo 41 del Estatuto General ordena que el contrato se ejecute con quien inicialmente se celebró el acuerdo de voluntades, pues es la persona que –de acuerdo con los criterios definidos por la entidad para la selección del contratista– resulta idónea para cumplir con las obligaciones. De esta manera, la prohibición contenida en la norma citada es uno de los elementos de la naturaleza del contrato estatal, pues –conforme a lo previsto en el artículo 1501 del Código Civil– es de aquellos “[…] que no siendo esenciales en él, se entienden pertenecerle, sin necesidad de una cláusula especial […]”</w:t>
      </w:r>
      <w:r w:rsidRPr="004C544B">
        <w:rPr>
          <w:rStyle w:val="Refdenotaalpie"/>
          <w:rFonts w:ascii="Verdana" w:eastAsia="Calibri" w:hAnsi="Verdana" w:cs="Arial"/>
          <w:bCs/>
          <w:color w:val="000000" w:themeColor="text1"/>
        </w:rPr>
        <w:footnoteReference w:id="10"/>
      </w:r>
      <w:r w:rsidRPr="004C544B">
        <w:rPr>
          <w:rFonts w:ascii="Verdana" w:eastAsia="Calibri" w:hAnsi="Verdana" w:cs="Arial"/>
          <w:bCs/>
          <w:color w:val="000000" w:themeColor="text1"/>
        </w:rPr>
        <w:t xml:space="preserve">.  </w:t>
      </w:r>
    </w:p>
    <w:p w14:paraId="4C84B198" w14:textId="77777777" w:rsidR="00E74570" w:rsidRPr="004C544B" w:rsidRDefault="00E74570" w:rsidP="00E74570">
      <w:pPr>
        <w:spacing w:after="0" w:line="276" w:lineRule="auto"/>
        <w:ind w:firstLine="708"/>
        <w:jc w:val="both"/>
        <w:rPr>
          <w:rFonts w:ascii="Verdana" w:eastAsia="Calibri" w:hAnsi="Verdana" w:cs="Arial"/>
          <w:bCs/>
          <w:color w:val="000000" w:themeColor="text1"/>
        </w:rPr>
      </w:pPr>
      <w:r w:rsidRPr="004C544B">
        <w:rPr>
          <w:rFonts w:ascii="Verdana" w:eastAsia="Calibri" w:hAnsi="Verdana" w:cs="Arial"/>
          <w:bCs/>
          <w:color w:val="000000" w:themeColor="text1"/>
        </w:rPr>
        <w:t xml:space="preserve">En su </w:t>
      </w:r>
      <w:r w:rsidRPr="004C544B">
        <w:rPr>
          <w:rFonts w:ascii="Verdana" w:eastAsia="Calibri" w:hAnsi="Verdana" w:cs="Arial"/>
          <w:bCs/>
          <w:i/>
          <w:iCs/>
          <w:color w:val="000000" w:themeColor="text1"/>
        </w:rPr>
        <w:t>faceta positiva</w:t>
      </w:r>
      <w:r w:rsidRPr="004C544B">
        <w:rPr>
          <w:rFonts w:ascii="Verdana" w:eastAsia="Calibri" w:hAnsi="Verdana" w:cs="Arial"/>
          <w:bCs/>
          <w:color w:val="000000" w:themeColor="text1"/>
        </w:rPr>
        <w:t xml:space="preserve">, la Ley 80 de 1993 permite excepcionalmente la cesión del contrato estatal siempre que exista autorización previa escrita de la entidad contratante. Por ello, “[…] El cocontratante que </w:t>
      </w:r>
      <w:r w:rsidRPr="00DE5DE4">
        <w:rPr>
          <w:rFonts w:ascii="Verdana" w:eastAsia="Calibri" w:hAnsi="Verdana" w:cs="Arial"/>
          <w:bCs/>
          <w:color w:val="000000" w:themeColor="text1"/>
          <w:sz w:val="24"/>
          <w:szCs w:val="24"/>
        </w:rPr>
        <w:t>‘</w:t>
      </w:r>
      <w:r w:rsidRPr="004C544B">
        <w:rPr>
          <w:rFonts w:ascii="Verdana" w:eastAsia="Calibri" w:hAnsi="Verdana" w:cs="Arial"/>
          <w:bCs/>
          <w:i/>
          <w:iCs/>
          <w:color w:val="000000" w:themeColor="text1"/>
        </w:rPr>
        <w:t>ceda</w:t>
      </w:r>
      <w:r w:rsidRPr="00DE5DE4">
        <w:rPr>
          <w:rFonts w:ascii="Verdana" w:eastAsia="Calibri" w:hAnsi="Verdana" w:cs="Arial"/>
          <w:bCs/>
          <w:color w:val="000000" w:themeColor="text1"/>
        </w:rPr>
        <w:t>’</w:t>
      </w:r>
      <w:r w:rsidRPr="004C544B">
        <w:rPr>
          <w:rFonts w:ascii="Verdana" w:eastAsia="Calibri" w:hAnsi="Verdana" w:cs="Arial"/>
          <w:bCs/>
          <w:color w:val="000000" w:themeColor="text1"/>
        </w:rPr>
        <w:t xml:space="preserve"> el contrato sin estar autorizado para ello incurre en grave responsabilidad: su actitud implica </w:t>
      </w:r>
      <w:r>
        <w:rPr>
          <w:rFonts w:ascii="Verdana" w:eastAsia="Calibri" w:hAnsi="Verdana" w:cs="Arial"/>
          <w:bCs/>
          <w:color w:val="000000" w:themeColor="text1"/>
        </w:rPr>
        <w:t>‘</w:t>
      </w:r>
      <w:r w:rsidRPr="004C544B">
        <w:rPr>
          <w:rFonts w:ascii="Verdana" w:eastAsia="Calibri" w:hAnsi="Verdana" w:cs="Arial"/>
          <w:bCs/>
          <w:i/>
          <w:iCs/>
          <w:color w:val="000000" w:themeColor="text1"/>
        </w:rPr>
        <w:t>incumplimiento</w:t>
      </w:r>
      <w:r>
        <w:rPr>
          <w:rFonts w:ascii="Verdana" w:eastAsia="Calibri" w:hAnsi="Verdana" w:cs="Arial"/>
          <w:bCs/>
          <w:color w:val="000000" w:themeColor="text1"/>
        </w:rPr>
        <w:t>’</w:t>
      </w:r>
      <w:r w:rsidRPr="004C544B">
        <w:rPr>
          <w:rFonts w:ascii="Verdana" w:eastAsia="Calibri" w:hAnsi="Verdana" w:cs="Arial"/>
          <w:bCs/>
          <w:color w:val="000000" w:themeColor="text1"/>
        </w:rPr>
        <w:t xml:space="preserve"> del contrato; de ahí que esa cesión ilícita no resulte oponible a </w:t>
      </w:r>
      <w:r w:rsidRPr="004C544B">
        <w:rPr>
          <w:rFonts w:ascii="Verdana" w:eastAsia="Calibri" w:hAnsi="Verdana" w:cs="Arial"/>
          <w:bCs/>
          <w:color w:val="000000" w:themeColor="text1"/>
        </w:rPr>
        <w:lastRenderedPageBreak/>
        <w:t>la Administración Pública […]”</w:t>
      </w:r>
      <w:r w:rsidRPr="004C544B">
        <w:rPr>
          <w:rStyle w:val="Refdenotaalpie"/>
          <w:rFonts w:ascii="Verdana" w:eastAsia="Calibri" w:hAnsi="Verdana" w:cs="Arial"/>
          <w:bCs/>
          <w:color w:val="000000" w:themeColor="text1"/>
        </w:rPr>
        <w:footnoteReference w:id="11"/>
      </w:r>
      <w:r w:rsidRPr="004C544B">
        <w:rPr>
          <w:rFonts w:ascii="Verdana" w:eastAsia="Calibri" w:hAnsi="Verdana" w:cs="Arial"/>
          <w:bCs/>
          <w:color w:val="000000" w:themeColor="text1"/>
        </w:rPr>
        <w:t xml:space="preserve">. Este requisito introduce un elemento especial que no está previsto en el Código de Comercio, pues en el derecho privado –salvo las excepciones previstas en la ley– la cesión requiere el acuerdo de voluntades entre el cedente y el cesionario, sin que medie la aceptación del contratante cedido. </w:t>
      </w:r>
      <w:r w:rsidRPr="004C544B">
        <w:rPr>
          <w:rFonts w:ascii="Verdana" w:eastAsia="Calibri" w:hAnsi="Verdana" w:cs="Arial"/>
          <w:color w:val="000000" w:themeColor="text1"/>
        </w:rPr>
        <w:t>En relación con lo anterior la doctrina define la cesión en los contratos estatales de la siguiente manera:</w:t>
      </w:r>
    </w:p>
    <w:p w14:paraId="199DE0CC" w14:textId="77777777" w:rsidR="00E74570" w:rsidRPr="004C544B" w:rsidRDefault="00E74570" w:rsidP="00E74570">
      <w:pPr>
        <w:spacing w:after="0" w:line="276" w:lineRule="auto"/>
        <w:ind w:firstLine="708"/>
        <w:jc w:val="both"/>
        <w:rPr>
          <w:rFonts w:ascii="Verdana" w:eastAsia="Calibri" w:hAnsi="Verdana" w:cs="Arial"/>
          <w:color w:val="000000" w:themeColor="text1"/>
        </w:rPr>
      </w:pPr>
      <w:r w:rsidRPr="004C544B">
        <w:rPr>
          <w:rFonts w:ascii="Verdana" w:eastAsia="Calibri" w:hAnsi="Verdana" w:cs="Arial"/>
          <w:color w:val="000000" w:themeColor="text1"/>
        </w:rPr>
        <w:t xml:space="preserve"> </w:t>
      </w:r>
    </w:p>
    <w:p w14:paraId="58C5BE03" w14:textId="77777777" w:rsidR="00E74570" w:rsidRPr="004C544B" w:rsidRDefault="00E74570" w:rsidP="00E74570">
      <w:pPr>
        <w:spacing w:after="0" w:line="240" w:lineRule="auto"/>
        <w:ind w:left="709" w:right="709"/>
        <w:jc w:val="both"/>
        <w:rPr>
          <w:rFonts w:ascii="Verdana" w:eastAsia="Calibri" w:hAnsi="Verdana" w:cs="Arial"/>
          <w:color w:val="000000" w:themeColor="text1"/>
          <w:sz w:val="21"/>
          <w:szCs w:val="21"/>
        </w:rPr>
      </w:pPr>
      <w:r w:rsidRPr="004C544B">
        <w:rPr>
          <w:rFonts w:ascii="Verdana" w:eastAsia="Calibri" w:hAnsi="Verdana" w:cs="Arial"/>
          <w:color w:val="000000" w:themeColor="text1"/>
          <w:sz w:val="21"/>
          <w:szCs w:val="21"/>
        </w:rPr>
        <w:t xml:space="preserve">“La cesión en la contratación estatal supone, previa autorización de la entidad contratante, la sustitución </w:t>
      </w:r>
      <w:r w:rsidRPr="004C544B">
        <w:rPr>
          <w:rFonts w:ascii="Verdana" w:eastAsia="Calibri" w:hAnsi="Verdana" w:cs="Arial"/>
          <w:i/>
          <w:iCs/>
          <w:color w:val="000000" w:themeColor="text1"/>
          <w:sz w:val="21"/>
          <w:szCs w:val="21"/>
        </w:rPr>
        <w:t>in genere</w:t>
      </w:r>
      <w:r w:rsidRPr="004C544B">
        <w:rPr>
          <w:rFonts w:ascii="Verdana" w:eastAsia="Calibri" w:hAnsi="Verdana" w:cs="Arial"/>
          <w:color w:val="000000" w:themeColor="text1"/>
          <w:sz w:val="21"/>
          <w:szCs w:val="21"/>
        </w:rPr>
        <w:t>, total o parcial, de una de las partes de la relación jurídica (contratante o contratista) por un tercero, que se subroga en los derechos y obligaciones de aquella, por medio de la modificación del contrato estatal originario. La cesión posibilita el reemplazo total o parcial de una parte en su posición contractual originaria, sin que sea precisa la transferencia individual de cuantos derechos y obligaciones conforman la universalidad jurídica a ceder […]”</w:t>
      </w:r>
      <w:r w:rsidRPr="004C544B">
        <w:rPr>
          <w:rStyle w:val="Refdenotaalpie"/>
          <w:rFonts w:ascii="Verdana" w:hAnsi="Verdana" w:cs="Arial"/>
          <w:color w:val="000000" w:themeColor="text1"/>
          <w:sz w:val="21"/>
          <w:szCs w:val="21"/>
        </w:rPr>
        <w:footnoteReference w:id="12"/>
      </w:r>
      <w:r w:rsidRPr="004C544B">
        <w:rPr>
          <w:rFonts w:ascii="Verdana" w:eastAsia="Calibri" w:hAnsi="Verdana" w:cs="Arial"/>
          <w:color w:val="000000" w:themeColor="text1"/>
          <w:sz w:val="21"/>
          <w:szCs w:val="21"/>
        </w:rPr>
        <w:t>.</w:t>
      </w:r>
    </w:p>
    <w:p w14:paraId="35175301" w14:textId="77777777" w:rsidR="00E74570" w:rsidRPr="004C544B" w:rsidRDefault="00E74570" w:rsidP="00E74570">
      <w:pPr>
        <w:spacing w:after="0" w:line="276" w:lineRule="auto"/>
        <w:jc w:val="both"/>
        <w:rPr>
          <w:rFonts w:ascii="Verdana" w:eastAsia="Calibri" w:hAnsi="Verdana" w:cs="Arial"/>
          <w:color w:val="000000" w:themeColor="text1"/>
        </w:rPr>
      </w:pPr>
    </w:p>
    <w:p w14:paraId="5AD82601" w14:textId="77777777" w:rsidR="00E74570" w:rsidRPr="004C544B" w:rsidRDefault="00E74570" w:rsidP="00E74570">
      <w:pPr>
        <w:spacing w:after="120" w:line="276" w:lineRule="auto"/>
        <w:ind w:firstLine="709"/>
        <w:jc w:val="both"/>
        <w:rPr>
          <w:rFonts w:ascii="Verdana" w:eastAsia="Calibri" w:hAnsi="Verdana" w:cs="Arial"/>
          <w:bCs/>
          <w:color w:val="000000" w:themeColor="text1"/>
        </w:rPr>
      </w:pPr>
      <w:r w:rsidRPr="004C544B">
        <w:rPr>
          <w:rFonts w:ascii="Verdana" w:eastAsia="Calibri" w:hAnsi="Verdana" w:cs="Arial"/>
          <w:bCs/>
          <w:color w:val="000000" w:themeColor="text1"/>
        </w:rPr>
        <w:t>Autorizada previamente por la entidad cedida, esta forma de cesión requiere la suscripción de un contrato entre el cedente y el cesionario, por lo que es bilateral en la medida en que requiere un acuerdo voluntades. Con fundamento en el mismo, el cesionario reemplaza –en todo o en parte– al contratista cedente en la ejecución del contrato estatal, respondiendo por el cumplimiento de las obligaciones frente a la Administración.</w:t>
      </w:r>
      <w:r w:rsidRPr="004C544B">
        <w:rPr>
          <w:rFonts w:ascii="Verdana" w:hAnsi="Verdana"/>
        </w:rPr>
        <w:t xml:space="preserve"> </w:t>
      </w:r>
      <w:r w:rsidRPr="004C544B">
        <w:rPr>
          <w:rFonts w:ascii="Verdana" w:eastAsia="Calibri" w:hAnsi="Verdana" w:cs="Arial"/>
          <w:bCs/>
          <w:color w:val="000000" w:themeColor="text1"/>
        </w:rPr>
        <w:t>El inciso primero del artículo 888 del Código de Comercio señala que “La sustitución podrá hacerse por escrito o verbalmente, según que el contrato conste o no por escrito”. Como el contrato estatal es solemne en los términos de los artículos 39 y 41 de la Ley 80 de 1993, se impone la forma escrita para cederlo</w:t>
      </w:r>
      <w:r w:rsidRPr="004C544B">
        <w:rPr>
          <w:rFonts w:ascii="Verdana" w:eastAsia="Calibri" w:hAnsi="Verdana" w:cs="Arial"/>
          <w:color w:val="000000" w:themeColor="text1"/>
        </w:rPr>
        <w:t xml:space="preserve">. </w:t>
      </w:r>
    </w:p>
    <w:p w14:paraId="3136C9A2" w14:textId="77777777" w:rsidR="00E74570" w:rsidRPr="004C544B" w:rsidRDefault="00E74570" w:rsidP="00E74570">
      <w:pPr>
        <w:tabs>
          <w:tab w:val="left" w:pos="709"/>
        </w:tabs>
        <w:spacing w:after="120" w:line="276" w:lineRule="auto"/>
        <w:jc w:val="both"/>
        <w:rPr>
          <w:rFonts w:ascii="Verdana" w:eastAsia="Calibri" w:hAnsi="Verdana" w:cs="Arial"/>
          <w:color w:val="000000" w:themeColor="text1"/>
        </w:rPr>
      </w:pPr>
      <w:bookmarkStart w:id="3" w:name="_Hlk80369799"/>
      <w:r w:rsidRPr="004C544B">
        <w:rPr>
          <w:rFonts w:ascii="Verdana" w:eastAsia="Calibri" w:hAnsi="Verdana" w:cs="Arial"/>
          <w:color w:val="000000" w:themeColor="text1"/>
        </w:rPr>
        <w:tab/>
        <w:t xml:space="preserve">Por lo demás, el Consejo de Estado ha precisado como requisitos de la cesión del contrato estatal los siguientes: i) debe recaer en un tercero; </w:t>
      </w:r>
      <w:proofErr w:type="spellStart"/>
      <w:r w:rsidRPr="004C544B">
        <w:rPr>
          <w:rFonts w:ascii="Verdana" w:eastAsia="Calibri" w:hAnsi="Verdana" w:cs="Arial"/>
          <w:color w:val="000000" w:themeColor="text1"/>
        </w:rPr>
        <w:t>ii</w:t>
      </w:r>
      <w:proofErr w:type="spellEnd"/>
      <w:r w:rsidRPr="004C544B">
        <w:rPr>
          <w:rFonts w:ascii="Verdana" w:eastAsia="Calibri" w:hAnsi="Verdana" w:cs="Arial"/>
          <w:color w:val="000000" w:themeColor="text1"/>
        </w:rPr>
        <w:t xml:space="preserve">) el cesionario debe tener capacidad jurídica para continuar con la ejecución del objeto contractual y no estar incurso en causales de inhabilidad e incompatibilidad para contratar; y </w:t>
      </w:r>
      <w:proofErr w:type="spellStart"/>
      <w:r w:rsidRPr="004C544B">
        <w:rPr>
          <w:rFonts w:ascii="Verdana" w:eastAsia="Calibri" w:hAnsi="Verdana" w:cs="Arial"/>
          <w:color w:val="000000" w:themeColor="text1"/>
        </w:rPr>
        <w:t>iii</w:t>
      </w:r>
      <w:proofErr w:type="spellEnd"/>
      <w:r w:rsidRPr="004C544B">
        <w:rPr>
          <w:rFonts w:ascii="Verdana" w:eastAsia="Calibri" w:hAnsi="Verdana" w:cs="Arial"/>
          <w:color w:val="000000" w:themeColor="text1"/>
        </w:rPr>
        <w:t xml:space="preserve">) el cesionario debe contar con capacidad técnica, económica y financiera suficientes para el cumplimiento de las obligaciones emanadas del contrato cedido. Al respecto, la Sección Tercera del Consejo de Estado ha explicado que, en la medida que el tercero cesionario </w:t>
      </w:r>
      <w:r w:rsidRPr="004C544B">
        <w:rPr>
          <w:rFonts w:ascii="Verdana" w:eastAsia="Calibri" w:hAnsi="Verdana" w:cs="Arial"/>
          <w:color w:val="000000" w:themeColor="text1"/>
        </w:rPr>
        <w:lastRenderedPageBreak/>
        <w:t>asume la posición contractual del contratista cedente, las disposiciones, los pliegos de condiciones y el contrato mismo serán aplicables a quien asuma la nueva posición contractual. De esta manera, la capacidad jurídica, económica y técnica del contratista cedente se exigirá también al cesionario</w:t>
      </w:r>
      <w:bookmarkStart w:id="4" w:name="_Hlk80369829"/>
      <w:bookmarkEnd w:id="3"/>
      <w:r w:rsidRPr="004C544B">
        <w:rPr>
          <w:rFonts w:ascii="Verdana" w:eastAsia="Calibri" w:hAnsi="Verdana" w:cs="Arial"/>
          <w:color w:val="000000" w:themeColor="text1"/>
        </w:rPr>
        <w:t>, ya que “[…] el proceso cesión del contrato y las exigencias que se le impongan al tercero, no pueden alterar ni burlar los procedimientos de selección del contratista, en otras palabras, la figura de la cesión de contrato no puede servir como instrumento para desviar las obligaciones que tiene la entidad contratante de cumplimiento de los parámetros de la selección objetiva</w:t>
      </w:r>
      <w:bookmarkEnd w:id="4"/>
      <w:r w:rsidRPr="004C544B">
        <w:rPr>
          <w:rFonts w:ascii="Verdana" w:eastAsia="Calibri" w:hAnsi="Verdana" w:cs="Arial"/>
          <w:color w:val="000000" w:themeColor="text1"/>
        </w:rPr>
        <w:t>”</w:t>
      </w:r>
      <w:r w:rsidRPr="004C544B">
        <w:rPr>
          <w:rStyle w:val="Refdenotaalpie"/>
          <w:rFonts w:ascii="Verdana" w:eastAsia="Calibri" w:hAnsi="Verdana" w:cs="Arial"/>
          <w:color w:val="000000" w:themeColor="text1"/>
        </w:rPr>
        <w:footnoteReference w:id="13"/>
      </w:r>
      <w:r w:rsidRPr="004C544B">
        <w:rPr>
          <w:rFonts w:ascii="Verdana" w:eastAsia="Calibri" w:hAnsi="Verdana" w:cs="Arial"/>
          <w:color w:val="000000" w:themeColor="text1"/>
        </w:rPr>
        <w:t>.</w:t>
      </w:r>
    </w:p>
    <w:p w14:paraId="1DE21A74" w14:textId="77777777" w:rsidR="00E74570" w:rsidRPr="004C544B" w:rsidRDefault="00E74570" w:rsidP="00E74570">
      <w:pPr>
        <w:tabs>
          <w:tab w:val="left" w:pos="709"/>
        </w:tabs>
        <w:spacing w:after="120" w:line="276" w:lineRule="auto"/>
        <w:ind w:firstLine="709"/>
        <w:jc w:val="both"/>
        <w:rPr>
          <w:rFonts w:ascii="Verdana" w:eastAsia="Calibri" w:hAnsi="Verdana" w:cs="Arial"/>
          <w:color w:val="000000" w:themeColor="text1"/>
        </w:rPr>
      </w:pPr>
      <w:bookmarkStart w:id="5" w:name="_Hlk80369857"/>
      <w:r w:rsidRPr="004C544B">
        <w:rPr>
          <w:rFonts w:ascii="Verdana" w:eastAsia="Calibri" w:hAnsi="Verdana" w:cs="Arial"/>
          <w:color w:val="000000" w:themeColor="text1"/>
        </w:rPr>
        <w:t>Por lo tanto, la entidad estatal en el trámite de autorización de una cesión de posición contractual está obligada a respetar y dar cabal cumplimiento a los principios y normas rectoras de la contratación pública que resulten aplicables al proceso de contratación, entre otros, los principios de transparencia, selección objetiva e igualdad. En otros términos, so pretexto de una cesión contractual, no pueden vulnerarse las reglas y principios de la contratación estatal.</w:t>
      </w:r>
    </w:p>
    <w:bookmarkEnd w:id="5"/>
    <w:p w14:paraId="061D9C60" w14:textId="77777777" w:rsidR="00E74570" w:rsidRPr="004C544B" w:rsidRDefault="00E74570" w:rsidP="00E74570">
      <w:pPr>
        <w:tabs>
          <w:tab w:val="left" w:pos="709"/>
        </w:tabs>
        <w:spacing w:after="0" w:line="276" w:lineRule="auto"/>
        <w:ind w:firstLine="709"/>
        <w:jc w:val="both"/>
        <w:rPr>
          <w:rFonts w:ascii="Verdana" w:eastAsia="Calibri" w:hAnsi="Verdana" w:cs="Arial"/>
          <w:color w:val="000000" w:themeColor="text1"/>
        </w:rPr>
      </w:pPr>
      <w:r w:rsidRPr="004C544B">
        <w:rPr>
          <w:rFonts w:ascii="Verdana" w:eastAsia="Calibri" w:hAnsi="Verdana" w:cs="Arial"/>
          <w:color w:val="000000" w:themeColor="text1"/>
        </w:rPr>
        <w:t>Además, el inciso primero del artículo 9 de la Ley 80 de 1993, establece una importante previsión en materia de cesión del contrato estatal, conforme a la cual “Si llegare a sobrevenir inhabilidad o incompatibilidad en el contratista, este cederá el contrato previa autorización escrita de la entidad contratante o, si ello no fuere posible, renunciará a su ejecución”. Además, en el inciso tercero del artículo citado impone una limitación a la cesión dentro del contrato estatal, que consiste en que, si la inhabilidad o incompatibilidad sobreviene a uno de los miembros del consorcio o unión temporal, “[…] este cederá su participación a un tercero previa autorización escrita de la entidad contratante […]”, y establece que “[…] En ningún caso, podrá haber cesión del contrato entre quienes integran el consorcio o unión temporal”. En esta última hipótesis, para la doctrina no existe un tercero como requisito de la cesión, y agrega lo siguiente:</w:t>
      </w:r>
    </w:p>
    <w:p w14:paraId="3904C63F" w14:textId="77777777" w:rsidR="00E74570" w:rsidRPr="004C544B" w:rsidRDefault="00E74570" w:rsidP="00E74570">
      <w:pPr>
        <w:tabs>
          <w:tab w:val="left" w:pos="709"/>
        </w:tabs>
        <w:spacing w:after="0" w:line="276" w:lineRule="auto"/>
        <w:jc w:val="both"/>
        <w:rPr>
          <w:rFonts w:ascii="Verdana" w:eastAsia="Calibri" w:hAnsi="Verdana" w:cs="Arial"/>
          <w:color w:val="000000" w:themeColor="text1"/>
        </w:rPr>
      </w:pPr>
    </w:p>
    <w:p w14:paraId="073641A5" w14:textId="77777777" w:rsidR="00E74570" w:rsidRPr="004C544B" w:rsidRDefault="00E74570" w:rsidP="00E74570">
      <w:pPr>
        <w:tabs>
          <w:tab w:val="left" w:pos="709"/>
        </w:tabs>
        <w:spacing w:after="0" w:line="240" w:lineRule="auto"/>
        <w:ind w:left="709" w:right="709"/>
        <w:jc w:val="both"/>
        <w:rPr>
          <w:rFonts w:ascii="Verdana" w:eastAsia="Calibri" w:hAnsi="Verdana" w:cs="Arial"/>
          <w:color w:val="000000" w:themeColor="text1"/>
          <w:sz w:val="21"/>
          <w:szCs w:val="21"/>
        </w:rPr>
      </w:pPr>
      <w:r w:rsidRPr="004C544B">
        <w:rPr>
          <w:rFonts w:ascii="Verdana" w:eastAsia="Calibri" w:hAnsi="Verdana" w:cs="Arial"/>
          <w:color w:val="000000" w:themeColor="text1"/>
          <w:sz w:val="21"/>
          <w:szCs w:val="21"/>
        </w:rPr>
        <w:t xml:space="preserve">“[…] supóngase que no existiera la restricción aludida; en este caso tampoco es válida la cesión en un integrante de un consorcio o unión temporal dado que los consorcios o uniones temporales no tienen personalidad jurídica, sino solo capacidad para celebrar contratos estatales, en virtud de la habilitación contenida en el artículo 6 de la Ley 80 de 1993. En estos casos se está en presencia, por tanto, de un contratista plural; esto es, la calidad de contratista se predica de cada </w:t>
      </w:r>
      <w:r w:rsidRPr="004C544B">
        <w:rPr>
          <w:rFonts w:ascii="Verdana" w:eastAsia="Calibri" w:hAnsi="Verdana" w:cs="Arial"/>
          <w:color w:val="000000" w:themeColor="text1"/>
          <w:sz w:val="21"/>
          <w:szCs w:val="21"/>
        </w:rPr>
        <w:lastRenderedPageBreak/>
        <w:t>uno de los integrantes del consorcio o unión temporal, de allí que […] no es válida la cesión en el propio contratista”</w:t>
      </w:r>
      <w:r w:rsidRPr="004C544B">
        <w:rPr>
          <w:rStyle w:val="Refdenotaalpie"/>
          <w:rFonts w:ascii="Verdana" w:eastAsia="Calibri" w:hAnsi="Verdana" w:cs="Arial"/>
          <w:color w:val="000000" w:themeColor="text1"/>
          <w:sz w:val="21"/>
          <w:szCs w:val="21"/>
        </w:rPr>
        <w:footnoteReference w:id="14"/>
      </w:r>
      <w:r w:rsidRPr="004C544B">
        <w:rPr>
          <w:rFonts w:ascii="Verdana" w:eastAsia="Calibri" w:hAnsi="Verdana" w:cs="Arial"/>
          <w:color w:val="000000" w:themeColor="text1"/>
          <w:sz w:val="21"/>
          <w:szCs w:val="21"/>
        </w:rPr>
        <w:t xml:space="preserve">.   </w:t>
      </w:r>
    </w:p>
    <w:p w14:paraId="478119DA" w14:textId="77777777" w:rsidR="00E74570" w:rsidRPr="004C544B" w:rsidRDefault="00E74570" w:rsidP="00E74570">
      <w:pPr>
        <w:tabs>
          <w:tab w:val="left" w:pos="709"/>
        </w:tabs>
        <w:spacing w:after="0" w:line="276" w:lineRule="auto"/>
        <w:ind w:firstLine="709"/>
        <w:jc w:val="both"/>
        <w:rPr>
          <w:rFonts w:ascii="Verdana" w:eastAsia="Calibri" w:hAnsi="Verdana" w:cs="Arial"/>
          <w:color w:val="000000" w:themeColor="text1"/>
        </w:rPr>
      </w:pPr>
    </w:p>
    <w:p w14:paraId="3EC9A1E7" w14:textId="77777777" w:rsidR="00E74570" w:rsidRDefault="00E74570" w:rsidP="00E74570">
      <w:pPr>
        <w:spacing w:line="276" w:lineRule="auto"/>
        <w:ind w:right="51" w:firstLine="709"/>
        <w:jc w:val="both"/>
        <w:rPr>
          <w:rFonts w:ascii="Verdana" w:eastAsia="Calibri" w:hAnsi="Verdana" w:cs="Arial"/>
          <w:color w:val="000000" w:themeColor="text1"/>
        </w:rPr>
      </w:pPr>
      <w:bookmarkStart w:id="6" w:name="_Hlk79797430"/>
      <w:r>
        <w:rPr>
          <w:rFonts w:ascii="Verdana" w:eastAsia="Calibri" w:hAnsi="Verdana" w:cs="Arial"/>
          <w:color w:val="000000" w:themeColor="text1"/>
        </w:rPr>
        <w:t xml:space="preserve">De esta manera, si está prohibida la cesión entre quienes integren el proponente plural, significa que está permitida la cesión de sus integrantes a un tercero distinto a los miembros del consorcio o la unión temporal. Esto no es más que la aplicación del argumento </w:t>
      </w:r>
      <w:r w:rsidRPr="00E377B4">
        <w:rPr>
          <w:rFonts w:ascii="Verdana" w:eastAsia="Calibri" w:hAnsi="Verdana" w:cs="Arial"/>
          <w:i/>
          <w:iCs/>
          <w:color w:val="000000" w:themeColor="text1"/>
        </w:rPr>
        <w:t>a contrario</w:t>
      </w:r>
      <w:r>
        <w:rPr>
          <w:rFonts w:ascii="Verdana" w:eastAsia="Calibri" w:hAnsi="Verdana" w:cs="Arial"/>
          <w:color w:val="000000" w:themeColor="text1"/>
        </w:rPr>
        <w:t xml:space="preserve">, criterio hermenéutico por el cual </w:t>
      </w:r>
      <w:r w:rsidRPr="003A34AF">
        <w:rPr>
          <w:rFonts w:ascii="Verdana" w:eastAsia="Calibri" w:hAnsi="Verdana" w:cs="Arial"/>
          <w:color w:val="000000" w:themeColor="text1"/>
        </w:rPr>
        <w:t>“[…] dado un enunciado normativo que predica una cualificación normativa respecto a un término en él incluido que está por un sujeto o una clase de sujetos, debe evitarse extender el significado de ese término de modo tal que llegue a comprender a sujetos o clases de sujetos no estricta y literalmente incluidos en él de conformidad con el primer enunciado normativo</w:t>
      </w:r>
      <w:r>
        <w:rPr>
          <w:rFonts w:ascii="Verdana" w:eastAsia="Calibri" w:hAnsi="Verdana" w:cs="Arial"/>
          <w:color w:val="000000" w:themeColor="text1"/>
        </w:rPr>
        <w:t>”</w:t>
      </w:r>
      <w:r>
        <w:rPr>
          <w:rStyle w:val="Refdenotaalpie"/>
          <w:rFonts w:ascii="Verdana" w:eastAsia="Calibri" w:hAnsi="Verdana" w:cs="Arial"/>
          <w:color w:val="000000" w:themeColor="text1"/>
        </w:rPr>
        <w:footnoteReference w:id="15"/>
      </w:r>
      <w:r w:rsidRPr="003A34AF">
        <w:rPr>
          <w:rFonts w:ascii="Verdana" w:eastAsia="Calibri" w:hAnsi="Verdana" w:cs="Arial"/>
          <w:color w:val="000000" w:themeColor="text1"/>
        </w:rPr>
        <w:t>.</w:t>
      </w:r>
      <w:r>
        <w:rPr>
          <w:rFonts w:ascii="Verdana" w:eastAsia="Calibri" w:hAnsi="Verdana" w:cs="Arial"/>
          <w:color w:val="000000" w:themeColor="text1"/>
        </w:rPr>
        <w:t xml:space="preserve"> </w:t>
      </w:r>
    </w:p>
    <w:p w14:paraId="5854EF5C" w14:textId="77777777" w:rsidR="00E74570" w:rsidRPr="003A34AF" w:rsidRDefault="00E74570" w:rsidP="00E74570">
      <w:pPr>
        <w:spacing w:line="276" w:lineRule="auto"/>
        <w:ind w:right="51" w:firstLine="709"/>
        <w:jc w:val="both"/>
        <w:rPr>
          <w:rFonts w:ascii="Verdana" w:eastAsia="Calibri" w:hAnsi="Verdana" w:cs="Arial"/>
          <w:color w:val="000000" w:themeColor="text1"/>
          <w:sz w:val="20"/>
          <w:szCs w:val="20"/>
        </w:rPr>
      </w:pPr>
      <w:r>
        <w:rPr>
          <w:rFonts w:ascii="Verdana" w:eastAsia="Calibri" w:hAnsi="Verdana" w:cs="Arial"/>
          <w:color w:val="000000" w:themeColor="text1"/>
        </w:rPr>
        <w:t>Por tanto, si dicho tercero cumple los requisitos de capacidad jurídica, no está incurso en causales de inhabilidad o incompatibilidad y, de acuerdo con los criterios previstos en el pliego de condiciones, es idóneo desde el punto de vista técnico, económico y financiero para cumplir con las obligaciones, la entidad podrá analizar la posibilidad de autorizar la cesión. Siempre que se cumpla este criterio mínimo, la entidad podrá valorar si el tercero cesionario debe tener las mismas o mayores aptitudes que el contratista cedente, pues la autorización para ceder es una potestad de naturaleza discrecional</w:t>
      </w:r>
      <w:r>
        <w:rPr>
          <w:rStyle w:val="Refdenotaalpie"/>
          <w:rFonts w:ascii="Verdana" w:eastAsia="Calibri" w:hAnsi="Verdana" w:cs="Arial"/>
          <w:color w:val="000000" w:themeColor="text1"/>
        </w:rPr>
        <w:footnoteReference w:id="16"/>
      </w:r>
      <w:r>
        <w:rPr>
          <w:rFonts w:ascii="Verdana" w:eastAsia="Calibri" w:hAnsi="Verdana" w:cs="Arial"/>
          <w:color w:val="000000" w:themeColor="text1"/>
        </w:rPr>
        <w:t xml:space="preserve">.   </w:t>
      </w:r>
    </w:p>
    <w:p w14:paraId="4D6F9176" w14:textId="77777777" w:rsidR="00E74570" w:rsidRPr="004C544B" w:rsidRDefault="00E74570" w:rsidP="00E74570">
      <w:pPr>
        <w:spacing w:line="276" w:lineRule="auto"/>
        <w:ind w:right="51" w:firstLine="709"/>
        <w:jc w:val="both"/>
        <w:rPr>
          <w:rFonts w:ascii="Verdana" w:eastAsia="Calibri" w:hAnsi="Verdana" w:cs="Arial"/>
          <w:color w:val="000000" w:themeColor="text1"/>
        </w:rPr>
      </w:pPr>
      <w:r w:rsidRPr="004C544B">
        <w:rPr>
          <w:rFonts w:ascii="Verdana" w:eastAsia="Calibri" w:hAnsi="Verdana" w:cs="Arial"/>
          <w:color w:val="000000" w:themeColor="text1"/>
        </w:rPr>
        <w:t xml:space="preserve">En suma, la Ley 80 de 1993 no reguló en su integridad la cesión del contrato, como tampoco lo hizo el Código Civil en el que se consagra la figura de la cesión de créditos –arts. 1959 y ss.–. En cambio, </w:t>
      </w:r>
      <w:bookmarkStart w:id="7" w:name="_Hlk79799730"/>
      <w:r w:rsidRPr="004C544B">
        <w:rPr>
          <w:rFonts w:ascii="Verdana" w:eastAsia="Calibri" w:hAnsi="Verdana" w:cs="Arial"/>
          <w:color w:val="000000" w:themeColor="text1"/>
        </w:rPr>
        <w:t xml:space="preserve">los artículos 887 a 896 </w:t>
      </w:r>
      <w:bookmarkEnd w:id="7"/>
      <w:r w:rsidRPr="004C544B">
        <w:rPr>
          <w:rFonts w:ascii="Verdana" w:eastAsia="Calibri" w:hAnsi="Verdana" w:cs="Arial"/>
          <w:color w:val="000000" w:themeColor="text1"/>
        </w:rPr>
        <w:t>del Código de Comercio definen la cesión del contrato. Por consiguiente, resultan aplicables las normas del derecho civil y comercial pertinentes, sobre cesión del crédito y cesión de contratos respectivamente, salvo en las materias particularmente reguladas por el Estatuto General de Contratación de la Administración Pública, como lo señala el artículo 13 de la Ley 80 de 1993.</w:t>
      </w:r>
      <w:r w:rsidRPr="004C544B">
        <w:rPr>
          <w:rFonts w:ascii="Verdana" w:hAnsi="Verdana" w:cs="Arial"/>
          <w:color w:val="000000" w:themeColor="text1"/>
        </w:rPr>
        <w:t xml:space="preserve"> </w:t>
      </w:r>
    </w:p>
    <w:bookmarkEnd w:id="6"/>
    <w:p w14:paraId="4C2C2B11" w14:textId="77777777" w:rsidR="00E74570" w:rsidRPr="00DE5DE4" w:rsidRDefault="00E74570" w:rsidP="00E74570">
      <w:pPr>
        <w:spacing w:after="120" w:line="276" w:lineRule="auto"/>
        <w:ind w:firstLine="708"/>
        <w:jc w:val="both"/>
        <w:rPr>
          <w:rFonts w:ascii="Verdana" w:eastAsia="Calibri" w:hAnsi="Verdana" w:cs="Arial"/>
          <w:color w:val="000000" w:themeColor="text1"/>
        </w:rPr>
      </w:pPr>
      <w:r w:rsidRPr="004C544B">
        <w:rPr>
          <w:rFonts w:ascii="Verdana" w:eastAsia="Calibri" w:hAnsi="Verdana" w:cs="Arial"/>
          <w:color w:val="000000" w:themeColor="text1"/>
        </w:rPr>
        <w:t xml:space="preserve">De conformidad con los requisitos y las restricciones explicadas </w:t>
      </w:r>
      <w:r w:rsidRPr="004C544B">
        <w:rPr>
          <w:rFonts w:ascii="Verdana" w:eastAsia="Calibri" w:hAnsi="Verdana" w:cs="Arial"/>
          <w:i/>
          <w:iCs/>
          <w:color w:val="000000" w:themeColor="text1"/>
        </w:rPr>
        <w:t>ut supra</w:t>
      </w:r>
      <w:r w:rsidRPr="004C544B">
        <w:rPr>
          <w:rFonts w:ascii="Verdana" w:eastAsia="Calibri" w:hAnsi="Verdana" w:cs="Arial"/>
          <w:color w:val="000000" w:themeColor="text1"/>
        </w:rPr>
        <w:t>, en los contratos estatales cuya ejecución aún no haya sido cumplida en todo o en parte, el contratista podrá hacerse sustituir por un tercero en la relación derivada del contrato, quien en adelante ocupará su posición jurídica.</w:t>
      </w:r>
      <w:r w:rsidRPr="004C544B">
        <w:rPr>
          <w:rFonts w:ascii="Verdana" w:hAnsi="Verdana" w:cs="Arial"/>
          <w:color w:val="000000" w:themeColor="text1"/>
        </w:rPr>
        <w:t xml:space="preserve"> Es una de las posibilidades en las cuales existe una modificación de uno de los extremos </w:t>
      </w:r>
      <w:r w:rsidRPr="004C544B">
        <w:rPr>
          <w:rFonts w:ascii="Verdana" w:hAnsi="Verdana" w:cs="Arial"/>
          <w:color w:val="000000" w:themeColor="text1"/>
        </w:rPr>
        <w:lastRenderedPageBreak/>
        <w:t>de la relación contractual, es decir de uno de los sujetos, siempre que sea autorizada previamente por la entidad cedida, en cuyo caso requiere la suscripción de un contrato entre el cedente y el cesionario, de manera que es de carácter bilateral en la medida en que es el resultado de un acuerdo voluntades. Con fundamento en el contrato de cesión, el cesionario reemplaza –en todo o en parte– al contratista cedente en la ejecución del contrato estatal, respondiendo por el cumplimiento de las obligaciones frente a la Administración.</w:t>
      </w:r>
    </w:p>
    <w:p w14:paraId="557D04CA" w14:textId="77777777" w:rsidR="00E74570" w:rsidRDefault="00E74570" w:rsidP="00E74570">
      <w:pPr>
        <w:spacing w:after="12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82D9C84" w14:textId="77777777" w:rsidR="00E74570" w:rsidRPr="00185EE9" w:rsidRDefault="00E74570" w:rsidP="00E74570">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48DA3358" w14:textId="77777777" w:rsidR="00E74570" w:rsidRPr="00182C89" w:rsidRDefault="00E74570" w:rsidP="00E74570">
      <w:pPr>
        <w:tabs>
          <w:tab w:val="left" w:pos="709"/>
        </w:tabs>
        <w:spacing w:after="0" w:line="276" w:lineRule="auto"/>
        <w:jc w:val="both"/>
        <w:rPr>
          <w:rFonts w:ascii="Verdana" w:eastAsia="Calibri" w:hAnsi="Verdana" w:cs="Arial"/>
          <w:color w:val="000000" w:themeColor="text1"/>
        </w:rPr>
      </w:pPr>
    </w:p>
    <w:p w14:paraId="75F08411" w14:textId="77777777" w:rsidR="00E74570" w:rsidRPr="00593A5F" w:rsidRDefault="00E74570" w:rsidP="00E745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27077CDC" w14:textId="77777777" w:rsidR="00E74570" w:rsidRPr="00593A5F" w:rsidRDefault="00E74570" w:rsidP="00E7457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74570" w:rsidRPr="002407CE" w14:paraId="1F339AA0" w14:textId="77777777" w:rsidTr="0065243C">
        <w:trPr>
          <w:trHeight w:val="870"/>
          <w:jc w:val="center"/>
        </w:trPr>
        <w:tc>
          <w:tcPr>
            <w:tcW w:w="8647" w:type="dxa"/>
          </w:tcPr>
          <w:p w14:paraId="654DC0FD" w14:textId="77777777" w:rsidR="00E74570" w:rsidRPr="00185EE9" w:rsidRDefault="00E74570" w:rsidP="0065243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13, 32, 40 y 41.</w:t>
            </w:r>
          </w:p>
          <w:p w14:paraId="72F1852C" w14:textId="77777777" w:rsidR="00E74570" w:rsidRPr="004923A3" w:rsidRDefault="00E74570" w:rsidP="0065243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sidRPr="00185EE9">
              <w:rPr>
                <w:rFonts w:ascii="Verdana" w:hAnsi="Verdana" w:cs="Arial"/>
              </w:rPr>
              <w:t xml:space="preserve">Código Civil, artículos </w:t>
            </w:r>
            <w:r>
              <w:rPr>
                <w:rFonts w:ascii="Verdana" w:hAnsi="Verdana" w:cs="Arial"/>
              </w:rPr>
              <w:t>1501, 1959 y ss</w:t>
            </w:r>
            <w:r w:rsidRPr="00185EE9">
              <w:rPr>
                <w:rFonts w:ascii="Verdana" w:hAnsi="Verdana" w:cs="Arial"/>
              </w:rPr>
              <w:t>.</w:t>
            </w:r>
          </w:p>
          <w:p w14:paraId="368ECBF7" w14:textId="77777777" w:rsidR="00E74570" w:rsidRPr="00DA543F" w:rsidRDefault="00E74570" w:rsidP="0065243C">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Código de Comercio, artículos 887 y ss.</w:t>
            </w:r>
          </w:p>
        </w:tc>
      </w:tr>
    </w:tbl>
    <w:p w14:paraId="19BFA213" w14:textId="77777777" w:rsidR="00E74570" w:rsidRPr="002407CE" w:rsidRDefault="00E74570" w:rsidP="00E74570">
      <w:pPr>
        <w:widowControl w:val="0"/>
        <w:autoSpaceDE w:val="0"/>
        <w:autoSpaceDN w:val="0"/>
        <w:spacing w:after="0" w:line="276" w:lineRule="auto"/>
        <w:jc w:val="both"/>
        <w:rPr>
          <w:rFonts w:ascii="Verdana" w:hAnsi="Verdana" w:cs="Arial"/>
        </w:rPr>
      </w:pPr>
    </w:p>
    <w:p w14:paraId="67B98459" w14:textId="77777777" w:rsidR="00E74570" w:rsidRPr="00593A5F" w:rsidRDefault="00E74570" w:rsidP="00E745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317352E" w14:textId="77777777" w:rsidR="00E74570" w:rsidRPr="00593A5F" w:rsidRDefault="00E74570" w:rsidP="00E74570">
      <w:pPr>
        <w:widowControl w:val="0"/>
        <w:autoSpaceDE w:val="0"/>
        <w:autoSpaceDN w:val="0"/>
        <w:spacing w:after="0" w:line="276" w:lineRule="auto"/>
        <w:jc w:val="both"/>
        <w:rPr>
          <w:rFonts w:ascii="Verdana" w:hAnsi="Verdana" w:cs="Arial"/>
        </w:rPr>
      </w:pPr>
    </w:p>
    <w:p w14:paraId="3C60004D" w14:textId="77777777" w:rsidR="00E74570" w:rsidRPr="00ED0098" w:rsidRDefault="00E74570" w:rsidP="00E74570">
      <w:pPr>
        <w:widowControl w:val="0"/>
        <w:autoSpaceDE w:val="0"/>
        <w:autoSpaceDN w:val="0"/>
        <w:spacing w:after="0" w:line="276" w:lineRule="auto"/>
        <w:jc w:val="both"/>
        <w:rPr>
          <w:rStyle w:val="normaltextrun"/>
          <w:rFonts w:ascii="Verdana" w:hAnsi="Verdana" w:cs="Arial"/>
          <w:shd w:val="clear" w:color="auto" w:fill="FFFFFF"/>
        </w:rPr>
      </w:pPr>
      <w:r w:rsidRPr="00010325">
        <w:rPr>
          <w:rFonts w:ascii="Verdana" w:hAnsi="Verdana" w:cs="Arial"/>
          <w:shd w:val="clear" w:color="auto" w:fill="FFFFFF"/>
        </w:rPr>
        <w:t>Esta Subdirección se ha pronunciado sobre</w:t>
      </w:r>
      <w:r>
        <w:rPr>
          <w:rFonts w:ascii="Verdana" w:hAnsi="Verdana" w:cs="Arial"/>
          <w:shd w:val="clear" w:color="auto" w:fill="FFFFFF"/>
        </w:rPr>
        <w:t xml:space="preserve"> la cesión de contratos en los </w:t>
      </w:r>
      <w:r>
        <w:rPr>
          <w:rFonts w:ascii="Verdana" w:hAnsi="Verdana" w:cs="Arial"/>
          <w:shd w:val="clear" w:color="auto" w:fill="FFFFFF"/>
        </w:rPr>
        <w:lastRenderedPageBreak/>
        <w:t xml:space="preserve">Conceptos </w:t>
      </w:r>
      <w:r w:rsidRPr="00DE2AC7">
        <w:rPr>
          <w:rFonts w:ascii="Verdana" w:hAnsi="Verdana" w:cs="Arial"/>
          <w:shd w:val="clear" w:color="auto" w:fill="FFFFFF"/>
        </w:rPr>
        <w:t>4201913000007643 y 4201913000007669 del 26 de diciembre de 2019, así como en los Conceptos C-551 del 24 de septiembre de 2020, C-572 del 27 de agosto de 2020, C-582 del 28 de agosto de 2020, C-385 del 20 de agosto de 2021, C-069 del 24 de abril de 2023</w:t>
      </w:r>
      <w:r>
        <w:rPr>
          <w:rFonts w:ascii="Verdana" w:hAnsi="Verdana" w:cs="Arial"/>
          <w:shd w:val="clear" w:color="auto" w:fill="FFFFFF"/>
        </w:rPr>
        <w:t>,</w:t>
      </w:r>
      <w:r w:rsidRPr="00DE2AC7">
        <w:rPr>
          <w:rFonts w:ascii="Verdana" w:hAnsi="Verdana" w:cs="Arial"/>
          <w:shd w:val="clear" w:color="auto" w:fill="FFFFFF"/>
        </w:rPr>
        <w:t xml:space="preserve"> C-868 del 20 de diciembre de 2024</w:t>
      </w:r>
      <w:r>
        <w:rPr>
          <w:rFonts w:ascii="Verdana" w:hAnsi="Verdana" w:cs="Arial"/>
          <w:shd w:val="clear" w:color="auto" w:fill="FFFFFF"/>
        </w:rPr>
        <w:t>, C-880 del 30 de diciembre de 2024, C-214 del 25 de marzo de 2025 y C-675 del 4 de junio de 2025</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9F8549A" w14:textId="77777777" w:rsidR="00E74570" w:rsidRPr="00096788" w:rsidRDefault="00E74570" w:rsidP="00E74570">
      <w:pPr>
        <w:widowControl w:val="0"/>
        <w:autoSpaceDE w:val="0"/>
        <w:autoSpaceDN w:val="0"/>
        <w:spacing w:after="0" w:line="276" w:lineRule="auto"/>
        <w:jc w:val="both"/>
        <w:rPr>
          <w:rFonts w:ascii="Verdana" w:hAnsi="Verdana" w:cs="Arial"/>
          <w:color w:val="000000" w:themeColor="text1"/>
          <w:shd w:val="clear" w:color="auto" w:fill="FFFFFF"/>
        </w:rPr>
      </w:pPr>
    </w:p>
    <w:p w14:paraId="56D26E7D" w14:textId="77777777" w:rsidR="00E74570" w:rsidRPr="00E440FD" w:rsidRDefault="00E74570" w:rsidP="00E74570">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61E58361" w14:textId="77777777" w:rsidR="00E74570" w:rsidRPr="009C4035" w:rsidRDefault="00E74570" w:rsidP="00E74570">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3CEE1580" w14:textId="77777777" w:rsidR="00E74570" w:rsidRPr="00593A5F" w:rsidRDefault="00E74570" w:rsidP="00E74570">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4BBB39B" w14:textId="77777777" w:rsidR="00E74570" w:rsidRPr="00593A5F" w:rsidRDefault="00E74570" w:rsidP="00E74570">
      <w:pPr>
        <w:widowControl w:val="0"/>
        <w:autoSpaceDE w:val="0"/>
        <w:autoSpaceDN w:val="0"/>
        <w:spacing w:after="0" w:line="276" w:lineRule="auto"/>
        <w:jc w:val="both"/>
        <w:rPr>
          <w:rFonts w:ascii="Verdana" w:hAnsi="Verdana" w:cs="Arial"/>
        </w:rPr>
      </w:pPr>
    </w:p>
    <w:p w14:paraId="7FE60E8E" w14:textId="77777777" w:rsidR="00E74570" w:rsidRPr="00593A5F" w:rsidRDefault="00E74570" w:rsidP="00E74570">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7C96834" w14:textId="654488BC" w:rsidR="00E74570" w:rsidRPr="00593A5F" w:rsidRDefault="00DF30F1" w:rsidP="00E74570">
      <w:pPr>
        <w:spacing w:line="276" w:lineRule="auto"/>
        <w:jc w:val="center"/>
        <w:rPr>
          <w:rFonts w:ascii="Verdana" w:hAnsi="Verdana" w:cs="Arial"/>
          <w:color w:val="000000"/>
          <w:lang w:val="es-ES_tradnl" w:eastAsia="es-CO"/>
        </w:rPr>
      </w:pPr>
      <w:r>
        <w:rPr>
          <w:noProof/>
        </w:rPr>
        <w:drawing>
          <wp:inline distT="0" distB="0" distL="0" distR="0" wp14:anchorId="113E7F99" wp14:editId="25B1C841">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74570" w:rsidRPr="00593A5F" w14:paraId="580B16E7" w14:textId="77777777" w:rsidTr="0065243C">
        <w:trPr>
          <w:trHeight w:val="315"/>
        </w:trPr>
        <w:tc>
          <w:tcPr>
            <w:tcW w:w="893" w:type="dxa"/>
            <w:vAlign w:val="center"/>
            <w:hideMark/>
          </w:tcPr>
          <w:p w14:paraId="44AF6E14" w14:textId="77777777" w:rsidR="00E74570" w:rsidRPr="003751C7" w:rsidRDefault="00E74570" w:rsidP="0065243C">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91ED148" w14:textId="77777777" w:rsidR="00E74570" w:rsidRPr="00254A7A" w:rsidRDefault="00E74570" w:rsidP="0065243C">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4E4F6CBB" w14:textId="77777777" w:rsidR="00E74570" w:rsidRPr="00254A7A" w:rsidRDefault="00E74570" w:rsidP="0065243C">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E74570" w:rsidRPr="00593A5F" w14:paraId="367BF65D" w14:textId="77777777" w:rsidTr="0065243C">
        <w:trPr>
          <w:trHeight w:val="330"/>
        </w:trPr>
        <w:tc>
          <w:tcPr>
            <w:tcW w:w="893" w:type="dxa"/>
            <w:vAlign w:val="center"/>
            <w:hideMark/>
          </w:tcPr>
          <w:p w14:paraId="3C7A7502" w14:textId="77777777" w:rsidR="00E74570" w:rsidRPr="003751C7" w:rsidRDefault="00E74570" w:rsidP="0065243C">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0E7A671" w14:textId="77777777" w:rsidR="00E74570" w:rsidRPr="001B6B73" w:rsidRDefault="00E74570" w:rsidP="0065243C">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11E9194A" w14:textId="77777777" w:rsidR="00E74570" w:rsidRPr="00254A7A" w:rsidRDefault="00E74570" w:rsidP="0065243C">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E74570" w:rsidRPr="00593A5F" w14:paraId="1EB5F317" w14:textId="77777777" w:rsidTr="0065243C">
        <w:trPr>
          <w:trHeight w:val="300"/>
        </w:trPr>
        <w:tc>
          <w:tcPr>
            <w:tcW w:w="893" w:type="dxa"/>
            <w:vAlign w:val="center"/>
          </w:tcPr>
          <w:p w14:paraId="4CA71664" w14:textId="77777777" w:rsidR="00E74570" w:rsidRPr="003751C7" w:rsidRDefault="00E74570" w:rsidP="0065243C">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112D48B" w14:textId="77777777" w:rsidR="00E74570" w:rsidRPr="003751C7" w:rsidRDefault="00E74570" w:rsidP="0065243C">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0A70A6A6" w14:textId="77777777" w:rsidR="00E74570" w:rsidRPr="003751C7" w:rsidRDefault="00E74570" w:rsidP="0065243C">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453B8974" w14:textId="77777777" w:rsidR="00E74570" w:rsidRPr="00543BFE" w:rsidRDefault="00E74570" w:rsidP="00E74570"/>
    <w:p w14:paraId="0F293BF4" w14:textId="4E4306FF" w:rsidR="00127233" w:rsidRPr="00781ECA" w:rsidRDefault="00127233" w:rsidP="00781ECA"/>
    <w:sectPr w:rsidR="00127233" w:rsidRPr="00781ECA"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E6BAF6" w14:textId="77777777" w:rsidR="00610AB5" w:rsidRDefault="00610AB5" w:rsidP="004A1847">
      <w:pPr>
        <w:spacing w:after="0" w:line="240" w:lineRule="auto"/>
      </w:pPr>
      <w:r>
        <w:separator/>
      </w:r>
    </w:p>
  </w:endnote>
  <w:endnote w:type="continuationSeparator" w:id="0">
    <w:p w14:paraId="6DB7B6BD" w14:textId="77777777" w:rsidR="00610AB5" w:rsidRDefault="00610AB5" w:rsidP="004A1847">
      <w:pPr>
        <w:spacing w:after="0" w:line="240" w:lineRule="auto"/>
      </w:pPr>
      <w:r>
        <w:continuationSeparator/>
      </w:r>
    </w:p>
  </w:endnote>
  <w:endnote w:type="continuationNotice" w:id="1">
    <w:p w14:paraId="2B40A84F" w14:textId="77777777" w:rsidR="00610AB5" w:rsidRDefault="00610AB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A6B410" w14:textId="77777777" w:rsidR="00610AB5" w:rsidRDefault="00610AB5" w:rsidP="004A1847">
      <w:pPr>
        <w:spacing w:after="0" w:line="240" w:lineRule="auto"/>
      </w:pPr>
      <w:r>
        <w:separator/>
      </w:r>
    </w:p>
  </w:footnote>
  <w:footnote w:type="continuationSeparator" w:id="0">
    <w:p w14:paraId="74A5C5C4" w14:textId="77777777" w:rsidR="00610AB5" w:rsidRDefault="00610AB5" w:rsidP="004A1847">
      <w:pPr>
        <w:spacing w:after="0" w:line="240" w:lineRule="auto"/>
      </w:pPr>
      <w:r>
        <w:continuationSeparator/>
      </w:r>
    </w:p>
  </w:footnote>
  <w:footnote w:type="continuationNotice" w:id="1">
    <w:p w14:paraId="376D2055" w14:textId="77777777" w:rsidR="00610AB5" w:rsidRDefault="00610AB5">
      <w:pPr>
        <w:spacing w:after="0" w:line="240" w:lineRule="auto"/>
      </w:pPr>
    </w:p>
  </w:footnote>
  <w:footnote w:id="2">
    <w:p w14:paraId="38CB7138" w14:textId="77777777" w:rsidR="00E74570" w:rsidRPr="004C544B" w:rsidRDefault="00E74570" w:rsidP="00E74570">
      <w:pPr>
        <w:pStyle w:val="Textonotapie"/>
        <w:ind w:firstLine="708"/>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Al respecto, el artículo 887 del Código de Comercio dispone lo siguiente: “En los contratos mercantiles de ejecución periódica o sucesiva cada una de las partes podrá hacerse sustituir por un tercero, en la totalidad o en parte de las relaciones derivadas del contrato, sin necesidad de aceptación expresa del contratante cedido, si por la ley o por estipulación de las mismas partes no se ha prohibido o limitado dicha sustitución.</w:t>
      </w:r>
    </w:p>
    <w:p w14:paraId="6FC33A8C" w14:textId="77777777" w:rsidR="00E74570" w:rsidRPr="004C544B" w:rsidRDefault="00E74570" w:rsidP="00E74570">
      <w:pPr>
        <w:pStyle w:val="Textonotapie"/>
        <w:ind w:firstLine="708"/>
        <w:jc w:val="both"/>
        <w:rPr>
          <w:rFonts w:ascii="Verdana" w:hAnsi="Verdana" w:cs="Arial"/>
          <w:sz w:val="16"/>
          <w:szCs w:val="16"/>
        </w:rPr>
      </w:pPr>
      <w:r w:rsidRPr="004C544B">
        <w:rPr>
          <w:rFonts w:ascii="Verdana" w:hAnsi="Verdana" w:cs="Arial"/>
          <w:sz w:val="16"/>
          <w:szCs w:val="16"/>
        </w:rPr>
        <w:t xml:space="preserve">La misma sustitución podrá hacerse en los contratos mercantiles de ejecución instantánea que aún no hayan sido cumplidos en todo o en parte, y en los celebrados </w:t>
      </w:r>
      <w:r w:rsidRPr="004C544B">
        <w:rPr>
          <w:rFonts w:ascii="Verdana" w:hAnsi="Verdana" w:cs="Arial"/>
          <w:i/>
          <w:iCs/>
          <w:sz w:val="16"/>
          <w:szCs w:val="16"/>
        </w:rPr>
        <w:t>intuitu personae</w:t>
      </w:r>
      <w:r w:rsidRPr="004C544B">
        <w:rPr>
          <w:rFonts w:ascii="Verdana" w:hAnsi="Verdana" w:cs="Arial"/>
          <w:sz w:val="16"/>
          <w:szCs w:val="16"/>
        </w:rPr>
        <w:t>, pero en estos casos será necesaria la aceptación del contratante cedido”.</w:t>
      </w:r>
    </w:p>
    <w:p w14:paraId="2FA9F875" w14:textId="77777777" w:rsidR="00E74570" w:rsidRPr="004C544B" w:rsidRDefault="00E74570" w:rsidP="00E74570">
      <w:pPr>
        <w:pStyle w:val="Textonotapie"/>
        <w:ind w:firstLine="708"/>
        <w:jc w:val="both"/>
        <w:rPr>
          <w:rFonts w:ascii="Verdana" w:hAnsi="Verdana" w:cs="Arial"/>
          <w:sz w:val="16"/>
          <w:szCs w:val="16"/>
        </w:rPr>
      </w:pPr>
      <w:r w:rsidRPr="004C544B">
        <w:rPr>
          <w:rFonts w:ascii="Verdana" w:hAnsi="Verdana" w:cs="Arial"/>
          <w:sz w:val="16"/>
          <w:szCs w:val="16"/>
        </w:rPr>
        <w:t>En contraste, el artículo 1959 del Código Civil prescribe que “La cesión de un crédito, a cualquier título que se haga, no tendrá efecto entre el cedente y el cesionario sino en virtud de la entrega del título. Pero si el crédito que se cede no consta en documento, la cesión puede hacerse otorgándose uno por el cedente al cesionario, y en este caso la notificación de que trata el artículo 1961 debe hacerse con exhibición de dicho documento”.</w:t>
      </w:r>
    </w:p>
  </w:footnote>
  <w:footnote w:id="3">
    <w:p w14:paraId="26AD740D" w14:textId="77777777" w:rsidR="00E74570" w:rsidRPr="004C544B" w:rsidRDefault="00E74570" w:rsidP="00E74570">
      <w:pPr>
        <w:pStyle w:val="Textonotapie"/>
        <w:ind w:firstLine="708"/>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ANDREOLI, Marcello. La cesión del contrato. Santiago: Ediciones Olejnik, 2019. p. 12. Énfasis dentro del texto. En este contexto, “La cesión del contrato sirve para hacer posible la </w:t>
      </w:r>
      <w:r w:rsidRPr="004C544B">
        <w:rPr>
          <w:rFonts w:ascii="Verdana" w:hAnsi="Verdana" w:cs="Arial"/>
          <w:i/>
          <w:iCs/>
          <w:sz w:val="16"/>
          <w:szCs w:val="16"/>
        </w:rPr>
        <w:t>circulación del contrato en su integridad</w:t>
      </w:r>
      <w:r w:rsidRPr="004C544B">
        <w:rPr>
          <w:rFonts w:ascii="Verdana" w:hAnsi="Verdana" w:cs="Arial"/>
          <w:sz w:val="16"/>
          <w:szCs w:val="16"/>
        </w:rPr>
        <w:t xml:space="preserve">, es decir, para hacer </w:t>
      </w:r>
      <w:r w:rsidRPr="004C544B">
        <w:rPr>
          <w:rFonts w:ascii="Verdana" w:hAnsi="Verdana" w:cs="Arial"/>
          <w:i/>
          <w:iCs/>
          <w:sz w:val="16"/>
          <w:szCs w:val="16"/>
        </w:rPr>
        <w:t>subintrar</w:t>
      </w:r>
      <w:r w:rsidRPr="004C544B">
        <w:rPr>
          <w:rFonts w:ascii="Verdana" w:hAnsi="Verdana" w:cs="Arial"/>
          <w:sz w:val="16"/>
          <w:szCs w:val="16"/>
        </w:rPr>
        <w:t xml:space="preserve"> un extraño en la categoría de </w:t>
      </w:r>
      <w:r w:rsidRPr="004C544B">
        <w:rPr>
          <w:rFonts w:ascii="Verdana" w:hAnsi="Verdana" w:cs="Arial"/>
          <w:i/>
          <w:iCs/>
          <w:sz w:val="16"/>
          <w:szCs w:val="16"/>
        </w:rPr>
        <w:t>parte</w:t>
      </w:r>
      <w:r w:rsidRPr="004C544B">
        <w:rPr>
          <w:rFonts w:ascii="Verdana" w:hAnsi="Verdana" w:cs="Arial"/>
          <w:sz w:val="16"/>
          <w:szCs w:val="16"/>
        </w:rPr>
        <w:t xml:space="preserve"> contractual, </w:t>
      </w:r>
      <w:r w:rsidRPr="004C544B">
        <w:rPr>
          <w:rFonts w:ascii="Verdana" w:hAnsi="Verdana" w:cs="Arial"/>
          <w:i/>
          <w:iCs/>
          <w:sz w:val="16"/>
          <w:szCs w:val="16"/>
        </w:rPr>
        <w:t>en lugar</w:t>
      </w:r>
      <w:r w:rsidRPr="004C544B">
        <w:rPr>
          <w:rFonts w:ascii="Verdana" w:hAnsi="Verdana" w:cs="Arial"/>
          <w:sz w:val="16"/>
          <w:szCs w:val="16"/>
        </w:rPr>
        <w:t xml:space="preserve"> de uno de los contratantes originarios” (MESSINEO, Francesco. Doctrina general del contrato. Santiago: Olejnik, 2018. p. 633. Énfasis dentro del texto).</w:t>
      </w:r>
    </w:p>
  </w:footnote>
  <w:footnote w:id="4">
    <w:p w14:paraId="6749DE80" w14:textId="77777777" w:rsidR="00E74570" w:rsidRPr="004C544B" w:rsidRDefault="00E74570" w:rsidP="00E74570">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ROPPO, Vincenzo. El contrato. Lima: Gaceta Jurídica, 2009. p. 547.</w:t>
      </w:r>
    </w:p>
  </w:footnote>
  <w:footnote w:id="5">
    <w:p w14:paraId="17E9D528" w14:textId="77777777" w:rsidR="00E74570" w:rsidRPr="004C544B" w:rsidRDefault="00E74570" w:rsidP="00E74570">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w:t>
      </w:r>
      <w:r w:rsidRPr="004C544B">
        <w:rPr>
          <w:rFonts w:ascii="Verdana" w:hAnsi="Verdana" w:cs="Arial"/>
          <w:i/>
          <w:iCs/>
          <w:sz w:val="16"/>
          <w:szCs w:val="16"/>
        </w:rPr>
        <w:t>Ibidem</w:t>
      </w:r>
      <w:r w:rsidRPr="004C544B">
        <w:rPr>
          <w:rFonts w:ascii="Verdana" w:hAnsi="Verdana" w:cs="Arial"/>
          <w:sz w:val="16"/>
          <w:szCs w:val="16"/>
        </w:rPr>
        <w:t>.</w:t>
      </w:r>
    </w:p>
  </w:footnote>
  <w:footnote w:id="6">
    <w:p w14:paraId="00A30E4A" w14:textId="77777777" w:rsidR="00E74570" w:rsidRPr="004C544B" w:rsidRDefault="00E74570" w:rsidP="00E74570">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HINESTROSA, Fernando. Tratado de las obligaciones: concepto, estructura y vicisitudes. Tercera Edición. Bogotá: Universidad Externado de Colombia, 2007. Libro en formato EPUB. En contraste con la cesión de créditos, “La cesión de contrato […] al permitir la sustitución de una de las partes en el contrato que se ejecuta, valida al tercero cesionario para que adquiera los derechos y las obligaciones que correspondían al contratante cedente como efectos del contrato. Es decir, lo que en realidad se cede, es mucho más que las posiciones o lados activos de las relaciones obligacionales. se cede también el lado pasivo, pues del contrato surgen como efecto obligaciones y derechos para las partes y la cesión de la posición contractual de una de ellas coloca al tercero cesionario en su lugar, en las mismas circunstancias frente al otro contratante” (ARRUBLA PAUCAR, Jaime Alberto. Contratos mercantiles: teoría general del negocio mercantil. Decimocuarta Edición. Bogotá: Legis, 2021. p. 251).   </w:t>
      </w:r>
    </w:p>
  </w:footnote>
  <w:footnote w:id="7">
    <w:p w14:paraId="0A67ED8D" w14:textId="77777777" w:rsidR="00E74570" w:rsidRPr="004C544B" w:rsidRDefault="00E74570" w:rsidP="00E74570">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Código de Comercio: “Artículo 890. El que cede un contrato se obliga a responder de la existencia y validez del mismo y de sus garantías, pero, salvo estipulación expresa en contrario, no responderá de su cumplimiento por parte del otro contratante y de los garantes”.</w:t>
      </w:r>
    </w:p>
  </w:footnote>
  <w:footnote w:id="8">
    <w:p w14:paraId="5010E455" w14:textId="77777777" w:rsidR="00E74570" w:rsidRPr="004C544B" w:rsidRDefault="00E74570" w:rsidP="00E74570">
      <w:pPr>
        <w:pStyle w:val="Textonotapie"/>
        <w:ind w:firstLine="709"/>
        <w:jc w:val="both"/>
        <w:rPr>
          <w:rFonts w:ascii="Verdana" w:hAnsi="Verdana" w:cs="Arial"/>
          <w:sz w:val="16"/>
          <w:szCs w:val="16"/>
          <w:lang w:val="es-CO"/>
        </w:rPr>
      </w:pPr>
      <w:r w:rsidRPr="004C544B">
        <w:rPr>
          <w:rStyle w:val="Refdenotaalpie"/>
          <w:rFonts w:ascii="Verdana" w:hAnsi="Verdana" w:cs="Arial"/>
          <w:sz w:val="16"/>
          <w:szCs w:val="16"/>
        </w:rPr>
        <w:footnoteRef/>
      </w:r>
      <w:r w:rsidRPr="004C544B">
        <w:rPr>
          <w:rFonts w:ascii="Verdana" w:hAnsi="Verdana" w:cs="Arial"/>
          <w:sz w:val="16"/>
          <w:szCs w:val="16"/>
        </w:rPr>
        <w:t xml:space="preserve"> Código de Comercio: “Artículo 891: Cuando el cedente se obliga a responder del cumplimiento del contrato por parte del contratante cedido, el cesionario deberá darle aviso dentro de los diez días siguientes a la mora o al incumplimiento, so pena de ser exonerado el cedente de la obligación de la garantía contraída con el cesionario”.</w:t>
      </w:r>
    </w:p>
  </w:footnote>
  <w:footnote w:id="9">
    <w:p w14:paraId="3314795E" w14:textId="77777777" w:rsidR="00E74570" w:rsidRPr="004C544B" w:rsidRDefault="00E74570" w:rsidP="00E74570">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Código de Comercio: “Artículo 895. La cesión de un contrato implica la de las acciones, privilegios y beneficios legales inherentes a la naturaleza y condiciones del contrato; pero no transfiere los que se funden en causas ajenas al mismo, o en la calidad o estado de la persona de los contratantes”.</w:t>
      </w:r>
    </w:p>
    <w:p w14:paraId="3380DD45" w14:textId="77777777" w:rsidR="00E74570" w:rsidRPr="004C544B" w:rsidRDefault="00E74570" w:rsidP="00E74570">
      <w:pPr>
        <w:pStyle w:val="Textonotapie"/>
        <w:ind w:firstLine="709"/>
        <w:jc w:val="both"/>
        <w:rPr>
          <w:rFonts w:ascii="Verdana" w:hAnsi="Verdana" w:cs="Arial"/>
          <w:sz w:val="16"/>
          <w:szCs w:val="16"/>
        </w:rPr>
      </w:pPr>
      <w:r w:rsidRPr="004C544B">
        <w:rPr>
          <w:rFonts w:ascii="Verdana" w:hAnsi="Verdana" w:cs="Arial"/>
          <w:sz w:val="16"/>
          <w:szCs w:val="16"/>
        </w:rPr>
        <w:t>“Artículo 896. El contratante cedido podrá oponer al cesionario todas las excepciones que se deriven del contrato. Podrá también oponer aquellas que se funden sobre otras relaciones con el cedente, respecto de las cuales haya hecho expresa reserva al momento de notificársele o aceptar la cesión”.</w:t>
      </w:r>
    </w:p>
  </w:footnote>
  <w:footnote w:id="10">
    <w:p w14:paraId="71B57CE6" w14:textId="77777777" w:rsidR="00E74570" w:rsidRPr="004C544B" w:rsidRDefault="00E74570" w:rsidP="00E74570">
      <w:pPr>
        <w:pStyle w:val="Textonotapie"/>
        <w:ind w:firstLine="708"/>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No en vano, “Quien contrata con la administración debe reunir condiciones previas, acreditadas por muy distintos medios, relativas a su capacidad técnica, financiera e incluso moral. De esas personas se ha seleccionado aquella que resulta la más conveniente para el caso, y esa persona no puede ser reemplazada por otra, por la sola decisión de ese cocontratante.</w:t>
      </w:r>
    </w:p>
    <w:p w14:paraId="5A8585C7" w14:textId="77777777" w:rsidR="00E74570" w:rsidRPr="004C544B" w:rsidRDefault="00E74570" w:rsidP="00E74570">
      <w:pPr>
        <w:pStyle w:val="Textonotapie"/>
        <w:ind w:firstLine="708"/>
        <w:jc w:val="both"/>
        <w:rPr>
          <w:rFonts w:ascii="Verdana" w:hAnsi="Verdana" w:cs="Arial"/>
          <w:sz w:val="16"/>
          <w:szCs w:val="16"/>
        </w:rPr>
      </w:pPr>
      <w:r w:rsidRPr="004C544B">
        <w:rPr>
          <w:rFonts w:ascii="Verdana" w:hAnsi="Verdana" w:cs="Arial"/>
          <w:sz w:val="16"/>
          <w:szCs w:val="16"/>
        </w:rPr>
        <w:t>De ahí que el principio del cumplimiento personal de sus obligaciones por el cocontratante particular es una exigencia del contrato administrativo que resulta de su naturaleza, por lo que su aplicación es ineludible, aun en los casos en que no existen cláusulas expresas que impongan esa prestación personal o que prohíban la cesión o trasferencia del contrato o la subcontratación” (ESCOLA, Jorge. Tratado integral de los contratos administrativos. Volumen I. Buenos Aires: Depalma, 2012. p. 424).</w:t>
      </w:r>
    </w:p>
  </w:footnote>
  <w:footnote w:id="11">
    <w:p w14:paraId="4F6A17A8" w14:textId="77777777" w:rsidR="00E74570" w:rsidRPr="004C544B" w:rsidRDefault="00E74570" w:rsidP="00E74570">
      <w:pPr>
        <w:pStyle w:val="Textonotapie"/>
        <w:ind w:firstLine="708"/>
        <w:jc w:val="both"/>
        <w:rPr>
          <w:rFonts w:ascii="Verdana" w:hAnsi="Verdana" w:cs="Arial"/>
          <w:sz w:val="16"/>
          <w:szCs w:val="16"/>
          <w:lang w:val="es-ES"/>
        </w:rPr>
      </w:pPr>
      <w:r w:rsidRPr="004C544B">
        <w:rPr>
          <w:rStyle w:val="Refdenotaalpie"/>
          <w:rFonts w:ascii="Verdana" w:hAnsi="Verdana" w:cs="Arial"/>
          <w:sz w:val="16"/>
          <w:szCs w:val="16"/>
        </w:rPr>
        <w:footnoteRef/>
      </w:r>
      <w:r w:rsidRPr="004C544B">
        <w:rPr>
          <w:rFonts w:ascii="Verdana" w:hAnsi="Verdana" w:cs="Arial"/>
          <w:sz w:val="16"/>
          <w:szCs w:val="16"/>
        </w:rPr>
        <w:t xml:space="preserve"> MARIENHOFF, Miguel S. Tratado de derecho administrativo. Tomo IIIA. Cuarta Edición. Buenos Aires: Abeledo Perrot, 1998. p. 318. Énfasis dentro del texto.</w:t>
      </w:r>
    </w:p>
  </w:footnote>
  <w:footnote w:id="12">
    <w:p w14:paraId="341A653E" w14:textId="77777777" w:rsidR="00E74570" w:rsidRPr="004C544B" w:rsidRDefault="00E74570" w:rsidP="00E74570">
      <w:pPr>
        <w:pStyle w:val="Textonotapie"/>
        <w:ind w:firstLine="708"/>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RAMÍREZ GRISALES, Richard. La cesión. Serie: Las cláusulas del contrato estatal. Medellín: Centro de Estudios de Derecho Administrativo –CEDA– y Librería Jurídica Sánchez R., 2014. pp. 71-72.</w:t>
      </w:r>
    </w:p>
  </w:footnote>
  <w:footnote w:id="13">
    <w:p w14:paraId="73AAD3DC" w14:textId="77777777" w:rsidR="00E74570" w:rsidRPr="004C544B" w:rsidRDefault="00E74570" w:rsidP="00E74570">
      <w:pPr>
        <w:pStyle w:val="Textonotapie"/>
        <w:ind w:firstLine="709"/>
        <w:jc w:val="both"/>
        <w:rPr>
          <w:rFonts w:ascii="Verdana" w:hAnsi="Verdana" w:cs="Arial"/>
          <w:sz w:val="16"/>
          <w:szCs w:val="16"/>
          <w:lang w:val="es-ES"/>
        </w:rPr>
      </w:pPr>
      <w:r w:rsidRPr="004C544B">
        <w:rPr>
          <w:rStyle w:val="Refdenotaalpie"/>
          <w:rFonts w:ascii="Verdana" w:hAnsi="Verdana" w:cs="Arial"/>
          <w:sz w:val="16"/>
          <w:szCs w:val="16"/>
        </w:rPr>
        <w:footnoteRef/>
      </w:r>
      <w:r w:rsidRPr="004C544B">
        <w:rPr>
          <w:rFonts w:ascii="Verdana" w:hAnsi="Verdana" w:cs="Arial"/>
          <w:sz w:val="16"/>
          <w:szCs w:val="16"/>
        </w:rPr>
        <w:t xml:space="preserve"> </w:t>
      </w:r>
      <w:r w:rsidRPr="004C544B">
        <w:rPr>
          <w:rFonts w:ascii="Verdana" w:hAnsi="Verdana" w:cs="Arial"/>
          <w:sz w:val="16"/>
          <w:szCs w:val="16"/>
          <w:lang w:val="es-ES"/>
        </w:rPr>
        <w:t>CONSEJO DE ESTADO</w:t>
      </w:r>
      <w:r>
        <w:rPr>
          <w:rFonts w:ascii="Verdana" w:hAnsi="Verdana" w:cs="Arial"/>
          <w:sz w:val="16"/>
          <w:szCs w:val="16"/>
          <w:lang w:val="es-ES"/>
        </w:rPr>
        <w:t>.</w:t>
      </w:r>
      <w:r w:rsidRPr="004C544B">
        <w:rPr>
          <w:rFonts w:ascii="Verdana" w:hAnsi="Verdana" w:cs="Arial"/>
          <w:sz w:val="16"/>
          <w:szCs w:val="16"/>
          <w:lang w:val="es-ES"/>
        </w:rPr>
        <w:t xml:space="preserve"> Sección Tercera</w:t>
      </w:r>
      <w:r>
        <w:rPr>
          <w:rFonts w:ascii="Verdana" w:hAnsi="Verdana" w:cs="Arial"/>
          <w:sz w:val="16"/>
          <w:szCs w:val="16"/>
          <w:lang w:val="es-ES"/>
        </w:rPr>
        <w:t>.</w:t>
      </w:r>
      <w:r w:rsidRPr="004C544B">
        <w:rPr>
          <w:rFonts w:ascii="Verdana" w:hAnsi="Verdana" w:cs="Arial"/>
          <w:sz w:val="16"/>
          <w:szCs w:val="16"/>
          <w:lang w:val="es-ES"/>
        </w:rPr>
        <w:t xml:space="preserve"> Sentencia del 16 de marzo de 2015</w:t>
      </w:r>
      <w:r>
        <w:rPr>
          <w:rFonts w:ascii="Verdana" w:hAnsi="Verdana" w:cs="Arial"/>
          <w:sz w:val="16"/>
          <w:szCs w:val="16"/>
          <w:lang w:val="es-ES"/>
        </w:rPr>
        <w:t>.</w:t>
      </w:r>
      <w:r w:rsidRPr="004C544B">
        <w:rPr>
          <w:rFonts w:ascii="Verdana" w:hAnsi="Verdana" w:cs="Arial"/>
          <w:sz w:val="16"/>
          <w:szCs w:val="16"/>
          <w:lang w:val="es-ES"/>
        </w:rPr>
        <w:t xml:space="preserve"> Rad. 1999-03028, M.P. Jaime Orlando Santofimio Gamboa.</w:t>
      </w:r>
    </w:p>
  </w:footnote>
  <w:footnote w:id="14">
    <w:p w14:paraId="7B8EA50A" w14:textId="77777777" w:rsidR="00E74570" w:rsidRPr="004C544B" w:rsidRDefault="00E74570" w:rsidP="00E74570">
      <w:pPr>
        <w:pStyle w:val="Textonotapie"/>
        <w:ind w:firstLine="708"/>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RAMÍREZ GRISALES, La cesión… Op. cit., pp.162-163. </w:t>
      </w:r>
    </w:p>
  </w:footnote>
  <w:footnote w:id="15">
    <w:p w14:paraId="2A5E7615" w14:textId="77777777" w:rsidR="00E74570" w:rsidRPr="003A34AF" w:rsidRDefault="00E74570" w:rsidP="00E74570">
      <w:pPr>
        <w:pStyle w:val="Textonotapie"/>
        <w:ind w:firstLine="708"/>
        <w:jc w:val="both"/>
        <w:rPr>
          <w:rFonts w:ascii="Verdana" w:hAnsi="Verdana"/>
          <w:sz w:val="16"/>
          <w:szCs w:val="16"/>
          <w:lang w:val="es-CO"/>
        </w:rPr>
      </w:pPr>
      <w:r w:rsidRPr="003A34AF">
        <w:rPr>
          <w:rStyle w:val="Refdenotaalpie"/>
          <w:rFonts w:ascii="Verdana" w:hAnsi="Verdana"/>
          <w:sz w:val="16"/>
          <w:szCs w:val="16"/>
        </w:rPr>
        <w:footnoteRef/>
      </w:r>
      <w:r w:rsidRPr="003A34AF">
        <w:rPr>
          <w:rFonts w:ascii="Verdana" w:hAnsi="Verdana"/>
          <w:sz w:val="16"/>
          <w:szCs w:val="16"/>
        </w:rPr>
        <w:t xml:space="preserve"> </w:t>
      </w:r>
      <w:r>
        <w:rPr>
          <w:rFonts w:ascii="Verdana" w:hAnsi="Verdana"/>
          <w:sz w:val="16"/>
          <w:szCs w:val="16"/>
        </w:rPr>
        <w:t>TARELLO, Govanni. La interpretación de la ley. Lima: Palestra Editores, 2013. p. 313.</w:t>
      </w:r>
    </w:p>
  </w:footnote>
  <w:footnote w:id="16">
    <w:p w14:paraId="04E4CA71" w14:textId="77777777" w:rsidR="00E74570" w:rsidRPr="00796439" w:rsidRDefault="00E74570" w:rsidP="00E74570">
      <w:pPr>
        <w:pStyle w:val="Textonotapie"/>
        <w:ind w:firstLine="708"/>
        <w:jc w:val="both"/>
        <w:rPr>
          <w:rFonts w:ascii="Verdana" w:hAnsi="Verdana"/>
          <w:sz w:val="16"/>
          <w:szCs w:val="16"/>
          <w:lang w:val="es-CO"/>
        </w:rPr>
      </w:pPr>
      <w:r w:rsidRPr="009C68A8">
        <w:rPr>
          <w:rStyle w:val="Refdenotaalpie"/>
          <w:rFonts w:ascii="Verdana" w:hAnsi="Verdana"/>
          <w:sz w:val="16"/>
          <w:szCs w:val="16"/>
        </w:rPr>
        <w:footnoteRef/>
      </w:r>
      <w:r w:rsidRPr="009C68A8">
        <w:rPr>
          <w:rFonts w:ascii="Verdana" w:hAnsi="Verdana"/>
          <w:sz w:val="16"/>
          <w:szCs w:val="16"/>
        </w:rPr>
        <w:t xml:space="preserve"> </w:t>
      </w:r>
      <w:r w:rsidRPr="00796439">
        <w:rPr>
          <w:rFonts w:ascii="Verdana" w:hAnsi="Verdana"/>
          <w:sz w:val="16"/>
          <w:szCs w:val="16"/>
        </w:rPr>
        <w:t>RAMÍREZ GRISALES,</w:t>
      </w:r>
      <w:r w:rsidRPr="004C544B">
        <w:rPr>
          <w:rFonts w:ascii="Verdana" w:hAnsi="Verdana" w:cs="Arial"/>
          <w:sz w:val="16"/>
          <w:szCs w:val="16"/>
        </w:rPr>
        <w:t xml:space="preserve"> La cesión… </w:t>
      </w:r>
      <w:r w:rsidRPr="00796439">
        <w:rPr>
          <w:rFonts w:ascii="Verdana" w:hAnsi="Verdana"/>
          <w:sz w:val="16"/>
          <w:szCs w:val="16"/>
        </w:rPr>
        <w:t>Op cit., p. 146.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style="width:11.45pt;height:11.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46C2A"/>
    <w:rsid w:val="0005646C"/>
    <w:rsid w:val="00061B2A"/>
    <w:rsid w:val="00082362"/>
    <w:rsid w:val="000A683E"/>
    <w:rsid w:val="000B19B9"/>
    <w:rsid w:val="000D0334"/>
    <w:rsid w:val="000F6486"/>
    <w:rsid w:val="00125105"/>
    <w:rsid w:val="00127233"/>
    <w:rsid w:val="00182398"/>
    <w:rsid w:val="001E4177"/>
    <w:rsid w:val="001F7DC6"/>
    <w:rsid w:val="002421BB"/>
    <w:rsid w:val="0025796E"/>
    <w:rsid w:val="002707A2"/>
    <w:rsid w:val="002925C4"/>
    <w:rsid w:val="002951A0"/>
    <w:rsid w:val="002962BC"/>
    <w:rsid w:val="002A093D"/>
    <w:rsid w:val="002A0DD0"/>
    <w:rsid w:val="002A49AC"/>
    <w:rsid w:val="002A64FD"/>
    <w:rsid w:val="002C7A84"/>
    <w:rsid w:val="002E4FD9"/>
    <w:rsid w:val="00322A85"/>
    <w:rsid w:val="00324168"/>
    <w:rsid w:val="003448F4"/>
    <w:rsid w:val="00374F5E"/>
    <w:rsid w:val="00377E3E"/>
    <w:rsid w:val="0039664D"/>
    <w:rsid w:val="003A779E"/>
    <w:rsid w:val="003D0F4D"/>
    <w:rsid w:val="003D5B0D"/>
    <w:rsid w:val="003E0499"/>
    <w:rsid w:val="003F3941"/>
    <w:rsid w:val="003F63DE"/>
    <w:rsid w:val="00405EE4"/>
    <w:rsid w:val="00406575"/>
    <w:rsid w:val="00414C74"/>
    <w:rsid w:val="0042722E"/>
    <w:rsid w:val="0044528D"/>
    <w:rsid w:val="0045187E"/>
    <w:rsid w:val="004A1847"/>
    <w:rsid w:val="004A305D"/>
    <w:rsid w:val="004D3383"/>
    <w:rsid w:val="004F21C4"/>
    <w:rsid w:val="004F685F"/>
    <w:rsid w:val="0052058F"/>
    <w:rsid w:val="005566E8"/>
    <w:rsid w:val="00574867"/>
    <w:rsid w:val="00591460"/>
    <w:rsid w:val="005C3777"/>
    <w:rsid w:val="005C5CDC"/>
    <w:rsid w:val="005D476C"/>
    <w:rsid w:val="00610AB5"/>
    <w:rsid w:val="006219F8"/>
    <w:rsid w:val="006302F7"/>
    <w:rsid w:val="00636823"/>
    <w:rsid w:val="00665D70"/>
    <w:rsid w:val="006900D9"/>
    <w:rsid w:val="006A760C"/>
    <w:rsid w:val="00701491"/>
    <w:rsid w:val="00706C16"/>
    <w:rsid w:val="00756841"/>
    <w:rsid w:val="007649AB"/>
    <w:rsid w:val="00771D0C"/>
    <w:rsid w:val="00781ECA"/>
    <w:rsid w:val="007833AC"/>
    <w:rsid w:val="007B268C"/>
    <w:rsid w:val="007B7171"/>
    <w:rsid w:val="007C0C0F"/>
    <w:rsid w:val="007C3DC2"/>
    <w:rsid w:val="007E5497"/>
    <w:rsid w:val="00806F5F"/>
    <w:rsid w:val="00820278"/>
    <w:rsid w:val="00867F95"/>
    <w:rsid w:val="008843B6"/>
    <w:rsid w:val="00891928"/>
    <w:rsid w:val="00897A3A"/>
    <w:rsid w:val="008A446D"/>
    <w:rsid w:val="008A5C21"/>
    <w:rsid w:val="008D180B"/>
    <w:rsid w:val="008E5014"/>
    <w:rsid w:val="008F0EA7"/>
    <w:rsid w:val="00923EEF"/>
    <w:rsid w:val="009419F9"/>
    <w:rsid w:val="0095685E"/>
    <w:rsid w:val="00961B09"/>
    <w:rsid w:val="00965334"/>
    <w:rsid w:val="0097093E"/>
    <w:rsid w:val="009A0DFA"/>
    <w:rsid w:val="009B25A8"/>
    <w:rsid w:val="009B2D26"/>
    <w:rsid w:val="009C71FA"/>
    <w:rsid w:val="009C72E7"/>
    <w:rsid w:val="009D22E5"/>
    <w:rsid w:val="009D3058"/>
    <w:rsid w:val="009F3A13"/>
    <w:rsid w:val="00A122D3"/>
    <w:rsid w:val="00A17F13"/>
    <w:rsid w:val="00A20739"/>
    <w:rsid w:val="00A33C78"/>
    <w:rsid w:val="00A718F0"/>
    <w:rsid w:val="00AB0ADB"/>
    <w:rsid w:val="00AE45EC"/>
    <w:rsid w:val="00B00C0E"/>
    <w:rsid w:val="00B01B1A"/>
    <w:rsid w:val="00B27323"/>
    <w:rsid w:val="00B30F8D"/>
    <w:rsid w:val="00B44A47"/>
    <w:rsid w:val="00B54B4A"/>
    <w:rsid w:val="00B72CD3"/>
    <w:rsid w:val="00B72FFF"/>
    <w:rsid w:val="00B9542F"/>
    <w:rsid w:val="00BC3D36"/>
    <w:rsid w:val="00BD7F72"/>
    <w:rsid w:val="00C04FB3"/>
    <w:rsid w:val="00C330EB"/>
    <w:rsid w:val="00C754BE"/>
    <w:rsid w:val="00C76B1C"/>
    <w:rsid w:val="00CB6357"/>
    <w:rsid w:val="00CC1B26"/>
    <w:rsid w:val="00D423A2"/>
    <w:rsid w:val="00D520D8"/>
    <w:rsid w:val="00D63AC2"/>
    <w:rsid w:val="00D7383B"/>
    <w:rsid w:val="00D90A85"/>
    <w:rsid w:val="00D94016"/>
    <w:rsid w:val="00DA231B"/>
    <w:rsid w:val="00DC39FC"/>
    <w:rsid w:val="00DF30F1"/>
    <w:rsid w:val="00DF5254"/>
    <w:rsid w:val="00E16408"/>
    <w:rsid w:val="00E16962"/>
    <w:rsid w:val="00E20894"/>
    <w:rsid w:val="00E245AB"/>
    <w:rsid w:val="00E2764C"/>
    <w:rsid w:val="00E27F2E"/>
    <w:rsid w:val="00E3706D"/>
    <w:rsid w:val="00E50AFE"/>
    <w:rsid w:val="00E74570"/>
    <w:rsid w:val="00E75C92"/>
    <w:rsid w:val="00E771DC"/>
    <w:rsid w:val="00E8772A"/>
    <w:rsid w:val="00E90F6B"/>
    <w:rsid w:val="00E92C27"/>
    <w:rsid w:val="00EA0E3D"/>
    <w:rsid w:val="00EC38A7"/>
    <w:rsid w:val="00EE1AA8"/>
    <w:rsid w:val="00EF649F"/>
    <w:rsid w:val="00F31EDC"/>
    <w:rsid w:val="00F462B3"/>
    <w:rsid w:val="00F5664F"/>
    <w:rsid w:val="00F666C4"/>
    <w:rsid w:val="00F71AB8"/>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7457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E74570"/>
    <w:rPr>
      <w:rFonts w:ascii="Geomanist Light" w:hAnsi="Geomanist Light"/>
      <w:lang w:val="es-ES"/>
    </w:rPr>
  </w:style>
  <w:style w:type="character" w:customStyle="1" w:styleId="s15">
    <w:name w:val="s15"/>
    <w:basedOn w:val="Fuentedeprrafopredeter"/>
    <w:rsid w:val="00E74570"/>
  </w:style>
  <w:style w:type="character" w:customStyle="1" w:styleId="apple-converted-space">
    <w:name w:val="apple-converted-space"/>
    <w:basedOn w:val="Fuentedeprrafopredeter"/>
    <w:rsid w:val="00E745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shg93@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9883D43-3576-4E5E-875C-1A7645216DD0}"/>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2d8fa925-bec2-4809-ba96-82bda3c0030e"/>
    <ds:schemaRef ds:uri="8ae15d26-076e-464e-81a7-6f76a0fb3917"/>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4688</Words>
  <Characters>25790</Characters>
  <Application>Microsoft Office Word</Application>
  <DocSecurity>0</DocSecurity>
  <Lines>214</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7</cp:revision>
  <cp:lastPrinted>2023-01-10T21:18:00Z</cp:lastPrinted>
  <dcterms:created xsi:type="dcterms:W3CDTF">2025-09-25T15:57:00Z</dcterms:created>
  <dcterms:modified xsi:type="dcterms:W3CDTF">2025-09-26T15:00:00Z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