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7E23CF" w14:textId="77777777" w:rsidR="00D35E4D" w:rsidRPr="00244412" w:rsidRDefault="00D35E4D" w:rsidP="00D35E4D">
      <w:pPr>
        <w:tabs>
          <w:tab w:val="left" w:pos="426"/>
        </w:tabs>
        <w:spacing w:line="240" w:lineRule="auto"/>
        <w:contextualSpacing/>
        <w:jc w:val="both"/>
        <w:rPr>
          <w:rFonts w:ascii="Verdana" w:eastAsia="Calibri" w:hAnsi="Verdana" w:cs="Arial"/>
          <w:b/>
          <w:bCs/>
          <w:lang w:val="es-MX"/>
        </w:rPr>
      </w:pPr>
      <w:r w:rsidRPr="00244412">
        <w:rPr>
          <w:rFonts w:ascii="Verdana" w:eastAsia="Calibri" w:hAnsi="Verdana" w:cs="Arial"/>
          <w:b/>
          <w:bCs/>
          <w:lang w:val="es-MX"/>
        </w:rPr>
        <w:t xml:space="preserve">LEY DE GARANTÍAS ELECTORALES ─ Prohibición ‒ Contratación directa ‒ Alcance </w:t>
      </w:r>
    </w:p>
    <w:p w14:paraId="4130A9AB" w14:textId="77777777" w:rsidR="00D35E4D" w:rsidRPr="00244412" w:rsidRDefault="00D35E4D" w:rsidP="00D35E4D">
      <w:pPr>
        <w:tabs>
          <w:tab w:val="left" w:pos="426"/>
        </w:tabs>
        <w:spacing w:line="240" w:lineRule="auto"/>
        <w:contextualSpacing/>
        <w:jc w:val="both"/>
        <w:rPr>
          <w:rFonts w:ascii="Verdana" w:eastAsia="Calibri" w:hAnsi="Verdana" w:cs="Arial"/>
          <w:noProof/>
          <w:sz w:val="20"/>
          <w:szCs w:val="20"/>
          <w:lang w:val="es-MX"/>
        </w:rPr>
      </w:pPr>
    </w:p>
    <w:p w14:paraId="02E9ED6D" w14:textId="77777777" w:rsidR="00D35E4D" w:rsidRPr="00244412" w:rsidRDefault="00D35E4D" w:rsidP="00D35E4D">
      <w:pPr>
        <w:spacing w:line="240" w:lineRule="auto"/>
        <w:contextualSpacing/>
        <w:jc w:val="both"/>
        <w:rPr>
          <w:rFonts w:ascii="Verdana" w:eastAsia="Times New Roman" w:hAnsi="Verdana" w:cs="Arial"/>
          <w:bCs/>
          <w:sz w:val="20"/>
          <w:szCs w:val="20"/>
          <w:lang w:val="es-MX" w:eastAsia="x-none"/>
        </w:rPr>
      </w:pPr>
      <w:r w:rsidRPr="00244412">
        <w:rPr>
          <w:rFonts w:ascii="Verdana" w:eastAsia="Calibri" w:hAnsi="Verdana" w:cs="Arial"/>
          <w:noProof/>
          <w:sz w:val="20"/>
          <w:szCs w:val="20"/>
          <w:lang w:val="es-ES_tradnl"/>
        </w:rPr>
        <w:t xml:space="preserve">[…] </w:t>
      </w:r>
      <w:r w:rsidRPr="00244412">
        <w:rPr>
          <w:rFonts w:ascii="Verdana" w:eastAsia="Times New Roman" w:hAnsi="Verdana" w:cs="Arial"/>
          <w:bCs/>
          <w:sz w:val="20"/>
          <w:szCs w:val="20"/>
          <w:lang w:val="es-MX" w:eastAsia="x-none"/>
        </w:rPr>
        <w:t>ha de entenderse que, para los efectos de la Ley de Garantías Electorales y, en particular, para la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244412">
        <w:rPr>
          <w:rFonts w:ascii="Verdana" w:eastAsia="Times New Roman" w:hAnsi="Verdana" w:cs="Arial"/>
          <w:sz w:val="20"/>
          <w:szCs w:val="20"/>
          <w:vertAlign w:val="superscript"/>
          <w:lang w:eastAsia="x-none"/>
        </w:rPr>
        <w:t xml:space="preserve"> </w:t>
      </w:r>
    </w:p>
    <w:p w14:paraId="63461C14" w14:textId="77777777" w:rsidR="00D35E4D" w:rsidRPr="00244412" w:rsidRDefault="00D35E4D" w:rsidP="00D35E4D">
      <w:pPr>
        <w:spacing w:line="240" w:lineRule="auto"/>
        <w:contextualSpacing/>
        <w:jc w:val="both"/>
        <w:rPr>
          <w:rFonts w:ascii="Verdana" w:eastAsia="Times New Roman" w:hAnsi="Verdana" w:cs="Arial"/>
          <w:bCs/>
          <w:sz w:val="20"/>
          <w:szCs w:val="20"/>
          <w:lang w:val="es-MX" w:eastAsia="x-none"/>
        </w:rPr>
      </w:pPr>
    </w:p>
    <w:p w14:paraId="13B00EED" w14:textId="77777777" w:rsidR="00D35E4D" w:rsidRPr="00244412" w:rsidRDefault="00D35E4D" w:rsidP="00D35E4D">
      <w:pPr>
        <w:spacing w:line="240" w:lineRule="auto"/>
        <w:contextualSpacing/>
        <w:jc w:val="both"/>
        <w:rPr>
          <w:rFonts w:ascii="Verdana" w:eastAsia="Times New Roman" w:hAnsi="Verdana" w:cs="Arial"/>
          <w:sz w:val="20"/>
          <w:szCs w:val="20"/>
          <w:lang w:eastAsia="x-none"/>
        </w:rPr>
      </w:pPr>
      <w:r w:rsidRPr="00244412">
        <w:rPr>
          <w:rFonts w:ascii="Verdana" w:eastAsia="Times New Roman" w:hAnsi="Verdana" w:cs="Arial"/>
          <w:bCs/>
          <w:sz w:val="20"/>
          <w:szCs w:val="20"/>
          <w:lang w:val="es-MX" w:eastAsia="x-none"/>
        </w:rPr>
        <w:t>De lo anterior se desprende que la restricción aplica, sin perjuicio de las excepciones establecidas en la misma ley, para celebrar cualquier contrato de forma directa, esto es, sin que exista un proceso abierto y competitivo.</w:t>
      </w:r>
      <w:r w:rsidRPr="00244412">
        <w:rPr>
          <w:rFonts w:ascii="Verdana" w:eastAsia="Times New Roman" w:hAnsi="Verdana" w:cs="Arial"/>
          <w:sz w:val="20"/>
          <w:szCs w:val="20"/>
          <w:lang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las entidades públicas pueden seguir contratando bajo estos sistemas.</w:t>
      </w:r>
    </w:p>
    <w:p w14:paraId="6439548A" w14:textId="77777777" w:rsidR="00D35E4D" w:rsidRPr="00244412" w:rsidRDefault="00D35E4D" w:rsidP="00D35E4D">
      <w:pPr>
        <w:spacing w:line="240" w:lineRule="auto"/>
        <w:contextualSpacing/>
        <w:jc w:val="both"/>
        <w:rPr>
          <w:rFonts w:ascii="Verdana" w:eastAsia="Times New Roman" w:hAnsi="Verdana" w:cs="Arial"/>
          <w:lang w:eastAsia="x-none"/>
        </w:rPr>
      </w:pPr>
    </w:p>
    <w:p w14:paraId="066D260D" w14:textId="77777777" w:rsidR="00D35E4D" w:rsidRPr="00244412" w:rsidRDefault="00D35E4D" w:rsidP="00D35E4D">
      <w:pPr>
        <w:tabs>
          <w:tab w:val="left" w:pos="426"/>
        </w:tabs>
        <w:spacing w:line="240" w:lineRule="auto"/>
        <w:contextualSpacing/>
        <w:jc w:val="both"/>
        <w:rPr>
          <w:rFonts w:ascii="Verdana" w:eastAsia="Calibri" w:hAnsi="Verdana" w:cs="Arial"/>
          <w:b/>
          <w:bCs/>
          <w:sz w:val="20"/>
          <w:szCs w:val="20"/>
          <w:lang w:val="es-MX"/>
        </w:rPr>
      </w:pPr>
      <w:r w:rsidRPr="00244412">
        <w:rPr>
          <w:rFonts w:ascii="Verdana" w:eastAsia="Calibri" w:hAnsi="Verdana" w:cs="Arial"/>
          <w:b/>
          <w:bCs/>
          <w:lang w:val="es-MX"/>
        </w:rPr>
        <w:t xml:space="preserve">LEY DE GARANTÍAS ELECTORALES ─ Prohibición ‒ Contratación directa ‒ </w:t>
      </w:r>
      <w:r w:rsidRPr="00244412">
        <w:rPr>
          <w:rFonts w:ascii="Verdana" w:eastAsia="Times New Roman" w:hAnsi="Verdana" w:cs="Arial"/>
          <w:b/>
          <w:bCs/>
          <w:lang w:eastAsia="es-CO"/>
        </w:rPr>
        <w:t>Excepciones</w:t>
      </w:r>
      <w:r w:rsidRPr="00244412">
        <w:rPr>
          <w:rFonts w:ascii="Verdana" w:eastAsia="Calibri" w:hAnsi="Verdana" w:cs="Arial"/>
          <w:b/>
          <w:bCs/>
          <w:lang w:val="es-MX"/>
        </w:rPr>
        <w:t xml:space="preserve"> </w:t>
      </w:r>
    </w:p>
    <w:p w14:paraId="24597420" w14:textId="77777777" w:rsidR="00D35E4D" w:rsidRPr="00244412" w:rsidRDefault="00D35E4D" w:rsidP="00D35E4D">
      <w:pPr>
        <w:tabs>
          <w:tab w:val="left" w:pos="426"/>
        </w:tabs>
        <w:spacing w:line="240" w:lineRule="auto"/>
        <w:contextualSpacing/>
        <w:jc w:val="both"/>
        <w:rPr>
          <w:rFonts w:ascii="Verdana" w:eastAsia="Times New Roman" w:hAnsi="Verdana" w:cs="Arial"/>
          <w:sz w:val="20"/>
          <w:szCs w:val="20"/>
          <w:lang w:eastAsia="x-none"/>
        </w:rPr>
      </w:pPr>
    </w:p>
    <w:p w14:paraId="16C8BA55" w14:textId="77777777" w:rsidR="00D35E4D" w:rsidRPr="00244412" w:rsidRDefault="00D35E4D" w:rsidP="00D35E4D">
      <w:pPr>
        <w:spacing w:line="240" w:lineRule="auto"/>
        <w:contextualSpacing/>
        <w:jc w:val="both"/>
        <w:rPr>
          <w:rFonts w:ascii="Verdana" w:eastAsia="Times New Roman" w:hAnsi="Verdana" w:cs="Arial"/>
          <w:bCs/>
          <w:sz w:val="20"/>
          <w:szCs w:val="20"/>
          <w:lang w:val="es-MX" w:eastAsia="es-CO"/>
        </w:rPr>
      </w:pPr>
      <w:r w:rsidRPr="00244412">
        <w:rPr>
          <w:rFonts w:ascii="Verdana" w:eastAsia="Calibri" w:hAnsi="Verdana" w:cs="Arial"/>
          <w:noProof/>
          <w:sz w:val="20"/>
          <w:szCs w:val="20"/>
          <w:lang w:val="es-ES_tradnl"/>
        </w:rPr>
        <w:t xml:space="preserve">[…] </w:t>
      </w:r>
      <w:r w:rsidRPr="00244412">
        <w:rPr>
          <w:rFonts w:ascii="Verdana" w:eastAsia="Times New Roman" w:hAnsi="Verdana" w:cs="Arial"/>
          <w:bCs/>
          <w:sz w:val="20"/>
          <w:szCs w:val="20"/>
          <w:lang w:val="es-MX" w:eastAsia="x-none"/>
        </w:rPr>
        <w:t xml:space="preserve">las excepciones a la restricción prevista en la Ley de Garantías Electorales,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244412">
        <w:rPr>
          <w:rFonts w:ascii="Verdana" w:eastAsia="Times New Roman" w:hAnsi="Verdana" w:cs="Arial"/>
          <w:bCs/>
          <w:sz w:val="20"/>
          <w:szCs w:val="20"/>
          <w:lang w:val="es-MX" w:eastAsia="x-none"/>
        </w:rPr>
        <w:t>ii</w:t>
      </w:r>
      <w:proofErr w:type="spellEnd"/>
      <w:r w:rsidRPr="00244412">
        <w:rPr>
          <w:rFonts w:ascii="Verdana" w:eastAsia="Times New Roman" w:hAnsi="Verdana" w:cs="Arial"/>
          <w:bCs/>
          <w:sz w:val="20"/>
          <w:szCs w:val="20"/>
          <w:lang w:val="es-MX" w:eastAsia="x-none"/>
        </w:rPr>
        <w:t xml:space="preserve">) los contratos de crédito público; </w:t>
      </w:r>
      <w:proofErr w:type="spellStart"/>
      <w:r w:rsidRPr="00244412">
        <w:rPr>
          <w:rFonts w:ascii="Verdana" w:eastAsia="Times New Roman" w:hAnsi="Verdana" w:cs="Arial"/>
          <w:bCs/>
          <w:sz w:val="20"/>
          <w:szCs w:val="20"/>
          <w:lang w:val="es-MX" w:eastAsia="x-none"/>
        </w:rPr>
        <w:t>iii</w:t>
      </w:r>
      <w:proofErr w:type="spellEnd"/>
      <w:r w:rsidRPr="00244412">
        <w:rPr>
          <w:rFonts w:ascii="Verdana" w:eastAsia="Times New Roman" w:hAnsi="Verdana" w:cs="Arial"/>
          <w:bCs/>
          <w:sz w:val="20"/>
          <w:szCs w:val="20"/>
          <w:lang w:val="es-MX" w:eastAsia="x-none"/>
        </w:rPr>
        <w:t xml:space="preserve">) los requeridos para cubrir las emergencias educativas, sanitarias y desastres; </w:t>
      </w:r>
      <w:proofErr w:type="spellStart"/>
      <w:r w:rsidRPr="00244412">
        <w:rPr>
          <w:rFonts w:ascii="Verdana" w:eastAsia="Times New Roman" w:hAnsi="Verdana" w:cs="Arial"/>
          <w:bCs/>
          <w:sz w:val="20"/>
          <w:szCs w:val="20"/>
          <w:lang w:val="es-MX" w:eastAsia="x-none"/>
        </w:rPr>
        <w:t>iv</w:t>
      </w:r>
      <w:proofErr w:type="spellEnd"/>
      <w:r w:rsidRPr="00244412">
        <w:rPr>
          <w:rFonts w:ascii="Verdana" w:eastAsia="Times New Roman" w:hAnsi="Verdana" w:cs="Arial"/>
          <w:bCs/>
          <w:sz w:val="20"/>
          <w:szCs w:val="20"/>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244412">
        <w:rPr>
          <w:rFonts w:ascii="Verdana" w:eastAsia="Times New Roman" w:hAnsi="Verdana" w:cs="Arial"/>
          <w:bCs/>
          <w:sz w:val="20"/>
          <w:szCs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5B2EFF8E" w14:textId="77777777" w:rsidR="00D35E4D" w:rsidRPr="00244412" w:rsidRDefault="00D35E4D" w:rsidP="00D35E4D">
      <w:pPr>
        <w:spacing w:line="240" w:lineRule="auto"/>
        <w:contextualSpacing/>
        <w:jc w:val="both"/>
        <w:rPr>
          <w:rFonts w:ascii="Verdana" w:eastAsia="Times New Roman" w:hAnsi="Verdana" w:cs="Arial"/>
          <w:bCs/>
          <w:sz w:val="20"/>
          <w:szCs w:val="20"/>
          <w:lang w:val="es-MX" w:eastAsia="es-CO"/>
        </w:rPr>
      </w:pPr>
    </w:p>
    <w:p w14:paraId="6BF7FEA5" w14:textId="73D5F7E2" w:rsidR="00A16436" w:rsidRPr="00244412" w:rsidRDefault="00A16436" w:rsidP="00A16436">
      <w:pPr>
        <w:tabs>
          <w:tab w:val="left" w:pos="426"/>
        </w:tabs>
        <w:spacing w:line="240" w:lineRule="auto"/>
        <w:contextualSpacing/>
        <w:jc w:val="both"/>
        <w:rPr>
          <w:rFonts w:ascii="Verdana" w:eastAsia="Calibri" w:hAnsi="Verdana" w:cs="Arial"/>
          <w:b/>
          <w:bCs/>
          <w:sz w:val="20"/>
          <w:szCs w:val="20"/>
          <w:lang w:val="es-MX"/>
        </w:rPr>
      </w:pPr>
      <w:r w:rsidRPr="00244412">
        <w:rPr>
          <w:rFonts w:ascii="Verdana" w:eastAsia="Calibri" w:hAnsi="Verdana" w:cs="Arial"/>
          <w:b/>
          <w:bCs/>
          <w:lang w:val="es-MX"/>
        </w:rPr>
        <w:t xml:space="preserve">LEY DE GARANTÍAS ELECTORALES ‒ Contratación directa ‒ </w:t>
      </w:r>
      <w:r w:rsidRPr="00244412">
        <w:rPr>
          <w:rFonts w:ascii="Verdana" w:eastAsia="Times New Roman" w:hAnsi="Verdana" w:cs="Arial"/>
          <w:b/>
          <w:bCs/>
          <w:lang w:eastAsia="es-CO"/>
        </w:rPr>
        <w:t>Contrato de arrendamiento</w:t>
      </w:r>
      <w:r w:rsidRPr="00244412">
        <w:rPr>
          <w:rFonts w:ascii="Verdana" w:eastAsia="Calibri" w:hAnsi="Verdana" w:cs="Arial"/>
          <w:b/>
          <w:bCs/>
          <w:lang w:val="es-MX"/>
        </w:rPr>
        <w:t xml:space="preserve"> </w:t>
      </w:r>
    </w:p>
    <w:p w14:paraId="1F31A05B" w14:textId="77777777" w:rsidR="00187855" w:rsidRPr="00244412" w:rsidRDefault="00187855" w:rsidP="00187855">
      <w:pPr>
        <w:spacing w:after="0" w:line="240" w:lineRule="auto"/>
        <w:jc w:val="both"/>
        <w:rPr>
          <w:rFonts w:ascii="Verdana" w:eastAsia="Times New Roman" w:hAnsi="Verdana" w:cs="Arial"/>
          <w:noProof/>
          <w:lang w:val="es-MX" w:eastAsia="es-ES_tradnl"/>
        </w:rPr>
      </w:pPr>
    </w:p>
    <w:p w14:paraId="49181B4D" w14:textId="77777777" w:rsidR="00A16436" w:rsidRPr="00244412" w:rsidRDefault="00A16436" w:rsidP="00A16436">
      <w:pPr>
        <w:spacing w:line="240" w:lineRule="auto"/>
        <w:contextualSpacing/>
        <w:jc w:val="both"/>
        <w:rPr>
          <w:rFonts w:ascii="Verdana" w:eastAsia="Times New Roman" w:hAnsi="Verdana" w:cs="Arial"/>
          <w:bCs/>
          <w:sz w:val="20"/>
          <w:szCs w:val="20"/>
          <w:lang w:val="es-MX" w:eastAsia="es-CO"/>
        </w:rPr>
      </w:pPr>
      <w:r w:rsidRPr="00244412">
        <w:rPr>
          <w:rFonts w:ascii="Verdana" w:eastAsia="Times New Roman" w:hAnsi="Verdana" w:cs="Arial"/>
          <w:bCs/>
          <w:sz w:val="20"/>
          <w:szCs w:val="20"/>
          <w:lang w:val="es-MX" w:eastAsia="es-CO"/>
        </w:rPr>
        <w:t>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licitación pública, la selección abreviada y el concurso de méritos u otros previstos en normas especiales.</w:t>
      </w:r>
    </w:p>
    <w:p w14:paraId="3ABC50B9" w14:textId="77777777" w:rsidR="00244412" w:rsidRPr="00244412" w:rsidRDefault="00244412" w:rsidP="00A16436">
      <w:pPr>
        <w:spacing w:line="240" w:lineRule="auto"/>
        <w:contextualSpacing/>
        <w:jc w:val="both"/>
        <w:rPr>
          <w:rFonts w:ascii="Verdana" w:eastAsia="Times New Roman" w:hAnsi="Verdana" w:cs="Arial"/>
          <w:bCs/>
          <w:sz w:val="20"/>
          <w:szCs w:val="20"/>
          <w:lang w:val="es-MX" w:eastAsia="es-CO"/>
        </w:rPr>
      </w:pPr>
    </w:p>
    <w:p w14:paraId="72677E61" w14:textId="3CDC4339" w:rsidR="00720768" w:rsidRPr="00244412" w:rsidRDefault="00A16436" w:rsidP="00A16436">
      <w:pPr>
        <w:spacing w:line="240" w:lineRule="auto"/>
        <w:contextualSpacing/>
        <w:jc w:val="both"/>
        <w:rPr>
          <w:rFonts w:ascii="Verdana" w:eastAsia="Times New Roman" w:hAnsi="Verdana" w:cs="Arial"/>
          <w:bCs/>
          <w:sz w:val="20"/>
          <w:szCs w:val="20"/>
          <w:lang w:val="es-MX" w:eastAsia="es-CO"/>
        </w:rPr>
      </w:pPr>
      <w:r w:rsidRPr="00244412">
        <w:rPr>
          <w:rFonts w:ascii="Verdana" w:eastAsia="Times New Roman" w:hAnsi="Verdana" w:cs="Arial"/>
          <w:bCs/>
          <w:sz w:val="20"/>
          <w:szCs w:val="20"/>
          <w:lang w:val="es-MX" w:eastAsia="es-CO"/>
        </w:rPr>
        <w:t xml:space="preserve">Por tanto, teniendo en cuenta que el literal i) del numeral 4° del artículo 2º de la Ley 1150 de 2007 establece que una de las causales de este procedimiento es: “i) El arrendamiento o adquisición de inmuebles”; y adicionalmente, el artículo 2.2.1.2.1.4.11 </w:t>
      </w:r>
      <w:r w:rsidRPr="00244412">
        <w:rPr>
          <w:rFonts w:ascii="Verdana" w:eastAsia="Times New Roman" w:hAnsi="Verdana" w:cs="Arial"/>
          <w:bCs/>
          <w:sz w:val="20"/>
          <w:szCs w:val="20"/>
          <w:lang w:val="es-MX" w:eastAsia="es-CO"/>
        </w:rPr>
        <w:lastRenderedPageBreak/>
        <w:t>del Decreto 1082 de 2015 dispone que las Entidades Estatales pueden alquilar o arrendar inmuebles mediante contratación directa; esta contratación al ser directa se encuentra cobijada por la prohibición del artículo 33 de la Ley de Garantías Electorales, ya que como se señaló en el párrafo anterior, la prohibición es amplia y aplica a toda la contratación que no implique convocatoria pública.</w:t>
      </w:r>
    </w:p>
    <w:p w14:paraId="4649A48E" w14:textId="77777777" w:rsidR="00720768" w:rsidRPr="00A16436" w:rsidRDefault="00720768" w:rsidP="00A16436">
      <w:pPr>
        <w:spacing w:line="240" w:lineRule="auto"/>
        <w:contextualSpacing/>
        <w:jc w:val="both"/>
        <w:rPr>
          <w:rFonts w:ascii="Verdana" w:eastAsia="Times New Roman" w:hAnsi="Verdana" w:cs="Arial"/>
          <w:bCs/>
          <w:sz w:val="20"/>
          <w:szCs w:val="20"/>
          <w:highlight w:val="yellow"/>
          <w:lang w:val="es-MX" w:eastAsia="es-CO"/>
        </w:rPr>
      </w:pPr>
    </w:p>
    <w:p w14:paraId="72827A6E" w14:textId="77777777" w:rsidR="00720768" w:rsidRDefault="00720768" w:rsidP="00187855">
      <w:pPr>
        <w:spacing w:after="0" w:line="240" w:lineRule="auto"/>
        <w:jc w:val="both"/>
        <w:rPr>
          <w:rFonts w:ascii="Verdana" w:eastAsia="Times New Roman" w:hAnsi="Verdana" w:cs="Arial"/>
          <w:noProof/>
          <w:lang w:val="es-ES_tradnl" w:eastAsia="es-ES_tradnl"/>
        </w:rPr>
      </w:pPr>
    </w:p>
    <w:p w14:paraId="14CC746E" w14:textId="77777777" w:rsidR="00720768" w:rsidRDefault="00720768" w:rsidP="00187855">
      <w:pPr>
        <w:spacing w:after="0" w:line="240" w:lineRule="auto"/>
        <w:jc w:val="both"/>
        <w:rPr>
          <w:rFonts w:ascii="Verdana" w:eastAsia="Times New Roman" w:hAnsi="Verdana" w:cs="Arial"/>
          <w:noProof/>
          <w:lang w:val="es-ES_tradnl" w:eastAsia="es-ES_tradnl"/>
        </w:rPr>
      </w:pPr>
    </w:p>
    <w:p w14:paraId="1AC5EDE8" w14:textId="77777777" w:rsidR="00720768" w:rsidRDefault="00720768" w:rsidP="00187855">
      <w:pPr>
        <w:spacing w:after="0" w:line="240" w:lineRule="auto"/>
        <w:jc w:val="both"/>
        <w:rPr>
          <w:rFonts w:ascii="Verdana" w:eastAsia="Times New Roman" w:hAnsi="Verdana" w:cs="Arial"/>
          <w:noProof/>
          <w:lang w:val="es-ES_tradnl" w:eastAsia="es-ES_tradnl"/>
        </w:rPr>
      </w:pPr>
    </w:p>
    <w:p w14:paraId="01CB1020" w14:textId="77777777" w:rsidR="00720768" w:rsidRDefault="00720768" w:rsidP="00187855">
      <w:pPr>
        <w:spacing w:after="0" w:line="240" w:lineRule="auto"/>
        <w:jc w:val="both"/>
        <w:rPr>
          <w:rFonts w:ascii="Verdana" w:eastAsia="Times New Roman" w:hAnsi="Verdana" w:cs="Arial"/>
          <w:noProof/>
          <w:lang w:val="es-ES_tradnl" w:eastAsia="es-ES_tradnl"/>
        </w:rPr>
      </w:pPr>
    </w:p>
    <w:p w14:paraId="4E401634" w14:textId="77777777" w:rsidR="00720768" w:rsidRDefault="00720768" w:rsidP="00187855">
      <w:pPr>
        <w:spacing w:after="0" w:line="240" w:lineRule="auto"/>
        <w:jc w:val="both"/>
        <w:rPr>
          <w:rFonts w:ascii="Verdana" w:eastAsia="Times New Roman" w:hAnsi="Verdana" w:cs="Arial"/>
          <w:noProof/>
          <w:lang w:val="es-ES_tradnl" w:eastAsia="es-ES_tradnl"/>
        </w:rPr>
      </w:pPr>
    </w:p>
    <w:p w14:paraId="2CD1CEA2" w14:textId="77777777" w:rsidR="00720768" w:rsidRDefault="00720768" w:rsidP="00187855">
      <w:pPr>
        <w:spacing w:after="0" w:line="240" w:lineRule="auto"/>
        <w:jc w:val="both"/>
        <w:rPr>
          <w:rFonts w:ascii="Verdana" w:eastAsia="Times New Roman" w:hAnsi="Verdana" w:cs="Arial"/>
          <w:noProof/>
          <w:lang w:val="es-ES_tradnl" w:eastAsia="es-ES_tradnl"/>
        </w:rPr>
      </w:pPr>
    </w:p>
    <w:p w14:paraId="3F6EB5EB" w14:textId="77777777" w:rsidR="00720768" w:rsidRDefault="00720768" w:rsidP="00187855">
      <w:pPr>
        <w:spacing w:after="0" w:line="240" w:lineRule="auto"/>
        <w:jc w:val="both"/>
        <w:rPr>
          <w:rFonts w:ascii="Verdana" w:eastAsia="Times New Roman" w:hAnsi="Verdana" w:cs="Arial"/>
          <w:noProof/>
          <w:lang w:val="es-ES_tradnl" w:eastAsia="es-ES_tradnl"/>
        </w:rPr>
      </w:pPr>
    </w:p>
    <w:p w14:paraId="2FDDF2FA" w14:textId="77777777" w:rsidR="00720768" w:rsidRDefault="00720768" w:rsidP="00187855">
      <w:pPr>
        <w:spacing w:after="0" w:line="240" w:lineRule="auto"/>
        <w:jc w:val="both"/>
        <w:rPr>
          <w:rFonts w:ascii="Verdana" w:eastAsia="Times New Roman" w:hAnsi="Verdana" w:cs="Arial"/>
          <w:noProof/>
          <w:lang w:val="es-ES_tradnl" w:eastAsia="es-ES_tradnl"/>
        </w:rPr>
      </w:pPr>
    </w:p>
    <w:p w14:paraId="4853D1E3"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0C516870"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3636AAA6"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54EA1C70"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44134432"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5CBEAC17"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45CAF9E8"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78553154"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2F5DD4DE"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7322827F"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13A02522"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5568B074"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1A294F56"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3D14CB83"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0CC01B3D"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2DB0F6A5"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1863B7AA"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6F21E1D0"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29E754A1"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4B725CEE"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7E514847"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5E143A73"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01592DC1"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1C030E18"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11C6B301"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0DC10C8E"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466E65A0"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167C10E8"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378CA0AA"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77AC4919" w14:textId="77777777" w:rsidR="002D0EDA" w:rsidRDefault="002D0EDA" w:rsidP="00B04DF4">
      <w:pPr>
        <w:spacing w:after="0" w:line="240" w:lineRule="auto"/>
        <w:jc w:val="both"/>
        <w:rPr>
          <w:rFonts w:ascii="Verdana" w:eastAsia="Times New Roman" w:hAnsi="Verdana" w:cs="Arial"/>
          <w:noProof/>
          <w:lang w:val="es-ES_tradnl" w:eastAsia="es-ES_tradnl"/>
        </w:rPr>
      </w:pPr>
    </w:p>
    <w:p w14:paraId="1123D0E6" w14:textId="19D567C6" w:rsidR="00B04DF4" w:rsidRDefault="00B04DF4" w:rsidP="00B04DF4">
      <w:pPr>
        <w:spacing w:after="0" w:line="240" w:lineRule="auto"/>
        <w:jc w:val="both"/>
        <w:rPr>
          <w:rFonts w:ascii="Verdana" w:eastAsia="Times New Roman" w:hAnsi="Verdana" w:cs="Arial"/>
          <w:noProof/>
          <w:lang w:val="es-ES_tradnl" w:eastAsia="es-ES_tradnl"/>
        </w:rPr>
      </w:pPr>
      <w:r w:rsidRPr="00B04DF4">
        <w:rPr>
          <w:rFonts w:ascii="Verdana" w:eastAsia="Times New Roman" w:hAnsi="Verdana" w:cs="Arial"/>
          <w:noProof/>
          <w:lang w:val="es-ES_tradnl" w:eastAsia="es-ES_tradnl"/>
        </w:rPr>
        <w:lastRenderedPageBreak/>
        <w:t xml:space="preserve">Bogotá D.C., </w:t>
      </w:r>
      <w:r w:rsidR="0031754D">
        <w:rPr>
          <w:rFonts w:ascii="Verdana" w:eastAsia="Times New Roman" w:hAnsi="Verdana" w:cs="Arial"/>
          <w:noProof/>
          <w:lang w:val="es-ES_tradnl" w:eastAsia="es-ES_tradnl"/>
        </w:rPr>
        <w:t>25 de septiembre de 2025</w:t>
      </w:r>
    </w:p>
    <w:p w14:paraId="74AC2D00" w14:textId="77777777" w:rsidR="0031754D" w:rsidRDefault="0031754D" w:rsidP="00B04DF4">
      <w:pPr>
        <w:spacing w:after="0" w:line="240" w:lineRule="auto"/>
        <w:jc w:val="both"/>
        <w:rPr>
          <w:rFonts w:ascii="Verdana" w:eastAsia="Times New Roman" w:hAnsi="Verdana" w:cs="Arial"/>
          <w:noProof/>
          <w:lang w:val="es-ES_tradnl" w:eastAsia="es-ES_tradnl"/>
        </w:rPr>
      </w:pPr>
    </w:p>
    <w:p w14:paraId="24815C51" w14:textId="156F0997" w:rsidR="0031754D" w:rsidRPr="00B04DF4" w:rsidRDefault="0031754D" w:rsidP="0031754D">
      <w:pPr>
        <w:spacing w:after="0" w:line="240" w:lineRule="auto"/>
        <w:jc w:val="right"/>
        <w:rPr>
          <w:rFonts w:ascii="Verdana" w:eastAsia="Times New Roman" w:hAnsi="Verdana" w:cs="Arial"/>
          <w:noProof/>
          <w:lang w:val="es-ES_tradnl" w:eastAsia="es-ES_tradnl"/>
        </w:rPr>
      </w:pPr>
    </w:p>
    <w:p w14:paraId="0FB78501" w14:textId="77777777" w:rsidR="00085CC8" w:rsidRDefault="00085CC8" w:rsidP="00187855">
      <w:pPr>
        <w:spacing w:after="0" w:line="240" w:lineRule="auto"/>
        <w:jc w:val="both"/>
        <w:rPr>
          <w:rFonts w:ascii="Verdana" w:eastAsia="Times New Roman" w:hAnsi="Verdana" w:cs="Arial"/>
          <w:noProof/>
          <w:lang w:val="es-ES_tradnl" w:eastAsia="es-ES_tradnl"/>
        </w:rPr>
      </w:pPr>
    </w:p>
    <w:p w14:paraId="7C87E4BA" w14:textId="77777777" w:rsidR="001C3A47" w:rsidRDefault="001C3A47" w:rsidP="00187855">
      <w:pPr>
        <w:spacing w:after="0" w:line="240" w:lineRule="auto"/>
        <w:jc w:val="both"/>
        <w:rPr>
          <w:rFonts w:ascii="Verdana" w:eastAsia="Times New Roman" w:hAnsi="Verdana" w:cs="Arial"/>
          <w:noProof/>
          <w:lang w:val="es-ES_tradnl" w:eastAsia="es-ES_tradnl"/>
        </w:rPr>
      </w:pPr>
    </w:p>
    <w:p w14:paraId="64EFC9DE" w14:textId="5FCFACF6" w:rsidR="00E21288" w:rsidRPr="001C3A47" w:rsidRDefault="009E6E70" w:rsidP="00187855">
      <w:pPr>
        <w:spacing w:after="0" w:line="240" w:lineRule="auto"/>
        <w:jc w:val="right"/>
        <w:rPr>
          <w:rFonts w:ascii="Verdana" w:eastAsia="Times New Roman" w:hAnsi="Verdana" w:cs="Arial"/>
          <w:noProof/>
          <w:lang w:val="es-ES_tradnl" w:eastAsia="es-ES_tradnl"/>
        </w:rPr>
      </w:pPr>
      <w:r w:rsidRPr="0031754D">
        <w:rPr>
          <w:rFonts w:ascii="Verdana" w:eastAsia="Times New Roman" w:hAnsi="Verdana" w:cs="Arial"/>
          <w:noProof/>
          <w:lang w:val="es-ES_tradnl" w:eastAsia="es-ES_tradnl"/>
        </w:rPr>
        <w:drawing>
          <wp:anchor distT="0" distB="0" distL="114300" distR="114300" simplePos="0" relativeHeight="251657216" behindDoc="0" locked="0" layoutInCell="1" allowOverlap="1" wp14:anchorId="49BD12EB" wp14:editId="2A1AE2A7">
            <wp:simplePos x="0" y="0"/>
            <wp:positionH relativeFrom="column">
              <wp:posOffset>3475907</wp:posOffset>
            </wp:positionH>
            <wp:positionV relativeFrom="paragraph">
              <wp:posOffset>8255</wp:posOffset>
            </wp:positionV>
            <wp:extent cx="2578735" cy="864235"/>
            <wp:effectExtent l="0" t="0" r="0" b="0"/>
            <wp:wrapSquare wrapText="bothSides"/>
            <wp:docPr id="1078111796"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111796"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578735" cy="864235"/>
                    </a:xfrm>
                    <a:prstGeom prst="rect">
                      <a:avLst/>
                    </a:prstGeom>
                  </pic:spPr>
                </pic:pic>
              </a:graphicData>
            </a:graphic>
            <wp14:sizeRelH relativeFrom="margin">
              <wp14:pctWidth>0</wp14:pctWidth>
            </wp14:sizeRelH>
            <wp14:sizeRelV relativeFrom="margin">
              <wp14:pctHeight>0</wp14:pctHeight>
            </wp14:sizeRelV>
          </wp:anchor>
        </w:drawing>
      </w:r>
    </w:p>
    <w:p w14:paraId="3E0568F6" w14:textId="3606FCBB" w:rsidR="00187855" w:rsidRPr="001C3A47" w:rsidRDefault="00187855" w:rsidP="00187855">
      <w:pPr>
        <w:spacing w:after="0" w:line="240" w:lineRule="auto"/>
        <w:jc w:val="both"/>
        <w:rPr>
          <w:rFonts w:ascii="Verdana" w:eastAsia="Calibri" w:hAnsi="Verdana" w:cs="Arial"/>
          <w:lang w:val="es-ES" w:eastAsia="es-ES_tradnl"/>
        </w:rPr>
      </w:pPr>
      <w:r w:rsidRPr="001C3A47">
        <w:rPr>
          <w:rFonts w:ascii="Verdana" w:eastAsia="Calibri" w:hAnsi="Verdana" w:cs="Arial"/>
          <w:lang w:val="es-ES" w:eastAsia="es-ES_tradnl"/>
        </w:rPr>
        <w:t>Señor</w:t>
      </w:r>
      <w:r w:rsidR="006D1F82">
        <w:rPr>
          <w:rFonts w:ascii="Verdana" w:eastAsia="Calibri" w:hAnsi="Verdana" w:cs="Arial"/>
          <w:lang w:val="es-ES" w:eastAsia="es-ES_tradnl"/>
        </w:rPr>
        <w:t>a</w:t>
      </w:r>
    </w:p>
    <w:p w14:paraId="70986A73" w14:textId="37A80EDE" w:rsidR="00187855" w:rsidRPr="001C3A47" w:rsidRDefault="006D1F82" w:rsidP="00187855">
      <w:pPr>
        <w:spacing w:after="0" w:line="240" w:lineRule="auto"/>
        <w:rPr>
          <w:rFonts w:ascii="Verdana" w:eastAsia="Calibri" w:hAnsi="Verdana" w:cs="Arial"/>
          <w:b/>
          <w:bCs/>
          <w:lang w:val="es-ES" w:eastAsia="es-ES_tradnl"/>
        </w:rPr>
      </w:pPr>
      <w:r>
        <w:rPr>
          <w:rFonts w:ascii="Verdana" w:eastAsia="Calibri" w:hAnsi="Verdana" w:cs="Arial"/>
          <w:b/>
          <w:bCs/>
          <w:lang w:val="es-ES" w:eastAsia="es-ES_tradnl"/>
        </w:rPr>
        <w:t>María Estefany Camacho de la Cruz</w:t>
      </w:r>
    </w:p>
    <w:p w14:paraId="2238A9C0" w14:textId="780AA416" w:rsidR="00187855" w:rsidRPr="001C3A47" w:rsidRDefault="00107E19" w:rsidP="001C3A47">
      <w:pPr>
        <w:spacing w:after="0" w:line="240" w:lineRule="auto"/>
        <w:rPr>
          <w:rFonts w:ascii="Verdana" w:eastAsia="Calibri" w:hAnsi="Verdana" w:cs="Arial"/>
          <w:lang w:val="es-ES_tradnl" w:eastAsia="es-ES_tradnl"/>
        </w:rPr>
      </w:pPr>
      <w:r w:rsidRPr="00107E19">
        <w:rPr>
          <w:rFonts w:ascii="Verdana" w:hAnsi="Verdana"/>
        </w:rPr>
        <w:t>Contactenos-benecun@cundinamarca.gov.co</w:t>
      </w:r>
      <w:r w:rsidRPr="00107E19">
        <w:rPr>
          <w:rFonts w:ascii="Verdana" w:hAnsi="Verdana"/>
        </w:rPr>
        <w:cr/>
      </w:r>
      <w:r w:rsidR="00187855" w:rsidRPr="001C3A47">
        <w:rPr>
          <w:rFonts w:ascii="Verdana" w:eastAsia="Calibri" w:hAnsi="Verdana" w:cs="Arial"/>
          <w:bCs/>
          <w:lang w:val="es-ES_tradnl" w:eastAsia="es-ES_tradnl"/>
        </w:rPr>
        <w:t>Ciudad</w:t>
      </w:r>
    </w:p>
    <w:p w14:paraId="72D4FAD8" w14:textId="77777777" w:rsidR="00187855" w:rsidRPr="00CC5C68" w:rsidRDefault="00187855" w:rsidP="00187855">
      <w:pPr>
        <w:spacing w:after="0" w:line="240" w:lineRule="auto"/>
        <w:rPr>
          <w:rFonts w:ascii="Verdana" w:eastAsia="Calibri" w:hAnsi="Verdana" w:cs="Arial"/>
          <w:lang w:val="es-ES_tradnl" w:eastAsia="es-ES_tradnl"/>
        </w:rPr>
      </w:pPr>
    </w:p>
    <w:p w14:paraId="6FA83756" w14:textId="77777777" w:rsidR="00187855" w:rsidRPr="00CC5C68" w:rsidRDefault="00187855" w:rsidP="00187855">
      <w:pPr>
        <w:spacing w:after="0" w:line="240" w:lineRule="auto"/>
        <w:rPr>
          <w:rFonts w:ascii="Verdana" w:eastAsia="Calibri" w:hAnsi="Verdana" w:cs="Arial"/>
          <w:lang w:val="es-ES_tradnl" w:eastAsia="es-ES_tradnl"/>
        </w:rPr>
      </w:pPr>
    </w:p>
    <w:p w14:paraId="235FDCA6" w14:textId="6840E949" w:rsidR="00187855" w:rsidRPr="00CC5C68" w:rsidRDefault="00187855" w:rsidP="00187855">
      <w:pPr>
        <w:spacing w:after="0" w:line="240" w:lineRule="auto"/>
        <w:ind w:left="2694"/>
        <w:rPr>
          <w:rFonts w:ascii="Verdana" w:eastAsia="Calibri" w:hAnsi="Verdana" w:cs="Arial"/>
          <w:b/>
          <w:bCs/>
          <w:lang w:val="es-ES" w:eastAsia="es-ES_tradnl"/>
        </w:rPr>
      </w:pPr>
      <w:r w:rsidRPr="00CC5C68">
        <w:rPr>
          <w:rFonts w:ascii="Verdana" w:eastAsia="Calibri" w:hAnsi="Verdana" w:cs="Arial"/>
          <w:b/>
          <w:bCs/>
          <w:lang w:val="es-ES" w:eastAsia="es-ES_tradnl"/>
        </w:rPr>
        <w:t>Concepto C-</w:t>
      </w:r>
      <w:r w:rsidR="00D66371">
        <w:rPr>
          <w:rFonts w:ascii="Verdana" w:eastAsia="Calibri" w:hAnsi="Verdana" w:cs="Arial"/>
          <w:b/>
          <w:bCs/>
          <w:lang w:val="es-ES" w:eastAsia="es-ES_tradnl"/>
        </w:rPr>
        <w:t>96</w:t>
      </w:r>
      <w:r w:rsidR="00B04DF4">
        <w:rPr>
          <w:rFonts w:ascii="Verdana" w:eastAsia="Calibri" w:hAnsi="Verdana" w:cs="Arial"/>
          <w:b/>
          <w:bCs/>
          <w:lang w:val="es-ES" w:eastAsia="es-ES_tradnl"/>
        </w:rPr>
        <w:t>9</w:t>
      </w:r>
      <w:r w:rsidRPr="00CC5C68">
        <w:rPr>
          <w:rFonts w:ascii="Verdana" w:eastAsia="Calibri" w:hAnsi="Verdana" w:cs="Arial"/>
          <w:b/>
          <w:bCs/>
          <w:lang w:val="es-ES" w:eastAsia="es-ES_tradnl"/>
        </w:rPr>
        <w:t xml:space="preserve"> de 202</w:t>
      </w:r>
      <w:r w:rsidR="00A6189F">
        <w:rPr>
          <w:rFonts w:ascii="Verdana" w:eastAsia="Calibri" w:hAnsi="Verdana" w:cs="Arial"/>
          <w:b/>
          <w:bCs/>
          <w:lang w:val="es-ES" w:eastAsia="es-ES_tradnl"/>
        </w:rPr>
        <w:t>5</w:t>
      </w:r>
    </w:p>
    <w:p w14:paraId="2FA09044" w14:textId="77777777" w:rsidR="00187855" w:rsidRPr="00CC5C68" w:rsidRDefault="00187855" w:rsidP="00187855">
      <w:pPr>
        <w:spacing w:after="0" w:line="240" w:lineRule="auto"/>
        <w:jc w:val="both"/>
        <w:rPr>
          <w:rFonts w:ascii="Verdana" w:eastAsia="Calibri" w:hAnsi="Verdana" w:cs="Arial"/>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94"/>
        <w:gridCol w:w="6095"/>
      </w:tblGrid>
      <w:tr w:rsidR="00187855" w:rsidRPr="00CC5C68" w14:paraId="2F90E71E" w14:textId="77777777" w:rsidTr="00EC5A97">
        <w:tc>
          <w:tcPr>
            <w:tcW w:w="2694" w:type="dxa"/>
          </w:tcPr>
          <w:p w14:paraId="3DCB50E0" w14:textId="77777777" w:rsidR="00187855" w:rsidRPr="00CC5C68" w:rsidRDefault="00187855" w:rsidP="00E075F9">
            <w:pPr>
              <w:rPr>
                <w:rFonts w:ascii="Verdana" w:eastAsia="Calibri" w:hAnsi="Verdana" w:cs="Arial"/>
                <w:lang w:val="es-ES_tradnl" w:eastAsia="es-ES_tradnl"/>
              </w:rPr>
            </w:pPr>
            <w:r w:rsidRPr="00CC5C68">
              <w:rPr>
                <w:rFonts w:ascii="Verdana" w:eastAsia="Calibri" w:hAnsi="Verdana" w:cs="Arial"/>
                <w:b/>
                <w:lang w:val="es-ES_tradnl" w:eastAsia="es-ES_tradnl"/>
              </w:rPr>
              <w:t>Temas:</w:t>
            </w:r>
          </w:p>
        </w:tc>
        <w:tc>
          <w:tcPr>
            <w:tcW w:w="6095" w:type="dxa"/>
          </w:tcPr>
          <w:p w14:paraId="3BEA88DA" w14:textId="65A01EA1" w:rsidR="00187855" w:rsidRPr="00CC5C68" w:rsidRDefault="00D35E4D" w:rsidP="00E075F9">
            <w:pPr>
              <w:spacing w:line="276" w:lineRule="auto"/>
              <w:jc w:val="both"/>
              <w:textAlignment w:val="baseline"/>
              <w:rPr>
                <w:rFonts w:ascii="Verdana" w:eastAsia="Times New Roman" w:hAnsi="Verdana" w:cs="Arial"/>
                <w:lang w:val="es-ES_tradnl" w:eastAsia="es-ES_tradnl"/>
              </w:rPr>
            </w:pPr>
            <w:r w:rsidRPr="00A16436">
              <w:rPr>
                <w:rFonts w:ascii="Verdana" w:eastAsia="Times New Roman" w:hAnsi="Verdana" w:cs="Arial"/>
                <w:lang w:eastAsia="es-ES_tradnl"/>
              </w:rPr>
              <w:t xml:space="preserve">LEY DE GARANTÍAS ELECTORALES ─ Prohibición ‒ Contratación directa ‒ Alcance </w:t>
            </w:r>
            <w:r w:rsidR="00187855" w:rsidRPr="00A16436">
              <w:rPr>
                <w:rFonts w:ascii="Verdana" w:eastAsia="Times New Roman" w:hAnsi="Verdana" w:cs="Arial"/>
                <w:lang w:eastAsia="es-ES_tradnl"/>
              </w:rPr>
              <w:t xml:space="preserve">/ </w:t>
            </w:r>
            <w:r w:rsidRPr="00A16436">
              <w:rPr>
                <w:rFonts w:ascii="Verdana" w:eastAsia="Times New Roman" w:hAnsi="Verdana" w:cs="Arial"/>
                <w:lang w:eastAsia="es-ES_tradnl"/>
              </w:rPr>
              <w:t>LEY DE GARANTÍAS ELECTORALES ─ Prohibición ‒ Contratación directa ‒ Excepciones</w:t>
            </w:r>
            <w:r w:rsidR="00A16436" w:rsidRPr="00A16436">
              <w:rPr>
                <w:rFonts w:ascii="Verdana" w:eastAsia="Times New Roman" w:hAnsi="Verdana" w:cs="Arial"/>
                <w:lang w:eastAsia="es-ES_tradnl"/>
              </w:rPr>
              <w:t xml:space="preserve"> / LEY DE GARANTÍAS ELECTORALES ‒ Contratación directa ‒ Contrato de arrendamiento</w:t>
            </w:r>
          </w:p>
        </w:tc>
      </w:tr>
      <w:tr w:rsidR="00187855" w:rsidRPr="00CC5C68" w14:paraId="430F24C2" w14:textId="77777777" w:rsidTr="00EC5A97">
        <w:tc>
          <w:tcPr>
            <w:tcW w:w="2694" w:type="dxa"/>
          </w:tcPr>
          <w:p w14:paraId="64FF2E28" w14:textId="77777777" w:rsidR="00187855" w:rsidRPr="00CC5C68" w:rsidRDefault="00187855" w:rsidP="00E075F9">
            <w:pPr>
              <w:rPr>
                <w:rFonts w:ascii="Verdana" w:eastAsia="Calibri" w:hAnsi="Verdana" w:cs="Arial"/>
                <w:b/>
                <w:lang w:val="es-ES" w:eastAsia="es-ES_tradnl"/>
              </w:rPr>
            </w:pPr>
            <w:r w:rsidRPr="00CC5C68">
              <w:rPr>
                <w:rFonts w:ascii="Verdana" w:eastAsia="Calibri" w:hAnsi="Verdana" w:cs="Arial"/>
                <w:b/>
                <w:lang w:val="es-ES" w:eastAsia="es-ES_tradnl"/>
              </w:rPr>
              <w:t>Radicación:</w:t>
            </w:r>
          </w:p>
        </w:tc>
        <w:tc>
          <w:tcPr>
            <w:tcW w:w="6095" w:type="dxa"/>
          </w:tcPr>
          <w:p w14:paraId="2C9AA094" w14:textId="059CF4A2" w:rsidR="00187855" w:rsidRPr="00CC5C68" w:rsidRDefault="00187855" w:rsidP="00E075F9">
            <w:pPr>
              <w:jc w:val="both"/>
              <w:rPr>
                <w:rFonts w:ascii="Verdana" w:eastAsia="Calibri" w:hAnsi="Verdana" w:cs="Arial"/>
                <w:lang w:val="es-ES" w:eastAsia="es-ES_tradnl"/>
              </w:rPr>
            </w:pPr>
            <w:r w:rsidRPr="00CC5C68">
              <w:rPr>
                <w:rFonts w:ascii="Verdana" w:eastAsia="Calibri" w:hAnsi="Verdana" w:cs="Arial"/>
                <w:lang w:val="es-ES" w:eastAsia="es-ES_tradnl"/>
              </w:rPr>
              <w:t xml:space="preserve">Respuesta a consulta radicado No. </w:t>
            </w:r>
            <w:r w:rsidR="006D1F82" w:rsidRPr="006D1F82">
              <w:rPr>
                <w:rFonts w:ascii="Verdana" w:eastAsia="Times New Roman" w:hAnsi="Verdana" w:cs="Arial"/>
                <w:lang w:eastAsia="es-ES_tradnl"/>
              </w:rPr>
              <w:t>1_2025_08_29_009324</w:t>
            </w:r>
          </w:p>
        </w:tc>
      </w:tr>
    </w:tbl>
    <w:p w14:paraId="3701FBE5" w14:textId="77777777" w:rsidR="00187855" w:rsidRPr="00CC5C68" w:rsidRDefault="00187855" w:rsidP="00187855">
      <w:pPr>
        <w:spacing w:after="0" w:line="240" w:lineRule="auto"/>
        <w:jc w:val="both"/>
        <w:rPr>
          <w:rFonts w:ascii="Verdana" w:eastAsia="Calibri" w:hAnsi="Verdana" w:cs="Arial"/>
          <w:lang w:val="es-ES_tradnl" w:eastAsia="es-ES_tradnl"/>
        </w:rPr>
      </w:pPr>
    </w:p>
    <w:p w14:paraId="62295CBA" w14:textId="77777777" w:rsidR="00187855" w:rsidRPr="00CC5C68" w:rsidRDefault="00187855" w:rsidP="00187855">
      <w:pPr>
        <w:spacing w:after="0" w:line="240" w:lineRule="auto"/>
        <w:jc w:val="both"/>
        <w:rPr>
          <w:rFonts w:ascii="Verdana" w:eastAsia="Calibri" w:hAnsi="Verdana" w:cs="Arial"/>
          <w:lang w:val="es-ES_tradnl" w:eastAsia="es-ES_tradnl"/>
        </w:rPr>
      </w:pPr>
    </w:p>
    <w:p w14:paraId="67D731EC" w14:textId="0455E28F" w:rsidR="00187855" w:rsidRPr="00CC5C68" w:rsidRDefault="00187855" w:rsidP="00187855">
      <w:pPr>
        <w:spacing w:after="0" w:line="276" w:lineRule="auto"/>
        <w:contextualSpacing/>
        <w:jc w:val="both"/>
        <w:rPr>
          <w:rFonts w:ascii="Verdana" w:eastAsia="Calibri" w:hAnsi="Verdana" w:cs="Arial"/>
          <w:bCs/>
          <w:lang w:val="es-ES_tradnl" w:eastAsia="es-ES_tradnl"/>
        </w:rPr>
      </w:pPr>
      <w:r w:rsidRPr="00CC5C68">
        <w:rPr>
          <w:rFonts w:ascii="Verdana" w:eastAsia="Calibri" w:hAnsi="Verdana" w:cs="Arial"/>
          <w:lang w:val="es-ES_tradnl" w:eastAsia="es-ES_tradnl"/>
        </w:rPr>
        <w:t>Estimad</w:t>
      </w:r>
      <w:r w:rsidR="00107E19">
        <w:rPr>
          <w:rFonts w:ascii="Verdana" w:eastAsia="Calibri" w:hAnsi="Verdana" w:cs="Arial"/>
          <w:lang w:val="es-ES_tradnl" w:eastAsia="es-ES_tradnl"/>
        </w:rPr>
        <w:t>a</w:t>
      </w:r>
      <w:r w:rsidRPr="00CC5C68">
        <w:rPr>
          <w:rFonts w:ascii="Verdana" w:eastAsia="Calibri" w:hAnsi="Verdana" w:cs="Arial"/>
          <w:lang w:val="es-ES_tradnl" w:eastAsia="es-ES_tradnl"/>
        </w:rPr>
        <w:t xml:space="preserve"> señor</w:t>
      </w:r>
      <w:r w:rsidR="00107E19">
        <w:rPr>
          <w:rFonts w:ascii="Verdana" w:eastAsia="Calibri" w:hAnsi="Verdana" w:cs="Arial"/>
          <w:lang w:val="es-ES_tradnl" w:eastAsia="es-ES_tradnl"/>
        </w:rPr>
        <w:t>a</w:t>
      </w:r>
      <w:r w:rsidRPr="00CC5C68">
        <w:rPr>
          <w:rFonts w:ascii="Verdana" w:eastAsia="Calibri" w:hAnsi="Verdana" w:cs="Arial"/>
          <w:lang w:val="es-ES_tradnl" w:eastAsia="es-ES_tradnl"/>
        </w:rPr>
        <w:t xml:space="preserve"> </w:t>
      </w:r>
      <w:r w:rsidR="00107E19">
        <w:rPr>
          <w:rFonts w:ascii="Verdana" w:eastAsia="Calibri" w:hAnsi="Verdana" w:cs="Arial"/>
          <w:lang w:val="es-ES_tradnl" w:eastAsia="es-ES_tradnl"/>
        </w:rPr>
        <w:t>Camacho</w:t>
      </w:r>
      <w:r w:rsidRPr="00CC5C68">
        <w:rPr>
          <w:rFonts w:ascii="Verdana" w:eastAsia="Calibri" w:hAnsi="Verdana" w:cs="Arial"/>
          <w:bCs/>
          <w:lang w:val="es-ES_tradnl" w:eastAsia="es-ES_tradnl"/>
        </w:rPr>
        <w:t>:</w:t>
      </w:r>
    </w:p>
    <w:p w14:paraId="45A30938" w14:textId="77777777" w:rsidR="00187855" w:rsidRPr="00CC5C68" w:rsidRDefault="00187855" w:rsidP="00187855">
      <w:pPr>
        <w:spacing w:after="0" w:line="276" w:lineRule="auto"/>
        <w:contextualSpacing/>
        <w:jc w:val="both"/>
        <w:rPr>
          <w:rFonts w:ascii="Verdana" w:eastAsia="Calibri" w:hAnsi="Verdana" w:cs="Arial"/>
          <w:lang w:val="es-ES_tradnl" w:eastAsia="es-ES_tradnl"/>
        </w:rPr>
      </w:pPr>
    </w:p>
    <w:p w14:paraId="1AA5850F" w14:textId="7EF920A7" w:rsidR="00187855" w:rsidRPr="00CC5C68" w:rsidRDefault="00187855" w:rsidP="00187855">
      <w:pPr>
        <w:spacing w:after="0" w:line="276" w:lineRule="auto"/>
        <w:contextualSpacing/>
        <w:jc w:val="both"/>
        <w:rPr>
          <w:rFonts w:ascii="Verdana" w:eastAsia="Calibri" w:hAnsi="Verdana" w:cs="Arial"/>
          <w:lang w:val="es-ES" w:eastAsia="es-ES_tradnl"/>
        </w:rPr>
      </w:pPr>
      <w:r w:rsidRPr="00CC5C68">
        <w:rPr>
          <w:rFonts w:ascii="Verdana" w:eastAsia="Calibri" w:hAnsi="Verdana" w:cs="Arial"/>
          <w:lang w:val="es-ES" w:eastAsia="es-ES_tradnl"/>
        </w:rPr>
        <w:t xml:space="preserve">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responde su solicitud de consulta de fecha </w:t>
      </w:r>
      <w:r w:rsidR="00DA68B5">
        <w:rPr>
          <w:rFonts w:ascii="Verdana" w:eastAsia="Calibri" w:hAnsi="Verdana" w:cs="Arial"/>
          <w:lang w:val="es-ES" w:eastAsia="es-ES_tradnl"/>
        </w:rPr>
        <w:t>29</w:t>
      </w:r>
      <w:r w:rsidRPr="00CC5C68">
        <w:rPr>
          <w:rFonts w:ascii="Verdana" w:eastAsia="Calibri" w:hAnsi="Verdana" w:cs="Arial"/>
          <w:lang w:val="es-ES" w:eastAsia="es-ES_tradnl"/>
        </w:rPr>
        <w:t xml:space="preserve"> de </w:t>
      </w:r>
      <w:r w:rsidR="000D5783">
        <w:rPr>
          <w:rFonts w:ascii="Verdana" w:eastAsia="Calibri" w:hAnsi="Verdana" w:cs="Arial"/>
          <w:lang w:val="es-ES" w:eastAsia="es-ES_tradnl"/>
        </w:rPr>
        <w:t>agosto</w:t>
      </w:r>
      <w:r w:rsidRPr="00CC5C68">
        <w:rPr>
          <w:rFonts w:ascii="Verdana" w:eastAsia="Calibri" w:hAnsi="Verdana" w:cs="Arial"/>
          <w:lang w:val="es-ES" w:eastAsia="es-ES_tradnl"/>
        </w:rPr>
        <w:t xml:space="preserve"> de 202</w:t>
      </w:r>
      <w:r w:rsidR="00A6189F">
        <w:rPr>
          <w:rFonts w:ascii="Verdana" w:eastAsia="Calibri" w:hAnsi="Verdana" w:cs="Arial"/>
          <w:lang w:val="es-ES" w:eastAsia="es-ES_tradnl"/>
        </w:rPr>
        <w:t>5</w:t>
      </w:r>
      <w:r w:rsidRPr="00CC5C68">
        <w:rPr>
          <w:rFonts w:ascii="Verdana" w:eastAsia="Calibri" w:hAnsi="Verdana" w:cs="Arial"/>
          <w:lang w:val="es-ES" w:eastAsia="es-ES_tradnl"/>
        </w:rPr>
        <w:t>, en la cual manifiesta lo siguiente:</w:t>
      </w:r>
    </w:p>
    <w:p w14:paraId="5AEE5083" w14:textId="77777777" w:rsidR="00187855" w:rsidRPr="00DA68B5" w:rsidRDefault="00187855" w:rsidP="00187855">
      <w:pPr>
        <w:spacing w:after="0" w:line="276" w:lineRule="auto"/>
        <w:contextualSpacing/>
        <w:jc w:val="both"/>
        <w:rPr>
          <w:rFonts w:ascii="Verdana" w:eastAsia="Calibri" w:hAnsi="Verdana" w:cs="Arial"/>
          <w:b/>
          <w:szCs w:val="24"/>
          <w:lang w:val="es-ES" w:eastAsia="es-ES_tradnl"/>
        </w:rPr>
      </w:pPr>
    </w:p>
    <w:p w14:paraId="0393970C" w14:textId="5EF34766" w:rsidR="00187855" w:rsidRPr="00CC5C68" w:rsidRDefault="00187855" w:rsidP="006D1F82">
      <w:pPr>
        <w:spacing w:after="0" w:line="240" w:lineRule="auto"/>
        <w:ind w:left="709" w:right="709"/>
        <w:contextualSpacing/>
        <w:jc w:val="both"/>
        <w:rPr>
          <w:rFonts w:ascii="Verdana" w:eastAsia="Times New Roman" w:hAnsi="Verdana" w:cs="Arial"/>
          <w:sz w:val="21"/>
          <w:szCs w:val="21"/>
          <w:lang w:eastAsia="es-ES_tradnl"/>
        </w:rPr>
      </w:pPr>
      <w:r w:rsidRPr="00CC5C68">
        <w:rPr>
          <w:rFonts w:ascii="Verdana" w:eastAsia="Times New Roman" w:hAnsi="Verdana" w:cs="Arial"/>
          <w:sz w:val="21"/>
          <w:szCs w:val="21"/>
          <w:lang w:eastAsia="es-ES_tradnl"/>
        </w:rPr>
        <w:t>“</w:t>
      </w:r>
      <w:r w:rsidR="006D1F82" w:rsidRPr="006D1F82">
        <w:rPr>
          <w:rFonts w:ascii="Verdana" w:eastAsia="Times New Roman" w:hAnsi="Verdana" w:cs="Arial"/>
          <w:sz w:val="21"/>
          <w:szCs w:val="21"/>
          <w:lang w:eastAsia="es-ES_tradnl"/>
        </w:rPr>
        <w:t>¿En el marco de ley de garantías, es posible suscribir contratos de</w:t>
      </w:r>
      <w:r w:rsidR="006D1F82">
        <w:rPr>
          <w:rFonts w:ascii="Verdana" w:eastAsia="Times New Roman" w:hAnsi="Verdana" w:cs="Arial"/>
          <w:sz w:val="21"/>
          <w:szCs w:val="21"/>
          <w:lang w:eastAsia="es-ES_tradnl"/>
        </w:rPr>
        <w:t xml:space="preserve"> </w:t>
      </w:r>
      <w:r w:rsidR="006D1F82" w:rsidRPr="006D1F82">
        <w:rPr>
          <w:rFonts w:ascii="Verdana" w:eastAsia="Times New Roman" w:hAnsi="Verdana" w:cs="Arial"/>
          <w:sz w:val="21"/>
          <w:szCs w:val="21"/>
          <w:lang w:eastAsia="es-ES_tradnl"/>
        </w:rPr>
        <w:t>arrendamiento, teniendo en cuenta que la modalidad de contratación es</w:t>
      </w:r>
      <w:r w:rsidR="006D1F82">
        <w:rPr>
          <w:rFonts w:ascii="Verdana" w:eastAsia="Times New Roman" w:hAnsi="Verdana" w:cs="Arial"/>
          <w:sz w:val="21"/>
          <w:szCs w:val="21"/>
          <w:lang w:eastAsia="es-ES_tradnl"/>
        </w:rPr>
        <w:t xml:space="preserve"> </w:t>
      </w:r>
      <w:r w:rsidR="006D1F82" w:rsidRPr="006D1F82">
        <w:rPr>
          <w:rFonts w:ascii="Verdana" w:eastAsia="Times New Roman" w:hAnsi="Verdana" w:cs="Arial"/>
          <w:sz w:val="21"/>
          <w:szCs w:val="21"/>
          <w:lang w:eastAsia="es-ES_tradnl"/>
        </w:rPr>
        <w:t>directa?</w:t>
      </w:r>
      <w:r w:rsidRPr="00CC5C68">
        <w:rPr>
          <w:rFonts w:ascii="Verdana" w:eastAsia="Times New Roman" w:hAnsi="Verdana" w:cs="Arial"/>
          <w:sz w:val="21"/>
          <w:szCs w:val="21"/>
          <w:lang w:eastAsia="es-ES_tradnl"/>
        </w:rPr>
        <w:t>”</w:t>
      </w:r>
    </w:p>
    <w:p w14:paraId="50165896" w14:textId="77777777" w:rsidR="00187855" w:rsidRPr="00CC5C68" w:rsidRDefault="00187855" w:rsidP="00187855">
      <w:pPr>
        <w:spacing w:after="0" w:line="240" w:lineRule="auto"/>
        <w:ind w:left="709" w:right="709"/>
        <w:contextualSpacing/>
        <w:jc w:val="both"/>
        <w:rPr>
          <w:rFonts w:ascii="Verdana" w:eastAsia="Times New Roman" w:hAnsi="Verdana" w:cs="Arial"/>
          <w:sz w:val="21"/>
          <w:szCs w:val="21"/>
          <w:lang w:eastAsia="es-ES_tradnl"/>
        </w:rPr>
      </w:pPr>
    </w:p>
    <w:p w14:paraId="0451594C" w14:textId="77777777" w:rsidR="00187855" w:rsidRPr="00CC5C68" w:rsidRDefault="00187855" w:rsidP="00187855">
      <w:pPr>
        <w:spacing w:after="120" w:line="276" w:lineRule="auto"/>
        <w:ind w:firstLine="709"/>
        <w:jc w:val="both"/>
        <w:rPr>
          <w:rFonts w:ascii="Verdana" w:eastAsia="Calibri" w:hAnsi="Verdana" w:cs="Arial"/>
          <w:color w:val="000000"/>
          <w:szCs w:val="24"/>
          <w:lang w:val="es-ES_tradnl" w:eastAsia="es-ES_tradnl"/>
        </w:rPr>
      </w:pPr>
      <w:r w:rsidRPr="00CC5C68">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w:t>
      </w:r>
      <w:r w:rsidRPr="00CC5C68">
        <w:rPr>
          <w:rFonts w:ascii="Verdana" w:eastAsia="Calibri" w:hAnsi="Verdana" w:cs="Arial"/>
          <w:color w:val="000000"/>
          <w:lang w:val="es-ES" w:eastAsia="es-ES"/>
        </w:rPr>
        <w:lastRenderedPageBreak/>
        <w:t xml:space="preserve">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C5C68">
        <w:rPr>
          <w:rFonts w:ascii="Verdana" w:eastAsia="Calibri" w:hAnsi="Verdana" w:cs="Arial"/>
          <w:color w:val="000000"/>
          <w:szCs w:val="24"/>
          <w:lang w:val="es-ES_tradnl" w:eastAsia="es-ES_tradnl"/>
        </w:rPr>
        <w:tab/>
      </w:r>
    </w:p>
    <w:p w14:paraId="3FDB742D" w14:textId="77777777" w:rsidR="00187855" w:rsidRPr="00CC5C68" w:rsidRDefault="00187855" w:rsidP="00187855">
      <w:pPr>
        <w:spacing w:after="0" w:line="276" w:lineRule="auto"/>
        <w:ind w:firstLine="709"/>
        <w:jc w:val="both"/>
        <w:rPr>
          <w:rFonts w:ascii="Verdana" w:eastAsia="Calibri" w:hAnsi="Verdana" w:cs="Arial"/>
          <w:lang w:val="es-ES" w:eastAsia="es-ES"/>
        </w:rPr>
      </w:pPr>
      <w:r w:rsidRPr="00CC5C68">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6104CBB2" w14:textId="77777777" w:rsidR="00187855" w:rsidRPr="00CC5C68" w:rsidRDefault="00187855" w:rsidP="00187855">
      <w:pPr>
        <w:spacing w:after="0" w:line="276" w:lineRule="auto"/>
        <w:contextualSpacing/>
        <w:jc w:val="both"/>
        <w:rPr>
          <w:rFonts w:ascii="Verdana" w:eastAsia="Times New Roman" w:hAnsi="Verdana" w:cs="Arial"/>
          <w:szCs w:val="24"/>
          <w:lang w:val="es-ES_tradnl" w:eastAsia="es-ES_tradnl"/>
        </w:rPr>
      </w:pPr>
    </w:p>
    <w:p w14:paraId="10075458" w14:textId="77777777" w:rsidR="00187855" w:rsidRPr="00CC5C68" w:rsidRDefault="00187855" w:rsidP="00187855">
      <w:pPr>
        <w:tabs>
          <w:tab w:val="left" w:pos="0"/>
          <w:tab w:val="left" w:pos="284"/>
        </w:tabs>
        <w:spacing w:after="0" w:line="276" w:lineRule="auto"/>
        <w:contextualSpacing/>
        <w:jc w:val="both"/>
        <w:rPr>
          <w:rFonts w:ascii="Verdana" w:eastAsia="Calibri" w:hAnsi="Verdana" w:cs="Arial"/>
          <w:b/>
          <w:lang w:val="es-ES_tradnl"/>
        </w:rPr>
      </w:pPr>
      <w:r w:rsidRPr="00CC5C68">
        <w:rPr>
          <w:rFonts w:ascii="Verdana" w:eastAsia="Calibri" w:hAnsi="Verdana" w:cs="Arial"/>
          <w:b/>
          <w:lang w:val="es-ES_tradnl"/>
        </w:rPr>
        <w:t>1. Problema planteado:</w:t>
      </w:r>
    </w:p>
    <w:p w14:paraId="043B5DEF" w14:textId="77777777" w:rsidR="00187855" w:rsidRPr="00CC5C68" w:rsidRDefault="00187855" w:rsidP="00187855">
      <w:pPr>
        <w:tabs>
          <w:tab w:val="left" w:pos="0"/>
          <w:tab w:val="left" w:pos="284"/>
        </w:tabs>
        <w:spacing w:after="0" w:line="276" w:lineRule="auto"/>
        <w:contextualSpacing/>
        <w:jc w:val="both"/>
        <w:rPr>
          <w:rFonts w:ascii="Verdana" w:eastAsia="Calibri" w:hAnsi="Verdana" w:cs="Arial"/>
          <w:b/>
          <w:lang w:val="es-ES_tradnl"/>
        </w:rPr>
      </w:pPr>
    </w:p>
    <w:p w14:paraId="748F4282" w14:textId="6D7F51FE" w:rsidR="00187855" w:rsidRPr="00CC5C68" w:rsidRDefault="00187855" w:rsidP="005C7B28">
      <w:pPr>
        <w:spacing w:after="0" w:line="276" w:lineRule="auto"/>
        <w:jc w:val="both"/>
        <w:rPr>
          <w:rFonts w:ascii="Verdana" w:eastAsia="Century Gothic" w:hAnsi="Verdana" w:cs="Century Gothic"/>
        </w:rPr>
      </w:pPr>
      <w:r w:rsidRPr="00CC5C68">
        <w:rPr>
          <w:rFonts w:ascii="Verdana" w:eastAsia="Century Gothic" w:hAnsi="Verdana" w:cs="Century Gothic"/>
        </w:rPr>
        <w:t>De acuerdo con el contenido de su solicitud, esta Agencia resolverá el siguiente problema jurídico: ¿</w:t>
      </w:r>
      <w:r w:rsidR="007E5CBA">
        <w:rPr>
          <w:rFonts w:ascii="Verdana" w:eastAsia="Century Gothic" w:hAnsi="Verdana" w:cs="Century Gothic"/>
        </w:rPr>
        <w:t>La</w:t>
      </w:r>
      <w:r w:rsidR="00BA2DB8">
        <w:rPr>
          <w:rFonts w:ascii="Verdana" w:eastAsia="Century Gothic" w:hAnsi="Verdana" w:cs="Century Gothic"/>
        </w:rPr>
        <w:t xml:space="preserve"> restricción</w:t>
      </w:r>
      <w:r w:rsidR="007E5CBA">
        <w:rPr>
          <w:rFonts w:ascii="Verdana" w:eastAsia="Century Gothic" w:hAnsi="Verdana" w:cs="Century Gothic"/>
        </w:rPr>
        <w:t xml:space="preserve"> a la contratación directa de la Ley de garantías</w:t>
      </w:r>
      <w:r w:rsidR="00BA2DB8">
        <w:rPr>
          <w:rFonts w:ascii="Verdana" w:eastAsia="Century Gothic" w:hAnsi="Verdana" w:cs="Century Gothic"/>
        </w:rPr>
        <w:t xml:space="preserve"> aplica a</w:t>
      </w:r>
      <w:r w:rsidR="00DA68B5">
        <w:rPr>
          <w:rFonts w:ascii="Verdana" w:eastAsia="Century Gothic" w:hAnsi="Verdana" w:cs="Century Gothic"/>
        </w:rPr>
        <w:t>l contrato de arrendamiento</w:t>
      </w:r>
      <w:r>
        <w:rPr>
          <w:rFonts w:ascii="Verdana" w:eastAsia="Century Gothic" w:hAnsi="Verdana" w:cs="Century Gothic"/>
        </w:rPr>
        <w:t>?</w:t>
      </w:r>
    </w:p>
    <w:p w14:paraId="36F76745" w14:textId="77777777" w:rsidR="00187855" w:rsidRPr="007E5CBA" w:rsidRDefault="00187855" w:rsidP="00187855">
      <w:pPr>
        <w:spacing w:after="0" w:line="276" w:lineRule="auto"/>
        <w:ind w:firstLine="709"/>
        <w:jc w:val="both"/>
        <w:rPr>
          <w:rFonts w:ascii="Verdana" w:eastAsia="Calibri" w:hAnsi="Verdana" w:cs="Arial"/>
          <w:lang w:eastAsia="es-ES_tradnl"/>
        </w:rPr>
      </w:pPr>
    </w:p>
    <w:p w14:paraId="4C41873A" w14:textId="77777777" w:rsidR="00187855" w:rsidRPr="00CC5C68" w:rsidRDefault="00187855" w:rsidP="00187855">
      <w:pPr>
        <w:tabs>
          <w:tab w:val="left" w:pos="142"/>
          <w:tab w:val="left" w:pos="284"/>
        </w:tabs>
        <w:spacing w:after="0" w:line="276" w:lineRule="auto"/>
        <w:jc w:val="both"/>
        <w:rPr>
          <w:rFonts w:ascii="Verdana" w:eastAsia="Century Gothic" w:hAnsi="Verdana" w:cs="Century Gothic"/>
          <w:b/>
          <w:bCs/>
        </w:rPr>
      </w:pPr>
      <w:r w:rsidRPr="00CC5C68">
        <w:rPr>
          <w:rFonts w:ascii="Verdana" w:eastAsia="Century Gothic" w:hAnsi="Verdana" w:cs="Century Gothic"/>
          <w:b/>
          <w:bCs/>
        </w:rPr>
        <w:t>2. Respuesta:</w:t>
      </w:r>
    </w:p>
    <w:p w14:paraId="08ED88A7" w14:textId="77777777" w:rsidR="00187855" w:rsidRPr="00CC5C68" w:rsidRDefault="00187855" w:rsidP="00187855">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87855" w:rsidRPr="00CC5C68" w14:paraId="67340F2A" w14:textId="77777777" w:rsidTr="00E075F9">
        <w:tc>
          <w:tcPr>
            <w:tcW w:w="8828" w:type="dxa"/>
          </w:tcPr>
          <w:p w14:paraId="107FF8C5" w14:textId="77777777" w:rsidR="00820CE0" w:rsidRDefault="00820CE0" w:rsidP="00E075F9">
            <w:pPr>
              <w:spacing w:after="120" w:line="276" w:lineRule="auto"/>
              <w:jc w:val="both"/>
              <w:rPr>
                <w:rFonts w:ascii="Verdana" w:eastAsia="Times New Roman" w:hAnsi="Verdana" w:cs="Arial"/>
                <w:lang w:eastAsia="x-none"/>
              </w:rPr>
            </w:pPr>
            <w:bookmarkStart w:id="0" w:name="_Hlk78818702"/>
            <w:r>
              <w:rPr>
                <w:rFonts w:ascii="Verdana" w:eastAsia="Times New Roman" w:hAnsi="Verdana" w:cs="Arial"/>
                <w:lang w:eastAsia="x-none"/>
              </w:rPr>
              <w:t>L</w:t>
            </w:r>
            <w:r w:rsidRPr="00F02C5A">
              <w:rPr>
                <w:rFonts w:ascii="Verdana" w:eastAsia="Times New Roman" w:hAnsi="Verdana" w:cs="Arial"/>
                <w:lang w:eastAsia="x-none"/>
              </w:rPr>
              <w:t xml:space="preserve">a prohibición del artículo 33 de la Ley de Garantías Electorales se refiere a </w:t>
            </w:r>
            <w:r w:rsidRPr="00F02C5A">
              <w:rPr>
                <w:rFonts w:ascii="Verdana" w:eastAsia="Times New Roman" w:hAnsi="Verdana" w:cs="Arial"/>
                <w:sz w:val="19"/>
                <w:szCs w:val="19"/>
                <w:lang w:eastAsia="en-GB"/>
              </w:rPr>
              <w:t>“</w:t>
            </w:r>
            <w:r w:rsidRPr="00F02C5A">
              <w:rPr>
                <w:rFonts w:ascii="Verdana" w:eastAsia="Times New Roman" w:hAnsi="Verdana" w:cs="Arial"/>
                <w:lang w:eastAsia="x-none"/>
              </w:rPr>
              <w:t>cualquier sistema que no implique convocatoria pública y posibilidad de pluralidad de oferentes</w:t>
            </w:r>
            <w:r w:rsidRPr="00F02C5A">
              <w:rPr>
                <w:rFonts w:ascii="Verdana" w:eastAsia="Times New Roman" w:hAnsi="Verdana" w:cs="Arial"/>
                <w:lang w:eastAsia="en-GB"/>
              </w:rPr>
              <w:t>”</w:t>
            </w:r>
            <w:r w:rsidRPr="00F02C5A">
              <w:rPr>
                <w:rFonts w:ascii="Verdana" w:eastAsia="Times New Roman" w:hAnsi="Verdana" w:cs="Arial"/>
                <w:lang w:eastAsia="x-none"/>
              </w:rPr>
              <w:t>, por lo que excluye las demás modalidades de contratación previstas en la Ley 1150 de 2007, es decir, la licitación pública, la selección abreviada y el concurso de méritos u otros previstos en normas especiales.</w:t>
            </w:r>
            <w:bookmarkEnd w:id="0"/>
          </w:p>
          <w:p w14:paraId="1BA01436" w14:textId="3C2C7928" w:rsidR="00820CE0" w:rsidRPr="00D73F00" w:rsidRDefault="00221280" w:rsidP="00800158">
            <w:pPr>
              <w:spacing w:after="120" w:line="276" w:lineRule="auto"/>
              <w:jc w:val="both"/>
              <w:rPr>
                <w:rFonts w:ascii="Verdana" w:eastAsia="Times New Roman" w:hAnsi="Verdana" w:cs="Arial"/>
                <w:lang w:eastAsia="x-none"/>
              </w:rPr>
            </w:pPr>
            <w:r>
              <w:rPr>
                <w:rFonts w:ascii="Verdana" w:eastAsia="Times New Roman" w:hAnsi="Verdana" w:cs="Arial"/>
                <w:lang w:eastAsia="x-none"/>
              </w:rPr>
              <w:t>Por tanto, teniendo en cuenta que</w:t>
            </w:r>
            <w:r w:rsidR="007A3886">
              <w:rPr>
                <w:rFonts w:ascii="Verdana" w:eastAsia="Times New Roman" w:hAnsi="Verdana" w:cs="Arial"/>
                <w:lang w:eastAsia="x-none"/>
              </w:rPr>
              <w:t xml:space="preserve"> </w:t>
            </w:r>
            <w:r w:rsidR="00F81DDB" w:rsidRPr="00F81DDB">
              <w:rPr>
                <w:rFonts w:ascii="Verdana" w:eastAsia="Times New Roman" w:hAnsi="Verdana" w:cs="Arial"/>
                <w:lang w:eastAsia="x-none"/>
              </w:rPr>
              <w:t>el literal i) del numeral 4° del artículo 2º de la Ley 1150 de 2007 establece que una de las causales de este procedimiento es: “i) El arrendamiento o adquisición de inmuebles”</w:t>
            </w:r>
            <w:r w:rsidR="00F81DDB">
              <w:rPr>
                <w:rFonts w:ascii="Verdana" w:eastAsia="Times New Roman" w:hAnsi="Verdana" w:cs="Arial"/>
                <w:lang w:eastAsia="x-none"/>
              </w:rPr>
              <w:t>; y a</w:t>
            </w:r>
            <w:r w:rsidR="00F81DDB" w:rsidRPr="00F81DDB">
              <w:rPr>
                <w:rFonts w:ascii="Verdana" w:eastAsia="Times New Roman" w:hAnsi="Verdana" w:cs="Arial"/>
                <w:lang w:eastAsia="x-none"/>
              </w:rPr>
              <w:t>dicionalmente, el artículo 2.2.1.2.1.4.11 del Decreto 1082 de 2015 dispone que las Entidades Estatales pueden alquilar o arrendar inmuebles mediante contratación directa</w:t>
            </w:r>
            <w:r w:rsidR="00A957EA">
              <w:rPr>
                <w:rFonts w:ascii="Verdana" w:eastAsia="Times New Roman" w:hAnsi="Verdana" w:cs="Arial"/>
                <w:lang w:eastAsia="x-none"/>
              </w:rPr>
              <w:t>; esta contratación al ser directa se encuentra cobijada por la prohibición del artículo 33 de la Ley de Garantías Electorales, ya que como se señaló en el párrafo anterior, la prohibición es amplia y aplica a toda la contratación que no implique convocatoria pública.</w:t>
            </w:r>
          </w:p>
        </w:tc>
      </w:tr>
    </w:tbl>
    <w:p w14:paraId="7607889B" w14:textId="77777777" w:rsidR="00187855" w:rsidRPr="00CC5C68" w:rsidRDefault="00187855" w:rsidP="00187855">
      <w:pPr>
        <w:spacing w:after="0" w:line="276" w:lineRule="auto"/>
        <w:contextualSpacing/>
        <w:jc w:val="both"/>
        <w:rPr>
          <w:rFonts w:ascii="Verdana" w:eastAsia="Times New Roman" w:hAnsi="Verdana" w:cs="Arial"/>
          <w:lang w:eastAsia="es-ES_tradnl"/>
        </w:rPr>
      </w:pPr>
    </w:p>
    <w:p w14:paraId="1A109746" w14:textId="77777777" w:rsidR="00187855" w:rsidRPr="00CC5C68" w:rsidRDefault="00187855" w:rsidP="00187855">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CC5C68">
        <w:rPr>
          <w:rFonts w:ascii="Verdana" w:eastAsia="Century Gothic" w:hAnsi="Verdana" w:cs="Century Gothic"/>
          <w:b/>
          <w:bCs/>
        </w:rPr>
        <w:lastRenderedPageBreak/>
        <w:t>3. Razones de la respuesta:</w:t>
      </w:r>
    </w:p>
    <w:p w14:paraId="098820BD" w14:textId="77777777" w:rsidR="00187855" w:rsidRPr="00CC5C68" w:rsidRDefault="00187855" w:rsidP="00187855">
      <w:pPr>
        <w:spacing w:after="0" w:line="276" w:lineRule="auto"/>
        <w:jc w:val="both"/>
        <w:rPr>
          <w:rFonts w:ascii="Verdana" w:eastAsia="Calibri" w:hAnsi="Verdana" w:cs="Arial"/>
          <w:color w:val="7030A0"/>
          <w:lang w:val="es-ES"/>
        </w:rPr>
      </w:pPr>
    </w:p>
    <w:p w14:paraId="465CB100" w14:textId="77777777" w:rsidR="00187855" w:rsidRPr="00CC5C68" w:rsidRDefault="00187855" w:rsidP="00187855">
      <w:pPr>
        <w:spacing w:after="0" w:line="276" w:lineRule="auto"/>
        <w:jc w:val="both"/>
        <w:rPr>
          <w:rFonts w:ascii="Verdana" w:eastAsia="Calibri" w:hAnsi="Verdana" w:cs="Arial"/>
          <w:lang w:val="es-ES"/>
        </w:rPr>
      </w:pPr>
      <w:r w:rsidRPr="00CC5C68">
        <w:rPr>
          <w:rFonts w:ascii="Verdana" w:eastAsia="Calibri" w:hAnsi="Verdana" w:cs="Arial"/>
          <w:lang w:val="es-ES"/>
        </w:rPr>
        <w:t xml:space="preserve">Lo anterior se sustenta en las siguientes consideraciones: </w:t>
      </w:r>
    </w:p>
    <w:p w14:paraId="6CFF2BA2" w14:textId="77777777" w:rsidR="00187855" w:rsidRPr="00CC5C68" w:rsidRDefault="00187855" w:rsidP="00187855">
      <w:pPr>
        <w:spacing w:after="0" w:line="276" w:lineRule="auto"/>
        <w:jc w:val="both"/>
        <w:rPr>
          <w:rFonts w:ascii="Verdana" w:eastAsia="Calibri" w:hAnsi="Verdana" w:cs="Arial"/>
          <w:lang w:val="es-ES"/>
        </w:rPr>
      </w:pPr>
    </w:p>
    <w:p w14:paraId="73B563CD" w14:textId="77777777" w:rsidR="00624B56" w:rsidRPr="00F02C5A" w:rsidRDefault="00624B56" w:rsidP="00624B56">
      <w:pPr>
        <w:spacing w:after="0" w:line="276" w:lineRule="auto"/>
        <w:contextualSpacing/>
        <w:jc w:val="both"/>
        <w:rPr>
          <w:rFonts w:ascii="Verdana" w:eastAsia="Times New Roman" w:hAnsi="Verdana" w:cs="Arial"/>
          <w:lang w:val="es-MX" w:eastAsia="es-CO"/>
        </w:rPr>
      </w:pPr>
      <w:r w:rsidRPr="00F02C5A">
        <w:rPr>
          <w:rFonts w:ascii="Verdana" w:eastAsia="Times New Roman" w:hAnsi="Verdana" w:cs="Arial"/>
          <w:lang w:val="es-MX" w:eastAsia="x-none"/>
        </w:rPr>
        <w:t xml:space="preserve">El ámbito material de la prohibición contenida </w:t>
      </w:r>
      <w:bookmarkStart w:id="1" w:name="_Hlk75628761"/>
      <w:r w:rsidRPr="00F02C5A">
        <w:rPr>
          <w:rFonts w:ascii="Verdana" w:eastAsia="Times New Roman" w:hAnsi="Verdana" w:cs="Arial"/>
          <w:lang w:val="es-MX" w:eastAsia="x-none"/>
        </w:rPr>
        <w:t xml:space="preserve">en el artículo 33 de la Ley 996 de 2005 </w:t>
      </w:r>
      <w:bookmarkEnd w:id="1"/>
      <w:r w:rsidRPr="00F02C5A">
        <w:rPr>
          <w:rFonts w:ascii="Verdana" w:eastAsia="Times New Roman" w:hAnsi="Verdana" w:cs="Arial"/>
          <w:lang w:val="es-MX" w:eastAsia="x-none"/>
        </w:rPr>
        <w:t xml:space="preserve">está delimitado por la expresión </w:t>
      </w:r>
      <w:r w:rsidRPr="00F02C5A">
        <w:rPr>
          <w:rFonts w:ascii="Verdana" w:eastAsia="Calibri" w:hAnsi="Verdana" w:cs="Arial"/>
          <w:sz w:val="20"/>
          <w:szCs w:val="20"/>
          <w:lang w:val="es-MX"/>
        </w:rPr>
        <w:t>“</w:t>
      </w:r>
      <w:r w:rsidRPr="00F02C5A">
        <w:rPr>
          <w:rFonts w:ascii="Verdana" w:eastAsia="Times New Roman" w:hAnsi="Verdana" w:cs="Arial"/>
          <w:lang w:val="es-MX" w:eastAsia="x-none"/>
        </w:rPr>
        <w:t>queda prohibida la contratación directa</w:t>
      </w:r>
      <w:r w:rsidRPr="00F02C5A">
        <w:rPr>
          <w:rFonts w:ascii="Verdana" w:eastAsia="Calibri" w:hAnsi="Verdana" w:cs="Arial"/>
          <w:sz w:val="20"/>
          <w:szCs w:val="20"/>
          <w:lang w:val="es-MX"/>
        </w:rPr>
        <w:t>”</w:t>
      </w:r>
      <w:r w:rsidRPr="00F02C5A">
        <w:rPr>
          <w:rFonts w:ascii="Verdana" w:eastAsia="Times New Roman" w:hAnsi="Verdana" w:cs="Arial"/>
          <w:lang w:val="es-MX" w:eastAsia="x-none"/>
        </w:rPr>
        <w:t>.</w:t>
      </w:r>
      <w:r w:rsidRPr="00F02C5A">
        <w:rPr>
          <w:rFonts w:ascii="Verdana" w:eastAsia="Times New Roman" w:hAnsi="Verdana" w:cs="Arial"/>
          <w:lang w:val="es-MX" w:eastAsia="es-CO"/>
        </w:rPr>
        <w:t xml:space="preserve"> A propósito de </w:t>
      </w:r>
      <w:r w:rsidRPr="00F02C5A">
        <w:rPr>
          <w:rFonts w:ascii="Verdana" w:eastAsia="Times New Roman" w:hAnsi="Verdana" w:cs="Arial"/>
          <w:lang w:eastAsia="es-CO"/>
        </w:rPr>
        <w:t>esta restricción de la Ley de Garantías Electorales, la Sala de Consulta y Servicio Civil del Consejo de Estado ha considerado que:</w:t>
      </w:r>
    </w:p>
    <w:p w14:paraId="10C29D9F" w14:textId="77777777" w:rsidR="00624B56" w:rsidRPr="00F02C5A" w:rsidRDefault="00624B56" w:rsidP="00624B56">
      <w:pPr>
        <w:spacing w:after="0" w:line="276" w:lineRule="auto"/>
        <w:ind w:left="708" w:right="709"/>
        <w:contextualSpacing/>
        <w:jc w:val="both"/>
        <w:rPr>
          <w:rFonts w:ascii="Verdana" w:eastAsia="Calibri" w:hAnsi="Verdana" w:cs="Arial"/>
          <w:sz w:val="21"/>
          <w:szCs w:val="21"/>
          <w:lang w:val="es-MX"/>
        </w:rPr>
      </w:pPr>
    </w:p>
    <w:p w14:paraId="152590D7" w14:textId="77777777" w:rsidR="00624B56" w:rsidRPr="00F02C5A" w:rsidRDefault="00624B56" w:rsidP="00624B56">
      <w:pPr>
        <w:spacing w:after="0" w:line="240" w:lineRule="auto"/>
        <w:ind w:left="709" w:right="709"/>
        <w:contextualSpacing/>
        <w:jc w:val="both"/>
        <w:rPr>
          <w:rFonts w:ascii="Verdana" w:eastAsia="Calibri" w:hAnsi="Verdana" w:cs="Arial"/>
          <w:sz w:val="21"/>
          <w:szCs w:val="21"/>
          <w:lang w:val="es-MX"/>
        </w:rPr>
      </w:pPr>
      <w:r w:rsidRPr="00F02C5A">
        <w:rPr>
          <w:rFonts w:ascii="Verdana" w:eastAsia="Calibri" w:hAnsi="Verdana" w:cs="Arial"/>
          <w:sz w:val="21"/>
          <w:szCs w:val="21"/>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F02C5A">
        <w:rPr>
          <w:rFonts w:ascii="Verdana" w:eastAsia="Times New Roman" w:hAnsi="Verdana" w:cs="Arial"/>
          <w:vertAlign w:val="superscript"/>
          <w:lang w:eastAsia="es-CO"/>
        </w:rPr>
        <w:footnoteReference w:id="1"/>
      </w:r>
      <w:r w:rsidRPr="00F02C5A">
        <w:rPr>
          <w:rFonts w:ascii="Verdana" w:eastAsia="Calibri" w:hAnsi="Verdana" w:cs="Arial"/>
          <w:sz w:val="21"/>
          <w:szCs w:val="21"/>
          <w:lang w:val="es-MX"/>
        </w:rPr>
        <w:t>.</w:t>
      </w:r>
    </w:p>
    <w:p w14:paraId="5D3244CC" w14:textId="77777777" w:rsidR="00624B56" w:rsidRPr="00F02C5A" w:rsidRDefault="00624B56" w:rsidP="00624B56">
      <w:pPr>
        <w:spacing w:after="0" w:line="240" w:lineRule="auto"/>
        <w:ind w:left="709" w:right="709"/>
        <w:contextualSpacing/>
        <w:jc w:val="both"/>
        <w:rPr>
          <w:rFonts w:ascii="Verdana" w:eastAsia="Calibri" w:hAnsi="Verdana" w:cs="Arial"/>
          <w:sz w:val="12"/>
          <w:szCs w:val="12"/>
          <w:lang w:val="es-MX"/>
        </w:rPr>
      </w:pPr>
    </w:p>
    <w:p w14:paraId="6C8624E4" w14:textId="77777777" w:rsidR="00624B56" w:rsidRPr="00F02C5A" w:rsidRDefault="00624B56" w:rsidP="00624B56">
      <w:pPr>
        <w:spacing w:after="0" w:line="240" w:lineRule="auto"/>
        <w:ind w:left="708" w:right="709"/>
        <w:contextualSpacing/>
        <w:jc w:val="both"/>
        <w:rPr>
          <w:rFonts w:ascii="Verdana" w:eastAsia="Calibri" w:hAnsi="Verdana" w:cs="Arial"/>
          <w:sz w:val="21"/>
          <w:szCs w:val="21"/>
          <w:lang w:val="es-MX"/>
        </w:rPr>
      </w:pPr>
      <w:r w:rsidRPr="00F02C5A">
        <w:rPr>
          <w:rFonts w:ascii="Verdana" w:eastAsia="Calibri" w:hAnsi="Verdana" w:cs="Arial"/>
          <w:sz w:val="21"/>
          <w:szCs w:val="21"/>
          <w:lang w:val="es-MX"/>
        </w:rPr>
        <w:t xml:space="preserve">Esta Sala ha entendido </w:t>
      </w:r>
      <w:proofErr w:type="gramStart"/>
      <w:r w:rsidRPr="00F02C5A">
        <w:rPr>
          <w:rFonts w:ascii="Verdana" w:eastAsia="Calibri" w:hAnsi="Verdana" w:cs="Arial"/>
          <w:sz w:val="21"/>
          <w:szCs w:val="21"/>
          <w:lang w:val="es-MX"/>
        </w:rPr>
        <w:t>que</w:t>
      </w:r>
      <w:proofErr w:type="gramEnd"/>
      <w:r w:rsidRPr="00F02C5A">
        <w:rPr>
          <w:rFonts w:ascii="Verdana" w:eastAsia="Calibri" w:hAnsi="Verdana" w:cs="Arial"/>
          <w:sz w:val="21"/>
          <w:szCs w:val="21"/>
          <w:lang w:val="es-MX"/>
        </w:rPr>
        <w:t xml:space="preserve"> para los efectos de la ley de garantías, y dada su finalidad, el enunciado ´contratación directa´ es sinónimo </w:t>
      </w:r>
      <w:bookmarkStart w:id="2" w:name="_Hlk75741738"/>
      <w:r w:rsidRPr="00F02C5A">
        <w:rPr>
          <w:rFonts w:ascii="Verdana" w:eastAsia="Calibri" w:hAnsi="Verdana" w:cs="Arial"/>
          <w:sz w:val="21"/>
          <w:szCs w:val="21"/>
          <w:lang w:val="es-MX"/>
        </w:rPr>
        <w:t xml:space="preserve">de cualquier sistema que no implique convocatoria pública y posibilidad de pluralidad de oferentes, </w:t>
      </w:r>
      <w:bookmarkEnd w:id="2"/>
      <w:r w:rsidRPr="00F02C5A">
        <w:rPr>
          <w:rFonts w:ascii="Verdana" w:eastAsia="Calibri" w:hAnsi="Verdana" w:cs="Arial"/>
          <w:sz w:val="21"/>
          <w:szCs w:val="21"/>
          <w:lang w:val="es-MX"/>
        </w:rPr>
        <w:t>y que, además, no necesariamente hace referencia al procedimiento especial regulado por la ley de contratación estatal, sino a cualquier otro que prescinda de un proceso de licitación pública o concurso</w:t>
      </w:r>
      <w:r w:rsidRPr="00F02C5A">
        <w:rPr>
          <w:rFonts w:ascii="Verdana" w:eastAsia="Times New Roman" w:hAnsi="Verdana" w:cs="Arial"/>
          <w:sz w:val="21"/>
          <w:szCs w:val="21"/>
          <w:vertAlign w:val="superscript"/>
          <w:lang w:val="es-MX"/>
        </w:rPr>
        <w:footnoteReference w:id="2"/>
      </w:r>
      <w:r w:rsidRPr="00F02C5A">
        <w:rPr>
          <w:rFonts w:ascii="Verdana" w:eastAsia="Times New Roman" w:hAnsi="Verdana" w:cs="Arial"/>
          <w:sz w:val="21"/>
          <w:szCs w:val="21"/>
          <w:vertAlign w:val="superscript"/>
          <w:lang w:val="es-MX"/>
        </w:rPr>
        <w:t>.</w:t>
      </w:r>
      <w:r w:rsidRPr="00F02C5A">
        <w:rPr>
          <w:rFonts w:ascii="Verdana" w:eastAsia="Calibri" w:hAnsi="Verdana" w:cs="Arial"/>
          <w:sz w:val="21"/>
          <w:szCs w:val="21"/>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F02C5A">
        <w:rPr>
          <w:rFonts w:ascii="Verdana" w:eastAsia="Times New Roman" w:hAnsi="Verdana" w:cs="Arial"/>
          <w:vertAlign w:val="superscript"/>
          <w:lang w:eastAsia="es-CO"/>
        </w:rPr>
        <w:footnoteReference w:id="3"/>
      </w:r>
      <w:r w:rsidRPr="00F02C5A">
        <w:rPr>
          <w:rFonts w:ascii="Verdana" w:eastAsia="Calibri" w:hAnsi="Verdana" w:cs="Arial"/>
          <w:sz w:val="21"/>
          <w:szCs w:val="21"/>
          <w:lang w:val="es-MX"/>
        </w:rPr>
        <w:t xml:space="preserve"> .</w:t>
      </w:r>
    </w:p>
    <w:p w14:paraId="71423669" w14:textId="77777777" w:rsidR="00624B56" w:rsidRPr="00F02C5A" w:rsidRDefault="00624B56" w:rsidP="00624B56">
      <w:pPr>
        <w:shd w:val="clear" w:color="auto" w:fill="FFFFFF"/>
        <w:spacing w:after="0" w:line="276" w:lineRule="auto"/>
        <w:ind w:firstLine="709"/>
        <w:contextualSpacing/>
        <w:jc w:val="both"/>
        <w:rPr>
          <w:rFonts w:ascii="Verdana" w:eastAsia="Times New Roman" w:hAnsi="Verdana" w:cs="Arial"/>
          <w:lang w:eastAsia="x-none"/>
        </w:rPr>
      </w:pPr>
    </w:p>
    <w:p w14:paraId="142E5674" w14:textId="77777777" w:rsidR="00624B56" w:rsidRPr="00F02C5A" w:rsidRDefault="00624B56" w:rsidP="00624B56">
      <w:pPr>
        <w:spacing w:after="120" w:line="276" w:lineRule="auto"/>
        <w:ind w:firstLine="709"/>
        <w:jc w:val="both"/>
        <w:rPr>
          <w:rFonts w:ascii="Verdana" w:eastAsia="Times New Roman" w:hAnsi="Verdana" w:cs="Arial"/>
          <w:lang w:eastAsia="x-none"/>
        </w:rPr>
      </w:pPr>
      <w:bookmarkStart w:id="4" w:name="_Hlk94521748"/>
      <w:r w:rsidRPr="00F02C5A">
        <w:rPr>
          <w:rFonts w:ascii="Verdana" w:eastAsia="Times New Roman" w:hAnsi="Verdana" w:cs="Arial"/>
          <w:lang w:eastAsia="x-none"/>
        </w:rPr>
        <w:t xml:space="preserve">De conformidad con el citado concepto, la prohibición del artículo 33 de la Ley de Garantías Electorales se refiere a </w:t>
      </w:r>
      <w:r w:rsidRPr="00F02C5A">
        <w:rPr>
          <w:rFonts w:ascii="Verdana" w:eastAsia="Times New Roman" w:hAnsi="Verdana" w:cs="Arial"/>
          <w:sz w:val="19"/>
          <w:szCs w:val="19"/>
          <w:lang w:eastAsia="en-GB"/>
        </w:rPr>
        <w:t>“</w:t>
      </w:r>
      <w:r w:rsidRPr="00F02C5A">
        <w:rPr>
          <w:rFonts w:ascii="Verdana" w:eastAsia="Times New Roman" w:hAnsi="Verdana" w:cs="Arial"/>
          <w:lang w:eastAsia="x-none"/>
        </w:rPr>
        <w:t>cualquier sistema que no implique convocatoria pública y posibilidad de pluralidad de oferentes</w:t>
      </w:r>
      <w:r w:rsidRPr="00F02C5A">
        <w:rPr>
          <w:rFonts w:ascii="Verdana" w:eastAsia="Times New Roman" w:hAnsi="Verdana" w:cs="Arial"/>
          <w:lang w:eastAsia="en-GB"/>
        </w:rPr>
        <w:t>”</w:t>
      </w:r>
      <w:r w:rsidRPr="00F02C5A">
        <w:rPr>
          <w:rFonts w:ascii="Verdana" w:eastAsia="Times New Roman" w:hAnsi="Verdana" w:cs="Arial"/>
          <w:lang w:eastAsia="x-none"/>
        </w:rPr>
        <w:t xml:space="preserve">, por lo que excluye las demás modalidades de contratación previstas en la Ley 1150 de 2007, es decir, la licitación pública, la selección abreviada y el concurso de méritos u otros </w:t>
      </w:r>
      <w:r w:rsidRPr="00F02C5A">
        <w:rPr>
          <w:rFonts w:ascii="Verdana" w:eastAsia="Times New Roman" w:hAnsi="Verdana" w:cs="Arial"/>
          <w:lang w:eastAsia="x-none"/>
        </w:rPr>
        <w:lastRenderedPageBreak/>
        <w:t xml:space="preserve">previstos en normas especiales. </w:t>
      </w:r>
      <w:bookmarkEnd w:id="4"/>
      <w:r w:rsidRPr="00F02C5A">
        <w:rPr>
          <w:rFonts w:ascii="Verdana" w:eastAsia="Times New Roman" w:hAnsi="Verdana" w:cs="Arial"/>
          <w:lang w:eastAsia="x-none"/>
        </w:rPr>
        <w:t>Esta posición es congruente con la expedición de la Ley 1150 de 2007 que, entre otras reformas, introdujo la selección abreviada, rediseñó el concurso de méritos</w:t>
      </w:r>
      <w:r w:rsidRPr="00F02C5A">
        <w:rPr>
          <w:rFonts w:ascii="Verdana" w:eastAsia="Times New Roman" w:hAnsi="Verdana" w:cs="Arial"/>
          <w:vertAlign w:val="superscript"/>
          <w:lang w:val="en-GB" w:eastAsia="x-none"/>
        </w:rPr>
        <w:footnoteReference w:id="4"/>
      </w:r>
      <w:r w:rsidRPr="00F02C5A">
        <w:rPr>
          <w:rFonts w:ascii="Verdana" w:eastAsia="Times New Roman" w:hAnsi="Verdana" w:cs="Arial"/>
          <w:lang w:eastAsia="x-none"/>
        </w:rPr>
        <w:t xml:space="preserve"> y sistematizó las causales de contratación directa</w:t>
      </w:r>
      <w:r w:rsidRPr="00F02C5A">
        <w:rPr>
          <w:rFonts w:ascii="Verdana" w:eastAsia="Times New Roman" w:hAnsi="Verdana" w:cs="Arial"/>
          <w:vertAlign w:val="superscript"/>
          <w:lang w:val="en-GB" w:eastAsia="x-none"/>
        </w:rPr>
        <w:footnoteReference w:id="5"/>
      </w:r>
      <w:r w:rsidRPr="00F02C5A">
        <w:rPr>
          <w:rFonts w:ascii="Verdana" w:eastAsia="Times New Roman" w:hAnsi="Verdana" w:cs="Arial"/>
          <w:lang w:eastAsia="x-none"/>
        </w:rPr>
        <w:t xml:space="preserve">. </w:t>
      </w:r>
    </w:p>
    <w:p w14:paraId="50B760CE" w14:textId="77777777" w:rsidR="00624B56" w:rsidRPr="00F02C5A" w:rsidRDefault="00624B56" w:rsidP="00624B56">
      <w:pPr>
        <w:spacing w:after="120" w:line="276" w:lineRule="auto"/>
        <w:ind w:firstLine="709"/>
        <w:jc w:val="both"/>
        <w:rPr>
          <w:rFonts w:ascii="Verdana" w:eastAsia="Times New Roman" w:hAnsi="Verdana" w:cs="Arial"/>
          <w:lang w:val="es-MX" w:eastAsia="x-none"/>
        </w:rPr>
      </w:pPr>
      <w:r w:rsidRPr="00F02C5A">
        <w:rPr>
          <w:rFonts w:ascii="Verdana" w:eastAsia="Times New Roman" w:hAnsi="Verdana" w:cs="Arial"/>
          <w:lang w:eastAsia="x-none"/>
        </w:rPr>
        <w:t xml:space="preserve">De esta forma, se ha depurado la noción de </w:t>
      </w:r>
      <w:r w:rsidRPr="00F02C5A">
        <w:rPr>
          <w:rFonts w:ascii="Verdana" w:eastAsia="Times New Roman" w:hAnsi="Verdana" w:cs="Arial"/>
          <w:sz w:val="19"/>
          <w:szCs w:val="19"/>
          <w:lang w:eastAsia="en-GB"/>
        </w:rPr>
        <w:t>“</w:t>
      </w:r>
      <w:r w:rsidRPr="00F02C5A">
        <w:rPr>
          <w:rFonts w:ascii="Verdana" w:eastAsia="Times New Roman" w:hAnsi="Verdana" w:cs="Arial"/>
          <w:lang w:eastAsia="x-none"/>
        </w:rPr>
        <w:t>contratación directa</w:t>
      </w:r>
      <w:r w:rsidRPr="00F02C5A">
        <w:rPr>
          <w:rFonts w:ascii="Verdana" w:eastAsia="Times New Roman" w:hAnsi="Verdana" w:cs="Arial"/>
          <w:lang w:eastAsia="en-GB"/>
        </w:rPr>
        <w:t>”</w:t>
      </w:r>
      <w:r w:rsidRPr="00F02C5A">
        <w:rPr>
          <w:rFonts w:ascii="Verdana" w:eastAsia="Times New Roman"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F02C5A">
        <w:rPr>
          <w:rFonts w:ascii="Verdana" w:eastAsia="Times New Roman" w:hAnsi="Verdana" w:cs="Arial"/>
          <w:vertAlign w:val="superscript"/>
          <w:lang w:val="en-GB" w:eastAsia="x-none"/>
        </w:rPr>
        <w:footnoteReference w:id="6"/>
      </w:r>
      <w:r w:rsidRPr="00F02C5A">
        <w:rPr>
          <w:rFonts w:ascii="Verdana" w:eastAsia="Times New Roman" w:hAnsi="Verdana" w:cs="Arial"/>
          <w:lang w:eastAsia="x-none"/>
        </w:rPr>
        <w:t>, han establecido sistemas de contratación que implican convocatoria pública y participación de varios oferentes</w:t>
      </w:r>
      <w:r w:rsidRPr="00F02C5A">
        <w:rPr>
          <w:rFonts w:ascii="Verdana" w:eastAsia="Times New Roman" w:hAnsi="Verdana" w:cs="Arial"/>
          <w:lang w:eastAsia="en-GB"/>
        </w:rPr>
        <w:t>”</w:t>
      </w:r>
      <w:r w:rsidRPr="00F02C5A">
        <w:rPr>
          <w:rFonts w:ascii="Verdana" w:eastAsia="Times New Roman" w:hAnsi="Verdana" w:cs="Arial"/>
          <w:lang w:eastAsia="x-none"/>
        </w:rPr>
        <w:t xml:space="preserve">. </w:t>
      </w:r>
    </w:p>
    <w:p w14:paraId="26098F50" w14:textId="77777777" w:rsidR="00624B56" w:rsidRPr="00F02C5A" w:rsidRDefault="00624B56" w:rsidP="00624B56">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x-none"/>
        </w:rPr>
        <w:t>E</w:t>
      </w:r>
      <w:r w:rsidRPr="00F02C5A">
        <w:rPr>
          <w:rFonts w:ascii="Verdana" w:eastAsia="Times New Roman" w:hAnsi="Verdana" w:cs="Arial"/>
          <w:lang w:eastAsia="x-none"/>
        </w:rPr>
        <w:t xml:space="preserve">n efecto, vale la pena mencionar que, </w:t>
      </w:r>
      <w:bookmarkStart w:id="5" w:name="_Hlk75636073"/>
      <w:r w:rsidRPr="00F02C5A">
        <w:rPr>
          <w:rFonts w:ascii="Verdana" w:eastAsia="Times New Roman" w:hAnsi="Verdana" w:cs="Arial"/>
          <w:lang w:eastAsia="x-none"/>
        </w:rPr>
        <w:t>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bookmarkEnd w:id="5"/>
      <w:r w:rsidRPr="00F02C5A">
        <w:rPr>
          <w:rFonts w:ascii="Verdana" w:eastAsia="Times New Roman" w:hAnsi="Verdana" w:cs="Arial"/>
          <w:vertAlign w:val="superscript"/>
          <w:lang w:eastAsia="x-none"/>
        </w:rPr>
        <w:footnoteReference w:id="7"/>
      </w:r>
      <w:r w:rsidRPr="00F02C5A">
        <w:rPr>
          <w:rFonts w:ascii="Verdana" w:eastAsia="Times New Roman" w:hAnsi="Verdana" w:cs="Arial"/>
          <w:lang w:eastAsia="x-none"/>
        </w:rPr>
        <w:t xml:space="preserve">. </w:t>
      </w:r>
    </w:p>
    <w:p w14:paraId="57CBA6AF" w14:textId="77777777" w:rsidR="00624B56" w:rsidRPr="00F02C5A" w:rsidRDefault="00624B56" w:rsidP="00624B56">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es-CO"/>
        </w:rPr>
        <w:t xml:space="preserve">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 sino también frente a las entidades que tengan un régimen especial de contratación. No obstante, también se observa que luego </w:t>
      </w:r>
      <w:r w:rsidRPr="00F02C5A">
        <w:rPr>
          <w:rFonts w:ascii="Verdana" w:eastAsia="Times New Roman" w:hAnsi="Verdana" w:cs="Arial"/>
          <w:lang w:val="es-MX" w:eastAsia="es-CO"/>
        </w:rPr>
        <w:lastRenderedPageBreak/>
        <w:t>de la expedición de Ley 1150 de 2007, el Consejo de Estado comenzó a delimitar con mayor precisión el término de “contratación directa”.</w:t>
      </w:r>
    </w:p>
    <w:p w14:paraId="3AC67160" w14:textId="77777777" w:rsidR="00624B56" w:rsidRPr="00F02C5A" w:rsidRDefault="00624B56" w:rsidP="00624B56">
      <w:pPr>
        <w:spacing w:after="120" w:line="276" w:lineRule="auto"/>
        <w:ind w:firstLine="709"/>
        <w:jc w:val="both"/>
        <w:rPr>
          <w:rFonts w:ascii="Verdana" w:eastAsia="Times New Roman" w:hAnsi="Verdana" w:cs="Arial"/>
          <w:lang w:val="es-MX" w:eastAsia="x-none"/>
        </w:rPr>
      </w:pPr>
      <w:bookmarkStart w:id="6" w:name="_Hlk78818796"/>
      <w:r w:rsidRPr="00F02C5A">
        <w:rPr>
          <w:rFonts w:ascii="Verdana" w:eastAsia="Times New Roman" w:hAnsi="Verdana" w:cs="Arial"/>
          <w:lang w:val="es-MX" w:eastAsia="x-none"/>
        </w:rPr>
        <w:t xml:space="preserve"> Así las cosas, </w:t>
      </w:r>
      <w:bookmarkStart w:id="7" w:name="_Hlk99577798"/>
      <w:r w:rsidRPr="00F02C5A">
        <w:rPr>
          <w:rFonts w:ascii="Verdana" w:eastAsia="Times New Roman" w:hAnsi="Verdana" w:cs="Arial"/>
          <w:lang w:val="es-MX" w:eastAsia="x-none"/>
        </w:rPr>
        <w:t>ha de entenderse que, para los efectos de la Ley de Garantías Electorales y, en particular, para la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F02C5A">
        <w:rPr>
          <w:rFonts w:ascii="Verdana" w:eastAsia="Times New Roman" w:hAnsi="Verdana" w:cs="Arial"/>
          <w:vertAlign w:val="superscript"/>
          <w:lang w:eastAsia="x-none"/>
        </w:rPr>
        <w:footnoteReference w:id="8"/>
      </w:r>
      <w:r w:rsidRPr="00F02C5A">
        <w:rPr>
          <w:rFonts w:ascii="Verdana" w:eastAsia="Times New Roman" w:hAnsi="Verdana" w:cs="Arial"/>
          <w:lang w:val="es-MX" w:eastAsia="x-none"/>
        </w:rPr>
        <w:t>.</w:t>
      </w:r>
      <w:r w:rsidRPr="00F02C5A">
        <w:rPr>
          <w:rFonts w:ascii="Verdana" w:eastAsia="Times New Roman" w:hAnsi="Verdana" w:cs="Arial"/>
          <w:vertAlign w:val="superscript"/>
          <w:lang w:eastAsia="x-none"/>
        </w:rPr>
        <w:t xml:space="preserve"> </w:t>
      </w:r>
    </w:p>
    <w:bookmarkEnd w:id="6"/>
    <w:p w14:paraId="69F835A2" w14:textId="77777777" w:rsidR="00624B56" w:rsidRPr="00F02C5A" w:rsidRDefault="00624B56" w:rsidP="00624B56">
      <w:pPr>
        <w:spacing w:after="120" w:line="276" w:lineRule="auto"/>
        <w:ind w:firstLine="709"/>
        <w:jc w:val="both"/>
        <w:rPr>
          <w:rFonts w:ascii="Verdana" w:eastAsia="Times New Roman" w:hAnsi="Verdana" w:cs="Arial"/>
          <w:lang w:eastAsia="x-none"/>
        </w:rPr>
      </w:pPr>
      <w:r w:rsidRPr="00F02C5A">
        <w:rPr>
          <w:rFonts w:ascii="Verdana" w:eastAsia="Times New Roman" w:hAnsi="Verdana" w:cs="Arial"/>
          <w:lang w:val="es-MX" w:eastAsia="x-none"/>
        </w:rPr>
        <w:t>De lo anterior se desprende que la restricción aplica, sin perjuicio de las excepciones establecidas en la misma ley, para celebrar cualquier contrato de forma directa, esto es, sin que exista un proceso abierto y competitivo.</w:t>
      </w:r>
      <w:r w:rsidRPr="00F02C5A">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722E65CF" w14:textId="77777777" w:rsidR="00624B56" w:rsidRPr="00F02C5A" w:rsidRDefault="00624B56" w:rsidP="00624B56">
      <w:pPr>
        <w:spacing w:after="120" w:line="276" w:lineRule="auto"/>
        <w:ind w:firstLine="709"/>
        <w:jc w:val="both"/>
        <w:rPr>
          <w:rFonts w:ascii="Verdana" w:eastAsia="Times New Roman" w:hAnsi="Verdana" w:cs="Arial"/>
          <w:lang w:val="es-MX" w:eastAsia="x-none"/>
        </w:rPr>
      </w:pPr>
      <w:bookmarkStart w:id="8" w:name="_Hlk77237094"/>
      <w:bookmarkEnd w:id="7"/>
      <w:r w:rsidRPr="00F02C5A">
        <w:rPr>
          <w:rFonts w:ascii="Verdana" w:eastAsia="Times New Roman" w:hAnsi="Verdana" w:cs="Arial"/>
          <w:lang w:val="es-MX" w:eastAsia="es-CO"/>
        </w:rPr>
        <w:t xml:space="preserve">Como en otras oportunidades lo ha manifestado esta Agencia, las prórrogas, modificaciones o adiciones de los contratos suscritos antes de la </w:t>
      </w:r>
      <w:proofErr w:type="gramStart"/>
      <w:r w:rsidRPr="00F02C5A">
        <w:rPr>
          <w:rFonts w:ascii="Verdana" w:eastAsia="Times New Roman" w:hAnsi="Verdana" w:cs="Arial"/>
          <w:lang w:val="es-MX" w:eastAsia="es-CO"/>
        </w:rPr>
        <w:t>entrada en vigencia</w:t>
      </w:r>
      <w:proofErr w:type="gramEnd"/>
      <w:r w:rsidRPr="00F02C5A">
        <w:rPr>
          <w:rFonts w:ascii="Verdana" w:eastAsia="Times New Roman" w:hAnsi="Verdana" w:cs="Arial"/>
          <w:lang w:val="es-MX" w:eastAsia="es-CO"/>
        </w:rPr>
        <w:t xml:space="preserve"> de las prohibiciones anotadas, así como la cesión de </w:t>
      </w:r>
      <w:proofErr w:type="gramStart"/>
      <w:r w:rsidRPr="00F02C5A">
        <w:rPr>
          <w:rFonts w:ascii="Verdana" w:eastAsia="Times New Roman" w:hAnsi="Verdana" w:cs="Arial"/>
          <w:lang w:val="es-MX" w:eastAsia="es-CO"/>
        </w:rPr>
        <w:t>los mismos</w:t>
      </w:r>
      <w:proofErr w:type="gramEnd"/>
      <w:r w:rsidRPr="00F02C5A">
        <w:rPr>
          <w:rFonts w:ascii="Verdana" w:eastAsia="Times New Roman" w:hAnsi="Verdana" w:cs="Arial"/>
          <w:lang w:val="es-MX" w:eastAsia="es-CO"/>
        </w:rPr>
        <w:t>, pueden tener lugar en el período de aplicación de la Ley de Garantías, sin que ello haga nugatoria la restricción de la contratación directa y siempre que cumplan los principios de planeación, transparencia y responsabilidad.</w:t>
      </w:r>
      <w:bookmarkEnd w:id="8"/>
    </w:p>
    <w:p w14:paraId="7904ADDB" w14:textId="77777777" w:rsidR="00624B56" w:rsidRPr="00F02C5A" w:rsidRDefault="00624B56" w:rsidP="00624B56">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x-none"/>
        </w:rPr>
        <w:t xml:space="preserve">De otro lado, </w:t>
      </w:r>
      <w:bookmarkStart w:id="9" w:name="_Hlk99577887"/>
      <w:bookmarkStart w:id="10" w:name="_Hlk100679762"/>
      <w:r w:rsidRPr="00F02C5A">
        <w:rPr>
          <w:rFonts w:ascii="Verdana" w:eastAsia="Times New Roman" w:hAnsi="Verdana" w:cs="Arial"/>
          <w:lang w:val="es-MX" w:eastAsia="x-none"/>
        </w:rPr>
        <w:t xml:space="preserve">las excepciones a la restricción prevista en la Ley de Garantías Electorales,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F02C5A">
        <w:rPr>
          <w:rFonts w:ascii="Verdana" w:eastAsia="Times New Roman" w:hAnsi="Verdana" w:cs="Arial"/>
          <w:lang w:val="es-MX" w:eastAsia="x-none"/>
        </w:rPr>
        <w:t>ii</w:t>
      </w:r>
      <w:proofErr w:type="spellEnd"/>
      <w:r w:rsidRPr="00F02C5A">
        <w:rPr>
          <w:rFonts w:ascii="Verdana" w:eastAsia="Times New Roman" w:hAnsi="Verdana" w:cs="Arial"/>
          <w:lang w:val="es-MX" w:eastAsia="x-none"/>
        </w:rPr>
        <w:t xml:space="preserve">) los contratos de crédito público; </w:t>
      </w:r>
      <w:proofErr w:type="spellStart"/>
      <w:r w:rsidRPr="00F02C5A">
        <w:rPr>
          <w:rFonts w:ascii="Verdana" w:eastAsia="Times New Roman" w:hAnsi="Verdana" w:cs="Arial"/>
          <w:lang w:val="es-MX" w:eastAsia="x-none"/>
        </w:rPr>
        <w:t>iii</w:t>
      </w:r>
      <w:proofErr w:type="spellEnd"/>
      <w:r w:rsidRPr="00F02C5A">
        <w:rPr>
          <w:rFonts w:ascii="Verdana" w:eastAsia="Times New Roman" w:hAnsi="Verdana" w:cs="Arial"/>
          <w:lang w:val="es-MX" w:eastAsia="x-none"/>
        </w:rPr>
        <w:t xml:space="preserve">) los requeridos para cubrir las emergencias educativas, sanitarias y desastres; </w:t>
      </w:r>
      <w:proofErr w:type="spellStart"/>
      <w:r w:rsidRPr="00F02C5A">
        <w:rPr>
          <w:rFonts w:ascii="Verdana" w:eastAsia="Times New Roman" w:hAnsi="Verdana" w:cs="Arial"/>
          <w:lang w:val="es-MX" w:eastAsia="x-none"/>
        </w:rPr>
        <w:t>iv</w:t>
      </w:r>
      <w:proofErr w:type="spellEnd"/>
      <w:r w:rsidRPr="00F02C5A">
        <w:rPr>
          <w:rFonts w:ascii="Verdana" w:eastAsia="Times New Roman" w:hAnsi="Verdana" w:cs="Arial"/>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F02C5A">
        <w:rPr>
          <w:rFonts w:ascii="Verdana" w:eastAsia="Times New Roman" w:hAnsi="Verdana" w:cs="Arial"/>
          <w:lang w:val="es-MX" w:eastAsia="es-CO"/>
        </w:rPr>
        <w:t xml:space="preserve"> Es </w:t>
      </w:r>
      <w:r w:rsidRPr="00F02C5A">
        <w:rPr>
          <w:rFonts w:ascii="Verdana" w:eastAsia="Times New Roman" w:hAnsi="Verdana" w:cs="Arial"/>
          <w:lang w:val="es-MX" w:eastAsia="es-CO"/>
        </w:rPr>
        <w:lastRenderedPageBreak/>
        <w:t>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bookmarkEnd w:id="9"/>
    </w:p>
    <w:bookmarkEnd w:id="10"/>
    <w:p w14:paraId="438EADE8" w14:textId="77777777" w:rsidR="00624B56" w:rsidRDefault="00624B56" w:rsidP="00582479">
      <w:pPr>
        <w:spacing w:after="120" w:line="276" w:lineRule="auto"/>
        <w:ind w:firstLine="709"/>
        <w:jc w:val="both"/>
        <w:rPr>
          <w:rFonts w:ascii="Verdana" w:eastAsia="Times New Roman" w:hAnsi="Verdana" w:cs="Arial"/>
          <w:lang w:val="es-MX" w:eastAsia="x-none"/>
        </w:rPr>
      </w:pPr>
      <w:r w:rsidRPr="00F02C5A">
        <w:rPr>
          <w:rFonts w:ascii="Verdana" w:eastAsia="Times New Roman" w:hAnsi="Verdana" w:cs="Arial"/>
          <w:lang w:val="es-MX" w:eastAsia="x-none"/>
        </w:rPr>
        <w:t>En esta labor es importante tener en cuenta, como lo anotó la Corte Constitucional, en Sentencia C-1153 de noviembre 11 de 2005</w:t>
      </w:r>
      <w:r w:rsidRPr="00F02C5A">
        <w:rPr>
          <w:rFonts w:ascii="Verdana" w:eastAsia="Calibri" w:hAnsi="Verdana" w:cs="Arial"/>
          <w:sz w:val="24"/>
          <w:lang w:val="es-MX"/>
        </w:rPr>
        <w:t>,</w:t>
      </w:r>
      <w:r w:rsidRPr="00F02C5A">
        <w:rPr>
          <w:rFonts w:ascii="Verdana" w:eastAsia="Times New Roman" w:hAnsi="Verdana" w:cs="Arial"/>
          <w:lang w:val="es-MX" w:eastAsia="x-none"/>
        </w:rPr>
        <w:t xml:space="preserve"> </w:t>
      </w:r>
      <w:bookmarkStart w:id="11" w:name="_Hlk74309042"/>
      <w:r w:rsidRPr="00F02C5A">
        <w:rPr>
          <w:rFonts w:ascii="Verdana" w:eastAsia="Times New Roman" w:hAnsi="Verdana" w:cs="Arial"/>
          <w:lang w:val="es-MX" w:eastAsia="x-none"/>
        </w:rPr>
        <w:t>que “</w:t>
      </w:r>
      <w:bookmarkEnd w:id="11"/>
      <w:r w:rsidRPr="00F02C5A">
        <w:rPr>
          <w:rFonts w:ascii="Verdana" w:eastAsia="Times New Roman" w:hAnsi="Verdana" w:cs="Arial"/>
          <w:lang w:val="es-MX" w:eastAsia="x-none"/>
        </w:rPr>
        <w:t xml:space="preserve">si bien la limitación garantiza la igualdad de condiciones, también es necesario que tal limitación que pretende la igualdad </w:t>
      </w:r>
      <w:bookmarkStart w:id="12" w:name="_Hlk75768308"/>
      <w:r w:rsidRPr="00F02C5A">
        <w:rPr>
          <w:rFonts w:ascii="Verdana" w:eastAsia="Times New Roman" w:hAnsi="Verdana" w:cs="Arial"/>
          <w:lang w:val="es-MX" w:eastAsia="x-none"/>
        </w:rPr>
        <w:t>no termine yendo en detrimento de intereses públicos, cuya garantía está en cabeza del ejecutivo, como son los inmersos en las excepciones para la prohibición de contratación”</w:t>
      </w:r>
      <w:r w:rsidRPr="00F02C5A">
        <w:rPr>
          <w:rFonts w:ascii="Verdana" w:eastAsia="Calibri" w:hAnsi="Verdana" w:cs="Arial"/>
          <w:vertAlign w:val="superscript"/>
          <w:lang w:val="es-MX"/>
        </w:rPr>
        <w:footnoteReference w:id="9"/>
      </w:r>
      <w:r w:rsidRPr="00F02C5A">
        <w:rPr>
          <w:rFonts w:ascii="Verdana" w:eastAsia="Times New Roman" w:hAnsi="Verdana" w:cs="Arial"/>
          <w:lang w:val="es-MX" w:eastAsia="x-none"/>
        </w:rPr>
        <w:t xml:space="preserve">.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w:t>
      </w:r>
      <w:r w:rsidRPr="00F02C5A">
        <w:rPr>
          <w:rFonts w:ascii="Verdana" w:eastAsia="Times New Roman" w:hAnsi="Verdana" w:cs="Arial"/>
          <w:lang w:val="es-MX" w:eastAsia="es-CO"/>
        </w:rPr>
        <w:t>candidatos</w:t>
      </w:r>
      <w:r w:rsidRPr="00F02C5A">
        <w:rPr>
          <w:rFonts w:ascii="Verdana" w:eastAsia="Times New Roman" w:hAnsi="Verdana" w:cs="Arial"/>
          <w:lang w:val="es-MX" w:eastAsia="x-none"/>
        </w:rPr>
        <w:t xml:space="preserve"> como garantía electoral.</w:t>
      </w:r>
      <w:bookmarkEnd w:id="12"/>
    </w:p>
    <w:p w14:paraId="157A9295" w14:textId="23890CA1" w:rsidR="00B015A8" w:rsidRPr="00280722" w:rsidRDefault="00B015A8" w:rsidP="00B015A8">
      <w:pPr>
        <w:spacing w:after="120" w:line="276" w:lineRule="auto"/>
        <w:ind w:firstLine="708"/>
        <w:jc w:val="both"/>
        <w:rPr>
          <w:rFonts w:ascii="Verdana" w:hAnsi="Verdana" w:cs="Arial"/>
        </w:rPr>
      </w:pPr>
      <w:r>
        <w:rPr>
          <w:rFonts w:ascii="Verdana" w:eastAsia="Times New Roman" w:hAnsi="Verdana" w:cs="Arial"/>
          <w:lang w:val="es-MX" w:eastAsia="x-none"/>
        </w:rPr>
        <w:t xml:space="preserve">Por otra parte, </w:t>
      </w:r>
      <w:r>
        <w:rPr>
          <w:rFonts w:ascii="Verdana" w:eastAsia="Calibri" w:hAnsi="Verdana" w:cs="Arial"/>
          <w:color w:val="000000" w:themeColor="text1"/>
        </w:rPr>
        <w:t>t</w:t>
      </w:r>
      <w:r w:rsidRPr="009E0887">
        <w:rPr>
          <w:rFonts w:ascii="Verdana" w:eastAsia="Calibri" w:hAnsi="Verdana" w:cs="Arial"/>
          <w:color w:val="000000" w:themeColor="text1"/>
        </w:rPr>
        <w:t xml:space="preserve">eniendo en cuenta el objeto de su consulta, es pertinente indicar que </w:t>
      </w:r>
      <w:r w:rsidRPr="00280722">
        <w:rPr>
          <w:rFonts w:ascii="Verdana" w:hAnsi="Verdana" w:cs="Arial"/>
          <w:bCs/>
          <w:color w:val="000000" w:themeColor="text1"/>
          <w:lang w:val="es-ES"/>
        </w:rPr>
        <w:t>la Ley 80 de 1993</w:t>
      </w:r>
      <w:r w:rsidRPr="00280722">
        <w:rPr>
          <w:rFonts w:ascii="Verdana" w:hAnsi="Verdana" w:cs="Arial"/>
        </w:rPr>
        <w:t xml:space="preserve"> define los contratos estatales en el artículo 32 y establece un listado enunciativo de contratos estatales</w:t>
      </w:r>
      <w:r>
        <w:rPr>
          <w:rFonts w:ascii="Verdana" w:hAnsi="Verdana" w:cs="Arial"/>
        </w:rPr>
        <w:t xml:space="preserve">. </w:t>
      </w:r>
      <w:r w:rsidRPr="00C02EA0">
        <w:rPr>
          <w:rFonts w:ascii="Verdana" w:hAnsi="Verdana" w:cs="Arial"/>
        </w:rPr>
        <w:t>De acuerdo con esta disposición</w:t>
      </w:r>
      <w:r>
        <w:rPr>
          <w:rFonts w:ascii="Verdana" w:hAnsi="Verdana" w:cs="Arial"/>
        </w:rPr>
        <w:t>,</w:t>
      </w:r>
      <w:r w:rsidRPr="00C02EA0">
        <w:rPr>
          <w:rFonts w:ascii="Verdana" w:hAnsi="Verdana" w:cs="Arial"/>
        </w:rPr>
        <w:t xml:space="preserve"> todos los actos jurídicos, cualquiera que sea su denominación, que celebren las entidades a las que se refiere el EGCAP y que generen obligaciones, son contratos estatales</w:t>
      </w:r>
      <w:r w:rsidRPr="00C02EA0">
        <w:rPr>
          <w:rStyle w:val="Refdenotaalpie"/>
          <w:rFonts w:ascii="Verdana" w:hAnsi="Verdana" w:cs="Arial"/>
          <w:bCs/>
          <w:color w:val="000000" w:themeColor="text1"/>
        </w:rPr>
        <w:footnoteReference w:id="10"/>
      </w:r>
      <w:r w:rsidRPr="00C02EA0">
        <w:rPr>
          <w:rFonts w:ascii="Verdana" w:hAnsi="Verdana" w:cs="Arial"/>
        </w:rPr>
        <w:t xml:space="preserve">. </w:t>
      </w:r>
      <w:r>
        <w:rPr>
          <w:rFonts w:ascii="Verdana" w:hAnsi="Verdana" w:cs="Arial"/>
        </w:rPr>
        <w:t>E</w:t>
      </w:r>
      <w:r w:rsidRPr="00280722">
        <w:rPr>
          <w:rFonts w:ascii="Verdana" w:hAnsi="Verdana" w:cs="Arial"/>
        </w:rPr>
        <w:t>ntre</w:t>
      </w:r>
      <w:r>
        <w:rPr>
          <w:rFonts w:ascii="Verdana" w:hAnsi="Verdana" w:cs="Arial"/>
        </w:rPr>
        <w:t xml:space="preserve"> los contratos que enuncia el artículo 32 </w:t>
      </w:r>
      <w:r w:rsidRPr="00280722">
        <w:rPr>
          <w:rFonts w:ascii="Verdana" w:hAnsi="Verdana" w:cs="Arial"/>
          <w:i/>
          <w:iCs/>
        </w:rPr>
        <w:t>ibidem</w:t>
      </w:r>
      <w:r>
        <w:rPr>
          <w:rFonts w:ascii="Verdana" w:hAnsi="Verdana" w:cs="Arial"/>
        </w:rPr>
        <w:t xml:space="preserve"> </w:t>
      </w:r>
      <w:r w:rsidRPr="00280722">
        <w:rPr>
          <w:rFonts w:ascii="Verdana" w:hAnsi="Verdana" w:cs="Arial"/>
        </w:rPr>
        <w:t xml:space="preserve">se encuentran el contrato de obra, el contrato de consultoría, el contrato de prestación de servicios, el contrato de concesión y los encargos fiduciarios y fiducia pública. </w:t>
      </w:r>
    </w:p>
    <w:p w14:paraId="1A561AD3" w14:textId="77777777" w:rsidR="00B015A8" w:rsidRPr="00280722" w:rsidRDefault="00B015A8" w:rsidP="00B015A8">
      <w:pPr>
        <w:spacing w:after="120" w:line="276" w:lineRule="auto"/>
        <w:ind w:firstLine="708"/>
        <w:jc w:val="both"/>
        <w:rPr>
          <w:rFonts w:ascii="Verdana" w:hAnsi="Verdana" w:cs="Arial"/>
          <w:bCs/>
          <w:color w:val="000000" w:themeColor="text1"/>
          <w:lang w:val="es-ES"/>
        </w:rPr>
      </w:pPr>
      <w:r w:rsidRPr="00280722">
        <w:rPr>
          <w:rFonts w:ascii="Verdana" w:hAnsi="Verdana" w:cs="Arial"/>
          <w:lang w:eastAsia="es-MX"/>
        </w:rPr>
        <w:t>Aunque el contrato de arrendamiento no se encuentra dentro del listado enunciativo del</w:t>
      </w:r>
      <w:r w:rsidRPr="00280722">
        <w:rPr>
          <w:rFonts w:ascii="Verdana" w:hAnsi="Verdana" w:cs="Arial"/>
          <w:bCs/>
          <w:color w:val="000000" w:themeColor="text1"/>
          <w:lang w:val="es-ES"/>
        </w:rPr>
        <w:t xml:space="preserve"> artículo 32 de la Ley 80 de 1993, su regulación se encuentra en el Código Civil y en el Código de Comercio, principalmente, los artículos 1973 al 2078 del Código Civil que lo desarrollan. Pero también existen normas especiales sobre el contrato de arrendamiento en los artículos 518 al 523 del Código de Comercio –sobre arrendamiento de inmuebles para los establecimientos de </w:t>
      </w:r>
      <w:r w:rsidRPr="00280722">
        <w:rPr>
          <w:rFonts w:ascii="Verdana" w:hAnsi="Verdana" w:cs="Arial"/>
          <w:bCs/>
          <w:color w:val="000000" w:themeColor="text1"/>
          <w:lang w:val="es-ES"/>
        </w:rPr>
        <w:lastRenderedPageBreak/>
        <w:t>comercio–, 1678 al 1687 y 1890 al 1899 de la misma codificación –sobre arrendamiento de naves–; y en la Ley 820 de 2003, por la cual se expide el régimen de arrendamiento de vivienda urbana.</w:t>
      </w:r>
    </w:p>
    <w:p w14:paraId="744FC912" w14:textId="77777777" w:rsidR="00B015A8" w:rsidRPr="009E0887" w:rsidRDefault="00B015A8" w:rsidP="00B015A8">
      <w:pPr>
        <w:spacing w:after="120" w:line="276" w:lineRule="auto"/>
        <w:ind w:firstLine="708"/>
        <w:jc w:val="both"/>
        <w:rPr>
          <w:rFonts w:ascii="Verdana" w:eastAsia="Calibri" w:hAnsi="Verdana" w:cs="Arial"/>
          <w:color w:val="000000" w:themeColor="text1"/>
          <w:lang w:val="es-ES"/>
        </w:rPr>
      </w:pPr>
      <w:r w:rsidRPr="009E0887">
        <w:rPr>
          <w:rFonts w:ascii="Verdana" w:eastAsia="Calibri" w:hAnsi="Verdana" w:cs="Arial"/>
          <w:color w:val="000000" w:themeColor="text1"/>
        </w:rPr>
        <w:t>El artículo 1973 del Código Civil define el contrato de arrendamiento como “[…] un contrato en que las dos partes se obligan recíprocamente, la una a conceder el goce de una cosa, o a ejecutar una obra o prestar un servicio, y la otra a pagar por este goce, obra o servicio un precio determinado”. Se trata pues del acuerdo de voluntades en virtud del cual una de las partes –llamada arrendador o arrendadora– se obliga a concederle a otra –llamada arrendatario o arrendataria– el uso y goce de un bien, a cambio de una renta o canon, diferenciándose del contrato de compraventa en que no opera una transferencia del dominio del bien cuyo uso y goce se entrega.</w:t>
      </w:r>
    </w:p>
    <w:p w14:paraId="33E1AF20" w14:textId="77777777" w:rsidR="00B015A8" w:rsidRPr="009E0887" w:rsidRDefault="00B015A8" w:rsidP="00B015A8">
      <w:pPr>
        <w:spacing w:after="120" w:line="276" w:lineRule="auto"/>
        <w:ind w:firstLine="360"/>
        <w:jc w:val="both"/>
        <w:rPr>
          <w:rFonts w:ascii="Verdana" w:eastAsia="Calibri" w:hAnsi="Verdana" w:cs="Arial"/>
          <w:color w:val="000000" w:themeColor="text1"/>
        </w:rPr>
      </w:pPr>
      <w:r>
        <w:rPr>
          <w:rFonts w:ascii="Verdana" w:eastAsia="Calibri" w:hAnsi="Verdana" w:cs="Arial"/>
          <w:color w:val="000000" w:themeColor="text1"/>
        </w:rPr>
        <w:tab/>
      </w:r>
      <w:r w:rsidRPr="009E0887">
        <w:rPr>
          <w:rFonts w:ascii="Verdana" w:eastAsia="Calibri" w:hAnsi="Verdana" w:cs="Arial"/>
          <w:color w:val="000000" w:themeColor="text1"/>
        </w:rPr>
        <w:t xml:space="preserve">En cuanto a sus características, la doctrina ha indicado que el arrendamiento es un contrato: i) bilateral, pues ambas partes se obligan recíprocamente; </w:t>
      </w:r>
      <w:proofErr w:type="spellStart"/>
      <w:r w:rsidRPr="009E0887">
        <w:rPr>
          <w:rFonts w:ascii="Verdana" w:eastAsia="Calibri" w:hAnsi="Verdana" w:cs="Arial"/>
          <w:color w:val="000000" w:themeColor="text1"/>
        </w:rPr>
        <w:t>ii</w:t>
      </w:r>
      <w:proofErr w:type="spellEnd"/>
      <w:r w:rsidRPr="009E0887">
        <w:rPr>
          <w:rFonts w:ascii="Verdana" w:eastAsia="Calibri" w:hAnsi="Verdana" w:cs="Arial"/>
          <w:color w:val="000000" w:themeColor="text1"/>
        </w:rPr>
        <w:t xml:space="preserve">) consensual, dado que se perfecciona con el consentimiento; </w:t>
      </w:r>
      <w:proofErr w:type="spellStart"/>
      <w:r w:rsidRPr="009E0887">
        <w:rPr>
          <w:rFonts w:ascii="Verdana" w:eastAsia="Calibri" w:hAnsi="Verdana" w:cs="Arial"/>
          <w:color w:val="000000" w:themeColor="text1"/>
        </w:rPr>
        <w:t>iii</w:t>
      </w:r>
      <w:proofErr w:type="spellEnd"/>
      <w:r w:rsidRPr="009E0887">
        <w:rPr>
          <w:rFonts w:ascii="Verdana" w:eastAsia="Calibri" w:hAnsi="Verdana" w:cs="Arial"/>
          <w:color w:val="000000" w:themeColor="text1"/>
        </w:rPr>
        <w:t xml:space="preserve">) oneroso, ya que ambas partes obtienen utilidades –el arrendatario, el uso y goce del bien, y el arrendador la renta o canon–; </w:t>
      </w:r>
      <w:proofErr w:type="spellStart"/>
      <w:r w:rsidRPr="009E0887">
        <w:rPr>
          <w:rFonts w:ascii="Verdana" w:eastAsia="Calibri" w:hAnsi="Verdana" w:cs="Arial"/>
          <w:color w:val="000000" w:themeColor="text1"/>
        </w:rPr>
        <w:t>iv</w:t>
      </w:r>
      <w:proofErr w:type="spellEnd"/>
      <w:r w:rsidRPr="009E0887">
        <w:rPr>
          <w:rFonts w:ascii="Verdana" w:eastAsia="Calibri" w:hAnsi="Verdana" w:cs="Arial"/>
          <w:color w:val="000000" w:themeColor="text1"/>
        </w:rPr>
        <w:t>) de ejecución sucesiva, en la medida en que se ejecuta en forma periódica; v) principal, porque existe en forma autónoma; y v) nominado, porque está tipificado y desarrollado en la ley.</w:t>
      </w:r>
    </w:p>
    <w:p w14:paraId="74083491" w14:textId="77777777" w:rsidR="00B015A8" w:rsidRDefault="00B015A8" w:rsidP="00B015A8">
      <w:pPr>
        <w:spacing w:after="120" w:line="276" w:lineRule="auto"/>
        <w:ind w:firstLine="360"/>
        <w:jc w:val="both"/>
        <w:rPr>
          <w:rFonts w:ascii="Verdana" w:eastAsia="Calibri" w:hAnsi="Verdana" w:cs="Arial"/>
          <w:color w:val="000000" w:themeColor="text1"/>
        </w:rPr>
      </w:pPr>
      <w:r>
        <w:rPr>
          <w:rFonts w:ascii="Verdana" w:eastAsia="Calibri" w:hAnsi="Verdana" w:cs="Arial"/>
          <w:color w:val="000000" w:themeColor="text1"/>
        </w:rPr>
        <w:tab/>
      </w:r>
      <w:r w:rsidRPr="009E0887">
        <w:rPr>
          <w:rFonts w:ascii="Verdana" w:eastAsia="Calibri" w:hAnsi="Verdana" w:cs="Arial"/>
          <w:color w:val="000000" w:themeColor="text1"/>
        </w:rPr>
        <w:t xml:space="preserve">En igual sentido, por su importancia en la contratación estatal, debe precisarse que la modalidad de selección aplicable a la celebración de los contratos de arrendamiento depende del régimen aplicable a la Entidad Estatal. Si se rige por el derecho privado, es decir, si está exceptuada del </w:t>
      </w:r>
      <w:r>
        <w:rPr>
          <w:rFonts w:ascii="Verdana" w:eastAsia="Calibri" w:hAnsi="Verdana" w:cs="Arial"/>
          <w:color w:val="000000" w:themeColor="text1"/>
        </w:rPr>
        <w:t>EGCAP</w:t>
      </w:r>
      <w:r w:rsidRPr="009E0887">
        <w:rPr>
          <w:rFonts w:ascii="Verdana" w:eastAsia="Calibri" w:hAnsi="Verdana" w:cs="Arial"/>
          <w:color w:val="000000" w:themeColor="text1"/>
        </w:rPr>
        <w:t xml:space="preserve">, debe aplicar en principio las normas civiles y comerciales mencionadas, en las cuales se permite la celebración directa del contrato de arrendamiento, pero si el reglamento o manual interno de contratación de la entidad dispone que debe efectuar algún procedimiento especial, este prevalece. </w:t>
      </w:r>
    </w:p>
    <w:p w14:paraId="79D585A0" w14:textId="77777777" w:rsidR="00B015A8" w:rsidRDefault="00B015A8" w:rsidP="00B015A8">
      <w:pPr>
        <w:spacing w:after="0" w:line="276" w:lineRule="auto"/>
        <w:ind w:firstLine="708"/>
        <w:jc w:val="both"/>
        <w:rPr>
          <w:rFonts w:ascii="Verdana" w:hAnsi="Verdana"/>
          <w:bCs/>
          <w:color w:val="000000" w:themeColor="text1"/>
          <w:lang w:eastAsia="es-ES_tradnl"/>
        </w:rPr>
      </w:pPr>
      <w:r w:rsidRPr="009E0887">
        <w:rPr>
          <w:rFonts w:ascii="Verdana" w:eastAsia="Calibri" w:hAnsi="Verdana" w:cs="Arial"/>
          <w:color w:val="000000" w:themeColor="text1"/>
        </w:rPr>
        <w:t>En contrate, si la Entidad Estatal se rige por el EGCAP, bien sea que obre en calidad de arrendadora o arrendataria, debe acudir a la modalidad de selección de contratación directa si arrendara un inmueble</w:t>
      </w:r>
      <w:r>
        <w:rPr>
          <w:rFonts w:ascii="Verdana" w:eastAsia="Calibri" w:hAnsi="Verdana" w:cs="Arial"/>
          <w:color w:val="000000" w:themeColor="text1"/>
        </w:rPr>
        <w:t xml:space="preserve">. Esto, </w:t>
      </w:r>
      <w:r w:rsidRPr="009E0887">
        <w:rPr>
          <w:rFonts w:ascii="Verdana" w:eastAsia="Calibri" w:hAnsi="Verdana" w:cs="Arial"/>
          <w:color w:val="000000" w:themeColor="text1"/>
        </w:rPr>
        <w:t xml:space="preserve">pues el literal i) </w:t>
      </w:r>
      <w:r>
        <w:rPr>
          <w:rFonts w:ascii="Verdana" w:eastAsia="Calibri" w:hAnsi="Verdana" w:cs="Arial"/>
          <w:color w:val="000000" w:themeColor="text1"/>
        </w:rPr>
        <w:t xml:space="preserve">del </w:t>
      </w:r>
      <w:r w:rsidRPr="009E0887">
        <w:rPr>
          <w:rFonts w:ascii="Verdana" w:eastAsia="Calibri" w:hAnsi="Verdana" w:cs="Arial"/>
          <w:color w:val="000000" w:themeColor="text1"/>
        </w:rPr>
        <w:t xml:space="preserve">numeral 4° </w:t>
      </w:r>
      <w:r>
        <w:rPr>
          <w:rFonts w:ascii="Verdana" w:eastAsia="Calibri" w:hAnsi="Verdana" w:cs="Arial"/>
          <w:color w:val="000000" w:themeColor="text1"/>
        </w:rPr>
        <w:t xml:space="preserve">del </w:t>
      </w:r>
      <w:r w:rsidRPr="009E0887">
        <w:rPr>
          <w:rFonts w:ascii="Verdana" w:eastAsia="Calibri" w:hAnsi="Verdana" w:cs="Arial"/>
          <w:color w:val="000000" w:themeColor="text1"/>
        </w:rPr>
        <w:t>artículo 2º de la Ley 1150 de 2007 establece que una de las causales de este procedimiento es</w:t>
      </w:r>
      <w:r>
        <w:rPr>
          <w:rFonts w:ascii="Verdana" w:eastAsia="Calibri" w:hAnsi="Verdana" w:cs="Arial"/>
          <w:color w:val="000000" w:themeColor="text1"/>
        </w:rPr>
        <w:t>:</w:t>
      </w:r>
      <w:r w:rsidRPr="009E0887">
        <w:rPr>
          <w:rFonts w:ascii="Verdana" w:eastAsia="Calibri" w:hAnsi="Verdana" w:cs="Arial"/>
          <w:color w:val="000000" w:themeColor="text1"/>
        </w:rPr>
        <w:t xml:space="preserve"> “i) El arrendamiento o adquisición de inmuebles”. </w:t>
      </w:r>
      <w:r w:rsidRPr="009E0887">
        <w:rPr>
          <w:rFonts w:ascii="Verdana" w:hAnsi="Verdana"/>
          <w:bCs/>
          <w:color w:val="000000" w:themeColor="text1"/>
          <w:lang w:eastAsia="es-ES_tradnl"/>
        </w:rPr>
        <w:t xml:space="preserve">Adicionalmente, el artículo 2.2.1.2.1.4.11 del Decreto 1082 de 2015 dispone que las Entidades Estatales pueden alquilar o arrendar inmuebles mediante contratación directa para lo cual deben seguir las siguientes reglas: </w:t>
      </w:r>
    </w:p>
    <w:p w14:paraId="0F743B25" w14:textId="77777777" w:rsidR="00B015A8" w:rsidRPr="009E0887" w:rsidRDefault="00B015A8" w:rsidP="00B015A8">
      <w:pPr>
        <w:spacing w:after="0" w:line="276" w:lineRule="auto"/>
        <w:ind w:firstLine="709"/>
        <w:jc w:val="both"/>
        <w:rPr>
          <w:rFonts w:ascii="Verdana" w:hAnsi="Verdana"/>
          <w:bCs/>
          <w:color w:val="000000" w:themeColor="text1"/>
          <w:lang w:eastAsia="es-ES_tradnl"/>
        </w:rPr>
      </w:pPr>
    </w:p>
    <w:p w14:paraId="790DC332" w14:textId="77777777" w:rsidR="00B015A8" w:rsidRPr="00280722" w:rsidRDefault="00B015A8" w:rsidP="00B015A8">
      <w:pPr>
        <w:spacing w:after="0" w:line="240" w:lineRule="auto"/>
        <w:ind w:left="709" w:right="709"/>
        <w:jc w:val="both"/>
        <w:rPr>
          <w:rFonts w:ascii="Verdana" w:eastAsia="Calibri" w:hAnsi="Verdana" w:cs="Arial"/>
          <w:sz w:val="20"/>
          <w:szCs w:val="20"/>
          <w:lang w:val="es-MX"/>
        </w:rPr>
      </w:pPr>
      <w:r w:rsidRPr="00280722">
        <w:rPr>
          <w:rFonts w:ascii="Verdana" w:eastAsia="Calibri" w:hAnsi="Verdana" w:cs="Arial"/>
          <w:sz w:val="20"/>
          <w:szCs w:val="20"/>
          <w:lang w:val="es-MX"/>
        </w:rPr>
        <w:lastRenderedPageBreak/>
        <w:t>“1.    Verificar las condiciones del mercado inmobiliario en la ciudad en la que la Entidad Estatal requiere el inmueble.</w:t>
      </w:r>
    </w:p>
    <w:p w14:paraId="20063D51" w14:textId="77777777" w:rsidR="00B015A8" w:rsidRPr="00280722" w:rsidRDefault="00B015A8" w:rsidP="00B015A8">
      <w:pPr>
        <w:spacing w:after="0" w:line="240" w:lineRule="auto"/>
        <w:ind w:left="709" w:right="709"/>
        <w:jc w:val="both"/>
        <w:rPr>
          <w:rFonts w:ascii="Verdana" w:eastAsia="Calibri" w:hAnsi="Verdana" w:cs="Arial"/>
          <w:sz w:val="20"/>
          <w:szCs w:val="20"/>
          <w:lang w:val="es-MX"/>
        </w:rPr>
      </w:pPr>
    </w:p>
    <w:p w14:paraId="2A6B127C" w14:textId="77777777" w:rsidR="00B015A8" w:rsidRPr="00280722" w:rsidRDefault="00B015A8" w:rsidP="00B015A8">
      <w:pPr>
        <w:spacing w:after="0" w:line="240" w:lineRule="auto"/>
        <w:ind w:left="709" w:right="709"/>
        <w:jc w:val="both"/>
        <w:rPr>
          <w:rFonts w:ascii="Verdana" w:eastAsia="Calibri" w:hAnsi="Verdana" w:cs="Arial"/>
          <w:sz w:val="20"/>
          <w:szCs w:val="20"/>
          <w:lang w:val="es-MX"/>
        </w:rPr>
      </w:pPr>
      <w:r w:rsidRPr="00280722">
        <w:rPr>
          <w:rFonts w:ascii="Verdana" w:eastAsia="Calibri" w:hAnsi="Verdana" w:cs="Arial"/>
          <w:sz w:val="20"/>
          <w:szCs w:val="20"/>
          <w:lang w:val="es-MX"/>
        </w:rPr>
        <w:t>2.    Analizar y comparar las condiciones de los bienes inmuebles que satisfacen las necesidades identificadas y las opciones de arrendamiento, análisis que deberá tener en cuenta los principios y objetivos del sistema de compra y contratación pública”.</w:t>
      </w:r>
    </w:p>
    <w:p w14:paraId="68B0F284" w14:textId="77777777" w:rsidR="00B015A8" w:rsidRDefault="00B015A8" w:rsidP="00B015A8">
      <w:pPr>
        <w:spacing w:after="0" w:line="276" w:lineRule="auto"/>
        <w:ind w:firstLine="357"/>
        <w:jc w:val="both"/>
        <w:rPr>
          <w:rFonts w:ascii="Verdana" w:hAnsi="Verdana"/>
          <w:color w:val="000000" w:themeColor="text1"/>
          <w:lang w:eastAsia="es-ES"/>
        </w:rPr>
      </w:pPr>
    </w:p>
    <w:p w14:paraId="67549921" w14:textId="77777777" w:rsidR="00B015A8" w:rsidRPr="00023091" w:rsidRDefault="00B015A8" w:rsidP="00B015A8">
      <w:pPr>
        <w:spacing w:after="120" w:line="276" w:lineRule="auto"/>
        <w:ind w:firstLine="708"/>
        <w:jc w:val="both"/>
        <w:rPr>
          <w:rFonts w:ascii="Verdana" w:hAnsi="Verdana"/>
          <w:color w:val="000000" w:themeColor="text1"/>
          <w:lang w:val="es-ES" w:eastAsia="es-ES"/>
        </w:rPr>
      </w:pPr>
      <w:r w:rsidRPr="00023091">
        <w:rPr>
          <w:rFonts w:ascii="Verdana" w:hAnsi="Verdana"/>
          <w:color w:val="000000" w:themeColor="text1"/>
          <w:lang w:val="es-ES" w:eastAsia="es-ES"/>
        </w:rPr>
        <w:t xml:space="preserve">Conforme lo anterior, la entidad debe elaborar los </w:t>
      </w:r>
      <w:proofErr w:type="gramStart"/>
      <w:r w:rsidRPr="00023091">
        <w:rPr>
          <w:rFonts w:ascii="Verdana" w:hAnsi="Verdana"/>
          <w:color w:val="000000" w:themeColor="text1"/>
          <w:lang w:val="es-ES" w:eastAsia="es-ES"/>
        </w:rPr>
        <w:t>estudios previos y documentos previos</w:t>
      </w:r>
      <w:proofErr w:type="gramEnd"/>
      <w:r w:rsidRPr="00023091">
        <w:rPr>
          <w:rFonts w:ascii="Verdana" w:hAnsi="Verdana"/>
          <w:color w:val="000000" w:themeColor="text1"/>
          <w:lang w:val="es-ES" w:eastAsia="es-ES"/>
        </w:rPr>
        <w:t xml:space="preserve"> y verificar las condiciones del mercado inmobiliario en la ciudad donde la Entidad Estatal requiere el documento. Además, tiene el deber analizar y comparar las condiciones de los bienes inmuebles que satisfacen sus necesidades; y de tener en cuenta los principios y objetivos del Sistema de Compra y Contratación Pública.</w:t>
      </w:r>
    </w:p>
    <w:p w14:paraId="33836566" w14:textId="77777777" w:rsidR="00B015A8" w:rsidRPr="00023091" w:rsidRDefault="00B015A8" w:rsidP="00B015A8">
      <w:pPr>
        <w:spacing w:after="120" w:line="276" w:lineRule="auto"/>
        <w:ind w:firstLine="708"/>
        <w:jc w:val="both"/>
        <w:rPr>
          <w:rFonts w:ascii="Verdana" w:eastAsia="Calibri" w:hAnsi="Verdana" w:cs="Arial"/>
          <w:color w:val="000000" w:themeColor="text1"/>
        </w:rPr>
      </w:pPr>
      <w:r w:rsidRPr="00023091">
        <w:rPr>
          <w:rFonts w:ascii="Verdana" w:hAnsi="Verdana"/>
          <w:color w:val="000000" w:themeColor="text1"/>
          <w:lang w:eastAsia="es-ES"/>
        </w:rPr>
        <w:t xml:space="preserve">En contraste, si se trata de arrendamiento de bienes muebles, la modalidad aplicable será la licitación pública, la selección abreviada o la mínima cuantía, según corresponda dependiendo del valor de la contratación. Lo anterior, en la medida que no se encuentran dentro de las causales de contratación directa que expresamente señala el numeral 4 del artículo 2 de la Ley 1150 de 2007. </w:t>
      </w:r>
      <w:r w:rsidRPr="00023091">
        <w:rPr>
          <w:rFonts w:ascii="Verdana" w:eastAsia="Calibri" w:hAnsi="Verdana" w:cs="Arial"/>
          <w:color w:val="000000" w:themeColor="text1"/>
        </w:rPr>
        <w:t>En ambos supuestos la Entidad Estatal también debe aplicar las normas civiles y comerciales que regulan la sustantividad del contrato de arrendamiento, porque a estas se remiten los artículos 13, 32 y 40 de la Ley 80 de 1993.</w:t>
      </w:r>
    </w:p>
    <w:p w14:paraId="52D5CECC" w14:textId="77777777" w:rsidR="00B015A8" w:rsidRPr="00023091" w:rsidRDefault="00B015A8" w:rsidP="00B015A8">
      <w:pPr>
        <w:spacing w:after="120" w:line="276" w:lineRule="auto"/>
        <w:ind w:firstLine="708"/>
        <w:jc w:val="both"/>
        <w:rPr>
          <w:rFonts w:ascii="Verdana" w:hAnsi="Verdana"/>
          <w:color w:val="000000" w:themeColor="text1"/>
          <w:lang w:eastAsia="es-ES"/>
        </w:rPr>
      </w:pPr>
      <w:r w:rsidRPr="00023091">
        <w:rPr>
          <w:rFonts w:ascii="Verdana" w:hAnsi="Verdana"/>
          <w:color w:val="000000" w:themeColor="text1"/>
          <w:lang w:eastAsia="es-ES"/>
        </w:rPr>
        <w:t>Si el arrendamiento recae sobre bienes públicos debe tenerse en cuenta que la Sección Tercera del Consejo de Estado señaló que los bienes que pueden ser susceptibles de arrendamiento son únicamente los bienes fiscales, no los bienes de uso público.</w:t>
      </w:r>
    </w:p>
    <w:p w14:paraId="6F6B52A8" w14:textId="77777777" w:rsidR="00B015A8" w:rsidRPr="00023091" w:rsidRDefault="00B015A8" w:rsidP="00B015A8">
      <w:pPr>
        <w:spacing w:after="120" w:line="276" w:lineRule="auto"/>
        <w:ind w:firstLine="360"/>
        <w:jc w:val="both"/>
        <w:rPr>
          <w:rFonts w:ascii="Verdana" w:eastAsia="Calibri" w:hAnsi="Verdana"/>
          <w:color w:val="000000" w:themeColor="text1"/>
        </w:rPr>
      </w:pPr>
      <w:r w:rsidRPr="00023091">
        <w:rPr>
          <w:rFonts w:ascii="Verdana" w:eastAsia="Calibri" w:hAnsi="Verdana" w:cs="Arial"/>
          <w:color w:val="000000" w:themeColor="text1"/>
          <w:lang w:val="es-ES_tradnl"/>
        </w:rPr>
        <w:tab/>
      </w:r>
      <w:r w:rsidRPr="00023091">
        <w:rPr>
          <w:rFonts w:ascii="Verdana" w:eastAsia="Calibri" w:hAnsi="Verdana"/>
          <w:color w:val="000000" w:themeColor="text1"/>
        </w:rPr>
        <w:t xml:space="preserve">Por otro lado, la Ley 80 de 1993, en el texto original del artículo 41, estableció que los requisitos para perfeccionar el contrato eran: i) llegar a un acuerdo sobre el objeto y la contraprestación y </w:t>
      </w:r>
      <w:proofErr w:type="spellStart"/>
      <w:r w:rsidRPr="00023091">
        <w:rPr>
          <w:rFonts w:ascii="Verdana" w:eastAsia="Calibri" w:hAnsi="Verdana"/>
          <w:color w:val="000000" w:themeColor="text1"/>
        </w:rPr>
        <w:t>ii</w:t>
      </w:r>
      <w:proofErr w:type="spellEnd"/>
      <w:r w:rsidRPr="00023091">
        <w:rPr>
          <w:rFonts w:ascii="Verdana" w:eastAsia="Calibri" w:hAnsi="Verdana"/>
          <w:color w:val="000000" w:themeColor="text1"/>
        </w:rPr>
        <w:t xml:space="preserve">) que conste por escrito. Por su parte, para iniciar la ejecución se requería: i) la constitución y aprobación de la garantía y </w:t>
      </w:r>
      <w:proofErr w:type="spellStart"/>
      <w:r w:rsidRPr="00023091">
        <w:rPr>
          <w:rFonts w:ascii="Verdana" w:eastAsia="Calibri" w:hAnsi="Verdana"/>
          <w:color w:val="000000" w:themeColor="text1"/>
        </w:rPr>
        <w:t>ii</w:t>
      </w:r>
      <w:proofErr w:type="spellEnd"/>
      <w:r w:rsidRPr="00023091">
        <w:rPr>
          <w:rFonts w:ascii="Verdana" w:eastAsia="Calibri" w:hAnsi="Verdana"/>
          <w:color w:val="000000" w:themeColor="text1"/>
        </w:rPr>
        <w:t>) la existencia del registro presupuestal.</w:t>
      </w:r>
    </w:p>
    <w:p w14:paraId="034EDC1D" w14:textId="77777777" w:rsidR="00B015A8" w:rsidRPr="00023091" w:rsidRDefault="00B015A8" w:rsidP="00B015A8">
      <w:pPr>
        <w:spacing w:after="120" w:line="276" w:lineRule="auto"/>
        <w:ind w:firstLine="360"/>
        <w:jc w:val="both"/>
        <w:rPr>
          <w:rFonts w:ascii="Verdana" w:hAnsi="Verdana"/>
          <w:color w:val="000000" w:themeColor="text1"/>
          <w:lang w:eastAsia="es-ES"/>
        </w:rPr>
      </w:pPr>
      <w:r w:rsidRPr="00023091">
        <w:rPr>
          <w:rFonts w:ascii="Verdana" w:hAnsi="Verdana"/>
          <w:bCs/>
          <w:color w:val="000000" w:themeColor="text1"/>
          <w:lang w:eastAsia="es-ES_tradnl"/>
        </w:rPr>
        <w:tab/>
      </w:r>
      <w:r w:rsidRPr="00023091">
        <w:rPr>
          <w:rFonts w:ascii="Verdana" w:hAnsi="Verdana"/>
          <w:color w:val="000000" w:themeColor="text1"/>
          <w:lang w:eastAsia="es-ES"/>
        </w:rPr>
        <w:t xml:space="preserve">En virtud de este contrato, las partes se obligan, una a conceder el goce del inmueble, y otra a pagar un precio por el mismo. Estos contratos tienen como elementos característicos, conforme a la ley y a la jurisprudencia del Consejo de Estado, los siguientes: i) entrega de un bien que efectúa el arrendador al arrendatario para el goce o uso exclusivo de este y </w:t>
      </w:r>
      <w:proofErr w:type="spellStart"/>
      <w:r w:rsidRPr="00023091">
        <w:rPr>
          <w:rFonts w:ascii="Verdana" w:hAnsi="Verdana"/>
          <w:color w:val="000000" w:themeColor="text1"/>
          <w:lang w:eastAsia="es-ES"/>
        </w:rPr>
        <w:t>ii</w:t>
      </w:r>
      <w:proofErr w:type="spellEnd"/>
      <w:r w:rsidRPr="00023091">
        <w:rPr>
          <w:rFonts w:ascii="Verdana" w:hAnsi="Verdana"/>
          <w:color w:val="000000" w:themeColor="text1"/>
          <w:lang w:eastAsia="es-ES"/>
        </w:rPr>
        <w:t xml:space="preserve">) el pago de un precio por el uso o goce del bien arrendado. </w:t>
      </w:r>
    </w:p>
    <w:p w14:paraId="035EF95D" w14:textId="77777777" w:rsidR="00B015A8" w:rsidRPr="00023091" w:rsidRDefault="00B015A8" w:rsidP="00B015A8">
      <w:pPr>
        <w:spacing w:after="120" w:line="276" w:lineRule="auto"/>
        <w:ind w:firstLine="708"/>
        <w:jc w:val="both"/>
        <w:rPr>
          <w:rFonts w:ascii="Verdana" w:eastAsia="Calibri" w:hAnsi="Verdana"/>
          <w:color w:val="000000" w:themeColor="text1"/>
        </w:rPr>
      </w:pPr>
      <w:r w:rsidRPr="00023091">
        <w:rPr>
          <w:rFonts w:ascii="Verdana" w:eastAsia="Calibri" w:hAnsi="Verdana"/>
          <w:color w:val="000000" w:themeColor="text1"/>
        </w:rPr>
        <w:lastRenderedPageBreak/>
        <w:t>No cabe duda, pues, de que el contrato de arrendamiento, al ser un contrato oneroso, genera para el arrendador una renta periódica y, en tal sentido, hace que se encuentre obligado a cotizar al Sistema de Seguridad Social Integral, si el canon es superior a un salario mínimo mensual legal vigente. En efecto, el artículo 2000 del Código Civil establece que “El arrendatario es obligado al pago del precio o renta”. Es decir que la renta es un elemento de la esencia del contrato de arrendamiento. Si el “arrendador” no la percibiera no sería un arrendamiento, sino un comodato.</w:t>
      </w:r>
    </w:p>
    <w:p w14:paraId="6D911A6F" w14:textId="77777777" w:rsidR="00B015A8" w:rsidRPr="00023091" w:rsidRDefault="00B015A8" w:rsidP="00B015A8">
      <w:pPr>
        <w:spacing w:after="120" w:line="276" w:lineRule="auto"/>
        <w:ind w:firstLine="708"/>
        <w:jc w:val="both"/>
        <w:rPr>
          <w:rFonts w:ascii="Verdana" w:eastAsia="Calibri" w:hAnsi="Verdana" w:cs="Arial"/>
          <w:color w:val="000000" w:themeColor="text1"/>
        </w:rPr>
      </w:pPr>
      <w:r w:rsidRPr="00023091">
        <w:rPr>
          <w:rFonts w:ascii="Verdana" w:eastAsia="Calibri" w:hAnsi="Verdana" w:cs="Arial"/>
          <w:color w:val="000000" w:themeColor="text1"/>
        </w:rPr>
        <w:t>Además, otro aspecto importante del contrato de arrendamiento consiste en la imposibilidad de pactar cláusulas de prórroga automática, puesto que el Consejo de Estado explica que  en el EGCAP no existe norma alguna que autorice pactar prórrogas automáticas que favorezcan a un determinado contratista, resulta violatorio de los principios generales de libre concurrencia, de igualdad, de imparcialidad, de prevalencia del interés general y de transparencia que rigen todas las actuaciones contractuales de las entidades estatales.</w:t>
      </w:r>
    </w:p>
    <w:p w14:paraId="41B33373" w14:textId="77777777" w:rsidR="000A2B4E" w:rsidRDefault="000A2B4E" w:rsidP="00187855">
      <w:pPr>
        <w:tabs>
          <w:tab w:val="left" w:pos="142"/>
          <w:tab w:val="left" w:pos="284"/>
        </w:tabs>
        <w:spacing w:after="0" w:line="276" w:lineRule="auto"/>
        <w:jc w:val="both"/>
        <w:rPr>
          <w:rFonts w:ascii="Verdana" w:eastAsia="Century Gothic" w:hAnsi="Verdana" w:cs="Century Gothic"/>
          <w:b/>
          <w:bCs/>
        </w:rPr>
      </w:pPr>
    </w:p>
    <w:p w14:paraId="1AAA8D53" w14:textId="418FB8D9" w:rsidR="00187855" w:rsidRPr="00CC5C68" w:rsidRDefault="00187855" w:rsidP="00187855">
      <w:pPr>
        <w:tabs>
          <w:tab w:val="left" w:pos="142"/>
          <w:tab w:val="left" w:pos="284"/>
        </w:tabs>
        <w:spacing w:after="0" w:line="276" w:lineRule="auto"/>
        <w:jc w:val="both"/>
        <w:rPr>
          <w:rFonts w:ascii="Verdana" w:eastAsia="Century Gothic" w:hAnsi="Verdana" w:cs="Century Gothic"/>
          <w:b/>
          <w:bCs/>
        </w:rPr>
      </w:pPr>
      <w:r w:rsidRPr="00CC5C68">
        <w:rPr>
          <w:rFonts w:ascii="Verdana" w:eastAsia="Century Gothic" w:hAnsi="Verdana" w:cs="Century Gothic"/>
          <w:b/>
          <w:bCs/>
        </w:rPr>
        <w:t>4. Referencias normativas, jurisprudenciales y otras fuentes:</w:t>
      </w:r>
    </w:p>
    <w:p w14:paraId="1BFC5CEE" w14:textId="77777777" w:rsidR="00187855" w:rsidRPr="00CC5C68" w:rsidRDefault="00187855" w:rsidP="00187855">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87855" w:rsidRPr="00CC5C68" w14:paraId="12123090" w14:textId="77777777" w:rsidTr="00E075F9">
        <w:trPr>
          <w:trHeight w:val="870"/>
        </w:trPr>
        <w:tc>
          <w:tcPr>
            <w:tcW w:w="8647" w:type="dxa"/>
          </w:tcPr>
          <w:p w14:paraId="2751EE6D" w14:textId="77777777" w:rsidR="00B015A8" w:rsidRPr="00B015A8" w:rsidRDefault="00B015A8" w:rsidP="00B015A8">
            <w:pPr>
              <w:pStyle w:val="Prrafodelista"/>
              <w:widowControl w:val="0"/>
              <w:numPr>
                <w:ilvl w:val="0"/>
                <w:numId w:val="1"/>
              </w:numPr>
              <w:autoSpaceDE w:val="0"/>
              <w:autoSpaceDN w:val="0"/>
              <w:spacing w:after="120" w:line="276" w:lineRule="auto"/>
              <w:jc w:val="both"/>
              <w:rPr>
                <w:rFonts w:ascii="Verdana" w:hAnsi="Verdana" w:cs="Arial"/>
              </w:rPr>
            </w:pPr>
            <w:r w:rsidRPr="00B015A8">
              <w:rPr>
                <w:rFonts w:ascii="Verdana" w:hAnsi="Verdana" w:cs="Arial"/>
              </w:rPr>
              <w:t>Ley 80 de 1993: Artículos 32 y 41.</w:t>
            </w:r>
          </w:p>
          <w:p w14:paraId="0D349C73" w14:textId="77777777" w:rsidR="00B015A8" w:rsidRPr="00B015A8" w:rsidRDefault="00B015A8" w:rsidP="00B015A8">
            <w:pPr>
              <w:pStyle w:val="Prrafodelista"/>
              <w:widowControl w:val="0"/>
              <w:numPr>
                <w:ilvl w:val="0"/>
                <w:numId w:val="1"/>
              </w:numPr>
              <w:autoSpaceDE w:val="0"/>
              <w:autoSpaceDN w:val="0"/>
              <w:spacing w:after="120" w:line="276" w:lineRule="auto"/>
              <w:jc w:val="both"/>
              <w:rPr>
                <w:rFonts w:ascii="Verdana" w:hAnsi="Verdana" w:cs="Arial"/>
              </w:rPr>
            </w:pPr>
            <w:r w:rsidRPr="00B015A8">
              <w:rPr>
                <w:rFonts w:ascii="Verdana" w:hAnsi="Verdana" w:cs="Arial"/>
              </w:rPr>
              <w:t>Ley 1150 de 2007: Artículo 2, numeral 4, artículo 5.</w:t>
            </w:r>
          </w:p>
          <w:p w14:paraId="518E1E2B" w14:textId="36629AE1" w:rsidR="00B015A8" w:rsidRDefault="00B015A8" w:rsidP="00B015A8">
            <w:pPr>
              <w:pStyle w:val="Prrafodelista"/>
              <w:widowControl w:val="0"/>
              <w:numPr>
                <w:ilvl w:val="0"/>
                <w:numId w:val="1"/>
              </w:numPr>
              <w:autoSpaceDE w:val="0"/>
              <w:autoSpaceDN w:val="0"/>
              <w:spacing w:after="120" w:line="276" w:lineRule="auto"/>
              <w:jc w:val="both"/>
              <w:rPr>
                <w:rFonts w:ascii="Verdana" w:hAnsi="Verdana" w:cs="Arial"/>
              </w:rPr>
            </w:pPr>
            <w:r w:rsidRPr="00B015A8">
              <w:rPr>
                <w:rFonts w:ascii="Verdana" w:hAnsi="Verdana" w:cs="Arial"/>
              </w:rPr>
              <w:t>Decreto 1082 de 2015: Artículo 2.2.1.2.1.4.11.</w:t>
            </w:r>
          </w:p>
          <w:p w14:paraId="3B85DDA5" w14:textId="4236F627" w:rsidR="00187855" w:rsidRDefault="00187855" w:rsidP="00187855">
            <w:pPr>
              <w:pStyle w:val="Prrafodelista"/>
              <w:widowControl w:val="0"/>
              <w:numPr>
                <w:ilvl w:val="0"/>
                <w:numId w:val="1"/>
              </w:numPr>
              <w:autoSpaceDE w:val="0"/>
              <w:autoSpaceDN w:val="0"/>
              <w:spacing w:after="120" w:line="276" w:lineRule="auto"/>
              <w:jc w:val="both"/>
              <w:rPr>
                <w:rFonts w:ascii="Verdana" w:hAnsi="Verdana" w:cs="Arial"/>
              </w:rPr>
            </w:pPr>
            <w:r w:rsidRPr="00745CAA">
              <w:rPr>
                <w:rFonts w:ascii="Verdana" w:hAnsi="Verdana" w:cs="Arial"/>
              </w:rPr>
              <w:t xml:space="preserve">Ley </w:t>
            </w:r>
            <w:r w:rsidR="00624B56">
              <w:rPr>
                <w:rFonts w:ascii="Verdana" w:hAnsi="Verdana" w:cs="Arial"/>
              </w:rPr>
              <w:t>996</w:t>
            </w:r>
            <w:r w:rsidRPr="00745CAA">
              <w:rPr>
                <w:rFonts w:ascii="Verdana" w:hAnsi="Verdana" w:cs="Arial"/>
              </w:rPr>
              <w:t xml:space="preserve"> de 200</w:t>
            </w:r>
            <w:r w:rsidR="00624B56">
              <w:rPr>
                <w:rFonts w:ascii="Verdana" w:hAnsi="Verdana" w:cs="Arial"/>
              </w:rPr>
              <w:t>5</w:t>
            </w:r>
            <w:r w:rsidRPr="00745CAA">
              <w:rPr>
                <w:rFonts w:ascii="Verdana" w:hAnsi="Verdana" w:cs="Arial"/>
              </w:rPr>
              <w:t>, artículo</w:t>
            </w:r>
            <w:r w:rsidR="002E3BF9">
              <w:rPr>
                <w:rFonts w:ascii="Verdana" w:hAnsi="Verdana" w:cs="Arial"/>
              </w:rPr>
              <w:t>s</w:t>
            </w:r>
            <w:r w:rsidR="00624B56">
              <w:rPr>
                <w:rFonts w:ascii="Verdana" w:hAnsi="Verdana" w:cs="Arial"/>
              </w:rPr>
              <w:t xml:space="preserve"> 3</w:t>
            </w:r>
            <w:r w:rsidR="002E3BF9">
              <w:rPr>
                <w:rFonts w:ascii="Verdana" w:hAnsi="Verdana" w:cs="Arial"/>
              </w:rPr>
              <w:t>3 y 38</w:t>
            </w:r>
            <w:r w:rsidRPr="00745CAA">
              <w:rPr>
                <w:rFonts w:ascii="Verdana" w:hAnsi="Verdana" w:cs="Arial"/>
              </w:rPr>
              <w:t>.</w:t>
            </w:r>
          </w:p>
          <w:p w14:paraId="169162BE" w14:textId="47FBC31D" w:rsidR="003E412A" w:rsidRPr="003E412A" w:rsidRDefault="003E412A" w:rsidP="00187855">
            <w:pPr>
              <w:pStyle w:val="Prrafodelista"/>
              <w:widowControl w:val="0"/>
              <w:numPr>
                <w:ilvl w:val="0"/>
                <w:numId w:val="1"/>
              </w:numPr>
              <w:autoSpaceDE w:val="0"/>
              <w:autoSpaceDN w:val="0"/>
              <w:spacing w:after="120" w:line="276" w:lineRule="auto"/>
              <w:jc w:val="both"/>
              <w:rPr>
                <w:rFonts w:ascii="Verdana" w:hAnsi="Verdana" w:cs="Arial"/>
              </w:rPr>
            </w:pPr>
            <w:r w:rsidRPr="00F02C5A">
              <w:rPr>
                <w:rFonts w:ascii="Verdana" w:eastAsia="Times New Roman" w:hAnsi="Verdana" w:cs="Arial"/>
                <w:lang w:val="es-MX" w:eastAsia="x-none"/>
              </w:rPr>
              <w:t>Corte Constitucional, Sentencia C-1153 de noviembre 11 de 2005</w:t>
            </w:r>
            <w:r>
              <w:rPr>
                <w:rFonts w:ascii="Verdana" w:eastAsia="Times New Roman" w:hAnsi="Verdana" w:cs="Arial"/>
                <w:lang w:val="es-MX" w:eastAsia="x-none"/>
              </w:rPr>
              <w:t>.</w:t>
            </w:r>
          </w:p>
          <w:p w14:paraId="4D2FE493" w14:textId="77777777" w:rsidR="003E412A" w:rsidRPr="003E412A" w:rsidRDefault="003E412A" w:rsidP="003E412A">
            <w:pPr>
              <w:pStyle w:val="Prrafodelista"/>
              <w:widowControl w:val="0"/>
              <w:numPr>
                <w:ilvl w:val="0"/>
                <w:numId w:val="1"/>
              </w:numPr>
              <w:autoSpaceDE w:val="0"/>
              <w:autoSpaceDN w:val="0"/>
              <w:spacing w:after="120" w:line="276" w:lineRule="auto"/>
              <w:jc w:val="both"/>
              <w:rPr>
                <w:rFonts w:ascii="Verdana" w:hAnsi="Verdana" w:cs="Arial"/>
              </w:rPr>
            </w:pPr>
            <w:r w:rsidRPr="003E412A">
              <w:rPr>
                <w:rFonts w:ascii="Verdana" w:hAnsi="Verdana" w:cs="Arial"/>
              </w:rPr>
              <w:t xml:space="preserve">Consejo de Estado. Sala de Consulta y Servicio Civil, Concepto de 8 de mayo de 2018. Radicación Número: 11001-03-06-000-2018-00095-00(2382). Consejero Ponente: Álvaro </w:t>
            </w:r>
            <w:proofErr w:type="spellStart"/>
            <w:r w:rsidRPr="003E412A">
              <w:rPr>
                <w:rFonts w:ascii="Verdana" w:hAnsi="Verdana" w:cs="Arial"/>
              </w:rPr>
              <w:t>Namén</w:t>
            </w:r>
            <w:proofErr w:type="spellEnd"/>
            <w:r w:rsidRPr="003E412A">
              <w:rPr>
                <w:rFonts w:ascii="Verdana" w:hAnsi="Verdana" w:cs="Arial"/>
              </w:rPr>
              <w:t xml:space="preserve"> Vargas.</w:t>
            </w:r>
          </w:p>
          <w:p w14:paraId="614CF042" w14:textId="1CF73028" w:rsidR="003E412A" w:rsidRDefault="003E412A" w:rsidP="003E412A">
            <w:pPr>
              <w:pStyle w:val="Prrafodelista"/>
              <w:widowControl w:val="0"/>
              <w:numPr>
                <w:ilvl w:val="0"/>
                <w:numId w:val="1"/>
              </w:numPr>
              <w:autoSpaceDE w:val="0"/>
              <w:autoSpaceDN w:val="0"/>
              <w:spacing w:after="120" w:line="276" w:lineRule="auto"/>
              <w:jc w:val="both"/>
              <w:rPr>
                <w:rFonts w:ascii="Verdana" w:hAnsi="Verdana" w:cs="Arial"/>
              </w:rPr>
            </w:pPr>
            <w:r w:rsidRPr="003E412A">
              <w:rPr>
                <w:rFonts w:ascii="Verdana" w:hAnsi="Verdana" w:cs="Arial"/>
              </w:rPr>
              <w:t xml:space="preserve">Consejo de Estado. Sala de Consulta y Servicio Civil. Concepto del 08 de mayo de 2018. </w:t>
            </w:r>
            <w:proofErr w:type="spellStart"/>
            <w:r w:rsidRPr="003E412A">
              <w:rPr>
                <w:rFonts w:ascii="Verdana" w:hAnsi="Verdana" w:cs="Arial"/>
              </w:rPr>
              <w:t>Exp</w:t>
            </w:r>
            <w:proofErr w:type="spellEnd"/>
            <w:r w:rsidRPr="003E412A">
              <w:rPr>
                <w:rFonts w:ascii="Verdana" w:hAnsi="Verdana" w:cs="Arial"/>
              </w:rPr>
              <w:t xml:space="preserve">. 2.382. C.P. Álvaro </w:t>
            </w:r>
            <w:proofErr w:type="spellStart"/>
            <w:r w:rsidRPr="003E412A">
              <w:rPr>
                <w:rFonts w:ascii="Verdana" w:hAnsi="Verdana" w:cs="Arial"/>
              </w:rPr>
              <w:t>Namén</w:t>
            </w:r>
            <w:proofErr w:type="spellEnd"/>
            <w:r w:rsidRPr="003E412A">
              <w:rPr>
                <w:rFonts w:ascii="Verdana" w:hAnsi="Verdana" w:cs="Arial"/>
              </w:rPr>
              <w:t xml:space="preserve"> Vargas.</w:t>
            </w:r>
          </w:p>
          <w:p w14:paraId="01F3B556" w14:textId="6CBE424E" w:rsidR="007E43EB" w:rsidRPr="007E43EB" w:rsidRDefault="007E43EB" w:rsidP="007E43EB">
            <w:pPr>
              <w:pStyle w:val="Prrafodelista"/>
              <w:widowControl w:val="0"/>
              <w:numPr>
                <w:ilvl w:val="0"/>
                <w:numId w:val="1"/>
              </w:numPr>
              <w:autoSpaceDE w:val="0"/>
              <w:autoSpaceDN w:val="0"/>
              <w:spacing w:after="120" w:line="276" w:lineRule="auto"/>
              <w:jc w:val="both"/>
              <w:rPr>
                <w:rFonts w:ascii="Verdana" w:hAnsi="Verdana" w:cs="Arial"/>
              </w:rPr>
            </w:pPr>
            <w:r>
              <w:rPr>
                <w:rFonts w:ascii="Verdana" w:hAnsi="Verdana" w:cs="Arial"/>
              </w:rPr>
              <w:t>C</w:t>
            </w:r>
            <w:r w:rsidRPr="007E43EB">
              <w:rPr>
                <w:rFonts w:ascii="Verdana" w:hAnsi="Verdana" w:cs="Arial"/>
              </w:rPr>
              <w:t>onsejo de Estado. Sección Tercera. Sentencia de 3 de diciembre de 2007. Radicados: 24.715, 25.206, 25.409, 24.524, 27.834, 25.410, 26.105, 28.244, 31.447 -acumulados-”.</w:t>
            </w:r>
          </w:p>
          <w:p w14:paraId="40F9B0C6" w14:textId="379AE66B" w:rsidR="007E43EB" w:rsidRPr="007E43EB" w:rsidRDefault="007E43EB" w:rsidP="007E43EB">
            <w:pPr>
              <w:pStyle w:val="Prrafodelista"/>
              <w:widowControl w:val="0"/>
              <w:numPr>
                <w:ilvl w:val="0"/>
                <w:numId w:val="1"/>
              </w:numPr>
              <w:autoSpaceDE w:val="0"/>
              <w:autoSpaceDN w:val="0"/>
              <w:spacing w:after="120" w:line="276" w:lineRule="auto"/>
              <w:jc w:val="both"/>
              <w:rPr>
                <w:rFonts w:ascii="Verdana" w:hAnsi="Verdana" w:cs="Arial"/>
              </w:rPr>
            </w:pPr>
            <w:r>
              <w:rPr>
                <w:rFonts w:ascii="Verdana" w:hAnsi="Verdana" w:cs="Arial"/>
              </w:rPr>
              <w:t xml:space="preserve">Consejo de Estado, </w:t>
            </w:r>
            <w:r w:rsidRPr="007E43EB">
              <w:rPr>
                <w:rFonts w:ascii="Verdana" w:hAnsi="Verdana" w:cs="Arial"/>
              </w:rPr>
              <w:t>Sala de Consulta y Servicio Civil</w:t>
            </w:r>
            <w:r>
              <w:rPr>
                <w:rFonts w:ascii="Verdana" w:hAnsi="Verdana" w:cs="Arial"/>
              </w:rPr>
              <w:t>, C</w:t>
            </w:r>
            <w:r w:rsidRPr="007E43EB">
              <w:rPr>
                <w:rFonts w:ascii="Verdana" w:hAnsi="Verdana" w:cs="Arial"/>
              </w:rPr>
              <w:t xml:space="preserve">oncepto 1712 de 2 de febrero de 2006. </w:t>
            </w:r>
          </w:p>
          <w:p w14:paraId="11EB49AE" w14:textId="5AC47D20" w:rsidR="007E43EB" w:rsidRDefault="007E43EB" w:rsidP="007E43EB">
            <w:pPr>
              <w:pStyle w:val="Prrafodelista"/>
              <w:widowControl w:val="0"/>
              <w:numPr>
                <w:ilvl w:val="0"/>
                <w:numId w:val="1"/>
              </w:numPr>
              <w:autoSpaceDE w:val="0"/>
              <w:autoSpaceDN w:val="0"/>
              <w:spacing w:after="120" w:line="276" w:lineRule="auto"/>
              <w:jc w:val="both"/>
              <w:rPr>
                <w:rFonts w:ascii="Verdana" w:hAnsi="Verdana" w:cs="Arial"/>
              </w:rPr>
            </w:pPr>
            <w:r w:rsidRPr="007E43EB">
              <w:rPr>
                <w:rFonts w:ascii="Verdana" w:hAnsi="Verdana" w:cs="Arial"/>
              </w:rPr>
              <w:t xml:space="preserve">Consejo de Estado. Sala de Consulta y Servicio Civil. Concepto del 2 de septiembre de 2013. Radicación número: 11001-03-06-000-2013-00412-00 (2168). Consejero Ponente: Álvaro </w:t>
            </w:r>
            <w:proofErr w:type="spellStart"/>
            <w:r w:rsidRPr="007E43EB">
              <w:rPr>
                <w:rFonts w:ascii="Verdana" w:hAnsi="Verdana" w:cs="Arial"/>
              </w:rPr>
              <w:t>Namén</w:t>
            </w:r>
            <w:proofErr w:type="spellEnd"/>
            <w:r w:rsidRPr="007E43EB">
              <w:rPr>
                <w:rFonts w:ascii="Verdana" w:hAnsi="Verdana" w:cs="Arial"/>
              </w:rPr>
              <w:t xml:space="preserve"> Vargas.</w:t>
            </w:r>
          </w:p>
          <w:p w14:paraId="0DA1C513" w14:textId="77777777" w:rsidR="00187855" w:rsidRPr="00CC5C68" w:rsidRDefault="00187855" w:rsidP="00187855">
            <w:pPr>
              <w:pStyle w:val="Prrafodelista"/>
              <w:widowControl w:val="0"/>
              <w:numPr>
                <w:ilvl w:val="0"/>
                <w:numId w:val="1"/>
              </w:numPr>
              <w:tabs>
                <w:tab w:val="left" w:pos="8419"/>
              </w:tabs>
              <w:autoSpaceDE w:val="0"/>
              <w:autoSpaceDN w:val="0"/>
              <w:spacing w:after="120" w:line="276" w:lineRule="auto"/>
              <w:contextualSpacing w:val="0"/>
              <w:jc w:val="both"/>
              <w:rPr>
                <w:rFonts w:ascii="Verdana" w:hAnsi="Verdana" w:cs="Arial"/>
              </w:rPr>
            </w:pPr>
            <w:r>
              <w:rPr>
                <w:rFonts w:ascii="Verdana" w:hAnsi="Verdana" w:cs="Arial"/>
              </w:rPr>
              <w:t xml:space="preserve">Colombia Compra Eficiente, </w:t>
            </w:r>
            <w:r w:rsidRPr="00D4444C">
              <w:rPr>
                <w:rFonts w:ascii="Verdana" w:hAnsi="Verdana" w:cs="Arial"/>
              </w:rPr>
              <w:t>Circular Externa Única</w:t>
            </w:r>
            <w:r>
              <w:rPr>
                <w:rFonts w:ascii="Verdana" w:hAnsi="Verdana" w:cs="Arial"/>
              </w:rPr>
              <w:t>. Disponible en</w:t>
            </w:r>
            <w:r w:rsidRPr="00D4444C">
              <w:rPr>
                <w:rFonts w:ascii="Verdana" w:hAnsi="Verdana" w:cs="Arial"/>
              </w:rPr>
              <w:t xml:space="preserve">: </w:t>
            </w:r>
            <w:hyperlink r:id="rId11" w:history="1">
              <w:r w:rsidRPr="008D4636">
                <w:rPr>
                  <w:rStyle w:val="Hipervnculo"/>
                  <w:rFonts w:ascii="Verdana" w:hAnsi="Verdana" w:cs="Arial"/>
                </w:rPr>
                <w:t>https://colombiacompra.gov.co/sites/cce_public/files/cce_circulares/cce-eicp-ma-06_circular_externa_con_comentarios_de_ciudadanos-_v2f_002.pdf</w:t>
              </w:r>
            </w:hyperlink>
          </w:p>
        </w:tc>
      </w:tr>
    </w:tbl>
    <w:p w14:paraId="5EDDC2CD" w14:textId="77777777" w:rsidR="00187855" w:rsidRPr="00CC5C68" w:rsidRDefault="00187855" w:rsidP="00187855">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C871F0A" w14:textId="77777777" w:rsidR="00187855" w:rsidRPr="00CC5C68" w:rsidRDefault="00187855" w:rsidP="00187855">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CC5C68">
        <w:rPr>
          <w:rFonts w:ascii="Verdana" w:eastAsia="Century Gothic" w:hAnsi="Verdana" w:cs="Century Gothic"/>
          <w:b/>
          <w:bCs/>
        </w:rPr>
        <w:t>5. Doctrina de la Agencia Nacional de Contratación Pública:</w:t>
      </w:r>
    </w:p>
    <w:p w14:paraId="66BECA67" w14:textId="77777777" w:rsidR="00187855" w:rsidRPr="00CC5C68" w:rsidRDefault="00187855" w:rsidP="00187855">
      <w:pPr>
        <w:spacing w:after="0" w:line="276" w:lineRule="auto"/>
        <w:ind w:firstLine="709"/>
        <w:jc w:val="both"/>
        <w:rPr>
          <w:rFonts w:ascii="Verdana" w:eastAsia="Times New Roman" w:hAnsi="Verdana" w:cs="Arial"/>
          <w:szCs w:val="24"/>
          <w:lang w:val="es-ES" w:eastAsia="es-ES_tradnl"/>
        </w:rPr>
      </w:pPr>
    </w:p>
    <w:p w14:paraId="4067B05A" w14:textId="01EE4605" w:rsidR="00187855" w:rsidRPr="00CC5C68" w:rsidRDefault="00187855" w:rsidP="00187855">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CC5C68">
        <w:rPr>
          <w:rFonts w:ascii="Verdana" w:eastAsia="Calibri" w:hAnsi="Verdana" w:cs="Arial"/>
          <w:lang w:val="es-ES_tradnl" w:eastAsia="es-ES_tradnl"/>
        </w:rPr>
        <w:t xml:space="preserve">Sobre </w:t>
      </w:r>
      <w:r w:rsidR="00EA39A0">
        <w:rPr>
          <w:rFonts w:ascii="Verdana" w:eastAsia="Calibri" w:hAnsi="Verdana" w:cs="Arial"/>
          <w:lang w:val="es-ES_tradnl" w:eastAsia="es-ES_tradnl"/>
        </w:rPr>
        <w:t>las restricciones de la Ley de Garantías Electorales</w:t>
      </w:r>
      <w:r w:rsidRPr="00CC5C68">
        <w:rPr>
          <w:rFonts w:ascii="Verdana" w:eastAsia="Calibri" w:hAnsi="Verdana" w:cs="Arial"/>
          <w:lang w:val="es-ES_tradnl" w:eastAsia="es-ES_tradnl"/>
        </w:rPr>
        <w:t>, se pronunció esta Subdirección en los</w:t>
      </w:r>
      <w:r w:rsidR="008B49A3">
        <w:rPr>
          <w:rFonts w:ascii="Verdana" w:eastAsia="Calibri" w:hAnsi="Verdana" w:cs="Arial"/>
          <w:lang w:val="es-ES_tradnl" w:eastAsia="es-ES_tradnl"/>
        </w:rPr>
        <w:t xml:space="preserve"> conceptos</w:t>
      </w:r>
      <w:r w:rsidRPr="00CC5C68">
        <w:rPr>
          <w:rFonts w:ascii="Verdana" w:eastAsia="Calibri" w:hAnsi="Verdana" w:cs="Arial"/>
          <w:lang w:val="es-ES_tradnl" w:eastAsia="es-ES_tradnl"/>
        </w:rPr>
        <w:t xml:space="preserve"> </w:t>
      </w:r>
      <w:r w:rsidR="00EA39A0" w:rsidRPr="00F02C5A">
        <w:rPr>
          <w:rStyle w:val="normaltextrun"/>
          <w:rFonts w:ascii="Verdana" w:hAnsi="Verdana" w:cs="Arial"/>
          <w:color w:val="000000"/>
          <w:shd w:val="clear" w:color="auto" w:fill="FFFFFF"/>
          <w:lang w:val="es-ES"/>
        </w:rPr>
        <w:t xml:space="preserve">C-074 del 17 de marzo de 2021, C-075 del 16 de marzo de 2021, C-227 de 2021 del 5 de mayo de 2021, C-259 del 2 de junio de 2021, C-296 del 22 de junio de 2021, C-337 del 13 de julio de 2021, C-350 del 16 de julio de 2021, C-352 del 27 de julio de 2021, C-374 del 16 de septiembre de 2021, C-381 del 2 de agosto de 2021, C-391 del 11 de agosto de 2021, C-396 del 13 de agosto de 2021, C-401 del 10 de agosto de 2021, C-413 del 17 de agosto de 2021, C-439  del 27 de agosto de 2021, C-456 del 3 de septiembre de 2021, C-481 del 98 de septiembre de 2021, C-495 del 15 de septiembre de 2021, C-497 del 15 de septiembre de 2021, C-499 del 15 de septiembre de 2021, C-523 del 10 de octubre de 2021, C-528 del 27 de septiembre de 2021, C-543 del 9 de noviembre de 2021, C-550 del 5 de octubre de 2021, C-557 del 7 de octubre de 2021, C-563 del 8 de octubre de 2021, C-606 del 3 de noviembre de 2021, C-614 del 2 de noviembre de 2021, C-633 del 11 de noviembre de 2021, C-634 del 11 de noviembre de 2021, C-636 del 16 de noviembre de 2021, C-674 del 6 de diciembre de 2021, C-675 del 6 de enero de 2022, C-677 del 4 de diciembre de 2021, C-695 del 22 de diciembre de 2021, C-699 del 6 de enero de 2022, C-700 del 6 de enero de 2021, C-723 del 28 de diciembre de 2021, </w:t>
      </w:r>
      <w:r w:rsidR="00EA39A0" w:rsidRPr="00F02C5A">
        <w:rPr>
          <w:rStyle w:val="normaltextrun"/>
          <w:rFonts w:ascii="Verdana" w:hAnsi="Verdana" w:cs="Arial"/>
          <w:color w:val="000000"/>
          <w:shd w:val="clear" w:color="auto" w:fill="FFFFFF"/>
        </w:rPr>
        <w:t xml:space="preserve">C-715 del 21 de enero de 2022, C-718 del 24 de enero de 2022 y C-726 del 24 de enero de 2022, C-002 del 15 de febrero de 2022, C–005 del 16 de febrero de 2022, C-009 del 15 de febrero de 2022, C-014 del 18 de febrero de 2022, C-022 del 21 de febrero de 2022, C-023 del 22 de febrero de 2022, C-008 del 24 de febrero de 2022, C-045 del 3 de marzo de 2022, C-054 del 7 de marzo de 2022, C-064 del 8 de marzo de 2022, C-072 del 11 de marzo de 2022, C-109 del 14 de marzo de 2022, C-073 del 14 de marzo de 2022, C-075 del 10 de marzo de 2022, C-077 del 17 de marzo de 2022, C-092 del 16 de marzo de 2022, C-094 del 16 de marzo de 2022, C-096 del 22 de marzo de 2022, C-097 del 18 de marzo de 2022, C-098 del 9 de marzo de 2022, C-099 del 22 de marzo de 2022, C-102 del 22 de marzo de 2022, C-107 del 18 de marzo de 2022, C-111 del 22 de marzo de 2022. C-115 del 22 de marzo de 2022, C-116 del 18 de marzo de 2022, C-127 del 22 de marzo de 2022, C-134 del 1° de abril de 2022, C-164 del 22 de marzo de 2022, C-170 del 5 de abril de 2022, C-175 del 17 de </w:t>
      </w:r>
      <w:r w:rsidR="00EA39A0" w:rsidRPr="00F02C5A">
        <w:rPr>
          <w:rStyle w:val="normaltextrun"/>
          <w:rFonts w:ascii="Verdana" w:hAnsi="Verdana" w:cs="Arial"/>
          <w:color w:val="000000"/>
          <w:shd w:val="clear" w:color="auto" w:fill="FFFFFF"/>
        </w:rPr>
        <w:lastRenderedPageBreak/>
        <w:t>mayo de 2022, C-329 del 24 de mayo de 2022, C-027 del 22 de marzo de 2023, C-049 del 13 de abril de 2023, C-075 del 25 de abril de 2023, C-076 del 25 de abril de 2023, C-098 del 4 de mayo de 2023, C-105 del 14 de junio de 2023, C-107 del 8 de mayo de 2023, C-115 del 8 de junio de 2023, C-116 del 8 de junio de 2023, C-118 del 9 de junio de 2023, C-134 del 26 de mayo de 2023, C-145 del 18 de mayo de 2023</w:t>
      </w:r>
      <w:r w:rsidR="00EA39A0">
        <w:rPr>
          <w:rStyle w:val="normaltextrun"/>
          <w:rFonts w:ascii="Verdana" w:hAnsi="Verdana" w:cs="Arial"/>
          <w:color w:val="000000"/>
          <w:shd w:val="clear" w:color="auto" w:fill="FFFFFF"/>
        </w:rPr>
        <w:t xml:space="preserve">, </w:t>
      </w:r>
      <w:r w:rsidR="00EA39A0" w:rsidRPr="00F02C5A">
        <w:rPr>
          <w:rStyle w:val="normaltextrun"/>
          <w:rFonts w:ascii="Verdana" w:hAnsi="Verdana" w:cs="Arial"/>
          <w:color w:val="000000"/>
          <w:shd w:val="clear" w:color="auto" w:fill="FFFFFF"/>
        </w:rPr>
        <w:t>C-149 del 1° de junio de 2023</w:t>
      </w:r>
      <w:r w:rsidR="00EA39A0">
        <w:rPr>
          <w:rStyle w:val="normaltextrun"/>
          <w:rFonts w:ascii="Verdana" w:hAnsi="Verdana" w:cs="Arial"/>
          <w:color w:val="000000"/>
          <w:shd w:val="clear" w:color="auto" w:fill="FFFFFF"/>
        </w:rPr>
        <w:t>, C-345 del 14 de julio de 2023</w:t>
      </w:r>
      <w:r w:rsidR="00E21288">
        <w:rPr>
          <w:rStyle w:val="normaltextrun"/>
          <w:rFonts w:ascii="Verdana" w:hAnsi="Verdana" w:cs="Arial"/>
          <w:color w:val="000000"/>
          <w:shd w:val="clear" w:color="auto" w:fill="FFFFFF"/>
        </w:rPr>
        <w:t>,</w:t>
      </w:r>
      <w:r w:rsidR="00752875">
        <w:rPr>
          <w:rStyle w:val="normaltextrun"/>
          <w:rFonts w:ascii="Verdana" w:hAnsi="Verdana" w:cs="Arial"/>
          <w:color w:val="000000"/>
          <w:shd w:val="clear" w:color="auto" w:fill="FFFFFF"/>
        </w:rPr>
        <w:t xml:space="preserve"> C-317 del 25 de abril de 2025</w:t>
      </w:r>
      <w:r w:rsidR="00E21288">
        <w:rPr>
          <w:rStyle w:val="normaltextrun"/>
          <w:rFonts w:ascii="Verdana" w:hAnsi="Verdana" w:cs="Arial"/>
          <w:color w:val="000000"/>
          <w:shd w:val="clear" w:color="auto" w:fill="FFFFFF"/>
        </w:rPr>
        <w:t xml:space="preserve"> y C-584 del 24 de junio de 2025</w:t>
      </w:r>
      <w:r w:rsidRPr="00CC5C68">
        <w:rPr>
          <w:rFonts w:ascii="Verdana" w:eastAsia="Calibri" w:hAnsi="Verdana" w:cs="Arial"/>
          <w:lang w:val="es-ES_tradnl" w:eastAsia="es-ES_tradnl"/>
        </w:rPr>
        <w:t xml:space="preserve">. </w:t>
      </w:r>
      <w:r w:rsidRPr="00CC5C68">
        <w:rPr>
          <w:rFonts w:ascii="Verdana" w:eastAsia="Calibri" w:hAnsi="Verdana" w:cs="Arial"/>
          <w:lang w:val="es-ES" w:eastAsia="es-ES_tradnl"/>
        </w:rPr>
        <w:t>Estos</w:t>
      </w:r>
      <w:r w:rsidRPr="00CC5C68">
        <w:rPr>
          <w:rFonts w:ascii="Verdana" w:hAnsi="Verdana"/>
        </w:rPr>
        <w:t xml:space="preserve"> y otros conceptos se encuentran disponibles para consulta en el Sistema de relatoría de la Agencia, al cual se puede acceder a través del siguiente enlace:</w:t>
      </w:r>
      <w:r w:rsidRPr="00CC5C68">
        <w:rPr>
          <w:rStyle w:val="normaltextrun"/>
          <w:rFonts w:ascii="Verdana" w:hAnsi="Verdana" w:cs="Arial"/>
          <w:shd w:val="clear" w:color="auto" w:fill="FFFFFF"/>
          <w:lang w:val="es-ES"/>
        </w:rPr>
        <w:t xml:space="preserve"> </w:t>
      </w:r>
      <w:hyperlink r:id="rId12" w:history="1">
        <w:r w:rsidRPr="00CC5C68">
          <w:rPr>
            <w:rStyle w:val="Hipervnculo"/>
            <w:rFonts w:ascii="Verdana" w:hAnsi="Verdana" w:cs="Arial"/>
            <w:shd w:val="clear" w:color="auto" w:fill="FFFFFF"/>
            <w:lang w:val="es-ES"/>
          </w:rPr>
          <w:t>https://relatoria.colombiacompra.gov.co/busqueda/conceptos</w:t>
        </w:r>
      </w:hyperlink>
    </w:p>
    <w:p w14:paraId="64E54BDA" w14:textId="77777777" w:rsidR="00187855" w:rsidRPr="00CC5C68" w:rsidRDefault="00187855" w:rsidP="00187855">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p>
    <w:p w14:paraId="6527205E" w14:textId="77777777" w:rsidR="00067BB4" w:rsidRPr="00067BB4" w:rsidRDefault="00067BB4" w:rsidP="00067BB4">
      <w:pPr>
        <w:spacing w:after="0" w:line="276" w:lineRule="auto"/>
        <w:jc w:val="both"/>
        <w:rPr>
          <w:rFonts w:ascii="Verdana" w:hAnsi="Verdana"/>
        </w:rPr>
      </w:pPr>
      <w:r w:rsidRPr="00067BB4">
        <w:rPr>
          <w:rFonts w:ascii="Verdana" w:hAnsi="Verdana"/>
        </w:rPr>
        <w:t>La Agencia Nacional de Contratación Pública – Colombia Compra Eficiente invita a las Entidades Estatales, a los actores del Sistema de Compra Pública y a la ciudadanía en general a conocer y participar en la actualización de la </w:t>
      </w:r>
      <w:r w:rsidRPr="00067BB4">
        <w:rPr>
          <w:rFonts w:ascii="Verdana" w:hAnsi="Verdana"/>
          <w:b/>
          <w:bCs/>
          <w:i/>
          <w:iCs/>
        </w:rPr>
        <w:t>Guía para la Elaboración de Estudios del Sector</w:t>
      </w:r>
      <w:r w:rsidRPr="00067BB4">
        <w:rPr>
          <w:rFonts w:ascii="Verdana" w:hAnsi="Verdana"/>
        </w:rPr>
        <w:t>. Esta herramienta orientadora facilita el análisis del mercado del bien, obra o servicio a contratar, y tiene como propósito promover procesos de contratación más eficientes, competitivos, sostenibles e inclusivos. La guía se encuentra disponible para consulta y comentarios hasta el 22 de mayo de 2025, a través del siguiente enlace: </w:t>
      </w:r>
      <w:hyperlink r:id="rId13" w:tgtFrame="_blank" w:tooltip="Dirección URL original: https://www.colombiacompra.gov.co/archivos/convocatoria/participacion-ciudadana-proyecto-de-la-guia-para-la-elaboracion-de-estudios-del-sector. Haga clic o pulse si confía en este vínculo." w:history="1">
        <w:r w:rsidRPr="00067BB4">
          <w:rPr>
            <w:rStyle w:val="Hipervnculo"/>
            <w:rFonts w:ascii="Verdana" w:hAnsi="Verdana"/>
          </w:rPr>
          <w:t>https://www.colombiacompra.gov.co/archivos/convocatoria/participacion-ciudadana-proyecto-de-la-guia-para-la-</w:t>
        </w:r>
      </w:hyperlink>
    </w:p>
    <w:p w14:paraId="29119130" w14:textId="77777777" w:rsidR="00067BB4" w:rsidRPr="00067BB4" w:rsidRDefault="00067BB4" w:rsidP="00067BB4">
      <w:pPr>
        <w:spacing w:after="0" w:line="276" w:lineRule="auto"/>
        <w:jc w:val="both"/>
        <w:rPr>
          <w:rFonts w:ascii="Verdana" w:hAnsi="Verdana"/>
        </w:rPr>
      </w:pPr>
    </w:p>
    <w:p w14:paraId="21FBAC84" w14:textId="77777777" w:rsidR="00067BB4" w:rsidRPr="00067BB4" w:rsidRDefault="00067BB4" w:rsidP="00067BB4">
      <w:pPr>
        <w:spacing w:after="0" w:line="276" w:lineRule="auto"/>
        <w:jc w:val="both"/>
        <w:rPr>
          <w:rFonts w:ascii="Verdana" w:hAnsi="Verdana"/>
        </w:rPr>
      </w:pPr>
      <w:r w:rsidRPr="00067BB4">
        <w:rPr>
          <w:rFonts w:ascii="Verdana" w:hAnsi="Verdana"/>
        </w:rPr>
        <w:t>De otra parte, te informamos que ya se encuentran disponibles los borradores de las nuevas versiones de documentos tipo del sector infraestructura social (Subsectores: institucional, vivienda, salud, educación, cultura y deporte) en las modalidades de licitación pública, selección abreviada de menor cuantía y mínima cuantía para comentarios. Dichos documentos estarán publicados hasta el próximo 23 de mayo de 2025.  Puede consultar la información en el siguiente enlace: </w:t>
      </w:r>
      <w:hyperlink r:id="rId14" w:tgtFrame="_blank" w:tooltip="Dirección URL original: https://www.colombiacompra.gov.co/normativa-y-relatoria/documentos-tipo. Haga clic o pulse si confía en este vínculo." w:history="1">
        <w:r w:rsidRPr="00067BB4">
          <w:rPr>
            <w:rStyle w:val="Hipervnculo"/>
            <w:rFonts w:ascii="Verdana" w:hAnsi="Verdana"/>
          </w:rPr>
          <w:t>Documentos Tipo – ANCP Colombia Compra Eficiente</w:t>
        </w:r>
      </w:hyperlink>
      <w:r w:rsidRPr="00067BB4">
        <w:rPr>
          <w:rFonts w:ascii="Verdana" w:hAnsi="Verdana"/>
          <w:u w:val="single"/>
        </w:rPr>
        <w:t> </w:t>
      </w:r>
    </w:p>
    <w:p w14:paraId="652BD513" w14:textId="77777777" w:rsidR="00067BB4" w:rsidRDefault="00067BB4" w:rsidP="00067BB4">
      <w:pPr>
        <w:spacing w:after="0" w:line="276" w:lineRule="auto"/>
        <w:jc w:val="both"/>
        <w:rPr>
          <w:rFonts w:ascii="Verdana" w:hAnsi="Verdana"/>
        </w:rPr>
      </w:pPr>
    </w:p>
    <w:p w14:paraId="4F1601C5" w14:textId="6B09771F" w:rsidR="00067BB4" w:rsidRPr="00067BB4" w:rsidRDefault="00067BB4" w:rsidP="00067BB4">
      <w:pPr>
        <w:spacing w:after="0" w:line="276" w:lineRule="auto"/>
        <w:jc w:val="both"/>
        <w:rPr>
          <w:rFonts w:ascii="Verdana" w:hAnsi="Verdana"/>
        </w:rPr>
      </w:pPr>
      <w:r w:rsidRPr="00067BB4">
        <w:rPr>
          <w:rFonts w:ascii="Verdana" w:hAnsi="Verdana"/>
        </w:rPr>
        <w:t>También le contamos que ya se encuentra disponible la </w:t>
      </w:r>
      <w:r w:rsidRPr="00067BB4">
        <w:rPr>
          <w:rFonts w:ascii="Verdana" w:hAnsi="Verdana"/>
          <w:b/>
          <w:bCs/>
        </w:rPr>
        <w:t>Guía de lineamientos de transparencia y selección objetiva para el departamento de La Guajira – Objetivo sexto constitucional de la Sentencia T-302 del 2017. </w:t>
      </w:r>
      <w:r w:rsidRPr="00067BB4">
        <w:rPr>
          <w:rFonts w:ascii="Verdana" w:hAnsi="Verdana"/>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67BB4">
        <w:rPr>
          <w:rFonts w:ascii="Verdana" w:hAnsi="Verdana"/>
        </w:rPr>
        <w:t>Wayúu</w:t>
      </w:r>
      <w:proofErr w:type="spellEnd"/>
      <w:r w:rsidRPr="00067BB4">
        <w:rPr>
          <w:rFonts w:ascii="Verdana" w:hAnsi="Verdana"/>
        </w:rPr>
        <w:t xml:space="preserve">. </w:t>
      </w:r>
      <w:r w:rsidRPr="00067BB4">
        <w:rPr>
          <w:rFonts w:ascii="Verdana" w:hAnsi="Verdana"/>
        </w:rPr>
        <w:lastRenderedPageBreak/>
        <w:t>Puede consultar la guía en el siguiente enlace: </w:t>
      </w:r>
      <w:hyperlink r:id="rId15" w:tgtFrame="_blank" w:tooltip="Dirección URL original: https://www.colombiacompra.gov.co/wp-content/uploads/2025/05/GUIA-DE-LINEAMIENTOS-DE-TRANSPARENCIA-Y-SELECCION-OBJETIVA-1.0.pdf. Haga clic o pulse si confía en este vínculo." w:history="1">
        <w:r w:rsidRPr="00067BB4">
          <w:rPr>
            <w:rStyle w:val="Hipervnculo"/>
            <w:rFonts w:ascii="Verdana" w:hAnsi="Verdana"/>
          </w:rPr>
          <w:t>Guía de lineamientos de transparencia y selección objetiva para el departamento de La Guajira – Objetivo sexto constitucional de la Sentencia T-302 del 2017</w:t>
        </w:r>
      </w:hyperlink>
    </w:p>
    <w:p w14:paraId="0E38C526" w14:textId="77777777" w:rsidR="00CF39CF" w:rsidRPr="00CC5C68" w:rsidRDefault="00CF39CF" w:rsidP="00187855">
      <w:pPr>
        <w:spacing w:after="0" w:line="240" w:lineRule="auto"/>
        <w:jc w:val="both"/>
        <w:rPr>
          <w:rFonts w:ascii="Verdana" w:hAnsi="Verdana"/>
        </w:rPr>
      </w:pPr>
    </w:p>
    <w:p w14:paraId="66D7E2AC" w14:textId="77777777" w:rsidR="00187855" w:rsidRPr="00CC5C68" w:rsidRDefault="00187855" w:rsidP="00187855">
      <w:pPr>
        <w:spacing w:after="0" w:line="240" w:lineRule="auto"/>
        <w:jc w:val="both"/>
        <w:rPr>
          <w:rFonts w:ascii="Verdana" w:hAnsi="Verdana"/>
        </w:rPr>
      </w:pPr>
      <w:r w:rsidRPr="00CC5C68">
        <w:rPr>
          <w:rFonts w:ascii="Verdana" w:hAnsi="Verdana"/>
        </w:rPr>
        <w:t xml:space="preserve">Por último, lo invitamos a seguirnos en las redes sociales en las cuales se difunde información institucional: </w:t>
      </w:r>
    </w:p>
    <w:p w14:paraId="031FBEC0" w14:textId="77777777" w:rsidR="00187855" w:rsidRPr="00CC5C68" w:rsidRDefault="00187855" w:rsidP="00187855">
      <w:pPr>
        <w:spacing w:after="0" w:line="240" w:lineRule="auto"/>
        <w:jc w:val="both"/>
        <w:rPr>
          <w:rFonts w:ascii="Verdana" w:hAnsi="Verdana"/>
        </w:rPr>
      </w:pPr>
    </w:p>
    <w:p w14:paraId="73E56C31" w14:textId="77777777" w:rsidR="00187855" w:rsidRPr="00CC5C68" w:rsidRDefault="00187855" w:rsidP="00187855">
      <w:pPr>
        <w:spacing w:after="0" w:line="240" w:lineRule="auto"/>
        <w:jc w:val="both"/>
        <w:rPr>
          <w:rFonts w:ascii="Verdana" w:hAnsi="Verdana"/>
        </w:rPr>
      </w:pPr>
      <w:r w:rsidRPr="00CC5C68">
        <w:rPr>
          <w:rFonts w:ascii="Verdana" w:hAnsi="Verdana"/>
        </w:rPr>
        <w:t xml:space="preserve">Twitter: </w:t>
      </w:r>
      <w:r w:rsidRPr="00CC5C68">
        <w:rPr>
          <w:rStyle w:val="Hipervnculo"/>
          <w:rFonts w:ascii="Verdana" w:hAnsi="Verdana"/>
          <w:color w:val="4472C4" w:themeColor="accent1"/>
        </w:rPr>
        <w:t>@colombiacompra</w:t>
      </w:r>
      <w:r w:rsidRPr="00CC5C68">
        <w:rPr>
          <w:rFonts w:ascii="Verdana" w:hAnsi="Verdana"/>
          <w:color w:val="4472C4" w:themeColor="accent1"/>
        </w:rPr>
        <w:t xml:space="preserve"> </w:t>
      </w:r>
    </w:p>
    <w:p w14:paraId="43748698" w14:textId="77777777" w:rsidR="00187855" w:rsidRPr="00CC5C68" w:rsidRDefault="00187855" w:rsidP="00187855">
      <w:pPr>
        <w:spacing w:after="0" w:line="240" w:lineRule="auto"/>
        <w:jc w:val="both"/>
        <w:rPr>
          <w:rFonts w:ascii="Verdana" w:hAnsi="Verdana"/>
        </w:rPr>
      </w:pPr>
      <w:r w:rsidRPr="00CC5C68">
        <w:rPr>
          <w:rFonts w:ascii="Verdana" w:hAnsi="Verdana"/>
        </w:rPr>
        <w:t xml:space="preserve">Facebook: </w:t>
      </w:r>
      <w:proofErr w:type="spellStart"/>
      <w:r w:rsidRPr="00CC5C68">
        <w:rPr>
          <w:rStyle w:val="Hipervnculo"/>
          <w:rFonts w:ascii="Verdana" w:hAnsi="Verdana"/>
          <w:color w:val="4472C4" w:themeColor="accent1"/>
        </w:rPr>
        <w:t>ColombiaCompraEficiente</w:t>
      </w:r>
      <w:proofErr w:type="spellEnd"/>
    </w:p>
    <w:p w14:paraId="685C4A43" w14:textId="77777777" w:rsidR="00187855" w:rsidRPr="00CC5C68" w:rsidRDefault="00187855" w:rsidP="00187855">
      <w:pPr>
        <w:spacing w:after="0" w:line="240" w:lineRule="auto"/>
        <w:jc w:val="both"/>
        <w:rPr>
          <w:rFonts w:ascii="Verdana" w:hAnsi="Verdana"/>
        </w:rPr>
      </w:pPr>
      <w:r w:rsidRPr="00CC5C68">
        <w:rPr>
          <w:rFonts w:ascii="Verdana" w:hAnsi="Verdana"/>
        </w:rPr>
        <w:t xml:space="preserve">LinkedIn: </w:t>
      </w:r>
      <w:r w:rsidRPr="00CC5C68">
        <w:rPr>
          <w:rStyle w:val="Hipervnculo"/>
          <w:rFonts w:ascii="Verdana" w:hAnsi="Verdana"/>
          <w:color w:val="4472C4" w:themeColor="accent1"/>
        </w:rPr>
        <w:t>Agencia Nacional de Contratación Pública - Colombia Compra Eficiente</w:t>
      </w:r>
      <w:r w:rsidRPr="00CC5C68">
        <w:rPr>
          <w:rFonts w:ascii="Verdana" w:hAnsi="Verdana"/>
          <w:color w:val="4472C4" w:themeColor="accent1"/>
        </w:rPr>
        <w:t xml:space="preserve"> </w:t>
      </w:r>
      <w:r w:rsidRPr="00CC5C68">
        <w:rPr>
          <w:rFonts w:ascii="Verdana" w:hAnsi="Verdana"/>
        </w:rPr>
        <w:t xml:space="preserve">Instagram: </w:t>
      </w:r>
      <w:r w:rsidRPr="00CC5C68">
        <w:rPr>
          <w:rStyle w:val="Hipervnculo"/>
          <w:rFonts w:ascii="Verdana" w:hAnsi="Verdana"/>
          <w:color w:val="4472C4" w:themeColor="accent1"/>
        </w:rPr>
        <w:t>@colombiacompraeficiente_cce</w:t>
      </w:r>
    </w:p>
    <w:p w14:paraId="3799CC66" w14:textId="77777777" w:rsidR="00187855" w:rsidRPr="0044528D" w:rsidRDefault="00187855" w:rsidP="00187855">
      <w:pPr>
        <w:widowControl w:val="0"/>
        <w:autoSpaceDE w:val="0"/>
        <w:autoSpaceDN w:val="0"/>
        <w:spacing w:after="0" w:line="276" w:lineRule="auto"/>
        <w:jc w:val="both"/>
        <w:rPr>
          <w:rFonts w:ascii="Verdana" w:hAnsi="Verdana"/>
        </w:rPr>
      </w:pPr>
    </w:p>
    <w:p w14:paraId="224339A7" w14:textId="77777777" w:rsidR="00187855" w:rsidRPr="00CC5C68" w:rsidRDefault="00187855" w:rsidP="00187855">
      <w:pPr>
        <w:widowControl w:val="0"/>
        <w:autoSpaceDE w:val="0"/>
        <w:autoSpaceDN w:val="0"/>
        <w:spacing w:after="0" w:line="276" w:lineRule="auto"/>
        <w:jc w:val="both"/>
        <w:rPr>
          <w:rFonts w:ascii="Verdana" w:hAnsi="Verdana" w:cs="Arial"/>
          <w:lang w:val="es-ES_tradnl"/>
        </w:rPr>
      </w:pPr>
      <w:r w:rsidRPr="00CC5C68">
        <w:rPr>
          <w:rFonts w:ascii="Verdana" w:hAnsi="Verdana" w:cs="Arial"/>
        </w:rPr>
        <w:t xml:space="preserve">Este concepto tiene el alcance previsto en el artículo 28 del Código de Procedimiento Administrativo y de lo Contencioso Administrativo </w:t>
      </w:r>
      <w:r w:rsidRPr="00CC5C68">
        <w:rPr>
          <w:rFonts w:ascii="Verdana" w:hAnsi="Verdana" w:cs="Arial"/>
          <w:lang w:val="es-ES_tradnl"/>
        </w:rPr>
        <w:t>y las expresiones aquí utilizadas con mayúscula inicial deben ser entendidas con el significado que les otorga el artículo 2.2.1.1.1.3.1. del Decreto 1082 de 2015.</w:t>
      </w:r>
    </w:p>
    <w:p w14:paraId="080771EB" w14:textId="77777777" w:rsidR="00187855" w:rsidRPr="00CC5C68" w:rsidRDefault="00187855" w:rsidP="00187855">
      <w:pPr>
        <w:spacing w:after="0" w:line="276" w:lineRule="auto"/>
        <w:ind w:firstLine="709"/>
        <w:jc w:val="both"/>
        <w:rPr>
          <w:rFonts w:ascii="Verdana" w:eastAsia="Times New Roman" w:hAnsi="Verdana" w:cs="Arial"/>
          <w:szCs w:val="24"/>
          <w:lang w:val="es-ES_tradnl" w:eastAsia="es-ES_tradnl"/>
        </w:rPr>
      </w:pPr>
    </w:p>
    <w:p w14:paraId="20AA0B55" w14:textId="77777777" w:rsidR="00187855" w:rsidRPr="00CC5C68" w:rsidRDefault="00187855" w:rsidP="00187855">
      <w:pPr>
        <w:spacing w:after="0" w:line="276" w:lineRule="auto"/>
        <w:jc w:val="both"/>
        <w:rPr>
          <w:rFonts w:ascii="Verdana" w:eastAsia="Times New Roman" w:hAnsi="Verdana" w:cs="Arial"/>
          <w:lang w:val="es-ES_tradnl" w:eastAsia="es-CO"/>
        </w:rPr>
      </w:pPr>
      <w:bookmarkStart w:id="13" w:name="_Hlk117695077"/>
      <w:r w:rsidRPr="00CC5C68">
        <w:rPr>
          <w:rFonts w:ascii="Verdana" w:eastAsia="Times New Roman" w:hAnsi="Verdana" w:cs="Arial"/>
          <w:lang w:val="es-ES_tradnl" w:eastAsia="es-CO"/>
        </w:rPr>
        <w:t>Atentamente,</w:t>
      </w:r>
    </w:p>
    <w:bookmarkEnd w:id="13"/>
    <w:p w14:paraId="1EADE6D4" w14:textId="0E6E54EC" w:rsidR="00187855" w:rsidRPr="00CC5C68" w:rsidRDefault="0031754D" w:rsidP="00B01786">
      <w:pPr>
        <w:spacing w:after="18" w:line="240" w:lineRule="auto"/>
        <w:jc w:val="center"/>
        <w:rPr>
          <w:rFonts w:ascii="Verdana" w:eastAsia="Times New Roman" w:hAnsi="Verdana" w:cs="Arial"/>
          <w:sz w:val="24"/>
          <w:szCs w:val="24"/>
          <w:lang w:eastAsia="es-CO"/>
        </w:rPr>
      </w:pPr>
      <w:r>
        <w:rPr>
          <w:noProof/>
          <w14:ligatures w14:val="standardContextual"/>
        </w:rPr>
        <w:drawing>
          <wp:inline distT="0" distB="0" distL="0" distR="0" wp14:anchorId="39BCA1CC" wp14:editId="1497F491">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6"/>
                    <a:stretch>
                      <a:fillRect/>
                    </a:stretch>
                  </pic:blipFill>
                  <pic:spPr>
                    <a:xfrm>
                      <a:off x="0" y="0"/>
                      <a:ext cx="3771900" cy="1400175"/>
                    </a:xfrm>
                    <a:prstGeom prst="rect">
                      <a:avLst/>
                    </a:prstGeom>
                  </pic:spPr>
                </pic:pic>
              </a:graphicData>
            </a:graphic>
          </wp:inline>
        </w:drawing>
      </w:r>
    </w:p>
    <w:tbl>
      <w:tblPr>
        <w:tblStyle w:val="Tablaconcuadrcula1"/>
        <w:tblpPr w:leftFromText="141" w:rightFromText="141" w:vertAnchor="text" w:horzAnchor="margin" w:tblpY="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4777"/>
      </w:tblGrid>
      <w:tr w:rsidR="00187855" w:rsidRPr="00CC5C68" w14:paraId="269CB499" w14:textId="77777777" w:rsidTr="09D739D3">
        <w:trPr>
          <w:trHeight w:val="286"/>
        </w:trPr>
        <w:tc>
          <w:tcPr>
            <w:tcW w:w="893" w:type="dxa"/>
            <w:vAlign w:val="center"/>
            <w:hideMark/>
          </w:tcPr>
          <w:p w14:paraId="107D0F90" w14:textId="77777777" w:rsidR="00187855" w:rsidRPr="00CC5C68" w:rsidRDefault="00187855" w:rsidP="00E075F9">
            <w:pPr>
              <w:rPr>
                <w:rFonts w:ascii="Verdana" w:eastAsia="Times New Roman" w:hAnsi="Verdana" w:cs="Arial"/>
                <w:sz w:val="14"/>
                <w:szCs w:val="14"/>
                <w:lang w:eastAsia="es-ES"/>
              </w:rPr>
            </w:pPr>
            <w:r w:rsidRPr="00CC5C68">
              <w:rPr>
                <w:rFonts w:ascii="Verdana" w:eastAsia="Times New Roman" w:hAnsi="Verdana" w:cs="Arial"/>
                <w:sz w:val="16"/>
                <w:szCs w:val="16"/>
                <w:lang w:eastAsia="es-ES"/>
              </w:rPr>
              <w:t>Elaboró:</w:t>
            </w:r>
          </w:p>
        </w:tc>
        <w:tc>
          <w:tcPr>
            <w:tcW w:w="4777" w:type="dxa"/>
            <w:vAlign w:val="center"/>
            <w:hideMark/>
          </w:tcPr>
          <w:p w14:paraId="63F73A9D" w14:textId="6CA46805" w:rsidR="00EC5A97" w:rsidRPr="00CC5C68" w:rsidRDefault="00EC5A97" w:rsidP="00E075F9">
            <w:pPr>
              <w:rPr>
                <w:rFonts w:ascii="Verdana" w:eastAsia="Times New Roman" w:hAnsi="Verdana" w:cs="Arial"/>
                <w:sz w:val="16"/>
                <w:szCs w:val="16"/>
                <w:lang w:val="es-ES_tradnl" w:eastAsia="es-ES"/>
              </w:rPr>
            </w:pPr>
            <w:r w:rsidRPr="00EC5A97">
              <w:rPr>
                <w:rFonts w:ascii="Verdana" w:eastAsia="Times New Roman" w:hAnsi="Verdana" w:cs="Arial"/>
                <w:sz w:val="16"/>
                <w:szCs w:val="16"/>
                <w:lang w:val="es-ES_tradnl" w:eastAsia="es-ES"/>
              </w:rPr>
              <w:t>Ximena Ríos López</w:t>
            </w:r>
          </w:p>
          <w:p w14:paraId="0313B894" w14:textId="48D79FEC" w:rsidR="00187855" w:rsidRPr="00CC5C68" w:rsidRDefault="00EC5A97" w:rsidP="00E075F9">
            <w:pPr>
              <w:rPr>
                <w:rFonts w:ascii="Verdana" w:eastAsia="Times New Roman" w:hAnsi="Verdana" w:cs="Arial"/>
                <w:sz w:val="14"/>
                <w:szCs w:val="14"/>
                <w:lang w:eastAsia="es-ES"/>
              </w:rPr>
            </w:pPr>
            <w:r>
              <w:rPr>
                <w:rFonts w:ascii="Verdana" w:eastAsia="Times New Roman" w:hAnsi="Verdana" w:cs="Arial"/>
                <w:sz w:val="16"/>
                <w:szCs w:val="16"/>
                <w:lang w:eastAsia="es-ES"/>
              </w:rPr>
              <w:t>Gestor</w:t>
            </w:r>
            <w:r w:rsidR="00187855" w:rsidRPr="00CC5C68">
              <w:rPr>
                <w:rFonts w:ascii="Verdana" w:eastAsia="Times New Roman" w:hAnsi="Verdana" w:cs="Arial"/>
                <w:sz w:val="16"/>
                <w:szCs w:val="16"/>
                <w:lang w:eastAsia="es-ES"/>
              </w:rPr>
              <w:t xml:space="preserve"> T</w:t>
            </w:r>
            <w:r>
              <w:rPr>
                <w:rFonts w:ascii="Verdana" w:eastAsia="Times New Roman" w:hAnsi="Verdana" w:cs="Arial"/>
                <w:sz w:val="16"/>
                <w:szCs w:val="16"/>
                <w:lang w:eastAsia="es-ES"/>
              </w:rPr>
              <w:t>1</w:t>
            </w:r>
            <w:r w:rsidR="00187855" w:rsidRPr="00CC5C68">
              <w:rPr>
                <w:rFonts w:ascii="Verdana" w:eastAsia="Times New Roman" w:hAnsi="Verdana" w:cs="Arial"/>
                <w:sz w:val="16"/>
                <w:szCs w:val="16"/>
                <w:lang w:eastAsia="es-ES"/>
              </w:rPr>
              <w:t>-1</w:t>
            </w:r>
            <w:r>
              <w:rPr>
                <w:rFonts w:ascii="Verdana" w:eastAsia="Times New Roman" w:hAnsi="Verdana" w:cs="Arial"/>
                <w:sz w:val="16"/>
                <w:szCs w:val="16"/>
                <w:lang w:eastAsia="es-ES"/>
              </w:rPr>
              <w:t>1</w:t>
            </w:r>
            <w:r w:rsidR="00187855" w:rsidRPr="00CC5C68">
              <w:rPr>
                <w:rFonts w:ascii="Verdana" w:eastAsia="Times New Roman" w:hAnsi="Verdana" w:cs="Arial"/>
                <w:sz w:val="16"/>
                <w:szCs w:val="16"/>
                <w:lang w:eastAsia="es-ES"/>
              </w:rPr>
              <w:t xml:space="preserve"> de la Subdirección de Gestión Contractual</w:t>
            </w:r>
          </w:p>
        </w:tc>
      </w:tr>
      <w:tr w:rsidR="00187855" w:rsidRPr="00CC5C68" w14:paraId="6F0C4FDE" w14:textId="77777777" w:rsidTr="09D739D3">
        <w:trPr>
          <w:trHeight w:val="299"/>
        </w:trPr>
        <w:tc>
          <w:tcPr>
            <w:tcW w:w="893" w:type="dxa"/>
            <w:vAlign w:val="center"/>
            <w:hideMark/>
          </w:tcPr>
          <w:p w14:paraId="64C91937" w14:textId="77777777" w:rsidR="00187855" w:rsidRPr="00CC5C68" w:rsidRDefault="00187855" w:rsidP="00E075F9">
            <w:pPr>
              <w:rPr>
                <w:rFonts w:ascii="Verdana" w:eastAsia="Times New Roman" w:hAnsi="Verdana" w:cs="Arial"/>
                <w:sz w:val="14"/>
                <w:szCs w:val="14"/>
                <w:lang w:eastAsia="es-ES"/>
              </w:rPr>
            </w:pPr>
            <w:r w:rsidRPr="00CC5C68">
              <w:rPr>
                <w:rFonts w:ascii="Verdana" w:eastAsia="Times New Roman" w:hAnsi="Verdana" w:cs="Arial"/>
                <w:sz w:val="16"/>
                <w:szCs w:val="16"/>
                <w:lang w:eastAsia="es-ES"/>
              </w:rPr>
              <w:t>Revisó:</w:t>
            </w:r>
          </w:p>
        </w:tc>
        <w:tc>
          <w:tcPr>
            <w:tcW w:w="4777" w:type="dxa"/>
            <w:vAlign w:val="center"/>
            <w:hideMark/>
          </w:tcPr>
          <w:p w14:paraId="11D93657" w14:textId="475D5DCF" w:rsidR="00187855" w:rsidRPr="00CC5C68" w:rsidRDefault="00EC5A97" w:rsidP="09D739D3">
            <w:pPr>
              <w:rPr>
                <w:rFonts w:ascii="Verdana" w:eastAsia="Times New Roman" w:hAnsi="Verdana" w:cs="Arial"/>
                <w:sz w:val="16"/>
                <w:szCs w:val="16"/>
                <w:lang w:val="es-ES" w:eastAsia="es-ES"/>
              </w:rPr>
            </w:pPr>
            <w:r w:rsidRPr="09D739D3">
              <w:rPr>
                <w:rFonts w:ascii="Verdana" w:eastAsia="Times New Roman" w:hAnsi="Verdana" w:cs="Arial"/>
                <w:sz w:val="16"/>
                <w:szCs w:val="16"/>
                <w:lang w:val="es-ES" w:eastAsia="es-ES"/>
              </w:rPr>
              <w:t xml:space="preserve">Juan Carlos </w:t>
            </w:r>
            <w:proofErr w:type="spellStart"/>
            <w:r w:rsidRPr="09D739D3">
              <w:rPr>
                <w:rFonts w:ascii="Verdana" w:eastAsia="Times New Roman" w:hAnsi="Verdana" w:cs="Arial"/>
                <w:sz w:val="16"/>
                <w:szCs w:val="16"/>
                <w:lang w:val="es-ES" w:eastAsia="es-ES"/>
              </w:rPr>
              <w:t>Gonzalez</w:t>
            </w:r>
            <w:proofErr w:type="spellEnd"/>
          </w:p>
          <w:p w14:paraId="55065589" w14:textId="2FB3AD40" w:rsidR="00187855" w:rsidRPr="00CC5C68" w:rsidRDefault="00EC5A97" w:rsidP="00E075F9">
            <w:pPr>
              <w:rPr>
                <w:rFonts w:ascii="Verdana" w:eastAsia="Times New Roman" w:hAnsi="Verdana" w:cs="Arial"/>
                <w:sz w:val="14"/>
                <w:szCs w:val="14"/>
                <w:lang w:eastAsia="es-ES"/>
              </w:rPr>
            </w:pPr>
            <w:r>
              <w:rPr>
                <w:rFonts w:ascii="Verdana" w:eastAsia="Times New Roman" w:hAnsi="Verdana" w:cs="Arial"/>
                <w:sz w:val="16"/>
                <w:szCs w:val="16"/>
                <w:lang w:eastAsia="es-ES"/>
              </w:rPr>
              <w:t>Contratista</w:t>
            </w:r>
            <w:r w:rsidR="00187855" w:rsidRPr="00CC5C68">
              <w:rPr>
                <w:rFonts w:ascii="Verdana" w:eastAsia="Times New Roman" w:hAnsi="Verdana" w:cs="Arial"/>
                <w:sz w:val="16"/>
                <w:szCs w:val="16"/>
                <w:lang w:eastAsia="es-ES"/>
              </w:rPr>
              <w:t xml:space="preserve"> de la Subdirección de Gestión Contractual</w:t>
            </w:r>
          </w:p>
        </w:tc>
      </w:tr>
      <w:tr w:rsidR="00187855" w:rsidRPr="00CC5C68" w14:paraId="7D1EC642" w14:textId="77777777" w:rsidTr="09D739D3">
        <w:trPr>
          <w:trHeight w:val="272"/>
        </w:trPr>
        <w:tc>
          <w:tcPr>
            <w:tcW w:w="893" w:type="dxa"/>
            <w:vAlign w:val="center"/>
            <w:hideMark/>
          </w:tcPr>
          <w:p w14:paraId="4660F574" w14:textId="77777777" w:rsidR="00187855" w:rsidRPr="00CC5C68" w:rsidRDefault="00187855" w:rsidP="00E075F9">
            <w:pPr>
              <w:rPr>
                <w:rFonts w:ascii="Verdana" w:eastAsia="Times New Roman" w:hAnsi="Verdana" w:cs="Arial"/>
                <w:sz w:val="14"/>
                <w:szCs w:val="14"/>
                <w:lang w:eastAsia="es-ES"/>
              </w:rPr>
            </w:pPr>
            <w:r w:rsidRPr="00CC5C68">
              <w:rPr>
                <w:rFonts w:ascii="Verdana" w:eastAsia="Times New Roman" w:hAnsi="Verdana" w:cs="Arial"/>
                <w:sz w:val="16"/>
                <w:szCs w:val="16"/>
                <w:lang w:eastAsia="es-ES"/>
              </w:rPr>
              <w:t>Aprobó:</w:t>
            </w:r>
          </w:p>
        </w:tc>
        <w:tc>
          <w:tcPr>
            <w:tcW w:w="4777" w:type="dxa"/>
            <w:vAlign w:val="center"/>
            <w:hideMark/>
          </w:tcPr>
          <w:p w14:paraId="10B53C15" w14:textId="77777777" w:rsidR="00187855" w:rsidRPr="00CC5C68" w:rsidRDefault="00187855" w:rsidP="00E075F9">
            <w:pPr>
              <w:rPr>
                <w:rFonts w:ascii="Verdana" w:eastAsia="Times New Roman" w:hAnsi="Verdana" w:cs="Arial"/>
                <w:sz w:val="16"/>
                <w:szCs w:val="16"/>
                <w:lang w:eastAsia="es-ES"/>
              </w:rPr>
            </w:pPr>
            <w:r w:rsidRPr="00CC5C68">
              <w:rPr>
                <w:rFonts w:ascii="Verdana" w:eastAsia="Times New Roman" w:hAnsi="Verdana" w:cs="Arial"/>
                <w:sz w:val="16"/>
                <w:szCs w:val="16"/>
                <w:lang w:eastAsia="es-ES"/>
              </w:rPr>
              <w:t xml:space="preserve">Carolina Quintero </w:t>
            </w:r>
            <w:proofErr w:type="spellStart"/>
            <w:r w:rsidRPr="00CC5C68">
              <w:rPr>
                <w:rFonts w:ascii="Verdana" w:eastAsia="Times New Roman" w:hAnsi="Verdana" w:cs="Arial"/>
                <w:sz w:val="16"/>
                <w:szCs w:val="16"/>
                <w:lang w:eastAsia="es-ES"/>
              </w:rPr>
              <w:t>Gacharná</w:t>
            </w:r>
            <w:proofErr w:type="spellEnd"/>
          </w:p>
          <w:p w14:paraId="13CEBC69" w14:textId="77777777" w:rsidR="00187855" w:rsidRPr="00CC5C68" w:rsidRDefault="00187855" w:rsidP="00E075F9">
            <w:pPr>
              <w:rPr>
                <w:rFonts w:ascii="Verdana" w:eastAsia="Times New Roman" w:hAnsi="Verdana" w:cs="Arial"/>
                <w:sz w:val="14"/>
                <w:szCs w:val="14"/>
                <w:lang w:eastAsia="es-ES"/>
              </w:rPr>
            </w:pPr>
            <w:r w:rsidRPr="00CC5C68">
              <w:rPr>
                <w:rFonts w:ascii="Verdana" w:eastAsia="Times New Roman" w:hAnsi="Verdana" w:cs="Arial"/>
                <w:sz w:val="16"/>
                <w:szCs w:val="16"/>
                <w:lang w:eastAsia="es-ES"/>
              </w:rPr>
              <w:t>Subdirectora de Gestión Contractual ANCP – CCE</w:t>
            </w:r>
          </w:p>
        </w:tc>
      </w:tr>
    </w:tbl>
    <w:p w14:paraId="20A8C212" w14:textId="77777777" w:rsidR="00187855" w:rsidRPr="00CC5C68" w:rsidRDefault="00187855" w:rsidP="00187855">
      <w:pPr>
        <w:spacing w:after="0" w:line="276" w:lineRule="auto"/>
        <w:jc w:val="both"/>
        <w:rPr>
          <w:rFonts w:ascii="Verdana" w:eastAsia="Times New Roman" w:hAnsi="Verdana" w:cs="Arial"/>
          <w:lang w:val="es-ES_tradnl"/>
        </w:rPr>
      </w:pPr>
    </w:p>
    <w:p w14:paraId="0529FC31" w14:textId="77777777" w:rsidR="00187855" w:rsidRPr="00CC5C68" w:rsidRDefault="00187855" w:rsidP="00187855">
      <w:pPr>
        <w:spacing w:after="0" w:line="240" w:lineRule="auto"/>
        <w:rPr>
          <w:rFonts w:ascii="Verdana" w:eastAsia="Times New Roman" w:hAnsi="Verdana" w:cs="Arial"/>
          <w:sz w:val="24"/>
          <w:szCs w:val="24"/>
          <w:lang w:eastAsia="es-ES_tradnl"/>
        </w:rPr>
      </w:pPr>
    </w:p>
    <w:p w14:paraId="36BC9A80" w14:textId="77777777" w:rsidR="00187855" w:rsidRPr="00CC5C68" w:rsidRDefault="00187855" w:rsidP="00187855">
      <w:pPr>
        <w:rPr>
          <w:rFonts w:ascii="Verdana" w:hAnsi="Verdana"/>
        </w:rPr>
      </w:pPr>
    </w:p>
    <w:p w14:paraId="7C7FEAE7" w14:textId="77777777" w:rsidR="00187855" w:rsidRPr="002A2C48" w:rsidRDefault="00187855" w:rsidP="00187855"/>
    <w:p w14:paraId="079E8C50" w14:textId="77777777" w:rsidR="00C24FFE" w:rsidRPr="00187855" w:rsidRDefault="00C24FFE" w:rsidP="00187855"/>
    <w:sectPr w:rsidR="00C24FFE" w:rsidRPr="00187855" w:rsidSect="00187855">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BDF3FE" w14:textId="77777777" w:rsidR="00286F1D" w:rsidRDefault="00286F1D" w:rsidP="00187855">
      <w:pPr>
        <w:spacing w:after="0" w:line="240" w:lineRule="auto"/>
      </w:pPr>
      <w:r>
        <w:separator/>
      </w:r>
    </w:p>
  </w:endnote>
  <w:endnote w:type="continuationSeparator" w:id="0">
    <w:p w14:paraId="1C86A657" w14:textId="77777777" w:rsidR="00286F1D" w:rsidRDefault="00286F1D" w:rsidP="001878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36DF6F" w14:textId="77777777" w:rsidR="00187855" w:rsidRDefault="00187855">
    <w:pPr>
      <w:pStyle w:val="Piedepgina"/>
    </w:pPr>
  </w:p>
  <w:p w14:paraId="59268395" w14:textId="77777777" w:rsidR="00187855" w:rsidRPr="00174B77" w:rsidRDefault="00187855"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3592D84D" w14:textId="77777777" w:rsidR="00187855" w:rsidRDefault="00187855"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5D80CE66" w14:textId="77777777" w:rsidR="00187855" w:rsidRPr="00E41027" w:rsidRDefault="00187855" w:rsidP="00D520D8">
    <w:pPr>
      <w:spacing w:after="0"/>
      <w:jc w:val="both"/>
      <w:rPr>
        <w:rFonts w:ascii="Verdana" w:hAnsi="Verdana"/>
        <w:sz w:val="18"/>
        <w:szCs w:val="18"/>
      </w:rPr>
    </w:pPr>
    <w:r w:rsidRPr="00E41027">
      <w:rPr>
        <w:rFonts w:ascii="Verdana" w:hAnsi="Verdana"/>
        <w:sz w:val="18"/>
        <w:szCs w:val="18"/>
      </w:rPr>
      <w:t>Mesa de servicio: (+57) 601 7456788</w:t>
    </w:r>
  </w:p>
  <w:p w14:paraId="317B0363" w14:textId="77777777" w:rsidR="00187855" w:rsidRDefault="00187855"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9AAE42" w14:textId="77777777" w:rsidR="00286F1D" w:rsidRDefault="00286F1D" w:rsidP="00187855">
      <w:pPr>
        <w:spacing w:after="0" w:line="240" w:lineRule="auto"/>
      </w:pPr>
      <w:r>
        <w:separator/>
      </w:r>
    </w:p>
  </w:footnote>
  <w:footnote w:type="continuationSeparator" w:id="0">
    <w:p w14:paraId="6E0A73CB" w14:textId="77777777" w:rsidR="00286F1D" w:rsidRDefault="00286F1D" w:rsidP="00187855">
      <w:pPr>
        <w:spacing w:after="0" w:line="240" w:lineRule="auto"/>
      </w:pPr>
      <w:r>
        <w:continuationSeparator/>
      </w:r>
    </w:p>
  </w:footnote>
  <w:footnote w:id="1">
    <w:p w14:paraId="53B28727" w14:textId="77777777" w:rsidR="00624B56" w:rsidRPr="00020A5B" w:rsidRDefault="00624B56" w:rsidP="00020A5B">
      <w:pPr>
        <w:pStyle w:val="Textonotapie"/>
        <w:ind w:right="51" w:firstLine="709"/>
        <w:contextualSpacing/>
        <w:jc w:val="both"/>
        <w:rPr>
          <w:rFonts w:ascii="Verdana" w:hAnsi="Verdana" w:cs="Arial"/>
          <w:sz w:val="16"/>
          <w:szCs w:val="16"/>
        </w:rPr>
      </w:pPr>
      <w:r w:rsidRPr="00020A5B">
        <w:rPr>
          <w:rStyle w:val="Refdenotaalpie"/>
          <w:rFonts w:ascii="Verdana" w:hAnsi="Verdana" w:cs="Arial"/>
          <w:sz w:val="16"/>
          <w:szCs w:val="16"/>
        </w:rPr>
        <w:footnoteRef/>
      </w:r>
      <w:r w:rsidRPr="00020A5B">
        <w:rPr>
          <w:rFonts w:ascii="Verdana" w:hAnsi="Verdana" w:cs="Arial"/>
          <w:sz w:val="16"/>
          <w:szCs w:val="16"/>
        </w:rPr>
        <w:t xml:space="preserve"> “</w:t>
      </w:r>
      <w:r w:rsidRPr="00020A5B">
        <w:rPr>
          <w:rFonts w:ascii="Verdana" w:hAnsi="Verdana" w:cs="Arial"/>
          <w:sz w:val="16"/>
          <w:szCs w:val="16"/>
          <w:lang w:val="es-ES"/>
        </w:rPr>
        <w:t xml:space="preserve">[25] </w:t>
      </w:r>
      <w:r w:rsidRPr="00020A5B">
        <w:rPr>
          <w:rFonts w:ascii="Verdana" w:hAnsi="Verdana" w:cs="Arial"/>
          <w:sz w:val="16"/>
          <w:szCs w:val="16"/>
        </w:rPr>
        <w:t>Cfr. Consejo de Estado. Sección Tercera. Sentencia de 3 de diciembre de 2007. Radicados: 24.715, 25.206, 25.409, 24.524, 27.834, 25.410, 26.105, 28.244, 31.447 -acumulados-”.</w:t>
      </w:r>
    </w:p>
    <w:p w14:paraId="20D656A0" w14:textId="77777777" w:rsidR="00B93D47" w:rsidRPr="00020A5B" w:rsidRDefault="00B93D47" w:rsidP="00020A5B">
      <w:pPr>
        <w:pStyle w:val="Textonotapie"/>
        <w:ind w:right="51" w:firstLine="709"/>
        <w:contextualSpacing/>
        <w:jc w:val="both"/>
        <w:rPr>
          <w:rFonts w:ascii="Verdana" w:hAnsi="Verdana" w:cs="Arial"/>
          <w:sz w:val="16"/>
          <w:szCs w:val="16"/>
        </w:rPr>
      </w:pPr>
    </w:p>
  </w:footnote>
  <w:footnote w:id="2">
    <w:p w14:paraId="02F7D643" w14:textId="77777777" w:rsidR="00624B56" w:rsidRPr="00020A5B" w:rsidRDefault="00624B56" w:rsidP="00020A5B">
      <w:pPr>
        <w:pStyle w:val="Textonotapie"/>
        <w:ind w:right="51" w:firstLine="709"/>
        <w:contextualSpacing/>
        <w:jc w:val="both"/>
        <w:rPr>
          <w:rFonts w:ascii="Verdana" w:hAnsi="Verdana" w:cs="Arial"/>
          <w:sz w:val="16"/>
          <w:szCs w:val="16"/>
        </w:rPr>
      </w:pPr>
      <w:r w:rsidRPr="00020A5B">
        <w:rPr>
          <w:rStyle w:val="Refdenotaalpie"/>
          <w:rFonts w:ascii="Verdana" w:hAnsi="Verdana" w:cs="Arial"/>
          <w:sz w:val="16"/>
          <w:szCs w:val="16"/>
        </w:rPr>
        <w:footnoteRef/>
      </w:r>
      <w:r w:rsidRPr="00020A5B">
        <w:rPr>
          <w:rFonts w:ascii="Verdana" w:hAnsi="Verdana" w:cs="Arial"/>
          <w:sz w:val="16"/>
          <w:szCs w:val="16"/>
        </w:rPr>
        <w:t xml:space="preserve"> </w:t>
      </w:r>
      <w:bookmarkStart w:id="3" w:name="_Hlk74294506"/>
      <w:r w:rsidRPr="00020A5B">
        <w:rPr>
          <w:rFonts w:ascii="Verdana" w:hAnsi="Verdana" w:cs="Arial"/>
          <w:sz w:val="16"/>
          <w:szCs w:val="16"/>
        </w:rPr>
        <w:t>“</w:t>
      </w:r>
      <w:r w:rsidRPr="00020A5B">
        <w:rPr>
          <w:rFonts w:ascii="Verdana" w:hAnsi="Verdana" w:cs="Arial"/>
          <w:sz w:val="16"/>
          <w:szCs w:val="16"/>
          <w:lang w:val="es-ES"/>
        </w:rPr>
        <w:t xml:space="preserve">[26] </w:t>
      </w:r>
      <w:bookmarkEnd w:id="3"/>
      <w:r w:rsidRPr="00020A5B">
        <w:rPr>
          <w:rFonts w:ascii="Verdana" w:hAnsi="Verdana" w:cs="Arial"/>
          <w:sz w:val="16"/>
          <w:szCs w:val="16"/>
        </w:rPr>
        <w:t>Al respecto ver el concepto 1712 de 2 de febrero de 2006. Consejo de Estado Sala de Consulta y Servicio Civil”.</w:t>
      </w:r>
    </w:p>
    <w:p w14:paraId="1A8FF1BD" w14:textId="77777777" w:rsidR="00B93D47" w:rsidRPr="00020A5B" w:rsidRDefault="00B93D47" w:rsidP="00020A5B">
      <w:pPr>
        <w:pStyle w:val="Textonotapie"/>
        <w:ind w:right="51" w:firstLine="709"/>
        <w:contextualSpacing/>
        <w:jc w:val="both"/>
        <w:rPr>
          <w:rFonts w:ascii="Verdana" w:hAnsi="Verdana" w:cs="Arial"/>
          <w:sz w:val="16"/>
          <w:szCs w:val="16"/>
        </w:rPr>
      </w:pPr>
    </w:p>
  </w:footnote>
  <w:footnote w:id="3">
    <w:p w14:paraId="78E37BD0" w14:textId="77777777" w:rsidR="00624B56" w:rsidRPr="00020A5B" w:rsidRDefault="00624B56" w:rsidP="00020A5B">
      <w:pPr>
        <w:pStyle w:val="Textonotapie"/>
        <w:ind w:firstLine="709"/>
        <w:contextualSpacing/>
        <w:jc w:val="both"/>
        <w:rPr>
          <w:rFonts w:ascii="Verdana" w:hAnsi="Verdana" w:cs="Arial"/>
          <w:sz w:val="16"/>
          <w:szCs w:val="16"/>
        </w:rPr>
      </w:pPr>
      <w:r w:rsidRPr="00020A5B">
        <w:rPr>
          <w:rStyle w:val="Refdenotaalpie"/>
          <w:rFonts w:ascii="Verdana" w:hAnsi="Verdana" w:cs="Arial"/>
          <w:sz w:val="16"/>
          <w:szCs w:val="16"/>
        </w:rPr>
        <w:footnoteRef/>
      </w:r>
      <w:r w:rsidRPr="00020A5B">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p w14:paraId="008EE337" w14:textId="77777777" w:rsidR="00B93D47" w:rsidRPr="00020A5B" w:rsidRDefault="00B93D47" w:rsidP="00020A5B">
      <w:pPr>
        <w:pStyle w:val="Textonotapie"/>
        <w:ind w:firstLine="709"/>
        <w:contextualSpacing/>
        <w:jc w:val="both"/>
        <w:rPr>
          <w:rFonts w:ascii="Verdana" w:hAnsi="Verdana" w:cs="Arial"/>
          <w:sz w:val="16"/>
          <w:szCs w:val="16"/>
        </w:rPr>
      </w:pPr>
    </w:p>
  </w:footnote>
  <w:footnote w:id="4">
    <w:p w14:paraId="4A11D29A" w14:textId="77777777" w:rsidR="00624B56" w:rsidRPr="00020A5B" w:rsidRDefault="00624B56" w:rsidP="00020A5B">
      <w:pPr>
        <w:pStyle w:val="Textonotapie"/>
        <w:ind w:firstLine="709"/>
        <w:contextualSpacing/>
        <w:jc w:val="both"/>
        <w:rPr>
          <w:rFonts w:ascii="Verdana" w:hAnsi="Verdana" w:cs="Arial"/>
          <w:sz w:val="16"/>
          <w:szCs w:val="16"/>
          <w:lang w:val="es-ES"/>
        </w:rPr>
      </w:pPr>
      <w:r w:rsidRPr="00020A5B">
        <w:rPr>
          <w:rStyle w:val="Refdenotaalpie"/>
          <w:rFonts w:ascii="Verdana" w:hAnsi="Verdana" w:cs="Arial"/>
          <w:sz w:val="16"/>
          <w:szCs w:val="16"/>
        </w:rPr>
        <w:footnoteRef/>
      </w:r>
      <w:r w:rsidRPr="00020A5B">
        <w:rPr>
          <w:rFonts w:ascii="Verdana" w:hAnsi="Verdana" w:cs="Arial"/>
          <w:sz w:val="16"/>
          <w:szCs w:val="16"/>
        </w:rPr>
        <w:t xml:space="preserve"> </w:t>
      </w:r>
      <w:r w:rsidRPr="00020A5B">
        <w:rPr>
          <w:rFonts w:ascii="Verdana" w:hAnsi="Verdana" w:cs="Arial"/>
          <w:sz w:val="16"/>
          <w:szCs w:val="16"/>
          <w:lang w:val="es-ES"/>
        </w:rPr>
        <w:t xml:space="preserve">Artículo 2. </w:t>
      </w:r>
    </w:p>
  </w:footnote>
  <w:footnote w:id="5">
    <w:p w14:paraId="599A52EA" w14:textId="77777777" w:rsidR="00B93D47" w:rsidRPr="00020A5B" w:rsidRDefault="00B93D47" w:rsidP="00020A5B">
      <w:pPr>
        <w:pStyle w:val="Textonotapie"/>
        <w:ind w:firstLine="709"/>
        <w:contextualSpacing/>
        <w:jc w:val="both"/>
        <w:rPr>
          <w:rFonts w:ascii="Verdana" w:hAnsi="Verdana" w:cs="Arial"/>
          <w:sz w:val="16"/>
          <w:szCs w:val="16"/>
        </w:rPr>
      </w:pPr>
    </w:p>
    <w:p w14:paraId="28C9280D" w14:textId="04AF714D" w:rsidR="00624B56" w:rsidRPr="00020A5B" w:rsidRDefault="00624B56" w:rsidP="00020A5B">
      <w:pPr>
        <w:pStyle w:val="Textonotapie"/>
        <w:ind w:firstLine="709"/>
        <w:contextualSpacing/>
        <w:jc w:val="both"/>
        <w:rPr>
          <w:rFonts w:ascii="Verdana" w:hAnsi="Verdana" w:cs="Arial"/>
          <w:sz w:val="16"/>
          <w:szCs w:val="16"/>
          <w:lang w:val="es-ES"/>
        </w:rPr>
      </w:pPr>
      <w:r w:rsidRPr="00020A5B">
        <w:rPr>
          <w:rStyle w:val="Refdenotaalpie"/>
          <w:rFonts w:ascii="Verdana" w:hAnsi="Verdana" w:cs="Arial"/>
          <w:sz w:val="16"/>
          <w:szCs w:val="16"/>
        </w:rPr>
        <w:footnoteRef/>
      </w:r>
      <w:r w:rsidRPr="00020A5B">
        <w:rPr>
          <w:rFonts w:ascii="Verdana" w:hAnsi="Verdana" w:cs="Arial"/>
          <w:sz w:val="16"/>
          <w:szCs w:val="16"/>
        </w:rPr>
        <w:t xml:space="preserve"> </w:t>
      </w:r>
      <w:r w:rsidRPr="00020A5B">
        <w:rPr>
          <w:rFonts w:ascii="Verdana" w:hAnsi="Verdana" w:cs="Arial"/>
          <w:i/>
          <w:sz w:val="16"/>
          <w:szCs w:val="16"/>
          <w:lang w:val="es-ES"/>
        </w:rPr>
        <w:t>Ídem</w:t>
      </w:r>
      <w:r w:rsidRPr="00020A5B">
        <w:rPr>
          <w:rFonts w:ascii="Verdana" w:hAnsi="Verdana" w:cs="Arial"/>
          <w:sz w:val="16"/>
          <w:szCs w:val="16"/>
          <w:lang w:val="es-ES"/>
        </w:rPr>
        <w:t>.</w:t>
      </w:r>
    </w:p>
  </w:footnote>
  <w:footnote w:id="6">
    <w:p w14:paraId="481246DA" w14:textId="77777777" w:rsidR="00624B56" w:rsidRPr="00020A5B" w:rsidRDefault="00624B56" w:rsidP="00020A5B">
      <w:pPr>
        <w:pStyle w:val="Textonotapie"/>
        <w:ind w:firstLine="709"/>
        <w:contextualSpacing/>
        <w:jc w:val="both"/>
        <w:rPr>
          <w:rFonts w:ascii="Verdana" w:hAnsi="Verdana" w:cs="Arial"/>
          <w:sz w:val="16"/>
          <w:szCs w:val="16"/>
          <w:lang w:val="es-ES"/>
        </w:rPr>
      </w:pPr>
      <w:r w:rsidRPr="00020A5B">
        <w:rPr>
          <w:rStyle w:val="Refdenotaalpie"/>
          <w:rFonts w:ascii="Verdana" w:hAnsi="Verdana" w:cs="Arial"/>
          <w:sz w:val="16"/>
          <w:szCs w:val="16"/>
        </w:rPr>
        <w:footnoteRef/>
      </w:r>
      <w:r w:rsidRPr="00020A5B">
        <w:rPr>
          <w:rStyle w:val="Refdenotaalpie"/>
          <w:rFonts w:ascii="Verdana" w:hAnsi="Verdana" w:cs="Arial"/>
          <w:sz w:val="16"/>
          <w:szCs w:val="16"/>
        </w:rPr>
        <w:t xml:space="preserve"> </w:t>
      </w:r>
      <w:r w:rsidRPr="00020A5B">
        <w:rPr>
          <w:rFonts w:ascii="Verdana" w:hAnsi="Verdana" w:cs="Arial"/>
          <w:sz w:val="16"/>
          <w:szCs w:val="16"/>
          <w:lang w:val="es-ES"/>
        </w:rPr>
        <w:t xml:space="preserve">“[…] A este respecto, cabe recordar que el artículo 860 del Código de Comercio regula la licitación en el derecho privado”. </w:t>
      </w:r>
    </w:p>
    <w:p w14:paraId="0A5FB58B" w14:textId="77777777" w:rsidR="009D66B0" w:rsidRPr="00020A5B" w:rsidRDefault="009D66B0" w:rsidP="00020A5B">
      <w:pPr>
        <w:pStyle w:val="Textonotapie"/>
        <w:ind w:firstLine="709"/>
        <w:contextualSpacing/>
        <w:jc w:val="both"/>
        <w:rPr>
          <w:rFonts w:ascii="Verdana" w:hAnsi="Verdana" w:cs="Arial"/>
          <w:sz w:val="16"/>
          <w:szCs w:val="16"/>
          <w:lang w:val="es-ES"/>
        </w:rPr>
      </w:pPr>
    </w:p>
  </w:footnote>
  <w:footnote w:id="7">
    <w:p w14:paraId="0034E1A8" w14:textId="77777777" w:rsidR="00624B56" w:rsidRPr="00020A5B" w:rsidRDefault="00624B56" w:rsidP="00020A5B">
      <w:pPr>
        <w:shd w:val="clear" w:color="auto" w:fill="FFFFFF"/>
        <w:spacing w:after="0" w:line="240" w:lineRule="auto"/>
        <w:ind w:firstLine="709"/>
        <w:contextualSpacing/>
        <w:jc w:val="both"/>
        <w:rPr>
          <w:rFonts w:ascii="Verdana" w:hAnsi="Verdana" w:cs="Arial"/>
          <w:sz w:val="16"/>
          <w:szCs w:val="16"/>
          <w:lang w:val="es-ES"/>
        </w:rPr>
      </w:pPr>
      <w:r w:rsidRPr="00020A5B">
        <w:rPr>
          <w:rStyle w:val="Refdenotaalpie"/>
          <w:rFonts w:ascii="Verdana" w:hAnsi="Verdana" w:cs="Arial"/>
          <w:sz w:val="16"/>
          <w:szCs w:val="16"/>
        </w:rPr>
        <w:footnoteRef/>
      </w:r>
      <w:r w:rsidRPr="00020A5B">
        <w:rPr>
          <w:rStyle w:val="Refdenotaalpie"/>
          <w:rFonts w:ascii="Verdana" w:hAnsi="Verdana" w:cs="Arial"/>
          <w:sz w:val="16"/>
          <w:szCs w:val="16"/>
        </w:rPr>
        <w:t xml:space="preserve"> </w:t>
      </w:r>
      <w:r w:rsidRPr="00020A5B">
        <w:rPr>
          <w:rFonts w:ascii="Verdana" w:hAnsi="Verdana" w:cs="Arial"/>
          <w:sz w:val="16"/>
          <w:szCs w:val="16"/>
          <w:lang w:val="es-ES"/>
        </w:rPr>
        <w:t>Consejo de Estado. Sala de Consulta y Servicio Civil, Concepto de 8 de mayo de 2018. Radicación Número: 11001-03-06-000-2018-00095-00(2382). Consejero Ponente: Álvaro Namén Vargas.</w:t>
      </w:r>
    </w:p>
  </w:footnote>
  <w:footnote w:id="8">
    <w:p w14:paraId="47AF1B75" w14:textId="77777777" w:rsidR="009D66B0" w:rsidRPr="00020A5B" w:rsidRDefault="009D66B0" w:rsidP="00020A5B">
      <w:pPr>
        <w:pStyle w:val="Textonotapie"/>
        <w:ind w:firstLine="709"/>
        <w:contextualSpacing/>
        <w:jc w:val="both"/>
        <w:rPr>
          <w:rFonts w:ascii="Verdana" w:hAnsi="Verdana" w:cs="Arial"/>
          <w:sz w:val="16"/>
          <w:szCs w:val="16"/>
        </w:rPr>
      </w:pPr>
    </w:p>
    <w:p w14:paraId="07C18FF3" w14:textId="14C43EEF" w:rsidR="00624B56" w:rsidRPr="00020A5B" w:rsidRDefault="00624B56" w:rsidP="00020A5B">
      <w:pPr>
        <w:pStyle w:val="Textonotapie"/>
        <w:ind w:firstLine="709"/>
        <w:contextualSpacing/>
        <w:jc w:val="both"/>
        <w:rPr>
          <w:rFonts w:ascii="Verdana" w:hAnsi="Verdana" w:cs="Arial"/>
          <w:sz w:val="16"/>
          <w:szCs w:val="16"/>
        </w:rPr>
      </w:pPr>
      <w:r w:rsidRPr="00020A5B">
        <w:rPr>
          <w:rStyle w:val="Refdenotaalpie"/>
          <w:rFonts w:ascii="Verdana" w:hAnsi="Verdana" w:cs="Arial"/>
          <w:sz w:val="16"/>
          <w:szCs w:val="16"/>
        </w:rPr>
        <w:footnoteRef/>
      </w:r>
      <w:r w:rsidRPr="00020A5B">
        <w:rPr>
          <w:rFonts w:ascii="Verdana" w:hAnsi="Verdana" w:cs="Arial"/>
          <w:sz w:val="16"/>
          <w:szCs w:val="16"/>
        </w:rPr>
        <w:t xml:space="preserve"> Consejo de Estado. Sala de Consulta y Servicio Civil. Concepto del 08 de mayo de 2018. Exp. 2.382. C.P. Álvaro Namén Vargas.</w:t>
      </w:r>
    </w:p>
    <w:p w14:paraId="2E4E354B" w14:textId="77777777" w:rsidR="009D66B0" w:rsidRPr="00020A5B" w:rsidRDefault="009D66B0" w:rsidP="00020A5B">
      <w:pPr>
        <w:pStyle w:val="Textonotapie"/>
        <w:ind w:firstLine="709"/>
        <w:contextualSpacing/>
        <w:jc w:val="both"/>
        <w:rPr>
          <w:rFonts w:ascii="Verdana" w:hAnsi="Verdana" w:cs="Arial"/>
          <w:sz w:val="16"/>
          <w:szCs w:val="16"/>
        </w:rPr>
      </w:pPr>
    </w:p>
  </w:footnote>
  <w:footnote w:id="9">
    <w:p w14:paraId="27BC0D4F" w14:textId="77777777" w:rsidR="00624B56" w:rsidRPr="00020A5B" w:rsidRDefault="00624B56" w:rsidP="00020A5B">
      <w:pPr>
        <w:pStyle w:val="Textonotapie"/>
        <w:ind w:firstLine="709"/>
        <w:contextualSpacing/>
        <w:jc w:val="both"/>
        <w:rPr>
          <w:rFonts w:ascii="Verdana" w:hAnsi="Verdana" w:cs="Arial"/>
          <w:sz w:val="16"/>
          <w:szCs w:val="16"/>
        </w:rPr>
      </w:pPr>
      <w:r w:rsidRPr="00020A5B">
        <w:rPr>
          <w:rStyle w:val="Refdenotaalpie"/>
          <w:rFonts w:ascii="Verdana" w:hAnsi="Verdana" w:cs="Arial"/>
          <w:sz w:val="16"/>
          <w:szCs w:val="16"/>
        </w:rPr>
        <w:footnoteRef/>
      </w:r>
      <w:r w:rsidRPr="00020A5B">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p w14:paraId="1B8290ED" w14:textId="77777777" w:rsidR="00020A5B" w:rsidRPr="00020A5B" w:rsidRDefault="00020A5B" w:rsidP="00020A5B">
      <w:pPr>
        <w:pStyle w:val="Textonotapie"/>
        <w:ind w:firstLine="709"/>
        <w:contextualSpacing/>
        <w:jc w:val="both"/>
        <w:rPr>
          <w:rFonts w:ascii="Verdana" w:hAnsi="Verdana" w:cs="Arial"/>
          <w:sz w:val="16"/>
          <w:szCs w:val="16"/>
        </w:rPr>
      </w:pPr>
    </w:p>
  </w:footnote>
  <w:footnote w:id="10">
    <w:p w14:paraId="66132BBE" w14:textId="77777777" w:rsidR="00B015A8" w:rsidRPr="00020A5B" w:rsidRDefault="00B015A8" w:rsidP="00020A5B">
      <w:pPr>
        <w:spacing w:after="0" w:line="240" w:lineRule="auto"/>
        <w:ind w:firstLine="708"/>
        <w:contextualSpacing/>
        <w:jc w:val="both"/>
        <w:rPr>
          <w:rFonts w:ascii="Verdana" w:hAnsi="Verdana" w:cs="Arial"/>
          <w:color w:val="000000" w:themeColor="text1"/>
          <w:sz w:val="16"/>
          <w:szCs w:val="16"/>
          <w:lang w:val="es-ES"/>
        </w:rPr>
      </w:pPr>
      <w:r w:rsidRPr="00020A5B">
        <w:rPr>
          <w:rStyle w:val="Refdenotaalpie"/>
          <w:rFonts w:ascii="Verdana" w:hAnsi="Verdana" w:cs="Arial"/>
          <w:sz w:val="16"/>
          <w:szCs w:val="16"/>
        </w:rPr>
        <w:footnoteRef/>
      </w:r>
      <w:r w:rsidRPr="00020A5B">
        <w:rPr>
          <w:rFonts w:ascii="Verdana" w:hAnsi="Verdana" w:cs="Arial"/>
          <w:sz w:val="16"/>
          <w:szCs w:val="16"/>
        </w:rPr>
        <w:t xml:space="preserve"> Ley 80 de 1993. “</w:t>
      </w:r>
      <w:r w:rsidRPr="00020A5B">
        <w:rPr>
          <w:rFonts w:ascii="Verdana" w:hAnsi="Verdana" w:cs="Arial"/>
          <w:color w:val="000000" w:themeColor="text1"/>
          <w:sz w:val="16"/>
          <w:szCs w:val="16"/>
          <w:lang w:val="es-ES"/>
        </w:rPr>
        <w:t>ARTÍCULO 32. DE LOS CONTRATOS ESTATALES. Son contratos estatales todos los actos jurídicos generadores de obligaciones que celebren las entidades a que se refiere el presente estatuto, previstos en el derecho privado o en disposiciones especiales, o derivados del ejercicio de la autonomía de la voluntad, así como los que, a título enunciativo, se definen a continuación […]”.</w:t>
      </w:r>
    </w:p>
    <w:p w14:paraId="0881FDDB" w14:textId="77777777" w:rsidR="00B015A8" w:rsidRPr="00020A5B" w:rsidRDefault="00B015A8" w:rsidP="00020A5B">
      <w:pPr>
        <w:pStyle w:val="Textonotapie"/>
        <w:contextualSpacing/>
        <w:jc w:val="both"/>
        <w:rPr>
          <w:rFonts w:ascii="Verdana" w:hAnsi="Verdana" w:cs="Arial"/>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368650" w14:textId="77777777" w:rsidR="00187855" w:rsidRDefault="00187855">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737FF25D" wp14:editId="0E81DC77">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8240" behindDoc="0" locked="0" layoutInCell="1" allowOverlap="1" wp14:anchorId="26F36C51" wp14:editId="638F23E9">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7ECB723E" w14:textId="77777777" w:rsidR="00187855" w:rsidRDefault="00187855">
    <w:pPr>
      <w:pStyle w:val="Encabezado"/>
    </w:pPr>
  </w:p>
  <w:p w14:paraId="5DEAA3CA" w14:textId="77777777" w:rsidR="00187855" w:rsidRDefault="00187855" w:rsidP="004A305D">
    <w:pPr>
      <w:spacing w:after="0"/>
      <w:rPr>
        <w:rFonts w:ascii="Verdana" w:hAnsi="Verdana"/>
        <w:b/>
        <w:bCs/>
      </w:rPr>
    </w:pPr>
  </w:p>
  <w:p w14:paraId="0D9A728C" w14:textId="77777777" w:rsidR="00187855" w:rsidRPr="004A305D" w:rsidRDefault="00187855" w:rsidP="00B01B1A">
    <w:pPr>
      <w:spacing w:after="0" w:line="120" w:lineRule="auto"/>
      <w:rPr>
        <w:rFonts w:ascii="Century Gothic" w:eastAsia="Geo" w:hAnsi="Century Gothic" w:cs="Geo"/>
        <w:sz w:val="16"/>
        <w:szCs w:val="16"/>
        <w:lang w:eastAsia="es-CO"/>
      </w:rPr>
    </w:pPr>
  </w:p>
  <w:p w14:paraId="7929297E" w14:textId="77777777" w:rsidR="00187855" w:rsidRDefault="00187855"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6790895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7855"/>
    <w:rsid w:val="00020A5B"/>
    <w:rsid w:val="00064C04"/>
    <w:rsid w:val="00067BB4"/>
    <w:rsid w:val="000744B6"/>
    <w:rsid w:val="00085CC8"/>
    <w:rsid w:val="00095D58"/>
    <w:rsid w:val="000A124F"/>
    <w:rsid w:val="000A2B4E"/>
    <w:rsid w:val="000D3C2D"/>
    <w:rsid w:val="000D4E90"/>
    <w:rsid w:val="000D5783"/>
    <w:rsid w:val="00107E19"/>
    <w:rsid w:val="00126AC1"/>
    <w:rsid w:val="00135D5A"/>
    <w:rsid w:val="00145E4A"/>
    <w:rsid w:val="00161E67"/>
    <w:rsid w:val="00165C0B"/>
    <w:rsid w:val="0018614D"/>
    <w:rsid w:val="00187855"/>
    <w:rsid w:val="0019614C"/>
    <w:rsid w:val="001B0AF8"/>
    <w:rsid w:val="001C3A47"/>
    <w:rsid w:val="00221280"/>
    <w:rsid w:val="00222B0E"/>
    <w:rsid w:val="00244412"/>
    <w:rsid w:val="00255EAC"/>
    <w:rsid w:val="00286F1D"/>
    <w:rsid w:val="002B69D1"/>
    <w:rsid w:val="002D0EDA"/>
    <w:rsid w:val="002E3BF9"/>
    <w:rsid w:val="002F028B"/>
    <w:rsid w:val="003037A6"/>
    <w:rsid w:val="0031754D"/>
    <w:rsid w:val="00323E8C"/>
    <w:rsid w:val="003837CD"/>
    <w:rsid w:val="003A4F34"/>
    <w:rsid w:val="003E412A"/>
    <w:rsid w:val="003E6B58"/>
    <w:rsid w:val="003E72CA"/>
    <w:rsid w:val="003F7B98"/>
    <w:rsid w:val="00474DF4"/>
    <w:rsid w:val="00494144"/>
    <w:rsid w:val="004E2EEB"/>
    <w:rsid w:val="004F471F"/>
    <w:rsid w:val="00501634"/>
    <w:rsid w:val="00527739"/>
    <w:rsid w:val="00582479"/>
    <w:rsid w:val="005873FC"/>
    <w:rsid w:val="005923A2"/>
    <w:rsid w:val="005C7B28"/>
    <w:rsid w:val="00624B56"/>
    <w:rsid w:val="006B1B51"/>
    <w:rsid w:val="006C3193"/>
    <w:rsid w:val="006D1F82"/>
    <w:rsid w:val="006F4293"/>
    <w:rsid w:val="00707ECB"/>
    <w:rsid w:val="00720768"/>
    <w:rsid w:val="007230C1"/>
    <w:rsid w:val="00745748"/>
    <w:rsid w:val="00752875"/>
    <w:rsid w:val="00754393"/>
    <w:rsid w:val="007A3886"/>
    <w:rsid w:val="007E2C30"/>
    <w:rsid w:val="007E43EB"/>
    <w:rsid w:val="007E5CBA"/>
    <w:rsid w:val="007F0ECF"/>
    <w:rsid w:val="00800158"/>
    <w:rsid w:val="00820CE0"/>
    <w:rsid w:val="008737C4"/>
    <w:rsid w:val="00896374"/>
    <w:rsid w:val="008B49A3"/>
    <w:rsid w:val="008B6620"/>
    <w:rsid w:val="009514F7"/>
    <w:rsid w:val="009616B6"/>
    <w:rsid w:val="009D66B0"/>
    <w:rsid w:val="009E6E70"/>
    <w:rsid w:val="009E7E15"/>
    <w:rsid w:val="00A0121F"/>
    <w:rsid w:val="00A04810"/>
    <w:rsid w:val="00A10576"/>
    <w:rsid w:val="00A16436"/>
    <w:rsid w:val="00A3624E"/>
    <w:rsid w:val="00A6189F"/>
    <w:rsid w:val="00A73A3A"/>
    <w:rsid w:val="00A957EA"/>
    <w:rsid w:val="00AD0CCD"/>
    <w:rsid w:val="00AE27A9"/>
    <w:rsid w:val="00AE3815"/>
    <w:rsid w:val="00AE4CD2"/>
    <w:rsid w:val="00AF6210"/>
    <w:rsid w:val="00B015A8"/>
    <w:rsid w:val="00B01786"/>
    <w:rsid w:val="00B04DF4"/>
    <w:rsid w:val="00B056B8"/>
    <w:rsid w:val="00B7097E"/>
    <w:rsid w:val="00B8312A"/>
    <w:rsid w:val="00B93D47"/>
    <w:rsid w:val="00BA2DB8"/>
    <w:rsid w:val="00BB7A9D"/>
    <w:rsid w:val="00BC3C65"/>
    <w:rsid w:val="00C24FFE"/>
    <w:rsid w:val="00C27825"/>
    <w:rsid w:val="00C73761"/>
    <w:rsid w:val="00C93324"/>
    <w:rsid w:val="00CF39CF"/>
    <w:rsid w:val="00CF7867"/>
    <w:rsid w:val="00D24E05"/>
    <w:rsid w:val="00D35E4D"/>
    <w:rsid w:val="00D66371"/>
    <w:rsid w:val="00D73F00"/>
    <w:rsid w:val="00D97ED6"/>
    <w:rsid w:val="00DA68B5"/>
    <w:rsid w:val="00DB2160"/>
    <w:rsid w:val="00DB3CAF"/>
    <w:rsid w:val="00DC3A4A"/>
    <w:rsid w:val="00DC3D55"/>
    <w:rsid w:val="00DF31D1"/>
    <w:rsid w:val="00E21288"/>
    <w:rsid w:val="00E74B36"/>
    <w:rsid w:val="00E80ACF"/>
    <w:rsid w:val="00EA39A0"/>
    <w:rsid w:val="00EC5A97"/>
    <w:rsid w:val="00F44DFD"/>
    <w:rsid w:val="00F517AB"/>
    <w:rsid w:val="00F7394B"/>
    <w:rsid w:val="00F81DDB"/>
    <w:rsid w:val="00F9020A"/>
    <w:rsid w:val="00FF6762"/>
    <w:rsid w:val="09D739D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949D5A"/>
  <w15:chartTrackingRefBased/>
  <w15:docId w15:val="{B2C14908-F93E-4943-89D7-E8A625497A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5E4D"/>
    <w:rPr>
      <w:kern w:val="0"/>
      <w14:ligatures w14:val="none"/>
    </w:rPr>
  </w:style>
  <w:style w:type="paragraph" w:styleId="Ttulo1">
    <w:name w:val="heading 1"/>
    <w:basedOn w:val="Normal"/>
    <w:next w:val="Normal"/>
    <w:link w:val="Ttulo1Car"/>
    <w:uiPriority w:val="9"/>
    <w:qFormat/>
    <w:rsid w:val="0018785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unhideWhenUsed/>
    <w:qFormat/>
    <w:rsid w:val="0018785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187855"/>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187855"/>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187855"/>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18785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8785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8785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87855"/>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87855"/>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rsid w:val="00187855"/>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187855"/>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187855"/>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187855"/>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18785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8785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8785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87855"/>
    <w:rPr>
      <w:rFonts w:eastAsiaTheme="majorEastAsia" w:cstheme="majorBidi"/>
      <w:color w:val="272727" w:themeColor="text1" w:themeTint="D8"/>
    </w:rPr>
  </w:style>
  <w:style w:type="paragraph" w:styleId="Ttulo">
    <w:name w:val="Title"/>
    <w:basedOn w:val="Normal"/>
    <w:next w:val="Normal"/>
    <w:link w:val="TtuloCar"/>
    <w:uiPriority w:val="10"/>
    <w:qFormat/>
    <w:rsid w:val="0018785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8785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87855"/>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8785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87855"/>
    <w:pPr>
      <w:spacing w:before="160"/>
      <w:jc w:val="center"/>
    </w:pPr>
    <w:rPr>
      <w:i/>
      <w:iCs/>
      <w:color w:val="404040" w:themeColor="text1" w:themeTint="BF"/>
    </w:rPr>
  </w:style>
  <w:style w:type="character" w:customStyle="1" w:styleId="CitaCar">
    <w:name w:val="Cita Car"/>
    <w:basedOn w:val="Fuentedeprrafopredeter"/>
    <w:link w:val="Cita"/>
    <w:uiPriority w:val="29"/>
    <w:rsid w:val="00187855"/>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187855"/>
    <w:pPr>
      <w:ind w:left="720"/>
      <w:contextualSpacing/>
    </w:pPr>
  </w:style>
  <w:style w:type="character" w:styleId="nfasisintenso">
    <w:name w:val="Intense Emphasis"/>
    <w:basedOn w:val="Fuentedeprrafopredeter"/>
    <w:uiPriority w:val="21"/>
    <w:qFormat/>
    <w:rsid w:val="00187855"/>
    <w:rPr>
      <w:i/>
      <w:iCs/>
      <w:color w:val="2F5496" w:themeColor="accent1" w:themeShade="BF"/>
    </w:rPr>
  </w:style>
  <w:style w:type="paragraph" w:styleId="Citadestacada">
    <w:name w:val="Intense Quote"/>
    <w:basedOn w:val="Normal"/>
    <w:next w:val="Normal"/>
    <w:link w:val="CitadestacadaCar"/>
    <w:uiPriority w:val="30"/>
    <w:qFormat/>
    <w:rsid w:val="0018785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187855"/>
    <w:rPr>
      <w:i/>
      <w:iCs/>
      <w:color w:val="2F5496" w:themeColor="accent1" w:themeShade="BF"/>
    </w:rPr>
  </w:style>
  <w:style w:type="character" w:styleId="Referenciaintensa">
    <w:name w:val="Intense Reference"/>
    <w:basedOn w:val="Fuentedeprrafopredeter"/>
    <w:uiPriority w:val="32"/>
    <w:qFormat/>
    <w:rsid w:val="00187855"/>
    <w:rPr>
      <w:b/>
      <w:bCs/>
      <w:smallCaps/>
      <w:color w:val="2F5496" w:themeColor="accent1" w:themeShade="BF"/>
      <w:spacing w:val="5"/>
    </w:rPr>
  </w:style>
  <w:style w:type="paragraph" w:styleId="Encabezado">
    <w:name w:val="header"/>
    <w:basedOn w:val="Normal"/>
    <w:link w:val="EncabezadoCar"/>
    <w:uiPriority w:val="99"/>
    <w:unhideWhenUsed/>
    <w:rsid w:val="0018785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87855"/>
    <w:rPr>
      <w:kern w:val="0"/>
      <w14:ligatures w14:val="none"/>
    </w:rPr>
  </w:style>
  <w:style w:type="paragraph" w:styleId="Piedepgina">
    <w:name w:val="footer"/>
    <w:basedOn w:val="Normal"/>
    <w:link w:val="PiedepginaCar"/>
    <w:uiPriority w:val="99"/>
    <w:unhideWhenUsed/>
    <w:rsid w:val="0018785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87855"/>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187855"/>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187855"/>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187855"/>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187855"/>
    <w:rPr>
      <w:vertAlign w:val="superscript"/>
    </w:rPr>
  </w:style>
  <w:style w:type="character" w:customStyle="1" w:styleId="normaltextrun">
    <w:name w:val="normaltextrun"/>
    <w:basedOn w:val="Fuentedeprrafopredeter"/>
    <w:rsid w:val="00187855"/>
  </w:style>
  <w:style w:type="table" w:styleId="Tablaconcuadrcula">
    <w:name w:val="Table Grid"/>
    <w:basedOn w:val="Tablanormal"/>
    <w:uiPriority w:val="39"/>
    <w:qFormat/>
    <w:rsid w:val="00187855"/>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187855"/>
    <w:rPr>
      <w:color w:val="0000FF"/>
      <w:u w:val="single"/>
    </w:rPr>
  </w:style>
  <w:style w:type="paragraph" w:styleId="NormalWeb">
    <w:name w:val="Normal (Web)"/>
    <w:basedOn w:val="Normal"/>
    <w:uiPriority w:val="99"/>
    <w:semiHidden/>
    <w:unhideWhenUsed/>
    <w:rsid w:val="00187855"/>
    <w:pPr>
      <w:spacing w:before="100" w:beforeAutospacing="1" w:after="100" w:afterAutospacing="1" w:line="240" w:lineRule="auto"/>
    </w:pPr>
    <w:rPr>
      <w:rFonts w:ascii="Times New Roman" w:eastAsia="Times New Roman" w:hAnsi="Times New Roman" w:cs="Times New Roman"/>
      <w:sz w:val="24"/>
      <w:szCs w:val="24"/>
      <w:lang w:eastAsia="es-CO"/>
    </w:rPr>
  </w:style>
  <w:style w:type="table" w:customStyle="1" w:styleId="Tablaconcuadrcula1">
    <w:name w:val="Tabla con cuadrícula1"/>
    <w:basedOn w:val="Tablanormal"/>
    <w:next w:val="Tablaconcuadrcula"/>
    <w:uiPriority w:val="59"/>
    <w:rsid w:val="00187855"/>
    <w:pPr>
      <w:spacing w:after="0" w:line="240" w:lineRule="auto"/>
      <w:jc w:val="both"/>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187855"/>
    <w:pPr>
      <w:spacing w:line="240" w:lineRule="exact"/>
    </w:pPr>
    <w:rPr>
      <w:kern w:val="2"/>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87855"/>
  </w:style>
  <w:style w:type="character" w:styleId="Textoennegrita">
    <w:name w:val="Strong"/>
    <w:basedOn w:val="Fuentedeprrafopredeter"/>
    <w:uiPriority w:val="22"/>
    <w:qFormat/>
    <w:rsid w:val="00187855"/>
    <w:rPr>
      <w:b/>
      <w:bCs/>
    </w:rPr>
  </w:style>
  <w:style w:type="character" w:styleId="nfasis">
    <w:name w:val="Emphasis"/>
    <w:basedOn w:val="Fuentedeprrafopredeter"/>
    <w:uiPriority w:val="20"/>
    <w:qFormat/>
    <w:rsid w:val="00187855"/>
    <w:rPr>
      <w:i/>
      <w:iCs/>
    </w:rPr>
  </w:style>
  <w:style w:type="character" w:styleId="Mencinsinresolver">
    <w:name w:val="Unresolved Mention"/>
    <w:basedOn w:val="Fuentedeprrafopredeter"/>
    <w:uiPriority w:val="99"/>
    <w:semiHidden/>
    <w:unhideWhenUsed/>
    <w:rsid w:val="00067BB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4610024">
      <w:bodyDiv w:val="1"/>
      <w:marLeft w:val="0"/>
      <w:marRight w:val="0"/>
      <w:marTop w:val="0"/>
      <w:marBottom w:val="0"/>
      <w:divBdr>
        <w:top w:val="none" w:sz="0" w:space="0" w:color="auto"/>
        <w:left w:val="none" w:sz="0" w:space="0" w:color="auto"/>
        <w:bottom w:val="none" w:sz="0" w:space="0" w:color="auto"/>
        <w:right w:val="none" w:sz="0" w:space="0" w:color="auto"/>
      </w:divBdr>
      <w:divsChild>
        <w:div w:id="1350912748">
          <w:marLeft w:val="0"/>
          <w:marRight w:val="0"/>
          <w:marTop w:val="0"/>
          <w:marBottom w:val="0"/>
          <w:divBdr>
            <w:top w:val="none" w:sz="0" w:space="0" w:color="auto"/>
            <w:left w:val="none" w:sz="0" w:space="0" w:color="auto"/>
            <w:bottom w:val="none" w:sz="0" w:space="0" w:color="auto"/>
            <w:right w:val="none" w:sz="0" w:space="0" w:color="auto"/>
          </w:divBdr>
        </w:div>
        <w:div w:id="1865316331">
          <w:marLeft w:val="0"/>
          <w:marRight w:val="0"/>
          <w:marTop w:val="0"/>
          <w:marBottom w:val="0"/>
          <w:divBdr>
            <w:top w:val="none" w:sz="0" w:space="0" w:color="auto"/>
            <w:left w:val="none" w:sz="0" w:space="0" w:color="auto"/>
            <w:bottom w:val="none" w:sz="0" w:space="0" w:color="auto"/>
            <w:right w:val="none" w:sz="0" w:space="0" w:color="auto"/>
          </w:divBdr>
        </w:div>
        <w:div w:id="479149863">
          <w:marLeft w:val="0"/>
          <w:marRight w:val="0"/>
          <w:marTop w:val="0"/>
          <w:marBottom w:val="0"/>
          <w:divBdr>
            <w:top w:val="none" w:sz="0" w:space="0" w:color="auto"/>
            <w:left w:val="none" w:sz="0" w:space="0" w:color="auto"/>
            <w:bottom w:val="none" w:sz="0" w:space="0" w:color="auto"/>
            <w:right w:val="none" w:sz="0" w:space="0" w:color="auto"/>
          </w:divBdr>
        </w:div>
        <w:div w:id="1719697054">
          <w:marLeft w:val="0"/>
          <w:marRight w:val="0"/>
          <w:marTop w:val="240"/>
          <w:marBottom w:val="240"/>
          <w:divBdr>
            <w:top w:val="none" w:sz="0" w:space="0" w:color="auto"/>
            <w:left w:val="none" w:sz="0" w:space="0" w:color="auto"/>
            <w:bottom w:val="none" w:sz="0" w:space="0" w:color="auto"/>
            <w:right w:val="none" w:sz="0" w:space="0" w:color="auto"/>
          </w:divBdr>
        </w:div>
      </w:divsChild>
    </w:div>
    <w:div w:id="825895046">
      <w:bodyDiv w:val="1"/>
      <w:marLeft w:val="0"/>
      <w:marRight w:val="0"/>
      <w:marTop w:val="0"/>
      <w:marBottom w:val="0"/>
      <w:divBdr>
        <w:top w:val="none" w:sz="0" w:space="0" w:color="auto"/>
        <w:left w:val="none" w:sz="0" w:space="0" w:color="auto"/>
        <w:bottom w:val="none" w:sz="0" w:space="0" w:color="auto"/>
        <w:right w:val="none" w:sz="0" w:space="0" w:color="auto"/>
      </w:divBdr>
      <w:divsChild>
        <w:div w:id="1364018733">
          <w:marLeft w:val="0"/>
          <w:marRight w:val="0"/>
          <w:marTop w:val="0"/>
          <w:marBottom w:val="0"/>
          <w:divBdr>
            <w:top w:val="none" w:sz="0" w:space="0" w:color="auto"/>
            <w:left w:val="none" w:sz="0" w:space="0" w:color="auto"/>
            <w:bottom w:val="none" w:sz="0" w:space="0" w:color="auto"/>
            <w:right w:val="none" w:sz="0" w:space="0" w:color="auto"/>
          </w:divBdr>
        </w:div>
        <w:div w:id="1253245680">
          <w:marLeft w:val="0"/>
          <w:marRight w:val="0"/>
          <w:marTop w:val="0"/>
          <w:marBottom w:val="0"/>
          <w:divBdr>
            <w:top w:val="none" w:sz="0" w:space="0" w:color="auto"/>
            <w:left w:val="none" w:sz="0" w:space="0" w:color="auto"/>
            <w:bottom w:val="none" w:sz="0" w:space="0" w:color="auto"/>
            <w:right w:val="none" w:sz="0" w:space="0" w:color="auto"/>
          </w:divBdr>
        </w:div>
        <w:div w:id="1027177716">
          <w:marLeft w:val="0"/>
          <w:marRight w:val="0"/>
          <w:marTop w:val="0"/>
          <w:marBottom w:val="0"/>
          <w:divBdr>
            <w:top w:val="none" w:sz="0" w:space="0" w:color="auto"/>
            <w:left w:val="none" w:sz="0" w:space="0" w:color="auto"/>
            <w:bottom w:val="none" w:sz="0" w:space="0" w:color="auto"/>
            <w:right w:val="none" w:sz="0" w:space="0" w:color="auto"/>
          </w:divBdr>
        </w:div>
        <w:div w:id="1423718732">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archivos%2Fconvocatoria%2Fparticipacion-ciudadana-proyecto-de-la-guia-para-la-elaboracion-de-estudios-del-sector&amp;data=05%7C02%7Cximena.rios%40colombiacompra.gov.co%7C7cfff6dece924643582c08dd97bfed90%7C7b09041e245149d08cb179d5e3d8c1be%7C0%7C0%7C638833572792096371%7CUnknown%7CTWFpbGZsb3d8eyJFbXB0eU1hcGkiOnRydWUsIlYiOiIwLjAuMDAwMCIsIlAiOiJXaW4zMiIsIkFOIjoiTWFpbCIsIldUIjoyfQ%3D%3D%7C0%7C%7C%7C&amp;sdata=UYgKmSkRyxwQ2g%2FUiv6PgLM66fzh1FmO7VrSbeE%2FGhg%3D&amp;reserved=0"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olombiacompra.gov.co/sites/cce_public/files/cce_circulares/cce-eicp-ma-06_circular_externa_con_comentarios_de_ciudadanos-_v2f_002.pdf"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normativa-y-relatoria%2Fdocumentos-tipo&amp;data=05%7C02%7Cximena.rios%40colombiacompra.gov.co%7C7cfff6dece924643582c08dd97bfed90%7C7b09041e245149d08cb179d5e3d8c1be%7C0%7C0%7C638833572792139172%7CUnknown%7CTWFpbGZsb3d8eyJFbXB0eU1hcGkiOnRydWUsIlYiOiIwLjAuMDAwMCIsIlAiOiJXaW4zMiIsIkFOIjoiTWFpbCIsIldUIjoyfQ%3D%3D%7C0%7C%7C%7C&amp;sdata=CQCNL%2FWMosZXj6omE9vjPO1mxyYEnVE2DOUQ9Zx1cq0%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15C361A-6820-40D3-943C-42E8D28FD6D4}">
  <ds:schemaRefs>
    <ds:schemaRef ds:uri="http://purl.org/dc/elements/1.1/"/>
    <ds:schemaRef ds:uri="http://schemas.microsoft.com/office/2006/documentManagement/types"/>
    <ds:schemaRef ds:uri="http://schemas.microsoft.com/office/infopath/2007/PartnerControls"/>
    <ds:schemaRef ds:uri="http://purl.org/dc/terms/"/>
    <ds:schemaRef ds:uri="a6cb9e4b-f1d1-4245-83ec-6cad768d538a"/>
    <ds:schemaRef ds:uri="http://purl.org/dc/dcmitype/"/>
    <ds:schemaRef ds:uri="http://schemas.openxmlformats.org/package/2006/metadata/core-properties"/>
    <ds:schemaRef ds:uri="9d85dbaf-23eb-4e57-a637-93dcacc8b1a1"/>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59421EB2-E3EB-4791-A61F-2EB9EFB17FF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3E1C687-4089-4A15-A586-DECEF0C2043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14</Pages>
  <Words>5142</Words>
  <Characters>26743</Characters>
  <Application>Microsoft Office Word</Application>
  <DocSecurity>0</DocSecurity>
  <Lines>569</Lines>
  <Paragraphs>113</Paragraphs>
  <ScaleCrop>false</ScaleCrop>
  <Company/>
  <LinksUpToDate>false</LinksUpToDate>
  <CharactersWithSpaces>31772</CharactersWithSpaces>
  <SharedDoc>false</SharedDoc>
  <HLinks>
    <vt:vector size="30" baseType="variant">
      <vt:variant>
        <vt:i4>3276900</vt:i4>
      </vt:variant>
      <vt:variant>
        <vt:i4>12</vt:i4>
      </vt:variant>
      <vt:variant>
        <vt:i4>0</vt:i4>
      </vt:variant>
      <vt:variant>
        <vt:i4>5</vt:i4>
      </vt:variant>
      <vt:variant>
        <vt:lpwstr>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vt:lpwstr>
      </vt:variant>
      <vt:variant>
        <vt:lpwstr/>
      </vt:variant>
      <vt:variant>
        <vt:i4>3014696</vt:i4>
      </vt:variant>
      <vt:variant>
        <vt:i4>9</vt:i4>
      </vt:variant>
      <vt:variant>
        <vt:i4>0</vt:i4>
      </vt:variant>
      <vt:variant>
        <vt:i4>5</vt:i4>
      </vt:variant>
      <vt:variant>
        <vt:lpwstr>https://nam02.safelinks.protection.outlook.com/?url=https%3A%2F%2Fwww.colombiacompra.gov.co%2Fnormativa-y-relatoria%2Fdocumentos-tipo&amp;data=05%7C02%7Cximena.rios%40colombiacompra.gov.co%7C7cfff6dece924643582c08dd97bfed90%7C7b09041e245149d08cb179d5e3d8c1be%7C0%7C0%7C638833572792139172%7CUnknown%7CTWFpbGZsb3d8eyJFbXB0eU1hcGkiOnRydWUsIlYiOiIwLjAuMDAwMCIsIlAiOiJXaW4zMiIsIkFOIjoiTWFpbCIsIldUIjoyfQ%3D%3D%7C0%7C%7C%7C&amp;sdata=CQCNL%2FWMosZXj6omE9vjPO1mxyYEnVE2DOUQ9Zx1cq0%3D&amp;reserved=0</vt:lpwstr>
      </vt:variant>
      <vt:variant>
        <vt:lpwstr/>
      </vt:variant>
      <vt:variant>
        <vt:i4>4063266</vt:i4>
      </vt:variant>
      <vt:variant>
        <vt:i4>6</vt:i4>
      </vt:variant>
      <vt:variant>
        <vt:i4>0</vt:i4>
      </vt:variant>
      <vt:variant>
        <vt:i4>5</vt:i4>
      </vt:variant>
      <vt:variant>
        <vt:lpwstr>https://nam02.safelinks.protection.outlook.com/?url=https%3A%2F%2Fwww.colombiacompra.gov.co%2Farchivos%2Fconvocatoria%2Fparticipacion-ciudadana-proyecto-de-la-guia-para-la-elaboracion-de-estudios-del-sector&amp;data=05%7C02%7Cximena.rios%40colombiacompra.gov.co%7C7cfff6dece924643582c08dd97bfed90%7C7b09041e245149d08cb179d5e3d8c1be%7C0%7C0%7C638833572792096371%7CUnknown%7CTWFpbGZsb3d8eyJFbXB0eU1hcGkiOnRydWUsIlYiOiIwLjAuMDAwMCIsIlAiOiJXaW4zMiIsIkFOIjoiTWFpbCIsIldUIjoyfQ%3D%3D%7C0%7C%7C%7C&amp;sdata=UYgKmSkRyxwQ2g%2FUiv6PgLM66fzh1FmO7VrSbeE%2FGhg%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655437</vt:i4>
      </vt:variant>
      <vt:variant>
        <vt:i4>0</vt:i4>
      </vt:variant>
      <vt:variant>
        <vt:i4>0</vt:i4>
      </vt:variant>
      <vt:variant>
        <vt:i4>5</vt:i4>
      </vt:variant>
      <vt:variant>
        <vt:lpwstr>https://colombiacompra.gov.co/sites/cce_public/files/cce_circulares/cce-eicp-ma-06_circular_externa_con_comentarios_de_ciudadanos-_v2f_002.pdf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Sergio Andrés Rivera Cano</cp:lastModifiedBy>
  <cp:revision>2</cp:revision>
  <dcterms:created xsi:type="dcterms:W3CDTF">2025-09-26T23:24:00Z</dcterms:created>
  <dcterms:modified xsi:type="dcterms:W3CDTF">2025-09-26T23:24:00Z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