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A8C3F8" w14:textId="77777777" w:rsidR="00F90661" w:rsidRPr="00E66D81" w:rsidRDefault="00F90661" w:rsidP="00F90661">
      <w:pPr>
        <w:spacing w:line="240" w:lineRule="auto"/>
        <w:jc w:val="both"/>
        <w:rPr>
          <w:rFonts w:ascii="Verdana" w:hAnsi="Verdana" w:cs="Arial"/>
          <w:b/>
          <w:color w:val="000000" w:themeColor="text1"/>
          <w:lang w:val="es-ES_tradnl"/>
        </w:rPr>
      </w:pPr>
      <w:bookmarkStart w:id="0" w:name="_Hlk143780582"/>
      <w:r w:rsidRPr="00E66D81">
        <w:rPr>
          <w:rFonts w:ascii="Verdana" w:hAnsi="Verdana" w:cs="Arial"/>
          <w:b/>
          <w:color w:val="000000" w:themeColor="text1"/>
          <w:lang w:val="es-ES_tradnl"/>
        </w:rPr>
        <w:t xml:space="preserve">LEY DE GARANTÍAS ELECTORALES ‒ Finalidad </w:t>
      </w:r>
    </w:p>
    <w:p w14:paraId="0E72D7B7" w14:textId="77777777" w:rsidR="00F90661" w:rsidRDefault="00F90661" w:rsidP="00F90661">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66CA3A0E" w14:textId="77777777" w:rsidR="00F90661" w:rsidRPr="00E66D81" w:rsidRDefault="00F90661" w:rsidP="00F90661">
      <w:pPr>
        <w:spacing w:line="240" w:lineRule="auto"/>
        <w:jc w:val="both"/>
        <w:rPr>
          <w:rFonts w:ascii="Verdana" w:hAnsi="Verdana" w:cs="Arial"/>
          <w:b/>
          <w:color w:val="000000" w:themeColor="text1"/>
          <w:lang w:val="es-ES_tradnl"/>
        </w:rPr>
      </w:pPr>
      <w:r w:rsidRPr="00E66D81">
        <w:rPr>
          <w:rFonts w:ascii="Verdana" w:hAnsi="Verdana" w:cs="Arial"/>
          <w:b/>
          <w:color w:val="000000" w:themeColor="text1"/>
          <w:lang w:val="es-ES_tradnl"/>
        </w:rPr>
        <w:t xml:space="preserve">LEY DE GARANTÍAS ELECTORALES ‒ Tipos de restricciones </w:t>
      </w:r>
    </w:p>
    <w:p w14:paraId="77221C3A" w14:textId="77777777" w:rsidR="00F90661" w:rsidRPr="00B3605D" w:rsidRDefault="00F90661" w:rsidP="00F90661">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 xml:space="preserve">[…] </w:t>
      </w:r>
      <w:r w:rsidRPr="00B3605D">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2A1C18C" w14:textId="77777777" w:rsidR="00F90661" w:rsidRDefault="00F90661" w:rsidP="00F90661">
      <w:pPr>
        <w:spacing w:line="240" w:lineRule="auto"/>
        <w:jc w:val="both"/>
        <w:rPr>
          <w:rFonts w:ascii="Verdana" w:hAnsi="Verdana" w:cs="Arial"/>
          <w:bCs/>
          <w:color w:val="000000" w:themeColor="text1"/>
          <w:lang w:val="es-ES_tradnl"/>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r>
        <w:rPr>
          <w:rFonts w:ascii="Verdana" w:eastAsia="Arial" w:hAnsi="Verdana" w:cs="Arial"/>
          <w:lang w:val="es-ES" w:eastAsia="es-ES" w:bidi="es-ES"/>
        </w:rPr>
        <w:t xml:space="preserve"> […]</w:t>
      </w:r>
    </w:p>
    <w:p w14:paraId="428B0807" w14:textId="77777777" w:rsidR="00F90661" w:rsidRPr="00E66D81" w:rsidRDefault="00F90661" w:rsidP="00F90661">
      <w:pPr>
        <w:spacing w:line="240" w:lineRule="auto"/>
        <w:jc w:val="both"/>
        <w:rPr>
          <w:rFonts w:ascii="Verdana" w:hAnsi="Verdana" w:cs="Arial"/>
          <w:b/>
          <w:color w:val="000000" w:themeColor="text1"/>
          <w:lang w:val="es-ES_tradnl"/>
        </w:rPr>
      </w:pPr>
      <w:r w:rsidRPr="00E66D81">
        <w:rPr>
          <w:rFonts w:ascii="Verdana" w:hAnsi="Verdana" w:cs="Arial"/>
          <w:b/>
          <w:color w:val="000000" w:themeColor="text1"/>
          <w:lang w:val="es-ES_tradnl"/>
        </w:rPr>
        <w:t xml:space="preserve">LEY DE GARANTÍAS ELECTORALES ‒ Tipos de restricciones – Contratación directa </w:t>
      </w:r>
    </w:p>
    <w:p w14:paraId="6ABFCB3C" w14:textId="77777777" w:rsidR="00F90661" w:rsidRDefault="00F90661" w:rsidP="00F90661">
      <w:pPr>
        <w:spacing w:line="240" w:lineRule="auto"/>
        <w:jc w:val="both"/>
        <w:rPr>
          <w:rFonts w:ascii="Verdana" w:hAnsi="Verdana" w:cs="Arial"/>
          <w:bCs/>
          <w:color w:val="000000" w:themeColor="text1"/>
          <w:lang w:val="es-ES_tradnl"/>
        </w:rPr>
      </w:pPr>
      <w:r w:rsidRPr="00B3605D">
        <w:rPr>
          <w:rFonts w:ascii="Verdana" w:eastAsia="Times New Roman" w:hAnsi="Verdana" w:cs="Open Sans"/>
          <w:lang w:eastAsia="es-CO"/>
        </w:rPr>
        <w:t xml:space="preserve">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Fonts w:ascii="Verdana" w:eastAsia="Times New Roman" w:hAnsi="Verdana" w:cs="Open Sans"/>
          <w:lang w:eastAsia="es-CO"/>
        </w:rPr>
        <w:t xml:space="preserve"> […]</w:t>
      </w:r>
    </w:p>
    <w:p w14:paraId="5AE49CB4" w14:textId="77777777" w:rsidR="00F90661" w:rsidRPr="00E66D81" w:rsidRDefault="00F90661" w:rsidP="00F90661">
      <w:pPr>
        <w:spacing w:line="240" w:lineRule="auto"/>
        <w:jc w:val="both"/>
        <w:rPr>
          <w:rFonts w:ascii="Verdana" w:hAnsi="Verdana" w:cs="Arial"/>
          <w:b/>
          <w:color w:val="000000" w:themeColor="text1"/>
          <w:lang w:val="es-ES_tradnl"/>
        </w:rPr>
      </w:pPr>
      <w:r w:rsidRPr="00E66D81">
        <w:rPr>
          <w:rFonts w:ascii="Verdana" w:hAnsi="Verdana" w:cs="Arial"/>
          <w:b/>
          <w:color w:val="000000" w:themeColor="text1"/>
          <w:lang w:val="es-ES_tradnl"/>
        </w:rPr>
        <w:lastRenderedPageBreak/>
        <w:t xml:space="preserve">LEY DE GARANTÍAS ELECTORALES – Convenios interadministrativos </w:t>
      </w:r>
    </w:p>
    <w:p w14:paraId="0F5C926A" w14:textId="77777777" w:rsidR="00F90661" w:rsidRDefault="00F90661" w:rsidP="00F90661">
      <w:pPr>
        <w:spacing w:after="0" w:line="240" w:lineRule="auto"/>
        <w:jc w:val="both"/>
        <w:rPr>
          <w:rFonts w:ascii="Verdana" w:eastAsia="Geomanist Light" w:hAnsi="Verdana" w:cs="Arial"/>
          <w:color w:val="000000" w:themeColor="text1"/>
          <w:lang w:val="es-MX"/>
        </w:rPr>
      </w:pPr>
      <w:r>
        <w:rPr>
          <w:rFonts w:ascii="Verdana" w:eastAsia="Geomanist Light" w:hAnsi="Verdana" w:cs="Arial"/>
          <w:color w:val="000000" w:themeColor="text1"/>
          <w:lang w:val="es-MX"/>
        </w:rPr>
        <w:t>[…]</w:t>
      </w:r>
      <w:r w:rsidRPr="00E66D81">
        <w:rPr>
          <w:rFonts w:ascii="Verdana" w:eastAsia="Geomanist Light" w:hAnsi="Verdana" w:cs="Arial"/>
          <w:color w:val="000000" w:themeColor="text1"/>
          <w:lang w:val="es-MX"/>
        </w:rPr>
        <w:t xml:space="preserve">el parágrafo del artículo 38 de la Ley 996 de 2005 prohíbe a los </w:t>
      </w:r>
      <w:proofErr w:type="gramStart"/>
      <w:r w:rsidRPr="00E66D81">
        <w:rPr>
          <w:rFonts w:ascii="Verdana" w:eastAsia="Geomanist Light" w:hAnsi="Verdana" w:cs="Arial"/>
          <w:color w:val="000000" w:themeColor="text1"/>
          <w:lang w:val="es-MX"/>
        </w:rPr>
        <w:t>Alcaldes</w:t>
      </w:r>
      <w:proofErr w:type="gramEnd"/>
      <w:r w:rsidRPr="00E66D81">
        <w:rPr>
          <w:rFonts w:ascii="Verdana" w:eastAsia="Geomanist Light" w:hAnsi="Verdana" w:cs="Arial"/>
          <w:color w:val="000000" w:themeColor="text1"/>
          <w:lang w:val="es-MX"/>
        </w:rPr>
        <w:t xml:space="preserve">, Gobernadores, </w:t>
      </w:r>
      <w:proofErr w:type="gramStart"/>
      <w:r w:rsidRPr="00E66D81">
        <w:rPr>
          <w:rFonts w:ascii="Verdana" w:eastAsia="Geomanist Light" w:hAnsi="Verdana" w:cs="Arial"/>
          <w:color w:val="000000" w:themeColor="text1"/>
          <w:lang w:val="es-MX"/>
        </w:rPr>
        <w:t>Secretarios</w:t>
      </w:r>
      <w:proofErr w:type="gramEnd"/>
      <w:r w:rsidRPr="00E66D81">
        <w:rPr>
          <w:rFonts w:ascii="Verdana" w:eastAsia="Geomanist Light" w:hAnsi="Verdana" w:cs="Arial"/>
          <w:color w:val="000000" w:themeColor="text1"/>
          <w:lang w:val="es-MX"/>
        </w:rPr>
        <w:t xml:space="preserve">, Gerentes y </w:t>
      </w:r>
      <w:proofErr w:type="gramStart"/>
      <w:r w:rsidRPr="00E66D81">
        <w:rPr>
          <w:rFonts w:ascii="Verdana" w:eastAsia="Geomanist Light" w:hAnsi="Verdana" w:cs="Arial"/>
          <w:color w:val="000000" w:themeColor="text1"/>
          <w:lang w:val="es-MX"/>
        </w:rPr>
        <w:t>Directores</w:t>
      </w:r>
      <w:proofErr w:type="gramEnd"/>
      <w:r w:rsidRPr="00E66D81">
        <w:rPr>
          <w:rFonts w:ascii="Verdana" w:eastAsia="Geomanist Light" w:hAnsi="Verdana" w:cs="Arial"/>
          <w:color w:val="000000" w:themeColor="text1"/>
          <w:lang w:val="es-MX"/>
        </w:rPr>
        <w:t xml:space="preserve"> de las entidades descentralizadas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w:t>
      </w:r>
    </w:p>
    <w:p w14:paraId="771CF19D" w14:textId="77777777" w:rsidR="00F90661" w:rsidRDefault="00F90661" w:rsidP="00E245AB">
      <w:pPr>
        <w:spacing w:after="0"/>
        <w:rPr>
          <w:rFonts w:ascii="Verdana" w:hAnsi="Verdana"/>
        </w:rPr>
      </w:pPr>
    </w:p>
    <w:p w14:paraId="15AF3E0C" w14:textId="77777777" w:rsidR="00F90661" w:rsidRDefault="00F90661" w:rsidP="00E245AB">
      <w:pPr>
        <w:spacing w:after="0"/>
        <w:rPr>
          <w:rFonts w:ascii="Verdana" w:hAnsi="Verdana"/>
        </w:rPr>
      </w:pPr>
    </w:p>
    <w:p w14:paraId="00F1CA12" w14:textId="77777777" w:rsidR="0002606D" w:rsidRDefault="0002606D" w:rsidP="00E245AB">
      <w:pPr>
        <w:spacing w:after="0"/>
        <w:rPr>
          <w:rFonts w:ascii="Verdana" w:hAnsi="Verdana"/>
        </w:rPr>
      </w:pPr>
    </w:p>
    <w:p w14:paraId="62F3BFA5" w14:textId="77777777" w:rsidR="0002606D" w:rsidRDefault="0002606D" w:rsidP="00E245AB">
      <w:pPr>
        <w:spacing w:after="0"/>
        <w:rPr>
          <w:rFonts w:ascii="Verdana" w:hAnsi="Verdana"/>
        </w:rPr>
      </w:pPr>
    </w:p>
    <w:p w14:paraId="35A4BEB0" w14:textId="77777777" w:rsidR="0002606D" w:rsidRDefault="0002606D" w:rsidP="00E245AB">
      <w:pPr>
        <w:spacing w:after="0"/>
        <w:rPr>
          <w:rFonts w:ascii="Verdana" w:hAnsi="Verdana"/>
        </w:rPr>
      </w:pPr>
    </w:p>
    <w:p w14:paraId="480A2ECC" w14:textId="77777777" w:rsidR="0002606D" w:rsidRDefault="0002606D" w:rsidP="00E245AB">
      <w:pPr>
        <w:spacing w:after="0"/>
        <w:rPr>
          <w:rFonts w:ascii="Verdana" w:hAnsi="Verdana"/>
        </w:rPr>
      </w:pPr>
    </w:p>
    <w:p w14:paraId="523A7409" w14:textId="77777777" w:rsidR="0002606D" w:rsidRDefault="0002606D" w:rsidP="00E245AB">
      <w:pPr>
        <w:spacing w:after="0"/>
        <w:rPr>
          <w:rFonts w:ascii="Verdana" w:hAnsi="Verdana"/>
        </w:rPr>
      </w:pPr>
    </w:p>
    <w:p w14:paraId="4DCAA50D" w14:textId="77777777" w:rsidR="0002606D" w:rsidRDefault="0002606D" w:rsidP="00E245AB">
      <w:pPr>
        <w:spacing w:after="0"/>
        <w:rPr>
          <w:rFonts w:ascii="Verdana" w:hAnsi="Verdana"/>
        </w:rPr>
      </w:pPr>
    </w:p>
    <w:p w14:paraId="6D8BC569" w14:textId="77777777" w:rsidR="0002606D" w:rsidRDefault="0002606D" w:rsidP="00E245AB">
      <w:pPr>
        <w:spacing w:after="0"/>
        <w:rPr>
          <w:rFonts w:ascii="Verdana" w:hAnsi="Verdana"/>
        </w:rPr>
      </w:pPr>
    </w:p>
    <w:p w14:paraId="66DA9E7E" w14:textId="77777777" w:rsidR="0002606D" w:rsidRDefault="0002606D" w:rsidP="00E245AB">
      <w:pPr>
        <w:spacing w:after="0"/>
        <w:rPr>
          <w:rFonts w:ascii="Verdana" w:hAnsi="Verdana"/>
        </w:rPr>
      </w:pPr>
    </w:p>
    <w:p w14:paraId="35D8F449" w14:textId="77777777" w:rsidR="0002606D" w:rsidRDefault="0002606D" w:rsidP="00E245AB">
      <w:pPr>
        <w:spacing w:after="0"/>
        <w:rPr>
          <w:rFonts w:ascii="Verdana" w:hAnsi="Verdana"/>
        </w:rPr>
      </w:pPr>
    </w:p>
    <w:p w14:paraId="791CDDC4" w14:textId="77777777" w:rsidR="0002606D" w:rsidRDefault="0002606D" w:rsidP="00E245AB">
      <w:pPr>
        <w:spacing w:after="0"/>
        <w:rPr>
          <w:rFonts w:ascii="Verdana" w:hAnsi="Verdana"/>
        </w:rPr>
      </w:pPr>
    </w:p>
    <w:p w14:paraId="0AA48F9B" w14:textId="77777777" w:rsidR="0002606D" w:rsidRDefault="0002606D" w:rsidP="00E245AB">
      <w:pPr>
        <w:spacing w:after="0"/>
        <w:rPr>
          <w:rFonts w:ascii="Verdana" w:hAnsi="Verdana"/>
        </w:rPr>
      </w:pPr>
    </w:p>
    <w:p w14:paraId="55167D3C" w14:textId="77777777" w:rsidR="0002606D" w:rsidRDefault="0002606D" w:rsidP="00E245AB">
      <w:pPr>
        <w:spacing w:after="0"/>
        <w:rPr>
          <w:rFonts w:ascii="Verdana" w:hAnsi="Verdana"/>
        </w:rPr>
      </w:pPr>
    </w:p>
    <w:p w14:paraId="5E4843DB" w14:textId="77777777" w:rsidR="0002606D" w:rsidRDefault="0002606D" w:rsidP="00E245AB">
      <w:pPr>
        <w:spacing w:after="0"/>
        <w:rPr>
          <w:rFonts w:ascii="Verdana" w:hAnsi="Verdana"/>
        </w:rPr>
      </w:pPr>
    </w:p>
    <w:p w14:paraId="225F512A" w14:textId="77777777" w:rsidR="0002606D" w:rsidRDefault="0002606D" w:rsidP="00E245AB">
      <w:pPr>
        <w:spacing w:after="0"/>
        <w:rPr>
          <w:rFonts w:ascii="Verdana" w:hAnsi="Verdana"/>
        </w:rPr>
      </w:pPr>
    </w:p>
    <w:p w14:paraId="0FF91F5B" w14:textId="77777777" w:rsidR="0002606D" w:rsidRDefault="0002606D" w:rsidP="00E245AB">
      <w:pPr>
        <w:spacing w:after="0"/>
        <w:rPr>
          <w:rFonts w:ascii="Verdana" w:hAnsi="Verdana"/>
        </w:rPr>
      </w:pPr>
    </w:p>
    <w:p w14:paraId="762EF4B4" w14:textId="77777777" w:rsidR="0002606D" w:rsidRDefault="0002606D" w:rsidP="00E245AB">
      <w:pPr>
        <w:spacing w:after="0"/>
        <w:rPr>
          <w:rFonts w:ascii="Verdana" w:hAnsi="Verdana"/>
        </w:rPr>
      </w:pPr>
    </w:p>
    <w:p w14:paraId="66649BA0" w14:textId="77777777" w:rsidR="0002606D" w:rsidRDefault="0002606D" w:rsidP="00E245AB">
      <w:pPr>
        <w:spacing w:after="0"/>
        <w:rPr>
          <w:rFonts w:ascii="Verdana" w:hAnsi="Verdana"/>
        </w:rPr>
      </w:pPr>
    </w:p>
    <w:p w14:paraId="416ACE39" w14:textId="77777777" w:rsidR="0002606D" w:rsidRDefault="0002606D" w:rsidP="00E245AB">
      <w:pPr>
        <w:spacing w:after="0"/>
        <w:rPr>
          <w:rFonts w:ascii="Verdana" w:hAnsi="Verdana"/>
        </w:rPr>
      </w:pPr>
    </w:p>
    <w:p w14:paraId="05C274C7" w14:textId="77777777" w:rsidR="0002606D" w:rsidRDefault="0002606D" w:rsidP="00E245AB">
      <w:pPr>
        <w:spacing w:after="0"/>
        <w:rPr>
          <w:rFonts w:ascii="Verdana" w:hAnsi="Verdana"/>
        </w:rPr>
      </w:pPr>
    </w:p>
    <w:p w14:paraId="6D57DD75" w14:textId="77777777" w:rsidR="0002606D" w:rsidRDefault="0002606D" w:rsidP="00E245AB">
      <w:pPr>
        <w:spacing w:after="0"/>
        <w:rPr>
          <w:rFonts w:ascii="Verdana" w:hAnsi="Verdana"/>
        </w:rPr>
      </w:pPr>
    </w:p>
    <w:p w14:paraId="154204C9" w14:textId="77777777" w:rsidR="0002606D" w:rsidRDefault="0002606D" w:rsidP="00E245AB">
      <w:pPr>
        <w:spacing w:after="0"/>
        <w:rPr>
          <w:rFonts w:ascii="Verdana" w:hAnsi="Verdana"/>
        </w:rPr>
      </w:pPr>
    </w:p>
    <w:p w14:paraId="3E726A02" w14:textId="77777777" w:rsidR="0002606D" w:rsidRDefault="0002606D" w:rsidP="00E245AB">
      <w:pPr>
        <w:spacing w:after="0"/>
        <w:rPr>
          <w:rFonts w:ascii="Verdana" w:hAnsi="Verdana"/>
        </w:rPr>
      </w:pPr>
    </w:p>
    <w:p w14:paraId="779380A1" w14:textId="77777777" w:rsidR="0002606D" w:rsidRDefault="0002606D" w:rsidP="00E245AB">
      <w:pPr>
        <w:spacing w:after="0"/>
        <w:rPr>
          <w:rFonts w:ascii="Verdana" w:hAnsi="Verdana"/>
        </w:rPr>
      </w:pPr>
    </w:p>
    <w:p w14:paraId="43D00B52" w14:textId="77777777" w:rsidR="0002606D" w:rsidRDefault="0002606D" w:rsidP="00E245AB">
      <w:pPr>
        <w:spacing w:after="0"/>
        <w:rPr>
          <w:rFonts w:ascii="Verdana" w:hAnsi="Verdana"/>
        </w:rPr>
      </w:pPr>
    </w:p>
    <w:p w14:paraId="38525EC9" w14:textId="77777777" w:rsidR="0002606D" w:rsidRDefault="0002606D" w:rsidP="00E245AB">
      <w:pPr>
        <w:spacing w:after="0"/>
        <w:rPr>
          <w:rFonts w:ascii="Verdana" w:hAnsi="Verdana"/>
        </w:rPr>
      </w:pPr>
    </w:p>
    <w:p w14:paraId="018C938D" w14:textId="77777777" w:rsidR="0002606D" w:rsidRDefault="0002606D" w:rsidP="00E245AB">
      <w:pPr>
        <w:spacing w:after="0"/>
        <w:rPr>
          <w:rFonts w:ascii="Verdana" w:hAnsi="Verdana"/>
        </w:rPr>
      </w:pPr>
    </w:p>
    <w:p w14:paraId="27F59D88" w14:textId="77777777" w:rsidR="0002606D" w:rsidRDefault="0002606D" w:rsidP="00E245AB">
      <w:pPr>
        <w:spacing w:after="0"/>
        <w:rPr>
          <w:rFonts w:ascii="Verdana" w:hAnsi="Verdana"/>
        </w:rPr>
      </w:pPr>
    </w:p>
    <w:p w14:paraId="4326AC32" w14:textId="77777777" w:rsidR="00F90661" w:rsidRDefault="00F90661" w:rsidP="00E245AB">
      <w:pPr>
        <w:spacing w:after="0"/>
        <w:rPr>
          <w:rFonts w:ascii="Verdana" w:hAnsi="Verdana"/>
        </w:rPr>
      </w:pPr>
    </w:p>
    <w:p w14:paraId="5FCADBF9" w14:textId="023B336B" w:rsidR="00E245AB" w:rsidRDefault="00897A3A" w:rsidP="00E245AB">
      <w:pPr>
        <w:spacing w:after="0"/>
        <w:rPr>
          <w:rFonts w:ascii="Verdana" w:hAnsi="Verdana"/>
        </w:rPr>
      </w:pPr>
      <w:r w:rsidRPr="0044528D">
        <w:rPr>
          <w:rFonts w:ascii="Verdana" w:hAnsi="Verdana"/>
        </w:rPr>
        <w:lastRenderedPageBreak/>
        <w:t xml:space="preserve">Bogotá D.C., </w:t>
      </w:r>
      <w:r w:rsidR="0002606D">
        <w:rPr>
          <w:rFonts w:ascii="Verdana" w:hAnsi="Verdana"/>
        </w:rPr>
        <w:t>23 de septiembre de 2025</w:t>
      </w:r>
    </w:p>
    <w:p w14:paraId="244211F3" w14:textId="77777777" w:rsidR="0002606D" w:rsidRPr="0044528D" w:rsidRDefault="0002606D" w:rsidP="00E245AB">
      <w:pPr>
        <w:spacing w:after="0"/>
        <w:rPr>
          <w:rFonts w:ascii="Verdana" w:hAnsi="Verdana"/>
        </w:rPr>
      </w:pPr>
    </w:p>
    <w:bookmarkEnd w:id="0"/>
    <w:p w14:paraId="0BD1A19B" w14:textId="77777777" w:rsidR="004E7474" w:rsidRPr="0070607C" w:rsidRDefault="004E7474" w:rsidP="004E7474">
      <w:pPr>
        <w:spacing w:after="0" w:line="240" w:lineRule="auto"/>
        <w:jc w:val="both"/>
        <w:rPr>
          <w:rFonts w:ascii="Verdana" w:eastAsia="Calibri" w:hAnsi="Verdana" w:cs="Arial"/>
          <w:color w:val="000000"/>
          <w:lang w:val="pt-BR"/>
        </w:rPr>
      </w:pPr>
      <w:r w:rsidRPr="0070607C">
        <w:rPr>
          <w:rFonts w:ascii="Verdana" w:eastAsia="Calibri" w:hAnsi="Verdana" w:cs="Arial"/>
          <w:color w:val="000000"/>
          <w:lang w:val="pt-BR"/>
        </w:rPr>
        <w:t>Señor</w:t>
      </w:r>
    </w:p>
    <w:p w14:paraId="04317428" w14:textId="77777777" w:rsidR="004E7474" w:rsidRPr="0070607C" w:rsidRDefault="004E7474" w:rsidP="004E7474">
      <w:pPr>
        <w:spacing w:after="0" w:line="240" w:lineRule="auto"/>
        <w:jc w:val="both"/>
        <w:rPr>
          <w:rFonts w:ascii="Verdana" w:eastAsia="Calibri" w:hAnsi="Verdana" w:cs="Arial"/>
          <w:b/>
          <w:bCs/>
          <w:color w:val="000000"/>
          <w:lang w:val="pt-BR"/>
        </w:rPr>
      </w:pPr>
      <w:r w:rsidRPr="0070607C">
        <w:rPr>
          <w:rFonts w:ascii="Verdana" w:eastAsia="Calibri" w:hAnsi="Verdana" w:cs="Arial"/>
          <w:b/>
          <w:bCs/>
          <w:color w:val="000000"/>
          <w:lang w:val="pt-BR"/>
        </w:rPr>
        <w:t>JOSE LUIS CASTELLANOS GONZALEZ</w:t>
      </w:r>
    </w:p>
    <w:p w14:paraId="7841C286" w14:textId="77777777" w:rsidR="004E7474" w:rsidRPr="0070607C" w:rsidRDefault="004E7474" w:rsidP="004E7474">
      <w:pPr>
        <w:spacing w:after="0" w:line="240" w:lineRule="auto"/>
        <w:jc w:val="both"/>
        <w:rPr>
          <w:rFonts w:ascii="Verdana" w:eastAsia="Calibri" w:hAnsi="Verdana" w:cs="Arial"/>
          <w:color w:val="000000"/>
          <w:lang w:val="pt-BR"/>
        </w:rPr>
      </w:pPr>
      <w:r w:rsidRPr="0070607C">
        <w:rPr>
          <w:rFonts w:ascii="Verdana" w:eastAsia="Calibri" w:hAnsi="Verdana" w:cs="Arial"/>
          <w:color w:val="000000"/>
          <w:lang w:val="pt-BR"/>
        </w:rPr>
        <w:t>Alcaldía de Bucaramanga</w:t>
      </w:r>
    </w:p>
    <w:p w14:paraId="0DD07E07" w14:textId="77777777" w:rsidR="004E7474" w:rsidRPr="0070607C" w:rsidRDefault="004E7474" w:rsidP="004E7474">
      <w:pPr>
        <w:spacing w:after="0" w:line="240" w:lineRule="auto"/>
        <w:jc w:val="both"/>
        <w:rPr>
          <w:rFonts w:ascii="Verdana" w:eastAsia="Calibri" w:hAnsi="Verdana" w:cs="Arial"/>
          <w:color w:val="000000"/>
          <w:u w:val="single"/>
          <w:lang w:val="pt-BR"/>
        </w:rPr>
      </w:pPr>
      <w:r w:rsidRPr="0070607C">
        <w:rPr>
          <w:rFonts w:ascii="Verdana" w:eastAsia="Calibri" w:hAnsi="Verdana" w:cs="Arial"/>
          <w:color w:val="000000"/>
          <w:u w:val="single"/>
          <w:lang w:val="pt-BR"/>
        </w:rPr>
        <w:t>Jlcastellanos@bucaramanga.gov.co</w:t>
      </w:r>
    </w:p>
    <w:p w14:paraId="127F8306" w14:textId="77777777" w:rsidR="004E7474" w:rsidRPr="0070607C" w:rsidRDefault="004E7474" w:rsidP="004E7474">
      <w:pPr>
        <w:spacing w:after="0" w:line="240" w:lineRule="auto"/>
        <w:jc w:val="both"/>
        <w:rPr>
          <w:rFonts w:ascii="Verdana" w:eastAsia="Calibri" w:hAnsi="Verdana" w:cs="Arial"/>
          <w:color w:val="000000"/>
          <w:lang w:val="pt-BR"/>
        </w:rPr>
      </w:pPr>
      <w:r w:rsidRPr="0070607C">
        <w:rPr>
          <w:rFonts w:ascii="Verdana" w:eastAsia="Calibri" w:hAnsi="Verdana" w:cs="Arial"/>
          <w:color w:val="000000"/>
          <w:lang w:val="pt-BR"/>
        </w:rPr>
        <w:t>Bucaramanga, Santander-</w:t>
      </w:r>
    </w:p>
    <w:p w14:paraId="40D244A9" w14:textId="77777777" w:rsidR="004E7474" w:rsidRDefault="004E7474" w:rsidP="004E7474">
      <w:pPr>
        <w:spacing w:after="0" w:line="240" w:lineRule="auto"/>
        <w:rPr>
          <w:rFonts w:ascii="Verdana" w:eastAsia="Calibri" w:hAnsi="Verdana" w:cs="Arial"/>
          <w:b/>
          <w:bCs/>
          <w:color w:val="000000"/>
          <w:lang w:val="es-ES_tradnl" w:eastAsia="es-ES_tradnl"/>
        </w:rPr>
      </w:pPr>
    </w:p>
    <w:p w14:paraId="651FD410" w14:textId="14674330" w:rsidR="0002606D" w:rsidRPr="00C53B42" w:rsidRDefault="0002606D" w:rsidP="0002606D">
      <w:pPr>
        <w:spacing w:after="0" w:line="240" w:lineRule="auto"/>
        <w:jc w:val="right"/>
        <w:rPr>
          <w:rFonts w:ascii="Verdana" w:eastAsia="Calibri" w:hAnsi="Verdana" w:cs="Arial"/>
          <w:b/>
          <w:bCs/>
          <w:color w:val="000000"/>
          <w:lang w:val="es-ES_tradnl" w:eastAsia="es-ES_tradnl"/>
        </w:rPr>
      </w:pPr>
      <w:r w:rsidRPr="0002606D">
        <w:rPr>
          <w:rFonts w:ascii="Verdana" w:eastAsia="Calibri" w:hAnsi="Verdana" w:cs="Arial"/>
          <w:b/>
          <w:bCs/>
          <w:noProof/>
          <w:color w:val="000000"/>
          <w:lang w:val="es-ES_tradnl" w:eastAsia="es-ES_tradnl"/>
        </w:rPr>
        <w:drawing>
          <wp:inline distT="0" distB="0" distL="0" distR="0" wp14:anchorId="58893DAD" wp14:editId="240FF5A5">
            <wp:extent cx="2682472" cy="891617"/>
            <wp:effectExtent l="0" t="0" r="3810" b="3810"/>
            <wp:docPr id="19551652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165245" name=""/>
                    <pic:cNvPicPr/>
                  </pic:nvPicPr>
                  <pic:blipFill>
                    <a:blip r:embed="rId10"/>
                    <a:stretch>
                      <a:fillRect/>
                    </a:stretch>
                  </pic:blipFill>
                  <pic:spPr>
                    <a:xfrm>
                      <a:off x="0" y="0"/>
                      <a:ext cx="2682472" cy="891617"/>
                    </a:xfrm>
                    <a:prstGeom prst="rect">
                      <a:avLst/>
                    </a:prstGeom>
                  </pic:spPr>
                </pic:pic>
              </a:graphicData>
            </a:graphic>
          </wp:inline>
        </w:drawing>
      </w:r>
    </w:p>
    <w:p w14:paraId="5DA0EC2C" w14:textId="77777777" w:rsidR="004E7474" w:rsidRPr="00C53B42" w:rsidRDefault="004E7474" w:rsidP="004E747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E7474" w:rsidRPr="00C53B42" w14:paraId="4F867E1B" w14:textId="77777777" w:rsidTr="00874BD2">
        <w:trPr>
          <w:trHeight w:val="218"/>
        </w:trPr>
        <w:tc>
          <w:tcPr>
            <w:tcW w:w="2689" w:type="dxa"/>
          </w:tcPr>
          <w:p w14:paraId="01913997" w14:textId="77777777" w:rsidR="004E7474" w:rsidRPr="00C53B42" w:rsidRDefault="004E7474" w:rsidP="00874BD2">
            <w:pPr>
              <w:jc w:val="both"/>
              <w:rPr>
                <w:rFonts w:ascii="Verdana" w:eastAsia="Calibri" w:hAnsi="Verdana" w:cs="Arial"/>
                <w:b/>
                <w:bCs/>
                <w:color w:val="7030A0"/>
                <w:lang w:val="es-ES_tradnl" w:eastAsia="es-ES_tradnl"/>
              </w:rPr>
            </w:pPr>
          </w:p>
        </w:tc>
        <w:tc>
          <w:tcPr>
            <w:tcW w:w="6100" w:type="dxa"/>
            <w:hideMark/>
          </w:tcPr>
          <w:p w14:paraId="3B5B1505" w14:textId="77777777" w:rsidR="004E7474" w:rsidRPr="00C53B42" w:rsidRDefault="004E7474" w:rsidP="00874BD2">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1133</w:t>
            </w:r>
            <w:r w:rsidRPr="00C53B42">
              <w:rPr>
                <w:rFonts w:ascii="Verdana" w:eastAsia="Calibri" w:hAnsi="Verdana" w:cs="Arial"/>
                <w:b/>
                <w:bCs/>
                <w:lang w:val="es-ES" w:eastAsia="es-ES"/>
              </w:rPr>
              <w:t xml:space="preserve"> de 2025</w:t>
            </w:r>
          </w:p>
          <w:p w14:paraId="30423F61" w14:textId="77777777" w:rsidR="004E7474" w:rsidRPr="00C53B42" w:rsidRDefault="004E7474" w:rsidP="00874BD2">
            <w:pPr>
              <w:jc w:val="both"/>
              <w:rPr>
                <w:rFonts w:ascii="Verdana" w:eastAsia="Calibri" w:hAnsi="Verdana" w:cs="Arial"/>
                <w:b/>
                <w:bCs/>
                <w:lang w:val="es-ES" w:eastAsia="es-ES"/>
              </w:rPr>
            </w:pPr>
          </w:p>
          <w:p w14:paraId="78863404" w14:textId="77777777" w:rsidR="004E7474" w:rsidRPr="00C53B42" w:rsidRDefault="004E7474" w:rsidP="00874BD2">
            <w:pPr>
              <w:jc w:val="both"/>
              <w:rPr>
                <w:rFonts w:ascii="Verdana" w:eastAsia="Calibri" w:hAnsi="Verdana" w:cs="Arial"/>
                <w:b/>
                <w:bCs/>
                <w:lang w:val="es-ES" w:eastAsia="es-ES"/>
              </w:rPr>
            </w:pPr>
          </w:p>
        </w:tc>
      </w:tr>
      <w:tr w:rsidR="004E7474" w:rsidRPr="00C53B42" w14:paraId="0A5C1259" w14:textId="77777777" w:rsidTr="00874BD2">
        <w:trPr>
          <w:trHeight w:val="884"/>
        </w:trPr>
        <w:tc>
          <w:tcPr>
            <w:tcW w:w="2689" w:type="dxa"/>
            <w:hideMark/>
          </w:tcPr>
          <w:p w14:paraId="75A0A700" w14:textId="77777777" w:rsidR="004E7474" w:rsidRPr="00C53B42" w:rsidRDefault="004E7474" w:rsidP="00874BD2">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100" w:type="dxa"/>
            <w:hideMark/>
          </w:tcPr>
          <w:p w14:paraId="2F3398FF" w14:textId="77777777" w:rsidR="004E7474" w:rsidRDefault="004E7474" w:rsidP="00874BD2">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 Tipos de restricciones </w:t>
            </w:r>
            <w:r>
              <w:rPr>
                <w:rFonts w:ascii="Verdana" w:hAnsi="Verdana" w:cs="Arial"/>
                <w:bCs/>
                <w:color w:val="000000" w:themeColor="text1"/>
                <w:lang w:val="es-ES_tradnl"/>
              </w:rPr>
              <w:t xml:space="preserve">/ </w:t>
            </w:r>
            <w:r w:rsidRPr="00C53B42">
              <w:rPr>
                <w:rFonts w:ascii="Verdana" w:hAnsi="Verdana" w:cs="Arial"/>
                <w:bCs/>
                <w:color w:val="000000" w:themeColor="text1"/>
                <w:lang w:val="es-ES_tradnl"/>
              </w:rPr>
              <w:t xml:space="preserve">LEY DE GARANTÍAS ELECTORALES ‒ Tipos de restricciones – Contratación directa / LEY DE GARANTÍAS ELECTORALES – Convenios interadministrativos </w:t>
            </w:r>
          </w:p>
          <w:p w14:paraId="69813AFD" w14:textId="77777777" w:rsidR="004E7474" w:rsidRDefault="004E7474" w:rsidP="00874BD2">
            <w:pPr>
              <w:jc w:val="both"/>
              <w:rPr>
                <w:rFonts w:ascii="Verdana" w:hAnsi="Verdana" w:cs="Arial"/>
                <w:bCs/>
                <w:color w:val="000000" w:themeColor="text1"/>
                <w:lang w:val="es-ES_tradnl"/>
              </w:rPr>
            </w:pPr>
          </w:p>
          <w:p w14:paraId="1DC0D946" w14:textId="77777777" w:rsidR="004E7474" w:rsidRPr="00C53B42" w:rsidRDefault="004E7474" w:rsidP="00874BD2">
            <w:pPr>
              <w:jc w:val="both"/>
              <w:rPr>
                <w:rFonts w:ascii="Verdana" w:eastAsia="Calibri" w:hAnsi="Verdana" w:cs="Arial"/>
                <w:lang w:val="es-ES" w:eastAsia="es-ES"/>
              </w:rPr>
            </w:pPr>
          </w:p>
        </w:tc>
      </w:tr>
      <w:tr w:rsidR="004E7474" w14:paraId="504A9ACA" w14:textId="77777777" w:rsidTr="00874BD2">
        <w:tc>
          <w:tcPr>
            <w:tcW w:w="2689" w:type="dxa"/>
            <w:hideMark/>
          </w:tcPr>
          <w:p w14:paraId="0938917D" w14:textId="77777777" w:rsidR="004E7474" w:rsidRPr="00C53B42" w:rsidRDefault="004E7474" w:rsidP="00874BD2">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100" w:type="dxa"/>
          </w:tcPr>
          <w:p w14:paraId="5A3221E1" w14:textId="77777777" w:rsidR="004E7474" w:rsidRPr="00C53B42" w:rsidRDefault="004E7474" w:rsidP="00874BD2">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FE50E5">
              <w:rPr>
                <w:rFonts w:ascii="Verdana" w:eastAsia="Calibri" w:hAnsi="Verdana" w:cs="Arial"/>
                <w:lang w:eastAsia="es-ES_tradnl"/>
              </w:rPr>
              <w:t>1_2025_08_14_008510</w:t>
            </w:r>
            <w:r>
              <w:rPr>
                <w:rFonts w:ascii="Verdana" w:eastAsia="Calibri" w:hAnsi="Verdana" w:cs="Arial"/>
                <w:lang w:eastAsia="es-ES_tradnl"/>
              </w:rPr>
              <w:t xml:space="preserve"> acumulado con radicado No. </w:t>
            </w:r>
            <w:r w:rsidRPr="001549EC">
              <w:rPr>
                <w:rFonts w:ascii="Verdana" w:eastAsia="Calibri" w:hAnsi="Verdana" w:cs="Arial"/>
                <w:lang w:eastAsia="es-ES_tradnl"/>
              </w:rPr>
              <w:t>1_2025_08_15_008554</w:t>
            </w:r>
          </w:p>
        </w:tc>
      </w:tr>
    </w:tbl>
    <w:p w14:paraId="5921205B" w14:textId="77777777" w:rsidR="004E7474" w:rsidRDefault="004E7474" w:rsidP="004E7474">
      <w:pPr>
        <w:spacing w:after="0" w:line="240" w:lineRule="auto"/>
        <w:jc w:val="both"/>
        <w:rPr>
          <w:rFonts w:ascii="Verdana" w:eastAsia="Calibri" w:hAnsi="Verdana" w:cs="Arial"/>
          <w:color w:val="000000"/>
          <w:lang w:val="es-ES_tradnl" w:eastAsia="es-ES_tradnl"/>
        </w:rPr>
      </w:pPr>
    </w:p>
    <w:p w14:paraId="40A08DC1" w14:textId="77777777" w:rsidR="00E951C9" w:rsidRDefault="00E951C9" w:rsidP="00E951C9">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Castellanos,</w:t>
      </w:r>
    </w:p>
    <w:p w14:paraId="6A6AEB8B" w14:textId="77777777" w:rsidR="00E951C9" w:rsidRDefault="00E951C9" w:rsidP="00E951C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2DB29CF" w14:textId="77777777" w:rsidR="00E951C9" w:rsidRDefault="00E951C9" w:rsidP="00E951C9">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remitida el 5 de agosto, que fue enviada igualmente por la Procuraduría General de la Nación el 14 de agosto de 2025, en la cual manifiesta lo siguiente: </w:t>
      </w:r>
    </w:p>
    <w:p w14:paraId="4CDFBCC5" w14:textId="77777777" w:rsidR="00E951C9" w:rsidRPr="00DA5E45" w:rsidRDefault="00E951C9" w:rsidP="00E951C9">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3E59B1DA" w14:textId="77777777" w:rsidR="00E951C9" w:rsidRPr="00FF007A" w:rsidRDefault="00E951C9" w:rsidP="00E951C9">
      <w:pPr>
        <w:spacing w:after="0" w:line="240" w:lineRule="auto"/>
        <w:ind w:left="709" w:right="709"/>
        <w:jc w:val="both"/>
        <w:rPr>
          <w:rFonts w:ascii="Verdana" w:eastAsia="Century Gothic" w:hAnsi="Verdana" w:cs="Century Gothic"/>
          <w:sz w:val="20"/>
          <w:szCs w:val="20"/>
        </w:rPr>
      </w:pPr>
      <w:bookmarkStart w:id="1" w:name="_Hlk192699624"/>
      <w:bookmarkStart w:id="2" w:name="_Hlk199394899"/>
      <w:r w:rsidRPr="00FF007A">
        <w:rPr>
          <w:rFonts w:ascii="Verdana" w:eastAsia="Century Gothic" w:hAnsi="Verdana" w:cs="Century Gothic"/>
          <w:sz w:val="20"/>
          <w:szCs w:val="20"/>
        </w:rPr>
        <w:t>“</w:t>
      </w:r>
      <w:bookmarkEnd w:id="1"/>
      <w:bookmarkEnd w:id="2"/>
      <w:r>
        <w:rPr>
          <w:rFonts w:ascii="Verdana" w:eastAsia="Century Gothic" w:hAnsi="Verdana" w:cs="Century Gothic"/>
          <w:sz w:val="20"/>
          <w:szCs w:val="20"/>
        </w:rPr>
        <w:t>C</w:t>
      </w:r>
      <w:r w:rsidRPr="00585537">
        <w:rPr>
          <w:rFonts w:ascii="Verdana" w:eastAsia="Century Gothic" w:hAnsi="Verdana" w:cs="Century Gothic"/>
          <w:sz w:val="20"/>
          <w:szCs w:val="20"/>
        </w:rPr>
        <w:t>ordial saludo, de acuerdo a la ley de garantías que empieza a regir a partir del 09 de noviembre del 2025</w:t>
      </w:r>
      <w:r w:rsidRPr="005B2B51">
        <w:rPr>
          <w:rFonts w:ascii="Verdana" w:eastAsia="Century Gothic" w:hAnsi="Verdana" w:cs="Century Gothic"/>
          <w:sz w:val="20"/>
          <w:szCs w:val="20"/>
        </w:rPr>
        <w:t xml:space="preserve">y del 31 de enero del 2026, para elecciones congreso y presidencia, esta entidad, en especial la Secretaría de Salud y Ambiente, el cual dentro de sus funciones esta contratar el PIC 2026 (Plan de Intervenciones Colectivas), siendo esta una modalidad de contratación directa y prohibida en la ley de garantías, por esta razones </w:t>
      </w:r>
      <w:r w:rsidRPr="005B2B51">
        <w:rPr>
          <w:rFonts w:ascii="Verdana" w:eastAsia="Century Gothic" w:hAnsi="Verdana" w:cs="Century Gothic"/>
          <w:sz w:val="20"/>
          <w:szCs w:val="20"/>
        </w:rPr>
        <w:lastRenderedPageBreak/>
        <w:t>solicitar me aclare y asesore en la siguiente pregunta: 1) Se puede contratar el PIC 2026, después del 31 de enero del 2026? es una modalidad de contratación directa (Contrato Interadministrativo</w:t>
      </w:r>
      <w:r w:rsidRPr="00FF007A">
        <w:rPr>
          <w:rFonts w:ascii="Verdana" w:eastAsia="Century Gothic" w:hAnsi="Verdana" w:cs="Century Gothic"/>
          <w:sz w:val="20"/>
          <w:szCs w:val="20"/>
        </w:rPr>
        <w:t xml:space="preserve"> </w:t>
      </w:r>
      <w:r>
        <w:rPr>
          <w:rFonts w:ascii="Verdana" w:eastAsia="Century Gothic" w:hAnsi="Verdana" w:cs="Century Gothic"/>
          <w:sz w:val="20"/>
          <w:szCs w:val="20"/>
        </w:rPr>
        <w:t xml:space="preserve">) </w:t>
      </w:r>
      <w:r w:rsidRPr="00FF007A">
        <w:rPr>
          <w:rFonts w:ascii="Verdana" w:hAnsi="Verdana"/>
          <w:sz w:val="20"/>
          <w:szCs w:val="20"/>
        </w:rPr>
        <w:t>(…)”.</w:t>
      </w:r>
    </w:p>
    <w:p w14:paraId="1208BB56" w14:textId="77777777" w:rsidR="00E951C9" w:rsidRPr="00FF007A" w:rsidRDefault="00E951C9" w:rsidP="00E951C9">
      <w:pPr>
        <w:spacing w:after="0" w:line="240" w:lineRule="auto"/>
        <w:ind w:left="709" w:right="709"/>
        <w:jc w:val="both"/>
        <w:rPr>
          <w:rFonts w:ascii="Verdana" w:hAnsi="Verdana"/>
          <w:sz w:val="20"/>
          <w:szCs w:val="20"/>
        </w:rPr>
      </w:pPr>
    </w:p>
    <w:p w14:paraId="74077C20" w14:textId="77777777" w:rsidR="00E951C9" w:rsidRPr="00FF007A" w:rsidRDefault="00E951C9" w:rsidP="00E951C9">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E31C611" w14:textId="77777777" w:rsidR="00E951C9" w:rsidRPr="00983C76" w:rsidRDefault="00E951C9" w:rsidP="00E951C9">
      <w:pPr>
        <w:spacing w:after="12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3688707D" w14:textId="77777777" w:rsidR="00E951C9" w:rsidRPr="00FF007A" w:rsidRDefault="00E951C9" w:rsidP="00E951C9">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FF007A">
        <w:rPr>
          <w:rFonts w:ascii="Verdana" w:eastAsia="Century Gothic" w:hAnsi="Verdana" w:cs="Century Gothic"/>
          <w:b/>
          <w:bCs/>
          <w:lang w:val="es-CO"/>
        </w:rPr>
        <w:t>Problema planteado:</w:t>
      </w:r>
    </w:p>
    <w:p w14:paraId="2B503DFC" w14:textId="77777777" w:rsidR="00E951C9" w:rsidRPr="00FF007A" w:rsidRDefault="00E951C9" w:rsidP="00E951C9">
      <w:pPr>
        <w:spacing w:after="0" w:line="240" w:lineRule="auto"/>
        <w:jc w:val="both"/>
        <w:rPr>
          <w:rFonts w:ascii="Verdana" w:eastAsia="Calibri" w:hAnsi="Verdana" w:cs="Arial"/>
          <w:color w:val="000000"/>
          <w:lang w:eastAsia="es-ES"/>
        </w:rPr>
      </w:pPr>
    </w:p>
    <w:p w14:paraId="4066A677" w14:textId="77777777" w:rsidR="00E951C9" w:rsidRPr="00FF007A" w:rsidRDefault="00E951C9" w:rsidP="00E951C9">
      <w:pPr>
        <w:spacing w:after="120"/>
        <w:jc w:val="both"/>
        <w:rPr>
          <w:rFonts w:ascii="Verdana" w:eastAsia="Calibri" w:hAnsi="Verdana" w:cs="Arial"/>
          <w:color w:val="000000"/>
          <w:lang w:eastAsia="es-ES"/>
        </w:rPr>
      </w:pPr>
      <w:r w:rsidRPr="00FF007A">
        <w:rPr>
          <w:rFonts w:ascii="Verdana" w:eastAsia="Calibri" w:hAnsi="Verdana" w:cs="Arial"/>
          <w:color w:val="000000"/>
          <w:lang w:eastAsia="es-ES"/>
        </w:rPr>
        <w:t>De acuerdo con el contenido de su solicitud, esta Agencia resolverá el siguiente problema jurídico ¿</w:t>
      </w:r>
      <w:r w:rsidRPr="00FF007A">
        <w:rPr>
          <w:rFonts w:ascii="Verdana" w:eastAsia="Century Gothic" w:hAnsi="Verdana" w:cs="Century Gothic"/>
          <w:color w:val="000000" w:themeColor="text1"/>
        </w:rPr>
        <w:t>Cuál es el marco jurídico para la contratación del Plan de Intervenciones Colectivas (PIC) en vigencia de la Ley de Garantías</w:t>
      </w:r>
      <w:r>
        <w:rPr>
          <w:rFonts w:ascii="Verdana" w:eastAsia="Century Gothic" w:hAnsi="Verdana" w:cs="Century Gothic"/>
          <w:color w:val="000000" w:themeColor="text1"/>
        </w:rPr>
        <w:t xml:space="preserve"> bajo el entendido que sea suscrito mediante contratos interadministrativos</w:t>
      </w:r>
      <w:r w:rsidRPr="00FF007A">
        <w:rPr>
          <w:rFonts w:ascii="Verdana" w:eastAsia="Century Gothic" w:hAnsi="Verdana" w:cs="Century Gothic"/>
          <w:color w:val="000000" w:themeColor="text1"/>
        </w:rPr>
        <w:t>?</w:t>
      </w:r>
      <w:r w:rsidRPr="00FF007A">
        <w:rPr>
          <w:rFonts w:ascii="Verdana" w:eastAsia="Calibri" w:hAnsi="Verdana" w:cs="Arial"/>
          <w:color w:val="000000"/>
          <w:lang w:eastAsia="es-ES"/>
        </w:rPr>
        <w:t xml:space="preserve">  </w:t>
      </w:r>
    </w:p>
    <w:p w14:paraId="3D0D0CBB" w14:textId="77777777" w:rsidR="00E951C9" w:rsidRPr="00FF007A" w:rsidRDefault="00E951C9" w:rsidP="00E951C9">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38AE322F" w14:textId="77777777" w:rsidR="00E951C9" w:rsidRPr="00FF007A" w:rsidRDefault="00E951C9" w:rsidP="00E951C9">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E951C9" w:rsidRPr="00FF007A" w14:paraId="3076EBAA" w14:textId="77777777" w:rsidTr="127671B3">
        <w:tc>
          <w:tcPr>
            <w:tcW w:w="8828" w:type="dxa"/>
          </w:tcPr>
          <w:p w14:paraId="0DC7FD29" w14:textId="77777777" w:rsidR="00E951C9" w:rsidRDefault="00E951C9" w:rsidP="00874BD2">
            <w:pPr>
              <w:spacing w:before="120" w:after="120" w:line="276" w:lineRule="auto"/>
              <w:jc w:val="both"/>
              <w:rPr>
                <w:rFonts w:ascii="Verdana" w:eastAsia="Calibri" w:hAnsi="Verdana" w:cs="Arial"/>
                <w:lang w:val="es-ES"/>
              </w:rPr>
            </w:pPr>
            <w:r w:rsidRPr="00FC6F34">
              <w:rPr>
                <w:rFonts w:ascii="Verdana" w:eastAsia="Calibri" w:hAnsi="Verdana" w:cs="Arial"/>
                <w:color w:val="000000" w:themeColor="text1"/>
                <w:lang w:val="es-ES"/>
              </w:rPr>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w:t>
            </w:r>
            <w:r>
              <w:rPr>
                <w:rFonts w:ascii="Verdana" w:eastAsia="Calibri" w:hAnsi="Verdana" w:cs="Arial"/>
                <w:lang w:val="es-ES"/>
              </w:rPr>
              <w:t xml:space="preserve">(…) </w:t>
            </w:r>
            <w:r w:rsidRPr="00FC6F34">
              <w:rPr>
                <w:rFonts w:ascii="Verdana" w:eastAsia="Calibri" w:hAnsi="Verdana" w:cs="Arial"/>
                <w:lang w:val="es-ES"/>
              </w:rPr>
              <w:t xml:space="preserve">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durante los cuatro (4) meses anteriores a las elecciones presidenciales, salvo “</w:t>
            </w:r>
            <w:r>
              <w:rPr>
                <w:rFonts w:ascii="Verdana" w:eastAsia="Calibri" w:hAnsi="Verdana" w:cs="Arial"/>
                <w:lang w:val="es-ES"/>
              </w:rPr>
              <w:t xml:space="preserve">(…) </w:t>
            </w:r>
            <w:r w:rsidRPr="00FC6F34">
              <w:rPr>
                <w:rFonts w:ascii="Verdana" w:eastAsia="Calibri" w:hAnsi="Verdana" w:cs="Arial"/>
                <w:lang w:val="es-ES"/>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w:t>
            </w:r>
            <w:r w:rsidRPr="00FC6F34">
              <w:rPr>
                <w:rFonts w:ascii="Verdana" w:eastAsia="Calibri" w:hAnsi="Verdana" w:cs="Arial"/>
                <w:lang w:val="es-ES"/>
              </w:rPr>
              <w:lastRenderedPageBreak/>
              <w:t>atentados, acciones terroristas, desastres naturales o casos de fuerza mayor, y los que deban realizar las entidades sanitarias y hospitalarias.</w:t>
            </w:r>
          </w:p>
          <w:p w14:paraId="4C47B754" w14:textId="77777777" w:rsidR="00E951C9" w:rsidRDefault="00E951C9" w:rsidP="00874BD2">
            <w:pPr>
              <w:spacing w:before="120" w:after="120" w:line="276" w:lineRule="auto"/>
              <w:ind w:firstLine="742"/>
              <w:jc w:val="both"/>
              <w:rPr>
                <w:rFonts w:ascii="Verdana" w:hAnsi="Verdana" w:cs="Arial"/>
                <w:bCs/>
                <w:color w:val="000000" w:themeColor="text1"/>
                <w:lang w:val="es-ES"/>
              </w:rPr>
            </w:pP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 xml:space="preserve">n principio, todos los entes del Estado están cobijados por la prohibición para contratar directamente </w:t>
            </w:r>
            <w:r>
              <w:rPr>
                <w:rFonts w:ascii="Verdana" w:eastAsia="Arial" w:hAnsi="Verdana" w:cs="Arial"/>
                <w:bCs/>
                <w:color w:val="000000" w:themeColor="text1"/>
                <w:lang w:val="es-ES"/>
              </w:rPr>
              <w:t xml:space="preserve">según </w:t>
            </w:r>
            <w:r w:rsidRPr="00FC6F34">
              <w:rPr>
                <w:rFonts w:ascii="Verdana" w:eastAsia="Arial" w:hAnsi="Verdana" w:cs="Arial"/>
                <w:bCs/>
                <w:color w:val="000000" w:themeColor="text1"/>
                <w:lang w:val="es-ES"/>
              </w:rPr>
              <w:t xml:space="preserve">en el artículo 33 de la Ley de Garantías Electorales. Sin embargo, es importante reiterar que </w:t>
            </w:r>
            <w:r w:rsidRPr="00FC6F34">
              <w:rPr>
                <w:rFonts w:ascii="Verdana" w:hAnsi="Verdana" w:cs="Arial"/>
                <w:bCs/>
                <w:color w:val="000000" w:themeColor="text1"/>
                <w:lang w:val="es-ES"/>
              </w:rPr>
              <w:t>el segundo inciso de la misma disposición consagró las excepciones aplicables a la prohibición de contratación directa establecida en el mismo artículo</w:t>
            </w:r>
            <w:r>
              <w:rPr>
                <w:rFonts w:ascii="Verdana" w:hAnsi="Verdana" w:cs="Arial"/>
                <w:bCs/>
                <w:color w:val="000000" w:themeColor="text1"/>
                <w:lang w:val="es-ES"/>
              </w:rPr>
              <w:t>, entre las cuales se incluyen “l</w:t>
            </w:r>
            <w:r w:rsidRPr="00FC6F34">
              <w:rPr>
                <w:rFonts w:ascii="Verdana" w:hAnsi="Verdana" w:cs="Arial"/>
                <w:bCs/>
                <w:color w:val="000000" w:themeColor="text1"/>
                <w:lang w:val="es-ES"/>
              </w:rPr>
              <w:t>os contratos requeridos para cubrir las emergencias educativas, sanitarias y desastres</w:t>
            </w:r>
            <w:r>
              <w:rPr>
                <w:rFonts w:ascii="Verdana" w:hAnsi="Verdana" w:cs="Arial"/>
                <w:bCs/>
                <w:color w:val="000000" w:themeColor="text1"/>
                <w:lang w:val="es-ES"/>
              </w:rPr>
              <w:t>” y “l</w:t>
            </w:r>
            <w:r w:rsidRPr="00FC6F34">
              <w:rPr>
                <w:rFonts w:ascii="Verdana" w:hAnsi="Verdana" w:cs="Arial"/>
                <w:bCs/>
                <w:color w:val="000000" w:themeColor="text1"/>
                <w:lang w:val="es-ES"/>
              </w:rPr>
              <w:t>a contratación que deban realizar las entidades sanitarias y hospitalarias</w:t>
            </w:r>
            <w:r>
              <w:rPr>
                <w:rFonts w:ascii="Verdana" w:hAnsi="Verdana" w:cs="Arial"/>
                <w:bCs/>
                <w:color w:val="000000" w:themeColor="text1"/>
                <w:lang w:val="es-ES"/>
              </w:rPr>
              <w:t>”</w:t>
            </w:r>
            <w:r w:rsidRPr="00FC6F34">
              <w:rPr>
                <w:rFonts w:ascii="Verdana" w:hAnsi="Verdana" w:cs="Arial"/>
                <w:bCs/>
                <w:color w:val="000000" w:themeColor="text1"/>
                <w:lang w:val="es-ES"/>
              </w:rPr>
              <w:t>.</w:t>
            </w:r>
          </w:p>
          <w:p w14:paraId="7650FC83" w14:textId="77777777" w:rsidR="00E951C9" w:rsidRDefault="00E951C9" w:rsidP="00874BD2">
            <w:pPr>
              <w:spacing w:before="120" w:after="120" w:line="276" w:lineRule="auto"/>
              <w:ind w:firstLine="709"/>
              <w:jc w:val="both"/>
              <w:rPr>
                <w:rFonts w:ascii="Verdana" w:eastAsia="Arial" w:hAnsi="Verdana" w:cs="Arial"/>
                <w:color w:val="000000" w:themeColor="text1"/>
                <w:lang w:val="es-ES"/>
              </w:rPr>
            </w:pPr>
            <w:r w:rsidRPr="005C1C08">
              <w:rPr>
                <w:rFonts w:ascii="Verdana" w:hAnsi="Verdana" w:cs="Arial"/>
                <w:color w:val="000000" w:themeColor="text1"/>
                <w:lang w:val="es-ES"/>
              </w:rPr>
              <w:t xml:space="preserve">Teniendo en cuenta el tema de su consulta, es pertinente aclarar que, dentro de la estructura de la administración pública, las Empresas Sociales del Estado, según lo dispuesto en el artículo 194 de la Ley 100 de 1993 son las entidades encargadas de prestar el servicio de salud de manera directa. Adicionalmente, </w:t>
            </w:r>
            <w:r w:rsidRPr="005C1C08">
              <w:rPr>
                <w:rFonts w:ascii="Verdana" w:eastAsia="Arial" w:hAnsi="Verdana" w:cs="Arial"/>
                <w:color w:val="000000" w:themeColor="text1"/>
                <w:lang w:val="es-ES"/>
              </w:rPr>
              <w:t xml:space="preserve">el artículo 2.8.8.1.1.3 del Decreto 780 de 2016, “Por medio del cual se expide el Decreto Único Reglamentario del Sector Salud y Protección Social”, definió a las </w:t>
            </w:r>
            <w:r w:rsidRPr="005C1C08">
              <w:rPr>
                <w:rFonts w:ascii="Verdana" w:eastAsia="Arial" w:hAnsi="Verdana" w:cs="Arial"/>
                <w:i/>
                <w:iCs/>
                <w:color w:val="000000" w:themeColor="text1"/>
                <w:lang w:val="es-ES"/>
              </w:rPr>
              <w:t>entidades sanitarias</w:t>
            </w:r>
            <w:r w:rsidRPr="005C1C08">
              <w:rPr>
                <w:rFonts w:ascii="Verdana" w:eastAsia="Arial" w:hAnsi="Verdana" w:cs="Arial"/>
                <w:color w:val="000000" w:themeColor="text1"/>
                <w:lang w:val="es-ES"/>
              </w:rPr>
              <w:t xml:space="preserve"> como “Entidades del Estado que prestan servicios sanitarios o de sanidad con el propósito de preservar la salud humana y la salud pública” y por autoridades sanitarias </w:t>
            </w:r>
            <w:r>
              <w:rPr>
                <w:rFonts w:ascii="Verdana" w:eastAsia="Arial" w:hAnsi="Verdana" w:cs="Arial"/>
                <w:color w:val="000000" w:themeColor="text1"/>
                <w:lang w:val="es-ES"/>
              </w:rPr>
              <w:t xml:space="preserve">las </w:t>
            </w:r>
            <w:r w:rsidRPr="005C1C08">
              <w:rPr>
                <w:rFonts w:ascii="Verdana" w:eastAsia="Arial" w:hAnsi="Verdana" w:cs="Arial"/>
                <w:color w:val="000000" w:themeColor="text1"/>
                <w:lang w:val="es-ES"/>
              </w:rPr>
              <w:t>“</w:t>
            </w:r>
            <w:r w:rsidRPr="005C1C08">
              <w:rPr>
                <w:rFonts w:ascii="Verdana" w:eastAsia="Arial" w:hAnsi="Verdana" w:cs="Arial"/>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5C1C08">
              <w:rPr>
                <w:rFonts w:ascii="Verdana" w:eastAsia="Arial" w:hAnsi="Verdana" w:cs="Arial"/>
                <w:color w:val="000000" w:themeColor="text1"/>
                <w:lang w:val="es-ES"/>
              </w:rPr>
              <w:t xml:space="preserve">. De esta forma, para efectos de la excepción, </w:t>
            </w:r>
            <w:r>
              <w:rPr>
                <w:rFonts w:ascii="Verdana" w:eastAsia="Arial" w:hAnsi="Verdana" w:cs="Arial"/>
                <w:color w:val="000000" w:themeColor="text1"/>
                <w:lang w:val="es-ES"/>
              </w:rPr>
              <w:t>se debe verificar que se cumplan los requisitos del artículo 33 de la Ley 996 de 2005.</w:t>
            </w:r>
            <w:r w:rsidRPr="005C1C08">
              <w:rPr>
                <w:rFonts w:ascii="Verdana" w:eastAsia="Arial" w:hAnsi="Verdana" w:cs="Arial"/>
                <w:color w:val="000000" w:themeColor="text1"/>
                <w:lang w:val="es-ES"/>
              </w:rPr>
              <w:t xml:space="preserve"> Sobre lo anterior, el Consejo de Estado ha señalado que “las entidades que presten servicios tendientes a preservar la salud pública o humana deben ser consideradas como entidades sanitarias y en principio estarían exceptuadas de la prohibición de contratación directa”.</w:t>
            </w:r>
          </w:p>
          <w:p w14:paraId="1BF4161E" w14:textId="77777777" w:rsidR="00E951C9" w:rsidRDefault="00E951C9" w:rsidP="00874BD2">
            <w:pPr>
              <w:spacing w:before="120" w:after="120" w:line="276" w:lineRule="auto"/>
              <w:ind w:firstLine="742"/>
              <w:jc w:val="both"/>
              <w:rPr>
                <w:rFonts w:ascii="Verdana" w:eastAsia="Arial" w:hAnsi="Verdana" w:cs="Arial"/>
                <w:color w:val="000000" w:themeColor="text1"/>
                <w:lang w:val="es-ES"/>
              </w:rPr>
            </w:pPr>
            <w:r w:rsidRPr="5E44563B">
              <w:rPr>
                <w:rFonts w:ascii="Verdana" w:eastAsia="Arial" w:hAnsi="Verdana" w:cs="Arial"/>
                <w:color w:val="000000" w:themeColor="text1"/>
                <w:lang w:val="es-ES"/>
              </w:rPr>
              <w:t xml:space="preserve">Conforme con lo expuesto, las entidades que requieran adelantar procesos de contratación directa durante el periodo de garantías electorales deberán analizar, primero, si se configuran los supuestos establecidos en el artículo 33 de la Ley 996 de 2005, es decir, si se trata de una entidad pública que pretenda adelantar un proceso no competitivo. Adicionalmente, será pertinente analizar si se configura alguna de las excepciones previstas en la norma. En este caso, será relevante determinar si la contratación del Plan de Intervenciones Colectivas -PIC- se realiza con ocasión a una “emergencia </w:t>
            </w:r>
            <w:r w:rsidRPr="5E44563B">
              <w:rPr>
                <w:rFonts w:ascii="Verdana" w:eastAsia="Arial" w:hAnsi="Verdana" w:cs="Arial"/>
                <w:color w:val="000000" w:themeColor="text1"/>
                <w:lang w:val="es-ES"/>
              </w:rPr>
              <w:lastRenderedPageBreak/>
              <w:t xml:space="preserve">sanitaria” o si es llevada a cabo por “entidades sanitarias u hospitalarias”. De ser así, la entidad previo análisis de las excepciones de ley podrá proceder en tal </w:t>
            </w:r>
            <w:r w:rsidRPr="2B14C034">
              <w:rPr>
                <w:rFonts w:ascii="Verdana" w:eastAsia="Arial" w:hAnsi="Verdana" w:cs="Arial"/>
                <w:color w:val="000000" w:themeColor="text1"/>
                <w:lang w:val="es-ES"/>
              </w:rPr>
              <w:t>sentido</w:t>
            </w:r>
            <w:r w:rsidRPr="5E44563B">
              <w:rPr>
                <w:rFonts w:ascii="Verdana" w:eastAsia="Arial" w:hAnsi="Verdana" w:cs="Arial"/>
                <w:color w:val="000000" w:themeColor="text1"/>
                <w:lang w:val="es-ES"/>
              </w:rPr>
              <w:t xml:space="preserve"> y contratar directamente, a pesar de que haya iniciado el periodo de garantías electorales correspondiente al artículo 33 de la Ley 996 de 2005.</w:t>
            </w:r>
          </w:p>
          <w:p w14:paraId="7E013F5B" w14:textId="77777777" w:rsidR="00E951C9" w:rsidRDefault="00E951C9" w:rsidP="00874BD2">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033E8B">
              <w:rPr>
                <w:rFonts w:ascii="Verdana" w:eastAsia="Calibri" w:hAnsi="Verdana" w:cs="Arial"/>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w:t>
            </w:r>
            <w:r>
              <w:rPr>
                <w:rFonts w:ascii="Verdana" w:eastAsia="Calibri" w:hAnsi="Verdana" w:cs="Arial"/>
                <w:lang w:val="es-ES"/>
              </w:rPr>
              <w:t>(…)</w:t>
            </w:r>
            <w:r w:rsidRPr="00FC6F34">
              <w:rPr>
                <w:rFonts w:ascii="Verdana" w:eastAsia="Calibri" w:hAnsi="Verdana" w:cs="Arial"/>
                <w:lang w:val="es-ES"/>
              </w:rPr>
              <w:t xml:space="preserve">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Arial" w:hAnsi="Verdana" w:cs="Arial"/>
                <w:lang w:val="es-ES" w:eastAsia="es-ES" w:bidi="es-ES"/>
              </w:rPr>
              <w:t xml:space="preserve"> </w:t>
            </w:r>
          </w:p>
          <w:p w14:paraId="10E88AAF" w14:textId="77777777" w:rsidR="00E951C9" w:rsidRPr="00B743F9" w:rsidRDefault="00E951C9" w:rsidP="00874BD2">
            <w:pPr>
              <w:widowControl w:val="0"/>
              <w:autoSpaceDE w:val="0"/>
              <w:autoSpaceDN w:val="0"/>
              <w:spacing w:after="120" w:line="276" w:lineRule="auto"/>
              <w:ind w:right="113" w:firstLine="709"/>
              <w:jc w:val="both"/>
              <w:rPr>
                <w:rFonts w:ascii="Verdana" w:eastAsia="Arial" w:hAnsi="Verdana" w:cs="Arial"/>
                <w:lang w:val="es-ES" w:eastAsia="es-ES" w:bidi="es-ES"/>
              </w:rPr>
            </w:pPr>
            <w:r w:rsidRPr="5E44563B">
              <w:rPr>
                <w:rFonts w:ascii="Verdana" w:eastAsia="Arial" w:hAnsi="Verdana" w:cs="Arial"/>
                <w:lang w:val="es-ES" w:eastAsia="es-ES" w:bidi="es-ES"/>
              </w:rPr>
              <w:t xml:space="preserve">En efecto, con respecto a esta prohibición, </w:t>
            </w:r>
            <w:r w:rsidRPr="5E44563B">
              <w:rPr>
                <w:rFonts w:ascii="Verdana" w:eastAsia="Arial" w:hAnsi="Verdana" w:cs="Arial"/>
                <w:color w:val="000000" w:themeColor="text1"/>
                <w:lang w:val="es-ES"/>
              </w:rPr>
              <w:t xml:space="preserve">es necesario verificar si la contratación del PIC es llevada a cabo por alguno de los sujetos señalados en la norma, </w:t>
            </w:r>
            <w:r w:rsidRPr="5E44563B">
              <w:rPr>
                <w:rFonts w:ascii="Verdana" w:eastAsia="Arial" w:hAnsi="Verdana" w:cs="Arial"/>
                <w:color w:val="000000" w:themeColor="text1"/>
              </w:rPr>
              <w:t>así como</w:t>
            </w:r>
            <w:r w:rsidRPr="5E44563B">
              <w:rPr>
                <w:rFonts w:ascii="Verdana" w:eastAsia="Arial" w:hAnsi="Verdana" w:cs="Arial"/>
                <w:color w:val="000000" w:themeColor="text1"/>
                <w:lang w:val="es-ES"/>
              </w:rPr>
              <w:t xml:space="preserve"> si lo que se pretende adelantar es un convenio o un contrato interadministrativo para la ejecución de recursos públicos. Cuando este sea el caso, operará la restricción señalada en el parágrafo y estará prohibido llevar a cabo la contratación de convenios en los cuatro meses anteriores a cualquier contienda electoral. Es importante resaltar que para esta prohibición la norma no contempló ninguna excepción, de modo que aplicará, aunque se trate de entidades sanitarias u hospitalarias. </w:t>
            </w:r>
          </w:p>
          <w:p w14:paraId="441D2288" w14:textId="77777777" w:rsidR="00E951C9" w:rsidRDefault="00E951C9" w:rsidP="00874BD2">
            <w:pPr>
              <w:widowControl w:val="0"/>
              <w:tabs>
                <w:tab w:val="left" w:pos="3402"/>
              </w:tabs>
              <w:autoSpaceDE w:val="0"/>
              <w:autoSpaceDN w:val="0"/>
              <w:spacing w:after="120" w:line="276" w:lineRule="auto"/>
              <w:ind w:right="113" w:firstLine="709"/>
              <w:jc w:val="both"/>
              <w:rPr>
                <w:rFonts w:ascii="Verdana" w:eastAsia="Arial" w:hAnsi="Verdana" w:cs="Arial"/>
                <w:color w:val="000000" w:themeColor="text1"/>
                <w:lang w:val="es-ES"/>
              </w:rPr>
            </w:pPr>
            <w:r w:rsidRPr="5E44563B">
              <w:rPr>
                <w:rFonts w:ascii="Verdana" w:eastAsia="Arial" w:hAnsi="Verdana" w:cs="Arial"/>
                <w:lang w:val="es-ES" w:eastAsia="es-ES" w:bidi="es-ES"/>
              </w:rPr>
              <w:t xml:space="preserve">Se resalta que el </w:t>
            </w:r>
            <w:r w:rsidRPr="5E44563B">
              <w:rPr>
                <w:rFonts w:ascii="Verdana" w:eastAsia="Arial" w:hAnsi="Verdana" w:cs="Arial"/>
                <w:color w:val="000000" w:themeColor="text1"/>
                <w:lang w:val="es-ES"/>
              </w:rPr>
              <w:t xml:space="preserve">Ministerio de Salud y Protección Social, mediante la Resolución 04 del 12 de </w:t>
            </w:r>
            <w:proofErr w:type="gramStart"/>
            <w:r w:rsidRPr="5E44563B">
              <w:rPr>
                <w:rFonts w:ascii="Verdana" w:eastAsia="Arial" w:hAnsi="Verdana" w:cs="Arial"/>
                <w:color w:val="000000" w:themeColor="text1"/>
                <w:lang w:val="es-ES"/>
              </w:rPr>
              <w:t>Enero</w:t>
            </w:r>
            <w:proofErr w:type="gramEnd"/>
            <w:r w:rsidRPr="5E44563B">
              <w:rPr>
                <w:rFonts w:ascii="Verdana" w:eastAsia="Arial" w:hAnsi="Verdana" w:cs="Arial"/>
                <w:color w:val="000000" w:themeColor="text1"/>
                <w:lang w:val="es-ES"/>
              </w:rPr>
              <w:t xml:space="preserve"> de 2018, dio “instrucciones para la ejecución de las acciones en salud pública en el marco de la Ley de Garantías electorales”. Respecto de la ejecución del Plan de Intervenciones Colectivas (PIC), enfatizó que las entidades deben garantizar los tramites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resaltó la excepción aplicable a estas entidades. </w:t>
            </w:r>
          </w:p>
          <w:p w14:paraId="2CC295C5" w14:textId="77777777" w:rsidR="00E951C9" w:rsidRDefault="00E951C9" w:rsidP="00874BD2">
            <w:pPr>
              <w:widowControl w:val="0"/>
              <w:tabs>
                <w:tab w:val="left" w:pos="3402"/>
              </w:tabs>
              <w:autoSpaceDE w:val="0"/>
              <w:autoSpaceDN w:val="0"/>
              <w:spacing w:after="120" w:line="276" w:lineRule="auto"/>
              <w:ind w:right="113" w:firstLine="709"/>
              <w:jc w:val="both"/>
              <w:rPr>
                <w:rFonts w:ascii="Verdana" w:eastAsia="Arial" w:hAnsi="Verdana" w:cs="Arial"/>
                <w:color w:val="000000" w:themeColor="text1"/>
                <w:lang w:val="es-ES"/>
              </w:rPr>
            </w:pPr>
            <w:r w:rsidRPr="5E44563B">
              <w:rPr>
                <w:rFonts w:ascii="Verdana" w:eastAsia="Arial" w:hAnsi="Verdana" w:cs="Arial"/>
                <w:color w:val="000000" w:themeColor="text1"/>
                <w:lang w:val="es-ES"/>
              </w:rPr>
              <w:t xml:space="preserve">Sobre esto último, estableció como criterios para determinar la procedencia de la excepción en materia de salud: i) que la contratación sea </w:t>
            </w:r>
            <w:r w:rsidRPr="5E44563B">
              <w:rPr>
                <w:rFonts w:ascii="Verdana" w:eastAsia="Arial" w:hAnsi="Verdana" w:cs="Arial"/>
                <w:color w:val="000000" w:themeColor="text1"/>
                <w:lang w:val="es-ES"/>
              </w:rPr>
              <w:lastRenderedPageBreak/>
              <w:t xml:space="preserve">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3FF882A7" w14:textId="77777777" w:rsidR="00E951C9" w:rsidRDefault="00E951C9" w:rsidP="00874BD2">
            <w:pPr>
              <w:spacing w:before="120" w:after="120" w:line="276" w:lineRule="auto"/>
              <w:ind w:firstLine="709"/>
              <w:jc w:val="both"/>
              <w:rPr>
                <w:rFonts w:ascii="Verdana" w:eastAsia="Times New Roman" w:hAnsi="Verdana" w:cs="Arial"/>
                <w:lang w:val="es-ES" w:eastAsia="es-CO"/>
              </w:rPr>
            </w:pPr>
            <w:r w:rsidRPr="5E44563B">
              <w:rPr>
                <w:rFonts w:ascii="Verdana" w:eastAsia="Arial" w:hAnsi="Verdana" w:cs="Arial"/>
                <w:color w:val="000000" w:themeColor="text1"/>
                <w:lang w:val="es-ES"/>
              </w:rPr>
              <w:t xml:space="preserve">Lo anterior está acorde con </w:t>
            </w:r>
            <w:r w:rsidRPr="5E44563B">
              <w:rPr>
                <w:rFonts w:ascii="Verdana" w:eastAsia="Times New Roman" w:hAnsi="Verdana" w:cs="Arial"/>
                <w:lang w:val="es-ES"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siempre que cumplan los principios de planeación, transparencia y responsabilidad</w:t>
            </w:r>
            <w:r w:rsidRPr="5E44563B">
              <w:rPr>
                <w:rFonts w:ascii="Verdana" w:eastAsia="Times New Roman" w:hAnsi="Verdana" w:cs="Arial"/>
                <w:vertAlign w:val="superscript"/>
                <w:lang w:val="es-ES" w:eastAsia="es-CO"/>
              </w:rPr>
              <w:footnoteReference w:id="2"/>
            </w:r>
            <w:r w:rsidRPr="5E44563B">
              <w:rPr>
                <w:rFonts w:ascii="Verdana" w:eastAsia="Times New Roman" w:hAnsi="Verdana" w:cs="Arial"/>
                <w:lang w:val="es-ES" w:eastAsia="es-CO"/>
              </w:rPr>
              <w:t xml:space="preserve">. Adicionalmente es posible que los contratos celebrados previamente se continúen ejecutando con normalidad y, en consecuencia, se realicen los pagos en las condiciones pactadas. </w:t>
            </w:r>
          </w:p>
          <w:p w14:paraId="3BB92393" w14:textId="77777777" w:rsidR="00E951C9" w:rsidRPr="00036A04" w:rsidRDefault="00E951C9" w:rsidP="00874BD2">
            <w:pPr>
              <w:spacing w:before="120"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Con respecto a la prohibición del parágrafo del artículo 38, es importante resaltar que el Ministerio de Salud y Protección Social </w:t>
            </w:r>
            <w:r>
              <w:rPr>
                <w:rFonts w:ascii="Verdana" w:eastAsia="Arial" w:hAnsi="Verdana" w:cs="Arial"/>
                <w:bCs/>
                <w:color w:val="000000" w:themeColor="text1"/>
                <w:lang w:val="es-ES"/>
              </w:rPr>
              <w:t xml:space="preserve">dispuso </w:t>
            </w:r>
            <w:r w:rsidRPr="00FC6F34">
              <w:rPr>
                <w:rFonts w:ascii="Verdana" w:eastAsia="Arial" w:hAnsi="Verdana" w:cs="Arial"/>
                <w:bCs/>
                <w:color w:val="000000" w:themeColor="text1"/>
                <w:lang w:val="es-ES"/>
              </w:rPr>
              <w:t>que</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con el fin de garantizar la continuidad de</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las intervenciones de promoción de salud y prevención, “se debe acudir a </w:t>
            </w:r>
            <w:r>
              <w:rPr>
                <w:rFonts w:ascii="Verdana" w:eastAsia="Arial" w:hAnsi="Verdana" w:cs="Arial"/>
                <w:bCs/>
                <w:color w:val="000000" w:themeColor="text1"/>
                <w:lang w:val="es-ES"/>
              </w:rPr>
              <w:t>l</w:t>
            </w:r>
            <w:r w:rsidRPr="00FC6F34">
              <w:rPr>
                <w:rFonts w:ascii="Verdana" w:eastAsia="Arial" w:hAnsi="Verdana" w:cs="Arial"/>
                <w:bCs/>
                <w:color w:val="000000" w:themeColor="text1"/>
                <w:lang w:val="es-ES"/>
              </w:rPr>
              <w:t xml:space="preserve">as demás modalidades de contratación autorizadas por la ley de manera que no se afecte la ejecución de las intervenciones colectivas a cargo de las entidades territoriales”. </w:t>
            </w:r>
            <w:r>
              <w:rPr>
                <w:rFonts w:ascii="Verdana" w:eastAsia="Arial" w:hAnsi="Verdana" w:cs="Arial"/>
                <w:bCs/>
                <w:color w:val="000000" w:themeColor="text1"/>
                <w:lang w:val="es-ES"/>
              </w:rPr>
              <w:t xml:space="preserve">Lo anterior, considerando que esta prohibición no fijó excepción alguna para su aplicación. </w:t>
            </w:r>
          </w:p>
          <w:p w14:paraId="48968F40" w14:textId="77777777" w:rsidR="00E951C9" w:rsidRPr="00482ABD" w:rsidRDefault="00E951C9" w:rsidP="00874BD2">
            <w:pPr>
              <w:spacing w:before="120" w:line="276" w:lineRule="auto"/>
              <w:ind w:firstLine="709"/>
              <w:jc w:val="both"/>
              <w:rPr>
                <w:rFonts w:ascii="Verdana" w:hAnsi="Verdana" w:cs="Arial"/>
                <w:lang w:val="es-ES" w:eastAsia="es-CO"/>
              </w:rPr>
            </w:pPr>
          </w:p>
          <w:p w14:paraId="530263B7" w14:textId="217B0DFA" w:rsidR="00E951C9" w:rsidRPr="00C05384" w:rsidRDefault="00E951C9" w:rsidP="00874BD2">
            <w:pPr>
              <w:spacing w:after="120" w:line="276" w:lineRule="auto"/>
              <w:jc w:val="both"/>
              <w:rPr>
                <w:rFonts w:ascii="Verdana" w:eastAsia="Times New Roman" w:hAnsi="Verdana" w:cs="Open Sans"/>
                <w:lang w:eastAsia="es-CO"/>
              </w:rPr>
            </w:pPr>
            <w:r w:rsidRPr="127671B3">
              <w:rPr>
                <w:rFonts w:ascii="Verdana" w:eastAsia="Arial" w:hAnsi="Verdana" w:cs="Arial"/>
                <w:color w:val="000000" w:themeColor="text1"/>
                <w:lang w:eastAsia="es-CO"/>
              </w:rPr>
              <w:t xml:space="preserve">         Ahora, hablando específicamente de los contratos interadministrativos es menester precisar que e</w:t>
            </w:r>
            <w:r w:rsidRPr="127671B3">
              <w:rPr>
                <w:rFonts w:ascii="Verdana" w:eastAsia="Times New Roman" w:hAnsi="Verdana" w:cs="Open Sans"/>
                <w:lang w:eastAsia="es-CO"/>
              </w:rPr>
              <w:t xml:space="preserv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 Por su parte, </w:t>
            </w:r>
            <w:r w:rsidRPr="127671B3">
              <w:rPr>
                <w:rFonts w:ascii="Verdana" w:hAnsi="Verdana"/>
              </w:rPr>
              <w:lastRenderedPageBreak/>
              <w:t xml:space="preserve">los destinatarios de la prohibición están expresamente señalados como “todos los entes del Estado”, expresión que contempla a los diferentes organismos o entidades autorizadas por la ley para suscribir contratos. </w:t>
            </w:r>
          </w:p>
          <w:p w14:paraId="1DB838AD" w14:textId="77777777" w:rsidR="00E951C9" w:rsidRDefault="00E951C9" w:rsidP="00874BD2">
            <w:pPr>
              <w:pStyle w:val="Prrafodelista"/>
              <w:spacing w:line="276" w:lineRule="auto"/>
              <w:ind w:left="29"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directa </w:t>
            </w:r>
            <w:r>
              <w:rPr>
                <w:rFonts w:ascii="Verdana" w:eastAsia="Times New Roman" w:hAnsi="Verdana" w:cs="Open Sans"/>
                <w:lang w:eastAsia="es-CO"/>
              </w:rPr>
              <w:t xml:space="preserve">(incluidos los interadministrativos) esto es, </w:t>
            </w:r>
            <w:r w:rsidRPr="006A640E">
              <w:rPr>
                <w:rFonts w:ascii="Verdana" w:eastAsia="Times New Roman" w:hAnsi="Verdana" w:cs="Open Sans"/>
                <w:lang w:eastAsia="es-CO"/>
              </w:rPr>
              <w:t>sin que exista un proceso abierto y competitivo.</w:t>
            </w:r>
          </w:p>
          <w:p w14:paraId="3F630C7B" w14:textId="77777777" w:rsidR="00E951C9" w:rsidRDefault="00E951C9" w:rsidP="00874BD2">
            <w:pPr>
              <w:pStyle w:val="Prrafodelista"/>
              <w:spacing w:line="276" w:lineRule="auto"/>
              <w:ind w:left="29" w:firstLine="709"/>
              <w:jc w:val="both"/>
              <w:rPr>
                <w:rFonts w:ascii="Verdana" w:eastAsia="Times New Roman" w:hAnsi="Verdana" w:cs="Open Sans"/>
                <w:lang w:eastAsia="es-CO"/>
              </w:rPr>
            </w:pPr>
          </w:p>
          <w:p w14:paraId="55E29709" w14:textId="77777777" w:rsidR="00E951C9" w:rsidRPr="00C05384" w:rsidRDefault="00E951C9" w:rsidP="00874BD2">
            <w:pPr>
              <w:spacing w:after="120" w:line="276" w:lineRule="auto"/>
              <w:jc w:val="both"/>
              <w:rPr>
                <w:rFonts w:ascii="Verdana" w:eastAsia="Times New Roman" w:hAnsi="Verdana" w:cs="Open Sans"/>
                <w:lang w:eastAsia="es-CO"/>
              </w:rPr>
            </w:pPr>
            <w:r>
              <w:rPr>
                <w:rFonts w:ascii="Verdana" w:eastAsia="Times New Roman" w:hAnsi="Verdana" w:cs="Arial"/>
                <w:lang w:val="es-MX" w:eastAsia="es-CO"/>
              </w:rPr>
              <w:t>Ahora, en cuanto al</w:t>
            </w:r>
            <w:r w:rsidRPr="00C05384">
              <w:rPr>
                <w:rFonts w:ascii="Verdana" w:eastAsia="Times New Roman" w:hAnsi="Verdana" w:cs="Arial"/>
                <w:lang w:val="es-MX" w:eastAsia="es-CO"/>
              </w:rPr>
              <w:t xml:space="preserve"> parágrafo del artículo 38 de la Ley 996 de 2005 prohíbe a los </w:t>
            </w:r>
            <w:proofErr w:type="gramStart"/>
            <w:r w:rsidRPr="00C05384">
              <w:rPr>
                <w:rFonts w:ascii="Verdana" w:eastAsia="Times New Roman" w:hAnsi="Verdana" w:cs="Arial"/>
                <w:lang w:val="es-MX" w:eastAsia="es-CO"/>
              </w:rPr>
              <w:t>Alcaldes</w:t>
            </w:r>
            <w:proofErr w:type="gramEnd"/>
            <w:r w:rsidRPr="00C05384">
              <w:rPr>
                <w:rFonts w:ascii="Verdana" w:eastAsia="Times New Roman" w:hAnsi="Verdana" w:cs="Arial"/>
                <w:lang w:val="es-MX" w:eastAsia="es-CO"/>
              </w:rPr>
              <w:t xml:space="preserve">, Gobernadores, </w:t>
            </w:r>
            <w:proofErr w:type="gramStart"/>
            <w:r w:rsidRPr="00C05384">
              <w:rPr>
                <w:rFonts w:ascii="Verdana" w:eastAsia="Times New Roman" w:hAnsi="Verdana" w:cs="Arial"/>
                <w:lang w:val="es-MX" w:eastAsia="es-CO"/>
              </w:rPr>
              <w:t>Secretarios</w:t>
            </w:r>
            <w:proofErr w:type="gramEnd"/>
            <w:r w:rsidRPr="00C05384">
              <w:rPr>
                <w:rFonts w:ascii="Verdana" w:eastAsia="Times New Roman" w:hAnsi="Verdana" w:cs="Arial"/>
                <w:lang w:val="es-MX" w:eastAsia="es-CO"/>
              </w:rPr>
              <w:t xml:space="preserve">, Gerentes y </w:t>
            </w:r>
            <w:proofErr w:type="gramStart"/>
            <w:r w:rsidRPr="00C05384">
              <w:rPr>
                <w:rFonts w:ascii="Verdana" w:eastAsia="Times New Roman" w:hAnsi="Verdana" w:cs="Arial"/>
                <w:lang w:val="es-MX" w:eastAsia="es-CO"/>
              </w:rPr>
              <w:t>Directores</w:t>
            </w:r>
            <w:proofErr w:type="gramEnd"/>
            <w:r w:rsidRPr="00C05384">
              <w:rPr>
                <w:rFonts w:ascii="Verdana" w:eastAsia="Times New Roman" w:hAnsi="Verdana" w:cs="Arial"/>
                <w:lang w:val="es-MX" w:eastAsia="es-CO"/>
              </w:rPr>
              <w:t xml:space="preserve"> de las entidades descentralizadas del orden municipal, departamental o distrital celebrar </w:t>
            </w:r>
            <w:r w:rsidRPr="00C05384">
              <w:rPr>
                <w:rFonts w:ascii="Verdana" w:eastAsia="Times New Roman" w:hAnsi="Verdana" w:cs="Arial"/>
                <w:i/>
                <w:lang w:val="es-MX" w:eastAsia="es-CO"/>
              </w:rPr>
              <w:t>convenios interadministrativos</w:t>
            </w:r>
            <w:r w:rsidRPr="00C05384">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05384">
              <w:rPr>
                <w:rFonts w:ascii="Verdana" w:eastAsia="Times New Roman" w:hAnsi="Verdana" w:cs="Arial"/>
                <w:i/>
                <w:lang w:val="es-MX" w:eastAsia="es-CO"/>
              </w:rPr>
              <w:t>ibidem</w:t>
            </w:r>
            <w:r w:rsidRPr="00C05384">
              <w:rPr>
                <w:rFonts w:ascii="Verdana" w:eastAsia="Times New Roman" w:hAnsi="Verdana" w:cs="Arial"/>
                <w:lang w:val="es-MX" w:eastAsia="es-CO"/>
              </w:rPr>
              <w:t xml:space="preserve">, no podrá celebrar tales </w:t>
            </w:r>
            <w:r w:rsidRPr="00C05384">
              <w:rPr>
                <w:rFonts w:ascii="Verdana" w:eastAsia="Times New Roman" w:hAnsi="Verdana" w:cs="Arial"/>
                <w:i/>
                <w:lang w:val="es-MX" w:eastAsia="es-CO"/>
              </w:rPr>
              <w:t>convenios</w:t>
            </w:r>
            <w:r w:rsidRPr="00C05384">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70C911A1" w14:textId="77777777" w:rsidR="00E951C9" w:rsidRPr="00482ABD" w:rsidRDefault="00E951C9" w:rsidP="00874BD2">
            <w:pPr>
              <w:pStyle w:val="Prrafodelista"/>
              <w:spacing w:after="120" w:line="276" w:lineRule="auto"/>
              <w:ind w:left="0" w:firstLine="709"/>
              <w:jc w:val="both"/>
              <w:rPr>
                <w:rFonts w:ascii="Verdana" w:eastAsia="Times New Roman" w:hAnsi="Verdana" w:cs="Arial"/>
                <w:lang w:val="es-MX" w:eastAsia="es-CO"/>
              </w:rPr>
            </w:pPr>
            <w:r>
              <w:rPr>
                <w:rFonts w:ascii="Verdana" w:eastAsia="Times New Roman" w:hAnsi="Verdana" w:cs="Arial"/>
                <w:lang w:val="es-MX" w:eastAsia="es-CO"/>
              </w:rPr>
              <w:t>Por lo que, la prohibición a la celebración de convenios interadministrativos es aplicable si una de las entidades que va a suscribir el convenio interadministrativo es del orden municipal y está descrita en el parágrafo del artículo 38 de la Ley 996 de 2005.</w:t>
            </w:r>
          </w:p>
          <w:p w14:paraId="6CB633C3" w14:textId="77777777" w:rsidR="00E951C9" w:rsidRDefault="00E951C9" w:rsidP="00874BD2">
            <w:pPr>
              <w:spacing w:before="12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24ECBDCC" w14:textId="77777777" w:rsidR="00E951C9" w:rsidRDefault="00E951C9" w:rsidP="00874BD2">
            <w:pPr>
              <w:spacing w:before="120" w:line="276" w:lineRule="auto"/>
              <w:ind w:firstLine="709"/>
              <w:jc w:val="both"/>
              <w:rPr>
                <w:rFonts w:ascii="Verdana" w:hAnsi="Verdana" w:cs="Arial"/>
                <w:lang w:eastAsia="es-CO"/>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xml:space="preserve">. Por el contrario, si el estudio determina que no aplica excepción </w:t>
            </w:r>
            <w:r w:rsidRPr="00FF007A">
              <w:rPr>
                <w:rFonts w:ascii="Verdana" w:hAnsi="Verdana" w:cs="Arial"/>
                <w:lang w:eastAsia="es-CO"/>
              </w:rPr>
              <w:lastRenderedPageBreak/>
              <w:t>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r>
              <w:rPr>
                <w:rFonts w:ascii="Verdana" w:hAnsi="Verdana" w:cs="Arial"/>
                <w:lang w:eastAsia="es-CO"/>
              </w:rPr>
              <w:t>.</w:t>
            </w:r>
          </w:p>
          <w:p w14:paraId="2939FBA0" w14:textId="77777777" w:rsidR="00E951C9" w:rsidRPr="002E5606" w:rsidRDefault="00E951C9" w:rsidP="00874BD2">
            <w:pPr>
              <w:spacing w:before="120" w:line="276" w:lineRule="auto"/>
              <w:ind w:firstLine="709"/>
              <w:jc w:val="both"/>
              <w:rPr>
                <w:rFonts w:ascii="Verdana" w:eastAsia="Arial" w:hAnsi="Verdana" w:cs="Arial"/>
                <w:bCs/>
                <w:color w:val="000000" w:themeColor="text1"/>
              </w:rPr>
            </w:pPr>
          </w:p>
        </w:tc>
      </w:tr>
    </w:tbl>
    <w:p w14:paraId="5D3B979F" w14:textId="77777777" w:rsidR="00E951C9" w:rsidRPr="00FF007A" w:rsidRDefault="00E951C9" w:rsidP="00E951C9">
      <w:pPr>
        <w:tabs>
          <w:tab w:val="left" w:pos="142"/>
          <w:tab w:val="left" w:pos="284"/>
        </w:tabs>
        <w:spacing w:after="0" w:line="276" w:lineRule="auto"/>
        <w:jc w:val="both"/>
        <w:rPr>
          <w:rFonts w:ascii="Verdana" w:eastAsia="Century Gothic" w:hAnsi="Verdana" w:cs="Century Gothic"/>
          <w:b/>
          <w:bCs/>
        </w:rPr>
      </w:pPr>
    </w:p>
    <w:p w14:paraId="523497CF" w14:textId="77777777" w:rsidR="00E951C9" w:rsidRPr="00FF007A" w:rsidRDefault="00E951C9" w:rsidP="00E951C9">
      <w:pPr>
        <w:tabs>
          <w:tab w:val="left" w:pos="142"/>
          <w:tab w:val="left" w:pos="284"/>
        </w:tabs>
        <w:spacing w:after="0" w:line="276" w:lineRule="auto"/>
        <w:jc w:val="both"/>
        <w:rPr>
          <w:rFonts w:ascii="Verdana" w:eastAsia="Century Gothic" w:hAnsi="Verdana" w:cs="Century Gothic"/>
          <w:b/>
          <w:bCs/>
        </w:rPr>
      </w:pPr>
      <w:r w:rsidRPr="5E44563B">
        <w:rPr>
          <w:rFonts w:ascii="Verdana" w:eastAsia="Century Gothic" w:hAnsi="Verdana" w:cs="Century Gothic"/>
          <w:b/>
          <w:bCs/>
        </w:rPr>
        <w:t>3. Razones de la respuesta:</w:t>
      </w:r>
    </w:p>
    <w:p w14:paraId="46B0D35D" w14:textId="77777777" w:rsidR="00E951C9" w:rsidRPr="00FF007A" w:rsidRDefault="00E951C9" w:rsidP="00E951C9">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08A97799" w14:textId="77777777" w:rsidR="00E951C9" w:rsidRPr="00FF007A" w:rsidRDefault="00E951C9" w:rsidP="00E951C9">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685DCFC4" w14:textId="77777777" w:rsidR="00E951C9" w:rsidRPr="00FF007A" w:rsidRDefault="00E951C9" w:rsidP="00E951C9">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1F89254" w14:textId="77777777" w:rsidR="00E951C9" w:rsidRPr="00FF007A" w:rsidRDefault="00E951C9" w:rsidP="00E951C9">
      <w:pPr>
        <w:tabs>
          <w:tab w:val="left" w:pos="426"/>
        </w:tabs>
        <w:spacing w:after="120" w:line="276" w:lineRule="auto"/>
        <w:jc w:val="both"/>
        <w:rPr>
          <w:rFonts w:ascii="Verdana" w:eastAsia="Times New Roman" w:hAnsi="Verdana" w:cs="Arial"/>
          <w:lang w:eastAsia="es-CO"/>
        </w:rPr>
      </w:pPr>
      <w:bookmarkStart w:id="3" w:name="_Hlk209416551"/>
      <w:bookmarkStart w:id="4" w:name="_Hlk204854194"/>
      <w:r w:rsidRPr="00FF007A">
        <w:rPr>
          <w:rFonts w:ascii="Verdana" w:eastAsia="Calibri" w:hAnsi="Verdana" w:cs="Arial"/>
          <w:color w:val="000000" w:themeColor="text1"/>
        </w:rPr>
        <w:t>i)</w:t>
      </w:r>
      <w:r w:rsidRPr="00FF007A">
        <w:rPr>
          <w:rFonts w:ascii="Verdana" w:eastAsia="Verdana" w:hAnsi="Verdana" w:cs="Verdana"/>
        </w:rPr>
        <w:t xml:space="preserve"> </w:t>
      </w:r>
      <w:r w:rsidRPr="00FF007A">
        <w:rPr>
          <w:rFonts w:ascii="Verdana" w:eastAsia="Calibri" w:hAnsi="Verdana" w:cs="Arial"/>
        </w:rPr>
        <w:t>El ordenamiento jurídico colombiano contempla medidas para evitar la obtención de beneficios personales en asuntos propios de la administración pública</w:t>
      </w:r>
      <w:r w:rsidRPr="00FF007A">
        <w:rPr>
          <w:rFonts w:ascii="Verdana" w:eastAsia="Calibri" w:hAnsi="Verdana" w:cs="Arial"/>
          <w:i/>
        </w:rPr>
        <w:t xml:space="preserve">. </w:t>
      </w:r>
      <w:r w:rsidRPr="00FF007A">
        <w:rPr>
          <w:rFonts w:ascii="Verdana" w:eastAsia="Calibri" w:hAnsi="Verdana" w:cs="Arial"/>
        </w:rPr>
        <w:t>Por ejemplo, el artículo 127 de la Constitución Política establece una prohibición contractual a los servidores públicos y, en cuanto a aspectos políticos, señala restricciones a ciertos empleados del Estado, incluso en época no electoral</w:t>
      </w:r>
      <w:r w:rsidRPr="00FF007A">
        <w:rPr>
          <w:rFonts w:ascii="Verdana" w:hAnsi="Verdana"/>
          <w:vertAlign w:val="superscript"/>
        </w:rPr>
        <w:footnoteReference w:id="3"/>
      </w:r>
      <w:r w:rsidRPr="00FF007A">
        <w:rPr>
          <w:rFonts w:ascii="Verdana" w:eastAsia="Calibri" w:hAnsi="Verdana" w:cs="Arial"/>
        </w:rPr>
        <w:t xml:space="preserve">. </w:t>
      </w:r>
    </w:p>
    <w:p w14:paraId="68129195" w14:textId="77777777" w:rsidR="00E951C9" w:rsidRPr="00FF007A" w:rsidRDefault="00E951C9" w:rsidP="00E951C9">
      <w:pPr>
        <w:tabs>
          <w:tab w:val="left" w:pos="426"/>
        </w:tabs>
        <w:spacing w:after="120" w:line="276" w:lineRule="auto"/>
        <w:ind w:firstLine="709"/>
        <w:jc w:val="both"/>
        <w:rPr>
          <w:rFonts w:ascii="Verdana" w:eastAsia="Calibri" w:hAnsi="Verdana" w:cs="Arial"/>
        </w:rPr>
      </w:pPr>
      <w:r w:rsidRPr="00FF007A">
        <w:rPr>
          <w:rFonts w:ascii="Verdana" w:eastAsia="Times New Roman" w:hAnsi="Verdana" w:cs="Arial"/>
          <w:lang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F007A">
        <w:rPr>
          <w:rFonts w:ascii="Verdana" w:eastAsia="Times New Roman" w:hAnsi="Verdana" w:cs="Arial"/>
          <w:vertAlign w:val="superscript"/>
          <w:lang w:eastAsia="es-CO"/>
        </w:rPr>
        <w:footnoteReference w:id="4"/>
      </w:r>
      <w:r w:rsidRPr="00FF007A">
        <w:rPr>
          <w:rFonts w:ascii="Verdana" w:eastAsia="Times New Roman" w:hAnsi="Verdana" w:cs="Arial"/>
          <w:lang w:eastAsia="es-CO"/>
        </w:rPr>
        <w:t>. En esta medida, introduce limitaciones para realizar nombramientos, postulaciones, contrataciones o cualquier otro tipo de actividad que implique destinación de recursos públicos bajo el devenir propio de las Entidades Estatales.</w:t>
      </w:r>
      <w:r w:rsidRPr="00FF007A">
        <w:rPr>
          <w:rFonts w:ascii="Verdana" w:eastAsia="Calibri" w:hAnsi="Verdana" w:cs="Arial"/>
        </w:rPr>
        <w:t xml:space="preserve"> </w:t>
      </w:r>
    </w:p>
    <w:p w14:paraId="2B67DEB7" w14:textId="77777777" w:rsidR="00E951C9" w:rsidRPr="00FF007A" w:rsidRDefault="00E951C9" w:rsidP="00E951C9">
      <w:pPr>
        <w:tabs>
          <w:tab w:val="left" w:pos="426"/>
        </w:tabs>
        <w:spacing w:after="0" w:line="276" w:lineRule="auto"/>
        <w:ind w:firstLine="709"/>
        <w:jc w:val="both"/>
        <w:rPr>
          <w:rFonts w:ascii="Verdana" w:eastAsia="Calibri" w:hAnsi="Verdana" w:cs="Arial"/>
        </w:rPr>
      </w:pPr>
      <w:r w:rsidRPr="00FF007A">
        <w:rPr>
          <w:rFonts w:ascii="Verdana" w:eastAsia="Times New Roman" w:hAnsi="Verdana" w:cs="Arial"/>
          <w:lang w:eastAsia="es-CO"/>
        </w:rPr>
        <w:lastRenderedPageBreak/>
        <w:t>En armonía con lo anterior, la Corte Constitucional ha abordado la definición de la Ley de Garantías Electorales. De esta manera, explica que tiene como propósito:</w:t>
      </w:r>
    </w:p>
    <w:p w14:paraId="4AD7E74D" w14:textId="77777777" w:rsidR="00E951C9" w:rsidRPr="00FF007A" w:rsidRDefault="00E951C9" w:rsidP="00E951C9">
      <w:pPr>
        <w:spacing w:after="0" w:line="276" w:lineRule="auto"/>
        <w:ind w:right="709"/>
        <w:jc w:val="both"/>
        <w:rPr>
          <w:rFonts w:ascii="Verdana" w:eastAsia="Times New Roman" w:hAnsi="Verdana" w:cs="Arial"/>
          <w:lang w:eastAsia="es-CO"/>
        </w:rPr>
      </w:pPr>
    </w:p>
    <w:p w14:paraId="57D14020" w14:textId="77777777" w:rsidR="00E951C9" w:rsidRPr="00FF007A" w:rsidRDefault="00E951C9" w:rsidP="00E951C9">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la definición de reglas claras que permitan acceder a los canales de expresión democrática de manera efectiva e igualitaria. El objetivo de una ley de garantías es definir esas reglas.</w:t>
      </w:r>
    </w:p>
    <w:p w14:paraId="1195EC96" w14:textId="77777777" w:rsidR="00E951C9" w:rsidRPr="00FF007A" w:rsidRDefault="00E951C9" w:rsidP="00E951C9">
      <w:pPr>
        <w:spacing w:after="0" w:line="240" w:lineRule="auto"/>
        <w:ind w:left="709" w:right="709"/>
        <w:contextualSpacing/>
        <w:jc w:val="both"/>
        <w:rPr>
          <w:rFonts w:ascii="Verdana" w:eastAsia="Times New Roman" w:hAnsi="Verdana" w:cs="Arial"/>
          <w:sz w:val="20"/>
          <w:szCs w:val="20"/>
          <w:lang w:eastAsia="es-CO"/>
        </w:rPr>
      </w:pPr>
    </w:p>
    <w:p w14:paraId="3FA1EB9E" w14:textId="77777777" w:rsidR="00E951C9" w:rsidRPr="00FF007A" w:rsidRDefault="00E951C9" w:rsidP="00E951C9">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 xml:space="preserve">[…] </w:t>
      </w:r>
    </w:p>
    <w:p w14:paraId="41D8DDEC" w14:textId="77777777" w:rsidR="00E951C9" w:rsidRPr="00FF007A" w:rsidRDefault="00E951C9" w:rsidP="00E951C9">
      <w:pPr>
        <w:spacing w:after="0" w:line="240" w:lineRule="auto"/>
        <w:ind w:left="709" w:right="709"/>
        <w:contextualSpacing/>
        <w:jc w:val="both"/>
        <w:rPr>
          <w:rFonts w:ascii="Verdana" w:eastAsia="Times New Roman" w:hAnsi="Verdana" w:cs="Arial"/>
          <w:sz w:val="20"/>
          <w:szCs w:val="20"/>
          <w:lang w:eastAsia="es-CO"/>
        </w:rPr>
      </w:pPr>
    </w:p>
    <w:p w14:paraId="37C67230" w14:textId="77777777" w:rsidR="00E951C9" w:rsidRPr="00FF007A" w:rsidRDefault="00E951C9" w:rsidP="00E951C9">
      <w:pPr>
        <w:spacing w:after="0" w:line="240" w:lineRule="auto"/>
        <w:ind w:left="709" w:right="709"/>
        <w:contextualSpacing/>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F007A">
        <w:rPr>
          <w:rFonts w:ascii="Verdana" w:eastAsia="Calibri" w:hAnsi="Verdana" w:cs="Arial"/>
          <w:sz w:val="20"/>
          <w:szCs w:val="20"/>
          <w:vertAlign w:val="superscript"/>
        </w:rPr>
        <w:footnoteReference w:id="5"/>
      </w:r>
      <w:r w:rsidRPr="00FF007A">
        <w:rPr>
          <w:rFonts w:ascii="Verdana" w:eastAsia="Times New Roman" w:hAnsi="Verdana" w:cs="Arial"/>
          <w:sz w:val="20"/>
          <w:szCs w:val="20"/>
          <w:lang w:eastAsia="es-CO"/>
        </w:rPr>
        <w:t>.</w:t>
      </w:r>
    </w:p>
    <w:p w14:paraId="531771E7" w14:textId="77777777" w:rsidR="00E951C9" w:rsidRPr="00FF007A" w:rsidRDefault="00E951C9" w:rsidP="00E951C9">
      <w:pPr>
        <w:spacing w:after="0" w:line="276" w:lineRule="auto"/>
        <w:ind w:firstLine="709"/>
        <w:jc w:val="both"/>
        <w:rPr>
          <w:rFonts w:ascii="Verdana" w:eastAsia="Times New Roman" w:hAnsi="Verdana" w:cs="Arial"/>
          <w:lang w:eastAsia="es-CO"/>
        </w:rPr>
      </w:pPr>
    </w:p>
    <w:p w14:paraId="45799C49" w14:textId="77777777" w:rsidR="00E951C9" w:rsidRPr="00FF007A" w:rsidRDefault="00E951C9" w:rsidP="00E951C9">
      <w:pPr>
        <w:spacing w:after="0" w:line="276" w:lineRule="auto"/>
        <w:ind w:firstLine="709"/>
        <w:jc w:val="both"/>
        <w:rPr>
          <w:rFonts w:ascii="Verdana" w:eastAsia="Times New Roman" w:hAnsi="Verdana" w:cs="Arial"/>
          <w:lang w:eastAsia="es-CO"/>
        </w:rPr>
      </w:pPr>
      <w:r w:rsidRPr="00FF007A">
        <w:rPr>
          <w:rFonts w:ascii="Verdana" w:eastAsia="Times New Roman" w:hAnsi="Verdana" w:cs="Arial"/>
          <w:lang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56D6F8A" w14:textId="77777777" w:rsidR="00E951C9" w:rsidRPr="00FF007A" w:rsidRDefault="00E951C9" w:rsidP="00E951C9">
      <w:pPr>
        <w:spacing w:after="0" w:line="276" w:lineRule="auto"/>
        <w:ind w:firstLine="709"/>
        <w:jc w:val="both"/>
        <w:rPr>
          <w:rFonts w:ascii="Verdana" w:eastAsia="Times New Roman" w:hAnsi="Verdana" w:cs="Arial"/>
          <w:lang w:eastAsia="es-CO"/>
        </w:rPr>
      </w:pPr>
    </w:p>
    <w:p w14:paraId="325CE4DD" w14:textId="77777777" w:rsidR="00E951C9" w:rsidRPr="00FF007A" w:rsidRDefault="00E951C9" w:rsidP="00E951C9">
      <w:pPr>
        <w:spacing w:after="0" w:line="240" w:lineRule="auto"/>
        <w:ind w:left="709" w:right="709"/>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0C4C30F" w14:textId="77777777" w:rsidR="00E951C9" w:rsidRPr="00FF007A" w:rsidRDefault="00E951C9" w:rsidP="00E951C9">
      <w:pPr>
        <w:spacing w:after="0" w:line="240" w:lineRule="auto"/>
        <w:ind w:right="709"/>
        <w:jc w:val="both"/>
        <w:rPr>
          <w:rFonts w:ascii="Verdana" w:eastAsia="Times New Roman" w:hAnsi="Verdana" w:cs="Arial"/>
          <w:lang w:eastAsia="es-CO"/>
        </w:rPr>
      </w:pPr>
    </w:p>
    <w:p w14:paraId="077BE8F3" w14:textId="77777777" w:rsidR="00E951C9" w:rsidRPr="00FF007A" w:rsidRDefault="00E951C9" w:rsidP="00E951C9">
      <w:pPr>
        <w:spacing w:after="0" w:line="240" w:lineRule="auto"/>
        <w:ind w:left="709" w:right="709"/>
        <w:jc w:val="both"/>
        <w:rPr>
          <w:rFonts w:ascii="Verdana" w:eastAsia="Times New Roman" w:hAnsi="Verdana" w:cs="Arial"/>
          <w:sz w:val="20"/>
          <w:szCs w:val="20"/>
          <w:lang w:eastAsia="es-CO"/>
        </w:rPr>
      </w:pPr>
      <w:r w:rsidRPr="00FF007A">
        <w:rPr>
          <w:rFonts w:ascii="Verdana" w:eastAsia="Times New Roman" w:hAnsi="Verdana" w:cs="Arial"/>
          <w:sz w:val="20"/>
          <w:szCs w:val="20"/>
          <w:lang w:eastAsia="es-CO"/>
        </w:rPr>
        <w:lastRenderedPageBreak/>
        <w:t>La jurisprudencia de la Corte Constitucional</w:t>
      </w:r>
      <w:r w:rsidRPr="00FF007A">
        <w:rPr>
          <w:rFonts w:ascii="Verdana" w:eastAsia="Times New Roman" w:hAnsi="Verdana" w:cs="Arial"/>
          <w:sz w:val="20"/>
          <w:szCs w:val="20"/>
          <w:vertAlign w:val="superscript"/>
          <w:lang w:eastAsia="es-CO"/>
        </w:rPr>
        <w:footnoteReference w:id="6"/>
      </w:r>
      <w:r w:rsidRPr="00FF007A">
        <w:rPr>
          <w:rFonts w:ascii="Verdana" w:eastAsia="Times New Roman" w:hAnsi="Verdana" w:cs="Arial"/>
          <w:sz w:val="20"/>
          <w:szCs w:val="20"/>
          <w:lang w:eastAsia="es-CO"/>
        </w:rPr>
        <w:t> y del Consejo de Estado</w:t>
      </w:r>
      <w:r w:rsidRPr="00FF007A">
        <w:rPr>
          <w:rFonts w:ascii="Verdana" w:eastAsia="Times New Roman" w:hAnsi="Verdana" w:cs="Arial"/>
          <w:sz w:val="20"/>
          <w:szCs w:val="20"/>
          <w:vertAlign w:val="superscript"/>
          <w:lang w:eastAsia="es-CO"/>
        </w:rPr>
        <w:footnoteReference w:id="7"/>
      </w:r>
      <w:r w:rsidRPr="00FF007A">
        <w:rPr>
          <w:rFonts w:ascii="Verdana" w:eastAsia="Times New Roman" w:hAnsi="Verdana" w:cs="Arial"/>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F007A">
        <w:rPr>
          <w:rFonts w:ascii="Verdana" w:eastAsia="Times New Roman" w:hAnsi="Verdana" w:cs="Arial"/>
          <w:sz w:val="20"/>
          <w:szCs w:val="20"/>
          <w:vertAlign w:val="superscript"/>
          <w:lang w:eastAsia="es-CO"/>
        </w:rPr>
        <w:footnoteReference w:id="8"/>
      </w:r>
      <w:r w:rsidRPr="00FF007A">
        <w:rPr>
          <w:rFonts w:ascii="Verdana" w:eastAsia="Times New Roman" w:hAnsi="Verdana" w:cs="Arial"/>
          <w:sz w:val="20"/>
          <w:szCs w:val="20"/>
          <w:lang w:eastAsia="es-CO"/>
        </w:rPr>
        <w:t>.</w:t>
      </w:r>
    </w:p>
    <w:p w14:paraId="37A4653B" w14:textId="77777777" w:rsidR="00E951C9" w:rsidRPr="00FF007A" w:rsidRDefault="00E951C9" w:rsidP="00E951C9">
      <w:pPr>
        <w:spacing w:after="0" w:line="276" w:lineRule="auto"/>
        <w:jc w:val="both"/>
        <w:rPr>
          <w:rFonts w:ascii="Verdana" w:eastAsia="Calibri" w:hAnsi="Verdana" w:cs="Arial"/>
          <w:bCs/>
        </w:rPr>
      </w:pPr>
    </w:p>
    <w:p w14:paraId="38CC4FB1" w14:textId="77777777" w:rsidR="00E951C9" w:rsidRDefault="00E951C9" w:rsidP="00E951C9">
      <w:pPr>
        <w:spacing w:after="0" w:line="276" w:lineRule="auto"/>
        <w:ind w:firstLine="709"/>
        <w:jc w:val="both"/>
        <w:rPr>
          <w:rFonts w:ascii="Verdana" w:eastAsia="Arial" w:hAnsi="Verdana" w:cs="Arial"/>
          <w:lang w:eastAsia="es-ES" w:bidi="es-ES"/>
        </w:rPr>
      </w:pPr>
      <w:r w:rsidRPr="00FF007A">
        <w:rPr>
          <w:rFonts w:ascii="Verdana" w:eastAsia="Times New Roman" w:hAnsi="Verdana" w:cs="Arial"/>
          <w:lang w:eastAsia="es-CO"/>
        </w:rPr>
        <w:t>De</w:t>
      </w:r>
      <w:r w:rsidRPr="00FF007A">
        <w:rPr>
          <w:rFonts w:ascii="Verdana" w:eastAsia="Arial" w:hAnsi="Verdana" w:cs="Arial"/>
          <w:lang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11A092D" w14:textId="77777777" w:rsidR="00E951C9" w:rsidRPr="00FF007A" w:rsidRDefault="00E951C9" w:rsidP="00E951C9">
      <w:pPr>
        <w:spacing w:after="0" w:line="240" w:lineRule="auto"/>
        <w:ind w:firstLine="709"/>
        <w:jc w:val="both"/>
        <w:rPr>
          <w:rFonts w:ascii="Verdana" w:eastAsia="Arial" w:hAnsi="Verdana" w:cs="Arial"/>
          <w:lang w:eastAsia="es-ES" w:bidi="es-ES"/>
        </w:rPr>
      </w:pPr>
    </w:p>
    <w:p w14:paraId="2EDECEF4" w14:textId="77777777" w:rsidR="00E951C9" w:rsidRPr="00FF007A" w:rsidRDefault="00E951C9" w:rsidP="00E951C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ii)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34B624AF" w14:textId="77777777" w:rsidR="00E951C9" w:rsidRPr="00FF007A" w:rsidRDefault="00E951C9" w:rsidP="00E951C9">
      <w:pPr>
        <w:spacing w:after="120" w:line="276" w:lineRule="auto"/>
        <w:ind w:firstLine="708"/>
        <w:jc w:val="both"/>
        <w:rPr>
          <w:rFonts w:ascii="Verdana" w:eastAsia="Calibri" w:hAnsi="Verdana" w:cs="Arial"/>
        </w:rPr>
      </w:pPr>
      <w:r w:rsidRPr="00FF007A">
        <w:rPr>
          <w:rFonts w:ascii="Verdana" w:eastAsia="Calibri" w:hAnsi="Verdana" w:cs="Arial"/>
        </w:rPr>
        <w:t xml:space="preserve">Por un lado, 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F007A">
        <w:rPr>
          <w:rFonts w:ascii="Verdana" w:eastAsia="Calibri" w:hAnsi="Verdana" w:cs="Arial"/>
        </w:rPr>
        <w:lastRenderedPageBreak/>
        <w:t>acciones terroristas, desastres naturales o casos de fuerza mayor, y los que deban realizar las entidades sanitarias y hospitalarias”</w:t>
      </w:r>
      <w:r w:rsidRPr="00FF007A">
        <w:rPr>
          <w:rFonts w:ascii="Verdana" w:eastAsia="Calibri" w:hAnsi="Verdana" w:cs="Arial"/>
          <w:vertAlign w:val="superscript"/>
        </w:rPr>
        <w:footnoteReference w:id="9"/>
      </w:r>
      <w:r w:rsidRPr="00FF007A">
        <w:rPr>
          <w:rFonts w:ascii="Verdana" w:eastAsia="Calibri" w:hAnsi="Verdana" w:cs="Arial"/>
        </w:rPr>
        <w:t>.</w:t>
      </w:r>
    </w:p>
    <w:p w14:paraId="4AAA1056" w14:textId="77777777" w:rsidR="00E951C9" w:rsidRPr="00FF007A" w:rsidRDefault="00E951C9" w:rsidP="00E951C9">
      <w:pPr>
        <w:widowControl w:val="0"/>
        <w:autoSpaceDE w:val="0"/>
        <w:autoSpaceDN w:val="0"/>
        <w:spacing w:after="120" w:line="276" w:lineRule="auto"/>
        <w:ind w:right="113" w:firstLine="709"/>
        <w:jc w:val="both"/>
        <w:rPr>
          <w:rFonts w:ascii="Verdana" w:eastAsia="Arial" w:hAnsi="Verdana" w:cs="Arial"/>
          <w:lang w:eastAsia="es-ES" w:bidi="es-ES"/>
        </w:rPr>
      </w:pPr>
      <w:r w:rsidRPr="00FF007A">
        <w:rPr>
          <w:rFonts w:ascii="Verdana" w:eastAsia="Calibri" w:hAnsi="Verdana" w:cs="Arial"/>
        </w:rPr>
        <w:t xml:space="preserve">Por otro lado,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vertAlign w:val="superscript"/>
        </w:rPr>
        <w:footnoteReference w:id="10"/>
      </w:r>
      <w:r w:rsidRPr="00FF007A">
        <w:rPr>
          <w:rFonts w:ascii="Verdana" w:eastAsia="Calibri" w:hAnsi="Verdana" w:cs="Arial"/>
        </w:rPr>
        <w:t>.</w:t>
      </w:r>
      <w:r w:rsidRPr="00FF007A">
        <w:rPr>
          <w:rFonts w:ascii="Verdana" w:eastAsia="Arial" w:hAnsi="Verdana" w:cs="Arial"/>
          <w:lang w:eastAsia="es-ES" w:bidi="es-ES"/>
        </w:rPr>
        <w:t xml:space="preserve"> </w:t>
      </w:r>
    </w:p>
    <w:p w14:paraId="79418702" w14:textId="77777777" w:rsidR="00E951C9" w:rsidRPr="00FF007A" w:rsidRDefault="00E951C9" w:rsidP="00E951C9">
      <w:pPr>
        <w:widowControl w:val="0"/>
        <w:autoSpaceDE w:val="0"/>
        <w:autoSpaceDN w:val="0"/>
        <w:spacing w:after="0" w:line="276" w:lineRule="auto"/>
        <w:ind w:right="113" w:firstLine="708"/>
        <w:contextualSpacing/>
        <w:jc w:val="both"/>
        <w:rPr>
          <w:rFonts w:ascii="Verdana" w:eastAsia="Arial" w:hAnsi="Verdana" w:cs="Arial"/>
          <w:lang w:eastAsia="es-ES" w:bidi="es-ES"/>
        </w:rPr>
      </w:pPr>
      <w:r w:rsidRPr="00FF007A">
        <w:rPr>
          <w:rFonts w:ascii="Verdana" w:eastAsia="Arial" w:hAnsi="Verdana" w:cs="Arial"/>
          <w:lang w:eastAsia="es-ES" w:bidi="es-ES"/>
        </w:rPr>
        <w:t>La Sala de Consulta y Servicio Civil del Consejo de Estado ha aclarado la distinción en la aplicación de las prohibiciones de la Ley 996 de 2005, dependiendo del tipo de elección que se trate. Al respecto, señala:</w:t>
      </w:r>
    </w:p>
    <w:p w14:paraId="61E55AC6" w14:textId="77777777" w:rsidR="00E951C9" w:rsidRDefault="00E951C9" w:rsidP="00E951C9">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36D8524B" w14:textId="77777777" w:rsidR="00E951C9" w:rsidRPr="00FF007A" w:rsidRDefault="00E951C9" w:rsidP="00E951C9">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FF007A">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FF007A">
        <w:rPr>
          <w:rFonts w:ascii="Verdana" w:eastAsia="Arial" w:hAnsi="Verdana" w:cs="Arial"/>
          <w:sz w:val="20"/>
          <w:szCs w:val="20"/>
          <w:lang w:eastAsia="es-ES" w:bidi="es-ES"/>
        </w:rPr>
        <w:lastRenderedPageBreak/>
        <w:t xml:space="preserve">excluyendo las correspondientes a </w:t>
      </w:r>
      <w:proofErr w:type="gramStart"/>
      <w:r w:rsidRPr="00FF007A">
        <w:rPr>
          <w:rFonts w:ascii="Verdana" w:eastAsia="Arial" w:hAnsi="Verdana" w:cs="Arial"/>
          <w:sz w:val="20"/>
          <w:szCs w:val="20"/>
          <w:lang w:eastAsia="es-ES" w:bidi="es-ES"/>
        </w:rPr>
        <w:t>Presidente</w:t>
      </w:r>
      <w:proofErr w:type="gramEnd"/>
      <w:r w:rsidRPr="00FF007A">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FF007A">
        <w:rPr>
          <w:rFonts w:ascii="Verdana" w:eastAsia="Arial" w:hAnsi="Verdana" w:cs="Arial"/>
          <w:sz w:val="20"/>
          <w:szCs w:val="20"/>
          <w:vertAlign w:val="superscript"/>
          <w:lang w:eastAsia="es-ES" w:bidi="es-ES"/>
        </w:rPr>
        <w:footnoteReference w:id="11"/>
      </w:r>
      <w:r w:rsidRPr="00FF007A">
        <w:rPr>
          <w:rFonts w:ascii="Verdana" w:eastAsia="Arial" w:hAnsi="Verdana" w:cs="Arial"/>
          <w:sz w:val="20"/>
          <w:szCs w:val="20"/>
          <w:lang w:eastAsia="es-ES" w:bidi="es-ES"/>
        </w:rPr>
        <w:t>.</w:t>
      </w:r>
    </w:p>
    <w:p w14:paraId="23D9E475" w14:textId="77777777" w:rsidR="00E951C9" w:rsidRPr="00FF007A" w:rsidRDefault="00E951C9" w:rsidP="00E951C9">
      <w:pPr>
        <w:widowControl w:val="0"/>
        <w:autoSpaceDE w:val="0"/>
        <w:autoSpaceDN w:val="0"/>
        <w:spacing w:after="0" w:line="276" w:lineRule="auto"/>
        <w:contextualSpacing/>
        <w:rPr>
          <w:rFonts w:ascii="Verdana" w:eastAsia="Arial" w:hAnsi="Verdana" w:cs="Arial"/>
          <w:lang w:eastAsia="es-ES" w:bidi="es-ES"/>
        </w:rPr>
      </w:pPr>
    </w:p>
    <w:p w14:paraId="791E34D7" w14:textId="77777777" w:rsidR="00E951C9" w:rsidRPr="00FF007A" w:rsidRDefault="00E951C9" w:rsidP="00E951C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De conformidad con lo anterior, la Ley 996 de 2005 establece dos (2) tipos de restricciones en materia de contratación, las cuales coinciden parcialmente. </w:t>
      </w:r>
    </w:p>
    <w:p w14:paraId="16DE223B" w14:textId="77777777" w:rsidR="00E951C9" w:rsidRPr="00FF007A" w:rsidRDefault="00E951C9" w:rsidP="00E951C9">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primer lugar</w:t>
      </w:r>
      <w:r w:rsidRPr="00FF007A">
        <w:rPr>
          <w:rFonts w:ascii="Verdana" w:eastAsia="Arial" w:hAnsi="Verdana" w:cs="Arial"/>
          <w:lang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62D3EA4D" w14:textId="77777777" w:rsidR="00E951C9" w:rsidRPr="00FF007A" w:rsidRDefault="00E951C9" w:rsidP="00E951C9">
      <w:pPr>
        <w:spacing w:after="120" w:line="276" w:lineRule="auto"/>
        <w:ind w:firstLine="709"/>
        <w:jc w:val="both"/>
        <w:rPr>
          <w:rFonts w:ascii="Verdana" w:eastAsia="Arial" w:hAnsi="Verdana" w:cs="Arial"/>
          <w:lang w:eastAsia="es-ES" w:bidi="es-ES"/>
        </w:rPr>
      </w:pPr>
      <w:r w:rsidRPr="00FF007A">
        <w:rPr>
          <w:rFonts w:ascii="Verdana" w:eastAsia="Arial" w:hAnsi="Verdana" w:cs="Arial"/>
          <w:i/>
          <w:lang w:eastAsia="es-ES" w:bidi="es-ES"/>
        </w:rPr>
        <w:t>En segundo lugar</w:t>
      </w:r>
      <w:r w:rsidRPr="00FF007A">
        <w:rPr>
          <w:rFonts w:ascii="Verdana" w:eastAsia="Arial" w:hAnsi="Verdana" w:cs="Arial"/>
          <w:lang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6D08700" w14:textId="77777777" w:rsidR="00E951C9" w:rsidRPr="00FF007A" w:rsidRDefault="00E951C9" w:rsidP="00E951C9">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Ambas restricciones no son excluyentes, lo que permite concluir que, en el período preelectoral para elección de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de la República, las autoridades allí mencionadas sólo deben aplicar las restricciones contenidas en el parágrafo del artículo 38.</w:t>
      </w:r>
    </w:p>
    <w:p w14:paraId="38D814F2" w14:textId="77777777" w:rsidR="00E951C9" w:rsidRPr="00FF007A" w:rsidRDefault="00E951C9" w:rsidP="00E951C9">
      <w:pPr>
        <w:spacing w:after="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 xml:space="preserve">La Corte Constitucional, en la Sentencia C-1153 del 11 de noviembre de 2005, señaló que, para que la garantía sea plena, era necesario que la prohibición se aplicara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o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F007A">
        <w:rPr>
          <w:rFonts w:ascii="Verdana" w:eastAsia="Arial" w:hAnsi="Verdana" w:cs="Arial"/>
          <w:lang w:eastAsia="es-ES" w:bidi="es-ES"/>
        </w:rPr>
        <w:t>Presidente</w:t>
      </w:r>
      <w:proofErr w:type="gramEnd"/>
      <w:r w:rsidRPr="00FF007A">
        <w:rPr>
          <w:rFonts w:ascii="Verdana" w:eastAsia="Arial" w:hAnsi="Verdana" w:cs="Arial"/>
          <w:lang w:eastAsia="es-ES" w:bidi="es-ES"/>
        </w:rPr>
        <w:t xml:space="preserve"> y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de la República, ha perdido vigencia ante la prohibición de la reelección presidencial, restablecida por el Acto Legislativo 2 de 2015. Esto, excepto para el </w:t>
      </w:r>
      <w:proofErr w:type="gramStart"/>
      <w:r w:rsidRPr="00FF007A">
        <w:rPr>
          <w:rFonts w:ascii="Verdana" w:eastAsia="Arial" w:hAnsi="Verdana" w:cs="Arial"/>
          <w:lang w:eastAsia="es-ES" w:bidi="es-ES"/>
        </w:rPr>
        <w:t>Vicepresidente</w:t>
      </w:r>
      <w:proofErr w:type="gramEnd"/>
      <w:r w:rsidRPr="00FF007A">
        <w:rPr>
          <w:rFonts w:ascii="Verdana" w:eastAsia="Arial" w:hAnsi="Verdana" w:cs="Arial"/>
          <w:lang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4A84AD3" w14:textId="77777777" w:rsidR="00E951C9" w:rsidRPr="00FF007A" w:rsidRDefault="00E951C9" w:rsidP="00E951C9">
      <w:pPr>
        <w:spacing w:after="0" w:line="240" w:lineRule="auto"/>
        <w:ind w:firstLine="709"/>
        <w:jc w:val="both"/>
        <w:rPr>
          <w:rFonts w:ascii="Verdana" w:eastAsia="Arial" w:hAnsi="Verdana" w:cs="Arial"/>
          <w:lang w:eastAsia="es-ES" w:bidi="es-ES"/>
        </w:rPr>
      </w:pPr>
    </w:p>
    <w:p w14:paraId="574B625C" w14:textId="77777777" w:rsidR="00E951C9" w:rsidRPr="00FF007A" w:rsidRDefault="00E951C9" w:rsidP="00E951C9">
      <w:pPr>
        <w:spacing w:after="120" w:line="276" w:lineRule="auto"/>
        <w:ind w:firstLine="709"/>
        <w:jc w:val="both"/>
        <w:rPr>
          <w:rFonts w:ascii="Verdana" w:eastAsia="Times New Roman" w:hAnsi="Verdana" w:cs="Arial"/>
          <w:bCs/>
          <w:lang w:eastAsia="es-CO"/>
        </w:rPr>
      </w:pPr>
      <w:r w:rsidRPr="00FF007A">
        <w:rPr>
          <w:rFonts w:ascii="Verdana" w:eastAsia="Calibri" w:hAnsi="Verdana" w:cs="Arial"/>
        </w:rPr>
        <w:t xml:space="preserve">iii) </w:t>
      </w: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 xml:space="preserve">artículo 33 de la Ley 996 de 2005. El ámbito material de esta prohibición está delimitado por la expresión </w:t>
      </w:r>
      <w:r w:rsidRPr="00FF007A">
        <w:rPr>
          <w:rFonts w:ascii="Verdana" w:eastAsia="Calibri" w:hAnsi="Verdana" w:cs="Arial"/>
          <w:bCs/>
        </w:rPr>
        <w:t>“</w:t>
      </w:r>
      <w:r w:rsidRPr="00FF007A">
        <w:rPr>
          <w:rFonts w:ascii="Verdana" w:eastAsia="Times New Roman" w:hAnsi="Verdana" w:cs="Arial"/>
        </w:rPr>
        <w:t>queda prohibida la contratación directa</w:t>
      </w:r>
      <w:r w:rsidRPr="00FF007A">
        <w:rPr>
          <w:rFonts w:ascii="Verdana" w:eastAsia="Calibri" w:hAnsi="Verdana" w:cs="Arial"/>
        </w:rPr>
        <w:t>”</w:t>
      </w:r>
      <w:r w:rsidRPr="00FF007A">
        <w:rPr>
          <w:rFonts w:ascii="Verdana" w:eastAsia="Times New Roman" w:hAnsi="Verdana" w:cs="Arial"/>
        </w:rPr>
        <w:t xml:space="preserve">. </w:t>
      </w:r>
      <w:r w:rsidRPr="00FF007A">
        <w:rPr>
          <w:rFonts w:ascii="Verdana" w:eastAsia="Times New Roman" w:hAnsi="Verdana" w:cs="Arial"/>
          <w:lang w:eastAsia="es-CO"/>
        </w:rPr>
        <w:t>A propósito de esta restricción de la Ley de Garantías Electorales, la Sala de Consulta y Servicio Civil del Consejo de Estado ha considerado que:</w:t>
      </w:r>
    </w:p>
    <w:p w14:paraId="020937DF" w14:textId="77777777" w:rsidR="00E951C9" w:rsidRPr="005F28C0" w:rsidRDefault="00E951C9" w:rsidP="00E951C9">
      <w:pPr>
        <w:spacing w:after="0" w:line="240" w:lineRule="auto"/>
        <w:ind w:left="709" w:right="709"/>
        <w:jc w:val="both"/>
        <w:rPr>
          <w:rFonts w:ascii="Verdana" w:eastAsia="Calibri" w:hAnsi="Verdana" w:cs="Arial"/>
          <w:sz w:val="20"/>
          <w:szCs w:val="20"/>
        </w:rPr>
      </w:pPr>
      <w:r w:rsidRPr="00FF007A">
        <w:rPr>
          <w:rFonts w:ascii="Verdana" w:eastAsia="Calibri" w:hAnsi="Verdana" w:cs="Arial"/>
          <w:sz w:val="20"/>
          <w:szCs w:val="20"/>
        </w:rPr>
        <w:t xml:space="preserve">“[…] Esta Sala ha entendido </w:t>
      </w:r>
      <w:proofErr w:type="gramStart"/>
      <w:r w:rsidRPr="00FF007A">
        <w:rPr>
          <w:rFonts w:ascii="Verdana" w:eastAsia="Calibri" w:hAnsi="Verdana" w:cs="Arial"/>
          <w:sz w:val="20"/>
          <w:szCs w:val="20"/>
        </w:rPr>
        <w:t>que</w:t>
      </w:r>
      <w:proofErr w:type="gramEnd"/>
      <w:r w:rsidRPr="00FF007A">
        <w:rPr>
          <w:rFonts w:ascii="Verdana" w:eastAsia="Calibri" w:hAnsi="Verdana" w:cs="Arial"/>
          <w:sz w:val="20"/>
          <w:szCs w:val="20"/>
        </w:rPr>
        <w:t xml:space="preserve"> para los efectos de la ley de garantías, y dada su finalidad, el enunciado </w:t>
      </w:r>
      <w:r>
        <w:rPr>
          <w:rFonts w:ascii="Verdana" w:eastAsia="Calibri" w:hAnsi="Verdana" w:cs="Arial"/>
          <w:sz w:val="20"/>
          <w:szCs w:val="20"/>
        </w:rPr>
        <w:t>“c</w:t>
      </w:r>
      <w:r w:rsidRPr="00FF007A">
        <w:rPr>
          <w:rFonts w:ascii="Verdana" w:eastAsia="Calibri" w:hAnsi="Verdana" w:cs="Arial"/>
          <w:sz w:val="20"/>
          <w:szCs w:val="20"/>
        </w:rPr>
        <w:t>ontratación directa</w:t>
      </w:r>
      <w:r>
        <w:rPr>
          <w:rFonts w:ascii="Verdana" w:eastAsia="Calibri" w:hAnsi="Verdana" w:cs="Arial"/>
          <w:sz w:val="20"/>
          <w:szCs w:val="20"/>
        </w:rPr>
        <w:t>”</w:t>
      </w:r>
      <w:r w:rsidRPr="00FF007A">
        <w:rPr>
          <w:rFonts w:ascii="Verdana" w:eastAsia="Calibri" w:hAnsi="Verdana" w:cs="Arial"/>
          <w:sz w:val="20"/>
          <w:szCs w:val="20"/>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F007A">
        <w:rPr>
          <w:rFonts w:ascii="Verdana" w:eastAsia="Times New Roman" w:hAnsi="Verdana" w:cs="Arial"/>
          <w:sz w:val="20"/>
          <w:szCs w:val="20"/>
          <w:vertAlign w:val="superscript"/>
        </w:rPr>
        <w:footnoteReference w:id="12"/>
      </w:r>
      <w:r w:rsidRPr="00FF007A">
        <w:rPr>
          <w:rFonts w:ascii="Verdana" w:eastAsia="Times New Roman" w:hAnsi="Verdana" w:cs="Arial"/>
          <w:sz w:val="20"/>
          <w:szCs w:val="20"/>
          <w:vertAlign w:val="superscript"/>
        </w:rPr>
        <w:t>.</w:t>
      </w:r>
      <w:r w:rsidRPr="00FF007A">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rPr>
        <w:t>(…)”</w:t>
      </w:r>
      <w:r w:rsidRPr="00FF007A">
        <w:rPr>
          <w:rFonts w:ascii="Verdana" w:eastAsia="Times New Roman" w:hAnsi="Verdana" w:cs="Arial"/>
          <w:sz w:val="20"/>
          <w:szCs w:val="20"/>
          <w:vertAlign w:val="superscript"/>
          <w:lang w:eastAsia="es-CO"/>
        </w:rPr>
        <w:footnoteReference w:id="13"/>
      </w:r>
      <w:r w:rsidRPr="00FF007A">
        <w:rPr>
          <w:rFonts w:ascii="Verdana" w:eastAsia="Calibri" w:hAnsi="Verdana" w:cs="Arial"/>
          <w:sz w:val="20"/>
          <w:szCs w:val="20"/>
        </w:rPr>
        <w:t>.</w:t>
      </w:r>
    </w:p>
    <w:p w14:paraId="36B10E53" w14:textId="77777777" w:rsidR="00E951C9" w:rsidRDefault="00E951C9" w:rsidP="00E951C9">
      <w:pPr>
        <w:spacing w:after="0" w:line="240" w:lineRule="auto"/>
        <w:ind w:firstLine="709"/>
        <w:jc w:val="both"/>
        <w:rPr>
          <w:rFonts w:ascii="Verdana" w:eastAsia="Times New Roman" w:hAnsi="Verdana" w:cs="Arial"/>
          <w:lang w:eastAsia="x-none"/>
        </w:rPr>
      </w:pPr>
    </w:p>
    <w:p w14:paraId="417F555B" w14:textId="77777777" w:rsidR="00E951C9" w:rsidRPr="00FF007A" w:rsidRDefault="00E951C9" w:rsidP="00E951C9">
      <w:pPr>
        <w:spacing w:after="120" w:line="276" w:lineRule="auto"/>
        <w:ind w:firstLine="708"/>
        <w:jc w:val="both"/>
        <w:rPr>
          <w:rFonts w:ascii="Verdana" w:eastAsia="Times New Roman" w:hAnsi="Verdana" w:cs="Arial"/>
          <w:bCs/>
          <w:lang w:eastAsia="x-none"/>
        </w:rPr>
      </w:pPr>
      <w:r w:rsidRPr="00FF007A">
        <w:rPr>
          <w:rFonts w:ascii="Verdana" w:eastAsia="Times New Roman" w:hAnsi="Verdana" w:cs="Arial"/>
          <w:lang w:eastAsia="x-none"/>
        </w:rPr>
        <w:t xml:space="preserve">De acuerdo con este concepto, la prohibición del artículo 33 de la Ley de Garantías Electorales se refiere a </w:t>
      </w:r>
      <w:r w:rsidRPr="00FF007A">
        <w:rPr>
          <w:rFonts w:ascii="Verdana" w:eastAsia="Times New Roman" w:hAnsi="Verdana" w:cs="Arial"/>
          <w:sz w:val="19"/>
          <w:szCs w:val="19"/>
          <w:lang w:eastAsia="en-GB"/>
        </w:rPr>
        <w:t>“</w:t>
      </w:r>
      <w:r w:rsidRPr="00FF007A">
        <w:rPr>
          <w:rFonts w:ascii="Verdana" w:eastAsia="Times New Roman" w:hAnsi="Verdana" w:cs="Arial"/>
          <w:lang w:eastAsia="x-none"/>
        </w:rPr>
        <w:t>cualquier sistema que no implique convocatoria pública y posibilidad de pluralidad de oferentes</w:t>
      </w:r>
      <w:r w:rsidRPr="00FF007A">
        <w:rPr>
          <w:rFonts w:ascii="Verdana" w:eastAsia="Times New Roman" w:hAnsi="Verdana" w:cs="Arial"/>
          <w:lang w:eastAsia="en-GB"/>
        </w:rPr>
        <w:t>”</w:t>
      </w:r>
      <w:r w:rsidRPr="00FF007A">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FF007A">
        <w:rPr>
          <w:rFonts w:ascii="Verdana" w:eastAsia="Times New Roman" w:hAnsi="Verdana" w:cs="Arial"/>
        </w:rPr>
        <w:t>y la mínima cuantía</w:t>
      </w:r>
      <w:r w:rsidRPr="00FF007A" w:rsidDel="00A85D9F">
        <w:rPr>
          <w:rFonts w:ascii="Verdana" w:eastAsia="Times New Roman" w:hAnsi="Verdana" w:cs="Arial"/>
          <w:lang w:eastAsia="x-none"/>
        </w:rPr>
        <w:t xml:space="preserve"> </w:t>
      </w:r>
      <w:r w:rsidRPr="00FF007A">
        <w:rPr>
          <w:rFonts w:ascii="Verdana" w:eastAsia="Times New Roman" w:hAnsi="Verdana" w:cs="Arial"/>
        </w:rPr>
        <w:t xml:space="preserve">u otros previstos en normas especiales. </w:t>
      </w:r>
      <w:r w:rsidRPr="00FF007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F007A">
        <w:rPr>
          <w:rFonts w:ascii="Verdana" w:eastAsia="Times New Roman" w:hAnsi="Verdana" w:cs="Arial"/>
          <w:vertAlign w:val="superscript"/>
          <w:lang w:eastAsia="x-none"/>
        </w:rPr>
        <w:footnoteReference w:id="14"/>
      </w:r>
      <w:r w:rsidRPr="00FF007A">
        <w:rPr>
          <w:rFonts w:ascii="Verdana" w:eastAsia="Times New Roman" w:hAnsi="Verdana" w:cs="Arial"/>
          <w:lang w:eastAsia="x-none"/>
        </w:rPr>
        <w:t xml:space="preserve"> y sistematizó las causales de contratación directa</w:t>
      </w:r>
      <w:r w:rsidRPr="00FF007A">
        <w:rPr>
          <w:rFonts w:ascii="Verdana" w:eastAsia="Times New Roman" w:hAnsi="Verdana" w:cs="Arial"/>
          <w:vertAlign w:val="superscript"/>
          <w:lang w:eastAsia="x-none"/>
        </w:rPr>
        <w:footnoteReference w:id="15"/>
      </w:r>
      <w:r w:rsidRPr="00FF007A">
        <w:rPr>
          <w:rFonts w:ascii="Verdana" w:eastAsia="Times New Roman" w:hAnsi="Verdana" w:cs="Arial"/>
          <w:lang w:eastAsia="x-none"/>
        </w:rPr>
        <w:t xml:space="preserve">, </w:t>
      </w:r>
      <w:r w:rsidRPr="00FF007A">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4CFA4E50" w14:textId="77777777" w:rsidR="00E951C9" w:rsidRPr="00FF007A" w:rsidRDefault="00E951C9" w:rsidP="00E951C9">
      <w:pPr>
        <w:spacing w:after="120" w:line="276" w:lineRule="auto"/>
        <w:ind w:firstLine="708"/>
        <w:jc w:val="both"/>
        <w:rPr>
          <w:rFonts w:ascii="Verdana" w:eastAsia="Times New Roman" w:hAnsi="Verdana" w:cs="Arial"/>
          <w:bCs/>
          <w:lang w:eastAsia="es-CO"/>
        </w:rPr>
      </w:pPr>
      <w:r w:rsidRPr="00FF007A">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F007A">
        <w:rPr>
          <w:rFonts w:ascii="Verdana" w:eastAsia="Times New Roman" w:hAnsi="Verdana" w:cs="Arial"/>
          <w:vertAlign w:val="superscript"/>
          <w:lang w:eastAsia="x-none"/>
        </w:rPr>
        <w:footnoteReference w:id="16"/>
      </w:r>
      <w:r w:rsidRPr="00FF007A">
        <w:rPr>
          <w:rFonts w:ascii="Verdana" w:eastAsia="Times New Roman" w:hAnsi="Verdana" w:cs="Arial"/>
        </w:rPr>
        <w:t>.</w:t>
      </w:r>
      <w:r w:rsidRPr="00FF007A">
        <w:rPr>
          <w:rFonts w:ascii="Verdana" w:eastAsia="Times New Roman" w:hAnsi="Verdana" w:cs="Arial"/>
          <w:vertAlign w:val="superscript"/>
          <w:lang w:eastAsia="x-none"/>
        </w:rPr>
        <w:t xml:space="preserve"> </w:t>
      </w:r>
    </w:p>
    <w:p w14:paraId="399B2D21" w14:textId="77777777" w:rsidR="00E951C9" w:rsidRPr="00FF007A" w:rsidRDefault="00E951C9" w:rsidP="00E951C9">
      <w:pPr>
        <w:spacing w:after="0" w:line="276" w:lineRule="auto"/>
        <w:ind w:firstLine="708"/>
        <w:jc w:val="both"/>
        <w:rPr>
          <w:rFonts w:ascii="Verdana" w:eastAsia="Times New Roman" w:hAnsi="Verdana" w:cs="Arial"/>
        </w:rPr>
      </w:pPr>
      <w:r w:rsidRPr="00FF007A">
        <w:rPr>
          <w:rFonts w:ascii="Verdana" w:eastAsia="Times New Roman" w:hAnsi="Verdana" w:cs="Arial"/>
        </w:rPr>
        <w:t xml:space="preserve">De lo anterior se desprende que la restricción aplica, sin perjuicio de las excepciones establecidas en la misma ley, para celebrar </w:t>
      </w:r>
      <w:r w:rsidRPr="00FF007A">
        <w:rPr>
          <w:rFonts w:ascii="Verdana" w:eastAsia="Times New Roman" w:hAnsi="Verdana" w:cs="Arial"/>
          <w:i/>
          <w:iCs/>
        </w:rPr>
        <w:t>cualquier contrato de forma directa</w:t>
      </w:r>
      <w:r w:rsidRPr="00FF007A">
        <w:rPr>
          <w:rFonts w:ascii="Verdana" w:eastAsia="Times New Roman" w:hAnsi="Verdana" w:cs="Arial"/>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11F0B34" w14:textId="77777777" w:rsidR="00E951C9" w:rsidRPr="00FF007A" w:rsidRDefault="00E951C9" w:rsidP="00E951C9">
      <w:pPr>
        <w:spacing w:after="0" w:line="240" w:lineRule="auto"/>
        <w:ind w:firstLine="709"/>
        <w:jc w:val="both"/>
        <w:rPr>
          <w:rFonts w:ascii="Verdana" w:eastAsia="Times New Roman" w:hAnsi="Verdana" w:cs="Arial"/>
        </w:rPr>
      </w:pPr>
    </w:p>
    <w:p w14:paraId="6EFD96EA" w14:textId="77777777" w:rsidR="00E951C9" w:rsidRPr="00FF007A" w:rsidRDefault="00E951C9" w:rsidP="00E951C9">
      <w:pPr>
        <w:spacing w:after="0" w:line="276" w:lineRule="auto"/>
        <w:ind w:firstLine="709"/>
        <w:jc w:val="both"/>
        <w:rPr>
          <w:rFonts w:ascii="Verdana" w:eastAsia="Times New Roman" w:hAnsi="Verdana" w:cs="Arial"/>
        </w:rPr>
      </w:pPr>
      <w:r w:rsidRPr="00FF007A">
        <w:rPr>
          <w:rFonts w:ascii="Verdana" w:eastAsia="Times New Roman" w:hAnsi="Verdana" w:cs="Arial"/>
          <w:bCs/>
          <w:lang w:eastAsia="es-CO"/>
        </w:rPr>
        <w:t xml:space="preserve">iv) Con respecto a los </w:t>
      </w:r>
      <w:r w:rsidRPr="00FF007A">
        <w:rPr>
          <w:rFonts w:ascii="Verdana" w:eastAsia="Times New Roman" w:hAnsi="Verdana" w:cs="Arial"/>
          <w:bCs/>
          <w:i/>
          <w:iCs/>
          <w:lang w:eastAsia="es-CO"/>
        </w:rPr>
        <w:t>sujetos</w:t>
      </w:r>
      <w:r w:rsidRPr="00FF007A">
        <w:rPr>
          <w:rFonts w:ascii="Verdana" w:eastAsia="Times New Roman" w:hAnsi="Verdana" w:cs="Arial"/>
          <w:bCs/>
          <w:lang w:eastAsia="es-CO"/>
        </w:rPr>
        <w:t xml:space="preserve"> que se encuentran enmarcados en la prohibición del artículo 33, </w:t>
      </w:r>
      <w:r w:rsidRPr="00FF007A">
        <w:rPr>
          <w:rFonts w:ascii="Verdana" w:eastAsia="Times New Roman" w:hAnsi="Verdana" w:cs="Arial"/>
        </w:rPr>
        <w:t>la Ley 996 de 2005 señala expresamente que son “</w:t>
      </w:r>
      <w:r w:rsidRPr="00FF007A">
        <w:rPr>
          <w:rFonts w:ascii="Verdana" w:eastAsia="Times New Roman" w:hAnsi="Verdana" w:cs="Arial"/>
          <w:i/>
          <w:iCs/>
          <w:u w:val="single"/>
        </w:rPr>
        <w:t>todos</w:t>
      </w:r>
      <w:r w:rsidRPr="00FF007A">
        <w:rPr>
          <w:rFonts w:ascii="Verdana" w:eastAsia="Times New Roman" w:hAnsi="Verdana" w:cs="Arial"/>
          <w:i/>
          <w:iCs/>
        </w:rPr>
        <w:t xml:space="preserve"> los entes del Estado</w:t>
      </w:r>
      <w:r w:rsidRPr="00FF007A">
        <w:rPr>
          <w:rFonts w:ascii="Verdana" w:eastAsia="Times New Roman" w:hAnsi="Verdana" w:cs="Arial"/>
        </w:rPr>
        <w:t xml:space="preserve">” </w:t>
      </w:r>
      <w:r>
        <w:rPr>
          <w:rFonts w:ascii="Verdana" w:eastAsia="Times New Roman" w:hAnsi="Verdana" w:cs="Arial"/>
        </w:rPr>
        <w:t>(</w:t>
      </w:r>
      <w:r w:rsidRPr="00FF007A">
        <w:rPr>
          <w:rFonts w:ascii="Verdana" w:eastAsia="Times New Roman" w:hAnsi="Verdana" w:cs="Arial"/>
        </w:rPr>
        <w:t>énfasis propio</w:t>
      </w:r>
      <w:r>
        <w:rPr>
          <w:rFonts w:ascii="Verdana" w:eastAsia="Times New Roman" w:hAnsi="Verdana" w:cs="Arial"/>
        </w:rPr>
        <w:t>)</w:t>
      </w:r>
      <w:r w:rsidRPr="00FF007A">
        <w:rPr>
          <w:rFonts w:ascii="Verdana" w:eastAsia="Times New Roman" w:hAnsi="Verdana" w:cs="Arial"/>
        </w:rPr>
        <w:t>. Al respecto la Sala De Consulta y Servicio Civil del Consejo de Estado señaló lo siguiente:</w:t>
      </w:r>
    </w:p>
    <w:p w14:paraId="119384B9" w14:textId="77777777" w:rsidR="00E951C9" w:rsidRPr="00FF007A" w:rsidRDefault="00E951C9" w:rsidP="00E951C9">
      <w:pPr>
        <w:spacing w:after="0" w:line="276" w:lineRule="auto"/>
        <w:ind w:firstLine="708"/>
        <w:jc w:val="both"/>
        <w:rPr>
          <w:rFonts w:ascii="Verdana" w:eastAsia="Times New Roman" w:hAnsi="Verdana" w:cs="Arial"/>
        </w:rPr>
      </w:pPr>
    </w:p>
    <w:p w14:paraId="63576E78" w14:textId="77777777" w:rsidR="00E951C9" w:rsidRPr="00FF007A" w:rsidRDefault="00E951C9" w:rsidP="00E951C9">
      <w:pPr>
        <w:spacing w:after="0" w:line="240" w:lineRule="auto"/>
        <w:ind w:left="709" w:right="709"/>
        <w:jc w:val="both"/>
        <w:rPr>
          <w:rFonts w:ascii="Verdana" w:eastAsia="Times New Roman" w:hAnsi="Verdana" w:cs="Arial"/>
          <w:bCs/>
          <w:lang w:eastAsia="es-CO"/>
        </w:rPr>
      </w:pPr>
      <w:r w:rsidRPr="00FF007A">
        <w:rPr>
          <w:rFonts w:ascii="Verdana" w:eastAsia="Times New Roman" w:hAnsi="Verdana" w:cs="Arial"/>
          <w:bCs/>
          <w:sz w:val="20"/>
          <w:szCs w:val="20"/>
          <w:lang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F007A">
        <w:rPr>
          <w:rStyle w:val="Refdenotaalpie"/>
          <w:rFonts w:ascii="Verdana" w:eastAsia="Times New Roman" w:hAnsi="Verdana" w:cs="Arial"/>
          <w:bCs/>
          <w:sz w:val="20"/>
          <w:szCs w:val="20"/>
          <w:lang w:eastAsia="es-CO"/>
        </w:rPr>
        <w:footnoteReference w:id="17"/>
      </w:r>
      <w:r w:rsidRPr="00FF007A">
        <w:rPr>
          <w:rFonts w:ascii="Verdana" w:eastAsia="Times New Roman" w:hAnsi="Verdana" w:cs="Arial"/>
          <w:bCs/>
          <w:sz w:val="20"/>
          <w:szCs w:val="20"/>
          <w:lang w:eastAsia="es-CO"/>
        </w:rPr>
        <w:t>.</w:t>
      </w:r>
    </w:p>
    <w:p w14:paraId="2C35D374" w14:textId="77777777" w:rsidR="00E951C9" w:rsidRPr="00FF007A" w:rsidRDefault="00E951C9" w:rsidP="00E951C9">
      <w:pPr>
        <w:spacing w:before="240" w:line="276" w:lineRule="auto"/>
        <w:ind w:firstLine="708"/>
        <w:jc w:val="both"/>
        <w:rPr>
          <w:rFonts w:ascii="Verdana" w:hAnsi="Verdana" w:cs="Arial"/>
          <w:bCs/>
          <w:sz w:val="20"/>
          <w:szCs w:val="20"/>
          <w:lang w:eastAsia="es-CO"/>
        </w:rPr>
      </w:pPr>
      <w:r w:rsidRPr="00FF007A">
        <w:rPr>
          <w:rFonts w:ascii="Verdana" w:hAnsi="Verdana" w:cs="Arial"/>
          <w:bCs/>
          <w:lang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F007A">
        <w:rPr>
          <w:rFonts w:ascii="Verdana" w:hAnsi="Verdana"/>
        </w:rPr>
        <w:t xml:space="preserve"> </w:t>
      </w:r>
      <w:r w:rsidRPr="00FF007A">
        <w:rPr>
          <w:rFonts w:ascii="Verdana" w:hAnsi="Verdana" w:cs="Arial"/>
          <w:bCs/>
          <w:lang w:eastAsia="x-none"/>
        </w:rPr>
        <w:t>En efecto, tal como lo ha sostenido el Consejo de Estado, el vocablo “todos” utilizado por el legislador comprende</w:t>
      </w:r>
      <w:r w:rsidRPr="00FF007A">
        <w:rPr>
          <w:rFonts w:ascii="Verdana" w:hAnsi="Verdana"/>
        </w:rPr>
        <w:t xml:space="preserve"> </w:t>
      </w:r>
      <w:r w:rsidRPr="00FF007A">
        <w:rPr>
          <w:rFonts w:ascii="Verdana" w:hAnsi="Verdana" w:cs="Arial"/>
          <w:bCs/>
          <w:lang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cs="Arial"/>
          <w:bCs/>
          <w:lang w:eastAsia="x-none"/>
        </w:rPr>
        <w:t>”</w:t>
      </w:r>
      <w:r w:rsidRPr="00FF007A">
        <w:rPr>
          <w:rStyle w:val="Refdenotaalpie"/>
          <w:rFonts w:ascii="Verdana" w:hAnsi="Verdana" w:cs="Arial"/>
          <w:bCs/>
          <w:sz w:val="20"/>
          <w:szCs w:val="20"/>
          <w:lang w:eastAsia="x-none"/>
        </w:rPr>
        <w:footnoteReference w:id="18"/>
      </w:r>
      <w:r w:rsidRPr="00FF007A">
        <w:rPr>
          <w:rFonts w:ascii="Verdana" w:hAnsi="Verdana" w:cs="Arial"/>
          <w:bCs/>
          <w:sz w:val="20"/>
          <w:szCs w:val="20"/>
          <w:lang w:eastAsia="x-none"/>
        </w:rPr>
        <w:t>.</w:t>
      </w:r>
    </w:p>
    <w:p w14:paraId="27FDC529" w14:textId="77777777" w:rsidR="00E951C9" w:rsidRPr="00FF007A" w:rsidRDefault="00E951C9" w:rsidP="00E951C9">
      <w:pPr>
        <w:spacing w:line="276" w:lineRule="auto"/>
        <w:ind w:firstLine="709"/>
        <w:jc w:val="both"/>
        <w:rPr>
          <w:rFonts w:ascii="Verdana" w:eastAsia="Arial" w:hAnsi="Verdana" w:cs="Arial"/>
          <w:bCs/>
          <w:color w:val="000000" w:themeColor="text1"/>
        </w:rPr>
      </w:pPr>
      <w:r w:rsidRPr="00FF007A">
        <w:rPr>
          <w:rFonts w:ascii="Verdana" w:eastAsia="Arial" w:hAnsi="Verdana" w:cs="Arial"/>
          <w:color w:val="000000" w:themeColor="text1"/>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D817C54" w14:textId="77777777" w:rsidR="00E951C9" w:rsidRPr="00FF007A" w:rsidRDefault="00E951C9" w:rsidP="00E951C9">
      <w:pPr>
        <w:spacing w:before="120" w:line="276" w:lineRule="auto"/>
        <w:ind w:firstLine="709"/>
        <w:jc w:val="both"/>
        <w:rPr>
          <w:rFonts w:ascii="Verdana" w:hAnsi="Verdana" w:cs="Arial"/>
          <w:bCs/>
          <w:color w:val="000000" w:themeColor="text1"/>
        </w:rPr>
      </w:pPr>
      <w:r w:rsidRPr="00FF007A">
        <w:rPr>
          <w:rFonts w:ascii="Verdana" w:eastAsia="Arial" w:hAnsi="Verdana" w:cs="Arial"/>
          <w:bCs/>
          <w:color w:val="000000" w:themeColor="text1"/>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FF007A">
        <w:rPr>
          <w:rFonts w:ascii="Verdana" w:hAnsi="Verdana" w:cs="Arial"/>
          <w:bCs/>
          <w:color w:val="000000" w:themeColor="text1"/>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7B8B7276" w14:textId="77777777" w:rsidR="00E951C9" w:rsidRPr="00FF007A" w:rsidRDefault="00E951C9" w:rsidP="00E951C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i) La contratación referente a la defensa y seguridad del Estado;</w:t>
      </w:r>
    </w:p>
    <w:p w14:paraId="2FB311CE" w14:textId="77777777" w:rsidR="00E951C9" w:rsidRPr="00FF007A" w:rsidRDefault="00E951C9" w:rsidP="00E951C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ii) Los contratos de crédito público;</w:t>
      </w:r>
    </w:p>
    <w:p w14:paraId="03BEC5E9" w14:textId="77777777" w:rsidR="00E951C9" w:rsidRPr="00FF007A" w:rsidRDefault="00E951C9" w:rsidP="00E951C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 xml:space="preserve">iii) Los contratos requeridos para cubrir las emergencias educativas, sanitarias y desastres; </w:t>
      </w:r>
    </w:p>
    <w:p w14:paraId="48BB265A" w14:textId="77777777" w:rsidR="00E951C9" w:rsidRPr="00FF007A" w:rsidRDefault="00E951C9" w:rsidP="00E951C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iv) La contratación para la reconstrucción de vías, puentes, carreteras, infraestructura energética y de comunicaciones, en caso de que hayan sido objeto de atentados, acciones terroristas, desastres naturales o casos de fuerza mayor y;</w:t>
      </w:r>
    </w:p>
    <w:p w14:paraId="4EBB3910" w14:textId="77777777" w:rsidR="00E951C9" w:rsidRPr="00FF007A" w:rsidRDefault="00E951C9" w:rsidP="00E951C9">
      <w:pPr>
        <w:tabs>
          <w:tab w:val="left" w:pos="709"/>
        </w:tabs>
        <w:spacing w:before="120" w:line="276" w:lineRule="auto"/>
        <w:jc w:val="both"/>
        <w:rPr>
          <w:rFonts w:ascii="Verdana" w:hAnsi="Verdana" w:cs="Arial"/>
          <w:bCs/>
          <w:color w:val="000000" w:themeColor="text1"/>
        </w:rPr>
      </w:pPr>
      <w:r w:rsidRPr="00FF007A">
        <w:rPr>
          <w:rFonts w:ascii="Verdana" w:hAnsi="Verdana" w:cs="Arial"/>
          <w:bCs/>
          <w:color w:val="000000" w:themeColor="text1"/>
        </w:rPr>
        <w:tab/>
        <w:t xml:space="preserve">v) La contratación que deban realizar las entidades sanitarias y hospitalarias. </w:t>
      </w:r>
    </w:p>
    <w:p w14:paraId="7F890A01" w14:textId="77777777" w:rsidR="00E951C9" w:rsidRPr="00FF007A" w:rsidRDefault="00E951C9" w:rsidP="00E951C9">
      <w:pPr>
        <w:spacing w:before="240" w:line="276" w:lineRule="auto"/>
        <w:ind w:firstLine="709"/>
        <w:jc w:val="both"/>
        <w:rPr>
          <w:rFonts w:ascii="Verdana" w:hAnsi="Verdana" w:cs="Arial"/>
          <w:lang w:eastAsia="x-none"/>
        </w:rPr>
      </w:pPr>
      <w:r w:rsidRPr="00FF007A">
        <w:rPr>
          <w:rFonts w:ascii="Verdana" w:hAnsi="Verdana" w:cs="Arial"/>
          <w:lang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F007A">
        <w:rPr>
          <w:rFonts w:ascii="Verdana" w:hAnsi="Verdana" w:cs="Arial"/>
          <w:color w:val="000000" w:themeColor="text1"/>
          <w:vertAlign w:val="superscript"/>
          <w:lang w:eastAsia="es-CO"/>
        </w:rPr>
        <w:footnoteReference w:id="19"/>
      </w:r>
      <w:r w:rsidRPr="00FF007A">
        <w:rPr>
          <w:rFonts w:ascii="Verdana" w:hAnsi="Verdana" w:cs="Arial"/>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751B77B" w14:textId="77777777" w:rsidR="00E951C9" w:rsidRPr="00FF007A" w:rsidRDefault="00E951C9" w:rsidP="00E951C9">
      <w:pPr>
        <w:tabs>
          <w:tab w:val="left" w:pos="426"/>
        </w:tabs>
        <w:spacing w:before="120" w:line="276" w:lineRule="auto"/>
        <w:ind w:firstLine="709"/>
        <w:jc w:val="both"/>
        <w:rPr>
          <w:rFonts w:ascii="Verdana" w:hAnsi="Verdana" w:cs="Arial"/>
          <w:bCs/>
          <w:color w:val="000000" w:themeColor="text1"/>
        </w:rPr>
      </w:pPr>
      <w:r w:rsidRPr="00FF007A">
        <w:rPr>
          <w:rFonts w:ascii="Verdana" w:hAnsi="Verdana" w:cs="Arial"/>
          <w:bCs/>
          <w:color w:val="000000" w:themeColor="text1"/>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24F8D1E9" w14:textId="77777777" w:rsidR="00E951C9" w:rsidRPr="00FF007A" w:rsidRDefault="00E951C9" w:rsidP="00E951C9">
      <w:pPr>
        <w:shd w:val="clear" w:color="auto" w:fill="FFFFFF"/>
        <w:spacing w:after="0" w:line="240" w:lineRule="auto"/>
        <w:ind w:left="709" w:right="709"/>
        <w:jc w:val="both"/>
        <w:rPr>
          <w:rFonts w:ascii="Verdana" w:hAnsi="Verdana" w:cs="Arial"/>
          <w:color w:val="000000" w:themeColor="text1"/>
          <w:sz w:val="20"/>
          <w:szCs w:val="20"/>
          <w:lang w:eastAsia="es-CO"/>
        </w:rPr>
      </w:pPr>
      <w:r w:rsidRPr="00FF007A">
        <w:rPr>
          <w:rFonts w:ascii="Verdana" w:hAnsi="Verdana" w:cs="Arial"/>
          <w:color w:val="000000" w:themeColor="text1"/>
          <w:sz w:val="20"/>
          <w:szCs w:val="20"/>
          <w:lang w:eastAsia="es-CO"/>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lang w:eastAsia="es-CO"/>
        </w:rPr>
        <w:t>...</w:t>
      </w:r>
      <w:r>
        <w:rPr>
          <w:rFonts w:ascii="Verdana" w:hAnsi="Verdana" w:cs="Arial"/>
          <w:color w:val="000000" w:themeColor="text1"/>
          <w:sz w:val="20"/>
          <w:szCs w:val="20"/>
          <w:lang w:eastAsia="es-CO"/>
        </w:rPr>
        <w:t>)</w:t>
      </w:r>
      <w:r w:rsidRPr="00FF007A">
        <w:rPr>
          <w:rFonts w:ascii="Verdana" w:hAnsi="Verdana" w:cs="Arial"/>
          <w:color w:val="000000" w:themeColor="text1"/>
          <w:sz w:val="20"/>
          <w:szCs w:val="20"/>
          <w:vertAlign w:val="superscript"/>
          <w:lang w:eastAsia="es-CO"/>
        </w:rPr>
        <w:footnoteReference w:id="20"/>
      </w:r>
      <w:r w:rsidRPr="00FF007A">
        <w:rPr>
          <w:rFonts w:ascii="Verdana" w:hAnsi="Verdana" w:cs="Arial"/>
          <w:color w:val="000000" w:themeColor="text1"/>
          <w:sz w:val="20"/>
          <w:szCs w:val="20"/>
          <w:lang w:eastAsia="es-CO"/>
        </w:rPr>
        <w:t xml:space="preserve">”. </w:t>
      </w:r>
    </w:p>
    <w:p w14:paraId="7899A485" w14:textId="77777777" w:rsidR="00E951C9" w:rsidRPr="00FF007A" w:rsidRDefault="00E951C9" w:rsidP="00E951C9">
      <w:pPr>
        <w:tabs>
          <w:tab w:val="left" w:pos="426"/>
        </w:tabs>
        <w:spacing w:before="120" w:after="0" w:line="276" w:lineRule="auto"/>
        <w:ind w:firstLine="709"/>
        <w:jc w:val="both"/>
        <w:rPr>
          <w:rFonts w:ascii="Verdana" w:hAnsi="Verdana" w:cs="Arial"/>
          <w:color w:val="000000" w:themeColor="text1"/>
        </w:rPr>
      </w:pPr>
      <w:r w:rsidRPr="00FF007A">
        <w:rPr>
          <w:rFonts w:ascii="Verdana" w:hAnsi="Verdana" w:cs="Arial"/>
          <w:bCs/>
          <w:color w:val="000000" w:themeColor="text1"/>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F007A">
        <w:rPr>
          <w:rFonts w:ascii="Verdana" w:hAnsi="Verdana" w:cs="Arial"/>
          <w:color w:val="000000" w:themeColor="text1"/>
        </w:rPr>
        <w:t xml:space="preserve">, mencionó las excepciones a la prohibición del artículo 33 de la Ley de Garantías Electorales, resaltando su carácter taxativo, y señalando la independencia de los supuestos, así: </w:t>
      </w:r>
    </w:p>
    <w:p w14:paraId="39496A18" w14:textId="77777777" w:rsidR="00E951C9" w:rsidRPr="00FF007A" w:rsidRDefault="00E951C9" w:rsidP="00E951C9">
      <w:pPr>
        <w:tabs>
          <w:tab w:val="left" w:pos="426"/>
        </w:tabs>
        <w:spacing w:after="0" w:line="276" w:lineRule="auto"/>
        <w:ind w:firstLine="709"/>
        <w:jc w:val="both"/>
        <w:rPr>
          <w:rFonts w:ascii="Verdana" w:hAnsi="Verdana" w:cs="Arial"/>
          <w:color w:val="000000" w:themeColor="text1"/>
        </w:rPr>
      </w:pPr>
    </w:p>
    <w:p w14:paraId="5077E439" w14:textId="77777777" w:rsidR="00E951C9" w:rsidRPr="00FF007A" w:rsidRDefault="00E951C9" w:rsidP="00E951C9">
      <w:pPr>
        <w:tabs>
          <w:tab w:val="left" w:pos="426"/>
        </w:tabs>
        <w:spacing w:after="0" w:line="240" w:lineRule="auto"/>
        <w:ind w:right="709"/>
        <w:jc w:val="both"/>
        <w:rPr>
          <w:rFonts w:ascii="Verdana" w:hAnsi="Verdana" w:cs="Arial"/>
          <w:color w:val="000000" w:themeColor="text1"/>
          <w:sz w:val="20"/>
          <w:szCs w:val="20"/>
        </w:rPr>
      </w:pPr>
      <w:r w:rsidRPr="00FF007A">
        <w:rPr>
          <w:rFonts w:ascii="Arial" w:hAnsi="Arial" w:cs="Arial"/>
          <w:color w:val="000000" w:themeColor="text1"/>
          <w:sz w:val="21"/>
          <w:szCs w:val="21"/>
        </w:rPr>
        <w:tab/>
      </w:r>
      <w:r w:rsidRPr="00FF007A">
        <w:rPr>
          <w:rFonts w:ascii="Arial" w:hAnsi="Arial" w:cs="Arial"/>
          <w:color w:val="000000" w:themeColor="text1"/>
          <w:sz w:val="21"/>
          <w:szCs w:val="21"/>
        </w:rPr>
        <w:tab/>
        <w:t>“</w:t>
      </w:r>
      <w:r w:rsidRPr="00FF007A">
        <w:rPr>
          <w:rFonts w:ascii="Verdana" w:hAnsi="Verdana" w:cs="Arial"/>
          <w:color w:val="000000" w:themeColor="text1"/>
          <w:sz w:val="20"/>
          <w:szCs w:val="20"/>
        </w:rPr>
        <w:t xml:space="preserve">[…] </w:t>
      </w:r>
      <w:r w:rsidRPr="00FF007A">
        <w:rPr>
          <w:rFonts w:ascii="Verdana" w:hAnsi="Verdana" w:cs="Arial"/>
          <w:i/>
          <w:color w:val="000000" w:themeColor="text1"/>
          <w:sz w:val="20"/>
          <w:szCs w:val="20"/>
        </w:rPr>
        <w:t>Las excepciones aplicables a la restricción de contratación pública</w:t>
      </w:r>
    </w:p>
    <w:p w14:paraId="227B3FD1" w14:textId="77777777" w:rsidR="00E951C9" w:rsidRDefault="00E951C9" w:rsidP="00E951C9">
      <w:pPr>
        <w:spacing w:after="0" w:line="240" w:lineRule="auto"/>
        <w:ind w:left="709" w:right="709"/>
        <w:jc w:val="both"/>
        <w:rPr>
          <w:rFonts w:ascii="Verdana" w:hAnsi="Verdana" w:cs="Arial"/>
          <w:color w:val="000000" w:themeColor="text1"/>
          <w:sz w:val="20"/>
          <w:szCs w:val="20"/>
          <w:shd w:val="clear" w:color="auto" w:fill="FFFFFF"/>
        </w:rPr>
      </w:pPr>
    </w:p>
    <w:p w14:paraId="6D4BF7FC" w14:textId="77777777" w:rsidR="00E951C9" w:rsidRPr="00FF007A" w:rsidRDefault="00E951C9" w:rsidP="00E951C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Ahora bien, las únicas excepciones a las disposiciones previstas en la Ley de Garantías se encuentran numeradas taxativamente en el último inciso del artículo 33 de la ley 996 de 2005, dentro de las que se encuentran:</w:t>
      </w:r>
    </w:p>
    <w:p w14:paraId="16756E31" w14:textId="77777777" w:rsidR="00E951C9" w:rsidRDefault="00E951C9" w:rsidP="00E951C9">
      <w:pPr>
        <w:spacing w:after="0" w:line="240" w:lineRule="auto"/>
        <w:ind w:left="709" w:right="709"/>
        <w:jc w:val="both"/>
        <w:rPr>
          <w:rFonts w:ascii="Verdana" w:hAnsi="Verdana" w:cs="Arial"/>
          <w:color w:val="000000" w:themeColor="text1"/>
          <w:sz w:val="20"/>
          <w:szCs w:val="20"/>
          <w:shd w:val="clear" w:color="auto" w:fill="FFFFFF"/>
        </w:rPr>
      </w:pPr>
    </w:p>
    <w:p w14:paraId="32111A27" w14:textId="77777777" w:rsidR="00E951C9" w:rsidRPr="00FF007A" w:rsidRDefault="00E951C9" w:rsidP="00E951C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 </w:t>
      </w:r>
    </w:p>
    <w:p w14:paraId="55252787" w14:textId="77777777" w:rsidR="00E951C9" w:rsidRDefault="00E951C9" w:rsidP="00E951C9">
      <w:pPr>
        <w:spacing w:after="0" w:line="240" w:lineRule="auto"/>
        <w:ind w:left="709" w:right="709"/>
        <w:jc w:val="both"/>
        <w:rPr>
          <w:rFonts w:ascii="Verdana" w:hAnsi="Verdana" w:cs="Arial"/>
          <w:color w:val="000000" w:themeColor="text1"/>
          <w:sz w:val="20"/>
          <w:szCs w:val="20"/>
          <w:shd w:val="clear" w:color="auto" w:fill="FFFFFF"/>
        </w:rPr>
      </w:pPr>
    </w:p>
    <w:p w14:paraId="0D6A4C53" w14:textId="77777777" w:rsidR="00E951C9" w:rsidRPr="00FF007A" w:rsidRDefault="00E951C9" w:rsidP="00E951C9">
      <w:pPr>
        <w:spacing w:after="0" w:line="240" w:lineRule="auto"/>
        <w:ind w:left="709" w:right="709"/>
        <w:jc w:val="both"/>
        <w:rPr>
          <w:rFonts w:ascii="Verdana" w:hAnsi="Verdana" w:cs="Arial"/>
          <w:color w:val="000000" w:themeColor="text1"/>
          <w:sz w:val="20"/>
          <w:szCs w:val="20"/>
          <w:shd w:val="clear" w:color="auto" w:fill="FFFFFF"/>
        </w:rPr>
      </w:pPr>
      <w:r w:rsidRPr="00FF007A">
        <w:rPr>
          <w:rFonts w:ascii="Verdana" w:hAnsi="Verdana" w:cs="Arial"/>
          <w:color w:val="000000" w:themeColor="text1"/>
          <w:sz w:val="20"/>
          <w:szCs w:val="20"/>
          <w:shd w:val="clear" w:color="auto" w:fill="FFFFFF"/>
        </w:rPr>
        <w:t xml:space="preserve">5. Los que deban realizar las entidades sanitarias y hospitalarias </w:t>
      </w:r>
      <w:r>
        <w:rPr>
          <w:rFonts w:ascii="Verdana" w:hAnsi="Verdana" w:cs="Arial"/>
          <w:color w:val="000000" w:themeColor="text1"/>
          <w:sz w:val="20"/>
          <w:szCs w:val="20"/>
          <w:shd w:val="clear" w:color="auto" w:fill="FFFFFF"/>
        </w:rPr>
        <w:t>(…)”</w:t>
      </w:r>
      <w:r w:rsidRPr="00FF007A">
        <w:rPr>
          <w:rFonts w:ascii="Verdana" w:hAnsi="Verdana" w:cs="Arial"/>
          <w:color w:val="000000" w:themeColor="text1"/>
          <w:sz w:val="20"/>
          <w:szCs w:val="20"/>
          <w:shd w:val="clear" w:color="auto" w:fill="FFFFFF"/>
          <w:vertAlign w:val="superscript"/>
        </w:rPr>
        <w:footnoteReference w:id="21"/>
      </w:r>
      <w:r w:rsidRPr="00FF007A">
        <w:rPr>
          <w:rFonts w:ascii="Verdana" w:hAnsi="Verdana" w:cs="Arial"/>
          <w:color w:val="000000" w:themeColor="text1"/>
          <w:sz w:val="20"/>
          <w:szCs w:val="20"/>
          <w:shd w:val="clear" w:color="auto" w:fill="FFFFFF"/>
        </w:rPr>
        <w:t>.</w:t>
      </w:r>
    </w:p>
    <w:p w14:paraId="41FEBD4E" w14:textId="77777777" w:rsidR="00E951C9" w:rsidRPr="00FF007A" w:rsidRDefault="00E951C9" w:rsidP="00E951C9">
      <w:pPr>
        <w:spacing w:after="0" w:line="240" w:lineRule="auto"/>
        <w:ind w:left="709" w:right="709"/>
        <w:jc w:val="both"/>
        <w:rPr>
          <w:rFonts w:ascii="Verdana" w:hAnsi="Verdana" w:cs="Arial"/>
          <w:color w:val="000000" w:themeColor="text1"/>
          <w:sz w:val="20"/>
          <w:szCs w:val="20"/>
          <w:shd w:val="clear" w:color="auto" w:fill="FFFFFF"/>
        </w:rPr>
      </w:pPr>
    </w:p>
    <w:p w14:paraId="64B1392B" w14:textId="77777777" w:rsidR="00E951C9" w:rsidRPr="00FF007A" w:rsidRDefault="00E951C9" w:rsidP="00E951C9">
      <w:pPr>
        <w:tabs>
          <w:tab w:val="left" w:pos="426"/>
        </w:tabs>
        <w:spacing w:line="276" w:lineRule="auto"/>
        <w:ind w:firstLine="709"/>
        <w:jc w:val="both"/>
        <w:rPr>
          <w:rFonts w:ascii="Verdana" w:hAnsi="Verdana" w:cs="Arial"/>
          <w:bCs/>
          <w:color w:val="000000" w:themeColor="text1"/>
        </w:rPr>
      </w:pPr>
      <w:r w:rsidRPr="00FF007A">
        <w:rPr>
          <w:rFonts w:ascii="Verdana" w:hAnsi="Verdana" w:cs="Arial"/>
          <w:bCs/>
          <w:color w:val="000000" w:themeColor="text1"/>
        </w:rPr>
        <w:t>Lo anterior implica que las excepciones al artículo 33 en comento deben interpretarse y aplicarse de manera estricta. En otras palabras, no es factible hacer interpretaciones extensivas</w:t>
      </w:r>
      <w:r w:rsidRPr="00FF007A">
        <w:rPr>
          <w:rFonts w:ascii="Verdana" w:hAnsi="Verdana" w:cs="Arial"/>
          <w:bCs/>
          <w:i/>
          <w:iCs/>
          <w:color w:val="000000" w:themeColor="text1"/>
        </w:rPr>
        <w:t xml:space="preserve"> </w:t>
      </w:r>
      <w:r w:rsidRPr="00FF007A">
        <w:rPr>
          <w:rFonts w:ascii="Verdana" w:hAnsi="Verdana" w:cs="Arial"/>
          <w:bCs/>
          <w:color w:val="000000" w:themeColor="text1"/>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7DEB0CAC" w14:textId="77777777" w:rsidR="00E951C9" w:rsidRPr="00FF007A" w:rsidRDefault="00E951C9" w:rsidP="00E951C9">
      <w:pPr>
        <w:tabs>
          <w:tab w:val="left" w:pos="426"/>
        </w:tabs>
        <w:spacing w:before="120" w:line="276" w:lineRule="auto"/>
        <w:ind w:firstLine="709"/>
        <w:jc w:val="both"/>
        <w:rPr>
          <w:rFonts w:ascii="Verdana" w:hAnsi="Verdana" w:cs="Arial"/>
          <w:bCs/>
          <w:color w:val="000000" w:themeColor="text1"/>
        </w:rPr>
      </w:pPr>
      <w:r w:rsidRPr="00FF007A">
        <w:rPr>
          <w:rFonts w:ascii="Verdana" w:hAnsi="Verdana" w:cs="Arial"/>
          <w:bCs/>
          <w:color w:val="000000" w:themeColor="text1"/>
        </w:rPr>
        <w:t xml:space="preserve">Teniendo en cuenta el tema de su consulta, es pertinente analizar el quinto evento exceptuado de la prohibición,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3D520B76" w14:textId="77777777" w:rsidR="00E951C9" w:rsidRPr="00FF007A" w:rsidRDefault="00E951C9" w:rsidP="00E951C9">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22"/>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23"/>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0F8E73C7" w14:textId="77777777" w:rsidR="00E951C9" w:rsidRPr="00FF007A" w:rsidRDefault="00E951C9" w:rsidP="00E951C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24"/>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66FC5ED3" w14:textId="77777777" w:rsidR="00E951C9" w:rsidRPr="00FF007A" w:rsidRDefault="00E951C9" w:rsidP="00E951C9">
      <w:pPr>
        <w:spacing w:before="120"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25"/>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26"/>
      </w:r>
      <w:r w:rsidRPr="00FF007A">
        <w:rPr>
          <w:rFonts w:ascii="Verdana" w:eastAsia="Arial" w:hAnsi="Verdana" w:cs="Arial"/>
          <w:bCs/>
          <w:color w:val="000000" w:themeColor="text1"/>
        </w:rPr>
        <w:t xml:space="preserve">. </w:t>
      </w:r>
    </w:p>
    <w:p w14:paraId="7ACEB411" w14:textId="77777777" w:rsidR="00E951C9" w:rsidRPr="002E5606" w:rsidRDefault="00E951C9" w:rsidP="00E951C9">
      <w:pPr>
        <w:spacing w:before="240" w:line="276" w:lineRule="auto"/>
        <w:ind w:firstLine="709"/>
        <w:jc w:val="both"/>
        <w:rPr>
          <w:rFonts w:ascii="Verdana" w:eastAsia="Arial" w:hAnsi="Verdana" w:cs="Arial"/>
          <w:bCs/>
          <w:color w:val="000000" w:themeColor="text1"/>
          <w:highlight w:val="yellow"/>
        </w:rPr>
      </w:pPr>
      <w:r w:rsidRPr="002E5606">
        <w:rPr>
          <w:rFonts w:ascii="Verdana" w:eastAsia="Arial" w:hAnsi="Verdana" w:cs="Arial"/>
          <w:bCs/>
          <w:color w:val="000000" w:themeColor="text1"/>
        </w:rPr>
        <w:t xml:space="preserve">v) Por otro lado, la prohibición establecida en el </w:t>
      </w:r>
      <w:r w:rsidRPr="002E5606">
        <w:rPr>
          <w:rFonts w:ascii="Verdana" w:eastAsia="Arial" w:hAnsi="Verdana" w:cs="Arial"/>
          <w:bCs/>
          <w:i/>
          <w:iCs/>
          <w:color w:val="000000" w:themeColor="text1"/>
        </w:rPr>
        <w:t xml:space="preserve">parágrafo del artículo 38 </w:t>
      </w:r>
      <w:r w:rsidRPr="002E5606">
        <w:rPr>
          <w:rFonts w:ascii="Verdana" w:eastAsia="Calibri" w:hAnsi="Verdana" w:cs="Arial"/>
          <w:bCs/>
        </w:rPr>
        <w:t xml:space="preserve">de la Ley 996 de 2005 dispone que “los Gobernadores, </w:t>
      </w:r>
      <w:proofErr w:type="gramStart"/>
      <w:r w:rsidRPr="002E5606">
        <w:rPr>
          <w:rFonts w:ascii="Verdana" w:eastAsia="Calibri" w:hAnsi="Verdana" w:cs="Arial"/>
          <w:bCs/>
        </w:rPr>
        <w:t>Alcaldes</w:t>
      </w:r>
      <w:proofErr w:type="gramEnd"/>
      <w:r w:rsidRPr="002E5606">
        <w:rPr>
          <w:rFonts w:ascii="Verdana" w:eastAsia="Calibri" w:hAnsi="Verdana" w:cs="Arial"/>
          <w:bCs/>
        </w:rPr>
        <w:t xml:space="preserve"> Municipales y/o Distritales, </w:t>
      </w:r>
      <w:proofErr w:type="gramStart"/>
      <w:r w:rsidRPr="002E5606">
        <w:rPr>
          <w:rFonts w:ascii="Verdana" w:eastAsia="Calibri" w:hAnsi="Verdana" w:cs="Arial"/>
          <w:bCs/>
        </w:rPr>
        <w:t>Secretarios</w:t>
      </w:r>
      <w:proofErr w:type="gramEnd"/>
      <w:r w:rsidRPr="002E5606">
        <w:rPr>
          <w:rFonts w:ascii="Verdana" w:eastAsia="Calibri" w:hAnsi="Verdana" w:cs="Arial"/>
          <w:bCs/>
        </w:rPr>
        <w:t>, Gerentes y directores</w:t>
      </w:r>
      <w:r w:rsidRPr="00FF007A">
        <w:rPr>
          <w:rFonts w:ascii="Verdana" w:eastAsia="Calibri" w:hAnsi="Verdana" w:cs="Arial"/>
          <w:bCs/>
        </w:rPr>
        <w:t xml:space="preserve"> de Entidades Descentralizadas del orden Municipal, Departamental o Distrital, dentro de los cuatro (4) meses anteriores a las elecciones, no podrán celebrar convenios interadministrativos para la ejecución de recursos públicos”.</w:t>
      </w:r>
      <w:r w:rsidRPr="00FF007A">
        <w:rPr>
          <w:rFonts w:ascii="Verdana" w:hAnsi="Verdana" w:cs="Arial"/>
          <w:bCs/>
          <w:iCs/>
          <w:lang w:eastAsia="x-none"/>
        </w:rPr>
        <w:t xml:space="preserve">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FF007A">
        <w:rPr>
          <w:rStyle w:val="Refdenotaalpie"/>
          <w:rFonts w:ascii="Verdana" w:hAnsi="Verdana" w:cs="Arial"/>
          <w:bCs/>
          <w:iCs/>
          <w:lang w:eastAsia="x-none"/>
        </w:rPr>
        <w:footnoteReference w:id="27"/>
      </w:r>
      <w:r w:rsidRPr="00FF007A">
        <w:rPr>
          <w:rFonts w:ascii="Verdana" w:hAnsi="Verdana" w:cs="Arial"/>
          <w:bCs/>
          <w:iCs/>
          <w:lang w:eastAsia="x-none"/>
        </w:rPr>
        <w:t>.</w:t>
      </w:r>
      <w:r w:rsidRPr="00FF007A">
        <w:rPr>
          <w:rFonts w:ascii="Verdana" w:hAnsi="Verdana" w:cs="Arial"/>
        </w:rPr>
        <w:t xml:space="preserve"> </w:t>
      </w:r>
      <w:bookmarkStart w:id="7" w:name="_Hlk78820161"/>
    </w:p>
    <w:p w14:paraId="66DEF433" w14:textId="77777777" w:rsidR="00E951C9" w:rsidRPr="00FF007A" w:rsidRDefault="00E951C9" w:rsidP="00E951C9">
      <w:pPr>
        <w:spacing w:before="120" w:after="120" w:line="276" w:lineRule="auto"/>
        <w:ind w:firstLine="708"/>
        <w:jc w:val="both"/>
        <w:rPr>
          <w:rFonts w:ascii="Verdana" w:hAnsi="Verdana" w:cs="Arial"/>
        </w:rPr>
      </w:pPr>
      <w:r w:rsidRPr="00FF007A">
        <w:rPr>
          <w:rFonts w:ascii="Verdana" w:hAnsi="Verdana" w:cs="Arial"/>
        </w:rPr>
        <w:t xml:space="preserve">Aunque la ley no definió ni desarrolló </w:t>
      </w:r>
      <w:r w:rsidRPr="00FF007A">
        <w:rPr>
          <w:rFonts w:ascii="Verdana" w:eastAsia="Calibri" w:hAnsi="Verdana" w:cs="Arial"/>
          <w:bCs/>
        </w:rPr>
        <w:t>la tipología de convenios o contratos interadministrativos</w:t>
      </w:r>
      <w:r w:rsidRPr="00FF007A">
        <w:rPr>
          <w:rFonts w:ascii="Verdana" w:hAnsi="Verdana" w:cs="Arial"/>
        </w:rPr>
        <w:t>, el Decreto 1082 de 2015 califica a los convenios o contratos interadministrativos como aquella contratación entre entidades estatales</w:t>
      </w:r>
      <w:r w:rsidRPr="00FF007A">
        <w:rPr>
          <w:rStyle w:val="Refdenotaalpie"/>
          <w:rFonts w:ascii="Verdana" w:hAnsi="Verdana" w:cs="Arial"/>
        </w:rPr>
        <w:footnoteReference w:id="28"/>
      </w:r>
      <w:r w:rsidRPr="00FF007A">
        <w:rPr>
          <w:rFonts w:ascii="Verdana" w:hAnsi="Verdana" w:cs="Arial"/>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FF007A">
        <w:rPr>
          <w:rFonts w:ascii="Verdana" w:hAnsi="Verdana" w:cs="Arial"/>
          <w:spacing w:val="-6"/>
        </w:rPr>
        <w:t xml:space="preserve"> </w:t>
      </w:r>
      <w:r w:rsidRPr="00FF007A">
        <w:rPr>
          <w:rFonts w:ascii="Verdana" w:hAnsi="Verdana" w:cs="Arial"/>
        </w:rPr>
        <w:t>Estatales.</w:t>
      </w:r>
      <w:bookmarkStart w:id="8" w:name="_Hlk78820654"/>
      <w:bookmarkEnd w:id="7"/>
    </w:p>
    <w:p w14:paraId="124B2478" w14:textId="77777777" w:rsidR="00E951C9" w:rsidRPr="00FF007A" w:rsidRDefault="00E951C9" w:rsidP="00E951C9">
      <w:pPr>
        <w:spacing w:before="120" w:after="120" w:line="276" w:lineRule="auto"/>
        <w:ind w:firstLine="708"/>
        <w:jc w:val="both"/>
        <w:rPr>
          <w:rFonts w:ascii="Verdana" w:hAnsi="Verdana" w:cs="Arial"/>
        </w:rPr>
      </w:pPr>
      <w:r w:rsidRPr="00FF007A">
        <w:rPr>
          <w:rFonts w:ascii="Verdana" w:hAnsi="Verdana" w:cs="Arial"/>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contrato o convenio interadministrativo.</w:t>
      </w:r>
      <w:bookmarkEnd w:id="8"/>
    </w:p>
    <w:p w14:paraId="67C2BE32" w14:textId="77777777" w:rsidR="00E951C9" w:rsidRPr="00FF007A" w:rsidRDefault="00E951C9" w:rsidP="00E951C9">
      <w:pPr>
        <w:spacing w:before="120" w:after="120" w:line="276" w:lineRule="auto"/>
        <w:ind w:firstLine="708"/>
        <w:jc w:val="both"/>
        <w:rPr>
          <w:rFonts w:ascii="Verdana" w:hAnsi="Verdana" w:cs="Arial"/>
        </w:rPr>
      </w:pPr>
      <w:r w:rsidRPr="00FF007A">
        <w:rPr>
          <w:rFonts w:ascii="Verdana" w:hAnsi="Verdana" w:cs="Arial"/>
        </w:rPr>
        <w:t>Adicionalmente, se deriva del criterio orgánico referido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FF007A">
        <w:rPr>
          <w:rStyle w:val="Refdenotaalpie"/>
          <w:rFonts w:ascii="Verdana" w:hAnsi="Verdana" w:cs="Arial"/>
        </w:rPr>
        <w:footnoteReference w:id="29"/>
      </w:r>
      <w:r w:rsidRPr="00FF007A">
        <w:rPr>
          <w:rFonts w:ascii="Verdana" w:hAnsi="Verdana" w:cs="Arial"/>
        </w:rPr>
        <w:t>. Nótese que, en este caso, lo que cambia es la modalidad de selección y no la naturaleza de contrato</w:t>
      </w:r>
      <w:r w:rsidRPr="00FF007A">
        <w:rPr>
          <w:rFonts w:ascii="Verdana" w:hAnsi="Verdana" w:cs="Arial"/>
          <w:spacing w:val="-18"/>
        </w:rPr>
        <w:t xml:space="preserve"> </w:t>
      </w:r>
      <w:r w:rsidRPr="00FF007A">
        <w:rPr>
          <w:rFonts w:ascii="Verdana" w:hAnsi="Verdana" w:cs="Arial"/>
        </w:rPr>
        <w:t>interadministrativo.</w:t>
      </w:r>
    </w:p>
    <w:p w14:paraId="3507839E" w14:textId="77777777" w:rsidR="00E951C9" w:rsidRPr="00FF007A" w:rsidRDefault="00E951C9" w:rsidP="00E951C9">
      <w:pPr>
        <w:spacing w:before="120" w:after="120" w:line="276" w:lineRule="auto"/>
        <w:ind w:firstLine="708"/>
        <w:jc w:val="both"/>
        <w:rPr>
          <w:rFonts w:ascii="Verdana" w:eastAsia="Calibri" w:hAnsi="Verdana" w:cs="Arial"/>
          <w:bCs/>
        </w:rPr>
      </w:pPr>
      <w:r w:rsidRPr="00FF007A">
        <w:rPr>
          <w:rFonts w:ascii="Verdana" w:hAnsi="Verdana" w:cs="Arial"/>
        </w:rPr>
        <w:t>Teniendo en cuenta lo anterior, se reitera la conclusión de que los contratos o convenios interadministrativos están definidos por la naturaleza de las partes, de manera que se identifican por un criterio orgánico y serán aquellos celebrados entre entidades estatales. Además, no existe una definición legal que diferencie los conceptos de contrato y convenio, por lo que esta Agencia ha considerado que se asimilan para la aplicación de la Ley de Garantías. En tal sentido, las referencias realizadas por el legislador a estos términos deben asimilarse, salvo que de su contenido se logre inferir que se le quiere otorgar un contenido en particular, pues el legislador utiliza estos conceptos de forma indistinta.</w:t>
      </w:r>
    </w:p>
    <w:p w14:paraId="7C511D1C" w14:textId="77777777" w:rsidR="00E951C9" w:rsidRPr="00FF007A" w:rsidRDefault="00E951C9" w:rsidP="00E951C9">
      <w:pPr>
        <w:spacing w:before="120" w:after="0" w:line="276" w:lineRule="auto"/>
        <w:ind w:firstLine="708"/>
        <w:jc w:val="both"/>
        <w:rPr>
          <w:rFonts w:ascii="Verdana" w:hAnsi="Verdana" w:cs="Arial"/>
          <w:bCs/>
          <w:lang w:eastAsia="es-CO"/>
        </w:rPr>
      </w:pPr>
      <w:r w:rsidRPr="00FF007A">
        <w:rPr>
          <w:rFonts w:ascii="Verdana" w:eastAsia="Calibri" w:hAnsi="Verdana" w:cs="Arial"/>
          <w:bCs/>
        </w:rPr>
        <w:t xml:space="preserve">En consecuencia, </w:t>
      </w:r>
      <w:r w:rsidRPr="00FF007A">
        <w:rPr>
          <w:rFonts w:ascii="Verdana" w:hAnsi="Verdana" w:cs="Arial"/>
          <w:bCs/>
          <w:lang w:eastAsia="es-CO"/>
        </w:rPr>
        <w:t>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no podrá celebrar tales convenios o contratos durante la aplicación de la ley de garantías, toda vez que la citada disposición hace referencia a dicha tipología contractual sin que el legislador hubiere contemplado excepción alguna frente a la modalidad de selección o naturaleza de su objeto</w:t>
      </w:r>
      <w:r w:rsidRPr="00FF007A">
        <w:rPr>
          <w:rFonts w:ascii="Verdana" w:hAnsi="Verdana" w:cs="Arial"/>
          <w:vertAlign w:val="superscript"/>
        </w:rPr>
        <w:footnoteReference w:id="30"/>
      </w:r>
      <w:r w:rsidRPr="00FF007A">
        <w:rPr>
          <w:rFonts w:ascii="Verdana" w:hAnsi="Verdana" w:cs="Arial"/>
          <w:bCs/>
          <w:lang w:eastAsia="es-CO"/>
        </w:rPr>
        <w:t xml:space="preserve">. </w:t>
      </w:r>
    </w:p>
    <w:p w14:paraId="4ED6BDC5" w14:textId="77777777" w:rsidR="00E951C9" w:rsidRPr="00FF007A" w:rsidRDefault="00E951C9" w:rsidP="00E951C9">
      <w:pPr>
        <w:spacing w:after="0" w:line="240" w:lineRule="auto"/>
        <w:ind w:firstLine="709"/>
        <w:jc w:val="both"/>
        <w:rPr>
          <w:rFonts w:ascii="Verdana" w:eastAsia="Calibri" w:hAnsi="Verdana" w:cs="Arial"/>
          <w:bCs/>
        </w:rPr>
      </w:pPr>
    </w:p>
    <w:p w14:paraId="1F3B1F7C" w14:textId="77777777" w:rsidR="00E951C9" w:rsidRPr="00FF007A" w:rsidRDefault="00E951C9" w:rsidP="00E951C9">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v</w:t>
      </w:r>
      <w:r>
        <w:rPr>
          <w:rFonts w:ascii="Verdana" w:eastAsia="Arial" w:hAnsi="Verdana" w:cs="Arial"/>
          <w:bCs/>
          <w:color w:val="000000" w:themeColor="text1"/>
        </w:rPr>
        <w:t>i</w:t>
      </w:r>
      <w:r w:rsidRPr="00FF007A">
        <w:rPr>
          <w:rFonts w:ascii="Verdana" w:eastAsia="Arial" w:hAnsi="Verdana" w:cs="Arial"/>
          <w:bCs/>
          <w:color w:val="000000" w:themeColor="text1"/>
        </w:rPr>
        <w:t xml:space="preserve">) 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w:t>
      </w:r>
      <w:r>
        <w:rPr>
          <w:rStyle w:val="Refdenotaalpie"/>
          <w:rFonts w:ascii="Verdana" w:eastAsia="Arial" w:hAnsi="Verdana" w:cs="Arial"/>
          <w:bCs/>
          <w:color w:val="000000" w:themeColor="text1"/>
        </w:rPr>
        <w:footnoteReference w:id="31"/>
      </w:r>
      <w:r>
        <w:rPr>
          <w:rFonts w:ascii="Verdana" w:eastAsia="Arial" w:hAnsi="Verdana" w:cs="Arial"/>
          <w:bCs/>
          <w:color w:val="000000" w:themeColor="text1"/>
        </w:rPr>
        <w:t xml:space="preserve"> -</w:t>
      </w:r>
      <w:r w:rsidRPr="00FF007A">
        <w:rPr>
          <w:rFonts w:ascii="Verdana" w:eastAsia="Arial" w:hAnsi="Verdana" w:cs="Arial"/>
          <w:bCs/>
          <w:color w:val="000000" w:themeColor="text1"/>
        </w:rPr>
        <w:t>PIC</w:t>
      </w:r>
      <w:r>
        <w:rPr>
          <w:rStyle w:val="Refdenotaalpie"/>
          <w:rFonts w:ascii="Verdana" w:eastAsia="Arial" w:hAnsi="Verdana" w:cs="Arial"/>
          <w:bCs/>
          <w:color w:val="000000" w:themeColor="text1"/>
        </w:rPr>
        <w:footnoteReference w:id="32"/>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De ser así, la entidad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3A33A79F" w14:textId="77777777" w:rsidR="00E951C9" w:rsidRPr="00FF007A" w:rsidRDefault="00E951C9" w:rsidP="00E951C9">
      <w:pPr>
        <w:spacing w:before="120" w:after="120" w:line="276" w:lineRule="auto"/>
        <w:jc w:val="both"/>
        <w:rPr>
          <w:rFonts w:ascii="Verdana" w:eastAsia="Arial" w:hAnsi="Verdana" w:cs="Arial"/>
          <w:bCs/>
          <w:color w:val="000000" w:themeColor="text1"/>
        </w:rPr>
      </w:pPr>
      <w:r w:rsidRPr="00FF007A">
        <w:rPr>
          <w:rFonts w:ascii="Verdana" w:eastAsia="Arial" w:hAnsi="Verdana" w:cs="Arial"/>
          <w:bCs/>
          <w:color w:val="000000" w:themeColor="text1"/>
        </w:rPr>
        <w:tab/>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es necesario verificar si la contratación del PIC es llevada a cabo por “</w:t>
      </w:r>
      <w:proofErr w:type="gramStart"/>
      <w:r w:rsidRPr="00FF007A">
        <w:rPr>
          <w:rFonts w:ascii="Verdana" w:eastAsia="Arial" w:hAnsi="Verdana" w:cs="Arial"/>
          <w:bCs/>
          <w:color w:val="000000" w:themeColor="text1"/>
        </w:rPr>
        <w:t>Alcaldes</w:t>
      </w:r>
      <w:proofErr w:type="gramEnd"/>
      <w:r w:rsidRPr="00FF007A">
        <w:rPr>
          <w:rFonts w:ascii="Verdana" w:eastAsia="Arial" w:hAnsi="Verdana" w:cs="Arial"/>
          <w:bCs/>
          <w:color w:val="000000" w:themeColor="text1"/>
        </w:rPr>
        <w:t xml:space="preserve">, Gobernadores, </w:t>
      </w:r>
      <w:proofErr w:type="gramStart"/>
      <w:r w:rsidRPr="00FF007A">
        <w:rPr>
          <w:rFonts w:ascii="Verdana" w:eastAsia="Arial" w:hAnsi="Verdana" w:cs="Arial"/>
          <w:bCs/>
          <w:color w:val="000000" w:themeColor="text1"/>
        </w:rPr>
        <w:t>Secretarios</w:t>
      </w:r>
      <w:proofErr w:type="gramEnd"/>
      <w:r w:rsidRPr="00FF007A">
        <w:rPr>
          <w:rFonts w:ascii="Verdana" w:eastAsia="Arial" w:hAnsi="Verdana" w:cs="Arial"/>
          <w:bCs/>
          <w:color w:val="000000" w:themeColor="text1"/>
        </w:rPr>
        <w:t xml:space="preserve">, Gerentes y </w:t>
      </w:r>
      <w:proofErr w:type="gramStart"/>
      <w:r w:rsidRPr="00FF007A">
        <w:rPr>
          <w:rFonts w:ascii="Verdana" w:eastAsia="Arial" w:hAnsi="Verdana" w:cs="Arial"/>
          <w:bCs/>
          <w:color w:val="000000" w:themeColor="text1"/>
        </w:rPr>
        <w:t>Directores</w:t>
      </w:r>
      <w:proofErr w:type="gramEnd"/>
      <w:r w:rsidRPr="00FF007A">
        <w:rPr>
          <w:rFonts w:ascii="Verdana" w:eastAsia="Arial" w:hAnsi="Verdana" w:cs="Arial"/>
          <w:bCs/>
          <w:color w:val="000000" w:themeColor="text1"/>
        </w:rPr>
        <w:t xml:space="preserve"> de las entidades del orden municipal, departamental o distrital”; así como determinar si lo que pretende adelantar es un convenio o un contrato interadministrativo para la ejecución de recursos públicos. Cuando este sea el caso, operará la restricción señalada en el parágrafo y estará prohibido llevar a cabo la contratación </w:t>
      </w:r>
      <w:r>
        <w:rPr>
          <w:rFonts w:ascii="Verdana" w:eastAsia="Arial" w:hAnsi="Verdana" w:cs="Arial"/>
          <w:bCs/>
          <w:color w:val="000000" w:themeColor="text1"/>
        </w:rPr>
        <w:t xml:space="preserve">de convenios </w:t>
      </w:r>
      <w:r w:rsidRPr="00FF007A">
        <w:rPr>
          <w:rFonts w:ascii="Verdana" w:eastAsia="Arial" w:hAnsi="Verdana" w:cs="Arial"/>
          <w:bCs/>
          <w:color w:val="000000" w:themeColor="text1"/>
        </w:rPr>
        <w:t xml:space="preserve">en los cuatro meses anteriores a cualquier contienda electoral. Es importante resaltar que para esta prohibición la norma no contempló ninguna excepción, de modo que </w:t>
      </w:r>
      <w:proofErr w:type="gramStart"/>
      <w:r w:rsidRPr="00FF007A">
        <w:rPr>
          <w:rFonts w:ascii="Verdana" w:eastAsia="Arial" w:hAnsi="Verdana" w:cs="Arial"/>
          <w:bCs/>
          <w:color w:val="000000" w:themeColor="text1"/>
        </w:rPr>
        <w:t>aplicará</w:t>
      </w:r>
      <w:proofErr w:type="gramEnd"/>
      <w:r w:rsidRPr="00FF007A">
        <w:rPr>
          <w:rFonts w:ascii="Verdana" w:eastAsia="Arial" w:hAnsi="Verdana" w:cs="Arial"/>
          <w:bCs/>
          <w:color w:val="000000" w:themeColor="text1"/>
        </w:rPr>
        <w:t xml:space="preserve"> aunque se trate de entidades sanitarias u hospitalarias. </w:t>
      </w:r>
    </w:p>
    <w:p w14:paraId="6AB254DA" w14:textId="77777777" w:rsidR="00E951C9" w:rsidRPr="00FF007A" w:rsidRDefault="00E951C9" w:rsidP="00E951C9">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el tema de su consulta, mediante la Resolución 04 del 12 de </w:t>
      </w:r>
      <w:r>
        <w:rPr>
          <w:rFonts w:ascii="Verdana" w:eastAsia="Arial" w:hAnsi="Verdana" w:cs="Arial"/>
          <w:bCs/>
          <w:color w:val="000000" w:themeColor="text1"/>
        </w:rPr>
        <w:t>e</w:t>
      </w:r>
      <w:r w:rsidRPr="00FF007A">
        <w:rPr>
          <w:rFonts w:ascii="Verdana" w:eastAsia="Arial" w:hAnsi="Verdana" w:cs="Arial"/>
          <w:bCs/>
          <w:color w:val="000000" w:themeColor="text1"/>
        </w:rPr>
        <w:t>nero de 2018, el Ministerio de Salud y Protección Social dio “instrucciones para la ejecución de las acciones en salud pública en el marco de la Ley de Garantías electorales”. Respecto de la ejecución del Plan de Intervenciones Colectivas (PIC), el Ministerio enfatizó que las entidades deben garantizar los tr</w:t>
      </w:r>
      <w:r>
        <w:rPr>
          <w:rFonts w:ascii="Verdana" w:eastAsia="Arial" w:hAnsi="Verdana" w:cs="Arial"/>
          <w:bCs/>
          <w:color w:val="000000" w:themeColor="text1"/>
        </w:rPr>
        <w:t>á</w:t>
      </w:r>
      <w:r w:rsidRPr="00FF007A">
        <w:rPr>
          <w:rFonts w:ascii="Verdana" w:eastAsia="Arial" w:hAnsi="Verdana" w:cs="Arial"/>
          <w:bCs/>
          <w:color w:val="000000" w:themeColor="text1"/>
        </w:rPr>
        <w:t xml:space="preserve">mites contractuales y la planeación para la continuidad del programa. Además, señaló que durante el periodo de prohibición del artículo 33 de la Ley 996 de 2005 “se exceptúan las acciones que la entidad territorial requiera contratar como entidad sanitaria” con el fin de no paralizar su funcionamiento o interrumpir la prestación de los servicios públicos de carácter esencial, con lo cual resalto la excepción aplicable a estas entidades. Sobre esto último, estableció como criterios para determinar la aplicación de la excepción en materia de salud: i) que la contratación sea necesaria para solventar las eventuales situaciones de urgencia en salud, y ii) que se refiera al cumplimiento de deberes de las entidades sanitarias y hospitalarias. Finalmente, resaltó que durante el periodo de prohibición es posible realizar adiciones y prórrogas a los contratos vigentes, en el marco de los principios de planeación, transparencia y responsabilidad. </w:t>
      </w:r>
    </w:p>
    <w:p w14:paraId="566E2415" w14:textId="77777777" w:rsidR="00E951C9" w:rsidRPr="00FF007A" w:rsidRDefault="00E951C9" w:rsidP="00E951C9">
      <w:pPr>
        <w:spacing w:before="120" w:after="120" w:line="276" w:lineRule="auto"/>
        <w:ind w:firstLine="709"/>
        <w:jc w:val="both"/>
        <w:rPr>
          <w:rFonts w:ascii="Verdana" w:eastAsia="Times New Roman" w:hAnsi="Verdana" w:cs="Arial"/>
          <w:bCs/>
          <w:lang w:eastAsia="es-CO"/>
        </w:rPr>
      </w:pPr>
      <w:r w:rsidRPr="00FF007A">
        <w:rPr>
          <w:rFonts w:ascii="Verdana" w:eastAsia="Arial" w:hAnsi="Verdana" w:cs="Arial"/>
          <w:bCs/>
          <w:color w:val="000000" w:themeColor="text1"/>
        </w:rPr>
        <w:t xml:space="preserve">Esto último es acorde con </w:t>
      </w:r>
      <w:r w:rsidRPr="00FF007A">
        <w:rPr>
          <w:rFonts w:ascii="Verdana" w:eastAsia="Times New Roman" w:hAnsi="Verdana" w:cs="Arial"/>
          <w:bCs/>
          <w:lang w:eastAsia="es-CO"/>
        </w:rPr>
        <w:t>lo manifestado por esta Agencia, en el sentido de que las prórrogas, modificaciones o adiciones de los contratos suscritos antes de la entrada en vigencia de las prohibiciones del artículo 33 y el parágrafo del artículo 38, así como la cesión de los mismos, pueden tener lugar en el período de aplicación de la Ley de Garantías Electorales, sin que ello haga nugatoria la restricción de la contratación directa y siempre que cumplan los principios de planeación, transparencia y responsabilidad</w:t>
      </w:r>
      <w:r w:rsidRPr="00FF007A">
        <w:rPr>
          <w:rFonts w:ascii="Verdana" w:eastAsia="Times New Roman" w:hAnsi="Verdana" w:cs="Arial"/>
          <w:bCs/>
          <w:vertAlign w:val="superscript"/>
          <w:lang w:eastAsia="es-CO"/>
        </w:rPr>
        <w:footnoteReference w:id="33"/>
      </w:r>
      <w:r w:rsidRPr="00FF007A">
        <w:rPr>
          <w:rFonts w:ascii="Verdana" w:eastAsia="Times New Roman" w:hAnsi="Verdana" w:cs="Arial"/>
          <w:bCs/>
          <w:lang w:eastAsia="es-CO"/>
        </w:rPr>
        <w:t>. A</w:t>
      </w:r>
      <w:r>
        <w:rPr>
          <w:rFonts w:ascii="Verdana" w:eastAsia="Times New Roman" w:hAnsi="Verdana" w:cs="Arial"/>
          <w:bCs/>
          <w:lang w:eastAsia="es-CO"/>
        </w:rPr>
        <w:t>dicionalmente</w:t>
      </w:r>
      <w:r w:rsidRPr="00FF007A" w:rsidDel="003E56B9">
        <w:rPr>
          <w:rFonts w:ascii="Verdana" w:eastAsia="Times New Roman" w:hAnsi="Verdana" w:cs="Arial"/>
          <w:bCs/>
          <w:lang w:eastAsia="es-CO"/>
        </w:rPr>
        <w:t xml:space="preserve"> </w:t>
      </w:r>
      <w:r w:rsidRPr="00FF007A">
        <w:rPr>
          <w:rFonts w:ascii="Verdana" w:eastAsia="Times New Roman" w:hAnsi="Verdana" w:cs="Arial"/>
          <w:bCs/>
          <w:lang w:eastAsia="es-CO"/>
        </w:rPr>
        <w:t xml:space="preserve">es posible que </w:t>
      </w:r>
      <w:r>
        <w:rPr>
          <w:rFonts w:ascii="Verdana" w:eastAsia="Times New Roman" w:hAnsi="Verdana" w:cs="Arial"/>
          <w:bCs/>
          <w:lang w:eastAsia="es-CO"/>
        </w:rPr>
        <w:t xml:space="preserve">los </w:t>
      </w:r>
      <w:r w:rsidRPr="00FF007A">
        <w:rPr>
          <w:rFonts w:ascii="Verdana" w:eastAsia="Times New Roman" w:hAnsi="Verdana" w:cs="Arial"/>
          <w:bCs/>
          <w:lang w:eastAsia="es-CO"/>
        </w:rPr>
        <w:t xml:space="preserve">contratos celebrados previamente se continúen ejecutando con normalidad y, en consecuencia, se realicen los pagos en las condiciones pactadas. </w:t>
      </w:r>
    </w:p>
    <w:p w14:paraId="5A6B2141" w14:textId="77777777" w:rsidR="00E951C9" w:rsidRDefault="00E951C9" w:rsidP="00E951C9">
      <w:pPr>
        <w:spacing w:before="120" w:after="0" w:line="276" w:lineRule="auto"/>
        <w:ind w:firstLine="709"/>
        <w:jc w:val="both"/>
        <w:rPr>
          <w:rFonts w:ascii="Verdana" w:eastAsia="Arial" w:hAnsi="Verdana" w:cs="Arial"/>
          <w:bCs/>
          <w:color w:val="000000" w:themeColor="text1"/>
        </w:rPr>
      </w:pPr>
      <w:r w:rsidRPr="00FF007A">
        <w:rPr>
          <w:rFonts w:ascii="Verdana" w:eastAsia="Times New Roman" w:hAnsi="Verdana" w:cs="Arial"/>
          <w:bCs/>
          <w:lang w:eastAsia="es-CO"/>
        </w:rPr>
        <w:t xml:space="preserve">Con respecto a la prohibición del parágrafo del artículo 38, es importante resaltar que el Ministerio de Salud y Protección Social </w:t>
      </w:r>
      <w:r w:rsidRPr="00FF007A">
        <w:rPr>
          <w:rFonts w:ascii="Verdana" w:eastAsia="Arial" w:hAnsi="Verdana" w:cs="Arial"/>
          <w:bCs/>
          <w:color w:val="000000" w:themeColor="text1"/>
        </w:rPr>
        <w:t>dispuso que, con el fin de garantizar la continuidad de las intervenciones de promoción de salud y prevención, “se debe acudir a las demás modalidades de contratación autorizadas por la ley de manera que no se afecte la ejecución de las intervenciones colectivas a cargo de las entidades territoriales”</w:t>
      </w:r>
      <w:r w:rsidRPr="00FF007A">
        <w:rPr>
          <w:rStyle w:val="Refdenotaalpie"/>
          <w:rFonts w:ascii="Verdana" w:eastAsia="Arial" w:hAnsi="Verdana" w:cs="Arial"/>
          <w:bCs/>
          <w:color w:val="000000" w:themeColor="text1"/>
        </w:rPr>
        <w:footnoteReference w:id="34"/>
      </w:r>
      <w:r w:rsidRPr="00FF007A">
        <w:rPr>
          <w:rFonts w:ascii="Verdana" w:eastAsia="Arial" w:hAnsi="Verdana" w:cs="Arial"/>
          <w:bCs/>
          <w:color w:val="000000" w:themeColor="text1"/>
        </w:rPr>
        <w:t xml:space="preserve">. Lo anterior, considerando que esta prohibición no fijó excepción alguna para su aplicación. </w:t>
      </w:r>
    </w:p>
    <w:p w14:paraId="5AE79C78" w14:textId="77777777" w:rsidR="00E951C9" w:rsidRDefault="00E951C9" w:rsidP="00E951C9">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En suma, corresponderá a cada entidad estatal, incluyendo a aquellas autorizadas para suscribir contratos en el marco de los Planes de Salud Pública de Intervenciones Colectivas, determinar la procedencia de celebrar un contrato estatal específico, para lo cual deberán tener en cuenta las prohibiciones establecidas en materia contractual en la Ley de Garantías Electorales.</w:t>
      </w:r>
    </w:p>
    <w:p w14:paraId="026A89FB" w14:textId="77777777" w:rsidR="00E951C9" w:rsidRPr="00B73655" w:rsidRDefault="00E951C9" w:rsidP="00E951C9">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4C3C0241" w14:textId="77777777" w:rsidR="00E951C9" w:rsidRPr="00FF007A" w:rsidRDefault="00E951C9" w:rsidP="00E951C9">
      <w:pPr>
        <w:spacing w:after="120" w:line="276" w:lineRule="auto"/>
        <w:ind w:firstLine="708"/>
        <w:jc w:val="both"/>
        <w:rPr>
          <w:rFonts w:ascii="Verdana" w:eastAsia="Times New Roman" w:hAnsi="Verdana" w:cs="Arial"/>
          <w:bCs/>
          <w:lang w:eastAsia="es-CO"/>
        </w:rPr>
      </w:pPr>
      <w:r w:rsidRPr="00FF007A">
        <w:rPr>
          <w:rFonts w:ascii="Verdana" w:eastAsia="Arial" w:hAnsi="Verdana" w:cs="Arial"/>
          <w:color w:val="000000" w:themeColor="text1"/>
        </w:rPr>
        <w:t xml:space="preserve">Finalmente, es importante advertir que </w:t>
      </w:r>
      <w:r w:rsidRPr="00FF007A">
        <w:rPr>
          <w:rFonts w:ascii="Verdana" w:eastAsia="Times New Roman" w:hAnsi="Verdana" w:cs="Arial"/>
        </w:rPr>
        <w:t xml:space="preserve">compete a cada Entidad Estatal que considera celebrar un contrato específico definir si este se enmarca en alguna de las prohibiciones de la Ley de Garantías Electorales. </w:t>
      </w:r>
      <w:r w:rsidRPr="00FF007A">
        <w:rPr>
          <w:rFonts w:ascii="Verdana" w:eastAsia="Times New Roman" w:hAnsi="Verdana" w:cs="Arial"/>
          <w:color w:val="000000" w:themeColor="text1"/>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3"/>
    <w:p w14:paraId="352F4791" w14:textId="77777777" w:rsidR="00E951C9" w:rsidRPr="00FF007A" w:rsidRDefault="00E951C9" w:rsidP="00E951C9">
      <w:pPr>
        <w:tabs>
          <w:tab w:val="left" w:pos="142"/>
          <w:tab w:val="left" w:pos="284"/>
        </w:tabs>
        <w:spacing w:after="0" w:line="240" w:lineRule="auto"/>
        <w:rPr>
          <w:rFonts w:ascii="Verdana" w:eastAsia="Century Gothic" w:hAnsi="Verdana" w:cs="Century Gothic"/>
          <w:b/>
          <w:bCs/>
        </w:rPr>
      </w:pPr>
      <w:r w:rsidRPr="00FF007A">
        <w:rPr>
          <w:rFonts w:ascii="Verdana" w:eastAsia="Century Gothic" w:hAnsi="Verdana" w:cs="Century Gothic"/>
          <w:b/>
          <w:bCs/>
        </w:rPr>
        <w:t>4. Referencias normativas:</w:t>
      </w:r>
    </w:p>
    <w:bookmarkEnd w:id="4"/>
    <w:p w14:paraId="71D948E2" w14:textId="77777777" w:rsidR="00E951C9" w:rsidRPr="00FF007A" w:rsidRDefault="00E951C9" w:rsidP="00E951C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951C9" w:rsidRPr="00FF007A" w14:paraId="486A0F0A" w14:textId="77777777" w:rsidTr="00874BD2">
        <w:trPr>
          <w:trHeight w:val="870"/>
          <w:jc w:val="center"/>
        </w:trPr>
        <w:tc>
          <w:tcPr>
            <w:tcW w:w="8647" w:type="dxa"/>
          </w:tcPr>
          <w:p w14:paraId="37CE03AF"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Constitución Política, artículo 127.</w:t>
            </w:r>
          </w:p>
          <w:p w14:paraId="75701488" w14:textId="77777777" w:rsidR="00E951C9" w:rsidRPr="00D437AC" w:rsidRDefault="00E951C9" w:rsidP="00E951C9">
            <w:pPr>
              <w:pStyle w:val="Prrafodelista"/>
              <w:numPr>
                <w:ilvl w:val="0"/>
                <w:numId w:val="20"/>
              </w:numPr>
              <w:spacing w:line="276" w:lineRule="auto"/>
              <w:jc w:val="both"/>
              <w:rPr>
                <w:rFonts w:ascii="Verdana" w:hAnsi="Verdana" w:cs="Arial"/>
                <w:lang w:val="es-CO"/>
              </w:rPr>
            </w:pPr>
            <w:r w:rsidRPr="00D437AC">
              <w:rPr>
                <w:rFonts w:ascii="Verdana" w:hAnsi="Verdana" w:cs="Arial"/>
                <w:lang w:val="es-CO"/>
              </w:rPr>
              <w:t>Ley 80 de 1993: artículos 30 y 32.</w:t>
            </w:r>
          </w:p>
          <w:p w14:paraId="67D09BF1" w14:textId="77777777" w:rsidR="00E951C9" w:rsidRPr="00D437AC" w:rsidRDefault="00E951C9" w:rsidP="00E951C9">
            <w:pPr>
              <w:pStyle w:val="Prrafodelista"/>
              <w:numPr>
                <w:ilvl w:val="0"/>
                <w:numId w:val="20"/>
              </w:numPr>
              <w:spacing w:line="276" w:lineRule="auto"/>
              <w:jc w:val="both"/>
              <w:rPr>
                <w:rFonts w:ascii="Verdana" w:hAnsi="Verdana" w:cs="Arial"/>
                <w:lang w:val="es-CO"/>
              </w:rPr>
            </w:pPr>
            <w:r w:rsidRPr="00D437AC">
              <w:rPr>
                <w:rFonts w:ascii="Verdana" w:hAnsi="Verdana" w:cs="Arial"/>
                <w:color w:val="000000" w:themeColor="text1"/>
                <w:lang w:val="es-CO"/>
              </w:rPr>
              <w:t>Ley 100 de 1993: artículos 94 y 197.</w:t>
            </w:r>
          </w:p>
          <w:p w14:paraId="48FB542D"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bCs/>
                <w:lang w:eastAsia="es-ES" w:bidi="es-ES"/>
              </w:rPr>
              <w:t>Ley 996 de 2005: artículos 33 y 38.</w:t>
            </w:r>
          </w:p>
          <w:p w14:paraId="6CD92434" w14:textId="77777777" w:rsidR="00E951C9" w:rsidRPr="00D437AC" w:rsidRDefault="00E951C9" w:rsidP="00E951C9">
            <w:pPr>
              <w:pStyle w:val="Prrafodelista"/>
              <w:widowControl w:val="0"/>
              <w:numPr>
                <w:ilvl w:val="0"/>
                <w:numId w:val="20"/>
              </w:numPr>
              <w:autoSpaceDE w:val="0"/>
              <w:autoSpaceDN w:val="0"/>
              <w:spacing w:line="276" w:lineRule="auto"/>
              <w:jc w:val="both"/>
              <w:rPr>
                <w:rFonts w:ascii="Verdana" w:hAnsi="Verdana" w:cs="Arial"/>
                <w:lang w:val="es-CO"/>
              </w:rPr>
            </w:pPr>
            <w:r w:rsidRPr="00D437AC">
              <w:rPr>
                <w:rFonts w:ascii="Verdana" w:eastAsia="Arial" w:hAnsi="Verdana" w:cs="Arial"/>
                <w:bCs/>
                <w:color w:val="000000" w:themeColor="text1"/>
                <w:lang w:val="es-CO"/>
              </w:rPr>
              <w:t>Decreto 780 de 2016: artículos 2.8.8.1.4.2, 2.8.8.1.1.3.</w:t>
            </w:r>
          </w:p>
          <w:p w14:paraId="614EC145"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Times New Roman" w:hAnsi="Verdana" w:cs="Times New Roman"/>
                <w:lang w:eastAsia="es-MX"/>
              </w:rPr>
              <w:t xml:space="preserve">Ley 1150 de 2007: </w:t>
            </w:r>
            <w:r w:rsidRPr="00D437AC">
              <w:rPr>
                <w:rFonts w:ascii="Verdana" w:eastAsia="Arial MT" w:hAnsi="Verdana" w:cs="Arial"/>
                <w:lang w:eastAsia="es-ES" w:bidi="es-ES"/>
              </w:rPr>
              <w:t xml:space="preserve">artículo 2, numeral 4. </w:t>
            </w:r>
          </w:p>
          <w:p w14:paraId="255960F0"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Decreto 1082 de 2015: artículo 2.2.1.2.1.4.4.</w:t>
            </w:r>
          </w:p>
          <w:p w14:paraId="70E8AE1A"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Resolución 1597 de 2025. Artículo 10 y 12. </w:t>
            </w:r>
          </w:p>
          <w:p w14:paraId="296C1043"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lo Contencioso Administrativo. Sección Primera. Sentencia de 3 de marzo de 2005, Radicado: 25001-23-15-000-2004-00823-01 (PI). C.P: Camilo Arciniegas Andrade.</w:t>
            </w:r>
          </w:p>
          <w:p w14:paraId="31B894B6"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 xml:space="preserve">Consejo de Estado, Sala de Consulta y Servicio Civil de fecha 24 de julio de 2013. Radicado: Radicado: 11001-03-06-000-2013-00407-00 (2166). C.P: Álvaro Namén Vargas.  </w:t>
            </w:r>
          </w:p>
          <w:p w14:paraId="112DD0B4"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17 de febrero de 2015. Radicación No. 11001-03-06-000-2015-00164-00 (2269) C.P: William Zambrano Cetina.</w:t>
            </w:r>
          </w:p>
          <w:p w14:paraId="25AC40EA"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02 de septiembre de 2013. Rad. 11001-03-06-000-2013-00412-00 (2168). C.P. Álvaro Namén Vargas.</w:t>
            </w:r>
          </w:p>
          <w:p w14:paraId="5C431B56"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08 de mayo de 2018. Exp. 2.382. C.P. Álvaro Namén Vargas.</w:t>
            </w:r>
          </w:p>
          <w:p w14:paraId="157C9347"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 20 de febrero de 2006. Radicación Número: 11001-03-06-000-2006-00026-00(1727). C.P: Enrique José Arboleda Perdomo.</w:t>
            </w:r>
          </w:p>
          <w:p w14:paraId="672AC6E2"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18 de febrero 2010. Radicado: 11001-03-06-000-2010-00006-00 (1985). C.P. Enrique José Arboleda Perdomo.</w:t>
            </w:r>
          </w:p>
          <w:p w14:paraId="6F1CBFDD" w14:textId="77777777" w:rsidR="00E951C9" w:rsidRPr="00D437AC" w:rsidRDefault="00E951C9" w:rsidP="00E951C9">
            <w:pPr>
              <w:widowControl w:val="0"/>
              <w:numPr>
                <w:ilvl w:val="0"/>
                <w:numId w:val="20"/>
              </w:numPr>
              <w:autoSpaceDE w:val="0"/>
              <w:autoSpaceDN w:val="0"/>
              <w:spacing w:line="276" w:lineRule="auto"/>
              <w:contextualSpacing/>
              <w:jc w:val="both"/>
              <w:rPr>
                <w:rFonts w:ascii="Verdana" w:eastAsia="Arial MT" w:hAnsi="Verdana" w:cs="Arial"/>
                <w:lang w:eastAsia="es-ES" w:bidi="es-ES"/>
              </w:rPr>
            </w:pPr>
            <w:r w:rsidRPr="00D437AC">
              <w:rPr>
                <w:rFonts w:ascii="Verdana" w:eastAsia="Arial MT" w:hAnsi="Verdana" w:cs="Arial"/>
                <w:lang w:eastAsia="es-ES" w:bidi="es-ES"/>
              </w:rPr>
              <w:t>Consejo de Estado. Sala de Consulta y Servicio Civil. Concepto del 12 de junio de 2018. Radicación Interna: 11001-03-06-000-2018-0043-00. (2371). Consejero Ponente: Oscar Darío Amaya Navas.</w:t>
            </w:r>
          </w:p>
          <w:p w14:paraId="3CF9737A" w14:textId="77777777" w:rsidR="00E951C9" w:rsidRPr="00D437AC" w:rsidRDefault="00E951C9" w:rsidP="00E951C9">
            <w:pPr>
              <w:pStyle w:val="Prrafodelista"/>
              <w:numPr>
                <w:ilvl w:val="0"/>
                <w:numId w:val="20"/>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Corte Constitucional. Sentencia C-1153 de 2005 M.P. Marco Gerardo Monroy Cabra.</w:t>
            </w:r>
          </w:p>
          <w:p w14:paraId="48CFE244" w14:textId="77777777" w:rsidR="00E951C9" w:rsidRPr="00D437AC" w:rsidRDefault="00E951C9" w:rsidP="00E951C9">
            <w:pPr>
              <w:pStyle w:val="Prrafodelista"/>
              <w:numPr>
                <w:ilvl w:val="0"/>
                <w:numId w:val="20"/>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C-233 de 4 de abril de 2002. M.P: Álvaro Tafur Galvis. </w:t>
            </w:r>
          </w:p>
          <w:p w14:paraId="6A282776" w14:textId="77777777" w:rsidR="00E951C9" w:rsidRPr="00D437AC" w:rsidRDefault="00E951C9" w:rsidP="00E951C9">
            <w:pPr>
              <w:pStyle w:val="Prrafodelista"/>
              <w:numPr>
                <w:ilvl w:val="0"/>
                <w:numId w:val="20"/>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C-551 de 9 de julio de 2003. M.P: Eduardo Montealegre Lynett. </w:t>
            </w:r>
          </w:p>
          <w:p w14:paraId="217ED520" w14:textId="77777777" w:rsidR="00E951C9" w:rsidRPr="00D437AC" w:rsidRDefault="00E951C9" w:rsidP="00E951C9">
            <w:pPr>
              <w:pStyle w:val="Prrafodelista"/>
              <w:numPr>
                <w:ilvl w:val="0"/>
                <w:numId w:val="20"/>
              </w:numPr>
              <w:spacing w:line="276" w:lineRule="auto"/>
              <w:jc w:val="both"/>
              <w:rPr>
                <w:rFonts w:ascii="Verdana" w:eastAsia="Arial MT" w:hAnsi="Verdana" w:cs="Arial"/>
                <w:lang w:val="es-CO" w:eastAsia="es-ES" w:bidi="es-ES"/>
              </w:rPr>
            </w:pPr>
            <w:r w:rsidRPr="00084D6B">
              <w:rPr>
                <w:rFonts w:ascii="Verdana" w:eastAsia="Arial MT" w:hAnsi="Verdana" w:cs="Arial"/>
                <w:lang w:val="pt-BR" w:eastAsia="es-ES" w:bidi="es-ES"/>
              </w:rPr>
              <w:t xml:space="preserve">Corte Constitucional. Sentencia C-652 de 5 de agosto de 2003. </w:t>
            </w:r>
            <w:r w:rsidRPr="00D437AC">
              <w:rPr>
                <w:rFonts w:ascii="Verdana" w:eastAsia="Arial MT" w:hAnsi="Verdana" w:cs="Arial"/>
                <w:lang w:val="es-CO" w:eastAsia="es-ES" w:bidi="es-ES"/>
              </w:rPr>
              <w:t xml:space="preserve">M.P: Jaime Córdoba Triviño. </w:t>
            </w:r>
          </w:p>
          <w:p w14:paraId="19C2FEC0" w14:textId="77777777" w:rsidR="00E951C9" w:rsidRPr="00D437AC" w:rsidRDefault="00E951C9" w:rsidP="00E951C9">
            <w:pPr>
              <w:pStyle w:val="Prrafodelista"/>
              <w:numPr>
                <w:ilvl w:val="0"/>
                <w:numId w:val="20"/>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 xml:space="preserve">Corte Constitucional. Sentencia C-353 de 20 de mayo de 2009. M.P: Jorge Iván Palacio Palacio. </w:t>
            </w:r>
          </w:p>
          <w:p w14:paraId="68B3C239" w14:textId="77777777" w:rsidR="00E951C9" w:rsidRPr="00D437AC" w:rsidRDefault="00E951C9" w:rsidP="00E951C9">
            <w:pPr>
              <w:pStyle w:val="Prrafodelista"/>
              <w:numPr>
                <w:ilvl w:val="0"/>
                <w:numId w:val="20"/>
              </w:numPr>
              <w:spacing w:line="276" w:lineRule="auto"/>
              <w:jc w:val="both"/>
              <w:rPr>
                <w:rFonts w:ascii="Verdana" w:eastAsia="Arial MT" w:hAnsi="Verdana" w:cs="Arial"/>
                <w:lang w:val="es-CO" w:eastAsia="es-ES" w:bidi="es-ES"/>
              </w:rPr>
            </w:pPr>
            <w:r w:rsidRPr="00D437AC">
              <w:rPr>
                <w:rFonts w:ascii="Verdana" w:eastAsia="Arial MT" w:hAnsi="Verdana" w:cs="Arial"/>
                <w:lang w:val="es-CO" w:eastAsia="es-ES" w:bidi="es-ES"/>
              </w:rPr>
              <w:t>Corte Constitucional. Sentencia C-541 de 30 de junio de 2010, M.P: Gabriel Eduardo Mendoza Martelo.</w:t>
            </w:r>
          </w:p>
          <w:p w14:paraId="532EE091" w14:textId="77777777" w:rsidR="00E951C9" w:rsidRPr="00D437AC" w:rsidRDefault="00E951C9" w:rsidP="00E951C9">
            <w:pPr>
              <w:pStyle w:val="Prrafodelista"/>
              <w:numPr>
                <w:ilvl w:val="0"/>
                <w:numId w:val="20"/>
              </w:numPr>
              <w:spacing w:line="276" w:lineRule="auto"/>
              <w:jc w:val="both"/>
              <w:rPr>
                <w:rFonts w:ascii="Verdana" w:eastAsia="Arial MT" w:hAnsi="Verdana" w:cs="Arial"/>
                <w:lang w:val="es-CO" w:eastAsia="es-ES" w:bidi="es-ES"/>
              </w:rPr>
            </w:pPr>
            <w:r w:rsidRPr="00D437AC">
              <w:rPr>
                <w:rFonts w:ascii="Verdana" w:eastAsia="Arial MT" w:hAnsi="Verdana" w:cs="Arial"/>
                <w:lang w:eastAsia="es-ES" w:bidi="es-ES"/>
              </w:rPr>
              <w:t xml:space="preserve">Ministerio de Salud y Protección Social, Resolución 04 del 12 de </w:t>
            </w:r>
            <w:proofErr w:type="gramStart"/>
            <w:r w:rsidRPr="00D437AC">
              <w:rPr>
                <w:rFonts w:ascii="Verdana" w:eastAsia="Arial MT" w:hAnsi="Verdana" w:cs="Arial"/>
                <w:lang w:eastAsia="es-ES" w:bidi="es-ES"/>
              </w:rPr>
              <w:t>Enero</w:t>
            </w:r>
            <w:proofErr w:type="gramEnd"/>
            <w:r w:rsidRPr="00D437AC">
              <w:rPr>
                <w:rFonts w:ascii="Verdana" w:eastAsia="Arial MT" w:hAnsi="Verdana" w:cs="Arial"/>
                <w:lang w:eastAsia="es-ES" w:bidi="es-ES"/>
              </w:rPr>
              <w:t xml:space="preserve"> de 2018.</w:t>
            </w:r>
          </w:p>
        </w:tc>
      </w:tr>
    </w:tbl>
    <w:p w14:paraId="27CFCFD8" w14:textId="77777777" w:rsidR="00E951C9" w:rsidRDefault="00E951C9" w:rsidP="00E951C9">
      <w:pPr>
        <w:tabs>
          <w:tab w:val="left" w:pos="142"/>
          <w:tab w:val="left" w:pos="284"/>
        </w:tabs>
        <w:spacing w:after="0" w:line="276" w:lineRule="auto"/>
        <w:jc w:val="both"/>
        <w:rPr>
          <w:rFonts w:ascii="Verdana" w:eastAsia="Century Gothic" w:hAnsi="Verdana" w:cs="Century Gothic"/>
          <w:b/>
          <w:bCs/>
        </w:rPr>
      </w:pPr>
    </w:p>
    <w:p w14:paraId="6A6569CF" w14:textId="77777777" w:rsidR="00E951C9" w:rsidRPr="00FF007A" w:rsidRDefault="00E951C9" w:rsidP="00E951C9">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4F9909F5" w14:textId="77777777" w:rsidR="00E951C9" w:rsidRPr="00FF007A" w:rsidRDefault="00E951C9" w:rsidP="00E951C9">
      <w:pPr>
        <w:widowControl w:val="0"/>
        <w:autoSpaceDE w:val="0"/>
        <w:autoSpaceDN w:val="0"/>
        <w:spacing w:after="0" w:line="240" w:lineRule="auto"/>
        <w:jc w:val="both"/>
        <w:rPr>
          <w:rStyle w:val="normaltextrun"/>
          <w:rFonts w:ascii="Verdana" w:hAnsi="Verdana" w:cs="Arial"/>
          <w:shd w:val="clear" w:color="auto" w:fill="FFFFFF"/>
        </w:rPr>
      </w:pPr>
    </w:p>
    <w:p w14:paraId="3D1FDB17" w14:textId="77777777" w:rsidR="00E951C9" w:rsidRPr="00FF007A" w:rsidRDefault="00E951C9" w:rsidP="00E951C9">
      <w:pPr>
        <w:widowControl w:val="0"/>
        <w:autoSpaceDE w:val="0"/>
        <w:autoSpaceDN w:val="0"/>
        <w:spacing w:after="120" w:line="276" w:lineRule="auto"/>
        <w:jc w:val="both"/>
        <w:rPr>
          <w:rFonts w:ascii="Verdana" w:eastAsia="Calibri" w:hAnsi="Verdana" w:cs="Arial"/>
          <w:color w:val="000000" w:themeColor="text1"/>
          <w:lang w:eastAsia="es-ES_tradnl"/>
        </w:rPr>
      </w:pPr>
      <w:r w:rsidRPr="00FF007A">
        <w:rPr>
          <w:rFonts w:ascii="Verdana" w:eastAsia="Calibri" w:hAnsi="Verdana" w:cs="Arial"/>
        </w:rPr>
        <w:t xml:space="preserve">La Agencia Nacional de Contratación Pública – Colombia Compra Eficiente se ha referido </w:t>
      </w:r>
      <w:r w:rsidRPr="00FF007A">
        <w:rPr>
          <w:rFonts w:ascii="Verdana" w:hAnsi="Verdana" w:cs="Arial"/>
          <w:shd w:val="clear" w:color="auto" w:fill="FFFFFF"/>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w:t>
      </w:r>
      <w:r>
        <w:rPr>
          <w:rFonts w:ascii="Verdana" w:hAnsi="Verdana" w:cs="Arial"/>
          <w:shd w:val="clear" w:color="auto" w:fill="FFFFFF"/>
        </w:rPr>
        <w:t xml:space="preserve">, </w:t>
      </w:r>
      <w:r w:rsidRPr="00FF007A">
        <w:rPr>
          <w:rFonts w:ascii="Verdana" w:hAnsi="Verdana" w:cs="Arial"/>
          <w:shd w:val="clear" w:color="auto" w:fill="FFFFFF"/>
        </w:rPr>
        <w:t>C-523 del 10 de octubre de 2021, C-606 del 28 de octubre de 2021</w:t>
      </w:r>
      <w:r>
        <w:rPr>
          <w:rFonts w:ascii="Verdana" w:hAnsi="Verdana" w:cs="Arial"/>
          <w:shd w:val="clear" w:color="auto" w:fill="FFFFFF"/>
        </w:rPr>
        <w:t>,</w:t>
      </w:r>
      <w:r w:rsidRPr="00FF007A">
        <w:rPr>
          <w:rFonts w:ascii="Verdana" w:hAnsi="Verdana" w:cs="Arial"/>
          <w:shd w:val="clear" w:color="auto" w:fill="FFFFFF"/>
        </w:rPr>
        <w:t xml:space="preserve"> C-614 del 2 de noviembre de 2021, C-636 del 16 de noviembre de 2021, </w:t>
      </w:r>
      <w:r>
        <w:rPr>
          <w:rFonts w:ascii="Verdana" w:hAnsi="Verdana" w:cs="Arial"/>
          <w:shd w:val="clear" w:color="auto" w:fill="FFFFFF"/>
        </w:rPr>
        <w:t>C-</w:t>
      </w:r>
      <w:r w:rsidRPr="00FF007A">
        <w:rPr>
          <w:rFonts w:ascii="Verdana" w:hAnsi="Verdana" w:cs="Arial"/>
          <w:shd w:val="clear" w:color="auto" w:fill="FFFFFF"/>
        </w:rPr>
        <w:t xml:space="preserve">681 del 7 de diciembre de 2021, C-686 del 21 de diciembre de 2021, C-697 del 3 de enero de 2022, C-180 del 21 de marzo de 2025, C-317 del 25 de abril de 2025, C-510 del 4 de junio de 2025, C -635 del 27 de junio de 2025, C–750 de 17 de julio 2025, </w:t>
      </w:r>
      <w:r>
        <w:rPr>
          <w:rFonts w:ascii="Verdana" w:hAnsi="Verdana" w:cs="Arial"/>
          <w:shd w:val="clear" w:color="auto" w:fill="FFFFFF"/>
        </w:rPr>
        <w:t xml:space="preserve">C-868 del 12 de agosto de 2025, </w:t>
      </w:r>
      <w:r w:rsidRPr="00FF007A">
        <w:rPr>
          <w:rFonts w:ascii="Verdana" w:hAnsi="Verdana" w:cs="Arial"/>
          <w:shd w:val="clear" w:color="auto" w:fill="FFFFFF"/>
        </w:rPr>
        <w:t>entre otros. Sobre la aplicación de esta ley y la contratación del PIC se refirió en los conceptos C‒044 del 04 de marzo de 2022, C‒158 del 04 de abril de 2022</w:t>
      </w:r>
      <w:r>
        <w:rPr>
          <w:rFonts w:ascii="Verdana" w:hAnsi="Verdana" w:cs="Arial"/>
          <w:shd w:val="clear" w:color="auto" w:fill="FFFFFF"/>
        </w:rPr>
        <w:t xml:space="preserve">, </w:t>
      </w:r>
      <w:r w:rsidRPr="00FF007A">
        <w:rPr>
          <w:rFonts w:ascii="Verdana" w:hAnsi="Verdana" w:cs="Arial"/>
          <w:shd w:val="clear" w:color="auto" w:fill="FFFFFF"/>
        </w:rPr>
        <w:t>C‒364 del 20 de mayo de 2022</w:t>
      </w:r>
      <w:r w:rsidRPr="00FF007A">
        <w:rPr>
          <w:rFonts w:ascii="Verdana" w:hAnsi="Verdana" w:cs="Arial"/>
        </w:rPr>
        <w:t>,</w:t>
      </w:r>
      <w:r>
        <w:rPr>
          <w:rFonts w:ascii="Verdana" w:hAnsi="Verdana" w:cs="Arial"/>
        </w:rPr>
        <w:t xml:space="preserve"> C-979 de 25 de agosto de 2025,</w:t>
      </w:r>
      <w:r w:rsidRPr="00FF007A">
        <w:rPr>
          <w:rFonts w:ascii="Verdana" w:hAnsi="Verdana" w:cs="Arial"/>
        </w:rPr>
        <w:t xml:space="preserve"> entre otros. Estos y otros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hyperlink r:id="rId11" w:history="1">
        <w:r w:rsidRPr="00FF007A">
          <w:rPr>
            <w:rFonts w:ascii="Verdana" w:hAnsi="Verdana" w:cs="Arial"/>
            <w:color w:val="0563C1" w:themeColor="hyperlink"/>
            <w:u w:val="single"/>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0A24C817" w14:textId="77777777" w:rsidR="00E951C9" w:rsidRPr="00FF007A" w:rsidRDefault="00E951C9" w:rsidP="00E951C9">
      <w:pPr>
        <w:spacing w:after="120" w:line="276" w:lineRule="auto"/>
        <w:jc w:val="both"/>
        <w:rPr>
          <w:rFonts w:ascii="Verdana" w:eastAsia="Calibri" w:hAnsi="Verdana" w:cs="Times New Roman"/>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01CDFD0" w14:textId="77777777" w:rsidR="00E951C9" w:rsidRPr="00FF007A" w:rsidRDefault="00E951C9" w:rsidP="00E951C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2EC31704" w14:textId="77777777" w:rsidR="00E951C9" w:rsidRPr="00FF007A" w:rsidRDefault="00E951C9" w:rsidP="00E951C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0D56AFE0" w14:textId="77777777" w:rsidR="00E951C9" w:rsidRPr="00FF007A" w:rsidRDefault="00E951C9" w:rsidP="00E951C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51A5D96C" w14:textId="77777777" w:rsidR="00E951C9" w:rsidRPr="00FF007A" w:rsidRDefault="00E951C9" w:rsidP="00E951C9">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2" w:history="1">
        <w:r w:rsidRPr="00FF007A">
          <w:rPr>
            <w:rStyle w:val="Hipervnculo"/>
            <w:rFonts w:ascii="Verdana" w:hAnsi="Verdana"/>
            <w:lang w:val="es-CO"/>
          </w:rPr>
          <w:t>www.colombiacompra.gov.co</w:t>
        </w:r>
      </w:hyperlink>
    </w:p>
    <w:p w14:paraId="6292F526" w14:textId="77777777" w:rsidR="00E951C9" w:rsidRPr="00FF007A" w:rsidRDefault="00E951C9" w:rsidP="00E951C9">
      <w:pPr>
        <w:spacing w:before="120"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3AD3A8BE" w14:textId="77777777" w:rsidR="00E951C9" w:rsidRPr="00FF007A" w:rsidRDefault="00E951C9" w:rsidP="00E951C9">
      <w:pPr>
        <w:spacing w:after="0" w:line="276" w:lineRule="auto"/>
        <w:jc w:val="both"/>
        <w:rPr>
          <w:rFonts w:ascii="Verdana" w:hAnsi="Verdana"/>
        </w:rPr>
      </w:pPr>
    </w:p>
    <w:p w14:paraId="64FD571D" w14:textId="77777777" w:rsidR="00E951C9" w:rsidRPr="00FF007A" w:rsidRDefault="00E951C9" w:rsidP="00E951C9">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6603E86C" w14:textId="77777777" w:rsidR="00E951C9" w:rsidRPr="00FF007A" w:rsidRDefault="00E951C9" w:rsidP="00E951C9">
      <w:pPr>
        <w:spacing w:after="0" w:line="276" w:lineRule="auto"/>
        <w:jc w:val="both"/>
        <w:rPr>
          <w:rFonts w:ascii="Verdana" w:hAnsi="Verdana"/>
        </w:rPr>
      </w:pPr>
      <w:r w:rsidRPr="00FF007A">
        <w:rPr>
          <w:rFonts w:ascii="Verdana" w:hAnsi="Verdana"/>
        </w:rPr>
        <w:t xml:space="preserve">Facebook: </w:t>
      </w:r>
      <w:r w:rsidRPr="00FF007A">
        <w:rPr>
          <w:rStyle w:val="Hipervnculo"/>
          <w:rFonts w:ascii="Verdana" w:hAnsi="Verdana"/>
        </w:rPr>
        <w:t>ColombiaCompraEficiente</w:t>
      </w:r>
    </w:p>
    <w:p w14:paraId="3EF85EDC" w14:textId="77777777" w:rsidR="00E951C9" w:rsidRPr="00FF007A" w:rsidRDefault="00E951C9" w:rsidP="00E951C9">
      <w:pPr>
        <w:spacing w:after="0" w:line="276" w:lineRule="auto"/>
        <w:jc w:val="both"/>
        <w:rPr>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595BFFC7" w14:textId="77777777" w:rsidR="00E951C9" w:rsidRDefault="00E951C9" w:rsidP="00E951C9">
      <w:pPr>
        <w:spacing w:before="120" w:after="0" w:line="276" w:lineRule="auto"/>
        <w:jc w:val="both"/>
        <w:rPr>
          <w:rFonts w:ascii="Verdana" w:hAnsi="Verdana"/>
        </w:rPr>
      </w:pPr>
    </w:p>
    <w:p w14:paraId="397057AD" w14:textId="77777777" w:rsidR="00E951C9" w:rsidRPr="00FF007A" w:rsidRDefault="00E951C9" w:rsidP="00E951C9">
      <w:pPr>
        <w:spacing w:before="120"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5E04E48" w14:textId="77777777" w:rsidR="00E951C9" w:rsidRPr="00FF007A" w:rsidRDefault="00E951C9" w:rsidP="00E951C9">
      <w:pPr>
        <w:spacing w:after="0" w:line="276" w:lineRule="auto"/>
        <w:jc w:val="both"/>
        <w:rPr>
          <w:rFonts w:ascii="Verdana" w:eastAsia="Calibri" w:hAnsi="Verdana" w:cs="Times New Roman"/>
        </w:rPr>
      </w:pPr>
    </w:p>
    <w:p w14:paraId="2927F01B" w14:textId="77777777" w:rsidR="00E951C9" w:rsidRPr="00FF007A" w:rsidRDefault="00E951C9" w:rsidP="00E951C9">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7C330E60" w14:textId="77777777" w:rsidR="00E951C9" w:rsidRDefault="00E951C9" w:rsidP="00E951C9"/>
    <w:p w14:paraId="4DBB7F85" w14:textId="193EC5BA" w:rsidR="00E951C9" w:rsidRPr="00764295" w:rsidRDefault="007B5381" w:rsidP="00E951C9">
      <w:pPr>
        <w:spacing w:line="276" w:lineRule="auto"/>
        <w:jc w:val="center"/>
        <w:rPr>
          <w:rFonts w:ascii="Verdana" w:hAnsi="Verdana" w:cs="Arial"/>
          <w:color w:val="000000"/>
          <w:lang w:eastAsia="es-CO"/>
        </w:rPr>
      </w:pPr>
      <w:r w:rsidRPr="002C3AD6">
        <w:rPr>
          <w:rFonts w:ascii="Century Gothic" w:hAnsi="Century Gothic"/>
          <w:noProof/>
        </w:rPr>
        <w:drawing>
          <wp:inline distT="0" distB="0" distL="0" distR="0" wp14:anchorId="183437D4" wp14:editId="264E8FE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951C9" w:rsidRPr="00764295" w14:paraId="4DEDDDF6" w14:textId="77777777" w:rsidTr="00874BD2">
        <w:trPr>
          <w:trHeight w:val="315"/>
        </w:trPr>
        <w:tc>
          <w:tcPr>
            <w:tcW w:w="893" w:type="dxa"/>
            <w:vAlign w:val="center"/>
            <w:hideMark/>
          </w:tcPr>
          <w:p w14:paraId="2D17FAE4" w14:textId="77777777" w:rsidR="00E951C9" w:rsidRPr="00764295" w:rsidRDefault="00E951C9" w:rsidP="00874BD2">
            <w:pPr>
              <w:contextualSpacing/>
              <w:rPr>
                <w:rFonts w:ascii="Verdana" w:hAnsi="Verdana" w:cs="Arial"/>
                <w:sz w:val="16"/>
                <w:szCs w:val="16"/>
                <w:lang w:eastAsia="es-ES"/>
              </w:rPr>
            </w:pPr>
            <w:r w:rsidRPr="00764295">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C00D40C" w14:textId="77777777" w:rsidR="00E951C9" w:rsidRPr="00764295" w:rsidRDefault="00E951C9" w:rsidP="00874BD2">
            <w:pPr>
              <w:contextualSpacing/>
              <w:rPr>
                <w:rFonts w:ascii="Verdana" w:hAnsi="Verdana"/>
                <w:sz w:val="16"/>
                <w:szCs w:val="16"/>
              </w:rPr>
            </w:pPr>
            <w:r w:rsidRPr="00764295">
              <w:rPr>
                <w:rFonts w:ascii="Verdana" w:hAnsi="Verdana"/>
                <w:sz w:val="16"/>
                <w:szCs w:val="16"/>
              </w:rPr>
              <w:t xml:space="preserve">Diana Carolina Blanco Rodriguez </w:t>
            </w:r>
          </w:p>
          <w:p w14:paraId="16D39452" w14:textId="77777777" w:rsidR="00E951C9" w:rsidRPr="00764295" w:rsidRDefault="00E951C9" w:rsidP="00874BD2">
            <w:pPr>
              <w:contextualSpacing/>
              <w:rPr>
                <w:rFonts w:ascii="Verdana" w:eastAsia="Arial" w:hAnsi="Verdana" w:cs="Arial"/>
                <w:sz w:val="16"/>
                <w:szCs w:val="16"/>
              </w:rPr>
            </w:pPr>
            <w:r w:rsidRPr="00764295">
              <w:rPr>
                <w:rFonts w:ascii="Verdana" w:hAnsi="Verdana"/>
                <w:sz w:val="16"/>
                <w:szCs w:val="16"/>
              </w:rPr>
              <w:t>Contratista de la Subdirección de Gestión Contractual</w:t>
            </w:r>
          </w:p>
        </w:tc>
      </w:tr>
      <w:tr w:rsidR="00E951C9" w:rsidRPr="00764295" w14:paraId="7D53A989" w14:textId="77777777" w:rsidTr="00874BD2">
        <w:trPr>
          <w:trHeight w:val="330"/>
        </w:trPr>
        <w:tc>
          <w:tcPr>
            <w:tcW w:w="893" w:type="dxa"/>
            <w:vAlign w:val="center"/>
            <w:hideMark/>
          </w:tcPr>
          <w:p w14:paraId="39690DD8" w14:textId="77777777" w:rsidR="00E951C9" w:rsidRPr="00764295" w:rsidRDefault="00E951C9" w:rsidP="00874BD2">
            <w:pPr>
              <w:contextualSpacing/>
              <w:rPr>
                <w:rFonts w:ascii="Verdana" w:hAnsi="Verdana" w:cs="Arial"/>
                <w:sz w:val="16"/>
                <w:szCs w:val="16"/>
                <w:lang w:eastAsia="es-ES"/>
              </w:rPr>
            </w:pPr>
            <w:r w:rsidRPr="00764295">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44EB64" w14:textId="77777777" w:rsidR="00E951C9" w:rsidRDefault="00E951C9" w:rsidP="00874BD2">
            <w:pPr>
              <w:contextualSpacing/>
              <w:textAlignment w:val="baseline"/>
              <w:rPr>
                <w:rFonts w:ascii="Verdana" w:eastAsia="Times New Roman" w:hAnsi="Verdana" w:cs="Arial"/>
                <w:sz w:val="16"/>
                <w:szCs w:val="16"/>
                <w:lang w:eastAsia="es-ES_tradnl"/>
              </w:rPr>
            </w:pPr>
            <w:r>
              <w:rPr>
                <w:rFonts w:ascii="Verdana" w:eastAsia="Times New Roman" w:hAnsi="Verdana" w:cs="Arial"/>
                <w:sz w:val="16"/>
                <w:szCs w:val="16"/>
                <w:lang w:eastAsia="es-ES_tradnl"/>
              </w:rPr>
              <w:t>Juan Carlos González Vásquez</w:t>
            </w:r>
          </w:p>
          <w:p w14:paraId="05071F97" w14:textId="77777777" w:rsidR="00E951C9" w:rsidRPr="00764295" w:rsidRDefault="00E951C9" w:rsidP="00874BD2">
            <w:pPr>
              <w:contextualSpacing/>
              <w:textAlignment w:val="baseline"/>
              <w:rPr>
                <w:rFonts w:ascii="Verdana" w:hAnsi="Verdana"/>
                <w:sz w:val="16"/>
                <w:szCs w:val="16"/>
              </w:rPr>
            </w:pPr>
            <w:r w:rsidRPr="00764295">
              <w:rPr>
                <w:rFonts w:ascii="Verdana" w:hAnsi="Verdana"/>
                <w:sz w:val="16"/>
                <w:szCs w:val="16"/>
              </w:rPr>
              <w:t>Contratista de la Subdirección de Gestión Contractual</w:t>
            </w:r>
            <w:r w:rsidRPr="00764295">
              <w:rPr>
                <w:rFonts w:ascii="Verdana" w:eastAsia="Times New Roman" w:hAnsi="Verdana" w:cs="Arial"/>
                <w:sz w:val="16"/>
                <w:szCs w:val="16"/>
                <w:lang w:eastAsia="es-ES_tradnl"/>
              </w:rPr>
              <w:t> </w:t>
            </w:r>
          </w:p>
        </w:tc>
      </w:tr>
      <w:tr w:rsidR="00E951C9" w:rsidRPr="00764295" w14:paraId="5988E6A6" w14:textId="77777777" w:rsidTr="00874BD2">
        <w:trPr>
          <w:trHeight w:val="300"/>
        </w:trPr>
        <w:tc>
          <w:tcPr>
            <w:tcW w:w="893" w:type="dxa"/>
            <w:vAlign w:val="center"/>
          </w:tcPr>
          <w:p w14:paraId="0D9BEA21" w14:textId="77777777" w:rsidR="00E951C9" w:rsidRPr="00764295" w:rsidRDefault="00E951C9" w:rsidP="00874BD2">
            <w:pPr>
              <w:contextualSpacing/>
              <w:rPr>
                <w:rFonts w:ascii="Verdana" w:hAnsi="Verdana" w:cs="Arial"/>
                <w:sz w:val="16"/>
                <w:szCs w:val="16"/>
                <w:lang w:eastAsia="es-ES"/>
              </w:rPr>
            </w:pPr>
            <w:r w:rsidRPr="00764295">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171A31F" w14:textId="77777777" w:rsidR="00E951C9" w:rsidRPr="00764295" w:rsidRDefault="00E951C9" w:rsidP="00874BD2">
            <w:pPr>
              <w:contextualSpacing/>
              <w:rPr>
                <w:rFonts w:ascii="Verdana" w:eastAsia="Calibri" w:hAnsi="Verdana" w:cs="Arial"/>
                <w:sz w:val="16"/>
                <w:szCs w:val="16"/>
                <w:lang w:eastAsia="es-ES"/>
              </w:rPr>
            </w:pPr>
            <w:r w:rsidRPr="00764295">
              <w:rPr>
                <w:rFonts w:ascii="Verdana" w:eastAsia="Calibri" w:hAnsi="Verdana" w:cs="Arial"/>
                <w:sz w:val="16"/>
                <w:szCs w:val="16"/>
                <w:lang w:eastAsia="es-ES"/>
              </w:rPr>
              <w:t>Carolina Quintero Gacharná</w:t>
            </w:r>
          </w:p>
          <w:p w14:paraId="6F8B9967" w14:textId="77777777" w:rsidR="00E951C9" w:rsidRPr="00764295" w:rsidRDefault="00E951C9" w:rsidP="00874BD2">
            <w:pPr>
              <w:contextualSpacing/>
              <w:rPr>
                <w:rFonts w:ascii="Verdana" w:eastAsia="Calibri" w:hAnsi="Verdana" w:cs="Arial"/>
                <w:sz w:val="16"/>
                <w:szCs w:val="16"/>
                <w:lang w:eastAsia="es-ES"/>
              </w:rPr>
            </w:pPr>
            <w:r w:rsidRPr="00764295">
              <w:rPr>
                <w:rFonts w:ascii="Verdana" w:eastAsia="Calibri" w:hAnsi="Verdana" w:cs="Arial"/>
                <w:sz w:val="16"/>
                <w:szCs w:val="16"/>
                <w:lang w:eastAsia="es-ES"/>
              </w:rPr>
              <w:t>Subdirectora de Gestión Contractual ANCP – CCE</w:t>
            </w:r>
          </w:p>
        </w:tc>
      </w:tr>
    </w:tbl>
    <w:p w14:paraId="74054D3C" w14:textId="77777777" w:rsidR="00E951C9" w:rsidRPr="00DA731C" w:rsidRDefault="00E951C9" w:rsidP="00E951C9"/>
    <w:p w14:paraId="0A70FC53" w14:textId="77777777" w:rsidR="00E951C9" w:rsidRPr="00A435F9" w:rsidRDefault="00E951C9" w:rsidP="00E951C9"/>
    <w:p w14:paraId="66E32F41" w14:textId="77777777" w:rsidR="004E7474" w:rsidRDefault="004E7474" w:rsidP="004E7474">
      <w:pPr>
        <w:spacing w:after="0" w:line="240" w:lineRule="auto"/>
        <w:jc w:val="both"/>
        <w:rPr>
          <w:rFonts w:ascii="Verdana" w:eastAsia="Calibri" w:hAnsi="Verdana" w:cs="Arial"/>
          <w:color w:val="000000"/>
          <w:lang w:val="es-ES_tradnl" w:eastAsia="es-ES_tradnl"/>
        </w:rPr>
      </w:pPr>
    </w:p>
    <w:sectPr w:rsidR="004E7474"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E5542" w14:textId="77777777" w:rsidR="0011586C" w:rsidRDefault="0011586C" w:rsidP="004A1847">
      <w:pPr>
        <w:spacing w:after="0" w:line="240" w:lineRule="auto"/>
      </w:pPr>
      <w:r>
        <w:separator/>
      </w:r>
    </w:p>
  </w:endnote>
  <w:endnote w:type="continuationSeparator" w:id="0">
    <w:p w14:paraId="289AF330" w14:textId="77777777" w:rsidR="0011586C" w:rsidRDefault="0011586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F128A" w14:textId="77777777" w:rsidR="0011586C" w:rsidRDefault="0011586C" w:rsidP="004A1847">
      <w:pPr>
        <w:spacing w:after="0" w:line="240" w:lineRule="auto"/>
      </w:pPr>
      <w:r>
        <w:separator/>
      </w:r>
    </w:p>
  </w:footnote>
  <w:footnote w:type="continuationSeparator" w:id="0">
    <w:p w14:paraId="6A7F491B" w14:textId="77777777" w:rsidR="0011586C" w:rsidRDefault="0011586C" w:rsidP="004A1847">
      <w:pPr>
        <w:spacing w:after="0" w:line="240" w:lineRule="auto"/>
      </w:pPr>
      <w:r>
        <w:continuationSeparator/>
      </w:r>
    </w:p>
  </w:footnote>
  <w:footnote w:id="1">
    <w:p w14:paraId="6D69AAFF" w14:textId="77777777" w:rsidR="00F90661" w:rsidRPr="00C05384" w:rsidRDefault="00F90661" w:rsidP="00F90661">
      <w:pPr>
        <w:pStyle w:val="Textonotapie"/>
        <w:ind w:firstLine="709"/>
        <w:jc w:val="both"/>
        <w:rPr>
          <w:rFonts w:ascii="Verdana" w:hAnsi="Verdana" w:cs="Arial"/>
          <w:sz w:val="16"/>
          <w:szCs w:val="16"/>
        </w:rPr>
      </w:pPr>
    </w:p>
    <w:p w14:paraId="09D1E536" w14:textId="77777777" w:rsidR="00F90661" w:rsidRPr="00C05384" w:rsidRDefault="00F90661" w:rsidP="00F90661">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545303BC" w14:textId="77777777" w:rsidR="00F90661" w:rsidRPr="00C05384" w:rsidRDefault="00F90661" w:rsidP="00F90661">
      <w:pPr>
        <w:pStyle w:val="Textonotapie"/>
        <w:ind w:firstLine="709"/>
        <w:jc w:val="both"/>
        <w:rPr>
          <w:rFonts w:ascii="Verdana" w:hAnsi="Verdana" w:cs="Arial"/>
          <w:sz w:val="16"/>
          <w:szCs w:val="16"/>
        </w:rPr>
      </w:pPr>
    </w:p>
  </w:footnote>
  <w:footnote w:id="2">
    <w:p w14:paraId="271120C8" w14:textId="77777777" w:rsidR="00E951C9" w:rsidRPr="0016660C" w:rsidRDefault="00E951C9" w:rsidP="00E951C9">
      <w:pPr>
        <w:pStyle w:val="Textonotapie"/>
        <w:ind w:firstLine="708"/>
        <w:contextualSpacing/>
        <w:jc w:val="both"/>
        <w:rPr>
          <w:rFonts w:ascii="Verdana" w:hAnsi="Verdana" w:cs="Arial"/>
          <w:sz w:val="16"/>
          <w:szCs w:val="16"/>
        </w:rPr>
      </w:pPr>
    </w:p>
  </w:footnote>
  <w:footnote w:id="3">
    <w:p w14:paraId="5723514D" w14:textId="77777777" w:rsidR="00E951C9" w:rsidRPr="00FF007A" w:rsidRDefault="00E951C9" w:rsidP="00E951C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0F2DD1B" w14:textId="77777777" w:rsidR="00E951C9" w:rsidRPr="00FF007A" w:rsidRDefault="00E951C9" w:rsidP="00E951C9">
      <w:pPr>
        <w:pStyle w:val="Textonotapie"/>
        <w:ind w:firstLine="709"/>
        <w:contextualSpacing/>
        <w:jc w:val="both"/>
        <w:rPr>
          <w:rFonts w:ascii="Verdana" w:hAnsi="Verdana" w:cs="Arial"/>
          <w:sz w:val="16"/>
          <w:szCs w:val="16"/>
          <w:lang w:val="es-CO"/>
        </w:rPr>
      </w:pPr>
      <w:r w:rsidRPr="00FF007A">
        <w:rPr>
          <w:rFonts w:ascii="Verdana" w:hAnsi="Verdana" w:cs="Arial"/>
          <w:sz w:val="16"/>
          <w:szCs w:val="16"/>
          <w:lang w:val="es-CO"/>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018F807" w14:textId="77777777" w:rsidR="00E951C9" w:rsidRPr="00FF007A" w:rsidRDefault="00E951C9" w:rsidP="00E951C9">
      <w:pPr>
        <w:pStyle w:val="Textonotapie"/>
        <w:ind w:firstLine="709"/>
        <w:contextualSpacing/>
        <w:jc w:val="both"/>
        <w:rPr>
          <w:rFonts w:ascii="Verdana" w:hAnsi="Verdana" w:cs="Arial"/>
          <w:sz w:val="16"/>
          <w:szCs w:val="16"/>
          <w:lang w:val="es-CO"/>
        </w:rPr>
      </w:pPr>
    </w:p>
  </w:footnote>
  <w:footnote w:id="4">
    <w:p w14:paraId="58EFE641" w14:textId="77777777" w:rsidR="00E951C9" w:rsidRPr="00FF007A" w:rsidRDefault="00E951C9" w:rsidP="00E951C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Gaceta del Congreso de la República No. 71 del 2005.</w:t>
      </w:r>
    </w:p>
    <w:p w14:paraId="06613C6B" w14:textId="77777777" w:rsidR="00E951C9" w:rsidRPr="00FF007A" w:rsidRDefault="00E951C9" w:rsidP="00E951C9">
      <w:pPr>
        <w:pStyle w:val="Textonotapie"/>
        <w:ind w:firstLine="709"/>
        <w:contextualSpacing/>
        <w:jc w:val="both"/>
        <w:rPr>
          <w:rFonts w:ascii="Verdana" w:hAnsi="Verdana" w:cs="Arial"/>
          <w:sz w:val="16"/>
          <w:szCs w:val="16"/>
          <w:lang w:val="es-CO"/>
        </w:rPr>
      </w:pPr>
    </w:p>
  </w:footnote>
  <w:footnote w:id="5">
    <w:p w14:paraId="5B57984E" w14:textId="77777777" w:rsidR="00E951C9" w:rsidRPr="00084D6B" w:rsidRDefault="00E951C9" w:rsidP="00E951C9">
      <w:pPr>
        <w:pStyle w:val="Textonotapie"/>
        <w:ind w:firstLine="709"/>
        <w:contextualSpacing/>
        <w:jc w:val="both"/>
        <w:rPr>
          <w:rFonts w:ascii="Verdana" w:hAnsi="Verdana" w:cs="Arial"/>
          <w:sz w:val="16"/>
          <w:szCs w:val="16"/>
          <w:lang w:val="pt-BR"/>
        </w:rPr>
      </w:pPr>
      <w:r w:rsidRPr="00FF007A">
        <w:rPr>
          <w:rStyle w:val="Refdenotaalpie"/>
          <w:rFonts w:ascii="Verdana" w:hAnsi="Verdana" w:cs="Arial"/>
          <w:sz w:val="16"/>
          <w:szCs w:val="16"/>
          <w:lang w:val="es-CO"/>
        </w:rPr>
        <w:footnoteRef/>
      </w:r>
      <w:r w:rsidRPr="00084D6B">
        <w:rPr>
          <w:rFonts w:ascii="Verdana" w:hAnsi="Verdana" w:cs="Arial"/>
          <w:sz w:val="16"/>
          <w:szCs w:val="16"/>
          <w:lang w:val="pt-BR"/>
        </w:rPr>
        <w:t xml:space="preserve"> Corte Constitucional. Sentencia C- 1153 de 2005. M.P: Marco Gerardo Monroy Cabra.</w:t>
      </w:r>
    </w:p>
  </w:footnote>
  <w:footnote w:id="6">
    <w:p w14:paraId="4A7AD475" w14:textId="77777777" w:rsidR="00E951C9" w:rsidRPr="00084D6B" w:rsidRDefault="00E951C9" w:rsidP="00E951C9">
      <w:pPr>
        <w:pStyle w:val="Textonotapie"/>
        <w:ind w:firstLine="709"/>
        <w:contextualSpacing/>
        <w:jc w:val="both"/>
        <w:rPr>
          <w:rFonts w:ascii="Verdana" w:hAnsi="Verdana" w:cs="Arial"/>
          <w:sz w:val="16"/>
          <w:szCs w:val="16"/>
          <w:lang w:val="pt-BR"/>
        </w:rPr>
      </w:pPr>
      <w:r w:rsidRPr="00F3158D">
        <w:rPr>
          <w:rStyle w:val="Refdenotaalpie"/>
          <w:rFonts w:ascii="Verdana" w:hAnsi="Verdana" w:cs="Arial"/>
          <w:sz w:val="16"/>
          <w:szCs w:val="16"/>
          <w:lang w:val="es-CO"/>
        </w:rPr>
        <w:footnoteRef/>
      </w:r>
      <w:r w:rsidRPr="00084D6B">
        <w:rPr>
          <w:rFonts w:ascii="Verdana" w:hAnsi="Verdana" w:cs="Arial"/>
          <w:sz w:val="16"/>
          <w:szCs w:val="16"/>
          <w:lang w:val="pt-BR"/>
        </w:rPr>
        <w:t xml:space="preserve"> Corte Constitucional. Sentencias: C-233 de 4 de abril de 2002, M.P: Álvaro Tafur Galvis. C-551 de 9 de julio de 2003. M.P: Eduardo Montealegre Lynett. C-652 de 5 de agosto de 2003. M.P: Jaime Córdoba Triviño. Sentencia C-353 de 20 de mayo de 2009. M.P: Jorge Iván Palacio Palacio. C-541 de 30 de junio de 2010, M.P: Gabriel Eduardo Mendoza Martelo.</w:t>
      </w:r>
    </w:p>
    <w:p w14:paraId="65356A76" w14:textId="77777777" w:rsidR="00E951C9" w:rsidRPr="00084D6B" w:rsidRDefault="00E951C9" w:rsidP="00E951C9">
      <w:pPr>
        <w:pStyle w:val="Textonotapie"/>
        <w:ind w:firstLine="709"/>
        <w:contextualSpacing/>
        <w:jc w:val="both"/>
        <w:rPr>
          <w:rFonts w:ascii="Verdana" w:hAnsi="Verdana" w:cs="Arial"/>
          <w:sz w:val="16"/>
          <w:szCs w:val="16"/>
          <w:lang w:val="pt-BR"/>
        </w:rPr>
      </w:pPr>
    </w:p>
  </w:footnote>
  <w:footnote w:id="7">
    <w:p w14:paraId="4D422887" w14:textId="77777777" w:rsidR="00E951C9" w:rsidRPr="00084D6B" w:rsidRDefault="00E951C9" w:rsidP="00E951C9">
      <w:pPr>
        <w:pStyle w:val="Textonotapie"/>
        <w:ind w:firstLine="709"/>
        <w:contextualSpacing/>
        <w:jc w:val="both"/>
        <w:rPr>
          <w:rFonts w:ascii="Verdana" w:hAnsi="Verdana" w:cs="Arial"/>
          <w:sz w:val="16"/>
          <w:szCs w:val="16"/>
          <w:lang w:val="pt-BR"/>
        </w:rPr>
      </w:pPr>
      <w:r w:rsidRPr="00FF007A">
        <w:rPr>
          <w:rStyle w:val="Refdenotaalpie"/>
          <w:rFonts w:ascii="Verdana" w:hAnsi="Verdana" w:cs="Arial"/>
          <w:sz w:val="16"/>
          <w:szCs w:val="16"/>
          <w:lang w:val="es-CO"/>
        </w:rPr>
        <w:footnoteRef/>
      </w:r>
      <w:r w:rsidRPr="00084D6B">
        <w:rPr>
          <w:rFonts w:ascii="Verdana" w:hAnsi="Verdana" w:cs="Arial"/>
          <w:sz w:val="16"/>
          <w:szCs w:val="16"/>
          <w:lang w:val="pt-BR"/>
        </w:rPr>
        <w:t xml:space="preserve"> Consejo de Estado. Sala de lo Contencioso Administrativo. Sección Primera. Sentencia de 3 de marzo de 2005, Radicado: 25001-23-15-000-2004-00823-01 (PI). C.P: Camilo Arciniegas Andrade.</w:t>
      </w:r>
    </w:p>
    <w:p w14:paraId="7E199FF3" w14:textId="77777777" w:rsidR="00E951C9" w:rsidRPr="00084D6B" w:rsidRDefault="00E951C9" w:rsidP="00E951C9">
      <w:pPr>
        <w:pStyle w:val="Textonotapie"/>
        <w:ind w:firstLine="709"/>
        <w:contextualSpacing/>
        <w:jc w:val="both"/>
        <w:rPr>
          <w:rFonts w:ascii="Verdana" w:hAnsi="Verdana" w:cs="Arial"/>
          <w:sz w:val="16"/>
          <w:szCs w:val="16"/>
          <w:lang w:val="pt-BR"/>
        </w:rPr>
      </w:pPr>
    </w:p>
  </w:footnote>
  <w:footnote w:id="8">
    <w:p w14:paraId="381A3679" w14:textId="77777777" w:rsidR="00E951C9" w:rsidRPr="00FF007A" w:rsidRDefault="00E951C9" w:rsidP="00E951C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084D6B">
        <w:rPr>
          <w:rFonts w:ascii="Verdana" w:hAnsi="Verdana" w:cs="Arial"/>
          <w:sz w:val="16"/>
          <w:szCs w:val="16"/>
          <w:lang w:val="pt-BR"/>
        </w:rPr>
        <w:t xml:space="preserve"> Consejo de Estado, Sala de Consulta y Servicio Civil de fecha 24 de julio de 2013. </w:t>
      </w:r>
      <w:r>
        <w:rPr>
          <w:rFonts w:ascii="Verdana" w:hAnsi="Verdana" w:cs="Arial"/>
          <w:sz w:val="16"/>
          <w:szCs w:val="16"/>
          <w:lang w:val="es-CO"/>
        </w:rPr>
        <w:t xml:space="preserve">Radicado: </w:t>
      </w:r>
      <w:r w:rsidRPr="005F28C0">
        <w:rPr>
          <w:rFonts w:ascii="Verdana" w:hAnsi="Verdana" w:cs="Arial"/>
          <w:sz w:val="16"/>
          <w:szCs w:val="16"/>
          <w:lang w:val="es-CO"/>
        </w:rPr>
        <w:t xml:space="preserve">Radicado: 11001-03-06-000-2013-00407-00 </w:t>
      </w:r>
      <w:r>
        <w:rPr>
          <w:rFonts w:ascii="Verdana" w:hAnsi="Verdana" w:cs="Arial"/>
          <w:sz w:val="16"/>
          <w:szCs w:val="16"/>
          <w:lang w:val="es-CO"/>
        </w:rPr>
        <w:t>(2166).</w:t>
      </w:r>
      <w:r w:rsidRPr="00FF007A">
        <w:rPr>
          <w:rFonts w:ascii="Verdana" w:hAnsi="Verdana" w:cs="Arial"/>
          <w:sz w:val="16"/>
          <w:szCs w:val="16"/>
          <w:lang w:val="es-CO"/>
        </w:rPr>
        <w:t xml:space="preserve"> C.P</w:t>
      </w:r>
      <w:r>
        <w:rPr>
          <w:rFonts w:ascii="Verdana" w:hAnsi="Verdana" w:cs="Arial"/>
          <w:sz w:val="16"/>
          <w:szCs w:val="16"/>
          <w:lang w:val="es-CO"/>
        </w:rPr>
        <w:t>:</w:t>
      </w:r>
      <w:r w:rsidRPr="00FF007A">
        <w:rPr>
          <w:rFonts w:ascii="Verdana" w:hAnsi="Verdana" w:cs="Arial"/>
          <w:sz w:val="16"/>
          <w:szCs w:val="16"/>
          <w:lang w:val="es-CO"/>
        </w:rPr>
        <w:t xml:space="preserve"> Álvaro Namén Vargas.  </w:t>
      </w:r>
    </w:p>
  </w:footnote>
  <w:footnote w:id="9">
    <w:p w14:paraId="60A889E9" w14:textId="77777777" w:rsidR="00E951C9" w:rsidRPr="00FF007A" w:rsidRDefault="00E951C9" w:rsidP="00E951C9">
      <w:pPr>
        <w:spacing w:after="0" w:line="240" w:lineRule="auto"/>
        <w:ind w:firstLine="709"/>
        <w:contextualSpacing/>
        <w:jc w:val="both"/>
        <w:rPr>
          <w:rFonts w:ascii="Verdana" w:eastAsia="Times New Roman"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CBF9433" w14:textId="77777777" w:rsidR="00E951C9" w:rsidRPr="00FF007A" w:rsidRDefault="00E951C9" w:rsidP="00E951C9">
      <w:pPr>
        <w:spacing w:after="0" w:line="240" w:lineRule="auto"/>
        <w:ind w:firstLine="709"/>
        <w:contextualSpacing/>
        <w:jc w:val="both"/>
        <w:rPr>
          <w:rFonts w:ascii="Verdana" w:eastAsia="Times New Roman" w:hAnsi="Verdana" w:cs="Arial"/>
          <w:sz w:val="16"/>
          <w:szCs w:val="16"/>
        </w:rPr>
      </w:pPr>
      <w:r w:rsidRPr="00FF007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F007A">
        <w:rPr>
          <w:rFonts w:ascii="Verdana" w:eastAsia="Calibri" w:hAnsi="Verdana" w:cs="Arial"/>
          <w:color w:val="000000"/>
          <w:sz w:val="16"/>
          <w:szCs w:val="16"/>
        </w:rPr>
        <w:t>”</w:t>
      </w:r>
      <w:r w:rsidRPr="00FF007A">
        <w:rPr>
          <w:rFonts w:ascii="Verdana" w:eastAsia="Times New Roman" w:hAnsi="Verdana" w:cs="Arial"/>
          <w:sz w:val="16"/>
          <w:szCs w:val="16"/>
        </w:rPr>
        <w:t>.</w:t>
      </w:r>
    </w:p>
    <w:p w14:paraId="1CA5393A" w14:textId="77777777" w:rsidR="00E951C9" w:rsidRPr="00FF007A" w:rsidRDefault="00E951C9" w:rsidP="00E951C9">
      <w:pPr>
        <w:spacing w:after="0" w:line="240" w:lineRule="auto"/>
        <w:ind w:firstLine="709"/>
        <w:contextualSpacing/>
        <w:jc w:val="both"/>
        <w:rPr>
          <w:rFonts w:ascii="Verdana" w:eastAsia="Times New Roman" w:hAnsi="Verdana" w:cs="Arial"/>
          <w:sz w:val="16"/>
          <w:szCs w:val="16"/>
        </w:rPr>
      </w:pPr>
    </w:p>
  </w:footnote>
  <w:footnote w:id="10">
    <w:p w14:paraId="0991319A" w14:textId="77777777" w:rsidR="00E951C9" w:rsidRPr="00FF007A" w:rsidRDefault="00E951C9" w:rsidP="00E951C9">
      <w:pPr>
        <w:pStyle w:val="NormalWeb"/>
        <w:spacing w:before="0" w:beforeAutospacing="0" w:after="0" w:afterAutospacing="0"/>
        <w:ind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w:t>
      </w:r>
      <w:r w:rsidRPr="00FF007A">
        <w:rPr>
          <w:rFonts w:ascii="Verdana" w:eastAsia="Calibri" w:hAnsi="Verdana" w:cs="Arial"/>
          <w:color w:val="000000"/>
          <w:sz w:val="16"/>
          <w:szCs w:val="16"/>
        </w:rPr>
        <w:t>“</w:t>
      </w:r>
      <w:r w:rsidRPr="00FF007A">
        <w:rPr>
          <w:rFonts w:ascii="Verdana" w:hAnsi="Verdana" w:cs="Arial"/>
          <w:sz w:val="16"/>
          <w:szCs w:val="16"/>
        </w:rPr>
        <w:t>Artículo 38. Prohibiciones para los servidores públicos. A los empleados del Estado les está prohibido: […]</w:t>
      </w:r>
    </w:p>
    <w:p w14:paraId="22289805" w14:textId="77777777" w:rsidR="00E951C9" w:rsidRPr="00FF007A" w:rsidRDefault="00E951C9" w:rsidP="00E951C9">
      <w:pPr>
        <w:pStyle w:val="NormalWeb"/>
        <w:spacing w:before="0" w:beforeAutospacing="0" w:after="0" w:afterAutospacing="0"/>
        <w:ind w:firstLine="709"/>
        <w:contextualSpacing/>
        <w:jc w:val="both"/>
        <w:rPr>
          <w:rFonts w:ascii="Verdana" w:hAnsi="Verdana" w:cs="Arial"/>
          <w:sz w:val="16"/>
          <w:szCs w:val="16"/>
        </w:rPr>
      </w:pPr>
      <w:r w:rsidRPr="00FF007A">
        <w:rPr>
          <w:rStyle w:val="baj"/>
          <w:rFonts w:ascii="Verdana" w:hAnsi="Verdana" w:cs="Arial"/>
          <w:sz w:val="16"/>
          <w:szCs w:val="16"/>
        </w:rPr>
        <w:t>Parágrafo.</w:t>
      </w:r>
      <w:r w:rsidRPr="00FF007A">
        <w:rPr>
          <w:rFonts w:ascii="Verdana" w:hAnsi="Verdana" w:cs="Arial"/>
          <w:sz w:val="16"/>
          <w:szCs w:val="16"/>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Calibri" w:hAnsi="Verdana" w:cs="Arial"/>
          <w:color w:val="000000"/>
          <w:sz w:val="16"/>
          <w:szCs w:val="16"/>
        </w:rPr>
        <w:t>”</w:t>
      </w:r>
      <w:r w:rsidRPr="00FF007A">
        <w:rPr>
          <w:rFonts w:ascii="Verdana" w:hAnsi="Verdana" w:cs="Arial"/>
          <w:sz w:val="16"/>
          <w:szCs w:val="16"/>
        </w:rPr>
        <w:t>.</w:t>
      </w:r>
    </w:p>
  </w:footnote>
  <w:footnote w:id="11">
    <w:p w14:paraId="0A5CBEB4" w14:textId="77777777" w:rsidR="00E951C9" w:rsidRPr="00FF007A" w:rsidRDefault="00E951C9" w:rsidP="00E951C9">
      <w:pPr>
        <w:spacing w:after="0" w:line="240" w:lineRule="auto"/>
        <w:ind w:left="100" w:right="244" w:firstLine="709"/>
        <w:contextualSpacing/>
        <w:jc w:val="both"/>
        <w:rPr>
          <w:rFonts w:ascii="Verdana" w:hAnsi="Verdana" w:cs="Arial"/>
          <w:sz w:val="16"/>
          <w:szCs w:val="16"/>
        </w:rPr>
      </w:pPr>
      <w:r w:rsidRPr="00FF007A">
        <w:rPr>
          <w:rStyle w:val="Refdenotaalpie"/>
          <w:rFonts w:ascii="Verdana" w:hAnsi="Verdana" w:cs="Arial"/>
          <w:sz w:val="16"/>
          <w:szCs w:val="16"/>
        </w:rPr>
        <w:footnoteRef/>
      </w:r>
      <w:r w:rsidRPr="00FF007A">
        <w:rPr>
          <w:rFonts w:ascii="Verdana" w:hAnsi="Verdana" w:cs="Arial"/>
          <w:sz w:val="16"/>
          <w:szCs w:val="16"/>
        </w:rPr>
        <w:t xml:space="preserve"> Consejo de Estado. Sala de Consulta y Servicio Civil. Concepto del 17 de febrero de 2015. Radicación No. 11001-03-06-000-2015-00164-00 (2269) C.P: William Zambrano Cetina.</w:t>
      </w:r>
    </w:p>
  </w:footnote>
  <w:footnote w:id="12">
    <w:p w14:paraId="230CAC6D" w14:textId="77777777" w:rsidR="00E951C9" w:rsidRPr="00FF007A" w:rsidRDefault="00E951C9" w:rsidP="00E951C9">
      <w:pPr>
        <w:pStyle w:val="Textonotapie"/>
        <w:ind w:right="51"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“[26] Al respecto ver el concepto 1712 de 2 de febrero de 2006. Consejo de Estado Sala de Consulta y Servicio Civil”.</w:t>
      </w:r>
    </w:p>
    <w:p w14:paraId="383F8B71" w14:textId="77777777" w:rsidR="00E951C9" w:rsidRPr="00FF007A" w:rsidRDefault="00E951C9" w:rsidP="00E951C9">
      <w:pPr>
        <w:pStyle w:val="Textonotapie"/>
        <w:ind w:right="51" w:firstLine="709"/>
        <w:contextualSpacing/>
        <w:jc w:val="both"/>
        <w:rPr>
          <w:rFonts w:ascii="Verdana" w:hAnsi="Verdana" w:cs="Arial"/>
          <w:sz w:val="16"/>
          <w:szCs w:val="16"/>
          <w:lang w:val="es-CO"/>
        </w:rPr>
      </w:pPr>
    </w:p>
  </w:footnote>
  <w:footnote w:id="13">
    <w:p w14:paraId="78D55094" w14:textId="77777777" w:rsidR="00E951C9" w:rsidRDefault="00E951C9" w:rsidP="00E951C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Consejo de Estado. Sala de Consulta y Servicio Civil. Concepto del 2 de septiembre de 2013. Radicación número: 11001-03-06-000-2013-00412-00 (2168). Consejero Ponente: Álvaro Namén Vargas.</w:t>
      </w:r>
    </w:p>
    <w:p w14:paraId="2A813880" w14:textId="77777777" w:rsidR="00E951C9" w:rsidRPr="00FF007A" w:rsidRDefault="00E951C9" w:rsidP="00E951C9">
      <w:pPr>
        <w:pStyle w:val="Textonotapie"/>
        <w:ind w:firstLine="709"/>
        <w:contextualSpacing/>
        <w:jc w:val="both"/>
        <w:rPr>
          <w:rFonts w:ascii="Verdana" w:hAnsi="Verdana" w:cs="Arial"/>
          <w:sz w:val="16"/>
          <w:szCs w:val="16"/>
          <w:lang w:val="es-CO"/>
        </w:rPr>
      </w:pPr>
    </w:p>
  </w:footnote>
  <w:footnote w:id="14">
    <w:p w14:paraId="3A614E5B" w14:textId="77777777" w:rsidR="00E951C9" w:rsidRDefault="00E951C9" w:rsidP="00E951C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Artículo 2. </w:t>
      </w:r>
    </w:p>
    <w:p w14:paraId="4207DA51" w14:textId="77777777" w:rsidR="00E951C9" w:rsidRPr="00FF007A" w:rsidRDefault="00E951C9" w:rsidP="00E951C9">
      <w:pPr>
        <w:pStyle w:val="Textonotapie"/>
        <w:ind w:firstLine="709"/>
        <w:contextualSpacing/>
        <w:jc w:val="both"/>
        <w:rPr>
          <w:rFonts w:ascii="Verdana" w:hAnsi="Verdana" w:cs="Arial"/>
          <w:sz w:val="16"/>
          <w:szCs w:val="16"/>
          <w:lang w:val="es-CO"/>
        </w:rPr>
      </w:pPr>
    </w:p>
  </w:footnote>
  <w:footnote w:id="15">
    <w:p w14:paraId="424F266C" w14:textId="77777777" w:rsidR="00E951C9" w:rsidRDefault="00E951C9" w:rsidP="00E951C9">
      <w:pPr>
        <w:pStyle w:val="Textonotapie"/>
        <w:ind w:firstLine="709"/>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w:t>
      </w:r>
      <w:r w:rsidRPr="00FF007A">
        <w:rPr>
          <w:rFonts w:ascii="Verdana" w:hAnsi="Verdana" w:cs="Arial"/>
          <w:i/>
          <w:sz w:val="16"/>
          <w:szCs w:val="16"/>
          <w:lang w:val="es-CO"/>
        </w:rPr>
        <w:t>Ídem</w:t>
      </w:r>
      <w:r w:rsidRPr="00FF007A">
        <w:rPr>
          <w:rFonts w:ascii="Verdana" w:hAnsi="Verdana" w:cs="Arial"/>
          <w:sz w:val="16"/>
          <w:szCs w:val="16"/>
          <w:lang w:val="es-CO"/>
        </w:rPr>
        <w:t>.</w:t>
      </w:r>
    </w:p>
    <w:p w14:paraId="7181E4A2" w14:textId="77777777" w:rsidR="00E951C9" w:rsidRPr="00FF007A" w:rsidRDefault="00E951C9" w:rsidP="00E951C9">
      <w:pPr>
        <w:pStyle w:val="Textonotapie"/>
        <w:ind w:firstLine="709"/>
        <w:contextualSpacing/>
        <w:jc w:val="both"/>
        <w:rPr>
          <w:rFonts w:ascii="Verdana" w:hAnsi="Verdana" w:cs="Arial"/>
          <w:sz w:val="16"/>
          <w:szCs w:val="16"/>
          <w:lang w:val="es-CO"/>
        </w:rPr>
      </w:pPr>
    </w:p>
  </w:footnote>
  <w:footnote w:id="16">
    <w:p w14:paraId="1F2D0E2B" w14:textId="77777777" w:rsidR="00E951C9" w:rsidRPr="00F3158D" w:rsidRDefault="00E951C9" w:rsidP="00E951C9">
      <w:pPr>
        <w:pStyle w:val="Textonotapie"/>
        <w:ind w:firstLine="709"/>
        <w:contextualSpacing/>
        <w:jc w:val="both"/>
        <w:rPr>
          <w:rFonts w:ascii="Verdana" w:hAnsi="Verdana" w:cs="Arial"/>
          <w:sz w:val="16"/>
          <w:szCs w:val="16"/>
          <w:lang w:val="es-CO"/>
        </w:rPr>
      </w:pPr>
      <w:r w:rsidRPr="00F3158D">
        <w:rPr>
          <w:rStyle w:val="Refdenotaalpie"/>
          <w:rFonts w:ascii="Verdana" w:hAnsi="Verdana" w:cs="Arial"/>
          <w:sz w:val="16"/>
          <w:szCs w:val="16"/>
          <w:lang w:val="es-CO"/>
        </w:rPr>
        <w:footnoteRef/>
      </w:r>
      <w:r w:rsidRPr="00F3158D">
        <w:rPr>
          <w:rFonts w:ascii="Verdana" w:hAnsi="Verdana" w:cs="Arial"/>
          <w:sz w:val="16"/>
          <w:szCs w:val="16"/>
          <w:lang w:val="es-CO"/>
        </w:rPr>
        <w:t xml:space="preserve"> Consejo de Estado. Sala de Consulta y Servicio Civil. Concepto del 08 de mayo de 2018. Exp. 2.382. C.P. Álvaro Namén Vargas.</w:t>
      </w:r>
    </w:p>
    <w:p w14:paraId="1E855014" w14:textId="77777777" w:rsidR="00E951C9" w:rsidRPr="00F3158D" w:rsidRDefault="00E951C9" w:rsidP="00E951C9">
      <w:pPr>
        <w:pStyle w:val="Textonotapie"/>
        <w:ind w:firstLine="709"/>
        <w:contextualSpacing/>
        <w:jc w:val="both"/>
        <w:rPr>
          <w:rFonts w:ascii="Verdana" w:hAnsi="Verdana" w:cs="Arial"/>
          <w:sz w:val="16"/>
          <w:szCs w:val="16"/>
          <w:lang w:val="es-CO"/>
        </w:rPr>
      </w:pPr>
    </w:p>
  </w:footnote>
  <w:footnote w:id="17">
    <w:p w14:paraId="7B5DDB8A" w14:textId="77777777" w:rsidR="00E951C9" w:rsidRDefault="00E951C9" w:rsidP="00E951C9">
      <w:pPr>
        <w:pStyle w:val="Textonotapie"/>
        <w:ind w:firstLine="708"/>
        <w:contextualSpacing/>
        <w:jc w:val="both"/>
        <w:rPr>
          <w:rFonts w:ascii="Verdana" w:eastAsia="Calibri" w:hAnsi="Verdana" w:cs="Arial"/>
          <w:sz w:val="16"/>
          <w:szCs w:val="16"/>
          <w:lang w:val="es-CO"/>
        </w:rPr>
      </w:pPr>
      <w:r w:rsidRPr="00F3158D">
        <w:rPr>
          <w:rStyle w:val="Refdenotaalpie"/>
          <w:rFonts w:ascii="Verdana" w:hAnsi="Verdana"/>
          <w:sz w:val="16"/>
          <w:szCs w:val="16"/>
          <w:lang w:val="es-CO"/>
        </w:rPr>
        <w:footnoteRef/>
      </w:r>
      <w:r w:rsidRPr="00F3158D">
        <w:rPr>
          <w:rFonts w:ascii="Verdana" w:hAnsi="Verdana"/>
          <w:sz w:val="16"/>
          <w:szCs w:val="16"/>
          <w:lang w:val="es-CO"/>
        </w:rPr>
        <w:t xml:space="preserve"> </w:t>
      </w:r>
      <w:r w:rsidRPr="00F3158D">
        <w:rPr>
          <w:rFonts w:ascii="Verdana" w:eastAsia="Calibri" w:hAnsi="Verdana" w:cs="Arial"/>
          <w:sz w:val="16"/>
          <w:szCs w:val="16"/>
          <w:lang w:val="es-CO"/>
        </w:rPr>
        <w:t>Ibidem.</w:t>
      </w:r>
    </w:p>
    <w:p w14:paraId="5ABC39E3" w14:textId="77777777" w:rsidR="00E951C9" w:rsidRPr="00FF007A" w:rsidRDefault="00E951C9" w:rsidP="00E951C9">
      <w:pPr>
        <w:pStyle w:val="Textonotapie"/>
        <w:ind w:firstLine="708"/>
        <w:contextualSpacing/>
        <w:jc w:val="both"/>
        <w:rPr>
          <w:rFonts w:ascii="Verdana" w:hAnsi="Verdana"/>
          <w:sz w:val="16"/>
          <w:szCs w:val="16"/>
          <w:lang w:val="es-CO"/>
        </w:rPr>
      </w:pPr>
    </w:p>
  </w:footnote>
  <w:footnote w:id="18">
    <w:p w14:paraId="0205A3F1" w14:textId="77777777" w:rsidR="00E951C9" w:rsidRPr="00FF007A" w:rsidRDefault="00E951C9" w:rsidP="00E951C9">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Consejo de Estado. Sala de Consulta y Servicio Civil. Concepto de 20 de febrero de 2006. Radicación Número: 11001-03-06-000-2006-00026-00(1727). </w:t>
      </w:r>
      <w:r>
        <w:rPr>
          <w:rFonts w:ascii="Verdana" w:hAnsi="Verdana" w:cs="Arial"/>
          <w:color w:val="000000" w:themeColor="text1"/>
          <w:sz w:val="16"/>
          <w:szCs w:val="16"/>
        </w:rPr>
        <w:t>C.P:</w:t>
      </w:r>
      <w:r w:rsidRPr="00FF007A">
        <w:rPr>
          <w:rFonts w:ascii="Verdana" w:hAnsi="Verdana" w:cs="Arial"/>
          <w:color w:val="000000" w:themeColor="text1"/>
          <w:sz w:val="16"/>
          <w:szCs w:val="16"/>
        </w:rPr>
        <w:t xml:space="preserv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9">
    <w:p w14:paraId="2D6F0C4D"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Corte Constitucional. Sentencia C-1153 de 2005 M.P</w:t>
      </w:r>
      <w:r>
        <w:rPr>
          <w:rFonts w:ascii="Verdana" w:hAnsi="Verdana" w:cs="Arial"/>
          <w:color w:val="000000" w:themeColor="text1"/>
          <w:sz w:val="16"/>
          <w:szCs w:val="16"/>
          <w:lang w:val="es-CO"/>
        </w:rPr>
        <w:t>:</w:t>
      </w:r>
      <w:r w:rsidRPr="00FF007A">
        <w:rPr>
          <w:rFonts w:ascii="Verdana" w:hAnsi="Verdana" w:cs="Arial"/>
          <w:color w:val="000000" w:themeColor="text1"/>
          <w:sz w:val="16"/>
          <w:szCs w:val="16"/>
          <w:lang w:val="es-CO"/>
        </w:rPr>
        <w:t xml:space="preserve"> Marco Gerardo Monroy Cabra. </w:t>
      </w:r>
    </w:p>
    <w:p w14:paraId="18379ED9"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p>
  </w:footnote>
  <w:footnote w:id="20">
    <w:p w14:paraId="28D5B024" w14:textId="77777777" w:rsidR="00E951C9" w:rsidRDefault="00E951C9" w:rsidP="00E951C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18 de febrero 2010.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11001-03-06-000-2010-00006-00 (1985). C.P. Enrique José Arboleda Perdomo.</w:t>
      </w:r>
    </w:p>
    <w:p w14:paraId="28D32F98"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p>
  </w:footnote>
  <w:footnote w:id="21">
    <w:p w14:paraId="48D59DE1"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del 02 de septiembre de 2013. Rad</w:t>
      </w:r>
      <w:r>
        <w:rPr>
          <w:rFonts w:ascii="Verdana" w:hAnsi="Verdana" w:cs="Arial"/>
          <w:color w:val="000000" w:themeColor="text1"/>
          <w:sz w:val="16"/>
          <w:szCs w:val="16"/>
          <w:lang w:val="es-CO"/>
        </w:rPr>
        <w:t>icado:</w:t>
      </w:r>
      <w:r w:rsidRPr="00FF007A">
        <w:rPr>
          <w:rFonts w:ascii="Verdana" w:hAnsi="Verdana" w:cs="Arial"/>
          <w:color w:val="000000" w:themeColor="text1"/>
          <w:sz w:val="16"/>
          <w:szCs w:val="16"/>
          <w:lang w:val="es-CO"/>
        </w:rPr>
        <w:t xml:space="preserve"> 11001-03-06-000-2013-00412-00 (2168). C.P. Álvaro Namén Vargas.</w:t>
      </w:r>
    </w:p>
    <w:p w14:paraId="46169B67"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p>
  </w:footnote>
  <w:footnote w:id="22">
    <w:p w14:paraId="6C549003" w14:textId="77777777" w:rsidR="00E951C9" w:rsidRPr="00BB5A14" w:rsidRDefault="00E951C9" w:rsidP="00E951C9">
      <w:pPr>
        <w:pStyle w:val="Textonotapie"/>
        <w:ind w:firstLine="709"/>
        <w:jc w:val="both"/>
        <w:rPr>
          <w:rFonts w:ascii="Verdana" w:hAnsi="Verdana"/>
          <w:sz w:val="16"/>
          <w:szCs w:val="16"/>
          <w:lang w:val="es-CO"/>
        </w:rPr>
      </w:pPr>
      <w:r w:rsidRPr="00BB5A14">
        <w:rPr>
          <w:rStyle w:val="Refdenotaalpie"/>
          <w:rFonts w:ascii="Verdana" w:hAnsi="Verdana"/>
          <w:sz w:val="16"/>
          <w:szCs w:val="16"/>
        </w:rPr>
        <w:footnoteRef/>
      </w:r>
      <w:r w:rsidRPr="00BB5A14">
        <w:rPr>
          <w:rFonts w:ascii="Verdana" w:hAnsi="Verdana"/>
          <w:sz w:val="16"/>
          <w:szCs w:val="16"/>
        </w:rPr>
        <w:t xml:space="preserve"> </w:t>
      </w:r>
      <w:r w:rsidRPr="00BB5A14">
        <w:rPr>
          <w:rFonts w:ascii="Verdana" w:hAnsi="Verdana"/>
          <w:sz w:val="16"/>
          <w:szCs w:val="16"/>
          <w:lang w:val="es-ES"/>
        </w:rPr>
        <w:t xml:space="preserve">Ley 100 de 1993. </w:t>
      </w:r>
      <w:r w:rsidRPr="00BB5A14">
        <w:rPr>
          <w:rFonts w:ascii="Verdana" w:hAnsi="Verdana"/>
          <w:b/>
          <w:bCs/>
          <w:sz w:val="16"/>
          <w:szCs w:val="16"/>
          <w:lang w:val="es-CO"/>
        </w:rPr>
        <w:t>ARTÍCULO</w:t>
      </w:r>
      <w:bookmarkStart w:id="5" w:name="194"/>
      <w:bookmarkEnd w:id="5"/>
      <w:r w:rsidRPr="00BB5A14">
        <w:rPr>
          <w:rFonts w:ascii="Verdana" w:hAnsi="Verdana"/>
          <w:b/>
          <w:bCs/>
          <w:sz w:val="16"/>
          <w:szCs w:val="16"/>
          <w:lang w:val="es-CO"/>
        </w:rPr>
        <w:t> 194.</w:t>
      </w:r>
      <w:r w:rsidRPr="00BB5A14">
        <w:rPr>
          <w:rFonts w:ascii="Verdana" w:hAnsi="Verdana"/>
          <w:sz w:val="16"/>
          <w:szCs w:val="16"/>
          <w:lang w:val="es-CO"/>
        </w:rPr>
        <w:t>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6" w:name="LPHit237"/>
      <w:bookmarkEnd w:id="6"/>
      <w:r w:rsidRPr="00BB5A14">
        <w:rPr>
          <w:rFonts w:ascii="Verdana" w:hAnsi="Verdana"/>
          <w:sz w:val="16"/>
          <w:szCs w:val="16"/>
          <w:lang w:val="es-CO"/>
        </w:rPr>
        <w:t> Ley o por las asambleas o concejos, según el caso, sometidas al régimen jurídico previsto en este capítulo.</w:t>
      </w:r>
    </w:p>
    <w:p w14:paraId="0325BBE1" w14:textId="77777777" w:rsidR="00E951C9" w:rsidRPr="00687FD6" w:rsidRDefault="00E951C9" w:rsidP="00E951C9">
      <w:pPr>
        <w:pStyle w:val="Textonotapie"/>
        <w:ind w:firstLine="709"/>
        <w:jc w:val="both"/>
        <w:rPr>
          <w:rFonts w:ascii="Verdana" w:hAnsi="Verdana"/>
          <w:sz w:val="14"/>
          <w:szCs w:val="14"/>
          <w:lang w:val="es-ES"/>
        </w:rPr>
      </w:pPr>
    </w:p>
  </w:footnote>
  <w:footnote w:id="23">
    <w:p w14:paraId="59A552B8" w14:textId="77777777" w:rsidR="00E951C9" w:rsidRDefault="00E951C9" w:rsidP="00E951C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p w14:paraId="36634E97"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p>
  </w:footnote>
  <w:footnote w:id="24">
    <w:p w14:paraId="1ACAB6FF" w14:textId="77777777" w:rsidR="00E951C9" w:rsidRDefault="00E951C9" w:rsidP="00E951C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FF007A">
        <w:rPr>
          <w:rFonts w:ascii="Verdana" w:hAnsi="Verdana" w:cs="Arial"/>
          <w:i/>
          <w:iCs/>
          <w:color w:val="000000" w:themeColor="text1"/>
          <w:sz w:val="16"/>
          <w:szCs w:val="16"/>
          <w:lang w:val="es-CO"/>
        </w:rPr>
        <w:t>y todas aquellas entidades que de acuerdo con la ley ejerzan funciones de vigilancia y control sanitario</w:t>
      </w:r>
      <w:r w:rsidRPr="00FF007A">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6DDB1AB1"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p>
  </w:footnote>
  <w:footnote w:id="25">
    <w:p w14:paraId="099BF223" w14:textId="77777777" w:rsidR="00E951C9" w:rsidRPr="00FF007A" w:rsidRDefault="00E951C9" w:rsidP="00E951C9">
      <w:pPr>
        <w:pStyle w:val="Textonotapie"/>
        <w:ind w:firstLine="708"/>
        <w:contextualSpacing/>
        <w:jc w:val="both"/>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C</w:t>
      </w:r>
      <w:r>
        <w:rPr>
          <w:rFonts w:ascii="Verdana" w:hAnsi="Verdana"/>
          <w:sz w:val="16"/>
          <w:szCs w:val="16"/>
          <w:lang w:val="es-CO"/>
        </w:rPr>
        <w:t>onsejo de Estado</w:t>
      </w:r>
      <w:r w:rsidRPr="00FF007A">
        <w:rPr>
          <w:rFonts w:ascii="Verdana" w:hAnsi="Verdana"/>
          <w:sz w:val="16"/>
          <w:szCs w:val="16"/>
          <w:lang w:val="es-CO"/>
        </w:rPr>
        <w:t>. Sala de Consulta y Servicio Civil.</w:t>
      </w:r>
      <w:r>
        <w:rPr>
          <w:rFonts w:ascii="Verdana" w:hAnsi="Verdana"/>
          <w:sz w:val="16"/>
          <w:szCs w:val="16"/>
          <w:lang w:val="es-CO"/>
        </w:rPr>
        <w:t xml:space="preserve"> </w:t>
      </w:r>
      <w:r w:rsidRPr="00FF007A">
        <w:rPr>
          <w:rFonts w:ascii="Verdana" w:hAnsi="Verdana"/>
          <w:sz w:val="16"/>
          <w:szCs w:val="16"/>
          <w:lang w:val="es-CO"/>
        </w:rPr>
        <w:t>Concepto del 12 de junio de</w:t>
      </w:r>
      <w:r>
        <w:rPr>
          <w:rFonts w:ascii="Verdana" w:hAnsi="Verdana"/>
          <w:sz w:val="16"/>
          <w:szCs w:val="16"/>
          <w:lang w:val="es-CO"/>
        </w:rPr>
        <w:t xml:space="preserve"> </w:t>
      </w:r>
      <w:r w:rsidRPr="00FF007A">
        <w:rPr>
          <w:rFonts w:ascii="Verdana" w:hAnsi="Verdana"/>
          <w:sz w:val="16"/>
          <w:szCs w:val="16"/>
          <w:lang w:val="es-CO"/>
        </w:rPr>
        <w:t>2018.</w:t>
      </w:r>
      <w:r>
        <w:rPr>
          <w:rFonts w:ascii="Verdana" w:hAnsi="Verdana"/>
          <w:sz w:val="16"/>
          <w:szCs w:val="16"/>
          <w:lang w:val="es-CO"/>
        </w:rPr>
        <w:t xml:space="preserve"> </w:t>
      </w:r>
      <w:r w:rsidRPr="00FF007A">
        <w:rPr>
          <w:rFonts w:ascii="Verdana" w:hAnsi="Verdana"/>
          <w:sz w:val="16"/>
          <w:szCs w:val="16"/>
          <w:lang w:val="es-CO"/>
        </w:rPr>
        <w:t xml:space="preserve">Radicación Interna: 11001-03-06-000-2018-0043-00. </w:t>
      </w:r>
      <w:r>
        <w:rPr>
          <w:rFonts w:ascii="Verdana" w:hAnsi="Verdana"/>
          <w:sz w:val="16"/>
          <w:szCs w:val="16"/>
          <w:lang w:val="es-CO"/>
        </w:rPr>
        <w:t>(</w:t>
      </w:r>
      <w:r w:rsidRPr="00FF007A">
        <w:rPr>
          <w:rFonts w:ascii="Verdana" w:hAnsi="Verdana"/>
          <w:sz w:val="16"/>
          <w:szCs w:val="16"/>
          <w:lang w:val="es-CO"/>
        </w:rPr>
        <w:t>2371</w:t>
      </w:r>
      <w:r>
        <w:rPr>
          <w:rFonts w:ascii="Verdana" w:hAnsi="Verdana"/>
          <w:sz w:val="16"/>
          <w:szCs w:val="16"/>
          <w:lang w:val="es-CO"/>
        </w:rPr>
        <w:t>)</w:t>
      </w:r>
      <w:r w:rsidRPr="00FF007A">
        <w:rPr>
          <w:rFonts w:ascii="Verdana" w:hAnsi="Verdana"/>
          <w:sz w:val="16"/>
          <w:szCs w:val="16"/>
          <w:lang w:val="es-CO"/>
        </w:rPr>
        <w:t>. Consejero Ponente: Oscar Darío Amaya Navas</w:t>
      </w:r>
      <w:r>
        <w:rPr>
          <w:rFonts w:ascii="Verdana" w:hAnsi="Verdana"/>
          <w:sz w:val="16"/>
          <w:szCs w:val="16"/>
          <w:lang w:val="es-CO"/>
        </w:rPr>
        <w:t>.</w:t>
      </w:r>
      <w:r w:rsidRPr="00FF007A">
        <w:rPr>
          <w:rFonts w:ascii="Verdana" w:hAnsi="Verdana"/>
          <w:sz w:val="16"/>
          <w:szCs w:val="16"/>
          <w:lang w:val="es-CO"/>
        </w:rPr>
        <w:t xml:space="preserve"> </w:t>
      </w:r>
    </w:p>
    <w:p w14:paraId="3EA4E9AE" w14:textId="77777777" w:rsidR="00E951C9" w:rsidRPr="00FF007A" w:rsidRDefault="00E951C9" w:rsidP="00E951C9">
      <w:pPr>
        <w:pStyle w:val="Textonotapie"/>
        <w:contextualSpacing/>
        <w:jc w:val="both"/>
        <w:rPr>
          <w:rFonts w:ascii="Verdana" w:hAnsi="Verdana"/>
          <w:sz w:val="16"/>
          <w:szCs w:val="16"/>
          <w:lang w:val="es-CO"/>
        </w:rPr>
      </w:pPr>
    </w:p>
  </w:footnote>
  <w:footnote w:id="26">
    <w:p w14:paraId="57A57E31" w14:textId="77777777" w:rsidR="00E951C9" w:rsidRDefault="00E951C9" w:rsidP="00E951C9">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Ibidem</w:t>
      </w:r>
      <w:r>
        <w:rPr>
          <w:rFonts w:ascii="Verdana" w:hAnsi="Verdana"/>
          <w:sz w:val="16"/>
          <w:szCs w:val="16"/>
          <w:lang w:val="es-CO"/>
        </w:rPr>
        <w:t>.</w:t>
      </w:r>
    </w:p>
    <w:p w14:paraId="02E710AB" w14:textId="77777777" w:rsidR="00E951C9" w:rsidRPr="00FF007A" w:rsidRDefault="00E951C9" w:rsidP="00E951C9">
      <w:pPr>
        <w:pStyle w:val="Textonotapie"/>
        <w:ind w:firstLine="708"/>
        <w:contextualSpacing/>
        <w:rPr>
          <w:rFonts w:ascii="Verdana" w:hAnsi="Verdana"/>
          <w:sz w:val="16"/>
          <w:szCs w:val="16"/>
          <w:lang w:val="es-CO"/>
        </w:rPr>
      </w:pPr>
    </w:p>
  </w:footnote>
  <w:footnote w:id="27">
    <w:p w14:paraId="7577350D" w14:textId="77777777" w:rsidR="00E951C9" w:rsidRDefault="00E951C9" w:rsidP="00E951C9">
      <w:pPr>
        <w:pStyle w:val="Textonotapie"/>
        <w:ind w:firstLine="709"/>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Consejo de Estado. Sala de Consulta y Servicio Civil. Concepto de 20 de febrero de2006. Radicación 11001-03-06-000-2006-00023-00(1724). </w:t>
      </w:r>
      <w:r>
        <w:rPr>
          <w:rFonts w:ascii="Verdana" w:hAnsi="Verdana" w:cs="Arial"/>
          <w:color w:val="000000" w:themeColor="text1"/>
          <w:sz w:val="16"/>
          <w:szCs w:val="16"/>
          <w:lang w:val="es-CO"/>
        </w:rPr>
        <w:t>C.P</w:t>
      </w:r>
      <w:r w:rsidRPr="00FF007A">
        <w:rPr>
          <w:rFonts w:ascii="Verdana" w:hAnsi="Verdana" w:cs="Arial"/>
          <w:color w:val="000000" w:themeColor="text1"/>
          <w:sz w:val="16"/>
          <w:szCs w:val="16"/>
          <w:lang w:val="es-CO"/>
        </w:rPr>
        <w:t>: Flavio Augusto Rodríguez Arce.</w:t>
      </w:r>
    </w:p>
    <w:p w14:paraId="793B381F" w14:textId="77777777" w:rsidR="00E951C9" w:rsidRPr="00FF007A" w:rsidRDefault="00E951C9" w:rsidP="00E951C9">
      <w:pPr>
        <w:pStyle w:val="Textonotapie"/>
        <w:ind w:firstLine="709"/>
        <w:contextualSpacing/>
        <w:jc w:val="both"/>
        <w:rPr>
          <w:rFonts w:ascii="Verdana" w:hAnsi="Verdana" w:cs="Arial"/>
          <w:color w:val="000000" w:themeColor="text1"/>
          <w:sz w:val="16"/>
          <w:szCs w:val="16"/>
          <w:lang w:val="es-CO"/>
        </w:rPr>
      </w:pPr>
    </w:p>
  </w:footnote>
  <w:footnote w:id="28">
    <w:p w14:paraId="6FE4EC87" w14:textId="77777777" w:rsidR="00E951C9" w:rsidRDefault="00E951C9" w:rsidP="00E951C9">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w:t>
      </w:r>
      <w:proofErr w:type="gramStart"/>
      <w:r w:rsidRPr="00FF007A">
        <w:rPr>
          <w:rFonts w:ascii="Verdana" w:hAnsi="Verdana" w:cs="Arial"/>
          <w:color w:val="000000" w:themeColor="text1"/>
          <w:sz w:val="16"/>
          <w:szCs w:val="16"/>
        </w:rPr>
        <w:t>y</w:t>
      </w:r>
      <w:proofErr w:type="gramEnd"/>
      <w:r w:rsidRPr="00FF007A">
        <w:rPr>
          <w:rFonts w:ascii="Verdana" w:hAnsi="Verdana" w:cs="Arial"/>
          <w:color w:val="000000" w:themeColor="text1"/>
          <w:sz w:val="16"/>
          <w:szCs w:val="16"/>
        </w:rPr>
        <w:t xml:space="preserve"> en consecuencia, le es aplicable lo establecido en el artículo 2.2.1.2.1.4.1 del presente decreto.</w:t>
      </w:r>
    </w:p>
    <w:p w14:paraId="3C52ED35" w14:textId="77777777" w:rsidR="00E951C9" w:rsidRPr="00FF007A" w:rsidRDefault="00E951C9" w:rsidP="00E951C9">
      <w:pPr>
        <w:spacing w:after="0" w:line="240" w:lineRule="auto"/>
        <w:ind w:firstLine="709"/>
        <w:contextualSpacing/>
        <w:jc w:val="both"/>
        <w:rPr>
          <w:rFonts w:ascii="Verdana" w:hAnsi="Verdana" w:cs="Arial"/>
          <w:color w:val="000000" w:themeColor="text1"/>
          <w:sz w:val="16"/>
          <w:szCs w:val="16"/>
        </w:rPr>
      </w:pPr>
    </w:p>
    <w:p w14:paraId="5462CEF6" w14:textId="77777777" w:rsidR="00E951C9" w:rsidRDefault="00E951C9" w:rsidP="00E951C9">
      <w:pPr>
        <w:spacing w:after="0" w:line="240" w:lineRule="auto"/>
        <w:ind w:firstLine="709"/>
        <w:contextualSpacing/>
        <w:jc w:val="both"/>
        <w:rPr>
          <w:rFonts w:ascii="Verdana" w:hAnsi="Verdana" w:cs="Arial"/>
          <w:color w:val="000000" w:themeColor="text1"/>
          <w:sz w:val="16"/>
          <w:szCs w:val="16"/>
        </w:rPr>
      </w:pPr>
      <w:r w:rsidRPr="00FF007A">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FF007A">
        <w:rPr>
          <w:rFonts w:ascii="Verdana" w:hAnsi="Verdana" w:cs="Arial"/>
          <w:color w:val="000000" w:themeColor="text1"/>
          <w:spacing w:val="-1"/>
          <w:sz w:val="16"/>
          <w:szCs w:val="16"/>
        </w:rPr>
        <w:t xml:space="preserve"> </w:t>
      </w:r>
      <w:r w:rsidRPr="00FF007A">
        <w:rPr>
          <w:rFonts w:ascii="Verdana" w:hAnsi="Verdana" w:cs="Arial"/>
          <w:color w:val="000000" w:themeColor="text1"/>
          <w:sz w:val="16"/>
          <w:szCs w:val="16"/>
        </w:rPr>
        <w:t>Estatales.</w:t>
      </w:r>
    </w:p>
    <w:p w14:paraId="6DAAA2DC" w14:textId="77777777" w:rsidR="00E951C9" w:rsidRPr="00FF007A" w:rsidRDefault="00E951C9" w:rsidP="00E951C9">
      <w:pPr>
        <w:spacing w:after="0" w:line="240" w:lineRule="auto"/>
        <w:ind w:firstLine="709"/>
        <w:contextualSpacing/>
        <w:jc w:val="both"/>
        <w:rPr>
          <w:rFonts w:ascii="Verdana" w:hAnsi="Verdana" w:cs="Arial"/>
          <w:color w:val="000000" w:themeColor="text1"/>
          <w:sz w:val="16"/>
          <w:szCs w:val="16"/>
        </w:rPr>
      </w:pPr>
    </w:p>
  </w:footnote>
  <w:footnote w:id="29">
    <w:p w14:paraId="4636B68D" w14:textId="77777777" w:rsidR="00E951C9" w:rsidRDefault="00E951C9" w:rsidP="00E951C9">
      <w:pPr>
        <w:spacing w:after="0" w:line="240" w:lineRule="auto"/>
        <w:ind w:firstLine="709"/>
        <w:contextualSpacing/>
        <w:jc w:val="both"/>
        <w:rPr>
          <w:rFonts w:ascii="Verdana" w:hAnsi="Verdana" w:cs="Arial"/>
          <w:color w:val="000000" w:themeColor="text1"/>
          <w:sz w:val="16"/>
          <w:szCs w:val="16"/>
        </w:rPr>
      </w:pPr>
      <w:r w:rsidRPr="00FF007A">
        <w:rPr>
          <w:rStyle w:val="Refdenotaalpie"/>
          <w:rFonts w:ascii="Verdana" w:hAnsi="Verdana" w:cs="Arial"/>
          <w:color w:val="000000" w:themeColor="text1"/>
          <w:sz w:val="16"/>
          <w:szCs w:val="16"/>
        </w:rPr>
        <w:footnoteRef/>
      </w:r>
      <w:r w:rsidRPr="00FF007A">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FF007A">
        <w:rPr>
          <w:rFonts w:ascii="Verdana" w:hAnsi="Verdana" w:cs="Arial"/>
          <w:color w:val="000000" w:themeColor="text1"/>
          <w:spacing w:val="-6"/>
          <w:sz w:val="16"/>
          <w:szCs w:val="16"/>
        </w:rPr>
        <w:t xml:space="preserve"> </w:t>
      </w:r>
      <w:r w:rsidRPr="00FF007A">
        <w:rPr>
          <w:rFonts w:ascii="Verdana" w:hAnsi="Verdana" w:cs="Arial"/>
          <w:color w:val="000000" w:themeColor="text1"/>
          <w:sz w:val="16"/>
          <w:szCs w:val="16"/>
        </w:rPr>
        <w:t>artículo”.</w:t>
      </w:r>
    </w:p>
    <w:p w14:paraId="3C0616F7" w14:textId="77777777" w:rsidR="00E951C9" w:rsidRPr="00FF007A" w:rsidRDefault="00E951C9" w:rsidP="00E951C9">
      <w:pPr>
        <w:spacing w:after="0" w:line="240" w:lineRule="auto"/>
        <w:ind w:firstLine="709"/>
        <w:contextualSpacing/>
        <w:jc w:val="both"/>
        <w:rPr>
          <w:rFonts w:ascii="Verdana" w:hAnsi="Verdana" w:cs="Arial"/>
          <w:color w:val="000000" w:themeColor="text1"/>
          <w:sz w:val="16"/>
          <w:szCs w:val="16"/>
        </w:rPr>
      </w:pPr>
    </w:p>
  </w:footnote>
  <w:footnote w:id="30">
    <w:p w14:paraId="50ABD01B" w14:textId="77777777" w:rsidR="00E951C9" w:rsidRPr="00FF007A" w:rsidRDefault="00E951C9" w:rsidP="00E951C9">
      <w:pPr>
        <w:pStyle w:val="Textonotapie"/>
        <w:ind w:firstLine="708"/>
        <w:contextualSpacing/>
        <w:jc w:val="both"/>
        <w:rPr>
          <w:rFonts w:ascii="Verdana" w:hAnsi="Verdana" w:cs="Arial"/>
          <w:color w:val="000000" w:themeColor="text1"/>
          <w:sz w:val="16"/>
          <w:szCs w:val="16"/>
          <w:lang w:val="es-CO"/>
        </w:rPr>
      </w:pPr>
      <w:r w:rsidRPr="00FF007A">
        <w:rPr>
          <w:rStyle w:val="Refdenotaalpie"/>
          <w:rFonts w:ascii="Verdana" w:hAnsi="Verdana" w:cs="Arial"/>
          <w:color w:val="000000" w:themeColor="text1"/>
          <w:sz w:val="16"/>
          <w:szCs w:val="16"/>
          <w:lang w:val="es-CO"/>
        </w:rPr>
        <w:footnoteRef/>
      </w:r>
      <w:r w:rsidRPr="00FF007A">
        <w:rPr>
          <w:rFonts w:ascii="Verdana" w:hAnsi="Verdana" w:cs="Arial"/>
          <w:color w:val="000000" w:themeColor="text1"/>
          <w:sz w:val="16"/>
          <w:szCs w:val="16"/>
          <w:lang w:val="es-CO"/>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31">
    <w:p w14:paraId="6A5B757F" w14:textId="77777777" w:rsidR="00E951C9" w:rsidRPr="008A6D54" w:rsidRDefault="00E951C9" w:rsidP="00E951C9">
      <w:pPr>
        <w:pStyle w:val="Textonotapie"/>
        <w:ind w:firstLine="709"/>
        <w:jc w:val="both"/>
        <w:rPr>
          <w:rFonts w:ascii="Verdana" w:hAnsi="Verdana"/>
          <w:color w:val="000000" w:themeColor="text1"/>
          <w:sz w:val="16"/>
          <w:szCs w:val="16"/>
          <w:lang w:val="es-CO"/>
        </w:rPr>
      </w:pPr>
      <w:r w:rsidRPr="008A6D54">
        <w:rPr>
          <w:rStyle w:val="Refdenotaalpie"/>
          <w:rFonts w:ascii="Verdana" w:hAnsi="Verdana"/>
          <w:color w:val="000000" w:themeColor="text1"/>
          <w:sz w:val="16"/>
          <w:szCs w:val="16"/>
        </w:rPr>
        <w:footnoteRef/>
      </w:r>
      <w:r w:rsidRPr="008A6D54">
        <w:rPr>
          <w:rFonts w:ascii="Verdana" w:hAnsi="Verdana"/>
          <w:color w:val="000000" w:themeColor="text1"/>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color w:val="000000" w:themeColor="text1"/>
          <w:sz w:val="16"/>
          <w:szCs w:val="16"/>
          <w:lang w:val="es-CO"/>
        </w:rPr>
        <w:t>Artículo</w:t>
      </w:r>
      <w:r w:rsidRPr="008A6D54">
        <w:rPr>
          <w:rFonts w:ascii="Verdana" w:hAnsi="Verdana"/>
          <w:color w:val="000000" w:themeColor="text1"/>
          <w:sz w:val="16"/>
          <w:szCs w:val="16"/>
          <w:lang w:val="es-CO"/>
        </w:rPr>
        <w:t> </w:t>
      </w:r>
      <w:r w:rsidRPr="008A6D54">
        <w:rPr>
          <w:rFonts w:ascii="Verdana" w:hAnsi="Verdana"/>
          <w:b/>
          <w:bCs/>
          <w:color w:val="000000" w:themeColor="text1"/>
          <w:sz w:val="16"/>
          <w:szCs w:val="16"/>
          <w:lang w:val="es-CO"/>
        </w:rPr>
        <w:t>10. </w:t>
      </w:r>
      <w:r w:rsidRPr="008A6D54">
        <w:rPr>
          <w:rFonts w:ascii="Verdana" w:hAnsi="Verdana"/>
          <w:b/>
          <w:bCs/>
          <w:i/>
          <w:iCs/>
          <w:color w:val="000000" w:themeColor="text1"/>
          <w:sz w:val="16"/>
          <w:szCs w:val="16"/>
          <w:lang w:val="es-CO"/>
        </w:rPr>
        <w:t>Definición</w:t>
      </w:r>
      <w:r w:rsidRPr="008A6D54">
        <w:rPr>
          <w:rFonts w:ascii="Verdana" w:hAnsi="Verdana"/>
          <w:b/>
          <w:bCs/>
          <w:color w:val="000000" w:themeColor="text1"/>
          <w:sz w:val="16"/>
          <w:szCs w:val="16"/>
          <w:lang w:val="es-CO"/>
        </w:rPr>
        <w:t>.</w:t>
      </w:r>
      <w:r w:rsidRPr="008A6D54">
        <w:rPr>
          <w:rFonts w:ascii="Verdana" w:hAnsi="Verdana"/>
          <w:color w:val="000000" w:themeColor="text1"/>
          <w:sz w:val="16"/>
          <w:szCs w:val="16"/>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51B7733C" w14:textId="77777777" w:rsidR="00E951C9" w:rsidRPr="008A6D54" w:rsidRDefault="00E951C9" w:rsidP="00E951C9">
      <w:pPr>
        <w:pStyle w:val="Textonotapie"/>
        <w:ind w:firstLine="709"/>
        <w:jc w:val="both"/>
        <w:rPr>
          <w:rFonts w:ascii="Verdana" w:hAnsi="Verdana"/>
          <w:color w:val="000000" w:themeColor="text1"/>
          <w:sz w:val="16"/>
          <w:szCs w:val="16"/>
          <w:lang w:val="es-CO"/>
        </w:rPr>
      </w:pPr>
      <w:r w:rsidRPr="008A6D54">
        <w:rPr>
          <w:rFonts w:ascii="Verdana" w:hAnsi="Verdana"/>
          <w:b/>
          <w:bCs/>
          <w:color w:val="000000" w:themeColor="text1"/>
          <w:sz w:val="16"/>
          <w:szCs w:val="16"/>
          <w:lang w:val="es-CO"/>
        </w:rPr>
        <w:t>Parágrafo.</w:t>
      </w:r>
      <w:r w:rsidRPr="008A6D54">
        <w:rPr>
          <w:rFonts w:ascii="Verdana" w:hAnsi="Verdana"/>
          <w:color w:val="000000" w:themeColor="text1"/>
          <w:sz w:val="16"/>
          <w:szCs w:val="16"/>
          <w:lang w:val="es-CO"/>
        </w:rPr>
        <w:t> Las intervenciones colectivas corresponden a las señaladas en el numeral 3.2 del Capítulo 3 del Anexo I </w:t>
      </w:r>
      <w:r w:rsidRPr="008A6D54">
        <w:rPr>
          <w:rFonts w:ascii="Verdana" w:hAnsi="Verdana"/>
          <w:i/>
          <w:iCs/>
          <w:color w:val="000000" w:themeColor="text1"/>
          <w:sz w:val="16"/>
          <w:szCs w:val="16"/>
          <w:lang w:val="es-CO"/>
        </w:rPr>
        <w:t>“LINEAMIENTO TÉCNICO Y OPERATIVO RUTA INTEGRAL DE ATENCIÓN PARA LA PROMOCIÓN Y MANTENIMIENTO DE LA SALUD”</w:t>
      </w:r>
      <w:r w:rsidRPr="008A6D54">
        <w:rPr>
          <w:rFonts w:ascii="Verdana" w:hAnsi="Verdana"/>
          <w:color w:val="000000" w:themeColor="text1"/>
          <w:sz w:val="16"/>
          <w:szCs w:val="16"/>
          <w:lang w:val="es-CO"/>
        </w:rPr>
        <w:t> de la Resolución </w:t>
      </w:r>
      <w:hyperlink r:id="rId1" w:history="1">
        <w:r w:rsidRPr="008A6D54">
          <w:rPr>
            <w:rStyle w:val="Hipervnculo"/>
            <w:rFonts w:ascii="Verdana" w:hAnsi="Verdana"/>
            <w:color w:val="000000" w:themeColor="text1"/>
            <w:sz w:val="16"/>
            <w:szCs w:val="16"/>
            <w:lang w:val="es-CO"/>
          </w:rPr>
          <w:t>3280</w:t>
        </w:r>
      </w:hyperlink>
      <w:r w:rsidRPr="008A6D54">
        <w:rPr>
          <w:rFonts w:ascii="Verdana" w:hAnsi="Verdana"/>
          <w:color w:val="000000" w:themeColor="text1"/>
          <w:sz w:val="16"/>
          <w:szCs w:val="16"/>
          <w:lang w:val="es-CO"/>
        </w:rPr>
        <w:t> de 2018 o la norma que la modifique o sustituya.</w:t>
      </w:r>
    </w:p>
    <w:p w14:paraId="05CCA66F" w14:textId="77777777" w:rsidR="00E951C9" w:rsidRPr="008A6D54" w:rsidRDefault="00E951C9" w:rsidP="00E951C9">
      <w:pPr>
        <w:pStyle w:val="Textonotapie"/>
        <w:rPr>
          <w:lang w:val="es-ES"/>
        </w:rPr>
      </w:pPr>
    </w:p>
  </w:footnote>
  <w:footnote w:id="32">
    <w:p w14:paraId="17199771" w14:textId="77777777" w:rsidR="00E951C9" w:rsidRPr="008A6D54" w:rsidRDefault="00E951C9" w:rsidP="00E951C9">
      <w:pPr>
        <w:pStyle w:val="Textonotapie"/>
        <w:ind w:firstLine="709"/>
        <w:jc w:val="both"/>
        <w:rPr>
          <w:rFonts w:ascii="Verdana" w:hAnsi="Verdana"/>
          <w:sz w:val="16"/>
          <w:szCs w:val="16"/>
          <w:lang w:val="es-CO"/>
        </w:rPr>
      </w:pPr>
      <w:r w:rsidRPr="008A6D54">
        <w:rPr>
          <w:rStyle w:val="Refdenotaalpie"/>
          <w:rFonts w:ascii="Verdana" w:hAnsi="Verdana"/>
          <w:sz w:val="16"/>
          <w:szCs w:val="16"/>
        </w:rPr>
        <w:footnoteRef/>
      </w:r>
      <w:r w:rsidRPr="008A6D54">
        <w:rPr>
          <w:rFonts w:ascii="Verdana" w:hAnsi="Verdana"/>
          <w:sz w:val="16"/>
          <w:szCs w:val="16"/>
        </w:rPr>
        <w:t xml:space="preserve"> </w:t>
      </w:r>
      <w:r>
        <w:rPr>
          <w:rFonts w:ascii="Verdana" w:hAnsi="Verdana"/>
          <w:color w:val="000000" w:themeColor="text1"/>
          <w:sz w:val="16"/>
          <w:szCs w:val="16"/>
        </w:rPr>
        <w:t xml:space="preserve">Resolución 1597 de 2025. </w:t>
      </w:r>
      <w:r w:rsidRPr="008A6D54">
        <w:rPr>
          <w:rFonts w:ascii="Verdana" w:hAnsi="Verdana"/>
          <w:b/>
          <w:bCs/>
          <w:sz w:val="16"/>
          <w:szCs w:val="16"/>
          <w:lang w:val="es-CO"/>
        </w:rPr>
        <w:t>Artículo</w:t>
      </w:r>
      <w:r w:rsidRPr="008A6D54">
        <w:rPr>
          <w:rFonts w:ascii="Verdana" w:hAnsi="Verdana"/>
          <w:sz w:val="16"/>
          <w:szCs w:val="16"/>
          <w:lang w:val="es-CO"/>
        </w:rPr>
        <w:t> </w:t>
      </w:r>
      <w:r w:rsidRPr="008A6D54">
        <w:rPr>
          <w:rFonts w:ascii="Verdana" w:hAnsi="Verdana"/>
          <w:b/>
          <w:bCs/>
          <w:sz w:val="16"/>
          <w:szCs w:val="16"/>
          <w:lang w:val="es-CO"/>
        </w:rPr>
        <w:t>12. </w:t>
      </w:r>
      <w:r w:rsidRPr="008A6D54">
        <w:rPr>
          <w:rFonts w:ascii="Verdana" w:hAnsi="Verdana"/>
          <w:b/>
          <w:bCs/>
          <w:i/>
          <w:iCs/>
          <w:sz w:val="16"/>
          <w:szCs w:val="16"/>
          <w:lang w:val="es-CO"/>
        </w:rPr>
        <w:t>Implementación del Plan de Salud Pública de Intervenciones Colectivas.</w:t>
      </w:r>
      <w:r w:rsidRPr="008A6D54">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4BD3767C"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0A7541E0"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4F6CE526"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w:t>
      </w:r>
    </w:p>
    <w:p w14:paraId="1F9FB42E"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4CD0063A"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8A6D54">
        <w:rPr>
          <w:rFonts w:ascii="Verdana" w:hAnsi="Verdana"/>
          <w:color w:val="000000" w:themeColor="text1"/>
          <w:sz w:val="16"/>
          <w:szCs w:val="16"/>
          <w:lang w:val="es-CO"/>
        </w:rPr>
        <w:t>número </w:t>
      </w:r>
      <w:hyperlink r:id="rId2" w:history="1">
        <w:r w:rsidRPr="008A6D54">
          <w:rPr>
            <w:rStyle w:val="Hipervnculo"/>
            <w:rFonts w:ascii="Verdana" w:hAnsi="Verdana"/>
            <w:color w:val="000000" w:themeColor="text1"/>
            <w:sz w:val="16"/>
            <w:szCs w:val="16"/>
            <w:lang w:val="es-CO"/>
          </w:rPr>
          <w:t>1751</w:t>
        </w:r>
      </w:hyperlink>
      <w:r w:rsidRPr="008A6D54">
        <w:rPr>
          <w:rFonts w:ascii="Verdana" w:hAnsi="Verdana"/>
          <w:color w:val="000000" w:themeColor="text1"/>
          <w:sz w:val="16"/>
          <w:szCs w:val="16"/>
          <w:lang w:val="es-CO"/>
        </w:rPr>
        <w:t> de 2</w:t>
      </w:r>
      <w:r w:rsidRPr="008A6D54">
        <w:rPr>
          <w:rFonts w:ascii="Verdana" w:hAnsi="Verdana"/>
          <w:sz w:val="16"/>
          <w:szCs w:val="16"/>
          <w:lang w:val="es-CO"/>
        </w:rPr>
        <w:t>015 o la norma que la modifique, asegurando la ejecución de la totalidad de recursos asignados.</w:t>
      </w:r>
    </w:p>
    <w:p w14:paraId="638BBDC7"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02FC6BEA"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28C4A3B6"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1AC93D56"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3542C9E9"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5E48B5ED"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26782D7A"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6B7555C5"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8A6D54">
        <w:rPr>
          <w:rFonts w:ascii="Verdana" w:hAnsi="Verdana"/>
          <w:color w:val="000000" w:themeColor="text1"/>
          <w:sz w:val="16"/>
          <w:szCs w:val="16"/>
          <w:lang w:val="es-CO"/>
        </w:rPr>
        <w:t>número </w:t>
      </w:r>
      <w:hyperlink r:id="rId3" w:history="1">
        <w:r w:rsidRPr="008A6D54">
          <w:rPr>
            <w:rStyle w:val="Hipervnculo"/>
            <w:rFonts w:ascii="Verdana" w:hAnsi="Verdana"/>
            <w:color w:val="000000" w:themeColor="text1"/>
            <w:sz w:val="16"/>
            <w:szCs w:val="16"/>
            <w:lang w:val="es-CO"/>
          </w:rPr>
          <w:t>441</w:t>
        </w:r>
      </w:hyperlink>
      <w:r w:rsidRPr="008A6D54">
        <w:rPr>
          <w:rFonts w:ascii="Verdana" w:hAnsi="Verdana"/>
          <w:color w:val="000000" w:themeColor="text1"/>
          <w:sz w:val="16"/>
          <w:szCs w:val="16"/>
          <w:lang w:val="es-CO"/>
        </w:rPr>
        <w:t> de 20</w:t>
      </w:r>
      <w:r w:rsidRPr="008A6D54">
        <w:rPr>
          <w:rFonts w:ascii="Verdana" w:hAnsi="Verdana"/>
          <w:sz w:val="16"/>
          <w:szCs w:val="16"/>
          <w:lang w:val="es-CO"/>
        </w:rPr>
        <w:t>22 y Resolución número 2336 de 2023 o las normas que lo modifiquen o deroguen. </w:t>
      </w:r>
    </w:p>
    <w:p w14:paraId="0F68461A"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2E561DB3"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38BE3618"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742DF6EE" w14:textId="77777777" w:rsidR="00E951C9" w:rsidRPr="008A6D54" w:rsidRDefault="00E951C9" w:rsidP="00E951C9">
      <w:pPr>
        <w:pStyle w:val="Textonotapie"/>
        <w:ind w:firstLine="709"/>
        <w:jc w:val="both"/>
        <w:rPr>
          <w:rFonts w:ascii="Verdana" w:hAnsi="Verdana"/>
          <w:sz w:val="16"/>
          <w:szCs w:val="16"/>
          <w:lang w:val="es-CO"/>
        </w:rPr>
      </w:pPr>
      <w:r w:rsidRPr="008A6D54">
        <w:rPr>
          <w:rFonts w:ascii="Verdana" w:hAnsi="Verdana"/>
          <w:b/>
          <w:bCs/>
          <w:sz w:val="16"/>
          <w:szCs w:val="16"/>
          <w:lang w:val="es-CO"/>
        </w:rPr>
        <w:t>Parágrafo.</w:t>
      </w:r>
      <w:r w:rsidRPr="008A6D54">
        <w:rPr>
          <w:rFonts w:ascii="Verdana" w:hAnsi="Verdana"/>
          <w:sz w:val="16"/>
          <w:szCs w:val="16"/>
          <w:lang w:val="es-CO"/>
        </w:rPr>
        <w:t> Este Ministerio reglamentará las condiciones que deben cumplir las organizaciones de base comunitaria, sin ánimo de lucro, para el desarrollo de las actividades de abordaje comunitario.</w:t>
      </w:r>
    </w:p>
    <w:p w14:paraId="2266FBDA" w14:textId="77777777" w:rsidR="00E951C9" w:rsidRPr="008A6D54" w:rsidRDefault="00E951C9" w:rsidP="00E951C9">
      <w:pPr>
        <w:pStyle w:val="Textonotapie"/>
        <w:rPr>
          <w:lang w:val="es-ES"/>
        </w:rPr>
      </w:pPr>
    </w:p>
  </w:footnote>
  <w:footnote w:id="33">
    <w:p w14:paraId="63D8A98B" w14:textId="77777777" w:rsidR="00E951C9" w:rsidRDefault="00E951C9" w:rsidP="00E951C9">
      <w:pPr>
        <w:pStyle w:val="Textonotapie"/>
        <w:ind w:firstLine="708"/>
        <w:contextualSpacing/>
        <w:jc w:val="both"/>
        <w:rPr>
          <w:rFonts w:ascii="Verdana" w:hAnsi="Verdana" w:cs="Arial"/>
          <w:sz w:val="16"/>
          <w:szCs w:val="16"/>
          <w:lang w:val="es-CO"/>
        </w:rPr>
      </w:pPr>
      <w:r w:rsidRPr="00FF007A">
        <w:rPr>
          <w:rStyle w:val="Refdenotaalpie"/>
          <w:rFonts w:ascii="Verdana" w:hAnsi="Verdana" w:cs="Arial"/>
          <w:sz w:val="16"/>
          <w:szCs w:val="16"/>
          <w:lang w:val="es-CO"/>
        </w:rPr>
        <w:footnoteRef/>
      </w:r>
      <w:r w:rsidRPr="00FF007A">
        <w:rPr>
          <w:rFonts w:ascii="Verdana" w:hAnsi="Verdana" w:cs="Arial"/>
          <w:sz w:val="16"/>
          <w:szCs w:val="16"/>
          <w:lang w:val="es-CO"/>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09ED210D" w14:textId="77777777" w:rsidR="00E951C9" w:rsidRPr="00FF007A" w:rsidRDefault="00E951C9" w:rsidP="00E951C9">
      <w:pPr>
        <w:pStyle w:val="Textonotapie"/>
        <w:ind w:firstLine="708"/>
        <w:contextualSpacing/>
        <w:jc w:val="both"/>
        <w:rPr>
          <w:rFonts w:ascii="Verdana" w:hAnsi="Verdana" w:cs="Arial"/>
          <w:sz w:val="16"/>
          <w:szCs w:val="16"/>
          <w:lang w:val="es-CO"/>
        </w:rPr>
      </w:pPr>
    </w:p>
  </w:footnote>
  <w:footnote w:id="34">
    <w:p w14:paraId="6919A43F" w14:textId="77777777" w:rsidR="00E951C9" w:rsidRPr="00FF007A" w:rsidRDefault="00E951C9" w:rsidP="00E951C9">
      <w:pPr>
        <w:pStyle w:val="Textonotapie"/>
        <w:ind w:firstLine="708"/>
        <w:contextualSpacing/>
        <w:rPr>
          <w:rFonts w:ascii="Verdana" w:hAnsi="Verdana"/>
          <w:sz w:val="16"/>
          <w:szCs w:val="16"/>
          <w:lang w:val="es-CO"/>
        </w:rPr>
      </w:pPr>
      <w:r w:rsidRPr="00FF007A">
        <w:rPr>
          <w:rStyle w:val="Refdenotaalpie"/>
          <w:rFonts w:ascii="Verdana" w:hAnsi="Verdana"/>
          <w:sz w:val="16"/>
          <w:szCs w:val="16"/>
          <w:lang w:val="es-CO"/>
        </w:rPr>
        <w:footnoteRef/>
      </w:r>
      <w:r w:rsidRPr="00FF007A">
        <w:rPr>
          <w:rFonts w:ascii="Verdana" w:hAnsi="Verdana"/>
          <w:sz w:val="16"/>
          <w:szCs w:val="16"/>
          <w:lang w:val="es-CO"/>
        </w:rPr>
        <w:t xml:space="preserve"> </w:t>
      </w:r>
      <w:r w:rsidRPr="00FF007A">
        <w:rPr>
          <w:rFonts w:ascii="Verdana" w:hAnsi="Verdana" w:cs="Arial"/>
          <w:sz w:val="16"/>
          <w:szCs w:val="16"/>
          <w:lang w:val="es-CO"/>
        </w:rPr>
        <w:t>M</w:t>
      </w:r>
      <w:r w:rsidRPr="00FF007A">
        <w:rPr>
          <w:rFonts w:ascii="Verdana" w:hAnsi="Verdana"/>
          <w:sz w:val="16"/>
          <w:szCs w:val="16"/>
          <w:lang w:val="es-CO"/>
        </w:rPr>
        <w:t>i</w:t>
      </w:r>
      <w:r w:rsidRPr="00FF007A">
        <w:rPr>
          <w:rFonts w:ascii="Verdana" w:hAnsi="Verdana" w:cs="Arial"/>
          <w:sz w:val="16"/>
          <w:szCs w:val="16"/>
          <w:lang w:val="es-CO"/>
        </w:rPr>
        <w:t>nisterio de Salud y Protección Social. Resolución</w:t>
      </w:r>
      <w:r>
        <w:rPr>
          <w:rFonts w:ascii="Verdana" w:hAnsi="Verdana" w:cs="Arial"/>
          <w:sz w:val="16"/>
          <w:szCs w:val="16"/>
          <w:lang w:val="es-CO"/>
        </w:rPr>
        <w:t xml:space="preserve"> </w:t>
      </w:r>
      <w:r w:rsidRPr="00FF007A">
        <w:rPr>
          <w:rFonts w:ascii="Verdana" w:hAnsi="Verdana" w:cs="Arial"/>
          <w:sz w:val="16"/>
          <w:szCs w:val="16"/>
          <w:lang w:val="es-CO"/>
        </w:rPr>
        <w:t xml:space="preserve">04 del 12 de </w:t>
      </w:r>
      <w:proofErr w:type="gramStart"/>
      <w:r w:rsidRPr="00FF007A">
        <w:rPr>
          <w:rFonts w:ascii="Verdana" w:hAnsi="Verdana" w:cs="Arial"/>
          <w:sz w:val="16"/>
          <w:szCs w:val="16"/>
          <w:lang w:val="es-CO"/>
        </w:rPr>
        <w:t>Enero</w:t>
      </w:r>
      <w:proofErr w:type="gramEnd"/>
      <w:r w:rsidRPr="00FF007A">
        <w:rPr>
          <w:rFonts w:ascii="Verdana" w:hAnsi="Verdana" w:cs="Arial"/>
          <w:sz w:val="16"/>
          <w:szCs w:val="16"/>
          <w:lang w:val="es-CO"/>
        </w:rPr>
        <w:t xml:space="preserve"> de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08857916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82678286">
    <w:abstractNumId w:val="3"/>
  </w:num>
  <w:num w:numId="18" w16cid:durableId="1800687081">
    <w:abstractNumId w:val="11"/>
  </w:num>
  <w:num w:numId="19" w16cid:durableId="341274352">
    <w:abstractNumId w:val="0"/>
  </w:num>
  <w:num w:numId="20" w16cid:durableId="6790895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06D"/>
    <w:rsid w:val="00046945"/>
    <w:rsid w:val="00061B2A"/>
    <w:rsid w:val="00082362"/>
    <w:rsid w:val="000A683E"/>
    <w:rsid w:val="000B19B9"/>
    <w:rsid w:val="000D0334"/>
    <w:rsid w:val="000F6486"/>
    <w:rsid w:val="0011586C"/>
    <w:rsid w:val="00125105"/>
    <w:rsid w:val="00127233"/>
    <w:rsid w:val="00137965"/>
    <w:rsid w:val="001C09AD"/>
    <w:rsid w:val="001E4177"/>
    <w:rsid w:val="001F7DC6"/>
    <w:rsid w:val="002421BB"/>
    <w:rsid w:val="0025796E"/>
    <w:rsid w:val="002707A2"/>
    <w:rsid w:val="002951A0"/>
    <w:rsid w:val="002962BC"/>
    <w:rsid w:val="002A093D"/>
    <w:rsid w:val="002A0DD0"/>
    <w:rsid w:val="002A49AC"/>
    <w:rsid w:val="002A64FD"/>
    <w:rsid w:val="002C7A84"/>
    <w:rsid w:val="002D081F"/>
    <w:rsid w:val="002E21FA"/>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E7474"/>
    <w:rsid w:val="004F21C4"/>
    <w:rsid w:val="004F685F"/>
    <w:rsid w:val="00500762"/>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A29AD"/>
    <w:rsid w:val="007B268C"/>
    <w:rsid w:val="007B5381"/>
    <w:rsid w:val="007B7171"/>
    <w:rsid w:val="007C0C0F"/>
    <w:rsid w:val="007C3DC2"/>
    <w:rsid w:val="007E5497"/>
    <w:rsid w:val="00806F5F"/>
    <w:rsid w:val="00820278"/>
    <w:rsid w:val="00867F95"/>
    <w:rsid w:val="00867FC6"/>
    <w:rsid w:val="00874BD2"/>
    <w:rsid w:val="008843B6"/>
    <w:rsid w:val="00891777"/>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37040"/>
    <w:rsid w:val="00AB0ADB"/>
    <w:rsid w:val="00AC7EC8"/>
    <w:rsid w:val="00AD4834"/>
    <w:rsid w:val="00B00C0E"/>
    <w:rsid w:val="00B01B1A"/>
    <w:rsid w:val="00B33243"/>
    <w:rsid w:val="00B44A47"/>
    <w:rsid w:val="00B72CD3"/>
    <w:rsid w:val="00B72FFF"/>
    <w:rsid w:val="00B905C8"/>
    <w:rsid w:val="00BC3D36"/>
    <w:rsid w:val="00BD7F72"/>
    <w:rsid w:val="00C04FB3"/>
    <w:rsid w:val="00C330EB"/>
    <w:rsid w:val="00C754BE"/>
    <w:rsid w:val="00C76B1C"/>
    <w:rsid w:val="00CB6357"/>
    <w:rsid w:val="00CC1B26"/>
    <w:rsid w:val="00CE1E57"/>
    <w:rsid w:val="00D423A2"/>
    <w:rsid w:val="00D520D8"/>
    <w:rsid w:val="00D53237"/>
    <w:rsid w:val="00D63AC2"/>
    <w:rsid w:val="00D7383B"/>
    <w:rsid w:val="00D852FC"/>
    <w:rsid w:val="00DA231B"/>
    <w:rsid w:val="00DA4C09"/>
    <w:rsid w:val="00DC39FC"/>
    <w:rsid w:val="00DD7485"/>
    <w:rsid w:val="00DF5254"/>
    <w:rsid w:val="00E16408"/>
    <w:rsid w:val="00E20894"/>
    <w:rsid w:val="00E245AB"/>
    <w:rsid w:val="00E2764C"/>
    <w:rsid w:val="00E27F2E"/>
    <w:rsid w:val="00E50AFE"/>
    <w:rsid w:val="00E61D16"/>
    <w:rsid w:val="00E62B48"/>
    <w:rsid w:val="00E75C92"/>
    <w:rsid w:val="00E771DC"/>
    <w:rsid w:val="00E8772A"/>
    <w:rsid w:val="00E90F6B"/>
    <w:rsid w:val="00E92C27"/>
    <w:rsid w:val="00E951C9"/>
    <w:rsid w:val="00EA0E3D"/>
    <w:rsid w:val="00EC38A7"/>
    <w:rsid w:val="00EE1AA8"/>
    <w:rsid w:val="00EE219B"/>
    <w:rsid w:val="00F31EDC"/>
    <w:rsid w:val="00F462B3"/>
    <w:rsid w:val="00F52B13"/>
    <w:rsid w:val="00F5664F"/>
    <w:rsid w:val="00F666C4"/>
    <w:rsid w:val="00F76AFC"/>
    <w:rsid w:val="00F90661"/>
    <w:rsid w:val="00FA47C0"/>
    <w:rsid w:val="00FB35CD"/>
    <w:rsid w:val="00FB5DD1"/>
    <w:rsid w:val="00FC2B5D"/>
    <w:rsid w:val="00FF1449"/>
    <w:rsid w:val="127671B3"/>
    <w:rsid w:val="2EDAA743"/>
    <w:rsid w:val="5E379D65"/>
    <w:rsid w:val="661DFCA0"/>
    <w:rsid w:val="702A2B4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C26CE9A-C7BF-4358-AA42-4FA509399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E7474"/>
    <w:rPr>
      <w:rFonts w:ascii="Geomanist Light" w:hAnsi="Geomanist Light"/>
      <w:lang w:val="es-ES"/>
    </w:rPr>
  </w:style>
  <w:style w:type="paragraph" w:customStyle="1" w:styleId="Appelnotedebasde">
    <w:name w:val="Appel note de bas de..."/>
    <w:basedOn w:val="Normal"/>
    <w:link w:val="Refdenotaalpie"/>
    <w:uiPriority w:val="99"/>
    <w:rsid w:val="004E7474"/>
    <w:pPr>
      <w:spacing w:line="240" w:lineRule="exact"/>
    </w:pPr>
    <w:rPr>
      <w:vertAlign w:val="superscript"/>
    </w:rPr>
  </w:style>
  <w:style w:type="character" w:customStyle="1" w:styleId="baj">
    <w:name w:val="b_aj"/>
    <w:basedOn w:val="Fuentedeprrafopredeter"/>
    <w:rsid w:val="004E7474"/>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customStyle="1" w:styleId="NormalWebCar">
    <w:name w:val="Normal (Web) Car"/>
    <w:link w:val="NormalWeb"/>
    <w:uiPriority w:val="99"/>
    <w:locked/>
    <w:rsid w:val="00E951C9"/>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alcaldiabogota.gov.co/sisjur/normas/Norma1.jsp?dt=S&amp;i=122202" TargetMode="External"/><Relationship Id="rId2" Type="http://schemas.openxmlformats.org/officeDocument/2006/relationships/hyperlink" Target="https://www.alcaldiabogota.gov.co/sisjur/normas/Norma1.jsp?dt=S&amp;i=60733" TargetMode="External"/><Relationship Id="rId1" Type="http://schemas.openxmlformats.org/officeDocument/2006/relationships/hyperlink" Target="https://www.alcaldiabogota.gov.co/sisjur/normas/Norma1.jsp?dt=S&amp;i=804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68F15F-1175-44E8-AF1C-85E097715AF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8812</Words>
  <Characters>48117</Characters>
  <Application>Microsoft Office Word</Application>
  <DocSecurity>0</DocSecurity>
  <Lines>907</Lines>
  <Paragraphs>183</Paragraphs>
  <ScaleCrop>false</ScaleCrop>
  <Company/>
  <LinksUpToDate>false</LinksUpToDate>
  <CharactersWithSpaces>56746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7</cp:revision>
  <cp:lastPrinted>2023-01-10T18:18:00Z</cp:lastPrinted>
  <dcterms:created xsi:type="dcterms:W3CDTF">2025-09-23T22:31:00Z</dcterms:created>
  <dcterms:modified xsi:type="dcterms:W3CDTF">2025-10-01T03:30:00Z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